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BC88D" w14:textId="77777777" w:rsidR="001B3C5D" w:rsidRPr="001B3C5D" w:rsidRDefault="001B3C5D" w:rsidP="001B3C5D">
      <w:pPr>
        <w:spacing w:after="0" w:line="240" w:lineRule="auto"/>
        <w:jc w:val="both"/>
        <w:rPr>
          <w:rFonts w:ascii="Verdana" w:eastAsia="Calibri" w:hAnsi="Verdana" w:cs="Arial"/>
          <w:b/>
          <w:bCs/>
          <w:lang w:val="es-ES_tradnl"/>
        </w:rPr>
      </w:pPr>
      <w:bookmarkStart w:id="0" w:name="_Hlk143780582"/>
      <w:r w:rsidRPr="001B3C5D">
        <w:rPr>
          <w:rFonts w:ascii="Verdana" w:eastAsia="Calibri" w:hAnsi="Verdana" w:cs="Arial"/>
          <w:b/>
          <w:bCs/>
          <w:lang w:val="es-ES_tradnl"/>
        </w:rPr>
        <w:t xml:space="preserve">DOCUMENTOS TIPO – Fundamento normativo – Obligatoriedad </w:t>
      </w:r>
    </w:p>
    <w:p w14:paraId="2579A7EF" w14:textId="77777777" w:rsidR="001B3C5D" w:rsidRPr="001B3C5D" w:rsidRDefault="001B3C5D" w:rsidP="001B3C5D">
      <w:pPr>
        <w:spacing w:after="0" w:line="240" w:lineRule="auto"/>
        <w:jc w:val="both"/>
        <w:rPr>
          <w:rFonts w:ascii="Verdana" w:eastAsia="Calibri" w:hAnsi="Verdana" w:cs="Arial"/>
          <w:b/>
          <w:bCs/>
          <w:sz w:val="20"/>
          <w:szCs w:val="20"/>
          <w:lang w:val="es-ES_tradnl"/>
        </w:rPr>
      </w:pPr>
    </w:p>
    <w:p w14:paraId="472C4614" w14:textId="77777777" w:rsidR="001B3C5D" w:rsidRPr="001B3C5D" w:rsidRDefault="001B3C5D" w:rsidP="001B3C5D">
      <w:pPr>
        <w:spacing w:after="0" w:line="240" w:lineRule="auto"/>
        <w:jc w:val="both"/>
        <w:rPr>
          <w:rFonts w:ascii="Verdana" w:eastAsia="Aptos" w:hAnsi="Verdana" w:cs="Times New Roman"/>
          <w:kern w:val="2"/>
          <w:sz w:val="20"/>
          <w:szCs w:val="20"/>
          <w:lang w:val="es-MX"/>
          <w14:ligatures w14:val="standardContextual"/>
        </w:rPr>
      </w:pPr>
      <w:r w:rsidRPr="001B3C5D">
        <w:rPr>
          <w:rFonts w:ascii="Verdana" w:eastAsia="Aptos" w:hAnsi="Verdana" w:cs="Times New Roman"/>
          <w:kern w:val="2"/>
          <w:sz w:val="20"/>
          <w:szCs w:val="20"/>
          <w:lang w:val="es-MX"/>
          <w14:ligatures w14:val="standardContextual"/>
        </w:rPr>
        <w:t>El 22 de julio de 2020 se sancionó la Ley 2022, por medio de la cual se modificó el artículo 4 de la Ley 1882 de 2018.</w:t>
      </w:r>
    </w:p>
    <w:p w14:paraId="08894755" w14:textId="77777777" w:rsidR="001B3C5D" w:rsidRPr="001B3C5D" w:rsidRDefault="001B3C5D" w:rsidP="001B3C5D">
      <w:pPr>
        <w:spacing w:after="0" w:line="240" w:lineRule="auto"/>
        <w:jc w:val="both"/>
        <w:rPr>
          <w:rFonts w:ascii="Verdana" w:eastAsia="Aptos" w:hAnsi="Verdana" w:cs="Times New Roman"/>
          <w:kern w:val="2"/>
          <w:sz w:val="20"/>
          <w:szCs w:val="20"/>
          <w:lang w:val="es-MX"/>
          <w14:ligatures w14:val="standardContextual"/>
        </w:rPr>
      </w:pPr>
    </w:p>
    <w:p w14:paraId="15824818" w14:textId="77777777" w:rsidR="001B3C5D" w:rsidRPr="001B3C5D" w:rsidRDefault="001B3C5D" w:rsidP="001B3C5D">
      <w:pPr>
        <w:spacing w:after="0" w:line="240" w:lineRule="auto"/>
        <w:jc w:val="both"/>
        <w:rPr>
          <w:rFonts w:ascii="Verdana" w:eastAsia="Aptos" w:hAnsi="Verdana" w:cs="Times New Roman"/>
          <w:kern w:val="2"/>
          <w:sz w:val="20"/>
          <w:szCs w:val="20"/>
          <w:lang w:val="es-MX"/>
          <w14:ligatures w14:val="standardContextual"/>
        </w:rPr>
      </w:pPr>
      <w:r w:rsidRPr="001B3C5D">
        <w:rPr>
          <w:rFonts w:ascii="Verdana" w:eastAsia="Aptos" w:hAnsi="Verdana" w:cs="Times New Roman"/>
          <w:kern w:val="2"/>
          <w:sz w:val="20"/>
          <w:szCs w:val="20"/>
          <w:lang w:val="es-MX"/>
          <w14:ligatures w14:val="standardContextual"/>
        </w:rPr>
        <w:t>(…)</w:t>
      </w:r>
    </w:p>
    <w:p w14:paraId="42148DBF" w14:textId="77777777" w:rsidR="001B3C5D" w:rsidRPr="001B3C5D" w:rsidRDefault="001B3C5D" w:rsidP="001B3C5D">
      <w:pPr>
        <w:spacing w:after="0" w:line="240" w:lineRule="auto"/>
        <w:jc w:val="both"/>
        <w:rPr>
          <w:rFonts w:ascii="Verdana" w:eastAsia="Calibri" w:hAnsi="Verdana" w:cs="Arial"/>
          <w:b/>
          <w:bCs/>
          <w:sz w:val="20"/>
          <w:szCs w:val="20"/>
          <w:lang w:val="es-ES_tradnl"/>
        </w:rPr>
      </w:pPr>
    </w:p>
    <w:p w14:paraId="298EA7BD" w14:textId="77777777" w:rsidR="001B3C5D" w:rsidRPr="001B3C5D" w:rsidRDefault="001B3C5D" w:rsidP="001B3C5D">
      <w:pPr>
        <w:spacing w:after="0" w:line="240" w:lineRule="auto"/>
        <w:jc w:val="both"/>
        <w:rPr>
          <w:rFonts w:ascii="Verdana" w:eastAsia="Calibri" w:hAnsi="Verdana" w:cs="Arial"/>
          <w:color w:val="000000"/>
          <w:kern w:val="2"/>
          <w:sz w:val="20"/>
          <w:szCs w:val="20"/>
          <w:lang w:val="es-MX"/>
          <w14:ligatures w14:val="standardContextual"/>
        </w:rPr>
      </w:pPr>
      <w:r w:rsidRPr="001B3C5D">
        <w:rPr>
          <w:rFonts w:ascii="Verdana" w:eastAsia="Aptos" w:hAnsi="Verdana" w:cs="Times New Roman"/>
          <w:kern w:val="2"/>
          <w:sz w:val="20"/>
          <w:szCs w:val="20"/>
          <w:lang w:val="es-ES"/>
          <w14:ligatures w14:val="standardContextual"/>
        </w:rPr>
        <w:t xml:space="preserve">La norma </w:t>
      </w:r>
      <w:r w:rsidRPr="001B3C5D">
        <w:rPr>
          <w:rFonts w:ascii="Verdana" w:eastAsia="Calibri" w:hAnsi="Verdana" w:cs="Arial"/>
          <w:color w:val="000000"/>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0C5BED9" w14:textId="77777777" w:rsidR="001B3C5D" w:rsidRPr="001B3C5D" w:rsidRDefault="001B3C5D" w:rsidP="001B3C5D">
      <w:pPr>
        <w:spacing w:after="0" w:line="240" w:lineRule="auto"/>
        <w:jc w:val="both"/>
        <w:rPr>
          <w:rFonts w:ascii="Aptos" w:eastAsia="Aptos" w:hAnsi="Aptos" w:cs="Times New Roman"/>
          <w:sz w:val="20"/>
          <w:szCs w:val="20"/>
          <w:lang w:val="es-MX"/>
        </w:rPr>
      </w:pPr>
    </w:p>
    <w:p w14:paraId="1D3765B9" w14:textId="77777777" w:rsidR="001B3C5D" w:rsidRPr="001B3C5D" w:rsidRDefault="001B3C5D" w:rsidP="001B3C5D">
      <w:pPr>
        <w:spacing w:after="0" w:line="240" w:lineRule="auto"/>
        <w:jc w:val="both"/>
        <w:rPr>
          <w:rFonts w:ascii="Verdana" w:eastAsia="Calibri" w:hAnsi="Verdana" w:cs="Arial"/>
          <w:b/>
          <w:bCs/>
          <w:kern w:val="2"/>
          <w:sz w:val="24"/>
          <w:szCs w:val="24"/>
          <w:lang w:val="es-ES_tradnl"/>
          <w14:ligatures w14:val="standardContextual"/>
        </w:rPr>
      </w:pPr>
      <w:r w:rsidRPr="001B3C5D">
        <w:rPr>
          <w:rFonts w:ascii="Verdana" w:eastAsia="Calibri" w:hAnsi="Verdana" w:cs="Arial"/>
          <w:b/>
          <w:bCs/>
          <w:lang w:val="es-ES_tradnl"/>
        </w:rPr>
        <w:t>DOCUMENTOS TIPO – Adopción – Implementación</w:t>
      </w:r>
    </w:p>
    <w:p w14:paraId="71462A58" w14:textId="77777777" w:rsidR="001B3C5D" w:rsidRPr="001B3C5D" w:rsidRDefault="001B3C5D" w:rsidP="001B3C5D">
      <w:pPr>
        <w:spacing w:after="0" w:line="240" w:lineRule="auto"/>
        <w:jc w:val="both"/>
        <w:rPr>
          <w:rFonts w:ascii="Verdana" w:eastAsia="Calibri" w:hAnsi="Verdana" w:cs="Arial"/>
          <w:color w:val="000000"/>
          <w:kern w:val="2"/>
          <w:sz w:val="20"/>
          <w:szCs w:val="20"/>
          <w:lang w:val="es-MX"/>
          <w14:ligatures w14:val="standardContextual"/>
        </w:rPr>
      </w:pPr>
    </w:p>
    <w:p w14:paraId="2BD35E64" w14:textId="77777777" w:rsidR="001B3C5D" w:rsidRPr="001B3C5D" w:rsidRDefault="001B3C5D" w:rsidP="001B3C5D">
      <w:pPr>
        <w:spacing w:after="0" w:line="240" w:lineRule="auto"/>
        <w:jc w:val="both"/>
        <w:rPr>
          <w:rFonts w:ascii="Verdana" w:eastAsia="Calibri" w:hAnsi="Verdana" w:cs="Arial"/>
          <w:color w:val="000000"/>
          <w:kern w:val="2"/>
          <w:sz w:val="20"/>
          <w:szCs w:val="20"/>
          <w:lang w:val="es-MX"/>
          <w14:ligatures w14:val="standardContextual"/>
        </w:rPr>
      </w:pPr>
      <w:r w:rsidRPr="001B3C5D">
        <w:rPr>
          <w:rFonts w:ascii="Verdana" w:eastAsia="Calibri" w:hAnsi="Verdana" w:cs="Arial"/>
          <w:color w:val="000000"/>
          <w:sz w:val="20"/>
          <w:szCs w:val="20"/>
          <w:lang w:val="es-MX"/>
        </w:rPr>
        <w:t xml:space="preserve">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66D8F5DF" w14:textId="77777777" w:rsidR="001B3C5D" w:rsidRPr="001B3C5D" w:rsidRDefault="001B3C5D" w:rsidP="001B3C5D">
      <w:pPr>
        <w:spacing w:after="0" w:line="240" w:lineRule="auto"/>
        <w:jc w:val="both"/>
        <w:rPr>
          <w:rFonts w:ascii="Verdana" w:eastAsia="Calibri" w:hAnsi="Verdana" w:cs="Arial"/>
          <w:color w:val="000000"/>
          <w:sz w:val="20"/>
          <w:szCs w:val="20"/>
          <w:lang w:val="es-MX"/>
        </w:rPr>
      </w:pPr>
    </w:p>
    <w:p w14:paraId="2C5D5A28" w14:textId="77777777" w:rsidR="001B3C5D" w:rsidRPr="001B3C5D" w:rsidRDefault="001B3C5D" w:rsidP="001B3C5D">
      <w:pPr>
        <w:spacing w:after="0" w:line="240" w:lineRule="auto"/>
        <w:jc w:val="both"/>
        <w:rPr>
          <w:rFonts w:ascii="Verdana" w:eastAsia="Calibri" w:hAnsi="Verdana" w:cs="Arial"/>
          <w:b/>
          <w:bCs/>
          <w:kern w:val="2"/>
          <w:lang w:val="es-ES_tradnl"/>
          <w14:ligatures w14:val="standardContextual"/>
        </w:rPr>
      </w:pPr>
      <w:r w:rsidRPr="001B3C5D">
        <w:rPr>
          <w:rFonts w:ascii="Verdana" w:eastAsia="Calibri" w:hAnsi="Verdana" w:cs="Arial"/>
          <w:b/>
          <w:bCs/>
          <w:lang w:val="es-ES_tradnl"/>
        </w:rPr>
        <w:t>DOCUMENTOS TIPO – Sectores – Vigentes</w:t>
      </w:r>
    </w:p>
    <w:p w14:paraId="14588AD3" w14:textId="77777777" w:rsidR="001B3C5D" w:rsidRPr="001B3C5D" w:rsidRDefault="001B3C5D" w:rsidP="001B3C5D">
      <w:pPr>
        <w:spacing w:after="0" w:line="276" w:lineRule="auto"/>
        <w:jc w:val="both"/>
        <w:rPr>
          <w:rFonts w:ascii="Verdana" w:eastAsia="Calibri" w:hAnsi="Verdana" w:cs="Arial"/>
          <w:b/>
          <w:bCs/>
          <w:color w:val="000000"/>
          <w:lang w:eastAsia="es-ES_tradnl"/>
        </w:rPr>
      </w:pPr>
    </w:p>
    <w:p w14:paraId="23D26F69" w14:textId="77777777" w:rsidR="001B3C5D" w:rsidRPr="001B3C5D" w:rsidRDefault="001B3C5D" w:rsidP="001B3C5D">
      <w:pPr>
        <w:tabs>
          <w:tab w:val="left" w:pos="709"/>
        </w:tabs>
        <w:spacing w:after="0" w:line="240" w:lineRule="auto"/>
        <w:jc w:val="both"/>
        <w:rPr>
          <w:rFonts w:ascii="Verdana" w:eastAsia="Calibri" w:hAnsi="Verdana" w:cs="Arial"/>
          <w:sz w:val="20"/>
          <w:szCs w:val="20"/>
          <w:lang w:val="es-ES"/>
        </w:rPr>
      </w:pPr>
      <w:r w:rsidRPr="001B3C5D">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5B08CFCE" w14:textId="77777777" w:rsidR="001B3C5D" w:rsidRPr="001B3C5D" w:rsidRDefault="001B3C5D" w:rsidP="001B3C5D">
      <w:pPr>
        <w:spacing w:after="0" w:line="276" w:lineRule="auto"/>
        <w:jc w:val="both"/>
        <w:rPr>
          <w:rFonts w:ascii="Verdana" w:eastAsia="Calibri" w:hAnsi="Verdana" w:cs="Arial"/>
          <w:color w:val="000000"/>
          <w:kern w:val="2"/>
          <w:sz w:val="20"/>
          <w:szCs w:val="20"/>
          <w:lang w:val="es-MX"/>
          <w14:ligatures w14:val="standardContextual"/>
        </w:rPr>
      </w:pPr>
    </w:p>
    <w:p w14:paraId="7C1908AB" w14:textId="77777777" w:rsidR="001B3C5D" w:rsidRPr="001B3C5D" w:rsidRDefault="001B3C5D" w:rsidP="001B3C5D">
      <w:pPr>
        <w:spacing w:after="0" w:line="240" w:lineRule="auto"/>
        <w:jc w:val="both"/>
        <w:rPr>
          <w:rFonts w:ascii="Verdana" w:eastAsia="Calibri" w:hAnsi="Verdana" w:cs="Arial"/>
          <w:b/>
          <w:bCs/>
          <w:kern w:val="2"/>
          <w:sz w:val="24"/>
          <w:szCs w:val="24"/>
          <w:lang w:val="es-ES_tradnl"/>
          <w14:ligatures w14:val="standardContextual"/>
        </w:rPr>
      </w:pPr>
      <w:r w:rsidRPr="001B3C5D">
        <w:rPr>
          <w:rFonts w:ascii="Verdana" w:eastAsia="Calibri" w:hAnsi="Verdana" w:cs="Arial"/>
          <w:b/>
          <w:bCs/>
          <w:lang w:val="es-ES_tradnl"/>
        </w:rPr>
        <w:t xml:space="preserve">DOCUMENTOS TIPO – Colombia Compra Eficiente – Facultad de estandarización </w:t>
      </w:r>
    </w:p>
    <w:p w14:paraId="676E8B78" w14:textId="77777777" w:rsidR="001B3C5D" w:rsidRPr="001B3C5D" w:rsidRDefault="001B3C5D" w:rsidP="001B3C5D">
      <w:pPr>
        <w:spacing w:after="0" w:line="276" w:lineRule="auto"/>
        <w:jc w:val="both"/>
        <w:rPr>
          <w:rFonts w:ascii="Verdana" w:eastAsia="Calibri" w:hAnsi="Verdana" w:cs="Arial"/>
          <w:b/>
          <w:bCs/>
          <w:kern w:val="2"/>
          <w:sz w:val="24"/>
          <w:szCs w:val="24"/>
          <w:lang w:val="es-ES_tradnl"/>
          <w14:ligatures w14:val="standardContextual"/>
        </w:rPr>
      </w:pPr>
    </w:p>
    <w:p w14:paraId="16E96478" w14:textId="77777777" w:rsidR="001B3C5D" w:rsidRPr="001B3C5D" w:rsidRDefault="001B3C5D" w:rsidP="001B3C5D">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1B3C5D">
        <w:rPr>
          <w:rFonts w:ascii="Verdana" w:eastAsia="Times New Roman" w:hAnsi="Verdana" w:cs="Arial"/>
          <w:kern w:val="2"/>
          <w:sz w:val="20"/>
          <w:szCs w:val="20"/>
          <w:lang w:eastAsia="es-ES"/>
          <w14:ligatures w14:val="standardContextual"/>
        </w:rPr>
        <w:t>Conforme con lo anterior, m</w:t>
      </w:r>
      <w:r w:rsidRPr="001B3C5D">
        <w:rPr>
          <w:rFonts w:ascii="Verdana" w:eastAsia="Times New Roman" w:hAnsi="Verdana" w:cs="Arial"/>
          <w:sz w:val="20"/>
          <w:szCs w:val="20"/>
          <w:lang w:eastAsia="es-ES"/>
        </w:rPr>
        <w:t xml:space="preserve">ediante una interpretación sistemática de la normativa y jurisprudencia citada es posible concluir que </w:t>
      </w:r>
      <w:r w:rsidRPr="001B3C5D">
        <w:rPr>
          <w:rFonts w:ascii="Verdana" w:eastAsia="Times New Roman" w:hAnsi="Verdana" w:cs="Arial"/>
          <w:kern w:val="2"/>
          <w:sz w:val="20"/>
          <w:szCs w:val="20"/>
          <w:lang w:eastAsia="es-ES"/>
          <w14:ligatures w14:val="standardContextual"/>
        </w:rPr>
        <w:t>la</w:t>
      </w:r>
      <w:r w:rsidRPr="001B3C5D">
        <w:rPr>
          <w:rFonts w:ascii="Verdana" w:eastAsia="Times New Roman" w:hAnsi="Verdana" w:cs="Arial"/>
          <w:sz w:val="20"/>
          <w:szCs w:val="20"/>
          <w:lang w:eastAsia="es-ES"/>
        </w:rPr>
        <w:t xml:space="preserve"> Agencia</w:t>
      </w:r>
      <w:r w:rsidRPr="001B3C5D">
        <w:rPr>
          <w:rFonts w:ascii="Verdana" w:eastAsia="Times New Roman" w:hAnsi="Verdana" w:cs="Arial"/>
          <w:kern w:val="2"/>
          <w:sz w:val="20"/>
          <w:szCs w:val="20"/>
          <w:lang w:eastAsia="es-ES"/>
          <w14:ligatures w14:val="standardContextual"/>
        </w:rPr>
        <w:t xml:space="preserve"> Nacional de Contratación Pública – Colombia Compra Eficiente</w:t>
      </w:r>
      <w:r w:rsidRPr="001B3C5D">
        <w:rPr>
          <w:rFonts w:ascii="Verdana" w:eastAsia="Times New Roman" w:hAnsi="Verdana" w:cs="Arial"/>
          <w:sz w:val="20"/>
          <w:szCs w:val="20"/>
          <w:lang w:eastAsia="es-ES"/>
        </w:rPr>
        <w:t xml:space="preserve"> tiene facultad de regulación de la actividad contractual pública, lo que implica la potestad para expedir normas de carácter técnico subordinadas </w:t>
      </w:r>
      <w:r w:rsidRPr="001B3C5D">
        <w:rPr>
          <w:rFonts w:ascii="Verdana" w:eastAsia="Times New Roman" w:hAnsi="Verdana" w:cs="Arial"/>
          <w:sz w:val="20"/>
          <w:szCs w:val="20"/>
          <w:lang w:eastAsia="es-ES"/>
        </w:rPr>
        <w:lastRenderedPageBreak/>
        <w:t xml:space="preserve">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12C01C53" w14:textId="77777777" w:rsidR="001B3C5D" w:rsidRPr="001B3C5D" w:rsidRDefault="001B3C5D" w:rsidP="001B3C5D">
      <w:pPr>
        <w:tabs>
          <w:tab w:val="center" w:pos="4419"/>
          <w:tab w:val="right" w:pos="8838"/>
        </w:tabs>
        <w:spacing w:after="0" w:line="240" w:lineRule="auto"/>
        <w:jc w:val="both"/>
        <w:rPr>
          <w:rFonts w:ascii="Verdana" w:eastAsia="MS Mincho" w:hAnsi="Verdana" w:cs="Arial"/>
          <w:sz w:val="20"/>
          <w:szCs w:val="20"/>
          <w:lang w:eastAsia="es-CO"/>
        </w:rPr>
      </w:pPr>
    </w:p>
    <w:p w14:paraId="6F0B4FA0" w14:textId="77777777" w:rsidR="001B3C5D" w:rsidRPr="001B3C5D" w:rsidRDefault="001B3C5D" w:rsidP="001B3C5D">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1B3C5D">
        <w:rPr>
          <w:rFonts w:ascii="Verdana" w:eastAsia="MS Mincho" w:hAnsi="Verdana" w:cs="Arial"/>
          <w:sz w:val="20"/>
          <w:szCs w:val="20"/>
          <w:lang w:eastAsia="es-CO"/>
        </w:rPr>
        <w:t>I</w:t>
      </w:r>
      <w:r w:rsidRPr="001B3C5D">
        <w:rPr>
          <w:rFonts w:ascii="Verdana" w:eastAsia="Times New Roman" w:hAnsi="Verdana" w:cs="Arial"/>
          <w:sz w:val="20"/>
          <w:szCs w:val="20"/>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1FFAA52A" w14:textId="77777777" w:rsidR="001B3C5D" w:rsidRPr="001B3C5D" w:rsidRDefault="001B3C5D" w:rsidP="001B3C5D">
      <w:pPr>
        <w:spacing w:after="0" w:line="276" w:lineRule="auto"/>
        <w:jc w:val="both"/>
        <w:rPr>
          <w:rFonts w:ascii="Verdana" w:eastAsia="Calibri" w:hAnsi="Verdana" w:cs="Arial"/>
          <w:b/>
          <w:bCs/>
          <w:highlight w:val="yellow"/>
          <w:lang w:val="es-ES_tradnl"/>
        </w:rPr>
      </w:pPr>
    </w:p>
    <w:p w14:paraId="6D9EEF48" w14:textId="77777777" w:rsidR="001B3C5D" w:rsidRPr="001B3C5D" w:rsidRDefault="001B3C5D" w:rsidP="001B3C5D">
      <w:pPr>
        <w:spacing w:after="0" w:line="240" w:lineRule="auto"/>
        <w:rPr>
          <w:rFonts w:ascii="Verdana" w:eastAsia="Calibri" w:hAnsi="Verdana" w:cs="Times New Roman"/>
          <w:b/>
          <w:bCs/>
          <w:lang w:val="es-ES"/>
        </w:rPr>
      </w:pPr>
      <w:r w:rsidRPr="001B3C5D">
        <w:rPr>
          <w:rFonts w:ascii="Verdana" w:eastAsia="Calibri" w:hAnsi="Verdana" w:cs="Times New Roman"/>
          <w:b/>
          <w:bCs/>
          <w:lang w:val="es-ES"/>
        </w:rPr>
        <w:t>DOCUMENTOS TIPO – Inalterabilidad – Alcance</w:t>
      </w:r>
    </w:p>
    <w:p w14:paraId="054E91C0" w14:textId="77777777" w:rsidR="001B3C5D" w:rsidRPr="001B3C5D" w:rsidRDefault="001B3C5D" w:rsidP="001B3C5D">
      <w:pPr>
        <w:spacing w:after="0" w:line="240" w:lineRule="auto"/>
        <w:rPr>
          <w:rFonts w:ascii="Verdana" w:eastAsia="Calibri" w:hAnsi="Verdana" w:cs="Times New Roman"/>
          <w:b/>
          <w:bCs/>
          <w:lang w:val="es-ES"/>
        </w:rPr>
      </w:pPr>
    </w:p>
    <w:p w14:paraId="323A1824" w14:textId="77777777" w:rsidR="001B3C5D" w:rsidRPr="001B3C5D" w:rsidRDefault="001B3C5D" w:rsidP="001B3C5D">
      <w:pPr>
        <w:tabs>
          <w:tab w:val="center" w:pos="4419"/>
          <w:tab w:val="right" w:pos="8838"/>
        </w:tabs>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B3C5D">
        <w:rPr>
          <w:rFonts w:ascii="Verdana" w:eastAsia="Calibri" w:hAnsi="Verdana" w:cs="Arial"/>
          <w:i/>
          <w:iCs/>
          <w:color w:val="000000"/>
          <w:sz w:val="20"/>
          <w:szCs w:val="20"/>
          <w:lang w:val="es-ES"/>
        </w:rPr>
        <w:t>Documentos del Proceso</w:t>
      </w:r>
      <w:r w:rsidRPr="001B3C5D">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9BCE90D" w14:textId="77777777" w:rsidR="001B3C5D" w:rsidRPr="001B3C5D" w:rsidRDefault="001B3C5D" w:rsidP="001B3C5D">
      <w:pPr>
        <w:tabs>
          <w:tab w:val="center" w:pos="4419"/>
          <w:tab w:val="right" w:pos="8838"/>
        </w:tabs>
        <w:spacing w:after="0" w:line="240" w:lineRule="auto"/>
        <w:jc w:val="both"/>
        <w:rPr>
          <w:rFonts w:ascii="Verdana" w:eastAsia="Calibri" w:hAnsi="Verdana" w:cs="Arial"/>
          <w:color w:val="000000"/>
          <w:sz w:val="20"/>
          <w:szCs w:val="20"/>
          <w:lang w:val="es-ES"/>
        </w:rPr>
      </w:pPr>
    </w:p>
    <w:p w14:paraId="5F459EF7" w14:textId="77777777" w:rsidR="001B3C5D" w:rsidRPr="001B3C5D" w:rsidRDefault="001B3C5D" w:rsidP="001B3C5D">
      <w:pPr>
        <w:spacing w:after="0" w:line="240" w:lineRule="auto"/>
        <w:jc w:val="both"/>
        <w:rPr>
          <w:rFonts w:ascii="Verdana" w:eastAsia="Calibri" w:hAnsi="Verdana" w:cs="Arial"/>
          <w:sz w:val="20"/>
          <w:szCs w:val="20"/>
          <w:lang w:val="es-ES_tradnl"/>
        </w:rPr>
      </w:pPr>
      <w:r w:rsidRPr="001B3C5D">
        <w:rPr>
          <w:rFonts w:ascii="Verdana" w:eastAsia="Calibri" w:hAnsi="Verdana" w:cs="Arial"/>
          <w:sz w:val="20"/>
          <w:szCs w:val="20"/>
          <w:lang w:val="es-ES_tradnl"/>
        </w:rPr>
        <w:t>(…)</w:t>
      </w:r>
    </w:p>
    <w:p w14:paraId="0CF064B1" w14:textId="77777777" w:rsidR="001B3C5D" w:rsidRPr="001B3C5D" w:rsidRDefault="001B3C5D" w:rsidP="001B3C5D">
      <w:pPr>
        <w:spacing w:after="0" w:line="240" w:lineRule="auto"/>
        <w:jc w:val="both"/>
        <w:rPr>
          <w:rFonts w:ascii="Verdana" w:eastAsia="Calibri" w:hAnsi="Verdana" w:cs="Arial"/>
          <w:sz w:val="20"/>
          <w:szCs w:val="20"/>
          <w:lang w:val="es-ES_tradnl"/>
        </w:rPr>
      </w:pPr>
    </w:p>
    <w:p w14:paraId="7D53908C" w14:textId="77777777" w:rsidR="001B3C5D" w:rsidRPr="001B3C5D" w:rsidRDefault="001B3C5D" w:rsidP="001B3C5D">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09DD382F" w14:textId="77777777" w:rsidR="001B3C5D" w:rsidRPr="001B3C5D" w:rsidRDefault="001B3C5D" w:rsidP="001B3C5D">
      <w:pPr>
        <w:spacing w:after="0" w:line="240" w:lineRule="auto"/>
        <w:jc w:val="both"/>
        <w:rPr>
          <w:rFonts w:ascii="Verdana" w:eastAsia="Calibri" w:hAnsi="Verdana" w:cs="Arial"/>
          <w:color w:val="000000"/>
          <w:sz w:val="20"/>
          <w:szCs w:val="20"/>
          <w:lang w:val="es-ES"/>
        </w:rPr>
      </w:pPr>
    </w:p>
    <w:p w14:paraId="06C11727" w14:textId="77777777" w:rsidR="001B3C5D" w:rsidRPr="001B3C5D" w:rsidRDefault="001B3C5D" w:rsidP="001B3C5D">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w:t>
      </w:r>
      <w:r w:rsidRPr="001B3C5D">
        <w:rPr>
          <w:rFonts w:ascii="Verdana" w:eastAsia="Calibri" w:hAnsi="Verdana" w:cs="Arial"/>
          <w:color w:val="000000"/>
          <w:sz w:val="20"/>
          <w:szCs w:val="20"/>
          <w:lang w:val="es-ES"/>
        </w:rPr>
        <w:lastRenderedPageBreak/>
        <w:t xml:space="preserve">interpretativos incorrectos que se buscó erradicar con la introducción de la herramienta analizada. </w:t>
      </w:r>
    </w:p>
    <w:p w14:paraId="38A1EFDC" w14:textId="77777777" w:rsidR="001B3C5D" w:rsidRPr="001B3C5D" w:rsidRDefault="001B3C5D" w:rsidP="001B3C5D">
      <w:pPr>
        <w:spacing w:after="0" w:line="240" w:lineRule="auto"/>
        <w:jc w:val="both"/>
        <w:rPr>
          <w:rFonts w:ascii="Verdana" w:eastAsia="Calibri" w:hAnsi="Verdana" w:cs="Arial"/>
          <w:color w:val="000000"/>
          <w:sz w:val="20"/>
          <w:szCs w:val="20"/>
          <w:lang w:val="es-ES"/>
        </w:rPr>
      </w:pPr>
    </w:p>
    <w:p w14:paraId="377BA9B5" w14:textId="77777777" w:rsidR="001B3C5D" w:rsidRPr="001B3C5D" w:rsidRDefault="001B3C5D" w:rsidP="001B3C5D">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w:t>
      </w:r>
    </w:p>
    <w:p w14:paraId="1E2A55FB" w14:textId="77777777" w:rsidR="001B3C5D" w:rsidRPr="001B3C5D" w:rsidRDefault="001B3C5D" w:rsidP="001B3C5D">
      <w:pPr>
        <w:spacing w:after="0" w:line="240" w:lineRule="auto"/>
        <w:jc w:val="both"/>
        <w:rPr>
          <w:rFonts w:ascii="Verdana" w:eastAsia="Calibri" w:hAnsi="Verdana" w:cs="Arial"/>
          <w:color w:val="000000"/>
          <w:sz w:val="20"/>
          <w:szCs w:val="20"/>
          <w:lang w:val="es-ES"/>
        </w:rPr>
      </w:pPr>
    </w:p>
    <w:p w14:paraId="59312DC3" w14:textId="77777777" w:rsidR="001B3C5D" w:rsidRPr="001B3C5D" w:rsidRDefault="001B3C5D" w:rsidP="001B3C5D">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sz w:val="20"/>
          <w:szCs w:val="20"/>
        </w:rPr>
        <w:t>–[</w:t>
      </w:r>
      <w:r w:rsidRPr="001B3C5D">
        <w:rPr>
          <w:rFonts w:ascii="Verdana" w:eastAsia="Aptos" w:hAnsi="Verdana" w:cs="Arial"/>
          <w:sz w:val="20"/>
          <w:szCs w:val="20"/>
          <w:highlight w:val="lightGray"/>
        </w:rPr>
        <w:t>texto de ejemplo</w:t>
      </w:r>
      <w:r w:rsidRPr="001B3C5D">
        <w:rPr>
          <w:rFonts w:ascii="Verdana" w:eastAsia="Aptos" w:hAnsi="Verdana" w:cs="Arial"/>
          <w:sz w:val="20"/>
          <w:szCs w:val="20"/>
        </w:rPr>
        <w:t xml:space="preserve">]– </w:t>
      </w:r>
      <w:r w:rsidRPr="001B3C5D">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4EB578CA" w14:textId="77777777" w:rsidR="001B3C5D" w:rsidRPr="001B3C5D" w:rsidRDefault="001B3C5D" w:rsidP="001B3C5D">
      <w:pPr>
        <w:spacing w:after="0" w:line="240" w:lineRule="auto"/>
        <w:rPr>
          <w:rFonts w:ascii="Verdana" w:eastAsia="Calibri" w:hAnsi="Verdana" w:cs="Times New Roman"/>
          <w:b/>
          <w:bCs/>
          <w:lang w:val="es-ES"/>
        </w:rPr>
      </w:pPr>
    </w:p>
    <w:p w14:paraId="22E7CD41" w14:textId="77777777" w:rsidR="001B3C5D" w:rsidRPr="001B3C5D" w:rsidRDefault="001B3C5D" w:rsidP="001B3C5D">
      <w:pPr>
        <w:spacing w:after="0" w:line="240" w:lineRule="auto"/>
        <w:rPr>
          <w:rFonts w:ascii="Verdana" w:eastAsia="Calibri" w:hAnsi="Verdana" w:cs="Times New Roman"/>
          <w:b/>
          <w:bCs/>
          <w:lang w:val="es-ES"/>
        </w:rPr>
      </w:pPr>
      <w:r w:rsidRPr="001B3C5D">
        <w:rPr>
          <w:rFonts w:ascii="Verdana" w:eastAsia="Calibri" w:hAnsi="Verdana" w:cs="Times New Roman"/>
          <w:b/>
          <w:bCs/>
          <w:lang w:val="es-ES"/>
        </w:rPr>
        <w:t>DECRETO 287 DE 2026 – Incidencia – Documentos tipo</w:t>
      </w:r>
    </w:p>
    <w:p w14:paraId="31B9F15C" w14:textId="77777777" w:rsidR="001B3C5D" w:rsidRPr="001B3C5D" w:rsidRDefault="001B3C5D" w:rsidP="001B3C5D">
      <w:pPr>
        <w:spacing w:after="0" w:line="240" w:lineRule="auto"/>
        <w:rPr>
          <w:rFonts w:ascii="Verdana" w:eastAsia="Calibri" w:hAnsi="Verdana" w:cs="Times New Roman"/>
          <w:b/>
          <w:bCs/>
          <w:lang w:val="es-ES"/>
        </w:rPr>
      </w:pPr>
    </w:p>
    <w:p w14:paraId="456D197C"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05777355"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29029B8" w14:textId="77777777" w:rsidR="001B3C5D" w:rsidRPr="001B3C5D" w:rsidRDefault="001B3C5D" w:rsidP="001B3C5D">
      <w:pPr>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DECRETO 287 DE 2026 – Documentos tipo – Licitación Pública – Selección abreviada de menor cuantía – Concurso de méritos – Requisitos habilitantes</w:t>
      </w:r>
    </w:p>
    <w:p w14:paraId="7F9D4744"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FC3EA39"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29FD638D"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8E0DFB3" w14:textId="77777777" w:rsidR="001B3C5D" w:rsidRPr="001B3C5D" w:rsidRDefault="001B3C5D" w:rsidP="001B3C5D">
      <w:pPr>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DECRETO 287 DE 2026 – Documentos tipo – Licitación Pública – Concurso de méritos – Factores de evaluación</w:t>
      </w:r>
    </w:p>
    <w:p w14:paraId="65F2E12B"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31B5144D"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lastRenderedPageBreak/>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0AD8941C"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1B6AA40" w14:textId="77777777" w:rsidR="001B3C5D" w:rsidRPr="001B3C5D" w:rsidRDefault="001B3C5D" w:rsidP="001B3C5D">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DECRETO 287 DE 2026 – Documentos tipo – Ejecución contractual </w:t>
      </w:r>
    </w:p>
    <w:p w14:paraId="47AE15F1"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C8C9D55"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397CBD77"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17D542D"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401302F0"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4647AB2" w14:textId="77777777" w:rsidR="001B3C5D" w:rsidRPr="001B3C5D" w:rsidRDefault="001B3C5D" w:rsidP="001B3C5D">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DOCUMENTOS TIPO – Decreto 287 de 2026 – Aplicación </w:t>
      </w:r>
    </w:p>
    <w:p w14:paraId="0DC3C4E0"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A64806C"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6C9F67CE"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A5E28FF"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Permitir que cada entidad introduzca ajustes a los documentos tipo para dar aplicación </w:t>
      </w:r>
      <w:r w:rsidRPr="001B3C5D">
        <w:rPr>
          <w:rFonts w:ascii="Verdana" w:eastAsia="Aptos" w:hAnsi="Verdana" w:cs="Times New Roman"/>
          <w:kern w:val="2"/>
          <w:sz w:val="20"/>
          <w:szCs w:val="20"/>
          <w14:ligatures w14:val="standardContextual"/>
        </w:rPr>
        <w:lastRenderedPageBreak/>
        <w:t>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49578C56"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EAFA6F1"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w:t>
      </w:r>
    </w:p>
    <w:p w14:paraId="73A4545F"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245C524"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49A89686"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3A35F1B"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0D848A25"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0B4602B" w14:textId="77777777" w:rsidR="001B3C5D" w:rsidRPr="001B3C5D" w:rsidRDefault="001B3C5D" w:rsidP="001B3C5D">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DOCUMENTOS TIPO – Decreto 287 de 2026 – Aplicación – Necesidad de modificación – Agencia Nacional de Contratación Pública </w:t>
      </w:r>
    </w:p>
    <w:p w14:paraId="12DA2A57"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697017A"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7A209629"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F2D91DD"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w:t>
      </w:r>
      <w:r w:rsidRPr="001B3C5D">
        <w:rPr>
          <w:rFonts w:ascii="Verdana" w:eastAsia="Aptos" w:hAnsi="Verdana" w:cs="Times New Roman"/>
          <w:kern w:val="2"/>
          <w:sz w:val="20"/>
          <w:szCs w:val="20"/>
          <w14:ligatures w14:val="standardContextual"/>
        </w:rPr>
        <w:lastRenderedPageBreak/>
        <w:t xml:space="preserve">normativa y la efectividad de las medidas orientadas a la inclusión de las personas con discapacidad en el sistema de compras y contratación pública. </w:t>
      </w:r>
    </w:p>
    <w:p w14:paraId="2241A593"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B79CD85" w14:textId="77777777" w:rsidR="001B3C5D" w:rsidRPr="001B3C5D" w:rsidRDefault="001B3C5D" w:rsidP="001B3C5D">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DOCUMENTOS TIPO – Decreto 287 de 2026 – Modificación – Colombia Compra Eficiente</w:t>
      </w:r>
    </w:p>
    <w:p w14:paraId="1ACE4E58"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7A05670"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5D210A09"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78AE524" w14:textId="77777777" w:rsidR="001B3C5D" w:rsidRPr="001B3C5D" w:rsidRDefault="001B3C5D" w:rsidP="001B3C5D">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0685892C" w14:textId="77777777" w:rsidR="001B3C5D" w:rsidRPr="001B3C5D" w:rsidRDefault="001B3C5D" w:rsidP="001B3C5D">
      <w:pPr>
        <w:spacing w:after="0" w:line="240" w:lineRule="auto"/>
        <w:rPr>
          <w:rFonts w:ascii="Verdana" w:eastAsia="Calibri" w:hAnsi="Verdana" w:cs="Times New Roman"/>
          <w:b/>
          <w:bCs/>
          <w:lang w:val="es-ES"/>
        </w:rPr>
      </w:pPr>
    </w:p>
    <w:p w14:paraId="4BEC1076" w14:textId="77777777" w:rsidR="001B3C5D" w:rsidRPr="001B3C5D" w:rsidRDefault="001B3C5D" w:rsidP="001B3C5D">
      <w:pPr>
        <w:spacing w:after="0" w:line="240" w:lineRule="auto"/>
        <w:rPr>
          <w:rFonts w:ascii="Verdana" w:eastAsia="Calibri" w:hAnsi="Verdana" w:cs="Times New Roman"/>
          <w:b/>
          <w:bCs/>
          <w:lang w:val="es-ES"/>
        </w:rPr>
      </w:pPr>
    </w:p>
    <w:p w14:paraId="3A40508A" w14:textId="77777777" w:rsidR="001B3C5D" w:rsidRPr="001B3C5D" w:rsidRDefault="001B3C5D" w:rsidP="001B3C5D">
      <w:pPr>
        <w:spacing w:after="0" w:line="240" w:lineRule="auto"/>
        <w:rPr>
          <w:rFonts w:ascii="Verdana" w:eastAsia="Calibri" w:hAnsi="Verdana" w:cs="Times New Roman"/>
          <w:b/>
          <w:bCs/>
          <w:lang w:val="es-ES"/>
        </w:rPr>
      </w:pPr>
    </w:p>
    <w:p w14:paraId="505E9786" w14:textId="77777777" w:rsidR="001B3C5D" w:rsidRPr="001B3C5D" w:rsidRDefault="001B3C5D" w:rsidP="001B3C5D">
      <w:pPr>
        <w:spacing w:after="0" w:line="240" w:lineRule="auto"/>
        <w:rPr>
          <w:rFonts w:ascii="Verdana" w:eastAsia="Calibri" w:hAnsi="Verdana" w:cs="Times New Roman"/>
          <w:b/>
          <w:bCs/>
          <w:lang w:val="es-ES"/>
        </w:rPr>
      </w:pPr>
    </w:p>
    <w:p w14:paraId="57E7BDE7" w14:textId="77777777" w:rsidR="001B3C5D" w:rsidRPr="001B3C5D" w:rsidRDefault="001B3C5D" w:rsidP="001B3C5D">
      <w:pPr>
        <w:spacing w:after="0" w:line="240" w:lineRule="auto"/>
        <w:rPr>
          <w:rFonts w:ascii="Verdana" w:eastAsia="Calibri" w:hAnsi="Verdana" w:cs="Times New Roman"/>
          <w:b/>
          <w:bCs/>
          <w:lang w:val="es-ES"/>
        </w:rPr>
      </w:pPr>
    </w:p>
    <w:p w14:paraId="706D3908" w14:textId="77777777" w:rsidR="001B3C5D" w:rsidRPr="001B3C5D" w:rsidRDefault="001B3C5D" w:rsidP="001B3C5D">
      <w:pPr>
        <w:spacing w:after="0" w:line="240" w:lineRule="auto"/>
        <w:rPr>
          <w:rFonts w:ascii="Verdana" w:eastAsia="Calibri" w:hAnsi="Verdana" w:cs="Times New Roman"/>
          <w:b/>
          <w:bCs/>
          <w:lang w:val="es-ES"/>
        </w:rPr>
      </w:pPr>
    </w:p>
    <w:p w14:paraId="2931DA40" w14:textId="77777777" w:rsidR="001B3C5D" w:rsidRPr="001B3C5D" w:rsidRDefault="001B3C5D" w:rsidP="001B3C5D">
      <w:pPr>
        <w:spacing w:after="0" w:line="240" w:lineRule="auto"/>
        <w:rPr>
          <w:rFonts w:ascii="Verdana" w:eastAsia="Calibri" w:hAnsi="Verdana" w:cs="Times New Roman"/>
          <w:b/>
          <w:bCs/>
          <w:lang w:val="es-ES"/>
        </w:rPr>
      </w:pPr>
    </w:p>
    <w:p w14:paraId="788E83C4" w14:textId="77777777" w:rsidR="001B3C5D" w:rsidRPr="001B3C5D" w:rsidRDefault="001B3C5D" w:rsidP="001B3C5D">
      <w:pPr>
        <w:spacing w:after="0" w:line="240" w:lineRule="auto"/>
        <w:rPr>
          <w:rFonts w:ascii="Verdana" w:eastAsia="Calibri" w:hAnsi="Verdana" w:cs="Times New Roman"/>
          <w:b/>
          <w:bCs/>
          <w:lang w:val="es-ES"/>
        </w:rPr>
      </w:pPr>
    </w:p>
    <w:p w14:paraId="0E61F117" w14:textId="77777777" w:rsidR="001B3C5D" w:rsidRPr="001B3C5D" w:rsidRDefault="001B3C5D" w:rsidP="001B3C5D">
      <w:pPr>
        <w:spacing w:after="0" w:line="240" w:lineRule="auto"/>
        <w:rPr>
          <w:rFonts w:ascii="Verdana" w:eastAsia="Calibri" w:hAnsi="Verdana" w:cs="Times New Roman"/>
          <w:b/>
          <w:bCs/>
          <w:lang w:val="es-ES"/>
        </w:rPr>
      </w:pPr>
    </w:p>
    <w:p w14:paraId="5E6AAEA2" w14:textId="399F5CBA" w:rsidR="0055082D" w:rsidRDefault="0055082D">
      <w:pPr>
        <w:rPr>
          <w:rFonts w:ascii="Verdana" w:eastAsia="Calibri" w:hAnsi="Verdana" w:cs="Times New Roman"/>
          <w:b/>
          <w:bCs/>
          <w:lang w:val="es-ES"/>
        </w:rPr>
      </w:pPr>
      <w:r>
        <w:rPr>
          <w:rFonts w:ascii="Verdana" w:eastAsia="Calibri" w:hAnsi="Verdana" w:cs="Times New Roman"/>
          <w:b/>
          <w:bCs/>
          <w:lang w:val="es-ES"/>
        </w:rPr>
        <w:br w:type="page"/>
      </w:r>
    </w:p>
    <w:p w14:paraId="649DC876" w14:textId="06B5AE1D" w:rsidR="0041216B" w:rsidRDefault="009207C1" w:rsidP="001B3C5D">
      <w:pPr>
        <w:spacing w:after="0" w:line="278" w:lineRule="auto"/>
        <w:rPr>
          <w:rFonts w:ascii="Verdana" w:eastAsia="Aptos" w:hAnsi="Verdana" w:cs="Times New Roman"/>
          <w:kern w:val="2"/>
          <w14:ligatures w14:val="standardContextual"/>
        </w:rPr>
      </w:pPr>
      <w:r w:rsidRPr="009207C1">
        <w:rPr>
          <w:rFonts w:ascii="Verdana" w:eastAsia="Aptos" w:hAnsi="Verdana" w:cs="Times New Roman"/>
          <w:kern w:val="2"/>
          <w14:ligatures w14:val="standardContextual"/>
        </w:rPr>
        <w:lastRenderedPageBreak/>
        <w:t xml:space="preserve">Bogotá D.C., </w:t>
      </w:r>
      <w:r w:rsidR="00E313E5">
        <w:rPr>
          <w:rFonts w:ascii="Verdana" w:eastAsia="Aptos" w:hAnsi="Verdana" w:cs="Times New Roman"/>
          <w:kern w:val="2"/>
          <w14:ligatures w14:val="standardContextual"/>
        </w:rPr>
        <w:t>20 de mayo de 2026</w:t>
      </w:r>
    </w:p>
    <w:p w14:paraId="2F254A25" w14:textId="77777777" w:rsidR="00E313E5" w:rsidRDefault="00E313E5" w:rsidP="001B3C5D">
      <w:pPr>
        <w:spacing w:after="0" w:line="278" w:lineRule="auto"/>
        <w:rPr>
          <w:rFonts w:ascii="Verdana" w:eastAsia="Aptos" w:hAnsi="Verdana" w:cs="Times New Roman"/>
          <w:kern w:val="2"/>
          <w14:ligatures w14:val="standardContextual"/>
        </w:rPr>
      </w:pPr>
    </w:p>
    <w:p w14:paraId="6A7762D1" w14:textId="03E0CCE4" w:rsidR="00E313E5" w:rsidRDefault="00E313E5" w:rsidP="00E313E5">
      <w:pPr>
        <w:spacing w:after="0" w:line="278" w:lineRule="auto"/>
        <w:jc w:val="right"/>
        <w:rPr>
          <w:rFonts w:ascii="Verdana" w:eastAsia="Aptos" w:hAnsi="Verdana" w:cs="Times New Roman"/>
          <w:kern w:val="2"/>
          <w:sz w:val="24"/>
          <w:szCs w:val="24"/>
          <w14:ligatures w14:val="standardContextual"/>
        </w:rPr>
      </w:pPr>
      <w:r w:rsidRPr="00E313E5">
        <w:rPr>
          <w:rFonts w:ascii="Verdana" w:eastAsia="Aptos" w:hAnsi="Verdana" w:cs="Times New Roman"/>
          <w:kern w:val="2"/>
          <w:sz w:val="24"/>
          <w:szCs w:val="24"/>
          <w14:ligatures w14:val="standardContextual"/>
        </w:rPr>
        <w:drawing>
          <wp:inline distT="0" distB="0" distL="0" distR="0" wp14:anchorId="62210804" wp14:editId="283D5C58">
            <wp:extent cx="3629532" cy="1009791"/>
            <wp:effectExtent l="0" t="0" r="9525" b="0"/>
            <wp:docPr id="3019465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46548" name=""/>
                    <pic:cNvPicPr/>
                  </pic:nvPicPr>
                  <pic:blipFill>
                    <a:blip r:embed="rId10"/>
                    <a:stretch>
                      <a:fillRect/>
                    </a:stretch>
                  </pic:blipFill>
                  <pic:spPr>
                    <a:xfrm>
                      <a:off x="0" y="0"/>
                      <a:ext cx="3629532" cy="1009791"/>
                    </a:xfrm>
                    <a:prstGeom prst="rect">
                      <a:avLst/>
                    </a:prstGeom>
                  </pic:spPr>
                </pic:pic>
              </a:graphicData>
            </a:graphic>
          </wp:inline>
        </w:drawing>
      </w:r>
    </w:p>
    <w:p w14:paraId="747ECDF2" w14:textId="2385B7FE" w:rsidR="001B3C5D" w:rsidRDefault="001B3C5D" w:rsidP="0041216B">
      <w:pPr>
        <w:spacing w:after="0" w:line="278" w:lineRule="auto"/>
        <w:jc w:val="right"/>
        <w:rPr>
          <w:rFonts w:ascii="Verdana" w:eastAsia="Aptos" w:hAnsi="Verdana" w:cs="Times New Roman"/>
          <w:kern w:val="2"/>
          <w:sz w:val="24"/>
          <w:szCs w:val="24"/>
          <w14:ligatures w14:val="standardContextual"/>
        </w:rPr>
      </w:pPr>
    </w:p>
    <w:p w14:paraId="25B4BAFD" w14:textId="77777777" w:rsidR="00F766DC" w:rsidRPr="001B3C5D" w:rsidRDefault="00F766DC" w:rsidP="0041216B">
      <w:pPr>
        <w:spacing w:after="0" w:line="278" w:lineRule="auto"/>
        <w:jc w:val="right"/>
        <w:rPr>
          <w:rFonts w:ascii="Verdana" w:eastAsia="Aptos" w:hAnsi="Verdana" w:cs="Times New Roman"/>
          <w:kern w:val="2"/>
          <w:sz w:val="24"/>
          <w:szCs w:val="24"/>
          <w14:ligatures w14:val="standardContextual"/>
        </w:rPr>
      </w:pPr>
    </w:p>
    <w:p w14:paraId="3FAFAB22" w14:textId="3016A0FF" w:rsidR="001B3C5D" w:rsidRPr="001B3C5D" w:rsidRDefault="001B3C5D" w:rsidP="001B3C5D">
      <w:pPr>
        <w:spacing w:after="0" w:line="240" w:lineRule="auto"/>
        <w:rPr>
          <w:rFonts w:ascii="Verdana" w:eastAsia="Calibri" w:hAnsi="Verdana" w:cs="Arial"/>
          <w:kern w:val="2"/>
          <w:lang w:val="es-ES" w:eastAsia="es-ES"/>
          <w14:ligatures w14:val="standardContextual"/>
        </w:rPr>
      </w:pPr>
      <w:r w:rsidRPr="001B3C5D">
        <w:rPr>
          <w:rFonts w:ascii="Verdana" w:eastAsia="Calibri" w:hAnsi="Verdana" w:cs="Arial"/>
          <w:kern w:val="2"/>
          <w:lang w:val="es-ES" w:eastAsia="es-ES"/>
          <w14:ligatures w14:val="standardContextual"/>
        </w:rPr>
        <w:t>Señor</w:t>
      </w:r>
      <w:r w:rsidR="00181729">
        <w:rPr>
          <w:rFonts w:ascii="Verdana" w:eastAsia="Calibri" w:hAnsi="Verdana" w:cs="Arial"/>
          <w:kern w:val="2"/>
          <w:lang w:val="es-ES" w:eastAsia="es-ES"/>
          <w14:ligatures w14:val="standardContextual"/>
        </w:rPr>
        <w:t>a</w:t>
      </w:r>
    </w:p>
    <w:p w14:paraId="6B8A91A9" w14:textId="6EF90F9F" w:rsidR="00F9164A" w:rsidRPr="00F9164A" w:rsidRDefault="00F9164A" w:rsidP="00F9164A">
      <w:pPr>
        <w:spacing w:after="0" w:line="240" w:lineRule="auto"/>
        <w:rPr>
          <w:rFonts w:ascii="Verdana" w:eastAsia="Calibri" w:hAnsi="Verdana" w:cs="Arial"/>
          <w:b/>
          <w:bCs/>
          <w:kern w:val="2"/>
          <w:lang w:val="es-ES" w:eastAsia="es-ES"/>
          <w14:ligatures w14:val="standardContextual"/>
        </w:rPr>
      </w:pPr>
      <w:proofErr w:type="spellStart"/>
      <w:r w:rsidRPr="00F9164A">
        <w:rPr>
          <w:rFonts w:ascii="Verdana" w:eastAsia="Calibri" w:hAnsi="Verdana" w:cs="Arial"/>
          <w:b/>
          <w:bCs/>
          <w:kern w:val="2"/>
          <w:lang w:val="es-ES" w:eastAsia="es-ES"/>
          <w14:ligatures w14:val="standardContextual"/>
        </w:rPr>
        <w:t>Heidy</w:t>
      </w:r>
      <w:proofErr w:type="spellEnd"/>
      <w:r w:rsidRPr="00F9164A">
        <w:rPr>
          <w:rFonts w:ascii="Verdana" w:eastAsia="Calibri" w:hAnsi="Verdana" w:cs="Arial"/>
          <w:b/>
          <w:bCs/>
          <w:kern w:val="2"/>
          <w:lang w:val="es-ES" w:eastAsia="es-ES"/>
          <w14:ligatures w14:val="standardContextual"/>
        </w:rPr>
        <w:t xml:space="preserve"> Paola Villarroya Salgado</w:t>
      </w:r>
    </w:p>
    <w:p w14:paraId="76A7C8BC" w14:textId="7984494E" w:rsidR="00F9164A" w:rsidRPr="00F9164A" w:rsidRDefault="00F9164A" w:rsidP="00F9164A">
      <w:pPr>
        <w:spacing w:after="0" w:line="240" w:lineRule="auto"/>
        <w:rPr>
          <w:rFonts w:ascii="Verdana" w:eastAsia="Calibri" w:hAnsi="Verdana" w:cs="Arial"/>
          <w:kern w:val="2"/>
          <w:lang w:val="es-ES" w:eastAsia="es-ES"/>
          <w14:ligatures w14:val="standardContextual"/>
        </w:rPr>
      </w:pPr>
      <w:hyperlink r:id="rId11" w:history="1">
        <w:r w:rsidRPr="00F9164A">
          <w:rPr>
            <w:rStyle w:val="Hipervnculo"/>
            <w:rFonts w:ascii="Verdana" w:eastAsia="Calibri" w:hAnsi="Verdana" w:cs="Arial"/>
            <w:kern w:val="2"/>
            <w:lang w:val="es-ES" w:eastAsia="es-ES"/>
            <w14:ligatures w14:val="standardContextual"/>
          </w:rPr>
          <w:t>heidyvisa@gmail.com</w:t>
        </w:r>
      </w:hyperlink>
    </w:p>
    <w:p w14:paraId="62D0C98A" w14:textId="716DD8E8" w:rsidR="001B3C5D" w:rsidRPr="001B3C5D" w:rsidRDefault="00F9164A" w:rsidP="00F9164A">
      <w:pPr>
        <w:spacing w:after="0" w:line="240" w:lineRule="auto"/>
        <w:rPr>
          <w:rFonts w:ascii="Verdana" w:eastAsia="Calibri" w:hAnsi="Verdana" w:cs="Arial"/>
          <w:lang w:val="es-ES_tradnl" w:eastAsia="es-ES_tradnl"/>
        </w:rPr>
      </w:pPr>
      <w:r>
        <w:rPr>
          <w:rFonts w:ascii="Verdana" w:eastAsia="Calibri" w:hAnsi="Verdana" w:cs="Arial"/>
          <w:kern w:val="2"/>
          <w:lang w:val="es-ES" w:eastAsia="es-ES"/>
          <w14:ligatures w14:val="standardContextual"/>
        </w:rPr>
        <w:t>Cartagena</w:t>
      </w:r>
      <w:r w:rsidR="001B3C5D" w:rsidRPr="001B3C5D">
        <w:rPr>
          <w:rFonts w:ascii="Verdana" w:eastAsia="Calibri" w:hAnsi="Verdana" w:cs="Arial"/>
          <w:kern w:val="2"/>
          <w:lang w:val="es-ES" w:eastAsia="es-ES"/>
          <w14:ligatures w14:val="standardContextual"/>
        </w:rPr>
        <w:t xml:space="preserve">, </w:t>
      </w:r>
      <w:r>
        <w:rPr>
          <w:rFonts w:ascii="Verdana" w:eastAsia="Calibri" w:hAnsi="Verdana" w:cs="Arial"/>
          <w:kern w:val="2"/>
          <w:lang w:val="es-ES" w:eastAsia="es-ES"/>
          <w14:ligatures w14:val="standardContextual"/>
        </w:rPr>
        <w:t>Bolivar</w:t>
      </w:r>
    </w:p>
    <w:p w14:paraId="7ED09669" w14:textId="77777777" w:rsidR="001B3C5D" w:rsidRDefault="001B3C5D" w:rsidP="001B3C5D">
      <w:pPr>
        <w:spacing w:after="0" w:line="240" w:lineRule="auto"/>
        <w:rPr>
          <w:rFonts w:ascii="Verdana" w:eastAsia="Calibri" w:hAnsi="Verdana" w:cs="Arial"/>
          <w:b/>
          <w:bCs/>
          <w:lang w:val="es-ES_tradnl" w:eastAsia="es-ES_tradnl"/>
        </w:rPr>
      </w:pPr>
    </w:p>
    <w:p w14:paraId="044F0FF7" w14:textId="77777777" w:rsidR="00F766DC" w:rsidRDefault="00F766DC" w:rsidP="001B3C5D">
      <w:pPr>
        <w:spacing w:after="0" w:line="240" w:lineRule="auto"/>
        <w:rPr>
          <w:rFonts w:ascii="Verdana" w:eastAsia="Calibri" w:hAnsi="Verdana" w:cs="Arial"/>
          <w:b/>
          <w:bCs/>
          <w:lang w:val="es-ES_tradnl" w:eastAsia="es-ES_tradnl"/>
        </w:rPr>
      </w:pPr>
    </w:p>
    <w:p w14:paraId="50C9EA06" w14:textId="77777777" w:rsidR="00F766DC" w:rsidRPr="001B3C5D" w:rsidRDefault="00F766DC" w:rsidP="001B3C5D">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1B3C5D" w:rsidRPr="001B3C5D" w14:paraId="4819957A" w14:textId="77777777" w:rsidTr="009A7AFB">
        <w:trPr>
          <w:trHeight w:val="229"/>
        </w:trPr>
        <w:tc>
          <w:tcPr>
            <w:tcW w:w="1985" w:type="dxa"/>
          </w:tcPr>
          <w:p w14:paraId="4FC24697" w14:textId="77777777" w:rsidR="001B3C5D" w:rsidRDefault="001B3C5D" w:rsidP="001B3C5D">
            <w:pPr>
              <w:jc w:val="both"/>
              <w:rPr>
                <w:rFonts w:ascii="Verdana" w:eastAsia="Calibri" w:hAnsi="Verdana" w:cs="Arial"/>
                <w:b/>
                <w:bCs/>
                <w:lang w:val="es-ES_tradnl" w:eastAsia="es-ES_tradnl"/>
              </w:rPr>
            </w:pPr>
          </w:p>
          <w:p w14:paraId="23272DD6" w14:textId="77777777" w:rsidR="00F766DC" w:rsidRPr="001B3C5D" w:rsidRDefault="00F766DC" w:rsidP="001B3C5D">
            <w:pPr>
              <w:jc w:val="both"/>
              <w:rPr>
                <w:rFonts w:ascii="Verdana" w:eastAsia="Calibri" w:hAnsi="Verdana" w:cs="Arial"/>
                <w:b/>
                <w:bCs/>
                <w:lang w:val="es-ES_tradnl" w:eastAsia="es-ES_tradnl"/>
              </w:rPr>
            </w:pPr>
          </w:p>
        </w:tc>
        <w:tc>
          <w:tcPr>
            <w:tcW w:w="6383" w:type="dxa"/>
          </w:tcPr>
          <w:p w14:paraId="31162F9A" w14:textId="0FA6E949" w:rsidR="001B3C5D" w:rsidRPr="001B3C5D" w:rsidRDefault="001B3C5D" w:rsidP="001B3C5D">
            <w:pPr>
              <w:jc w:val="both"/>
              <w:rPr>
                <w:rFonts w:ascii="Verdana" w:eastAsia="Calibri" w:hAnsi="Verdana" w:cs="Arial"/>
                <w:b/>
                <w:bCs/>
                <w:lang w:val="es-ES" w:eastAsia="es-ES"/>
              </w:rPr>
            </w:pPr>
            <w:r w:rsidRPr="001B3C5D">
              <w:rPr>
                <w:rFonts w:ascii="Verdana" w:eastAsia="Calibri" w:hAnsi="Verdana" w:cs="Arial"/>
                <w:b/>
                <w:bCs/>
                <w:lang w:val="es-ES" w:eastAsia="es-ES"/>
              </w:rPr>
              <w:t>Concepto C–</w:t>
            </w:r>
            <w:r w:rsidR="00742867">
              <w:rPr>
                <w:rFonts w:ascii="Verdana" w:eastAsia="Calibri" w:hAnsi="Verdana" w:cs="Arial"/>
                <w:b/>
                <w:bCs/>
                <w:lang w:val="es-ES" w:eastAsia="es-ES"/>
              </w:rPr>
              <w:t>5</w:t>
            </w:r>
            <w:r w:rsidR="00F613D2">
              <w:rPr>
                <w:rFonts w:ascii="Verdana" w:eastAsia="Calibri" w:hAnsi="Verdana" w:cs="Arial"/>
                <w:b/>
                <w:bCs/>
                <w:lang w:val="es-ES" w:eastAsia="es-ES"/>
              </w:rPr>
              <w:t>62</w:t>
            </w:r>
            <w:r w:rsidRPr="001B3C5D">
              <w:rPr>
                <w:rFonts w:ascii="Verdana" w:eastAsia="Calibri" w:hAnsi="Verdana" w:cs="Arial"/>
                <w:b/>
                <w:bCs/>
                <w:lang w:val="es-ES" w:eastAsia="es-ES"/>
              </w:rPr>
              <w:t xml:space="preserve"> de 2026</w:t>
            </w:r>
          </w:p>
          <w:p w14:paraId="3B2CFE03" w14:textId="77777777" w:rsidR="001B3C5D" w:rsidRPr="001B3C5D" w:rsidRDefault="001B3C5D" w:rsidP="001B3C5D">
            <w:pPr>
              <w:jc w:val="both"/>
              <w:rPr>
                <w:rFonts w:ascii="Verdana" w:eastAsia="Calibri" w:hAnsi="Verdana" w:cs="Arial"/>
                <w:b/>
                <w:bCs/>
                <w:lang w:val="es-ES" w:eastAsia="es-ES"/>
              </w:rPr>
            </w:pPr>
          </w:p>
        </w:tc>
      </w:tr>
      <w:tr w:rsidR="001B3C5D" w:rsidRPr="001B3C5D" w14:paraId="4D6F9F8C" w14:textId="77777777" w:rsidTr="009A7AFB">
        <w:trPr>
          <w:trHeight w:val="884"/>
        </w:trPr>
        <w:tc>
          <w:tcPr>
            <w:tcW w:w="1985" w:type="dxa"/>
          </w:tcPr>
          <w:p w14:paraId="188841BD" w14:textId="77777777" w:rsidR="001B3C5D" w:rsidRPr="001B3C5D" w:rsidRDefault="001B3C5D" w:rsidP="001B3C5D">
            <w:pPr>
              <w:jc w:val="both"/>
              <w:rPr>
                <w:rFonts w:ascii="Verdana" w:eastAsia="Calibri" w:hAnsi="Verdana" w:cs="Arial"/>
                <w:lang w:val="es-ES_tradnl" w:eastAsia="es-ES_tradnl"/>
              </w:rPr>
            </w:pPr>
            <w:r w:rsidRPr="001B3C5D">
              <w:rPr>
                <w:rFonts w:ascii="Verdana" w:eastAsia="Calibri" w:hAnsi="Verdana" w:cs="Arial"/>
                <w:b/>
                <w:lang w:val="es-ES_tradnl" w:eastAsia="es-ES_tradnl"/>
              </w:rPr>
              <w:t>Temas:</w:t>
            </w:r>
            <w:r w:rsidRPr="001B3C5D">
              <w:rPr>
                <w:rFonts w:ascii="Verdana" w:eastAsia="Calibri" w:hAnsi="Verdana" w:cs="Arial"/>
                <w:lang w:val="es-ES_tradnl" w:eastAsia="es-ES_tradnl"/>
              </w:rPr>
              <w:t xml:space="preserve">                   </w:t>
            </w:r>
          </w:p>
        </w:tc>
        <w:tc>
          <w:tcPr>
            <w:tcW w:w="6383" w:type="dxa"/>
          </w:tcPr>
          <w:p w14:paraId="3E4EB006" w14:textId="77777777" w:rsidR="001B3C5D" w:rsidRPr="001B3C5D" w:rsidRDefault="001B3C5D" w:rsidP="001B3C5D">
            <w:pPr>
              <w:widowControl w:val="0"/>
              <w:autoSpaceDE w:val="0"/>
              <w:autoSpaceDN w:val="0"/>
              <w:jc w:val="both"/>
              <w:rPr>
                <w:rFonts w:ascii="Verdana" w:eastAsia="Calibri" w:hAnsi="Verdana" w:cs="Times New Roman"/>
                <w:lang w:val="es-ES"/>
              </w:rPr>
            </w:pPr>
            <w:r w:rsidRPr="001B3C5D">
              <w:rPr>
                <w:rFonts w:ascii="Verdana" w:eastAsia="Calibri" w:hAnsi="Verdana" w:cs="Arial"/>
                <w:lang w:val="es-ES_tradnl"/>
              </w:rPr>
              <w:t xml:space="preserve">DOCUMENTOS TIPO – Fundamento normativo – Obligatoriedad / DOCUMENTOS TIPO – Adopción – Implementación / DOCUMENTOS TIPO – Sectores – Vigentes / DOCUMENTOS TIPO – Colombia Compra Eficiente – Facultad de estandarización / </w:t>
            </w:r>
            <w:r w:rsidRPr="001B3C5D">
              <w:rPr>
                <w:rFonts w:ascii="Verdana" w:eastAsia="Calibri" w:hAnsi="Verdana" w:cs="Times New Roman"/>
                <w:lang w:val="es-ES"/>
              </w:rPr>
              <w:t>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 DOCUMENTOS TIPO – Decreto 287 de 2026 – Modificación – Colombia Compra Eficiente</w:t>
            </w:r>
          </w:p>
          <w:p w14:paraId="6BC3B124" w14:textId="77777777" w:rsidR="001B3C5D" w:rsidRPr="001B3C5D" w:rsidRDefault="001B3C5D" w:rsidP="001B3C5D">
            <w:pPr>
              <w:widowControl w:val="0"/>
              <w:autoSpaceDE w:val="0"/>
              <w:autoSpaceDN w:val="0"/>
              <w:jc w:val="both"/>
              <w:rPr>
                <w:rFonts w:ascii="Verdana" w:eastAsia="Calibri" w:hAnsi="Verdana" w:cs="Times New Roman"/>
                <w:highlight w:val="yellow"/>
                <w:lang w:val="es-ES"/>
              </w:rPr>
            </w:pPr>
          </w:p>
        </w:tc>
      </w:tr>
      <w:tr w:rsidR="001B3C5D" w:rsidRPr="001B3C5D" w14:paraId="23BC0E35" w14:textId="77777777" w:rsidTr="009A7AFB">
        <w:tc>
          <w:tcPr>
            <w:tcW w:w="1985" w:type="dxa"/>
          </w:tcPr>
          <w:p w14:paraId="4E48A63C" w14:textId="77777777" w:rsidR="001B3C5D" w:rsidRPr="001B3C5D" w:rsidRDefault="001B3C5D" w:rsidP="001B3C5D">
            <w:pPr>
              <w:jc w:val="both"/>
              <w:rPr>
                <w:rFonts w:ascii="Verdana" w:eastAsia="Calibri" w:hAnsi="Verdana" w:cs="Arial"/>
                <w:b/>
                <w:lang w:val="es-ES_tradnl" w:eastAsia="es-ES_tradnl"/>
              </w:rPr>
            </w:pPr>
            <w:r w:rsidRPr="001B3C5D">
              <w:rPr>
                <w:rFonts w:ascii="Verdana" w:eastAsia="Calibri" w:hAnsi="Verdana" w:cs="Arial"/>
                <w:b/>
                <w:lang w:val="es-ES_tradnl" w:eastAsia="es-ES_tradnl"/>
              </w:rPr>
              <w:t>Radicación:</w:t>
            </w:r>
            <w:r w:rsidRPr="001B3C5D">
              <w:rPr>
                <w:rFonts w:ascii="Verdana" w:eastAsia="Calibri" w:hAnsi="Verdana" w:cs="Arial"/>
                <w:lang w:val="es-ES_tradnl" w:eastAsia="es-ES_tradnl"/>
              </w:rPr>
              <w:t xml:space="preserve">               </w:t>
            </w:r>
          </w:p>
        </w:tc>
        <w:tc>
          <w:tcPr>
            <w:tcW w:w="6383" w:type="dxa"/>
          </w:tcPr>
          <w:p w14:paraId="541E269C" w14:textId="6E1852E3" w:rsidR="001B3C5D" w:rsidRPr="001B3C5D" w:rsidRDefault="001B3C5D" w:rsidP="001B3C5D">
            <w:pPr>
              <w:ind w:left="3" w:hanging="3"/>
              <w:jc w:val="both"/>
              <w:rPr>
                <w:rFonts w:ascii="Verdana" w:eastAsia="Calibri" w:hAnsi="Verdana" w:cs="Arial"/>
                <w:lang w:val="es-ES_tradnl" w:eastAsia="es-ES_tradnl"/>
              </w:rPr>
            </w:pPr>
            <w:r w:rsidRPr="001B3C5D">
              <w:rPr>
                <w:rFonts w:ascii="Verdana" w:eastAsia="Calibri" w:hAnsi="Verdana" w:cs="Arial"/>
                <w:lang w:val="es-ES_tradnl" w:eastAsia="es-ES_tradnl"/>
              </w:rPr>
              <w:t xml:space="preserve">Respuesta a consulta con radicado No. </w:t>
            </w:r>
            <w:r w:rsidR="004238A7" w:rsidRPr="004238A7">
              <w:rPr>
                <w:rFonts w:ascii="Verdana" w:eastAsia="Calibri" w:hAnsi="Verdana" w:cs="Arial"/>
                <w:lang w:val="es-ES_tradnl" w:eastAsia="es-ES_tradnl"/>
              </w:rPr>
              <w:t>1_2026_04_08_004770</w:t>
            </w:r>
          </w:p>
        </w:tc>
      </w:tr>
    </w:tbl>
    <w:p w14:paraId="0079D170" w14:textId="77777777" w:rsidR="001B3C5D" w:rsidRPr="001B3C5D" w:rsidRDefault="001B3C5D" w:rsidP="001B3C5D">
      <w:pPr>
        <w:spacing w:after="0" w:line="240" w:lineRule="auto"/>
        <w:jc w:val="both"/>
        <w:rPr>
          <w:rFonts w:ascii="Verdana" w:eastAsia="Calibri" w:hAnsi="Verdana" w:cs="Arial"/>
          <w:lang w:val="es-ES_tradnl" w:eastAsia="es-ES_tradnl"/>
        </w:rPr>
      </w:pPr>
    </w:p>
    <w:p w14:paraId="5C64626B" w14:textId="6C00687C" w:rsidR="001B3C5D" w:rsidRPr="001B3C5D" w:rsidRDefault="001B3C5D" w:rsidP="001B3C5D">
      <w:pPr>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lastRenderedPageBreak/>
        <w:t>Estimad</w:t>
      </w:r>
      <w:r w:rsidR="00444372">
        <w:rPr>
          <w:rFonts w:ascii="Verdana" w:eastAsia="Calibri" w:hAnsi="Verdana" w:cs="Arial"/>
          <w:lang w:val="es-ES" w:eastAsia="es-ES"/>
        </w:rPr>
        <w:t>a</w:t>
      </w:r>
      <w:r w:rsidRPr="001B3C5D">
        <w:rPr>
          <w:rFonts w:ascii="Verdana" w:eastAsia="Calibri" w:hAnsi="Verdana" w:cs="Arial"/>
          <w:lang w:val="es-ES" w:eastAsia="es-ES"/>
        </w:rPr>
        <w:t xml:space="preserve"> señor</w:t>
      </w:r>
      <w:r w:rsidR="00444372">
        <w:rPr>
          <w:rFonts w:ascii="Verdana" w:eastAsia="Calibri" w:hAnsi="Verdana" w:cs="Arial"/>
          <w:lang w:val="es-ES" w:eastAsia="es-ES"/>
        </w:rPr>
        <w:t>a</w:t>
      </w:r>
      <w:r w:rsidRPr="001B3C5D">
        <w:rPr>
          <w:rFonts w:ascii="Verdana" w:eastAsia="Calibri" w:hAnsi="Verdana" w:cs="Arial"/>
          <w:lang w:val="es-ES" w:eastAsia="es-ES"/>
        </w:rPr>
        <w:t xml:space="preserve"> </w:t>
      </w:r>
      <w:r w:rsidR="008D0A43">
        <w:rPr>
          <w:rFonts w:ascii="Verdana" w:eastAsia="Calibri" w:hAnsi="Verdana" w:cs="Arial"/>
          <w:kern w:val="2"/>
          <w:lang w:val="es-ES" w:eastAsia="es-ES"/>
          <w14:ligatures w14:val="standardContextual"/>
        </w:rPr>
        <w:t>Villarroya</w:t>
      </w:r>
      <w:r w:rsidRPr="001B3C5D">
        <w:rPr>
          <w:rFonts w:ascii="Verdana" w:eastAsia="Calibri" w:hAnsi="Verdana" w:cs="Arial"/>
          <w:kern w:val="2"/>
          <w:lang w:eastAsia="es-ES_tradnl"/>
          <w14:ligatures w14:val="standardContextual"/>
        </w:rPr>
        <w:t>:</w:t>
      </w:r>
      <w:r w:rsidRPr="001B3C5D">
        <w:rPr>
          <w:rFonts w:ascii="Verdana" w:eastAsia="Calibri" w:hAnsi="Verdana" w:cs="Arial"/>
          <w:lang w:val="es-ES" w:eastAsia="es-ES"/>
        </w:rPr>
        <w:t xml:space="preserve"> </w:t>
      </w:r>
    </w:p>
    <w:p w14:paraId="12208D93" w14:textId="77777777" w:rsidR="001B3C5D" w:rsidRPr="001B3C5D" w:rsidRDefault="001B3C5D" w:rsidP="001B3C5D">
      <w:pPr>
        <w:tabs>
          <w:tab w:val="left" w:pos="3768"/>
        </w:tabs>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t xml:space="preserve"> </w:t>
      </w:r>
    </w:p>
    <w:p w14:paraId="05E3F229" w14:textId="08E86E49" w:rsidR="001B3C5D" w:rsidRPr="001B3C5D" w:rsidRDefault="001B3C5D" w:rsidP="001B3C5D">
      <w:pPr>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t>En ejercicio de la competencia otorgada por los artículos 3, numeral 5º, y 11, numeral 8º, del Decreto Ley 4170 de 2011,</w:t>
      </w:r>
      <w:r w:rsidRPr="001B3C5D">
        <w:rPr>
          <w:rFonts w:ascii="Verdana" w:eastAsia="Arial MT" w:hAnsi="Verdana" w:cs="Arial MT"/>
          <w:lang w:val="es-ES" w:eastAsia="es-ES"/>
        </w:rPr>
        <w:t xml:space="preserve"> </w:t>
      </w:r>
      <w:r w:rsidRPr="001B3C5D">
        <w:rPr>
          <w:rFonts w:ascii="Verdana" w:eastAsia="Calibri" w:hAnsi="Verdana" w:cs="Arial"/>
        </w:rPr>
        <w:t xml:space="preserve">así como lo establecido en la Resolución No. 469 del 2025 expedida por esta Entidad, </w:t>
      </w:r>
      <w:r w:rsidRPr="001B3C5D">
        <w:rPr>
          <w:rFonts w:ascii="Verdana" w:eastAsia="Calibri" w:hAnsi="Verdana" w:cs="Arial"/>
          <w:lang w:val="es-ES" w:eastAsia="es-ES"/>
        </w:rPr>
        <w:t xml:space="preserve">la Agencia Nacional de Contratación Pública – Colombia Compra Eficiente– responde su solicitud de consulta del </w:t>
      </w:r>
      <w:r w:rsidR="004238A7">
        <w:rPr>
          <w:rFonts w:ascii="Verdana" w:eastAsia="Calibri" w:hAnsi="Verdana" w:cs="Arial"/>
          <w:lang w:val="es-ES" w:eastAsia="es-ES"/>
        </w:rPr>
        <w:t>8</w:t>
      </w:r>
      <w:r w:rsidRPr="001B3C5D">
        <w:rPr>
          <w:rFonts w:ascii="Verdana" w:eastAsia="Calibri" w:hAnsi="Verdana" w:cs="Arial"/>
          <w:lang w:val="es-ES" w:eastAsia="es-ES"/>
        </w:rPr>
        <w:t xml:space="preserve"> de </w:t>
      </w:r>
      <w:r w:rsidR="00444372">
        <w:rPr>
          <w:rFonts w:ascii="Verdana" w:eastAsia="Calibri" w:hAnsi="Verdana" w:cs="Arial"/>
          <w:lang w:val="es-ES" w:eastAsia="es-ES"/>
        </w:rPr>
        <w:t>abril</w:t>
      </w:r>
      <w:r w:rsidRPr="001B3C5D">
        <w:rPr>
          <w:rFonts w:ascii="Verdana" w:eastAsia="Calibri" w:hAnsi="Verdana" w:cs="Arial"/>
          <w:lang w:val="es-ES" w:eastAsia="es-ES"/>
        </w:rPr>
        <w:t xml:space="preserve"> de 2026, en la cuales manifiesta lo siguiente:</w:t>
      </w:r>
    </w:p>
    <w:p w14:paraId="14CDB363" w14:textId="77777777" w:rsidR="001B3C5D" w:rsidRPr="001B3C5D" w:rsidRDefault="001B3C5D" w:rsidP="001B3C5D">
      <w:pPr>
        <w:spacing w:after="0" w:line="276" w:lineRule="auto"/>
        <w:jc w:val="both"/>
        <w:rPr>
          <w:rFonts w:ascii="Verdana" w:eastAsia="Calibri" w:hAnsi="Verdana" w:cs="Arial"/>
          <w:lang w:val="es-ES" w:eastAsia="es-ES"/>
        </w:rPr>
      </w:pPr>
    </w:p>
    <w:p w14:paraId="3D3459C3" w14:textId="1B338600" w:rsidR="00FC0AD1" w:rsidRPr="00FC0AD1" w:rsidRDefault="001B3C5D" w:rsidP="00FC0AD1">
      <w:pPr>
        <w:spacing w:after="0" w:line="240" w:lineRule="auto"/>
        <w:ind w:left="709" w:right="709"/>
        <w:jc w:val="both"/>
        <w:rPr>
          <w:rFonts w:ascii="Verdana" w:eastAsia="Aptos" w:hAnsi="Verdana" w:cs="Times New Roman"/>
          <w:kern w:val="2"/>
          <w:sz w:val="21"/>
          <w:szCs w:val="21"/>
          <w14:ligatures w14:val="standardContextual"/>
        </w:rPr>
      </w:pPr>
      <w:r w:rsidRPr="008015CC">
        <w:rPr>
          <w:rFonts w:ascii="Verdana" w:eastAsia="Aptos" w:hAnsi="Verdana" w:cs="Helvetica"/>
          <w:color w:val="000000"/>
          <w:sz w:val="21"/>
          <w:szCs w:val="21"/>
          <w14:ligatures w14:val="standardContextual"/>
        </w:rPr>
        <w:t>“</w:t>
      </w:r>
      <w:r w:rsidR="00FC0AD1" w:rsidRPr="00FC0AD1">
        <w:rPr>
          <w:rFonts w:ascii="Verdana" w:eastAsia="Aptos" w:hAnsi="Verdana" w:cs="Times New Roman"/>
          <w:kern w:val="2"/>
          <w:sz w:val="21"/>
          <w:szCs w:val="21"/>
          <w14:ligatures w14:val="standardContextual"/>
        </w:rPr>
        <w:t>Como entidad estatal hemos publicado proyecto de pliego de condiciones</w:t>
      </w:r>
      <w:r w:rsidR="00FC0AD1">
        <w:rPr>
          <w:rFonts w:ascii="Verdana" w:eastAsia="Aptos" w:hAnsi="Verdana" w:cs="Times New Roman"/>
          <w:kern w:val="2"/>
          <w:sz w:val="21"/>
          <w:szCs w:val="21"/>
          <w14:ligatures w14:val="standardContextual"/>
        </w:rPr>
        <w:t xml:space="preserve"> </w:t>
      </w:r>
      <w:r w:rsidR="00FC0AD1" w:rsidRPr="00FC0AD1">
        <w:rPr>
          <w:rFonts w:ascii="Verdana" w:eastAsia="Aptos" w:hAnsi="Verdana" w:cs="Times New Roman"/>
          <w:kern w:val="2"/>
          <w:sz w:val="21"/>
          <w:szCs w:val="21"/>
          <w14:ligatures w14:val="standardContextual"/>
        </w:rPr>
        <w:t>de licitación para obra pública siguiendo los documentos tipo que rigen</w:t>
      </w:r>
      <w:r w:rsidR="00FC0AD1">
        <w:rPr>
          <w:rFonts w:ascii="Verdana" w:eastAsia="Aptos" w:hAnsi="Verdana" w:cs="Times New Roman"/>
          <w:kern w:val="2"/>
          <w:sz w:val="21"/>
          <w:szCs w:val="21"/>
          <w14:ligatures w14:val="standardContextual"/>
        </w:rPr>
        <w:t xml:space="preserve"> </w:t>
      </w:r>
      <w:r w:rsidR="00FC0AD1" w:rsidRPr="00FC0AD1">
        <w:rPr>
          <w:rFonts w:ascii="Verdana" w:eastAsia="Aptos" w:hAnsi="Verdana" w:cs="Times New Roman"/>
          <w:kern w:val="2"/>
          <w:sz w:val="21"/>
          <w:szCs w:val="21"/>
          <w14:ligatures w14:val="standardContextual"/>
        </w:rPr>
        <w:t>desde el 16 de febrero de 2026.</w:t>
      </w:r>
    </w:p>
    <w:p w14:paraId="54741E2A" w14:textId="2CD2B30A" w:rsidR="00FC0AD1" w:rsidRPr="00FC0AD1" w:rsidRDefault="00FC0AD1" w:rsidP="00FC0AD1">
      <w:pPr>
        <w:spacing w:after="0" w:line="240" w:lineRule="auto"/>
        <w:ind w:left="709" w:right="709"/>
        <w:jc w:val="both"/>
        <w:rPr>
          <w:rFonts w:ascii="Verdana" w:eastAsia="Aptos" w:hAnsi="Verdana" w:cs="Times New Roman"/>
          <w:kern w:val="2"/>
          <w:sz w:val="21"/>
          <w:szCs w:val="21"/>
          <w14:ligatures w14:val="standardContextual"/>
        </w:rPr>
      </w:pPr>
      <w:r w:rsidRPr="00FC0AD1">
        <w:rPr>
          <w:rFonts w:ascii="Verdana" w:eastAsia="Aptos" w:hAnsi="Verdana" w:cs="Times New Roman"/>
          <w:kern w:val="2"/>
          <w:sz w:val="21"/>
          <w:szCs w:val="21"/>
          <w14:ligatures w14:val="standardContextual"/>
        </w:rPr>
        <w:t>Sin embargo se observa que el decreto 287 del 19 de marzo de 2026 es</w:t>
      </w:r>
      <w:r>
        <w:rPr>
          <w:rFonts w:ascii="Verdana" w:eastAsia="Aptos" w:hAnsi="Verdana" w:cs="Times New Roman"/>
          <w:kern w:val="2"/>
          <w:sz w:val="21"/>
          <w:szCs w:val="21"/>
          <w14:ligatures w14:val="standardContextual"/>
        </w:rPr>
        <w:t xml:space="preserve"> </w:t>
      </w:r>
      <w:r w:rsidRPr="00FC0AD1">
        <w:rPr>
          <w:rFonts w:ascii="Verdana" w:eastAsia="Aptos" w:hAnsi="Verdana" w:cs="Times New Roman"/>
          <w:kern w:val="2"/>
          <w:sz w:val="21"/>
          <w:szCs w:val="21"/>
          <w14:ligatures w14:val="standardContextual"/>
        </w:rPr>
        <w:t>de obligatorio cumplimiento a partir del día siguiente de su expedición.</w:t>
      </w:r>
    </w:p>
    <w:p w14:paraId="35641DC7" w14:textId="6C57E930" w:rsidR="00FC0AD1" w:rsidRPr="00FC0AD1" w:rsidRDefault="00FC0AD1" w:rsidP="00FC0AD1">
      <w:pPr>
        <w:spacing w:after="0" w:line="240" w:lineRule="auto"/>
        <w:ind w:left="709" w:right="709"/>
        <w:jc w:val="both"/>
        <w:rPr>
          <w:rFonts w:ascii="Verdana" w:eastAsia="Aptos" w:hAnsi="Verdana" w:cs="Times New Roman"/>
          <w:kern w:val="2"/>
          <w:sz w:val="21"/>
          <w:szCs w:val="21"/>
          <w14:ligatures w14:val="standardContextual"/>
        </w:rPr>
      </w:pPr>
      <w:r w:rsidRPr="00FC0AD1">
        <w:rPr>
          <w:rFonts w:ascii="Verdana" w:eastAsia="Aptos" w:hAnsi="Verdana" w:cs="Times New Roman"/>
          <w:kern w:val="2"/>
          <w:sz w:val="21"/>
          <w:szCs w:val="21"/>
          <w14:ligatures w14:val="standardContextual"/>
        </w:rPr>
        <w:t>Se consulta si debemos modificar el pliego tipo como entidad estatal para</w:t>
      </w:r>
      <w:r>
        <w:rPr>
          <w:rFonts w:ascii="Verdana" w:eastAsia="Aptos" w:hAnsi="Verdana" w:cs="Times New Roman"/>
          <w:kern w:val="2"/>
          <w:sz w:val="21"/>
          <w:szCs w:val="21"/>
          <w14:ligatures w14:val="standardContextual"/>
        </w:rPr>
        <w:t xml:space="preserve"> </w:t>
      </w:r>
      <w:r w:rsidRPr="00FC0AD1">
        <w:rPr>
          <w:rFonts w:ascii="Verdana" w:eastAsia="Aptos" w:hAnsi="Verdana" w:cs="Times New Roman"/>
          <w:kern w:val="2"/>
          <w:sz w:val="21"/>
          <w:szCs w:val="21"/>
          <w14:ligatures w14:val="standardContextual"/>
        </w:rPr>
        <w:t>darle aplicación inmediata al decreto, lo cual afecta en gran parte</w:t>
      </w:r>
    </w:p>
    <w:p w14:paraId="5CD7374E" w14:textId="77777777" w:rsidR="00FC0AD1" w:rsidRPr="00FC0AD1" w:rsidRDefault="00FC0AD1" w:rsidP="00FC0AD1">
      <w:pPr>
        <w:spacing w:after="0" w:line="240" w:lineRule="auto"/>
        <w:ind w:left="709" w:right="709"/>
        <w:jc w:val="both"/>
        <w:rPr>
          <w:rFonts w:ascii="Verdana" w:eastAsia="Aptos" w:hAnsi="Verdana" w:cs="Times New Roman"/>
          <w:kern w:val="2"/>
          <w:sz w:val="21"/>
          <w:szCs w:val="21"/>
          <w14:ligatures w14:val="standardContextual"/>
        </w:rPr>
      </w:pPr>
      <w:r w:rsidRPr="00FC0AD1">
        <w:rPr>
          <w:rFonts w:ascii="Verdana" w:eastAsia="Aptos" w:hAnsi="Verdana" w:cs="Times New Roman"/>
          <w:kern w:val="2"/>
          <w:sz w:val="21"/>
          <w:szCs w:val="21"/>
          <w14:ligatures w14:val="standardContextual"/>
        </w:rPr>
        <w:t>factores definidos en los documentos tipo, o, si no podemos aplicar el</w:t>
      </w:r>
    </w:p>
    <w:p w14:paraId="47718746" w14:textId="77777777" w:rsidR="00FC0AD1" w:rsidRPr="00FC0AD1" w:rsidRDefault="00FC0AD1" w:rsidP="00FC0AD1">
      <w:pPr>
        <w:spacing w:after="0" w:line="240" w:lineRule="auto"/>
        <w:ind w:left="709" w:right="709"/>
        <w:jc w:val="both"/>
        <w:rPr>
          <w:rFonts w:ascii="Verdana" w:eastAsia="Aptos" w:hAnsi="Verdana" w:cs="Times New Roman"/>
          <w:kern w:val="2"/>
          <w:sz w:val="21"/>
          <w:szCs w:val="21"/>
          <w14:ligatures w14:val="standardContextual"/>
        </w:rPr>
      </w:pPr>
      <w:r w:rsidRPr="00FC0AD1">
        <w:rPr>
          <w:rFonts w:ascii="Verdana" w:eastAsia="Aptos" w:hAnsi="Verdana" w:cs="Times New Roman"/>
          <w:kern w:val="2"/>
          <w:sz w:val="21"/>
          <w:szCs w:val="21"/>
          <w14:ligatures w14:val="standardContextual"/>
        </w:rPr>
        <w:t>decreto 287 de 2026 hasta tanto Colombia Compra lo incorpore en sus</w:t>
      </w:r>
    </w:p>
    <w:p w14:paraId="695F5D65" w14:textId="77777777" w:rsidR="00FC0AD1" w:rsidRPr="00FC0AD1" w:rsidRDefault="00FC0AD1" w:rsidP="00FC0AD1">
      <w:pPr>
        <w:spacing w:after="0" w:line="240" w:lineRule="auto"/>
        <w:ind w:left="709" w:right="709"/>
        <w:jc w:val="both"/>
        <w:rPr>
          <w:rFonts w:ascii="Verdana" w:eastAsia="Aptos" w:hAnsi="Verdana" w:cs="Times New Roman"/>
          <w:kern w:val="2"/>
          <w:sz w:val="21"/>
          <w:szCs w:val="21"/>
          <w14:ligatures w14:val="standardContextual"/>
        </w:rPr>
      </w:pPr>
      <w:r w:rsidRPr="00FC0AD1">
        <w:rPr>
          <w:rFonts w:ascii="Verdana" w:eastAsia="Aptos" w:hAnsi="Verdana" w:cs="Times New Roman"/>
          <w:kern w:val="2"/>
          <w:sz w:val="21"/>
          <w:szCs w:val="21"/>
          <w14:ligatures w14:val="standardContextual"/>
        </w:rPr>
        <w:t>documentos tal como lo señala el artículo 2.2.1.2.4.2.7.8. del decreto 287:</w:t>
      </w:r>
    </w:p>
    <w:p w14:paraId="3267A20D" w14:textId="227F60C6" w:rsidR="001B3C5D" w:rsidRPr="008015CC" w:rsidRDefault="00FC0AD1" w:rsidP="00FC0AD1">
      <w:pPr>
        <w:spacing w:after="0" w:line="240" w:lineRule="auto"/>
        <w:ind w:left="709" w:right="709"/>
        <w:jc w:val="both"/>
        <w:rPr>
          <w:rFonts w:ascii="Verdana" w:eastAsia="Aptos" w:hAnsi="Verdana" w:cs="Times New Roman"/>
          <w:kern w:val="2"/>
          <w:sz w:val="21"/>
          <w:szCs w:val="21"/>
          <w14:ligatures w14:val="standardContextual"/>
        </w:rPr>
      </w:pPr>
      <w:r w:rsidRPr="00FC0AD1">
        <w:rPr>
          <w:rFonts w:ascii="Verdana" w:eastAsia="Aptos" w:hAnsi="Verdana" w:cs="Times New Roman"/>
          <w:kern w:val="2"/>
          <w:sz w:val="21"/>
          <w:szCs w:val="21"/>
          <w14:ligatures w14:val="standardContextual"/>
        </w:rPr>
        <w:t>"Pliegos tipo, instrumentos de agregación de demanda y acuerdos marco</w:t>
      </w:r>
      <w:r>
        <w:rPr>
          <w:rFonts w:ascii="Verdana" w:eastAsia="Aptos" w:hAnsi="Verdana" w:cs="Times New Roman"/>
          <w:kern w:val="2"/>
          <w:sz w:val="21"/>
          <w:szCs w:val="21"/>
          <w14:ligatures w14:val="standardContextual"/>
        </w:rPr>
        <w:t xml:space="preserve"> </w:t>
      </w:r>
      <w:r w:rsidRPr="00FC0AD1">
        <w:rPr>
          <w:rFonts w:ascii="Verdana" w:eastAsia="Aptos" w:hAnsi="Verdana" w:cs="Times New Roman"/>
          <w:kern w:val="2"/>
          <w:sz w:val="21"/>
          <w:szCs w:val="21"/>
          <w14:ligatures w14:val="standardContextual"/>
        </w:rPr>
        <w:t>de precios. La Agencia Nacional de Contratación Pública -Colombia</w:t>
      </w:r>
      <w:r>
        <w:rPr>
          <w:rFonts w:ascii="Verdana" w:eastAsia="Aptos" w:hAnsi="Verdana" w:cs="Times New Roman"/>
          <w:kern w:val="2"/>
          <w:sz w:val="21"/>
          <w:szCs w:val="21"/>
          <w14:ligatures w14:val="standardContextual"/>
        </w:rPr>
        <w:t xml:space="preserve"> </w:t>
      </w:r>
      <w:r w:rsidRPr="00FC0AD1">
        <w:rPr>
          <w:rFonts w:ascii="Verdana" w:eastAsia="Aptos" w:hAnsi="Verdana" w:cs="Times New Roman"/>
          <w:kern w:val="2"/>
          <w:sz w:val="21"/>
          <w:szCs w:val="21"/>
          <w14:ligatures w14:val="standardContextual"/>
        </w:rPr>
        <w:t>Compra Eficiente garantizará la adopción permanente de las acciones</w:t>
      </w:r>
      <w:r>
        <w:rPr>
          <w:rFonts w:ascii="Verdana" w:eastAsia="Aptos" w:hAnsi="Verdana" w:cs="Times New Roman"/>
          <w:kern w:val="2"/>
          <w:sz w:val="21"/>
          <w:szCs w:val="21"/>
          <w14:ligatures w14:val="standardContextual"/>
        </w:rPr>
        <w:t xml:space="preserve"> </w:t>
      </w:r>
      <w:r w:rsidRPr="00FC0AD1">
        <w:rPr>
          <w:rFonts w:ascii="Verdana" w:eastAsia="Aptos" w:hAnsi="Verdana" w:cs="Times New Roman"/>
          <w:kern w:val="2"/>
          <w:sz w:val="21"/>
          <w:szCs w:val="21"/>
          <w14:ligatures w14:val="standardContextual"/>
        </w:rPr>
        <w:t>necesarias para que las medidas señaladas en esta subsección se</w:t>
      </w:r>
      <w:r>
        <w:rPr>
          <w:rFonts w:ascii="Verdana" w:eastAsia="Aptos" w:hAnsi="Verdana" w:cs="Times New Roman"/>
          <w:kern w:val="2"/>
          <w:sz w:val="21"/>
          <w:szCs w:val="21"/>
          <w14:ligatures w14:val="standardContextual"/>
        </w:rPr>
        <w:t xml:space="preserve"> </w:t>
      </w:r>
      <w:r w:rsidRPr="00FC0AD1">
        <w:rPr>
          <w:rFonts w:ascii="Verdana" w:eastAsia="Aptos" w:hAnsi="Verdana" w:cs="Times New Roman"/>
          <w:kern w:val="2"/>
          <w:sz w:val="21"/>
          <w:szCs w:val="21"/>
          <w14:ligatures w14:val="standardContextual"/>
        </w:rPr>
        <w:t>incorporen a los documentos e instrumentos que genera</w:t>
      </w:r>
      <w:r w:rsidR="001B3C5D" w:rsidRPr="008015CC">
        <w:rPr>
          <w:rFonts w:ascii="Verdana" w:eastAsia="Aptos" w:hAnsi="Verdana" w:cs="Times New Roman"/>
          <w:kern w:val="2"/>
          <w:sz w:val="21"/>
          <w:szCs w:val="21"/>
          <w14:ligatures w14:val="standardContextual"/>
        </w:rPr>
        <w:t>”.</w:t>
      </w:r>
    </w:p>
    <w:p w14:paraId="4CC09255" w14:textId="77777777" w:rsidR="001B3C5D" w:rsidRPr="001B3C5D" w:rsidRDefault="001B3C5D" w:rsidP="001B3C5D">
      <w:pPr>
        <w:spacing w:after="0" w:line="276" w:lineRule="auto"/>
        <w:jc w:val="both"/>
        <w:rPr>
          <w:rFonts w:ascii="Verdana" w:eastAsia="Calibri" w:hAnsi="Verdana" w:cs="Arial"/>
          <w:lang w:val="es-ES" w:eastAsia="es-ES"/>
        </w:rPr>
      </w:pPr>
    </w:p>
    <w:p w14:paraId="12BA96E8" w14:textId="77777777" w:rsidR="001B3C5D" w:rsidRPr="001B3C5D" w:rsidRDefault="001B3C5D" w:rsidP="001B3C5D">
      <w:pPr>
        <w:spacing w:after="120" w:line="276" w:lineRule="auto"/>
        <w:ind w:firstLine="709"/>
        <w:jc w:val="both"/>
        <w:rPr>
          <w:rFonts w:ascii="Verdana" w:eastAsia="Calibri" w:hAnsi="Verdana" w:cs="Arial"/>
          <w:color w:val="000000"/>
          <w:lang w:val="es-ES" w:eastAsia="es-ES"/>
        </w:rPr>
      </w:pPr>
      <w:r w:rsidRPr="001B3C5D">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B3BF576" w14:textId="77777777" w:rsidR="001B3C5D" w:rsidRPr="001B3C5D" w:rsidRDefault="001B3C5D" w:rsidP="001B3C5D">
      <w:pPr>
        <w:spacing w:after="0" w:line="276" w:lineRule="auto"/>
        <w:ind w:firstLine="709"/>
        <w:jc w:val="both"/>
        <w:rPr>
          <w:rFonts w:ascii="Verdana" w:eastAsia="Calibri" w:hAnsi="Verdana" w:cs="Arial"/>
          <w:color w:val="000000"/>
          <w:lang w:val="es-ES" w:eastAsia="es-ES"/>
        </w:rPr>
      </w:pPr>
      <w:r w:rsidRPr="001B3C5D">
        <w:rPr>
          <w:rFonts w:ascii="Verdana" w:eastAsia="Calibri" w:hAnsi="Verdana" w:cs="Arial"/>
          <w:color w:val="000000"/>
          <w:lang w:val="es-ES" w:eastAsia="es-ES"/>
        </w:rPr>
        <w:lastRenderedPageBreak/>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problema</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jurídico</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 xml:space="preserve">de su consulta. </w:t>
      </w:r>
    </w:p>
    <w:p w14:paraId="664465AA" w14:textId="77777777" w:rsidR="001B3C5D" w:rsidRPr="001B3C5D" w:rsidRDefault="001B3C5D" w:rsidP="001B3C5D">
      <w:pPr>
        <w:tabs>
          <w:tab w:val="left" w:pos="142"/>
          <w:tab w:val="left" w:pos="284"/>
        </w:tabs>
        <w:spacing w:after="0" w:line="276" w:lineRule="auto"/>
        <w:contextualSpacing/>
        <w:jc w:val="both"/>
        <w:rPr>
          <w:rFonts w:ascii="Verdana" w:eastAsia="Century Gothic" w:hAnsi="Verdana" w:cs="Century Gothic"/>
          <w:b/>
          <w:bCs/>
          <w:lang w:val="es-ES"/>
        </w:rPr>
      </w:pPr>
    </w:p>
    <w:p w14:paraId="68FD14A1" w14:textId="77777777" w:rsidR="001B3C5D" w:rsidRPr="001B3C5D" w:rsidRDefault="001B3C5D" w:rsidP="001B3C5D">
      <w:pPr>
        <w:tabs>
          <w:tab w:val="left" w:pos="142"/>
          <w:tab w:val="left" w:pos="284"/>
        </w:tabs>
        <w:spacing w:after="0" w:line="276" w:lineRule="auto"/>
        <w:contextualSpacing/>
        <w:jc w:val="both"/>
        <w:rPr>
          <w:rFonts w:ascii="Verdana" w:eastAsia="Century Gothic" w:hAnsi="Verdana" w:cs="Century Gothic"/>
          <w:b/>
          <w:bCs/>
          <w:lang w:val="es-ES"/>
        </w:rPr>
      </w:pPr>
      <w:r w:rsidRPr="001B3C5D">
        <w:rPr>
          <w:rFonts w:ascii="Verdana" w:eastAsia="Century Gothic" w:hAnsi="Verdana" w:cs="Century Gothic"/>
          <w:b/>
          <w:bCs/>
          <w:lang w:val="es-ES"/>
        </w:rPr>
        <w:t>1. Problema planteado:</w:t>
      </w:r>
    </w:p>
    <w:p w14:paraId="500D5794" w14:textId="77777777" w:rsidR="001B3C5D" w:rsidRPr="001B3C5D" w:rsidRDefault="001B3C5D" w:rsidP="001B3C5D">
      <w:pPr>
        <w:tabs>
          <w:tab w:val="left" w:pos="426"/>
        </w:tabs>
        <w:spacing w:after="0" w:line="276" w:lineRule="auto"/>
        <w:jc w:val="both"/>
        <w:rPr>
          <w:rFonts w:ascii="Verdana" w:eastAsia="Century Gothic" w:hAnsi="Verdana" w:cs="Century Gothic"/>
          <w:lang w:val="es-ES"/>
        </w:rPr>
      </w:pPr>
    </w:p>
    <w:p w14:paraId="2AE5A29B" w14:textId="24CED007" w:rsidR="001B3C5D" w:rsidRPr="001B3C5D" w:rsidRDefault="001B3C5D" w:rsidP="001B3C5D">
      <w:pPr>
        <w:spacing w:after="0" w:line="276" w:lineRule="auto"/>
        <w:jc w:val="both"/>
        <w:rPr>
          <w:rFonts w:ascii="Verdana" w:eastAsia="Calibri" w:hAnsi="Verdana" w:cs="Arial"/>
          <w:bCs/>
          <w:lang w:val="es-ES_tradnl" w:eastAsia="es-ES_tradnl"/>
        </w:rPr>
      </w:pPr>
      <w:r w:rsidRPr="001B3C5D">
        <w:rPr>
          <w:rFonts w:ascii="Verdana" w:eastAsia="Century Gothic" w:hAnsi="Verdana" w:cs="Century Gothic"/>
        </w:rPr>
        <w:t xml:space="preserve">De acuerdo con el contenido de su solicitud, esta Agencia resolverá </w:t>
      </w:r>
      <w:r w:rsidR="00281802">
        <w:rPr>
          <w:rFonts w:ascii="Verdana" w:eastAsia="Century Gothic" w:hAnsi="Verdana" w:cs="Century Gothic"/>
        </w:rPr>
        <w:t>el</w:t>
      </w:r>
      <w:r w:rsidRPr="001B3C5D">
        <w:rPr>
          <w:rFonts w:ascii="Verdana" w:eastAsia="Century Gothic" w:hAnsi="Verdana" w:cs="Century Gothic"/>
        </w:rPr>
        <w:t xml:space="preserve"> siguiente problema jurídico:</w:t>
      </w:r>
      <w:r w:rsidR="00281802">
        <w:rPr>
          <w:rFonts w:ascii="Verdana" w:eastAsia="Century Gothic" w:hAnsi="Verdana" w:cs="Century Gothic"/>
        </w:rPr>
        <w:t xml:space="preserve"> </w:t>
      </w:r>
      <w:r w:rsidRPr="001B3C5D">
        <w:rPr>
          <w:rFonts w:ascii="Verdana" w:eastAsia="Calibri" w:hAnsi="Verdana" w:cs="Arial"/>
          <w:bCs/>
          <w:lang w:val="es-ES_tradnl" w:eastAsia="es-ES_tradnl"/>
        </w:rPr>
        <w:t>¿</w:t>
      </w:r>
      <w:r w:rsidR="003366C1">
        <w:rPr>
          <w:rFonts w:ascii="Verdana" w:eastAsia="Calibri" w:hAnsi="Verdana" w:cs="Arial"/>
          <w:bCs/>
          <w:lang w:val="es-ES_tradnl" w:eastAsia="es-ES_tradnl"/>
        </w:rPr>
        <w:t>Cómo se aplica el</w:t>
      </w:r>
      <w:r w:rsidRPr="001B3C5D">
        <w:rPr>
          <w:rFonts w:ascii="Verdana" w:eastAsia="Calibri" w:hAnsi="Verdana" w:cs="Arial"/>
          <w:bCs/>
          <w:lang w:val="es-ES_tradnl" w:eastAsia="es-ES_tradnl"/>
        </w:rPr>
        <w:t xml:space="preserve"> </w:t>
      </w:r>
      <w:r w:rsidR="003366C1" w:rsidRPr="001B3C5D">
        <w:rPr>
          <w:rFonts w:ascii="Verdana" w:eastAsia="Calibri" w:hAnsi="Verdana" w:cs="Arial"/>
          <w:bCs/>
          <w:lang w:val="es-ES_tradnl" w:eastAsia="es-ES_tradnl"/>
        </w:rPr>
        <w:t>Decreto 287 de 2026</w:t>
      </w:r>
      <w:r w:rsidR="003366C1">
        <w:rPr>
          <w:rFonts w:ascii="Verdana" w:eastAsia="Calibri" w:hAnsi="Verdana" w:cs="Arial"/>
          <w:bCs/>
          <w:lang w:val="es-ES_tradnl" w:eastAsia="es-ES_tradnl"/>
        </w:rPr>
        <w:t xml:space="preserve"> a</w:t>
      </w:r>
      <w:r w:rsidR="003366C1" w:rsidRPr="001B3C5D">
        <w:rPr>
          <w:rFonts w:ascii="Verdana" w:eastAsia="Calibri" w:hAnsi="Verdana" w:cs="Arial"/>
          <w:bCs/>
          <w:lang w:val="es-ES_tradnl" w:eastAsia="es-ES_tradnl"/>
        </w:rPr>
        <w:t xml:space="preserve"> </w:t>
      </w:r>
      <w:r w:rsidRPr="001B3C5D">
        <w:rPr>
          <w:rFonts w:ascii="Verdana" w:eastAsia="Calibri" w:hAnsi="Verdana" w:cs="Arial"/>
          <w:bCs/>
          <w:lang w:val="es-ES_tradnl" w:eastAsia="es-ES_tradnl"/>
        </w:rPr>
        <w:t xml:space="preserve">los documentos tipo expedidos por la Agencia Nacional de Contratación Pública – Colombia Compra Eficiente? </w:t>
      </w:r>
    </w:p>
    <w:p w14:paraId="469BE5FB" w14:textId="77777777" w:rsidR="001B3C5D" w:rsidRPr="001B3C5D" w:rsidRDefault="001B3C5D" w:rsidP="001B3C5D">
      <w:pPr>
        <w:spacing w:after="0" w:line="276" w:lineRule="auto"/>
        <w:jc w:val="both"/>
        <w:rPr>
          <w:rFonts w:ascii="Verdana" w:eastAsia="Century Gothic" w:hAnsi="Verdana" w:cs="Century Gothic"/>
          <w:lang w:val="es-ES_tradnl"/>
        </w:rPr>
      </w:pPr>
    </w:p>
    <w:p w14:paraId="65D2A792" w14:textId="61F10B8A" w:rsidR="001B3C5D" w:rsidRPr="001B3C5D" w:rsidRDefault="001B3C5D" w:rsidP="001B3C5D">
      <w:pPr>
        <w:tabs>
          <w:tab w:val="left" w:pos="142"/>
          <w:tab w:val="left" w:pos="284"/>
        </w:tabs>
        <w:spacing w:after="0" w:line="276" w:lineRule="auto"/>
        <w:contextualSpacing/>
        <w:jc w:val="both"/>
        <w:rPr>
          <w:rFonts w:ascii="Verdana" w:eastAsia="Century Gothic" w:hAnsi="Verdana" w:cs="Century Gothic"/>
          <w:b/>
          <w:bCs/>
          <w:lang w:val="es-ES"/>
        </w:rPr>
      </w:pPr>
      <w:r w:rsidRPr="001B3C5D">
        <w:rPr>
          <w:rFonts w:ascii="Verdana" w:eastAsia="Century Gothic" w:hAnsi="Verdana" w:cs="Century Gothic"/>
          <w:b/>
          <w:bCs/>
          <w:lang w:val="es-ES"/>
        </w:rPr>
        <w:t>2. Respuesta:</w:t>
      </w:r>
    </w:p>
    <w:p w14:paraId="5D7380A0" w14:textId="77777777" w:rsidR="001B3C5D" w:rsidRPr="001B3C5D" w:rsidRDefault="001B3C5D" w:rsidP="001B3C5D">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B3C5D" w:rsidRPr="001B3C5D" w14:paraId="56B299E7" w14:textId="77777777" w:rsidTr="009A7AFB">
        <w:trPr>
          <w:trHeight w:val="40"/>
        </w:trPr>
        <w:tc>
          <w:tcPr>
            <w:tcW w:w="8828" w:type="dxa"/>
            <w:tcBorders>
              <w:top w:val="dotted" w:sz="4" w:space="0" w:color="auto"/>
              <w:left w:val="dotted" w:sz="4" w:space="0" w:color="auto"/>
              <w:bottom w:val="dotted" w:sz="4" w:space="0" w:color="auto"/>
              <w:right w:val="dotted" w:sz="4" w:space="0" w:color="auto"/>
            </w:tcBorders>
          </w:tcPr>
          <w:p w14:paraId="331A6C3E" w14:textId="307D2CF2" w:rsidR="001B3C5D" w:rsidRPr="001B3C5D" w:rsidRDefault="001B3C5D" w:rsidP="001B3C5D">
            <w:pPr>
              <w:spacing w:line="276" w:lineRule="auto"/>
              <w:jc w:val="both"/>
              <w:rPr>
                <w:rFonts w:ascii="Aptos" w:eastAsia="Aptos" w:hAnsi="Aptos" w:cs="Times New Roman"/>
                <w:lang w:val="es-MX"/>
              </w:rPr>
            </w:pPr>
            <w:r w:rsidRPr="001B3C5D">
              <w:rPr>
                <w:rFonts w:ascii="Verdana" w:eastAsia="Aptos" w:hAnsi="Verdana" w:cs="Times New Roman"/>
                <w:lang w:val="es-ES"/>
              </w:rPr>
              <w:t>El artículo 1 de la Ley 2022 de 2020</w:t>
            </w:r>
            <w:r w:rsidRPr="001B3C5D">
              <w:rPr>
                <w:rFonts w:ascii="Aptos" w:eastAsia="Aptos" w:hAnsi="Aptos" w:cs="Times New Roman"/>
                <w:lang w:val="es-ES"/>
              </w:rPr>
              <w:t xml:space="preserve"> </w:t>
            </w:r>
            <w:r w:rsidRPr="001B3C5D">
              <w:rPr>
                <w:rFonts w:ascii="Verdana" w:eastAsia="Calibri" w:hAnsi="Verdana" w:cs="Arial"/>
                <w:color w:val="00000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7B75281" w14:textId="77777777" w:rsidR="001B3C5D" w:rsidRPr="001B3C5D" w:rsidRDefault="001B3C5D" w:rsidP="001B3C5D">
            <w:pPr>
              <w:spacing w:before="120" w:after="120" w:line="276" w:lineRule="auto"/>
              <w:ind w:firstLine="360"/>
              <w:jc w:val="both"/>
              <w:rPr>
                <w:rFonts w:ascii="Verdana" w:eastAsia="Calibri" w:hAnsi="Verdana" w:cs="Arial"/>
                <w:color w:val="000000"/>
                <w:lang w:val="es-MX"/>
              </w:rPr>
            </w:pPr>
            <w:r w:rsidRPr="001B3C5D">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6EE4D961" w14:textId="77777777" w:rsidR="001B3C5D" w:rsidRPr="001B3C5D" w:rsidRDefault="001B3C5D" w:rsidP="001B3C5D">
            <w:pPr>
              <w:spacing w:before="120" w:after="120" w:line="276" w:lineRule="auto"/>
              <w:ind w:firstLine="642"/>
              <w:jc w:val="both"/>
              <w:rPr>
                <w:rFonts w:ascii="Verdana" w:eastAsia="Aptos" w:hAnsi="Verdana" w:cs="Arial"/>
                <w:lang w:val="es-ES"/>
              </w:rPr>
            </w:pPr>
            <w:r w:rsidRPr="001B3C5D">
              <w:rPr>
                <w:rFonts w:ascii="Verdana" w:eastAsia="Calibri" w:hAnsi="Verdana" w:cs="Arial"/>
                <w:color w:val="000000"/>
                <w:lang w:val="es-MX"/>
              </w:rPr>
              <w:t xml:space="preserve">Con la finalidad de realizar un desarrollo armónico y ajustado a la ley que otorga esta competencia, la Agencia Nacional de Contratación Pública </w:t>
            </w:r>
            <w:r w:rsidRPr="001B3C5D">
              <w:rPr>
                <w:rFonts w:ascii="Verdana" w:eastAsia="Calibri" w:hAnsi="Verdana" w:cs="Arial"/>
                <w:color w:val="000000"/>
                <w:lang w:val="es-MX"/>
              </w:rPr>
              <w:lastRenderedPageBreak/>
              <w:t xml:space="preserve">expidió la Resolución 160 del 15 de septiembre de 2020 “Por la cual se adopta el procedimiento para implementar los documentos tipo y se define el sistema para su revisión”. Asimismo, con fundamento en dicha Ley, se </w:t>
            </w:r>
            <w:r w:rsidRPr="001B3C5D">
              <w:rPr>
                <w:rFonts w:ascii="Verdana" w:eastAsia="Aptos" w:hAnsi="Verdana" w:cs="Arial"/>
                <w:lang w:val="es-ES"/>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5C74591F" w14:textId="77777777" w:rsidR="001B3C5D" w:rsidRPr="001B3C5D" w:rsidRDefault="001B3C5D" w:rsidP="001B3C5D">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 xml:space="preserve">Ahora bien, como se explicó, la Ley 2022 de 2020 facultó a la Agencia Nacional de Contratación Pública – Colombia Compra Eficiente para adoptar documentos tipo. De este modo, la intención del legislador fue otorgarle esta facultad al ente rector del Sistema de Compra Pública. </w:t>
            </w:r>
          </w:p>
          <w:p w14:paraId="768BCFE7" w14:textId="77777777" w:rsidR="001B3C5D" w:rsidRPr="001B3C5D" w:rsidRDefault="001B3C5D" w:rsidP="001B3C5D">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Al respecto, la jurisprudencia constitucional ha reconocido a los organismos y a las autoridades que “en la jerarquía administrativa lo suceden al presidente de la República, una cierta competencia regulativa, de carácter residual, accesoria o auxiliar, que los habilita para insertar la voluntad del legislador en las últimas posibilidades de aplicación de la norma general</w:t>
            </w:r>
            <w:r w:rsidRPr="001B3C5D">
              <w:rPr>
                <w:rFonts w:ascii="Verdana" w:eastAsia="Times New Roman" w:hAnsi="Verdana" w:cs="Arial"/>
                <w:i/>
                <w:iCs/>
                <w:vertAlign w:val="superscript"/>
                <w:lang w:eastAsia="es-MX"/>
              </w:rPr>
              <w:footnoteReference w:id="1"/>
            </w:r>
            <w:r w:rsidRPr="001B3C5D">
              <w:rPr>
                <w:rFonts w:ascii="Verdana" w:eastAsia="Times New Roman" w:hAnsi="Verdana" w:cs="Arial"/>
                <w:lang w:eastAsia="es-MX"/>
              </w:rPr>
              <w:t>”</w:t>
            </w:r>
            <w:r w:rsidRPr="001B3C5D">
              <w:rPr>
                <w:rFonts w:ascii="Verdana" w:eastAsia="Times New Roman" w:hAnsi="Verdana" w:cs="Arial"/>
                <w:i/>
                <w:iCs/>
                <w:lang w:eastAsia="es-MX"/>
              </w:rPr>
              <w:t>.</w:t>
            </w:r>
            <w:r w:rsidRPr="001B3C5D">
              <w:rPr>
                <w:rFonts w:ascii="Verdana" w:eastAsia="Times New Roman" w:hAnsi="Verdana" w:cs="Arial"/>
                <w:lang w:eastAsia="es-MX"/>
              </w:rPr>
              <w:t xml:space="preserve"> Además, el Consejo de Estado, Sección Primera, en la Sentencia del 29 de abril de 2015, expediente 6.096, indicó que es posible que ley atribuya facultades reglamentarias a otras autoridades administrativas, particularmente a los ministerios, sin que se entienda disminuida la potestad reglamentaria del presidente de la República</w:t>
            </w:r>
            <w:r w:rsidRPr="001B3C5D">
              <w:rPr>
                <w:rFonts w:ascii="Verdana" w:eastAsia="Times New Roman" w:hAnsi="Verdana" w:cs="Arial"/>
                <w:vertAlign w:val="superscript"/>
                <w:lang w:eastAsia="es-MX"/>
              </w:rPr>
              <w:footnoteReference w:id="2"/>
            </w:r>
            <w:r w:rsidRPr="001B3C5D">
              <w:rPr>
                <w:rFonts w:ascii="Verdana" w:eastAsia="Times New Roman" w:hAnsi="Verdana" w:cs="Arial"/>
                <w:lang w:eastAsia="es-MX"/>
              </w:rPr>
              <w:t xml:space="preserve">. </w:t>
            </w:r>
          </w:p>
          <w:p w14:paraId="6CB3C25B" w14:textId="77777777" w:rsidR="001B3C5D" w:rsidRPr="001B3C5D" w:rsidRDefault="001B3C5D" w:rsidP="001B3C5D">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 xml:space="preserve">En efecto, la Corte Constitucional, en Sentencia C-1005 de 2008, expresó que “la justificación de esta asignación de regulación gradual consiste en que precisamente son los organismos administrativos los depositarios de información relacionada de manera directa e inmediata con el funcionamiento </w:t>
            </w:r>
            <w:r w:rsidRPr="001B3C5D">
              <w:rPr>
                <w:rFonts w:ascii="Verdana" w:eastAsia="Times New Roman" w:hAnsi="Verdana" w:cs="Arial"/>
                <w:lang w:eastAsia="es-MX"/>
              </w:rPr>
              <w:lastRenderedPageBreak/>
              <w:t>práctico de las herramientas de creación legislativa”</w:t>
            </w:r>
            <w:r w:rsidRPr="001B3C5D">
              <w:rPr>
                <w:rFonts w:ascii="Verdana" w:eastAsia="Times New Roman" w:hAnsi="Verdana" w:cs="Arial"/>
                <w:vertAlign w:val="superscript"/>
                <w:lang w:eastAsia="es-MX"/>
              </w:rPr>
              <w:footnoteReference w:id="3"/>
            </w:r>
            <w:r w:rsidRPr="001B3C5D">
              <w:rPr>
                <w:rFonts w:ascii="Verdana" w:eastAsia="Times New Roman" w:hAnsi="Verdana" w:cs="Arial"/>
                <w:lang w:eastAsia="es-MX"/>
              </w:rPr>
              <w:t>, lo que implica que sean 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1B3C5D">
              <w:rPr>
                <w:rFonts w:ascii="Verdana" w:eastAsia="Times New Roman" w:hAnsi="Verdana" w:cs="Arial"/>
                <w:vertAlign w:val="superscript"/>
                <w:lang w:eastAsia="es-MX"/>
              </w:rPr>
              <w:footnoteReference w:id="4"/>
            </w:r>
            <w:r w:rsidRPr="001B3C5D">
              <w:rPr>
                <w:rFonts w:ascii="Verdana" w:eastAsia="Times New Roman" w:hAnsi="Verdana" w:cs="Arial"/>
                <w:lang w:eastAsia="es-MX"/>
              </w:rPr>
              <w:t>.</w:t>
            </w:r>
          </w:p>
          <w:p w14:paraId="47341D69" w14:textId="77777777" w:rsidR="001B3C5D" w:rsidRPr="001B3C5D" w:rsidRDefault="001B3C5D" w:rsidP="001B3C5D">
            <w:pPr>
              <w:spacing w:line="276" w:lineRule="auto"/>
              <w:ind w:firstLine="708"/>
              <w:jc w:val="both"/>
              <w:rPr>
                <w:rFonts w:ascii="Verdana" w:eastAsia="Times New Roman" w:hAnsi="Verdana" w:cs="Arial"/>
                <w:lang w:eastAsia="es-CO"/>
              </w:rPr>
            </w:pPr>
            <w:r w:rsidRPr="001B3C5D">
              <w:rPr>
                <w:rFonts w:ascii="Verdana" w:eastAsia="Times New Roman" w:hAnsi="Verdana" w:cs="Arial"/>
                <w:lang w:eastAsia="es-CO"/>
              </w:rPr>
              <w:t xml:space="preserve">En este sentido, atendiendo lo previsto en el artículo 1 la Ley 2022 de 2020, </w:t>
            </w:r>
            <w:r w:rsidRPr="001B3C5D">
              <w:rPr>
                <w:rFonts w:ascii="Verdana" w:eastAsia="Times New Roman" w:hAnsi="Verdana" w:cs="Arial"/>
                <w:lang w:eastAsia="es-ES"/>
              </w:rPr>
              <w:t>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al Departamento Nacional de Planeación</w:t>
            </w:r>
            <w:r w:rsidRPr="001B3C5D">
              <w:rPr>
                <w:rFonts w:ascii="Verdana" w:eastAsia="Calibri" w:hAnsi="Verdana" w:cs="Arial"/>
                <w:vertAlign w:val="superscript"/>
                <w:lang w:eastAsia="es-CO"/>
              </w:rPr>
              <w:footnoteReference w:id="5"/>
            </w:r>
            <w:r w:rsidRPr="001B3C5D">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1B3C5D">
              <w:rPr>
                <w:rFonts w:ascii="Verdana" w:eastAsia="Times New Roman" w:hAnsi="Verdana" w:cs="Arial"/>
                <w:lang w:eastAsia="es-CO"/>
              </w:rPr>
              <w:t xml:space="preserve"> Decreto Ley 4170 de 2011, en el que se otorgó la función de:</w:t>
            </w:r>
          </w:p>
          <w:p w14:paraId="355924D4" w14:textId="77777777" w:rsidR="001B3C5D" w:rsidRPr="001B3C5D" w:rsidRDefault="001B3C5D" w:rsidP="001B3C5D">
            <w:pPr>
              <w:jc w:val="both"/>
              <w:rPr>
                <w:rFonts w:ascii="Verdana" w:eastAsia="Times New Roman" w:hAnsi="Verdana" w:cs="Arial"/>
                <w:lang w:eastAsia="es-CO"/>
              </w:rPr>
            </w:pPr>
          </w:p>
          <w:p w14:paraId="37E6B122" w14:textId="77777777" w:rsidR="001B3C5D" w:rsidRPr="001B3C5D" w:rsidRDefault="001B3C5D" w:rsidP="001B3C5D">
            <w:pPr>
              <w:ind w:left="709" w:right="709"/>
              <w:jc w:val="both"/>
              <w:rPr>
                <w:rFonts w:ascii="Verdana" w:eastAsia="Times New Roman" w:hAnsi="Verdana" w:cs="Arial"/>
                <w:sz w:val="21"/>
                <w:szCs w:val="21"/>
                <w:lang w:eastAsia="es-CO"/>
              </w:rPr>
            </w:pPr>
            <w:r w:rsidRPr="001B3C5D">
              <w:rPr>
                <w:rFonts w:ascii="Verdana" w:eastAsia="Times New Roman" w:hAnsi="Verdana" w:cs="Arial"/>
                <w:sz w:val="21"/>
                <w:szCs w:val="21"/>
                <w:u w:val="single"/>
                <w:lang w:eastAsia="es-CO"/>
              </w:rPr>
              <w:t>“Desarrollar,</w:t>
            </w:r>
            <w:r w:rsidRPr="001B3C5D">
              <w:rPr>
                <w:rFonts w:ascii="Verdana" w:eastAsia="Times New Roman" w:hAnsi="Verdana" w:cs="Arial"/>
                <w:sz w:val="21"/>
                <w:szCs w:val="21"/>
                <w:lang w:eastAsia="es-CO"/>
              </w:rPr>
              <w:t xml:space="preserve"> </w:t>
            </w:r>
            <w:r w:rsidRPr="001B3C5D">
              <w:rPr>
                <w:rFonts w:ascii="Verdana" w:eastAsia="Times New Roman" w:hAnsi="Verdana" w:cs="Arial"/>
                <w:sz w:val="21"/>
                <w:szCs w:val="21"/>
                <w:u w:val="single"/>
                <w:lang w:eastAsia="es-CO"/>
              </w:rPr>
              <w:t>implementar y difundir</w:t>
            </w:r>
            <w:r w:rsidRPr="001B3C5D">
              <w:rPr>
                <w:rFonts w:ascii="Verdana" w:eastAsia="Times New Roman" w:hAnsi="Verdana" w:cs="Arial"/>
                <w:sz w:val="21"/>
                <w:szCs w:val="21"/>
                <w:lang w:eastAsia="es-CO"/>
              </w:rPr>
              <w:t xml:space="preserve"> las políticas públicas, planes, programas, </w:t>
            </w:r>
            <w:r w:rsidRPr="001B3C5D">
              <w:rPr>
                <w:rFonts w:ascii="Verdana" w:eastAsia="Times New Roman" w:hAnsi="Verdana" w:cs="Arial"/>
                <w:sz w:val="21"/>
                <w:szCs w:val="21"/>
                <w:u w:val="single"/>
                <w:lang w:eastAsia="es-CO"/>
              </w:rPr>
              <w:t>normas, instrumentos y herramientas</w:t>
            </w:r>
            <w:r w:rsidRPr="001B3C5D">
              <w:rPr>
                <w:rFonts w:ascii="Verdana" w:eastAsia="Times New Roman" w:hAnsi="Verdana" w:cs="Arial"/>
                <w:sz w:val="21"/>
                <w:szCs w:val="21"/>
                <w:lang w:eastAsia="es-CO"/>
              </w:rPr>
              <w:t xml:space="preserve"> que faciliten las compras y contratación pública del Estado y promuevan las mejores prácticas, la eficiencia, transparencia y competitividad </w:t>
            </w:r>
            <w:proofErr w:type="gramStart"/>
            <w:r w:rsidRPr="001B3C5D">
              <w:rPr>
                <w:rFonts w:ascii="Verdana" w:eastAsia="Times New Roman" w:hAnsi="Verdana" w:cs="Arial"/>
                <w:sz w:val="21"/>
                <w:szCs w:val="21"/>
                <w:lang w:eastAsia="es-CO"/>
              </w:rPr>
              <w:t>del mismo</w:t>
            </w:r>
            <w:proofErr w:type="gramEnd"/>
            <w:r w:rsidRPr="001B3C5D">
              <w:rPr>
                <w:rFonts w:ascii="Verdana" w:eastAsia="Times New Roman" w:hAnsi="Verdana" w:cs="Arial"/>
                <w:sz w:val="21"/>
                <w:szCs w:val="21"/>
                <w:lang w:eastAsia="es-CO"/>
              </w:rPr>
              <w:t>, a fin de que se cumplan los principios y procesos generales que deben gobernar la actividad contractual de las entidades públicas” (Subrayado fuera del texto).</w:t>
            </w:r>
          </w:p>
          <w:p w14:paraId="28263035" w14:textId="77777777" w:rsidR="001B3C5D" w:rsidRPr="001B3C5D" w:rsidRDefault="001B3C5D" w:rsidP="001B3C5D">
            <w:pPr>
              <w:ind w:left="709" w:right="709"/>
              <w:jc w:val="both"/>
              <w:rPr>
                <w:rFonts w:ascii="Verdana" w:eastAsia="Times New Roman" w:hAnsi="Verdana" w:cs="Arial"/>
                <w:lang w:eastAsia="es-CO"/>
              </w:rPr>
            </w:pPr>
          </w:p>
          <w:p w14:paraId="5C142656" w14:textId="77777777" w:rsidR="001B3C5D" w:rsidRPr="001B3C5D" w:rsidRDefault="001B3C5D" w:rsidP="001B3C5D">
            <w:pPr>
              <w:spacing w:line="276" w:lineRule="auto"/>
              <w:ind w:firstLine="708"/>
              <w:jc w:val="both"/>
              <w:rPr>
                <w:rFonts w:ascii="Verdana" w:eastAsia="Times New Roman" w:hAnsi="Verdana" w:cs="Arial"/>
                <w:lang w:eastAsia="es-ES"/>
              </w:rPr>
            </w:pPr>
            <w:r w:rsidRPr="001B3C5D">
              <w:rPr>
                <w:rFonts w:ascii="Verdana" w:eastAsia="Times New Roman" w:hAnsi="Verdana" w:cs="Arial"/>
                <w:lang w:eastAsia="es-MX"/>
              </w:rPr>
              <w:t>Así mismo, el Decreto Ley le otorgó a la Subdirección de Gestión Contractual la función de: “</w:t>
            </w:r>
            <w:r w:rsidRPr="001B3C5D">
              <w:rPr>
                <w:rFonts w:ascii="Verdana" w:eastAsia="Times New Roman" w:hAnsi="Verdana" w:cs="Arial"/>
                <w:u w:val="single"/>
                <w:lang w:eastAsia="es-MX"/>
              </w:rPr>
              <w:t>Desarrollar e implementar</w:t>
            </w:r>
            <w:r w:rsidRPr="001B3C5D">
              <w:rPr>
                <w:rFonts w:ascii="Verdana" w:eastAsia="Times New Roman" w:hAnsi="Verdana" w:cs="Arial"/>
                <w:lang w:eastAsia="es-MX"/>
              </w:rPr>
              <w:t xml:space="preserve"> </w:t>
            </w:r>
            <w:r w:rsidRPr="001B3C5D">
              <w:rPr>
                <w:rFonts w:ascii="Verdana" w:eastAsia="Times New Roman" w:hAnsi="Verdana" w:cs="Arial"/>
                <w:u w:val="single"/>
                <w:lang w:eastAsia="es-MX"/>
              </w:rPr>
              <w:t>estándares y documentos tipo</w:t>
            </w:r>
            <w:r w:rsidRPr="001B3C5D">
              <w:rPr>
                <w:rFonts w:ascii="Verdana" w:eastAsia="Times New Roman" w:hAnsi="Verdana" w:cs="Arial"/>
                <w:lang w:eastAsia="es-MX"/>
              </w:rPr>
              <w:t xml:space="preserve"> para las diferentes etapas de la gestión contractual </w:t>
            </w:r>
            <w:r w:rsidRPr="001B3C5D">
              <w:rPr>
                <w:rFonts w:ascii="Verdana" w:eastAsia="Times New Roman" w:hAnsi="Verdana" w:cs="Times New Roman"/>
                <w:lang w:eastAsia="es-MX"/>
              </w:rPr>
              <w:t>pública”</w:t>
            </w:r>
            <w:r w:rsidRPr="001B3C5D">
              <w:rPr>
                <w:rFonts w:ascii="Verdana" w:eastAsia="Times New Roman" w:hAnsi="Verdana" w:cs="Times New Roman"/>
                <w:vertAlign w:val="superscript"/>
                <w:lang w:eastAsia="es-MX"/>
              </w:rPr>
              <w:footnoteReference w:id="6"/>
            </w:r>
            <w:r w:rsidRPr="001B3C5D">
              <w:rPr>
                <w:rFonts w:ascii="Verdana" w:eastAsia="Times New Roman" w:hAnsi="Verdana" w:cs="Arial"/>
                <w:i/>
                <w:iCs/>
                <w:lang w:eastAsia="es-ES"/>
              </w:rPr>
              <w:t>.</w:t>
            </w:r>
            <w:r w:rsidRPr="001B3C5D">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0C0F9D38" w14:textId="77777777" w:rsidR="001B3C5D" w:rsidRPr="001B3C5D" w:rsidRDefault="001B3C5D" w:rsidP="001B3C5D">
            <w:pPr>
              <w:jc w:val="both"/>
              <w:rPr>
                <w:rFonts w:ascii="Verdana" w:eastAsia="Times New Roman" w:hAnsi="Verdana" w:cs="Arial"/>
                <w:lang w:eastAsia="es-ES"/>
              </w:rPr>
            </w:pPr>
          </w:p>
          <w:p w14:paraId="4E0F1701" w14:textId="77777777" w:rsidR="001B3C5D" w:rsidRPr="001B3C5D" w:rsidRDefault="001B3C5D" w:rsidP="001B3C5D">
            <w:pPr>
              <w:ind w:left="709" w:right="709"/>
              <w:jc w:val="both"/>
              <w:rPr>
                <w:rFonts w:ascii="Verdana" w:eastAsia="Times New Roman" w:hAnsi="Verdana" w:cs="Arial"/>
                <w:i/>
                <w:iCs/>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difundir las normas, reglas, procedimientos, medios tecnológicos y mejores prácticas para las compras y la contratación pública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potestad reguladora que, en todo caso, debe ejercerse conforme a la Ley y ajustada a la potestad reglamentaria del Gobierno Nacional</w:t>
            </w:r>
            <w:r w:rsidRPr="001B3C5D">
              <w:rPr>
                <w:rFonts w:ascii="Verdana" w:eastAsia="Times New Roman" w:hAnsi="Verdana" w:cs="Arial"/>
                <w:sz w:val="21"/>
                <w:szCs w:val="21"/>
                <w:lang w:eastAsia="es-MX"/>
              </w:rPr>
              <w:t>”</w:t>
            </w:r>
            <w:r w:rsidRPr="001B3C5D">
              <w:rPr>
                <w:rFonts w:ascii="Verdana" w:eastAsia="Times New Roman" w:hAnsi="Verdana" w:cs="Arial"/>
                <w:i/>
                <w:iCs/>
                <w:sz w:val="21"/>
                <w:szCs w:val="21"/>
                <w:vertAlign w:val="superscript"/>
                <w:lang w:eastAsia="es-MX"/>
              </w:rPr>
              <w:footnoteReference w:id="7"/>
            </w:r>
            <w:r w:rsidRPr="001B3C5D">
              <w:rPr>
                <w:rFonts w:ascii="Verdana" w:eastAsia="Times New Roman" w:hAnsi="Verdana" w:cs="Arial"/>
                <w:i/>
                <w:iCs/>
                <w:sz w:val="21"/>
                <w:szCs w:val="21"/>
                <w:lang w:eastAsia="es-ES"/>
              </w:rPr>
              <w:t xml:space="preserve">. </w:t>
            </w:r>
          </w:p>
          <w:p w14:paraId="33F25AE7" w14:textId="77777777" w:rsidR="001B3C5D" w:rsidRPr="001B3C5D" w:rsidRDefault="001B3C5D" w:rsidP="001B3C5D">
            <w:pPr>
              <w:ind w:left="709" w:right="709"/>
              <w:jc w:val="both"/>
              <w:rPr>
                <w:rFonts w:ascii="Verdana" w:eastAsia="Times New Roman" w:hAnsi="Verdana" w:cs="Arial"/>
                <w:i/>
                <w:sz w:val="21"/>
                <w:szCs w:val="21"/>
                <w:lang w:eastAsia="es-ES"/>
              </w:rPr>
            </w:pPr>
          </w:p>
          <w:p w14:paraId="73962C14" w14:textId="77777777" w:rsidR="001B3C5D" w:rsidRPr="001B3C5D" w:rsidRDefault="001B3C5D" w:rsidP="001B3C5D">
            <w:pPr>
              <w:spacing w:line="276" w:lineRule="auto"/>
              <w:ind w:firstLine="708"/>
              <w:jc w:val="both"/>
              <w:rPr>
                <w:rFonts w:ascii="Verdana" w:eastAsia="Times New Roman" w:hAnsi="Verdana" w:cs="Arial"/>
                <w:lang w:eastAsia="es-ES"/>
              </w:rPr>
            </w:pPr>
            <w:r w:rsidRPr="001B3C5D">
              <w:rPr>
                <w:rFonts w:ascii="Verdana" w:eastAsia="Times New Roman" w:hAnsi="Verdana" w:cs="Arial"/>
                <w:lang w:eastAsia="es-ES"/>
              </w:rPr>
              <w:t>Lo anterior fue reiterado por el Consejo de Estado, en la sentencia del 16 de agosto de 2017, en el expediente 56.166, en los siguientes términos:</w:t>
            </w:r>
          </w:p>
          <w:p w14:paraId="6325E523" w14:textId="77777777" w:rsidR="001B3C5D" w:rsidRPr="001B3C5D" w:rsidRDefault="001B3C5D" w:rsidP="001B3C5D">
            <w:pPr>
              <w:jc w:val="both"/>
              <w:rPr>
                <w:rFonts w:ascii="Verdana" w:eastAsia="Times New Roman" w:hAnsi="Verdana" w:cs="Arial"/>
                <w:lang w:eastAsia="es-ES"/>
              </w:rPr>
            </w:pPr>
          </w:p>
          <w:p w14:paraId="3FD462E1" w14:textId="77777777" w:rsidR="001B3C5D" w:rsidRPr="001B3C5D" w:rsidRDefault="001B3C5D" w:rsidP="001B3C5D">
            <w:pPr>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Dígase que ese poder de regulación normativa en cabeza de CCE se ejerce </w:t>
            </w:r>
            <w:proofErr w:type="spellStart"/>
            <w:r w:rsidRPr="001B3C5D">
              <w:rPr>
                <w:rFonts w:ascii="Verdana" w:eastAsia="Times New Roman" w:hAnsi="Verdana" w:cs="Arial"/>
                <w:i/>
                <w:iCs/>
                <w:sz w:val="21"/>
                <w:szCs w:val="21"/>
                <w:lang w:eastAsia="es-ES"/>
              </w:rPr>
              <w:t>secundum</w:t>
            </w:r>
            <w:proofErr w:type="spellEnd"/>
            <w:r w:rsidRPr="001B3C5D">
              <w:rPr>
                <w:rFonts w:ascii="Verdana" w:eastAsia="Times New Roman" w:hAnsi="Verdana" w:cs="Arial"/>
                <w:i/>
                <w:iCs/>
                <w:sz w:val="21"/>
                <w:szCs w:val="21"/>
                <w:lang w:eastAsia="es-ES"/>
              </w:rPr>
              <w:t xml:space="preserve"> </w:t>
            </w:r>
            <w:proofErr w:type="spellStart"/>
            <w:r w:rsidRPr="001B3C5D">
              <w:rPr>
                <w:rFonts w:ascii="Verdana" w:eastAsia="Times New Roman" w:hAnsi="Verdana" w:cs="Arial"/>
                <w:i/>
                <w:iCs/>
                <w:sz w:val="21"/>
                <w:szCs w:val="21"/>
                <w:lang w:eastAsia="es-ES"/>
              </w:rPr>
              <w:t>legem</w:t>
            </w:r>
            <w:proofErr w:type="spellEnd"/>
            <w:r w:rsidRPr="001B3C5D">
              <w:rPr>
                <w:rFonts w:ascii="Verdana" w:eastAsia="Times New Roman" w:hAnsi="Verdana" w:cs="Arial"/>
                <w:sz w:val="21"/>
                <w:szCs w:val="21"/>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1B3C5D">
              <w:rPr>
                <w:rFonts w:ascii="Verdana" w:eastAsia="Times New Roman" w:hAnsi="Verdana" w:cs="Arial"/>
                <w:sz w:val="21"/>
                <w:szCs w:val="21"/>
                <w:vertAlign w:val="superscript"/>
                <w:lang w:eastAsia="es-ES"/>
              </w:rPr>
              <w:footnoteReference w:id="8"/>
            </w:r>
            <w:r w:rsidRPr="001B3C5D">
              <w:rPr>
                <w:rFonts w:ascii="Verdana" w:eastAsia="Times New Roman" w:hAnsi="Verdana" w:cs="Arial"/>
                <w:sz w:val="21"/>
                <w:szCs w:val="21"/>
                <w:lang w:eastAsia="es-ES"/>
              </w:rPr>
              <w:t>.</w:t>
            </w:r>
          </w:p>
          <w:p w14:paraId="51E2328B" w14:textId="77777777" w:rsidR="001B3C5D" w:rsidRPr="001B3C5D" w:rsidRDefault="001B3C5D" w:rsidP="001B3C5D">
            <w:pPr>
              <w:ind w:left="709" w:right="709"/>
              <w:jc w:val="both"/>
              <w:rPr>
                <w:rFonts w:ascii="Verdana" w:eastAsia="Times New Roman" w:hAnsi="Verdana" w:cs="Arial"/>
                <w:lang w:eastAsia="es-ES"/>
              </w:rPr>
            </w:pPr>
          </w:p>
          <w:p w14:paraId="6DB9F268" w14:textId="77777777" w:rsidR="001B3C5D" w:rsidRPr="001B3C5D" w:rsidRDefault="001B3C5D" w:rsidP="001B3C5D">
            <w:pPr>
              <w:tabs>
                <w:tab w:val="center" w:pos="4419"/>
                <w:tab w:val="right" w:pos="8838"/>
              </w:tabs>
              <w:spacing w:after="12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 xml:space="preserve"> </w:t>
            </w:r>
            <w:r w:rsidRPr="001B3C5D">
              <w:rPr>
                <w:rFonts w:ascii="Verdana" w:eastAsia="Times New Roman" w:hAnsi="Verdana" w:cs="Arial"/>
                <w:lang w:eastAsia="es-MX"/>
              </w:rPr>
              <w:t xml:space="preserve">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dispongan los órdenes normativos de más alto rango, es decir, la Constitución </w:t>
            </w:r>
            <w:r w:rsidRPr="001B3C5D">
              <w:rPr>
                <w:rFonts w:ascii="Verdana" w:eastAsia="Times New Roman" w:hAnsi="Verdana" w:cs="Arial"/>
                <w:lang w:eastAsia="es-MX"/>
              </w:rPr>
              <w:lastRenderedPageBreak/>
              <w:t>y la ley. Esto en la medida que el ejercicio de esta facultad de regulación “en ningún caso implica el reconocimiento de una potestad autónoma y desligada de cualquier límite</w:t>
            </w:r>
            <w:r w:rsidRPr="001B3C5D">
              <w:rPr>
                <w:rFonts w:ascii="Verdana" w:eastAsia="MS Mincho" w:hAnsi="Verdana" w:cs="Arial"/>
                <w:vertAlign w:val="superscript"/>
                <w:lang w:eastAsia="es-ES"/>
              </w:rPr>
              <w:footnoteReference w:id="9"/>
            </w:r>
            <w:r w:rsidRPr="001B3C5D">
              <w:rPr>
                <w:rFonts w:ascii="Verdana" w:eastAsia="Times New Roman" w:hAnsi="Verdana" w:cs="Arial"/>
                <w:lang w:eastAsia="es-ES"/>
              </w:rPr>
              <w:t>.</w:t>
            </w:r>
          </w:p>
          <w:p w14:paraId="11957FE9" w14:textId="77777777" w:rsidR="001B3C5D" w:rsidRPr="001B3C5D" w:rsidRDefault="001B3C5D" w:rsidP="001B3C5D">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Conforme con lo anterior, mediante una interpretación sistemática de la normativa y jurisprudencia citada es posible concluir que la Agencia Nacional de Contratación Pública – Colombia Compra Eficiente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2F58D859" w14:textId="77777777" w:rsidR="001B3C5D" w:rsidRDefault="001B3C5D" w:rsidP="008D38A5">
            <w:pPr>
              <w:tabs>
                <w:tab w:val="center" w:pos="4419"/>
                <w:tab w:val="right" w:pos="8838"/>
              </w:tabs>
              <w:spacing w:after="120" w:line="276" w:lineRule="auto"/>
              <w:ind w:firstLine="709"/>
              <w:jc w:val="both"/>
              <w:rPr>
                <w:rFonts w:ascii="Verdana" w:eastAsia="Times New Roman" w:hAnsi="Verdana" w:cs="Arial"/>
                <w:lang w:eastAsia="es-ES"/>
              </w:rPr>
            </w:pPr>
            <w:r w:rsidRPr="001B3C5D">
              <w:rPr>
                <w:rFonts w:ascii="Verdana" w:eastAsia="MS Mincho" w:hAnsi="Verdana" w:cs="Arial"/>
                <w:lang w:eastAsia="es-CO"/>
              </w:rPr>
              <w:t>I</w:t>
            </w:r>
            <w:r w:rsidRPr="001B3C5D">
              <w:rPr>
                <w:rFonts w:ascii="Verdana" w:eastAsia="Times New Roman" w:hAnsi="Verdana" w:cs="Arial"/>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281401DB" w14:textId="0F67BD5A" w:rsidR="007B31F5" w:rsidRPr="001B3C5D" w:rsidRDefault="007B31F5" w:rsidP="00D52E92">
            <w:pPr>
              <w:tabs>
                <w:tab w:val="center" w:pos="4419"/>
                <w:tab w:val="right" w:pos="8838"/>
              </w:tabs>
              <w:spacing w:after="120" w:line="276" w:lineRule="auto"/>
              <w:ind w:firstLine="709"/>
              <w:jc w:val="both"/>
              <w:rPr>
                <w:rFonts w:ascii="Verdana" w:eastAsia="Times New Roman" w:hAnsi="Verdana" w:cs="Arial"/>
                <w:lang w:eastAsia="es-ES"/>
              </w:rPr>
            </w:pPr>
            <w:r w:rsidRPr="007B31F5">
              <w:rPr>
                <w:rFonts w:ascii="Verdana" w:eastAsia="Times New Roman" w:hAnsi="Verdana" w:cs="Arial"/>
                <w:lang w:eastAsia="es-ES"/>
              </w:rPr>
              <w:t xml:space="preserve">En este contexto, la Agencia Nacional de Contratación Pública – Colombia Compra Eficiente, una vez conoció el </w:t>
            </w:r>
            <w:r w:rsidR="00686A98">
              <w:rPr>
                <w:rFonts w:ascii="Verdana" w:eastAsia="Times New Roman" w:hAnsi="Verdana" w:cs="Arial"/>
                <w:lang w:eastAsia="es-ES"/>
              </w:rPr>
              <w:t>D</w:t>
            </w:r>
            <w:r w:rsidRPr="007B31F5">
              <w:rPr>
                <w:rFonts w:ascii="Verdana" w:eastAsia="Times New Roman" w:hAnsi="Verdana" w:cs="Arial"/>
                <w:lang w:eastAsia="es-ES"/>
              </w:rPr>
              <w:t xml:space="preserve">ecreto </w:t>
            </w:r>
            <w:r w:rsidR="00686A98">
              <w:rPr>
                <w:rFonts w:ascii="Verdana" w:eastAsia="Times New Roman" w:hAnsi="Verdana" w:cs="Arial"/>
                <w:lang w:eastAsia="es-ES"/>
              </w:rPr>
              <w:t xml:space="preserve">287 de 2026 </w:t>
            </w:r>
            <w:r w:rsidRPr="007B31F5">
              <w:rPr>
                <w:rFonts w:ascii="Verdana" w:eastAsia="Times New Roman" w:hAnsi="Verdana" w:cs="Arial"/>
                <w:lang w:eastAsia="es-ES"/>
              </w:rPr>
              <w:t>desde su expedición, inició las labores de análisis y planeación orientadas a la modificación de los documentos tipo vigentes en los diferentes sectores y subsectores. Este proceso implica una importante carga administrativa y presupuestal para lograr su adecuada actualización, por lo cual se tomará un tiempo prudencial que permita dar cumplimiento integral a lo dispuesto en el referido decreto. No obstante, la Agencia dispondrá todos sus esfuerzos para adelantar este trabajo en el menor tiempo posible y garantizará la divulgación oportuna de cada etapa del proceso de modificación, tanto a las entidades estatales como a la ciudadanía en general.</w:t>
            </w:r>
          </w:p>
          <w:p w14:paraId="437D4B52" w14:textId="4F54570D" w:rsidR="001B3C5D" w:rsidRPr="001B3C5D" w:rsidRDefault="001B3C5D" w:rsidP="00D52E92">
            <w:pPr>
              <w:tabs>
                <w:tab w:val="center" w:pos="4419"/>
                <w:tab w:val="right" w:pos="8838"/>
              </w:tabs>
              <w:spacing w:line="276" w:lineRule="auto"/>
              <w:ind w:firstLine="709"/>
              <w:jc w:val="both"/>
              <w:rPr>
                <w:rFonts w:ascii="Verdana" w:eastAsia="Calibri" w:hAnsi="Verdana" w:cs="Arial"/>
                <w:color w:val="000000"/>
                <w:lang w:val="es-ES"/>
              </w:rPr>
            </w:pPr>
            <w:r w:rsidRPr="00D52E92">
              <w:rPr>
                <w:rFonts w:ascii="Verdana" w:eastAsia="Times New Roman" w:hAnsi="Verdana" w:cs="Arial"/>
                <w:lang w:eastAsia="es-ES"/>
              </w:rPr>
              <w:t>Todas</w:t>
            </w:r>
            <w:r w:rsidRPr="001B3C5D">
              <w:rPr>
                <w:rFonts w:ascii="Verdana" w:eastAsia="Calibri" w:hAnsi="Verdana" w:cs="Arial"/>
                <w:color w:val="000000"/>
                <w:lang w:val="es-ES"/>
              </w:rPr>
              <w:t xml:space="preserve"> las resoluciones expedidas por la Agencia Nacional de Contratación Pública – Colombia Compra Eficiente, mediante las cuales se adoptaron los documentos tipo, consagran la regla de la inalterabilidad. Esta </w:t>
            </w:r>
            <w:r w:rsidRPr="001B3C5D">
              <w:rPr>
                <w:rFonts w:ascii="Verdana" w:eastAsia="Calibri" w:hAnsi="Verdana" w:cs="Arial"/>
                <w:color w:val="000000"/>
                <w:lang w:val="es-ES"/>
              </w:rPr>
              <w:lastRenderedPageBreak/>
              <w:t xml:space="preserve">prohibición consiste en que las entidades estatales no pueden incluir o modificar en los </w:t>
            </w:r>
            <w:r w:rsidRPr="001B3C5D">
              <w:rPr>
                <w:rFonts w:ascii="Verdana" w:eastAsia="Calibri" w:hAnsi="Verdana" w:cs="Arial"/>
                <w:i/>
                <w:iCs/>
                <w:color w:val="000000"/>
                <w:lang w:val="es-ES"/>
              </w:rPr>
              <w:t>Documentos del Proceso</w:t>
            </w:r>
            <w:r w:rsidRPr="001B3C5D">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8BF5824" w14:textId="77777777" w:rsidR="001B3C5D" w:rsidRPr="001B3C5D" w:rsidRDefault="001B3C5D" w:rsidP="001B3C5D">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1FA51E45" w14:textId="77777777" w:rsidR="001B3C5D" w:rsidRPr="001B3C5D" w:rsidRDefault="001B3C5D" w:rsidP="001B3C5D">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La inalterabilidad de los documentos tipo es una manifestación en mayor grado de las potestades regladas, lo cual implica una reducción de la discrecionalidad de la Administración en el momento de tomar una decisión en el proceso de contratación. Cada entidad pública sujeta a los documentos tipo deberá hacer una aplicación o constatación irrestricta de las reglas y condiciones dispuestas en estos, salvo que las mismas posibilitan la discrecionalidad en determinados aspectos. </w:t>
            </w:r>
          </w:p>
          <w:p w14:paraId="1C86F198" w14:textId="77777777" w:rsidR="001B3C5D" w:rsidRPr="001B3C5D" w:rsidRDefault="001B3C5D" w:rsidP="001B3C5D">
            <w:pPr>
              <w:spacing w:before="120" w:after="120" w:line="276" w:lineRule="auto"/>
              <w:ind w:firstLine="709"/>
              <w:jc w:val="both"/>
              <w:rPr>
                <w:rFonts w:ascii="Verdana" w:eastAsia="Calibri" w:hAnsi="Verdana" w:cs="Arial"/>
                <w:lang w:val="es-ES"/>
              </w:rPr>
            </w:pPr>
            <w:r w:rsidRPr="001B3C5D">
              <w:rPr>
                <w:rFonts w:ascii="Verdana" w:eastAsia="Calibri" w:hAnsi="Verdana" w:cs="Arial"/>
                <w:lang w:val="es-ES"/>
              </w:rPr>
              <w:t xml:space="preserve">Además, las entidades estatales deben garantizar el </w:t>
            </w:r>
            <w:r w:rsidRPr="001B3C5D">
              <w:rPr>
                <w:rFonts w:ascii="Verdana" w:eastAsia="Calibri" w:hAnsi="Verdana" w:cs="Arial"/>
                <w:i/>
                <w:iCs/>
                <w:lang w:val="es-ES"/>
              </w:rPr>
              <w:t>principio de economía</w:t>
            </w:r>
            <w:r w:rsidRPr="001B3C5D">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 sino además en la normativa antitrámites; pues se inscribe dentro de la tendencia de simplificación y racionalización de los procedimientos administrativos. De ahí que cuando las autoridades solicitan la entrega de documentación innecesaria, desconocen el principio de economía.</w:t>
            </w:r>
          </w:p>
          <w:p w14:paraId="7FEF145B" w14:textId="77777777" w:rsidR="001B3C5D" w:rsidRPr="001B3C5D" w:rsidRDefault="001B3C5D" w:rsidP="001B3C5D">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lastRenderedPageBreak/>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B3C5D">
              <w:rPr>
                <w:rFonts w:ascii="Verdana" w:eastAsia="Calibri" w:hAnsi="Verdana" w:cs="Arial"/>
                <w:color w:val="000000"/>
                <w:vertAlign w:val="superscript"/>
                <w:lang w:val="es-ES"/>
              </w:rPr>
              <w:footnoteReference w:id="10"/>
            </w:r>
            <w:r w:rsidRPr="001B3C5D">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11ECD37C" w14:textId="77777777" w:rsidR="001B3C5D" w:rsidRPr="001B3C5D" w:rsidRDefault="001B3C5D" w:rsidP="001B3C5D">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4579E93B" w14:textId="77777777" w:rsidR="001B3C5D" w:rsidRPr="001B3C5D" w:rsidRDefault="001B3C5D" w:rsidP="001B3C5D">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70F54436" w14:textId="77777777" w:rsidR="001B3C5D" w:rsidRPr="001B3C5D" w:rsidRDefault="001B3C5D" w:rsidP="001B3C5D">
            <w:pPr>
              <w:spacing w:after="120" w:line="276" w:lineRule="auto"/>
              <w:ind w:firstLine="708"/>
              <w:jc w:val="both"/>
              <w:rPr>
                <w:rFonts w:ascii="Verdana" w:eastAsia="Calibri" w:hAnsi="Verdana" w:cs="Arial"/>
                <w:color w:val="000000"/>
                <w:lang w:val="es-ES"/>
              </w:rPr>
            </w:pPr>
            <w:r w:rsidRPr="001B3C5D">
              <w:rPr>
                <w:rFonts w:ascii="Verdana" w:eastAsia="Calibri" w:hAnsi="Verdana" w:cs="Arial"/>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rPr>
              <w:t>–[</w:t>
            </w:r>
            <w:r w:rsidRPr="001B3C5D">
              <w:rPr>
                <w:rFonts w:ascii="Verdana" w:eastAsia="Aptos" w:hAnsi="Verdana" w:cs="Arial"/>
                <w:highlight w:val="lightGray"/>
              </w:rPr>
              <w:t>texto de ejemplo</w:t>
            </w:r>
            <w:r w:rsidRPr="001B3C5D">
              <w:rPr>
                <w:rFonts w:ascii="Verdana" w:eastAsia="Aptos" w:hAnsi="Verdana" w:cs="Arial"/>
              </w:rPr>
              <w:t xml:space="preserve">]– </w:t>
            </w:r>
            <w:r w:rsidRPr="001B3C5D">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w:t>
            </w:r>
            <w:r w:rsidRPr="001B3C5D">
              <w:rPr>
                <w:rFonts w:ascii="Verdana" w:eastAsia="Calibri" w:hAnsi="Verdana" w:cs="Arial"/>
                <w:lang w:val="es-MX"/>
              </w:rPr>
              <w:lastRenderedPageBreak/>
              <w:t xml:space="preserve">de determinar la información que se diligenciará en los documentos tipo, de acuerdo con su necesidad y las instrucciones de los mismos documentos tipo. </w:t>
            </w:r>
          </w:p>
          <w:p w14:paraId="0C46CC46" w14:textId="77777777" w:rsidR="001B3C5D" w:rsidRDefault="001B3C5D" w:rsidP="0034652C">
            <w:pPr>
              <w:spacing w:after="120" w:line="276" w:lineRule="auto"/>
              <w:ind w:firstLine="708"/>
              <w:jc w:val="both"/>
              <w:rPr>
                <w:rFonts w:ascii="Verdana" w:eastAsia="Calibri" w:hAnsi="Verdana" w:cs="Arial"/>
                <w:bCs/>
                <w:lang w:val="es-MX"/>
              </w:rPr>
            </w:pPr>
            <w:r w:rsidRPr="001B3C5D">
              <w:rPr>
                <w:rFonts w:ascii="Verdana" w:eastAsia="Calibri" w:hAnsi="Verdana" w:cs="Arial"/>
                <w:bCs/>
                <w:lang w:val="es-MX"/>
              </w:rPr>
              <w:t xml:space="preserve">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w:t>
            </w:r>
            <w:r w:rsidRPr="0034652C">
              <w:rPr>
                <w:rFonts w:ascii="Verdana" w:eastAsia="Calibri" w:hAnsi="Verdana" w:cs="Arial"/>
                <w:lang w:val="es-MX"/>
              </w:rPr>
              <w:t>contenidos</w:t>
            </w:r>
            <w:r w:rsidRPr="001B3C5D">
              <w:rPr>
                <w:rFonts w:ascii="Verdana" w:eastAsia="Calibri" w:hAnsi="Verdana" w:cs="Arial"/>
                <w:bCs/>
                <w:lang w:val="es-MX"/>
              </w:rPr>
              <w:t xml:space="preserve"> que el mismo documento tipo lo permita.</w:t>
            </w:r>
          </w:p>
          <w:p w14:paraId="1FB95BC2" w14:textId="75D849BC" w:rsidR="001B3C5D" w:rsidRPr="001B3C5D" w:rsidRDefault="001B3C5D" w:rsidP="0034652C">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rPr>
              <w:t>L</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34652C">
              <w:rPr>
                <w:rFonts w:ascii="Verdana" w:eastAsia="Calibri" w:hAnsi="Verdana" w:cs="Arial"/>
                <w:bCs/>
                <w:lang w:val="es-MX"/>
              </w:rPr>
              <w:t>Ley</w:t>
            </w:r>
            <w:r w:rsidRPr="001B3C5D">
              <w:rPr>
                <w:rFonts w:ascii="Verdana" w:eastAsia="Aptos" w:hAnsi="Verdana" w:cs="Times New Roman"/>
              </w:rPr>
              <w:t xml:space="preserve"> 2022 de 2020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solo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atribuye</w:t>
            </w:r>
            <w:r w:rsidRPr="001B3C5D">
              <w:rPr>
                <w:rFonts w:ascii="Verdana" w:eastAsia="Aptos" w:hAnsi="Verdana" w:cs="Times New Roman"/>
              </w:rPr>
              <w:t xml:space="preserve"> la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Nacional de Contratación Pública – Colombia Compra Eficiente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adoptar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expresamente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contenido,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disponer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w:t>
            </w:r>
            <w:r w:rsidRPr="001B3C5D">
              <w:rPr>
                <w:rFonts w:ascii="Verdana" w:eastAsia="Aptos" w:hAnsi="Verdana" w:cs="Times New Roman"/>
              </w:rPr>
              <w:t xml:space="preserve">stos </w:t>
            </w:r>
            <w:r w:rsidRPr="001B3C5D">
              <w:rPr>
                <w:rFonts w:ascii="Verdana" w:eastAsia="Aptos" w:hAnsi="Verdana" w:cs="Times New Roman"/>
                <w:i/>
                <w:iCs/>
              </w:rPr>
              <w:t>“(…) se establecerán los requisitos habilitantes, factores técnicos, económicos y otros factores de escogencia, así como aquellos requisitos que, previa justificación, representen buenas prácticas contractuales”</w:t>
            </w:r>
            <w:r w:rsidRPr="001B3C5D">
              <w:rPr>
                <w:rFonts w:ascii="Verdana" w:eastAsia="Aptos" w:hAnsi="Verdana" w:cs="Times New Roman"/>
                <w:i/>
                <w:iCs/>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concentró</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la Agencia Nacional de Contratación Pública – Colombia Compra Eficiente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definición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elementos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propósito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estandarización,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transparencia,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objetiva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uso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recursos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públicos.</w:t>
            </w:r>
            <w:r w:rsidRPr="001B3C5D">
              <w:rPr>
                <w:rFonts w:ascii="Verdana" w:eastAsia="Aptos" w:hAnsi="Verdana" w:cs="Times New Roman"/>
              </w:rPr>
              <w:t xml:space="preserve"> </w:t>
            </w:r>
          </w:p>
          <w:p w14:paraId="2501E583"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rPr>
              <w:t xml:space="preserve">Concretamente, la competencia prevista en el artículo 1 de la Ley 2022 de 2020, se ejerció mediante la expedición de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Resolución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160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del 15 de septiembre de 2020 “Por la cual se adopta el procedimiento para implementar los documentos tipo y se define el sistema para su revisión”</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como</w:t>
            </w:r>
            <w:r w:rsidRPr="001B3C5D">
              <w:rPr>
                <w:rFonts w:ascii="Verdana" w:eastAsia="Aptos" w:hAnsi="Verdana" w:cs="Times New Roman"/>
              </w:rPr>
              <w:t xml:space="preserve"> con la expedición de </w:t>
            </w:r>
            <w:r w:rsidRPr="001B3C5D">
              <w:rPr>
                <w:rFonts w:ascii="Verdana" w:eastAsia="Aptos" w:hAnsi="Verdana" w:cs="Times New Roman"/>
                <w:kern w:val="2"/>
                <w14:ligatures w14:val="standardContextual"/>
              </w:rPr>
              <w:t>múltiples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resoluciones</w:t>
            </w:r>
            <w:r w:rsidRPr="001B3C5D">
              <w:rPr>
                <w:rFonts w:ascii="Verdana" w:eastAsia="Aptos" w:hAnsi="Verdana" w:cs="Times New Roman"/>
              </w:rPr>
              <w:t xml:space="preserve"> –señaladas en el numeral i de este concepto– mediante las cuales se adoptaron documentos tipo por parte de la Agencia Nacional de Contratación Pública – Colombia Compra Eficiente en diferentes modalidades de selección y sectores, en las cuales, además, se </w:t>
            </w:r>
            <w:r w:rsidRPr="001B3C5D">
              <w:rPr>
                <w:rFonts w:ascii="Verdana" w:eastAsia="Aptos" w:hAnsi="Verdana" w:cs="Times New Roman"/>
                <w:kern w:val="2"/>
                <w14:ligatures w14:val="standardContextual"/>
              </w:rPr>
              <w:t>reitera</w:t>
            </w:r>
            <w:r w:rsidRPr="001B3C5D">
              <w:rPr>
                <w:rFonts w:ascii="Verdana" w:eastAsia="Aptos" w:hAnsi="Verdana" w:cs="Times New Roman"/>
              </w:rPr>
              <w:t xml:space="preserve"> el </w:t>
            </w:r>
            <w:r w:rsidRPr="001B3C5D">
              <w:rPr>
                <w:rFonts w:ascii="Verdana" w:eastAsia="Aptos" w:hAnsi="Verdana" w:cs="Times New Roman"/>
                <w:kern w:val="2"/>
                <w14:ligatures w14:val="standardContextual"/>
              </w:rPr>
              <w:t>carácter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obligatorio</w:t>
            </w:r>
            <w:r w:rsidRPr="001B3C5D">
              <w:rPr>
                <w:rFonts w:ascii="Verdana" w:eastAsia="Aptos" w:hAnsi="Verdana" w:cs="Times New Roman"/>
              </w:rPr>
              <w:t xml:space="preserve"> de estos documentos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se </w:t>
            </w:r>
            <w:r w:rsidRPr="001B3C5D">
              <w:rPr>
                <w:rFonts w:ascii="Verdana" w:eastAsia="Aptos" w:hAnsi="Verdana" w:cs="Times New Roman"/>
                <w:kern w:val="2"/>
                <w14:ligatures w14:val="standardContextual"/>
              </w:rPr>
              <w:t>establecen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específicas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p>
          <w:p w14:paraId="54CEA9BB"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 xml:space="preserve">En este sentido, las resoluciones mediante las cuales la Agencia Nacional de Contratación Pública – Colombia Compra Eficiente adoptó documentos tipo, </w:t>
            </w:r>
            <w:r w:rsidRPr="001B3C5D">
              <w:rPr>
                <w:rFonts w:ascii="Verdana" w:eastAsia="Aptos" w:hAnsi="Verdana" w:cs="Times New Roman"/>
                <w:kern w:val="2"/>
                <w14:ligatures w14:val="standardContextual"/>
              </w:rPr>
              <w:t>consolida</w:t>
            </w:r>
            <w:r w:rsidRPr="001B3C5D">
              <w:rPr>
                <w:rFonts w:ascii="Verdana" w:eastAsia="Aptos" w:hAnsi="Verdana" w:cs="Times New Roman"/>
              </w:rPr>
              <w:t xml:space="preserve">n </w:t>
            </w:r>
            <w:r w:rsidRPr="001B3C5D">
              <w:rPr>
                <w:rFonts w:ascii="Verdana" w:eastAsia="Aptos" w:hAnsi="Verdana" w:cs="Times New Roman"/>
                <w:kern w:val="2"/>
                <w14:ligatures w14:val="standardContextual"/>
              </w:rPr>
              <w:t>un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estandarizado</w:t>
            </w:r>
            <w:r w:rsidRPr="001B3C5D">
              <w:rPr>
                <w:rFonts w:ascii="Verdana" w:eastAsia="Aptos" w:hAnsi="Verdana" w:cs="Times New Roman"/>
              </w:rPr>
              <w:t xml:space="preserve"> –en las modalidades y sectores adoptados–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obligadas a la aplicación </w:t>
            </w:r>
            <w:r w:rsidRPr="001B3C5D">
              <w:rPr>
                <w:rFonts w:ascii="Verdana" w:eastAsia="Aptos" w:hAnsi="Verdana" w:cs="Times New Roman"/>
                <w:kern w:val="2"/>
                <w14:ligatures w14:val="standardContextual"/>
              </w:rPr>
              <w:t>deben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sujetarse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estricta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particularmente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relacionado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lastRenderedPageBreak/>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ponderación.</w:t>
            </w:r>
          </w:p>
          <w:p w14:paraId="17524E4B"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Lo dispuesto en el párrafo precedente, es consecuente con lo desarrollado en el punto tres (</w:t>
            </w:r>
            <w:proofErr w:type="spellStart"/>
            <w:r w:rsidRPr="001B3C5D">
              <w:rPr>
                <w:rFonts w:ascii="Verdana" w:eastAsia="Aptos" w:hAnsi="Verdana" w:cs="Times New Roman"/>
              </w:rPr>
              <w:t>iii</w:t>
            </w:r>
            <w:proofErr w:type="spellEnd"/>
            <w:r w:rsidRPr="001B3C5D">
              <w:rPr>
                <w:rFonts w:ascii="Verdana" w:eastAsia="Aptos" w:hAnsi="Verdana" w:cs="Times New Roman"/>
              </w:rPr>
              <w:t xml:space="preserve">) de la parte considerativa de este concepto. En este se indicó que, sobre los documentos tipo expedidos por la Agencia Nacional de Contratación Pública – Colombia Compra Eficiente, recae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inalterabilidad</w:t>
            </w:r>
            <w:r w:rsidRPr="001B3C5D">
              <w:rPr>
                <w:rFonts w:ascii="Verdana" w:eastAsia="Aptos" w:hAnsi="Verdana" w:cs="Times New Roman"/>
              </w:rPr>
              <w:t>.</w:t>
            </w:r>
          </w:p>
          <w:p w14:paraId="4B92412D" w14:textId="6D4A13C0"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Considerando lo anterior, s</w:t>
            </w:r>
            <w:r w:rsidRPr="001B3C5D">
              <w:rPr>
                <w:rFonts w:ascii="Verdana" w:eastAsia="Aptos" w:hAnsi="Verdana" w:cs="Times New Roman"/>
                <w:kern w:val="2"/>
                <w14:ligatures w14:val="standardContextual"/>
              </w:rPr>
              <w:t>i</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bien</w:t>
            </w:r>
            <w:r w:rsidRPr="001B3C5D">
              <w:rPr>
                <w:rFonts w:ascii="Verdana" w:eastAsia="Aptos" w:hAnsi="Verdana" w:cs="Times New Roman"/>
              </w:rPr>
              <w:t xml:space="preserve"> es cierto que,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establece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rige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siguiente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publicación,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determina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vigencia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inmediata,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ámbito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sometidos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debe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interpretarse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sistemática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armónica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régimen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regula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esto es, lo señalado en el artículo 1 de la Ley 2022 de 2020 y su desarrollo reglamentario a través de cada una de las Resoluciones expedidas por la Agencia Nacional de Contratación Pública – Colombia Compra Eficiente mediante las cuales, se han implementado documentos tipo</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efecto,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contienen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obligatoria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criterios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escogencia,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cuentan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modificarlos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complementarlos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autónoma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fin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directamente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D</w:t>
            </w:r>
            <w:r w:rsidRPr="001B3C5D">
              <w:rPr>
                <w:rFonts w:ascii="Verdana" w:eastAsia="Aptos" w:hAnsi="Verdana" w:cs="Times New Roman"/>
                <w:kern w:val="2"/>
                <w14:ligatures w14:val="standardContextual"/>
              </w:rPr>
              <w:t>ecreto</w:t>
            </w:r>
            <w:r w:rsidRPr="001B3C5D">
              <w:rPr>
                <w:rFonts w:ascii="Verdana" w:eastAsia="Aptos" w:hAnsi="Verdana" w:cs="Times New Roman"/>
              </w:rPr>
              <w:t xml:space="preserve"> en mención</w:t>
            </w:r>
            <w:r w:rsidRPr="001B3C5D">
              <w:rPr>
                <w:rFonts w:ascii="Verdana" w:eastAsia="Aptos" w:hAnsi="Verdana" w:cs="Times New Roman"/>
                <w:kern w:val="2"/>
                <w14:ligatures w14:val="standardContextual"/>
              </w:rPr>
              <w:t>.</w:t>
            </w:r>
          </w:p>
          <w:p w14:paraId="44DB4273"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P</w:t>
            </w:r>
            <w:r w:rsidRPr="001B3C5D">
              <w:rPr>
                <w:rFonts w:ascii="Verdana" w:eastAsia="Aptos" w:hAnsi="Verdana" w:cs="Times New Roman"/>
                <w:kern w:val="2"/>
                <w14:ligatures w14:val="standardContextual"/>
              </w:rPr>
              <w:t>ermitir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introduzca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ajustes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inmediata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implicaría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desconocer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exclusiva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mediante la expedición de la Ley 2022 de 2020</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inalterabilidad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rige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estos</w:t>
            </w:r>
            <w:r w:rsidRPr="001B3C5D">
              <w:rPr>
                <w:rFonts w:ascii="Verdana" w:eastAsia="Aptos" w:hAnsi="Verdana" w:cs="Times New Roman"/>
              </w:rPr>
              <w:t xml:space="preserve"> documentos</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Además,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generaría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fragmentación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afectando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principios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igualdad,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transparencia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objetiva,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similares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podrían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regirse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distintas,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dependiendo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adelante</w:t>
            </w:r>
            <w:r w:rsidRPr="001B3C5D">
              <w:rPr>
                <w:rFonts w:ascii="Verdana" w:eastAsia="Aptos" w:hAnsi="Verdana" w:cs="Times New Roman"/>
              </w:rPr>
              <w:t xml:space="preserve"> y la forma como incorporó las previsiones contenidas en el Decreto 287 de 2026 a los procesos de selección regidos por documentos tipo</w:t>
            </w:r>
            <w:r w:rsidRPr="001B3C5D">
              <w:rPr>
                <w:rFonts w:ascii="Verdana" w:eastAsia="Aptos" w:hAnsi="Verdana" w:cs="Times New Roman"/>
                <w:kern w:val="2"/>
                <w14:ligatures w14:val="standardContextual"/>
              </w:rPr>
              <w:t>.</w:t>
            </w:r>
          </w:p>
          <w:p w14:paraId="2A910D38"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Desde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perspectiva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técnica,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constituyen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integral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articulado,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encuentran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interrelacionados.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consecuencia,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aislada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modificaciones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podría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generar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inconsistencias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desajustes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afectando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lastRenderedPageBreak/>
              <w:t>proceso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razón,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2022</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prevé</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adopción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actualización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realice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mediante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procedimientos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coordinados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participativos,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cargo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w:t>
            </w:r>
            <w:r w:rsidRPr="001B3C5D">
              <w:rPr>
                <w:rFonts w:ascii="Verdana" w:eastAsia="Aptos" w:hAnsi="Verdana" w:cs="Times New Roman"/>
              </w:rPr>
              <w:t>ncia Nacional de Contratación Pública – Colombia Compra Eficiente</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quien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cuenta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capacidad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técnica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adecuada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integración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nuevas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como por ejemplo el Decreto 287 de 2026. </w:t>
            </w:r>
          </w:p>
          <w:p w14:paraId="19B4F636"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kern w:val="2"/>
                <w14:ligatures w14:val="standardContextual"/>
              </w:rPr>
              <w:t>Adicionalmente,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propio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en el artículo 1 que modifica el artículo 2.2.1.2.4.2.7.8 al Decreto 1082 de 2015, </w:t>
            </w:r>
            <w:r w:rsidRPr="001B3C5D">
              <w:rPr>
                <w:rFonts w:ascii="Verdana" w:eastAsia="Aptos" w:hAnsi="Verdana" w:cs="Times New Roman"/>
                <w:kern w:val="2"/>
                <w14:ligatures w14:val="standardContextual"/>
              </w:rPr>
              <w:t>reconoce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necesidad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disponer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 garantizará la adopción permanente de las acciones necesarias para que las medidas señaladas en esta subsección se incorporen a los documentos e instrumentos que genera</w:t>
            </w:r>
            <w:r w:rsidRPr="001B3C5D">
              <w:rPr>
                <w:rFonts w:ascii="Aptos" w:eastAsia="Aptos" w:hAnsi="Aptos" w:cs="Times New Roman"/>
              </w:rPr>
              <w:t>”</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confirma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operatividad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ámbito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depende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desarrollo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p>
          <w:p w14:paraId="4E56396D"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5CE5F332" w14:textId="7A2707F9"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consecuencia,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aunque</w:t>
            </w:r>
            <w:r w:rsidRPr="001B3C5D">
              <w:rPr>
                <w:rFonts w:ascii="Verdana" w:eastAsia="Aptos" w:hAnsi="Verdana" w:cs="Times New Roman"/>
              </w:rPr>
              <w:t xml:space="preserve"> de acuerdo con el artículo 2 del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este “(…) rige a partir del día siguiente a su publicación (…)”</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00830B4E">
              <w:rPr>
                <w:rFonts w:ascii="Verdana" w:eastAsia="Aptos" w:hAnsi="Verdana" w:cs="Times New Roman"/>
              </w:rPr>
              <w:t xml:space="preserve">de </w:t>
            </w:r>
            <w:r w:rsidRPr="001B3C5D">
              <w:rPr>
                <w:rFonts w:ascii="Verdana" w:eastAsia="Aptos" w:hAnsi="Verdana" w:cs="Times New Roman"/>
              </w:rPr>
              <w:t>contra</w:t>
            </w:r>
            <w:r w:rsidR="002E4BD8">
              <w:rPr>
                <w:rFonts w:ascii="Verdana" w:eastAsia="Aptos" w:hAnsi="Verdana" w:cs="Times New Roman"/>
              </w:rPr>
              <w:t>ta</w:t>
            </w:r>
            <w:r w:rsidRPr="001B3C5D">
              <w:rPr>
                <w:rFonts w:ascii="Verdana" w:eastAsia="Aptos" w:hAnsi="Verdana" w:cs="Times New Roman"/>
              </w:rPr>
              <w:t xml:space="preserve">ción </w:t>
            </w:r>
            <w:r w:rsidRPr="001B3C5D">
              <w:rPr>
                <w:rFonts w:ascii="Verdana" w:eastAsia="Aptos" w:hAnsi="Verdana" w:cs="Times New Roman"/>
                <w:kern w:val="2"/>
                <w14:ligatures w14:val="standardContextual"/>
              </w:rPr>
              <w:t>regidos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encuentra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formal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Así, s</w:t>
            </w:r>
            <w:r w:rsidRPr="001B3C5D">
              <w:rPr>
                <w:rFonts w:ascii="Verdana" w:eastAsia="Aptos" w:hAnsi="Verdana" w:cs="Times New Roman"/>
                <w:kern w:val="2"/>
                <w14:ligatures w14:val="standardContextual"/>
              </w:rPr>
              <w:t>olo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mediante la modificación a los documentos tipo, </w:t>
            </w:r>
            <w:r w:rsidRPr="001B3C5D">
              <w:rPr>
                <w:rFonts w:ascii="Verdana" w:eastAsia="Aptos" w:hAnsi="Verdana" w:cs="Times New Roman"/>
                <w:kern w:val="2"/>
                <w14:ligatures w14:val="standardContextual"/>
              </w:rPr>
              <w: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posible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uniforme,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jurídicamente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válida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afirmativas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previstas,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desconocer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distribución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establecida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ni</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normativa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compras y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p>
          <w:p w14:paraId="7CAFB4E1"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conclusión,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implementación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relación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puede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realizarse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directa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que obligatoriamente deben aplicarlos</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lastRenderedPageBreak/>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requiere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necesariamente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desarrollo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ejercicio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2022</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respeto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jerarquía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normativa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efectividad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orientadas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inclusión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personas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discapacidad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el sistema de compras y contratación pública. </w:t>
            </w:r>
          </w:p>
          <w:p w14:paraId="7BBB1545" w14:textId="137D1E51"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rPr>
              <w:t xml:space="preserve">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w:t>
            </w:r>
            <w:r w:rsidR="00031F5B">
              <w:rPr>
                <w:rFonts w:ascii="Verdana" w:eastAsia="Aptos" w:hAnsi="Verdana" w:cs="Times New Roman"/>
              </w:rPr>
              <w:t>la</w:t>
            </w:r>
            <w:r w:rsidRPr="001B3C5D">
              <w:rPr>
                <w:rFonts w:ascii="Verdana" w:eastAsia="Aptos" w:hAnsi="Verdana" w:cs="Times New Roman"/>
              </w:rPr>
              <w:t xml:space="preserve"> revisión de estos documentos y la adopción de las modificaciones a que haya lugar mediante acto administrativo motivado.</w:t>
            </w:r>
          </w:p>
          <w:p w14:paraId="532BE9BB" w14:textId="64FD424C" w:rsidR="001B3C5D" w:rsidRPr="001B3C5D" w:rsidRDefault="000944C7" w:rsidP="001B3C5D">
            <w:pPr>
              <w:widowControl w:val="0"/>
              <w:autoSpaceDE w:val="0"/>
              <w:autoSpaceDN w:val="0"/>
              <w:spacing w:line="276" w:lineRule="auto"/>
              <w:ind w:firstLine="708"/>
              <w:jc w:val="both"/>
              <w:rPr>
                <w:rFonts w:ascii="Verdana" w:eastAsia="Aptos" w:hAnsi="Verdana" w:cs="Times New Roman"/>
                <w:kern w:val="2"/>
                <w14:ligatures w14:val="standardContextual"/>
              </w:rPr>
            </w:pPr>
            <w:r>
              <w:rPr>
                <w:rFonts w:ascii="Verdana" w:eastAsia="Aptos" w:hAnsi="Verdana" w:cs="Times New Roman"/>
              </w:rPr>
              <w:t>Con</w:t>
            </w:r>
            <w:r w:rsidR="001B3C5D" w:rsidRPr="001B3C5D">
              <w:rPr>
                <w:rFonts w:ascii="Verdana" w:eastAsia="Aptos" w:hAnsi="Verdana" w:cs="Times New Roman"/>
              </w:rPr>
              <w:t xml:space="preserv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w:t>
            </w:r>
            <w:r w:rsidR="00DC2977">
              <w:rPr>
                <w:rFonts w:ascii="Verdana" w:eastAsia="Aptos" w:hAnsi="Verdana" w:cs="Times New Roman"/>
              </w:rPr>
              <w:t xml:space="preserve">Decreto </w:t>
            </w:r>
            <w:r w:rsidR="001B3C5D" w:rsidRPr="001B3C5D">
              <w:rPr>
                <w:rFonts w:ascii="Verdana" w:eastAsia="Aptos" w:hAnsi="Verdana" w:cs="Times New Roman"/>
              </w:rPr>
              <w:t xml:space="preserve">1082 de 2015. Este trabajo ya fue iniciado por la Agencia Nacional de Contratación Pública – Colombia Compra Eficiente y finalizará con la adopción del acto administrativo que modifica los documentos tipo luego de surtir el procedimiento señalado. </w:t>
            </w:r>
          </w:p>
        </w:tc>
      </w:tr>
    </w:tbl>
    <w:p w14:paraId="1CC70D22" w14:textId="77777777" w:rsidR="001B3C5D" w:rsidRPr="001B3C5D" w:rsidRDefault="001B3C5D" w:rsidP="001B3C5D">
      <w:pPr>
        <w:tabs>
          <w:tab w:val="left" w:pos="142"/>
          <w:tab w:val="left" w:pos="284"/>
        </w:tabs>
        <w:spacing w:after="0" w:line="276" w:lineRule="auto"/>
        <w:jc w:val="both"/>
        <w:rPr>
          <w:rFonts w:ascii="Verdana" w:eastAsia="Century Gothic" w:hAnsi="Verdana" w:cs="Century Gothic"/>
          <w:b/>
          <w:bCs/>
          <w:lang w:val="es-ES"/>
        </w:rPr>
      </w:pPr>
    </w:p>
    <w:p w14:paraId="1B4F9F81" w14:textId="77777777" w:rsidR="001B3C5D" w:rsidRPr="001B3C5D" w:rsidRDefault="001B3C5D" w:rsidP="001B3C5D">
      <w:pPr>
        <w:tabs>
          <w:tab w:val="left" w:pos="142"/>
          <w:tab w:val="left" w:pos="284"/>
        </w:tabs>
        <w:spacing w:after="0" w:line="276" w:lineRule="auto"/>
        <w:jc w:val="both"/>
        <w:rPr>
          <w:rFonts w:ascii="Verdana" w:eastAsia="Century Gothic" w:hAnsi="Verdana" w:cs="Century Gothic"/>
          <w:b/>
          <w:bCs/>
          <w:lang w:val="es-ES"/>
        </w:rPr>
      </w:pPr>
      <w:r w:rsidRPr="001B3C5D">
        <w:rPr>
          <w:rFonts w:ascii="Verdana" w:eastAsia="Century Gothic" w:hAnsi="Verdana" w:cs="Century Gothic"/>
          <w:b/>
          <w:bCs/>
          <w:lang w:val="es-ES"/>
        </w:rPr>
        <w:t>3. Razones de la respuesta:</w:t>
      </w:r>
    </w:p>
    <w:p w14:paraId="58A6DCA5" w14:textId="77777777" w:rsidR="001B3C5D" w:rsidRPr="001B3C5D" w:rsidRDefault="001B3C5D" w:rsidP="001B3C5D">
      <w:pPr>
        <w:spacing w:after="0" w:line="276" w:lineRule="auto"/>
        <w:jc w:val="both"/>
        <w:rPr>
          <w:rFonts w:ascii="Verdana" w:eastAsia="Calibri" w:hAnsi="Verdana" w:cs="Arial"/>
          <w:lang w:val="es-ES"/>
        </w:rPr>
      </w:pPr>
    </w:p>
    <w:p w14:paraId="146B9C68" w14:textId="77777777" w:rsidR="001B3C5D" w:rsidRPr="001B3C5D" w:rsidRDefault="001B3C5D" w:rsidP="001B3C5D">
      <w:pPr>
        <w:spacing w:after="0" w:line="276" w:lineRule="auto"/>
        <w:jc w:val="both"/>
        <w:rPr>
          <w:rFonts w:ascii="Verdana" w:eastAsia="Calibri" w:hAnsi="Verdana" w:cs="Arial"/>
          <w:lang w:val="es-ES"/>
        </w:rPr>
      </w:pPr>
      <w:r w:rsidRPr="001B3C5D">
        <w:rPr>
          <w:rFonts w:ascii="Verdana" w:eastAsia="Calibri" w:hAnsi="Verdana" w:cs="Arial"/>
          <w:lang w:val="es-ES"/>
        </w:rPr>
        <w:t xml:space="preserve">Lo anterior se sustenta en las siguientes consideraciones: </w:t>
      </w:r>
    </w:p>
    <w:p w14:paraId="7F5BFBEC" w14:textId="77777777" w:rsidR="001B3C5D" w:rsidRPr="001B3C5D" w:rsidRDefault="001B3C5D" w:rsidP="001B3C5D">
      <w:pPr>
        <w:widowControl w:val="0"/>
        <w:autoSpaceDE w:val="0"/>
        <w:autoSpaceDN w:val="0"/>
        <w:spacing w:after="0" w:line="276" w:lineRule="auto"/>
        <w:jc w:val="both"/>
        <w:rPr>
          <w:rFonts w:ascii="Verdana" w:eastAsia="Calibri" w:hAnsi="Verdana" w:cs="Times New Roman"/>
          <w:lang w:val="es-ES"/>
        </w:rPr>
      </w:pPr>
      <w:bookmarkStart w:id="1" w:name="_Hlk113022941"/>
    </w:p>
    <w:p w14:paraId="06DC8B24" w14:textId="77777777" w:rsidR="001B3C5D" w:rsidRPr="001B3C5D" w:rsidRDefault="001B3C5D" w:rsidP="000944C7">
      <w:pPr>
        <w:spacing w:after="0" w:line="276" w:lineRule="auto"/>
        <w:jc w:val="both"/>
        <w:rPr>
          <w:rFonts w:ascii="Aptos" w:eastAsia="Aptos" w:hAnsi="Aptos" w:cs="Times New Roman"/>
          <w:kern w:val="2"/>
          <w:sz w:val="24"/>
          <w:szCs w:val="24"/>
          <w:lang w:val="es-MX"/>
          <w14:ligatures w14:val="standardContextual"/>
        </w:rPr>
      </w:pPr>
      <w:r w:rsidRPr="001B3C5D">
        <w:rPr>
          <w:rFonts w:ascii="Aptos" w:eastAsia="Aptos" w:hAnsi="Aptos" w:cs="Times New Roman"/>
          <w:kern w:val="2"/>
          <w:sz w:val="24"/>
          <w:szCs w:val="24"/>
          <w:lang w:val="es-ES"/>
          <w14:ligatures w14:val="standardContextual"/>
        </w:rPr>
        <w:t xml:space="preserve">i. </w:t>
      </w:r>
      <w:r w:rsidRPr="001B3C5D">
        <w:rPr>
          <w:rFonts w:ascii="Verdana" w:eastAsia="Aptos" w:hAnsi="Verdana" w:cs="Times New Roman"/>
          <w:kern w:val="2"/>
          <w:lang w:val="es-MX"/>
          <w14:ligatures w14:val="standardContextual"/>
        </w:rPr>
        <w:t xml:space="preserve">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w:t>
      </w:r>
      <w:r w:rsidRPr="001B3C5D">
        <w:rPr>
          <w:rFonts w:ascii="Verdana" w:eastAsia="Aptos" w:hAnsi="Verdana" w:cs="Times New Roman"/>
          <w:kern w:val="2"/>
          <w:lang w:val="es-MX"/>
          <w14:ligatures w14:val="standardContextual"/>
        </w:rPr>
        <w:lastRenderedPageBreak/>
        <w:t>garantizar el cumplimiento de los fines del Estado y la satisfacción de las necesidades de la comunidad</w:t>
      </w:r>
      <w:r w:rsidRPr="001B3C5D">
        <w:rPr>
          <w:rFonts w:ascii="Verdana" w:eastAsia="Aptos" w:hAnsi="Verdana" w:cs="Times New Roman"/>
          <w:kern w:val="2"/>
          <w:vertAlign w:val="superscript"/>
          <w:lang w:val="es-MX"/>
          <w14:ligatures w14:val="standardContextual"/>
        </w:rPr>
        <w:footnoteReference w:id="11"/>
      </w:r>
      <w:r w:rsidRPr="001B3C5D">
        <w:rPr>
          <w:rFonts w:ascii="Verdana" w:eastAsia="Aptos" w:hAnsi="Verdana" w:cs="Times New Roman"/>
          <w:kern w:val="2"/>
          <w:lang w:val="es-MX"/>
          <w14:ligatures w14:val="standardContextual"/>
        </w:rPr>
        <w:t>.</w:t>
      </w:r>
      <w:r w:rsidRPr="001B3C5D">
        <w:rPr>
          <w:rFonts w:ascii="Aptos" w:eastAsia="Aptos" w:hAnsi="Aptos" w:cs="Times New Roman"/>
          <w:kern w:val="2"/>
          <w:sz w:val="24"/>
          <w:szCs w:val="24"/>
          <w:lang w:val="es-MX"/>
          <w14:ligatures w14:val="standardContextual"/>
        </w:rPr>
        <w:t xml:space="preserve"> </w:t>
      </w:r>
    </w:p>
    <w:p w14:paraId="55D2A809" w14:textId="77777777" w:rsidR="001B3C5D" w:rsidRPr="001B3C5D" w:rsidRDefault="001B3C5D" w:rsidP="000944C7">
      <w:pPr>
        <w:tabs>
          <w:tab w:val="left" w:pos="709"/>
        </w:tabs>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La norma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1B3C5D">
        <w:rPr>
          <w:rFonts w:ascii="Verdana" w:eastAsia="Calibri" w:hAnsi="Verdana" w:cs="Arial"/>
          <w:color w:val="000000"/>
          <w:vertAlign w:val="superscript"/>
          <w:lang w:val="es-MX"/>
        </w:rPr>
        <w:footnoteReference w:id="12"/>
      </w:r>
      <w:r w:rsidRPr="001B3C5D">
        <w:rPr>
          <w:rFonts w:ascii="Verdana" w:eastAsia="Calibri" w:hAnsi="Verdana" w:cs="Arial"/>
          <w:color w:val="000000"/>
          <w:lang w:val="es-MX"/>
        </w:rPr>
        <w:t>.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D8557CF" w14:textId="77777777" w:rsidR="001B3C5D" w:rsidRPr="001B3C5D" w:rsidRDefault="001B3C5D" w:rsidP="001B3C5D">
      <w:pPr>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 xml:space="preserve">Por su parte, indica que, con el ánimo de promover la descentralización, el empleo local, el desarrollo, los servicios e industria local, en la adopción de los documentos tipo, se tendrán en cuenta las características propias de las </w:t>
      </w:r>
      <w:r w:rsidRPr="001B3C5D">
        <w:rPr>
          <w:rFonts w:ascii="Verdana" w:eastAsia="Calibri" w:hAnsi="Verdana" w:cs="Arial"/>
          <w:color w:val="000000"/>
          <w:lang w:val="es-MX"/>
        </w:rPr>
        <w:lastRenderedPageBreak/>
        <w:t xml:space="preserve">regiones, la cuantía, el fomento de la economía local y la naturaleza y especialidad de la contratación. Para tal efecto se deberá llevar a cabo un proceso de capacitación para los municipios. </w:t>
      </w:r>
    </w:p>
    <w:p w14:paraId="4F866150" w14:textId="77777777" w:rsidR="001B3C5D" w:rsidRPr="001B3C5D" w:rsidRDefault="001B3C5D" w:rsidP="001B3C5D">
      <w:pPr>
        <w:spacing w:before="120" w:after="120" w:line="276" w:lineRule="auto"/>
        <w:ind w:firstLine="360"/>
        <w:jc w:val="both"/>
        <w:rPr>
          <w:rFonts w:ascii="Verdana" w:eastAsia="Calibri" w:hAnsi="Verdana" w:cs="Arial"/>
          <w:color w:val="000000"/>
          <w:lang w:val="es-MX"/>
        </w:rPr>
      </w:pPr>
      <w:r w:rsidRPr="001B3C5D">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71500DFB" w14:textId="77777777" w:rsidR="001B3C5D" w:rsidRPr="001B3C5D" w:rsidRDefault="001B3C5D" w:rsidP="001B3C5D">
      <w:pPr>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1B3C5D">
        <w:rPr>
          <w:rFonts w:ascii="Verdana" w:eastAsia="Calibri" w:hAnsi="Verdana" w:cs="Arial"/>
          <w:color w:val="000000"/>
          <w:vertAlign w:val="superscript"/>
          <w:lang w:val="es-MX"/>
        </w:rPr>
        <w:footnoteReference w:id="13"/>
      </w:r>
      <w:r w:rsidRPr="001B3C5D">
        <w:rPr>
          <w:rFonts w:ascii="Verdana" w:eastAsia="Calibri" w:hAnsi="Verdana" w:cs="Arial"/>
          <w:color w:val="000000"/>
          <w:lang w:val="es-MX"/>
        </w:rPr>
        <w:t>. Esto significa, 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273540CF" w14:textId="77777777" w:rsidR="001B3C5D" w:rsidRPr="001B3C5D" w:rsidRDefault="001B3C5D" w:rsidP="001B3C5D">
      <w:pPr>
        <w:spacing w:before="120" w:after="120" w:line="276" w:lineRule="auto"/>
        <w:ind w:firstLine="642"/>
        <w:jc w:val="both"/>
        <w:rPr>
          <w:rFonts w:ascii="Verdana" w:eastAsia="Aptos" w:hAnsi="Verdana" w:cs="Arial"/>
          <w:kern w:val="2"/>
          <w:lang w:val="es-ES"/>
          <w14:ligatures w14:val="standardContextual"/>
        </w:rPr>
      </w:pPr>
      <w:r w:rsidRPr="001B3C5D">
        <w:rPr>
          <w:rFonts w:ascii="Verdana" w:eastAsia="Calibri" w:hAnsi="Verdana" w:cs="Arial"/>
          <w:color w:val="000000"/>
          <w:lang w:val="es-MX"/>
        </w:rPr>
        <w:t xml:space="preserve">Con la finalidad de realizar un desarrollo armónico y ajustado a la ley que otorga esta competencia, la Agencia Nacional de Contratación Pública expidió la </w:t>
      </w:r>
      <w:r w:rsidRPr="001B3C5D">
        <w:rPr>
          <w:rFonts w:ascii="Verdana" w:eastAsia="Calibri" w:hAnsi="Verdana" w:cs="Arial"/>
          <w:color w:val="000000"/>
          <w:lang w:val="es-MX"/>
        </w:rPr>
        <w:lastRenderedPageBreak/>
        <w:t xml:space="preserve">Resolución 160 del 15 de septiembre de 2020 “Por la cual se adopta el procedimiento para implementar los documentos tipo y se define el sistema para su revisión”. Asimismo, con fundamento en dicha Ley, se </w:t>
      </w:r>
      <w:r w:rsidRPr="001B3C5D">
        <w:rPr>
          <w:rFonts w:ascii="Verdana" w:eastAsia="Aptos" w:hAnsi="Verdana" w:cs="Arial"/>
          <w:kern w:val="2"/>
          <w:lang w:val="es-ES"/>
          <w14:ligatures w14:val="standardContextual"/>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41040AF5" w14:textId="77777777" w:rsidR="001B3C5D" w:rsidRPr="001B3C5D" w:rsidRDefault="001B3C5D" w:rsidP="001B3C5D">
      <w:pPr>
        <w:spacing w:after="120" w:line="276" w:lineRule="auto"/>
        <w:ind w:firstLine="708"/>
        <w:jc w:val="both"/>
        <w:rPr>
          <w:rFonts w:ascii="Verdana" w:eastAsia="Calibri" w:hAnsi="Verdana" w:cs="Arial"/>
          <w:kern w:val="2"/>
          <w14:ligatures w14:val="standardContextual"/>
        </w:rPr>
      </w:pPr>
      <w:r w:rsidRPr="001B3C5D">
        <w:rPr>
          <w:rFonts w:ascii="Verdana" w:eastAsia="Aptos" w:hAnsi="Verdana" w:cs="Arial"/>
          <w:kern w:val="2"/>
          <w14:ligatures w14:val="standardContextual"/>
        </w:rPr>
        <w:t xml:space="preserve">Concretamente, con fundamento en el artículo 1 de la Ley 2022 de 2020, </w:t>
      </w:r>
      <w:r w:rsidRPr="001B3C5D">
        <w:rPr>
          <w:rFonts w:ascii="Verdana" w:eastAsia="Calibri" w:hAnsi="Verdana" w:cs="Arial"/>
          <w:kern w:val="2"/>
          <w:lang w:val="es-MX"/>
          <w14:ligatures w14:val="standardContextual"/>
        </w:rPr>
        <w:t xml:space="preserve">la Agencia Nacional de Contratación Pública – Colombia Compra </w:t>
      </w:r>
      <w:r w:rsidRPr="001B3C5D">
        <w:rPr>
          <w:rFonts w:ascii="Verdana" w:eastAsia="Calibri" w:hAnsi="Verdana" w:cs="Arial"/>
          <w:kern w:val="2"/>
          <w14:ligatures w14:val="standardContextual"/>
        </w:rPr>
        <w:t>Eficiente expidió los siguientes documentos tipo que se encuentran vigentes:</w:t>
      </w:r>
    </w:p>
    <w:p w14:paraId="532536F7"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i. Sector de Infraestructura de Transporte:</w:t>
      </w:r>
    </w:p>
    <w:p w14:paraId="55BA7307"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456 del 10 de septiembre de 2024: “Por la cual se adopta la versión 4 de los documentos tipo para los procesos de selección de licitación de obra pública de infraestructura de transporte y se deroga la Resolución 240 de 2020”.</w:t>
      </w:r>
    </w:p>
    <w:p w14:paraId="6CDBB074"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430D34F9"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464 del 10 de septiembre de 2024: “Por la cual se actualizan los documentos tipo para los procesos de obra pública de infraestructura de transporte adelantados bajo la modalidad de mínima cuantía”. </w:t>
      </w:r>
    </w:p>
    <w:p w14:paraId="6CB5FE69"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1CEDE6B3"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726 del 19 de diciembre de 2024: “Por la cual se adopta la versión 2 de los documentos tipo para los procesos de selección de concurso de </w:t>
      </w:r>
      <w:r w:rsidRPr="001B3C5D">
        <w:rPr>
          <w:rFonts w:ascii="Verdana" w:eastAsia="Aptos" w:hAnsi="Verdana" w:cs="Arial"/>
          <w:kern w:val="2"/>
          <w14:ligatures w14:val="standardContextual"/>
        </w:rPr>
        <w:lastRenderedPageBreak/>
        <w:t>méritos para contratar la consultoría de ingeniería de infraestructura de transporte y se deroga la Resolución 193 de 2021”.</w:t>
      </w:r>
    </w:p>
    <w:p w14:paraId="6DB831B9"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ii</w:t>
      </w:r>
      <w:proofErr w:type="spellEnd"/>
      <w:r w:rsidRPr="001B3C5D">
        <w:rPr>
          <w:rFonts w:ascii="Verdana" w:eastAsia="Aptos" w:hAnsi="Verdana" w:cs="Arial"/>
          <w:kern w:val="2"/>
          <w14:ligatures w14:val="standardContextual"/>
        </w:rPr>
        <w:t>. Sector de Infraestructura de Agua Potable y Saneamiento Básico:</w:t>
      </w:r>
    </w:p>
    <w:p w14:paraId="4E587819"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248 del 1 de diciembre de 2020: "Por la cual se adoptan los documentos tipo para los procesos de licitación pública para obras de infraestructura de agua potable y saneamiento básico"</w:t>
      </w:r>
    </w:p>
    <w:p w14:paraId="33043485"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w:t>
      </w:r>
    </w:p>
    <w:p w14:paraId="435F9933"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45850CEC"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iii</w:t>
      </w:r>
      <w:proofErr w:type="spellEnd"/>
      <w:r w:rsidRPr="001B3C5D">
        <w:rPr>
          <w:rFonts w:ascii="Verdana" w:eastAsia="Aptos" w:hAnsi="Verdana" w:cs="Arial"/>
          <w:kern w:val="2"/>
          <w14:ligatures w14:val="standardContextual"/>
        </w:rPr>
        <w:t xml:space="preserve">. Sector de Infraestructura Social: </w:t>
      </w:r>
    </w:p>
    <w:p w14:paraId="1C4D99F2"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68179514"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 </w:t>
      </w:r>
      <w:proofErr w:type="spellStart"/>
      <w:r w:rsidRPr="001B3C5D">
        <w:rPr>
          <w:rFonts w:ascii="Verdana" w:eastAsia="Aptos" w:hAnsi="Verdana" w:cs="Arial"/>
          <w:kern w:val="2"/>
          <w14:ligatures w14:val="standardContextual"/>
        </w:rPr>
        <w:t>ii</w:t>
      </w:r>
      <w:proofErr w:type="spellEnd"/>
      <w:r w:rsidRPr="001B3C5D">
        <w:rPr>
          <w:rFonts w:ascii="Verdana" w:eastAsia="Aptos" w:hAnsi="Verdana" w:cs="Arial"/>
          <w:kern w:val="2"/>
          <w14:ligatures w14:val="standardContextual"/>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6BBF1AFF"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iii</w:t>
      </w:r>
      <w:proofErr w:type="spellEnd"/>
      <w:r w:rsidRPr="001B3C5D">
        <w:rPr>
          <w:rFonts w:ascii="Verdana" w:eastAsia="Aptos" w:hAnsi="Verdana" w:cs="Arial"/>
          <w:kern w:val="2"/>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w:t>
      </w:r>
      <w:r w:rsidRPr="001B3C5D">
        <w:rPr>
          <w:rFonts w:ascii="Verdana" w:eastAsia="Aptos" w:hAnsi="Verdana" w:cs="Arial"/>
          <w:kern w:val="2"/>
          <w14:ligatures w14:val="standardContextual"/>
        </w:rPr>
        <w:lastRenderedPageBreak/>
        <w:t xml:space="preserve">de mínima cuantía de obra pública de infraestructura social relacionados con los sectores educación, salud, cultura, recreación y deporte, institucional y vivienda”. </w:t>
      </w:r>
    </w:p>
    <w:p w14:paraId="1D7B96B5"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iv</w:t>
      </w:r>
      <w:proofErr w:type="spellEnd"/>
      <w:r w:rsidRPr="001B3C5D">
        <w:rPr>
          <w:rFonts w:ascii="Verdana" w:eastAsia="Aptos" w:hAnsi="Verdana" w:cs="Arial"/>
          <w:kern w:val="2"/>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29517127"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346E9F03"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iv</w:t>
      </w:r>
      <w:proofErr w:type="spellEnd"/>
      <w:r w:rsidRPr="001B3C5D">
        <w:rPr>
          <w:rFonts w:ascii="Verdana" w:eastAsia="Aptos" w:hAnsi="Verdana" w:cs="Arial"/>
          <w:kern w:val="2"/>
          <w14:ligatures w14:val="standardContextual"/>
        </w:rPr>
        <w:t>. Documentos tipo para la contratación directa de convenios solidarios:</w:t>
      </w:r>
    </w:p>
    <w:p w14:paraId="12D718A0" w14:textId="77777777" w:rsidR="001B3C5D" w:rsidRPr="001B3C5D" w:rsidRDefault="001B3C5D" w:rsidP="001B3C5D">
      <w:pPr>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Arial"/>
          <w:kern w:val="2"/>
          <w14:ligatures w14:val="standardContextual"/>
        </w:rPr>
        <w:t>Resolución 358 del 30 de junio de 2023 “</w:t>
      </w:r>
      <w:r w:rsidRPr="001B3C5D">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60D86021" w14:textId="77777777" w:rsidR="001B3C5D" w:rsidRPr="001B3C5D" w:rsidRDefault="001B3C5D" w:rsidP="001B3C5D">
      <w:pPr>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 Documentos tipo de gestión catastral: </w:t>
      </w:r>
    </w:p>
    <w:p w14:paraId="67ECC00E" w14:textId="77777777" w:rsidR="001B3C5D" w:rsidRPr="001B3C5D" w:rsidRDefault="001B3C5D" w:rsidP="001B3C5D">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269 del 16 de diciembre de 2020 “Por la cual se adopta el documento tipo para los procesos de gestión catastral con enfoque multipropósito que se celebren a través de contratos interadministrativos”. </w:t>
      </w:r>
    </w:p>
    <w:p w14:paraId="0090D2C6" w14:textId="77777777" w:rsidR="001B3C5D" w:rsidRPr="001B3C5D" w:rsidRDefault="001B3C5D" w:rsidP="001B3C5D">
      <w:pPr>
        <w:spacing w:after="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Las resoluciones señaladas reiteran el alcance de la obligatoriedad de los documentos tipo en la materia y establecen parámetros obligatorios para las entidades estatales obligadas a su aplicación,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4EF2A8CE" w14:textId="77777777" w:rsidR="001B3C5D" w:rsidRPr="001B3C5D" w:rsidRDefault="001B3C5D" w:rsidP="001B3C5D">
      <w:pPr>
        <w:spacing w:after="0" w:line="276" w:lineRule="auto"/>
        <w:ind w:firstLine="708"/>
        <w:jc w:val="both"/>
        <w:rPr>
          <w:rFonts w:ascii="Verdana" w:eastAsia="Aptos" w:hAnsi="Verdana" w:cs="Arial"/>
          <w:kern w:val="2"/>
          <w14:ligatures w14:val="standardContextual"/>
        </w:rPr>
      </w:pPr>
    </w:p>
    <w:p w14:paraId="4E42CD7D" w14:textId="77777777" w:rsidR="001B3C5D" w:rsidRPr="001B3C5D" w:rsidRDefault="001B3C5D" w:rsidP="001B3C5D">
      <w:pPr>
        <w:spacing w:after="0" w:line="276" w:lineRule="auto"/>
        <w:jc w:val="both"/>
        <w:rPr>
          <w:rFonts w:ascii="Verdana" w:eastAsia="Calibri" w:hAnsi="Verdana" w:cs="Arial"/>
          <w:color w:val="000000"/>
          <w:lang w:val="es-MX"/>
        </w:rPr>
      </w:pPr>
      <w:proofErr w:type="spellStart"/>
      <w:r w:rsidRPr="001B3C5D">
        <w:rPr>
          <w:rFonts w:ascii="Verdana" w:eastAsia="Aptos" w:hAnsi="Verdana" w:cs="Times New Roman"/>
          <w:color w:val="000000"/>
          <w:kern w:val="2"/>
          <w:szCs w:val="24"/>
          <w14:ligatures w14:val="standardContextual"/>
        </w:rPr>
        <w:lastRenderedPageBreak/>
        <w:t>ii</w:t>
      </w:r>
      <w:proofErr w:type="spellEnd"/>
      <w:r w:rsidRPr="001B3C5D">
        <w:rPr>
          <w:rFonts w:ascii="Verdana" w:eastAsia="Aptos" w:hAnsi="Verdana" w:cs="Times New Roman"/>
          <w:color w:val="000000"/>
          <w:kern w:val="2"/>
          <w:szCs w:val="24"/>
          <w14:ligatures w14:val="standardContextual"/>
        </w:rPr>
        <w:t>. La jurisprudencia de la Corte Constitucional</w:t>
      </w:r>
      <w:r w:rsidRPr="001B3C5D">
        <w:rPr>
          <w:rFonts w:ascii="Verdana" w:eastAsia="Aptos" w:hAnsi="Verdana" w:cs="Times New Roman"/>
          <w:color w:val="000000"/>
          <w:kern w:val="2"/>
          <w:szCs w:val="24"/>
          <w:vertAlign w:val="superscript"/>
          <w14:ligatures w14:val="standardContextual"/>
        </w:rPr>
        <w:footnoteReference w:id="14"/>
      </w:r>
      <w:r w:rsidRPr="001B3C5D">
        <w:rPr>
          <w:rFonts w:ascii="Verdana" w:eastAsia="Aptos" w:hAnsi="Verdana" w:cs="Times New Roman"/>
          <w:color w:val="000000"/>
          <w:kern w:val="2"/>
          <w:szCs w:val="24"/>
          <w14:ligatures w14:val="standardContextual"/>
        </w:rPr>
        <w:t xml:space="preserve"> y el Consejo de Estado</w:t>
      </w:r>
      <w:r w:rsidRPr="001B3C5D">
        <w:rPr>
          <w:rFonts w:ascii="Verdana" w:eastAsia="Aptos" w:hAnsi="Verdana" w:cs="Times New Roman"/>
          <w:color w:val="000000"/>
          <w:kern w:val="2"/>
          <w:szCs w:val="24"/>
          <w:vertAlign w:val="superscript"/>
          <w14:ligatures w14:val="standardContextual"/>
        </w:rPr>
        <w:footnoteReference w:id="15"/>
      </w:r>
      <w:r w:rsidRPr="001B3C5D">
        <w:rPr>
          <w:rFonts w:ascii="Verdana" w:eastAsia="Aptos" w:hAnsi="Verdana" w:cs="Times New Roman"/>
          <w:color w:val="000000"/>
          <w:kern w:val="2"/>
          <w:szCs w:val="24"/>
          <w14:ligatures w14:val="standardContextual"/>
        </w:rPr>
        <w:t xml:space="preserve"> coinciden en afirmar que la potestad reglamentaria no recae exclusivamente en el presidente de la República y que en Colombia opera un </w:t>
      </w:r>
      <w:r w:rsidRPr="001B3C5D">
        <w:rPr>
          <w:rFonts w:ascii="Verdana" w:eastAsia="Aptos" w:hAnsi="Verdana" w:cs="Times New Roman"/>
          <w:color w:val="000000"/>
          <w:kern w:val="2"/>
          <w:szCs w:val="24"/>
          <w:lang w:eastAsia="es-CO"/>
          <w14:ligatures w14:val="standardContextual"/>
        </w:rPr>
        <w:t>“</w:t>
      </w:r>
      <w:r w:rsidRPr="001B3C5D">
        <w:rPr>
          <w:rFonts w:ascii="Verdana" w:eastAsia="Aptos" w:hAnsi="Verdana" w:cs="Times New Roman"/>
          <w:color w:val="000000"/>
          <w:kern w:val="2"/>
          <w:szCs w:val="24"/>
          <w14:ligatures w14:val="standardContextual"/>
        </w:rPr>
        <w:t>sistema difuso</w:t>
      </w:r>
      <w:r w:rsidRPr="001B3C5D">
        <w:rPr>
          <w:rFonts w:ascii="Verdana" w:eastAsia="Aptos" w:hAnsi="Verdana" w:cs="Times New Roman"/>
          <w:color w:val="000000"/>
          <w:kern w:val="2"/>
          <w:szCs w:val="24"/>
          <w:lang w:eastAsia="es-CO"/>
          <w14:ligatures w14:val="standardContextual"/>
        </w:rPr>
        <w:t>”</w:t>
      </w:r>
      <w:r w:rsidRPr="001B3C5D">
        <w:rPr>
          <w:rFonts w:ascii="Verdana" w:eastAsia="Aptos" w:hAnsi="Verdana" w:cs="Times New Roman"/>
          <w:color w:val="000000"/>
          <w:kern w:val="2"/>
          <w:szCs w:val="24"/>
          <w14:ligatures w14:val="standardContextual"/>
        </w:rPr>
        <w:t xml:space="preserve"> de producción normativa de carácter general. </w:t>
      </w:r>
      <w:r w:rsidRPr="001B3C5D">
        <w:rPr>
          <w:rFonts w:ascii="Verdana" w:eastAsia="Aptos" w:hAnsi="Verdana" w:cs="Times New Roman"/>
          <w:color w:val="000000"/>
          <w:kern w:val="2"/>
          <w:szCs w:val="24"/>
          <w:lang w:eastAsia="es-CO"/>
          <w14:ligatures w14:val="standardContextual"/>
        </w:rPr>
        <w:t>Además, señalan que son dos los elementos fundamentales de la potestad reglamentaria, a saber:</w:t>
      </w:r>
    </w:p>
    <w:p w14:paraId="73D213DE" w14:textId="77777777" w:rsidR="001B3C5D" w:rsidRPr="001B3C5D" w:rsidRDefault="001B3C5D" w:rsidP="001B3C5D">
      <w:pPr>
        <w:spacing w:after="0" w:line="276" w:lineRule="auto"/>
        <w:ind w:right="51"/>
        <w:jc w:val="both"/>
        <w:rPr>
          <w:rFonts w:ascii="Verdana" w:eastAsia="Times New Roman" w:hAnsi="Verdana" w:cs="Arial"/>
          <w:szCs w:val="24"/>
          <w:lang w:eastAsia="es-MX"/>
        </w:rPr>
      </w:pPr>
    </w:p>
    <w:p w14:paraId="5D511539" w14:textId="77777777" w:rsidR="001B3C5D" w:rsidRPr="001B3C5D" w:rsidRDefault="001B3C5D" w:rsidP="001B3C5D">
      <w:pPr>
        <w:numPr>
          <w:ilvl w:val="0"/>
          <w:numId w:val="20"/>
        </w:numPr>
        <w:spacing w:after="0" w:line="276" w:lineRule="auto"/>
        <w:ind w:right="51"/>
        <w:contextualSpacing/>
        <w:jc w:val="both"/>
        <w:rPr>
          <w:rFonts w:ascii="Verdana" w:eastAsia="Times New Roman" w:hAnsi="Verdana" w:cs="Arial"/>
          <w:szCs w:val="24"/>
          <w:lang w:eastAsia="es-MX"/>
        </w:rPr>
      </w:pPr>
      <w:r w:rsidRPr="001B3C5D">
        <w:rPr>
          <w:rFonts w:ascii="Verdana" w:eastAsia="Times New Roman" w:hAnsi="Verdana" w:cs="Arial"/>
          <w:b/>
          <w:bCs/>
          <w:szCs w:val="24"/>
          <w:lang w:eastAsia="es-MX"/>
        </w:rPr>
        <w:t>Necesidad:</w:t>
      </w:r>
      <w:r w:rsidRPr="001B3C5D">
        <w:rPr>
          <w:rFonts w:ascii="Verdana" w:eastAsia="Times New Roman" w:hAnsi="Verdana" w:cs="Arial"/>
          <w:szCs w:val="24"/>
          <w:lang w:eastAsia="es-MX"/>
        </w:rPr>
        <w:t xml:space="preserve"> consiste en que el ejercicio de la potestad reglamentaria se justifica en la medida en que la ley deje espacios de regulación que necesitan llenarse para la ejecución de esta mediante la expedición de actos jurídicos de contenido normativo, pues el legislador puede, en virtud del principio de libertad de configuración legislativa, determinar libremente hasta dónde regula la materia respectiva</w:t>
      </w:r>
      <w:r w:rsidRPr="001B3C5D">
        <w:rPr>
          <w:rFonts w:ascii="Verdana" w:eastAsia="Times New Roman" w:hAnsi="Verdana" w:cs="Arial"/>
          <w:szCs w:val="24"/>
          <w:vertAlign w:val="superscript"/>
          <w:lang w:eastAsia="es-MX"/>
        </w:rPr>
        <w:footnoteReference w:id="16"/>
      </w:r>
      <w:r w:rsidRPr="001B3C5D">
        <w:rPr>
          <w:rFonts w:ascii="Verdana" w:eastAsia="Times New Roman" w:hAnsi="Verdana" w:cs="Arial"/>
          <w:szCs w:val="24"/>
          <w:vertAlign w:val="superscript"/>
          <w:lang w:eastAsia="es-MX"/>
        </w:rPr>
        <w:t>;</w:t>
      </w:r>
    </w:p>
    <w:p w14:paraId="0AA80301" w14:textId="77777777" w:rsidR="001B3C5D" w:rsidRPr="001B3C5D" w:rsidRDefault="001B3C5D" w:rsidP="001B3C5D">
      <w:pPr>
        <w:spacing w:after="0" w:line="276" w:lineRule="auto"/>
        <w:ind w:right="51"/>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 </w:t>
      </w:r>
    </w:p>
    <w:p w14:paraId="6A87E1ED" w14:textId="77777777" w:rsidR="001B3C5D" w:rsidRPr="001B3C5D" w:rsidRDefault="001B3C5D" w:rsidP="001B3C5D">
      <w:pPr>
        <w:numPr>
          <w:ilvl w:val="0"/>
          <w:numId w:val="20"/>
        </w:numPr>
        <w:spacing w:after="0" w:line="276" w:lineRule="auto"/>
        <w:ind w:right="51"/>
        <w:contextualSpacing/>
        <w:jc w:val="both"/>
        <w:rPr>
          <w:rFonts w:ascii="Verdana" w:eastAsia="Times New Roman" w:hAnsi="Verdana" w:cs="Arial"/>
          <w:szCs w:val="24"/>
          <w:lang w:eastAsia="es-MX"/>
        </w:rPr>
      </w:pPr>
      <w:r w:rsidRPr="001B3C5D">
        <w:rPr>
          <w:rFonts w:ascii="Verdana" w:eastAsia="Times New Roman" w:hAnsi="Verdana" w:cs="Arial"/>
          <w:b/>
          <w:bCs/>
          <w:szCs w:val="24"/>
          <w:lang w:eastAsia="es-MX"/>
        </w:rPr>
        <w:t>Finalidad:</w:t>
      </w:r>
      <w:r w:rsidRPr="001B3C5D">
        <w:rPr>
          <w:rFonts w:ascii="Verdana" w:eastAsia="Times New Roman" w:hAnsi="Verdana" w:cs="Arial"/>
          <w:szCs w:val="24"/>
          <w:lang w:eastAsia="es-MX"/>
        </w:rPr>
        <w:t xml:space="preserve"> tiene que ver con el contenido material de los actos que se dicten en ejercicio de la potestad reglamentaria, pues los decretos y resoluciones expedidos por el Gobierno nacional en ejercicio de dicha potestad están subordinados a la ley, de manera que el reglamento no puede modificarla, ampliarla o restringir sus efectos. Este último elemento, está asociado al respeto del principio de supremacía normativa pues, el ordenamiento jurídico colombiano supone una jerarquía que emana de la propia Constitución</w:t>
      </w:r>
      <w:r w:rsidRPr="001B3C5D">
        <w:rPr>
          <w:rFonts w:ascii="Verdana" w:eastAsia="Times New Roman" w:hAnsi="Verdana" w:cs="Arial"/>
          <w:szCs w:val="24"/>
          <w:vertAlign w:val="superscript"/>
          <w:lang w:eastAsia="es-MX"/>
        </w:rPr>
        <w:footnoteReference w:id="17"/>
      </w:r>
      <w:r w:rsidRPr="001B3C5D">
        <w:rPr>
          <w:rFonts w:ascii="Verdana" w:eastAsia="Times New Roman" w:hAnsi="Verdana" w:cs="Arial"/>
          <w:szCs w:val="24"/>
          <w:lang w:eastAsia="es-MX"/>
        </w:rPr>
        <w:t>.</w:t>
      </w:r>
    </w:p>
    <w:p w14:paraId="79F33383" w14:textId="77777777" w:rsidR="001B3C5D" w:rsidRPr="001B3C5D" w:rsidRDefault="001B3C5D" w:rsidP="001B3C5D">
      <w:pPr>
        <w:spacing w:after="0" w:line="240" w:lineRule="auto"/>
        <w:ind w:left="357" w:right="51"/>
        <w:jc w:val="both"/>
        <w:rPr>
          <w:rFonts w:ascii="Verdana" w:eastAsia="Times New Roman" w:hAnsi="Verdana" w:cs="Arial"/>
          <w:szCs w:val="24"/>
          <w:lang w:eastAsia="es-MX"/>
        </w:rPr>
      </w:pPr>
    </w:p>
    <w:p w14:paraId="020C1072" w14:textId="77777777" w:rsidR="001B3C5D" w:rsidRPr="001B3C5D" w:rsidRDefault="001B3C5D" w:rsidP="001B3C5D">
      <w:pPr>
        <w:spacing w:after="0" w:line="276" w:lineRule="auto"/>
        <w:ind w:right="50" w:firstLine="708"/>
        <w:jc w:val="both"/>
        <w:rPr>
          <w:rFonts w:ascii="Verdana" w:eastAsia="Times New Roman" w:hAnsi="Verdana" w:cs="Arial"/>
          <w:szCs w:val="24"/>
          <w:lang w:eastAsia="es-MX"/>
        </w:rPr>
      </w:pPr>
      <w:r w:rsidRPr="001B3C5D">
        <w:rPr>
          <w:rFonts w:ascii="Verdana" w:eastAsia="Times New Roman" w:hAnsi="Verdana" w:cs="Arial"/>
          <w:szCs w:val="24"/>
          <w:lang w:eastAsia="es-ES"/>
        </w:rPr>
        <w:lastRenderedPageBreak/>
        <w:t>En efecto, el desarrollo de la potestad reglamentaria exige que la ley haya configurado una materialidad legislativa básica, pues busca convertir en realidad un enunciado normativo abstracto. Los límites de esta facultad han sido desarrollados por la jurisprudencia de las Altas Cortes, en especial por la Corte Constitucional, quien a modo de subreglas</w:t>
      </w:r>
      <w:r w:rsidRPr="001B3C5D">
        <w:rPr>
          <w:rFonts w:ascii="Verdana" w:eastAsia="Times New Roman" w:hAnsi="Verdana" w:cs="Arial"/>
          <w:szCs w:val="24"/>
          <w:vertAlign w:val="superscript"/>
          <w:lang w:eastAsia="es-MX"/>
        </w:rPr>
        <w:footnoteReference w:id="18"/>
      </w:r>
      <w:r w:rsidRPr="001B3C5D">
        <w:rPr>
          <w:rFonts w:ascii="Verdana" w:eastAsia="Times New Roman" w:hAnsi="Verdana" w:cs="Arial"/>
          <w:szCs w:val="24"/>
          <w:lang w:eastAsia="es-ES"/>
        </w:rPr>
        <w:t xml:space="preserve"> explica ciertas limitaciones en el ejercicio de esta competencia</w:t>
      </w:r>
      <w:r w:rsidRPr="001B3C5D">
        <w:rPr>
          <w:rFonts w:ascii="Verdana" w:eastAsia="Times New Roman" w:hAnsi="Verdana" w:cs="Arial"/>
          <w:szCs w:val="24"/>
          <w:lang w:eastAsia="es-MX"/>
        </w:rPr>
        <w:t>:</w:t>
      </w:r>
    </w:p>
    <w:p w14:paraId="23DF8F73" w14:textId="77777777" w:rsidR="001B3C5D" w:rsidRPr="001B3C5D" w:rsidRDefault="001B3C5D" w:rsidP="001B3C5D">
      <w:pPr>
        <w:spacing w:after="0" w:line="276" w:lineRule="auto"/>
        <w:ind w:right="50"/>
        <w:jc w:val="both"/>
        <w:rPr>
          <w:rFonts w:ascii="Verdana" w:eastAsia="Times New Roman" w:hAnsi="Verdana" w:cs="Arial"/>
          <w:szCs w:val="24"/>
          <w:lang w:eastAsia="es-MX"/>
        </w:rPr>
      </w:pPr>
    </w:p>
    <w:p w14:paraId="528F04CC" w14:textId="77777777" w:rsidR="001B3C5D" w:rsidRPr="001B3C5D" w:rsidRDefault="001B3C5D" w:rsidP="001B3C5D">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La potestad reglamentaria se restringe en la medida en que el Congreso de la República utilice en mayor o menor grado sus poderes jurídicos. Tanto así, que se ha manifestado que la misma es inversamente proporcional a la extensión de la ley. </w:t>
      </w:r>
    </w:p>
    <w:p w14:paraId="53B7E4AB" w14:textId="77777777" w:rsidR="001B3C5D" w:rsidRPr="001B3C5D" w:rsidRDefault="001B3C5D" w:rsidP="001B3C5D">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El presidente no podrá establecer por vía de decreto reglamentario una excepción, aun cuando la misma fuera supuestamente temporal, sin que previa y expresamente el legislador lo hubiere autorizado para ello y fijado un límite temporal específico. </w:t>
      </w:r>
    </w:p>
    <w:p w14:paraId="50CC56CD" w14:textId="77777777" w:rsidR="001B3C5D" w:rsidRPr="001B3C5D" w:rsidRDefault="001B3C5D" w:rsidP="001B3C5D">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Cualquier determinación sobre la vigencia de las leyes sólo puede definirla el propio legislador. </w:t>
      </w:r>
    </w:p>
    <w:p w14:paraId="4A2AD8C7" w14:textId="77777777" w:rsidR="001B3C5D" w:rsidRPr="001B3C5D" w:rsidRDefault="001B3C5D" w:rsidP="001B3C5D">
      <w:pPr>
        <w:numPr>
          <w:ilvl w:val="0"/>
          <w:numId w:val="18"/>
        </w:numPr>
        <w:spacing w:before="100" w:beforeAutospacing="1" w:after="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El ejercicio de la potestad reglamentaria no debe sobrepasar ni invadir la competencia del Congreso de la República, en el sentido de que el reglamento no puede desfigurar la situación regulada por la ley ni hacerla nugatoria.</w:t>
      </w:r>
    </w:p>
    <w:p w14:paraId="68CB301E" w14:textId="77777777" w:rsidR="001B3C5D" w:rsidRPr="001B3C5D" w:rsidRDefault="001B3C5D" w:rsidP="001B3C5D">
      <w:pPr>
        <w:numPr>
          <w:ilvl w:val="0"/>
          <w:numId w:val="18"/>
        </w:numPr>
        <w:spacing w:after="0" w:line="276" w:lineRule="auto"/>
        <w:ind w:left="709" w:right="51" w:hanging="567"/>
        <w:jc w:val="both"/>
        <w:rPr>
          <w:rFonts w:ascii="Verdana" w:eastAsia="Times New Roman" w:hAnsi="Verdana" w:cs="Arial"/>
          <w:szCs w:val="24"/>
          <w:lang w:eastAsia="es-MX"/>
        </w:rPr>
      </w:pPr>
      <w:r w:rsidRPr="001B3C5D">
        <w:rPr>
          <w:rFonts w:ascii="Verdana" w:eastAsia="Times New Roman" w:hAnsi="Verdana" w:cs="Arial"/>
          <w:szCs w:val="24"/>
          <w:lang w:eastAsia="es-MX"/>
        </w:rPr>
        <w:t>La potestad reglamentaria no puede incluir requisitos adicionales a los previstos en la ley, y el Gobierno no puede desconocer la Constitución ni el contenido o las pautas trazadas en la ley ni reglamentar normas que no ejecuta la administración.</w:t>
      </w:r>
    </w:p>
    <w:p w14:paraId="5601E955" w14:textId="77777777" w:rsidR="001B3C5D" w:rsidRPr="001B3C5D" w:rsidRDefault="001B3C5D" w:rsidP="001B3C5D">
      <w:pPr>
        <w:spacing w:after="0" w:line="240" w:lineRule="auto"/>
        <w:jc w:val="both"/>
        <w:rPr>
          <w:rFonts w:ascii="Verdana" w:eastAsia="Times New Roman" w:hAnsi="Verdana" w:cs="Arial"/>
          <w:lang w:eastAsia="es-MX"/>
        </w:rPr>
      </w:pPr>
    </w:p>
    <w:p w14:paraId="22613414" w14:textId="77777777" w:rsidR="001B3C5D" w:rsidRPr="001B3C5D" w:rsidRDefault="001B3C5D" w:rsidP="001B3C5D">
      <w:pPr>
        <w:spacing w:after="120" w:line="276" w:lineRule="auto"/>
        <w:ind w:firstLine="708"/>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Como se explicó en acápites anteriores, la Ley 2022 de 2020 facultó a la Agencia Nacional de Contratación Pública – Colombia Compra Eficiente para adoptar documentos tipo que serán de obligatorio cumplimiento en la actividad contractual de las entidades sometidas al Estatuto General de Contratación de </w:t>
      </w:r>
      <w:r w:rsidRPr="001B3C5D">
        <w:rPr>
          <w:rFonts w:ascii="Verdana" w:eastAsia="Times New Roman" w:hAnsi="Verdana" w:cs="Arial"/>
          <w:szCs w:val="24"/>
          <w:lang w:eastAsia="es-MX"/>
        </w:rPr>
        <w:lastRenderedPageBreak/>
        <w:t xml:space="preserve">la Administración Pública. De este modo, la intención del legislador fue otorgarle esta facultad al ente rector del Sistema de Compra Pública. </w:t>
      </w:r>
    </w:p>
    <w:p w14:paraId="0617A0B6" w14:textId="77777777" w:rsidR="001B3C5D" w:rsidRPr="001B3C5D" w:rsidRDefault="001B3C5D" w:rsidP="001B3C5D">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szCs w:val="24"/>
          <w:lang w:eastAsia="es-MX"/>
        </w:rPr>
        <w:t>Al respecto, la jurisprudencia constitucional ha reconocido a los organismos y a las autoridades que “en la jerarquía administrativa lo suceden al presidente de la República, una cierta competencia regulativa, de carácter residual, accesoria o auxiliar, que los habilita para insertar la voluntad del legislador en las últimas posibilidades de aplicación de la norma general</w:t>
      </w:r>
      <w:r w:rsidRPr="001B3C5D">
        <w:rPr>
          <w:rFonts w:ascii="Verdana" w:eastAsia="Times New Roman" w:hAnsi="Verdana" w:cs="Arial"/>
          <w:i/>
          <w:iCs/>
          <w:szCs w:val="24"/>
          <w:vertAlign w:val="superscript"/>
          <w:lang w:eastAsia="es-MX"/>
        </w:rPr>
        <w:footnoteReference w:id="19"/>
      </w:r>
      <w:r w:rsidRPr="001B3C5D">
        <w:rPr>
          <w:rFonts w:ascii="Verdana" w:eastAsia="Times New Roman" w:hAnsi="Verdana" w:cs="Arial"/>
          <w:szCs w:val="24"/>
          <w:lang w:eastAsia="es-MX"/>
        </w:rPr>
        <w:t>”</w:t>
      </w:r>
      <w:r w:rsidRPr="001B3C5D">
        <w:rPr>
          <w:rFonts w:ascii="Verdana" w:eastAsia="Times New Roman" w:hAnsi="Verdana" w:cs="Arial"/>
          <w:i/>
          <w:iCs/>
          <w:szCs w:val="24"/>
          <w:lang w:eastAsia="es-MX"/>
        </w:rPr>
        <w:t>.</w:t>
      </w:r>
      <w:r w:rsidRPr="001B3C5D">
        <w:rPr>
          <w:rFonts w:ascii="Verdana" w:eastAsia="Times New Roman" w:hAnsi="Verdana" w:cs="Arial"/>
          <w:szCs w:val="24"/>
          <w:lang w:eastAsia="es-MX"/>
        </w:rPr>
        <w:t xml:space="preserve"> Además, el Consejo de Estado, Sección Primera, en la Sentencia del 29 de abril </w:t>
      </w:r>
      <w:r w:rsidRPr="001B3C5D">
        <w:rPr>
          <w:rFonts w:ascii="Verdana" w:eastAsia="Times New Roman" w:hAnsi="Verdana" w:cs="Arial"/>
          <w:lang w:eastAsia="es-MX"/>
        </w:rPr>
        <w:t>de 2015, expediente 6.096, indicó que es posible que ley atribuya facultades reglamentarias a otras autoridades administrativas, particularmente a los ministerios, sin que se entienda disminuida la potestad reglamentaria del presidente de la República</w:t>
      </w:r>
      <w:r w:rsidRPr="001B3C5D">
        <w:rPr>
          <w:rFonts w:ascii="Verdana" w:eastAsia="Times New Roman" w:hAnsi="Verdana" w:cs="Arial"/>
          <w:vertAlign w:val="superscript"/>
          <w:lang w:eastAsia="es-MX"/>
        </w:rPr>
        <w:footnoteReference w:id="20"/>
      </w:r>
      <w:r w:rsidRPr="001B3C5D">
        <w:rPr>
          <w:rFonts w:ascii="Verdana" w:eastAsia="Times New Roman" w:hAnsi="Verdana" w:cs="Arial"/>
          <w:lang w:eastAsia="es-MX"/>
        </w:rPr>
        <w:t xml:space="preserve">. </w:t>
      </w:r>
    </w:p>
    <w:p w14:paraId="537D177E" w14:textId="77777777" w:rsidR="001B3C5D" w:rsidRPr="001B3C5D" w:rsidRDefault="001B3C5D" w:rsidP="001B3C5D">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En efecto, la Corte Constitucional, en Sentencia C-1005 de 2008, expresó que “la justificación de esta asignación de regulación gradual consiste en que precisamente son los organismos administrativos los depositarios de información relacionada de manera directa e inmediata con el funcionamiento práctico de las herramientas de creación legislativa”</w:t>
      </w:r>
      <w:r w:rsidRPr="001B3C5D">
        <w:rPr>
          <w:rFonts w:ascii="Verdana" w:eastAsia="Times New Roman" w:hAnsi="Verdana" w:cs="Arial"/>
          <w:vertAlign w:val="superscript"/>
          <w:lang w:eastAsia="es-MX"/>
        </w:rPr>
        <w:footnoteReference w:id="21"/>
      </w:r>
      <w:r w:rsidRPr="001B3C5D">
        <w:rPr>
          <w:rFonts w:ascii="Verdana" w:eastAsia="Times New Roman" w:hAnsi="Verdana" w:cs="Arial"/>
          <w:lang w:eastAsia="es-MX"/>
        </w:rPr>
        <w:t>, lo que implica que sean 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1B3C5D">
        <w:rPr>
          <w:rFonts w:ascii="Verdana" w:eastAsia="Times New Roman" w:hAnsi="Verdana" w:cs="Arial"/>
          <w:vertAlign w:val="superscript"/>
          <w:lang w:eastAsia="es-MX"/>
        </w:rPr>
        <w:footnoteReference w:id="22"/>
      </w:r>
      <w:r w:rsidRPr="001B3C5D">
        <w:rPr>
          <w:rFonts w:ascii="Verdana" w:eastAsia="Times New Roman" w:hAnsi="Verdana" w:cs="Arial"/>
          <w:lang w:eastAsia="es-MX"/>
        </w:rPr>
        <w:t>.</w:t>
      </w:r>
    </w:p>
    <w:p w14:paraId="00FB3184" w14:textId="77777777" w:rsidR="001B3C5D" w:rsidRPr="001B3C5D" w:rsidRDefault="001B3C5D" w:rsidP="001B3C5D">
      <w:pPr>
        <w:spacing w:after="0" w:line="276" w:lineRule="auto"/>
        <w:ind w:firstLine="708"/>
        <w:jc w:val="both"/>
        <w:rPr>
          <w:rFonts w:ascii="Verdana" w:eastAsia="Times New Roman" w:hAnsi="Verdana" w:cs="Arial"/>
          <w:lang w:eastAsia="es-CO"/>
        </w:rPr>
      </w:pPr>
      <w:r w:rsidRPr="001B3C5D">
        <w:rPr>
          <w:rFonts w:ascii="Verdana" w:eastAsia="Times New Roman" w:hAnsi="Verdana" w:cs="Arial"/>
          <w:lang w:eastAsia="es-CO"/>
        </w:rPr>
        <w:t xml:space="preserve">En este sentido, atendiendo lo previsto en el artículo 1 la Ley 2022 de 2020, </w:t>
      </w:r>
      <w:r w:rsidRPr="001B3C5D">
        <w:rPr>
          <w:rFonts w:ascii="Verdana" w:eastAsia="Times New Roman" w:hAnsi="Verdana" w:cs="Arial"/>
          <w:lang w:eastAsia="es-ES"/>
        </w:rPr>
        <w:t>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al Departamento Nacional de Planeación</w:t>
      </w:r>
      <w:r w:rsidRPr="001B3C5D">
        <w:rPr>
          <w:rFonts w:ascii="Verdana" w:eastAsia="Calibri" w:hAnsi="Verdana" w:cs="Arial"/>
          <w:vertAlign w:val="superscript"/>
          <w:lang w:eastAsia="es-CO"/>
        </w:rPr>
        <w:footnoteReference w:id="23"/>
      </w:r>
      <w:r w:rsidRPr="001B3C5D">
        <w:rPr>
          <w:rFonts w:ascii="Verdana" w:eastAsia="Times New Roman" w:hAnsi="Verdana" w:cs="Arial"/>
          <w:lang w:eastAsia="es-ES"/>
        </w:rPr>
        <w:t xml:space="preserve">, que se erige como ente rector en </w:t>
      </w:r>
      <w:r w:rsidRPr="001B3C5D">
        <w:rPr>
          <w:rFonts w:ascii="Verdana" w:eastAsia="Times New Roman" w:hAnsi="Verdana" w:cs="Arial"/>
          <w:lang w:eastAsia="es-ES"/>
        </w:rPr>
        <w:lastRenderedPageBreak/>
        <w:t>materia de contratación pública en virtud de las funciones atribuidas por el ordenamiento jurídico, en particular en el numeral 2 del artículo 3 del</w:t>
      </w:r>
      <w:r w:rsidRPr="001B3C5D">
        <w:rPr>
          <w:rFonts w:ascii="Verdana" w:eastAsia="Times New Roman" w:hAnsi="Verdana" w:cs="Arial"/>
          <w:lang w:eastAsia="es-CO"/>
        </w:rPr>
        <w:t xml:space="preserve"> Decreto Ley 4170 de 2011, en el que se otorgó la función de:</w:t>
      </w:r>
    </w:p>
    <w:p w14:paraId="3FA74848" w14:textId="77777777" w:rsidR="001B3C5D" w:rsidRPr="001B3C5D" w:rsidRDefault="001B3C5D" w:rsidP="001B3C5D">
      <w:pPr>
        <w:spacing w:after="0" w:line="240" w:lineRule="auto"/>
        <w:jc w:val="both"/>
        <w:rPr>
          <w:rFonts w:ascii="Verdana" w:eastAsia="Times New Roman" w:hAnsi="Verdana" w:cs="Arial"/>
          <w:lang w:eastAsia="es-CO"/>
        </w:rPr>
      </w:pPr>
    </w:p>
    <w:p w14:paraId="0F8CB5E5" w14:textId="77777777" w:rsidR="001B3C5D" w:rsidRPr="001B3C5D" w:rsidRDefault="001B3C5D" w:rsidP="001B3C5D">
      <w:pPr>
        <w:spacing w:after="0" w:line="240" w:lineRule="auto"/>
        <w:ind w:left="709" w:right="709"/>
        <w:jc w:val="both"/>
        <w:rPr>
          <w:rFonts w:ascii="Verdana" w:eastAsia="Times New Roman" w:hAnsi="Verdana" w:cs="Arial"/>
          <w:sz w:val="21"/>
          <w:szCs w:val="21"/>
          <w:lang w:eastAsia="es-CO"/>
        </w:rPr>
      </w:pPr>
      <w:r w:rsidRPr="001B3C5D">
        <w:rPr>
          <w:rFonts w:ascii="Verdana" w:eastAsia="Times New Roman" w:hAnsi="Verdana" w:cs="Arial"/>
          <w:sz w:val="21"/>
          <w:szCs w:val="21"/>
          <w:u w:val="single"/>
          <w:lang w:eastAsia="es-CO"/>
        </w:rPr>
        <w:t>“Desarrollar,</w:t>
      </w:r>
      <w:r w:rsidRPr="001B3C5D">
        <w:rPr>
          <w:rFonts w:ascii="Verdana" w:eastAsia="Times New Roman" w:hAnsi="Verdana" w:cs="Arial"/>
          <w:sz w:val="21"/>
          <w:szCs w:val="21"/>
          <w:lang w:eastAsia="es-CO"/>
        </w:rPr>
        <w:t xml:space="preserve"> </w:t>
      </w:r>
      <w:r w:rsidRPr="001B3C5D">
        <w:rPr>
          <w:rFonts w:ascii="Verdana" w:eastAsia="Times New Roman" w:hAnsi="Verdana" w:cs="Arial"/>
          <w:sz w:val="21"/>
          <w:szCs w:val="21"/>
          <w:u w:val="single"/>
          <w:lang w:eastAsia="es-CO"/>
        </w:rPr>
        <w:t>implementar y difundir</w:t>
      </w:r>
      <w:r w:rsidRPr="001B3C5D">
        <w:rPr>
          <w:rFonts w:ascii="Verdana" w:eastAsia="Times New Roman" w:hAnsi="Verdana" w:cs="Arial"/>
          <w:sz w:val="21"/>
          <w:szCs w:val="21"/>
          <w:lang w:eastAsia="es-CO"/>
        </w:rPr>
        <w:t xml:space="preserve"> las políticas públicas, planes, programas, </w:t>
      </w:r>
      <w:r w:rsidRPr="001B3C5D">
        <w:rPr>
          <w:rFonts w:ascii="Verdana" w:eastAsia="Times New Roman" w:hAnsi="Verdana" w:cs="Arial"/>
          <w:sz w:val="21"/>
          <w:szCs w:val="21"/>
          <w:u w:val="single"/>
          <w:lang w:eastAsia="es-CO"/>
        </w:rPr>
        <w:t>normas, instrumentos y herramientas</w:t>
      </w:r>
      <w:r w:rsidRPr="001B3C5D">
        <w:rPr>
          <w:rFonts w:ascii="Verdana" w:eastAsia="Times New Roman" w:hAnsi="Verdana" w:cs="Arial"/>
          <w:sz w:val="21"/>
          <w:szCs w:val="21"/>
          <w:lang w:eastAsia="es-CO"/>
        </w:rPr>
        <w:t xml:space="preserve"> que faciliten las compras y contratación pública del Estado y promuevan las mejores prácticas, la eficiencia, transparencia y competitividad </w:t>
      </w:r>
      <w:proofErr w:type="gramStart"/>
      <w:r w:rsidRPr="001B3C5D">
        <w:rPr>
          <w:rFonts w:ascii="Verdana" w:eastAsia="Times New Roman" w:hAnsi="Verdana" w:cs="Arial"/>
          <w:sz w:val="21"/>
          <w:szCs w:val="21"/>
          <w:lang w:eastAsia="es-CO"/>
        </w:rPr>
        <w:t>del mismo</w:t>
      </w:r>
      <w:proofErr w:type="gramEnd"/>
      <w:r w:rsidRPr="001B3C5D">
        <w:rPr>
          <w:rFonts w:ascii="Verdana" w:eastAsia="Times New Roman" w:hAnsi="Verdana" w:cs="Arial"/>
          <w:sz w:val="21"/>
          <w:szCs w:val="21"/>
          <w:lang w:eastAsia="es-CO"/>
        </w:rPr>
        <w:t>, a fin de que se cumplan los principios y procesos generales que deben gobernar la actividad contractual de las entidades públicas” (Subrayado fuera del texto).</w:t>
      </w:r>
    </w:p>
    <w:p w14:paraId="242AD8ED" w14:textId="77777777" w:rsidR="001B3C5D" w:rsidRPr="001B3C5D" w:rsidRDefault="001B3C5D" w:rsidP="001B3C5D">
      <w:pPr>
        <w:spacing w:after="0" w:line="240" w:lineRule="auto"/>
        <w:ind w:left="709" w:right="709"/>
        <w:jc w:val="both"/>
        <w:rPr>
          <w:rFonts w:ascii="Verdana" w:eastAsia="Times New Roman" w:hAnsi="Verdana" w:cs="Arial"/>
          <w:lang w:eastAsia="es-CO"/>
        </w:rPr>
      </w:pPr>
    </w:p>
    <w:p w14:paraId="1AD0C18F" w14:textId="77777777" w:rsidR="001B3C5D" w:rsidRPr="001B3C5D" w:rsidRDefault="001B3C5D" w:rsidP="001B3C5D">
      <w:pPr>
        <w:spacing w:after="0" w:line="276" w:lineRule="auto"/>
        <w:ind w:firstLine="708"/>
        <w:jc w:val="both"/>
        <w:rPr>
          <w:rFonts w:ascii="Verdana" w:eastAsia="Times New Roman" w:hAnsi="Verdana" w:cs="Arial"/>
          <w:lang w:eastAsia="es-ES"/>
        </w:rPr>
      </w:pPr>
      <w:r w:rsidRPr="001B3C5D">
        <w:rPr>
          <w:rFonts w:ascii="Verdana" w:eastAsia="Times New Roman" w:hAnsi="Verdana" w:cs="Arial"/>
          <w:lang w:eastAsia="es-MX"/>
        </w:rPr>
        <w:t>Así mismo, el Decreto Ley le otorgó a la Subdirección de Gestión Contractual la función de: “</w:t>
      </w:r>
      <w:r w:rsidRPr="001B3C5D">
        <w:rPr>
          <w:rFonts w:ascii="Verdana" w:eastAsia="Times New Roman" w:hAnsi="Verdana" w:cs="Arial"/>
          <w:u w:val="single"/>
          <w:lang w:eastAsia="es-MX"/>
        </w:rPr>
        <w:t>Desarrollar e implementar</w:t>
      </w:r>
      <w:r w:rsidRPr="001B3C5D">
        <w:rPr>
          <w:rFonts w:ascii="Verdana" w:eastAsia="Times New Roman" w:hAnsi="Verdana" w:cs="Arial"/>
          <w:lang w:eastAsia="es-MX"/>
        </w:rPr>
        <w:t xml:space="preserve"> </w:t>
      </w:r>
      <w:r w:rsidRPr="001B3C5D">
        <w:rPr>
          <w:rFonts w:ascii="Verdana" w:eastAsia="Times New Roman" w:hAnsi="Verdana" w:cs="Arial"/>
          <w:u w:val="single"/>
          <w:lang w:eastAsia="es-MX"/>
        </w:rPr>
        <w:t>estándares y documentos tipo</w:t>
      </w:r>
      <w:r w:rsidRPr="001B3C5D">
        <w:rPr>
          <w:rFonts w:ascii="Verdana" w:eastAsia="Times New Roman" w:hAnsi="Verdana" w:cs="Arial"/>
          <w:lang w:eastAsia="es-MX"/>
        </w:rPr>
        <w:t xml:space="preserve"> para las diferentes etapas de la gestión contractual </w:t>
      </w:r>
      <w:r w:rsidRPr="001B3C5D">
        <w:rPr>
          <w:rFonts w:ascii="Verdana" w:eastAsia="Times New Roman" w:hAnsi="Verdana" w:cs="Times New Roman"/>
          <w:lang w:eastAsia="es-MX"/>
        </w:rPr>
        <w:t>pública”</w:t>
      </w:r>
      <w:r w:rsidRPr="001B3C5D">
        <w:rPr>
          <w:rFonts w:ascii="Verdana" w:eastAsia="Times New Roman" w:hAnsi="Verdana" w:cs="Times New Roman"/>
          <w:vertAlign w:val="superscript"/>
          <w:lang w:eastAsia="es-MX"/>
        </w:rPr>
        <w:footnoteReference w:id="24"/>
      </w:r>
      <w:r w:rsidRPr="001B3C5D">
        <w:rPr>
          <w:rFonts w:ascii="Verdana" w:eastAsia="Times New Roman" w:hAnsi="Verdana" w:cs="Arial"/>
          <w:i/>
          <w:iCs/>
          <w:lang w:eastAsia="es-ES"/>
        </w:rPr>
        <w:t>.</w:t>
      </w:r>
      <w:r w:rsidRPr="001B3C5D">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559E4D09" w14:textId="77777777" w:rsidR="001B3C5D" w:rsidRPr="001B3C5D" w:rsidRDefault="001B3C5D" w:rsidP="001B3C5D">
      <w:pPr>
        <w:spacing w:after="0" w:line="240" w:lineRule="auto"/>
        <w:jc w:val="both"/>
        <w:rPr>
          <w:rFonts w:ascii="Verdana" w:eastAsia="Times New Roman" w:hAnsi="Verdana" w:cs="Arial"/>
          <w:lang w:eastAsia="es-ES"/>
        </w:rPr>
      </w:pPr>
    </w:p>
    <w:p w14:paraId="34FE340D" w14:textId="77777777" w:rsidR="001B3C5D" w:rsidRPr="001B3C5D" w:rsidRDefault="001B3C5D" w:rsidP="001B3C5D">
      <w:pPr>
        <w:spacing w:after="240" w:line="240" w:lineRule="auto"/>
        <w:ind w:left="709" w:right="709"/>
        <w:jc w:val="both"/>
        <w:rPr>
          <w:rFonts w:ascii="Verdana" w:eastAsia="Times New Roman" w:hAnsi="Verdana" w:cs="Arial"/>
          <w:i/>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difundir las normas, reglas, procedimientos, medios tecnológicos y mejores prácticas para las compras y la contratación pública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potestad reguladora que, en todo caso, debe ejercerse conforme a la Ley y ajustada a la potestad reglamentaria del Gobierno Nacional</w:t>
      </w:r>
      <w:r w:rsidRPr="001B3C5D">
        <w:rPr>
          <w:rFonts w:ascii="Verdana" w:eastAsia="Times New Roman" w:hAnsi="Verdana" w:cs="Arial"/>
          <w:sz w:val="21"/>
          <w:szCs w:val="21"/>
          <w:lang w:eastAsia="es-MX"/>
        </w:rPr>
        <w:t>”</w:t>
      </w:r>
      <w:r w:rsidRPr="001B3C5D">
        <w:rPr>
          <w:rFonts w:ascii="Verdana" w:eastAsia="Times New Roman" w:hAnsi="Verdana" w:cs="Arial"/>
          <w:i/>
          <w:iCs/>
          <w:sz w:val="21"/>
          <w:szCs w:val="21"/>
          <w:vertAlign w:val="superscript"/>
          <w:lang w:eastAsia="es-MX"/>
        </w:rPr>
        <w:footnoteReference w:id="25"/>
      </w:r>
      <w:r w:rsidRPr="001B3C5D">
        <w:rPr>
          <w:rFonts w:ascii="Verdana" w:eastAsia="Times New Roman" w:hAnsi="Verdana" w:cs="Arial"/>
          <w:i/>
          <w:iCs/>
          <w:sz w:val="21"/>
          <w:szCs w:val="21"/>
          <w:lang w:eastAsia="es-ES"/>
        </w:rPr>
        <w:t xml:space="preserve">. </w:t>
      </w:r>
    </w:p>
    <w:p w14:paraId="171FB223" w14:textId="77777777" w:rsidR="001B3C5D" w:rsidRPr="001B3C5D" w:rsidRDefault="001B3C5D" w:rsidP="001B3C5D">
      <w:pPr>
        <w:spacing w:after="0" w:line="276" w:lineRule="auto"/>
        <w:ind w:firstLine="708"/>
        <w:jc w:val="both"/>
        <w:rPr>
          <w:rFonts w:ascii="Verdana" w:eastAsia="Times New Roman" w:hAnsi="Verdana" w:cs="Arial"/>
          <w:lang w:eastAsia="es-ES"/>
        </w:rPr>
      </w:pPr>
      <w:r w:rsidRPr="001B3C5D">
        <w:rPr>
          <w:rFonts w:ascii="Verdana" w:eastAsia="Times New Roman" w:hAnsi="Verdana" w:cs="Arial"/>
          <w:lang w:eastAsia="es-ES"/>
        </w:rPr>
        <w:lastRenderedPageBreak/>
        <w:t>Lo anterior fue reiterado por el Consejo de Estado, en la sentencia del 16 de agosto de 2017, en el expediente 56.166, en los siguientes términos:</w:t>
      </w:r>
    </w:p>
    <w:p w14:paraId="3601B345" w14:textId="77777777" w:rsidR="001B3C5D" w:rsidRPr="001B3C5D" w:rsidRDefault="001B3C5D" w:rsidP="001B3C5D">
      <w:pPr>
        <w:spacing w:after="0" w:line="240" w:lineRule="auto"/>
        <w:jc w:val="both"/>
        <w:rPr>
          <w:rFonts w:ascii="Verdana" w:eastAsia="Times New Roman" w:hAnsi="Verdana" w:cs="Arial"/>
          <w:lang w:eastAsia="es-ES"/>
        </w:rPr>
      </w:pPr>
    </w:p>
    <w:p w14:paraId="7A472DA3" w14:textId="77777777" w:rsidR="001B3C5D" w:rsidRPr="001B3C5D" w:rsidRDefault="001B3C5D" w:rsidP="001B3C5D">
      <w:pPr>
        <w:spacing w:after="0" w:line="240" w:lineRule="auto"/>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Dígase que ese poder de regulación normativa en cabeza de CCE se ejerce </w:t>
      </w:r>
      <w:proofErr w:type="spellStart"/>
      <w:r w:rsidRPr="001B3C5D">
        <w:rPr>
          <w:rFonts w:ascii="Verdana" w:eastAsia="Times New Roman" w:hAnsi="Verdana" w:cs="Arial"/>
          <w:i/>
          <w:iCs/>
          <w:sz w:val="21"/>
          <w:szCs w:val="21"/>
          <w:lang w:eastAsia="es-ES"/>
        </w:rPr>
        <w:t>secundum</w:t>
      </w:r>
      <w:proofErr w:type="spellEnd"/>
      <w:r w:rsidRPr="001B3C5D">
        <w:rPr>
          <w:rFonts w:ascii="Verdana" w:eastAsia="Times New Roman" w:hAnsi="Verdana" w:cs="Arial"/>
          <w:i/>
          <w:iCs/>
          <w:sz w:val="21"/>
          <w:szCs w:val="21"/>
          <w:lang w:eastAsia="es-ES"/>
        </w:rPr>
        <w:t xml:space="preserve"> </w:t>
      </w:r>
      <w:proofErr w:type="spellStart"/>
      <w:r w:rsidRPr="001B3C5D">
        <w:rPr>
          <w:rFonts w:ascii="Verdana" w:eastAsia="Times New Roman" w:hAnsi="Verdana" w:cs="Arial"/>
          <w:i/>
          <w:iCs/>
          <w:sz w:val="21"/>
          <w:szCs w:val="21"/>
          <w:lang w:eastAsia="es-ES"/>
        </w:rPr>
        <w:t>legem</w:t>
      </w:r>
      <w:proofErr w:type="spellEnd"/>
      <w:r w:rsidRPr="001B3C5D">
        <w:rPr>
          <w:rFonts w:ascii="Verdana" w:eastAsia="Times New Roman" w:hAnsi="Verdana" w:cs="Arial"/>
          <w:sz w:val="21"/>
          <w:szCs w:val="21"/>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1B3C5D">
        <w:rPr>
          <w:rFonts w:ascii="Verdana" w:eastAsia="Times New Roman" w:hAnsi="Verdana" w:cs="Arial"/>
          <w:sz w:val="21"/>
          <w:szCs w:val="21"/>
          <w:vertAlign w:val="superscript"/>
          <w:lang w:eastAsia="es-ES"/>
        </w:rPr>
        <w:footnoteReference w:id="26"/>
      </w:r>
      <w:r w:rsidRPr="001B3C5D">
        <w:rPr>
          <w:rFonts w:ascii="Verdana" w:eastAsia="Times New Roman" w:hAnsi="Verdana" w:cs="Arial"/>
          <w:sz w:val="21"/>
          <w:szCs w:val="21"/>
          <w:lang w:eastAsia="es-ES"/>
        </w:rPr>
        <w:t>.</w:t>
      </w:r>
    </w:p>
    <w:p w14:paraId="17AEC2AC" w14:textId="77777777" w:rsidR="001B3C5D" w:rsidRPr="001B3C5D" w:rsidRDefault="001B3C5D" w:rsidP="001B3C5D">
      <w:pPr>
        <w:spacing w:after="0" w:line="240" w:lineRule="auto"/>
        <w:ind w:left="709" w:right="709"/>
        <w:jc w:val="both"/>
        <w:rPr>
          <w:rFonts w:ascii="Verdana" w:eastAsia="Times New Roman" w:hAnsi="Verdana" w:cs="Arial"/>
          <w:lang w:eastAsia="es-ES"/>
        </w:rPr>
      </w:pPr>
    </w:p>
    <w:p w14:paraId="266F0F16" w14:textId="77777777" w:rsidR="001B3C5D" w:rsidRPr="001B3C5D" w:rsidRDefault="001B3C5D" w:rsidP="001B3C5D">
      <w:pPr>
        <w:tabs>
          <w:tab w:val="center" w:pos="4419"/>
          <w:tab w:val="right" w:pos="8838"/>
        </w:tabs>
        <w:spacing w:after="12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 xml:space="preserve"> </w:t>
      </w:r>
      <w:r w:rsidRPr="001B3C5D">
        <w:rPr>
          <w:rFonts w:ascii="Verdana" w:eastAsia="Times New Roman" w:hAnsi="Verdana" w:cs="Arial"/>
          <w:lang w:eastAsia="es-MX"/>
        </w:rPr>
        <w:t>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ningún caso implica el reconocimiento de una potestad autónoma y desligada de cualquier límite</w:t>
      </w:r>
      <w:r w:rsidRPr="001B3C5D">
        <w:rPr>
          <w:rFonts w:ascii="Verdana" w:eastAsia="MS Mincho" w:hAnsi="Verdana" w:cs="Arial"/>
          <w:vertAlign w:val="superscript"/>
          <w:lang w:eastAsia="es-ES"/>
        </w:rPr>
        <w:footnoteReference w:id="27"/>
      </w:r>
      <w:r w:rsidRPr="001B3C5D">
        <w:rPr>
          <w:rFonts w:ascii="Verdana" w:eastAsia="Times New Roman" w:hAnsi="Verdana" w:cs="Arial"/>
          <w:lang w:eastAsia="es-ES"/>
        </w:rPr>
        <w:t>.</w:t>
      </w:r>
    </w:p>
    <w:p w14:paraId="0DA2873A" w14:textId="77777777" w:rsidR="001B3C5D" w:rsidRPr="001B3C5D" w:rsidRDefault="001B3C5D" w:rsidP="001B3C5D">
      <w:pPr>
        <w:tabs>
          <w:tab w:val="center" w:pos="4419"/>
          <w:tab w:val="right" w:pos="8838"/>
        </w:tabs>
        <w:spacing w:after="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Conviene reiterar que, conforme con lo manifestado por el Consejo de Estado</w:t>
      </w:r>
      <w:r w:rsidRPr="001B3C5D">
        <w:rPr>
          <w:rFonts w:ascii="Verdana" w:eastAsia="Times New Roman" w:hAnsi="Verdana" w:cs="Arial"/>
          <w:vertAlign w:val="superscript"/>
          <w:lang w:eastAsia="es-ES"/>
        </w:rPr>
        <w:footnoteReference w:id="28"/>
      </w:r>
      <w:r w:rsidRPr="001B3C5D">
        <w:rPr>
          <w:rFonts w:ascii="Verdana" w:eastAsia="Times New Roman" w:hAnsi="Verdana" w:cs="Arial"/>
          <w:lang w:eastAsia="es-ES"/>
        </w:rPr>
        <w:t>, la facultad que recae en la Agencia Nacional de Contratación Pública – Colombia Compra Eficiente para regular aspectos técnicos en el marco de las competencias que le fueron otorgadas por el Decreto Ley 4170 de 2011, como es el caso del desarrollo e implementación de documentos tipo, no implica modificar el esquema constitucional establecido para el ejercicio de la potestad reglamentaria en cabeza del Gobierno Nacional:</w:t>
      </w:r>
    </w:p>
    <w:p w14:paraId="2F2A7372" w14:textId="77777777" w:rsidR="001B3C5D" w:rsidRPr="001B3C5D" w:rsidRDefault="001B3C5D" w:rsidP="001B3C5D">
      <w:pPr>
        <w:tabs>
          <w:tab w:val="center" w:pos="4419"/>
          <w:tab w:val="right" w:pos="8838"/>
        </w:tabs>
        <w:spacing w:after="0" w:line="240" w:lineRule="auto"/>
        <w:jc w:val="both"/>
        <w:rPr>
          <w:rFonts w:ascii="Verdana" w:eastAsia="Times New Roman" w:hAnsi="Verdana" w:cs="Arial"/>
          <w:lang w:eastAsia="es-ES"/>
        </w:rPr>
      </w:pPr>
    </w:p>
    <w:p w14:paraId="0A9B98CF" w14:textId="77777777" w:rsidR="001B3C5D" w:rsidRPr="001B3C5D" w:rsidRDefault="001B3C5D" w:rsidP="001B3C5D">
      <w:pPr>
        <w:spacing w:after="0" w:line="240" w:lineRule="auto"/>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para la Sala resulta claro que con el Decreto-Ley 4170 de 2011 el legislador extraordinario no quiso modificar –como en efecto no lo </w:t>
      </w:r>
      <w:r w:rsidRPr="001B3C5D">
        <w:rPr>
          <w:rFonts w:ascii="Verdana" w:eastAsia="Times New Roman" w:hAnsi="Verdana" w:cs="Arial"/>
          <w:sz w:val="21"/>
          <w:szCs w:val="21"/>
          <w:lang w:eastAsia="es-ES"/>
        </w:rPr>
        <w:lastRenderedPageBreak/>
        <w:t xml:space="preserve">hizo– el esquema de producción normativa establecido en la Constitución Política y, por lo mismo, las funciones asignadas a Colombia Compra Eficiente guardan una estricta lógica de jerarquía normativa respecto de las facultades reglamentarias reservadas al presidente de la República y, por supuesto, respecto de los lineamientos legislativos. No podría considerarse que con el Decreto-Ley mencionado se distribuyeron las competencias reglamentarias entre el presidente de la República y la nueva agencia, asignando a esta última todo aquello relativo a la contratación del Estado. Por el contrario, lo que resulta evidente es que </w:t>
      </w:r>
      <w:r w:rsidRPr="001B3C5D">
        <w:rPr>
          <w:rFonts w:ascii="Verdana" w:eastAsia="Times New Roman" w:hAnsi="Verdana" w:cs="Arial"/>
          <w:sz w:val="21"/>
          <w:szCs w:val="21"/>
          <w:u w:val="single"/>
          <w:lang w:eastAsia="es-ES"/>
        </w:rPr>
        <w:t>el presidente de la República cuenta ahora con una entidad especializada que lo apoya técnicamente</w:t>
      </w:r>
      <w:r w:rsidRPr="001B3C5D">
        <w:rPr>
          <w:rFonts w:ascii="Verdana" w:eastAsia="Times New Roman" w:hAnsi="Verdana" w:cs="Arial"/>
          <w:sz w:val="21"/>
          <w:szCs w:val="21"/>
          <w:lang w:eastAsia="es-ES"/>
        </w:rPr>
        <w:t xml:space="preserve"> tanto en la formulación de una política pública en materia de compras y contratación pública, </w:t>
      </w:r>
      <w:r w:rsidRPr="001B3C5D">
        <w:rPr>
          <w:rFonts w:ascii="Verdana" w:eastAsia="Times New Roman" w:hAnsi="Verdana" w:cs="Arial"/>
          <w:sz w:val="21"/>
          <w:szCs w:val="21"/>
          <w:u w:val="single"/>
          <w:lang w:eastAsia="es-ES"/>
        </w:rPr>
        <w:t>como en su labor de producción normativa, sin que por ello se desprenda de las normas pertinentes alguna suerte de escisión de las facultades</w:t>
      </w:r>
      <w:r w:rsidRPr="001B3C5D">
        <w:rPr>
          <w:rFonts w:ascii="Verdana" w:eastAsia="Times New Roman" w:hAnsi="Verdana" w:cs="Arial"/>
          <w:b/>
          <w:bCs/>
          <w:sz w:val="21"/>
          <w:szCs w:val="21"/>
          <w:lang w:eastAsia="es-ES"/>
        </w:rPr>
        <w:t>.</w:t>
      </w:r>
      <w:r w:rsidRPr="001B3C5D">
        <w:rPr>
          <w:rFonts w:ascii="Verdana" w:eastAsia="Times New Roman" w:hAnsi="Verdana" w:cs="Arial"/>
          <w:sz w:val="21"/>
          <w:szCs w:val="21"/>
          <w:lang w:eastAsia="es-ES"/>
        </w:rPr>
        <w:t xml:space="preserve"> Adicionalmente, las funciones asignadas a la Agencia, si bien pueden comportar una facultad de regulación de la actividad contractual pública, ella debe ser ejercida con sometimiento al esquema jerárquico normativo del sistema jurídico, por lo que deberá sujetarse, como consecuencia, a los dictados constitucionales, legales y a la reglamentación expedida por el presidente de la República”</w:t>
      </w:r>
      <w:r w:rsidRPr="001B3C5D">
        <w:rPr>
          <w:rFonts w:ascii="Verdana" w:eastAsia="Times New Roman" w:hAnsi="Verdana" w:cs="Arial"/>
          <w:sz w:val="21"/>
          <w:szCs w:val="21"/>
          <w:vertAlign w:val="superscript"/>
          <w:lang w:eastAsia="es-ES"/>
        </w:rPr>
        <w:footnoteReference w:id="29"/>
      </w:r>
      <w:r w:rsidRPr="001B3C5D">
        <w:rPr>
          <w:rFonts w:ascii="Verdana" w:eastAsia="Times New Roman" w:hAnsi="Verdana" w:cs="Arial"/>
          <w:i/>
          <w:iCs/>
          <w:sz w:val="21"/>
          <w:szCs w:val="21"/>
          <w:lang w:eastAsia="es-ES"/>
        </w:rPr>
        <w:t>.</w:t>
      </w:r>
      <w:r w:rsidRPr="001B3C5D">
        <w:rPr>
          <w:rFonts w:ascii="Verdana" w:eastAsia="Times New Roman" w:hAnsi="Verdana" w:cs="Arial"/>
          <w:sz w:val="21"/>
          <w:szCs w:val="21"/>
          <w:lang w:eastAsia="es-ES"/>
        </w:rPr>
        <w:t xml:space="preserve"> (Subrayado fuera del texto) </w:t>
      </w:r>
    </w:p>
    <w:p w14:paraId="0E42001D" w14:textId="77777777" w:rsidR="001B3C5D" w:rsidRPr="001B3C5D" w:rsidRDefault="001B3C5D" w:rsidP="001B3C5D">
      <w:pPr>
        <w:tabs>
          <w:tab w:val="center" w:pos="4419"/>
          <w:tab w:val="right" w:pos="8838"/>
        </w:tabs>
        <w:spacing w:after="0" w:line="240" w:lineRule="auto"/>
        <w:jc w:val="both"/>
        <w:rPr>
          <w:rFonts w:ascii="Verdana" w:eastAsia="Times New Roman" w:hAnsi="Verdana" w:cs="Arial"/>
          <w:lang w:eastAsia="es-ES"/>
        </w:rPr>
      </w:pPr>
    </w:p>
    <w:p w14:paraId="150B13E2" w14:textId="77777777" w:rsidR="001B3C5D" w:rsidRPr="001B3C5D" w:rsidRDefault="001B3C5D" w:rsidP="001B3C5D">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 El anterior pronunciamiento fue proferido por parte del Consejo de Estado al estudiar la legalidad del artículo 159 del Decreto 1510 de 2013, respecto de la competencia de la Agencia Nacional de Contratación Pública - Colombia Compra Eficiente para el diseño e implementación de documentos estandarizados y especializados, dentro de los cuales se encuentran, entre otros, los documentos tipo. Al respecto, el Alto Tribunal consideró que esta competencia carecía de sustento normativo desde el punto de vista reglamentario por cuanto el artículo 2 de la Ley 1150 de 2007 confirió al Gobierno Nacional la facultad de fijar con fuerza vinculante, </w:t>
      </w:r>
      <w:r w:rsidRPr="001B3C5D">
        <w:rPr>
          <w:rFonts w:ascii="Verdana" w:eastAsia="MS Mincho" w:hAnsi="Verdana" w:cs="Arial"/>
          <w:lang w:eastAsia="es-CO"/>
        </w:rPr>
        <w:t>“</w:t>
      </w:r>
      <w:r w:rsidRPr="001B3C5D">
        <w:rPr>
          <w:rFonts w:ascii="Verdana" w:eastAsia="Times New Roman" w:hAnsi="Verdana" w:cs="Arial"/>
          <w:iCs/>
          <w:lang w:eastAsia="es-ES"/>
        </w:rPr>
        <w:t>las condiciones generales de los pliegos de condiciones y los contratos de las entidades estatales</w:t>
      </w:r>
      <w:r w:rsidRPr="001B3C5D">
        <w:rPr>
          <w:rFonts w:ascii="Verdana" w:eastAsia="MS Mincho" w:hAnsi="Verdana" w:cs="Arial"/>
          <w:lang w:eastAsia="es-CO"/>
        </w:rPr>
        <w:t>”</w:t>
      </w:r>
      <w:r w:rsidRPr="001B3C5D">
        <w:rPr>
          <w:rFonts w:ascii="Verdana" w:eastAsia="Times New Roman" w:hAnsi="Verdana" w:cs="Arial"/>
          <w:lang w:eastAsia="es-ES"/>
        </w:rPr>
        <w:t xml:space="preserve"> para la adquisición de bienes y servicios de características técnicas uniformes y de común utilización, sin hacer referencia a la adopción de otro tipo de contratos o modalidades. </w:t>
      </w:r>
    </w:p>
    <w:p w14:paraId="6506732E" w14:textId="77777777" w:rsidR="001B3C5D" w:rsidRPr="001B3C5D" w:rsidRDefault="001B3C5D" w:rsidP="001B3C5D">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De igual manera, aclaró que en el marco normativo en el cual fue expedido el Decreto 1510 de 2013 no se contaba con la facultad legal por parte de la Agencia Nacional de Contratación Pública - Colombia Compra Eficiente para el </w:t>
      </w:r>
      <w:r w:rsidRPr="001B3C5D">
        <w:rPr>
          <w:rFonts w:ascii="Verdana" w:eastAsia="Times New Roman" w:hAnsi="Verdana" w:cs="Arial"/>
          <w:lang w:eastAsia="es-ES"/>
        </w:rPr>
        <w:lastRenderedPageBreak/>
        <w:t>diseño e implementación de documentos estandarizados para ninguna modalidad de contratación con efectos obligatorios para las entidades públicas, salvo el evento señalado en el parágrafo 3 del artículo 2 de la Ley 1150 de 2007.  No obstante, la expedición de la presente resolución se fundamenta en el artículo 1 de la Ley 2022 de 2020 que brinda el sustento normativo para la adopción de los documentos tipo. Esto con el fin de que la Agencia, como entidad administrativa especializada, los desarrolle e implemente dentro de los límites establecidos en la ley citada acorde con las funciones, objeto y misión de la entidad.</w:t>
      </w:r>
    </w:p>
    <w:p w14:paraId="437DA0C0" w14:textId="77777777" w:rsidR="001B3C5D" w:rsidRPr="001B3C5D" w:rsidRDefault="001B3C5D" w:rsidP="001B3C5D">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Por lo tanto, a diferencia de lo establecido en el numeral 3 del artículo 159 del Decreto 1510 de 2013, esta reglamentación cuenta con un sustento jurídico suficiente, dado en el artículo 1 de la Ley 2022 de 2020 y permite a la Agencia Nacional de Contratación Pública – Colombia Compra Eficiente concretar y aterrizar la voluntad del legislador mediante el ejercicio de la potestad reglamentaria.</w:t>
      </w:r>
      <w:r w:rsidRPr="001B3C5D">
        <w:rPr>
          <w:rFonts w:ascii="Verdana" w:eastAsia="MS Mincho" w:hAnsi="Verdana" w:cs="Arial"/>
          <w:lang w:eastAsia="es-CO"/>
        </w:rPr>
        <w:t xml:space="preserve"> </w:t>
      </w:r>
    </w:p>
    <w:p w14:paraId="458CB4F3" w14:textId="77777777" w:rsidR="001B3C5D" w:rsidRPr="001B3C5D" w:rsidRDefault="001B3C5D" w:rsidP="001B3C5D">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Mediante una interpretación sistemática de la normativa y jurisprudencia citada es posible concluir que esta Agencia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4206A7E4" w14:textId="77777777" w:rsidR="001B3C5D" w:rsidRPr="001B3C5D" w:rsidRDefault="001B3C5D" w:rsidP="00E13794">
      <w:pPr>
        <w:tabs>
          <w:tab w:val="center" w:pos="4419"/>
          <w:tab w:val="right" w:pos="8838"/>
        </w:tabs>
        <w:spacing w:after="0" w:line="276" w:lineRule="auto"/>
        <w:ind w:firstLine="709"/>
        <w:jc w:val="both"/>
        <w:rPr>
          <w:rFonts w:ascii="Verdana" w:eastAsia="Aptos" w:hAnsi="Verdana" w:cs="Times New Roman"/>
          <w:kern w:val="2"/>
          <w:sz w:val="24"/>
          <w:szCs w:val="24"/>
          <w14:ligatures w14:val="standardContextual"/>
        </w:rPr>
      </w:pPr>
      <w:r w:rsidRPr="001B3C5D">
        <w:rPr>
          <w:rFonts w:ascii="Verdana" w:eastAsia="MS Mincho" w:hAnsi="Verdana" w:cs="Arial"/>
          <w:lang w:eastAsia="es-CO"/>
        </w:rPr>
        <w:t>I</w:t>
      </w:r>
      <w:r w:rsidRPr="001B3C5D">
        <w:rPr>
          <w:rFonts w:ascii="Verdana" w:eastAsia="Times New Roman" w:hAnsi="Verdana" w:cs="Arial"/>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1463B8F6" w14:textId="77777777" w:rsidR="001B3C5D" w:rsidRPr="001B3C5D" w:rsidRDefault="001B3C5D" w:rsidP="001B3C5D">
      <w:pPr>
        <w:tabs>
          <w:tab w:val="center" w:pos="4419"/>
          <w:tab w:val="right" w:pos="8838"/>
        </w:tabs>
        <w:spacing w:after="0" w:line="240" w:lineRule="auto"/>
        <w:ind w:firstLine="709"/>
        <w:jc w:val="both"/>
        <w:rPr>
          <w:rFonts w:ascii="Verdana" w:eastAsia="Aptos" w:hAnsi="Verdana" w:cs="Times New Roman"/>
          <w:kern w:val="2"/>
          <w:sz w:val="24"/>
          <w:szCs w:val="24"/>
          <w14:ligatures w14:val="standardContextual"/>
        </w:rPr>
      </w:pPr>
    </w:p>
    <w:p w14:paraId="50BB74C1" w14:textId="77777777" w:rsidR="001B3C5D" w:rsidRPr="001B3C5D" w:rsidRDefault="001B3C5D" w:rsidP="001B3C5D">
      <w:pPr>
        <w:tabs>
          <w:tab w:val="center" w:pos="4419"/>
          <w:tab w:val="right" w:pos="8838"/>
        </w:tabs>
        <w:spacing w:after="0" w:line="276" w:lineRule="auto"/>
        <w:jc w:val="both"/>
        <w:rPr>
          <w:rFonts w:ascii="Verdana" w:eastAsia="Calibri" w:hAnsi="Verdana" w:cs="Arial"/>
          <w:color w:val="000000"/>
          <w:lang w:val="es-ES"/>
        </w:rPr>
      </w:pPr>
      <w:proofErr w:type="spellStart"/>
      <w:r w:rsidRPr="001B3C5D">
        <w:rPr>
          <w:rFonts w:ascii="Verdana" w:eastAsia="Aptos" w:hAnsi="Verdana" w:cs="Times New Roman"/>
          <w:kern w:val="2"/>
          <w:sz w:val="24"/>
          <w:szCs w:val="24"/>
          <w14:ligatures w14:val="standardContextual"/>
        </w:rPr>
        <w:t>iii</w:t>
      </w:r>
      <w:proofErr w:type="spellEnd"/>
      <w:r w:rsidRPr="001B3C5D">
        <w:rPr>
          <w:rFonts w:ascii="Verdana" w:eastAsia="Aptos" w:hAnsi="Verdana" w:cs="Times New Roman"/>
          <w:kern w:val="2"/>
          <w:sz w:val="24"/>
          <w:szCs w:val="24"/>
          <w14:ligatures w14:val="standardContextual"/>
        </w:rPr>
        <w:t xml:space="preserve">. </w:t>
      </w:r>
      <w:r w:rsidRPr="001B3C5D">
        <w:rPr>
          <w:rFonts w:ascii="Verdana" w:eastAsia="Calibri" w:hAnsi="Verdana" w:cs="Arial"/>
          <w:color w:val="000000"/>
          <w:lang w:val="es-ES"/>
        </w:rPr>
        <w:t>Todas las resoluciones</w:t>
      </w:r>
      <w:r w:rsidRPr="001B3C5D">
        <w:rPr>
          <w:rFonts w:ascii="Verdana" w:eastAsia="Calibri" w:hAnsi="Verdana" w:cs="Arial"/>
          <w:color w:val="000000"/>
          <w:vertAlign w:val="superscript"/>
          <w:lang w:val="es-ES"/>
        </w:rPr>
        <w:footnoteReference w:id="30"/>
      </w:r>
      <w:r w:rsidRPr="001B3C5D">
        <w:rPr>
          <w:rFonts w:ascii="Verdana" w:eastAsia="Calibri" w:hAnsi="Verdana" w:cs="Arial"/>
          <w:color w:val="000000"/>
          <w:lang w:val="es-ES"/>
        </w:rPr>
        <w:t xml:space="preserve"> expedidas por la Agencia Nacional de Contratación Pública – Colombia Compra Eficiente, mediante las cuales se adoptaron los </w:t>
      </w:r>
      <w:r w:rsidRPr="001B3C5D">
        <w:rPr>
          <w:rFonts w:ascii="Verdana" w:eastAsia="Calibri" w:hAnsi="Verdana" w:cs="Arial"/>
          <w:color w:val="000000"/>
          <w:lang w:val="es-ES"/>
        </w:rPr>
        <w:lastRenderedPageBreak/>
        <w:t xml:space="preserve">documentos tipo, consagran la regla de la inalterabilidad. Esta prohibición consiste en que las entidades estatales no pueden incluir o modificar en los </w:t>
      </w:r>
      <w:r w:rsidRPr="001B3C5D">
        <w:rPr>
          <w:rFonts w:ascii="Verdana" w:eastAsia="Calibri" w:hAnsi="Verdana" w:cs="Arial"/>
          <w:i/>
          <w:iCs/>
          <w:color w:val="000000"/>
          <w:lang w:val="es-ES"/>
        </w:rPr>
        <w:t>Documentos del Proceso</w:t>
      </w:r>
      <w:r w:rsidRPr="001B3C5D">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27B0394" w14:textId="77777777" w:rsidR="001B3C5D" w:rsidRPr="001B3C5D" w:rsidRDefault="001B3C5D" w:rsidP="001B3C5D">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04451B16" w14:textId="77777777" w:rsidR="001B3C5D" w:rsidRPr="001B3C5D" w:rsidRDefault="001B3C5D" w:rsidP="001B3C5D">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1B3C5D">
        <w:rPr>
          <w:rFonts w:ascii="Verdana" w:eastAsia="Calibri" w:hAnsi="Verdana" w:cs="Arial"/>
          <w:vertAlign w:val="superscript"/>
          <w:lang w:val="es-ES_tradnl"/>
        </w:rPr>
        <w:footnoteReference w:id="31"/>
      </w:r>
      <w:r w:rsidRPr="001B3C5D">
        <w:rPr>
          <w:rFonts w:ascii="Verdana" w:eastAsia="Calibri" w:hAnsi="Verdana" w:cs="Arial"/>
          <w:lang w:val="es-ES_tradnl"/>
        </w:rPr>
        <w:t xml:space="preserve">. Cada entidad pública sujeta a los documentos tipo </w:t>
      </w:r>
      <w:r w:rsidRPr="001B3C5D">
        <w:rPr>
          <w:rFonts w:ascii="Verdana" w:eastAsia="Calibri" w:hAnsi="Verdana" w:cs="Arial"/>
          <w:lang w:val="es-ES_tradnl"/>
        </w:rPr>
        <w:lastRenderedPageBreak/>
        <w:t xml:space="preserve">deberá hacer una aplicación o constatación irrestricta de las reglas y condiciones dispuestas en estos, salvo que las mismas posibilitan la discrecionalidad en determinados aspectos. </w:t>
      </w:r>
    </w:p>
    <w:p w14:paraId="6A2CD80E" w14:textId="77777777" w:rsidR="001B3C5D" w:rsidRPr="001B3C5D" w:rsidRDefault="001B3C5D" w:rsidP="001B3C5D">
      <w:pPr>
        <w:spacing w:before="120" w:after="120" w:line="276" w:lineRule="auto"/>
        <w:ind w:firstLine="709"/>
        <w:jc w:val="both"/>
        <w:rPr>
          <w:rFonts w:ascii="Verdana" w:eastAsia="Calibri" w:hAnsi="Verdana" w:cs="Arial"/>
          <w:lang w:val="es-ES"/>
        </w:rPr>
      </w:pPr>
      <w:r w:rsidRPr="001B3C5D">
        <w:rPr>
          <w:rFonts w:ascii="Verdana" w:eastAsia="Calibri" w:hAnsi="Verdana" w:cs="Arial"/>
          <w:lang w:val="es-ES"/>
        </w:rPr>
        <w:t xml:space="preserve">Además, las entidades estatales deben garantizar el </w:t>
      </w:r>
      <w:r w:rsidRPr="001B3C5D">
        <w:rPr>
          <w:rFonts w:ascii="Verdana" w:eastAsia="Calibri" w:hAnsi="Verdana" w:cs="Arial"/>
          <w:i/>
          <w:iCs/>
          <w:lang w:val="es-ES"/>
        </w:rPr>
        <w:t>principio de economía</w:t>
      </w:r>
      <w:r w:rsidRPr="001B3C5D">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1B3C5D">
        <w:rPr>
          <w:rFonts w:ascii="Verdana" w:eastAsia="Calibri" w:hAnsi="Verdana" w:cs="Arial"/>
          <w:vertAlign w:val="superscript"/>
          <w:lang w:val="es-ES"/>
        </w:rPr>
        <w:footnoteReference w:id="32"/>
      </w:r>
      <w:r w:rsidRPr="001B3C5D">
        <w:rPr>
          <w:rFonts w:ascii="Verdana" w:eastAsia="Calibri" w:hAnsi="Verdana" w:cs="Arial"/>
          <w:lang w:val="es-ES"/>
        </w:rPr>
        <w:t xml:space="preserve"> sino además en la normativa antitrámites</w:t>
      </w:r>
      <w:r w:rsidRPr="001B3C5D">
        <w:rPr>
          <w:rFonts w:ascii="Verdana" w:eastAsia="Calibri" w:hAnsi="Verdana" w:cs="Arial"/>
          <w:vertAlign w:val="superscript"/>
          <w:lang w:val="es-ES"/>
        </w:rPr>
        <w:footnoteReference w:id="33"/>
      </w:r>
      <w:r w:rsidRPr="001B3C5D">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556992B6" w14:textId="77777777" w:rsidR="001B3C5D" w:rsidRPr="001B3C5D" w:rsidRDefault="001B3C5D" w:rsidP="001B3C5D">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B3C5D">
        <w:rPr>
          <w:rFonts w:ascii="Verdana" w:eastAsia="Calibri" w:hAnsi="Verdana" w:cs="Arial"/>
          <w:color w:val="000000"/>
          <w:vertAlign w:val="superscript"/>
          <w:lang w:val="es-ES"/>
        </w:rPr>
        <w:footnoteReference w:id="34"/>
      </w:r>
      <w:r w:rsidRPr="001B3C5D">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4E2E3319" w14:textId="77777777" w:rsidR="001B3C5D" w:rsidRPr="001B3C5D" w:rsidRDefault="001B3C5D" w:rsidP="001B3C5D">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w:t>
      </w:r>
      <w:r w:rsidRPr="001B3C5D">
        <w:rPr>
          <w:rFonts w:ascii="Verdana" w:eastAsia="Calibri" w:hAnsi="Verdana" w:cs="Arial"/>
          <w:color w:val="000000"/>
          <w:lang w:val="es-ES"/>
        </w:rPr>
        <w:lastRenderedPageBreak/>
        <w:t xml:space="preserve">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5D6B1DE6" w14:textId="77777777" w:rsidR="001B3C5D" w:rsidRPr="001B3C5D" w:rsidRDefault="001B3C5D" w:rsidP="001B3C5D">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7166D5E5" w14:textId="77777777" w:rsidR="001B3C5D" w:rsidRPr="001B3C5D" w:rsidRDefault="001B3C5D" w:rsidP="001B3C5D">
      <w:pPr>
        <w:spacing w:after="120" w:line="276" w:lineRule="auto"/>
        <w:ind w:firstLine="708"/>
        <w:jc w:val="both"/>
        <w:rPr>
          <w:rFonts w:ascii="Verdana" w:eastAsia="Calibri" w:hAnsi="Verdana" w:cs="Arial"/>
          <w:color w:val="000000"/>
          <w:lang w:val="es-ES"/>
        </w:rPr>
      </w:pPr>
      <w:r w:rsidRPr="001B3C5D">
        <w:rPr>
          <w:rFonts w:ascii="Verdana" w:eastAsia="Calibri" w:hAnsi="Verdana" w:cs="Arial"/>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rPr>
        <w:t>–[</w:t>
      </w:r>
      <w:r w:rsidRPr="001B3C5D">
        <w:rPr>
          <w:rFonts w:ascii="Verdana" w:eastAsia="Aptos" w:hAnsi="Verdana" w:cs="Arial"/>
          <w:highlight w:val="lightGray"/>
        </w:rPr>
        <w:t>texto de ejemplo</w:t>
      </w:r>
      <w:r w:rsidRPr="001B3C5D">
        <w:rPr>
          <w:rFonts w:ascii="Verdana" w:eastAsia="Aptos" w:hAnsi="Verdana" w:cs="Arial"/>
        </w:rPr>
        <w:t xml:space="preserve">]– </w:t>
      </w:r>
      <w:r w:rsidRPr="001B3C5D">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1128AE20" w14:textId="77777777" w:rsidR="001B3C5D" w:rsidRPr="001B3C5D" w:rsidRDefault="001B3C5D" w:rsidP="001B3C5D">
      <w:pPr>
        <w:spacing w:line="276" w:lineRule="auto"/>
        <w:ind w:firstLine="708"/>
        <w:jc w:val="both"/>
        <w:rPr>
          <w:rFonts w:ascii="Aptos" w:eastAsia="Aptos" w:hAnsi="Aptos" w:cs="Times New Roman"/>
          <w:kern w:val="2"/>
          <w:sz w:val="24"/>
          <w:szCs w:val="24"/>
          <w:lang w:val="es-MX"/>
          <w14:ligatures w14:val="standardContextual"/>
        </w:rPr>
      </w:pPr>
      <w:r w:rsidRPr="001B3C5D">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1B3C5D">
        <w:rPr>
          <w:rFonts w:ascii="Verdana" w:eastAsia="Calibri" w:hAnsi="Verdana" w:cs="Arial"/>
          <w:i/>
          <w:iCs/>
          <w:lang w:val="es-MX"/>
        </w:rPr>
        <w:t>“</w:t>
      </w:r>
      <w:r w:rsidRPr="001B3C5D">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1B3C5D">
        <w:rPr>
          <w:rFonts w:ascii="Aptos" w:eastAsia="Aptos" w:hAnsi="Aptos" w:cs="Times New Roman"/>
          <w:kern w:val="2"/>
          <w:sz w:val="24"/>
          <w:szCs w:val="24"/>
          <w:lang w:val="es-MX"/>
          <w14:ligatures w14:val="standardContextual"/>
        </w:rPr>
        <w:t xml:space="preserve"> </w:t>
      </w:r>
    </w:p>
    <w:p w14:paraId="60ACC5BC" w14:textId="77777777" w:rsidR="001B3C5D" w:rsidRPr="001B3C5D" w:rsidRDefault="001B3C5D" w:rsidP="001B3C5D">
      <w:pPr>
        <w:spacing w:before="120" w:after="120" w:line="276" w:lineRule="auto"/>
        <w:ind w:firstLine="709"/>
        <w:jc w:val="both"/>
        <w:rPr>
          <w:rFonts w:ascii="Verdana" w:eastAsia="Calibri" w:hAnsi="Verdana" w:cs="Arial"/>
          <w:bCs/>
          <w:lang w:val="es-MX"/>
        </w:rPr>
      </w:pPr>
      <w:r w:rsidRPr="001B3C5D">
        <w:rPr>
          <w:rFonts w:ascii="Verdana" w:eastAsia="Calibri" w:hAnsi="Verdana" w:cs="Arial"/>
          <w:bCs/>
          <w:lang w:val="es-MX"/>
        </w:rPr>
        <w:t xml:space="preserve">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w:t>
      </w:r>
      <w:r w:rsidRPr="001B3C5D">
        <w:rPr>
          <w:rFonts w:ascii="Verdana" w:eastAsia="Calibri" w:hAnsi="Verdana" w:cs="Arial"/>
          <w:bCs/>
          <w:lang w:val="es-MX"/>
        </w:rPr>
        <w:lastRenderedPageBreak/>
        <w:t>documentos tipo. En tal sentido, estos solo se podrán modificar respecto a aquellos contenidos que el mismo documento tipo lo permita.</w:t>
      </w:r>
    </w:p>
    <w:p w14:paraId="5F2A9B68" w14:textId="77777777" w:rsidR="001B3C5D" w:rsidRPr="001B3C5D" w:rsidRDefault="001B3C5D" w:rsidP="001B3C5D">
      <w:pPr>
        <w:spacing w:before="120" w:after="120" w:line="276" w:lineRule="auto"/>
        <w:ind w:firstLine="709"/>
        <w:jc w:val="both"/>
        <w:rPr>
          <w:rFonts w:ascii="Verdana" w:eastAsia="Calibri" w:hAnsi="Verdana" w:cs="Arial"/>
          <w:bCs/>
          <w:lang w:val="es-MX"/>
        </w:rPr>
      </w:pPr>
      <w:r w:rsidRPr="001B3C5D">
        <w:rPr>
          <w:rFonts w:ascii="Verdana" w:eastAsia="Calibri" w:hAnsi="Verdana" w:cs="Arial"/>
          <w:bCs/>
          <w:lang w:val="es-MX"/>
        </w:rPr>
        <w:t xml:space="preserve">Esta regla de inalterabilidad </w:t>
      </w:r>
      <w:r w:rsidRPr="001B3C5D">
        <w:rPr>
          <w:rFonts w:ascii="Verdana" w:eastAsia="Calibri" w:hAnsi="Verdana" w:cs="Arial"/>
          <w:bCs/>
          <w:i/>
          <w:iCs/>
          <w:lang w:val="es-MX"/>
        </w:rPr>
        <w:t>también aplica a los formatos, formularios, anexos y matrices</w:t>
      </w:r>
      <w:r w:rsidRPr="001B3C5D">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0098C405" w14:textId="77777777" w:rsidR="001B3C5D" w:rsidRPr="001B3C5D" w:rsidRDefault="001B3C5D" w:rsidP="001B3C5D">
      <w:pPr>
        <w:spacing w:before="120" w:after="120" w:line="276" w:lineRule="auto"/>
        <w:ind w:firstLine="709"/>
        <w:jc w:val="both"/>
        <w:rPr>
          <w:rFonts w:ascii="Verdana" w:eastAsia="Calibri" w:hAnsi="Verdana" w:cs="Arial"/>
          <w:lang w:val="es-MX"/>
        </w:rPr>
      </w:pPr>
      <w:r w:rsidRPr="001B3C5D">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7FA4A21E" w14:textId="77777777" w:rsidR="001B3C5D" w:rsidRPr="001B3C5D" w:rsidRDefault="001B3C5D" w:rsidP="001B3C5D">
      <w:pPr>
        <w:spacing w:before="120" w:line="276" w:lineRule="auto"/>
        <w:ind w:firstLine="709"/>
        <w:jc w:val="both"/>
        <w:rPr>
          <w:rFonts w:ascii="Verdana" w:eastAsia="Aptos" w:hAnsi="Verdana" w:cs="Arial"/>
        </w:rPr>
      </w:pPr>
      <w:r w:rsidRPr="001B3C5D">
        <w:rPr>
          <w:rFonts w:ascii="Verdana" w:eastAsia="Aptos" w:hAnsi="Verdana" w:cs="Arial"/>
        </w:rPr>
        <w:t xml:space="preserve">En relación con el principio constitucional </w:t>
      </w:r>
      <w:r w:rsidRPr="001B3C5D">
        <w:rPr>
          <w:rFonts w:ascii="Verdana" w:eastAsia="Aptos" w:hAnsi="Verdana" w:cs="Arial"/>
          <w:i/>
          <w:iCs/>
        </w:rPr>
        <w:t>sub examine</w:t>
      </w:r>
      <w:r w:rsidRPr="001B3C5D">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1B3C5D">
        <w:rPr>
          <w:rFonts w:ascii="Verdana" w:eastAsia="Aptos" w:hAnsi="Verdana" w:cs="Arial"/>
          <w:vertAlign w:val="superscript"/>
        </w:rPr>
        <w:footnoteReference w:id="35"/>
      </w:r>
      <w:r w:rsidRPr="001B3C5D">
        <w:rPr>
          <w:rFonts w:ascii="Verdana" w:eastAsia="Aptos" w:hAnsi="Verdana" w:cs="Arial"/>
        </w:rPr>
        <w:t xml:space="preserve">. </w:t>
      </w:r>
    </w:p>
    <w:p w14:paraId="69EC62D7" w14:textId="77777777" w:rsidR="001B3C5D" w:rsidRPr="001B3C5D" w:rsidRDefault="001B3C5D" w:rsidP="001B3C5D">
      <w:pPr>
        <w:spacing w:after="0" w:line="276" w:lineRule="auto"/>
        <w:ind w:firstLine="709"/>
        <w:jc w:val="both"/>
        <w:rPr>
          <w:rFonts w:ascii="Verdana" w:eastAsia="Calibri" w:hAnsi="Verdana" w:cs="Arial"/>
          <w:lang w:val="es-MX"/>
        </w:rPr>
      </w:pPr>
      <w:r w:rsidRPr="001B3C5D">
        <w:rPr>
          <w:rFonts w:ascii="Verdana" w:eastAsia="Calibri" w:hAnsi="Verdana" w:cs="Arial"/>
          <w:lang w:val="es-MX"/>
        </w:rPr>
        <w:t xml:space="preserve">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w:t>
      </w:r>
      <w:r w:rsidRPr="001B3C5D">
        <w:rPr>
          <w:rFonts w:ascii="Verdana" w:eastAsia="Calibri" w:hAnsi="Verdana" w:cs="Arial"/>
          <w:lang w:val="es-MX"/>
        </w:rPr>
        <w:lastRenderedPageBreak/>
        <w:t>documentos tipos, es decir, no afectan su contenido esencial y, mucho menos, las obligaciones, deberes y derechos que se derivan para las partes contratantes.</w:t>
      </w:r>
    </w:p>
    <w:p w14:paraId="2C98C6C5" w14:textId="77777777" w:rsidR="001B3C5D" w:rsidRPr="001B3C5D" w:rsidRDefault="001B3C5D" w:rsidP="001B3C5D">
      <w:pPr>
        <w:widowControl w:val="0"/>
        <w:autoSpaceDE w:val="0"/>
        <w:autoSpaceDN w:val="0"/>
        <w:spacing w:after="0" w:line="276" w:lineRule="auto"/>
        <w:jc w:val="both"/>
        <w:rPr>
          <w:rFonts w:ascii="Verdana" w:eastAsia="Aptos" w:hAnsi="Verdana" w:cs="Times New Roman"/>
          <w:kern w:val="2"/>
          <w:sz w:val="24"/>
          <w:szCs w:val="24"/>
          <w14:ligatures w14:val="standardContextual"/>
        </w:rPr>
      </w:pPr>
    </w:p>
    <w:p w14:paraId="7C0E4649" w14:textId="77777777" w:rsidR="001B3C5D" w:rsidRPr="001B3C5D" w:rsidRDefault="001B3C5D" w:rsidP="001B3C5D">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iv</w:t>
      </w:r>
      <w:proofErr w:type="spellEnd"/>
      <w:r w:rsidRPr="001B3C5D">
        <w:rPr>
          <w:rFonts w:ascii="Verdana" w:eastAsia="Aptos" w:hAnsi="Verdana" w:cs="Times New Roman"/>
          <w:kern w:val="2"/>
          <w14:ligatures w14:val="standardContextual"/>
        </w:rPr>
        <w:t>. De acuerdo con la memoria justificativa del Decreto 287 del 19 de marzo de 2026</w:t>
      </w:r>
      <w:r w:rsidRPr="001B3C5D">
        <w:rPr>
          <w:rFonts w:ascii="Verdana" w:eastAsia="Aptos" w:hAnsi="Verdana" w:cs="Times New Roman"/>
          <w:kern w:val="2"/>
          <w:vertAlign w:val="superscript"/>
          <w14:ligatures w14:val="standardContextual"/>
        </w:rPr>
        <w:footnoteReference w:id="36"/>
      </w:r>
      <w:r w:rsidRPr="001B3C5D">
        <w:rPr>
          <w:rFonts w:ascii="Verdana" w:eastAsia="Aptos" w:hAnsi="Verdana" w:cs="Times New Roman"/>
          <w:kern w:val="2"/>
          <w14:ligatures w14:val="standardContextual"/>
        </w:rPr>
        <w:t>,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1B3C5D">
        <w:rPr>
          <w:rFonts w:ascii="Verdana" w:eastAsia="Aptos" w:hAnsi="Verdana" w:cs="Times New Roman"/>
          <w:kern w:val="2"/>
          <w:vertAlign w:val="superscript"/>
          <w14:ligatures w14:val="standardContextual"/>
        </w:rPr>
        <w:footnoteReference w:id="37"/>
      </w:r>
      <w:r w:rsidRPr="001B3C5D">
        <w:rPr>
          <w:rFonts w:ascii="Verdana" w:eastAsia="Aptos" w:hAnsi="Verdana" w:cs="Times New Roman"/>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4AAB4CBD"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este sentido, la parte considerativa del Decreto 287 de 2026, indica que la Ley Estatutaria 1618 del 2013 establece un conjunto de medidas en favor de las personas con discapacidad, “(…) dentro de las que se destacan las contenidas en el numeral 1, que establece el deber del Gobierno Nacional de reglamentar una puntuación adicional en procesos de licitación pública, concurso de méritos y contratación directa para i) las empresas que tengan personas con discapacidad y para </w:t>
      </w:r>
      <w:proofErr w:type="spellStart"/>
      <w:r w:rsidRPr="001B3C5D">
        <w:rPr>
          <w:rFonts w:ascii="Verdana" w:eastAsia="Aptos" w:hAnsi="Verdana" w:cs="Times New Roman"/>
          <w:kern w:val="2"/>
          <w14:ligatures w14:val="standardContextual"/>
        </w:rPr>
        <w:t>ii</w:t>
      </w:r>
      <w:proofErr w:type="spellEnd"/>
      <w:r w:rsidRPr="001B3C5D">
        <w:rPr>
          <w:rFonts w:ascii="Verdana" w:eastAsia="Aptos" w:hAnsi="Verdana" w:cs="Times New Roman"/>
          <w:kern w:val="2"/>
          <w14:ligatures w14:val="standardContextual"/>
        </w:rPr>
        <w:t xml:space="preserve">) las empresas de personas con discapacidad, familiares y tutores, así como también la contenida en el numeral 7, que demanda del Gobierno Nacional reglamentar la implementación de un sistema de preferencias en favor de empleadores de personas con discapacidad aplicable a procesos de selección y celebración de contratos; y la consagrada en el numeral 8, que demanda de los gobiernos nacional, departamentales, distritales y municipales fijar mediante decreto reglamentario la implementación de un sistema de preferencias en favor de las personas con discapacidad aplicable a procesos de selección de contratistas (…)”. </w:t>
      </w:r>
    </w:p>
    <w:p w14:paraId="28ABCFFE"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virtud de lo exigido por los numerales uno (1), siete (7) y ocho (8) del </w:t>
      </w:r>
      <w:r w:rsidRPr="001B3C5D">
        <w:rPr>
          <w:rFonts w:ascii="Verdana" w:eastAsia="Aptos" w:hAnsi="Verdana" w:cs="Times New Roman"/>
          <w:kern w:val="2"/>
          <w14:ligatures w14:val="standardContextual"/>
        </w:rPr>
        <w:lastRenderedPageBreak/>
        <w:t>artículo 13 de la Ley Estatutaria 1618 del 2013, fue expedido el Decreto 392 del 26 de febrero de 2018</w:t>
      </w:r>
      <w:r w:rsidRPr="001B3C5D">
        <w:rPr>
          <w:rFonts w:ascii="Verdana" w:eastAsia="Aptos" w:hAnsi="Verdana" w:cs="Times New Roman"/>
          <w:kern w:val="2"/>
          <w:vertAlign w:val="superscript"/>
          <w14:ligatures w14:val="standardContextual"/>
        </w:rPr>
        <w:footnoteReference w:id="38"/>
      </w:r>
      <w:r w:rsidRPr="001B3C5D">
        <w:rPr>
          <w:rFonts w:ascii="Verdana" w:eastAsia="Aptos" w:hAnsi="Verdana" w:cs="Times New Roman"/>
          <w:kern w:val="2"/>
          <w14:ligatures w14:val="standardContextual"/>
        </w:rPr>
        <w:t>, mediante el cual se adicionan los artículos 2.2.1.2.4.2.6., 2.2.1.2.4.2.7. y 2.2.1.2.4.2.8. al Decreto 1082 de 2015. El primero de estos artículos, reglamenta parcialmente el numeral 1 del artículo 13 de la Ley Estatutaria 1618 del 2013, estableciendo que, las entidades estatales deberán otorgar el uno por ciento (1 %) del total de los puntos establecidos en el pliego de condiciones en los procesos de licitación pública y concurso de méritos, a los proponentes que acrediten la vinculación de trabajadores con discapacidad en su planta de personal. Sin embargo, de acuerdo con la parte considerativa del Decreto 287 de 2026 esta regulación favorece “(…) única y exclusivamente a las empresas que vinculan personas con discapacidad en su planta de personal, omitiendo el favorecimiento que debía reglamentarse en favor de las empresas de personas con discapacidad, familiares y tutores, tal y como lo dispuso el numeral 1 de la norma referida”.</w:t>
      </w:r>
    </w:p>
    <w:p w14:paraId="62571B3D"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Por su parte, el artículo 2.2.1.2.4.2.8. del Decreto 1082 de 2015, de acuerdo con su literalidad, reglamenta los numerales 7 y 8 del artículo 13 de la Ley Estatutaria 1618 del 2013, en la medida en que establece los sistemas de preferencias a los que hacen referencia dichos numerales, pero los reduce a la aplicación de la metodología de desempate consagrada en el artículo 2.2.1.2.4.2.8. de ese mismo Decreto. No obstante, de acuerdo con la parte motiva del Decreto 287 de 2026 “(…) se omite el favorecimiento de las propuestas presentadas por los oferentes que sean personas con discapacidad, como lo exige el numeral 8 del artículo 13 de la Ley Estatutaria 1618 del 2013.</w:t>
      </w:r>
    </w:p>
    <w:p w14:paraId="42BCD671" w14:textId="25F8DF6F"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Entre otros, para efectos de este concepto, resulta pertinente referirse a las siguiente</w:t>
      </w:r>
      <w:r w:rsidR="00CD6353">
        <w:rPr>
          <w:rFonts w:ascii="Verdana" w:eastAsia="Aptos" w:hAnsi="Verdana" w:cs="Times New Roman"/>
          <w:kern w:val="2"/>
          <w14:ligatures w14:val="standardContextual"/>
        </w:rPr>
        <w:t>s</w:t>
      </w:r>
      <w:r w:rsidRPr="001B3C5D">
        <w:rPr>
          <w:rFonts w:ascii="Verdana" w:eastAsia="Aptos" w:hAnsi="Verdana" w:cs="Times New Roman"/>
          <w:kern w:val="2"/>
          <w14:ligatures w14:val="standardContextual"/>
        </w:rPr>
        <w:t xml:space="preserve"> modificaciones: </w:t>
      </w:r>
    </w:p>
    <w:p w14:paraId="617B7A60"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lastRenderedPageBreak/>
        <w:t xml:space="preserve"> i). El artículo 1,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5912A019"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ii</w:t>
      </w:r>
      <w:proofErr w:type="spellEnd"/>
      <w:r w:rsidRPr="001B3C5D">
        <w:rPr>
          <w:rFonts w:ascii="Verdana" w:eastAsia="Aptos" w:hAnsi="Verdana" w:cs="Times New Roman"/>
          <w:kern w:val="2"/>
          <w14:ligatures w14:val="standardContextual"/>
        </w:rPr>
        <w:t xml:space="preserve">).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3A94B626"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iii</w:t>
      </w:r>
      <w:proofErr w:type="spellEnd"/>
      <w:r w:rsidRPr="001B3C5D">
        <w:rPr>
          <w:rFonts w:ascii="Verdana" w:eastAsia="Aptos" w:hAnsi="Verdana" w:cs="Times New Roman"/>
          <w:kern w:val="2"/>
          <w14:ligatures w14:val="standardContextual"/>
        </w:rPr>
        <w:t xml:space="preserve">). El artículo 1, modifica el artículo 2.2.1.2.4.2.7.1. del Decreto 1082 de 2015, disponiendo que todas las entidades que manejen recursos públicos están obligadas a garantizar la accesibilidad para personas con discapacidad en sus procesos de contratación. </w:t>
      </w:r>
    </w:p>
    <w:p w14:paraId="761CAC30"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Aptos" w:eastAsia="Aptos" w:hAnsi="Aptos" w:cs="Times New Roman"/>
          <w:kern w:val="2"/>
          <w:sz w:val="24"/>
          <w:szCs w:val="24"/>
          <w14:ligatures w14:val="standardContextual"/>
        </w:rPr>
        <w:t>iv</w:t>
      </w:r>
      <w:proofErr w:type="spellEnd"/>
      <w:r w:rsidRPr="001B3C5D">
        <w:rPr>
          <w:rFonts w:ascii="Aptos" w:eastAsia="Aptos" w:hAnsi="Aptos" w:cs="Times New Roman"/>
          <w:kern w:val="2"/>
          <w:sz w:val="24"/>
          <w:szCs w:val="24"/>
          <w14:ligatures w14:val="standardContextual"/>
        </w:rPr>
        <w:t xml:space="preserve">). </w:t>
      </w:r>
      <w:r w:rsidRPr="001B3C5D">
        <w:rPr>
          <w:rFonts w:ascii="Verdana" w:eastAsia="Aptos" w:hAnsi="Verdana" w:cs="Times New Roman"/>
          <w:kern w:val="2"/>
          <w14:ligatures w14:val="standardContextual"/>
        </w:rPr>
        <w:t>El artículo 1, modifica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4506AC37"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 El artículo 1, modifica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w:t>
      </w:r>
      <w:r w:rsidRPr="001B3C5D">
        <w:rPr>
          <w:rFonts w:ascii="Verdana" w:eastAsia="Aptos" w:hAnsi="Verdana" w:cs="Times New Roman"/>
          <w:kern w:val="2"/>
          <w14:ligatures w14:val="standardContextual"/>
        </w:rPr>
        <w:lastRenderedPageBreak/>
        <w:t>pueda tener efectividad el puntaje”</w:t>
      </w:r>
      <w:r w:rsidRPr="001B3C5D">
        <w:rPr>
          <w:rFonts w:ascii="Verdana" w:eastAsia="Aptos" w:hAnsi="Verdana" w:cs="Times New Roman"/>
          <w:kern w:val="2"/>
          <w:vertAlign w:val="superscript"/>
          <w14:ligatures w14:val="standardContextual"/>
        </w:rPr>
        <w:footnoteReference w:id="39"/>
      </w:r>
      <w:r w:rsidRPr="001B3C5D">
        <w:rPr>
          <w:rFonts w:ascii="Verdana" w:eastAsia="Aptos" w:hAnsi="Verdana" w:cs="Times New Roman"/>
          <w:kern w:val="2"/>
          <w14:ligatures w14:val="standardContextual"/>
        </w:rPr>
        <w:t xml:space="preserve">. </w:t>
      </w:r>
    </w:p>
    <w:p w14:paraId="2C09A0B5"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vi) El artículo 1, modifica el artículo 2.1.2.4.2.7.4 del Decreto 1082 de 2015. Así, se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08671AB8" w14:textId="4A8E6713"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vii</w:t>
      </w:r>
      <w:proofErr w:type="spellEnd"/>
      <w:r w:rsidRPr="001B3C5D">
        <w:rPr>
          <w:rFonts w:ascii="Verdana" w:eastAsia="Aptos" w:hAnsi="Verdana" w:cs="Times New Roman"/>
          <w:kern w:val="2"/>
          <w14:ligatures w14:val="standardContextual"/>
        </w:rPr>
        <w:t>)</w:t>
      </w:r>
      <w:r w:rsidR="003A22D4">
        <w:rPr>
          <w:rFonts w:ascii="Verdana" w:eastAsia="Aptos" w:hAnsi="Verdana" w:cs="Times New Roman"/>
          <w:kern w:val="2"/>
          <w14:ligatures w14:val="standardContextual"/>
        </w:rPr>
        <w:t xml:space="preserve"> </w:t>
      </w:r>
      <w:r w:rsidRPr="001B3C5D">
        <w:rPr>
          <w:rFonts w:ascii="Verdana" w:eastAsia="Aptos" w:hAnsi="Verdana" w:cs="Times New Roman"/>
          <w:kern w:val="2"/>
          <w14:ligatures w14:val="standardContextual"/>
        </w:rPr>
        <w:t xml:space="preserve">El artículo 1, modifica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7678CBF3"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viii</w:t>
      </w:r>
      <w:proofErr w:type="spellEnd"/>
      <w:r w:rsidRPr="001B3C5D">
        <w:rPr>
          <w:rFonts w:ascii="Verdana" w:eastAsia="Aptos" w:hAnsi="Verdana" w:cs="Times New Roman"/>
          <w:kern w:val="2"/>
          <w14:ligatures w14:val="standardContextual"/>
        </w:rPr>
        <w:t>) El artículo 1, modifica el artículo 2.2.1.2.4.2.7.6. del Decreto 1082 de 2015, incluyendo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13351195"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ix</w:t>
      </w:r>
      <w:proofErr w:type="spellEnd"/>
      <w:r w:rsidRPr="001B3C5D">
        <w:rPr>
          <w:rFonts w:ascii="Verdana" w:eastAsia="Aptos" w:hAnsi="Verdana" w:cs="Times New Roman"/>
          <w:kern w:val="2"/>
          <w14:ligatures w14:val="standardContextual"/>
        </w:rPr>
        <w:t xml:space="preserve">). El artículo 1, modifica el artículo 2.2.1.2.4.2.7.8 del Decreto 1082 de 2015. La modificación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75F02E9B" w14:textId="05B927FF" w:rsidR="001B3C5D" w:rsidRPr="001B3C5D" w:rsidRDefault="001B3C5D" w:rsidP="001B3C5D">
      <w:pPr>
        <w:widowControl w:val="0"/>
        <w:autoSpaceDE w:val="0"/>
        <w:autoSpaceDN w:val="0"/>
        <w:spacing w:after="12"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Finalmente, el artículo 2 del Decreto 287 de 2026 establece las vigencias y derogatorias, en los siguiente</w:t>
      </w:r>
      <w:r w:rsidR="00333E92">
        <w:rPr>
          <w:rFonts w:ascii="Verdana" w:eastAsia="Aptos" w:hAnsi="Verdana" w:cs="Times New Roman"/>
          <w:kern w:val="2"/>
          <w14:ligatures w14:val="standardContextual"/>
        </w:rPr>
        <w:t>s</w:t>
      </w:r>
      <w:r w:rsidRPr="001B3C5D">
        <w:rPr>
          <w:rFonts w:ascii="Verdana" w:eastAsia="Aptos" w:hAnsi="Verdana" w:cs="Times New Roman"/>
          <w:kern w:val="2"/>
          <w14:ligatures w14:val="standardContextual"/>
        </w:rPr>
        <w:t xml:space="preserve"> términos: “El presente Decreto rige a partir del día siguiente a su publicación, modifica los artículos 2.2.1.2.4.2.6., 2.2.1 .2.4.2.7. Y 2.2.1.2.4.2.8. de la Subsección 2 de la Sección 4 del Capítulo 2 del Título 1 de la Parte 2 del Libro 2 del Decreto 1082 de 2015, Único Reglamentario del Sector Administrativo de Planeación, y deroga todas las disposiciones que le sean contrarias”.</w:t>
      </w:r>
    </w:p>
    <w:p w14:paraId="1A38FA54" w14:textId="77777777" w:rsidR="001B3C5D" w:rsidRPr="001B3C5D" w:rsidRDefault="001B3C5D" w:rsidP="001B3C5D">
      <w:pPr>
        <w:widowControl w:val="0"/>
        <w:autoSpaceDE w:val="0"/>
        <w:autoSpaceDN w:val="0"/>
        <w:spacing w:after="12" w:line="276" w:lineRule="auto"/>
        <w:ind w:firstLine="708"/>
        <w:jc w:val="both"/>
        <w:rPr>
          <w:rFonts w:ascii="Verdana" w:eastAsia="Aptos" w:hAnsi="Verdana" w:cs="Times New Roman"/>
          <w:kern w:val="2"/>
          <w14:ligatures w14:val="standardContextual"/>
        </w:rPr>
      </w:pPr>
    </w:p>
    <w:p w14:paraId="16E83253" w14:textId="1F16D24E" w:rsidR="001B3C5D" w:rsidRPr="001B3C5D" w:rsidRDefault="001B3C5D" w:rsidP="001B3C5D">
      <w:pPr>
        <w:widowControl w:val="0"/>
        <w:autoSpaceDE w:val="0"/>
        <w:autoSpaceDN w:val="0"/>
        <w:spacing w:after="120" w:line="276" w:lineRule="auto"/>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 De acuerdo con el desarrollo del numeral precedente, </w:t>
      </w:r>
      <w:r w:rsidRPr="001B3C5D">
        <w:rPr>
          <w:rFonts w:ascii="Verdana" w:eastAsia="Aptos" w:hAnsi="Verdana" w:cs="AppleSystemUIFont"/>
          <w:lang w:val="es-MX"/>
          <w14:ligatures w14:val="standardContextual"/>
        </w:rPr>
        <w:t xml:space="preserve">la expedición del Decreto 287 de 2026 introduce un conjunto de </w:t>
      </w:r>
      <w:r w:rsidR="00333E92" w:rsidRPr="001B3C5D">
        <w:rPr>
          <w:rFonts w:ascii="Verdana" w:eastAsia="Aptos" w:hAnsi="Verdana" w:cs="AppleSystemUIFont"/>
          <w:lang w:val="es-MX"/>
          <w14:ligatures w14:val="standardContextual"/>
        </w:rPr>
        <w:t>prerrogativas</w:t>
      </w:r>
      <w:r w:rsidRPr="001B3C5D">
        <w:rPr>
          <w:rFonts w:ascii="Verdana" w:eastAsia="Aptos" w:hAnsi="Verdana" w:cs="AppleSystemUIFont"/>
          <w:lang w:val="es-MX"/>
          <w14:ligatures w14:val="standardContextual"/>
        </w:rPr>
        <w:t xml:space="preserve">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1B3C5D">
        <w:rPr>
          <w:rFonts w:ascii="Verdana" w:eastAsia="Aptos" w:hAnsi="Verdana" w:cs="Times New Roman"/>
          <w:kern w:val="2"/>
          <w14:ligatures w14:val="standardContextual"/>
        </w:rPr>
        <w:t>de Contratación Pública – Colombia Compra Eficiente.</w:t>
      </w:r>
    </w:p>
    <w:p w14:paraId="64DF4A67"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653650B8"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1B3C5D">
        <w:rPr>
          <w:rFonts w:ascii="Verdana" w:eastAsia="Aptos" w:hAnsi="Verdana" w:cs="Times New Roman"/>
          <w:kern w:val="2"/>
          <w:vertAlign w:val="superscript"/>
          <w14:ligatures w14:val="standardContextual"/>
        </w:rPr>
        <w:footnoteReference w:id="40"/>
      </w:r>
      <w:r w:rsidRPr="001B3C5D">
        <w:rPr>
          <w:rFonts w:ascii="Verdana" w:eastAsia="Aptos" w:hAnsi="Verdana" w:cs="Times New Roman"/>
          <w:kern w:val="2"/>
          <w14:ligatures w14:val="standardContextual"/>
        </w:rPr>
        <w:t xml:space="preserve">, de tal manera que se </w:t>
      </w:r>
      <w:r w:rsidRPr="001B3C5D">
        <w:rPr>
          <w:rFonts w:ascii="Verdana" w:eastAsia="Aptos" w:hAnsi="Verdana" w:cs="Times New Roman"/>
          <w:kern w:val="2"/>
          <w14:ligatures w14:val="standardContextual"/>
        </w:rPr>
        <w:lastRenderedPageBreak/>
        <w:t>eliminen barreras de entrada injustificadas sin comprometer la idoneidad del contratista, en aplicación del principio de igualdad material.</w:t>
      </w:r>
    </w:p>
    <w:p w14:paraId="6FC393FC"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Mipymes y emprendimientos y empresas de mujeres, se incluyan los dispuestos en el Decreto 287 de 2026 en favor de los emprendimientos y empresas de personas con discapacidad.</w:t>
      </w:r>
    </w:p>
    <w:p w14:paraId="3D110F07"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527A4959"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Esta incorporación debe realizarse de manera estandarizada en los documentos tipo de licitación pública y concurso de méritos en los sectores en los que estos han sido adoptados por parte de la Agencia Nacional de Contratación Pública – Colombia Compra Eficiente, considerando que, actualmente en estos se señala como factor de ponderación un puntaje máximo de un (1) punto por la vinculación de personas con discapacidad, evento este que, con la modificación realizada por el Decreto 287 de 2026 debe ajustarse. </w:t>
      </w:r>
    </w:p>
    <w:p w14:paraId="385CB1F3"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De esta forma, la modificación del artículo 1 del Decreto 287 de 2026 al </w:t>
      </w:r>
      <w:r w:rsidRPr="001B3C5D">
        <w:rPr>
          <w:rFonts w:ascii="Verdana" w:eastAsia="Aptos" w:hAnsi="Verdana" w:cs="Times New Roman"/>
          <w:kern w:val="2"/>
          <w14:ligatures w14:val="standardContextual"/>
        </w:rPr>
        <w:lastRenderedPageBreak/>
        <w:t xml:space="preserve">artículo 2.2.1.2.4.2.7.4 del Decreto 1082 de 2015, incide en el ajuste del puntaje que se otorga en los documentos tipo de licitación pública y concurso de méritos por la incorporación de personas con discapacidad, en donde además, se amplía el ámbito de aplicación a emprendimientos y empresas de personas con discapacidad. Además, la modificación señalada incide en el formato que actualmente se encuentra previsto en los documentos tipo para acreditar esta condición, por lo que se debe definir con claridad los mecanismos de acreditación y verificación, con el fin de evitar discrecionalidades y garantizar la transparencia del proceso. </w:t>
      </w:r>
    </w:p>
    <w:p w14:paraId="57239037"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0A607F20" w14:textId="77777777" w:rsidR="001B3C5D" w:rsidRPr="001B3C5D" w:rsidRDefault="001B3C5D" w:rsidP="001B3C5D">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32F9ACBE" w14:textId="77777777" w:rsidR="001B3C5D" w:rsidRPr="001B3C5D" w:rsidRDefault="001B3C5D" w:rsidP="001B3C5D">
      <w:pPr>
        <w:widowControl w:val="0"/>
        <w:autoSpaceDE w:val="0"/>
        <w:autoSpaceDN w:val="0"/>
        <w:spacing w:after="0" w:line="276" w:lineRule="auto"/>
        <w:ind w:firstLine="708"/>
        <w:jc w:val="both"/>
        <w:rPr>
          <w:rFonts w:ascii="Verdana" w:eastAsia="Aptos" w:hAnsi="Verdana" w:cs="Times New Roman"/>
          <w:kern w:val="2"/>
          <w14:ligatures w14:val="standardContextual"/>
        </w:rPr>
      </w:pPr>
    </w:p>
    <w:p w14:paraId="2F64BEC1" w14:textId="77777777" w:rsidR="001B3C5D" w:rsidRPr="001B3C5D" w:rsidRDefault="001B3C5D" w:rsidP="001B3C5D">
      <w:pPr>
        <w:widowControl w:val="0"/>
        <w:autoSpaceDE w:val="0"/>
        <w:autoSpaceDN w:val="0"/>
        <w:spacing w:after="120" w:line="276" w:lineRule="auto"/>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vi. 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46F6C1C3"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este sentido, la Ley 2022 de 2020 no solo atribuye la competencia a la Agencia Nacional de Contratación Pública – Colombia Compra Eficiente para </w:t>
      </w:r>
      <w:r w:rsidRPr="001B3C5D">
        <w:rPr>
          <w:rFonts w:ascii="Verdana" w:eastAsia="Aptos" w:hAnsi="Verdana" w:cs="Times New Roman"/>
          <w:kern w:val="2"/>
          <w14:ligatures w14:val="standardContextual"/>
        </w:rPr>
        <w:lastRenderedPageBreak/>
        <w:t xml:space="preserve">adoptar documentos tipo, sino que define expresamente su contenido, al disponer que en estos </w:t>
      </w:r>
      <w:r w:rsidRPr="001B3C5D">
        <w:rPr>
          <w:rFonts w:ascii="Verdana" w:eastAsia="Aptos" w:hAnsi="Verdana" w:cs="Times New Roman"/>
          <w:i/>
          <w:iCs/>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1B3C5D">
        <w:rPr>
          <w:rFonts w:ascii="Verdana" w:eastAsia="Aptos" w:hAnsi="Verdana" w:cs="Times New Roman"/>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037432E8" w14:textId="30EB125E"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Conforme con el contenido de la Ley 2022 de 202</w:t>
      </w:r>
      <w:r w:rsidR="00C87621">
        <w:rPr>
          <w:rFonts w:ascii="Verdana" w:eastAsia="Aptos" w:hAnsi="Verdana" w:cs="Times New Roman"/>
          <w:kern w:val="2"/>
          <w14:ligatures w14:val="standardContextual"/>
        </w:rPr>
        <w:t>0</w:t>
      </w:r>
      <w:r w:rsidRPr="001B3C5D">
        <w:rPr>
          <w:rFonts w:ascii="Verdana" w:eastAsia="Aptos" w:hAnsi="Verdana" w:cs="Times New Roman"/>
          <w:kern w:val="2"/>
          <w14:ligatures w14:val="standardContextual"/>
        </w:rPr>
        <w:t>, la jurisprudencia ha determinado que, la Agencia Nacional de Contratación Pública – Colombia Compra Eficiente ejerce una potestad regulatoria de naturaleza subordinada (</w:t>
      </w:r>
      <w:proofErr w:type="spellStart"/>
      <w:r w:rsidRPr="001B3C5D">
        <w:rPr>
          <w:rFonts w:ascii="Verdana" w:eastAsia="Aptos" w:hAnsi="Verdana" w:cs="Times New Roman"/>
          <w:kern w:val="2"/>
          <w14:ligatures w14:val="standardContextual"/>
        </w:rPr>
        <w:t>secundum</w:t>
      </w:r>
      <w:proofErr w:type="spellEnd"/>
      <w:r w:rsidRPr="001B3C5D">
        <w:rPr>
          <w:rFonts w:ascii="Verdana" w:eastAsia="Aptos" w:hAnsi="Verdana" w:cs="Times New Roman"/>
          <w:kern w:val="2"/>
          <w14:ligatures w14:val="standardContextual"/>
        </w:rPr>
        <w:t xml:space="preserve"> </w:t>
      </w:r>
      <w:proofErr w:type="spellStart"/>
      <w:r w:rsidRPr="001B3C5D">
        <w:rPr>
          <w:rFonts w:ascii="Verdana" w:eastAsia="Aptos" w:hAnsi="Verdana" w:cs="Times New Roman"/>
          <w:kern w:val="2"/>
          <w14:ligatures w14:val="standardContextual"/>
        </w:rPr>
        <w:t>legem</w:t>
      </w:r>
      <w:proofErr w:type="spellEnd"/>
      <w:r w:rsidRPr="001B3C5D">
        <w:rPr>
          <w:rFonts w:ascii="Verdana" w:eastAsia="Aptos" w:hAnsi="Verdana" w:cs="Times New Roman"/>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1BD19253" w14:textId="296E3951"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w:t>
      </w:r>
      <w:r w:rsidR="0022263A">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i</w:t>
      </w:r>
      <w:r w:rsidR="008B59D5">
        <w:rPr>
          <w:rFonts w:ascii="Verdana" w:eastAsia="Aptos" w:hAnsi="Verdana" w:cs="Times New Roman"/>
          <w:kern w:val="2"/>
          <w14:ligatures w14:val="standardContextual"/>
        </w:rPr>
        <w:t>)</w:t>
      </w:r>
      <w:r w:rsidRPr="001B3C5D">
        <w:rPr>
          <w:rFonts w:ascii="Verdana" w:eastAsia="Aptos" w:hAnsi="Verdana" w:cs="Times New Roman"/>
          <w:kern w:val="2"/>
          <w14:ligatures w14:val="standardContextual"/>
        </w:rPr>
        <w:t xml:space="preserve">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51E73BCA"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w:t>
      </w:r>
      <w:r w:rsidRPr="001B3C5D">
        <w:rPr>
          <w:rFonts w:ascii="Verdana" w:eastAsia="Aptos" w:hAnsi="Verdana" w:cs="Times New Roman"/>
          <w:kern w:val="2"/>
          <w14:ligatures w14:val="standardContextual"/>
        </w:rPr>
        <w:lastRenderedPageBreak/>
        <w:t>deben sujetarse de manera estricta a las condiciones definidas en dichos instrumentos, particularmente en lo relacionado con requisitos habilitantes, factores de evaluación y sistemas de ponderación.</w:t>
      </w:r>
    </w:p>
    <w:p w14:paraId="2EED92B8"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Lo dispuesto en el párrafo precedente, es consecuente con lo desarrollado en el punto tres (</w:t>
      </w:r>
      <w:proofErr w:type="spellStart"/>
      <w:r w:rsidRPr="001B3C5D">
        <w:rPr>
          <w:rFonts w:ascii="Verdana" w:eastAsia="Aptos" w:hAnsi="Verdana" w:cs="Times New Roman"/>
          <w:kern w:val="2"/>
          <w14:ligatures w14:val="standardContextual"/>
        </w:rPr>
        <w:t>iii</w:t>
      </w:r>
      <w:proofErr w:type="spellEnd"/>
      <w:r w:rsidRPr="001B3C5D">
        <w:rPr>
          <w:rFonts w:ascii="Verdana" w:eastAsia="Aptos" w:hAnsi="Verdana" w:cs="Times New Roman"/>
          <w:kern w:val="2"/>
          <w14:ligatures w14:val="standardContextual"/>
        </w:rPr>
        <w:t>)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6B226A9E" w14:textId="7B8472A0"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22611E12"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w:t>
      </w:r>
      <w:r w:rsidRPr="001B3C5D">
        <w:rPr>
          <w:rFonts w:ascii="Verdana" w:eastAsia="Aptos" w:hAnsi="Verdana" w:cs="Times New Roman"/>
          <w:kern w:val="2"/>
          <w14:ligatures w14:val="standardContextual"/>
        </w:rPr>
        <w:lastRenderedPageBreak/>
        <w:t>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02CB56F5"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w:t>
      </w:r>
      <w:r w:rsidRPr="001B3C5D">
        <w:rPr>
          <w:rFonts w:ascii="Verdana" w:eastAsia="Aptos" w:hAnsi="Verdana" w:cs="Times New Roman"/>
          <w:kern w:val="2"/>
          <w:vertAlign w:val="superscript"/>
          <w14:ligatures w14:val="standardContextual"/>
        </w:rPr>
        <w:footnoteReference w:id="41"/>
      </w:r>
      <w:r w:rsidRPr="001B3C5D">
        <w:rPr>
          <w:rFonts w:ascii="Verdana" w:eastAsia="Aptos" w:hAnsi="Verdana" w:cs="Times New Roman"/>
          <w:kern w:val="2"/>
          <w14:ligatures w14:val="standardContextual"/>
        </w:rPr>
        <w:t xml:space="preserve">, quien cuenta con la capacidad técnica para garantizar la adecuada integración de las nuevas disposiciones, como por ejemplo el Decreto 287 de 2026. </w:t>
      </w:r>
    </w:p>
    <w:p w14:paraId="4DD3B43E"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Adicionalmente, el propio Decreto 287 de 2026 en el artículo 1 que modifica el artículo 2.2.1.2.4.2.7.8 al Decreto 1082 de 2015</w:t>
      </w:r>
      <w:r w:rsidRPr="001B3C5D">
        <w:rPr>
          <w:rFonts w:ascii="Verdana" w:eastAsia="Aptos" w:hAnsi="Verdana" w:cs="Times New Roman"/>
          <w:kern w:val="2"/>
          <w:vertAlign w:val="superscript"/>
          <w14:ligatures w14:val="standardContextual"/>
        </w:rPr>
        <w:footnoteReference w:id="42"/>
      </w:r>
      <w:r w:rsidRPr="001B3C5D">
        <w:rPr>
          <w:rFonts w:ascii="Verdana" w:eastAsia="Aptos" w:hAnsi="Verdana" w:cs="Times New Roman"/>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1B3C5D">
        <w:rPr>
          <w:rFonts w:ascii="Aptos" w:eastAsia="Aptos" w:hAnsi="Aptos" w:cs="Times New Roman"/>
          <w:kern w:val="2"/>
          <w:sz w:val="24"/>
          <w:szCs w:val="24"/>
          <w14:ligatures w14:val="standardContextual"/>
        </w:rPr>
        <w:t>”</w:t>
      </w:r>
      <w:r w:rsidRPr="001B3C5D">
        <w:rPr>
          <w:rFonts w:ascii="Aptos" w:eastAsia="Aptos" w:hAnsi="Aptos" w:cs="Times New Roman"/>
          <w:kern w:val="2"/>
          <w:sz w:val="24"/>
          <w:szCs w:val="24"/>
          <w:vertAlign w:val="superscript"/>
          <w14:ligatures w14:val="standardContextual"/>
        </w:rPr>
        <w:footnoteReference w:id="43"/>
      </w:r>
      <w:r w:rsidRPr="001B3C5D">
        <w:rPr>
          <w:rFonts w:ascii="Verdana" w:eastAsia="Aptos" w:hAnsi="Verdana" w:cs="Times New Roman"/>
          <w:kern w:val="2"/>
          <w14:ligatures w14:val="standardContextual"/>
        </w:rPr>
        <w:t xml:space="preserve">, lo cual confirma que la operatividad de dichas disposiciones en el ámbito de los documentos tipo depende de su desarrollo por parte de esta entidad. </w:t>
      </w:r>
    </w:p>
    <w:p w14:paraId="4DB6940E"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lastRenderedPageBreak/>
        <w:t>Lo anterior es consecuente con lo dispuesto en el ABC del Decreto 0287 de 2026 “Contratación pública inclusiva para personas con discapacidad”</w:t>
      </w:r>
      <w:r w:rsidRPr="001B3C5D">
        <w:rPr>
          <w:rFonts w:ascii="Verdana" w:eastAsia="Aptos" w:hAnsi="Verdana" w:cs="Times New Roman"/>
          <w:kern w:val="2"/>
          <w:vertAlign w:val="superscript"/>
          <w14:ligatures w14:val="standardContextual"/>
        </w:rPr>
        <w:footnoteReference w:id="44"/>
      </w:r>
      <w:r w:rsidRPr="001B3C5D">
        <w:rPr>
          <w:rFonts w:ascii="Verdana" w:eastAsia="Aptos" w:hAnsi="Verdana" w:cs="Times New Roman"/>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705AAC48"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61904622" w14:textId="77777777"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76DF697B" w14:textId="5DFFAAE2" w:rsidR="001B3C5D" w:rsidRPr="001B3C5D" w:rsidRDefault="001B3C5D" w:rsidP="001B3C5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w:t>
      </w:r>
      <w:r w:rsidR="006B2C3A">
        <w:rPr>
          <w:rFonts w:ascii="Verdana" w:eastAsia="Aptos" w:hAnsi="Verdana" w:cs="Times New Roman"/>
          <w:kern w:val="2"/>
          <w14:ligatures w14:val="standardContextual"/>
        </w:rPr>
        <w:t>la</w:t>
      </w:r>
      <w:r w:rsidRPr="001B3C5D">
        <w:rPr>
          <w:rFonts w:ascii="Verdana" w:eastAsia="Aptos" w:hAnsi="Verdana" w:cs="Times New Roman"/>
          <w:kern w:val="2"/>
          <w14:ligatures w14:val="standardContextual"/>
        </w:rPr>
        <w:t xml:space="preserve"> revisión de estos documentos y la adopción de las modificaciones a que haya lugar mediante acto administrativo motivado.</w:t>
      </w:r>
    </w:p>
    <w:p w14:paraId="73DE796F" w14:textId="7C8094E3" w:rsidR="001B3C5D" w:rsidRPr="001B3C5D" w:rsidRDefault="001E6D9C" w:rsidP="001B3C5D">
      <w:pPr>
        <w:widowControl w:val="0"/>
        <w:autoSpaceDE w:val="0"/>
        <w:autoSpaceDN w:val="0"/>
        <w:spacing w:after="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lastRenderedPageBreak/>
        <w:t>Con</w:t>
      </w:r>
      <w:r w:rsidR="001B3C5D" w:rsidRPr="001B3C5D">
        <w:rPr>
          <w:rFonts w:ascii="Verdana" w:eastAsia="Aptos" w:hAnsi="Verdana" w:cs="Times New Roman"/>
          <w:kern w:val="2"/>
          <w14:ligatures w14:val="standardContextual"/>
        </w:rPr>
        <w:t xml:space="preserv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w:t>
      </w:r>
      <w:r w:rsidR="000D7A52">
        <w:rPr>
          <w:rFonts w:ascii="Verdana" w:eastAsia="Aptos" w:hAnsi="Verdana" w:cs="Times New Roman"/>
          <w:kern w:val="2"/>
          <w14:ligatures w14:val="standardContextual"/>
        </w:rPr>
        <w:t xml:space="preserve">Decreto </w:t>
      </w:r>
      <w:r w:rsidR="001B3C5D" w:rsidRPr="001B3C5D">
        <w:rPr>
          <w:rFonts w:ascii="Verdana" w:eastAsia="Aptos" w:hAnsi="Verdana" w:cs="Times New Roman"/>
          <w:kern w:val="2"/>
          <w14:ligatures w14:val="standardContextual"/>
        </w:rPr>
        <w:t xml:space="preserve">1082 de 2015. Este trabajo ya fue iniciado por la Agencia Nacional de Contratación Pública – Colombia Compra Eficiente y finalizará con la adopción del acto administrativo que modifica los documentos tipo luego de surtir el procedimiento señalado. </w:t>
      </w:r>
    </w:p>
    <w:bookmarkEnd w:id="1"/>
    <w:p w14:paraId="38E58ACA" w14:textId="77777777" w:rsidR="001B3C5D" w:rsidRPr="001B3C5D" w:rsidRDefault="001B3C5D" w:rsidP="001B3C5D">
      <w:pPr>
        <w:tabs>
          <w:tab w:val="left" w:pos="142"/>
          <w:tab w:val="left" w:pos="284"/>
        </w:tabs>
        <w:spacing w:after="0" w:line="276" w:lineRule="auto"/>
        <w:jc w:val="both"/>
        <w:rPr>
          <w:rFonts w:ascii="Verdana" w:eastAsia="Century Gothic" w:hAnsi="Verdana" w:cs="Century Gothic"/>
          <w:lang w:val="es-ES_tradnl"/>
        </w:rPr>
      </w:pPr>
    </w:p>
    <w:p w14:paraId="590A3DC6" w14:textId="77777777" w:rsidR="001B3C5D" w:rsidRPr="001B3C5D" w:rsidRDefault="001B3C5D" w:rsidP="001B3C5D">
      <w:pPr>
        <w:tabs>
          <w:tab w:val="left" w:pos="142"/>
          <w:tab w:val="left" w:pos="284"/>
        </w:tabs>
        <w:spacing w:after="0" w:line="276" w:lineRule="auto"/>
        <w:jc w:val="both"/>
        <w:rPr>
          <w:rFonts w:ascii="Verdana" w:eastAsia="Century Gothic" w:hAnsi="Verdana" w:cs="Century Gothic"/>
          <w:b/>
          <w:bCs/>
          <w:lang w:val="es-ES_tradnl"/>
        </w:rPr>
      </w:pPr>
      <w:r w:rsidRPr="001B3C5D">
        <w:rPr>
          <w:rFonts w:ascii="Verdana" w:eastAsia="Century Gothic" w:hAnsi="Verdana" w:cs="Century Gothic"/>
          <w:b/>
          <w:bCs/>
          <w:lang w:val="es-ES_tradnl"/>
        </w:rPr>
        <w:t>4. Referencias normativas, jurisprudenciales y otras fuentes:</w:t>
      </w:r>
    </w:p>
    <w:p w14:paraId="78F0BF53" w14:textId="77777777" w:rsidR="001B3C5D" w:rsidRPr="001B3C5D" w:rsidRDefault="001B3C5D" w:rsidP="001B3C5D">
      <w:pPr>
        <w:spacing w:after="0"/>
        <w:ind w:left="-15840"/>
        <w:jc w:val="both"/>
        <w:rPr>
          <w:rFonts w:ascii="Verdana" w:eastAsia="Calibri" w:hAnsi="Verdana" w:cs="Arial"/>
          <w:b/>
          <w:bCs/>
        </w:rPr>
      </w:pPr>
      <w:r w:rsidRPr="001B3C5D">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1B3C5D" w:rsidRPr="001B3C5D" w14:paraId="3DDA1D8A" w14:textId="77777777" w:rsidTr="009A7AFB">
        <w:trPr>
          <w:trHeight w:val="870"/>
        </w:trPr>
        <w:tc>
          <w:tcPr>
            <w:tcW w:w="8647" w:type="dxa"/>
            <w:tcBorders>
              <w:top w:val="dotted" w:sz="4" w:space="0" w:color="auto"/>
              <w:left w:val="dotted" w:sz="4" w:space="0" w:color="auto"/>
              <w:bottom w:val="dotted" w:sz="4" w:space="0" w:color="auto"/>
              <w:right w:val="dotted" w:sz="4" w:space="0" w:color="auto"/>
            </w:tcBorders>
          </w:tcPr>
          <w:p w14:paraId="6C99A075" w14:textId="77777777" w:rsidR="001B3C5D" w:rsidRPr="0055082D" w:rsidRDefault="001B3C5D" w:rsidP="001B3C5D">
            <w:pPr>
              <w:widowControl w:val="0"/>
              <w:numPr>
                <w:ilvl w:val="0"/>
                <w:numId w:val="17"/>
              </w:numPr>
              <w:autoSpaceDE w:val="0"/>
              <w:autoSpaceDN w:val="0"/>
              <w:spacing w:line="276" w:lineRule="auto"/>
              <w:contextualSpacing/>
              <w:jc w:val="both"/>
              <w:rPr>
                <w:rFonts w:ascii="Verdana" w:eastAsia="Aptos" w:hAnsi="Verdana" w:cs="Arial"/>
                <w:lang w:val="it-IT"/>
              </w:rPr>
            </w:pPr>
            <w:r w:rsidRPr="00F16D67">
              <w:rPr>
                <w:rFonts w:ascii="Verdana" w:eastAsia="Aptos" w:hAnsi="Verdana" w:cs="Arial"/>
                <w:lang w:val="pt-BR"/>
              </w:rPr>
              <w:t xml:space="preserve">Corte Constitucional, Sentencia C–1005 de 2008. </w:t>
            </w:r>
            <w:r w:rsidRPr="0055082D">
              <w:rPr>
                <w:rFonts w:ascii="Verdana" w:eastAsia="Aptos" w:hAnsi="Verdana" w:cs="Arial"/>
                <w:lang w:val="it-IT"/>
              </w:rPr>
              <w:t>M.P.: Humberto Antonio Sierra Porto.</w:t>
            </w:r>
          </w:p>
          <w:p w14:paraId="5CADAA21" w14:textId="77777777" w:rsidR="001B3C5D" w:rsidRPr="001B3C5D" w:rsidRDefault="001B3C5D" w:rsidP="001B3C5D">
            <w:pPr>
              <w:widowControl w:val="0"/>
              <w:numPr>
                <w:ilvl w:val="0"/>
                <w:numId w:val="17"/>
              </w:numPr>
              <w:autoSpaceDE w:val="0"/>
              <w:autoSpaceDN w:val="0"/>
              <w:spacing w:line="276" w:lineRule="auto"/>
              <w:contextualSpacing/>
              <w:jc w:val="both"/>
              <w:rPr>
                <w:rFonts w:ascii="Verdana" w:eastAsia="Aptos" w:hAnsi="Verdana" w:cs="Arial"/>
              </w:rPr>
            </w:pPr>
            <w:r w:rsidRPr="00F16D67">
              <w:rPr>
                <w:rFonts w:ascii="Verdana" w:eastAsia="Aptos" w:hAnsi="Verdana" w:cs="Arial"/>
                <w:lang w:val="it-IT"/>
              </w:rPr>
              <w:t xml:space="preserve">Consejo de Estado, Sala de lo Contencioso Administrativo, Sección Primera. Consejero ponente: Juan Alberto Polo Figueroa. Bogotá D.C., 24 de agosto de 2000. </w:t>
            </w:r>
            <w:r w:rsidRPr="001B3C5D">
              <w:rPr>
                <w:rFonts w:ascii="Verdana" w:eastAsia="Aptos" w:hAnsi="Verdana" w:cs="Arial"/>
              </w:rPr>
              <w:t>Radicación número 6096.</w:t>
            </w:r>
          </w:p>
          <w:p w14:paraId="0D6496F9" w14:textId="77777777" w:rsidR="001B3C5D" w:rsidRPr="001B3C5D" w:rsidRDefault="001B3C5D" w:rsidP="001B3C5D">
            <w:pPr>
              <w:widowControl w:val="0"/>
              <w:numPr>
                <w:ilvl w:val="0"/>
                <w:numId w:val="17"/>
              </w:numPr>
              <w:autoSpaceDE w:val="0"/>
              <w:autoSpaceDN w:val="0"/>
              <w:spacing w:line="276" w:lineRule="auto"/>
              <w:contextualSpacing/>
              <w:jc w:val="both"/>
              <w:rPr>
                <w:rFonts w:ascii="Verdana" w:eastAsia="Aptos" w:hAnsi="Verdana" w:cs="Arial"/>
              </w:rPr>
            </w:pPr>
            <w:r w:rsidRPr="00F16D67">
              <w:rPr>
                <w:rFonts w:ascii="Verdana" w:eastAsia="Aptos" w:hAnsi="Verdana" w:cs="Arial"/>
                <w:lang w:val="pt-BR"/>
              </w:rPr>
              <w:t xml:space="preserve">Corte Constitucional, Sentencia C-917 de 2002. </w:t>
            </w:r>
            <w:r w:rsidRPr="001B3C5D">
              <w:rPr>
                <w:rFonts w:ascii="Verdana" w:eastAsia="Aptos" w:hAnsi="Verdana" w:cs="Arial"/>
              </w:rPr>
              <w:t xml:space="preserve">M.P.: Marco Gerardo Monroy Cabra. </w:t>
            </w:r>
          </w:p>
          <w:p w14:paraId="67007FE8" w14:textId="77777777" w:rsidR="001B3C5D" w:rsidRPr="001B3C5D" w:rsidRDefault="001B3C5D" w:rsidP="001B3C5D">
            <w:pPr>
              <w:widowControl w:val="0"/>
              <w:numPr>
                <w:ilvl w:val="0"/>
                <w:numId w:val="17"/>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Tercera. Auto del 14 de agosto de 2017. Rad. 58820.</w:t>
            </w:r>
          </w:p>
          <w:p w14:paraId="1937E2FE" w14:textId="77777777" w:rsidR="001B3C5D" w:rsidRPr="001B3C5D" w:rsidRDefault="001B3C5D" w:rsidP="001B3C5D">
            <w:pPr>
              <w:widowControl w:val="0"/>
              <w:numPr>
                <w:ilvl w:val="0"/>
                <w:numId w:val="17"/>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Tercera. Sentencia del 16 de agosto de 2017. Rad.56166.</w:t>
            </w:r>
          </w:p>
          <w:p w14:paraId="100BD97B" w14:textId="77777777" w:rsidR="001B3C5D" w:rsidRPr="001B3C5D" w:rsidRDefault="001B3C5D" w:rsidP="001B3C5D">
            <w:pPr>
              <w:widowControl w:val="0"/>
              <w:numPr>
                <w:ilvl w:val="0"/>
                <w:numId w:val="17"/>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Tercera. Sentencia de 11 de abril de 2019. Rad. 52.055.</w:t>
            </w:r>
          </w:p>
          <w:p w14:paraId="31A307CB" w14:textId="77777777" w:rsidR="001B3C5D" w:rsidRPr="001B3C5D" w:rsidRDefault="001B3C5D" w:rsidP="001B3C5D">
            <w:pPr>
              <w:widowControl w:val="0"/>
              <w:numPr>
                <w:ilvl w:val="0"/>
                <w:numId w:val="17"/>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Quinta, del 12 de diciembre de 2024 (Rad. 05001-23-33-000-2024-00847-01, M.P. Omar Joaquín Barreto Suárez)</w:t>
            </w:r>
          </w:p>
          <w:p w14:paraId="566ED4DB" w14:textId="77777777" w:rsidR="001B3C5D" w:rsidRPr="001B3C5D" w:rsidRDefault="001B3C5D" w:rsidP="001B3C5D">
            <w:pPr>
              <w:widowControl w:val="0"/>
              <w:numPr>
                <w:ilvl w:val="0"/>
                <w:numId w:val="17"/>
              </w:numPr>
              <w:autoSpaceDE w:val="0"/>
              <w:autoSpaceDN w:val="0"/>
              <w:spacing w:line="276" w:lineRule="auto"/>
              <w:contextualSpacing/>
              <w:jc w:val="both"/>
              <w:rPr>
                <w:rFonts w:ascii="Verdana" w:eastAsia="Aptos" w:hAnsi="Verdana" w:cs="Arial"/>
              </w:rPr>
            </w:pPr>
            <w:r w:rsidRPr="001B3C5D">
              <w:rPr>
                <w:rFonts w:ascii="Verdana" w:eastAsia="Aptos" w:hAnsi="Verdana" w:cs="Arial"/>
              </w:rPr>
              <w:t>Ley 80 de 1993: artículo 2.</w:t>
            </w:r>
          </w:p>
          <w:p w14:paraId="74E8B4CA" w14:textId="77777777" w:rsidR="001B3C5D" w:rsidRPr="001B3C5D" w:rsidRDefault="001B3C5D" w:rsidP="001B3C5D">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1B3C5D">
              <w:rPr>
                <w:rFonts w:ascii="Verdana" w:eastAsia="Calibri" w:hAnsi="Verdana" w:cs="Arial"/>
                <w:lang w:val="es-ES_tradnl"/>
              </w:rPr>
              <w:t xml:space="preserve">Ley 2022 de 2020, artículo 1. </w:t>
            </w:r>
          </w:p>
          <w:p w14:paraId="1E6CA46B" w14:textId="77777777" w:rsidR="001B3C5D" w:rsidRPr="001B3C5D" w:rsidRDefault="001B3C5D" w:rsidP="001B3C5D">
            <w:pPr>
              <w:widowControl w:val="0"/>
              <w:numPr>
                <w:ilvl w:val="0"/>
                <w:numId w:val="16"/>
              </w:numPr>
              <w:autoSpaceDE w:val="0"/>
              <w:autoSpaceDN w:val="0"/>
              <w:spacing w:line="276" w:lineRule="auto"/>
              <w:contextualSpacing/>
              <w:jc w:val="both"/>
              <w:rPr>
                <w:rFonts w:ascii="Verdana" w:eastAsia="Calibri" w:hAnsi="Verdana" w:cs="Arial"/>
              </w:rPr>
            </w:pPr>
            <w:r w:rsidRPr="001B3C5D">
              <w:rPr>
                <w:rFonts w:ascii="Verdana" w:eastAsia="Calibri" w:hAnsi="Verdana" w:cs="Arial"/>
                <w:lang w:val="es-ES_tradnl"/>
              </w:rPr>
              <w:t xml:space="preserve">Documentos Tipo. Disponibles en: </w:t>
            </w:r>
            <w:hyperlink r:id="rId12" w:history="1">
              <w:r w:rsidRPr="001B3C5D">
                <w:rPr>
                  <w:rFonts w:ascii="Verdana" w:eastAsia="Calibri" w:hAnsi="Verdana" w:cs="Arial"/>
                  <w:color w:val="0000FF"/>
                  <w:u w:val="single"/>
                  <w:lang w:val="es-ES_tradnl"/>
                </w:rPr>
                <w:t>https://www.colombiacompra.gov.co/documentos-tipo/documentos-tipo</w:t>
              </w:r>
            </w:hyperlink>
            <w:r w:rsidRPr="001B3C5D">
              <w:rPr>
                <w:rFonts w:ascii="Verdana" w:eastAsia="Calibri" w:hAnsi="Verdana" w:cs="Arial"/>
                <w:lang w:val="es-ES_tradnl"/>
              </w:rPr>
              <w:t>.</w:t>
            </w:r>
          </w:p>
          <w:p w14:paraId="48EC5A16" w14:textId="77777777" w:rsidR="001B3C5D" w:rsidRPr="001B3C5D" w:rsidRDefault="001B3C5D" w:rsidP="001B3C5D">
            <w:pPr>
              <w:widowControl w:val="0"/>
              <w:numPr>
                <w:ilvl w:val="0"/>
                <w:numId w:val="16"/>
              </w:numPr>
              <w:autoSpaceDE w:val="0"/>
              <w:autoSpaceDN w:val="0"/>
              <w:spacing w:line="276" w:lineRule="auto"/>
              <w:contextualSpacing/>
              <w:jc w:val="both"/>
              <w:rPr>
                <w:rFonts w:ascii="Verdana" w:eastAsia="Calibri" w:hAnsi="Verdana" w:cs="Arial"/>
              </w:rPr>
            </w:pPr>
            <w:r w:rsidRPr="001B3C5D">
              <w:rPr>
                <w:rFonts w:ascii="Verdana" w:eastAsia="Aptos" w:hAnsi="Verdana" w:cs="Arial"/>
              </w:rPr>
              <w:t>Decreto Ley 4170 de 2011: artículo 1, artículo 11</w:t>
            </w:r>
          </w:p>
          <w:p w14:paraId="2E48E731" w14:textId="77777777" w:rsidR="001B3C5D" w:rsidRPr="001B3C5D" w:rsidRDefault="001B3C5D" w:rsidP="001B3C5D">
            <w:pPr>
              <w:widowControl w:val="0"/>
              <w:numPr>
                <w:ilvl w:val="0"/>
                <w:numId w:val="16"/>
              </w:numPr>
              <w:autoSpaceDE w:val="0"/>
              <w:autoSpaceDN w:val="0"/>
              <w:spacing w:line="276" w:lineRule="auto"/>
              <w:contextualSpacing/>
              <w:jc w:val="both"/>
              <w:rPr>
                <w:rFonts w:ascii="Verdana" w:eastAsia="Calibri" w:hAnsi="Verdana" w:cs="Arial"/>
              </w:rPr>
            </w:pPr>
            <w:r w:rsidRPr="001B3C5D">
              <w:rPr>
                <w:rFonts w:ascii="Verdana" w:eastAsia="Calibri" w:hAnsi="Verdana" w:cs="Arial"/>
                <w:lang w:val="es-ES_tradnl"/>
              </w:rPr>
              <w:t>Decreto 287 de 2026: Artículo 1 y artículo 2.</w:t>
            </w:r>
          </w:p>
        </w:tc>
      </w:tr>
    </w:tbl>
    <w:p w14:paraId="73AC0FB2" w14:textId="77777777" w:rsidR="001B3C5D" w:rsidRPr="001B3C5D" w:rsidRDefault="001B3C5D" w:rsidP="001B3C5D">
      <w:pPr>
        <w:tabs>
          <w:tab w:val="left" w:pos="142"/>
          <w:tab w:val="left" w:pos="284"/>
        </w:tabs>
        <w:spacing w:after="0" w:line="276" w:lineRule="auto"/>
        <w:jc w:val="both"/>
        <w:rPr>
          <w:rFonts w:ascii="Verdana" w:eastAsia="Calibri" w:hAnsi="Verdana" w:cs="Arial"/>
        </w:rPr>
      </w:pPr>
    </w:p>
    <w:p w14:paraId="2AE31454" w14:textId="77777777" w:rsidR="001B3C5D" w:rsidRPr="001B3C5D" w:rsidRDefault="001B3C5D" w:rsidP="001B3C5D">
      <w:pPr>
        <w:tabs>
          <w:tab w:val="left" w:pos="142"/>
          <w:tab w:val="left" w:pos="284"/>
        </w:tabs>
        <w:spacing w:after="0" w:line="276" w:lineRule="auto"/>
        <w:jc w:val="both"/>
        <w:rPr>
          <w:rFonts w:ascii="Verdana" w:eastAsia="Century Gothic" w:hAnsi="Verdana" w:cs="Century Gothic"/>
          <w:b/>
          <w:bCs/>
          <w:lang w:val="es-ES"/>
        </w:rPr>
      </w:pPr>
      <w:r w:rsidRPr="001B3C5D">
        <w:rPr>
          <w:rFonts w:ascii="Verdana" w:eastAsia="Calibri" w:hAnsi="Verdana" w:cs="Arial"/>
          <w:b/>
          <w:bCs/>
        </w:rPr>
        <w:lastRenderedPageBreak/>
        <w:t>5</w:t>
      </w:r>
      <w:r w:rsidRPr="001B3C5D">
        <w:rPr>
          <w:rFonts w:ascii="Verdana" w:eastAsia="Calibri" w:hAnsi="Verdana" w:cs="Arial"/>
        </w:rPr>
        <w:t>.</w:t>
      </w:r>
      <w:r w:rsidRPr="001B3C5D">
        <w:rPr>
          <w:rFonts w:ascii="Verdana" w:eastAsia="Century Gothic" w:hAnsi="Verdana" w:cs="Century Gothic"/>
          <w:b/>
          <w:bCs/>
          <w:lang w:val="es-ES"/>
        </w:rPr>
        <w:t>Doctrina de la Agencia Nacional de Contratación Pública:</w:t>
      </w:r>
    </w:p>
    <w:p w14:paraId="648FAD4F" w14:textId="77777777" w:rsidR="001B3C5D" w:rsidRPr="001B3C5D" w:rsidRDefault="001B3C5D" w:rsidP="001B3C5D">
      <w:pPr>
        <w:widowControl w:val="0"/>
        <w:autoSpaceDE w:val="0"/>
        <w:autoSpaceDN w:val="0"/>
        <w:spacing w:after="0" w:line="276" w:lineRule="auto"/>
        <w:jc w:val="both"/>
        <w:rPr>
          <w:rFonts w:ascii="Verdana" w:eastAsia="Calibri" w:hAnsi="Verdana" w:cs="Arial"/>
        </w:rPr>
      </w:pPr>
    </w:p>
    <w:p w14:paraId="76F8A4E2" w14:textId="12C59BFC" w:rsidR="001B3C5D" w:rsidRPr="001B3C5D" w:rsidRDefault="001B3C5D" w:rsidP="001B3C5D">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1B3C5D">
        <w:rPr>
          <w:rFonts w:ascii="Verdana" w:eastAsia="Calibri" w:hAnsi="Verdana" w:cs="Arial"/>
          <w:kern w:val="2"/>
          <w:shd w:val="clear" w:color="auto" w:fill="FFFFFF"/>
          <w14:ligatures w14:val="standardContextual"/>
        </w:rPr>
        <w:t>L</w:t>
      </w:r>
      <w:r w:rsidRPr="001B3C5D">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w:t>
      </w:r>
      <w:r w:rsidR="00F63BE6">
        <w:rPr>
          <w:rFonts w:ascii="Verdana" w:eastAsia="Calibri" w:hAnsi="Verdana" w:cs="Arial"/>
          <w:kern w:val="2"/>
          <w:shd w:val="clear" w:color="auto" w:fill="FFFFFF"/>
          <w:lang w:val="es-ES"/>
          <w14:ligatures w14:val="standardContextual"/>
        </w:rPr>
        <w:t xml:space="preserve"> </w:t>
      </w:r>
      <w:r w:rsidRPr="001B3C5D">
        <w:rPr>
          <w:rFonts w:ascii="Verdana" w:eastAsia="Calibri" w:hAnsi="Verdana" w:cs="Arial"/>
          <w:kern w:val="2"/>
          <w:shd w:val="clear" w:color="auto" w:fill="FFFFFF"/>
          <w:lang w:val="es-ES"/>
          <w14:ligatures w14:val="standardContextual"/>
        </w:rPr>
        <w:t>C-058 del 8 de marzo de 2022, C-657 del 11 de octubre de 2022, C-051 del 28 de abril de 2023</w:t>
      </w:r>
      <w:r w:rsidRPr="001B3C5D">
        <w:rPr>
          <w:rFonts w:ascii="Verdana" w:eastAsia="Times New Roman" w:hAnsi="Verdana" w:cs="Arial"/>
          <w:kern w:val="2"/>
          <w:shd w:val="clear" w:color="auto" w:fill="FFFFFF"/>
          <w:lang w:val="es-ES"/>
          <w14:ligatures w14:val="standardContextual"/>
        </w:rPr>
        <w:t xml:space="preserve">, </w:t>
      </w:r>
      <w:r w:rsidRPr="001B3C5D">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1B3C5D">
        <w:rPr>
          <w:rFonts w:ascii="Verdana" w:eastAsia="Calibri" w:hAnsi="Verdana" w:cs="Arial"/>
          <w:shd w:val="clear" w:color="auto" w:fill="FFFFFF"/>
          <w:lang w:val="es-ES"/>
        </w:rPr>
        <w:t>, C-043 del 13 de febrero de 2026</w:t>
      </w:r>
      <w:r w:rsidR="00F63BE6">
        <w:rPr>
          <w:rFonts w:ascii="Verdana" w:eastAsia="Calibri" w:hAnsi="Verdana" w:cs="Arial"/>
          <w:shd w:val="clear" w:color="auto" w:fill="FFFFFF"/>
          <w:lang w:val="es-ES"/>
        </w:rPr>
        <w:t>,</w:t>
      </w:r>
      <w:r w:rsidRPr="001B3C5D">
        <w:rPr>
          <w:rFonts w:ascii="Verdana" w:eastAsia="Calibri" w:hAnsi="Verdana" w:cs="Arial"/>
          <w:shd w:val="clear" w:color="auto" w:fill="FFFFFF"/>
          <w:lang w:val="es-ES"/>
        </w:rPr>
        <w:t xml:space="preserve"> C-246 del 12 de marzo de 2026,</w:t>
      </w:r>
      <w:r w:rsidR="00F63BE6" w:rsidRPr="00F63BE6">
        <w:t xml:space="preserve"> </w:t>
      </w:r>
      <w:r w:rsidR="00F63BE6" w:rsidRPr="00F63BE6">
        <w:rPr>
          <w:rFonts w:ascii="Verdana" w:eastAsia="Calibri" w:hAnsi="Verdana" w:cs="Arial"/>
          <w:shd w:val="clear" w:color="auto" w:fill="FFFFFF"/>
          <w:lang w:val="es-ES"/>
        </w:rPr>
        <w:t>C–467 de</w:t>
      </w:r>
      <w:r w:rsidR="00F63BE6">
        <w:rPr>
          <w:rFonts w:ascii="Verdana" w:eastAsia="Calibri" w:hAnsi="Verdana" w:cs="Arial"/>
          <w:shd w:val="clear" w:color="auto" w:fill="FFFFFF"/>
          <w:lang w:val="es-ES"/>
        </w:rPr>
        <w:t>l 21 de abril de</w:t>
      </w:r>
      <w:r w:rsidR="00F63BE6" w:rsidRPr="00F63BE6">
        <w:rPr>
          <w:rFonts w:ascii="Verdana" w:eastAsia="Calibri" w:hAnsi="Verdana" w:cs="Arial"/>
          <w:shd w:val="clear" w:color="auto" w:fill="FFFFFF"/>
          <w:lang w:val="es-ES"/>
        </w:rPr>
        <w:t xml:space="preserve"> 2026</w:t>
      </w:r>
      <w:r w:rsidR="00F63BE6">
        <w:rPr>
          <w:rFonts w:ascii="Verdana" w:eastAsia="Calibri" w:hAnsi="Verdana" w:cs="Arial"/>
          <w:shd w:val="clear" w:color="auto" w:fill="FFFFFF"/>
          <w:lang w:val="es-ES"/>
        </w:rPr>
        <w:t>,</w:t>
      </w:r>
      <w:r w:rsidRPr="001B3C5D">
        <w:rPr>
          <w:rFonts w:ascii="Verdana" w:eastAsia="Calibri" w:hAnsi="Verdana" w:cs="Arial"/>
          <w:shd w:val="clear" w:color="auto" w:fill="FFFFFF"/>
          <w:lang w:val="es-ES"/>
        </w:rPr>
        <w:t xml:space="preserve"> entre otros. </w:t>
      </w:r>
    </w:p>
    <w:p w14:paraId="3BDA759A" w14:textId="77777777" w:rsidR="001B3C5D" w:rsidRPr="001B3C5D" w:rsidRDefault="001B3C5D" w:rsidP="001B3C5D">
      <w:pPr>
        <w:widowControl w:val="0"/>
        <w:autoSpaceDE w:val="0"/>
        <w:autoSpaceDN w:val="0"/>
        <w:spacing w:after="0" w:line="276" w:lineRule="auto"/>
        <w:jc w:val="both"/>
        <w:rPr>
          <w:rFonts w:ascii="Verdana" w:eastAsia="Times New Roman" w:hAnsi="Verdana" w:cs="Arial"/>
          <w:shd w:val="clear" w:color="auto" w:fill="FFFFFF"/>
          <w:lang w:val="es-ES"/>
        </w:rPr>
      </w:pPr>
    </w:p>
    <w:p w14:paraId="46DE6664" w14:textId="66987177" w:rsidR="001B3C5D" w:rsidRPr="001B3C5D" w:rsidRDefault="001B3C5D" w:rsidP="001B3C5D">
      <w:pPr>
        <w:widowControl w:val="0"/>
        <w:autoSpaceDE w:val="0"/>
        <w:autoSpaceDN w:val="0"/>
        <w:spacing w:after="0" w:line="276" w:lineRule="auto"/>
        <w:jc w:val="both"/>
        <w:rPr>
          <w:rFonts w:ascii="Verdana" w:eastAsia="Times New Roman" w:hAnsi="Verdana" w:cs="Arial"/>
          <w:shd w:val="clear" w:color="auto" w:fill="FFFFFF"/>
          <w:lang w:val="es-ES"/>
        </w:rPr>
      </w:pPr>
      <w:r w:rsidRPr="001B3C5D">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1B3C5D">
          <w:rPr>
            <w:rFonts w:ascii="Verdana" w:eastAsia="Aptos" w:hAnsi="Verdana" w:cs="Arial"/>
            <w:color w:val="0000FF"/>
            <w:kern w:val="2"/>
            <w:u w:val="single"/>
            <w:shd w:val="clear" w:color="auto" w:fill="FFFFFF"/>
            <w14:ligatures w14:val="standardContextual"/>
          </w:rPr>
          <w:t>https://relatoria.colombiacompra.gov.co/busqueda/conceptos</w:t>
        </w:r>
      </w:hyperlink>
      <w:r w:rsidRPr="001B3C5D">
        <w:rPr>
          <w:rFonts w:ascii="Verdana" w:eastAsia="Aptos" w:hAnsi="Verdana" w:cs="Arial"/>
          <w:color w:val="FF0000"/>
          <w:kern w:val="2"/>
          <w:shd w:val="clear" w:color="auto" w:fill="FFFFFF"/>
          <w:lang w:val="es-ES"/>
          <w14:ligatures w14:val="standardContextual"/>
        </w:rPr>
        <w:t xml:space="preserve">  </w:t>
      </w:r>
    </w:p>
    <w:p w14:paraId="5D0AF52D" w14:textId="77777777" w:rsidR="001B3C5D" w:rsidRPr="001B3C5D" w:rsidRDefault="001B3C5D" w:rsidP="001B3C5D">
      <w:pPr>
        <w:spacing w:after="0" w:line="240" w:lineRule="auto"/>
        <w:jc w:val="both"/>
        <w:rPr>
          <w:rFonts w:ascii="Verdana" w:eastAsia="Calibri" w:hAnsi="Verdana" w:cs="Arial"/>
          <w:color w:val="000000"/>
          <w:shd w:val="clear" w:color="auto" w:fill="FFFFFF"/>
        </w:rPr>
      </w:pPr>
    </w:p>
    <w:p w14:paraId="086C99F1" w14:textId="77777777" w:rsidR="001B3C5D" w:rsidRPr="001B3C5D" w:rsidRDefault="001B3C5D" w:rsidP="001B3C5D">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1B3C5D">
        <w:rPr>
          <w:rFonts w:ascii="Verdana" w:eastAsia="Times New Roman" w:hAnsi="Verdana" w:cs="Arial"/>
          <w:b/>
          <w:bCs/>
          <w:lang w:eastAsia="es-MX"/>
        </w:rPr>
        <w:t>Curso de Contratación Pública Sostenible y Socialmente Responsable</w:t>
      </w:r>
      <w:r w:rsidRPr="001B3C5D">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1B3C5D">
        <w:rPr>
          <w:rFonts w:ascii="Verdana" w:eastAsia="Times New Roman" w:hAnsi="Verdana" w:cs="Arial"/>
          <w:lang w:eastAsia="es-MX"/>
        </w:rPr>
        <w:br/>
      </w:r>
      <w:hyperlink r:id="rId14" w:tgtFrame="_new" w:history="1">
        <w:r w:rsidRPr="001B3C5D">
          <w:rPr>
            <w:rFonts w:ascii="Verdana" w:eastAsia="Times New Roman" w:hAnsi="Verdana" w:cs="Arial"/>
            <w:color w:val="0000FF"/>
            <w:u w:val="single"/>
            <w:lang w:eastAsia="es-MX"/>
          </w:rPr>
          <w:t>https://formacionvirtual.colombiacompra.gov.co/mod/page/view.php?id=3718</w:t>
        </w:r>
      </w:hyperlink>
    </w:p>
    <w:p w14:paraId="28570814" w14:textId="77777777" w:rsidR="00962A6C" w:rsidRDefault="00962A6C" w:rsidP="001B3C5D">
      <w:pPr>
        <w:spacing w:after="0" w:line="276" w:lineRule="auto"/>
        <w:jc w:val="both"/>
        <w:rPr>
          <w:rFonts w:ascii="Verdana" w:eastAsia="Times New Roman" w:hAnsi="Verdana" w:cs="Arial"/>
          <w:lang w:eastAsia="es-MX"/>
        </w:rPr>
      </w:pPr>
    </w:p>
    <w:p w14:paraId="495A56D1" w14:textId="1D56DC88" w:rsidR="001B3C5D" w:rsidRPr="001B3C5D" w:rsidRDefault="001B3C5D" w:rsidP="001B3C5D">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De otro lado, te contamos que esta Agencia ha da un paso decisivo en la estandarización y modernización del </w:t>
      </w:r>
      <w:r w:rsidRPr="001B3C5D">
        <w:rPr>
          <w:rFonts w:ascii="Verdana" w:eastAsia="Times New Roman" w:hAnsi="Verdana" w:cs="Arial"/>
          <w:b/>
          <w:bCs/>
          <w:lang w:eastAsia="es-MX"/>
        </w:rPr>
        <w:t>sector  social</w:t>
      </w:r>
      <w:r w:rsidRPr="001B3C5D">
        <w:rPr>
          <w:rFonts w:ascii="Verdana" w:eastAsia="Times New Roman" w:hAnsi="Verdana" w:cs="Arial"/>
          <w:lang w:eastAsia="es-MX"/>
        </w:rPr>
        <w:t xml:space="preserve"> con la expedición de las </w:t>
      </w:r>
      <w:r w:rsidRPr="001B3C5D">
        <w:rPr>
          <w:rFonts w:ascii="Verdana" w:eastAsia="Times New Roman" w:hAnsi="Verdana" w:cs="Arial"/>
          <w:b/>
          <w:bCs/>
          <w:lang w:eastAsia="es-MX"/>
        </w:rPr>
        <w:t>Resoluciones 539, 540, 541, 952 y 953 de 2025</w:t>
      </w:r>
      <w:r w:rsidRPr="001B3C5D">
        <w:rPr>
          <w:rFonts w:ascii="Verdana" w:eastAsia="Times New Roman" w:hAnsi="Verdana" w:cs="Arial"/>
          <w:lang w:eastAsia="es-MX"/>
        </w:rPr>
        <w:t xml:space="preserve">, </w:t>
      </w:r>
      <w:r w:rsidRPr="001B3C5D">
        <w:rPr>
          <w:rFonts w:ascii="Verdana" w:eastAsia="Times New Roman" w:hAnsi="Verdana" w:cs="Arial"/>
          <w:b/>
          <w:bCs/>
          <w:lang w:eastAsia="es-MX"/>
        </w:rPr>
        <w:t>mediante las cuales adoptó Documentos Tipo</w:t>
      </w:r>
      <w:r w:rsidRPr="001B3C5D">
        <w:rPr>
          <w:rFonts w:ascii="Verdana" w:eastAsia="Times New Roman" w:hAnsi="Verdana" w:cs="Arial"/>
          <w:lang w:eastAsia="es-MX"/>
        </w:rPr>
        <w:t xml:space="preserve"> para las modalidades de selección de</w:t>
      </w:r>
      <w:r w:rsidRPr="001B3C5D">
        <w:rPr>
          <w:rFonts w:ascii="Verdana" w:eastAsia="Times New Roman" w:hAnsi="Verdana" w:cs="Arial"/>
          <w:b/>
          <w:bCs/>
          <w:lang w:eastAsia="es-MX"/>
        </w:rPr>
        <w:t xml:space="preserve"> licitación </w:t>
      </w:r>
      <w:r w:rsidRPr="001B3C5D">
        <w:rPr>
          <w:rFonts w:ascii="Verdana" w:eastAsia="Times New Roman" w:hAnsi="Verdana" w:cs="Arial"/>
          <w:b/>
          <w:bCs/>
          <w:lang w:eastAsia="es-MX"/>
        </w:rPr>
        <w:lastRenderedPageBreak/>
        <w:t>pública (versión 2), selección abreviada de menor cuantía, mínima cuantía, consultoría e interventoría</w:t>
      </w:r>
      <w:r w:rsidRPr="001B3C5D">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1B3C5D">
          <w:rPr>
            <w:rFonts w:ascii="Verdana" w:eastAsia="Times New Roman" w:hAnsi="Verdana" w:cs="Arial"/>
            <w:color w:val="0000FF"/>
            <w:u w:val="single"/>
            <w:lang w:eastAsia="es-MX"/>
          </w:rPr>
          <w:t>https://www.colombiacompra.gov.co/normativa-y-relatoria/documentos-tipo</w:t>
        </w:r>
      </w:hyperlink>
    </w:p>
    <w:p w14:paraId="29C16678" w14:textId="77777777" w:rsidR="001B3C5D" w:rsidRPr="001B3C5D" w:rsidRDefault="001B3C5D" w:rsidP="001B3C5D">
      <w:pPr>
        <w:spacing w:after="0" w:line="276" w:lineRule="auto"/>
        <w:jc w:val="both"/>
        <w:rPr>
          <w:rFonts w:ascii="Verdana" w:eastAsia="Times New Roman" w:hAnsi="Verdana" w:cs="Arial"/>
          <w:lang w:eastAsia="es-MX"/>
        </w:rPr>
      </w:pPr>
    </w:p>
    <w:p w14:paraId="7B84DB90" w14:textId="77777777" w:rsidR="001B3C5D" w:rsidRPr="001B3C5D" w:rsidRDefault="001B3C5D" w:rsidP="001B3C5D">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Si quieres conocer más sobre la aplicación de Documentos Tipo puedes consultar la última versión de la </w:t>
      </w:r>
      <w:r w:rsidRPr="001B3C5D">
        <w:rPr>
          <w:rFonts w:ascii="Verdana" w:eastAsia="Times New Roman" w:hAnsi="Verdana" w:cs="Arial"/>
          <w:b/>
          <w:bCs/>
          <w:lang w:eastAsia="es-MX"/>
        </w:rPr>
        <w:t>Guía para la comprensión e implementación de los Documentos Tipo de obra pública de infraestructura de transporte</w:t>
      </w:r>
      <w:r w:rsidRPr="001B3C5D">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B3C5D">
        <w:rPr>
          <w:rFonts w:ascii="Verdana" w:eastAsia="Times New Roman" w:hAnsi="Verdana" w:cs="Arial"/>
          <w:lang w:eastAsia="es-MX"/>
        </w:rPr>
        <w:br/>
      </w:r>
      <w:hyperlink r:id="rId16" w:tgtFrame="_new" w:history="1">
        <w:r w:rsidRPr="001B3C5D">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32E81894" w14:textId="77777777" w:rsidR="001B3C5D" w:rsidRPr="001B3C5D" w:rsidRDefault="001B3C5D" w:rsidP="001B3C5D">
      <w:pPr>
        <w:spacing w:after="0"/>
        <w:jc w:val="both"/>
        <w:rPr>
          <w:rFonts w:ascii="Verdana" w:eastAsia="Aptos" w:hAnsi="Verdana" w:cs="Times New Roman"/>
          <w:color w:val="212121"/>
          <w:lang w:eastAsia="es-MX"/>
        </w:rPr>
      </w:pPr>
    </w:p>
    <w:p w14:paraId="0D03A396" w14:textId="77777777" w:rsidR="001B3C5D" w:rsidRPr="001B3C5D" w:rsidRDefault="001B3C5D" w:rsidP="001B3C5D">
      <w:pPr>
        <w:spacing w:after="0" w:line="240" w:lineRule="auto"/>
        <w:jc w:val="both"/>
        <w:rPr>
          <w:rFonts w:ascii="Verdana" w:eastAsia="Calibri" w:hAnsi="Verdana" w:cs="Times New Roman"/>
          <w:lang w:eastAsia="es-MX"/>
        </w:rPr>
      </w:pPr>
      <w:r w:rsidRPr="001B3C5D">
        <w:rPr>
          <w:rFonts w:ascii="Verdana" w:eastAsia="Aptos" w:hAnsi="Verdana" w:cs="Times New Roman"/>
          <w:lang w:eastAsia="es-MX"/>
        </w:rPr>
        <w:t xml:space="preserve">Por último, lo invitamos a seguirnos en las redes sociales en las cuales se difunde información institucional: </w:t>
      </w:r>
    </w:p>
    <w:p w14:paraId="5FA75F59" w14:textId="77777777" w:rsidR="001B3C5D" w:rsidRPr="001B3C5D" w:rsidRDefault="001B3C5D" w:rsidP="001B3C5D">
      <w:pPr>
        <w:spacing w:after="0" w:line="240" w:lineRule="auto"/>
        <w:jc w:val="both"/>
        <w:rPr>
          <w:rFonts w:ascii="Verdana" w:eastAsia="Aptos" w:hAnsi="Verdana" w:cs="Times New Roman"/>
          <w:lang w:eastAsia="es-MX"/>
        </w:rPr>
      </w:pPr>
    </w:p>
    <w:p w14:paraId="3301B977" w14:textId="77777777" w:rsidR="001B3C5D" w:rsidRPr="001B3C5D" w:rsidRDefault="001B3C5D" w:rsidP="001B3C5D">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Twitter: </w:t>
      </w:r>
      <w:r w:rsidRPr="001B3C5D">
        <w:rPr>
          <w:rFonts w:ascii="Verdana" w:eastAsia="Calibri" w:hAnsi="Verdana" w:cs="Times New Roman"/>
          <w:color w:val="156082"/>
          <w:u w:val="single"/>
          <w:lang w:eastAsia="es-MX"/>
        </w:rPr>
        <w:t>@colombiacompra</w:t>
      </w:r>
      <w:r w:rsidRPr="001B3C5D">
        <w:rPr>
          <w:rFonts w:ascii="Verdana" w:eastAsia="Calibri" w:hAnsi="Verdana" w:cs="Times New Roman"/>
          <w:color w:val="156082"/>
          <w:lang w:eastAsia="es-MX"/>
        </w:rPr>
        <w:t xml:space="preserve"> </w:t>
      </w:r>
    </w:p>
    <w:p w14:paraId="6434E5CA" w14:textId="77777777" w:rsidR="001B3C5D" w:rsidRPr="001B3C5D" w:rsidRDefault="001B3C5D" w:rsidP="001B3C5D">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Facebook: </w:t>
      </w:r>
      <w:proofErr w:type="spellStart"/>
      <w:r w:rsidRPr="001B3C5D">
        <w:rPr>
          <w:rFonts w:ascii="Verdana" w:eastAsia="Calibri" w:hAnsi="Verdana" w:cs="Times New Roman"/>
          <w:color w:val="156082"/>
          <w:u w:val="single"/>
          <w:lang w:eastAsia="es-MX"/>
        </w:rPr>
        <w:t>ColombiaCompraEficiente</w:t>
      </w:r>
      <w:proofErr w:type="spellEnd"/>
    </w:p>
    <w:p w14:paraId="5C60753C" w14:textId="77777777" w:rsidR="001B3C5D" w:rsidRPr="001B3C5D" w:rsidRDefault="001B3C5D" w:rsidP="001B3C5D">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LinkedIn: </w:t>
      </w:r>
      <w:r w:rsidRPr="001B3C5D">
        <w:rPr>
          <w:rFonts w:ascii="Verdana" w:eastAsia="Calibri" w:hAnsi="Verdana" w:cs="Times New Roman"/>
          <w:color w:val="156082"/>
          <w:u w:val="single"/>
          <w:lang w:eastAsia="es-MX"/>
        </w:rPr>
        <w:t>Agencia Nacional de Contratación Pública - Colombia Compra Eficiente</w:t>
      </w:r>
      <w:r w:rsidRPr="001B3C5D">
        <w:rPr>
          <w:rFonts w:ascii="Verdana" w:eastAsia="Calibri" w:hAnsi="Verdana" w:cs="Times New Roman"/>
          <w:color w:val="156082"/>
          <w:lang w:eastAsia="es-MX"/>
        </w:rPr>
        <w:t xml:space="preserve"> </w:t>
      </w:r>
      <w:r w:rsidRPr="001B3C5D">
        <w:rPr>
          <w:rFonts w:ascii="Verdana" w:eastAsia="Aptos" w:hAnsi="Verdana" w:cs="Times New Roman"/>
          <w:lang w:eastAsia="es-MX"/>
        </w:rPr>
        <w:t xml:space="preserve">Instagram: </w:t>
      </w:r>
      <w:r w:rsidRPr="001B3C5D">
        <w:rPr>
          <w:rFonts w:ascii="Verdana" w:eastAsia="Calibri" w:hAnsi="Verdana" w:cs="Times New Roman"/>
          <w:color w:val="156082"/>
          <w:u w:val="single"/>
          <w:lang w:eastAsia="es-MX"/>
        </w:rPr>
        <w:t>@colombiacompraeficiente_cce</w:t>
      </w:r>
    </w:p>
    <w:p w14:paraId="7B7E6C7D" w14:textId="77777777" w:rsidR="001B3C5D" w:rsidRPr="001B3C5D" w:rsidRDefault="001B3C5D" w:rsidP="001B3C5D">
      <w:pPr>
        <w:spacing w:after="0" w:line="276" w:lineRule="auto"/>
        <w:jc w:val="both"/>
        <w:rPr>
          <w:rFonts w:ascii="Verdana" w:eastAsia="Aptos" w:hAnsi="Verdana" w:cs="Times New Roman"/>
          <w:lang w:eastAsia="es-MX"/>
        </w:rPr>
      </w:pPr>
    </w:p>
    <w:p w14:paraId="3C14F49E" w14:textId="77777777" w:rsidR="001B3C5D" w:rsidRPr="001B3C5D" w:rsidRDefault="001B3C5D" w:rsidP="001B3C5D">
      <w:pPr>
        <w:spacing w:after="0" w:line="276" w:lineRule="auto"/>
        <w:jc w:val="both"/>
        <w:rPr>
          <w:rFonts w:ascii="Verdana" w:eastAsia="Calibri" w:hAnsi="Verdana" w:cs="Times New Roman"/>
          <w:bCs/>
          <w:lang w:val="es-ES_tradnl" w:eastAsia="es-MX"/>
        </w:rPr>
      </w:pPr>
      <w:r w:rsidRPr="001B3C5D">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AF918F5" w14:textId="77777777" w:rsidR="001B3C5D" w:rsidRPr="001B3C5D" w:rsidRDefault="001B3C5D" w:rsidP="001B3C5D">
      <w:pPr>
        <w:spacing w:after="0" w:line="276" w:lineRule="auto"/>
        <w:jc w:val="both"/>
        <w:rPr>
          <w:rFonts w:ascii="Verdana" w:eastAsia="Calibri" w:hAnsi="Verdana" w:cs="Times New Roman"/>
          <w:lang w:eastAsia="es-MX"/>
        </w:rPr>
      </w:pPr>
    </w:p>
    <w:p w14:paraId="113F3464" w14:textId="77777777" w:rsidR="001B3C5D" w:rsidRPr="001B3C5D" w:rsidRDefault="001B3C5D" w:rsidP="001B3C5D">
      <w:pPr>
        <w:spacing w:after="0" w:line="276" w:lineRule="auto"/>
        <w:jc w:val="both"/>
        <w:rPr>
          <w:rFonts w:ascii="Verdana" w:eastAsia="Calibri" w:hAnsi="Verdana" w:cs="Times New Roman"/>
          <w:lang w:eastAsia="es-MX"/>
        </w:rPr>
      </w:pPr>
      <w:r w:rsidRPr="001B3C5D">
        <w:rPr>
          <w:rFonts w:ascii="Verdana" w:eastAsia="Calibri" w:hAnsi="Verdana" w:cs="Times New Roman"/>
          <w:lang w:eastAsia="es-MX"/>
        </w:rPr>
        <w:t>Atentamente,</w:t>
      </w:r>
    </w:p>
    <w:p w14:paraId="40C99B72" w14:textId="251F6779" w:rsidR="001B3C5D" w:rsidRPr="001B3C5D" w:rsidRDefault="001B3C5D" w:rsidP="001B3C5D">
      <w:pPr>
        <w:tabs>
          <w:tab w:val="left" w:pos="1320"/>
        </w:tabs>
        <w:spacing w:after="0"/>
        <w:jc w:val="center"/>
        <w:rPr>
          <w:rFonts w:ascii="Verdana" w:eastAsia="Calibri" w:hAnsi="Verdana" w:cs="Times New Roman"/>
          <w:lang w:eastAsia="es-MX"/>
        </w:rPr>
      </w:pPr>
    </w:p>
    <w:p w14:paraId="115D4A52" w14:textId="72E2E833" w:rsidR="001B3C5D" w:rsidRPr="001B3C5D" w:rsidRDefault="001D6CD5" w:rsidP="001B3C5D">
      <w:pPr>
        <w:tabs>
          <w:tab w:val="left" w:pos="1320"/>
        </w:tabs>
        <w:spacing w:after="0"/>
        <w:jc w:val="center"/>
        <w:rPr>
          <w:rFonts w:ascii="Verdana" w:eastAsia="Calibri" w:hAnsi="Verdana" w:cs="Times New Roman"/>
          <w:lang w:eastAsia="es-MX"/>
        </w:rPr>
      </w:pPr>
      <w:r>
        <w:rPr>
          <w:noProof/>
        </w:rPr>
        <w:lastRenderedPageBreak/>
        <w:drawing>
          <wp:inline distT="0" distB="0" distL="0" distR="0" wp14:anchorId="05F2ED55" wp14:editId="538792A5">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1B3C5D" w:rsidRPr="001B3C5D" w14:paraId="43E4671E" w14:textId="77777777" w:rsidTr="009A7AFB">
        <w:trPr>
          <w:trHeight w:val="323"/>
        </w:trPr>
        <w:tc>
          <w:tcPr>
            <w:tcW w:w="1041" w:type="dxa"/>
            <w:vAlign w:val="center"/>
            <w:hideMark/>
          </w:tcPr>
          <w:p w14:paraId="42F8E077" w14:textId="77777777" w:rsidR="001B3C5D" w:rsidRPr="001B3C5D" w:rsidRDefault="001B3C5D" w:rsidP="001B3C5D">
            <w:pPr>
              <w:rPr>
                <w:rFonts w:ascii="Verdana" w:eastAsia="Calibri" w:hAnsi="Verdana" w:cs="Arial"/>
                <w:sz w:val="16"/>
                <w:szCs w:val="16"/>
                <w:lang w:val="es-ES_tradnl" w:eastAsia="es-ES"/>
              </w:rPr>
            </w:pPr>
            <w:r w:rsidRPr="001B3C5D">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7187749F" w14:textId="69E1C673" w:rsidR="004F7764" w:rsidRPr="004F7764" w:rsidRDefault="00B22A85" w:rsidP="004F7764">
            <w:pPr>
              <w:rPr>
                <w:rFonts w:ascii="Verdana" w:eastAsia="Arial" w:hAnsi="Verdana" w:cs="Arial"/>
                <w:sz w:val="16"/>
                <w:szCs w:val="16"/>
                <w:lang w:val="es-ES" w:eastAsia="es-MX"/>
              </w:rPr>
            </w:pPr>
            <w:r w:rsidRPr="00B22A85">
              <w:rPr>
                <w:rFonts w:ascii="Verdana" w:eastAsia="Arial" w:hAnsi="Verdana" w:cs="Arial"/>
                <w:sz w:val="16"/>
                <w:szCs w:val="16"/>
                <w:lang w:val="es-ES" w:eastAsia="es-MX"/>
              </w:rPr>
              <w:t>Ximena Ríos López</w:t>
            </w:r>
          </w:p>
          <w:p w14:paraId="7D47BB2B" w14:textId="4122A672" w:rsidR="001B3C5D" w:rsidRPr="001B3C5D" w:rsidRDefault="004F7764" w:rsidP="004F7764">
            <w:pPr>
              <w:rPr>
                <w:rFonts w:ascii="Verdana" w:eastAsia="Arial" w:hAnsi="Verdana" w:cs="Arial"/>
                <w:sz w:val="16"/>
                <w:szCs w:val="16"/>
                <w:lang w:val="es-ES_tradnl" w:eastAsia="es-MX"/>
              </w:rPr>
            </w:pPr>
            <w:r w:rsidRPr="004F7764">
              <w:rPr>
                <w:rFonts w:ascii="Verdana" w:eastAsia="Arial" w:hAnsi="Verdana" w:cs="Arial"/>
                <w:sz w:val="16"/>
                <w:szCs w:val="16"/>
                <w:lang w:val="es-ES" w:eastAsia="es-MX"/>
              </w:rPr>
              <w:t>Gestor T1-1</w:t>
            </w:r>
            <w:r w:rsidR="00B22A85">
              <w:rPr>
                <w:rFonts w:ascii="Verdana" w:eastAsia="Arial" w:hAnsi="Verdana" w:cs="Arial"/>
                <w:sz w:val="16"/>
                <w:szCs w:val="16"/>
                <w:lang w:val="es-ES" w:eastAsia="es-MX"/>
              </w:rPr>
              <w:t>1</w:t>
            </w:r>
            <w:r w:rsidRPr="004F7764">
              <w:rPr>
                <w:rFonts w:ascii="Verdana" w:eastAsia="Arial" w:hAnsi="Verdana" w:cs="Arial"/>
                <w:sz w:val="16"/>
                <w:szCs w:val="16"/>
                <w:lang w:val="es-ES" w:eastAsia="es-MX"/>
              </w:rPr>
              <w:t xml:space="preserve"> de la Subdirección de Gestión Contractual </w:t>
            </w:r>
          </w:p>
        </w:tc>
      </w:tr>
      <w:tr w:rsidR="001B3C5D" w:rsidRPr="001B3C5D" w14:paraId="6CAF3B28" w14:textId="77777777" w:rsidTr="009A7AFB">
        <w:trPr>
          <w:trHeight w:val="338"/>
        </w:trPr>
        <w:tc>
          <w:tcPr>
            <w:tcW w:w="1041" w:type="dxa"/>
            <w:vAlign w:val="center"/>
            <w:hideMark/>
          </w:tcPr>
          <w:p w14:paraId="2C54C58A" w14:textId="77777777" w:rsidR="001B3C5D" w:rsidRPr="001B3C5D" w:rsidRDefault="001B3C5D" w:rsidP="001B3C5D">
            <w:pPr>
              <w:rPr>
                <w:rFonts w:ascii="Verdana" w:eastAsia="Calibri" w:hAnsi="Verdana" w:cs="Arial"/>
                <w:sz w:val="16"/>
                <w:szCs w:val="16"/>
                <w:lang w:val="es-ES_tradnl" w:eastAsia="es-ES"/>
              </w:rPr>
            </w:pPr>
            <w:r w:rsidRPr="001B3C5D">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23E72B89" w14:textId="3F319C67" w:rsidR="004F7764" w:rsidRPr="001B3C5D" w:rsidRDefault="00F613D2" w:rsidP="004F7764">
            <w:pPr>
              <w:rPr>
                <w:rFonts w:ascii="Verdana" w:eastAsia="Arial" w:hAnsi="Verdana" w:cs="Arial"/>
                <w:sz w:val="16"/>
                <w:szCs w:val="16"/>
                <w:lang w:val="es-ES" w:eastAsia="es-MX"/>
              </w:rPr>
            </w:pPr>
            <w:r>
              <w:rPr>
                <w:rFonts w:ascii="Verdana" w:eastAsia="Arial" w:hAnsi="Verdana" w:cs="Arial"/>
                <w:sz w:val="16"/>
                <w:szCs w:val="16"/>
                <w:lang w:val="es-ES" w:eastAsia="es-MX"/>
              </w:rPr>
              <w:t>Juan David Cárdenas</w:t>
            </w:r>
          </w:p>
          <w:p w14:paraId="4A81B2A5" w14:textId="3075E394" w:rsidR="001B3C5D" w:rsidRPr="001B3C5D" w:rsidRDefault="004F7764" w:rsidP="004F7764">
            <w:pPr>
              <w:rPr>
                <w:rFonts w:ascii="Verdana" w:eastAsia="Arial" w:hAnsi="Verdana" w:cs="Arial"/>
                <w:sz w:val="16"/>
                <w:szCs w:val="16"/>
                <w:lang w:val="es-ES_tradnl" w:eastAsia="es-MX"/>
              </w:rPr>
            </w:pPr>
            <w:r w:rsidRPr="001B3C5D">
              <w:rPr>
                <w:rFonts w:ascii="Verdana" w:eastAsia="Arial" w:hAnsi="Verdana" w:cs="Arial"/>
                <w:sz w:val="16"/>
                <w:szCs w:val="16"/>
                <w:lang w:val="es-ES_tradnl" w:eastAsia="es-MX"/>
              </w:rPr>
              <w:t>Contratista de la Subdirección de Gestión Contractual</w:t>
            </w:r>
          </w:p>
        </w:tc>
      </w:tr>
      <w:tr w:rsidR="001B3C5D" w:rsidRPr="001B3C5D" w14:paraId="408A2EF5" w14:textId="77777777" w:rsidTr="009A7AFB">
        <w:trPr>
          <w:trHeight w:val="308"/>
        </w:trPr>
        <w:tc>
          <w:tcPr>
            <w:tcW w:w="1041" w:type="dxa"/>
            <w:vAlign w:val="center"/>
          </w:tcPr>
          <w:p w14:paraId="197D57DB" w14:textId="77777777" w:rsidR="001B3C5D" w:rsidRPr="001B3C5D" w:rsidRDefault="001B3C5D" w:rsidP="001B3C5D">
            <w:pPr>
              <w:rPr>
                <w:rFonts w:ascii="Verdana" w:eastAsia="Calibri" w:hAnsi="Verdana" w:cs="Arial"/>
                <w:sz w:val="16"/>
                <w:szCs w:val="16"/>
                <w:lang w:val="es-ES_tradnl" w:eastAsia="es-ES"/>
              </w:rPr>
            </w:pPr>
            <w:r w:rsidRPr="001B3C5D">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78A03CCE" w14:textId="77777777" w:rsidR="001B3C5D" w:rsidRPr="001B3C5D" w:rsidRDefault="001B3C5D" w:rsidP="001B3C5D">
            <w:pPr>
              <w:rPr>
                <w:rFonts w:ascii="Verdana" w:eastAsia="Calibri" w:hAnsi="Verdana" w:cs="Arial"/>
                <w:sz w:val="16"/>
                <w:szCs w:val="16"/>
                <w:lang w:val="es-ES" w:eastAsia="es-ES"/>
              </w:rPr>
            </w:pPr>
            <w:r w:rsidRPr="001B3C5D">
              <w:rPr>
                <w:rFonts w:ascii="Verdana" w:eastAsia="Calibri" w:hAnsi="Verdana" w:cs="Arial"/>
                <w:sz w:val="16"/>
                <w:szCs w:val="16"/>
                <w:lang w:val="es-ES" w:eastAsia="es-ES"/>
              </w:rPr>
              <w:t>Carolina Quintero Gacharná</w:t>
            </w:r>
          </w:p>
          <w:p w14:paraId="36499948" w14:textId="77777777" w:rsidR="001B3C5D" w:rsidRPr="001B3C5D" w:rsidRDefault="001B3C5D" w:rsidP="001B3C5D">
            <w:pPr>
              <w:rPr>
                <w:rFonts w:ascii="Verdana" w:eastAsia="Calibri" w:hAnsi="Verdana" w:cs="Arial"/>
                <w:sz w:val="16"/>
                <w:szCs w:val="16"/>
                <w:lang w:val="es-ES_tradnl" w:eastAsia="es-ES"/>
              </w:rPr>
            </w:pPr>
            <w:r w:rsidRPr="001B3C5D">
              <w:rPr>
                <w:rFonts w:ascii="Verdana" w:eastAsia="Calibri" w:hAnsi="Verdana" w:cs="Arial"/>
                <w:sz w:val="16"/>
                <w:szCs w:val="16"/>
                <w:lang w:val="es-ES_tradnl" w:eastAsia="es-ES"/>
              </w:rPr>
              <w:t>Subdirectora de Gestión Contractual ANCP – CCE</w:t>
            </w:r>
          </w:p>
        </w:tc>
      </w:tr>
    </w:tbl>
    <w:p w14:paraId="103831A4" w14:textId="77777777" w:rsidR="001B3C5D" w:rsidRPr="001B3C5D" w:rsidRDefault="001B3C5D" w:rsidP="001B3C5D">
      <w:pPr>
        <w:spacing w:after="0" w:line="240" w:lineRule="auto"/>
        <w:jc w:val="both"/>
        <w:textAlignment w:val="baseline"/>
        <w:rPr>
          <w:rFonts w:ascii="Verdana" w:eastAsia="Verdana" w:hAnsi="Verdana" w:cs="Verdana"/>
          <w:lang w:eastAsia="es-CO"/>
        </w:rPr>
      </w:pPr>
    </w:p>
    <w:bookmarkEnd w:id="0"/>
    <w:p w14:paraId="42819DA0" w14:textId="550C5C1B" w:rsidR="00B543B9" w:rsidRPr="00B543B9" w:rsidRDefault="00B543B9" w:rsidP="00B543B9">
      <w:pPr>
        <w:spacing w:after="0" w:line="240" w:lineRule="auto"/>
        <w:textAlignment w:val="baseline"/>
        <w:rPr>
          <w:rFonts w:ascii="Verdana" w:eastAsia="Verdana" w:hAnsi="Verdana" w:cs="Verdana"/>
          <w:lang w:eastAsia="es-CO"/>
        </w:rPr>
      </w:pPr>
    </w:p>
    <w:p w14:paraId="0F293BF4" w14:textId="5EE29D61" w:rsidR="00127233" w:rsidRPr="00F16D67" w:rsidRDefault="00127233" w:rsidP="00F16D67">
      <w:pPr>
        <w:spacing w:after="0" w:line="240" w:lineRule="auto"/>
        <w:textAlignment w:val="baseline"/>
        <w:rPr>
          <w:rFonts w:ascii="Verdana" w:eastAsia="Verdana" w:hAnsi="Verdana" w:cs="Verdana"/>
          <w:lang w:eastAsia="es-CO"/>
        </w:rPr>
      </w:pPr>
    </w:p>
    <w:sectPr w:rsidR="00127233" w:rsidRPr="00F16D67"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F3320" w14:textId="77777777" w:rsidR="00814DA7" w:rsidRDefault="00814DA7" w:rsidP="004A1847">
      <w:pPr>
        <w:spacing w:after="0" w:line="240" w:lineRule="auto"/>
      </w:pPr>
      <w:r>
        <w:separator/>
      </w:r>
    </w:p>
  </w:endnote>
  <w:endnote w:type="continuationSeparator" w:id="0">
    <w:p w14:paraId="13D93F6A" w14:textId="77777777" w:rsidR="00814DA7" w:rsidRDefault="00814DA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MT">
    <w:charset w:val="01"/>
    <w:family w:val="swiss"/>
    <w:pitch w:val="variable"/>
  </w:font>
  <w:font w:name="Helvetica">
    <w:panose1 w:val="020B0604020202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F16D67"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F16D67">
      <w:rPr>
        <w:rFonts w:ascii="Verdana" w:eastAsia="Verdana" w:hAnsi="Verdana" w:cs="Verdana"/>
        <w:b/>
        <w:bCs/>
        <w:color w:val="000000"/>
        <w:sz w:val="18"/>
        <w:szCs w:val="18"/>
        <w:lang w:val="pt-BR" w:eastAsia="es-CO"/>
      </w:rPr>
      <w:t xml:space="preserve">Código: </w:t>
    </w:r>
    <w:r w:rsidRPr="00F16D67">
      <w:rPr>
        <w:rFonts w:ascii="Verdana" w:eastAsia="Verdana" w:hAnsi="Verdana" w:cs="Verdana"/>
        <w:color w:val="000000"/>
        <w:sz w:val="18"/>
        <w:szCs w:val="18"/>
        <w:lang w:val="pt-BR" w:eastAsia="es-CO"/>
      </w:rPr>
      <w:t xml:space="preserve">CCE-REC-FM-17 </w:t>
    </w:r>
    <w:r w:rsidRPr="00F16D67">
      <w:rPr>
        <w:rFonts w:ascii="Verdana" w:eastAsia="Verdana" w:hAnsi="Verdana" w:cs="Verdana"/>
        <w:b/>
        <w:bCs/>
        <w:color w:val="000000"/>
        <w:sz w:val="18"/>
        <w:szCs w:val="18"/>
        <w:lang w:val="pt-BR" w:eastAsia="es-CO"/>
      </w:rPr>
      <w:t xml:space="preserve">V: </w:t>
    </w:r>
    <w:r w:rsidRPr="00F16D67">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E957B" w14:textId="77777777" w:rsidR="00814DA7" w:rsidRDefault="00814DA7" w:rsidP="004A1847">
      <w:pPr>
        <w:spacing w:after="0" w:line="240" w:lineRule="auto"/>
      </w:pPr>
      <w:r>
        <w:separator/>
      </w:r>
    </w:p>
  </w:footnote>
  <w:footnote w:type="continuationSeparator" w:id="0">
    <w:p w14:paraId="3032264F" w14:textId="77777777" w:rsidR="00814DA7" w:rsidRDefault="00814DA7" w:rsidP="004A1847">
      <w:pPr>
        <w:spacing w:after="0" w:line="240" w:lineRule="auto"/>
      </w:pPr>
      <w:r>
        <w:continuationSeparator/>
      </w:r>
    </w:p>
  </w:footnote>
  <w:footnote w:id="1">
    <w:p w14:paraId="16167BE4" w14:textId="77777777" w:rsidR="001B3C5D" w:rsidRPr="00C964B1" w:rsidRDefault="001B3C5D" w:rsidP="00C964B1">
      <w:pPr>
        <w:pStyle w:val="Textonotapie"/>
        <w:ind w:firstLine="708"/>
        <w:jc w:val="both"/>
        <w:rPr>
          <w:rFonts w:ascii="Verdana" w:hAnsi="Verdana" w:cs="Arial"/>
          <w:sz w:val="16"/>
          <w:szCs w:val="16"/>
          <w:lang w:val="it-IT"/>
        </w:rPr>
      </w:pPr>
      <w:r w:rsidRPr="00C964B1">
        <w:rPr>
          <w:rStyle w:val="Refdenotaalpie"/>
          <w:rFonts w:ascii="Verdana" w:hAnsi="Verdana" w:cs="Arial"/>
          <w:sz w:val="16"/>
          <w:szCs w:val="16"/>
        </w:rPr>
        <w:footnoteRef/>
      </w:r>
      <w:r w:rsidRPr="00C964B1">
        <w:rPr>
          <w:rFonts w:ascii="Verdana" w:hAnsi="Verdana" w:cs="Arial"/>
          <w:sz w:val="16"/>
          <w:szCs w:val="16"/>
          <w:lang w:val="pt-BR"/>
        </w:rPr>
        <w:t xml:space="preserve"> Corte Constitucional, Sentencia C–1005 de 2008. </w:t>
      </w:r>
      <w:r w:rsidRPr="00C964B1">
        <w:rPr>
          <w:rFonts w:ascii="Verdana" w:hAnsi="Verdana" w:cs="Arial"/>
          <w:sz w:val="16"/>
          <w:szCs w:val="16"/>
          <w:lang w:val="it-IT"/>
        </w:rPr>
        <w:t xml:space="preserve">M.P.: Humberto Antonio Sierra Porto. </w:t>
      </w:r>
    </w:p>
    <w:p w14:paraId="779B897B" w14:textId="77777777" w:rsidR="001B3C5D" w:rsidRPr="00C964B1" w:rsidRDefault="001B3C5D" w:rsidP="00C964B1">
      <w:pPr>
        <w:pStyle w:val="Textonotapie"/>
        <w:ind w:firstLine="708"/>
        <w:jc w:val="both"/>
        <w:rPr>
          <w:rFonts w:ascii="Verdana" w:hAnsi="Verdana" w:cs="Arial"/>
          <w:sz w:val="16"/>
          <w:szCs w:val="16"/>
          <w:lang w:val="it-IT"/>
        </w:rPr>
      </w:pPr>
    </w:p>
  </w:footnote>
  <w:footnote w:id="2">
    <w:p w14:paraId="24F6219B" w14:textId="77777777" w:rsidR="001B3C5D" w:rsidRPr="00C964B1" w:rsidRDefault="001B3C5D" w:rsidP="00C964B1">
      <w:pPr>
        <w:pStyle w:val="Textonotapie"/>
        <w:ind w:firstLine="708"/>
        <w:jc w:val="both"/>
        <w:rPr>
          <w:rFonts w:ascii="Verdana" w:hAnsi="Verdana" w:cs="Arial"/>
          <w:sz w:val="16"/>
          <w:szCs w:val="16"/>
          <w:lang w:val="pt-BR"/>
        </w:rPr>
      </w:pPr>
      <w:r w:rsidRPr="00C964B1">
        <w:rPr>
          <w:rStyle w:val="Refdenotaalpie"/>
          <w:rFonts w:ascii="Verdana" w:hAnsi="Verdana" w:cs="Arial"/>
          <w:sz w:val="16"/>
          <w:szCs w:val="16"/>
        </w:rPr>
        <w:footnoteRef/>
      </w:r>
      <w:r w:rsidRPr="00C964B1">
        <w:rPr>
          <w:rFonts w:ascii="Verdana" w:hAnsi="Verdana" w:cs="Arial"/>
          <w:sz w:val="16"/>
          <w:szCs w:val="16"/>
          <w:lang w:val="pt-BR"/>
        </w:rPr>
        <w:t xml:space="preserve"> Consejo de Estado, Sala de lo Contencioso Administrativo, Sección Primera. Consejero ponente: Juan Alberto Polo Figueroa. Bogotá D.C., 24 de agosto de 2000. Radicación número 6096.</w:t>
      </w:r>
    </w:p>
    <w:p w14:paraId="1173FCC5" w14:textId="77777777" w:rsidR="001B3C5D" w:rsidRPr="00C964B1" w:rsidRDefault="001B3C5D" w:rsidP="00C964B1">
      <w:pPr>
        <w:pStyle w:val="Textonotapie"/>
        <w:ind w:firstLine="708"/>
        <w:jc w:val="both"/>
        <w:rPr>
          <w:rFonts w:ascii="Verdana" w:hAnsi="Verdana" w:cs="Arial"/>
          <w:sz w:val="16"/>
          <w:szCs w:val="16"/>
          <w:lang w:val="pt-BR"/>
        </w:rPr>
      </w:pPr>
    </w:p>
  </w:footnote>
  <w:footnote w:id="3">
    <w:p w14:paraId="29B4D3A8" w14:textId="77777777" w:rsidR="001B3C5D" w:rsidRPr="00C964B1" w:rsidRDefault="001B3C5D" w:rsidP="00C964B1">
      <w:pPr>
        <w:pStyle w:val="Textonotapie"/>
        <w:ind w:firstLine="708"/>
        <w:jc w:val="both"/>
        <w:rPr>
          <w:rFonts w:ascii="Verdana" w:hAnsi="Verdana"/>
          <w:sz w:val="16"/>
          <w:szCs w:val="16"/>
          <w:lang w:val="pt-BR"/>
        </w:rPr>
      </w:pPr>
      <w:r w:rsidRPr="00C964B1">
        <w:rPr>
          <w:rStyle w:val="Refdenotaalpie"/>
          <w:rFonts w:ascii="Verdana" w:hAnsi="Verdana"/>
          <w:sz w:val="16"/>
          <w:szCs w:val="16"/>
        </w:rPr>
        <w:footnoteRef/>
      </w:r>
      <w:r w:rsidRPr="00C964B1">
        <w:rPr>
          <w:rFonts w:ascii="Verdana" w:hAnsi="Verdana"/>
          <w:sz w:val="16"/>
          <w:szCs w:val="16"/>
          <w:lang w:val="pt-BR"/>
        </w:rPr>
        <w:t xml:space="preserve"> Ibidem </w:t>
      </w:r>
    </w:p>
    <w:p w14:paraId="19288F74" w14:textId="77777777" w:rsidR="001B3C5D" w:rsidRPr="00C964B1" w:rsidRDefault="001B3C5D" w:rsidP="00C964B1">
      <w:pPr>
        <w:pStyle w:val="Textonotapie"/>
        <w:ind w:firstLine="708"/>
        <w:jc w:val="both"/>
        <w:rPr>
          <w:rFonts w:ascii="Verdana" w:hAnsi="Verdana"/>
          <w:sz w:val="16"/>
          <w:szCs w:val="16"/>
          <w:lang w:val="pt-BR"/>
        </w:rPr>
      </w:pPr>
    </w:p>
  </w:footnote>
  <w:footnote w:id="4">
    <w:p w14:paraId="44140A31" w14:textId="77777777" w:rsidR="001B3C5D" w:rsidRPr="00C964B1" w:rsidRDefault="001B3C5D" w:rsidP="00C964B1">
      <w:pPr>
        <w:pStyle w:val="Textonotapie"/>
        <w:ind w:firstLine="708"/>
        <w:jc w:val="both"/>
        <w:rPr>
          <w:rFonts w:ascii="Verdana" w:hAnsi="Verdana"/>
          <w:color w:val="333333"/>
          <w:sz w:val="16"/>
          <w:szCs w:val="16"/>
          <w:shd w:val="clear" w:color="auto" w:fill="FFFFFF"/>
          <w:lang w:val="pt-BR"/>
        </w:rPr>
      </w:pPr>
      <w:r w:rsidRPr="00C964B1">
        <w:rPr>
          <w:rStyle w:val="Refdenotaalpie"/>
          <w:rFonts w:ascii="Verdana" w:hAnsi="Verdana"/>
          <w:sz w:val="16"/>
          <w:szCs w:val="16"/>
        </w:rPr>
        <w:footnoteRef/>
      </w:r>
      <w:r w:rsidRPr="00C964B1">
        <w:rPr>
          <w:rFonts w:ascii="Verdana" w:hAnsi="Verdana"/>
          <w:sz w:val="16"/>
          <w:szCs w:val="16"/>
          <w:lang w:val="pt-BR"/>
        </w:rPr>
        <w:t xml:space="preserve"> </w:t>
      </w:r>
      <w:r w:rsidRPr="00C964B1">
        <w:rPr>
          <w:rFonts w:ascii="Verdana" w:hAnsi="Verdana" w:cs="Arial"/>
          <w:sz w:val="16"/>
          <w:szCs w:val="16"/>
          <w:lang w:val="pt-BR"/>
        </w:rPr>
        <w:t xml:space="preserve">Corte Constitucional, Sentencia </w:t>
      </w:r>
      <w:r w:rsidRPr="00C964B1">
        <w:rPr>
          <w:rFonts w:ascii="Verdana" w:eastAsia="Times New Roman" w:hAnsi="Verdana" w:cs="Arial"/>
          <w:sz w:val="16"/>
          <w:szCs w:val="16"/>
          <w:lang w:val="pt-BR" w:eastAsia="es-MX"/>
        </w:rPr>
        <w:t>C-917 de 2002</w:t>
      </w:r>
      <w:r w:rsidRPr="00C964B1">
        <w:rPr>
          <w:rFonts w:ascii="Verdana" w:hAnsi="Verdana" w:cs="Arial"/>
          <w:sz w:val="16"/>
          <w:szCs w:val="16"/>
          <w:lang w:val="pt-BR"/>
        </w:rPr>
        <w:t xml:space="preserve">. M.P.: </w:t>
      </w:r>
      <w:r w:rsidRPr="00C964B1">
        <w:rPr>
          <w:rFonts w:ascii="Verdana" w:hAnsi="Verdana"/>
          <w:color w:val="333333"/>
          <w:sz w:val="16"/>
          <w:szCs w:val="16"/>
          <w:shd w:val="clear" w:color="auto" w:fill="FFFFFF"/>
          <w:lang w:val="pt-BR"/>
        </w:rPr>
        <w:t>Marco Gerardo Monroy Cabra.</w:t>
      </w:r>
    </w:p>
    <w:p w14:paraId="4FD7C45B" w14:textId="77777777" w:rsidR="001B3C5D" w:rsidRPr="00C964B1" w:rsidRDefault="001B3C5D" w:rsidP="00C964B1">
      <w:pPr>
        <w:pStyle w:val="Textonotapie"/>
        <w:ind w:firstLine="708"/>
        <w:jc w:val="both"/>
        <w:rPr>
          <w:rFonts w:ascii="Verdana" w:hAnsi="Verdana"/>
          <w:sz w:val="16"/>
          <w:szCs w:val="16"/>
          <w:lang w:val="pt-BR"/>
        </w:rPr>
      </w:pPr>
    </w:p>
  </w:footnote>
  <w:footnote w:id="5">
    <w:p w14:paraId="2394A6A2" w14:textId="77777777" w:rsidR="001B3C5D" w:rsidRPr="00C964B1" w:rsidRDefault="001B3C5D" w:rsidP="00C964B1">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 Artículo 1º del Decreto Ley 4170 de 2011.</w:t>
      </w:r>
    </w:p>
    <w:p w14:paraId="3011BEB2" w14:textId="77777777" w:rsidR="00AD58FD" w:rsidRPr="00C964B1" w:rsidRDefault="00AD58FD" w:rsidP="00C964B1">
      <w:pPr>
        <w:pStyle w:val="Textonotapie"/>
        <w:ind w:firstLine="708"/>
        <w:jc w:val="both"/>
        <w:rPr>
          <w:rFonts w:ascii="Verdana" w:hAnsi="Verdana" w:cs="Arial"/>
          <w:sz w:val="16"/>
          <w:szCs w:val="16"/>
        </w:rPr>
      </w:pPr>
    </w:p>
  </w:footnote>
  <w:footnote w:id="6">
    <w:p w14:paraId="18C96AF2" w14:textId="77777777" w:rsidR="001B3C5D" w:rsidRPr="00C964B1" w:rsidRDefault="001B3C5D" w:rsidP="00C964B1">
      <w:pPr>
        <w:pStyle w:val="Textonotapie"/>
        <w:ind w:firstLine="708"/>
        <w:jc w:val="both"/>
        <w:rPr>
          <w:rFonts w:ascii="Verdana" w:hAnsi="Verdana" w:cs="Arial"/>
          <w:sz w:val="16"/>
          <w:szCs w:val="16"/>
        </w:rPr>
      </w:pPr>
      <w:r w:rsidRPr="00C964B1">
        <w:rPr>
          <w:rStyle w:val="Refdenotaalpie"/>
          <w:rFonts w:ascii="Verdana" w:hAnsi="Verdana"/>
          <w:sz w:val="16"/>
          <w:szCs w:val="16"/>
        </w:rPr>
        <w:footnoteRef/>
      </w:r>
      <w:r w:rsidRPr="00C964B1">
        <w:rPr>
          <w:rFonts w:ascii="Verdana" w:hAnsi="Verdana"/>
          <w:sz w:val="16"/>
          <w:szCs w:val="16"/>
        </w:rPr>
        <w:t xml:space="preserve"> </w:t>
      </w:r>
      <w:r w:rsidRPr="00C964B1">
        <w:rPr>
          <w:rFonts w:ascii="Verdana" w:hAnsi="Verdana" w:cs="Arial"/>
          <w:sz w:val="16"/>
          <w:szCs w:val="16"/>
        </w:rPr>
        <w:t>Ver el Artículo 11 numeral 12 del Decreto Ley 4170 de 2011.</w:t>
      </w:r>
    </w:p>
    <w:p w14:paraId="02189471" w14:textId="77777777" w:rsidR="001B3C5D" w:rsidRPr="00C964B1" w:rsidRDefault="001B3C5D" w:rsidP="00C964B1">
      <w:pPr>
        <w:pStyle w:val="Textonotapie"/>
        <w:ind w:firstLine="708"/>
        <w:jc w:val="both"/>
        <w:rPr>
          <w:rFonts w:ascii="Verdana" w:hAnsi="Verdana"/>
          <w:sz w:val="16"/>
          <w:szCs w:val="16"/>
        </w:rPr>
      </w:pPr>
    </w:p>
  </w:footnote>
  <w:footnote w:id="7">
    <w:p w14:paraId="04037451" w14:textId="77777777" w:rsidR="001B3C5D" w:rsidRPr="00C964B1" w:rsidRDefault="001B3C5D" w:rsidP="00C964B1">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Style w:val="Refdenotaalpie"/>
          <w:rFonts w:ascii="Verdana" w:hAnsi="Verdana" w:cs="Arial"/>
          <w:sz w:val="16"/>
          <w:szCs w:val="16"/>
        </w:rPr>
        <w:t xml:space="preserve"> </w:t>
      </w:r>
      <w:r w:rsidRPr="00C964B1">
        <w:rPr>
          <w:rFonts w:ascii="Verdana" w:hAnsi="Verdana" w:cs="Arial"/>
          <w:sz w:val="16"/>
          <w:szCs w:val="16"/>
        </w:rPr>
        <w:t>Consejo de Estado. Sección Tercera. Auto del 14 de agosto de 2017. Rad. 58820.</w:t>
      </w:r>
    </w:p>
    <w:p w14:paraId="6FEFFE65" w14:textId="77777777" w:rsidR="00AD58FD" w:rsidRPr="00C964B1" w:rsidRDefault="00AD58FD" w:rsidP="00C964B1">
      <w:pPr>
        <w:pStyle w:val="Textonotapie"/>
        <w:ind w:firstLine="708"/>
        <w:jc w:val="both"/>
        <w:rPr>
          <w:rFonts w:ascii="Verdana" w:hAnsi="Verdana" w:cs="Arial"/>
          <w:sz w:val="16"/>
          <w:szCs w:val="16"/>
        </w:rPr>
      </w:pPr>
    </w:p>
  </w:footnote>
  <w:footnote w:id="8">
    <w:p w14:paraId="139202ED" w14:textId="77777777" w:rsidR="001B3C5D" w:rsidRPr="00C964B1" w:rsidRDefault="001B3C5D" w:rsidP="00C964B1">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Consejo de Estado. Sección Tercera. Sentencia del 16 de agosto de 2017. Rad. 56166.</w:t>
      </w:r>
    </w:p>
    <w:p w14:paraId="6386EAC0" w14:textId="77777777" w:rsidR="001B3C5D" w:rsidRPr="00C964B1" w:rsidRDefault="001B3C5D" w:rsidP="00C964B1">
      <w:pPr>
        <w:pStyle w:val="Textonotapie"/>
        <w:ind w:firstLine="708"/>
        <w:jc w:val="both"/>
        <w:rPr>
          <w:rFonts w:ascii="Verdana" w:hAnsi="Verdana"/>
          <w:sz w:val="16"/>
          <w:szCs w:val="16"/>
        </w:rPr>
      </w:pPr>
    </w:p>
  </w:footnote>
  <w:footnote w:id="9">
    <w:p w14:paraId="49E8A3DB" w14:textId="77777777" w:rsidR="001B3C5D" w:rsidRPr="00C964B1" w:rsidRDefault="001B3C5D" w:rsidP="00C964B1">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Ibídem. </w:t>
      </w:r>
    </w:p>
    <w:p w14:paraId="7CE2E398" w14:textId="77777777" w:rsidR="001B3C5D" w:rsidRPr="00C964B1" w:rsidRDefault="001B3C5D" w:rsidP="00C964B1">
      <w:pPr>
        <w:pStyle w:val="Textonotapie"/>
        <w:ind w:firstLine="708"/>
        <w:jc w:val="both"/>
        <w:rPr>
          <w:rFonts w:ascii="Verdana" w:hAnsi="Verdana" w:cs="Arial"/>
          <w:sz w:val="16"/>
          <w:szCs w:val="16"/>
        </w:rPr>
      </w:pPr>
    </w:p>
  </w:footnote>
  <w:footnote w:id="10">
    <w:p w14:paraId="274232A9" w14:textId="77777777" w:rsidR="001B3C5D" w:rsidRPr="00C964B1" w:rsidRDefault="001B3C5D" w:rsidP="00C964B1">
      <w:pPr>
        <w:pStyle w:val="Textonotapie"/>
        <w:ind w:firstLine="708"/>
        <w:jc w:val="both"/>
        <w:rPr>
          <w:rFonts w:ascii="Verdana" w:hAnsi="Verdana" w:cs="Arial"/>
          <w:sz w:val="16"/>
          <w:szCs w:val="16"/>
          <w:lang w:val="es-ES"/>
        </w:rPr>
      </w:pPr>
      <w:r w:rsidRPr="00C964B1">
        <w:rPr>
          <w:rStyle w:val="Refdenotaalpie"/>
          <w:rFonts w:ascii="Verdana" w:hAnsi="Verdana" w:cs="Arial"/>
          <w:sz w:val="16"/>
          <w:szCs w:val="16"/>
        </w:rPr>
        <w:footnoteRef/>
      </w:r>
      <w:r w:rsidRPr="00C964B1">
        <w:rPr>
          <w:rFonts w:ascii="Verdana" w:hAnsi="Verdana" w:cs="Arial"/>
          <w:sz w:val="16"/>
          <w:szCs w:val="16"/>
        </w:rPr>
        <w:t xml:space="preserve"> Diccionario de la Real Academia Española, versión online disponible en: </w:t>
      </w:r>
      <w:hyperlink r:id="rId1" w:history="1">
        <w:r w:rsidRPr="00C964B1">
          <w:rPr>
            <w:rStyle w:val="Hipervnculo"/>
            <w:rFonts w:ascii="Verdana" w:hAnsi="Verdana" w:cs="Arial"/>
            <w:sz w:val="16"/>
            <w:szCs w:val="16"/>
          </w:rPr>
          <w:t>https://dle.rae.es/est%C3%A1ndar</w:t>
        </w:r>
      </w:hyperlink>
      <w:r w:rsidRPr="00C964B1">
        <w:rPr>
          <w:rFonts w:ascii="Verdana" w:hAnsi="Verdana" w:cs="Arial"/>
          <w:sz w:val="16"/>
          <w:szCs w:val="16"/>
        </w:rPr>
        <w:t xml:space="preserve">, consultado el 2 de junio de 2020. </w:t>
      </w:r>
    </w:p>
  </w:footnote>
  <w:footnote w:id="11">
    <w:p w14:paraId="5665088B" w14:textId="77777777" w:rsidR="001B3C5D" w:rsidRPr="00C964B1" w:rsidRDefault="001B3C5D" w:rsidP="00C964B1">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w:t>
      </w:r>
      <w:r w:rsidRPr="00C964B1">
        <w:rPr>
          <w:rFonts w:ascii="Verdana" w:hAnsi="Verdana" w:cs="Arial"/>
          <w:sz w:val="16"/>
          <w:szCs w:val="16"/>
        </w:rPr>
        <w:t>Gaceta del Congreso No. 733 del 2018. Pág. 19</w:t>
      </w:r>
    </w:p>
    <w:p w14:paraId="7D059356" w14:textId="77777777" w:rsidR="001B3C5D" w:rsidRPr="00C964B1" w:rsidRDefault="001B3C5D" w:rsidP="00C964B1">
      <w:pPr>
        <w:pStyle w:val="Textonotapie"/>
        <w:jc w:val="both"/>
        <w:rPr>
          <w:rFonts w:ascii="Verdana" w:hAnsi="Verdana"/>
          <w:sz w:val="16"/>
          <w:szCs w:val="16"/>
          <w:lang w:val="es-CO"/>
        </w:rPr>
      </w:pPr>
    </w:p>
  </w:footnote>
  <w:footnote w:id="12">
    <w:p w14:paraId="59F23816" w14:textId="77777777" w:rsidR="001B3C5D" w:rsidRPr="00C964B1" w:rsidRDefault="001B3C5D" w:rsidP="00C964B1">
      <w:pPr>
        <w:pStyle w:val="Textonotapie"/>
        <w:ind w:firstLine="708"/>
        <w:jc w:val="both"/>
        <w:rPr>
          <w:rFonts w:ascii="Verdana" w:hAnsi="Verdana" w:cs="Arial"/>
          <w:sz w:val="16"/>
          <w:szCs w:val="16"/>
        </w:rPr>
      </w:pPr>
      <w:r w:rsidRPr="00C964B1">
        <w:rPr>
          <w:rStyle w:val="Refdenotaalpie"/>
          <w:rFonts w:ascii="Verdana" w:hAnsi="Verdana"/>
          <w:sz w:val="16"/>
          <w:szCs w:val="16"/>
        </w:rPr>
        <w:footnoteRef/>
      </w:r>
      <w:r w:rsidRPr="00C964B1">
        <w:rPr>
          <w:rFonts w:ascii="Verdana" w:hAnsi="Verdana"/>
          <w:sz w:val="16"/>
          <w:szCs w:val="16"/>
        </w:rPr>
        <w:t xml:space="preserve"> </w:t>
      </w:r>
      <w:r w:rsidRPr="00C964B1">
        <w:rPr>
          <w:rFonts w:ascii="Verdana" w:hAnsi="Verdana" w:cs="Arial"/>
          <w:sz w:val="16"/>
          <w:szCs w:val="16"/>
        </w:rPr>
        <w:t xml:space="preserve">Ley 2022 de 2020: “Artículo 1. Modifíquese el artículo </w:t>
      </w:r>
      <w:hyperlink r:id="rId2" w:anchor="4" w:history="1">
        <w:r w:rsidRPr="00C964B1">
          <w:rPr>
            <w:rFonts w:ascii="Verdana" w:hAnsi="Verdana" w:cs="Arial"/>
            <w:sz w:val="16"/>
            <w:szCs w:val="16"/>
          </w:rPr>
          <w:t>4</w:t>
        </w:r>
      </w:hyperlink>
      <w:r w:rsidRPr="00C964B1">
        <w:rPr>
          <w:rFonts w:ascii="Verdana" w:hAnsi="Verdana" w:cs="Arial"/>
          <w:sz w:val="16"/>
          <w:szCs w:val="16"/>
        </w:rPr>
        <w:t xml:space="preserve">º de la Ley 1882 de 2018, el cual quedará así: </w:t>
      </w:r>
    </w:p>
    <w:p w14:paraId="3C5E88C5" w14:textId="77777777" w:rsidR="001B3C5D" w:rsidRPr="00C964B1" w:rsidRDefault="001B3C5D" w:rsidP="00C964B1">
      <w:pPr>
        <w:pStyle w:val="Textonotapie"/>
        <w:ind w:firstLine="708"/>
        <w:jc w:val="both"/>
        <w:rPr>
          <w:rFonts w:ascii="Verdana" w:hAnsi="Verdana" w:cs="Arial"/>
          <w:sz w:val="16"/>
          <w:szCs w:val="16"/>
        </w:rPr>
      </w:pPr>
    </w:p>
    <w:p w14:paraId="11B1D32C" w14:textId="1522E5ED" w:rsidR="001B3C5D" w:rsidRPr="00C964B1" w:rsidRDefault="001B3C5D" w:rsidP="00C964B1">
      <w:pPr>
        <w:pStyle w:val="Textonotapie"/>
        <w:ind w:firstLine="708"/>
        <w:jc w:val="both"/>
        <w:rPr>
          <w:rFonts w:ascii="Verdana" w:hAnsi="Verdana" w:cs="Arial"/>
          <w:sz w:val="16"/>
          <w:szCs w:val="16"/>
        </w:rPr>
      </w:pPr>
      <w:r w:rsidRPr="00C964B1">
        <w:rPr>
          <w:rFonts w:ascii="Verdana" w:hAnsi="Verdana" w:cs="Arial"/>
          <w:sz w:val="16"/>
          <w:szCs w:val="16"/>
        </w:rPr>
        <w:t xml:space="preserve">“Artículo 4º. Adiciónese el </w:t>
      </w:r>
      <w:r w:rsidR="005245E6" w:rsidRPr="00C964B1">
        <w:rPr>
          <w:rFonts w:ascii="Verdana" w:hAnsi="Verdana" w:cs="Arial"/>
          <w:sz w:val="16"/>
          <w:szCs w:val="16"/>
        </w:rPr>
        <w:t xml:space="preserve">siguiente </w:t>
      </w:r>
      <w:r w:rsidR="005245E6" w:rsidRPr="00C964B1">
        <w:rPr>
          <w:rFonts w:ascii="Verdana" w:hAnsi="Verdana"/>
          <w:sz w:val="16"/>
          <w:szCs w:val="16"/>
        </w:rPr>
        <w:t>al</w:t>
      </w:r>
      <w:r w:rsidRPr="00C964B1">
        <w:rPr>
          <w:rFonts w:ascii="Verdana" w:hAnsi="Verdana" w:cs="Arial"/>
          <w:sz w:val="16"/>
          <w:szCs w:val="16"/>
        </w:rPr>
        <w:t xml:space="preserve"> artículo 2º de la Ley 1150 de 2007.</w:t>
      </w:r>
    </w:p>
    <w:p w14:paraId="6DFEFE25" w14:textId="77777777" w:rsidR="001B3C5D" w:rsidRPr="00C964B1" w:rsidRDefault="001B3C5D" w:rsidP="00C964B1">
      <w:pPr>
        <w:pStyle w:val="Textonotapie"/>
        <w:ind w:firstLine="708"/>
        <w:jc w:val="both"/>
        <w:rPr>
          <w:rFonts w:ascii="Verdana" w:hAnsi="Verdana" w:cs="Arial"/>
          <w:sz w:val="16"/>
          <w:szCs w:val="16"/>
        </w:rPr>
      </w:pPr>
    </w:p>
    <w:p w14:paraId="6A68D65D" w14:textId="77777777" w:rsidR="001B3C5D" w:rsidRPr="00C964B1" w:rsidRDefault="001B3C5D" w:rsidP="00C964B1">
      <w:pPr>
        <w:pStyle w:val="Textonotapie"/>
        <w:ind w:firstLine="708"/>
        <w:jc w:val="both"/>
        <w:rPr>
          <w:rFonts w:ascii="Verdana" w:hAnsi="Verdana" w:cs="Arial"/>
          <w:sz w:val="16"/>
          <w:szCs w:val="16"/>
        </w:rPr>
      </w:pPr>
      <w:r w:rsidRPr="00C964B1">
        <w:rPr>
          <w:rFonts w:ascii="Verdana" w:hAnsi="Verdana" w:cs="Arial"/>
          <w:sz w:val="16"/>
          <w:szCs w:val="16"/>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2F49077" w14:textId="77777777" w:rsidR="001B3C5D" w:rsidRPr="00C964B1" w:rsidRDefault="001B3C5D" w:rsidP="00C964B1">
      <w:pPr>
        <w:pStyle w:val="Textonotapie"/>
        <w:ind w:firstLine="708"/>
        <w:jc w:val="both"/>
        <w:rPr>
          <w:rFonts w:ascii="Verdana" w:hAnsi="Verdana" w:cs="Arial"/>
          <w:sz w:val="16"/>
          <w:szCs w:val="16"/>
        </w:rPr>
      </w:pPr>
    </w:p>
    <w:p w14:paraId="0B57078A" w14:textId="77777777" w:rsidR="001B3C5D" w:rsidRPr="00C964B1" w:rsidRDefault="001B3C5D" w:rsidP="00C964B1">
      <w:pPr>
        <w:pStyle w:val="Textonotapie"/>
        <w:ind w:firstLine="708"/>
        <w:jc w:val="both"/>
        <w:rPr>
          <w:rFonts w:ascii="Verdana" w:hAnsi="Verdana" w:cs="Arial"/>
          <w:sz w:val="16"/>
          <w:szCs w:val="16"/>
        </w:rPr>
      </w:pPr>
      <w:r w:rsidRPr="00C964B1">
        <w:rPr>
          <w:rFonts w:ascii="Verdana" w:hAnsi="Verdana" w:cs="Arial"/>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4C8F899" w14:textId="77777777" w:rsidR="001B3C5D" w:rsidRPr="00C964B1" w:rsidRDefault="001B3C5D" w:rsidP="00C964B1">
      <w:pPr>
        <w:pStyle w:val="Textonotapie"/>
        <w:ind w:firstLine="708"/>
        <w:jc w:val="both"/>
        <w:rPr>
          <w:rFonts w:ascii="Verdana" w:hAnsi="Verdana" w:cs="Arial"/>
          <w:sz w:val="16"/>
          <w:szCs w:val="16"/>
        </w:rPr>
      </w:pPr>
    </w:p>
    <w:p w14:paraId="4CF5D9A7" w14:textId="77777777" w:rsidR="001B3C5D" w:rsidRPr="00C964B1" w:rsidRDefault="001B3C5D" w:rsidP="00C964B1">
      <w:pPr>
        <w:pStyle w:val="Textonotapie"/>
        <w:ind w:firstLine="708"/>
        <w:jc w:val="both"/>
        <w:rPr>
          <w:rFonts w:ascii="Verdana" w:hAnsi="Verdana" w:cs="Arial"/>
          <w:sz w:val="16"/>
          <w:szCs w:val="16"/>
        </w:rPr>
      </w:pPr>
      <w:r w:rsidRPr="00C964B1">
        <w:rPr>
          <w:rFonts w:ascii="Verdana" w:hAnsi="Verdana" w:cs="Arial"/>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EABADDE" w14:textId="77777777" w:rsidR="001B3C5D" w:rsidRPr="00C964B1" w:rsidRDefault="001B3C5D" w:rsidP="00C964B1">
      <w:pPr>
        <w:pStyle w:val="Textonotapie"/>
        <w:ind w:firstLine="708"/>
        <w:jc w:val="both"/>
        <w:rPr>
          <w:rFonts w:ascii="Verdana" w:hAnsi="Verdana" w:cs="Arial"/>
          <w:sz w:val="16"/>
          <w:szCs w:val="16"/>
        </w:rPr>
      </w:pPr>
    </w:p>
    <w:p w14:paraId="6B39DB16" w14:textId="77777777" w:rsidR="001B3C5D" w:rsidRPr="00C964B1" w:rsidRDefault="001B3C5D" w:rsidP="00C964B1">
      <w:pPr>
        <w:pStyle w:val="Textonotapie"/>
        <w:ind w:firstLine="708"/>
        <w:jc w:val="both"/>
        <w:rPr>
          <w:rFonts w:ascii="Verdana" w:hAnsi="Verdana" w:cs="Arial"/>
          <w:sz w:val="16"/>
          <w:szCs w:val="16"/>
        </w:rPr>
      </w:pPr>
      <w:r w:rsidRPr="00C964B1">
        <w:rPr>
          <w:rFonts w:ascii="Verdana" w:hAnsi="Verdana" w:cs="Arial"/>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596D919" w14:textId="77777777" w:rsidR="001B3C5D" w:rsidRPr="00C964B1" w:rsidRDefault="001B3C5D" w:rsidP="00C964B1">
      <w:pPr>
        <w:pStyle w:val="Textonotapie"/>
        <w:ind w:firstLine="708"/>
        <w:jc w:val="both"/>
        <w:rPr>
          <w:rFonts w:ascii="Verdana" w:hAnsi="Verdana" w:cs="Arial"/>
          <w:sz w:val="16"/>
          <w:szCs w:val="16"/>
        </w:rPr>
      </w:pPr>
    </w:p>
    <w:p w14:paraId="27136289" w14:textId="77777777" w:rsidR="001B3C5D" w:rsidRPr="00C964B1" w:rsidRDefault="001B3C5D" w:rsidP="00C964B1">
      <w:pPr>
        <w:pStyle w:val="Textonotapie"/>
        <w:ind w:firstLine="708"/>
        <w:jc w:val="both"/>
        <w:rPr>
          <w:rFonts w:ascii="Verdana" w:hAnsi="Verdana" w:cs="Arial"/>
          <w:sz w:val="16"/>
          <w:szCs w:val="16"/>
        </w:rPr>
      </w:pPr>
      <w:r w:rsidRPr="00C964B1">
        <w:rPr>
          <w:rFonts w:ascii="Verdana" w:hAnsi="Verdana" w:cs="Arial"/>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2DB7DC11" w14:textId="77777777" w:rsidR="001B3C5D" w:rsidRPr="00C964B1" w:rsidRDefault="001B3C5D" w:rsidP="00C964B1">
      <w:pPr>
        <w:pStyle w:val="Textonotapie"/>
        <w:ind w:firstLine="708"/>
        <w:jc w:val="both"/>
        <w:rPr>
          <w:rFonts w:ascii="Verdana" w:hAnsi="Verdana" w:cs="Arial"/>
          <w:sz w:val="16"/>
          <w:szCs w:val="16"/>
        </w:rPr>
      </w:pPr>
      <w:r w:rsidRPr="00C964B1">
        <w:rPr>
          <w:rFonts w:ascii="Verdana" w:hAnsi="Verdana" w:cs="Arial"/>
          <w:sz w:val="16"/>
          <w:szCs w:val="16"/>
        </w:rPr>
        <w:t xml:space="preserve"> </w:t>
      </w:r>
    </w:p>
  </w:footnote>
  <w:footnote w:id="13">
    <w:p w14:paraId="018237CB" w14:textId="77777777" w:rsidR="001B3C5D" w:rsidRPr="00C964B1" w:rsidRDefault="001B3C5D" w:rsidP="00C964B1">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 Ley 80 de 1993. “Artículo 2. De la definición de entidades, servidores y servicios públicos. Para los solos efectos de esta ley:</w:t>
      </w:r>
    </w:p>
    <w:p w14:paraId="7BA32263" w14:textId="77777777" w:rsidR="001B3C5D" w:rsidRPr="00C964B1" w:rsidRDefault="001B3C5D" w:rsidP="00C964B1">
      <w:pPr>
        <w:pStyle w:val="Textonotapie"/>
        <w:ind w:firstLine="708"/>
        <w:jc w:val="both"/>
        <w:rPr>
          <w:rFonts w:ascii="Verdana" w:hAnsi="Verdana" w:cs="Arial"/>
          <w:sz w:val="16"/>
          <w:szCs w:val="16"/>
        </w:rPr>
      </w:pPr>
    </w:p>
    <w:p w14:paraId="3C6B2049" w14:textId="77777777" w:rsidR="001B3C5D" w:rsidRPr="00C964B1" w:rsidRDefault="001B3C5D" w:rsidP="00C964B1">
      <w:pPr>
        <w:pStyle w:val="Textonotapie"/>
        <w:ind w:firstLine="708"/>
        <w:jc w:val="both"/>
        <w:rPr>
          <w:rFonts w:ascii="Verdana" w:hAnsi="Verdana" w:cs="Arial"/>
          <w:sz w:val="16"/>
          <w:szCs w:val="16"/>
        </w:rPr>
      </w:pPr>
      <w:r w:rsidRPr="00C964B1">
        <w:rPr>
          <w:rFonts w:ascii="Verdana" w:hAnsi="Verdana" w:cs="Arial"/>
          <w:sz w:val="16"/>
          <w:szCs w:val="16"/>
        </w:rPr>
        <w:t>1o. Se denominan entidades estatales:</w:t>
      </w:r>
    </w:p>
    <w:p w14:paraId="74C25A2C" w14:textId="77777777" w:rsidR="001B3C5D" w:rsidRPr="00C964B1" w:rsidRDefault="001B3C5D" w:rsidP="00C964B1">
      <w:pPr>
        <w:pStyle w:val="Textonotapie"/>
        <w:ind w:firstLine="708"/>
        <w:jc w:val="both"/>
        <w:rPr>
          <w:rFonts w:ascii="Verdana" w:hAnsi="Verdana" w:cs="Arial"/>
          <w:sz w:val="16"/>
          <w:szCs w:val="16"/>
        </w:rPr>
      </w:pPr>
    </w:p>
    <w:p w14:paraId="5F0A3907" w14:textId="77777777" w:rsidR="001B3C5D" w:rsidRPr="00C964B1" w:rsidRDefault="001B3C5D" w:rsidP="00C964B1">
      <w:pPr>
        <w:pStyle w:val="Textonotapie"/>
        <w:ind w:firstLine="708"/>
        <w:jc w:val="both"/>
        <w:rPr>
          <w:rFonts w:ascii="Verdana" w:hAnsi="Verdana" w:cs="Arial"/>
          <w:sz w:val="16"/>
          <w:szCs w:val="16"/>
        </w:rPr>
      </w:pPr>
      <w:r w:rsidRPr="00C964B1">
        <w:rPr>
          <w:rFonts w:ascii="Verdana" w:hAnsi="Verdana" w:cs="Arial"/>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263AA2BA" w14:textId="77777777" w:rsidR="001B3C5D" w:rsidRPr="00C964B1" w:rsidRDefault="001B3C5D" w:rsidP="00C964B1">
      <w:pPr>
        <w:pStyle w:val="Textonotapie"/>
        <w:ind w:firstLine="708"/>
        <w:jc w:val="both"/>
        <w:rPr>
          <w:rFonts w:ascii="Verdana" w:hAnsi="Verdana" w:cs="Arial"/>
          <w:sz w:val="16"/>
          <w:szCs w:val="16"/>
        </w:rPr>
      </w:pPr>
    </w:p>
    <w:p w14:paraId="3281839A" w14:textId="77777777" w:rsidR="001B3C5D" w:rsidRPr="00C964B1" w:rsidRDefault="001B3C5D" w:rsidP="00C964B1">
      <w:pPr>
        <w:pStyle w:val="Textonotapie"/>
        <w:ind w:firstLine="708"/>
        <w:jc w:val="both"/>
        <w:rPr>
          <w:rFonts w:ascii="Verdana" w:hAnsi="Verdana" w:cs="Arial"/>
          <w:i/>
          <w:sz w:val="16"/>
          <w:szCs w:val="16"/>
        </w:rPr>
      </w:pPr>
      <w:r w:rsidRPr="00C964B1">
        <w:rPr>
          <w:rFonts w:ascii="Verdana" w:hAnsi="Verdana" w:cs="Arial"/>
          <w:sz w:val="16"/>
          <w:szCs w:val="16"/>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14">
    <w:p w14:paraId="2DA2701B" w14:textId="77777777" w:rsidR="001B3C5D" w:rsidRPr="00C964B1" w:rsidRDefault="001B3C5D" w:rsidP="00C964B1">
      <w:pPr>
        <w:pStyle w:val="Textonotapie"/>
        <w:ind w:firstLine="708"/>
        <w:jc w:val="both"/>
        <w:rPr>
          <w:rFonts w:ascii="Verdana" w:hAnsi="Verdana" w:cs="Arial"/>
          <w:sz w:val="16"/>
          <w:szCs w:val="16"/>
          <w:lang w:val="it-IT"/>
        </w:rPr>
      </w:pPr>
      <w:r w:rsidRPr="00C964B1">
        <w:rPr>
          <w:rStyle w:val="Refdenotaalpie"/>
          <w:rFonts w:ascii="Verdana" w:hAnsi="Verdana" w:cs="Arial"/>
          <w:sz w:val="16"/>
          <w:szCs w:val="16"/>
        </w:rPr>
        <w:footnoteRef/>
      </w:r>
      <w:r w:rsidRPr="00C964B1">
        <w:rPr>
          <w:rFonts w:ascii="Verdana" w:hAnsi="Verdana" w:cs="Arial"/>
          <w:sz w:val="16"/>
          <w:szCs w:val="16"/>
          <w:lang w:val="pt-BR"/>
        </w:rPr>
        <w:t xml:space="preserve"> Corte Constitucional. Sentencia C-1005 de 2008. </w:t>
      </w:r>
      <w:r w:rsidRPr="00C964B1">
        <w:rPr>
          <w:rFonts w:ascii="Verdana" w:hAnsi="Verdana" w:cs="Arial"/>
          <w:sz w:val="16"/>
          <w:szCs w:val="16"/>
          <w:lang w:val="it-IT"/>
        </w:rPr>
        <w:t>M.P.: Humberto Sierra Porto.</w:t>
      </w:r>
    </w:p>
    <w:p w14:paraId="4BB38863" w14:textId="77777777" w:rsidR="001B3C5D" w:rsidRPr="00C964B1" w:rsidRDefault="001B3C5D" w:rsidP="00C964B1">
      <w:pPr>
        <w:pStyle w:val="Textonotapie"/>
        <w:ind w:firstLine="708"/>
        <w:jc w:val="both"/>
        <w:rPr>
          <w:rFonts w:ascii="Verdana" w:hAnsi="Verdana" w:cs="Arial"/>
          <w:sz w:val="16"/>
          <w:szCs w:val="16"/>
          <w:lang w:val="it-IT"/>
        </w:rPr>
      </w:pPr>
    </w:p>
  </w:footnote>
  <w:footnote w:id="15">
    <w:p w14:paraId="418409DE" w14:textId="77777777" w:rsidR="001B3C5D" w:rsidRPr="00C964B1" w:rsidRDefault="001B3C5D" w:rsidP="00C964B1">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 Consejo de Estado. Sección Primera. Sentencia del 20 de noviembre de 2014. Rad. 1101-03-24-000-2010-00119-00. C.P.: Guillermo Vargas Ayala. </w:t>
      </w:r>
    </w:p>
    <w:p w14:paraId="017B6391" w14:textId="77777777" w:rsidR="001B3C5D" w:rsidRPr="00C964B1" w:rsidRDefault="001B3C5D" w:rsidP="00C964B1">
      <w:pPr>
        <w:pStyle w:val="Textonotapie"/>
        <w:ind w:firstLine="708"/>
        <w:jc w:val="both"/>
        <w:rPr>
          <w:rFonts w:ascii="Verdana" w:hAnsi="Verdana" w:cs="Arial"/>
          <w:sz w:val="16"/>
          <w:szCs w:val="16"/>
        </w:rPr>
      </w:pPr>
    </w:p>
  </w:footnote>
  <w:footnote w:id="16">
    <w:p w14:paraId="75A763F3" w14:textId="77777777" w:rsidR="001B3C5D" w:rsidRPr="00C964B1" w:rsidRDefault="001B3C5D" w:rsidP="00C964B1">
      <w:pPr>
        <w:spacing w:after="0" w:line="240" w:lineRule="auto"/>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 Al respecto, el Congreso puede dictar normas minuciosamente detalladas, en cuyo caso no será necesaria la expedición de decretos reglamentarios; o puede limitarse a dictar una ley de contenidos generales y dejar al Gobierno nacional la potestad de completar todos los aspectos que sean necesarios para su correcta ejecución. Por su parte, no puede el presidente saturar el ordenamiento, reglamentando lo que ya ha sido objeto de reglamentación por el legislador, pues si se repite con exactitud el contenido de las normas reglamentadas se violaría el principio conocido como “prohibición de tautología legal”. Ver Consejo de Estado. Sección Cuarta. Sentencia del 11 de febrero de 2014. Rad. 11001-03-27-000-2011-00023-00(18973). C.P. Carmen Teresa Ortiz De Rodríguez. </w:t>
      </w:r>
    </w:p>
    <w:p w14:paraId="31B25CE9" w14:textId="77777777" w:rsidR="001B3C5D" w:rsidRPr="00C964B1" w:rsidRDefault="001B3C5D" w:rsidP="00C964B1">
      <w:pPr>
        <w:spacing w:after="0" w:line="240" w:lineRule="auto"/>
        <w:ind w:firstLine="708"/>
        <w:jc w:val="both"/>
        <w:rPr>
          <w:rFonts w:ascii="Verdana" w:hAnsi="Verdana" w:cs="Arial"/>
          <w:sz w:val="16"/>
          <w:szCs w:val="16"/>
        </w:rPr>
      </w:pPr>
    </w:p>
  </w:footnote>
  <w:footnote w:id="17">
    <w:p w14:paraId="22A330C9" w14:textId="77777777" w:rsidR="001B3C5D" w:rsidRPr="00C964B1" w:rsidRDefault="001B3C5D" w:rsidP="00C964B1">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 De acuerdo con la Sentencia C–037 de 2000, si bien la Constitución Política no contiene disposición expresa que determine dicho orden, de su articulado puede deducirse su existencia, así no siempre resulte sencilla esta tarea. En efecto, diversas disposiciones superiores se refieren a la sujeción de cierto rango de normas frente a otras. Además de ser evidente que las normas constitucionales ocupan, sin discusión, el primer lugar dentro de la jerarquía del ordenamiento jurídico, dentro de la propia Carta, no todas las normas son igualmente prevalentes.</w:t>
      </w:r>
    </w:p>
    <w:p w14:paraId="69935633" w14:textId="77777777" w:rsidR="001B3C5D" w:rsidRPr="00C964B1" w:rsidRDefault="001B3C5D" w:rsidP="00C964B1">
      <w:pPr>
        <w:pStyle w:val="Textonotapie"/>
        <w:ind w:firstLine="708"/>
        <w:jc w:val="both"/>
        <w:rPr>
          <w:rFonts w:ascii="Verdana" w:hAnsi="Verdana" w:cs="Arial"/>
          <w:sz w:val="16"/>
          <w:szCs w:val="16"/>
        </w:rPr>
      </w:pPr>
    </w:p>
  </w:footnote>
  <w:footnote w:id="18">
    <w:p w14:paraId="545ED1CC" w14:textId="77777777" w:rsidR="001B3C5D" w:rsidRPr="00C964B1" w:rsidRDefault="001B3C5D" w:rsidP="00C964B1">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 Ver entre otras, las Sentencias de la Corte Constitucional C–162 de 2008; C–823 de 2011; C–810 de 2014. Consejo de Estado. Sección Segunda. Sentencia del 21 de octubre de 2010. Rad. 11001-03-25-000-2005-00125-00(5242-05). C.P. Alfonso Vargas Rincón; Consejo de Estado. Sección Tercera. Subsección B. Sentencia del 29 de abril de 2015. Rad. 11001-03-26-000-2004-00044-00(28615). C.P. Stella Conto Díaz del Castillo.</w:t>
      </w:r>
    </w:p>
    <w:p w14:paraId="54A34ED5" w14:textId="77777777" w:rsidR="001B3C5D" w:rsidRPr="00C964B1" w:rsidRDefault="001B3C5D" w:rsidP="00C964B1">
      <w:pPr>
        <w:pStyle w:val="Textonotapie"/>
        <w:ind w:firstLine="708"/>
        <w:jc w:val="both"/>
        <w:rPr>
          <w:rFonts w:ascii="Verdana" w:hAnsi="Verdana" w:cs="Arial"/>
          <w:sz w:val="16"/>
          <w:szCs w:val="16"/>
        </w:rPr>
      </w:pPr>
    </w:p>
  </w:footnote>
  <w:footnote w:id="19">
    <w:p w14:paraId="18142569" w14:textId="77777777" w:rsidR="001B3C5D" w:rsidRPr="00C964B1" w:rsidRDefault="001B3C5D" w:rsidP="00C964B1">
      <w:pPr>
        <w:pStyle w:val="Textonotapie"/>
        <w:ind w:firstLine="708"/>
        <w:jc w:val="both"/>
        <w:rPr>
          <w:rFonts w:ascii="Verdana" w:hAnsi="Verdana" w:cs="Arial"/>
          <w:sz w:val="16"/>
          <w:szCs w:val="16"/>
          <w:lang w:val="it-IT"/>
        </w:rPr>
      </w:pPr>
      <w:r w:rsidRPr="00C964B1">
        <w:rPr>
          <w:rStyle w:val="Refdenotaalpie"/>
          <w:rFonts w:ascii="Verdana" w:hAnsi="Verdana" w:cs="Arial"/>
          <w:sz w:val="16"/>
          <w:szCs w:val="16"/>
        </w:rPr>
        <w:footnoteRef/>
      </w:r>
      <w:r w:rsidRPr="00C964B1">
        <w:rPr>
          <w:rFonts w:ascii="Verdana" w:hAnsi="Verdana" w:cs="Arial"/>
          <w:sz w:val="16"/>
          <w:szCs w:val="16"/>
          <w:lang w:val="pt-BR"/>
        </w:rPr>
        <w:t xml:space="preserve"> Corte Constitucional, Sentencia C–1005 de 2008. </w:t>
      </w:r>
      <w:r w:rsidRPr="00C964B1">
        <w:rPr>
          <w:rFonts w:ascii="Verdana" w:hAnsi="Verdana" w:cs="Arial"/>
          <w:sz w:val="16"/>
          <w:szCs w:val="16"/>
          <w:lang w:val="it-IT"/>
        </w:rPr>
        <w:t xml:space="preserve">M.P.: Humberto Antonio Sierra Porto. </w:t>
      </w:r>
    </w:p>
    <w:p w14:paraId="57EBF36D" w14:textId="77777777" w:rsidR="001B3C5D" w:rsidRPr="00C964B1" w:rsidRDefault="001B3C5D" w:rsidP="00C964B1">
      <w:pPr>
        <w:pStyle w:val="Textonotapie"/>
        <w:ind w:firstLine="708"/>
        <w:jc w:val="both"/>
        <w:rPr>
          <w:rFonts w:ascii="Verdana" w:hAnsi="Verdana" w:cs="Arial"/>
          <w:sz w:val="16"/>
          <w:szCs w:val="16"/>
          <w:lang w:val="it-IT"/>
        </w:rPr>
      </w:pPr>
    </w:p>
  </w:footnote>
  <w:footnote w:id="20">
    <w:p w14:paraId="11E684FA" w14:textId="77777777" w:rsidR="001B3C5D" w:rsidRPr="00C964B1" w:rsidRDefault="001B3C5D" w:rsidP="00C964B1">
      <w:pPr>
        <w:pStyle w:val="Textonotapie"/>
        <w:ind w:firstLine="708"/>
        <w:jc w:val="both"/>
        <w:rPr>
          <w:rFonts w:ascii="Verdana" w:hAnsi="Verdana" w:cs="Arial"/>
          <w:sz w:val="16"/>
          <w:szCs w:val="16"/>
          <w:lang w:val="pt-BR"/>
        </w:rPr>
      </w:pPr>
      <w:r w:rsidRPr="00C964B1">
        <w:rPr>
          <w:rStyle w:val="Refdenotaalpie"/>
          <w:rFonts w:ascii="Verdana" w:hAnsi="Verdana" w:cs="Arial"/>
          <w:sz w:val="16"/>
          <w:szCs w:val="16"/>
        </w:rPr>
        <w:footnoteRef/>
      </w:r>
      <w:r w:rsidRPr="00C964B1">
        <w:rPr>
          <w:rFonts w:ascii="Verdana" w:hAnsi="Verdana" w:cs="Arial"/>
          <w:sz w:val="16"/>
          <w:szCs w:val="16"/>
          <w:lang w:val="pt-BR"/>
        </w:rPr>
        <w:t xml:space="preserve"> Consejo de Estado, Sala de lo Contencioso Administrativo, Sección Primera. Consejero ponente: Juan Alberto Polo Figueroa. Bogotá D.C., 24 de agosto de 2000. Radicación número 6096.</w:t>
      </w:r>
    </w:p>
    <w:p w14:paraId="53881F45" w14:textId="77777777" w:rsidR="001B3C5D" w:rsidRPr="00C964B1" w:rsidRDefault="001B3C5D" w:rsidP="00C964B1">
      <w:pPr>
        <w:pStyle w:val="Textonotapie"/>
        <w:ind w:firstLine="708"/>
        <w:jc w:val="both"/>
        <w:rPr>
          <w:rFonts w:ascii="Verdana" w:hAnsi="Verdana" w:cs="Arial"/>
          <w:sz w:val="16"/>
          <w:szCs w:val="16"/>
          <w:lang w:val="pt-BR"/>
        </w:rPr>
      </w:pPr>
    </w:p>
  </w:footnote>
  <w:footnote w:id="21">
    <w:p w14:paraId="2824799A" w14:textId="77777777" w:rsidR="001B3C5D" w:rsidRPr="00C964B1" w:rsidRDefault="001B3C5D" w:rsidP="00C964B1">
      <w:pPr>
        <w:pStyle w:val="Textonotapie"/>
        <w:ind w:firstLine="708"/>
        <w:jc w:val="both"/>
        <w:rPr>
          <w:rFonts w:ascii="Verdana" w:hAnsi="Verdana"/>
          <w:sz w:val="16"/>
          <w:szCs w:val="16"/>
          <w:lang w:val="pt-BR"/>
        </w:rPr>
      </w:pPr>
      <w:r w:rsidRPr="00C964B1">
        <w:rPr>
          <w:rStyle w:val="Refdenotaalpie"/>
          <w:rFonts w:ascii="Verdana" w:hAnsi="Verdana"/>
          <w:sz w:val="16"/>
          <w:szCs w:val="16"/>
        </w:rPr>
        <w:footnoteRef/>
      </w:r>
      <w:r w:rsidRPr="00C964B1">
        <w:rPr>
          <w:rFonts w:ascii="Verdana" w:hAnsi="Verdana"/>
          <w:sz w:val="16"/>
          <w:szCs w:val="16"/>
          <w:lang w:val="pt-BR"/>
        </w:rPr>
        <w:t xml:space="preserve"> Ibidem </w:t>
      </w:r>
    </w:p>
    <w:p w14:paraId="1A59D320" w14:textId="77777777" w:rsidR="001B3C5D" w:rsidRPr="00C964B1" w:rsidRDefault="001B3C5D" w:rsidP="00C964B1">
      <w:pPr>
        <w:pStyle w:val="Textonotapie"/>
        <w:ind w:firstLine="708"/>
        <w:jc w:val="both"/>
        <w:rPr>
          <w:rFonts w:ascii="Verdana" w:hAnsi="Verdana"/>
          <w:sz w:val="16"/>
          <w:szCs w:val="16"/>
          <w:lang w:val="pt-BR"/>
        </w:rPr>
      </w:pPr>
    </w:p>
  </w:footnote>
  <w:footnote w:id="22">
    <w:p w14:paraId="030545B9" w14:textId="77777777" w:rsidR="001B3C5D" w:rsidRPr="00C964B1" w:rsidRDefault="001B3C5D" w:rsidP="00C964B1">
      <w:pPr>
        <w:pStyle w:val="Textonotapie"/>
        <w:ind w:firstLine="708"/>
        <w:jc w:val="both"/>
        <w:rPr>
          <w:rFonts w:ascii="Verdana" w:hAnsi="Verdana"/>
          <w:color w:val="333333"/>
          <w:sz w:val="16"/>
          <w:szCs w:val="16"/>
          <w:shd w:val="clear" w:color="auto" w:fill="FFFFFF"/>
          <w:lang w:val="pt-BR"/>
        </w:rPr>
      </w:pPr>
      <w:r w:rsidRPr="00C964B1">
        <w:rPr>
          <w:rStyle w:val="Refdenotaalpie"/>
          <w:rFonts w:ascii="Verdana" w:hAnsi="Verdana"/>
          <w:sz w:val="16"/>
          <w:szCs w:val="16"/>
        </w:rPr>
        <w:footnoteRef/>
      </w:r>
      <w:r w:rsidRPr="00C964B1">
        <w:rPr>
          <w:rFonts w:ascii="Verdana" w:hAnsi="Verdana"/>
          <w:sz w:val="16"/>
          <w:szCs w:val="16"/>
          <w:lang w:val="pt-BR"/>
        </w:rPr>
        <w:t xml:space="preserve"> </w:t>
      </w:r>
      <w:r w:rsidRPr="00C964B1">
        <w:rPr>
          <w:rFonts w:ascii="Verdana" w:hAnsi="Verdana" w:cs="Arial"/>
          <w:sz w:val="16"/>
          <w:szCs w:val="16"/>
          <w:lang w:val="pt-BR"/>
        </w:rPr>
        <w:t xml:space="preserve">Corte Constitucional, Sentencia </w:t>
      </w:r>
      <w:r w:rsidRPr="00C964B1">
        <w:rPr>
          <w:rFonts w:ascii="Verdana" w:eastAsia="Times New Roman" w:hAnsi="Verdana" w:cs="Arial"/>
          <w:sz w:val="16"/>
          <w:szCs w:val="16"/>
          <w:lang w:val="pt-BR" w:eastAsia="es-MX"/>
        </w:rPr>
        <w:t>C-917 de 2002</w:t>
      </w:r>
      <w:r w:rsidRPr="00C964B1">
        <w:rPr>
          <w:rFonts w:ascii="Verdana" w:hAnsi="Verdana" w:cs="Arial"/>
          <w:sz w:val="16"/>
          <w:szCs w:val="16"/>
          <w:lang w:val="pt-BR"/>
        </w:rPr>
        <w:t xml:space="preserve">. M.P.: </w:t>
      </w:r>
      <w:r w:rsidRPr="00C964B1">
        <w:rPr>
          <w:rFonts w:ascii="Verdana" w:hAnsi="Verdana"/>
          <w:color w:val="333333"/>
          <w:sz w:val="16"/>
          <w:szCs w:val="16"/>
          <w:shd w:val="clear" w:color="auto" w:fill="FFFFFF"/>
          <w:lang w:val="pt-BR"/>
        </w:rPr>
        <w:t>Marco Gerardo Monroy Cabra.</w:t>
      </w:r>
    </w:p>
    <w:p w14:paraId="7C508E8A" w14:textId="77777777" w:rsidR="001B3C5D" w:rsidRPr="00C964B1" w:rsidRDefault="001B3C5D" w:rsidP="00C964B1">
      <w:pPr>
        <w:pStyle w:val="Textonotapie"/>
        <w:ind w:firstLine="708"/>
        <w:jc w:val="both"/>
        <w:rPr>
          <w:rFonts w:ascii="Verdana" w:hAnsi="Verdana"/>
          <w:sz w:val="16"/>
          <w:szCs w:val="16"/>
          <w:lang w:val="pt-BR"/>
        </w:rPr>
      </w:pPr>
    </w:p>
  </w:footnote>
  <w:footnote w:id="23">
    <w:p w14:paraId="39793727" w14:textId="77777777" w:rsidR="001B3C5D" w:rsidRPr="00C964B1" w:rsidRDefault="001B3C5D" w:rsidP="00C964B1">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 Artículo 1º del Decreto Ley 4170 de 2011.</w:t>
      </w:r>
    </w:p>
    <w:p w14:paraId="32D2C8AF" w14:textId="77777777" w:rsidR="00AD58FD" w:rsidRPr="00C964B1" w:rsidRDefault="00AD58FD" w:rsidP="00C964B1">
      <w:pPr>
        <w:pStyle w:val="Textonotapie"/>
        <w:ind w:firstLine="708"/>
        <w:jc w:val="both"/>
        <w:rPr>
          <w:rFonts w:ascii="Verdana" w:hAnsi="Verdana" w:cs="Arial"/>
          <w:sz w:val="16"/>
          <w:szCs w:val="16"/>
        </w:rPr>
      </w:pPr>
    </w:p>
  </w:footnote>
  <w:footnote w:id="24">
    <w:p w14:paraId="7A4596AD" w14:textId="77777777" w:rsidR="001B3C5D" w:rsidRPr="00C964B1" w:rsidRDefault="001B3C5D" w:rsidP="00C964B1">
      <w:pPr>
        <w:pStyle w:val="Textonotapie"/>
        <w:ind w:firstLine="708"/>
        <w:jc w:val="both"/>
        <w:rPr>
          <w:rFonts w:ascii="Verdana" w:hAnsi="Verdana" w:cs="Arial"/>
          <w:sz w:val="16"/>
          <w:szCs w:val="16"/>
        </w:rPr>
      </w:pPr>
      <w:r w:rsidRPr="00C964B1">
        <w:rPr>
          <w:rStyle w:val="Refdenotaalpie"/>
          <w:rFonts w:ascii="Verdana" w:hAnsi="Verdana"/>
          <w:sz w:val="16"/>
          <w:szCs w:val="16"/>
        </w:rPr>
        <w:footnoteRef/>
      </w:r>
      <w:r w:rsidRPr="00C964B1">
        <w:rPr>
          <w:rFonts w:ascii="Verdana" w:hAnsi="Verdana"/>
          <w:sz w:val="16"/>
          <w:szCs w:val="16"/>
        </w:rPr>
        <w:t xml:space="preserve"> </w:t>
      </w:r>
      <w:r w:rsidRPr="00C964B1">
        <w:rPr>
          <w:rFonts w:ascii="Verdana" w:hAnsi="Verdana" w:cs="Arial"/>
          <w:sz w:val="16"/>
          <w:szCs w:val="16"/>
        </w:rPr>
        <w:t>Ver el Artículo 11 numeral 12 del Decreto Ley 4170 de 2011.</w:t>
      </w:r>
    </w:p>
    <w:p w14:paraId="5AB25DF0" w14:textId="77777777" w:rsidR="001B3C5D" w:rsidRPr="00C964B1" w:rsidRDefault="001B3C5D" w:rsidP="00C964B1">
      <w:pPr>
        <w:pStyle w:val="Textonotapie"/>
        <w:ind w:firstLine="708"/>
        <w:jc w:val="both"/>
        <w:rPr>
          <w:rFonts w:ascii="Verdana" w:hAnsi="Verdana"/>
          <w:sz w:val="16"/>
          <w:szCs w:val="16"/>
        </w:rPr>
      </w:pPr>
    </w:p>
  </w:footnote>
  <w:footnote w:id="25">
    <w:p w14:paraId="07CA9A08" w14:textId="77777777" w:rsidR="001B3C5D" w:rsidRPr="00C964B1" w:rsidRDefault="001B3C5D" w:rsidP="00C964B1">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Style w:val="Refdenotaalpie"/>
          <w:rFonts w:ascii="Verdana" w:hAnsi="Verdana" w:cs="Arial"/>
          <w:sz w:val="16"/>
          <w:szCs w:val="16"/>
        </w:rPr>
        <w:t xml:space="preserve"> </w:t>
      </w:r>
      <w:r w:rsidRPr="00C964B1">
        <w:rPr>
          <w:rFonts w:ascii="Verdana" w:hAnsi="Verdana" w:cs="Arial"/>
          <w:sz w:val="16"/>
          <w:szCs w:val="16"/>
        </w:rPr>
        <w:t>Consejo de Estado. Sección Tercera. Auto del 14 de agosto de 2017. Rad. 58820.</w:t>
      </w:r>
    </w:p>
    <w:p w14:paraId="2C5666E4" w14:textId="77777777" w:rsidR="00156D43" w:rsidRPr="00C964B1" w:rsidRDefault="00156D43" w:rsidP="00C964B1">
      <w:pPr>
        <w:pStyle w:val="Textonotapie"/>
        <w:ind w:firstLine="708"/>
        <w:jc w:val="both"/>
        <w:rPr>
          <w:rFonts w:ascii="Verdana" w:hAnsi="Verdana" w:cs="Arial"/>
          <w:sz w:val="16"/>
          <w:szCs w:val="16"/>
        </w:rPr>
      </w:pPr>
    </w:p>
  </w:footnote>
  <w:footnote w:id="26">
    <w:p w14:paraId="0283D038" w14:textId="77777777" w:rsidR="001B3C5D" w:rsidRPr="00C964B1" w:rsidRDefault="001B3C5D" w:rsidP="00C964B1">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Consejo de Estado. Sección Tercera. Sentencia del 16 de agosto de 2017. Rad. 56166.</w:t>
      </w:r>
    </w:p>
    <w:p w14:paraId="15D7A75F" w14:textId="77777777" w:rsidR="001B3C5D" w:rsidRPr="00C964B1" w:rsidRDefault="001B3C5D" w:rsidP="00C964B1">
      <w:pPr>
        <w:pStyle w:val="Textonotapie"/>
        <w:ind w:firstLine="708"/>
        <w:jc w:val="both"/>
        <w:rPr>
          <w:rFonts w:ascii="Verdana" w:hAnsi="Verdana"/>
          <w:sz w:val="16"/>
          <w:szCs w:val="16"/>
        </w:rPr>
      </w:pPr>
    </w:p>
  </w:footnote>
  <w:footnote w:id="27">
    <w:p w14:paraId="0D3CB5BE" w14:textId="77777777" w:rsidR="001B3C5D" w:rsidRPr="00C964B1" w:rsidRDefault="001B3C5D" w:rsidP="00C964B1">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Fonts w:ascii="Verdana" w:hAnsi="Verdana" w:cs="Arial"/>
          <w:sz w:val="16"/>
          <w:szCs w:val="16"/>
        </w:rPr>
        <w:t xml:space="preserve">Ibídem. </w:t>
      </w:r>
    </w:p>
    <w:p w14:paraId="6D14F66A" w14:textId="77777777" w:rsidR="001B3C5D" w:rsidRPr="00C964B1" w:rsidRDefault="001B3C5D" w:rsidP="00C964B1">
      <w:pPr>
        <w:pStyle w:val="Textonotapie"/>
        <w:ind w:firstLine="708"/>
        <w:jc w:val="both"/>
        <w:rPr>
          <w:rFonts w:ascii="Verdana" w:hAnsi="Verdana" w:cs="Arial"/>
          <w:sz w:val="16"/>
          <w:szCs w:val="16"/>
        </w:rPr>
      </w:pPr>
    </w:p>
  </w:footnote>
  <w:footnote w:id="28">
    <w:p w14:paraId="583E29C8" w14:textId="77777777" w:rsidR="001B3C5D" w:rsidRDefault="001B3C5D" w:rsidP="00C964B1">
      <w:pPr>
        <w:pStyle w:val="Textonotapie"/>
        <w:ind w:firstLine="708"/>
        <w:jc w:val="both"/>
        <w:rPr>
          <w:rFonts w:ascii="Verdana" w:hAnsi="Verdana" w:cs="Arial"/>
          <w:sz w:val="16"/>
          <w:szCs w:val="16"/>
        </w:rPr>
      </w:pPr>
      <w:r w:rsidRPr="00C964B1">
        <w:rPr>
          <w:rStyle w:val="Refdenotaalpie"/>
          <w:rFonts w:ascii="Verdana" w:hAnsi="Verdana" w:cs="Arial"/>
          <w:sz w:val="16"/>
          <w:szCs w:val="16"/>
        </w:rPr>
        <w:footnoteRef/>
      </w:r>
      <w:r w:rsidRPr="00C964B1">
        <w:rPr>
          <w:rStyle w:val="Refdenotaalpie"/>
          <w:rFonts w:ascii="Verdana" w:hAnsi="Verdana" w:cs="Arial"/>
          <w:sz w:val="16"/>
          <w:szCs w:val="16"/>
        </w:rPr>
        <w:t xml:space="preserve"> </w:t>
      </w:r>
      <w:r w:rsidRPr="00C964B1">
        <w:rPr>
          <w:rFonts w:ascii="Verdana" w:hAnsi="Verdana" w:cs="Arial"/>
          <w:sz w:val="16"/>
          <w:szCs w:val="16"/>
        </w:rPr>
        <w:t>Consejo de Estado. Sección Tercera. Sentencia de 11 de abril de 2019. Rad. 52.055.</w:t>
      </w:r>
    </w:p>
    <w:p w14:paraId="524CE109" w14:textId="77777777" w:rsidR="00830610" w:rsidRPr="00C964B1" w:rsidRDefault="00830610" w:rsidP="00C964B1">
      <w:pPr>
        <w:pStyle w:val="Textonotapie"/>
        <w:ind w:firstLine="708"/>
        <w:jc w:val="both"/>
        <w:rPr>
          <w:rFonts w:ascii="Verdana" w:hAnsi="Verdana" w:cs="Arial"/>
          <w:sz w:val="16"/>
          <w:szCs w:val="16"/>
        </w:rPr>
      </w:pPr>
    </w:p>
  </w:footnote>
  <w:footnote w:id="29">
    <w:p w14:paraId="63D5BF70" w14:textId="77777777" w:rsidR="001B3C5D" w:rsidRPr="00C964B1" w:rsidRDefault="001B3C5D" w:rsidP="00C964B1">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Ibidem.</w:t>
      </w:r>
    </w:p>
  </w:footnote>
  <w:footnote w:id="30">
    <w:p w14:paraId="1A1E071A" w14:textId="77777777" w:rsidR="001B3C5D" w:rsidRPr="00C964B1" w:rsidRDefault="001B3C5D" w:rsidP="00C964B1">
      <w:pPr>
        <w:pStyle w:val="Textonotapie"/>
        <w:ind w:firstLine="709"/>
        <w:jc w:val="both"/>
        <w:rPr>
          <w:rFonts w:ascii="Verdana" w:hAnsi="Verdana" w:cs="Arial"/>
          <w:color w:val="000000"/>
          <w:sz w:val="16"/>
          <w:szCs w:val="16"/>
        </w:rPr>
      </w:pPr>
    </w:p>
    <w:p w14:paraId="0D033B01" w14:textId="77777777" w:rsidR="001B3C5D" w:rsidRPr="00C964B1" w:rsidRDefault="001B3C5D" w:rsidP="00C964B1">
      <w:pPr>
        <w:pStyle w:val="Textonotapie"/>
        <w:ind w:firstLine="709"/>
        <w:jc w:val="both"/>
        <w:rPr>
          <w:rFonts w:ascii="Verdana" w:hAnsi="Verdana" w:cs="Arial"/>
          <w:color w:val="000000"/>
          <w:sz w:val="16"/>
          <w:szCs w:val="16"/>
          <w:lang w:val="es-ES"/>
        </w:rPr>
      </w:pPr>
      <w:r w:rsidRPr="00C964B1">
        <w:rPr>
          <w:rStyle w:val="Refdenotaalpie"/>
          <w:rFonts w:ascii="Verdana" w:hAnsi="Verdana" w:cs="Arial"/>
          <w:color w:val="000000"/>
          <w:sz w:val="16"/>
          <w:szCs w:val="16"/>
        </w:rPr>
        <w:footnoteRef/>
      </w:r>
      <w:r w:rsidRPr="00C964B1">
        <w:rPr>
          <w:rFonts w:ascii="Verdana" w:hAnsi="Verdana" w:cs="Arial"/>
          <w:color w:val="000000"/>
          <w:sz w:val="16"/>
          <w:szCs w:val="16"/>
        </w:rPr>
        <w:t xml:space="preserve"> </w:t>
      </w:r>
      <w:r w:rsidRPr="00C964B1">
        <w:rPr>
          <w:rFonts w:ascii="Verdana" w:hAnsi="Verdana" w:cs="Arial"/>
          <w:color w:val="000000"/>
          <w:sz w:val="16"/>
          <w:szCs w:val="16"/>
          <w:lang w:val="es-ES"/>
        </w:rPr>
        <w:t>En cuanto a las resoluciones vigentes, dicha regla se observa en el artículo 3 de las Resoluciones</w:t>
      </w:r>
      <w:bookmarkStart w:id="2" w:name="_Hlk82363077"/>
      <w:r w:rsidRPr="00C964B1">
        <w:rPr>
          <w:rFonts w:ascii="Verdana" w:hAnsi="Verdana" w:cs="Arial"/>
          <w:color w:val="000000"/>
          <w:sz w:val="16"/>
          <w:szCs w:val="16"/>
          <w:lang w:val="es-ES"/>
        </w:rPr>
        <w:t xml:space="preserve"> 248 de 2020, 249 de 2020, 269 de 2020, 219 de 2021, 220 de 2021, 392 de 2021, 454 de 2021, 333 de 2022, 358 de 2023, 798 de 2023, 456 de 2024, 463 de 2024, 464 de 2024, 725 de 2024, 726 de 2024, entre otras</w:t>
      </w:r>
      <w:bookmarkEnd w:id="2"/>
      <w:r w:rsidRPr="00C964B1">
        <w:rPr>
          <w:rFonts w:ascii="Verdana" w:hAnsi="Verdana" w:cs="Arial"/>
          <w:color w:val="000000"/>
          <w:sz w:val="16"/>
          <w:szCs w:val="16"/>
          <w:lang w:val="es-ES"/>
        </w:rPr>
        <w:t xml:space="preserve">. </w:t>
      </w:r>
    </w:p>
    <w:p w14:paraId="4FFB3E93" w14:textId="77777777" w:rsidR="001B3C5D" w:rsidRPr="00C964B1" w:rsidRDefault="001B3C5D" w:rsidP="00C964B1">
      <w:pPr>
        <w:pStyle w:val="Textonotapie"/>
        <w:ind w:firstLine="709"/>
        <w:jc w:val="both"/>
        <w:rPr>
          <w:rFonts w:ascii="Verdana" w:hAnsi="Verdana" w:cs="Arial"/>
          <w:color w:val="000000"/>
          <w:sz w:val="16"/>
          <w:szCs w:val="16"/>
          <w:lang w:val="es-ES"/>
        </w:rPr>
      </w:pPr>
    </w:p>
  </w:footnote>
  <w:footnote w:id="31">
    <w:p w14:paraId="749C637E" w14:textId="77777777" w:rsidR="001B3C5D" w:rsidRPr="00C964B1" w:rsidRDefault="001B3C5D" w:rsidP="00C964B1">
      <w:pPr>
        <w:pStyle w:val="Textonotapie"/>
        <w:ind w:firstLine="708"/>
        <w:jc w:val="both"/>
        <w:rPr>
          <w:rFonts w:ascii="Verdana" w:hAnsi="Verdana" w:cs="Arial"/>
          <w:color w:val="000000"/>
          <w:sz w:val="16"/>
          <w:szCs w:val="16"/>
        </w:rPr>
      </w:pPr>
      <w:r w:rsidRPr="00C964B1">
        <w:rPr>
          <w:rStyle w:val="Refdenotaalpie"/>
          <w:rFonts w:ascii="Verdana" w:hAnsi="Verdana" w:cs="Arial"/>
          <w:color w:val="000000"/>
          <w:sz w:val="16"/>
          <w:szCs w:val="16"/>
        </w:rPr>
        <w:footnoteRef/>
      </w:r>
      <w:r w:rsidRPr="00C964B1">
        <w:rPr>
          <w:rFonts w:ascii="Verdana" w:hAnsi="Verdana" w:cs="Arial"/>
          <w:color w:val="000000"/>
          <w:sz w:val="16"/>
          <w:szCs w:val="16"/>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2EA1CDAA" w14:textId="77777777" w:rsidR="001B3C5D" w:rsidRPr="00C964B1" w:rsidRDefault="001B3C5D" w:rsidP="00C964B1">
      <w:pPr>
        <w:pStyle w:val="Textonotapie"/>
        <w:ind w:firstLine="708"/>
        <w:jc w:val="both"/>
        <w:rPr>
          <w:rFonts w:ascii="Verdana" w:hAnsi="Verdana" w:cs="Arial"/>
          <w:color w:val="000000"/>
          <w:sz w:val="16"/>
          <w:szCs w:val="16"/>
        </w:rPr>
      </w:pPr>
    </w:p>
  </w:footnote>
  <w:footnote w:id="32">
    <w:p w14:paraId="105BB406" w14:textId="77777777" w:rsidR="001B3C5D" w:rsidRPr="00C964B1" w:rsidRDefault="001B3C5D" w:rsidP="00C964B1">
      <w:pPr>
        <w:pStyle w:val="Textonotapie"/>
        <w:ind w:firstLine="709"/>
        <w:jc w:val="both"/>
        <w:rPr>
          <w:rFonts w:ascii="Verdana" w:hAnsi="Verdana" w:cs="Arial"/>
          <w:color w:val="000000"/>
          <w:sz w:val="16"/>
          <w:szCs w:val="16"/>
        </w:rPr>
      </w:pPr>
      <w:r w:rsidRPr="00C964B1">
        <w:rPr>
          <w:rStyle w:val="Refdenotaalpie"/>
          <w:rFonts w:ascii="Verdana" w:hAnsi="Verdana" w:cs="Arial"/>
          <w:color w:val="000000"/>
          <w:sz w:val="16"/>
          <w:szCs w:val="16"/>
        </w:rPr>
        <w:footnoteRef/>
      </w:r>
      <w:r w:rsidRPr="00C964B1">
        <w:rPr>
          <w:rFonts w:ascii="Verdana" w:hAnsi="Verdana" w:cs="Arial"/>
          <w:color w:val="000000"/>
          <w:sz w:val="16"/>
          <w:szCs w:val="16"/>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91605AD" w14:textId="77777777" w:rsidR="001B3C5D" w:rsidRPr="00C964B1" w:rsidRDefault="001B3C5D" w:rsidP="00C964B1">
      <w:pPr>
        <w:pStyle w:val="Textonotapie"/>
        <w:ind w:firstLine="709"/>
        <w:jc w:val="both"/>
        <w:rPr>
          <w:rFonts w:ascii="Verdana" w:hAnsi="Verdana" w:cs="Arial"/>
          <w:color w:val="000000"/>
          <w:sz w:val="16"/>
          <w:szCs w:val="16"/>
        </w:rPr>
      </w:pPr>
    </w:p>
  </w:footnote>
  <w:footnote w:id="33">
    <w:p w14:paraId="4CE479DD" w14:textId="77777777" w:rsidR="001B3C5D" w:rsidRPr="00C964B1" w:rsidRDefault="001B3C5D" w:rsidP="00C964B1">
      <w:pPr>
        <w:spacing w:after="0" w:line="240" w:lineRule="auto"/>
        <w:ind w:firstLine="709"/>
        <w:jc w:val="both"/>
        <w:rPr>
          <w:rFonts w:ascii="Verdana" w:hAnsi="Verdana" w:cs="Arial"/>
          <w:color w:val="000000"/>
          <w:sz w:val="16"/>
          <w:szCs w:val="16"/>
          <w:lang w:val="es-ES"/>
        </w:rPr>
      </w:pPr>
      <w:r w:rsidRPr="00C964B1">
        <w:rPr>
          <w:rStyle w:val="Refdenotaalpie"/>
          <w:rFonts w:ascii="Verdana" w:hAnsi="Verdana" w:cs="Arial"/>
          <w:color w:val="000000"/>
          <w:sz w:val="16"/>
          <w:szCs w:val="16"/>
        </w:rPr>
        <w:footnoteRef/>
      </w:r>
      <w:r w:rsidRPr="00C964B1">
        <w:rPr>
          <w:rFonts w:ascii="Verdana" w:hAnsi="Verdana" w:cs="Arial"/>
          <w:color w:val="000000"/>
          <w:sz w:val="16"/>
          <w:szCs w:val="16"/>
        </w:rPr>
        <w:t xml:space="preserve"> </w:t>
      </w:r>
      <w:r w:rsidRPr="00C964B1">
        <w:rPr>
          <w:rFonts w:ascii="Verdana" w:hAnsi="Verdana" w:cs="Arial"/>
          <w:color w:val="000000"/>
          <w:sz w:val="16"/>
          <w:szCs w:val="16"/>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12B80D9A" w14:textId="77777777" w:rsidR="00E84709" w:rsidRPr="00C964B1" w:rsidRDefault="00E84709" w:rsidP="00C964B1">
      <w:pPr>
        <w:spacing w:after="0" w:line="240" w:lineRule="auto"/>
        <w:ind w:firstLine="709"/>
        <w:jc w:val="both"/>
        <w:rPr>
          <w:rFonts w:ascii="Verdana" w:hAnsi="Verdana" w:cs="Arial"/>
          <w:color w:val="000000"/>
          <w:sz w:val="16"/>
          <w:szCs w:val="16"/>
          <w:lang w:val="es-ES"/>
        </w:rPr>
      </w:pPr>
    </w:p>
  </w:footnote>
  <w:footnote w:id="34">
    <w:p w14:paraId="74240014" w14:textId="77777777" w:rsidR="001B3C5D" w:rsidRPr="00C964B1" w:rsidRDefault="001B3C5D" w:rsidP="00C964B1">
      <w:pPr>
        <w:pStyle w:val="Textonotapie"/>
        <w:ind w:firstLine="708"/>
        <w:jc w:val="both"/>
        <w:rPr>
          <w:rFonts w:ascii="Verdana" w:hAnsi="Verdana" w:cs="Arial"/>
          <w:sz w:val="16"/>
          <w:szCs w:val="16"/>
          <w:lang w:val="es-ES"/>
        </w:rPr>
      </w:pPr>
      <w:r w:rsidRPr="00C964B1">
        <w:rPr>
          <w:rStyle w:val="Refdenotaalpie"/>
          <w:rFonts w:ascii="Verdana" w:hAnsi="Verdana" w:cs="Arial"/>
          <w:sz w:val="16"/>
          <w:szCs w:val="16"/>
        </w:rPr>
        <w:footnoteRef/>
      </w:r>
      <w:r w:rsidRPr="00C964B1">
        <w:rPr>
          <w:rFonts w:ascii="Verdana" w:hAnsi="Verdana" w:cs="Arial"/>
          <w:sz w:val="16"/>
          <w:szCs w:val="16"/>
        </w:rPr>
        <w:t xml:space="preserve"> Diccionario de la Real Academia Española, versión online disponible en: </w:t>
      </w:r>
      <w:hyperlink r:id="rId3" w:history="1">
        <w:r w:rsidRPr="00C964B1">
          <w:rPr>
            <w:rStyle w:val="Hipervnculo"/>
            <w:rFonts w:ascii="Verdana" w:hAnsi="Verdana" w:cs="Arial"/>
            <w:sz w:val="16"/>
            <w:szCs w:val="16"/>
          </w:rPr>
          <w:t>https://dle.rae.es/est%C3%A1ndar</w:t>
        </w:r>
      </w:hyperlink>
      <w:r w:rsidRPr="00C964B1">
        <w:rPr>
          <w:rFonts w:ascii="Verdana" w:hAnsi="Verdana" w:cs="Arial"/>
          <w:sz w:val="16"/>
          <w:szCs w:val="16"/>
        </w:rPr>
        <w:t xml:space="preserve">, consultado el 2 de junio de 2020. </w:t>
      </w:r>
    </w:p>
  </w:footnote>
  <w:footnote w:id="35">
    <w:p w14:paraId="2423F594" w14:textId="77777777" w:rsidR="001B3C5D" w:rsidRPr="00C964B1" w:rsidRDefault="001B3C5D" w:rsidP="00C964B1">
      <w:pPr>
        <w:spacing w:after="0" w:line="240" w:lineRule="auto"/>
        <w:ind w:firstLine="708"/>
        <w:jc w:val="both"/>
        <w:rPr>
          <w:rFonts w:ascii="Verdana" w:hAnsi="Verdana" w:cs="Arial"/>
          <w:color w:val="000000"/>
          <w:sz w:val="16"/>
          <w:szCs w:val="16"/>
        </w:rPr>
      </w:pPr>
      <w:r w:rsidRPr="00C964B1">
        <w:rPr>
          <w:rStyle w:val="Refdenotaalpie"/>
          <w:rFonts w:ascii="Verdana" w:hAnsi="Verdana" w:cs="Arial"/>
          <w:color w:val="000000"/>
          <w:sz w:val="16"/>
          <w:szCs w:val="16"/>
        </w:rPr>
        <w:footnoteRef/>
      </w:r>
      <w:r w:rsidRPr="00C964B1">
        <w:rPr>
          <w:rFonts w:ascii="Verdana" w:hAnsi="Verdana" w:cs="Arial"/>
          <w:color w:val="000000"/>
          <w:sz w:val="16"/>
          <w:szCs w:val="16"/>
        </w:rPr>
        <w:t xml:space="preserve"> Cita tomada de la providencia del 20 de febrero de 2020, dictada por el Consejo de Estado. Sección Tercera. Subsección A, dentro del expediente 47001-23-33-000-2018-00035-01 (63.854), cuya ponente fue Marta Nubia Velásquez Rico.</w:t>
      </w:r>
    </w:p>
    <w:p w14:paraId="1291016A" w14:textId="77777777" w:rsidR="001B3C5D" w:rsidRPr="00C964B1" w:rsidRDefault="001B3C5D" w:rsidP="00C964B1">
      <w:pPr>
        <w:spacing w:after="0" w:line="240" w:lineRule="auto"/>
        <w:ind w:firstLine="708"/>
        <w:jc w:val="both"/>
        <w:rPr>
          <w:rFonts w:ascii="Verdana" w:hAnsi="Verdana" w:cs="Arial"/>
          <w:color w:val="000000"/>
          <w:sz w:val="16"/>
          <w:szCs w:val="16"/>
        </w:rPr>
      </w:pPr>
    </w:p>
  </w:footnote>
  <w:footnote w:id="36">
    <w:p w14:paraId="5FF00065" w14:textId="77777777" w:rsidR="001B3C5D" w:rsidRPr="00C964B1" w:rsidRDefault="001B3C5D" w:rsidP="00C964B1">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Por el cual se modifican los artículos 2.2.1.2.4.2.6.,2.2.1.2.4.2.7. Y 2.2.1.2.4.2.8. del Decreto 1082 de 2015, Único Reglamentario del Sector Administrativo de Planeación".</w:t>
      </w:r>
    </w:p>
    <w:p w14:paraId="154C0813" w14:textId="77777777" w:rsidR="001B3C5D" w:rsidRPr="00C964B1" w:rsidRDefault="001B3C5D" w:rsidP="00C964B1">
      <w:pPr>
        <w:pStyle w:val="Textonotapie"/>
        <w:ind w:firstLine="708"/>
        <w:jc w:val="both"/>
        <w:rPr>
          <w:rFonts w:ascii="Verdana" w:hAnsi="Verdana"/>
          <w:sz w:val="16"/>
          <w:szCs w:val="16"/>
          <w:lang w:val="es-ES_tradnl"/>
        </w:rPr>
      </w:pPr>
    </w:p>
  </w:footnote>
  <w:footnote w:id="37">
    <w:p w14:paraId="20DE6B2A" w14:textId="77777777" w:rsidR="001B3C5D" w:rsidRPr="00C964B1" w:rsidRDefault="001B3C5D" w:rsidP="00C964B1">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Consejo de Estado, Sección Quinta, del 12 de diciembre de 2024 (Rad. 05001-23-33-000-2024-00847-01, M.P. Omar Joaquín Barreto Suárez)</w:t>
      </w:r>
    </w:p>
    <w:p w14:paraId="0FC1EED2" w14:textId="77777777" w:rsidR="001B3C5D" w:rsidRPr="00C964B1" w:rsidRDefault="001B3C5D" w:rsidP="00C964B1">
      <w:pPr>
        <w:pStyle w:val="Textonotapie"/>
        <w:ind w:firstLine="708"/>
        <w:jc w:val="both"/>
        <w:rPr>
          <w:rFonts w:ascii="Verdana" w:hAnsi="Verdana"/>
          <w:sz w:val="16"/>
          <w:szCs w:val="16"/>
          <w:lang w:val="es-ES_tradnl"/>
        </w:rPr>
      </w:pPr>
    </w:p>
  </w:footnote>
  <w:footnote w:id="38">
    <w:p w14:paraId="1DF3A97C" w14:textId="77777777" w:rsidR="001B3C5D" w:rsidRPr="00C964B1" w:rsidRDefault="001B3C5D" w:rsidP="00C964B1">
      <w:pPr>
        <w:pStyle w:val="Textonotapie"/>
        <w:ind w:firstLine="708"/>
        <w:jc w:val="both"/>
        <w:rPr>
          <w:rFonts w:ascii="Verdana" w:hAnsi="Verdana"/>
          <w:sz w:val="16"/>
          <w:szCs w:val="16"/>
          <w:lang w:val="es-ES_tradnl"/>
        </w:rPr>
      </w:pPr>
      <w:r w:rsidRPr="00C964B1">
        <w:rPr>
          <w:rStyle w:val="Refdenotaalpie"/>
          <w:rFonts w:ascii="Verdana" w:hAnsi="Verdana"/>
          <w:sz w:val="16"/>
          <w:szCs w:val="16"/>
        </w:rPr>
        <w:footnoteRef/>
      </w:r>
      <w:r w:rsidRPr="00C964B1">
        <w:rPr>
          <w:rFonts w:ascii="Verdana" w:hAnsi="Verdana"/>
          <w:sz w:val="16"/>
          <w:szCs w:val="16"/>
        </w:rPr>
        <w:t xml:space="preserve"> "Por el cual se reglamentan los numerales 1 y 8 del artículo 13 de la Ley 1618 de 2013, sobre incentivos en Procesos de Contratación en favor de personas con discapacidad”. </w:t>
      </w:r>
    </w:p>
  </w:footnote>
  <w:footnote w:id="39">
    <w:p w14:paraId="27B9C08E" w14:textId="77777777" w:rsidR="001B3C5D" w:rsidRPr="00C964B1" w:rsidRDefault="001B3C5D" w:rsidP="00C964B1">
      <w:pPr>
        <w:pStyle w:val="Textonotapie"/>
        <w:ind w:firstLine="708"/>
        <w:jc w:val="both"/>
        <w:rPr>
          <w:rFonts w:ascii="Verdana" w:hAnsi="Verdana"/>
          <w:sz w:val="16"/>
          <w:szCs w:val="16"/>
          <w:lang w:val="es-ES_tradnl"/>
        </w:rPr>
      </w:pPr>
      <w:r w:rsidRPr="00C964B1">
        <w:rPr>
          <w:rStyle w:val="Refdenotaalpie"/>
          <w:rFonts w:ascii="Verdana" w:hAnsi="Verdana"/>
          <w:sz w:val="16"/>
          <w:szCs w:val="16"/>
        </w:rPr>
        <w:footnoteRef/>
      </w:r>
      <w:r w:rsidRPr="00C964B1">
        <w:rPr>
          <w:rFonts w:ascii="Verdana" w:hAnsi="Verdana"/>
          <w:sz w:val="16"/>
          <w:szCs w:val="16"/>
        </w:rPr>
        <w:t xml:space="preserve"> Parte considerativa del Decreto 287 de 2026.</w:t>
      </w:r>
    </w:p>
  </w:footnote>
  <w:footnote w:id="40">
    <w:p w14:paraId="1C1CDE81" w14:textId="23397942" w:rsidR="001B3C5D" w:rsidRPr="00C964B1" w:rsidRDefault="001B3C5D" w:rsidP="00C964B1">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1A90C951" w14:textId="77777777" w:rsidR="001B3C5D" w:rsidRPr="00C964B1" w:rsidRDefault="001B3C5D" w:rsidP="00C964B1">
      <w:pPr>
        <w:pStyle w:val="Textonotapie"/>
        <w:ind w:firstLine="708"/>
        <w:jc w:val="both"/>
        <w:rPr>
          <w:rFonts w:ascii="Verdana" w:hAnsi="Verdana"/>
          <w:sz w:val="16"/>
          <w:szCs w:val="16"/>
        </w:rPr>
      </w:pPr>
    </w:p>
    <w:p w14:paraId="3F87E2B8" w14:textId="77777777" w:rsidR="001B3C5D" w:rsidRPr="00C964B1" w:rsidRDefault="001B3C5D" w:rsidP="00C964B1">
      <w:pPr>
        <w:pStyle w:val="Textonotapie"/>
        <w:ind w:firstLine="708"/>
        <w:jc w:val="both"/>
        <w:rPr>
          <w:rFonts w:ascii="Verdana" w:hAnsi="Verdana"/>
          <w:sz w:val="16"/>
          <w:szCs w:val="16"/>
        </w:rPr>
      </w:pPr>
      <w:r w:rsidRPr="00C964B1">
        <w:rPr>
          <w:rFonts w:ascii="Verdana" w:hAnsi="Verdana"/>
          <w:sz w:val="16"/>
          <w:szCs w:val="16"/>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5B1192D2" w14:textId="77777777" w:rsidR="001B3C5D" w:rsidRPr="00C964B1" w:rsidRDefault="001B3C5D" w:rsidP="00C964B1">
      <w:pPr>
        <w:pStyle w:val="Textonotapie"/>
        <w:ind w:firstLine="708"/>
        <w:jc w:val="both"/>
        <w:rPr>
          <w:rFonts w:ascii="Verdana" w:hAnsi="Verdana"/>
          <w:sz w:val="16"/>
          <w:szCs w:val="16"/>
        </w:rPr>
      </w:pPr>
    </w:p>
    <w:p w14:paraId="4C3A644B" w14:textId="77777777" w:rsidR="001B3C5D" w:rsidRPr="00C964B1" w:rsidRDefault="001B3C5D" w:rsidP="00C964B1">
      <w:pPr>
        <w:pStyle w:val="Textonotapie"/>
        <w:ind w:firstLine="708"/>
        <w:jc w:val="both"/>
        <w:rPr>
          <w:rFonts w:ascii="Verdana" w:hAnsi="Verdana"/>
          <w:sz w:val="16"/>
          <w:szCs w:val="16"/>
          <w:lang w:val="es-ES_tradnl"/>
        </w:rPr>
      </w:pPr>
      <w:r w:rsidRPr="00C964B1">
        <w:rPr>
          <w:rFonts w:ascii="Verdana" w:hAnsi="Verdana"/>
          <w:sz w:val="16"/>
          <w:szCs w:val="16"/>
        </w:rPr>
        <w:t xml:space="preserve">(…)”. </w:t>
      </w:r>
    </w:p>
  </w:footnote>
  <w:footnote w:id="41">
    <w:p w14:paraId="77268190" w14:textId="77777777" w:rsidR="001B3C5D" w:rsidRPr="00C964B1" w:rsidRDefault="001B3C5D" w:rsidP="00C964B1">
      <w:pPr>
        <w:shd w:val="clear" w:color="auto" w:fill="FFFFFF"/>
        <w:spacing w:after="0" w:line="240" w:lineRule="auto"/>
        <w:ind w:firstLine="708"/>
        <w:jc w:val="both"/>
        <w:rPr>
          <w:rFonts w:ascii="Verdana" w:eastAsia="Times New Roman" w:hAnsi="Verdana" w:cs="Times New Roman"/>
          <w:color w:val="333333"/>
          <w:sz w:val="16"/>
          <w:szCs w:val="16"/>
          <w:lang w:eastAsia="es-MX"/>
        </w:rPr>
      </w:pPr>
      <w:r w:rsidRPr="00C964B1">
        <w:rPr>
          <w:rStyle w:val="Refdenotaalpie"/>
          <w:rFonts w:ascii="Verdana" w:hAnsi="Verdana"/>
          <w:sz w:val="16"/>
          <w:szCs w:val="16"/>
        </w:rPr>
        <w:footnoteRef/>
      </w:r>
      <w:r w:rsidRPr="00C964B1">
        <w:rPr>
          <w:rFonts w:ascii="Verdana" w:hAnsi="Verdana"/>
          <w:sz w:val="16"/>
          <w:szCs w:val="16"/>
        </w:rPr>
        <w:t xml:space="preserve"> Al respecto el artículo 1 de la Ley 2022 de 2020 señala: “(…) </w:t>
      </w:r>
      <w:r w:rsidRPr="00C964B1">
        <w:rPr>
          <w:rFonts w:ascii="Verdana" w:eastAsia="Times New Roman" w:hAnsi="Verdana" w:cs="Times New Roman"/>
          <w:color w:val="333333"/>
          <w:sz w:val="16"/>
          <w:szCs w:val="16"/>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B4555DE" w14:textId="77777777" w:rsidR="001B3C5D" w:rsidRPr="00C964B1" w:rsidRDefault="001B3C5D" w:rsidP="00C964B1">
      <w:pPr>
        <w:pStyle w:val="Textonotapie"/>
        <w:jc w:val="both"/>
        <w:rPr>
          <w:rFonts w:ascii="Verdana" w:hAnsi="Verdana"/>
          <w:sz w:val="16"/>
          <w:szCs w:val="16"/>
          <w:lang w:val="es-CO"/>
        </w:rPr>
      </w:pPr>
    </w:p>
  </w:footnote>
  <w:footnote w:id="42">
    <w:p w14:paraId="4DFBF658" w14:textId="77777777" w:rsidR="001B3C5D" w:rsidRPr="00C964B1" w:rsidRDefault="001B3C5D" w:rsidP="00C964B1">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56267FDC" w14:textId="77777777" w:rsidR="001B3C5D" w:rsidRPr="00C964B1" w:rsidRDefault="001B3C5D" w:rsidP="00C964B1">
      <w:pPr>
        <w:pStyle w:val="Textonotapie"/>
        <w:ind w:firstLine="708"/>
        <w:jc w:val="both"/>
        <w:rPr>
          <w:rFonts w:ascii="Verdana" w:hAnsi="Verdana"/>
          <w:sz w:val="16"/>
          <w:szCs w:val="16"/>
          <w:lang w:val="es-ES_tradnl"/>
        </w:rPr>
      </w:pPr>
    </w:p>
  </w:footnote>
  <w:footnote w:id="43">
    <w:p w14:paraId="1E03F85C" w14:textId="77777777" w:rsidR="001B3C5D" w:rsidRPr="00C964B1" w:rsidRDefault="001B3C5D" w:rsidP="00C964B1">
      <w:pPr>
        <w:pStyle w:val="Textonotapie"/>
        <w:ind w:firstLine="708"/>
        <w:jc w:val="both"/>
        <w:rPr>
          <w:rFonts w:ascii="Verdana" w:hAnsi="Verdana"/>
          <w:sz w:val="16"/>
          <w:szCs w:val="16"/>
        </w:rPr>
      </w:pPr>
      <w:r w:rsidRPr="00C964B1">
        <w:rPr>
          <w:rStyle w:val="Refdenotaalpie"/>
          <w:rFonts w:ascii="Verdana" w:hAnsi="Verdana"/>
          <w:sz w:val="16"/>
          <w:szCs w:val="16"/>
        </w:rPr>
        <w:footnoteRef/>
      </w:r>
      <w:r w:rsidRPr="00C964B1">
        <w:rPr>
          <w:rFonts w:ascii="Verdana" w:hAnsi="Verdana"/>
          <w:sz w:val="16"/>
          <w:szCs w:val="16"/>
        </w:rPr>
        <w:t xml:space="preserve"> Artículo 2.2.1.2.4.2.7.8. del Decreto 1082 de 2015, modificado por el artículo 1 del Decreto 287 de 2026.</w:t>
      </w:r>
    </w:p>
    <w:p w14:paraId="195BA84F" w14:textId="77777777" w:rsidR="001B3C5D" w:rsidRPr="00C964B1" w:rsidRDefault="001B3C5D" w:rsidP="00C964B1">
      <w:pPr>
        <w:pStyle w:val="Textonotapie"/>
        <w:ind w:firstLine="708"/>
        <w:jc w:val="both"/>
        <w:rPr>
          <w:rFonts w:ascii="Verdana" w:hAnsi="Verdana"/>
          <w:sz w:val="16"/>
          <w:szCs w:val="16"/>
          <w:lang w:val="es-ES_tradnl"/>
        </w:rPr>
      </w:pPr>
    </w:p>
  </w:footnote>
  <w:footnote w:id="44">
    <w:p w14:paraId="6C548BBB" w14:textId="77777777" w:rsidR="001B3C5D" w:rsidRPr="00C964B1" w:rsidRDefault="001B3C5D" w:rsidP="00C964B1">
      <w:pPr>
        <w:pStyle w:val="Textonotapie"/>
        <w:ind w:firstLine="708"/>
        <w:jc w:val="both"/>
        <w:rPr>
          <w:rFonts w:ascii="Verdana" w:hAnsi="Verdana"/>
          <w:sz w:val="16"/>
          <w:szCs w:val="16"/>
          <w:lang w:val="es-ES_tradnl"/>
        </w:rPr>
      </w:pPr>
      <w:r w:rsidRPr="00C964B1">
        <w:rPr>
          <w:rStyle w:val="Refdenotaalpie"/>
          <w:rFonts w:ascii="Verdana" w:hAnsi="Verdana"/>
          <w:sz w:val="16"/>
          <w:szCs w:val="16"/>
        </w:rPr>
        <w:footnoteRef/>
      </w:r>
      <w:r w:rsidRPr="00C964B1">
        <w:rPr>
          <w:rFonts w:ascii="Verdana" w:hAnsi="Verdana"/>
          <w:sz w:val="16"/>
          <w:szCs w:val="16"/>
        </w:rPr>
        <w:t xml:space="preserve"> Documento disponible en el siguiente enlace: </w:t>
      </w:r>
      <w:hyperlink r:id="rId4" w:history="1">
        <w:r w:rsidRPr="00C964B1">
          <w:rPr>
            <w:rStyle w:val="Hipervnculo"/>
            <w:rFonts w:ascii="Verdana" w:hAnsi="Verdana"/>
            <w:sz w:val="16"/>
            <w:szCs w:val="16"/>
          </w:rPr>
          <w:t>https://www.colombiacompra.gov.co/wp-content/uploads/2026/04/ABC-Decreto-0287-de-2026-1.pdf</w:t>
        </w:r>
      </w:hyperlink>
      <w:r w:rsidRPr="00C964B1">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10.3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C0E2B29"/>
    <w:multiLevelType w:val="multilevel"/>
    <w:tmpl w:val="F6B411A0"/>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5"/>
  </w:num>
  <w:num w:numId="8" w16cid:durableId="152644682">
    <w:abstractNumId w:val="15"/>
  </w:num>
  <w:num w:numId="9" w16cid:durableId="1317221377">
    <w:abstractNumId w:val="7"/>
  </w:num>
  <w:num w:numId="10" w16cid:durableId="1471245386">
    <w:abstractNumId w:val="14"/>
  </w:num>
  <w:num w:numId="11" w16cid:durableId="289172385">
    <w:abstractNumId w:val="8"/>
  </w:num>
  <w:num w:numId="12" w16cid:durableId="1470781324">
    <w:abstractNumId w:val="0"/>
  </w:num>
  <w:num w:numId="13" w16cid:durableId="1512908409">
    <w:abstractNumId w:val="3"/>
  </w:num>
  <w:num w:numId="14" w16cid:durableId="895897244">
    <w:abstractNumId w:val="17"/>
  </w:num>
  <w:num w:numId="15" w16cid:durableId="390349800">
    <w:abstractNumId w:val="13"/>
  </w:num>
  <w:num w:numId="16" w16cid:durableId="679089576">
    <w:abstractNumId w:val="9"/>
  </w:num>
  <w:num w:numId="17" w16cid:durableId="1300108123">
    <w:abstractNumId w:val="11"/>
  </w:num>
  <w:num w:numId="18" w16cid:durableId="1069183687">
    <w:abstractNumId w:val="12"/>
  </w:num>
  <w:num w:numId="19" w16cid:durableId="992828691">
    <w:abstractNumId w:val="10"/>
  </w:num>
  <w:num w:numId="20" w16cid:durableId="1865904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C56"/>
    <w:rsid w:val="00004800"/>
    <w:rsid w:val="00014503"/>
    <w:rsid w:val="00016F78"/>
    <w:rsid w:val="00025026"/>
    <w:rsid w:val="00031F5B"/>
    <w:rsid w:val="00046945"/>
    <w:rsid w:val="00061B2A"/>
    <w:rsid w:val="00062451"/>
    <w:rsid w:val="00082362"/>
    <w:rsid w:val="000944C7"/>
    <w:rsid w:val="000A364B"/>
    <w:rsid w:val="000A683E"/>
    <w:rsid w:val="000B19B9"/>
    <w:rsid w:val="000C2918"/>
    <w:rsid w:val="000D0334"/>
    <w:rsid w:val="000D5DA7"/>
    <w:rsid w:val="000D7A52"/>
    <w:rsid w:val="000F6486"/>
    <w:rsid w:val="0011421D"/>
    <w:rsid w:val="00116940"/>
    <w:rsid w:val="00125105"/>
    <w:rsid w:val="00127233"/>
    <w:rsid w:val="00155335"/>
    <w:rsid w:val="0015699B"/>
    <w:rsid w:val="00156D43"/>
    <w:rsid w:val="00181729"/>
    <w:rsid w:val="001A33BF"/>
    <w:rsid w:val="001B3C5D"/>
    <w:rsid w:val="001D41E7"/>
    <w:rsid w:val="001D6CD5"/>
    <w:rsid w:val="001E4177"/>
    <w:rsid w:val="001E6D9C"/>
    <w:rsid w:val="001F0B24"/>
    <w:rsid w:val="001F4DAD"/>
    <w:rsid w:val="001F7DC6"/>
    <w:rsid w:val="00207570"/>
    <w:rsid w:val="0022263A"/>
    <w:rsid w:val="0022400B"/>
    <w:rsid w:val="002421BB"/>
    <w:rsid w:val="00252E86"/>
    <w:rsid w:val="0025796E"/>
    <w:rsid w:val="002707A2"/>
    <w:rsid w:val="0027186D"/>
    <w:rsid w:val="00281802"/>
    <w:rsid w:val="00292732"/>
    <w:rsid w:val="002951A0"/>
    <w:rsid w:val="002962BC"/>
    <w:rsid w:val="002A093D"/>
    <w:rsid w:val="002A0DD0"/>
    <w:rsid w:val="002A49AC"/>
    <w:rsid w:val="002A64FD"/>
    <w:rsid w:val="002C7A84"/>
    <w:rsid w:val="002E2BF8"/>
    <w:rsid w:val="002E4BD8"/>
    <w:rsid w:val="002E4FD9"/>
    <w:rsid w:val="002F22AD"/>
    <w:rsid w:val="0030657A"/>
    <w:rsid w:val="00322A85"/>
    <w:rsid w:val="00324168"/>
    <w:rsid w:val="00330834"/>
    <w:rsid w:val="00333E92"/>
    <w:rsid w:val="003366C1"/>
    <w:rsid w:val="003448F4"/>
    <w:rsid w:val="00344B9A"/>
    <w:rsid w:val="0034652C"/>
    <w:rsid w:val="00374F5E"/>
    <w:rsid w:val="003759CD"/>
    <w:rsid w:val="00377E3E"/>
    <w:rsid w:val="00394B90"/>
    <w:rsid w:val="003A22D4"/>
    <w:rsid w:val="003A779E"/>
    <w:rsid w:val="003D0F4D"/>
    <w:rsid w:val="003D5B0D"/>
    <w:rsid w:val="003E0499"/>
    <w:rsid w:val="003E4F80"/>
    <w:rsid w:val="003E6439"/>
    <w:rsid w:val="003F3941"/>
    <w:rsid w:val="00406575"/>
    <w:rsid w:val="0041216B"/>
    <w:rsid w:val="00414C74"/>
    <w:rsid w:val="00415772"/>
    <w:rsid w:val="004238A7"/>
    <w:rsid w:val="0042722E"/>
    <w:rsid w:val="00444372"/>
    <w:rsid w:val="0044528D"/>
    <w:rsid w:val="004568A1"/>
    <w:rsid w:val="00466E39"/>
    <w:rsid w:val="00493DAA"/>
    <w:rsid w:val="004A0C81"/>
    <w:rsid w:val="004A1847"/>
    <w:rsid w:val="004A305D"/>
    <w:rsid w:val="004D6032"/>
    <w:rsid w:val="004F21C4"/>
    <w:rsid w:val="004F685F"/>
    <w:rsid w:val="004F7764"/>
    <w:rsid w:val="005245E6"/>
    <w:rsid w:val="0055082D"/>
    <w:rsid w:val="00555CEF"/>
    <w:rsid w:val="005566E8"/>
    <w:rsid w:val="00574867"/>
    <w:rsid w:val="005903BD"/>
    <w:rsid w:val="00591460"/>
    <w:rsid w:val="005A65E0"/>
    <w:rsid w:val="005A79D2"/>
    <w:rsid w:val="005C3777"/>
    <w:rsid w:val="005C5CDC"/>
    <w:rsid w:val="005D476C"/>
    <w:rsid w:val="006200BF"/>
    <w:rsid w:val="006219F8"/>
    <w:rsid w:val="006302F7"/>
    <w:rsid w:val="006358B8"/>
    <w:rsid w:val="00646B9F"/>
    <w:rsid w:val="00665D70"/>
    <w:rsid w:val="00686A98"/>
    <w:rsid w:val="006900D9"/>
    <w:rsid w:val="00695E04"/>
    <w:rsid w:val="006B2C3A"/>
    <w:rsid w:val="006F7063"/>
    <w:rsid w:val="00706C16"/>
    <w:rsid w:val="00723118"/>
    <w:rsid w:val="00724FCF"/>
    <w:rsid w:val="007340C3"/>
    <w:rsid w:val="00742867"/>
    <w:rsid w:val="0075235A"/>
    <w:rsid w:val="00756841"/>
    <w:rsid w:val="007649AB"/>
    <w:rsid w:val="00771D0C"/>
    <w:rsid w:val="00782000"/>
    <w:rsid w:val="007833AC"/>
    <w:rsid w:val="00792885"/>
    <w:rsid w:val="00793AB2"/>
    <w:rsid w:val="007B268C"/>
    <w:rsid w:val="007B31F5"/>
    <w:rsid w:val="007B7171"/>
    <w:rsid w:val="007C0C0F"/>
    <w:rsid w:val="007C3DC2"/>
    <w:rsid w:val="007C6CE5"/>
    <w:rsid w:val="007E5497"/>
    <w:rsid w:val="007F4E3B"/>
    <w:rsid w:val="008015CC"/>
    <w:rsid w:val="00806F5F"/>
    <w:rsid w:val="00814DA7"/>
    <w:rsid w:val="00820278"/>
    <w:rsid w:val="008258C9"/>
    <w:rsid w:val="00830610"/>
    <w:rsid w:val="00830B4E"/>
    <w:rsid w:val="00844AE9"/>
    <w:rsid w:val="00862684"/>
    <w:rsid w:val="00867F95"/>
    <w:rsid w:val="00881C41"/>
    <w:rsid w:val="008843B6"/>
    <w:rsid w:val="00886F85"/>
    <w:rsid w:val="00891928"/>
    <w:rsid w:val="008A446D"/>
    <w:rsid w:val="008B25F1"/>
    <w:rsid w:val="008B35A6"/>
    <w:rsid w:val="008B59D5"/>
    <w:rsid w:val="008D0A43"/>
    <w:rsid w:val="008D180B"/>
    <w:rsid w:val="008D38A5"/>
    <w:rsid w:val="008F0EA7"/>
    <w:rsid w:val="009207C1"/>
    <w:rsid w:val="00923EEF"/>
    <w:rsid w:val="009419F9"/>
    <w:rsid w:val="0095685E"/>
    <w:rsid w:val="00961B09"/>
    <w:rsid w:val="00962A6C"/>
    <w:rsid w:val="00965334"/>
    <w:rsid w:val="0097093E"/>
    <w:rsid w:val="00986D75"/>
    <w:rsid w:val="009A0DFA"/>
    <w:rsid w:val="009A1C6F"/>
    <w:rsid w:val="009A7AFB"/>
    <w:rsid w:val="009B2D26"/>
    <w:rsid w:val="009C71FA"/>
    <w:rsid w:val="009C72E7"/>
    <w:rsid w:val="009C7F7E"/>
    <w:rsid w:val="009D3058"/>
    <w:rsid w:val="009F3A13"/>
    <w:rsid w:val="00A122D3"/>
    <w:rsid w:val="00A14468"/>
    <w:rsid w:val="00A17F13"/>
    <w:rsid w:val="00A20739"/>
    <w:rsid w:val="00A23AF9"/>
    <w:rsid w:val="00A33C78"/>
    <w:rsid w:val="00A41812"/>
    <w:rsid w:val="00A72A54"/>
    <w:rsid w:val="00A86033"/>
    <w:rsid w:val="00A93044"/>
    <w:rsid w:val="00A97E28"/>
    <w:rsid w:val="00AA0D7B"/>
    <w:rsid w:val="00AB0ADB"/>
    <w:rsid w:val="00AD323B"/>
    <w:rsid w:val="00AD58FD"/>
    <w:rsid w:val="00AD5E10"/>
    <w:rsid w:val="00AE626F"/>
    <w:rsid w:val="00B00C0E"/>
    <w:rsid w:val="00B01B1A"/>
    <w:rsid w:val="00B0381D"/>
    <w:rsid w:val="00B22A85"/>
    <w:rsid w:val="00B236F1"/>
    <w:rsid w:val="00B44A47"/>
    <w:rsid w:val="00B543B9"/>
    <w:rsid w:val="00B6241D"/>
    <w:rsid w:val="00B72CD3"/>
    <w:rsid w:val="00B72FFF"/>
    <w:rsid w:val="00B73617"/>
    <w:rsid w:val="00BC3D36"/>
    <w:rsid w:val="00BD54A6"/>
    <w:rsid w:val="00BD7F72"/>
    <w:rsid w:val="00BE5525"/>
    <w:rsid w:val="00BF7425"/>
    <w:rsid w:val="00C04FB3"/>
    <w:rsid w:val="00C11D8B"/>
    <w:rsid w:val="00C15139"/>
    <w:rsid w:val="00C330EB"/>
    <w:rsid w:val="00C432C3"/>
    <w:rsid w:val="00C50D69"/>
    <w:rsid w:val="00C5365C"/>
    <w:rsid w:val="00C754BE"/>
    <w:rsid w:val="00C76B1C"/>
    <w:rsid w:val="00C87621"/>
    <w:rsid w:val="00C925AC"/>
    <w:rsid w:val="00C964B1"/>
    <w:rsid w:val="00C97E3A"/>
    <w:rsid w:val="00CB6357"/>
    <w:rsid w:val="00CC182C"/>
    <w:rsid w:val="00CC1B26"/>
    <w:rsid w:val="00CD3A52"/>
    <w:rsid w:val="00CD6353"/>
    <w:rsid w:val="00CF2D40"/>
    <w:rsid w:val="00D361FD"/>
    <w:rsid w:val="00D36CC9"/>
    <w:rsid w:val="00D423A2"/>
    <w:rsid w:val="00D44E26"/>
    <w:rsid w:val="00D520D8"/>
    <w:rsid w:val="00D52E92"/>
    <w:rsid w:val="00D63AC2"/>
    <w:rsid w:val="00D7383B"/>
    <w:rsid w:val="00D7788A"/>
    <w:rsid w:val="00DA231B"/>
    <w:rsid w:val="00DB00A3"/>
    <w:rsid w:val="00DC2977"/>
    <w:rsid w:val="00DC39FC"/>
    <w:rsid w:val="00DE3327"/>
    <w:rsid w:val="00DF5254"/>
    <w:rsid w:val="00E02524"/>
    <w:rsid w:val="00E13794"/>
    <w:rsid w:val="00E16408"/>
    <w:rsid w:val="00E20894"/>
    <w:rsid w:val="00E245AB"/>
    <w:rsid w:val="00E2764C"/>
    <w:rsid w:val="00E27F2E"/>
    <w:rsid w:val="00E313E5"/>
    <w:rsid w:val="00E50AFE"/>
    <w:rsid w:val="00E513DB"/>
    <w:rsid w:val="00E75C92"/>
    <w:rsid w:val="00E771DC"/>
    <w:rsid w:val="00E82856"/>
    <w:rsid w:val="00E84709"/>
    <w:rsid w:val="00E8772A"/>
    <w:rsid w:val="00E90F6B"/>
    <w:rsid w:val="00E92C27"/>
    <w:rsid w:val="00E93CA8"/>
    <w:rsid w:val="00EA0E3D"/>
    <w:rsid w:val="00EC38A7"/>
    <w:rsid w:val="00ED75BB"/>
    <w:rsid w:val="00EE1AA8"/>
    <w:rsid w:val="00EF7B51"/>
    <w:rsid w:val="00F16D67"/>
    <w:rsid w:val="00F23FEA"/>
    <w:rsid w:val="00F31EDC"/>
    <w:rsid w:val="00F43F55"/>
    <w:rsid w:val="00F462B3"/>
    <w:rsid w:val="00F47C8E"/>
    <w:rsid w:val="00F5664F"/>
    <w:rsid w:val="00F60365"/>
    <w:rsid w:val="00F613D2"/>
    <w:rsid w:val="00F63556"/>
    <w:rsid w:val="00F63BE6"/>
    <w:rsid w:val="00F666C4"/>
    <w:rsid w:val="00F7517A"/>
    <w:rsid w:val="00F766DC"/>
    <w:rsid w:val="00F76AFC"/>
    <w:rsid w:val="00F83493"/>
    <w:rsid w:val="00F874E9"/>
    <w:rsid w:val="00F90BF5"/>
    <w:rsid w:val="00F9164A"/>
    <w:rsid w:val="00F963A2"/>
    <w:rsid w:val="00F96C5D"/>
    <w:rsid w:val="00FA47C0"/>
    <w:rsid w:val="00FB3799"/>
    <w:rsid w:val="00FB5DD1"/>
    <w:rsid w:val="00FC0AD1"/>
    <w:rsid w:val="00FC2B5D"/>
    <w:rsid w:val="00FF1449"/>
    <w:rsid w:val="00FF35D0"/>
    <w:rsid w:val="00FF42E0"/>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BD5AF39-1E4D-43B2-A996-DC12C9E8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1B3C5D"/>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1B3C5D"/>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1B3C5D"/>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1B3C5D"/>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1B3C5D"/>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1B3C5D"/>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1B3C5D"/>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1B3C5D"/>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1B3C5D"/>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1B3C5D"/>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1B3C5D"/>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1B3C5D"/>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1B3C5D"/>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1B3C5D"/>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1B3C5D"/>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1B3C5D"/>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1B3C5D"/>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1B3C5D"/>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1B3C5D"/>
  </w:style>
  <w:style w:type="character" w:customStyle="1" w:styleId="Ttulo1Car">
    <w:name w:val="Título 1 Car"/>
    <w:basedOn w:val="Fuentedeprrafopredeter"/>
    <w:link w:val="Ttulo1"/>
    <w:uiPriority w:val="9"/>
    <w:rsid w:val="001B3C5D"/>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1B3C5D"/>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1B3C5D"/>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1B3C5D"/>
    <w:rPr>
      <w:rFonts w:eastAsia="Times New Roman" w:cs="Times New Roman"/>
      <w:i/>
      <w:iCs/>
      <w:color w:val="0F4761"/>
    </w:rPr>
  </w:style>
  <w:style w:type="character" w:customStyle="1" w:styleId="Ttulo5Car">
    <w:name w:val="Título 5 Car"/>
    <w:basedOn w:val="Fuentedeprrafopredeter"/>
    <w:link w:val="Ttulo5"/>
    <w:uiPriority w:val="9"/>
    <w:semiHidden/>
    <w:rsid w:val="001B3C5D"/>
    <w:rPr>
      <w:rFonts w:eastAsia="Times New Roman" w:cs="Times New Roman"/>
      <w:color w:val="0F4761"/>
    </w:rPr>
  </w:style>
  <w:style w:type="character" w:customStyle="1" w:styleId="Ttulo6Car">
    <w:name w:val="Título 6 Car"/>
    <w:basedOn w:val="Fuentedeprrafopredeter"/>
    <w:link w:val="Ttulo6"/>
    <w:uiPriority w:val="9"/>
    <w:semiHidden/>
    <w:rsid w:val="001B3C5D"/>
    <w:rPr>
      <w:rFonts w:eastAsia="Times New Roman" w:cs="Times New Roman"/>
      <w:i/>
      <w:iCs/>
      <w:color w:val="595959"/>
    </w:rPr>
  </w:style>
  <w:style w:type="character" w:customStyle="1" w:styleId="Ttulo7Car">
    <w:name w:val="Título 7 Car"/>
    <w:basedOn w:val="Fuentedeprrafopredeter"/>
    <w:link w:val="Ttulo7"/>
    <w:uiPriority w:val="9"/>
    <w:semiHidden/>
    <w:rsid w:val="001B3C5D"/>
    <w:rPr>
      <w:rFonts w:eastAsia="Times New Roman" w:cs="Times New Roman"/>
      <w:color w:val="595959"/>
    </w:rPr>
  </w:style>
  <w:style w:type="character" w:customStyle="1" w:styleId="Ttulo8Car">
    <w:name w:val="Título 8 Car"/>
    <w:basedOn w:val="Fuentedeprrafopredeter"/>
    <w:link w:val="Ttulo8"/>
    <w:uiPriority w:val="9"/>
    <w:semiHidden/>
    <w:rsid w:val="001B3C5D"/>
    <w:rPr>
      <w:rFonts w:eastAsia="Times New Roman" w:cs="Times New Roman"/>
      <w:i/>
      <w:iCs/>
      <w:color w:val="272727"/>
    </w:rPr>
  </w:style>
  <w:style w:type="character" w:customStyle="1" w:styleId="Ttulo9Car">
    <w:name w:val="Título 9 Car"/>
    <w:basedOn w:val="Fuentedeprrafopredeter"/>
    <w:link w:val="Ttulo9"/>
    <w:uiPriority w:val="9"/>
    <w:semiHidden/>
    <w:rsid w:val="001B3C5D"/>
    <w:rPr>
      <w:rFonts w:eastAsia="Times New Roman" w:cs="Times New Roman"/>
      <w:color w:val="272727"/>
    </w:rPr>
  </w:style>
  <w:style w:type="paragraph" w:customStyle="1" w:styleId="Subttulo1">
    <w:name w:val="Subtítulo1"/>
    <w:basedOn w:val="Normal"/>
    <w:next w:val="Normal"/>
    <w:uiPriority w:val="11"/>
    <w:qFormat/>
    <w:rsid w:val="001B3C5D"/>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1B3C5D"/>
    <w:rPr>
      <w:rFonts w:eastAsia="Times New Roman" w:cs="Times New Roman"/>
      <w:color w:val="595959"/>
      <w:spacing w:val="15"/>
      <w:sz w:val="28"/>
      <w:szCs w:val="28"/>
    </w:rPr>
  </w:style>
  <w:style w:type="paragraph" w:customStyle="1" w:styleId="Cita1">
    <w:name w:val="Cita1"/>
    <w:basedOn w:val="Normal"/>
    <w:next w:val="Normal"/>
    <w:uiPriority w:val="29"/>
    <w:qFormat/>
    <w:rsid w:val="001B3C5D"/>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1B3C5D"/>
    <w:rPr>
      <w:i/>
      <w:iCs/>
      <w:color w:val="404040"/>
    </w:rPr>
  </w:style>
  <w:style w:type="character" w:customStyle="1" w:styleId="nfasisintenso1">
    <w:name w:val="Énfasis intenso1"/>
    <w:basedOn w:val="Fuentedeprrafopredeter"/>
    <w:uiPriority w:val="21"/>
    <w:qFormat/>
    <w:rsid w:val="001B3C5D"/>
    <w:rPr>
      <w:i/>
      <w:iCs/>
      <w:color w:val="0F4761"/>
    </w:rPr>
  </w:style>
  <w:style w:type="paragraph" w:customStyle="1" w:styleId="Citadestacada1">
    <w:name w:val="Cita destacada1"/>
    <w:basedOn w:val="Normal"/>
    <w:next w:val="Normal"/>
    <w:uiPriority w:val="30"/>
    <w:qFormat/>
    <w:rsid w:val="001B3C5D"/>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1B3C5D"/>
    <w:rPr>
      <w:i/>
      <w:iCs/>
      <w:color w:val="0F4761"/>
    </w:rPr>
  </w:style>
  <w:style w:type="character" w:customStyle="1" w:styleId="Referenciaintensa1">
    <w:name w:val="Referencia intensa1"/>
    <w:basedOn w:val="Fuentedeprrafopredeter"/>
    <w:uiPriority w:val="32"/>
    <w:qFormat/>
    <w:rsid w:val="001B3C5D"/>
    <w:rPr>
      <w:b/>
      <w:bCs/>
      <w:smallCaps/>
      <w:color w:val="0F4761"/>
      <w:spacing w:val="5"/>
    </w:rPr>
  </w:style>
  <w:style w:type="paragraph" w:customStyle="1" w:styleId="Encabezado1">
    <w:name w:val="Encabezado1"/>
    <w:basedOn w:val="Normal"/>
    <w:next w:val="Encabezado"/>
    <w:uiPriority w:val="99"/>
    <w:unhideWhenUsed/>
    <w:rsid w:val="001B3C5D"/>
    <w:pPr>
      <w:tabs>
        <w:tab w:val="center" w:pos="4419"/>
        <w:tab w:val="right" w:pos="8838"/>
      </w:tabs>
      <w:spacing w:after="0" w:line="240" w:lineRule="auto"/>
    </w:pPr>
    <w:rPr>
      <w:kern w:val="2"/>
      <w:sz w:val="24"/>
      <w:szCs w:val="24"/>
      <w14:ligatures w14:val="standardContextual"/>
    </w:rPr>
  </w:style>
  <w:style w:type="paragraph" w:customStyle="1" w:styleId="Piedepgina1">
    <w:name w:val="Pie de página1"/>
    <w:basedOn w:val="Normal"/>
    <w:next w:val="Piedepgina"/>
    <w:uiPriority w:val="99"/>
    <w:unhideWhenUsed/>
    <w:rsid w:val="001B3C5D"/>
    <w:pPr>
      <w:tabs>
        <w:tab w:val="center" w:pos="4419"/>
        <w:tab w:val="right" w:pos="8838"/>
      </w:tabs>
      <w:spacing w:after="0" w:line="240" w:lineRule="auto"/>
    </w:pPr>
    <w:rPr>
      <w:kern w:val="2"/>
      <w:sz w:val="24"/>
      <w:szCs w:val="24"/>
      <w14:ligatures w14:val="standardContextual"/>
    </w:rPr>
  </w:style>
  <w:style w:type="paragraph" w:customStyle="1" w:styleId="fn1">
    <w:name w:val="fn1"/>
    <w:basedOn w:val="Normal"/>
    <w:next w:val="Textonotapie"/>
    <w:uiPriority w:val="99"/>
    <w:unhideWhenUsed/>
    <w:qFormat/>
    <w:rsid w:val="001B3C5D"/>
    <w:pPr>
      <w:spacing w:after="0" w:line="240" w:lineRule="auto"/>
    </w:pPr>
    <w:rPr>
      <w:sz w:val="20"/>
      <w:szCs w:val="20"/>
      <w:lang w:val="es-MX"/>
    </w:rPr>
  </w:style>
  <w:style w:type="table" w:customStyle="1" w:styleId="Tablaconcuadrcula1">
    <w:name w:val="Tabla con cuadrícula1"/>
    <w:basedOn w:val="Tablanormal"/>
    <w:next w:val="Tablaconcuadrcula"/>
    <w:uiPriority w:val="39"/>
    <w:qFormat/>
    <w:rsid w:val="001B3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1B3C5D"/>
    <w:pPr>
      <w:spacing w:line="240" w:lineRule="exact"/>
    </w:pPr>
    <w:rPr>
      <w:vertAlign w:val="superscript"/>
    </w:rPr>
  </w:style>
  <w:style w:type="table" w:customStyle="1" w:styleId="Tablaconcuadrcula2">
    <w:name w:val="Tabla con cuadrícula2"/>
    <w:basedOn w:val="Tablanormal"/>
    <w:next w:val="Tablaconcuadrcula"/>
    <w:uiPriority w:val="39"/>
    <w:qFormat/>
    <w:rsid w:val="001B3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1">
    <w:name w:val="Encabezado Car1"/>
    <w:basedOn w:val="Fuentedeprrafopredeter"/>
    <w:uiPriority w:val="99"/>
    <w:semiHidden/>
    <w:rsid w:val="001B3C5D"/>
  </w:style>
  <w:style w:type="character" w:customStyle="1" w:styleId="PiedepginaCar1">
    <w:name w:val="Pie de página Car1"/>
    <w:basedOn w:val="Fuentedeprrafopredeter"/>
    <w:uiPriority w:val="99"/>
    <w:semiHidden/>
    <w:rsid w:val="001B3C5D"/>
  </w:style>
  <w:style w:type="table" w:customStyle="1" w:styleId="Tablaconcuadrcula3">
    <w:name w:val="Tabla con cuadrícula3"/>
    <w:basedOn w:val="Tablanormal"/>
    <w:next w:val="Tablaconcuadrcula"/>
    <w:uiPriority w:val="39"/>
    <w:rsid w:val="001B3C5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qFormat/>
    <w:rsid w:val="001B3C5D"/>
    <w:rPr>
      <w:rFonts w:ascii="Geomanist Bold" w:eastAsia="Yu Mincho" w:hAnsi="Geomanist Bold" w:cs="Calibri"/>
      <w:color w:val="002060"/>
      <w:sz w:val="24"/>
      <w:lang w:val="es-ES" w:eastAsia="es-CO"/>
    </w:rPr>
  </w:style>
  <w:style w:type="character" w:styleId="Fuerte">
    <w:name w:val="Strong"/>
    <w:basedOn w:val="Fuentedeprrafopredeter"/>
    <w:uiPriority w:val="22"/>
    <w:qFormat/>
    <w:rsid w:val="001B3C5D"/>
    <w:rPr>
      <w:b/>
      <w:bCs/>
    </w:rPr>
  </w:style>
  <w:style w:type="character" w:styleId="Textodelmarcadordeposicin">
    <w:name w:val="Placeholder Text"/>
    <w:basedOn w:val="Fuentedeprrafopredeter"/>
    <w:uiPriority w:val="99"/>
    <w:semiHidden/>
    <w:rsid w:val="001B3C5D"/>
    <w:rPr>
      <w:color w:val="666666"/>
    </w:rPr>
  </w:style>
  <w:style w:type="paragraph" w:customStyle="1" w:styleId="Sinespaciado1">
    <w:name w:val="Sin espaciado1"/>
    <w:next w:val="Sinespaciado"/>
    <w:uiPriority w:val="1"/>
    <w:qFormat/>
    <w:rsid w:val="001B3C5D"/>
    <w:pPr>
      <w:spacing w:after="0" w:line="240" w:lineRule="auto"/>
    </w:pPr>
    <w:rPr>
      <w:kern w:val="2"/>
      <w:sz w:val="24"/>
      <w:szCs w:val="24"/>
      <w14:ligatures w14:val="standardContextual"/>
    </w:rPr>
  </w:style>
  <w:style w:type="character" w:customStyle="1" w:styleId="Ttulo1Car1">
    <w:name w:val="Título 1 Car1"/>
    <w:basedOn w:val="Fuentedeprrafopredeter"/>
    <w:uiPriority w:val="9"/>
    <w:rsid w:val="001B3C5D"/>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1B3C5D"/>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1B3C5D"/>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1B3C5D"/>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1B3C5D"/>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1B3C5D"/>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1B3C5D"/>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1B3C5D"/>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1B3C5D"/>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1B3C5D"/>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1B3C5D"/>
    <w:rPr>
      <w:rFonts w:eastAsiaTheme="minorEastAsia"/>
      <w:color w:val="5A5A5A" w:themeColor="text1" w:themeTint="A5"/>
      <w:spacing w:val="15"/>
    </w:rPr>
  </w:style>
  <w:style w:type="paragraph" w:styleId="Cita">
    <w:name w:val="Quote"/>
    <w:basedOn w:val="Normal"/>
    <w:next w:val="Normal"/>
    <w:link w:val="CitaCar"/>
    <w:uiPriority w:val="29"/>
    <w:qFormat/>
    <w:rsid w:val="001B3C5D"/>
    <w:pPr>
      <w:spacing w:before="200"/>
      <w:ind w:left="864" w:right="864"/>
      <w:jc w:val="center"/>
    </w:pPr>
    <w:rPr>
      <w:i/>
      <w:iCs/>
      <w:color w:val="404040"/>
    </w:rPr>
  </w:style>
  <w:style w:type="character" w:customStyle="1" w:styleId="CitaCar1">
    <w:name w:val="Cita Car1"/>
    <w:basedOn w:val="Fuentedeprrafopredeter"/>
    <w:uiPriority w:val="29"/>
    <w:rsid w:val="001B3C5D"/>
    <w:rPr>
      <w:i/>
      <w:iCs/>
      <w:color w:val="404040" w:themeColor="text1" w:themeTint="BF"/>
    </w:rPr>
  </w:style>
  <w:style w:type="character" w:styleId="nfasisintenso">
    <w:name w:val="Intense Emphasis"/>
    <w:basedOn w:val="Fuentedeprrafopredeter"/>
    <w:uiPriority w:val="21"/>
    <w:qFormat/>
    <w:rsid w:val="001B3C5D"/>
    <w:rPr>
      <w:i/>
      <w:iCs/>
      <w:color w:val="4472C4" w:themeColor="accent1"/>
    </w:rPr>
  </w:style>
  <w:style w:type="paragraph" w:styleId="Citadestacada">
    <w:name w:val="Intense Quote"/>
    <w:basedOn w:val="Normal"/>
    <w:next w:val="Normal"/>
    <w:link w:val="CitadestacadaCar"/>
    <w:uiPriority w:val="30"/>
    <w:qFormat/>
    <w:rsid w:val="001B3C5D"/>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1B3C5D"/>
    <w:rPr>
      <w:i/>
      <w:iCs/>
      <w:color w:val="4472C4" w:themeColor="accent1"/>
    </w:rPr>
  </w:style>
  <w:style w:type="character" w:styleId="Referenciaintensa">
    <w:name w:val="Intense Reference"/>
    <w:basedOn w:val="Fuentedeprrafopredeter"/>
    <w:uiPriority w:val="32"/>
    <w:qFormat/>
    <w:rsid w:val="001B3C5D"/>
    <w:rPr>
      <w:b/>
      <w:bCs/>
      <w:smallCaps/>
      <w:color w:val="4472C4" w:themeColor="accent1"/>
      <w:spacing w:val="5"/>
    </w:rPr>
  </w:style>
  <w:style w:type="paragraph" w:styleId="Sinespaciado">
    <w:name w:val="No Spacing"/>
    <w:uiPriority w:val="1"/>
    <w:qFormat/>
    <w:rsid w:val="001B3C5D"/>
    <w:pPr>
      <w:spacing w:after="0" w:line="240" w:lineRule="auto"/>
    </w:pPr>
  </w:style>
  <w:style w:type="character" w:styleId="Refdecomentario">
    <w:name w:val="annotation reference"/>
    <w:basedOn w:val="Fuentedeprrafopredeter"/>
    <w:uiPriority w:val="99"/>
    <w:semiHidden/>
    <w:unhideWhenUsed/>
    <w:rsid w:val="00CC182C"/>
    <w:rPr>
      <w:sz w:val="16"/>
      <w:szCs w:val="16"/>
    </w:rPr>
  </w:style>
  <w:style w:type="paragraph" w:styleId="Textocomentario">
    <w:name w:val="annotation text"/>
    <w:basedOn w:val="Normal"/>
    <w:link w:val="TextocomentarioCar"/>
    <w:uiPriority w:val="99"/>
    <w:unhideWhenUsed/>
    <w:rsid w:val="00CC182C"/>
    <w:pPr>
      <w:spacing w:line="240" w:lineRule="auto"/>
    </w:pPr>
    <w:rPr>
      <w:sz w:val="20"/>
      <w:szCs w:val="20"/>
    </w:rPr>
  </w:style>
  <w:style w:type="character" w:customStyle="1" w:styleId="TextocomentarioCar">
    <w:name w:val="Texto comentario Car"/>
    <w:basedOn w:val="Fuentedeprrafopredeter"/>
    <w:link w:val="Textocomentario"/>
    <w:uiPriority w:val="99"/>
    <w:rsid w:val="00CC182C"/>
    <w:rPr>
      <w:sz w:val="20"/>
      <w:szCs w:val="20"/>
    </w:rPr>
  </w:style>
  <w:style w:type="paragraph" w:styleId="Asuntodelcomentario">
    <w:name w:val="annotation subject"/>
    <w:basedOn w:val="Textocomentario"/>
    <w:next w:val="Textocomentario"/>
    <w:link w:val="AsuntodelcomentarioCar"/>
    <w:uiPriority w:val="99"/>
    <w:semiHidden/>
    <w:unhideWhenUsed/>
    <w:rsid w:val="00CC182C"/>
    <w:rPr>
      <w:b/>
      <w:bCs/>
    </w:rPr>
  </w:style>
  <w:style w:type="character" w:customStyle="1" w:styleId="AsuntodelcomentarioCar">
    <w:name w:val="Asunto del comentario Car"/>
    <w:basedOn w:val="TextocomentarioCar"/>
    <w:link w:val="Asuntodelcomentario"/>
    <w:uiPriority w:val="99"/>
    <w:semiHidden/>
    <w:rsid w:val="00CC18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idyvisa@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le.rae.es/est%C3%A1ndar" TargetMode="External"/><Relationship Id="rId2" Type="http://schemas.openxmlformats.org/officeDocument/2006/relationships/hyperlink" Target="https://www.funcionpublica.gov.co/eva/gestornormativo/norma.php?i=84899" TargetMode="External"/><Relationship Id="rId1" Type="http://schemas.openxmlformats.org/officeDocument/2006/relationships/hyperlink" Target="https://dle.rae.es/est%C3%A1ndar" TargetMode="External"/><Relationship Id="rId4" Type="http://schemas.openxmlformats.org/officeDocument/2006/relationships/hyperlink" Target="https://www.colombiacompra.gov.co/wp-content/uploads/2026/04/ABC-Decreto-0287-de-2026-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C793757-CA44-4A7E-B133-52FB2ED81871}"/>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30</TotalTime>
  <Pages>50</Pages>
  <Words>16758</Words>
  <Characters>92171</Characters>
  <Application>Microsoft Office Word</Application>
  <DocSecurity>0</DocSecurity>
  <Lines>768</Lines>
  <Paragraphs>217</Paragraphs>
  <ScaleCrop>false</ScaleCrop>
  <Company/>
  <LinksUpToDate>false</LinksUpToDate>
  <CharactersWithSpaces>108712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12</cp:revision>
  <cp:lastPrinted>2023-01-10T18:18:00Z</cp:lastPrinted>
  <dcterms:created xsi:type="dcterms:W3CDTF">2026-05-11T14:47:00Z</dcterms:created>
  <dcterms:modified xsi:type="dcterms:W3CDTF">2026-05-20T21:27:00Z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