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7ACFE" w14:textId="212EC41D" w:rsidR="00EE2281" w:rsidRPr="00EE2281" w:rsidRDefault="00EE2281" w:rsidP="00EE2281">
      <w:pPr>
        <w:spacing w:after="0" w:line="240" w:lineRule="auto"/>
        <w:jc w:val="both"/>
        <w:rPr>
          <w:rFonts w:ascii="Verdana" w:eastAsia="Calibri" w:hAnsi="Verdana" w:cs="Arial"/>
          <w:color w:val="000000"/>
          <w:sz w:val="16"/>
          <w:szCs w:val="16"/>
          <w:lang w:val="es-ES_tradnl" w:eastAsia="es-ES_tradnl"/>
        </w:rPr>
      </w:pPr>
      <w:bookmarkStart w:id="0" w:name="_Hlk28946138"/>
      <w:bookmarkStart w:id="1" w:name="_Hlk29548183"/>
    </w:p>
    <w:p w14:paraId="3568AF0C" w14:textId="77777777" w:rsidR="00037B4E" w:rsidRPr="00EE2281" w:rsidRDefault="00037B4E" w:rsidP="00037B4E">
      <w:pPr>
        <w:spacing w:after="0" w:line="240" w:lineRule="auto"/>
        <w:jc w:val="both"/>
        <w:rPr>
          <w:rFonts w:ascii="Verdana" w:eastAsia="Calibri" w:hAnsi="Verdana" w:cs="Arial"/>
          <w:b/>
          <w:bCs/>
          <w:color w:val="000000"/>
          <w:szCs w:val="24"/>
          <w:lang w:val="es-ES" w:eastAsia="es-ES_tradnl"/>
        </w:rPr>
      </w:pPr>
      <w:bookmarkStart w:id="2" w:name="_Hlk143780582"/>
      <w:r w:rsidRPr="00EE2281">
        <w:rPr>
          <w:rFonts w:ascii="Verdana" w:eastAsia="Calibri" w:hAnsi="Verdana" w:cs="Arial"/>
          <w:b/>
          <w:bCs/>
          <w:color w:val="000000"/>
          <w:szCs w:val="24"/>
          <w:lang w:val="es-ES" w:eastAsia="es-ES_tradnl"/>
        </w:rPr>
        <w:t xml:space="preserve">CONTRATACIÓN DIRECTA </w:t>
      </w:r>
      <w:r w:rsidRPr="00EE2281">
        <w:rPr>
          <w:rFonts w:ascii="Verdana" w:eastAsia="Calibri" w:hAnsi="Verdana" w:cs="Arial"/>
          <w:b/>
          <w:bCs/>
          <w:color w:val="000000"/>
          <w:szCs w:val="24"/>
          <w:lang w:eastAsia="es-ES_tradnl"/>
        </w:rPr>
        <w:t>–</w:t>
      </w:r>
      <w:r w:rsidRPr="00EE2281">
        <w:rPr>
          <w:rFonts w:ascii="Verdana" w:eastAsia="Calibri" w:hAnsi="Verdana" w:cs="Arial"/>
          <w:b/>
          <w:bCs/>
          <w:color w:val="000000"/>
          <w:szCs w:val="24"/>
          <w:lang w:val="es-ES" w:eastAsia="es-ES_tradnl"/>
        </w:rPr>
        <w:t xml:space="preserve"> Características</w:t>
      </w:r>
    </w:p>
    <w:p w14:paraId="0C103408" w14:textId="77777777" w:rsidR="00037B4E" w:rsidRPr="00EE2281" w:rsidRDefault="00037B4E" w:rsidP="00037B4E">
      <w:pPr>
        <w:spacing w:after="0" w:line="240" w:lineRule="auto"/>
        <w:jc w:val="both"/>
        <w:rPr>
          <w:rFonts w:ascii="Verdana" w:eastAsia="Calibri" w:hAnsi="Verdana" w:cs="Arial"/>
          <w:color w:val="000000"/>
          <w:sz w:val="20"/>
          <w:szCs w:val="20"/>
          <w:lang w:val="es-ES" w:eastAsia="es-ES_tradnl"/>
        </w:rPr>
      </w:pPr>
    </w:p>
    <w:p w14:paraId="64A8D41F" w14:textId="77777777" w:rsidR="00037B4E" w:rsidRPr="00EE2281" w:rsidRDefault="00037B4E" w:rsidP="00037B4E">
      <w:pPr>
        <w:spacing w:after="0" w:line="240" w:lineRule="auto"/>
        <w:jc w:val="both"/>
        <w:rPr>
          <w:rFonts w:ascii="Verdana" w:eastAsia="Calibri" w:hAnsi="Verdana" w:cs="Arial"/>
          <w:color w:val="000000"/>
          <w:sz w:val="20"/>
          <w:szCs w:val="20"/>
          <w:lang w:val="es-ES" w:eastAsia="es-ES_tradnl"/>
        </w:rPr>
      </w:pPr>
      <w:r w:rsidRPr="00EE2281">
        <w:rPr>
          <w:rFonts w:ascii="Verdana" w:eastAsia="Calibri" w:hAnsi="Verdana" w:cs="Arial"/>
          <w:color w:val="000000"/>
          <w:sz w:val="20"/>
          <w:szCs w:val="20"/>
          <w:lang w:val="es-ES" w:eastAsia="es-ES_tradnl"/>
        </w:rPr>
        <w:t>Debe señalarse sobre la contratación directa, que esta modalidad de contratación es de aplicación restrictiva, esto es, solo procede por las causales señaladas taxativamente en el numeral 4 del artículo 2 de la Ley 1150 de 2007. Además, es una excepción al principio de libre concurrencia y competencia que aplica a los procesos de contratación, para que cualquier persona interesada en satisfacer la necesidad de una entidad pueda presentar una oferta. En la contratación directa no es necesario que la entidad reciba más de una oferta, la cual proviene de la persona que la entidad escoge directamente, y por ende, invita a ofertar el bien o servicio que se requiere. Lo anterior puede estar basado en que el proponente es único, o en que el legislador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3BDE9276" w14:textId="77777777" w:rsidR="00037B4E" w:rsidRPr="00EE2281" w:rsidRDefault="00037B4E" w:rsidP="00037B4E">
      <w:pPr>
        <w:spacing w:after="0" w:line="240" w:lineRule="auto"/>
        <w:jc w:val="both"/>
        <w:rPr>
          <w:rFonts w:ascii="Verdana" w:eastAsia="Calibri" w:hAnsi="Verdana" w:cs="Arial"/>
          <w:color w:val="000000"/>
          <w:sz w:val="20"/>
          <w:szCs w:val="20"/>
          <w:lang w:val="es-ES" w:eastAsia="es-ES_tradnl"/>
        </w:rPr>
      </w:pPr>
    </w:p>
    <w:p w14:paraId="64A5939A" w14:textId="77777777" w:rsidR="00037B4E" w:rsidRPr="00EE2281" w:rsidRDefault="00037B4E" w:rsidP="00037B4E">
      <w:pPr>
        <w:spacing w:after="0" w:line="240" w:lineRule="auto"/>
        <w:jc w:val="both"/>
        <w:rPr>
          <w:rFonts w:ascii="Verdana" w:eastAsia="Calibri" w:hAnsi="Verdana" w:cs="Arial"/>
          <w:b/>
          <w:bCs/>
          <w:color w:val="000000"/>
          <w:szCs w:val="24"/>
          <w:lang w:val="es-ES" w:eastAsia="es-ES_tradnl"/>
        </w:rPr>
      </w:pPr>
      <w:r w:rsidRPr="00EE2281">
        <w:rPr>
          <w:rFonts w:ascii="Verdana" w:eastAsia="Calibri" w:hAnsi="Verdana" w:cs="Arial"/>
          <w:b/>
          <w:bCs/>
          <w:color w:val="000000"/>
          <w:szCs w:val="24"/>
          <w:lang w:val="es-ES" w:eastAsia="es-ES_tradnl"/>
        </w:rPr>
        <w:t xml:space="preserve">PRINCIPIOS DE LA CONTRATACIÓN PÚBLICA </w:t>
      </w:r>
      <w:r w:rsidRPr="00EE2281">
        <w:rPr>
          <w:rFonts w:ascii="Verdana" w:eastAsia="Calibri" w:hAnsi="Verdana" w:cs="Arial"/>
          <w:b/>
          <w:bCs/>
          <w:color w:val="000000"/>
          <w:szCs w:val="24"/>
          <w:lang w:eastAsia="es-ES_tradnl"/>
        </w:rPr>
        <w:t>–</w:t>
      </w:r>
      <w:r w:rsidRPr="00EE2281">
        <w:rPr>
          <w:rFonts w:ascii="Verdana" w:eastAsia="Calibri" w:hAnsi="Verdana" w:cs="Arial"/>
          <w:b/>
          <w:bCs/>
          <w:color w:val="000000"/>
          <w:szCs w:val="24"/>
          <w:lang w:val="es-ES" w:eastAsia="es-ES_tradnl"/>
        </w:rPr>
        <w:t xml:space="preserve"> Contratación directa </w:t>
      </w:r>
      <w:r w:rsidRPr="00EE2281">
        <w:rPr>
          <w:rFonts w:ascii="Verdana" w:eastAsia="Calibri" w:hAnsi="Verdana" w:cs="Arial"/>
          <w:b/>
          <w:bCs/>
          <w:color w:val="000000"/>
          <w:szCs w:val="24"/>
          <w:lang w:eastAsia="es-ES_tradnl"/>
        </w:rPr>
        <w:t>–</w:t>
      </w:r>
      <w:r w:rsidRPr="00EE2281">
        <w:rPr>
          <w:rFonts w:ascii="Verdana" w:eastAsia="Calibri" w:hAnsi="Verdana" w:cs="Arial"/>
          <w:b/>
          <w:bCs/>
          <w:color w:val="000000"/>
          <w:szCs w:val="24"/>
          <w:lang w:val="es-ES" w:eastAsia="es-ES_tradnl"/>
        </w:rPr>
        <w:t xml:space="preserve"> Transparencia </w:t>
      </w:r>
      <w:r w:rsidRPr="00EE2281">
        <w:rPr>
          <w:rFonts w:ascii="Verdana" w:eastAsia="Calibri" w:hAnsi="Verdana" w:cs="Arial"/>
          <w:b/>
          <w:bCs/>
          <w:color w:val="000000"/>
          <w:szCs w:val="24"/>
          <w:lang w:eastAsia="es-ES_tradnl"/>
        </w:rPr>
        <w:t>–</w:t>
      </w:r>
      <w:r w:rsidRPr="00EE2281">
        <w:rPr>
          <w:rFonts w:ascii="Verdana" w:eastAsia="Calibri" w:hAnsi="Verdana" w:cs="Arial"/>
          <w:b/>
          <w:bCs/>
          <w:color w:val="000000"/>
          <w:szCs w:val="24"/>
          <w:lang w:val="es-ES" w:eastAsia="es-ES_tradnl"/>
        </w:rPr>
        <w:t xml:space="preserve"> Selección objetiva </w:t>
      </w:r>
      <w:r w:rsidRPr="00EE2281">
        <w:rPr>
          <w:rFonts w:ascii="Verdana" w:eastAsia="Calibri" w:hAnsi="Verdana" w:cs="Arial"/>
          <w:b/>
          <w:bCs/>
          <w:color w:val="000000"/>
          <w:szCs w:val="24"/>
          <w:lang w:eastAsia="es-ES_tradnl"/>
        </w:rPr>
        <w:t>– Aplicación</w:t>
      </w:r>
    </w:p>
    <w:p w14:paraId="3F1C79E0" w14:textId="77777777" w:rsidR="00037B4E" w:rsidRPr="00EE2281" w:rsidRDefault="00037B4E" w:rsidP="00037B4E">
      <w:pPr>
        <w:spacing w:after="0" w:line="240" w:lineRule="auto"/>
        <w:jc w:val="both"/>
        <w:rPr>
          <w:rFonts w:ascii="Verdana" w:eastAsia="Calibri" w:hAnsi="Verdana" w:cs="Arial"/>
          <w:b/>
          <w:bCs/>
          <w:color w:val="000000"/>
          <w:szCs w:val="24"/>
          <w:lang w:val="es-ES" w:eastAsia="es-ES_tradnl"/>
        </w:rPr>
      </w:pPr>
    </w:p>
    <w:p w14:paraId="427C54AD" w14:textId="77777777" w:rsidR="00037B4E" w:rsidRPr="00EE2281" w:rsidRDefault="00037B4E" w:rsidP="00037B4E">
      <w:pPr>
        <w:spacing w:after="0" w:line="240" w:lineRule="auto"/>
        <w:jc w:val="both"/>
        <w:rPr>
          <w:rFonts w:ascii="Verdana" w:eastAsia="Calibri" w:hAnsi="Verdana" w:cs="Arial"/>
          <w:color w:val="000000"/>
          <w:sz w:val="20"/>
          <w:szCs w:val="20"/>
          <w:lang w:val="es-ES" w:eastAsia="es-ES_tradnl"/>
        </w:rPr>
      </w:pPr>
      <w:r w:rsidRPr="00EE2281">
        <w:rPr>
          <w:rFonts w:ascii="Verdana" w:eastAsia="Calibri" w:hAnsi="Verdana" w:cs="Arial"/>
          <w:color w:val="000000"/>
          <w:sz w:val="20"/>
          <w:szCs w:val="20"/>
          <w:lang w:val="es-ES" w:eastAsia="es-ES_tradnl"/>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etc. </w:t>
      </w:r>
    </w:p>
    <w:p w14:paraId="36C94392" w14:textId="77777777" w:rsidR="00037B4E" w:rsidRPr="00EE2281" w:rsidRDefault="00037B4E" w:rsidP="00037B4E">
      <w:pPr>
        <w:spacing w:after="0" w:line="240" w:lineRule="auto"/>
        <w:jc w:val="both"/>
        <w:rPr>
          <w:rFonts w:ascii="Verdana" w:eastAsia="Calibri" w:hAnsi="Verdana" w:cs="Arial"/>
          <w:color w:val="000000"/>
          <w:sz w:val="20"/>
          <w:szCs w:val="20"/>
          <w:lang w:val="es-ES" w:eastAsia="es-ES_tradnl"/>
        </w:rPr>
      </w:pPr>
    </w:p>
    <w:p w14:paraId="6231FFE5" w14:textId="77777777" w:rsidR="00037B4E" w:rsidRPr="00EE2281" w:rsidRDefault="00037B4E" w:rsidP="00037B4E">
      <w:pPr>
        <w:spacing w:after="0" w:line="240" w:lineRule="auto"/>
        <w:jc w:val="both"/>
        <w:rPr>
          <w:rFonts w:ascii="Verdana" w:eastAsia="Calibri" w:hAnsi="Verdana" w:cs="Arial"/>
          <w:color w:val="000000"/>
          <w:sz w:val="20"/>
          <w:szCs w:val="20"/>
          <w:lang w:val="es-ES" w:eastAsia="es-ES_tradnl"/>
        </w:rPr>
      </w:pPr>
      <w:r w:rsidRPr="00EE2281">
        <w:rPr>
          <w:rFonts w:ascii="Verdana" w:eastAsia="Calibri" w:hAnsi="Verdana" w:cs="Arial"/>
          <w:color w:val="000000"/>
          <w:sz w:val="20"/>
          <w:szCs w:val="20"/>
          <w:lang w:val="es-ES" w:eastAsia="es-ES_tradnl"/>
        </w:rPr>
        <w:t>En ese sentido, la persona a la que la entidad contrata directamente es aquella que se considera que cumple con lo requerido para satisfacer la necesidad contractual. Esa consideración de la entidad contratante será objetiva en la medida en que se cumpla con el principio de planeación, que se refleja principalmente en los estudios previos y en el acto administrativo que justifica la contratación directa, en los casos en que aplica. De esta manera, aunque la contratación sea directa, como ya se explicó, esto no implica que la entidad no deba definir las condiciones del contratista que está en capacidad de cumplir el contrato, lo cual es un elemento común entre las modalidades de selección competitivas y no competitivas.</w:t>
      </w:r>
    </w:p>
    <w:p w14:paraId="3332D573" w14:textId="77777777" w:rsidR="00037B4E" w:rsidRPr="00EE2281" w:rsidRDefault="00037B4E" w:rsidP="00037B4E">
      <w:pPr>
        <w:spacing w:after="0" w:line="240" w:lineRule="auto"/>
        <w:rPr>
          <w:rFonts w:ascii="Verdana" w:eastAsia="Times New Roman" w:hAnsi="Verdana" w:cs="Arial"/>
          <w:noProof/>
          <w:color w:val="000000"/>
          <w:lang w:val="es-ES_tradnl" w:eastAsia="es-ES_tradnl"/>
        </w:rPr>
      </w:pPr>
    </w:p>
    <w:p w14:paraId="40336DC6" w14:textId="77777777" w:rsidR="00037B4E" w:rsidRPr="00EE2281" w:rsidRDefault="00037B4E" w:rsidP="00037B4E">
      <w:pPr>
        <w:spacing w:after="0" w:line="240" w:lineRule="auto"/>
        <w:jc w:val="both"/>
        <w:rPr>
          <w:rFonts w:ascii="Verdana" w:eastAsia="Times New Roman" w:hAnsi="Verdana" w:cs="Arial"/>
          <w:b/>
          <w:noProof/>
          <w:color w:val="000000"/>
          <w:lang w:val="es-ES_tradnl" w:eastAsia="es-ES_tradnl"/>
        </w:rPr>
      </w:pPr>
      <w:r w:rsidRPr="00EE2281">
        <w:rPr>
          <w:rFonts w:ascii="Verdana" w:eastAsia="Times New Roman" w:hAnsi="Verdana" w:cs="Arial"/>
          <w:b/>
          <w:noProof/>
          <w:color w:val="000000"/>
          <w:lang w:val="es-ES_tradnl" w:eastAsia="es-ES_tradnl"/>
        </w:rPr>
        <w:t>ALCANCE DE LA CONTRATACIÓN DIRECTA – Causal del artículo 2 numeral 4 literal i de la Ley 1150 de 2007 – interpretación restrictiva – arrendamiento de bienes inmuebles</w:t>
      </w:r>
    </w:p>
    <w:p w14:paraId="10072C55" w14:textId="77777777" w:rsidR="00037B4E" w:rsidRPr="00EE2281" w:rsidRDefault="00037B4E" w:rsidP="00037B4E">
      <w:pPr>
        <w:spacing w:after="0" w:line="240" w:lineRule="auto"/>
        <w:rPr>
          <w:rFonts w:ascii="Verdana" w:eastAsia="Times New Roman" w:hAnsi="Verdana" w:cs="Arial"/>
          <w:bCs/>
          <w:color w:val="000000"/>
          <w:sz w:val="20"/>
          <w:szCs w:val="20"/>
          <w:lang w:val="es-ES_tradnl" w:eastAsia="es-ES"/>
        </w:rPr>
      </w:pPr>
    </w:p>
    <w:p w14:paraId="6A820505" w14:textId="54B67DCB" w:rsidR="00037B4E" w:rsidRDefault="00037B4E" w:rsidP="00320B30">
      <w:pPr>
        <w:tabs>
          <w:tab w:val="left" w:pos="426"/>
        </w:tabs>
        <w:spacing w:after="0" w:line="240" w:lineRule="auto"/>
        <w:jc w:val="both"/>
        <w:rPr>
          <w:rFonts w:ascii="Verdana" w:eastAsia="Times New Roman" w:hAnsi="Verdana" w:cs="Arial"/>
          <w:sz w:val="20"/>
          <w:szCs w:val="20"/>
          <w:lang w:eastAsia="es-ES_tradnl"/>
        </w:rPr>
      </w:pPr>
      <w:r w:rsidRPr="00EE2281">
        <w:rPr>
          <w:rFonts w:ascii="Verdana" w:eastAsia="Times New Roman" w:hAnsi="Verdana" w:cs="Arial"/>
          <w:sz w:val="20"/>
          <w:szCs w:val="20"/>
          <w:lang w:val="es-ES_tradnl" w:eastAsia="es-ES_tradnl"/>
        </w:rPr>
        <w:t xml:space="preserve">[…] </w:t>
      </w:r>
      <w:r w:rsidRPr="00037B4E">
        <w:rPr>
          <w:rFonts w:ascii="Verdana" w:eastAsia="Times New Roman" w:hAnsi="Verdana" w:cs="Arial"/>
          <w:sz w:val="20"/>
          <w:szCs w:val="20"/>
          <w:lang w:eastAsia="es-ES_tradnl"/>
        </w:rPr>
        <w:t xml:space="preserve">la contratación directa como modalidad de selección regulada en la Ley está condicionada a la aplicación de sus causales de forma estricta y restrictiva, por lo que, tratándose de la causal analizada no es posible ampliar su alcance al arrendamiento de bienes muebles. En este sentido, no es posible realizar interpretaciones amplias, pues la finalidad de la norma es que la contratación directa sea una excepción a la libre concurrencia de oferentes y no un fundamento para impedir o restringir la competencia, </w:t>
      </w:r>
      <w:r w:rsidRPr="00037B4E">
        <w:rPr>
          <w:rFonts w:ascii="Verdana" w:eastAsia="Times New Roman" w:hAnsi="Verdana" w:cs="Arial"/>
          <w:sz w:val="20"/>
          <w:szCs w:val="20"/>
          <w:lang w:eastAsia="es-ES_tradnl"/>
        </w:rPr>
        <w:lastRenderedPageBreak/>
        <w:t xml:space="preserve">teniendo en cuenta el cumplimiento de los principios de la contratación, de la función administrativa y de la gestión fiscal. </w:t>
      </w:r>
    </w:p>
    <w:p w14:paraId="7804A5D1" w14:textId="77777777" w:rsidR="00320B30" w:rsidRPr="00037B4E" w:rsidRDefault="00320B30" w:rsidP="00320B30">
      <w:pPr>
        <w:tabs>
          <w:tab w:val="left" w:pos="426"/>
        </w:tabs>
        <w:spacing w:after="0" w:line="240" w:lineRule="auto"/>
        <w:jc w:val="both"/>
        <w:rPr>
          <w:rFonts w:ascii="Verdana" w:eastAsia="Times New Roman" w:hAnsi="Verdana" w:cs="Arial"/>
          <w:sz w:val="20"/>
          <w:szCs w:val="20"/>
          <w:lang w:eastAsia="es-ES_tradnl"/>
        </w:rPr>
      </w:pPr>
    </w:p>
    <w:p w14:paraId="19078A17" w14:textId="090257A6" w:rsidR="00037B4E" w:rsidRDefault="00037B4E" w:rsidP="00320B30">
      <w:pPr>
        <w:tabs>
          <w:tab w:val="left" w:pos="426"/>
        </w:tabs>
        <w:spacing w:after="0" w:line="240" w:lineRule="auto"/>
        <w:jc w:val="both"/>
        <w:rPr>
          <w:rFonts w:ascii="Verdana" w:eastAsia="Times New Roman" w:hAnsi="Verdana" w:cs="Arial"/>
          <w:sz w:val="20"/>
          <w:szCs w:val="20"/>
          <w:lang w:eastAsia="es-ES_tradnl"/>
        </w:rPr>
      </w:pPr>
      <w:r w:rsidRPr="00037B4E">
        <w:rPr>
          <w:rFonts w:ascii="Verdana" w:eastAsia="Times New Roman" w:hAnsi="Verdana" w:cs="Arial"/>
          <w:sz w:val="20"/>
          <w:szCs w:val="20"/>
          <w:lang w:eastAsia="es-ES_tradnl"/>
        </w:rPr>
        <w:t xml:space="preserve">Se considera que el arrendamiento de bienes muebles no se ajusta a la causal de contratación directa estudiada. Por tanto, para arrendar este tipo de bienes la entidad deberá establecer bajo qué modalidad de selección –licitación pública, selección abreviada o mínima cuantía– debe adelantar, garantizando la libre concurrencia de proponentes. Por otro lado, como también se señaló las consideraciones anteriores, la contratación directa del arrendamiento –o la adquisición– de bienes inmuebles debe garantizar las reglas y principios del Estatuto General de Contratación de la Administración Pública.  </w:t>
      </w:r>
    </w:p>
    <w:p w14:paraId="39E92A36" w14:textId="77777777" w:rsidR="00320B30" w:rsidRPr="00037B4E" w:rsidRDefault="00320B30" w:rsidP="00320B30">
      <w:pPr>
        <w:tabs>
          <w:tab w:val="left" w:pos="426"/>
        </w:tabs>
        <w:spacing w:after="0" w:line="240" w:lineRule="auto"/>
        <w:jc w:val="both"/>
        <w:rPr>
          <w:rFonts w:ascii="Verdana" w:eastAsia="Times New Roman" w:hAnsi="Verdana" w:cs="Arial"/>
          <w:sz w:val="20"/>
          <w:szCs w:val="20"/>
          <w:lang w:eastAsia="es-ES_tradnl"/>
        </w:rPr>
      </w:pPr>
    </w:p>
    <w:p w14:paraId="51495A7D" w14:textId="0CA088AC" w:rsidR="00037B4E" w:rsidRPr="00037B4E" w:rsidRDefault="00037B4E" w:rsidP="00320B30">
      <w:pPr>
        <w:tabs>
          <w:tab w:val="left" w:pos="426"/>
        </w:tabs>
        <w:spacing w:after="0" w:line="240" w:lineRule="auto"/>
        <w:jc w:val="both"/>
        <w:rPr>
          <w:rFonts w:ascii="Verdana" w:eastAsia="Times New Roman" w:hAnsi="Verdana" w:cs="Arial"/>
          <w:sz w:val="20"/>
          <w:szCs w:val="20"/>
          <w:lang w:eastAsia="es-ES_tradnl"/>
        </w:rPr>
      </w:pPr>
      <w:r w:rsidRPr="00037B4E">
        <w:rPr>
          <w:rFonts w:ascii="Verdana" w:eastAsia="Times New Roman" w:hAnsi="Verdana" w:cs="Arial"/>
          <w:sz w:val="20"/>
          <w:szCs w:val="20"/>
          <w:lang w:eastAsia="es-ES_tradnl"/>
        </w:rPr>
        <w:t xml:space="preserve">En concordancia con lo anterior, el Decreto Reglamentario 1082 de 2015, en su artículo 2.2.1.2.1.4.1, establece que la entidad estatal debe justificar la causal de contratación directa mediante la expedición de un acto administrativo. Por estas razones, cobra importancia la referencia hecha al principio de planeación en la contratación estatal, ya que el desarrollo que realizó el decreto reglamentario, específicamente de la causal contenida en el literal i) del numeral 4 del artículo 2 de la Ley 1150 de 2007, </w:t>
      </w:r>
      <w:r w:rsidRPr="00037B4E">
        <w:rPr>
          <w:rFonts w:ascii="Verdana" w:eastAsia="Times New Roman" w:hAnsi="Verdana" w:cs="Arial"/>
          <w:sz w:val="20"/>
          <w:szCs w:val="20"/>
          <w:lang w:val="es-MX" w:eastAsia="es-ES_tradnl"/>
        </w:rPr>
        <w:t>prevé la obligación de la entidad contratante de </w:t>
      </w:r>
      <w:r w:rsidRPr="00037B4E">
        <w:rPr>
          <w:rFonts w:ascii="Verdana" w:eastAsia="Times New Roman" w:hAnsi="Verdana" w:cs="Arial"/>
          <w:sz w:val="20"/>
          <w:szCs w:val="20"/>
          <w:lang w:eastAsia="es-ES_tradnl"/>
        </w:rPr>
        <w:t xml:space="preserve">sustentar, con base en los estudios previos realizados, el arrendamiento de bienes inmuebles. </w:t>
      </w:r>
    </w:p>
    <w:p w14:paraId="23AE724D" w14:textId="736B4CDB" w:rsidR="00037B4E" w:rsidRPr="00EE2281" w:rsidRDefault="00037B4E" w:rsidP="00037B4E">
      <w:pPr>
        <w:spacing w:after="0" w:line="240" w:lineRule="auto"/>
        <w:rPr>
          <w:rFonts w:ascii="Verdana" w:eastAsia="Times New Roman" w:hAnsi="Verdana" w:cs="Arial"/>
          <w:bCs/>
          <w:color w:val="000000"/>
          <w:sz w:val="20"/>
          <w:szCs w:val="20"/>
          <w:lang w:val="es-ES_tradnl" w:eastAsia="es-ES"/>
        </w:rPr>
      </w:pPr>
    </w:p>
    <w:p w14:paraId="7663B622" w14:textId="77777777" w:rsidR="00037B4E" w:rsidRPr="00EE2281" w:rsidRDefault="00037B4E" w:rsidP="00037B4E">
      <w:pPr>
        <w:spacing w:after="0" w:line="240" w:lineRule="auto"/>
        <w:rPr>
          <w:rFonts w:ascii="Verdana" w:eastAsia="Times New Roman" w:hAnsi="Verdana" w:cs="Arial"/>
          <w:b/>
          <w:color w:val="000000"/>
          <w:lang w:eastAsia="es-ES"/>
        </w:rPr>
      </w:pPr>
      <w:r w:rsidRPr="00EE2281">
        <w:rPr>
          <w:rFonts w:ascii="Verdana" w:eastAsia="Times New Roman" w:hAnsi="Verdana" w:cs="Arial"/>
          <w:b/>
          <w:color w:val="000000"/>
          <w:lang w:eastAsia="es-ES"/>
        </w:rPr>
        <w:t xml:space="preserve">CONTRATACIÓN DIRECTA – Estudio del mercado y análisis del sector </w:t>
      </w:r>
    </w:p>
    <w:p w14:paraId="6A4F1F19" w14:textId="77777777" w:rsidR="00037B4E" w:rsidRPr="00EE2281" w:rsidRDefault="00037B4E" w:rsidP="00037B4E">
      <w:pPr>
        <w:spacing w:after="0" w:line="240" w:lineRule="auto"/>
        <w:rPr>
          <w:rFonts w:ascii="Verdana" w:eastAsia="Times New Roman" w:hAnsi="Verdana" w:cs="Arial"/>
          <w:b/>
          <w:color w:val="000000"/>
          <w:sz w:val="24"/>
          <w:szCs w:val="24"/>
          <w:lang w:eastAsia="es-ES"/>
        </w:rPr>
      </w:pPr>
    </w:p>
    <w:p w14:paraId="2D612445" w14:textId="77777777" w:rsidR="00320B30" w:rsidRPr="00320B30" w:rsidRDefault="00320B30" w:rsidP="00320B30">
      <w:pPr>
        <w:spacing w:after="0" w:line="240" w:lineRule="auto"/>
        <w:jc w:val="both"/>
        <w:rPr>
          <w:rFonts w:ascii="Verdana" w:eastAsia="Times New Roman" w:hAnsi="Verdana" w:cs="Arial"/>
          <w:bCs/>
          <w:sz w:val="20"/>
          <w:szCs w:val="20"/>
          <w:lang w:val="es-ES_tradnl" w:eastAsia="es-ES_tradnl"/>
        </w:rPr>
      </w:pPr>
      <w:r w:rsidRPr="00320B30">
        <w:rPr>
          <w:rFonts w:ascii="Verdana" w:eastAsia="Times New Roman" w:hAnsi="Verdana" w:cs="Arial"/>
          <w:bCs/>
          <w:sz w:val="20"/>
          <w:szCs w:val="20"/>
          <w:lang w:val="es-ES_tradnl" w:eastAsia="es-ES_tradnl"/>
        </w:rPr>
        <w:t xml:space="preserve">Para cumplir este objetivo es necesario el estudio del mercado y el análisis del sector económico y de los oferentes, actividad de planeación previa que sirve para identificar aspectos concretos del mercado. De esta manera, lo que se identifique en dicho análisis puede afectar el proceso de selección o las condiciones del negocio a realizar a través del proceso de contratación de bienes, obras o servicios. </w:t>
      </w:r>
      <w:r w:rsidRPr="00320B30">
        <w:rPr>
          <w:rFonts w:ascii="Verdana" w:eastAsia="Times New Roman" w:hAnsi="Verdana" w:cs="Arial"/>
          <w:bCs/>
          <w:sz w:val="20"/>
          <w:szCs w:val="20"/>
          <w:lang w:val="es-MX" w:eastAsia="es-ES_tradnl"/>
        </w:rPr>
        <w:t> </w:t>
      </w:r>
    </w:p>
    <w:p w14:paraId="5E221AE5" w14:textId="77777777" w:rsidR="00320B30" w:rsidRDefault="00320B30" w:rsidP="00320B30">
      <w:pPr>
        <w:spacing w:after="0" w:line="240" w:lineRule="auto"/>
        <w:jc w:val="both"/>
        <w:rPr>
          <w:rFonts w:ascii="Verdana" w:eastAsia="Times New Roman" w:hAnsi="Verdana" w:cs="Arial"/>
          <w:bCs/>
          <w:sz w:val="20"/>
          <w:szCs w:val="20"/>
          <w:lang w:val="es-MX" w:eastAsia="es-ES_tradnl"/>
        </w:rPr>
      </w:pPr>
    </w:p>
    <w:p w14:paraId="02B930FB" w14:textId="47C7FC2D" w:rsidR="00320B30" w:rsidRPr="00320B30" w:rsidRDefault="00320B30" w:rsidP="00320B30">
      <w:pPr>
        <w:spacing w:after="0" w:line="240" w:lineRule="auto"/>
        <w:jc w:val="both"/>
        <w:rPr>
          <w:rFonts w:ascii="Verdana" w:eastAsia="Times New Roman" w:hAnsi="Verdana" w:cs="Arial"/>
          <w:bCs/>
          <w:sz w:val="20"/>
          <w:szCs w:val="20"/>
          <w:lang w:val="es-MX" w:eastAsia="es-ES_tradnl"/>
        </w:rPr>
      </w:pPr>
      <w:r w:rsidRPr="00320B30">
        <w:rPr>
          <w:rFonts w:ascii="Verdana" w:eastAsia="Times New Roman" w:hAnsi="Verdana" w:cs="Arial"/>
          <w:bCs/>
          <w:sz w:val="20"/>
          <w:szCs w:val="20"/>
          <w:lang w:val="es-MX" w:eastAsia="es-ES_tradnl"/>
        </w:rPr>
        <w:t xml:space="preserve">Un análisis de los principios de planeación y de economía busca comprobar que su aplicación se extiende también a los procesos de contratación directa, en la medida en que la entidad debe tener seguridad sobre el mercado en el cual contratará el bien o servicio y, hecha esa verificación, podría seleccionar la mejor opción para cumplir con la necesidad de la entidad pública. </w:t>
      </w:r>
    </w:p>
    <w:p w14:paraId="2F184B58" w14:textId="77777777" w:rsidR="00037B4E" w:rsidRDefault="00037B4E" w:rsidP="006A0F21">
      <w:pPr>
        <w:spacing w:after="0"/>
        <w:rPr>
          <w:rFonts w:ascii="Verdana" w:hAnsi="Verdana"/>
        </w:rPr>
      </w:pPr>
    </w:p>
    <w:p w14:paraId="51D687D7" w14:textId="77777777" w:rsidR="00037B4E" w:rsidRDefault="00037B4E" w:rsidP="006A0F21">
      <w:pPr>
        <w:spacing w:after="0"/>
        <w:rPr>
          <w:rFonts w:ascii="Verdana" w:hAnsi="Verdana"/>
        </w:rPr>
      </w:pPr>
    </w:p>
    <w:p w14:paraId="146E5B16" w14:textId="77777777" w:rsidR="00037B4E" w:rsidRDefault="00037B4E" w:rsidP="006A0F21">
      <w:pPr>
        <w:spacing w:after="0"/>
        <w:rPr>
          <w:rFonts w:ascii="Verdana" w:hAnsi="Verdana"/>
        </w:rPr>
      </w:pPr>
    </w:p>
    <w:p w14:paraId="2FE4C1C1" w14:textId="77777777" w:rsidR="00037B4E" w:rsidRDefault="00037B4E" w:rsidP="006A0F21">
      <w:pPr>
        <w:spacing w:after="0"/>
        <w:rPr>
          <w:rFonts w:ascii="Verdana" w:hAnsi="Verdana"/>
        </w:rPr>
      </w:pPr>
    </w:p>
    <w:p w14:paraId="348A4B3B" w14:textId="77777777" w:rsidR="00037B4E" w:rsidRDefault="00037B4E" w:rsidP="006A0F21">
      <w:pPr>
        <w:spacing w:after="0"/>
        <w:rPr>
          <w:rFonts w:ascii="Verdana" w:hAnsi="Verdana"/>
        </w:rPr>
      </w:pPr>
    </w:p>
    <w:p w14:paraId="5A47B0A9" w14:textId="77777777" w:rsidR="00037B4E" w:rsidRDefault="00037B4E" w:rsidP="006A0F21">
      <w:pPr>
        <w:spacing w:after="0"/>
        <w:rPr>
          <w:rFonts w:ascii="Verdana" w:hAnsi="Verdana"/>
        </w:rPr>
      </w:pPr>
    </w:p>
    <w:p w14:paraId="79C23971" w14:textId="77777777" w:rsidR="00037B4E" w:rsidRDefault="00037B4E" w:rsidP="006A0F21">
      <w:pPr>
        <w:spacing w:after="0"/>
        <w:rPr>
          <w:rFonts w:ascii="Verdana" w:hAnsi="Verdana"/>
        </w:rPr>
      </w:pPr>
    </w:p>
    <w:p w14:paraId="661AC006" w14:textId="77777777" w:rsidR="00037B4E" w:rsidRDefault="00037B4E" w:rsidP="006A0F21">
      <w:pPr>
        <w:spacing w:after="0"/>
        <w:rPr>
          <w:rFonts w:ascii="Verdana" w:hAnsi="Verdana"/>
        </w:rPr>
      </w:pPr>
    </w:p>
    <w:p w14:paraId="45D4890D" w14:textId="77777777" w:rsidR="00037B4E" w:rsidRDefault="00037B4E" w:rsidP="006A0F21">
      <w:pPr>
        <w:spacing w:after="0"/>
        <w:rPr>
          <w:rFonts w:ascii="Verdana" w:hAnsi="Verdana"/>
        </w:rPr>
      </w:pPr>
    </w:p>
    <w:p w14:paraId="0384C1EC" w14:textId="77777777" w:rsidR="00037B4E" w:rsidRDefault="00037B4E" w:rsidP="006A0F21">
      <w:pPr>
        <w:spacing w:after="0"/>
        <w:rPr>
          <w:rFonts w:ascii="Verdana" w:hAnsi="Verdana"/>
        </w:rPr>
      </w:pPr>
    </w:p>
    <w:p w14:paraId="429DFF1E" w14:textId="77777777" w:rsidR="00037B4E" w:rsidRDefault="00037B4E" w:rsidP="006A0F21">
      <w:pPr>
        <w:spacing w:after="0"/>
        <w:rPr>
          <w:rFonts w:ascii="Verdana" w:hAnsi="Verdana"/>
        </w:rPr>
      </w:pPr>
    </w:p>
    <w:p w14:paraId="4EDD5FBF" w14:textId="77777777" w:rsidR="00037B4E" w:rsidRDefault="00037B4E" w:rsidP="006A0F21">
      <w:pPr>
        <w:spacing w:after="0"/>
        <w:rPr>
          <w:rFonts w:ascii="Verdana" w:hAnsi="Verdana"/>
        </w:rPr>
      </w:pPr>
    </w:p>
    <w:p w14:paraId="5908FE28" w14:textId="5217F16D" w:rsidR="006A0F21" w:rsidRPr="006A0F21" w:rsidRDefault="00037B4E" w:rsidP="006A0F21">
      <w:pPr>
        <w:spacing w:after="0"/>
        <w:rPr>
          <w:rFonts w:ascii="Verdana" w:hAnsi="Verdana"/>
        </w:rPr>
      </w:pPr>
      <w:r w:rsidRPr="00037B4E">
        <w:rPr>
          <w:rFonts w:ascii="Verdana" w:hAnsi="Verdana"/>
          <w:noProof/>
          <w:lang w:val="en-US"/>
        </w:rPr>
        <w:lastRenderedPageBreak/>
        <w:drawing>
          <wp:anchor distT="0" distB="0" distL="114300" distR="114300" simplePos="0" relativeHeight="251658240" behindDoc="0" locked="0" layoutInCell="1" allowOverlap="1" wp14:anchorId="40CDF015" wp14:editId="46AF300A">
            <wp:simplePos x="0" y="0"/>
            <wp:positionH relativeFrom="column">
              <wp:posOffset>2796540</wp:posOffset>
            </wp:positionH>
            <wp:positionV relativeFrom="paragraph">
              <wp:posOffset>154940</wp:posOffset>
            </wp:positionV>
            <wp:extent cx="2888615" cy="800100"/>
            <wp:effectExtent l="0" t="0" r="698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861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0F21" w:rsidRPr="006A0F21">
        <w:rPr>
          <w:rFonts w:ascii="Verdana" w:hAnsi="Verdana"/>
        </w:rPr>
        <w:t>Bogotá D.C.,</w:t>
      </w:r>
      <w:r>
        <w:rPr>
          <w:rFonts w:ascii="Verdana" w:hAnsi="Verdana"/>
        </w:rPr>
        <w:t xml:space="preserve"> 30 de mayo de 2025</w:t>
      </w:r>
    </w:p>
    <w:p w14:paraId="490B3AB1" w14:textId="77777777" w:rsidR="006A0F21" w:rsidRPr="00037B4E" w:rsidRDefault="006A0F21" w:rsidP="006A0F21">
      <w:pPr>
        <w:spacing w:after="0" w:line="240" w:lineRule="auto"/>
        <w:rPr>
          <w:rFonts w:eastAsia="Calibri" w:cs="Arial"/>
          <w:b/>
          <w:bCs/>
          <w:color w:val="000000"/>
          <w:szCs w:val="24"/>
          <w:lang w:eastAsia="es-ES_tradnl"/>
        </w:rPr>
      </w:pPr>
    </w:p>
    <w:p w14:paraId="4ED7834C" w14:textId="546A3DC1" w:rsidR="006A0F21" w:rsidRDefault="006A0F21" w:rsidP="006A0F21">
      <w:pPr>
        <w:spacing w:after="0" w:line="240" w:lineRule="auto"/>
        <w:rPr>
          <w:rFonts w:eastAsia="Calibri" w:cs="Arial"/>
          <w:b/>
          <w:bCs/>
          <w:color w:val="000000"/>
          <w:szCs w:val="24"/>
          <w:lang w:val="es-ES" w:eastAsia="es-ES_tradnl"/>
        </w:rPr>
      </w:pPr>
    </w:p>
    <w:p w14:paraId="0ACFF301" w14:textId="77777777" w:rsidR="00037B4E" w:rsidRPr="006A0F21" w:rsidRDefault="00037B4E" w:rsidP="006A0F21">
      <w:pPr>
        <w:spacing w:after="0" w:line="240" w:lineRule="auto"/>
        <w:rPr>
          <w:rFonts w:eastAsia="Calibri" w:cs="Arial"/>
          <w:b/>
          <w:bCs/>
          <w:color w:val="000000"/>
          <w:szCs w:val="24"/>
          <w:lang w:val="es-ES" w:eastAsia="es-ES_tradnl"/>
        </w:rPr>
      </w:pPr>
    </w:p>
    <w:p w14:paraId="3CD4E323" w14:textId="77777777" w:rsidR="006A0F21" w:rsidRPr="006A0F21" w:rsidRDefault="006A0F21" w:rsidP="006A0F21">
      <w:pPr>
        <w:spacing w:after="0" w:line="240" w:lineRule="auto"/>
        <w:rPr>
          <w:rFonts w:ascii="Verdana" w:eastAsia="Calibri" w:hAnsi="Verdana" w:cs="Times New Roman"/>
          <w:lang w:val="es-MX"/>
        </w:rPr>
      </w:pPr>
      <w:r w:rsidRPr="006A0F21">
        <w:rPr>
          <w:rFonts w:ascii="Verdana" w:eastAsia="Calibri" w:hAnsi="Verdana" w:cs="Times New Roman"/>
          <w:lang w:val="es-MX"/>
        </w:rPr>
        <w:t>Señor</w:t>
      </w:r>
    </w:p>
    <w:p w14:paraId="4E1A781A" w14:textId="77777777" w:rsidR="006A0F21" w:rsidRPr="006A0F21" w:rsidRDefault="006A0F21" w:rsidP="006A0F21">
      <w:pPr>
        <w:spacing w:after="0" w:line="240" w:lineRule="auto"/>
        <w:rPr>
          <w:rFonts w:ascii="Verdana" w:eastAsia="Calibri" w:hAnsi="Verdana" w:cs="Times New Roman"/>
          <w:b/>
          <w:lang w:val="es-MX"/>
        </w:rPr>
      </w:pPr>
      <w:r w:rsidRPr="006A0F21">
        <w:rPr>
          <w:rFonts w:ascii="Verdana" w:eastAsia="Calibri" w:hAnsi="Verdana" w:cs="Times New Roman"/>
          <w:b/>
          <w:lang w:val="es-MX"/>
        </w:rPr>
        <w:t>Carlos Alberto Londoño Quintero</w:t>
      </w:r>
    </w:p>
    <w:p w14:paraId="687E54BC" w14:textId="77777777" w:rsidR="006A0F21" w:rsidRPr="006A0F21" w:rsidRDefault="006A0F21" w:rsidP="006A0F21">
      <w:pPr>
        <w:spacing w:after="0" w:line="240" w:lineRule="auto"/>
        <w:rPr>
          <w:rFonts w:ascii="Verdana" w:eastAsia="Calibri" w:hAnsi="Verdana" w:cs="Times New Roman"/>
        </w:rPr>
      </w:pPr>
      <w:r w:rsidRPr="006A0F21">
        <w:rPr>
          <w:rFonts w:ascii="Verdana" w:eastAsia="Calibri" w:hAnsi="Verdana" w:cs="Times New Roman"/>
        </w:rPr>
        <w:t>Bogotá D.C.</w:t>
      </w:r>
    </w:p>
    <w:p w14:paraId="5185A196" w14:textId="77777777" w:rsidR="006A0F21" w:rsidRPr="006A0F21" w:rsidRDefault="006A0F21" w:rsidP="006A0F21">
      <w:pPr>
        <w:spacing w:after="0" w:line="256" w:lineRule="auto"/>
        <w:rPr>
          <w:rFonts w:ascii="Verdana" w:eastAsia="Calibri" w:hAnsi="Verdana" w:cs="Times New Roman"/>
        </w:rPr>
      </w:pPr>
      <w:hyperlink r:id="rId12" w:history="1">
        <w:r w:rsidRPr="006A0F21">
          <w:rPr>
            <w:rFonts w:ascii="Verdana" w:eastAsia="Calibri" w:hAnsi="Verdana" w:cs="Times New Roman"/>
            <w:color w:val="0000FF"/>
            <w:u w:val="single"/>
          </w:rPr>
          <w:t>lonquintero@yahoo.es</w:t>
        </w:r>
      </w:hyperlink>
      <w:r w:rsidRPr="006A0F21">
        <w:rPr>
          <w:rFonts w:ascii="Verdana" w:eastAsia="Calibri" w:hAnsi="Verdana" w:cs="Times New Roman"/>
        </w:rPr>
        <w:t xml:space="preserve"> </w:t>
      </w:r>
    </w:p>
    <w:p w14:paraId="0E94E9E9" w14:textId="77777777" w:rsidR="006A0F21" w:rsidRPr="006A0F21" w:rsidRDefault="006A0F21" w:rsidP="006A0F21">
      <w:pPr>
        <w:spacing w:after="0" w:line="256" w:lineRule="auto"/>
        <w:rPr>
          <w:rFonts w:ascii="Verdana" w:eastAsia="Calibri" w:hAnsi="Verdana" w:cs="Times New Roman"/>
        </w:rPr>
      </w:pPr>
    </w:p>
    <w:p w14:paraId="01DE5123" w14:textId="77777777" w:rsidR="006A0F21" w:rsidRPr="006A0F21" w:rsidRDefault="006A0F21" w:rsidP="006A0F21">
      <w:pPr>
        <w:spacing w:after="0" w:line="256" w:lineRule="auto"/>
        <w:rPr>
          <w:rFonts w:ascii="Verdana" w:eastAsia="Calibri" w:hAnsi="Verdana" w:cs="Times New Roman"/>
        </w:rPr>
      </w:pPr>
    </w:p>
    <w:p w14:paraId="48DB55C0" w14:textId="77777777" w:rsidR="006A0F21" w:rsidRPr="006A0F21" w:rsidRDefault="006A0F21" w:rsidP="006A0F21">
      <w:pPr>
        <w:spacing w:after="0" w:line="256" w:lineRule="auto"/>
        <w:rPr>
          <w:rFonts w:ascii="Verdana" w:eastAsia="Calibri" w:hAnsi="Verdana" w:cs="Times New Roman"/>
          <w:b/>
          <w:bCs/>
          <w:lang w:val="es-ES"/>
        </w:rPr>
      </w:pPr>
      <w:r w:rsidRPr="006A0F21">
        <w:rPr>
          <w:rFonts w:ascii="Verdana" w:eastAsia="Calibri" w:hAnsi="Verdana" w:cs="Times New Roman"/>
          <w:b/>
          <w:bCs/>
          <w:lang w:val="es-ES"/>
        </w:rPr>
        <w:t xml:space="preserve">                                    Concepto C–564 de 2025</w:t>
      </w:r>
    </w:p>
    <w:p w14:paraId="21757CC6" w14:textId="77777777" w:rsidR="006A0F21" w:rsidRPr="006A0F21" w:rsidRDefault="006A0F21" w:rsidP="006A0F21">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A0F21" w:rsidRPr="006A0F21" w14:paraId="60D85167" w14:textId="77777777" w:rsidTr="008A464F">
        <w:trPr>
          <w:trHeight w:val="645"/>
        </w:trPr>
        <w:tc>
          <w:tcPr>
            <w:tcW w:w="2685" w:type="dxa"/>
            <w:hideMark/>
          </w:tcPr>
          <w:p w14:paraId="33407021" w14:textId="77777777" w:rsidR="006A0F21" w:rsidRPr="006A0F21" w:rsidRDefault="006A0F21" w:rsidP="006A0F21">
            <w:pPr>
              <w:spacing w:line="256" w:lineRule="auto"/>
              <w:rPr>
                <w:rFonts w:ascii="Verdana" w:hAnsi="Verdana"/>
                <w:b/>
                <w:bCs/>
                <w:lang w:val="es-ES_tradnl"/>
              </w:rPr>
            </w:pPr>
            <w:r w:rsidRPr="006A0F21">
              <w:rPr>
                <w:rFonts w:ascii="Verdana" w:hAnsi="Verdana"/>
                <w:b/>
                <w:bCs/>
                <w:lang w:val="es-ES_tradnl"/>
              </w:rPr>
              <w:t xml:space="preserve">Temas:                   </w:t>
            </w:r>
          </w:p>
        </w:tc>
        <w:tc>
          <w:tcPr>
            <w:tcW w:w="6241" w:type="dxa"/>
            <w:hideMark/>
          </w:tcPr>
          <w:p w14:paraId="4A1A5E4E" w14:textId="77777777" w:rsidR="006A0F21" w:rsidRPr="006A0F21" w:rsidRDefault="006A0F21" w:rsidP="006A0F21">
            <w:pPr>
              <w:jc w:val="both"/>
              <w:rPr>
                <w:rFonts w:ascii="Verdana" w:eastAsia="Times New Roman" w:hAnsi="Verdana" w:cs="Arial"/>
                <w:color w:val="000000"/>
                <w:lang w:eastAsia="es-ES"/>
              </w:rPr>
            </w:pPr>
            <w:r w:rsidRPr="006A0F21">
              <w:rPr>
                <w:rFonts w:ascii="Verdana" w:eastAsia="Times New Roman" w:hAnsi="Verdana" w:cs="Arial"/>
                <w:noProof/>
                <w:color w:val="000000"/>
                <w:lang w:val="es-ES_tradnl" w:eastAsia="es-ES_tradnl"/>
              </w:rPr>
              <w:t xml:space="preserve">CONTRATACIÓN DIRECTA – Características / PRINCIPIOS DE LA CONTRATACIÓN PÚBLICA – Contratación directa – Transparencia – Selección objetiva – Aplicación / ALCANCE DE LA CONTRATACIÓN DIRECTA – </w:t>
            </w:r>
            <w:r w:rsidRPr="006A0F21">
              <w:rPr>
                <w:rFonts w:ascii="Verdana" w:eastAsia="Times New Roman" w:hAnsi="Verdana" w:cs="Arial"/>
                <w:bCs/>
                <w:noProof/>
                <w:color w:val="000000"/>
                <w:lang w:val="es-ES_tradnl" w:eastAsia="es-ES_tradnl"/>
              </w:rPr>
              <w:t xml:space="preserve">Causal del artículo 2 numeral 4 literal i de la Ley 1150 de 2007 </w:t>
            </w:r>
            <w:r w:rsidRPr="006A0F21">
              <w:rPr>
                <w:rFonts w:ascii="Verdana" w:eastAsia="Times New Roman" w:hAnsi="Verdana" w:cs="Arial"/>
                <w:noProof/>
                <w:color w:val="000000"/>
                <w:lang w:val="es-ES_tradnl" w:eastAsia="es-ES_tradnl"/>
              </w:rPr>
              <w:t xml:space="preserve">– interpretación restrictiva – arrendamiento de bienes inmuebles / </w:t>
            </w:r>
            <w:r w:rsidRPr="006A0F21">
              <w:rPr>
                <w:rFonts w:ascii="Verdana" w:eastAsia="Times New Roman" w:hAnsi="Verdana" w:cs="Arial"/>
                <w:color w:val="000000"/>
                <w:lang w:eastAsia="es-ES"/>
              </w:rPr>
              <w:t>CONTRATACIÓN DIRECTA – Estudio del mercado y análisis del sector.</w:t>
            </w:r>
          </w:p>
        </w:tc>
        <w:tc>
          <w:tcPr>
            <w:tcW w:w="6237" w:type="dxa"/>
          </w:tcPr>
          <w:p w14:paraId="70A0B8A4" w14:textId="77777777" w:rsidR="006A0F21" w:rsidRPr="006A0F21" w:rsidRDefault="006A0F21" w:rsidP="006A0F21">
            <w:pPr>
              <w:spacing w:line="256" w:lineRule="auto"/>
              <w:rPr>
                <w:rFonts w:ascii="Verdana" w:hAnsi="Verdana"/>
              </w:rPr>
            </w:pPr>
          </w:p>
        </w:tc>
      </w:tr>
      <w:tr w:rsidR="006A0F21" w:rsidRPr="006A0F21" w14:paraId="3E5062AA" w14:textId="77777777" w:rsidTr="008A464F">
        <w:tc>
          <w:tcPr>
            <w:tcW w:w="2685" w:type="dxa"/>
          </w:tcPr>
          <w:p w14:paraId="65B7D6EC" w14:textId="77777777" w:rsidR="006A0F21" w:rsidRPr="006A0F21" w:rsidRDefault="006A0F21" w:rsidP="006A0F21">
            <w:pPr>
              <w:spacing w:line="256" w:lineRule="auto"/>
              <w:rPr>
                <w:rFonts w:ascii="Verdana" w:hAnsi="Verdana"/>
                <w:lang w:val="es-ES_tradnl"/>
              </w:rPr>
            </w:pPr>
          </w:p>
          <w:p w14:paraId="58BD1B43" w14:textId="77777777" w:rsidR="006A0F21" w:rsidRPr="006A0F21" w:rsidRDefault="006A0F21" w:rsidP="006A0F21">
            <w:pPr>
              <w:spacing w:line="256" w:lineRule="auto"/>
              <w:rPr>
                <w:rFonts w:ascii="Verdana" w:hAnsi="Verdana"/>
                <w:lang w:val="es-ES_tradnl"/>
              </w:rPr>
            </w:pPr>
          </w:p>
          <w:p w14:paraId="69CBB905" w14:textId="77777777" w:rsidR="006A0F21" w:rsidRPr="006A0F21" w:rsidRDefault="006A0F21" w:rsidP="006A0F21">
            <w:pPr>
              <w:spacing w:line="256" w:lineRule="auto"/>
              <w:rPr>
                <w:rFonts w:ascii="Verdana" w:hAnsi="Verdana"/>
                <w:b/>
                <w:bCs/>
                <w:lang w:val="es-ES_tradnl"/>
              </w:rPr>
            </w:pPr>
            <w:r w:rsidRPr="006A0F21">
              <w:rPr>
                <w:rFonts w:ascii="Verdana" w:hAnsi="Verdana"/>
                <w:b/>
                <w:bCs/>
                <w:lang w:val="es-ES_tradnl"/>
              </w:rPr>
              <w:t xml:space="preserve">Radicación:               </w:t>
            </w:r>
          </w:p>
        </w:tc>
        <w:tc>
          <w:tcPr>
            <w:tcW w:w="6241" w:type="dxa"/>
          </w:tcPr>
          <w:p w14:paraId="4785F34C" w14:textId="77777777" w:rsidR="006A0F21" w:rsidRPr="006A0F21" w:rsidRDefault="006A0F21" w:rsidP="006A0F21">
            <w:pPr>
              <w:spacing w:line="257" w:lineRule="auto"/>
              <w:rPr>
                <w:rFonts w:ascii="Verdana" w:hAnsi="Verdana"/>
                <w:lang w:val="es-ES_tradnl"/>
              </w:rPr>
            </w:pPr>
          </w:p>
          <w:p w14:paraId="78D37576" w14:textId="77777777" w:rsidR="006A0F21" w:rsidRPr="006A0F21" w:rsidRDefault="006A0F21" w:rsidP="006A0F21">
            <w:pPr>
              <w:spacing w:line="257" w:lineRule="auto"/>
              <w:rPr>
                <w:rFonts w:ascii="Verdana" w:hAnsi="Verdana"/>
                <w:lang w:val="es-ES_tradnl"/>
              </w:rPr>
            </w:pPr>
          </w:p>
          <w:p w14:paraId="634E1B50" w14:textId="77777777" w:rsidR="006A0F21" w:rsidRPr="006A0F21" w:rsidRDefault="006A0F21" w:rsidP="006A0F21">
            <w:pPr>
              <w:spacing w:line="257" w:lineRule="auto"/>
              <w:jc w:val="both"/>
              <w:rPr>
                <w:rFonts w:ascii="Verdana" w:hAnsi="Verdana"/>
              </w:rPr>
            </w:pPr>
            <w:r w:rsidRPr="006A0F21">
              <w:rPr>
                <w:rFonts w:ascii="Verdana" w:hAnsi="Verdana"/>
                <w:lang w:val="es-ES_tradnl"/>
              </w:rPr>
              <w:t xml:space="preserve">Respuesta a consulta con radicado No. </w:t>
            </w:r>
            <w:r w:rsidRPr="006A0F21">
              <w:rPr>
                <w:rFonts w:ascii="Verdana" w:hAnsi="Verdana"/>
              </w:rPr>
              <w:t xml:space="preserve">P20250509004423 </w:t>
            </w:r>
          </w:p>
          <w:p w14:paraId="467AB82F" w14:textId="77777777" w:rsidR="006A0F21" w:rsidRPr="006A0F21" w:rsidRDefault="006A0F21" w:rsidP="006A0F21">
            <w:pPr>
              <w:spacing w:line="257" w:lineRule="auto"/>
              <w:jc w:val="both"/>
              <w:rPr>
                <w:rFonts w:ascii="Verdana" w:hAnsi="Verdana"/>
              </w:rPr>
            </w:pPr>
          </w:p>
          <w:p w14:paraId="6CF8C108" w14:textId="77777777" w:rsidR="006A0F21" w:rsidRPr="006A0F21" w:rsidRDefault="006A0F21" w:rsidP="006A0F21">
            <w:pPr>
              <w:spacing w:line="257" w:lineRule="auto"/>
              <w:jc w:val="both"/>
              <w:rPr>
                <w:rFonts w:ascii="Verdana" w:hAnsi="Verdana"/>
              </w:rPr>
            </w:pPr>
          </w:p>
        </w:tc>
        <w:tc>
          <w:tcPr>
            <w:tcW w:w="6237" w:type="dxa"/>
          </w:tcPr>
          <w:p w14:paraId="1E124792" w14:textId="77777777" w:rsidR="006A0F21" w:rsidRPr="006A0F21" w:rsidRDefault="006A0F21" w:rsidP="006A0F21">
            <w:pPr>
              <w:spacing w:line="256" w:lineRule="auto"/>
              <w:rPr>
                <w:rFonts w:ascii="Verdana" w:hAnsi="Verdana"/>
                <w:lang w:val="es-ES_tradnl"/>
              </w:rPr>
            </w:pPr>
          </w:p>
        </w:tc>
      </w:tr>
    </w:tbl>
    <w:p w14:paraId="2CE5D732" w14:textId="77777777" w:rsidR="006A0F21" w:rsidRPr="006A0F21" w:rsidRDefault="006A0F21" w:rsidP="006A0F21">
      <w:pPr>
        <w:spacing w:after="0" w:line="256" w:lineRule="auto"/>
        <w:rPr>
          <w:rFonts w:ascii="Verdana" w:eastAsia="Calibri" w:hAnsi="Verdana" w:cs="Times New Roman"/>
          <w:lang w:val="es-ES"/>
        </w:rPr>
      </w:pPr>
      <w:r w:rsidRPr="006A0F21">
        <w:rPr>
          <w:rFonts w:ascii="Verdana" w:eastAsia="Calibri" w:hAnsi="Verdana" w:cs="Times New Roman"/>
          <w:lang w:val="es-ES"/>
        </w:rPr>
        <w:t xml:space="preserve">Estimada Señor Carlos Alberto: </w:t>
      </w:r>
    </w:p>
    <w:p w14:paraId="087D5EED" w14:textId="77777777" w:rsidR="006A0F21" w:rsidRPr="006A0F21" w:rsidRDefault="006A0F21" w:rsidP="006A0F21">
      <w:pPr>
        <w:spacing w:after="0" w:line="256" w:lineRule="auto"/>
        <w:rPr>
          <w:rFonts w:ascii="Verdana" w:eastAsia="Calibri" w:hAnsi="Verdana" w:cs="Times New Roman"/>
          <w:lang w:val="es-ES"/>
        </w:rPr>
      </w:pPr>
    </w:p>
    <w:p w14:paraId="4CAF61B2" w14:textId="77777777" w:rsidR="006A0F21" w:rsidRPr="006A0F21" w:rsidRDefault="006A0F21" w:rsidP="006A0F21">
      <w:pPr>
        <w:spacing w:after="0" w:line="276" w:lineRule="auto"/>
        <w:jc w:val="both"/>
        <w:rPr>
          <w:rFonts w:ascii="Verdana" w:eastAsia="Calibri" w:hAnsi="Verdana" w:cs="Times New Roman"/>
        </w:rPr>
      </w:pPr>
      <w:r w:rsidRPr="006A0F2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solicitud de consulta presentada el 9 de mayo de 2025, en la cual manifiesta lo siguiente:</w:t>
      </w:r>
      <w:r w:rsidRPr="006A0F21">
        <w:rPr>
          <w:rFonts w:ascii="Verdana" w:eastAsia="Calibri" w:hAnsi="Verdana" w:cs="Times New Roman"/>
        </w:rPr>
        <w:t xml:space="preserve"> </w:t>
      </w:r>
    </w:p>
    <w:p w14:paraId="7F43BAF5" w14:textId="77777777" w:rsidR="006A0F21" w:rsidRPr="006A0F21" w:rsidRDefault="006A0F21" w:rsidP="006A0F21">
      <w:pPr>
        <w:spacing w:after="0" w:line="276" w:lineRule="auto"/>
        <w:jc w:val="both"/>
        <w:rPr>
          <w:rFonts w:ascii="Verdana" w:eastAsia="Calibri" w:hAnsi="Verdana" w:cs="Times New Roman"/>
        </w:rPr>
      </w:pPr>
    </w:p>
    <w:p w14:paraId="64684C47" w14:textId="77777777" w:rsidR="006A0F21" w:rsidRPr="006A0F21" w:rsidRDefault="006A0F21" w:rsidP="006A0F21">
      <w:pPr>
        <w:spacing w:after="0"/>
        <w:ind w:left="720" w:right="709"/>
        <w:jc w:val="both"/>
        <w:rPr>
          <w:rFonts w:ascii="Verdana" w:eastAsia="Calibri" w:hAnsi="Verdana" w:cs="Times New Roman"/>
          <w:iCs/>
          <w:sz w:val="20"/>
        </w:rPr>
      </w:pPr>
      <w:r w:rsidRPr="006A0F21">
        <w:rPr>
          <w:rFonts w:ascii="Verdana" w:eastAsia="Calibri" w:hAnsi="Verdana" w:cs="Times New Roman"/>
          <w:bCs/>
          <w:iCs/>
          <w:sz w:val="20"/>
        </w:rPr>
        <w:t xml:space="preserve">“¿A qué modalidad de contratación se acude para perfeccionar y legalizar el arrendamiento de bienes muebles? </w:t>
      </w:r>
    </w:p>
    <w:p w14:paraId="104322A0" w14:textId="77777777" w:rsidR="006A0F21" w:rsidRPr="006A0F21" w:rsidRDefault="006A0F21" w:rsidP="006A0F21">
      <w:pPr>
        <w:spacing w:after="0"/>
        <w:ind w:left="720" w:right="709"/>
        <w:jc w:val="both"/>
        <w:rPr>
          <w:rFonts w:ascii="Verdana" w:eastAsia="Calibri" w:hAnsi="Verdana" w:cs="Times New Roman"/>
          <w:iCs/>
          <w:sz w:val="20"/>
        </w:rPr>
      </w:pPr>
      <w:r w:rsidRPr="006A0F21">
        <w:rPr>
          <w:rFonts w:ascii="Verdana" w:eastAsia="Calibri" w:hAnsi="Verdana" w:cs="Times New Roman"/>
          <w:bCs/>
          <w:iCs/>
          <w:sz w:val="20"/>
        </w:rPr>
        <w:t xml:space="preserve">¿Lo procedente sería contratar directamente con aplicación de las normas civiles y comerciales e incorporando disposiciones de las Leyes 80 de 1993, 1150 de 2007 y el Decreto 1082 de 2015?” </w:t>
      </w:r>
    </w:p>
    <w:p w14:paraId="7A941E00" w14:textId="77777777" w:rsidR="006A0F21" w:rsidRPr="006A0F21" w:rsidRDefault="006A0F21" w:rsidP="006A0F21">
      <w:pPr>
        <w:spacing w:after="0" w:line="240" w:lineRule="auto"/>
        <w:ind w:right="709"/>
        <w:jc w:val="both"/>
        <w:rPr>
          <w:rFonts w:ascii="Verdana" w:eastAsia="Calibri" w:hAnsi="Verdana" w:cs="Times New Roman"/>
          <w:i/>
          <w:iCs/>
          <w:sz w:val="20"/>
        </w:rPr>
      </w:pPr>
    </w:p>
    <w:p w14:paraId="1F4FE9F3" w14:textId="77777777" w:rsidR="006A0F21" w:rsidRPr="006A0F21" w:rsidRDefault="006A0F21" w:rsidP="006A0F21">
      <w:pPr>
        <w:spacing w:after="120" w:line="276" w:lineRule="auto"/>
        <w:ind w:firstLine="709"/>
        <w:jc w:val="both"/>
        <w:rPr>
          <w:rFonts w:ascii="Verdana" w:eastAsia="Calibri" w:hAnsi="Verdana" w:cs="Times New Roman"/>
          <w:lang w:val="es-ES"/>
        </w:rPr>
      </w:pPr>
      <w:r w:rsidRPr="006A0F21">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6A0F21">
        <w:rPr>
          <w:rFonts w:ascii="Verdana" w:eastAsia="Calibri" w:hAnsi="Verdana" w:cs="Times New Roman"/>
          <w:lang w:val="es-ES"/>
        </w:rPr>
        <w:lastRenderedPageBreak/>
        <w:t>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7CEE42C" w14:textId="77777777" w:rsidR="006A0F21" w:rsidRPr="006A0F21" w:rsidRDefault="006A0F21" w:rsidP="006A0F21">
      <w:pPr>
        <w:spacing w:after="0" w:line="276" w:lineRule="auto"/>
        <w:ind w:firstLine="708"/>
        <w:jc w:val="both"/>
        <w:rPr>
          <w:rFonts w:ascii="Verdana" w:eastAsia="Calibri" w:hAnsi="Verdana" w:cs="Times New Roman"/>
          <w:lang w:val="es-ES"/>
        </w:rPr>
      </w:pPr>
      <w:r w:rsidRPr="006A0F21">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7143E1B" w14:textId="77777777" w:rsidR="006A0F21" w:rsidRPr="006A0F21" w:rsidRDefault="006A0F21" w:rsidP="006A0F21">
      <w:pPr>
        <w:spacing w:after="0" w:line="256" w:lineRule="auto"/>
        <w:rPr>
          <w:rFonts w:ascii="Verdana" w:eastAsia="Calibri" w:hAnsi="Verdana" w:cs="Times New Roman"/>
          <w:lang w:val="es-ES"/>
        </w:rPr>
      </w:pPr>
    </w:p>
    <w:p w14:paraId="1E9F6EA6" w14:textId="77777777" w:rsidR="006A0F21" w:rsidRPr="006A0F21" w:rsidRDefault="006A0F21" w:rsidP="006A0F21">
      <w:pPr>
        <w:numPr>
          <w:ilvl w:val="0"/>
          <w:numId w:val="19"/>
        </w:numPr>
        <w:spacing w:after="0" w:line="256" w:lineRule="auto"/>
        <w:contextualSpacing/>
        <w:rPr>
          <w:rFonts w:ascii="Verdana" w:eastAsia="Calibri" w:hAnsi="Verdana" w:cs="Times New Roman"/>
          <w:b/>
          <w:bCs/>
          <w:lang w:val="es-ES"/>
        </w:rPr>
      </w:pPr>
      <w:r w:rsidRPr="006A0F21">
        <w:rPr>
          <w:rFonts w:ascii="Verdana" w:eastAsia="Calibri" w:hAnsi="Verdana" w:cs="Times New Roman"/>
          <w:b/>
          <w:bCs/>
          <w:lang w:val="es-ES"/>
        </w:rPr>
        <w:t>Problema planteado:</w:t>
      </w:r>
    </w:p>
    <w:p w14:paraId="65648BCD" w14:textId="77777777" w:rsidR="006A0F21" w:rsidRPr="006A0F21" w:rsidRDefault="006A0F21" w:rsidP="006A0F21">
      <w:pPr>
        <w:spacing w:after="0" w:line="256" w:lineRule="auto"/>
        <w:rPr>
          <w:rFonts w:ascii="Verdana" w:eastAsia="Calibri" w:hAnsi="Verdana" w:cs="Times New Roman"/>
        </w:rPr>
      </w:pPr>
    </w:p>
    <w:p w14:paraId="5D542BD6" w14:textId="77777777" w:rsidR="006A0F21" w:rsidRPr="006A0F21" w:rsidRDefault="006A0F21" w:rsidP="006A0F21">
      <w:pPr>
        <w:spacing w:after="0" w:line="276" w:lineRule="auto"/>
        <w:jc w:val="both"/>
        <w:rPr>
          <w:rFonts w:ascii="Verdana" w:eastAsia="Calibri" w:hAnsi="Verdana" w:cs="Times New Roman"/>
          <w:i/>
          <w:iCs/>
          <w:lang w:val="es-ES"/>
        </w:rPr>
      </w:pPr>
      <w:r w:rsidRPr="006A0F21">
        <w:rPr>
          <w:rFonts w:ascii="Verdana" w:eastAsia="Calibri" w:hAnsi="Verdana" w:cs="Times New Roman"/>
        </w:rPr>
        <w:t>De acuerdo con el contenido de sus solicitudes, esta Agencia procede a resolver el siguiente problema jurídico:</w:t>
      </w:r>
      <w:r w:rsidRPr="006A0F21">
        <w:rPr>
          <w:rFonts w:ascii="Arial" w:eastAsia="Times New Roman" w:hAnsi="Arial" w:cs="Arial"/>
          <w:color w:val="000000"/>
          <w:lang w:eastAsia="es-CO"/>
        </w:rPr>
        <w:t xml:space="preserve"> </w:t>
      </w:r>
      <w:r w:rsidRPr="006A0F21">
        <w:rPr>
          <w:rFonts w:ascii="Verdana" w:eastAsia="Calibri" w:hAnsi="Verdana" w:cs="Times New Roman"/>
        </w:rPr>
        <w:t>¿Dentro de la interpretación del precepto normativo, pueden incluirse los bienes muebles como sujetos a los cuales aplique la causal contenida en el literal i del numeral 4 del artículo 2 de la Ley 1150 de 2007, o debe entenderse que esta causal solo recae sobre los bienes inmuebles?</w:t>
      </w:r>
      <w:r w:rsidRPr="006A0F21">
        <w:rPr>
          <w:rFonts w:ascii="Verdana" w:eastAsia="Calibri" w:hAnsi="Verdana" w:cs="Times New Roman"/>
          <w:iCs/>
          <w:lang w:val="es-ES"/>
        </w:rPr>
        <w:t xml:space="preserve"> </w:t>
      </w:r>
    </w:p>
    <w:p w14:paraId="01228DF5" w14:textId="77777777" w:rsidR="006A0F21" w:rsidRPr="006A0F21" w:rsidRDefault="006A0F21" w:rsidP="006A0F21">
      <w:pPr>
        <w:spacing w:line="276" w:lineRule="auto"/>
        <w:jc w:val="both"/>
        <w:rPr>
          <w:rFonts w:ascii="Verdana" w:eastAsia="Calibri" w:hAnsi="Verdana" w:cs="Times New Roman"/>
          <w:i/>
          <w:iCs/>
          <w:lang w:val="es-ES"/>
        </w:rPr>
      </w:pPr>
    </w:p>
    <w:p w14:paraId="25ACA1FC" w14:textId="77777777" w:rsidR="006A0F21" w:rsidRPr="006A0F21" w:rsidRDefault="006A0F21" w:rsidP="006A0F21">
      <w:pPr>
        <w:numPr>
          <w:ilvl w:val="0"/>
          <w:numId w:val="19"/>
        </w:numPr>
        <w:spacing w:after="0" w:line="256" w:lineRule="auto"/>
        <w:contextualSpacing/>
        <w:rPr>
          <w:rFonts w:ascii="Verdana" w:eastAsia="Calibri" w:hAnsi="Verdana" w:cs="Times New Roman"/>
          <w:b/>
          <w:bCs/>
          <w:lang w:val="es-ES"/>
        </w:rPr>
      </w:pPr>
      <w:r w:rsidRPr="006A0F21">
        <w:rPr>
          <w:rFonts w:ascii="Verdana" w:eastAsia="Calibri" w:hAnsi="Verdana" w:cs="Times New Roman"/>
          <w:b/>
          <w:bCs/>
          <w:lang w:val="es-ES"/>
        </w:rPr>
        <w:t>Respuesta:</w:t>
      </w:r>
    </w:p>
    <w:p w14:paraId="6ACEF9F1" w14:textId="77777777" w:rsidR="006A0F21" w:rsidRPr="006A0F21" w:rsidRDefault="006A0F21" w:rsidP="006A0F21">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A0F21" w:rsidRPr="006A0F21" w14:paraId="322E879D" w14:textId="77777777" w:rsidTr="008A464F">
        <w:trPr>
          <w:trHeight w:val="912"/>
          <w:jc w:val="center"/>
        </w:trPr>
        <w:tc>
          <w:tcPr>
            <w:tcW w:w="8784" w:type="dxa"/>
            <w:tcBorders>
              <w:bottom w:val="single" w:sz="4" w:space="0" w:color="auto"/>
            </w:tcBorders>
          </w:tcPr>
          <w:p w14:paraId="21577D23" w14:textId="77777777" w:rsidR="006A0F21" w:rsidRPr="006A0F21" w:rsidRDefault="006A0F21" w:rsidP="006A0F21">
            <w:pPr>
              <w:tabs>
                <w:tab w:val="left" w:pos="426"/>
              </w:tabs>
              <w:spacing w:before="120" w:after="120" w:line="276" w:lineRule="auto"/>
              <w:jc w:val="both"/>
              <w:rPr>
                <w:rFonts w:ascii="Verdana" w:eastAsia="Calibri" w:hAnsi="Verdana" w:cs="Arial"/>
                <w:bCs/>
                <w:szCs w:val="24"/>
                <w:lang w:val="es-ES_tradnl" w:eastAsia="es-ES_tradnl"/>
              </w:rPr>
            </w:pPr>
            <w:r w:rsidRPr="006A0F21">
              <w:rPr>
                <w:rFonts w:ascii="Verdana" w:eastAsia="Calibri" w:hAnsi="Verdana" w:cs="Times New Roman"/>
                <w:lang w:val="es-ES"/>
              </w:rPr>
              <w:t xml:space="preserve">En torno al problema jurídico, objeto de consulta, se señala que las </w:t>
            </w:r>
            <w:r w:rsidRPr="006A0F21">
              <w:rPr>
                <w:rFonts w:ascii="Verdana" w:eastAsia="Calibri" w:hAnsi="Verdana" w:cs="Arial"/>
                <w:bCs/>
                <w:szCs w:val="24"/>
                <w:lang w:val="es-ES_tradnl" w:eastAsia="es-ES_tradnl"/>
              </w:rPr>
              <w:t>causales de la modalidad de contratación directa deben interpretarse de forma restrictiva, tal y como se expuso en las razones de la respuesta. En esta línea, es necesario revisar el alcance del literal i) numeral 4° del artículo 2 de la Ley 1150 de 2007, que prescribe: “4. Contratación directa. La modalidad de selección de contratación directa, solamente procederá en los siguientes casos: […] i) El arrendamiento o adquisición de inmuebles”.</w:t>
            </w:r>
          </w:p>
          <w:p w14:paraId="34687D36" w14:textId="77777777" w:rsidR="006A0F21" w:rsidRPr="006A0F21" w:rsidRDefault="006A0F21" w:rsidP="006A0F21">
            <w:pPr>
              <w:spacing w:after="120" w:line="276" w:lineRule="auto"/>
              <w:ind w:firstLine="708"/>
              <w:jc w:val="both"/>
              <w:rPr>
                <w:rFonts w:ascii="Verdana" w:eastAsia="Calibri" w:hAnsi="Verdana" w:cs="Arial"/>
                <w:bCs/>
                <w:color w:val="000000"/>
                <w:lang w:val="es-ES_tradnl"/>
              </w:rPr>
            </w:pPr>
            <w:r w:rsidRPr="006A0F21">
              <w:rPr>
                <w:rFonts w:ascii="Verdana" w:eastAsia="Calibri" w:hAnsi="Verdana" w:cs="Arial"/>
                <w:bCs/>
                <w:szCs w:val="24"/>
                <w:lang w:val="es-ES_tradnl" w:eastAsia="es-ES_tradnl"/>
              </w:rPr>
              <w:t xml:space="preserve">De la interpretación literal de esta causal de contratación directa se deriva que aplica para el arrendamiento o la adquisición de bienes inmuebles, </w:t>
            </w:r>
            <w:r w:rsidRPr="006A0F21">
              <w:rPr>
                <w:rFonts w:ascii="Verdana" w:eastAsia="Calibri" w:hAnsi="Verdana" w:cs="Arial"/>
                <w:bCs/>
                <w:szCs w:val="24"/>
                <w:lang w:val="es-ES_tradnl" w:eastAsia="es-ES_tradnl"/>
              </w:rPr>
              <w:lastRenderedPageBreak/>
              <w:t xml:space="preserve">es decir, que para ambos tipos contractuales se establece la exigencia de que se trate de bienes inmuebles. Partiendo de la interpretación literal expresada anteriormente, al revisar el alcance de esta causal de contratación directa, se encuentra que el Decreto 1082 de 2015 cuando la reglamentó, solo se ocupó del arrendamiento de bienes </w:t>
            </w:r>
            <w:r w:rsidRPr="006A0F21">
              <w:rPr>
                <w:rFonts w:ascii="Verdana" w:eastAsia="Calibri" w:hAnsi="Verdana" w:cs="Arial"/>
                <w:bCs/>
                <w:i/>
                <w:iCs/>
                <w:szCs w:val="24"/>
                <w:lang w:val="es-ES_tradnl" w:eastAsia="es-ES_tradnl"/>
              </w:rPr>
              <w:t>inmuebles</w:t>
            </w:r>
            <w:r w:rsidRPr="006A0F21">
              <w:rPr>
                <w:rFonts w:ascii="Verdana" w:eastAsia="Calibri" w:hAnsi="Verdana" w:cs="Arial"/>
                <w:bCs/>
                <w:szCs w:val="24"/>
                <w:lang w:val="es-ES_tradnl" w:eastAsia="es-ES_tradnl"/>
              </w:rPr>
              <w:t xml:space="preserve"> –al igual que frente a la adquisición de bienes </w:t>
            </w:r>
            <w:r w:rsidRPr="006A0F21">
              <w:rPr>
                <w:rFonts w:ascii="Verdana" w:eastAsia="Calibri" w:hAnsi="Verdana" w:cs="Arial"/>
                <w:bCs/>
                <w:i/>
                <w:iCs/>
                <w:szCs w:val="24"/>
                <w:lang w:val="es-ES_tradnl" w:eastAsia="es-ES_tradnl"/>
              </w:rPr>
              <w:t>inmuebles</w:t>
            </w:r>
            <w:r w:rsidRPr="006A0F21">
              <w:rPr>
                <w:rFonts w:ascii="Verdana" w:eastAsia="Calibri" w:hAnsi="Verdana" w:cs="Arial"/>
                <w:bCs/>
                <w:szCs w:val="24"/>
                <w:lang w:val="es-ES_tradnl" w:eastAsia="es-ES_tradnl"/>
              </w:rPr>
              <w:t xml:space="preserve">–, que está regulado en el artículo 2.1.1.2.1.4.11. Teniendo en cuenta lo establecido allí, resulta que el Gobierno nacional, en desarrollo de la potestad reglamentaria otorgada por el artículo 189.11 de la Constitución se decantó por la interpretación de que la causal de contratación directa prescrita en el literal i) numeral 4 del artículo 2 de la Ley 1150 de 2007, solo autoriza la contratación directa del arrendamiento de bienes inmuebles –como también su adquisición–, pero no de bienes muebles. Lo anterior constituye un fundamento de orden normativo de gran importancia, para entender el alcance de la causal de contratación directa analizada. Ello sin perjuicio, además, de los fundamentos doctrinarios expuestos en las consideraciones, que fundamentan la interpretación de la causal de contratación directa analizada en el entendido de que solo autoriza la adquisición o el arrendamiento de </w:t>
            </w:r>
            <w:r w:rsidRPr="006A0F21">
              <w:rPr>
                <w:rFonts w:ascii="Verdana" w:eastAsia="Calibri" w:hAnsi="Verdana" w:cs="Arial"/>
                <w:bCs/>
                <w:i/>
                <w:iCs/>
                <w:szCs w:val="24"/>
                <w:lang w:val="es-ES_tradnl" w:eastAsia="es-ES_tradnl"/>
              </w:rPr>
              <w:t>bienes inmuebles</w:t>
            </w:r>
            <w:r w:rsidRPr="006A0F21">
              <w:rPr>
                <w:rFonts w:ascii="Verdana" w:eastAsia="Calibri" w:hAnsi="Verdana" w:cs="Arial"/>
                <w:bCs/>
                <w:szCs w:val="24"/>
                <w:lang w:val="es-ES_tradnl" w:eastAsia="es-ES_tradnl"/>
              </w:rPr>
              <w:t>.</w:t>
            </w:r>
          </w:p>
          <w:p w14:paraId="27983DC3" w14:textId="77777777" w:rsidR="006A0F21" w:rsidRPr="006A0F21" w:rsidRDefault="006A0F21" w:rsidP="006A0F21">
            <w:pPr>
              <w:spacing w:after="120" w:line="276" w:lineRule="auto"/>
              <w:ind w:firstLine="708"/>
              <w:jc w:val="both"/>
              <w:rPr>
                <w:rFonts w:ascii="Verdana" w:eastAsia="Times New Roman" w:hAnsi="Verdana" w:cs="Arial"/>
                <w:lang w:eastAsia="es-CO"/>
              </w:rPr>
            </w:pPr>
            <w:r w:rsidRPr="006A0F21">
              <w:rPr>
                <w:rFonts w:ascii="Verdana" w:eastAsia="Times New Roman" w:hAnsi="Verdana" w:cs="Arial"/>
                <w:lang w:val="es-ES_tradnl" w:eastAsia="es-CO"/>
              </w:rPr>
              <w:t xml:space="preserve">En armonía con lo anterior, cabe reiterar que </w:t>
            </w:r>
            <w:r w:rsidRPr="006A0F21">
              <w:rPr>
                <w:rFonts w:ascii="Verdana" w:eastAsia="Times New Roman" w:hAnsi="Verdana" w:cs="Arial"/>
                <w:lang w:eastAsia="es-CO"/>
              </w:rPr>
              <w:t xml:space="preserve">la contratación directa como modalidad de selección regulada en la Ley está condicionada a la aplicación de sus causales de forma estricta y restrictiva, por lo que, tratándose de la causal analizada no es posible ampliar su alcance al arrendamiento de bienes muebles. En este sentido, no es posible realizar interpretaciones amplias, pues la finalidad de la norma es que la contratación directa sea una excepción a la libre concurrencia de oferentes y no un fundamento para impedir o restringir la competencia, teniendo en cuenta el cumplimiento de los principios de la contratación, de la función administrativa y de la gestión fiscal. </w:t>
            </w:r>
          </w:p>
          <w:p w14:paraId="16861DB6" w14:textId="77777777" w:rsidR="006A0F21" w:rsidRPr="006A0F21" w:rsidRDefault="006A0F21" w:rsidP="006A0F21">
            <w:pPr>
              <w:spacing w:after="120" w:line="276" w:lineRule="auto"/>
              <w:ind w:firstLine="708"/>
              <w:jc w:val="both"/>
              <w:rPr>
                <w:rFonts w:ascii="Verdana" w:eastAsia="Times New Roman" w:hAnsi="Verdana" w:cs="Arial"/>
                <w:lang w:eastAsia="es-CO"/>
              </w:rPr>
            </w:pPr>
            <w:r w:rsidRPr="006A0F21">
              <w:rPr>
                <w:rFonts w:ascii="Verdana" w:eastAsia="Times New Roman" w:hAnsi="Verdana" w:cs="Arial"/>
                <w:lang w:eastAsia="es-CO"/>
              </w:rPr>
              <w:t xml:space="preserve">Bajo este entendido, la contratación del arrendamiento de bienes muebles no se ajusta a la causal de contratación directa, dado los términos en que fue establecida por el legislador, quien decidió limitarla a bienes inmuebles. Por tanto, para arrendar bienes muebles la entidad debe establecer qué modalidad de selección –licitación pública, selección abreviada o mínima cuantía– deberá adelantar, garantizando la libre concurrencia de los proponentes. Por otro lado, como también se señaló en las consideraciones anteriores, la contratación directa del arrendamiento –o la adquisición– de </w:t>
            </w:r>
            <w:r w:rsidRPr="006A0F21">
              <w:rPr>
                <w:rFonts w:ascii="Verdana" w:eastAsia="Times New Roman" w:hAnsi="Verdana" w:cs="Arial"/>
                <w:lang w:eastAsia="es-CO"/>
              </w:rPr>
              <w:lastRenderedPageBreak/>
              <w:t xml:space="preserve">bienes inmuebles deberá garantizar las reglas y principios del Estatuto General de Contratación de la Administración Pública.  </w:t>
            </w:r>
          </w:p>
        </w:tc>
      </w:tr>
    </w:tbl>
    <w:p w14:paraId="3E156A3A" w14:textId="77777777" w:rsidR="006A0F21" w:rsidRPr="006A0F21" w:rsidRDefault="006A0F21" w:rsidP="006A0F21">
      <w:pPr>
        <w:spacing w:after="0" w:line="276" w:lineRule="auto"/>
        <w:jc w:val="both"/>
        <w:rPr>
          <w:rFonts w:ascii="Verdana" w:eastAsia="Calibri" w:hAnsi="Verdana" w:cs="Arial"/>
          <w:bCs/>
          <w:color w:val="000000" w:themeColor="text1"/>
        </w:rPr>
      </w:pPr>
    </w:p>
    <w:p w14:paraId="569904E4" w14:textId="77777777" w:rsidR="006A0F21" w:rsidRPr="006A0F21" w:rsidRDefault="006A0F21" w:rsidP="006A0F21">
      <w:pPr>
        <w:numPr>
          <w:ilvl w:val="0"/>
          <w:numId w:val="19"/>
        </w:numPr>
        <w:tabs>
          <w:tab w:val="left" w:pos="2268"/>
        </w:tabs>
        <w:spacing w:after="0" w:line="256" w:lineRule="auto"/>
        <w:rPr>
          <w:rFonts w:ascii="Verdana" w:eastAsia="Calibri" w:hAnsi="Verdana" w:cs="Times New Roman"/>
          <w:b/>
          <w:bCs/>
          <w:lang w:val="es-ES"/>
        </w:rPr>
      </w:pPr>
      <w:r w:rsidRPr="006A0F21">
        <w:rPr>
          <w:rFonts w:ascii="Verdana" w:eastAsia="Calibri" w:hAnsi="Verdana" w:cs="Times New Roman"/>
          <w:b/>
          <w:bCs/>
          <w:lang w:val="es-ES"/>
        </w:rPr>
        <w:t>Razones de la respuesta:</w:t>
      </w:r>
    </w:p>
    <w:p w14:paraId="475D8627" w14:textId="77777777" w:rsidR="006A0F21" w:rsidRPr="006A0F21" w:rsidRDefault="006A0F21" w:rsidP="006A0F21">
      <w:pPr>
        <w:spacing w:after="0" w:line="256" w:lineRule="auto"/>
        <w:rPr>
          <w:rFonts w:ascii="Verdana" w:eastAsia="Calibri" w:hAnsi="Verdana" w:cs="Times New Roman"/>
          <w:b/>
          <w:bCs/>
          <w:lang w:val="es-ES"/>
        </w:rPr>
      </w:pPr>
    </w:p>
    <w:p w14:paraId="69F07283" w14:textId="77777777" w:rsidR="006A0F21" w:rsidRPr="006A0F21" w:rsidRDefault="006A0F21" w:rsidP="006A0F21">
      <w:pPr>
        <w:spacing w:after="0" w:line="276" w:lineRule="auto"/>
        <w:jc w:val="both"/>
        <w:rPr>
          <w:rFonts w:ascii="Verdana" w:eastAsia="Calibri" w:hAnsi="Verdana" w:cs="Arial"/>
          <w:lang w:val="es-ES"/>
        </w:rPr>
      </w:pPr>
      <w:r w:rsidRPr="006A0F21">
        <w:rPr>
          <w:rFonts w:ascii="Verdana" w:eastAsia="Calibri" w:hAnsi="Verdana" w:cs="Arial"/>
          <w:lang w:val="es-ES"/>
        </w:rPr>
        <w:t xml:space="preserve">Lo anterior se sustenta en las siguientes consideraciones: </w:t>
      </w:r>
    </w:p>
    <w:p w14:paraId="4865FE74" w14:textId="77777777" w:rsidR="006A0F21" w:rsidRPr="006A0F21" w:rsidRDefault="006A0F21" w:rsidP="006A0F21">
      <w:pPr>
        <w:spacing w:after="0" w:line="276" w:lineRule="auto"/>
        <w:jc w:val="both"/>
        <w:rPr>
          <w:rFonts w:ascii="Arial" w:eastAsia="Calibri" w:hAnsi="Arial" w:cs="Arial"/>
          <w:color w:val="000000"/>
          <w:szCs w:val="24"/>
          <w:lang w:val="es-ES_tradnl" w:eastAsia="es-ES_tradnl"/>
        </w:rPr>
      </w:pPr>
    </w:p>
    <w:p w14:paraId="0BDF9371" w14:textId="77777777" w:rsidR="006A0F21" w:rsidRPr="006A0F21" w:rsidRDefault="006A0F21" w:rsidP="006A0F21">
      <w:pPr>
        <w:spacing w:after="120" w:line="276" w:lineRule="auto"/>
        <w:jc w:val="both"/>
        <w:rPr>
          <w:rFonts w:ascii="Verdana" w:eastAsia="Calibri" w:hAnsi="Verdana" w:cs="Arial"/>
          <w:lang w:val="es-ES" w:eastAsia="es-ES_tradnl"/>
        </w:rPr>
      </w:pPr>
      <w:r w:rsidRPr="006A0F21">
        <w:rPr>
          <w:rFonts w:ascii="Verdana" w:eastAsia="Calibri" w:hAnsi="Verdana" w:cs="Arial"/>
          <w:bCs/>
          <w:noProof/>
          <w:color w:val="000000"/>
          <w:lang w:val="es-ES_tradnl" w:eastAsia="es-ES_tradnl"/>
        </w:rPr>
        <w:t>i.</w:t>
      </w:r>
      <w:r w:rsidRPr="006A0F21">
        <w:rPr>
          <w:rFonts w:ascii="Verdana" w:eastAsia="Calibri" w:hAnsi="Verdana" w:cs="Arial"/>
          <w:b/>
          <w:bCs/>
          <w:noProof/>
          <w:color w:val="000000"/>
          <w:lang w:val="es-ES_tradnl" w:eastAsia="es-ES_tradnl"/>
        </w:rPr>
        <w:t xml:space="preserve"> </w:t>
      </w:r>
      <w:r w:rsidRPr="006A0F21">
        <w:rPr>
          <w:rFonts w:ascii="Verdana" w:eastAsia="Calibri" w:hAnsi="Verdana" w:cs="Arial"/>
          <w:lang w:eastAsia="es-ES_tradnl"/>
        </w:rPr>
        <w:t>La Ley 1150 de 2007, en el artículo 2, establece 5 modalidades de selección para la escogencia del contratista, y fija las reglas de cada modalidad: licitación pública, selección abreviada, concurso de méritos, mínima cuantía y contratación directa. Por su parte, la exposición de motivos de la Ley 1150 de 2007 señala las razones por las cuales se establecieron las modalidades de selección del artículo 2: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1B280DBA" w14:textId="77777777" w:rsidR="006A0F21" w:rsidRPr="006A0F21" w:rsidRDefault="006A0F21" w:rsidP="006A0F21">
      <w:pPr>
        <w:spacing w:after="120" w:line="276" w:lineRule="auto"/>
        <w:ind w:firstLine="709"/>
        <w:jc w:val="both"/>
        <w:rPr>
          <w:rFonts w:ascii="Verdana" w:eastAsia="Calibri" w:hAnsi="Verdana" w:cs="Arial"/>
          <w:lang w:eastAsia="es-ES_tradnl"/>
        </w:rPr>
      </w:pPr>
      <w:r w:rsidRPr="006A0F21">
        <w:rPr>
          <w:rFonts w:ascii="Verdana" w:eastAsia="Calibri" w:hAnsi="Verdana" w:cs="Arial"/>
          <w:lang w:eastAsia="es-ES_tradnl"/>
        </w:rPr>
        <w:t>Ahora bien, las modalidades de selección pueden dividirse doctrinariamente en i) competitivas y ii)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6A0F21">
        <w:rPr>
          <w:rFonts w:ascii="Verdana" w:eastAsia="Calibri" w:hAnsi="Verdana" w:cs="Arial"/>
          <w:vertAlign w:val="superscript"/>
          <w:lang w:eastAsia="es-ES_tradnl"/>
        </w:rPr>
        <w:footnoteReference w:id="2"/>
      </w:r>
      <w:r w:rsidRPr="006A0F21">
        <w:rPr>
          <w:rFonts w:ascii="Verdana" w:eastAsia="Calibri" w:hAnsi="Verdana" w:cs="Arial"/>
          <w:lang w:eastAsia="es-ES_tradnl"/>
        </w:rPr>
        <w:t xml:space="preserve">. </w:t>
      </w:r>
    </w:p>
    <w:p w14:paraId="6AA34A78" w14:textId="77777777" w:rsidR="006A0F21" w:rsidRPr="006A0F21" w:rsidRDefault="006A0F21" w:rsidP="006A0F21">
      <w:pPr>
        <w:spacing w:after="120" w:line="276" w:lineRule="auto"/>
        <w:ind w:firstLine="709"/>
        <w:jc w:val="both"/>
        <w:rPr>
          <w:rFonts w:ascii="Verdana" w:eastAsia="Calibri" w:hAnsi="Verdana" w:cs="Arial"/>
          <w:lang w:eastAsia="es-ES_tradnl"/>
        </w:rPr>
      </w:pPr>
      <w:r w:rsidRPr="006A0F21">
        <w:rPr>
          <w:rFonts w:ascii="Verdana" w:eastAsia="Calibri" w:hAnsi="Verdana" w:cs="Arial"/>
          <w:lang w:eastAsia="es-ES_tradnl"/>
        </w:rPr>
        <w:t xml:space="preserve">Por tanto, modalidades como 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156CDCC0" w14:textId="77777777" w:rsidR="006A0F21" w:rsidRPr="006A0F21" w:rsidRDefault="006A0F21" w:rsidP="006A0F21">
      <w:pPr>
        <w:spacing w:after="120" w:line="276" w:lineRule="auto"/>
        <w:ind w:firstLine="709"/>
        <w:jc w:val="both"/>
        <w:rPr>
          <w:rFonts w:ascii="Verdana" w:eastAsia="Calibri" w:hAnsi="Verdana" w:cs="Arial"/>
          <w:lang w:eastAsia="es-ES_tradnl"/>
        </w:rPr>
      </w:pPr>
      <w:r w:rsidRPr="006A0F21">
        <w:rPr>
          <w:rFonts w:ascii="Verdana" w:eastAsia="Calibri" w:hAnsi="Verdana" w:cs="Arial"/>
          <w:lang w:eastAsia="es-ES_tradnl"/>
        </w:rPr>
        <w:t>Lo contrario ocurre con la modalidad de selección de contratación directa que no es competitiva, es decir, que no es abierta a los proponentes para que los interesados presenten sus ofertas. En esta, es la entidad la que determina, de forma directa, la persona que puede participar y que será seleccionada.</w:t>
      </w:r>
    </w:p>
    <w:p w14:paraId="0C5D6E98" w14:textId="77777777" w:rsidR="006A0F21" w:rsidRPr="006A0F21" w:rsidRDefault="006A0F21" w:rsidP="006A0F21">
      <w:pPr>
        <w:spacing w:after="120" w:line="276" w:lineRule="auto"/>
        <w:ind w:firstLine="708"/>
        <w:jc w:val="both"/>
        <w:rPr>
          <w:rFonts w:ascii="Verdana" w:eastAsia="Calibri" w:hAnsi="Verdana" w:cs="Arial"/>
          <w:lang w:eastAsia="es-ES_tradnl"/>
        </w:rPr>
      </w:pPr>
      <w:r w:rsidRPr="006A0F21">
        <w:rPr>
          <w:rFonts w:ascii="Verdana" w:eastAsia="Calibri" w:hAnsi="Verdana" w:cs="Arial"/>
          <w:lang w:eastAsia="es-ES_tradnl"/>
        </w:rPr>
        <w:lastRenderedPageBreak/>
        <w:t xml:space="preserve">Lo anterior se complementa con lo expuesto por la Corte Constitucional, en Sentencia C-713 de 2009, que estudió la constitucionalidad de los artículos 2 –parcial– y 5 –parcial– de la Ley 1150 de 2007. En la decisión judicial mencionada analizó los principios de libre concurrencia y selección objetiva en la contratación pública, como expresiones del derecho a la igualdad de oportunidades para quienes tengan interés en participar en la contratación estatal. </w:t>
      </w:r>
    </w:p>
    <w:p w14:paraId="77688393" w14:textId="77777777" w:rsidR="006A0F21" w:rsidRPr="006A0F21" w:rsidRDefault="006A0F21" w:rsidP="006A0F21">
      <w:pPr>
        <w:spacing w:after="120" w:line="276" w:lineRule="auto"/>
        <w:ind w:firstLine="708"/>
        <w:jc w:val="both"/>
        <w:rPr>
          <w:rFonts w:ascii="Verdana" w:eastAsia="Calibri" w:hAnsi="Verdana" w:cs="Arial"/>
          <w:lang w:eastAsia="es-ES_tradnl"/>
        </w:rPr>
      </w:pPr>
      <w:r w:rsidRPr="006A0F21">
        <w:rPr>
          <w:rFonts w:ascii="Verdana" w:eastAsia="Calibri" w:hAnsi="Verdana" w:cs="Arial"/>
          <w:lang w:eastAsia="es-ES_tradnl"/>
        </w:rPr>
        <w:t>Esos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del procedimiento como, por ejemplo, la inexistencia de las inhabilidades e incompatibilidades que también aplican en los supuestos de contratación directa</w:t>
      </w:r>
      <w:r w:rsidRPr="006A0F21">
        <w:rPr>
          <w:rFonts w:ascii="Verdana" w:eastAsia="Calibri" w:hAnsi="Verdana" w:cs="Arial"/>
          <w:vertAlign w:val="superscript"/>
          <w:lang w:eastAsia="es-ES_tradnl"/>
        </w:rPr>
        <w:footnoteReference w:id="3"/>
      </w:r>
      <w:r w:rsidRPr="006A0F21">
        <w:rPr>
          <w:rFonts w:ascii="Verdana" w:eastAsia="Calibri" w:hAnsi="Verdana" w:cs="Arial"/>
          <w:lang w:eastAsia="es-ES_tradnl"/>
        </w:rPr>
        <w:t>.</w:t>
      </w:r>
    </w:p>
    <w:p w14:paraId="7F8C8DBE" w14:textId="77777777" w:rsidR="006A0F21" w:rsidRPr="006A0F21" w:rsidRDefault="006A0F21" w:rsidP="006A0F21">
      <w:pPr>
        <w:spacing w:after="120" w:line="276" w:lineRule="auto"/>
        <w:ind w:firstLine="708"/>
        <w:jc w:val="both"/>
        <w:rPr>
          <w:rFonts w:ascii="Verdana" w:eastAsia="Calibri" w:hAnsi="Verdana" w:cs="Arial"/>
          <w:lang w:eastAsia="es-ES_tradnl"/>
        </w:rPr>
      </w:pPr>
      <w:r w:rsidRPr="006A0F21">
        <w:rPr>
          <w:rFonts w:ascii="Verdana" w:eastAsia="Calibri" w:hAnsi="Verdana" w:cs="Arial"/>
          <w:lang w:eastAsia="es-ES_tradnl"/>
        </w:rPr>
        <w:t xml:space="preserve">Debe señalarse sobre la contratación directa, que esta modalidad de contratación es de aplicación restrictiva, esto es, solo procede por las causales prescritas taxativamente en el numeral 4 del artículo 2 de la Ley 1150 de 2007. Además, es una excepción al principio de libre concurrencia y competencia que aplica a los procesos de contratación, para que cualquier persona interesada en satisfacer la necesidad de una entidad pueda presentar una oferta. </w:t>
      </w:r>
    </w:p>
    <w:p w14:paraId="4E26AF3A" w14:textId="77777777" w:rsidR="006A0F21" w:rsidRPr="006A0F21" w:rsidRDefault="006A0F21" w:rsidP="006A0F21">
      <w:pPr>
        <w:spacing w:after="120" w:line="276" w:lineRule="auto"/>
        <w:ind w:firstLine="708"/>
        <w:jc w:val="both"/>
        <w:rPr>
          <w:rFonts w:ascii="Verdana" w:eastAsia="Calibri" w:hAnsi="Verdana" w:cs="Arial"/>
          <w:lang w:eastAsia="es-ES_tradnl"/>
        </w:rPr>
      </w:pPr>
      <w:r w:rsidRPr="006A0F21">
        <w:rPr>
          <w:rFonts w:ascii="Verdana" w:eastAsia="Calibri" w:hAnsi="Verdana" w:cs="Arial"/>
          <w:lang w:eastAsia="es-ES_tradnl"/>
        </w:rPr>
        <w:t>En la contratación directa no es necesario que la entidad reciba más de una oferta, la cual proviene de la persona que la entidad escoge directamente, y por ende, invita a ofertar el bien o servicio que se requiere. Lo anterior puede estar basado en que el proponente es único, o en que el legislador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3D1D31FE" w14:textId="77777777" w:rsidR="006A0F21" w:rsidRPr="006A0F21" w:rsidRDefault="006A0F21" w:rsidP="006A0F21">
      <w:pPr>
        <w:spacing w:after="0" w:line="276" w:lineRule="auto"/>
        <w:ind w:firstLine="708"/>
        <w:jc w:val="both"/>
        <w:rPr>
          <w:rFonts w:ascii="Verdana" w:eastAsia="Calibri" w:hAnsi="Verdana" w:cs="Arial"/>
          <w:lang w:eastAsia="es-ES_tradnl"/>
        </w:rPr>
      </w:pPr>
      <w:r w:rsidRPr="006A0F21">
        <w:rPr>
          <w:rFonts w:ascii="Verdana" w:eastAsia="Calibri" w:hAnsi="Verdana" w:cs="Arial"/>
          <w:lang w:eastAsia="es-ES_tradnl"/>
        </w:rPr>
        <w:t xml:space="preserve">Debe destacarse que existe otra 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en los siguientes términos: </w:t>
      </w:r>
    </w:p>
    <w:p w14:paraId="2413A2A9" w14:textId="77777777" w:rsidR="006A0F21" w:rsidRPr="006A0F21" w:rsidRDefault="006A0F21" w:rsidP="006A0F21">
      <w:pPr>
        <w:spacing w:after="0" w:line="276" w:lineRule="auto"/>
        <w:jc w:val="both"/>
        <w:rPr>
          <w:rFonts w:ascii="Verdana" w:eastAsia="Calibri" w:hAnsi="Verdana" w:cs="Arial"/>
          <w:lang w:eastAsia="es-ES_tradnl"/>
        </w:rPr>
      </w:pPr>
    </w:p>
    <w:p w14:paraId="2053E884" w14:textId="77777777" w:rsidR="006A0F21" w:rsidRPr="006A0F21" w:rsidRDefault="006A0F21" w:rsidP="006A0F21">
      <w:pPr>
        <w:spacing w:after="0" w:line="240" w:lineRule="auto"/>
        <w:ind w:left="708" w:right="709"/>
        <w:jc w:val="both"/>
        <w:rPr>
          <w:rFonts w:ascii="Verdana" w:eastAsia="Calibri" w:hAnsi="Verdana" w:cs="Arial"/>
          <w:sz w:val="21"/>
          <w:szCs w:val="21"/>
          <w:lang w:eastAsia="es-ES_tradnl"/>
        </w:rPr>
      </w:pPr>
      <w:r w:rsidRPr="006A0F21">
        <w:rPr>
          <w:rFonts w:ascii="Verdana" w:eastAsia="Calibri" w:hAnsi="Verdana" w:cs="Arial"/>
          <w:sz w:val="21"/>
          <w:szCs w:val="21"/>
          <w:lang w:eastAsia="es-ES_tradnl"/>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6A0F21">
        <w:rPr>
          <w:rFonts w:ascii="Verdana" w:eastAsia="Calibri" w:hAnsi="Verdana" w:cs="Arial"/>
          <w:sz w:val="21"/>
          <w:szCs w:val="21"/>
          <w:vertAlign w:val="superscript"/>
          <w:lang w:eastAsia="es-ES_tradnl"/>
        </w:rPr>
        <w:footnoteReference w:id="4"/>
      </w:r>
      <w:r w:rsidRPr="006A0F21">
        <w:rPr>
          <w:rFonts w:ascii="Verdana" w:eastAsia="Calibri" w:hAnsi="Verdana" w:cs="Arial"/>
          <w:sz w:val="21"/>
          <w:szCs w:val="21"/>
          <w:lang w:eastAsia="es-ES_tradnl"/>
        </w:rPr>
        <w:t>.</w:t>
      </w:r>
    </w:p>
    <w:p w14:paraId="4E0BCF7E" w14:textId="77777777" w:rsidR="006A0F21" w:rsidRPr="006A0F21" w:rsidRDefault="006A0F21" w:rsidP="006A0F21">
      <w:pPr>
        <w:spacing w:after="0" w:line="276" w:lineRule="auto"/>
        <w:jc w:val="both"/>
        <w:rPr>
          <w:rFonts w:ascii="Verdana" w:eastAsia="Calibri" w:hAnsi="Verdana" w:cs="Arial"/>
          <w:lang w:val="es-ES" w:eastAsia="es-ES_tradnl"/>
        </w:rPr>
      </w:pPr>
    </w:p>
    <w:p w14:paraId="3623EFD0" w14:textId="77777777" w:rsidR="006A0F21" w:rsidRPr="006A0F21" w:rsidRDefault="006A0F21" w:rsidP="006A0F21">
      <w:pPr>
        <w:spacing w:after="120" w:line="276" w:lineRule="auto"/>
        <w:ind w:firstLine="709"/>
        <w:jc w:val="both"/>
        <w:rPr>
          <w:rFonts w:ascii="Verdana" w:eastAsia="Times New Roman" w:hAnsi="Verdana" w:cs="Arial"/>
          <w:lang w:eastAsia="es-ES_tradnl"/>
        </w:rPr>
      </w:pPr>
      <w:r w:rsidRPr="006A0F21">
        <w:rPr>
          <w:rFonts w:ascii="Verdana" w:eastAsia="Times New Roman" w:hAnsi="Verdana" w:cs="Arial"/>
          <w:lang w:eastAsia="es-ES_tradnl"/>
        </w:rPr>
        <w:t xml:space="preserve">Por consiguiente, en la contratación directa la entidad no establece puntaje para ponderar ofertas, porque se presenta una sola, que corresponde a la de la persona a quien la entidad invitó y seleccionó en forma directa, teniendo en todo caso que garantizar el cumplimiento de los principios de la función administrativa y la gestión fiscal. En este sentido, la potestad discrecional de la Administración pública para la elección de un proveedor en la contratación directa se relaciona con los principios de moralidad administrativa y transparencia. </w:t>
      </w:r>
    </w:p>
    <w:p w14:paraId="1BB3CCA4" w14:textId="77777777" w:rsidR="006A0F21" w:rsidRPr="006A0F21" w:rsidRDefault="006A0F21" w:rsidP="006A0F21">
      <w:pPr>
        <w:spacing w:after="120" w:line="276" w:lineRule="auto"/>
        <w:ind w:firstLine="709"/>
        <w:jc w:val="both"/>
        <w:rPr>
          <w:rFonts w:ascii="Verdana" w:eastAsia="Times New Roman" w:hAnsi="Verdana" w:cs="Arial"/>
          <w:lang w:eastAsia="es-ES_tradnl"/>
        </w:rPr>
      </w:pPr>
      <w:r w:rsidRPr="006A0F21">
        <w:rPr>
          <w:rFonts w:ascii="Verdana" w:eastAsia="Times New Roman" w:hAnsi="Verdana" w:cs="Arial"/>
          <w:lang w:eastAsia="es-ES_tradnl"/>
        </w:rPr>
        <w:t xml:space="preserve">Así las cosas, la contratación directa no es asimilable a los procesos de selección públicos y abiertos, como la licitación pública, selección abreviada, concurso de méritos y mínima cuantía, pero no significa que no se sujetan a las reglas para el cumplimiento de los principios de la contratación estatal y de la función administrativa. </w:t>
      </w:r>
    </w:p>
    <w:p w14:paraId="5BBE6D65" w14:textId="77777777" w:rsidR="006A0F21" w:rsidRPr="006A0F21" w:rsidRDefault="006A0F21" w:rsidP="006A0F21">
      <w:pPr>
        <w:widowControl w:val="0"/>
        <w:autoSpaceDE w:val="0"/>
        <w:autoSpaceDN w:val="0"/>
        <w:spacing w:before="7" w:after="0" w:line="240" w:lineRule="auto"/>
        <w:jc w:val="both"/>
        <w:rPr>
          <w:rFonts w:ascii="Verdana" w:eastAsia="Arial" w:hAnsi="Verdana" w:cs="Arial"/>
          <w:b/>
          <w:lang w:val="es-ES" w:eastAsia="es-ES" w:bidi="es-ES"/>
        </w:rPr>
      </w:pPr>
    </w:p>
    <w:p w14:paraId="33778FE9" w14:textId="77777777" w:rsidR="006A0F21" w:rsidRPr="006A0F21" w:rsidRDefault="006A0F21" w:rsidP="006A0F21">
      <w:pPr>
        <w:widowControl w:val="0"/>
        <w:autoSpaceDE w:val="0"/>
        <w:autoSpaceDN w:val="0"/>
        <w:spacing w:after="120" w:line="276" w:lineRule="auto"/>
        <w:jc w:val="both"/>
        <w:rPr>
          <w:rFonts w:ascii="Verdana" w:eastAsia="Arial" w:hAnsi="Verdana" w:cs="Arial"/>
          <w:lang w:val="es-ES" w:eastAsia="es-ES" w:bidi="es-ES"/>
        </w:rPr>
      </w:pPr>
      <w:r w:rsidRPr="006A0F21">
        <w:rPr>
          <w:rFonts w:ascii="Verdana" w:eastAsia="Arial" w:hAnsi="Verdana" w:cs="Arial"/>
          <w:lang w:val="es-ES" w:eastAsia="es-ES" w:bidi="es-ES"/>
        </w:rPr>
        <w:t xml:space="preserve">ii. El artículo 23 de la Ley 80 de 1993 dispone que: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Por su parte, el artículo 2 de la Ley 1150 del 2007 ordena que, en el procedimiento aplicable a cada una de las modalidades de selección de contratistas, “deberá observarse los principios de transparencia, economía, responsabilidad”. </w:t>
      </w:r>
    </w:p>
    <w:p w14:paraId="0CD8BDC8" w14:textId="77777777" w:rsidR="006A0F21" w:rsidRPr="006A0F21" w:rsidRDefault="006A0F21" w:rsidP="006A0F21">
      <w:pPr>
        <w:widowControl w:val="0"/>
        <w:autoSpaceDE w:val="0"/>
        <w:autoSpaceDN w:val="0"/>
        <w:spacing w:after="120" w:line="276" w:lineRule="auto"/>
        <w:ind w:firstLine="708"/>
        <w:jc w:val="both"/>
        <w:rPr>
          <w:rFonts w:ascii="Verdana" w:eastAsia="Arial" w:hAnsi="Verdana" w:cs="Arial"/>
          <w:lang w:val="es-ES" w:eastAsia="es-ES" w:bidi="es-ES"/>
        </w:rPr>
      </w:pPr>
      <w:r w:rsidRPr="006A0F21">
        <w:rPr>
          <w:rFonts w:ascii="Verdana" w:eastAsia="Arial" w:hAnsi="Verdana" w:cs="Arial"/>
          <w:lang w:val="es-ES" w:eastAsia="es-ES" w:bidi="es-ES"/>
        </w:rPr>
        <w:t xml:space="preserve">Los principios que rigen la actividad contractual de las entidades estatales están orientados a preservar la objetividad en la selección del contratista, para garantizar el interés general y la realización de los fines del Estado. De igual </w:t>
      </w:r>
      <w:r w:rsidRPr="006A0F21">
        <w:rPr>
          <w:rFonts w:ascii="Verdana" w:eastAsia="Arial" w:hAnsi="Verdana" w:cs="Arial"/>
          <w:lang w:val="es-ES" w:eastAsia="es-ES" w:bidi="es-ES"/>
        </w:rPr>
        <w:lastRenderedPageBreak/>
        <w:t>forma, dichos principios buscan hacer eficaz la participación, en igualdad de condiciones, de quienes reúnan los requisitos que sean exigidos en los documentos del proceso de contratación.</w:t>
      </w:r>
    </w:p>
    <w:p w14:paraId="71F556DA" w14:textId="77777777" w:rsidR="006A0F21" w:rsidRPr="006A0F21" w:rsidRDefault="006A0F21" w:rsidP="006A0F21">
      <w:pPr>
        <w:widowControl w:val="0"/>
        <w:autoSpaceDE w:val="0"/>
        <w:autoSpaceDN w:val="0"/>
        <w:spacing w:after="120" w:line="276" w:lineRule="auto"/>
        <w:ind w:right="108" w:firstLine="709"/>
        <w:jc w:val="both"/>
        <w:rPr>
          <w:rFonts w:ascii="Verdana" w:eastAsia="Arial" w:hAnsi="Verdana" w:cs="Arial"/>
          <w:lang w:val="es-ES" w:eastAsia="es-ES" w:bidi="es-ES"/>
        </w:rPr>
      </w:pPr>
      <w:r w:rsidRPr="006A0F21">
        <w:rPr>
          <w:rFonts w:ascii="Verdana" w:eastAsia="Arial" w:hAnsi="Verdana" w:cs="Arial"/>
          <w:lang w:val="es-ES" w:eastAsia="es-ES" w:bidi="es-ES"/>
        </w:rPr>
        <w:t>El principio de transparencia dispone que la selección de los contratistas debe “edificarse sobre las bases de i) la igualdad y respeto a todos los interesados; ii) la objetividad, neutralidad y claridad de la reglas o condiciones impuestas para la presentación de las ofertas; iii) la garantía del derecho de contradicción; iv)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w:t>
      </w:r>
      <w:r w:rsidRPr="006A0F21">
        <w:rPr>
          <w:rFonts w:ascii="Verdana" w:eastAsia="Arial" w:hAnsi="Verdana" w:cs="Arial"/>
          <w:vertAlign w:val="superscript"/>
          <w:lang w:val="es-ES" w:eastAsia="es-ES" w:bidi="es-ES"/>
        </w:rPr>
        <w:footnoteReference w:id="5"/>
      </w:r>
      <w:r w:rsidRPr="006A0F21">
        <w:rPr>
          <w:rFonts w:ascii="Verdana" w:eastAsia="Arial" w:hAnsi="Verdana" w:cs="Arial"/>
          <w:lang w:val="es-ES" w:eastAsia="es-ES" w:bidi="es-ES"/>
        </w:rPr>
        <w:t>.</w:t>
      </w:r>
    </w:p>
    <w:p w14:paraId="6C11E80C" w14:textId="77777777" w:rsidR="006A0F21" w:rsidRPr="006A0F21" w:rsidRDefault="006A0F21" w:rsidP="006A0F21">
      <w:pPr>
        <w:spacing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 xml:space="preserve">Otro de los principios transversales a todos los procedimientos de selección es el de </w:t>
      </w:r>
      <w:r w:rsidRPr="006A0F21">
        <w:rPr>
          <w:rFonts w:ascii="Verdana" w:eastAsia="Calibri" w:hAnsi="Verdana" w:cs="Arial"/>
          <w:i/>
          <w:iCs/>
          <w:color w:val="000000"/>
          <w:lang w:val="es-ES_tradnl" w:eastAsia="es-ES_tradnl"/>
        </w:rPr>
        <w:t>selección objetiva</w:t>
      </w:r>
      <w:r w:rsidRPr="006A0F21">
        <w:rPr>
          <w:rFonts w:ascii="Verdana" w:eastAsia="Calibri" w:hAnsi="Verdana" w:cs="Arial"/>
          <w:color w:val="000000"/>
          <w:lang w:val="es-ES_tradnl" w:eastAsia="es-ES_tradnl"/>
        </w:rPr>
        <w:t xml:space="preserve">. Se trata del postulado que exige que la escogencia de la oferta ganadora debe fundamentarse en factores objetivos, de carácter técnico, jurídico y financiero, y no en criterios subjetivos, como el afecto, la amistad, el ánimo de ayuda, el interés personal, entre otros. </w:t>
      </w:r>
    </w:p>
    <w:p w14:paraId="06000222" w14:textId="77777777" w:rsidR="006A0F21" w:rsidRPr="006A0F21" w:rsidRDefault="006A0F21" w:rsidP="006A0F21">
      <w:pPr>
        <w:spacing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Si bien dentro de la historia de la contratación pública en Colombia se vislumbran antecedentes normativos que consagraban dicho principio</w:t>
      </w:r>
      <w:r w:rsidRPr="006A0F21">
        <w:rPr>
          <w:rFonts w:ascii="Verdana" w:eastAsia="Calibri" w:hAnsi="Verdana" w:cs="Arial"/>
          <w:color w:val="000000"/>
          <w:vertAlign w:val="superscript"/>
          <w:lang w:val="es-ES_tradnl" w:eastAsia="es-ES_tradnl"/>
        </w:rPr>
        <w:footnoteReference w:id="6"/>
      </w:r>
      <w:r w:rsidRPr="006A0F21">
        <w:rPr>
          <w:rFonts w:ascii="Verdana" w:eastAsia="Calibri" w:hAnsi="Verdana" w:cs="Arial"/>
          <w:color w:val="000000"/>
          <w:lang w:val="es-ES_tradnl" w:eastAsia="es-ES_tradnl"/>
        </w:rPr>
        <w:t xml:space="preserve">, en la actualidad la disposición legal que lo prevé de manera más clara y contundente </w:t>
      </w:r>
      <w:r w:rsidRPr="006A0F21">
        <w:rPr>
          <w:rFonts w:ascii="Verdana" w:eastAsia="Calibri" w:hAnsi="Verdana" w:cs="Arial"/>
          <w:color w:val="000000"/>
          <w:lang w:val="es-ES_tradnl" w:eastAsia="es-ES_tradnl"/>
        </w:rPr>
        <w:lastRenderedPageBreak/>
        <w:t>es el artículo 5 de la Ley 1150 de 2007, modificado por el artículo 88 de la Ley 1474 de 2011 y por el artículo 5 de la Ley 1882 de 2018</w:t>
      </w:r>
      <w:r w:rsidRPr="006A0F21">
        <w:rPr>
          <w:rFonts w:ascii="Verdana" w:eastAsia="Calibri" w:hAnsi="Verdana" w:cs="Arial"/>
          <w:color w:val="000000"/>
          <w:vertAlign w:val="superscript"/>
          <w:lang w:val="es-ES_tradnl" w:eastAsia="es-ES_tradnl"/>
        </w:rPr>
        <w:footnoteReference w:id="7"/>
      </w:r>
      <w:r w:rsidRPr="006A0F21">
        <w:rPr>
          <w:rFonts w:ascii="Verdana" w:eastAsia="Calibri" w:hAnsi="Verdana" w:cs="Arial"/>
          <w:color w:val="000000"/>
          <w:lang w:val="es-ES_tradnl" w:eastAsia="es-ES_tradnl"/>
        </w:rPr>
        <w:t>.</w:t>
      </w:r>
    </w:p>
    <w:p w14:paraId="495E89E0" w14:textId="77777777" w:rsidR="006A0F21" w:rsidRPr="006A0F21" w:rsidRDefault="006A0F21" w:rsidP="006A0F21">
      <w:pPr>
        <w:spacing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 xml:space="preserve">Así mismo, la Ley 80 de 1993 se refiere a la </w:t>
      </w:r>
      <w:r w:rsidRPr="006A0F21">
        <w:rPr>
          <w:rFonts w:ascii="Verdana" w:eastAsia="Calibri" w:hAnsi="Verdana" w:cs="Arial"/>
          <w:i/>
          <w:iCs/>
          <w:color w:val="000000" w:themeColor="text1"/>
          <w:lang w:val="es-ES" w:eastAsia="es-ES"/>
        </w:rPr>
        <w:t>selección objetiva</w:t>
      </w:r>
      <w:r w:rsidRPr="006A0F21">
        <w:rPr>
          <w:rFonts w:ascii="Verdana" w:eastAsia="Calibri" w:hAnsi="Verdana" w:cs="Arial"/>
          <w:color w:val="000000" w:themeColor="text1"/>
          <w:lang w:val="es-ES" w:eastAsia="es-ES"/>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exige se indiquen en los pliegos de condiciones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
    <w:p w14:paraId="4ADC20B4" w14:textId="77777777" w:rsidR="006A0F21" w:rsidRPr="006A0F21" w:rsidRDefault="006A0F21" w:rsidP="006A0F21">
      <w:pPr>
        <w:spacing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De igual forma,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w:t>
      </w:r>
    </w:p>
    <w:p w14:paraId="79DF7A6B" w14:textId="77777777" w:rsidR="006A0F21" w:rsidRPr="006A0F21" w:rsidRDefault="006A0F21" w:rsidP="006A0F21">
      <w:pPr>
        <w:spacing w:after="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 xml:space="preserve">Finalmente, se manifiesta vii) en el numeral 2 del artículo 30, que dispone que “La entidad interesada elaborará los correspondientes pliegos de condiciones, […], en los cuales se detallarán especialmente los aspectos relativos </w:t>
      </w:r>
      <w:r w:rsidRPr="006A0F21">
        <w:rPr>
          <w:rFonts w:ascii="Verdana" w:eastAsia="Calibri" w:hAnsi="Verdana" w:cs="Arial"/>
          <w:color w:val="000000" w:themeColor="text1"/>
          <w:lang w:val="es-ES" w:eastAsia="es-ES"/>
        </w:rPr>
        <w:lastRenderedPageBreak/>
        <w:t xml:space="preserve">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0D6863B2" w14:textId="77777777" w:rsidR="006A0F21" w:rsidRPr="006A0F21" w:rsidRDefault="006A0F21" w:rsidP="006A0F21">
      <w:pPr>
        <w:spacing w:before="120"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Por su parte, a nivel reglamentario, el Decreto 1082 de 2015 también se refiere a la selección objetiva como postulado esencial al interior de los procedimientos de selección. Así se infiere, por ejemplo, del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entre otros.</w:t>
      </w:r>
    </w:p>
    <w:p w14:paraId="78C54AD9" w14:textId="77777777" w:rsidR="006A0F21" w:rsidRPr="006A0F21" w:rsidRDefault="006A0F21" w:rsidP="006A0F21">
      <w:pPr>
        <w:spacing w:before="120"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La jurisprudencia también ha reconocido la preponderancia de este deber en la etapa precontractual, indicando que su garantía es imprescindible para satisfacer adecuadamente las necesidades de la sociedad mediante la celebración del contrato. Al respecto, la Sección Tercera del Consejo de Estado ha dicho que la objetividad en la selección de los contratistas se relaciona, principalmente, con evitar criterios subjetivos, lo que significa reglas que evalúen factores comparables, dándole un valor a cada uno que permita una adjudicación objetiva</w:t>
      </w:r>
      <w:r w:rsidRPr="006A0F21">
        <w:rPr>
          <w:rFonts w:ascii="Verdana" w:eastAsia="Calibri" w:hAnsi="Verdana" w:cs="Arial"/>
          <w:color w:val="000000"/>
          <w:vertAlign w:val="superscript"/>
          <w:lang w:val="es-ES_tradnl" w:eastAsia="es-ES_tradnl"/>
        </w:rPr>
        <w:footnoteReference w:id="8"/>
      </w:r>
      <w:r w:rsidRPr="006A0F21">
        <w:rPr>
          <w:rFonts w:ascii="Verdana" w:eastAsia="Calibri" w:hAnsi="Verdana" w:cs="Arial"/>
          <w:color w:val="000000"/>
          <w:lang w:val="es-ES_tradnl" w:eastAsia="es-ES_tradnl"/>
        </w:rPr>
        <w:t xml:space="preserve">. </w:t>
      </w:r>
    </w:p>
    <w:p w14:paraId="43D566F6" w14:textId="77777777" w:rsidR="006A0F21" w:rsidRPr="006A0F21" w:rsidRDefault="006A0F21" w:rsidP="006A0F21">
      <w:pPr>
        <w:spacing w:before="120"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Igualmente, ha señalado que la selección objetiva “fundamenta uno de los principales deberes de todos los responsables de la contratación estatal en el derecho colombiano, cual es el de mantener intacta la institucionalidad por encima de los intereses personales, individuales o subjetivos”</w:t>
      </w:r>
      <w:r w:rsidRPr="006A0F21">
        <w:rPr>
          <w:rFonts w:ascii="Verdana" w:eastAsia="Calibri" w:hAnsi="Verdana" w:cs="Arial"/>
          <w:color w:val="000000"/>
          <w:vertAlign w:val="superscript"/>
          <w:lang w:val="es-ES_tradnl" w:eastAsia="es-ES_tradnl"/>
        </w:rPr>
        <w:footnoteReference w:id="9"/>
      </w:r>
      <w:r w:rsidRPr="006A0F21">
        <w:rPr>
          <w:rFonts w:ascii="Verdana" w:eastAsia="Calibri" w:hAnsi="Verdana" w:cs="Arial"/>
          <w:color w:val="000000"/>
          <w:lang w:val="es-ES_tradnl" w:eastAsia="es-ES_tradnl"/>
        </w:rPr>
        <w:t>.</w:t>
      </w:r>
    </w:p>
    <w:p w14:paraId="6CDBB638" w14:textId="77777777" w:rsidR="006A0F21" w:rsidRPr="006A0F21" w:rsidRDefault="006A0F21" w:rsidP="006A0F21">
      <w:pPr>
        <w:spacing w:before="120"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lastRenderedPageBreak/>
        <w:t xml:space="preserve">Ahora bien, para garantizar los principios de la contratación pública en la contratación directa, particularmente, la transparencia y la selección objetiva, cuyos elementos se asemejan, como explicaremos enseguida. En ese aparte de este concepto se explicó, que en la sentencia C-713 de 2009 se analizaron las normas de la Ley 1150 de 2007, y en dicha decisión judicial se estableció que la contratación directa es una excepción, de las que puede hacer el legislador, a los principios de libre competencia y libre concurrencia. </w:t>
      </w:r>
    </w:p>
    <w:p w14:paraId="43EA6DCB" w14:textId="77777777" w:rsidR="006A0F21" w:rsidRPr="006A0F21" w:rsidRDefault="006A0F21" w:rsidP="006A0F21">
      <w:pPr>
        <w:spacing w:before="120"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 xml:space="preserve">Lo anterior puesto que no existe competencia, </w:t>
      </w:r>
      <w:r w:rsidRPr="006A0F21">
        <w:rPr>
          <w:rFonts w:ascii="Verdana" w:eastAsia="Calibri" w:hAnsi="Verdana" w:cs="Arial"/>
          <w:lang w:eastAsia="es-ES_tradnl"/>
        </w:rPr>
        <w:t xml:space="preserve">y por ello, no hay rivalidad entre los posibles proveedores del bien o servicio que requiere la entidad, teniendo en cuenta que al proceso solo concurre la persona que la entidad invita directamente. Esta persona es la única autorizada y, por ende, no hay libre concurrencia, porque así lo permiten las características de la modalidad de contratación directa analizadas, que dispuso el legislador. </w:t>
      </w:r>
    </w:p>
    <w:p w14:paraId="1382CA82" w14:textId="77777777" w:rsidR="006A0F21" w:rsidRPr="006A0F21" w:rsidRDefault="006A0F21" w:rsidP="006A0F21">
      <w:pPr>
        <w:spacing w:before="120"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entre otros. </w:t>
      </w:r>
    </w:p>
    <w:p w14:paraId="1B9F94D3" w14:textId="77777777" w:rsidR="006A0F21" w:rsidRPr="006A0F21" w:rsidRDefault="006A0F21" w:rsidP="006A0F21">
      <w:pPr>
        <w:spacing w:before="120" w:after="120" w:line="276" w:lineRule="auto"/>
        <w:ind w:firstLine="709"/>
        <w:jc w:val="both"/>
        <w:rPr>
          <w:rFonts w:ascii="Verdana" w:eastAsia="Calibri" w:hAnsi="Verdana" w:cs="Arial"/>
          <w:color w:val="000000"/>
          <w:lang w:val="es-ES_tradnl" w:eastAsia="es-ES_tradnl"/>
        </w:rPr>
      </w:pPr>
      <w:r w:rsidRPr="006A0F21">
        <w:rPr>
          <w:rFonts w:ascii="Verdana" w:eastAsia="Calibri" w:hAnsi="Verdana" w:cs="Arial"/>
          <w:color w:val="000000"/>
          <w:lang w:val="es-ES_tradnl" w:eastAsia="es-ES_tradnl"/>
        </w:rPr>
        <w:t xml:space="preserve">En efecto, la persona a la que la entidad contrata de forma directa, es aquella que se considera que cumple con lo requerido para satisfacer la necesidad </w:t>
      </w:r>
      <w:r w:rsidRPr="006A0F21">
        <w:rPr>
          <w:rFonts w:ascii="Verdana" w:eastAsia="Calibri" w:hAnsi="Verdana" w:cs="Arial"/>
          <w:lang w:eastAsia="es-ES_tradnl"/>
        </w:rPr>
        <w:t>contractual</w:t>
      </w:r>
      <w:r w:rsidRPr="006A0F21">
        <w:rPr>
          <w:rFonts w:ascii="Verdana" w:eastAsia="Calibri" w:hAnsi="Verdana" w:cs="Arial"/>
          <w:color w:val="000000"/>
          <w:lang w:val="es-ES_tradnl" w:eastAsia="es-ES_tradnl"/>
        </w:rPr>
        <w:t xml:space="preserve">. Esa consideración de la entidad contratante será objetiva en la medida en que se cumpla con el principio de planeación, que se refleja principalmente en los estudios previos y en el acto administrativo que justifica la contratación directa, en los casos en que aplica. De esta manera, aunque la contratación sea directa, como ya se explicó, esto no implica que la entidad no deba definir las condiciones del contratista que está en capacidad de cumplir el contrato, lo cual es un elemento común entre las modalidades de selección competitivas y no competitivas. </w:t>
      </w:r>
    </w:p>
    <w:p w14:paraId="541D33F3" w14:textId="77777777" w:rsidR="006A0F21" w:rsidRPr="006A0F21" w:rsidRDefault="006A0F21" w:rsidP="006A0F21">
      <w:pPr>
        <w:spacing w:before="120" w:after="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 xml:space="preserve">En todo caso, siempre deben definirse los criterios de escogencia del contratista, pero la diferencia de las modalidades de selección radica en que las causales de contratación directa fueron dispuestas por el legislador en atención a que en el mercado no se encuentra una gran cantidad de proveedores que ofrezcan lo que la entidad requiere. O que, existiendo muchos proveedores, la entidad los puede diferenciar a partir del nivel de conocimientos o experiencia que estos poseen para elegir entre ellos a uno que la entidad, objetivamente, </w:t>
      </w:r>
      <w:r w:rsidRPr="006A0F21">
        <w:rPr>
          <w:rFonts w:ascii="Verdana" w:eastAsia="Calibri" w:hAnsi="Verdana" w:cs="Arial"/>
          <w:color w:val="000000" w:themeColor="text1"/>
          <w:lang w:val="es-ES" w:eastAsia="es-ES"/>
        </w:rPr>
        <w:lastRenderedPageBreak/>
        <w:t>considera como el que puede desarrollar de mejor forma el objeto contractual y demás elementos materiales que justifican la existencia de las demás causales de contratación directa.</w:t>
      </w:r>
    </w:p>
    <w:p w14:paraId="7F5ECE2F" w14:textId="77777777" w:rsidR="006A0F21" w:rsidRPr="006A0F21" w:rsidRDefault="006A0F21" w:rsidP="006A0F21">
      <w:pPr>
        <w:spacing w:before="120" w:after="120" w:line="276" w:lineRule="auto"/>
        <w:ind w:firstLine="709"/>
        <w:jc w:val="both"/>
        <w:rPr>
          <w:rFonts w:ascii="Verdana" w:eastAsia="Calibri" w:hAnsi="Verdana" w:cs="Arial"/>
          <w:color w:val="000000"/>
          <w:lang w:val="es-ES" w:eastAsia="es-ES"/>
        </w:rPr>
      </w:pPr>
      <w:r w:rsidRPr="006A0F21">
        <w:rPr>
          <w:rFonts w:ascii="Verdana" w:eastAsia="Calibri" w:hAnsi="Verdana" w:cs="Arial"/>
          <w:color w:val="000000" w:themeColor="text1"/>
          <w:lang w:val="es-ES" w:eastAsia="es-ES"/>
        </w:rPr>
        <w:t>De esta manera, a ese sujeto que la entidad selecciona puede invitarlo directamente a que presente oferta, sin que exista una indebida decisión arbitraria, esto es, una decisión caprichosa y basada en criterios subjetivos por parte de la entidad. La razón de esto es que, como se señaló, la objetividad está dada por la definición de criterios de escogencia que reflejen una justificación fundamentada en lo que requiere la entidad.</w:t>
      </w:r>
    </w:p>
    <w:p w14:paraId="7318EA44" w14:textId="77777777" w:rsidR="006A0F21" w:rsidRPr="006A0F21" w:rsidRDefault="006A0F21" w:rsidP="006A0F21">
      <w:pPr>
        <w:tabs>
          <w:tab w:val="left" w:pos="426"/>
        </w:tabs>
        <w:spacing w:after="0" w:line="276" w:lineRule="auto"/>
        <w:jc w:val="both"/>
        <w:rPr>
          <w:rFonts w:ascii="Verdana" w:eastAsia="Calibri" w:hAnsi="Verdana" w:cs="Arial"/>
          <w:b/>
          <w:bCs/>
          <w:lang w:val="es-ES_tradnl" w:eastAsia="es-ES_tradnl"/>
        </w:rPr>
      </w:pPr>
      <w:r w:rsidRPr="006A0F21">
        <w:rPr>
          <w:rFonts w:ascii="Verdana" w:eastAsia="Times New Roman" w:hAnsi="Verdana" w:cs="Arial"/>
          <w:lang w:eastAsia="es-ES_tradnl"/>
        </w:rPr>
        <w:tab/>
      </w:r>
      <w:r w:rsidRPr="006A0F21">
        <w:rPr>
          <w:rFonts w:ascii="Verdana" w:eastAsia="Times New Roman" w:hAnsi="Verdana" w:cs="Arial"/>
          <w:lang w:eastAsia="es-ES_tradnl"/>
        </w:rPr>
        <w:tab/>
        <w:t xml:space="preserve">Los fines públicos establecen un contenido diferente a las entidades públicas, a pesar de su posibilidad de contratar en forma directa, teniendo en cuenta las causales reguladas en el EGCAP. A partir de estos contenidos y principios, es donde la contratación directa de las entidades no es asimilable a la autonomía de la voluntad regulada en el derecho privado, pues deben garantizarse principios como la planeación, la transparencia, la economía, entre otros, para celebrar este tipo de contratos. </w:t>
      </w:r>
    </w:p>
    <w:p w14:paraId="1DE02306" w14:textId="77777777" w:rsidR="006A0F21" w:rsidRPr="006A0F21" w:rsidRDefault="006A0F21" w:rsidP="006A0F21">
      <w:pPr>
        <w:tabs>
          <w:tab w:val="left" w:pos="426"/>
        </w:tabs>
        <w:spacing w:after="0" w:line="276" w:lineRule="auto"/>
        <w:jc w:val="both"/>
        <w:rPr>
          <w:rFonts w:ascii="Verdana" w:eastAsia="Calibri" w:hAnsi="Verdana" w:cs="Arial"/>
          <w:bCs/>
          <w:lang w:val="es-ES_tradnl" w:eastAsia="es-ES_tradnl"/>
        </w:rPr>
      </w:pPr>
    </w:p>
    <w:p w14:paraId="3AAC5B72" w14:textId="77777777" w:rsidR="006A0F21" w:rsidRPr="006A0F21" w:rsidRDefault="006A0F21" w:rsidP="006A0F21">
      <w:pPr>
        <w:tabs>
          <w:tab w:val="left" w:pos="426"/>
        </w:tabs>
        <w:spacing w:after="120" w:line="276" w:lineRule="auto"/>
        <w:jc w:val="both"/>
        <w:rPr>
          <w:rFonts w:ascii="Verdana" w:eastAsia="Calibri" w:hAnsi="Verdana" w:cs="Arial"/>
          <w:lang w:val="es-ES" w:eastAsia="es-ES"/>
        </w:rPr>
      </w:pPr>
      <w:r w:rsidRPr="006A0F21">
        <w:rPr>
          <w:rFonts w:ascii="Verdana" w:eastAsia="Calibri" w:hAnsi="Verdana" w:cs="Arial"/>
          <w:lang w:val="es-ES" w:eastAsia="es-ES"/>
        </w:rPr>
        <w:t>iii. Las causales de la modalidad de contratación directa deben interpretarse de forma restrictiva, pues lo que prevalece como principio general y fundamental en la contratación pública es la selección objetiva y la libre concurrencia entre los diferentes proponentes. En esta línea, es necesario revisar el alcance del literal i) numeral 4° del artículo 2 de la Ley 1150 de 2007, que prescribe: “4. Contratación directa. La modalidad de selección de contratación directa, solamente procederá en los siguientes casos: […] i) El arrendamiento o adquisición de inmuebles”.</w:t>
      </w:r>
    </w:p>
    <w:p w14:paraId="013CFC16" w14:textId="77777777" w:rsidR="006A0F21" w:rsidRPr="006A0F21" w:rsidRDefault="006A0F21" w:rsidP="006A0F21">
      <w:pPr>
        <w:tabs>
          <w:tab w:val="left" w:pos="426"/>
        </w:tabs>
        <w:spacing w:after="0" w:line="276" w:lineRule="auto"/>
        <w:jc w:val="both"/>
        <w:rPr>
          <w:rFonts w:ascii="Verdana" w:eastAsia="Calibri" w:hAnsi="Verdana" w:cs="Arial"/>
          <w:bCs/>
          <w:lang w:val="es-ES_tradnl" w:eastAsia="es-ES_tradnl"/>
        </w:rPr>
      </w:pPr>
      <w:r w:rsidRPr="006A0F21">
        <w:rPr>
          <w:rFonts w:ascii="Verdana" w:eastAsia="Calibri" w:hAnsi="Verdana" w:cs="Arial"/>
          <w:bCs/>
          <w:lang w:val="es-ES_tradnl" w:eastAsia="es-ES_tradnl"/>
        </w:rPr>
        <w:tab/>
      </w:r>
      <w:r w:rsidRPr="006A0F21">
        <w:rPr>
          <w:rFonts w:ascii="Verdana" w:eastAsia="Calibri" w:hAnsi="Verdana" w:cs="Arial"/>
          <w:bCs/>
          <w:lang w:val="es-ES_tradnl" w:eastAsia="es-ES_tradnl"/>
        </w:rPr>
        <w:tab/>
        <w:t xml:space="preserve">De la interpretación literal de esta causal de contratación directa se deriva que aplica para el arrendamiento o la adquisición de bienes inmuebles, es decir, que para ambos tipos contractuales se establece la exigencia de que se trate de bienes inmuebles. Pese a lo anterior, la consulta motivo de análisis consiste en determinar si la causal contratación directa citada aplica para el arrendamiento de bienes muebles. Partiendo de la interpretación literal expresada anteriormente, al revisar el alcance de esta causal de contratación directa, se encuentra que el Decreto 1082 de 2015 cuando la reglamentó, solo se ocupó del arrendamiento de bienes </w:t>
      </w:r>
      <w:r w:rsidRPr="006A0F21">
        <w:rPr>
          <w:rFonts w:ascii="Verdana" w:eastAsia="Calibri" w:hAnsi="Verdana" w:cs="Arial"/>
          <w:bCs/>
          <w:i/>
          <w:iCs/>
          <w:lang w:val="es-ES_tradnl" w:eastAsia="es-ES_tradnl"/>
        </w:rPr>
        <w:t>inmuebles</w:t>
      </w:r>
      <w:r w:rsidRPr="006A0F21">
        <w:rPr>
          <w:rFonts w:ascii="Verdana" w:eastAsia="Calibri" w:hAnsi="Verdana" w:cs="Arial"/>
          <w:bCs/>
          <w:lang w:val="es-ES_tradnl" w:eastAsia="es-ES_tradnl"/>
        </w:rPr>
        <w:t xml:space="preserve"> –al igual que frente a la adquisición de </w:t>
      </w:r>
      <w:r w:rsidRPr="006A0F21">
        <w:rPr>
          <w:rFonts w:ascii="Verdana" w:eastAsia="Calibri" w:hAnsi="Verdana" w:cs="Arial"/>
          <w:bCs/>
          <w:lang w:val="es-ES_tradnl" w:eastAsia="es-ES_tradnl"/>
        </w:rPr>
        <w:lastRenderedPageBreak/>
        <w:t xml:space="preserve">bienes </w:t>
      </w:r>
      <w:r w:rsidRPr="006A0F21">
        <w:rPr>
          <w:rFonts w:ascii="Verdana" w:eastAsia="Calibri" w:hAnsi="Verdana" w:cs="Arial"/>
          <w:bCs/>
          <w:i/>
          <w:iCs/>
          <w:lang w:val="es-ES_tradnl" w:eastAsia="es-ES_tradnl"/>
        </w:rPr>
        <w:t>inmuebles</w:t>
      </w:r>
      <w:r w:rsidRPr="006A0F21">
        <w:rPr>
          <w:rFonts w:ascii="Verdana" w:eastAsia="Calibri" w:hAnsi="Verdana" w:cs="Arial"/>
          <w:bCs/>
          <w:i/>
          <w:iCs/>
          <w:vertAlign w:val="superscript"/>
          <w:lang w:val="es-ES_tradnl" w:eastAsia="es-ES_tradnl"/>
        </w:rPr>
        <w:footnoteReference w:id="10"/>
      </w:r>
      <w:r w:rsidRPr="006A0F21">
        <w:rPr>
          <w:rFonts w:ascii="Verdana" w:eastAsia="Calibri" w:hAnsi="Verdana" w:cs="Arial"/>
          <w:bCs/>
          <w:lang w:val="es-ES_tradnl" w:eastAsia="es-ES_tradnl"/>
        </w:rPr>
        <w:t xml:space="preserve">–, que está regulado en el artículo 2.1.1.2.1.4.11., cuyo tenor literal prescribe:  </w:t>
      </w:r>
    </w:p>
    <w:p w14:paraId="1B9F790A" w14:textId="77777777" w:rsidR="006A0F21" w:rsidRPr="006A0F21" w:rsidRDefault="006A0F21" w:rsidP="006A0F21">
      <w:pPr>
        <w:tabs>
          <w:tab w:val="left" w:pos="426"/>
        </w:tabs>
        <w:spacing w:after="0" w:line="276" w:lineRule="auto"/>
        <w:jc w:val="both"/>
        <w:rPr>
          <w:rFonts w:ascii="Verdana" w:eastAsia="Calibri" w:hAnsi="Verdana" w:cs="Arial"/>
          <w:bCs/>
          <w:lang w:val="es-ES_tradnl" w:eastAsia="es-ES_tradnl"/>
        </w:rPr>
      </w:pPr>
    </w:p>
    <w:p w14:paraId="4FF32C15" w14:textId="77777777" w:rsidR="006A0F21" w:rsidRPr="006A0F21" w:rsidRDefault="006A0F21" w:rsidP="006A0F21">
      <w:pPr>
        <w:shd w:val="clear" w:color="auto" w:fill="FFFFFF"/>
        <w:spacing w:after="0" w:line="240" w:lineRule="auto"/>
        <w:ind w:left="709" w:right="709"/>
        <w:jc w:val="both"/>
        <w:rPr>
          <w:rFonts w:ascii="Verdana" w:eastAsia="Times New Roman" w:hAnsi="Verdana" w:cs="Arial"/>
          <w:sz w:val="21"/>
          <w:szCs w:val="21"/>
          <w:lang w:eastAsia="es-CO"/>
        </w:rPr>
      </w:pPr>
      <w:r w:rsidRPr="006A0F21">
        <w:rPr>
          <w:rFonts w:ascii="Verdana" w:eastAsia="Times New Roman" w:hAnsi="Verdana" w:cs="Arial"/>
          <w:bCs/>
          <w:sz w:val="21"/>
          <w:szCs w:val="21"/>
          <w:lang w:eastAsia="es-CO"/>
        </w:rPr>
        <w:t xml:space="preserve">Artículo 2.2.1.2.1.4.11. </w:t>
      </w:r>
      <w:r w:rsidRPr="006A0F21">
        <w:rPr>
          <w:rFonts w:ascii="Verdana" w:eastAsia="Times New Roman" w:hAnsi="Verdana" w:cs="Arial"/>
          <w:bCs/>
          <w:i/>
          <w:iCs/>
          <w:sz w:val="21"/>
          <w:szCs w:val="21"/>
          <w:lang w:eastAsia="es-CO"/>
        </w:rPr>
        <w:t xml:space="preserve">Arrendamiento de bienes inmuebles. </w:t>
      </w:r>
      <w:r w:rsidRPr="006A0F21">
        <w:rPr>
          <w:rFonts w:ascii="Verdana" w:eastAsia="Times New Roman" w:hAnsi="Verdana" w:cs="Arial"/>
          <w:sz w:val="21"/>
          <w:szCs w:val="21"/>
          <w:lang w:eastAsia="es-CO"/>
        </w:rPr>
        <w:t>Las Entidades Estatales pueden alquilar o arrendar inmuebles mediante contratación directa para lo cual deben seguir las siguientes reglas:</w:t>
      </w:r>
    </w:p>
    <w:p w14:paraId="3EEEF07E" w14:textId="77777777" w:rsidR="006A0F21" w:rsidRPr="006A0F21" w:rsidRDefault="006A0F21" w:rsidP="006A0F21">
      <w:pPr>
        <w:shd w:val="clear" w:color="auto" w:fill="FFFFFF"/>
        <w:spacing w:after="0" w:line="240" w:lineRule="auto"/>
        <w:ind w:left="709" w:right="709"/>
        <w:jc w:val="both"/>
        <w:rPr>
          <w:rFonts w:ascii="Verdana" w:eastAsia="Times New Roman" w:hAnsi="Verdana" w:cs="Arial"/>
          <w:sz w:val="21"/>
          <w:szCs w:val="21"/>
          <w:lang w:eastAsia="es-CO"/>
        </w:rPr>
      </w:pPr>
    </w:p>
    <w:p w14:paraId="6F8CDF3F" w14:textId="77777777" w:rsidR="006A0F21" w:rsidRPr="006A0F21" w:rsidRDefault="006A0F21" w:rsidP="006A0F21">
      <w:pPr>
        <w:shd w:val="clear" w:color="auto" w:fill="FFFFFF"/>
        <w:spacing w:after="0" w:line="240" w:lineRule="auto"/>
        <w:ind w:left="709" w:right="709"/>
        <w:jc w:val="both"/>
        <w:rPr>
          <w:rFonts w:ascii="Verdana" w:eastAsia="Times New Roman" w:hAnsi="Verdana" w:cs="Arial"/>
          <w:sz w:val="21"/>
          <w:szCs w:val="21"/>
          <w:lang w:eastAsia="es-CO"/>
        </w:rPr>
      </w:pPr>
      <w:r w:rsidRPr="006A0F21">
        <w:rPr>
          <w:rFonts w:ascii="Verdana" w:eastAsia="Times New Roman" w:hAnsi="Verdana" w:cs="Arial"/>
          <w:sz w:val="21"/>
          <w:szCs w:val="21"/>
          <w:lang w:eastAsia="es-CO"/>
        </w:rPr>
        <w:t>1. Verificar las condiciones del mercado inmobiliario en la ciudad en la que la Entidad Estatal requiere el inmueble.</w:t>
      </w:r>
    </w:p>
    <w:p w14:paraId="0A5D6D0D" w14:textId="77777777" w:rsidR="006A0F21" w:rsidRPr="006A0F21" w:rsidRDefault="006A0F21" w:rsidP="006A0F21">
      <w:pPr>
        <w:shd w:val="clear" w:color="auto" w:fill="FFFFFF"/>
        <w:spacing w:after="0" w:line="240" w:lineRule="auto"/>
        <w:ind w:left="709" w:right="709"/>
        <w:jc w:val="both"/>
        <w:rPr>
          <w:rFonts w:ascii="Verdana" w:eastAsia="Times New Roman" w:hAnsi="Verdana" w:cs="Arial"/>
          <w:sz w:val="21"/>
          <w:szCs w:val="21"/>
          <w:lang w:eastAsia="es-CO"/>
        </w:rPr>
      </w:pPr>
    </w:p>
    <w:p w14:paraId="3D2D3442" w14:textId="77777777" w:rsidR="006A0F21" w:rsidRPr="006A0F21" w:rsidRDefault="006A0F21" w:rsidP="006A0F21">
      <w:pPr>
        <w:shd w:val="clear" w:color="auto" w:fill="FFFFFF"/>
        <w:spacing w:after="0" w:line="240" w:lineRule="auto"/>
        <w:ind w:left="709" w:right="709"/>
        <w:jc w:val="both"/>
        <w:rPr>
          <w:rFonts w:ascii="Verdana" w:eastAsia="Times New Roman" w:hAnsi="Verdana" w:cs="Arial"/>
          <w:sz w:val="21"/>
          <w:szCs w:val="21"/>
          <w:lang w:eastAsia="es-CO"/>
        </w:rPr>
      </w:pPr>
      <w:r w:rsidRPr="006A0F21">
        <w:rPr>
          <w:rFonts w:ascii="Verdana" w:eastAsia="Times New Roman" w:hAnsi="Verdana" w:cs="Arial"/>
          <w:sz w:val="21"/>
          <w:szCs w:val="21"/>
          <w:lang w:eastAsia="es-CO"/>
        </w:rPr>
        <w:t>2. Analizar y comparar las condiciones de los bienes inmuebles que satisfacen las necesidades identificadas y las opciones de arrendamiento, análisis que deberá tener en cuenta los principios y objetivos del sistema de compra y contratación pública.</w:t>
      </w:r>
    </w:p>
    <w:p w14:paraId="0A3AAC16" w14:textId="77777777" w:rsidR="006A0F21" w:rsidRPr="006A0F21" w:rsidRDefault="006A0F21" w:rsidP="006A0F21">
      <w:pPr>
        <w:tabs>
          <w:tab w:val="left" w:pos="426"/>
        </w:tabs>
        <w:spacing w:after="0" w:line="276" w:lineRule="auto"/>
        <w:jc w:val="both"/>
        <w:rPr>
          <w:rFonts w:ascii="Verdana" w:eastAsia="Calibri" w:hAnsi="Verdana" w:cs="Arial"/>
          <w:bCs/>
          <w:lang w:val="es-ES_tradnl" w:eastAsia="es-ES_tradnl"/>
        </w:rPr>
      </w:pPr>
    </w:p>
    <w:p w14:paraId="07E86EE2" w14:textId="77777777" w:rsidR="006A0F21" w:rsidRPr="006A0F21" w:rsidRDefault="006A0F21" w:rsidP="006A0F21">
      <w:pPr>
        <w:tabs>
          <w:tab w:val="left" w:pos="426"/>
        </w:tabs>
        <w:spacing w:after="0" w:line="276" w:lineRule="auto"/>
        <w:jc w:val="both"/>
        <w:rPr>
          <w:rFonts w:ascii="Verdana" w:eastAsia="Calibri" w:hAnsi="Verdana" w:cs="Arial"/>
          <w:bCs/>
          <w:lang w:val="es-ES_tradnl" w:eastAsia="es-ES_tradnl"/>
        </w:rPr>
      </w:pPr>
      <w:r w:rsidRPr="006A0F21">
        <w:rPr>
          <w:rFonts w:ascii="Verdana" w:eastAsia="Calibri" w:hAnsi="Verdana" w:cs="Arial"/>
          <w:bCs/>
          <w:lang w:val="es-ES_tradnl" w:eastAsia="es-ES_tradnl"/>
        </w:rPr>
        <w:tab/>
      </w:r>
      <w:r w:rsidRPr="006A0F21">
        <w:rPr>
          <w:rFonts w:ascii="Verdana" w:eastAsia="Calibri" w:hAnsi="Verdana" w:cs="Arial"/>
          <w:bCs/>
          <w:lang w:val="es-ES_tradnl" w:eastAsia="es-ES_tradnl"/>
        </w:rPr>
        <w:tab/>
        <w:t xml:space="preserve">Teniendo en cuenta lo establecido en el Decreto 1082 de 2015, el Gobierno Nacional en desarrollo de la potestad reglamentaria, otorgada por el artículo 189.11 de la Constitución, se decantó por la interpretación de que la causal de contratación directa prescrita en el literal i) numeral 4 del artículo 2 de la Ley 1150 de 2007, solo autoriza la contratación directa del arrendamiento de bienes inmuebles –como también su adquisición–, pero no de bienes muebles. Lo anterior constituye un fundamento de orden normativo de gran importancia, para entender el alcance de la causal de contratación directa analizada. Incluso, la doctrina toma partido por esta misma postura interpretativa, en el sentido de que la causal de contratación directa solo aplica para el arrendamiento de bienes </w:t>
      </w:r>
      <w:r w:rsidRPr="006A0F21">
        <w:rPr>
          <w:rFonts w:ascii="Verdana" w:eastAsia="Calibri" w:hAnsi="Verdana" w:cs="Arial"/>
          <w:bCs/>
          <w:i/>
          <w:iCs/>
          <w:lang w:val="es-ES_tradnl" w:eastAsia="es-ES_tradnl"/>
        </w:rPr>
        <w:t>inmuebles</w:t>
      </w:r>
      <w:r w:rsidRPr="006A0F21">
        <w:rPr>
          <w:rFonts w:ascii="Verdana" w:eastAsia="Calibri" w:hAnsi="Verdana" w:cs="Arial"/>
          <w:bCs/>
          <w:lang w:val="es-ES_tradnl" w:eastAsia="es-ES_tradnl"/>
        </w:rPr>
        <w:t xml:space="preserve">: </w:t>
      </w:r>
    </w:p>
    <w:p w14:paraId="7AF291FD" w14:textId="77777777" w:rsidR="006A0F21" w:rsidRPr="006A0F21" w:rsidRDefault="006A0F21" w:rsidP="006A0F21">
      <w:pPr>
        <w:tabs>
          <w:tab w:val="left" w:pos="426"/>
        </w:tabs>
        <w:spacing w:after="0" w:line="276" w:lineRule="auto"/>
        <w:ind w:left="709" w:right="709"/>
        <w:jc w:val="both"/>
        <w:rPr>
          <w:rFonts w:ascii="Verdana" w:eastAsia="Calibri" w:hAnsi="Verdana" w:cs="Arial"/>
          <w:bCs/>
          <w:lang w:val="es-ES_tradnl" w:eastAsia="es-ES_tradnl"/>
        </w:rPr>
      </w:pPr>
    </w:p>
    <w:p w14:paraId="46D79876" w14:textId="77777777" w:rsidR="006A0F21" w:rsidRPr="006A0F21" w:rsidRDefault="006A0F21" w:rsidP="006A0F21">
      <w:pPr>
        <w:autoSpaceDE w:val="0"/>
        <w:autoSpaceDN w:val="0"/>
        <w:adjustRightInd w:val="0"/>
        <w:spacing w:after="0" w:line="240" w:lineRule="auto"/>
        <w:ind w:left="709" w:right="709"/>
        <w:jc w:val="both"/>
        <w:rPr>
          <w:rFonts w:ascii="Verdana" w:eastAsia="Calibri" w:hAnsi="Verdana" w:cs="Arial"/>
          <w:sz w:val="21"/>
          <w:szCs w:val="21"/>
        </w:rPr>
      </w:pPr>
      <w:r w:rsidRPr="006A0F21">
        <w:rPr>
          <w:rFonts w:ascii="Verdana" w:eastAsia="Calibri" w:hAnsi="Verdana" w:cs="Arial"/>
          <w:sz w:val="21"/>
          <w:szCs w:val="21"/>
        </w:rPr>
        <w:t xml:space="preserve">La contratación directa está admitida tanto cuando la entidad es arrendataria como cuando es arrendadora y no se requiere obtener varias ofertas sino agotar las reglas que en la actualidad se encuentran en los artículos 2.2.1.2.1.4.10 y 2.2.1.2.1.4.11 del Decreto 1082 de 2015 y, por supuesto, asegurarse (sic) la aplicación del deber de selección objetiva, </w:t>
      </w:r>
      <w:r w:rsidRPr="006A0F21">
        <w:rPr>
          <w:rFonts w:ascii="Verdana" w:eastAsia="Calibri" w:hAnsi="Verdana" w:cs="Arial"/>
          <w:i/>
          <w:iCs/>
          <w:sz w:val="21"/>
          <w:szCs w:val="21"/>
        </w:rPr>
        <w:t xml:space="preserve">que para este caso se materializa, si actúa la administración como arrendataria, que se trate de un inmueble apto </w:t>
      </w:r>
      <w:r w:rsidRPr="006A0F21">
        <w:rPr>
          <w:rFonts w:ascii="Verdana" w:eastAsia="Calibri" w:hAnsi="Verdana" w:cs="Arial"/>
          <w:i/>
          <w:iCs/>
          <w:sz w:val="21"/>
          <w:szCs w:val="21"/>
        </w:rPr>
        <w:lastRenderedPageBreak/>
        <w:t>para el servicio, y si es arrendadora, que el canon pactado esté ajustado a un precio real y conveniente.</w:t>
      </w:r>
    </w:p>
    <w:p w14:paraId="5800C2F4" w14:textId="77777777" w:rsidR="006A0F21" w:rsidRPr="006A0F21" w:rsidRDefault="006A0F21" w:rsidP="006A0F21">
      <w:pPr>
        <w:autoSpaceDE w:val="0"/>
        <w:autoSpaceDN w:val="0"/>
        <w:adjustRightInd w:val="0"/>
        <w:spacing w:after="0" w:line="240" w:lineRule="auto"/>
        <w:ind w:left="709" w:right="709"/>
        <w:jc w:val="both"/>
        <w:rPr>
          <w:rFonts w:ascii="Verdana" w:eastAsia="Calibri" w:hAnsi="Verdana" w:cs="Arial"/>
          <w:sz w:val="21"/>
          <w:szCs w:val="21"/>
        </w:rPr>
      </w:pPr>
    </w:p>
    <w:p w14:paraId="3043ED8C" w14:textId="77777777" w:rsidR="006A0F21" w:rsidRPr="006A0F21" w:rsidRDefault="006A0F21" w:rsidP="006A0F21">
      <w:pPr>
        <w:autoSpaceDE w:val="0"/>
        <w:autoSpaceDN w:val="0"/>
        <w:adjustRightInd w:val="0"/>
        <w:spacing w:after="0" w:line="240" w:lineRule="auto"/>
        <w:ind w:left="709" w:right="709"/>
        <w:jc w:val="both"/>
        <w:rPr>
          <w:rFonts w:ascii="Verdana" w:eastAsia="Calibri" w:hAnsi="Verdana" w:cs="Arial"/>
          <w:i/>
          <w:iCs/>
          <w:sz w:val="21"/>
          <w:szCs w:val="21"/>
        </w:rPr>
      </w:pPr>
      <w:r w:rsidRPr="006A0F21">
        <w:rPr>
          <w:rFonts w:ascii="Verdana" w:eastAsia="Calibri" w:hAnsi="Verdana" w:cs="Arial"/>
          <w:i/>
          <w:iCs/>
          <w:sz w:val="21"/>
          <w:szCs w:val="21"/>
        </w:rPr>
        <w:t>Se alude a bienes inmuebles porque, a mi juicio, esta condición es predicable para los dos eventos que refiere la norma en cuestión (lit. i, num. 4, art. 2° L. 1150 de 2007); vale decir, para los contratos de arrendamiento como de compraventa en que la entidad asume el rol de comprador. De donde se infiere que el arrendamiento y compraventa de muebles no están cobijados por esta causal de contratación directa.</w:t>
      </w:r>
    </w:p>
    <w:p w14:paraId="38FCE4B5" w14:textId="77777777" w:rsidR="006A0F21" w:rsidRPr="006A0F21" w:rsidRDefault="006A0F21" w:rsidP="006A0F21">
      <w:pPr>
        <w:autoSpaceDE w:val="0"/>
        <w:autoSpaceDN w:val="0"/>
        <w:adjustRightInd w:val="0"/>
        <w:spacing w:after="0" w:line="240" w:lineRule="auto"/>
        <w:ind w:left="709" w:right="709"/>
        <w:jc w:val="both"/>
        <w:rPr>
          <w:rFonts w:ascii="Verdana" w:eastAsia="Calibri" w:hAnsi="Verdana" w:cs="Arial"/>
          <w:sz w:val="21"/>
          <w:szCs w:val="21"/>
        </w:rPr>
      </w:pPr>
    </w:p>
    <w:p w14:paraId="58DECD38" w14:textId="77777777" w:rsidR="006A0F21" w:rsidRPr="006A0F21" w:rsidRDefault="006A0F21" w:rsidP="006A0F21">
      <w:pPr>
        <w:autoSpaceDE w:val="0"/>
        <w:autoSpaceDN w:val="0"/>
        <w:adjustRightInd w:val="0"/>
        <w:spacing w:after="0" w:line="240" w:lineRule="auto"/>
        <w:ind w:left="709" w:right="709"/>
        <w:jc w:val="both"/>
        <w:rPr>
          <w:rFonts w:ascii="Verdana" w:eastAsia="Calibri" w:hAnsi="Verdana" w:cs="Arial"/>
          <w:sz w:val="21"/>
          <w:szCs w:val="21"/>
        </w:rPr>
      </w:pPr>
      <w:r w:rsidRPr="006A0F21">
        <w:rPr>
          <w:rFonts w:ascii="Verdana" w:eastAsia="Calibri" w:hAnsi="Verdana" w:cs="Arial"/>
          <w:sz w:val="21"/>
          <w:szCs w:val="21"/>
        </w:rPr>
        <w:t>El contrato de arrendamiento tiene toda una estructura normativa propia en e| derecho privado que impide que otras formas contractuales se identifiquen a esta para evadir los procesos de selección</w:t>
      </w:r>
      <w:r w:rsidRPr="006A0F21">
        <w:rPr>
          <w:rFonts w:ascii="Verdana" w:eastAsia="Calibri" w:hAnsi="Verdana" w:cs="Arial"/>
          <w:sz w:val="21"/>
          <w:szCs w:val="21"/>
          <w:vertAlign w:val="superscript"/>
        </w:rPr>
        <w:footnoteReference w:id="11"/>
      </w:r>
      <w:r w:rsidRPr="006A0F21">
        <w:rPr>
          <w:rFonts w:ascii="Verdana" w:eastAsia="Calibri" w:hAnsi="Verdana" w:cs="Arial"/>
          <w:sz w:val="21"/>
          <w:szCs w:val="21"/>
        </w:rPr>
        <w:t xml:space="preserve">. </w:t>
      </w:r>
    </w:p>
    <w:p w14:paraId="7673B289" w14:textId="77777777" w:rsidR="006A0F21" w:rsidRPr="006A0F21" w:rsidRDefault="006A0F21" w:rsidP="006A0F21">
      <w:pPr>
        <w:tabs>
          <w:tab w:val="left" w:pos="426"/>
        </w:tabs>
        <w:spacing w:after="0" w:line="276" w:lineRule="auto"/>
        <w:jc w:val="both"/>
        <w:rPr>
          <w:rFonts w:ascii="Verdana" w:eastAsia="Times New Roman" w:hAnsi="Verdana" w:cs="Arial"/>
          <w:color w:val="000000"/>
          <w:sz w:val="21"/>
          <w:szCs w:val="21"/>
          <w:bdr w:val="none" w:sz="0" w:space="0" w:color="auto" w:frame="1"/>
          <w:lang w:eastAsia="es-ES_tradnl"/>
        </w:rPr>
      </w:pPr>
    </w:p>
    <w:p w14:paraId="4F951FC3" w14:textId="77777777" w:rsidR="006A0F21" w:rsidRPr="006A0F21" w:rsidRDefault="006A0F21" w:rsidP="006A0F21">
      <w:pPr>
        <w:tabs>
          <w:tab w:val="left" w:pos="426"/>
        </w:tabs>
        <w:spacing w:after="120" w:line="276" w:lineRule="auto"/>
        <w:jc w:val="both"/>
        <w:rPr>
          <w:rFonts w:ascii="Verdana" w:eastAsia="Times New Roman" w:hAnsi="Verdana" w:cs="Arial"/>
          <w:lang w:eastAsia="es-ES_tradnl"/>
        </w:rPr>
      </w:pPr>
      <w:r w:rsidRPr="006A0F21">
        <w:rPr>
          <w:rFonts w:ascii="Verdana" w:eastAsia="Times New Roman" w:hAnsi="Verdana" w:cs="Arial"/>
          <w:color w:val="000000"/>
          <w:bdr w:val="none" w:sz="0" w:space="0" w:color="auto" w:frame="1"/>
          <w:lang w:eastAsia="es-ES_tradnl"/>
        </w:rPr>
        <w:tab/>
      </w:r>
      <w:r w:rsidRPr="006A0F21">
        <w:rPr>
          <w:rFonts w:ascii="Verdana" w:eastAsia="Times New Roman" w:hAnsi="Verdana" w:cs="Arial"/>
          <w:lang w:val="es-ES_tradnl" w:eastAsia="es-ES_tradnl"/>
        </w:rPr>
        <w:tab/>
        <w:t xml:space="preserve">En armonía con lo anterior, cabe reiterar que </w:t>
      </w:r>
      <w:r w:rsidRPr="006A0F21">
        <w:rPr>
          <w:rFonts w:ascii="Verdana" w:eastAsia="Times New Roman" w:hAnsi="Verdana" w:cs="Arial"/>
          <w:lang w:eastAsia="es-ES_tradnl"/>
        </w:rPr>
        <w:t xml:space="preserve">la contratación directa como modalidad de selección regulada en la Ley está condicionada a la aplicación de sus causales de forma estricta y restrictiva, por lo que, tratándose de la causal analizada no es posible ampliar su alcance al arrendamiento de bienes muebles. En este sentido, no es posible realizar interpretaciones amplias, pues la finalidad de la norma es que la contratación directa sea una excepción a la libre concurrencia de oferentes y no un fundamento para impedir o restringir la competencia, teniendo en cuenta el cumplimiento de los principios de la contratación, de la función administrativa y de la gestión fiscal. </w:t>
      </w:r>
    </w:p>
    <w:p w14:paraId="26F06E8F" w14:textId="77777777" w:rsidR="006A0F21" w:rsidRPr="006A0F21" w:rsidRDefault="006A0F21" w:rsidP="006A0F21">
      <w:pPr>
        <w:spacing w:after="120" w:line="276" w:lineRule="auto"/>
        <w:ind w:firstLine="708"/>
        <w:jc w:val="both"/>
        <w:rPr>
          <w:rFonts w:ascii="Verdana" w:eastAsia="Times New Roman" w:hAnsi="Verdana" w:cs="Arial"/>
          <w:lang w:eastAsia="es-CO"/>
        </w:rPr>
      </w:pPr>
      <w:r w:rsidRPr="006A0F21">
        <w:rPr>
          <w:rFonts w:ascii="Verdana" w:eastAsia="Times New Roman" w:hAnsi="Verdana" w:cs="Arial"/>
          <w:lang w:eastAsia="es-CO"/>
        </w:rPr>
        <w:t xml:space="preserve">Se considera que el arrendamiento de bienes muebles no se ajusta a la causal de contratación directa estudiada. Por tanto, para arrendar este tipo de bienes la entidad deberá establecer bajo qué modalidad de selección –licitación pública, selección abreviada o mínima cuantía– debe adelantar, garantizando la libre concurrencia de proponentes. Por otro lado, como también se señaló las consideraciones anteriores, la contratación directa del arrendamiento –o la adquisición– de bienes inmuebles debe garantizar las reglas y principios del Estatuto General de Contratación de la Administración Pública.  </w:t>
      </w:r>
    </w:p>
    <w:p w14:paraId="70CE1AF2" w14:textId="77777777" w:rsidR="006A0F21" w:rsidRPr="006A0F21" w:rsidRDefault="006A0F21" w:rsidP="006A0F21">
      <w:pPr>
        <w:spacing w:after="120" w:line="276" w:lineRule="auto"/>
        <w:ind w:firstLine="708"/>
        <w:jc w:val="both"/>
        <w:rPr>
          <w:rFonts w:ascii="Verdana" w:eastAsia="Times New Roman" w:hAnsi="Verdana" w:cs="Arial"/>
          <w:color w:val="000000"/>
          <w:bdr w:val="none" w:sz="0" w:space="0" w:color="auto" w:frame="1"/>
          <w:lang w:eastAsia="es-CO"/>
        </w:rPr>
      </w:pPr>
      <w:r w:rsidRPr="006A0F21">
        <w:rPr>
          <w:rFonts w:ascii="Verdana" w:eastAsia="Times New Roman" w:hAnsi="Verdana" w:cs="Arial"/>
          <w:color w:val="000000"/>
          <w:bdr w:val="none" w:sz="0" w:space="0" w:color="auto" w:frame="1"/>
          <w:lang w:eastAsia="es-CO"/>
        </w:rPr>
        <w:lastRenderedPageBreak/>
        <w:t>En concordancia con lo anterior, el Decreto Reglamentario 1082 de 2015, en su artículo 2.2.1.2.1.4.1</w:t>
      </w:r>
      <w:r w:rsidRPr="006A0F21">
        <w:rPr>
          <w:rFonts w:ascii="Verdana" w:eastAsia="Times New Roman" w:hAnsi="Verdana" w:cs="Arial"/>
          <w:color w:val="000000"/>
          <w:bdr w:val="none" w:sz="0" w:space="0" w:color="auto" w:frame="1"/>
          <w:vertAlign w:val="superscript"/>
          <w:lang w:eastAsia="es-CO"/>
        </w:rPr>
        <w:footnoteReference w:id="12"/>
      </w:r>
      <w:r w:rsidRPr="006A0F21">
        <w:rPr>
          <w:rFonts w:ascii="Verdana" w:eastAsia="Times New Roman" w:hAnsi="Verdana" w:cs="Arial"/>
          <w:color w:val="000000"/>
          <w:bdr w:val="none" w:sz="0" w:space="0" w:color="auto" w:frame="1"/>
          <w:lang w:eastAsia="es-CO"/>
        </w:rPr>
        <w:t xml:space="preserve">, establece que la entidad estatal debe justificar la causal de contratación directa mediante la expedición de un acto administrativo. Por estas razones, cobra importancia la referencia hecha al principio de planeación en la contratación estatal, ya que el desarrollo que realizó el decreto reglamentario, específicamente de la causal contenida en el literal i) del numeral 4 del artículo 2 de la Ley 1150 de 2007, </w:t>
      </w:r>
      <w:r w:rsidRPr="006A0F21">
        <w:rPr>
          <w:rFonts w:ascii="Verdana" w:eastAsia="Times New Roman" w:hAnsi="Verdana" w:cs="Arial"/>
          <w:color w:val="000000"/>
          <w:bdr w:val="none" w:sz="0" w:space="0" w:color="auto" w:frame="1"/>
          <w:lang w:val="es-MX" w:eastAsia="es-CO"/>
        </w:rPr>
        <w:t>prevé la obligación de la entidad contratante de </w:t>
      </w:r>
      <w:r w:rsidRPr="006A0F21">
        <w:rPr>
          <w:rFonts w:ascii="Verdana" w:eastAsia="Times New Roman" w:hAnsi="Verdana" w:cs="Arial"/>
          <w:color w:val="000000"/>
          <w:bdr w:val="none" w:sz="0" w:space="0" w:color="auto" w:frame="1"/>
          <w:lang w:eastAsia="es-CO"/>
        </w:rPr>
        <w:t xml:space="preserve">sustentar, con base en los estudios previos realizados, el arrendamiento de bienes inmuebles. </w:t>
      </w:r>
    </w:p>
    <w:p w14:paraId="2DEC9C31" w14:textId="77777777" w:rsidR="006A0F21" w:rsidRPr="006A0F21" w:rsidRDefault="006A0F21" w:rsidP="006A0F21">
      <w:pPr>
        <w:spacing w:after="120" w:line="276" w:lineRule="auto"/>
        <w:ind w:firstLine="709"/>
        <w:jc w:val="both"/>
        <w:rPr>
          <w:rFonts w:ascii="Verdana" w:eastAsia="Calibri" w:hAnsi="Verdana" w:cs="Arial"/>
          <w:lang w:eastAsia="es-CO"/>
        </w:rPr>
      </w:pPr>
      <w:r w:rsidRPr="006A0F21">
        <w:rPr>
          <w:rFonts w:ascii="Verdana" w:eastAsia="Times New Roman" w:hAnsi="Verdana" w:cs="Arial"/>
          <w:color w:val="000000"/>
          <w:bdr w:val="none" w:sz="0" w:space="0" w:color="auto" w:frame="1"/>
          <w:lang w:val="es-ES" w:eastAsia="es-ES_tradnl"/>
        </w:rPr>
        <w:t>Dicho lo anterior, resulta claro que l</w:t>
      </w:r>
      <w:r w:rsidRPr="006A0F21">
        <w:rPr>
          <w:rFonts w:ascii="Verdana" w:eastAsia="Times New Roman" w:hAnsi="Verdana" w:cs="Arial"/>
          <w:bCs/>
          <w:lang w:val="es-ES_tradnl" w:eastAsia="es-ES_tradnl"/>
        </w:rPr>
        <w:t>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entre otros. Así, una debida planeación debe conducir a una escogencia diligente de la mejor oferta, para beneficiar los intereses y fines públicos inmersos en la contratación de las entidades estatales, buscando siempre la correcta ejecución del contrato</w:t>
      </w:r>
      <w:r w:rsidRPr="006A0F21">
        <w:rPr>
          <w:rFonts w:ascii="Verdana" w:eastAsia="Times New Roman" w:hAnsi="Verdana" w:cs="Arial"/>
          <w:vertAlign w:val="superscript"/>
          <w:lang w:eastAsia="es-ES_tradnl"/>
        </w:rPr>
        <w:footnoteReference w:id="13"/>
      </w:r>
      <w:r w:rsidRPr="006A0F21">
        <w:rPr>
          <w:rFonts w:ascii="Verdana" w:eastAsia="Times New Roman" w:hAnsi="Verdana" w:cs="Arial"/>
          <w:bCs/>
          <w:lang w:val="es-ES_tradnl" w:eastAsia="es-ES_tradnl"/>
        </w:rPr>
        <w:t>.</w:t>
      </w:r>
      <w:r w:rsidRPr="006A0F21">
        <w:rPr>
          <w:rFonts w:ascii="Verdana" w:eastAsia="Calibri" w:hAnsi="Verdana" w:cs="Arial"/>
          <w:lang w:eastAsia="es-CO"/>
        </w:rPr>
        <w:t xml:space="preserve"> </w:t>
      </w:r>
    </w:p>
    <w:p w14:paraId="6930DB64" w14:textId="77777777" w:rsidR="006A0F21" w:rsidRPr="006A0F21" w:rsidRDefault="006A0F21" w:rsidP="006A0F21">
      <w:pPr>
        <w:spacing w:after="120" w:line="276" w:lineRule="auto"/>
        <w:ind w:firstLine="708"/>
        <w:jc w:val="both"/>
        <w:rPr>
          <w:rFonts w:ascii="Verdana" w:eastAsia="Times New Roman" w:hAnsi="Verdana" w:cs="Arial"/>
          <w:bCs/>
          <w:lang w:val="es-ES" w:eastAsia="es-ES_tradnl"/>
        </w:rPr>
      </w:pPr>
      <w:r w:rsidRPr="006A0F21">
        <w:rPr>
          <w:rFonts w:ascii="Verdana" w:eastAsia="Times New Roman" w:hAnsi="Verdana" w:cs="Arial"/>
          <w:bCs/>
          <w:lang w:eastAsia="es-ES_tradnl"/>
        </w:rPr>
        <w:lastRenderedPageBreak/>
        <w:t xml:space="preserve">En armonía con lo anterior, 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w:t>
      </w:r>
      <w:r w:rsidRPr="006A0F21">
        <w:rPr>
          <w:rFonts w:ascii="Verdana" w:eastAsia="Times New Roman" w:hAnsi="Verdana" w:cs="Arial"/>
          <w:bCs/>
          <w:lang w:val="es-ES_tradnl" w:eastAsia="es-ES_tradnl"/>
        </w:rPr>
        <w:t>colaboran</w:t>
      </w:r>
      <w:r w:rsidRPr="006A0F21">
        <w:rPr>
          <w:rFonts w:ascii="Verdana" w:eastAsia="Times New Roman" w:hAnsi="Verdana" w:cs="Arial"/>
          <w:bCs/>
          <w:lang w:eastAsia="es-ES_tradnl"/>
        </w:rPr>
        <w:t xml:space="preserve"> en su consecución. En relación con el principio de economía, se tienen las siguientes reglas derivadas de su aplicación, lo cual está previsto en el artículo 25 de la Ley 80 de 1993: </w:t>
      </w:r>
    </w:p>
    <w:p w14:paraId="125D7222" w14:textId="77777777" w:rsidR="006A0F21" w:rsidRPr="006A0F21" w:rsidRDefault="006A0F21" w:rsidP="006A0F21">
      <w:pPr>
        <w:spacing w:after="0" w:line="276" w:lineRule="auto"/>
        <w:ind w:firstLine="708"/>
        <w:jc w:val="both"/>
        <w:rPr>
          <w:rFonts w:ascii="Verdana" w:eastAsia="Calibri" w:hAnsi="Verdana" w:cs="Arial"/>
          <w:bCs/>
          <w:lang w:val="es-ES"/>
        </w:rPr>
      </w:pPr>
    </w:p>
    <w:p w14:paraId="25F03DEC" w14:textId="77777777" w:rsidR="006A0F21" w:rsidRPr="006A0F21" w:rsidRDefault="006A0F21" w:rsidP="006A0F21">
      <w:pPr>
        <w:spacing w:after="0" w:line="240" w:lineRule="auto"/>
        <w:ind w:left="709" w:right="709"/>
        <w:jc w:val="both"/>
        <w:rPr>
          <w:rFonts w:ascii="Verdana" w:eastAsia="Calibri" w:hAnsi="Verdana" w:cs="Arial"/>
          <w:sz w:val="21"/>
          <w:szCs w:val="21"/>
          <w:lang w:val="es-MX"/>
        </w:rPr>
      </w:pPr>
      <w:r w:rsidRPr="006A0F21">
        <w:rPr>
          <w:rFonts w:ascii="Verdana" w:eastAsia="Calibri" w:hAnsi="Verdana" w:cs="Arial"/>
          <w:sz w:val="21"/>
          <w:szCs w:val="21"/>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0C8449B9" w14:textId="77777777" w:rsidR="006A0F21" w:rsidRPr="006A0F21" w:rsidRDefault="006A0F21" w:rsidP="006A0F21">
      <w:pPr>
        <w:spacing w:after="0" w:line="240" w:lineRule="auto"/>
        <w:ind w:left="709" w:right="709"/>
        <w:jc w:val="both"/>
        <w:rPr>
          <w:rFonts w:ascii="Verdana" w:eastAsia="Calibri" w:hAnsi="Verdana" w:cs="Arial"/>
          <w:sz w:val="21"/>
          <w:szCs w:val="21"/>
          <w:lang w:val="es-MX"/>
        </w:rPr>
      </w:pPr>
      <w:r w:rsidRPr="006A0F21">
        <w:rPr>
          <w:rFonts w:ascii="Verdana" w:eastAsia="Calibri" w:hAnsi="Verdana" w:cs="Arial"/>
          <w:sz w:val="21"/>
          <w:szCs w:val="21"/>
          <w:lang w:val="es-MX"/>
        </w:rPr>
        <w:t>[…]</w:t>
      </w:r>
    </w:p>
    <w:p w14:paraId="4A0D0085" w14:textId="77777777" w:rsidR="006A0F21" w:rsidRPr="006A0F21" w:rsidRDefault="006A0F21" w:rsidP="006A0F21">
      <w:pPr>
        <w:spacing w:after="0" w:line="240" w:lineRule="auto"/>
        <w:ind w:left="709" w:right="709"/>
        <w:jc w:val="both"/>
        <w:rPr>
          <w:rFonts w:ascii="Verdana" w:eastAsia="Calibri" w:hAnsi="Verdana" w:cs="Arial"/>
          <w:sz w:val="21"/>
          <w:szCs w:val="21"/>
          <w:lang w:val="es-MX"/>
        </w:rPr>
      </w:pPr>
    </w:p>
    <w:p w14:paraId="6FD9BEA3" w14:textId="77777777" w:rsidR="006A0F21" w:rsidRPr="006A0F21" w:rsidRDefault="006A0F21" w:rsidP="006A0F21">
      <w:pPr>
        <w:spacing w:after="0" w:line="240" w:lineRule="auto"/>
        <w:ind w:left="709" w:right="709"/>
        <w:jc w:val="both"/>
        <w:rPr>
          <w:rFonts w:ascii="Verdana" w:eastAsia="Calibri" w:hAnsi="Verdana" w:cs="Arial"/>
          <w:sz w:val="21"/>
          <w:szCs w:val="21"/>
          <w:lang w:val="es-MX"/>
        </w:rPr>
      </w:pPr>
      <w:r w:rsidRPr="006A0F21">
        <w:rPr>
          <w:rFonts w:ascii="Verdana" w:eastAsia="Calibri" w:hAnsi="Verdana" w:cs="Arial"/>
          <w:sz w:val="21"/>
          <w:szCs w:val="21"/>
          <w:lang w:val="es-MX"/>
        </w:rPr>
        <w:t xml:space="preserve">12. Previo a la apertura de un proceso de selección, o a la firma del contrato en el caso en que la </w:t>
      </w:r>
      <w:r w:rsidRPr="006A0F21">
        <w:rPr>
          <w:rFonts w:ascii="Verdana" w:eastAsia="Calibri" w:hAnsi="Verdana" w:cs="Arial"/>
          <w:i/>
          <w:iCs/>
          <w:sz w:val="21"/>
          <w:szCs w:val="21"/>
          <w:lang w:val="es-MX"/>
        </w:rPr>
        <w:t>modalidad de selección sea contratación directa</w:t>
      </w:r>
      <w:r w:rsidRPr="006A0F21">
        <w:rPr>
          <w:rFonts w:ascii="Verdana" w:eastAsia="Calibri" w:hAnsi="Verdana" w:cs="Arial"/>
          <w:sz w:val="21"/>
          <w:szCs w:val="21"/>
          <w:lang w:val="es-MX"/>
        </w:rPr>
        <w:t>, deberán elaborarse los estudios, diseños y proyectos requeridos, y los pliegos de condiciones, según corresponda.</w:t>
      </w:r>
    </w:p>
    <w:p w14:paraId="0F7368A1" w14:textId="77777777" w:rsidR="006A0F21" w:rsidRPr="006A0F21" w:rsidRDefault="006A0F21" w:rsidP="006A0F21">
      <w:pPr>
        <w:spacing w:after="0" w:line="240" w:lineRule="auto"/>
        <w:ind w:left="709" w:right="709"/>
        <w:jc w:val="both"/>
        <w:rPr>
          <w:rFonts w:ascii="Verdana" w:eastAsia="Times New Roman" w:hAnsi="Verdana" w:cs="Arial"/>
          <w:sz w:val="21"/>
          <w:szCs w:val="21"/>
          <w:lang w:eastAsia="es-ES_tradnl"/>
        </w:rPr>
      </w:pPr>
    </w:p>
    <w:p w14:paraId="5981B43D" w14:textId="77777777" w:rsidR="006A0F21" w:rsidRPr="006A0F21" w:rsidRDefault="006A0F21" w:rsidP="006A0F21">
      <w:pPr>
        <w:spacing w:after="0" w:line="240" w:lineRule="auto"/>
        <w:ind w:left="709" w:right="709"/>
        <w:jc w:val="both"/>
        <w:rPr>
          <w:rFonts w:ascii="Verdana" w:eastAsia="Times New Roman" w:hAnsi="Verdana" w:cs="Arial"/>
          <w:sz w:val="21"/>
          <w:szCs w:val="21"/>
          <w:lang w:eastAsia="es-ES_tradnl"/>
        </w:rPr>
      </w:pPr>
      <w:r w:rsidRPr="006A0F21">
        <w:rPr>
          <w:rFonts w:ascii="Verdana" w:eastAsia="Times New Roman" w:hAnsi="Verdana" w:cs="Arial"/>
          <w:sz w:val="21"/>
          <w:szCs w:val="21"/>
          <w:lang w:eastAsia="es-ES_tradnl"/>
        </w:rPr>
        <w:t>[…]. (Cursivas propias)</w:t>
      </w:r>
    </w:p>
    <w:p w14:paraId="5FEC7A80" w14:textId="77777777" w:rsidR="006A0F21" w:rsidRPr="006A0F21" w:rsidRDefault="006A0F21" w:rsidP="006A0F21">
      <w:pPr>
        <w:spacing w:after="0" w:line="240" w:lineRule="auto"/>
        <w:ind w:left="709" w:right="709"/>
        <w:jc w:val="both"/>
        <w:rPr>
          <w:rFonts w:ascii="Verdana" w:eastAsia="Times New Roman" w:hAnsi="Verdana" w:cs="Arial"/>
          <w:lang w:eastAsia="es-ES_tradnl"/>
        </w:rPr>
      </w:pPr>
    </w:p>
    <w:p w14:paraId="0E246163" w14:textId="77777777" w:rsidR="006A0F21" w:rsidRPr="006A0F21" w:rsidRDefault="006A0F21" w:rsidP="006A0F21">
      <w:pPr>
        <w:spacing w:after="120" w:line="276" w:lineRule="auto"/>
        <w:ind w:firstLine="709"/>
        <w:jc w:val="both"/>
        <w:rPr>
          <w:rFonts w:ascii="Verdana" w:eastAsia="Calibri" w:hAnsi="Verdana" w:cs="Arial"/>
          <w:lang w:val="es-MX"/>
        </w:rPr>
      </w:pPr>
      <w:r w:rsidRPr="006A0F21">
        <w:rPr>
          <w:rFonts w:ascii="Verdana" w:eastAsia="Calibri" w:hAnsi="Verdana" w:cs="Arial"/>
          <w:lang w:val="es-MX"/>
        </w:rPr>
        <w:t xml:space="preserve">De las normas precitadas se resalta que, en virtud del principio de economía, para iniciar un proceso de contratación, </w:t>
      </w:r>
      <w:r w:rsidRPr="006A0F21">
        <w:rPr>
          <w:rFonts w:ascii="Verdana" w:eastAsia="Calibri" w:hAnsi="Verdana" w:cs="Arial"/>
          <w:i/>
          <w:iCs/>
          <w:lang w:val="es-MX"/>
        </w:rPr>
        <w:t>inclusive de contratación directa</w:t>
      </w:r>
      <w:r w:rsidRPr="006A0F21">
        <w:rPr>
          <w:rFonts w:ascii="Verdana" w:eastAsia="Calibri" w:hAnsi="Verdana" w:cs="Arial"/>
          <w:lang w:val="es-MX"/>
        </w:rPr>
        <w:t xml:space="preserve">, se requieren unos estudios previos.  Con ellos, se estructuran, concretan y viabilizan los aspectos esenciales del futuro contrato, dentro de los cuales se encuentran su objeto y valor estimado, entre otros elementos. </w:t>
      </w:r>
    </w:p>
    <w:p w14:paraId="24B8C11F" w14:textId="77777777" w:rsidR="006A0F21" w:rsidRPr="006A0F21" w:rsidRDefault="006A0F21" w:rsidP="006A0F21">
      <w:pPr>
        <w:spacing w:after="0" w:line="276" w:lineRule="auto"/>
        <w:ind w:firstLine="708"/>
        <w:jc w:val="both"/>
        <w:rPr>
          <w:rFonts w:ascii="Verdana" w:eastAsia="Calibri" w:hAnsi="Verdana" w:cs="Arial"/>
          <w:lang w:val="es-MX"/>
        </w:rPr>
      </w:pPr>
      <w:r w:rsidRPr="006A0F21">
        <w:rPr>
          <w:rFonts w:ascii="Verdana" w:eastAsia="Calibri" w:hAnsi="Verdana" w:cs="Arial"/>
          <w:lang w:val="es-MX"/>
        </w:rPr>
        <w:t xml:space="preserve">Los componentes de los estudios previos que sirven de soporte para elaborar el proyecto de pliego, los pliegos de condiciones y el contrato, están </w:t>
      </w:r>
      <w:r w:rsidRPr="006A0F21">
        <w:rPr>
          <w:rFonts w:ascii="Verdana" w:eastAsia="Calibri" w:hAnsi="Verdana" w:cs="Arial"/>
          <w:lang w:val="es-MX"/>
        </w:rPr>
        <w:lastRenderedPageBreak/>
        <w:t xml:space="preserve">previstos en el artículo 2.2.1.1.2.1.1 del Decreto 1082 de 2015. La norma exige que se determine la necesidad, el objeto a contratar con sus especificaciones y se estime el costo que implica la celebración del contrato de la siguiente manera: </w:t>
      </w:r>
    </w:p>
    <w:p w14:paraId="5ED597E7" w14:textId="77777777" w:rsidR="006A0F21" w:rsidRPr="006A0F21" w:rsidRDefault="006A0F21" w:rsidP="006A0F21">
      <w:pPr>
        <w:spacing w:after="0" w:line="240" w:lineRule="auto"/>
        <w:jc w:val="both"/>
        <w:rPr>
          <w:rFonts w:ascii="Verdana" w:eastAsia="Calibri" w:hAnsi="Verdana" w:cs="Arial"/>
          <w:lang w:val="es-MX"/>
        </w:rPr>
      </w:pPr>
    </w:p>
    <w:p w14:paraId="43316A5C" w14:textId="77777777" w:rsidR="006A0F21" w:rsidRPr="006A0F21" w:rsidRDefault="006A0F21" w:rsidP="006A0F21">
      <w:pPr>
        <w:spacing w:after="0" w:line="240" w:lineRule="auto"/>
        <w:ind w:left="709" w:right="709"/>
        <w:jc w:val="both"/>
        <w:rPr>
          <w:rFonts w:ascii="Verdana" w:eastAsia="Calibri" w:hAnsi="Verdana" w:cs="Arial"/>
          <w:sz w:val="21"/>
          <w:szCs w:val="21"/>
          <w:lang w:val="es-MX"/>
        </w:rPr>
      </w:pPr>
      <w:r w:rsidRPr="006A0F21">
        <w:rPr>
          <w:rFonts w:ascii="Verdana" w:eastAsia="Calibri" w:hAnsi="Verdana" w:cs="Arial"/>
          <w:sz w:val="21"/>
          <w:szCs w:val="21"/>
          <w:lang w:val="es-MX"/>
        </w:rPr>
        <w:t xml:space="preserve">1.    La descripción de la necesidad que la Entidad Estatal pretende satisfacer con el Proceso de Contratación. </w:t>
      </w:r>
    </w:p>
    <w:p w14:paraId="59CA2569" w14:textId="77777777" w:rsidR="006A0F21" w:rsidRPr="006A0F21" w:rsidRDefault="006A0F21" w:rsidP="006A0F21">
      <w:pPr>
        <w:spacing w:after="0" w:line="240" w:lineRule="auto"/>
        <w:ind w:left="709" w:right="709"/>
        <w:jc w:val="both"/>
        <w:rPr>
          <w:rFonts w:ascii="Verdana" w:eastAsia="Calibri" w:hAnsi="Verdana" w:cs="Arial"/>
          <w:sz w:val="21"/>
          <w:szCs w:val="21"/>
          <w:lang w:val="es-MX"/>
        </w:rPr>
      </w:pPr>
    </w:p>
    <w:p w14:paraId="3B0A0CC1" w14:textId="77777777" w:rsidR="006A0F21" w:rsidRPr="006A0F21" w:rsidRDefault="006A0F21" w:rsidP="006A0F21">
      <w:pPr>
        <w:spacing w:after="0" w:line="240" w:lineRule="auto"/>
        <w:ind w:left="709" w:right="709"/>
        <w:jc w:val="both"/>
        <w:rPr>
          <w:rFonts w:ascii="Verdana" w:eastAsia="Calibri" w:hAnsi="Verdana" w:cs="Arial"/>
          <w:sz w:val="21"/>
          <w:szCs w:val="21"/>
          <w:lang w:val="es-MX"/>
        </w:rPr>
      </w:pPr>
      <w:r w:rsidRPr="006A0F21">
        <w:rPr>
          <w:rFonts w:ascii="Verdana" w:eastAsia="Calibri" w:hAnsi="Verdana" w:cs="Arial"/>
          <w:sz w:val="21"/>
          <w:szCs w:val="21"/>
          <w:lang w:val="es-MX"/>
        </w:rPr>
        <w:t>2. El objeto a contratar, con sus especificaciones, las autorizaciones, permisos y licencias requeridos para su ejecución, y cuando el contrato incluye diseño y construcción, los documentos técnicos para el desarrollo del proyecto.</w:t>
      </w:r>
    </w:p>
    <w:p w14:paraId="0B981944" w14:textId="77777777" w:rsidR="006A0F21" w:rsidRPr="006A0F21" w:rsidRDefault="006A0F21" w:rsidP="006A0F21">
      <w:pPr>
        <w:spacing w:after="0" w:line="240" w:lineRule="auto"/>
        <w:jc w:val="both"/>
        <w:rPr>
          <w:rFonts w:ascii="Verdana" w:eastAsia="Times New Roman" w:hAnsi="Verdana" w:cs="Arial"/>
          <w:bCs/>
          <w:sz w:val="21"/>
          <w:szCs w:val="21"/>
          <w:lang w:val="es-ES_tradnl" w:eastAsia="es-ES_tradnl"/>
        </w:rPr>
      </w:pPr>
      <w:r w:rsidRPr="006A0F21">
        <w:rPr>
          <w:rFonts w:ascii="Verdana" w:eastAsia="Times New Roman" w:hAnsi="Verdana" w:cs="Arial"/>
          <w:bCs/>
          <w:sz w:val="21"/>
          <w:szCs w:val="21"/>
          <w:lang w:val="es-ES_tradnl" w:eastAsia="es-ES_tradnl"/>
        </w:rPr>
        <w:tab/>
        <w:t>[…]</w:t>
      </w:r>
    </w:p>
    <w:p w14:paraId="650DEE50" w14:textId="77777777" w:rsidR="006A0F21" w:rsidRPr="006A0F21" w:rsidRDefault="006A0F21" w:rsidP="006A0F21">
      <w:pPr>
        <w:spacing w:after="0" w:line="276" w:lineRule="auto"/>
        <w:jc w:val="both"/>
        <w:rPr>
          <w:rFonts w:ascii="Verdana" w:eastAsia="Times New Roman" w:hAnsi="Verdana" w:cs="Arial"/>
          <w:bCs/>
          <w:lang w:val="es-ES_tradnl" w:eastAsia="es-ES_tradnl"/>
        </w:rPr>
      </w:pPr>
    </w:p>
    <w:p w14:paraId="627C5E22" w14:textId="77777777" w:rsidR="006A0F21" w:rsidRPr="006A0F21" w:rsidRDefault="006A0F21" w:rsidP="006A0F21">
      <w:pPr>
        <w:spacing w:after="120" w:line="276" w:lineRule="auto"/>
        <w:ind w:firstLine="709"/>
        <w:jc w:val="both"/>
        <w:rPr>
          <w:rFonts w:ascii="Verdana" w:eastAsia="Times New Roman" w:hAnsi="Verdana" w:cs="Arial"/>
          <w:bCs/>
          <w:lang w:val="es-ES_tradnl" w:eastAsia="es-ES_tradnl"/>
        </w:rPr>
      </w:pPr>
      <w:r w:rsidRPr="006A0F21">
        <w:rPr>
          <w:rFonts w:ascii="Verdana" w:eastAsia="Times New Roman" w:hAnsi="Verdana" w:cs="Arial"/>
          <w:bCs/>
          <w:lang w:val="es-ES_tradnl" w:eastAsia="es-ES_tradnl"/>
        </w:rPr>
        <w:t xml:space="preserve">Para cumplir este objetivo es necesario el estudio del mercado y el análisis del sector económico y de los oferentes, actividad de planeación previa que sirve para identificar aspectos concretos del mercado. De esta manera, lo que se identifique en dicho análisis puede afectar el proceso de selección o las condiciones del negocio a realizar a través del proceso de contratación de bienes, obras o servicios. </w:t>
      </w:r>
      <w:r w:rsidRPr="006A0F21">
        <w:rPr>
          <w:rFonts w:ascii="Verdana" w:eastAsia="Times New Roman" w:hAnsi="Verdana" w:cs="Arial"/>
          <w:color w:val="000000"/>
          <w:bdr w:val="none" w:sz="0" w:space="0" w:color="auto" w:frame="1"/>
          <w:lang w:val="es-MX" w:eastAsia="es-ES_tradnl"/>
        </w:rPr>
        <w:t> </w:t>
      </w:r>
    </w:p>
    <w:p w14:paraId="58342DD8" w14:textId="77777777" w:rsidR="006A0F21" w:rsidRPr="006A0F21" w:rsidRDefault="006A0F21" w:rsidP="006A0F21">
      <w:pPr>
        <w:spacing w:after="120" w:line="276" w:lineRule="auto"/>
        <w:ind w:firstLine="708"/>
        <w:jc w:val="both"/>
        <w:rPr>
          <w:rFonts w:ascii="Verdana" w:eastAsia="Times New Roman" w:hAnsi="Verdana" w:cs="Arial"/>
          <w:color w:val="000000"/>
          <w:bdr w:val="none" w:sz="0" w:space="0" w:color="auto" w:frame="1"/>
          <w:lang w:val="es-MX" w:eastAsia="es-CO"/>
        </w:rPr>
      </w:pPr>
      <w:r w:rsidRPr="006A0F21">
        <w:rPr>
          <w:rFonts w:ascii="Verdana" w:eastAsia="Times New Roman" w:hAnsi="Verdana" w:cs="Arial"/>
          <w:color w:val="000000"/>
          <w:bdr w:val="none" w:sz="0" w:space="0" w:color="auto" w:frame="1"/>
          <w:lang w:val="es-MX" w:eastAsia="es-CO"/>
        </w:rPr>
        <w:t xml:space="preserve">Un análisis de los principios de planeación y de economía busca comprobar que su aplicación se extiende también a los procesos de contratación directa, en la medida en que la entidad debe tener seguridad sobre el mercado en el cual contratará el bien o servicio y, hecha esa verificación, podría seleccionar la mejor opción para cumplir con la necesidad de la entidad pública. </w:t>
      </w:r>
    </w:p>
    <w:p w14:paraId="64CF9C18" w14:textId="77777777" w:rsidR="006A0F21" w:rsidRPr="006A0F21" w:rsidRDefault="006A0F21" w:rsidP="006A0F21">
      <w:pPr>
        <w:spacing w:after="120" w:line="276" w:lineRule="auto"/>
        <w:ind w:firstLine="708"/>
        <w:jc w:val="both"/>
        <w:rPr>
          <w:rFonts w:ascii="Verdana" w:eastAsia="Times New Roman" w:hAnsi="Verdana" w:cs="Arial"/>
          <w:color w:val="000000"/>
          <w:bdr w:val="none" w:sz="0" w:space="0" w:color="auto" w:frame="1"/>
          <w:lang w:val="es-MX" w:eastAsia="es-CO"/>
        </w:rPr>
      </w:pPr>
      <w:r w:rsidRPr="006A0F21">
        <w:rPr>
          <w:rFonts w:ascii="Verdana" w:eastAsia="Times New Roman" w:hAnsi="Verdana" w:cs="Arial"/>
          <w:color w:val="000000"/>
          <w:bdr w:val="none" w:sz="0" w:space="0" w:color="auto" w:frame="1"/>
          <w:lang w:val="es-MX" w:eastAsia="es-CO"/>
        </w:rPr>
        <w:t xml:space="preserve">A partir del cumplimiento de estas reglas y principios dispuestos en el Estatuto General de Contratación de la Administración Pública, el arrendamiento de bienes inmuebles está condicionado a dos reglas, según el artículo 2.2.1.2.1.4.11. como son: i) la verificación de las condiciones del mercado inmobiliario en la ciudad en la que la Entidad Estatal requiere el inmueble; ii) análisis y comparación de las condiciones de los bienes inmuebles que satisfacen las necesidades identificadas y las opciones de arrendamiento, lo cual deberá tener en cuenta los principios y objetivos del sistema de contratación pública. Con ambas condiciones, busca garantizarse los principios de planeación y economía en la contratación pública. </w:t>
      </w:r>
    </w:p>
    <w:p w14:paraId="0BA442C0" w14:textId="77777777" w:rsidR="006A0F21" w:rsidRPr="006A0F21" w:rsidRDefault="006A0F21" w:rsidP="006A0F21">
      <w:pPr>
        <w:spacing w:after="0" w:line="276" w:lineRule="auto"/>
        <w:jc w:val="both"/>
        <w:rPr>
          <w:rFonts w:ascii="Verdana" w:eastAsia="Calibri" w:hAnsi="Verdana" w:cs="Arial"/>
          <w:lang w:eastAsia="es-MX"/>
        </w:rPr>
      </w:pPr>
    </w:p>
    <w:p w14:paraId="37A18728" w14:textId="77777777" w:rsidR="006A0F21" w:rsidRPr="006A0F21" w:rsidRDefault="006A0F21" w:rsidP="006A0F21">
      <w:pPr>
        <w:numPr>
          <w:ilvl w:val="0"/>
          <w:numId w:val="19"/>
        </w:numPr>
        <w:tabs>
          <w:tab w:val="left" w:pos="142"/>
          <w:tab w:val="left" w:pos="284"/>
        </w:tabs>
        <w:spacing w:after="0" w:line="276" w:lineRule="auto"/>
        <w:contextualSpacing/>
        <w:jc w:val="both"/>
        <w:rPr>
          <w:rFonts w:ascii="Verdana" w:eastAsia="Century Gothic" w:hAnsi="Verdana" w:cs="Century Gothic"/>
          <w:b/>
          <w:bCs/>
          <w:lang w:val="es-ES"/>
        </w:rPr>
      </w:pPr>
      <w:r w:rsidRPr="006A0F21">
        <w:rPr>
          <w:rFonts w:ascii="Verdana" w:eastAsia="Century Gothic" w:hAnsi="Verdana" w:cs="Century Gothic"/>
          <w:b/>
          <w:bCs/>
          <w:lang w:val="es-ES"/>
        </w:rPr>
        <w:t>Referencias normativas y jurisprudenciales:</w:t>
      </w:r>
    </w:p>
    <w:p w14:paraId="4ACAE757" w14:textId="77777777" w:rsidR="006A0F21" w:rsidRPr="006A0F21" w:rsidRDefault="006A0F21" w:rsidP="006A0F2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0F21" w:rsidRPr="006A0F21" w14:paraId="48615717" w14:textId="77777777" w:rsidTr="008A464F">
        <w:trPr>
          <w:trHeight w:val="856"/>
          <w:jc w:val="center"/>
        </w:trPr>
        <w:tc>
          <w:tcPr>
            <w:tcW w:w="8647" w:type="dxa"/>
          </w:tcPr>
          <w:p w14:paraId="6519DE54" w14:textId="77777777" w:rsidR="006A0F21" w:rsidRPr="006A0F21" w:rsidRDefault="006A0F21" w:rsidP="006A0F21">
            <w:pPr>
              <w:widowControl w:val="0"/>
              <w:autoSpaceDE w:val="0"/>
              <w:autoSpaceDN w:val="0"/>
              <w:spacing w:after="120" w:line="276" w:lineRule="auto"/>
              <w:ind w:left="720"/>
              <w:contextualSpacing/>
              <w:jc w:val="both"/>
              <w:rPr>
                <w:rFonts w:ascii="Verdana" w:eastAsia="Calibri" w:hAnsi="Verdana" w:cs="Arial"/>
                <w:lang w:val="es-ES"/>
              </w:rPr>
            </w:pPr>
          </w:p>
          <w:p w14:paraId="2C7321AC"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lang w:val="es-ES"/>
              </w:rPr>
              <w:t xml:space="preserve">Ley 80 de 1993, artículos 23, 24, 25 y 30. </w:t>
            </w:r>
          </w:p>
          <w:p w14:paraId="57DF7F33"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lang w:val="es-ES"/>
              </w:rPr>
              <w:t>Ley 1150 de 2007, artículo 2.</w:t>
            </w:r>
          </w:p>
          <w:p w14:paraId="341FBED0"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lang w:val="es-ES"/>
              </w:rPr>
              <w:t>Decreto 1082 de 2015, artículos 2.2.1.1.2.1.1., 2.2.1.1.2.1.3., 2.2.1.2.1.4.1., 2.2.1.2.1.4.10., 2.1.1.2.1.4.11</w:t>
            </w:r>
          </w:p>
          <w:p w14:paraId="40E811FF"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rPr>
              <w:t xml:space="preserve">Agencia Nacional de Contratación Pública –Colombia Compra Eficiente. Guía de competencia en las compras públicas, 2018. Disponible en línea: </w:t>
            </w:r>
            <w:hyperlink r:id="rId13" w:history="1">
              <w:r w:rsidRPr="006A0F21">
                <w:rPr>
                  <w:rFonts w:ascii="Verdana" w:eastAsia="Calibri" w:hAnsi="Verdana" w:cs="Arial"/>
                  <w:color w:val="0000FF"/>
                  <w:u w:val="single"/>
                </w:rPr>
                <w:t>https://www.colombiacompra.gov.co/archivos/manual/guia-de-competencia-en-las-compras-publicas</w:t>
              </w:r>
            </w:hyperlink>
          </w:p>
          <w:p w14:paraId="220734B6"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lang w:val="es-ES"/>
              </w:rPr>
              <w:t>Consejo de Estado. Sección Tercera. Sentencia del 29 de abril de 2015. Exp. 29.201. C.P. Olga Melida Valle de De La Hoz.</w:t>
            </w:r>
          </w:p>
          <w:p w14:paraId="097DF220"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lang w:val="es-ES"/>
              </w:rPr>
              <w:t xml:space="preserve">Consejo de Estado. Sección Tercera. Subsección A. Sentencia del 25 de octubre de 2019. Exp. 39.945. </w:t>
            </w:r>
          </w:p>
          <w:p w14:paraId="3FBE7E75"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lang w:val="es-ES"/>
              </w:rPr>
              <w:t>Consejo de Estado. Sección Tercera. Subsección A. Sentencia del 5 de julio de 2018. Exp. 37.834. Consejero Ponente: Carlos Alberto Zambrano Barrera.</w:t>
            </w:r>
          </w:p>
          <w:p w14:paraId="0A061743"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lang w:val="es-ES"/>
              </w:rPr>
              <w:t>Corte Constitucional. Sentencia C-713 de 2009. M.P. María Victoria Calle Correa.</w:t>
            </w:r>
          </w:p>
          <w:p w14:paraId="26B72721" w14:textId="77777777" w:rsidR="006A0F21" w:rsidRPr="006A0F21" w:rsidRDefault="006A0F21" w:rsidP="006A0F21">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6A0F21">
              <w:rPr>
                <w:rFonts w:ascii="Verdana" w:eastAsia="Calibri" w:hAnsi="Verdana" w:cs="Arial"/>
                <w:lang w:val="es-ES"/>
              </w:rPr>
              <w:t>Corte Constitucional. Sentencia C-300 de 2012 M.P. Jorge Ignacio Pretel Chaljub.</w:t>
            </w:r>
          </w:p>
          <w:p w14:paraId="5B64E2E5" w14:textId="77777777" w:rsidR="006A0F21" w:rsidRPr="006A0F21" w:rsidRDefault="006A0F21" w:rsidP="006A0F21">
            <w:pPr>
              <w:widowControl w:val="0"/>
              <w:autoSpaceDE w:val="0"/>
              <w:autoSpaceDN w:val="0"/>
              <w:spacing w:after="120" w:line="276" w:lineRule="auto"/>
              <w:ind w:left="720"/>
              <w:contextualSpacing/>
              <w:jc w:val="both"/>
              <w:rPr>
                <w:rFonts w:ascii="Verdana" w:eastAsia="Calibri" w:hAnsi="Verdana" w:cs="Arial"/>
                <w:lang w:val="es-ES"/>
              </w:rPr>
            </w:pPr>
          </w:p>
        </w:tc>
      </w:tr>
    </w:tbl>
    <w:p w14:paraId="5956D669" w14:textId="77777777" w:rsidR="006A0F21" w:rsidRPr="006A0F21" w:rsidRDefault="006A0F21" w:rsidP="006A0F21">
      <w:pPr>
        <w:widowControl w:val="0"/>
        <w:autoSpaceDE w:val="0"/>
        <w:autoSpaceDN w:val="0"/>
        <w:spacing w:after="0" w:line="276" w:lineRule="auto"/>
        <w:jc w:val="both"/>
        <w:rPr>
          <w:rFonts w:ascii="Verdana" w:hAnsi="Verdana" w:cs="Arial"/>
        </w:rPr>
      </w:pPr>
    </w:p>
    <w:p w14:paraId="736C57CD" w14:textId="77777777" w:rsidR="006A0F21" w:rsidRPr="006A0F21" w:rsidRDefault="006A0F21" w:rsidP="006A0F21">
      <w:pPr>
        <w:tabs>
          <w:tab w:val="left" w:pos="142"/>
          <w:tab w:val="left" w:pos="284"/>
        </w:tabs>
        <w:spacing w:after="0" w:line="276" w:lineRule="auto"/>
        <w:jc w:val="both"/>
        <w:rPr>
          <w:rFonts w:ascii="Verdana" w:eastAsia="Century Gothic" w:hAnsi="Verdana" w:cs="Century Gothic"/>
          <w:b/>
          <w:bCs/>
        </w:rPr>
      </w:pPr>
      <w:r w:rsidRPr="006A0F21">
        <w:rPr>
          <w:rFonts w:ascii="Verdana" w:eastAsia="Century Gothic" w:hAnsi="Verdana" w:cs="Century Gothic"/>
          <w:b/>
          <w:bCs/>
        </w:rPr>
        <w:t>Doctrina de la Agencia Nacional de Contratación Pública:</w:t>
      </w:r>
    </w:p>
    <w:p w14:paraId="1E7155A0" w14:textId="77777777" w:rsidR="006A0F21" w:rsidRPr="006A0F21" w:rsidRDefault="006A0F21" w:rsidP="006A0F21">
      <w:pPr>
        <w:widowControl w:val="0"/>
        <w:autoSpaceDE w:val="0"/>
        <w:autoSpaceDN w:val="0"/>
        <w:spacing w:after="0" w:line="276" w:lineRule="auto"/>
        <w:jc w:val="both"/>
        <w:rPr>
          <w:rFonts w:ascii="Verdana" w:hAnsi="Verdana" w:cs="Arial"/>
        </w:rPr>
      </w:pPr>
    </w:p>
    <w:p w14:paraId="7CEEA23B" w14:textId="77777777" w:rsidR="006A0F21" w:rsidRPr="006A0F21" w:rsidRDefault="006A0F21" w:rsidP="006A0F21">
      <w:pPr>
        <w:spacing w:after="0" w:line="276" w:lineRule="auto"/>
        <w:jc w:val="both"/>
        <w:rPr>
          <w:rFonts w:ascii="Verdana" w:hAnsi="Verdana" w:cs="Arial"/>
          <w:shd w:val="clear" w:color="auto" w:fill="FFFFFF"/>
        </w:rPr>
      </w:pPr>
      <w:r w:rsidRPr="006A0F21">
        <w:rPr>
          <w:rFonts w:ascii="Verdana" w:hAnsi="Verdana" w:cs="Arial"/>
          <w:shd w:val="clear" w:color="auto" w:fill="FFFFFF"/>
          <w:lang w:val="es-ES_tradnl"/>
        </w:rPr>
        <w:t>La Agencia Nacional de Contratación Pública – Colombia Compra Eficiente se pronunció sobre la modalidad de selección del contratista por contratación directa y los principios de la contratación estatal en los conceptos No. 4201912000006310 del 9 de octubre de 2019, C-223 del 29 de abril de 2020, C-443 del 7 de julio de 2020 y, en particular, en los conceptos C-701 de 7 de diciembre de 2020, C-726 de 14 de diciembre de 2020</w:t>
      </w:r>
      <w:r w:rsidRPr="006A0F21">
        <w:rPr>
          <w:rFonts w:ascii="Verdana" w:hAnsi="Verdana" w:cs="Arial"/>
          <w:shd w:val="clear" w:color="auto" w:fill="FFFFFF"/>
        </w:rPr>
        <w:t xml:space="preserve"> y C-150 del 9 de abril de 2021, C-418 del 18 de agosto de 2021, C-561 del 8 de octubre de 2021. La tesis expuesta en estos conceptos se reitera a continuación y se complementa en lo pertinente. </w:t>
      </w:r>
      <w:r w:rsidRPr="006A0F21">
        <w:rPr>
          <w:rFonts w:ascii="Verdana" w:hAnsi="Verdana" w:cs="Arial"/>
          <w:shd w:val="clear" w:color="auto" w:fill="FFFFFF"/>
          <w:lang w:val="es-ES"/>
        </w:rPr>
        <w:t xml:space="preserve">Estos y otros </w:t>
      </w:r>
      <w:r w:rsidRPr="006A0F21">
        <w:rPr>
          <w:rFonts w:ascii="Verdana" w:hAnsi="Verdana"/>
        </w:rPr>
        <w:t xml:space="preserve">conceptos se encuentran disponibles para consulta en el Sistema de relatoría de la Agencia, al cual se puede acceder a través del </w:t>
      </w:r>
      <w:r w:rsidRPr="006A0F21">
        <w:rPr>
          <w:rFonts w:ascii="Verdana" w:hAnsi="Verdana"/>
        </w:rPr>
        <w:lastRenderedPageBreak/>
        <w:t>siguiente enlace:</w:t>
      </w:r>
      <w:r w:rsidRPr="006A0F21">
        <w:rPr>
          <w:rFonts w:ascii="Verdana" w:hAnsi="Verdana" w:cs="Arial"/>
          <w:shd w:val="clear" w:color="auto" w:fill="FFFFFF"/>
        </w:rPr>
        <w:t xml:space="preserve"> </w:t>
      </w:r>
      <w:hyperlink r:id="rId14" w:history="1">
        <w:r w:rsidRPr="006A0F21">
          <w:rPr>
            <w:rFonts w:ascii="Verdana" w:hAnsi="Verdana" w:cs="Arial"/>
            <w:color w:val="0563C1" w:themeColor="hyperlink"/>
            <w:u w:val="single"/>
            <w:shd w:val="clear" w:color="auto" w:fill="FFFFFF"/>
          </w:rPr>
          <w:t>https://relatoria.colombiacompra.gov.co/busqueda/conceptos</w:t>
        </w:r>
      </w:hyperlink>
      <w:r w:rsidRPr="006A0F21">
        <w:rPr>
          <w:rFonts w:ascii="Verdana" w:hAnsi="Verdana" w:cs="Arial"/>
          <w:shd w:val="clear" w:color="auto" w:fill="FFFFFF"/>
        </w:rPr>
        <w:t>.</w:t>
      </w:r>
      <w:r w:rsidRPr="006A0F21">
        <w:rPr>
          <w:rFonts w:ascii="Verdana" w:hAnsi="Verdana" w:cs="Arial"/>
          <w:color w:val="FF0000"/>
          <w:shd w:val="clear" w:color="auto" w:fill="FFFFFF"/>
        </w:rPr>
        <w:t xml:space="preserve"> </w:t>
      </w:r>
      <w:r w:rsidRPr="006A0F21">
        <w:rPr>
          <w:rFonts w:ascii="Verdana" w:hAnsi="Verdana" w:cs="Arial"/>
          <w:color w:val="000000" w:themeColor="text1"/>
          <w:shd w:val="clear" w:color="auto" w:fill="FFFFFF"/>
        </w:rPr>
        <w:t>  </w:t>
      </w:r>
    </w:p>
    <w:p w14:paraId="69D299BB" w14:textId="77777777" w:rsidR="006A0F21" w:rsidRPr="006A0F21" w:rsidRDefault="006A0F21" w:rsidP="006A0F21">
      <w:pPr>
        <w:spacing w:after="0"/>
        <w:jc w:val="both"/>
        <w:rPr>
          <w:rFonts w:ascii="Verdana" w:hAnsi="Verdana"/>
        </w:rPr>
      </w:pPr>
    </w:p>
    <w:p w14:paraId="4F609524" w14:textId="77777777" w:rsidR="006A0F21" w:rsidRPr="006A0F21" w:rsidRDefault="006A0F21" w:rsidP="006A0F21">
      <w:pPr>
        <w:spacing w:after="0"/>
        <w:jc w:val="both"/>
        <w:rPr>
          <w:rFonts w:ascii="Verdana" w:hAnsi="Verdana"/>
        </w:rPr>
      </w:pPr>
      <w:r w:rsidRPr="006A0F21">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74669BC" w14:textId="77777777" w:rsidR="006A0F21" w:rsidRPr="006A0F21" w:rsidRDefault="006A0F21" w:rsidP="006A0F21">
      <w:pPr>
        <w:spacing w:after="0" w:line="240" w:lineRule="auto"/>
        <w:jc w:val="both"/>
        <w:rPr>
          <w:rFonts w:ascii="Verdana" w:hAnsi="Verdana"/>
        </w:rPr>
      </w:pPr>
    </w:p>
    <w:p w14:paraId="73531B19" w14:textId="77777777" w:rsidR="006A0F21" w:rsidRPr="006A0F21" w:rsidRDefault="006A0F21" w:rsidP="006A0F21">
      <w:pPr>
        <w:numPr>
          <w:ilvl w:val="0"/>
          <w:numId w:val="15"/>
        </w:numPr>
        <w:spacing w:after="0" w:line="240" w:lineRule="auto"/>
        <w:contextualSpacing/>
        <w:jc w:val="both"/>
        <w:rPr>
          <w:rFonts w:ascii="Verdana" w:hAnsi="Verdana"/>
          <w:lang w:val="es-ES"/>
        </w:rPr>
      </w:pPr>
      <w:r w:rsidRPr="006A0F21">
        <w:rPr>
          <w:rFonts w:ascii="Verdana" w:hAnsi="Verdana"/>
          <w:lang w:val="es-ES"/>
        </w:rPr>
        <w:t>Línea nacional gratuita o servicio a la ciudadanía: 01800 0520808</w:t>
      </w:r>
    </w:p>
    <w:p w14:paraId="56438B10" w14:textId="77777777" w:rsidR="006A0F21" w:rsidRPr="006A0F21" w:rsidRDefault="006A0F21" w:rsidP="006A0F21">
      <w:pPr>
        <w:numPr>
          <w:ilvl w:val="0"/>
          <w:numId w:val="15"/>
        </w:numPr>
        <w:spacing w:after="0" w:line="240" w:lineRule="auto"/>
        <w:contextualSpacing/>
        <w:jc w:val="both"/>
        <w:rPr>
          <w:rFonts w:ascii="Verdana" w:hAnsi="Verdana"/>
          <w:lang w:val="es-ES"/>
        </w:rPr>
      </w:pPr>
      <w:r w:rsidRPr="006A0F21">
        <w:rPr>
          <w:rFonts w:ascii="Verdana" w:hAnsi="Verdana"/>
          <w:lang w:val="es-ES"/>
        </w:rPr>
        <w:t>Línea en Bogotá (Mesa de servicio): +57 601 7456788</w:t>
      </w:r>
    </w:p>
    <w:p w14:paraId="783ABDC0" w14:textId="77777777" w:rsidR="006A0F21" w:rsidRPr="006A0F21" w:rsidRDefault="006A0F21" w:rsidP="006A0F21">
      <w:pPr>
        <w:numPr>
          <w:ilvl w:val="0"/>
          <w:numId w:val="15"/>
        </w:numPr>
        <w:spacing w:after="0" w:line="240" w:lineRule="auto"/>
        <w:contextualSpacing/>
        <w:jc w:val="both"/>
        <w:rPr>
          <w:rFonts w:ascii="Verdana" w:hAnsi="Verdana"/>
          <w:lang w:val="es-ES"/>
        </w:rPr>
      </w:pPr>
      <w:r w:rsidRPr="006A0F21">
        <w:rPr>
          <w:rFonts w:ascii="Verdana" w:hAnsi="Verdana"/>
          <w:lang w:val="es-ES"/>
        </w:rPr>
        <w:t>Línea de servicio y atención al ciudadano: +57 601 7956600</w:t>
      </w:r>
    </w:p>
    <w:p w14:paraId="008E5FE5" w14:textId="77777777" w:rsidR="006A0F21" w:rsidRPr="006A0F21" w:rsidRDefault="006A0F21" w:rsidP="006A0F21">
      <w:pPr>
        <w:numPr>
          <w:ilvl w:val="0"/>
          <w:numId w:val="15"/>
        </w:numPr>
        <w:spacing w:after="0" w:line="240" w:lineRule="auto"/>
        <w:contextualSpacing/>
        <w:jc w:val="both"/>
        <w:rPr>
          <w:rFonts w:ascii="Verdana" w:hAnsi="Verdana"/>
          <w:lang w:val="es-ES"/>
        </w:rPr>
      </w:pPr>
      <w:r w:rsidRPr="006A0F21">
        <w:rPr>
          <w:rFonts w:ascii="Verdana" w:hAnsi="Verdana"/>
          <w:lang w:val="es-ES"/>
        </w:rPr>
        <w:t xml:space="preserve">Página web: </w:t>
      </w:r>
      <w:hyperlink r:id="rId15" w:history="1">
        <w:r w:rsidRPr="006A0F21">
          <w:rPr>
            <w:rFonts w:ascii="Verdana" w:hAnsi="Verdana"/>
            <w:color w:val="0000FF"/>
            <w:u w:val="single"/>
            <w:lang w:val="es-ES"/>
          </w:rPr>
          <w:t>www.colombiacompra.gov.co</w:t>
        </w:r>
      </w:hyperlink>
    </w:p>
    <w:p w14:paraId="71019274" w14:textId="77777777" w:rsidR="006A0F21" w:rsidRPr="006A0F21" w:rsidRDefault="006A0F21" w:rsidP="006A0F21">
      <w:pPr>
        <w:spacing w:after="0" w:line="240" w:lineRule="auto"/>
        <w:ind w:left="785"/>
        <w:contextualSpacing/>
        <w:jc w:val="both"/>
        <w:rPr>
          <w:rFonts w:ascii="Verdana" w:hAnsi="Verdana"/>
          <w:lang w:val="es-ES"/>
        </w:rPr>
      </w:pPr>
    </w:p>
    <w:p w14:paraId="645C6A2B" w14:textId="77777777" w:rsidR="006A0F21" w:rsidRPr="006A0F21" w:rsidRDefault="006A0F21" w:rsidP="006A0F21">
      <w:pPr>
        <w:spacing w:after="0" w:line="240" w:lineRule="auto"/>
        <w:jc w:val="both"/>
        <w:rPr>
          <w:rFonts w:ascii="Verdana" w:hAnsi="Verdana"/>
        </w:rPr>
      </w:pPr>
      <w:r w:rsidRPr="006A0F21">
        <w:rPr>
          <w:rFonts w:ascii="Verdana" w:hAnsi="Verdana"/>
        </w:rPr>
        <w:t xml:space="preserve">Por último, lo invitamos a seguirnos en las redes sociales en las cuales se difunde información institucional: </w:t>
      </w:r>
    </w:p>
    <w:p w14:paraId="4861ECEE" w14:textId="77777777" w:rsidR="006A0F21" w:rsidRPr="006A0F21" w:rsidRDefault="006A0F21" w:rsidP="006A0F21">
      <w:pPr>
        <w:spacing w:after="0" w:line="240" w:lineRule="auto"/>
        <w:jc w:val="both"/>
        <w:rPr>
          <w:rFonts w:ascii="Verdana" w:hAnsi="Verdana"/>
        </w:rPr>
      </w:pPr>
    </w:p>
    <w:p w14:paraId="6FCB4338" w14:textId="77777777" w:rsidR="006A0F21" w:rsidRPr="006A0F21" w:rsidRDefault="006A0F21" w:rsidP="006A0F21">
      <w:pPr>
        <w:spacing w:after="0" w:line="240" w:lineRule="auto"/>
        <w:jc w:val="both"/>
        <w:rPr>
          <w:rFonts w:ascii="Verdana" w:hAnsi="Verdana"/>
        </w:rPr>
      </w:pPr>
      <w:r w:rsidRPr="006A0F21">
        <w:rPr>
          <w:rFonts w:ascii="Verdana" w:hAnsi="Verdana"/>
        </w:rPr>
        <w:t xml:space="preserve">Twitter: </w:t>
      </w:r>
      <w:r w:rsidRPr="006A0F21">
        <w:rPr>
          <w:rFonts w:ascii="Verdana" w:hAnsi="Verdana"/>
          <w:color w:val="0000FF"/>
          <w:u w:val="single"/>
        </w:rPr>
        <w:t>@colombiacompra</w:t>
      </w:r>
      <w:r w:rsidRPr="006A0F21">
        <w:rPr>
          <w:rFonts w:ascii="Verdana" w:hAnsi="Verdana"/>
        </w:rPr>
        <w:t xml:space="preserve"> </w:t>
      </w:r>
    </w:p>
    <w:p w14:paraId="63DEB699" w14:textId="77777777" w:rsidR="006A0F21" w:rsidRPr="006A0F21" w:rsidRDefault="006A0F21" w:rsidP="006A0F21">
      <w:pPr>
        <w:spacing w:after="0" w:line="240" w:lineRule="auto"/>
        <w:jc w:val="both"/>
        <w:rPr>
          <w:rFonts w:ascii="Verdana" w:hAnsi="Verdana"/>
        </w:rPr>
      </w:pPr>
      <w:r w:rsidRPr="006A0F21">
        <w:rPr>
          <w:rFonts w:ascii="Verdana" w:hAnsi="Verdana"/>
        </w:rPr>
        <w:t xml:space="preserve">Facebook: </w:t>
      </w:r>
      <w:r w:rsidRPr="006A0F21">
        <w:rPr>
          <w:rFonts w:ascii="Verdana" w:hAnsi="Verdana"/>
          <w:color w:val="0000FF"/>
          <w:u w:val="single"/>
        </w:rPr>
        <w:t>ColombiaCompraEficiente</w:t>
      </w:r>
    </w:p>
    <w:p w14:paraId="72100424" w14:textId="77777777" w:rsidR="006A0F21" w:rsidRPr="006A0F21" w:rsidRDefault="006A0F21" w:rsidP="006A0F21">
      <w:pPr>
        <w:spacing w:after="0" w:line="240" w:lineRule="auto"/>
        <w:jc w:val="both"/>
        <w:rPr>
          <w:rFonts w:ascii="Verdana" w:hAnsi="Verdana"/>
        </w:rPr>
      </w:pPr>
      <w:r w:rsidRPr="006A0F21">
        <w:rPr>
          <w:rFonts w:ascii="Verdana" w:hAnsi="Verdana"/>
        </w:rPr>
        <w:t xml:space="preserve">LinkedIn: </w:t>
      </w:r>
      <w:r w:rsidRPr="006A0F21">
        <w:rPr>
          <w:rFonts w:ascii="Verdana" w:hAnsi="Verdana"/>
          <w:color w:val="0000FF"/>
          <w:u w:val="single"/>
        </w:rPr>
        <w:t>Agencia Nacional de Contratación Pública - Colombia Compra Eficiente</w:t>
      </w:r>
      <w:r w:rsidRPr="006A0F21">
        <w:rPr>
          <w:rFonts w:ascii="Verdana" w:hAnsi="Verdana"/>
        </w:rPr>
        <w:t xml:space="preserve"> Instagram: </w:t>
      </w:r>
      <w:r w:rsidRPr="006A0F21">
        <w:rPr>
          <w:rFonts w:ascii="Verdana" w:hAnsi="Verdana"/>
          <w:color w:val="0000FF"/>
          <w:u w:val="single"/>
        </w:rPr>
        <w:t>@colombiacompraeficiente_cce</w:t>
      </w:r>
    </w:p>
    <w:p w14:paraId="6B7BBCE1" w14:textId="77777777" w:rsidR="006A0F21" w:rsidRPr="006A0F21" w:rsidRDefault="006A0F21" w:rsidP="006A0F21">
      <w:pPr>
        <w:spacing w:after="0" w:line="240" w:lineRule="auto"/>
        <w:jc w:val="both"/>
        <w:rPr>
          <w:rFonts w:ascii="Verdana" w:hAnsi="Verdana"/>
        </w:rPr>
      </w:pPr>
    </w:p>
    <w:p w14:paraId="050A01D9" w14:textId="77777777" w:rsidR="006A0F21" w:rsidRPr="006A0F21" w:rsidRDefault="006A0F21" w:rsidP="006A0F21">
      <w:pPr>
        <w:spacing w:after="0" w:line="256" w:lineRule="auto"/>
        <w:jc w:val="both"/>
        <w:rPr>
          <w:rFonts w:ascii="Verdana" w:eastAsia="Calibri" w:hAnsi="Verdana" w:cs="Times New Roman"/>
          <w:bCs/>
          <w:lang w:val="es-ES_tradnl"/>
        </w:rPr>
      </w:pPr>
      <w:r w:rsidRPr="006A0F21">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BF589EB" w14:textId="77777777" w:rsidR="006A0F21" w:rsidRPr="006A0F21" w:rsidRDefault="006A0F21" w:rsidP="006A0F21">
      <w:pPr>
        <w:spacing w:after="0" w:line="256" w:lineRule="auto"/>
        <w:jc w:val="both"/>
        <w:rPr>
          <w:rFonts w:ascii="Verdana" w:eastAsia="Calibri" w:hAnsi="Verdana" w:cs="Times New Roman"/>
        </w:rPr>
      </w:pPr>
    </w:p>
    <w:p w14:paraId="45B8DD07" w14:textId="77777777" w:rsidR="006A0F21" w:rsidRPr="006A0F21" w:rsidRDefault="006A0F21" w:rsidP="006A0F21">
      <w:pPr>
        <w:spacing w:after="0" w:line="256" w:lineRule="auto"/>
        <w:jc w:val="both"/>
        <w:rPr>
          <w:rFonts w:ascii="Verdana" w:eastAsia="Calibri" w:hAnsi="Verdana" w:cs="Times New Roman"/>
        </w:rPr>
      </w:pPr>
      <w:r w:rsidRPr="006A0F21">
        <w:rPr>
          <w:rFonts w:ascii="Verdana" w:eastAsia="Calibri" w:hAnsi="Verdana" w:cs="Times New Roman"/>
        </w:rPr>
        <w:t>Atentamente,</w:t>
      </w:r>
    </w:p>
    <w:p w14:paraId="1D71FF11" w14:textId="4AB19388" w:rsidR="006A0F21" w:rsidRPr="006A0F21" w:rsidRDefault="006A0F21" w:rsidP="006A0F21">
      <w:pPr>
        <w:spacing w:after="0" w:line="276" w:lineRule="auto"/>
        <w:jc w:val="both"/>
        <w:rPr>
          <w:rFonts w:ascii="Verdana" w:hAnsi="Verdana"/>
          <w:lang w:val="es-MX"/>
        </w:rPr>
      </w:pPr>
    </w:p>
    <w:p w14:paraId="3952F0E3" w14:textId="360384E5" w:rsidR="006A0F21" w:rsidRPr="006A0F21" w:rsidRDefault="00320B30" w:rsidP="006A0F21">
      <w:pPr>
        <w:spacing w:after="0" w:line="276" w:lineRule="auto"/>
        <w:jc w:val="center"/>
        <w:rPr>
          <w:rFonts w:ascii="Verdana" w:hAnsi="Verdana"/>
          <w:lang w:val="es-MX"/>
        </w:rPr>
      </w:pPr>
      <w:r w:rsidRPr="00A12CB6">
        <w:rPr>
          <w:rFonts w:ascii="Century Gothic" w:hAnsi="Century Gothic"/>
          <w:noProof/>
          <w:lang w:val="en-US"/>
        </w:rPr>
        <w:drawing>
          <wp:inline distT="0" distB="0" distL="0" distR="0" wp14:anchorId="400E1644" wp14:editId="7778F6B5">
            <wp:extent cx="3694922" cy="1371600"/>
            <wp:effectExtent l="0" t="0" r="127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697632" cy="1372606"/>
                    </a:xfrm>
                    <a:prstGeom prst="rect">
                      <a:avLst/>
                    </a:prstGeom>
                  </pic:spPr>
                </pic:pic>
              </a:graphicData>
            </a:graphic>
          </wp:inline>
        </w:drawing>
      </w:r>
    </w:p>
    <w:p w14:paraId="3DF019C5" w14:textId="77777777" w:rsidR="006A0F21" w:rsidRPr="006A0F21" w:rsidRDefault="006A0F21" w:rsidP="006A0F21">
      <w:pPr>
        <w:spacing w:after="0" w:line="276" w:lineRule="auto"/>
        <w:jc w:val="center"/>
        <w:rPr>
          <w:rFonts w:ascii="Verdana" w:hAnsi="Verdana"/>
          <w:sz w:val="16"/>
          <w:szCs w:val="16"/>
          <w:lang w:val="es-MX"/>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A0F21" w:rsidRPr="006A0F21" w14:paraId="7DF215D5" w14:textId="77777777" w:rsidTr="008A464F">
        <w:trPr>
          <w:trHeight w:val="409"/>
        </w:trPr>
        <w:tc>
          <w:tcPr>
            <w:tcW w:w="817" w:type="dxa"/>
            <w:tcBorders>
              <w:top w:val="nil"/>
              <w:left w:val="nil"/>
              <w:bottom w:val="nil"/>
              <w:right w:val="nil"/>
            </w:tcBorders>
            <w:vAlign w:val="center"/>
            <w:hideMark/>
          </w:tcPr>
          <w:p w14:paraId="3F196439"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C26A763"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José Luis Sánchez Cardona</w:t>
            </w:r>
          </w:p>
          <w:p w14:paraId="01F06227"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Contratista de la Subdirección de Gestión Contractual</w:t>
            </w:r>
          </w:p>
        </w:tc>
      </w:tr>
      <w:tr w:rsidR="006A0F21" w:rsidRPr="006A0F21" w14:paraId="2729E6FB" w14:textId="77777777" w:rsidTr="008A464F">
        <w:trPr>
          <w:trHeight w:val="409"/>
        </w:trPr>
        <w:tc>
          <w:tcPr>
            <w:tcW w:w="817" w:type="dxa"/>
            <w:tcBorders>
              <w:top w:val="nil"/>
              <w:left w:val="nil"/>
              <w:bottom w:val="nil"/>
              <w:right w:val="nil"/>
            </w:tcBorders>
            <w:vAlign w:val="center"/>
            <w:hideMark/>
          </w:tcPr>
          <w:p w14:paraId="4B3C77E7"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9D0BC7F"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Alejandro Sarmiento Cantillo</w:t>
            </w:r>
          </w:p>
          <w:p w14:paraId="07DC3D57"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Gestor T1-15 de la Subdirección de Gestión Contractual </w:t>
            </w:r>
          </w:p>
        </w:tc>
      </w:tr>
      <w:tr w:rsidR="006A0F21" w:rsidRPr="006A0F21" w14:paraId="09C5B146" w14:textId="77777777" w:rsidTr="008A464F">
        <w:trPr>
          <w:trHeight w:val="389"/>
        </w:trPr>
        <w:tc>
          <w:tcPr>
            <w:tcW w:w="817" w:type="dxa"/>
            <w:tcBorders>
              <w:top w:val="nil"/>
              <w:left w:val="nil"/>
              <w:bottom w:val="nil"/>
              <w:right w:val="nil"/>
            </w:tcBorders>
            <w:vAlign w:val="center"/>
            <w:hideMark/>
          </w:tcPr>
          <w:p w14:paraId="0D8F03C1"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28FAB0D"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Carolina Quintero Gacharná</w:t>
            </w:r>
          </w:p>
          <w:p w14:paraId="1CA1E472" w14:textId="77777777" w:rsidR="006A0F21" w:rsidRPr="006A0F21" w:rsidRDefault="006A0F21" w:rsidP="006A0F21">
            <w:pPr>
              <w:spacing w:after="0" w:line="256" w:lineRule="auto"/>
              <w:rPr>
                <w:rFonts w:ascii="Verdana" w:eastAsia="Calibri" w:hAnsi="Verdana" w:cs="Times New Roman"/>
                <w:sz w:val="16"/>
                <w:szCs w:val="16"/>
              </w:rPr>
            </w:pPr>
            <w:r w:rsidRPr="006A0F21">
              <w:rPr>
                <w:rFonts w:ascii="Verdana" w:eastAsia="Calibri" w:hAnsi="Verdana" w:cs="Times New Roman"/>
                <w:sz w:val="16"/>
                <w:szCs w:val="16"/>
              </w:rPr>
              <w:t>Subdirectora de Gestión Contractual ANCP – CCE</w:t>
            </w:r>
          </w:p>
        </w:tc>
      </w:tr>
    </w:tbl>
    <w:p w14:paraId="002E8554" w14:textId="77777777" w:rsidR="006A0F21" w:rsidRPr="006A0F21" w:rsidRDefault="006A0F21" w:rsidP="006A0F21">
      <w:pPr>
        <w:spacing w:after="0"/>
        <w:jc w:val="both"/>
        <w:rPr>
          <w:rFonts w:ascii="Verdana" w:hAnsi="Verdana"/>
          <w:color w:val="0000FF"/>
          <w:u w:val="single"/>
        </w:rPr>
      </w:pPr>
    </w:p>
    <w:p w14:paraId="13BD9227" w14:textId="77777777" w:rsidR="006A0F21" w:rsidRPr="006A0F21" w:rsidRDefault="006A0F21" w:rsidP="006A0F21">
      <w:pPr>
        <w:spacing w:after="0"/>
        <w:jc w:val="both"/>
        <w:rPr>
          <w:rFonts w:ascii="Verdana" w:hAnsi="Verdana"/>
          <w:color w:val="0000FF"/>
          <w:u w:val="single"/>
        </w:rPr>
      </w:pPr>
    </w:p>
    <w:p w14:paraId="6A9CA334" w14:textId="77777777" w:rsidR="006A0F21" w:rsidRPr="006A0F21" w:rsidRDefault="006A0F21" w:rsidP="006A0F21">
      <w:pPr>
        <w:spacing w:after="0"/>
        <w:jc w:val="both"/>
        <w:rPr>
          <w:rFonts w:ascii="Verdana" w:hAnsi="Verdana"/>
          <w:color w:val="0000FF"/>
          <w:u w:val="single"/>
        </w:rPr>
      </w:pPr>
    </w:p>
    <w:p w14:paraId="162E0393" w14:textId="77777777" w:rsidR="006A0F21" w:rsidRPr="006A0F21" w:rsidRDefault="006A0F21" w:rsidP="006A0F21">
      <w:pPr>
        <w:spacing w:after="0"/>
        <w:jc w:val="both"/>
        <w:rPr>
          <w:rFonts w:ascii="Verdana" w:hAnsi="Verdana"/>
          <w:color w:val="0000FF"/>
          <w:u w:val="single"/>
        </w:rPr>
      </w:pPr>
    </w:p>
    <w:p w14:paraId="7E4BE9DA" w14:textId="77777777" w:rsidR="006A0F21" w:rsidRPr="006A0F21" w:rsidRDefault="006A0F21" w:rsidP="006A0F21">
      <w:pPr>
        <w:spacing w:after="0"/>
        <w:jc w:val="both"/>
        <w:rPr>
          <w:rFonts w:ascii="Verdana" w:hAnsi="Verdana"/>
          <w:color w:val="0000FF"/>
          <w:u w:val="single"/>
        </w:rPr>
      </w:pPr>
    </w:p>
    <w:bookmarkEnd w:id="2"/>
    <w:p w14:paraId="41574D07" w14:textId="77777777" w:rsidR="006A0F21" w:rsidRPr="006A0F21" w:rsidRDefault="006A0F21" w:rsidP="006A0F21">
      <w:pPr>
        <w:spacing w:after="0" w:line="240" w:lineRule="auto"/>
        <w:textAlignment w:val="baseline"/>
        <w:rPr>
          <w:rFonts w:ascii="Verdana" w:eastAsia="Times New Roman" w:hAnsi="Verdana" w:cs="Segoe UI"/>
          <w:b/>
          <w:bCs/>
          <w:color w:val="46589C"/>
          <w:lang w:val="es-ES" w:eastAsia="es-CO"/>
        </w:rPr>
      </w:pPr>
    </w:p>
    <w:p w14:paraId="70FF6F52" w14:textId="77777777" w:rsidR="00EE2281" w:rsidRPr="00EE2281" w:rsidRDefault="00EE2281" w:rsidP="00EE2281">
      <w:pPr>
        <w:spacing w:after="0" w:line="240" w:lineRule="auto"/>
        <w:rPr>
          <w:rFonts w:ascii="Arial" w:eastAsia="Times New Roman" w:hAnsi="Arial" w:cs="Arial"/>
          <w:bCs/>
          <w:color w:val="000000"/>
          <w:sz w:val="20"/>
          <w:szCs w:val="20"/>
          <w:lang w:val="es-ES_tradnl" w:eastAsia="es-ES"/>
        </w:rPr>
      </w:pPr>
    </w:p>
    <w:bookmarkEnd w:id="0"/>
    <w:bookmarkEnd w:id="1"/>
    <w:p w14:paraId="51FDCE44" w14:textId="77777777" w:rsidR="004E1865" w:rsidRPr="005A6C21" w:rsidRDefault="004E1865" w:rsidP="00F21559">
      <w:pPr>
        <w:spacing w:after="0" w:line="256" w:lineRule="auto"/>
        <w:jc w:val="both"/>
        <w:rPr>
          <w:rFonts w:ascii="Verdana" w:eastAsia="Calibri" w:hAnsi="Verdana" w:cs="Times New Roman"/>
        </w:rPr>
      </w:pPr>
    </w:p>
    <w:sectPr w:rsidR="004E1865" w:rsidRPr="005A6C2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A2D68" w14:textId="77777777" w:rsidR="001A385B" w:rsidRDefault="001A385B" w:rsidP="004A1847">
      <w:pPr>
        <w:spacing w:after="0" w:line="240" w:lineRule="auto"/>
      </w:pPr>
      <w:r>
        <w:separator/>
      </w:r>
    </w:p>
  </w:endnote>
  <w:endnote w:type="continuationSeparator" w:id="0">
    <w:p w14:paraId="2B7E73AD" w14:textId="77777777" w:rsidR="001A385B" w:rsidRDefault="001A385B" w:rsidP="004A1847">
      <w:pPr>
        <w:spacing w:after="0" w:line="240" w:lineRule="auto"/>
      </w:pPr>
      <w:r>
        <w:continuationSeparator/>
      </w:r>
    </w:p>
  </w:endnote>
  <w:endnote w:type="continuationNotice" w:id="1">
    <w:p w14:paraId="029D867E" w14:textId="77777777" w:rsidR="001A385B" w:rsidRDefault="001A38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3783B" w:rsidRDefault="00A3783B">
    <w:pPr>
      <w:pStyle w:val="Piedepgina"/>
    </w:pPr>
  </w:p>
  <w:p w14:paraId="594D6D9F" w14:textId="2A697964" w:rsidR="00A3783B" w:rsidRPr="00174B77" w:rsidRDefault="00A3783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EE2281">
      <w:rPr>
        <w:rFonts w:ascii="Verdana" w:eastAsia="MS Gothic" w:hAnsi="Verdana" w:cs="Times New Roman"/>
        <w:b/>
        <w:bCs/>
        <w:sz w:val="16"/>
        <w:szCs w:val="16"/>
        <w:lang w:val="es-ES"/>
      </w:rPr>
      <w:t xml:space="preserve">pág. </w:t>
    </w:r>
    <w:r w:rsidRPr="00EE2281">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EE2281">
      <w:rPr>
        <w:rFonts w:ascii="Verdana" w:eastAsia="MS Mincho" w:hAnsi="Verdana"/>
        <w:b/>
        <w:bCs/>
        <w:sz w:val="16"/>
        <w:szCs w:val="16"/>
      </w:rPr>
      <w:fldChar w:fldCharType="separate"/>
    </w:r>
    <w:r w:rsidR="00320B30" w:rsidRPr="00320B30">
      <w:rPr>
        <w:rFonts w:ascii="Verdana" w:eastAsia="MS Mincho" w:hAnsi="Verdana"/>
        <w:b/>
        <w:bCs/>
        <w:noProof/>
        <w:sz w:val="16"/>
        <w:szCs w:val="16"/>
      </w:rPr>
      <w:t>1</w:t>
    </w:r>
    <w:r w:rsidRPr="00EE2281">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3783B" w:rsidRDefault="00A3783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3783B" w:rsidRPr="00E41027" w:rsidRDefault="00A3783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A3783B" w:rsidRDefault="00A3783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885BF" w14:textId="77777777" w:rsidR="001A385B" w:rsidRDefault="001A385B" w:rsidP="004A1847">
      <w:pPr>
        <w:spacing w:after="0" w:line="240" w:lineRule="auto"/>
      </w:pPr>
      <w:r>
        <w:separator/>
      </w:r>
    </w:p>
  </w:footnote>
  <w:footnote w:type="continuationSeparator" w:id="0">
    <w:p w14:paraId="1D956017" w14:textId="77777777" w:rsidR="001A385B" w:rsidRDefault="001A385B" w:rsidP="004A1847">
      <w:pPr>
        <w:spacing w:after="0" w:line="240" w:lineRule="auto"/>
      </w:pPr>
      <w:r>
        <w:continuationSeparator/>
      </w:r>
    </w:p>
  </w:footnote>
  <w:footnote w:type="continuationNotice" w:id="1">
    <w:p w14:paraId="7862C608" w14:textId="77777777" w:rsidR="001A385B" w:rsidRDefault="001A385B">
      <w:pPr>
        <w:spacing w:after="0" w:line="240" w:lineRule="auto"/>
      </w:pPr>
    </w:p>
  </w:footnote>
  <w:footnote w:id="2">
    <w:p w14:paraId="27E63840" w14:textId="77777777" w:rsidR="006A0F21" w:rsidRPr="00320B30" w:rsidRDefault="006A0F21" w:rsidP="006A0F21">
      <w:pPr>
        <w:pStyle w:val="Textonotapie"/>
        <w:ind w:firstLine="708"/>
        <w:rPr>
          <w:rFonts w:ascii="Verdana" w:hAnsi="Verdana"/>
          <w:sz w:val="16"/>
          <w:szCs w:val="16"/>
          <w:lang w:val="es-ES"/>
        </w:rPr>
      </w:pPr>
      <w:r w:rsidRPr="00320B30">
        <w:rPr>
          <w:rStyle w:val="Refdenotaalpie"/>
          <w:rFonts w:ascii="Verdana" w:hAnsi="Verdana"/>
          <w:sz w:val="16"/>
          <w:szCs w:val="16"/>
        </w:rPr>
        <w:footnoteRef/>
      </w:r>
      <w:r w:rsidRPr="00320B30">
        <w:rPr>
          <w:rFonts w:ascii="Verdana" w:hAnsi="Verdana"/>
          <w:sz w:val="16"/>
          <w:szCs w:val="16"/>
        </w:rPr>
        <w:t xml:space="preserve"> Agencia Nacional de Contratación Pública –Colombia Compra Eficiente. Guía de competencia en las compras públicas, 2018. p. 4. Disponible en línea: </w:t>
      </w:r>
      <w:hyperlink r:id="rId1" w:history="1">
        <w:r w:rsidRPr="00320B30">
          <w:rPr>
            <w:rStyle w:val="Hipervnculo"/>
            <w:rFonts w:ascii="Verdana" w:hAnsi="Verdana"/>
            <w:sz w:val="16"/>
            <w:szCs w:val="16"/>
          </w:rPr>
          <w:t>https://www.colombiacompra.gov.co/archivos/manual/guia-de-competencia-en-las-compras-publicas</w:t>
        </w:r>
      </w:hyperlink>
      <w:r w:rsidRPr="00320B30">
        <w:rPr>
          <w:rFonts w:ascii="Verdana" w:hAnsi="Verdana"/>
          <w:sz w:val="16"/>
          <w:szCs w:val="16"/>
        </w:rPr>
        <w:t xml:space="preserve"> </w:t>
      </w:r>
    </w:p>
  </w:footnote>
  <w:footnote w:id="3">
    <w:p w14:paraId="4608C0C6" w14:textId="77777777" w:rsidR="006A0F21" w:rsidRPr="00320B30" w:rsidRDefault="006A0F21" w:rsidP="006A0F21">
      <w:pPr>
        <w:pStyle w:val="Textonotapie"/>
        <w:ind w:firstLine="708"/>
        <w:jc w:val="both"/>
        <w:rPr>
          <w:rFonts w:ascii="Verdana" w:hAnsi="Verdana" w:cs="Arial"/>
          <w:sz w:val="16"/>
          <w:szCs w:val="16"/>
        </w:rPr>
      </w:pPr>
      <w:r w:rsidRPr="00320B30">
        <w:rPr>
          <w:rStyle w:val="Refdenotaalpie"/>
          <w:rFonts w:ascii="Verdana" w:hAnsi="Verdana" w:cs="Arial"/>
          <w:sz w:val="16"/>
          <w:szCs w:val="16"/>
        </w:rPr>
        <w:footnoteRef/>
      </w:r>
      <w:r w:rsidRPr="00320B30">
        <w:rPr>
          <w:rFonts w:ascii="Verdana" w:hAnsi="Verdana" w:cs="Arial"/>
          <w:sz w:val="16"/>
          <w:szCs w:val="16"/>
          <w:lang w:val="pt-BR"/>
        </w:rPr>
        <w:t xml:space="preserve"> Corte Constitucional. Sentencia C-713 de 2009. </w:t>
      </w:r>
      <w:r w:rsidRPr="00320B30">
        <w:rPr>
          <w:rFonts w:ascii="Verdana" w:hAnsi="Verdana" w:cs="Arial"/>
          <w:sz w:val="16"/>
          <w:szCs w:val="16"/>
        </w:rPr>
        <w:t>M.P. María Victoria Calle Correa.</w:t>
      </w:r>
    </w:p>
    <w:p w14:paraId="58D83762" w14:textId="77777777" w:rsidR="006A0F21" w:rsidRPr="00320B30" w:rsidRDefault="006A0F21" w:rsidP="006A0F21">
      <w:pPr>
        <w:pStyle w:val="Textonotapie"/>
        <w:ind w:firstLine="708"/>
        <w:jc w:val="both"/>
        <w:rPr>
          <w:rFonts w:ascii="Verdana" w:hAnsi="Verdana" w:cs="Arial"/>
          <w:sz w:val="16"/>
          <w:szCs w:val="16"/>
          <w:lang w:val="es-CO"/>
        </w:rPr>
      </w:pPr>
    </w:p>
  </w:footnote>
  <w:footnote w:id="4">
    <w:p w14:paraId="79D18111" w14:textId="77777777" w:rsidR="006A0F21" w:rsidRPr="00320B30" w:rsidRDefault="006A0F21" w:rsidP="006A0F21">
      <w:pPr>
        <w:pStyle w:val="Textonotapie"/>
        <w:ind w:firstLine="708"/>
        <w:jc w:val="both"/>
        <w:rPr>
          <w:rFonts w:ascii="Verdana" w:hAnsi="Verdana" w:cs="Arial"/>
          <w:sz w:val="16"/>
          <w:szCs w:val="16"/>
          <w:lang w:val="es-CO"/>
        </w:rPr>
      </w:pPr>
      <w:r w:rsidRPr="00320B30">
        <w:rPr>
          <w:rStyle w:val="Refdenotaalpie"/>
          <w:rFonts w:ascii="Verdana" w:hAnsi="Verdana" w:cs="Arial"/>
          <w:sz w:val="16"/>
          <w:szCs w:val="16"/>
        </w:rPr>
        <w:footnoteRef/>
      </w:r>
      <w:r w:rsidRPr="00320B30">
        <w:rPr>
          <w:rFonts w:ascii="Verdana" w:hAnsi="Verdana" w:cs="Arial"/>
          <w:sz w:val="16"/>
          <w:szCs w:val="16"/>
        </w:rPr>
        <w:t xml:space="preserve"> Consejo de Estado. Sala de consulta y servicio civil. Sentencia del 20 de febrero de 2006. Exp. 1.727. C.P. Enrique José Arboleda Perdomo.</w:t>
      </w:r>
    </w:p>
  </w:footnote>
  <w:footnote w:id="5">
    <w:p w14:paraId="75515A8A" w14:textId="77777777" w:rsidR="006A0F21" w:rsidRPr="00320B30" w:rsidRDefault="006A0F21" w:rsidP="006A0F21">
      <w:pPr>
        <w:spacing w:after="0" w:line="240" w:lineRule="auto"/>
        <w:ind w:firstLine="680"/>
        <w:jc w:val="both"/>
        <w:rPr>
          <w:rFonts w:ascii="Verdana" w:hAnsi="Verdana" w:cs="Arial"/>
          <w:sz w:val="16"/>
          <w:szCs w:val="16"/>
        </w:rPr>
      </w:pPr>
      <w:r w:rsidRPr="00320B30">
        <w:rPr>
          <w:rStyle w:val="Refdenotaalpie"/>
          <w:rFonts w:ascii="Verdana" w:hAnsi="Verdana" w:cs="Arial"/>
          <w:sz w:val="16"/>
          <w:szCs w:val="16"/>
        </w:rPr>
        <w:footnoteRef/>
      </w:r>
      <w:r w:rsidRPr="00320B30">
        <w:rPr>
          <w:rFonts w:ascii="Verdana" w:hAnsi="Verdana" w:cs="Arial"/>
          <w:sz w:val="16"/>
          <w:szCs w:val="16"/>
        </w:rPr>
        <w:t xml:space="preserve"> Consejo de Estado. Sección Tercera. Sentencia del 29 de abril de 2015. Exp. 29.201. C.P. Olga Melida Valle de De La Hoz.</w:t>
      </w:r>
    </w:p>
  </w:footnote>
  <w:footnote w:id="6">
    <w:p w14:paraId="4D0B5997"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Style w:val="Refdenotaalpie"/>
          <w:rFonts w:ascii="Verdana" w:hAnsi="Verdana" w:cs="Arial"/>
          <w:color w:val="000000"/>
          <w:sz w:val="16"/>
          <w:szCs w:val="16"/>
        </w:rPr>
        <w:footnoteRef/>
      </w:r>
      <w:r w:rsidRPr="00320B30">
        <w:rPr>
          <w:rFonts w:ascii="Verdana" w:hAnsi="Verdana" w:cs="Arial"/>
          <w:color w:val="000000"/>
          <w:sz w:val="16"/>
          <w:szCs w:val="16"/>
        </w:rPr>
        <w:t xml:space="preserve"> </w:t>
      </w:r>
      <w:r w:rsidRPr="00320B30">
        <w:rPr>
          <w:rFonts w:ascii="Verdana" w:hAnsi="Verdana" w:cs="Arial"/>
          <w:color w:val="000000"/>
          <w:sz w:val="16"/>
          <w:szCs w:val="16"/>
          <w:lang w:val="es-ES"/>
        </w:rPr>
        <w:t>Al respecto, conviene recordar el artículo 29 de la Ley 80 de 1993, derogado por el artículo 32 de la Ley 1150 de 2007, que establecía: “La selección de contratistas será objetiva.</w:t>
      </w:r>
    </w:p>
    <w:p w14:paraId="4778E0A1"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034E541D"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6EFD84EB"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0EE127E8"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En caso de comparación de propuestas nacionales y extranjeras, se incluirán los costos necesarios para la entrega del producto terminado en el lugar de su utilización”.</w:t>
      </w:r>
    </w:p>
  </w:footnote>
  <w:footnote w:id="7">
    <w:p w14:paraId="6EC4B57D"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Style w:val="Refdenotaalpie"/>
          <w:rFonts w:ascii="Verdana" w:hAnsi="Verdana" w:cs="Arial"/>
          <w:sz w:val="16"/>
          <w:szCs w:val="16"/>
        </w:rPr>
        <w:footnoteRef/>
      </w:r>
      <w:r w:rsidRPr="00320B30">
        <w:rPr>
          <w:rFonts w:ascii="Verdana" w:hAnsi="Verdana" w:cs="Arial"/>
          <w:sz w:val="16"/>
          <w:szCs w:val="16"/>
        </w:rPr>
        <w:t xml:space="preserve"> “</w:t>
      </w:r>
      <w:r w:rsidRPr="00320B30">
        <w:rPr>
          <w:rFonts w:ascii="Verdana" w:hAnsi="Verdana" w:cs="Arial"/>
          <w:color w:val="000000"/>
          <w:sz w:val="16"/>
          <w:szCs w:val="16"/>
          <w:lang w:val="es-ES"/>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B735DD2"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w:t>
      </w:r>
    </w:p>
    <w:p w14:paraId="63E2F9DC"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5984C15"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Fonts w:ascii="Verdana" w:hAnsi="Verdana" w:cs="Arial"/>
          <w:color w:val="000000"/>
          <w:sz w:val="16"/>
          <w:szCs w:val="16"/>
          <w:lang w:val="es-ES"/>
        </w:rPr>
        <w:t>[…]</w:t>
      </w:r>
    </w:p>
    <w:p w14:paraId="0EAB8F55" w14:textId="77777777" w:rsidR="006A0F21" w:rsidRPr="00320B30" w:rsidRDefault="006A0F21" w:rsidP="006A0F21">
      <w:pPr>
        <w:pStyle w:val="Textonotapie"/>
        <w:jc w:val="both"/>
        <w:rPr>
          <w:rFonts w:ascii="Verdana" w:hAnsi="Verdana" w:cs="Arial"/>
          <w:sz w:val="16"/>
          <w:szCs w:val="16"/>
          <w:lang w:val="es-CO"/>
        </w:rPr>
      </w:pPr>
    </w:p>
  </w:footnote>
  <w:footnote w:id="8">
    <w:p w14:paraId="66A67137"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Style w:val="Refdenotaalpie"/>
          <w:rFonts w:ascii="Verdana" w:hAnsi="Verdana" w:cs="Arial"/>
          <w:color w:val="000000"/>
          <w:sz w:val="16"/>
          <w:szCs w:val="16"/>
        </w:rPr>
        <w:footnoteRef/>
      </w:r>
      <w:r w:rsidRPr="00320B30">
        <w:rPr>
          <w:rFonts w:ascii="Verdana" w:hAnsi="Verdana" w:cs="Arial"/>
          <w:color w:val="000000"/>
          <w:sz w:val="16"/>
          <w:szCs w:val="16"/>
        </w:rPr>
        <w:t xml:space="preserve"> Consejo de Estado. Sección Tercera. Subsección A. Sentencia del 25 de octubre de 2019. Exp. 39.945. Consejera Ponente: María Adriana Marín: La selección de contratistas, para cumplir con el requisito de objetividad, debe caracterizarse: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p>
  </w:footnote>
  <w:footnote w:id="9">
    <w:p w14:paraId="1A5233CF" w14:textId="77777777" w:rsidR="006A0F21" w:rsidRPr="00320B30" w:rsidRDefault="006A0F21" w:rsidP="006A0F21">
      <w:pPr>
        <w:pStyle w:val="Textonotapie"/>
        <w:ind w:firstLine="709"/>
        <w:jc w:val="both"/>
        <w:rPr>
          <w:rFonts w:ascii="Verdana" w:hAnsi="Verdana" w:cs="Arial"/>
          <w:color w:val="000000"/>
          <w:sz w:val="16"/>
          <w:szCs w:val="16"/>
          <w:lang w:val="es-ES"/>
        </w:rPr>
      </w:pPr>
      <w:r w:rsidRPr="00320B30">
        <w:rPr>
          <w:rStyle w:val="Refdenotaalpie"/>
          <w:rFonts w:ascii="Verdana" w:hAnsi="Verdana" w:cs="Arial"/>
          <w:color w:val="000000"/>
          <w:sz w:val="16"/>
          <w:szCs w:val="16"/>
        </w:rPr>
        <w:footnoteRef/>
      </w:r>
      <w:r w:rsidRPr="00320B30">
        <w:rPr>
          <w:rStyle w:val="Refdenotaalpie"/>
          <w:rFonts w:ascii="Verdana" w:hAnsi="Verdana" w:cs="Arial"/>
          <w:color w:val="000000"/>
          <w:sz w:val="16"/>
          <w:szCs w:val="16"/>
        </w:rPr>
        <w:t xml:space="preserve"> </w:t>
      </w:r>
      <w:r w:rsidRPr="00320B30">
        <w:rPr>
          <w:rFonts w:ascii="Verdana" w:hAnsi="Verdana" w:cs="Arial"/>
          <w:color w:val="000000"/>
          <w:sz w:val="16"/>
          <w:szCs w:val="16"/>
        </w:rPr>
        <w:t>Consejo de Estado. Sección Tercera. Subsección A. Sentencia del 5 de julio de 2018. Exp. 37.834. Consejero Ponente: Carlos Alberto Zambrano Barrera.</w:t>
      </w:r>
    </w:p>
  </w:footnote>
  <w:footnote w:id="10">
    <w:p w14:paraId="5E9A4418" w14:textId="77777777" w:rsidR="006A0F21" w:rsidRPr="00320B30" w:rsidRDefault="006A0F21" w:rsidP="006A0F21">
      <w:pPr>
        <w:pStyle w:val="Textonotapie"/>
        <w:ind w:firstLine="708"/>
        <w:jc w:val="both"/>
        <w:rPr>
          <w:rFonts w:ascii="Verdana" w:hAnsi="Verdana" w:cs="Arial"/>
          <w:sz w:val="16"/>
          <w:szCs w:val="16"/>
        </w:rPr>
      </w:pPr>
      <w:r w:rsidRPr="00320B30">
        <w:rPr>
          <w:rStyle w:val="Refdenotaalpie"/>
          <w:rFonts w:ascii="Verdana" w:hAnsi="Verdana" w:cs="Arial"/>
          <w:sz w:val="16"/>
          <w:szCs w:val="16"/>
        </w:rPr>
        <w:footnoteRef/>
      </w:r>
      <w:r w:rsidRPr="00320B30">
        <w:rPr>
          <w:rFonts w:ascii="Verdana" w:hAnsi="Verdana" w:cs="Arial"/>
          <w:sz w:val="16"/>
          <w:szCs w:val="16"/>
        </w:rPr>
        <w:t xml:space="preserve"> “Artículo 2.2.1.2.1.4.10. Adquisición de bienes inmuebles. Las Entidades Estatales pueden adquirir bienes inmuebles mediante contratación directa para lo cual deben seguir las siguientes reglas:</w:t>
      </w:r>
    </w:p>
    <w:p w14:paraId="5F3339E3" w14:textId="77777777" w:rsidR="006A0F21" w:rsidRPr="00320B30" w:rsidRDefault="006A0F21" w:rsidP="006A0F21">
      <w:pPr>
        <w:pStyle w:val="Textonotapie"/>
        <w:ind w:firstLine="708"/>
        <w:jc w:val="both"/>
        <w:rPr>
          <w:rFonts w:ascii="Verdana" w:hAnsi="Verdana" w:cs="Arial"/>
          <w:sz w:val="16"/>
          <w:szCs w:val="16"/>
        </w:rPr>
      </w:pPr>
      <w:r w:rsidRPr="00320B30">
        <w:rPr>
          <w:rFonts w:ascii="Verdana" w:hAnsi="Verdana" w:cs="Arial"/>
          <w:sz w:val="16"/>
          <w:szCs w:val="16"/>
        </w:rPr>
        <w:t>1.    Avaluar con una institución especializada el bien o los bienes inmuebles identificados que satisfagan las necesidades que tiene la Entidad Estatal.</w:t>
      </w:r>
    </w:p>
    <w:p w14:paraId="4B40AC41" w14:textId="77777777" w:rsidR="006A0F21" w:rsidRPr="00320B30" w:rsidRDefault="006A0F21" w:rsidP="006A0F21">
      <w:pPr>
        <w:pStyle w:val="Textonotapie"/>
        <w:ind w:firstLine="708"/>
        <w:jc w:val="both"/>
        <w:rPr>
          <w:rFonts w:ascii="Verdana" w:hAnsi="Verdana" w:cs="Arial"/>
          <w:sz w:val="16"/>
          <w:szCs w:val="16"/>
        </w:rPr>
      </w:pPr>
      <w:r w:rsidRPr="00320B30">
        <w:rPr>
          <w:rFonts w:ascii="Verdana" w:hAnsi="Verdana" w:cs="Arial"/>
          <w:sz w:val="16"/>
          <w:szCs w:val="16"/>
        </w:rPr>
        <w:t>2.    Analizar y comparar las condiciones de los bienes inmuebles que satisfacen las ne­cesidades identificadas y las opciones de adquisición, análisis que deberá tener en cuenta los principios y objetivos del sistema de compras y contratación pública.</w:t>
      </w:r>
    </w:p>
    <w:p w14:paraId="0B1D1DF2" w14:textId="77777777" w:rsidR="006A0F21" w:rsidRPr="00320B30" w:rsidRDefault="006A0F21" w:rsidP="006A0F21">
      <w:pPr>
        <w:pStyle w:val="Textonotapie"/>
        <w:ind w:firstLine="708"/>
        <w:jc w:val="both"/>
        <w:rPr>
          <w:rFonts w:ascii="Verdana" w:hAnsi="Verdana" w:cs="Arial"/>
          <w:sz w:val="16"/>
          <w:szCs w:val="16"/>
        </w:rPr>
      </w:pPr>
      <w:r w:rsidRPr="00320B30">
        <w:rPr>
          <w:rFonts w:ascii="Verdana" w:hAnsi="Verdana" w:cs="Arial"/>
          <w:sz w:val="16"/>
          <w:szCs w:val="16"/>
        </w:rPr>
        <w:t>3.    La Entidad Estatal puede hacer parte de un proyecto inmobiliario para adquirir el bien inmueble que satisfaga la necesidad que ha identificado, caso en el cual no requiere el avalúo de que trata el numeral 1 anterior».</w:t>
      </w:r>
    </w:p>
  </w:footnote>
  <w:footnote w:id="11">
    <w:p w14:paraId="771288B4" w14:textId="77777777" w:rsidR="006A0F21" w:rsidRPr="00320B30" w:rsidRDefault="006A0F21" w:rsidP="006A0F21">
      <w:pPr>
        <w:pStyle w:val="Textonotapie"/>
        <w:ind w:firstLine="708"/>
        <w:jc w:val="both"/>
        <w:rPr>
          <w:rFonts w:ascii="Verdana" w:hAnsi="Verdana" w:cs="Arial"/>
          <w:sz w:val="16"/>
          <w:szCs w:val="16"/>
        </w:rPr>
      </w:pPr>
      <w:r w:rsidRPr="00320B30">
        <w:rPr>
          <w:rStyle w:val="Refdenotaalpie"/>
          <w:rFonts w:ascii="Verdana" w:hAnsi="Verdana" w:cs="Arial"/>
          <w:sz w:val="16"/>
          <w:szCs w:val="16"/>
        </w:rPr>
        <w:footnoteRef/>
      </w:r>
      <w:r w:rsidRPr="00320B30">
        <w:rPr>
          <w:rFonts w:ascii="Verdana" w:hAnsi="Verdana" w:cs="Arial"/>
          <w:sz w:val="16"/>
          <w:szCs w:val="16"/>
        </w:rPr>
        <w:t xml:space="preserve"> DÁVILA VINUEZA, Luis Guillermo. Régimen jurídico de la contratación estatal. 3 ed. Bogotá: Legis, 2016. p. 506. En el mismo sentido, Palacio Hincapié ha señalado que: «El arrendamiento o adquisición de inmuebles // Causal que no requiere explicación pues cuando se trata del </w:t>
      </w:r>
      <w:r w:rsidRPr="00320B30">
        <w:rPr>
          <w:rFonts w:ascii="Verdana" w:hAnsi="Verdana" w:cs="Arial"/>
          <w:i/>
          <w:iCs/>
          <w:sz w:val="16"/>
          <w:szCs w:val="16"/>
        </w:rPr>
        <w:t xml:space="preserve">arrendamiento de un inmueble </w:t>
      </w:r>
      <w:r w:rsidRPr="00320B30">
        <w:rPr>
          <w:rFonts w:ascii="Verdana" w:hAnsi="Verdana" w:cs="Arial"/>
          <w:sz w:val="16"/>
          <w:szCs w:val="16"/>
        </w:rPr>
        <w:t>determinado o la adquisición de este, la manera útil de hacer una negociación es la directa. (PALACIO HINCAPIÉ, Juan Ángel. La contratación de las entidades estatales. 8ª ed. Medellín: Librería Jurídica Sánchez, 2020. p. 476).</w:t>
      </w:r>
    </w:p>
  </w:footnote>
  <w:footnote w:id="12">
    <w:p w14:paraId="1D135FA6" w14:textId="77777777" w:rsidR="006A0F21" w:rsidRPr="00320B30" w:rsidRDefault="006A0F21" w:rsidP="006A0F21">
      <w:pPr>
        <w:spacing w:after="0" w:line="240" w:lineRule="auto"/>
        <w:ind w:firstLine="709"/>
        <w:jc w:val="both"/>
        <w:rPr>
          <w:rFonts w:ascii="Verdana" w:hAnsi="Verdana" w:cs="Arial"/>
          <w:sz w:val="16"/>
          <w:szCs w:val="16"/>
        </w:rPr>
      </w:pPr>
      <w:r w:rsidRPr="00320B30">
        <w:rPr>
          <w:rFonts w:ascii="Verdana" w:hAnsi="Verdana" w:cs="Arial"/>
          <w:sz w:val="16"/>
          <w:szCs w:val="16"/>
          <w:vertAlign w:val="superscript"/>
        </w:rPr>
        <w:footnoteRef/>
      </w:r>
      <w:r w:rsidRPr="00320B30">
        <w:rPr>
          <w:rFonts w:ascii="Verdana" w:hAnsi="Verdana" w:cs="Arial"/>
          <w:sz w:val="16"/>
          <w:szCs w:val="16"/>
        </w:rPr>
        <w:t xml:space="preserve"> Artículo 2.2.1.2.1.4.1. La Entidad Estatal debe señalar en un acto administrativo la justificación para contratar bajo la modalidad de contratación directa, el cual debe contener:</w:t>
      </w:r>
    </w:p>
    <w:p w14:paraId="0B491955" w14:textId="77777777" w:rsidR="006A0F21" w:rsidRPr="00320B30" w:rsidRDefault="006A0F21" w:rsidP="006A0F21">
      <w:pPr>
        <w:spacing w:after="0" w:line="240" w:lineRule="auto"/>
        <w:ind w:firstLine="709"/>
        <w:jc w:val="both"/>
        <w:rPr>
          <w:rFonts w:ascii="Verdana" w:hAnsi="Verdana" w:cs="Arial"/>
          <w:sz w:val="16"/>
          <w:szCs w:val="16"/>
        </w:rPr>
      </w:pPr>
      <w:r w:rsidRPr="00320B30">
        <w:rPr>
          <w:rFonts w:ascii="Verdana" w:hAnsi="Verdana" w:cs="Arial"/>
          <w:sz w:val="16"/>
          <w:szCs w:val="16"/>
        </w:rPr>
        <w:t>1.    La causal que invoca para contratar directamente.</w:t>
      </w:r>
    </w:p>
    <w:p w14:paraId="0E5D83EF" w14:textId="77777777" w:rsidR="006A0F21" w:rsidRPr="00320B30" w:rsidRDefault="006A0F21" w:rsidP="006A0F21">
      <w:pPr>
        <w:spacing w:after="0" w:line="240" w:lineRule="auto"/>
        <w:ind w:firstLine="709"/>
        <w:jc w:val="both"/>
        <w:rPr>
          <w:rFonts w:ascii="Verdana" w:hAnsi="Verdana" w:cs="Arial"/>
          <w:sz w:val="16"/>
          <w:szCs w:val="16"/>
        </w:rPr>
      </w:pPr>
      <w:r w:rsidRPr="00320B30">
        <w:rPr>
          <w:rFonts w:ascii="Verdana" w:hAnsi="Verdana" w:cs="Arial"/>
          <w:sz w:val="16"/>
          <w:szCs w:val="16"/>
        </w:rPr>
        <w:t>2.    El objeto del contrato.</w:t>
      </w:r>
    </w:p>
    <w:p w14:paraId="349B2830" w14:textId="77777777" w:rsidR="006A0F21" w:rsidRPr="00320B30" w:rsidRDefault="006A0F21" w:rsidP="006A0F21">
      <w:pPr>
        <w:spacing w:after="0" w:line="240" w:lineRule="auto"/>
        <w:ind w:firstLine="709"/>
        <w:jc w:val="both"/>
        <w:rPr>
          <w:rFonts w:ascii="Verdana" w:hAnsi="Verdana" w:cs="Arial"/>
          <w:sz w:val="16"/>
          <w:szCs w:val="16"/>
        </w:rPr>
      </w:pPr>
      <w:r w:rsidRPr="00320B30">
        <w:rPr>
          <w:rFonts w:ascii="Verdana" w:hAnsi="Verdana" w:cs="Arial"/>
          <w:sz w:val="16"/>
          <w:szCs w:val="16"/>
        </w:rPr>
        <w:t>3.    El presupuesto para la contratación y las condiciones que exigirá al contratista.</w:t>
      </w:r>
    </w:p>
    <w:p w14:paraId="3F619467" w14:textId="77777777" w:rsidR="006A0F21" w:rsidRPr="00320B30" w:rsidRDefault="006A0F21" w:rsidP="006A0F21">
      <w:pPr>
        <w:spacing w:after="0" w:line="240" w:lineRule="auto"/>
        <w:ind w:firstLine="709"/>
        <w:jc w:val="both"/>
        <w:rPr>
          <w:rFonts w:ascii="Verdana" w:hAnsi="Verdana" w:cs="Arial"/>
          <w:sz w:val="16"/>
          <w:szCs w:val="16"/>
        </w:rPr>
      </w:pPr>
      <w:r w:rsidRPr="00320B30">
        <w:rPr>
          <w:rFonts w:ascii="Verdana" w:hAnsi="Verdana" w:cs="Arial"/>
          <w:sz w:val="16"/>
          <w:szCs w:val="16"/>
        </w:rPr>
        <w:t>4.    El lugar en el cual los interesados pueden consultar los estudios y documentos previos.</w:t>
      </w:r>
    </w:p>
    <w:p w14:paraId="1D86FA87" w14:textId="77777777" w:rsidR="006A0F21" w:rsidRPr="00320B30" w:rsidRDefault="006A0F21" w:rsidP="006A0F21">
      <w:pPr>
        <w:spacing w:after="0" w:line="240" w:lineRule="auto"/>
        <w:ind w:firstLine="709"/>
        <w:jc w:val="both"/>
        <w:rPr>
          <w:rFonts w:ascii="Verdana" w:hAnsi="Verdana" w:cs="Arial"/>
          <w:sz w:val="16"/>
          <w:szCs w:val="16"/>
        </w:rPr>
      </w:pPr>
      <w:r w:rsidRPr="00320B30">
        <w:rPr>
          <w:rFonts w:ascii="Verdana" w:hAnsi="Verdana" w:cs="Arial"/>
          <w:sz w:val="16"/>
          <w:szCs w:val="16"/>
        </w:rPr>
        <w:t>Este acto administrativo no es necesario cuando el contrato a celebrar es de prestación de servicios profesionales y de apoyo a la gestión, y para los contratos de que tratan los literales (a) y (b) del artículo 2.2.1.2.1.4.3 del presente decreto.</w:t>
      </w:r>
    </w:p>
  </w:footnote>
  <w:footnote w:id="13">
    <w:p w14:paraId="5E45CEFA" w14:textId="77777777" w:rsidR="006A0F21" w:rsidRPr="00320B30" w:rsidRDefault="006A0F21" w:rsidP="006A0F21">
      <w:pPr>
        <w:pStyle w:val="Textoindependiente"/>
        <w:ind w:firstLine="707"/>
        <w:jc w:val="both"/>
        <w:rPr>
          <w:rFonts w:ascii="Verdana" w:hAnsi="Verdana"/>
          <w:sz w:val="16"/>
          <w:szCs w:val="16"/>
        </w:rPr>
      </w:pPr>
      <w:r w:rsidRPr="00320B30">
        <w:rPr>
          <w:rStyle w:val="Refdenotaalpie"/>
          <w:rFonts w:ascii="Verdana" w:hAnsi="Verdana"/>
          <w:sz w:val="16"/>
          <w:szCs w:val="16"/>
        </w:rPr>
        <w:footnoteRef/>
      </w:r>
      <w:r w:rsidRPr="00320B30">
        <w:rPr>
          <w:rFonts w:ascii="Verdana" w:hAnsi="Verdana"/>
          <w:sz w:val="16"/>
          <w:szCs w:val="16"/>
        </w:rPr>
        <w:t xml:space="preserve"> La Corte Constitucional, en Sentencia C-300 de 2012 M.P. Jorge Ignacio Pretel Chaljub,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37224707" w14:textId="77777777" w:rsidR="006A0F21" w:rsidRPr="00320B30" w:rsidRDefault="006A0F21" w:rsidP="006A0F21">
      <w:pPr>
        <w:pStyle w:val="Textoindependiente"/>
        <w:ind w:firstLine="608"/>
        <w:jc w:val="both"/>
        <w:rPr>
          <w:rFonts w:ascii="Verdana" w:hAnsi="Verdana"/>
          <w:sz w:val="16"/>
          <w:szCs w:val="16"/>
        </w:rPr>
      </w:pPr>
      <w:r w:rsidRPr="00320B30">
        <w:rPr>
          <w:rFonts w:ascii="Verdana" w:hAnsi="Verdana"/>
          <w:sz w:val="16"/>
          <w:szCs w:val="16"/>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390BBB33" w14:textId="77777777" w:rsidR="006A0F21" w:rsidRPr="00320B30" w:rsidRDefault="006A0F21" w:rsidP="006A0F21">
      <w:pPr>
        <w:pStyle w:val="Textoindependiente"/>
        <w:ind w:firstLine="608"/>
        <w:jc w:val="both"/>
        <w:rPr>
          <w:rFonts w:ascii="Verdana" w:hAnsi="Verdana"/>
          <w:sz w:val="16"/>
          <w:szCs w:val="16"/>
        </w:rPr>
      </w:pPr>
      <w:r w:rsidRPr="00320B30">
        <w:rPr>
          <w:rFonts w:ascii="Verdana" w:hAnsi="Verdana"/>
          <w:sz w:val="16"/>
          <w:szCs w:val="16"/>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p w14:paraId="12195D56" w14:textId="77777777" w:rsidR="006A0F21" w:rsidRPr="00320B30" w:rsidRDefault="006A0F21" w:rsidP="006A0F21">
      <w:pPr>
        <w:pStyle w:val="Textoindependiente"/>
        <w:jc w:val="both"/>
        <w:rPr>
          <w:sz w:val="16"/>
          <w:szCs w:val="16"/>
        </w:rPr>
      </w:pPr>
    </w:p>
    <w:p w14:paraId="721E5C7E" w14:textId="77777777" w:rsidR="006A0F21" w:rsidRPr="00320B30" w:rsidRDefault="006A0F21" w:rsidP="006A0F21">
      <w:pPr>
        <w:pStyle w:val="Textonotapie"/>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3783B" w:rsidRDefault="00A3783B">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3783B" w:rsidRDefault="00A3783B">
    <w:pPr>
      <w:pStyle w:val="Encabezado"/>
    </w:pPr>
  </w:p>
  <w:p w14:paraId="3079FC11" w14:textId="77777777" w:rsidR="00A3783B" w:rsidRDefault="00A3783B" w:rsidP="004A305D">
    <w:pPr>
      <w:spacing w:after="0"/>
      <w:rPr>
        <w:rFonts w:ascii="Verdana" w:hAnsi="Verdana"/>
        <w:b/>
        <w:bCs/>
      </w:rPr>
    </w:pPr>
  </w:p>
  <w:p w14:paraId="5E18350A" w14:textId="705F7B76" w:rsidR="00A3783B" w:rsidRPr="004A305D" w:rsidRDefault="00A3783B" w:rsidP="00B01B1A">
    <w:pPr>
      <w:spacing w:after="0" w:line="120" w:lineRule="auto"/>
      <w:rPr>
        <w:rFonts w:ascii="Century Gothic" w:eastAsia="Geo" w:hAnsi="Century Gothic" w:cs="Geo"/>
        <w:sz w:val="16"/>
        <w:szCs w:val="16"/>
        <w:lang w:eastAsia="es-CO"/>
      </w:rPr>
    </w:pPr>
  </w:p>
  <w:p w14:paraId="1FD1C243" w14:textId="6D74A3CF" w:rsidR="00A3783B" w:rsidRDefault="00A3783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AB2DF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19003110" o:spid="_x0000_i1025" type="#_x0000_t75" style="width:11.25pt;height:11.25pt;visibility:visible;mso-wrap-style:square">
            <v:imagedata r:id="rId1" o:title=""/>
          </v:shape>
        </w:pict>
      </mc:Choice>
      <mc:Fallback>
        <w:drawing>
          <wp:inline distT="0" distB="0" distL="0" distR="0" wp14:anchorId="2CD1B105">
            <wp:extent cx="142875" cy="142875"/>
            <wp:effectExtent l="0" t="0" r="0" b="0"/>
            <wp:docPr id="2119003110" name="Imagen 211900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CCC61EB7"/>
    <w:multiLevelType w:val="hybridMultilevel"/>
    <w:tmpl w:val="076071E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8E65A6"/>
    <w:multiLevelType w:val="hybridMultilevel"/>
    <w:tmpl w:val="BC7A99E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8016"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2124182085">
    <w:abstractNumId w:val="15"/>
  </w:num>
  <w:num w:numId="2" w16cid:durableId="57287692">
    <w:abstractNumId w:val="5"/>
  </w:num>
  <w:num w:numId="3" w16cid:durableId="1165782853">
    <w:abstractNumId w:val="13"/>
  </w:num>
  <w:num w:numId="4" w16cid:durableId="3559317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922322">
    <w:abstractNumId w:val="5"/>
  </w:num>
  <w:num w:numId="6" w16cid:durableId="1865901403">
    <w:abstractNumId w:val="26"/>
  </w:num>
  <w:num w:numId="7" w16cid:durableId="2134445088">
    <w:abstractNumId w:val="14"/>
  </w:num>
  <w:num w:numId="8" w16cid:durableId="1264142738">
    <w:abstractNumId w:val="25"/>
  </w:num>
  <w:num w:numId="9" w16cid:durableId="1530532608">
    <w:abstractNumId w:val="16"/>
  </w:num>
  <w:num w:numId="10" w16cid:durableId="2046832996">
    <w:abstractNumId w:val="24"/>
  </w:num>
  <w:num w:numId="11" w16cid:durableId="665088973">
    <w:abstractNumId w:val="17"/>
  </w:num>
  <w:num w:numId="12" w16cid:durableId="1800145660">
    <w:abstractNumId w:val="3"/>
  </w:num>
  <w:num w:numId="13" w16cid:durableId="1948922801">
    <w:abstractNumId w:val="10"/>
  </w:num>
  <w:num w:numId="14" w16cid:durableId="1654526402">
    <w:abstractNumId w:val="27"/>
  </w:num>
  <w:num w:numId="15" w16cid:durableId="661662790">
    <w:abstractNumId w:val="23"/>
  </w:num>
  <w:num w:numId="16" w16cid:durableId="800614267">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2058146">
    <w:abstractNumId w:val="6"/>
  </w:num>
  <w:num w:numId="18" w16cid:durableId="2055418824">
    <w:abstractNumId w:val="22"/>
  </w:num>
  <w:num w:numId="19" w16cid:durableId="1633096872">
    <w:abstractNumId w:val="12"/>
  </w:num>
  <w:num w:numId="20" w16cid:durableId="1549142643">
    <w:abstractNumId w:val="18"/>
  </w:num>
  <w:num w:numId="21" w16cid:durableId="1839727097">
    <w:abstractNumId w:val="28"/>
  </w:num>
  <w:num w:numId="22" w16cid:durableId="1041512006">
    <w:abstractNumId w:val="20"/>
  </w:num>
  <w:num w:numId="23" w16cid:durableId="1645310379">
    <w:abstractNumId w:val="9"/>
  </w:num>
  <w:num w:numId="24" w16cid:durableId="2030134317">
    <w:abstractNumId w:val="19"/>
  </w:num>
  <w:num w:numId="25" w16cid:durableId="2117821212">
    <w:abstractNumId w:val="4"/>
  </w:num>
  <w:num w:numId="26" w16cid:durableId="230694973">
    <w:abstractNumId w:val="7"/>
  </w:num>
  <w:num w:numId="27" w16cid:durableId="2032953052">
    <w:abstractNumId w:val="21"/>
  </w:num>
  <w:num w:numId="28" w16cid:durableId="1216624949">
    <w:abstractNumId w:val="8"/>
  </w:num>
  <w:num w:numId="29" w16cid:durableId="134688176">
    <w:abstractNumId w:val="11"/>
  </w:num>
  <w:num w:numId="30" w16cid:durableId="1244291418">
    <w:abstractNumId w:val="2"/>
  </w:num>
  <w:num w:numId="31" w16cid:durableId="1125613041">
    <w:abstractNumId w:val="0"/>
  </w:num>
  <w:num w:numId="32" w16cid:durableId="2020815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3BDF"/>
    <w:rsid w:val="000062F3"/>
    <w:rsid w:val="0000797D"/>
    <w:rsid w:val="0001328B"/>
    <w:rsid w:val="000224F2"/>
    <w:rsid w:val="00023C3E"/>
    <w:rsid w:val="0002653B"/>
    <w:rsid w:val="00034682"/>
    <w:rsid w:val="00035E21"/>
    <w:rsid w:val="00037B4E"/>
    <w:rsid w:val="00042856"/>
    <w:rsid w:val="0004434A"/>
    <w:rsid w:val="0005281E"/>
    <w:rsid w:val="00055421"/>
    <w:rsid w:val="0005682C"/>
    <w:rsid w:val="00056D71"/>
    <w:rsid w:val="00061B2A"/>
    <w:rsid w:val="00062BAF"/>
    <w:rsid w:val="000630B9"/>
    <w:rsid w:val="000643B2"/>
    <w:rsid w:val="00065E80"/>
    <w:rsid w:val="0007022C"/>
    <w:rsid w:val="00071DE6"/>
    <w:rsid w:val="000754B0"/>
    <w:rsid w:val="00077439"/>
    <w:rsid w:val="000774B8"/>
    <w:rsid w:val="00082362"/>
    <w:rsid w:val="0008328D"/>
    <w:rsid w:val="00084D78"/>
    <w:rsid w:val="0009387A"/>
    <w:rsid w:val="0009387B"/>
    <w:rsid w:val="000963C6"/>
    <w:rsid w:val="00096EFD"/>
    <w:rsid w:val="0009762F"/>
    <w:rsid w:val="000A31B9"/>
    <w:rsid w:val="000A3330"/>
    <w:rsid w:val="000A36D8"/>
    <w:rsid w:val="000A3D63"/>
    <w:rsid w:val="000A683A"/>
    <w:rsid w:val="000A683E"/>
    <w:rsid w:val="000B19B9"/>
    <w:rsid w:val="000B3001"/>
    <w:rsid w:val="000C2889"/>
    <w:rsid w:val="000C3673"/>
    <w:rsid w:val="000D0152"/>
    <w:rsid w:val="000D0334"/>
    <w:rsid w:val="000D0B4D"/>
    <w:rsid w:val="000D3B29"/>
    <w:rsid w:val="000E06F4"/>
    <w:rsid w:val="000E1AC7"/>
    <w:rsid w:val="000E4CE4"/>
    <w:rsid w:val="000F6486"/>
    <w:rsid w:val="000F669F"/>
    <w:rsid w:val="001063B3"/>
    <w:rsid w:val="00107ACA"/>
    <w:rsid w:val="001114A9"/>
    <w:rsid w:val="00111979"/>
    <w:rsid w:val="00116537"/>
    <w:rsid w:val="00120766"/>
    <w:rsid w:val="00122FA6"/>
    <w:rsid w:val="001240BD"/>
    <w:rsid w:val="00125105"/>
    <w:rsid w:val="001268F7"/>
    <w:rsid w:val="00127233"/>
    <w:rsid w:val="001372FC"/>
    <w:rsid w:val="00143E81"/>
    <w:rsid w:val="00143FD9"/>
    <w:rsid w:val="00145047"/>
    <w:rsid w:val="00146C57"/>
    <w:rsid w:val="00150ADA"/>
    <w:rsid w:val="0016332F"/>
    <w:rsid w:val="0016642E"/>
    <w:rsid w:val="001717E9"/>
    <w:rsid w:val="0017238A"/>
    <w:rsid w:val="001800BA"/>
    <w:rsid w:val="00180A30"/>
    <w:rsid w:val="00185EE9"/>
    <w:rsid w:val="00187F79"/>
    <w:rsid w:val="00197274"/>
    <w:rsid w:val="001A237A"/>
    <w:rsid w:val="001A26CF"/>
    <w:rsid w:val="001A2919"/>
    <w:rsid w:val="001A385B"/>
    <w:rsid w:val="001B2CFE"/>
    <w:rsid w:val="001C222E"/>
    <w:rsid w:val="001C22F9"/>
    <w:rsid w:val="001D05C4"/>
    <w:rsid w:val="001D1C29"/>
    <w:rsid w:val="001D2CCC"/>
    <w:rsid w:val="001E3C06"/>
    <w:rsid w:val="001E4177"/>
    <w:rsid w:val="001F0A0F"/>
    <w:rsid w:val="001F4EFD"/>
    <w:rsid w:val="001F5E13"/>
    <w:rsid w:val="001F6D11"/>
    <w:rsid w:val="001F7DC6"/>
    <w:rsid w:val="00202886"/>
    <w:rsid w:val="00205784"/>
    <w:rsid w:val="00210946"/>
    <w:rsid w:val="00213510"/>
    <w:rsid w:val="0021372A"/>
    <w:rsid w:val="00214832"/>
    <w:rsid w:val="00215CEF"/>
    <w:rsid w:val="00217A08"/>
    <w:rsid w:val="00220B77"/>
    <w:rsid w:val="00221D27"/>
    <w:rsid w:val="00237233"/>
    <w:rsid w:val="002421BB"/>
    <w:rsid w:val="00245707"/>
    <w:rsid w:val="00246A81"/>
    <w:rsid w:val="00251A5F"/>
    <w:rsid w:val="00252B30"/>
    <w:rsid w:val="0025796E"/>
    <w:rsid w:val="002603E5"/>
    <w:rsid w:val="002638B2"/>
    <w:rsid w:val="002660F2"/>
    <w:rsid w:val="002664BB"/>
    <w:rsid w:val="002707A2"/>
    <w:rsid w:val="002826F0"/>
    <w:rsid w:val="002835A6"/>
    <w:rsid w:val="002844ED"/>
    <w:rsid w:val="002951A0"/>
    <w:rsid w:val="002962BC"/>
    <w:rsid w:val="002A093D"/>
    <w:rsid w:val="002A0DD0"/>
    <w:rsid w:val="002A1D2F"/>
    <w:rsid w:val="002A49AC"/>
    <w:rsid w:val="002A64FD"/>
    <w:rsid w:val="002A6BBF"/>
    <w:rsid w:val="002B1E57"/>
    <w:rsid w:val="002B1F7F"/>
    <w:rsid w:val="002B290B"/>
    <w:rsid w:val="002B61F2"/>
    <w:rsid w:val="002B7AD9"/>
    <w:rsid w:val="002C110E"/>
    <w:rsid w:val="002C379A"/>
    <w:rsid w:val="002C765E"/>
    <w:rsid w:val="002C7A84"/>
    <w:rsid w:val="002D13A1"/>
    <w:rsid w:val="002D3F0D"/>
    <w:rsid w:val="002E1D98"/>
    <w:rsid w:val="002E2C3F"/>
    <w:rsid w:val="002E4FD9"/>
    <w:rsid w:val="002E6F15"/>
    <w:rsid w:val="002F13FD"/>
    <w:rsid w:val="002F53FB"/>
    <w:rsid w:val="00303544"/>
    <w:rsid w:val="003039C1"/>
    <w:rsid w:val="00310DBE"/>
    <w:rsid w:val="003119D8"/>
    <w:rsid w:val="0031430F"/>
    <w:rsid w:val="00315D75"/>
    <w:rsid w:val="00320B30"/>
    <w:rsid w:val="00320BBD"/>
    <w:rsid w:val="003226F7"/>
    <w:rsid w:val="00322A85"/>
    <w:rsid w:val="00324168"/>
    <w:rsid w:val="0033032A"/>
    <w:rsid w:val="00330C97"/>
    <w:rsid w:val="00334C6A"/>
    <w:rsid w:val="00336C05"/>
    <w:rsid w:val="003409C8"/>
    <w:rsid w:val="00342675"/>
    <w:rsid w:val="00343512"/>
    <w:rsid w:val="003448F4"/>
    <w:rsid w:val="00345330"/>
    <w:rsid w:val="003522B9"/>
    <w:rsid w:val="003528DF"/>
    <w:rsid w:val="00352C12"/>
    <w:rsid w:val="00354BCA"/>
    <w:rsid w:val="00362DEE"/>
    <w:rsid w:val="0036594E"/>
    <w:rsid w:val="003665EE"/>
    <w:rsid w:val="0037010E"/>
    <w:rsid w:val="003734F4"/>
    <w:rsid w:val="00374F5E"/>
    <w:rsid w:val="0037527B"/>
    <w:rsid w:val="00375884"/>
    <w:rsid w:val="00377E3E"/>
    <w:rsid w:val="003815B3"/>
    <w:rsid w:val="003815E8"/>
    <w:rsid w:val="0038501A"/>
    <w:rsid w:val="00386D13"/>
    <w:rsid w:val="00391392"/>
    <w:rsid w:val="00392A49"/>
    <w:rsid w:val="00393812"/>
    <w:rsid w:val="003A26D1"/>
    <w:rsid w:val="003A3B30"/>
    <w:rsid w:val="003A477B"/>
    <w:rsid w:val="003A779E"/>
    <w:rsid w:val="003B005A"/>
    <w:rsid w:val="003B0636"/>
    <w:rsid w:val="003B6385"/>
    <w:rsid w:val="003B78C4"/>
    <w:rsid w:val="003C3FA5"/>
    <w:rsid w:val="003D0F4D"/>
    <w:rsid w:val="003D1B5E"/>
    <w:rsid w:val="003D5B0D"/>
    <w:rsid w:val="003E0499"/>
    <w:rsid w:val="003E40F2"/>
    <w:rsid w:val="003E7EAA"/>
    <w:rsid w:val="003F3941"/>
    <w:rsid w:val="00400676"/>
    <w:rsid w:val="004008A9"/>
    <w:rsid w:val="0040480E"/>
    <w:rsid w:val="00406575"/>
    <w:rsid w:val="004069AB"/>
    <w:rsid w:val="00410906"/>
    <w:rsid w:val="0041655A"/>
    <w:rsid w:val="004216B6"/>
    <w:rsid w:val="00426FD7"/>
    <w:rsid w:val="0042722E"/>
    <w:rsid w:val="00427DA0"/>
    <w:rsid w:val="00440391"/>
    <w:rsid w:val="004405A4"/>
    <w:rsid w:val="004426AD"/>
    <w:rsid w:val="00442C7F"/>
    <w:rsid w:val="0044528D"/>
    <w:rsid w:val="00450920"/>
    <w:rsid w:val="004530EA"/>
    <w:rsid w:val="00454D48"/>
    <w:rsid w:val="004554F9"/>
    <w:rsid w:val="0046004D"/>
    <w:rsid w:val="00461A6A"/>
    <w:rsid w:val="004633DE"/>
    <w:rsid w:val="00464D48"/>
    <w:rsid w:val="00465E71"/>
    <w:rsid w:val="00466040"/>
    <w:rsid w:val="00471654"/>
    <w:rsid w:val="004734BD"/>
    <w:rsid w:val="00480BAF"/>
    <w:rsid w:val="00482608"/>
    <w:rsid w:val="00483749"/>
    <w:rsid w:val="0048423D"/>
    <w:rsid w:val="00484809"/>
    <w:rsid w:val="00484BB1"/>
    <w:rsid w:val="004A0980"/>
    <w:rsid w:val="004A0B8B"/>
    <w:rsid w:val="004A1847"/>
    <w:rsid w:val="004A305D"/>
    <w:rsid w:val="004A3312"/>
    <w:rsid w:val="004A66E3"/>
    <w:rsid w:val="004B740F"/>
    <w:rsid w:val="004C0973"/>
    <w:rsid w:val="004C4B37"/>
    <w:rsid w:val="004D026D"/>
    <w:rsid w:val="004D23A7"/>
    <w:rsid w:val="004E1865"/>
    <w:rsid w:val="004E221E"/>
    <w:rsid w:val="004E2892"/>
    <w:rsid w:val="004E4C0B"/>
    <w:rsid w:val="004E505B"/>
    <w:rsid w:val="004E7CE7"/>
    <w:rsid w:val="004F21C4"/>
    <w:rsid w:val="004F3012"/>
    <w:rsid w:val="004F3B9E"/>
    <w:rsid w:val="004F5559"/>
    <w:rsid w:val="004F685F"/>
    <w:rsid w:val="004F7EC9"/>
    <w:rsid w:val="00504CBE"/>
    <w:rsid w:val="00514598"/>
    <w:rsid w:val="005163B5"/>
    <w:rsid w:val="0052543A"/>
    <w:rsid w:val="00525FDB"/>
    <w:rsid w:val="0052785C"/>
    <w:rsid w:val="00533E1B"/>
    <w:rsid w:val="00540C2D"/>
    <w:rsid w:val="0054335F"/>
    <w:rsid w:val="00552502"/>
    <w:rsid w:val="005566E8"/>
    <w:rsid w:val="00560CB5"/>
    <w:rsid w:val="00564F8B"/>
    <w:rsid w:val="00574122"/>
    <w:rsid w:val="00574867"/>
    <w:rsid w:val="00577D09"/>
    <w:rsid w:val="0058087F"/>
    <w:rsid w:val="00591460"/>
    <w:rsid w:val="00592628"/>
    <w:rsid w:val="00597C75"/>
    <w:rsid w:val="005A0868"/>
    <w:rsid w:val="005A0CFB"/>
    <w:rsid w:val="005A282F"/>
    <w:rsid w:val="005A2AC9"/>
    <w:rsid w:val="005A6C21"/>
    <w:rsid w:val="005A781A"/>
    <w:rsid w:val="005B2CCE"/>
    <w:rsid w:val="005B58C1"/>
    <w:rsid w:val="005B6033"/>
    <w:rsid w:val="005C3777"/>
    <w:rsid w:val="005C5CDC"/>
    <w:rsid w:val="005D17C8"/>
    <w:rsid w:val="005D2B2B"/>
    <w:rsid w:val="005D476C"/>
    <w:rsid w:val="005D5F91"/>
    <w:rsid w:val="005D7B25"/>
    <w:rsid w:val="005E6B74"/>
    <w:rsid w:val="005F3CE0"/>
    <w:rsid w:val="005F7C43"/>
    <w:rsid w:val="00601DFC"/>
    <w:rsid w:val="00605A00"/>
    <w:rsid w:val="00610812"/>
    <w:rsid w:val="00612CE7"/>
    <w:rsid w:val="006219F8"/>
    <w:rsid w:val="0063165E"/>
    <w:rsid w:val="00632C08"/>
    <w:rsid w:val="00650FF7"/>
    <w:rsid w:val="00656421"/>
    <w:rsid w:val="00660F6A"/>
    <w:rsid w:val="006632FF"/>
    <w:rsid w:val="00663B19"/>
    <w:rsid w:val="00665D70"/>
    <w:rsid w:val="00671DAC"/>
    <w:rsid w:val="006747C7"/>
    <w:rsid w:val="006827AC"/>
    <w:rsid w:val="006859A3"/>
    <w:rsid w:val="006900D9"/>
    <w:rsid w:val="006920AE"/>
    <w:rsid w:val="00697B17"/>
    <w:rsid w:val="006A0008"/>
    <w:rsid w:val="006A0F21"/>
    <w:rsid w:val="006A10DF"/>
    <w:rsid w:val="006A3147"/>
    <w:rsid w:val="006B25DE"/>
    <w:rsid w:val="006C0240"/>
    <w:rsid w:val="006C5595"/>
    <w:rsid w:val="006D12F8"/>
    <w:rsid w:val="006D4E33"/>
    <w:rsid w:val="006F0D40"/>
    <w:rsid w:val="006F2501"/>
    <w:rsid w:val="00700975"/>
    <w:rsid w:val="00704D9B"/>
    <w:rsid w:val="00705E5F"/>
    <w:rsid w:val="00706C16"/>
    <w:rsid w:val="00711C85"/>
    <w:rsid w:val="0071458F"/>
    <w:rsid w:val="0071627C"/>
    <w:rsid w:val="00723A7F"/>
    <w:rsid w:val="00723F2B"/>
    <w:rsid w:val="007312C3"/>
    <w:rsid w:val="00737C53"/>
    <w:rsid w:val="00737DFA"/>
    <w:rsid w:val="007534CA"/>
    <w:rsid w:val="00756841"/>
    <w:rsid w:val="0076066F"/>
    <w:rsid w:val="00762AA9"/>
    <w:rsid w:val="007649AB"/>
    <w:rsid w:val="007670E3"/>
    <w:rsid w:val="00771D0C"/>
    <w:rsid w:val="00771FD2"/>
    <w:rsid w:val="0078274D"/>
    <w:rsid w:val="007833AC"/>
    <w:rsid w:val="00784D58"/>
    <w:rsid w:val="00786FBF"/>
    <w:rsid w:val="00790AB7"/>
    <w:rsid w:val="007913EA"/>
    <w:rsid w:val="00791769"/>
    <w:rsid w:val="007932BC"/>
    <w:rsid w:val="00796340"/>
    <w:rsid w:val="007A23EA"/>
    <w:rsid w:val="007A5189"/>
    <w:rsid w:val="007B0D88"/>
    <w:rsid w:val="007B268C"/>
    <w:rsid w:val="007B7171"/>
    <w:rsid w:val="007B7D02"/>
    <w:rsid w:val="007C0C0F"/>
    <w:rsid w:val="007C2E67"/>
    <w:rsid w:val="007C3DC2"/>
    <w:rsid w:val="007D0457"/>
    <w:rsid w:val="007D43C9"/>
    <w:rsid w:val="007E5497"/>
    <w:rsid w:val="007F28CA"/>
    <w:rsid w:val="007F52A4"/>
    <w:rsid w:val="007F60FB"/>
    <w:rsid w:val="007F7B94"/>
    <w:rsid w:val="00800789"/>
    <w:rsid w:val="00801352"/>
    <w:rsid w:val="00804981"/>
    <w:rsid w:val="00806F5F"/>
    <w:rsid w:val="00811270"/>
    <w:rsid w:val="00811E4F"/>
    <w:rsid w:val="008163D7"/>
    <w:rsid w:val="00820278"/>
    <w:rsid w:val="00834554"/>
    <w:rsid w:val="00834B31"/>
    <w:rsid w:val="00840ADC"/>
    <w:rsid w:val="00841A23"/>
    <w:rsid w:val="00843902"/>
    <w:rsid w:val="00843928"/>
    <w:rsid w:val="00843BF7"/>
    <w:rsid w:val="008449B3"/>
    <w:rsid w:val="00846276"/>
    <w:rsid w:val="00850E23"/>
    <w:rsid w:val="00851137"/>
    <w:rsid w:val="00853978"/>
    <w:rsid w:val="0085432F"/>
    <w:rsid w:val="00856C43"/>
    <w:rsid w:val="00864209"/>
    <w:rsid w:val="0087325B"/>
    <w:rsid w:val="00877EBA"/>
    <w:rsid w:val="0088002A"/>
    <w:rsid w:val="00881ABA"/>
    <w:rsid w:val="008843B6"/>
    <w:rsid w:val="00886C89"/>
    <w:rsid w:val="00887569"/>
    <w:rsid w:val="00891928"/>
    <w:rsid w:val="00894B8B"/>
    <w:rsid w:val="008961BA"/>
    <w:rsid w:val="008A00A4"/>
    <w:rsid w:val="008A446D"/>
    <w:rsid w:val="008A7A64"/>
    <w:rsid w:val="008A7F08"/>
    <w:rsid w:val="008B2F0E"/>
    <w:rsid w:val="008B5A2E"/>
    <w:rsid w:val="008D180B"/>
    <w:rsid w:val="008D1BDB"/>
    <w:rsid w:val="008D6CDA"/>
    <w:rsid w:val="008D7227"/>
    <w:rsid w:val="008E1F92"/>
    <w:rsid w:val="008E7333"/>
    <w:rsid w:val="008E7B09"/>
    <w:rsid w:val="008F0EA7"/>
    <w:rsid w:val="008F7BB9"/>
    <w:rsid w:val="00904692"/>
    <w:rsid w:val="00910097"/>
    <w:rsid w:val="00911C7C"/>
    <w:rsid w:val="0091561E"/>
    <w:rsid w:val="00922F57"/>
    <w:rsid w:val="00923EEF"/>
    <w:rsid w:val="009325CC"/>
    <w:rsid w:val="0093558D"/>
    <w:rsid w:val="009411F5"/>
    <w:rsid w:val="009419F9"/>
    <w:rsid w:val="00945B9F"/>
    <w:rsid w:val="00950BE2"/>
    <w:rsid w:val="00953AA4"/>
    <w:rsid w:val="00955305"/>
    <w:rsid w:val="0095685E"/>
    <w:rsid w:val="009572D9"/>
    <w:rsid w:val="009600D2"/>
    <w:rsid w:val="00961409"/>
    <w:rsid w:val="00961B09"/>
    <w:rsid w:val="00962300"/>
    <w:rsid w:val="00965334"/>
    <w:rsid w:val="0097093E"/>
    <w:rsid w:val="009725F1"/>
    <w:rsid w:val="00976025"/>
    <w:rsid w:val="00976F04"/>
    <w:rsid w:val="009800BE"/>
    <w:rsid w:val="00982E41"/>
    <w:rsid w:val="00983B79"/>
    <w:rsid w:val="00983EEA"/>
    <w:rsid w:val="00984649"/>
    <w:rsid w:val="009858BE"/>
    <w:rsid w:val="009A0DFA"/>
    <w:rsid w:val="009A3C2C"/>
    <w:rsid w:val="009A4A40"/>
    <w:rsid w:val="009B2D26"/>
    <w:rsid w:val="009B3595"/>
    <w:rsid w:val="009B5228"/>
    <w:rsid w:val="009B6C8C"/>
    <w:rsid w:val="009B780F"/>
    <w:rsid w:val="009C2DD0"/>
    <w:rsid w:val="009C3AC7"/>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3415"/>
    <w:rsid w:val="00A04A81"/>
    <w:rsid w:val="00A10F15"/>
    <w:rsid w:val="00A122D3"/>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7F7D"/>
    <w:rsid w:val="00A9244C"/>
    <w:rsid w:val="00A94D14"/>
    <w:rsid w:val="00A95106"/>
    <w:rsid w:val="00A95A1A"/>
    <w:rsid w:val="00AA23BB"/>
    <w:rsid w:val="00AB0ADB"/>
    <w:rsid w:val="00AB3FD1"/>
    <w:rsid w:val="00AC0DF9"/>
    <w:rsid w:val="00AC0EAB"/>
    <w:rsid w:val="00AC4701"/>
    <w:rsid w:val="00AC49A2"/>
    <w:rsid w:val="00AD73E2"/>
    <w:rsid w:val="00AE2631"/>
    <w:rsid w:val="00AE3D6C"/>
    <w:rsid w:val="00AE7375"/>
    <w:rsid w:val="00AF1BEC"/>
    <w:rsid w:val="00AF54CA"/>
    <w:rsid w:val="00B009B8"/>
    <w:rsid w:val="00B01B1A"/>
    <w:rsid w:val="00B0268A"/>
    <w:rsid w:val="00B0410F"/>
    <w:rsid w:val="00B07DDD"/>
    <w:rsid w:val="00B14E03"/>
    <w:rsid w:val="00B26B98"/>
    <w:rsid w:val="00B35201"/>
    <w:rsid w:val="00B35ADC"/>
    <w:rsid w:val="00B37C24"/>
    <w:rsid w:val="00B40FBC"/>
    <w:rsid w:val="00B427E2"/>
    <w:rsid w:val="00B46F27"/>
    <w:rsid w:val="00B47FD7"/>
    <w:rsid w:val="00B51F75"/>
    <w:rsid w:val="00B52169"/>
    <w:rsid w:val="00B53E27"/>
    <w:rsid w:val="00B558AF"/>
    <w:rsid w:val="00B615BA"/>
    <w:rsid w:val="00B62D8B"/>
    <w:rsid w:val="00B72CD3"/>
    <w:rsid w:val="00B72FFF"/>
    <w:rsid w:val="00B76CEB"/>
    <w:rsid w:val="00B8257D"/>
    <w:rsid w:val="00B82B8B"/>
    <w:rsid w:val="00B86FE2"/>
    <w:rsid w:val="00B91186"/>
    <w:rsid w:val="00B93423"/>
    <w:rsid w:val="00B948E8"/>
    <w:rsid w:val="00BA0A22"/>
    <w:rsid w:val="00BA2EF4"/>
    <w:rsid w:val="00BA6BE0"/>
    <w:rsid w:val="00BB22DA"/>
    <w:rsid w:val="00BB2C9D"/>
    <w:rsid w:val="00BC0036"/>
    <w:rsid w:val="00BC05A6"/>
    <w:rsid w:val="00BC3D36"/>
    <w:rsid w:val="00BC4B34"/>
    <w:rsid w:val="00BC7498"/>
    <w:rsid w:val="00BD4BCA"/>
    <w:rsid w:val="00BD7F72"/>
    <w:rsid w:val="00BE03BC"/>
    <w:rsid w:val="00BE0A18"/>
    <w:rsid w:val="00BF0D99"/>
    <w:rsid w:val="00BF1201"/>
    <w:rsid w:val="00BF1D4A"/>
    <w:rsid w:val="00BF230F"/>
    <w:rsid w:val="00C002E3"/>
    <w:rsid w:val="00C012CC"/>
    <w:rsid w:val="00C04FB3"/>
    <w:rsid w:val="00C06C4F"/>
    <w:rsid w:val="00C147D0"/>
    <w:rsid w:val="00C159C1"/>
    <w:rsid w:val="00C16346"/>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7281"/>
    <w:rsid w:val="00C57E63"/>
    <w:rsid w:val="00C65D65"/>
    <w:rsid w:val="00C67703"/>
    <w:rsid w:val="00C7173F"/>
    <w:rsid w:val="00C730B6"/>
    <w:rsid w:val="00C7352F"/>
    <w:rsid w:val="00C754BE"/>
    <w:rsid w:val="00C76466"/>
    <w:rsid w:val="00C76B1C"/>
    <w:rsid w:val="00C82239"/>
    <w:rsid w:val="00C84876"/>
    <w:rsid w:val="00C915DD"/>
    <w:rsid w:val="00C91B94"/>
    <w:rsid w:val="00C92665"/>
    <w:rsid w:val="00CA6A9D"/>
    <w:rsid w:val="00CA7F6B"/>
    <w:rsid w:val="00CB6357"/>
    <w:rsid w:val="00CC0FA3"/>
    <w:rsid w:val="00CC1B26"/>
    <w:rsid w:val="00CC49F7"/>
    <w:rsid w:val="00CC54DB"/>
    <w:rsid w:val="00CC7787"/>
    <w:rsid w:val="00CD087D"/>
    <w:rsid w:val="00CD41CB"/>
    <w:rsid w:val="00CD5EE0"/>
    <w:rsid w:val="00CE02A2"/>
    <w:rsid w:val="00CE3273"/>
    <w:rsid w:val="00CE509A"/>
    <w:rsid w:val="00CE5414"/>
    <w:rsid w:val="00CF241F"/>
    <w:rsid w:val="00CF7826"/>
    <w:rsid w:val="00D0157A"/>
    <w:rsid w:val="00D036D8"/>
    <w:rsid w:val="00D038ED"/>
    <w:rsid w:val="00D06D26"/>
    <w:rsid w:val="00D10B75"/>
    <w:rsid w:val="00D13351"/>
    <w:rsid w:val="00D15E25"/>
    <w:rsid w:val="00D20368"/>
    <w:rsid w:val="00D22361"/>
    <w:rsid w:val="00D22598"/>
    <w:rsid w:val="00D26924"/>
    <w:rsid w:val="00D35468"/>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609E"/>
    <w:rsid w:val="00D81A63"/>
    <w:rsid w:val="00D81D25"/>
    <w:rsid w:val="00D85C60"/>
    <w:rsid w:val="00D91F8B"/>
    <w:rsid w:val="00D94C40"/>
    <w:rsid w:val="00DA231B"/>
    <w:rsid w:val="00DA23A0"/>
    <w:rsid w:val="00DA7F66"/>
    <w:rsid w:val="00DB186F"/>
    <w:rsid w:val="00DB77B8"/>
    <w:rsid w:val="00DC39FC"/>
    <w:rsid w:val="00DC4385"/>
    <w:rsid w:val="00DC484F"/>
    <w:rsid w:val="00DC4C27"/>
    <w:rsid w:val="00DC51BC"/>
    <w:rsid w:val="00DC78A7"/>
    <w:rsid w:val="00DC793F"/>
    <w:rsid w:val="00DE3BDD"/>
    <w:rsid w:val="00DE4629"/>
    <w:rsid w:val="00DE58C9"/>
    <w:rsid w:val="00DE6EAA"/>
    <w:rsid w:val="00DF11FD"/>
    <w:rsid w:val="00DF5254"/>
    <w:rsid w:val="00E052F2"/>
    <w:rsid w:val="00E12426"/>
    <w:rsid w:val="00E14EB2"/>
    <w:rsid w:val="00E16408"/>
    <w:rsid w:val="00E20894"/>
    <w:rsid w:val="00E23B70"/>
    <w:rsid w:val="00E245AB"/>
    <w:rsid w:val="00E26239"/>
    <w:rsid w:val="00E2764C"/>
    <w:rsid w:val="00E27F2E"/>
    <w:rsid w:val="00E35539"/>
    <w:rsid w:val="00E413EA"/>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CD8"/>
    <w:rsid w:val="00EA29F8"/>
    <w:rsid w:val="00EA393B"/>
    <w:rsid w:val="00EA39A5"/>
    <w:rsid w:val="00EB2C4B"/>
    <w:rsid w:val="00EB7E00"/>
    <w:rsid w:val="00EC1A2C"/>
    <w:rsid w:val="00EC1FE1"/>
    <w:rsid w:val="00EC38A7"/>
    <w:rsid w:val="00ED042A"/>
    <w:rsid w:val="00ED0D4A"/>
    <w:rsid w:val="00EE1AA8"/>
    <w:rsid w:val="00EE2281"/>
    <w:rsid w:val="00EE6DCD"/>
    <w:rsid w:val="00EF26C3"/>
    <w:rsid w:val="00EF419E"/>
    <w:rsid w:val="00EF489F"/>
    <w:rsid w:val="00F00796"/>
    <w:rsid w:val="00F11213"/>
    <w:rsid w:val="00F11BAA"/>
    <w:rsid w:val="00F177C1"/>
    <w:rsid w:val="00F17EB6"/>
    <w:rsid w:val="00F21559"/>
    <w:rsid w:val="00F238F2"/>
    <w:rsid w:val="00F260AA"/>
    <w:rsid w:val="00F27B26"/>
    <w:rsid w:val="00F30B1C"/>
    <w:rsid w:val="00F31EDC"/>
    <w:rsid w:val="00F34D02"/>
    <w:rsid w:val="00F34E84"/>
    <w:rsid w:val="00F40BAD"/>
    <w:rsid w:val="00F462B3"/>
    <w:rsid w:val="00F50DC9"/>
    <w:rsid w:val="00F5184B"/>
    <w:rsid w:val="00F5491E"/>
    <w:rsid w:val="00F55081"/>
    <w:rsid w:val="00F55168"/>
    <w:rsid w:val="00F5664F"/>
    <w:rsid w:val="00F626C4"/>
    <w:rsid w:val="00F64D9E"/>
    <w:rsid w:val="00F666C4"/>
    <w:rsid w:val="00F7684C"/>
    <w:rsid w:val="00F76AFC"/>
    <w:rsid w:val="00F80CBE"/>
    <w:rsid w:val="00F85198"/>
    <w:rsid w:val="00F85237"/>
    <w:rsid w:val="00F939CB"/>
    <w:rsid w:val="00F9479C"/>
    <w:rsid w:val="00F965EE"/>
    <w:rsid w:val="00F97949"/>
    <w:rsid w:val="00FA1110"/>
    <w:rsid w:val="00FA1361"/>
    <w:rsid w:val="00FA34EC"/>
    <w:rsid w:val="00FA358D"/>
    <w:rsid w:val="00FA47C0"/>
    <w:rsid w:val="00FB4425"/>
    <w:rsid w:val="00FB5615"/>
    <w:rsid w:val="00FB5DD1"/>
    <w:rsid w:val="00FB5F87"/>
    <w:rsid w:val="00FC07B5"/>
    <w:rsid w:val="00FC2B5D"/>
    <w:rsid w:val="00FD00BB"/>
    <w:rsid w:val="00FD00E9"/>
    <w:rsid w:val="00FD03E3"/>
    <w:rsid w:val="00FD108E"/>
    <w:rsid w:val="00FD653F"/>
    <w:rsid w:val="00FE122A"/>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E2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de-competencia-en-las-compras-public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nquintero@yahoo.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de-competencia-en-las-compras-public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B6E9E5-B307-43DD-B1D7-A588860842CC}">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6510</Words>
  <Characters>35807</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2025-02-25T15:45:00Z</cp:lastPrinted>
  <dcterms:created xsi:type="dcterms:W3CDTF">2025-05-30T17:19:00Z</dcterms:created>
  <dcterms:modified xsi:type="dcterms:W3CDTF">2025-05-30T17:19:00Z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