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BE577" w14:textId="1E1F3E17" w:rsidR="000C0444" w:rsidRDefault="002411DE" w:rsidP="00D07F6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2F9DBCFE" w14:textId="77777777" w:rsidR="00D07F6D" w:rsidRPr="00D07F6D" w:rsidRDefault="00D07F6D" w:rsidP="00D07F6D">
      <w:pPr>
        <w:jc w:val="right"/>
        <w:rPr>
          <w:rFonts w:ascii="Arial" w:eastAsia="Calibri" w:hAnsi="Arial" w:cs="Arial"/>
          <w:b/>
          <w:color w:val="000000" w:themeColor="text1"/>
          <w:sz w:val="20"/>
          <w:szCs w:val="20"/>
          <w:lang w:val="es-ES_tradnl"/>
        </w:rPr>
      </w:pPr>
    </w:p>
    <w:p w14:paraId="53D08909" w14:textId="4F8C1E79" w:rsidR="00D07F6D" w:rsidRDefault="00D07F6D" w:rsidP="00D07F6D">
      <w:pPr>
        <w:jc w:val="both"/>
        <w:rPr>
          <w:rFonts w:ascii="Arial" w:eastAsiaTheme="minorHAnsi" w:hAnsi="Arial" w:cs="Arial"/>
          <w:b/>
          <w:bCs/>
          <w:color w:val="000000" w:themeColor="text1"/>
          <w:sz w:val="22"/>
          <w:szCs w:val="22"/>
          <w:lang w:val="es-MX" w:eastAsia="en-US"/>
        </w:rPr>
      </w:pPr>
      <w:r>
        <w:rPr>
          <w:rFonts w:ascii="Arial" w:eastAsiaTheme="minorHAnsi" w:hAnsi="Arial" w:cs="Arial"/>
          <w:b/>
          <w:bCs/>
          <w:color w:val="000000" w:themeColor="text1"/>
          <w:sz w:val="22"/>
          <w:szCs w:val="22"/>
          <w:lang w:val="es-MX" w:eastAsia="en-US"/>
        </w:rPr>
        <w:t xml:space="preserve">CONSTITUCIÓN DE GARANTÍAS – Obligación </w:t>
      </w:r>
    </w:p>
    <w:p w14:paraId="6730BFAF" w14:textId="54368DDD" w:rsidR="00D07F6D" w:rsidRDefault="00D07F6D" w:rsidP="00D07F6D">
      <w:pPr>
        <w:jc w:val="both"/>
        <w:rPr>
          <w:rFonts w:ascii="Arial" w:eastAsiaTheme="minorHAnsi" w:hAnsi="Arial" w:cs="Arial"/>
          <w:b/>
          <w:bCs/>
          <w:color w:val="000000" w:themeColor="text1"/>
          <w:sz w:val="22"/>
          <w:szCs w:val="22"/>
          <w:lang w:val="es-MX" w:eastAsia="en-US"/>
        </w:rPr>
      </w:pPr>
    </w:p>
    <w:p w14:paraId="5C25FD24" w14:textId="35010E3A" w:rsidR="00D07F6D" w:rsidRDefault="00C4176A" w:rsidP="00D07F6D">
      <w:pPr>
        <w:jc w:val="both"/>
        <w:rPr>
          <w:rFonts w:ascii="Arial" w:eastAsiaTheme="minorHAnsi" w:hAnsi="Arial" w:cs="Arial"/>
          <w:color w:val="000000" w:themeColor="text1"/>
          <w:sz w:val="22"/>
          <w:szCs w:val="22"/>
          <w:lang w:val="es-MX" w:eastAsia="en-US"/>
        </w:rPr>
      </w:pPr>
      <w:r w:rsidRPr="00C4176A">
        <w:rPr>
          <w:rFonts w:ascii="Arial" w:eastAsia="Calibri" w:hAnsi="Arial" w:cs="Arial"/>
          <w:color w:val="000000" w:themeColor="text1"/>
          <w:sz w:val="20"/>
          <w:szCs w:val="20"/>
          <w:lang w:val="es-ES_tradnl" w:eastAsia="en-US"/>
        </w:rPr>
        <w:t xml:space="preserve">Por regla general, </w:t>
      </w:r>
      <w:r w:rsidRPr="00C4176A">
        <w:rPr>
          <w:rFonts w:ascii="Arial" w:eastAsia="Calibri" w:hAnsi="Arial" w:cs="Arial"/>
          <w:color w:val="000000" w:themeColor="text1"/>
          <w:sz w:val="20"/>
          <w:szCs w:val="20"/>
          <w:lang w:val="es-ES" w:eastAsia="en-US"/>
        </w:rPr>
        <w:t>para seleccionar los contratistas y para ejecutar los contratos se requiere la constitución de garantías</w:t>
      </w:r>
      <w:r w:rsidRPr="00C4176A">
        <w:rPr>
          <w:rFonts w:ascii="Arial" w:eastAsia="Calibri" w:hAnsi="Arial" w:cs="Arial"/>
          <w:color w:val="000000" w:themeColor="text1"/>
          <w:sz w:val="20"/>
          <w:szCs w:val="20"/>
          <w:lang w:val="es-ES_tradnl" w:eastAsia="en-US"/>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r w:rsidR="00D07F6D">
        <w:rPr>
          <w:rFonts w:ascii="Arial" w:eastAsia="Calibri" w:hAnsi="Arial" w:cs="Arial"/>
          <w:color w:val="000000" w:themeColor="text1"/>
          <w:sz w:val="20"/>
          <w:szCs w:val="20"/>
          <w:lang w:val="es-MX" w:eastAsia="en-US"/>
        </w:rPr>
        <w:t>.</w:t>
      </w:r>
      <w:r w:rsidR="00D07F6D" w:rsidRPr="00D07F6D">
        <w:rPr>
          <w:rFonts w:ascii="Arial" w:eastAsiaTheme="minorHAnsi" w:hAnsi="Arial" w:cs="Arial"/>
          <w:color w:val="000000" w:themeColor="text1"/>
          <w:sz w:val="22"/>
          <w:szCs w:val="22"/>
          <w:lang w:val="es-MX" w:eastAsia="en-US"/>
        </w:rPr>
        <w:t xml:space="preserve"> </w:t>
      </w:r>
      <w:r w:rsidR="00D07F6D">
        <w:rPr>
          <w:rFonts w:ascii="Arial" w:eastAsiaTheme="minorHAnsi" w:hAnsi="Arial" w:cs="Arial"/>
          <w:color w:val="000000" w:themeColor="text1"/>
          <w:sz w:val="22"/>
          <w:szCs w:val="22"/>
          <w:lang w:val="es-MX" w:eastAsia="en-US"/>
        </w:rPr>
        <w:t>[….]</w:t>
      </w:r>
    </w:p>
    <w:p w14:paraId="50534084" w14:textId="77777777" w:rsidR="00D07F6D" w:rsidRDefault="00D07F6D" w:rsidP="00D07F6D">
      <w:pPr>
        <w:jc w:val="both"/>
        <w:rPr>
          <w:rFonts w:ascii="Arial" w:eastAsiaTheme="minorHAnsi" w:hAnsi="Arial" w:cs="Arial"/>
          <w:color w:val="000000" w:themeColor="text1"/>
          <w:sz w:val="22"/>
          <w:szCs w:val="22"/>
          <w:lang w:val="es-MX" w:eastAsia="en-US"/>
        </w:rPr>
      </w:pPr>
    </w:p>
    <w:p w14:paraId="49760E9F" w14:textId="67A8251E" w:rsidR="00D07F6D" w:rsidRPr="00D07F6D" w:rsidRDefault="00C4176A" w:rsidP="00D07F6D">
      <w:pPr>
        <w:jc w:val="both"/>
        <w:rPr>
          <w:rFonts w:ascii="Arial" w:eastAsia="Calibri" w:hAnsi="Arial" w:cs="Arial"/>
          <w:color w:val="000000" w:themeColor="text1"/>
          <w:sz w:val="20"/>
          <w:szCs w:val="20"/>
          <w:lang w:val="es-MX" w:eastAsia="en-US"/>
        </w:rPr>
      </w:pPr>
      <w:r w:rsidRPr="00C4176A">
        <w:rPr>
          <w:rFonts w:ascii="Arial" w:eastAsia="Calibri" w:hAnsi="Arial" w:cs="Arial"/>
          <w:color w:val="000000" w:themeColor="text1"/>
          <w:sz w:val="20"/>
          <w:szCs w:val="20"/>
          <w:lang w:val="es-MX" w:eastAsia="en-US"/>
        </w:rPr>
        <w:t xml:space="preserve">Las condiciones en las que debe cumplirse esta obligación fueron reglamentadas por el Decreto 1082 de 2015, el cual entre sus artículos 2.2.1.2.3.1.1. y 2.2.1.2.3.1.19 se refiere a asuntos como las clases de garantías permitidas, la indivisibilidad de </w:t>
      </w:r>
      <w:proofErr w:type="gramStart"/>
      <w:r w:rsidRPr="00C4176A">
        <w:rPr>
          <w:rFonts w:ascii="Arial" w:eastAsia="Calibri" w:hAnsi="Arial" w:cs="Arial"/>
          <w:color w:val="000000" w:themeColor="text1"/>
          <w:sz w:val="20"/>
          <w:szCs w:val="20"/>
          <w:lang w:val="es-MX" w:eastAsia="en-US"/>
        </w:rPr>
        <w:t>las mismas</w:t>
      </w:r>
      <w:proofErr w:type="gramEnd"/>
      <w:r w:rsidRPr="00C4176A">
        <w:rPr>
          <w:rFonts w:ascii="Arial" w:eastAsia="Calibri" w:hAnsi="Arial" w:cs="Arial"/>
          <w:color w:val="000000" w:themeColor="text1"/>
          <w:sz w:val="20"/>
          <w:szCs w:val="20"/>
          <w:lang w:val="es-MX" w:eastAsia="en-US"/>
        </w:rPr>
        <w:t>,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w:t>
      </w:r>
      <w:r>
        <w:rPr>
          <w:rFonts w:ascii="Arial" w:eastAsia="Calibri" w:hAnsi="Arial" w:cs="Arial"/>
          <w:color w:val="000000" w:themeColor="text1"/>
          <w:sz w:val="20"/>
          <w:szCs w:val="20"/>
          <w:lang w:val="es-MX" w:eastAsia="en-US"/>
        </w:rPr>
        <w:t xml:space="preserve">. </w:t>
      </w:r>
    </w:p>
    <w:p w14:paraId="07E5423E" w14:textId="77777777" w:rsidR="00D07F6D" w:rsidRDefault="00D07F6D" w:rsidP="00D07F6D">
      <w:pPr>
        <w:jc w:val="both"/>
        <w:rPr>
          <w:rFonts w:ascii="Arial" w:eastAsiaTheme="minorHAnsi" w:hAnsi="Arial" w:cs="Arial"/>
          <w:b/>
          <w:bCs/>
          <w:color w:val="000000" w:themeColor="text1"/>
          <w:sz w:val="22"/>
          <w:szCs w:val="22"/>
          <w:lang w:val="es-MX" w:eastAsia="en-US"/>
        </w:rPr>
      </w:pPr>
    </w:p>
    <w:p w14:paraId="059817A9" w14:textId="686FF3D1" w:rsidR="001D3786" w:rsidRDefault="001D3786" w:rsidP="00D07F6D">
      <w:pPr>
        <w:jc w:val="both"/>
        <w:rPr>
          <w:rFonts w:ascii="Arial" w:eastAsia="Calibri" w:hAnsi="Arial" w:cs="Arial"/>
          <w:b/>
          <w:bCs/>
          <w:color w:val="000000" w:themeColor="text1"/>
          <w:sz w:val="22"/>
          <w:szCs w:val="22"/>
          <w:lang w:val="es-MX" w:eastAsia="en-US"/>
        </w:rPr>
      </w:pPr>
      <w:r w:rsidRPr="001D3786">
        <w:rPr>
          <w:rFonts w:ascii="Arial" w:eastAsiaTheme="minorHAnsi" w:hAnsi="Arial" w:cs="Arial"/>
          <w:b/>
          <w:bCs/>
          <w:color w:val="000000" w:themeColor="text1"/>
          <w:sz w:val="22"/>
          <w:szCs w:val="22"/>
          <w:lang w:val="es-MX" w:eastAsia="en-US"/>
        </w:rPr>
        <w:t>EJECUCIÓN DEL CONTRATO</w:t>
      </w:r>
      <w:r w:rsidR="00D07F6D">
        <w:rPr>
          <w:rFonts w:ascii="Arial" w:eastAsiaTheme="minorHAnsi" w:hAnsi="Arial" w:cs="Arial"/>
          <w:b/>
          <w:bCs/>
          <w:color w:val="000000" w:themeColor="text1"/>
          <w:sz w:val="22"/>
          <w:szCs w:val="22"/>
          <w:lang w:val="es-MX" w:eastAsia="en-US"/>
        </w:rPr>
        <w:t xml:space="preserve"> ESTATAL</w:t>
      </w:r>
      <w:r w:rsidRPr="001D3786">
        <w:rPr>
          <w:rFonts w:ascii="Arial" w:eastAsiaTheme="minorHAnsi" w:hAnsi="Arial" w:cs="Arial"/>
          <w:b/>
          <w:bCs/>
          <w:color w:val="000000" w:themeColor="text1"/>
          <w:sz w:val="22"/>
          <w:szCs w:val="22"/>
          <w:lang w:val="es-MX" w:eastAsia="en-US"/>
        </w:rPr>
        <w:t xml:space="preserve"> </w:t>
      </w:r>
      <w:r w:rsidRPr="001D3786">
        <w:rPr>
          <w:rFonts w:ascii="Arial" w:eastAsia="Calibri" w:hAnsi="Arial" w:cs="Arial"/>
          <w:b/>
          <w:bCs/>
          <w:color w:val="000000" w:themeColor="text1"/>
          <w:sz w:val="22"/>
          <w:szCs w:val="22"/>
          <w:lang w:val="es-MX" w:eastAsia="en-US"/>
        </w:rPr>
        <w:t xml:space="preserve">– Requisitos </w:t>
      </w:r>
      <w:r w:rsidR="00D07F6D">
        <w:rPr>
          <w:rFonts w:ascii="Arial" w:eastAsia="Calibri" w:hAnsi="Arial" w:cs="Arial"/>
          <w:b/>
          <w:bCs/>
          <w:color w:val="000000" w:themeColor="text1"/>
          <w:sz w:val="22"/>
          <w:szCs w:val="22"/>
          <w:lang w:val="es-MX" w:eastAsia="en-US"/>
        </w:rPr>
        <w:t>– Artículo 41 de la Ley 80 de 1993</w:t>
      </w:r>
    </w:p>
    <w:p w14:paraId="0D0CFDCA" w14:textId="4670F7E3" w:rsidR="001D3786" w:rsidRDefault="001D3786" w:rsidP="00D07F6D">
      <w:pPr>
        <w:jc w:val="both"/>
        <w:rPr>
          <w:rFonts w:ascii="Arial" w:eastAsia="Calibri" w:hAnsi="Arial" w:cs="Arial"/>
          <w:b/>
          <w:bCs/>
          <w:color w:val="000000" w:themeColor="text1"/>
          <w:sz w:val="22"/>
          <w:szCs w:val="22"/>
          <w:lang w:val="es-MX" w:eastAsia="en-US"/>
        </w:rPr>
      </w:pPr>
    </w:p>
    <w:p w14:paraId="68A95021" w14:textId="4513EBA8" w:rsidR="00C4176A" w:rsidRDefault="001D3786" w:rsidP="00C4176A">
      <w:pPr>
        <w:jc w:val="both"/>
        <w:rPr>
          <w:rFonts w:ascii="Arial" w:hAnsi="Arial" w:cs="Arial"/>
          <w:color w:val="000000" w:themeColor="text1"/>
          <w:sz w:val="20"/>
          <w:szCs w:val="20"/>
          <w:lang w:eastAsia="es-CO"/>
        </w:rPr>
      </w:pPr>
      <w:r>
        <w:rPr>
          <w:rFonts w:ascii="Arial" w:hAnsi="Arial" w:cs="Arial"/>
          <w:color w:val="000000" w:themeColor="text1"/>
          <w:sz w:val="20"/>
          <w:szCs w:val="20"/>
          <w:lang w:eastAsia="es-CO"/>
        </w:rPr>
        <w:t xml:space="preserve">[…] </w:t>
      </w:r>
      <w:r w:rsidR="00C4176A" w:rsidRPr="00C4176A">
        <w:rPr>
          <w:rFonts w:ascii="Arial" w:hAnsi="Arial" w:cs="Arial"/>
          <w:color w:val="000000" w:themeColor="text1"/>
          <w:sz w:val="20"/>
          <w:szCs w:val="20"/>
          <w:lang w:eastAsia="es-CO"/>
        </w:rPr>
        <w:t xml:space="preserve">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 </w:t>
      </w:r>
    </w:p>
    <w:p w14:paraId="1F079E9F" w14:textId="77777777" w:rsidR="00C4176A" w:rsidRPr="00C4176A" w:rsidRDefault="00C4176A" w:rsidP="00C4176A">
      <w:pPr>
        <w:jc w:val="both"/>
        <w:rPr>
          <w:rFonts w:ascii="Arial" w:hAnsi="Arial" w:cs="Arial"/>
          <w:color w:val="000000" w:themeColor="text1"/>
          <w:sz w:val="20"/>
          <w:szCs w:val="20"/>
          <w:lang w:eastAsia="es-CO"/>
        </w:rPr>
      </w:pPr>
    </w:p>
    <w:p w14:paraId="5EA3A604" w14:textId="025D019F" w:rsidR="001D3786" w:rsidRPr="001D3786" w:rsidRDefault="00C4176A" w:rsidP="00C4176A">
      <w:pPr>
        <w:jc w:val="both"/>
        <w:rPr>
          <w:rFonts w:ascii="Arial" w:hAnsi="Arial" w:cs="Arial"/>
          <w:color w:val="000000" w:themeColor="text1"/>
          <w:sz w:val="20"/>
          <w:szCs w:val="20"/>
          <w:lang w:val="es-ES_tradnl" w:eastAsia="es-CO"/>
        </w:rPr>
      </w:pPr>
      <w:r w:rsidRPr="00C4176A">
        <w:rPr>
          <w:rFonts w:ascii="Arial" w:hAnsi="Arial" w:cs="Arial"/>
          <w:color w:val="000000" w:themeColor="text1"/>
          <w:sz w:val="20"/>
          <w:szCs w:val="20"/>
          <w:lang w:eastAsia="es-CO"/>
        </w:rPr>
        <w:t>En efecto, el referido artículo establece en su inciso primero que los contratos estatales se perfeccionan «cuando se logre acuerdo sobre el objeto y la contraprestación y éste se eleve a escrito». Por su parte el inciso segundo establece que «[p]ara la ejecución se requerirá de la aprobación de la garantía», lo que se traduce en que, sin perjuicio del perfeccionamiento del contrato, no podrá ejecutarse sin que se hayan aprobado las garantías.</w:t>
      </w:r>
    </w:p>
    <w:p w14:paraId="36D06A90" w14:textId="77777777" w:rsidR="001D3786" w:rsidRPr="001D3786" w:rsidRDefault="001D3786" w:rsidP="00D07F6D">
      <w:pPr>
        <w:jc w:val="both"/>
        <w:rPr>
          <w:rFonts w:ascii="Arial" w:eastAsiaTheme="minorHAnsi" w:hAnsi="Arial" w:cs="Arial"/>
          <w:color w:val="000000" w:themeColor="text1"/>
          <w:sz w:val="20"/>
          <w:szCs w:val="20"/>
          <w:lang w:val="es-MX" w:eastAsia="en-US"/>
        </w:rPr>
      </w:pPr>
    </w:p>
    <w:p w14:paraId="6FF3E411" w14:textId="5C9C7DF4" w:rsidR="00B95F7F" w:rsidRPr="007F6C0E" w:rsidRDefault="00D07F6D" w:rsidP="00D07F6D">
      <w:pPr>
        <w:tabs>
          <w:tab w:val="left" w:pos="-142"/>
        </w:tabs>
        <w:autoSpaceDE w:val="0"/>
        <w:autoSpaceDN w:val="0"/>
        <w:adjustRightInd w:val="0"/>
        <w:jc w:val="both"/>
        <w:rPr>
          <w:rFonts w:ascii="Arial" w:eastAsia="Calibri" w:hAnsi="Arial" w:cs="Arial"/>
          <w:b/>
          <w:bCs/>
          <w:sz w:val="22"/>
          <w:szCs w:val="22"/>
          <w:lang w:val="es-ES_tradnl" w:eastAsia="es-ES"/>
        </w:rPr>
      </w:pPr>
      <w:r>
        <w:rPr>
          <w:rFonts w:ascii="Arial" w:eastAsia="Calibri" w:hAnsi="Arial" w:cs="Arial"/>
          <w:b/>
          <w:bCs/>
          <w:sz w:val="22"/>
          <w:szCs w:val="22"/>
          <w:lang w:val="es-ES_tradnl" w:eastAsia="es-ES"/>
        </w:rPr>
        <w:t>APROBACIÓN DE GARANTÍAS</w:t>
      </w:r>
      <w:bookmarkStart w:id="3" w:name="_Hlk39666823"/>
      <w:r>
        <w:rPr>
          <w:rFonts w:ascii="Arial" w:eastAsia="Calibri" w:hAnsi="Arial" w:cs="Arial"/>
          <w:b/>
          <w:bCs/>
          <w:sz w:val="22"/>
          <w:szCs w:val="22"/>
          <w:lang w:val="es-ES_tradnl" w:eastAsia="es-ES"/>
        </w:rPr>
        <w:t xml:space="preserve"> </w:t>
      </w:r>
      <w:r w:rsidR="00B95F7F" w:rsidRPr="007F6C0E">
        <w:rPr>
          <w:rFonts w:ascii="Arial" w:eastAsia="Calibri" w:hAnsi="Arial" w:cs="Arial"/>
          <w:b/>
          <w:sz w:val="22"/>
          <w:lang w:val="x-none" w:eastAsia="es-ES"/>
        </w:rPr>
        <w:t>–</w:t>
      </w:r>
      <w:bookmarkEnd w:id="3"/>
      <w:r w:rsidR="00B95F7F" w:rsidRPr="007F6C0E">
        <w:rPr>
          <w:rFonts w:ascii="Arial" w:eastAsia="Calibri" w:hAnsi="Arial" w:cs="Arial"/>
          <w:b/>
          <w:bCs/>
          <w:sz w:val="22"/>
          <w:szCs w:val="22"/>
          <w:lang w:val="es-ES_tradnl" w:eastAsia="es-ES"/>
        </w:rPr>
        <w:t xml:space="preserve"> </w:t>
      </w:r>
      <w:r>
        <w:rPr>
          <w:rFonts w:ascii="Arial" w:eastAsia="Calibri" w:hAnsi="Arial" w:cs="Arial"/>
          <w:b/>
          <w:bCs/>
          <w:sz w:val="22"/>
          <w:szCs w:val="22"/>
          <w:lang w:val="es-ES_tradnl" w:eastAsia="es-ES"/>
        </w:rPr>
        <w:t xml:space="preserve">Verificación de la Entidad </w:t>
      </w:r>
    </w:p>
    <w:p w14:paraId="7A81623F" w14:textId="77777777" w:rsidR="00B95F7F" w:rsidRPr="007F6C0E" w:rsidRDefault="00B95F7F" w:rsidP="00D07F6D">
      <w:pPr>
        <w:jc w:val="both"/>
        <w:rPr>
          <w:rFonts w:ascii="Arial" w:eastAsia="Calibri" w:hAnsi="Arial" w:cs="Arial"/>
          <w:b/>
          <w:bCs/>
          <w:sz w:val="20"/>
          <w:szCs w:val="20"/>
          <w:lang w:val="es-ES_tradnl" w:eastAsia="en-US"/>
        </w:rPr>
      </w:pPr>
    </w:p>
    <w:p w14:paraId="30079066" w14:textId="058DD085" w:rsidR="00D07F6D" w:rsidRPr="00C4176A" w:rsidRDefault="00D07F6D" w:rsidP="00C4176A">
      <w:pPr>
        <w:jc w:val="both"/>
        <w:rPr>
          <w:rFonts w:ascii="Arial" w:eastAsia="Calibri" w:hAnsi="Arial" w:cs="Arial"/>
          <w:sz w:val="20"/>
          <w:szCs w:val="20"/>
          <w:lang w:val="es-ES_tradnl" w:eastAsia="en-US"/>
        </w:rPr>
      </w:pPr>
      <w:r>
        <w:rPr>
          <w:rFonts w:ascii="Arial" w:eastAsia="Calibri" w:hAnsi="Arial" w:cs="Arial"/>
          <w:sz w:val="20"/>
          <w:szCs w:val="20"/>
          <w:lang w:val="es-ES_tradnl" w:eastAsia="en-US"/>
        </w:rPr>
        <w:t>[…]</w:t>
      </w:r>
      <w:r w:rsidR="00C4176A" w:rsidRPr="00C4176A">
        <w:rPr>
          <w:rFonts w:ascii="Arial" w:eastAsia="Calibri" w:hAnsi="Arial" w:cs="Arial"/>
          <w:sz w:val="20"/>
          <w:szCs w:val="20"/>
          <w:lang w:eastAsia="en-US"/>
        </w:rPr>
        <w:t xml:space="preserve">, la obligación de constituir las garantías contractuales y su aprobación tiene como propósito cumplir con el requisito de ejecución del contrato, pues estas se erigen como un </w:t>
      </w:r>
      <w:r w:rsidR="00C4176A" w:rsidRPr="00C4176A">
        <w:rPr>
          <w:rFonts w:ascii="Arial" w:eastAsia="Calibri" w:hAnsi="Arial" w:cs="Arial"/>
          <w:sz w:val="20"/>
          <w:szCs w:val="20"/>
          <w:lang w:val="es-MX" w:eastAsia="en-US"/>
        </w:rPr>
        <w:t>«</w:t>
      </w:r>
      <w:r w:rsidR="00C4176A" w:rsidRPr="00C4176A">
        <w:rPr>
          <w:rFonts w:ascii="Arial" w:eastAsia="Calibri" w:hAnsi="Arial" w:cs="Arial"/>
          <w:sz w:val="20"/>
          <w:szCs w:val="20"/>
          <w:lang w:eastAsia="en-US"/>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00C4176A">
        <w:rPr>
          <w:rFonts w:ascii="Arial" w:eastAsia="Calibri" w:hAnsi="Arial" w:cs="Arial"/>
          <w:sz w:val="20"/>
          <w:szCs w:val="20"/>
          <w:lang w:val="es-ES_tradnl" w:eastAsia="en-US"/>
        </w:rPr>
        <w:t xml:space="preserve"> </w:t>
      </w:r>
      <w:r w:rsidR="00C4176A" w:rsidRPr="00C4176A">
        <w:rPr>
          <w:rFonts w:ascii="Arial" w:eastAsia="Calibri" w:hAnsi="Arial" w:cs="Arial"/>
          <w:sz w:val="20"/>
          <w:szCs w:val="20"/>
          <w:lang w:val="es-MX" w:eastAsia="en-US"/>
        </w:rPr>
        <w:t>En este sentido, previo a l</w:t>
      </w:r>
      <w:r w:rsidR="00C4176A" w:rsidRPr="00C4176A">
        <w:rPr>
          <w:rFonts w:ascii="Arial" w:eastAsia="Calibri" w:hAnsi="Arial" w:cs="Arial"/>
          <w:sz w:val="20"/>
          <w:szCs w:val="20"/>
          <w:lang w:val="es-ES_tradnl" w:eastAsia="en-US"/>
        </w:rPr>
        <w:t>a aprobación de las garantías pactadas en el contrato, la entidad debe realizar la respectiva verificación de los amparos y suficiencia de las garantías exigidas, con la finalidad de</w:t>
      </w:r>
      <w:r w:rsidR="00C4176A" w:rsidRPr="00C4176A">
        <w:rPr>
          <w:rFonts w:ascii="Arial" w:eastAsia="Calibri" w:hAnsi="Arial" w:cs="Arial"/>
          <w:sz w:val="20"/>
          <w:szCs w:val="20"/>
          <w:lang w:eastAsia="en-US"/>
        </w:rPr>
        <w:t xml:space="preserve"> asegurar que estas </w:t>
      </w:r>
      <w:r w:rsidR="00C4176A" w:rsidRPr="00C4176A">
        <w:rPr>
          <w:rFonts w:ascii="Arial" w:eastAsia="Calibri" w:hAnsi="Arial" w:cs="Arial"/>
          <w:sz w:val="20"/>
          <w:szCs w:val="20"/>
          <w:lang w:val="es-ES" w:eastAsia="en-US"/>
        </w:rPr>
        <w:t xml:space="preserve">protejan el patrimonio del Estado de los perjuicios que eventualmente se derivarían de la materialización de los riesgos amparados. </w:t>
      </w:r>
      <w:r w:rsidR="00C4176A" w:rsidRPr="00C4176A">
        <w:rPr>
          <w:rFonts w:ascii="Arial" w:eastAsia="Calibri" w:hAnsi="Arial" w:cs="Arial"/>
          <w:sz w:val="20"/>
          <w:szCs w:val="20"/>
          <w:lang w:val="es-ES_tradnl" w:eastAsia="en-US"/>
        </w:rPr>
        <w:t xml:space="preserve">Esta labor de verificación por parte de la entidad implica validar el origen de las garantías y revisar </w:t>
      </w:r>
      <w:r w:rsidR="00C4176A" w:rsidRPr="00C4176A">
        <w:rPr>
          <w:rFonts w:ascii="Arial" w:eastAsia="Calibri" w:hAnsi="Arial" w:cs="Arial"/>
          <w:sz w:val="20"/>
          <w:szCs w:val="20"/>
          <w:lang w:val="es-MX" w:eastAsia="en-US"/>
        </w:rPr>
        <w:t>«</w:t>
      </w:r>
      <w:r w:rsidR="00C4176A" w:rsidRPr="00C4176A">
        <w:rPr>
          <w:rFonts w:ascii="Arial" w:eastAsia="Calibri" w:hAnsi="Arial" w:cs="Arial"/>
          <w:sz w:val="20"/>
          <w:szCs w:val="20"/>
          <w:lang w:eastAsia="en-US"/>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D07F6D">
        <w:rPr>
          <w:rFonts w:ascii="Arial" w:eastAsia="Calibri" w:hAnsi="Arial" w:cs="Arial"/>
          <w:sz w:val="20"/>
          <w:szCs w:val="20"/>
          <w:lang w:val="es-ES" w:eastAsia="en-US"/>
        </w:rPr>
        <w:t>».</w:t>
      </w:r>
    </w:p>
    <w:p w14:paraId="1BD02D61" w14:textId="77777777" w:rsidR="00B95F7F" w:rsidRPr="007F6C0E" w:rsidRDefault="00B95F7F" w:rsidP="00D07F6D">
      <w:pPr>
        <w:jc w:val="both"/>
        <w:rPr>
          <w:rFonts w:ascii="Arial" w:eastAsia="Calibri" w:hAnsi="Arial" w:cs="Arial"/>
          <w:sz w:val="20"/>
          <w:szCs w:val="20"/>
          <w:lang w:val="es-ES_tradnl" w:eastAsia="en-US"/>
        </w:rPr>
      </w:pPr>
    </w:p>
    <w:p w14:paraId="0FEFC49F" w14:textId="434F7F25" w:rsidR="00115D13" w:rsidRPr="001C64F9" w:rsidRDefault="00D07F6D" w:rsidP="00D07F6D">
      <w:pPr>
        <w:jc w:val="both"/>
        <w:rPr>
          <w:rFonts w:ascii="Arial" w:eastAsia="Calibri" w:hAnsi="Arial" w:cs="Arial"/>
          <w:b/>
          <w:sz w:val="22"/>
          <w:lang w:val="es-ES_tradnl"/>
        </w:rPr>
      </w:pPr>
      <w:r>
        <w:rPr>
          <w:rFonts w:ascii="Arial" w:eastAsia="Calibri" w:hAnsi="Arial" w:cs="Arial"/>
          <w:b/>
          <w:sz w:val="22"/>
        </w:rPr>
        <w:t>GARANT</w:t>
      </w:r>
      <w:r w:rsidR="00F76866">
        <w:rPr>
          <w:rFonts w:ascii="Arial" w:eastAsia="Calibri" w:hAnsi="Arial" w:cs="Arial"/>
          <w:b/>
          <w:sz w:val="22"/>
        </w:rPr>
        <w:t>Í</w:t>
      </w:r>
      <w:r>
        <w:rPr>
          <w:rFonts w:ascii="Arial" w:eastAsia="Calibri" w:hAnsi="Arial" w:cs="Arial"/>
          <w:b/>
          <w:sz w:val="22"/>
        </w:rPr>
        <w:t xml:space="preserve">AS CONTRACTUALES </w:t>
      </w:r>
      <w:r w:rsidR="00B95F7F" w:rsidRPr="00654FD4">
        <w:rPr>
          <w:rFonts w:ascii="Arial" w:eastAsia="Calibri" w:hAnsi="Arial" w:cs="Arial"/>
          <w:b/>
          <w:sz w:val="22"/>
        </w:rPr>
        <w:t>–</w:t>
      </w:r>
      <w:r>
        <w:rPr>
          <w:rFonts w:ascii="Arial" w:eastAsia="Calibri" w:hAnsi="Arial" w:cs="Arial"/>
          <w:b/>
          <w:sz w:val="22"/>
        </w:rPr>
        <w:t xml:space="preserve"> Aprobación </w:t>
      </w:r>
      <w:r w:rsidR="00B95F7F" w:rsidRPr="00654FD4">
        <w:rPr>
          <w:rFonts w:ascii="Arial" w:eastAsia="Calibri" w:hAnsi="Arial" w:cs="Arial"/>
          <w:b/>
          <w:sz w:val="22"/>
        </w:rPr>
        <w:t xml:space="preserve">– </w:t>
      </w:r>
      <w:r>
        <w:rPr>
          <w:rFonts w:ascii="Arial" w:eastAsia="Calibri" w:hAnsi="Arial" w:cs="Arial"/>
          <w:b/>
          <w:sz w:val="22"/>
        </w:rPr>
        <w:t xml:space="preserve">Notificación </w:t>
      </w:r>
      <w:r w:rsidR="00567C02">
        <w:rPr>
          <w:rFonts w:ascii="Arial" w:eastAsia="Calibri" w:hAnsi="Arial" w:cs="Arial"/>
          <w:b/>
          <w:sz w:val="22"/>
        </w:rPr>
        <w:t xml:space="preserve"> </w:t>
      </w:r>
    </w:p>
    <w:p w14:paraId="7C56C221" w14:textId="77777777" w:rsidR="00115D13" w:rsidRDefault="00115D13" w:rsidP="00D07F6D">
      <w:pPr>
        <w:jc w:val="both"/>
        <w:rPr>
          <w:rFonts w:ascii="Arial" w:eastAsia="Calibri" w:hAnsi="Arial" w:cs="Arial"/>
          <w:b/>
          <w:sz w:val="22"/>
          <w:lang w:val="es-ES_tradnl"/>
        </w:rPr>
      </w:pPr>
    </w:p>
    <w:p w14:paraId="4FD52C49" w14:textId="77777777" w:rsidR="00C4176A" w:rsidRDefault="00D07F6D" w:rsidP="00D07F6D">
      <w:pPr>
        <w:jc w:val="both"/>
        <w:rPr>
          <w:rFonts w:ascii="Arial" w:eastAsia="Calibri" w:hAnsi="Arial" w:cs="Arial"/>
          <w:bCs/>
          <w:sz w:val="20"/>
          <w:szCs w:val="20"/>
          <w:lang w:val="es-ES_tradnl"/>
        </w:rPr>
      </w:pPr>
      <w:r>
        <w:rPr>
          <w:rFonts w:ascii="Arial" w:eastAsia="Calibri" w:hAnsi="Arial" w:cs="Arial"/>
          <w:sz w:val="20"/>
          <w:szCs w:val="20"/>
        </w:rPr>
        <w:t xml:space="preserve">[…] </w:t>
      </w:r>
      <w:r w:rsidR="00C4176A" w:rsidRPr="00C4176A">
        <w:rPr>
          <w:rFonts w:ascii="Arial" w:eastAsia="Calibri" w:hAnsi="Arial" w:cs="Arial"/>
          <w:sz w:val="20"/>
          <w:szCs w:val="20"/>
        </w:rPr>
        <w:t xml:space="preserve">revisadas las leyes 80 de 1993 y 1150 de 2007, al igual que el Decreto 1082 de 2015 y demás normas integrantes del Estatuto General de Contratación de la Administración Pública, no se advierte </w:t>
      </w:r>
      <w:r w:rsidR="00C4176A" w:rsidRPr="00C4176A">
        <w:rPr>
          <w:rFonts w:ascii="Arial" w:eastAsia="Calibri" w:hAnsi="Arial" w:cs="Arial"/>
          <w:bCs/>
          <w:sz w:val="20"/>
          <w:szCs w:val="20"/>
          <w:lang w:val="es-ES_tradnl"/>
        </w:rPr>
        <w:t xml:space="preserve">la obligación de comunicar o notificar la aprobación de las garantías a la compañía aseguradora. Esto no implica de ninguna manera que las garantías no produzcan sus efectos jurídicos de asegurar el contrato, ni afecta la validez o eficacia de </w:t>
      </w:r>
      <w:proofErr w:type="gramStart"/>
      <w:r w:rsidR="00C4176A" w:rsidRPr="00C4176A">
        <w:rPr>
          <w:rFonts w:ascii="Arial" w:eastAsia="Calibri" w:hAnsi="Arial" w:cs="Arial"/>
          <w:bCs/>
          <w:sz w:val="20"/>
          <w:szCs w:val="20"/>
          <w:lang w:val="es-ES_tradnl"/>
        </w:rPr>
        <w:t>las mismas</w:t>
      </w:r>
      <w:proofErr w:type="gramEnd"/>
      <w:r w:rsidR="00C4176A" w:rsidRPr="00C4176A">
        <w:rPr>
          <w:rFonts w:ascii="Arial" w:eastAsia="Calibri" w:hAnsi="Arial" w:cs="Arial"/>
          <w:bCs/>
          <w:sz w:val="20"/>
          <w:szCs w:val="20"/>
          <w:lang w:val="es-ES_tradnl"/>
        </w:rPr>
        <w:t>, puesto que la comunicación de dicha aprobación no es un requisito exigido en materia de contratación estatal para cubrir los riesgos amparados por el contrato. En armonía con lo anterior, el artículo 1036 del Código de Comercio, señala que el contrato de seguro es un contrato «consensual, bilateral, oneroso, aleatorio y de ejecución sucesiva», por lo que se perfecciona con el acuerdo entre las partes. En tal sentido, el contrato de seguros existe y es válido desde el momento de su perfeccionamiento, sin necesidad de ningún otro acto adicional, siendo la póliza la prueba de la celebración de este contrato</w:t>
      </w:r>
    </w:p>
    <w:p w14:paraId="1DA348A8" w14:textId="77777777" w:rsidR="00D07F6D" w:rsidRDefault="00D07F6D" w:rsidP="00D07F6D">
      <w:pPr>
        <w:jc w:val="both"/>
        <w:rPr>
          <w:rFonts w:ascii="Arial" w:eastAsia="Calibri" w:hAnsi="Arial" w:cs="Arial"/>
          <w:bCs/>
          <w:sz w:val="20"/>
          <w:szCs w:val="20"/>
          <w:lang w:val="es-ES_tradnl"/>
        </w:rPr>
      </w:pPr>
    </w:p>
    <w:p w14:paraId="11FBE5D8" w14:textId="7636D02A" w:rsidR="00D07F6D" w:rsidRPr="00D07F6D" w:rsidRDefault="00D07F6D" w:rsidP="00D07F6D">
      <w:pPr>
        <w:tabs>
          <w:tab w:val="left" w:pos="4820"/>
        </w:tabs>
        <w:jc w:val="both"/>
        <w:rPr>
          <w:rFonts w:ascii="Arial" w:eastAsia="Calibri" w:hAnsi="Arial" w:cs="Arial"/>
          <w:b/>
          <w:sz w:val="22"/>
          <w:szCs w:val="22"/>
          <w:lang w:val="es-ES" w:eastAsia="en-US"/>
        </w:rPr>
      </w:pPr>
      <w:r w:rsidRPr="00D07F6D">
        <w:rPr>
          <w:rFonts w:ascii="Arial" w:eastAsia="Calibri" w:hAnsi="Arial" w:cs="Arial"/>
          <w:b/>
          <w:sz w:val="22"/>
          <w:szCs w:val="22"/>
          <w:lang w:val="es-ES" w:eastAsia="en-US"/>
        </w:rPr>
        <w:t>GARANTÍA DE SERIEDAD – Finalidad</w:t>
      </w:r>
    </w:p>
    <w:p w14:paraId="18195CD6" w14:textId="200B454D" w:rsidR="00D07F6D" w:rsidRDefault="00D07F6D" w:rsidP="00D07F6D">
      <w:pPr>
        <w:jc w:val="both"/>
        <w:rPr>
          <w:rFonts w:ascii="Arial" w:eastAsia="Calibri" w:hAnsi="Arial" w:cs="Arial"/>
          <w:b/>
          <w:sz w:val="22"/>
          <w:szCs w:val="22"/>
          <w:lang w:val="es-MX" w:eastAsia="en-US"/>
        </w:rPr>
      </w:pPr>
    </w:p>
    <w:p w14:paraId="7D61A476" w14:textId="77777777" w:rsidR="00C4176A" w:rsidRDefault="00C4176A" w:rsidP="00D07F6D">
      <w:pPr>
        <w:jc w:val="both"/>
        <w:rPr>
          <w:rFonts w:ascii="Arial" w:eastAsia="Calibri" w:hAnsi="Arial" w:cs="Arial"/>
          <w:sz w:val="20"/>
          <w:szCs w:val="20"/>
          <w:lang w:val="es-ES"/>
        </w:rPr>
      </w:pPr>
      <w:r w:rsidRPr="00C4176A">
        <w:rPr>
          <w:rFonts w:ascii="Arial" w:eastAsia="Calibri" w:hAnsi="Arial" w:cs="Arial"/>
          <w:sz w:val="20"/>
          <w:szCs w:val="20"/>
          <w:lang w:val="es-ES"/>
        </w:rPr>
        <w:t>Esta garantía tiene su fundamento en el principio de irrevocabilidad de la oferta, razón por la cual los proponentes que pierdan interés en la adjudicación resarcirán los perjuicios causados por su retiro del proceso de selección. Naturalmente, esta garantía solo la constituyen quienes presenten oferta,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Pr>
          <w:rFonts w:ascii="Arial" w:eastAsia="Calibri" w:hAnsi="Arial" w:cs="Arial"/>
          <w:sz w:val="20"/>
          <w:szCs w:val="20"/>
          <w:lang w:val="es-ES"/>
        </w:rPr>
        <w:t>.</w:t>
      </w:r>
    </w:p>
    <w:p w14:paraId="59E4E81C" w14:textId="77777777" w:rsidR="00D07F6D" w:rsidRDefault="00D07F6D" w:rsidP="00D07F6D">
      <w:pPr>
        <w:jc w:val="both"/>
        <w:rPr>
          <w:rFonts w:ascii="Arial" w:eastAsia="Calibri" w:hAnsi="Arial" w:cs="Arial"/>
          <w:b/>
          <w:sz w:val="22"/>
          <w:szCs w:val="22"/>
          <w:lang w:val="es-MX" w:eastAsia="en-US"/>
        </w:rPr>
      </w:pPr>
    </w:p>
    <w:p w14:paraId="2C572F3E" w14:textId="6D35AA26" w:rsidR="00D07F6D" w:rsidRPr="00D07F6D" w:rsidRDefault="00D07F6D" w:rsidP="00D07F6D">
      <w:pPr>
        <w:tabs>
          <w:tab w:val="left" w:pos="4820"/>
        </w:tabs>
        <w:jc w:val="both"/>
        <w:rPr>
          <w:rFonts w:ascii="Arial" w:eastAsia="Calibri" w:hAnsi="Arial" w:cs="Arial"/>
          <w:b/>
          <w:sz w:val="22"/>
          <w:szCs w:val="22"/>
          <w:lang w:val="es-ES" w:eastAsia="en-US"/>
        </w:rPr>
      </w:pPr>
      <w:r w:rsidRPr="00D07F6D">
        <w:rPr>
          <w:rFonts w:ascii="Arial" w:eastAsia="Calibri" w:hAnsi="Arial" w:cs="Arial"/>
          <w:b/>
          <w:sz w:val="22"/>
          <w:szCs w:val="22"/>
          <w:lang w:val="es-ES" w:eastAsia="en-US"/>
        </w:rPr>
        <w:t xml:space="preserve">GARANTÍA DE SERIEDAD – </w:t>
      </w:r>
      <w:r>
        <w:rPr>
          <w:rFonts w:ascii="Arial" w:eastAsia="Calibri" w:hAnsi="Arial" w:cs="Arial"/>
          <w:b/>
          <w:sz w:val="22"/>
          <w:szCs w:val="22"/>
          <w:lang w:val="es-ES" w:eastAsia="en-US"/>
        </w:rPr>
        <w:t xml:space="preserve">Verificación </w:t>
      </w:r>
      <w:r w:rsidR="006F60A5" w:rsidRPr="00D07F6D">
        <w:rPr>
          <w:rFonts w:ascii="Arial" w:eastAsia="Calibri" w:hAnsi="Arial" w:cs="Arial"/>
          <w:b/>
          <w:sz w:val="22"/>
          <w:szCs w:val="22"/>
          <w:lang w:val="es-ES" w:eastAsia="en-US"/>
        </w:rPr>
        <w:t>–</w:t>
      </w:r>
      <w:r w:rsidR="00C4176A">
        <w:rPr>
          <w:rFonts w:ascii="Arial" w:eastAsia="Calibri" w:hAnsi="Arial" w:cs="Arial"/>
          <w:b/>
          <w:sz w:val="22"/>
          <w:szCs w:val="22"/>
          <w:lang w:val="es-ES" w:eastAsia="en-US"/>
        </w:rPr>
        <w:t xml:space="preserve"> E</w:t>
      </w:r>
      <w:r w:rsidR="006F60A5">
        <w:rPr>
          <w:rFonts w:ascii="Arial" w:eastAsia="Calibri" w:hAnsi="Arial" w:cs="Arial"/>
          <w:b/>
          <w:sz w:val="22"/>
          <w:szCs w:val="22"/>
          <w:lang w:val="es-ES" w:eastAsia="en-US"/>
        </w:rPr>
        <w:t>valuación de las ofertas</w:t>
      </w:r>
    </w:p>
    <w:p w14:paraId="33B7C6ED" w14:textId="524E3783" w:rsidR="00D07F6D" w:rsidRPr="00C4176A" w:rsidRDefault="00D07F6D" w:rsidP="00D07F6D">
      <w:pPr>
        <w:jc w:val="both"/>
        <w:rPr>
          <w:rFonts w:ascii="Arial" w:eastAsia="Calibri" w:hAnsi="Arial" w:cs="Arial"/>
          <w:b/>
          <w:sz w:val="22"/>
          <w:szCs w:val="22"/>
          <w:lang w:val="es-ES" w:eastAsia="en-US"/>
        </w:rPr>
      </w:pPr>
    </w:p>
    <w:p w14:paraId="15AE3326" w14:textId="77777777" w:rsidR="00C4176A" w:rsidRDefault="00D07F6D" w:rsidP="00D07F6D">
      <w:pPr>
        <w:jc w:val="both"/>
        <w:rPr>
          <w:rFonts w:ascii="Arial" w:eastAsia="Calibri" w:hAnsi="Arial" w:cs="Arial"/>
          <w:bCs/>
          <w:sz w:val="20"/>
          <w:szCs w:val="20"/>
          <w:lang w:val="es-ES_tradnl" w:eastAsia="en-US"/>
        </w:rPr>
      </w:pPr>
      <w:r>
        <w:rPr>
          <w:rFonts w:ascii="Arial" w:eastAsia="Calibri" w:hAnsi="Arial" w:cs="Arial"/>
          <w:bCs/>
          <w:sz w:val="20"/>
          <w:szCs w:val="20"/>
          <w:lang w:val="es-ES_tradnl" w:eastAsia="en-US"/>
        </w:rPr>
        <w:t xml:space="preserve">[…] </w:t>
      </w:r>
      <w:r w:rsidR="00C4176A" w:rsidRPr="00C4176A">
        <w:rPr>
          <w:rFonts w:ascii="Arial" w:eastAsia="Calibri" w:hAnsi="Arial" w:cs="Arial"/>
          <w:bCs/>
          <w:sz w:val="20"/>
          <w:szCs w:val="20"/>
          <w:lang w:val="es-ES_tradnl" w:eastAsia="en-US"/>
        </w:rPr>
        <w:t xml:space="preserve">el proceso mediante el cual se verifica y se “aprueba” el cumplimiento de la garantía de seriedad de la oferta se realiza en el marco del procedimiento de selección contractual que adelanta la entidad, concretamente en la evaluación de las ofertas, teniendo en cuenta las condiciones señaladas en el pliego de condiciones. Sin embargo, se precisa que este proceso de validación de la garantía de seriedad de la oferta es distinto al procedimiento de aprobación de garantías establecido en el artículo 41 de la Ley 80 de 1993. Esta norma se refiere a la aprobación de las garantías </w:t>
      </w:r>
      <w:r w:rsidR="00C4176A" w:rsidRPr="00C4176A">
        <w:rPr>
          <w:rFonts w:ascii="Arial" w:eastAsia="Calibri" w:hAnsi="Arial" w:cs="Arial"/>
          <w:bCs/>
          <w:sz w:val="20"/>
          <w:szCs w:val="20"/>
          <w:lang w:eastAsia="en-US"/>
        </w:rPr>
        <w:t>contractuales</w:t>
      </w:r>
      <w:r w:rsidR="00C4176A" w:rsidRPr="00C4176A">
        <w:rPr>
          <w:rFonts w:ascii="Arial" w:eastAsia="Calibri" w:hAnsi="Arial" w:cs="Arial"/>
          <w:bCs/>
          <w:sz w:val="20"/>
          <w:szCs w:val="20"/>
          <w:lang w:val="es-ES_tradnl" w:eastAsia="en-US"/>
        </w:rPr>
        <w:t xml:space="preserve"> como requisito para la ejecución del contrato,</w:t>
      </w:r>
      <w:r w:rsidR="00C4176A" w:rsidRPr="00C4176A">
        <w:rPr>
          <w:rFonts w:ascii="Arial" w:eastAsia="Calibri" w:hAnsi="Arial" w:cs="Arial"/>
          <w:bCs/>
          <w:sz w:val="20"/>
          <w:szCs w:val="20"/>
          <w:lang w:eastAsia="en-US"/>
        </w:rPr>
        <w:t xml:space="preserve"> garantías </w:t>
      </w:r>
      <w:r w:rsidR="00C4176A" w:rsidRPr="00C4176A">
        <w:rPr>
          <w:rFonts w:ascii="Arial" w:eastAsia="Calibri" w:hAnsi="Arial" w:cs="Arial"/>
          <w:bCs/>
          <w:sz w:val="20"/>
          <w:szCs w:val="20"/>
          <w:lang w:val="es-ES_tradnl" w:eastAsia="en-US"/>
        </w:rPr>
        <w:t>que cubren los riesgos asociados al contrato celebrado y a las obligaciones posteriores a este. Lo anterior, excluye a la garantía de seriedad de la oferta, cuya presentación se realiza junto con la propuesta siendo un requisito de participación en el proceso de selección, por lo que su verificación debe ocurrir con antelación a la celebración del contrato, realizándose su verificación mediante la evaluación de las ofertas</w:t>
      </w:r>
    </w:p>
    <w:p w14:paraId="3A5D3536" w14:textId="4846F354" w:rsidR="00C4176A" w:rsidRDefault="00C4176A" w:rsidP="00567C02">
      <w:pPr>
        <w:jc w:val="both"/>
        <w:rPr>
          <w:rFonts w:ascii="Arial" w:eastAsia="Calibri" w:hAnsi="Arial" w:cs="Arial"/>
          <w:bCs/>
          <w:sz w:val="20"/>
          <w:szCs w:val="20"/>
          <w:lang w:val="es-ES_tradnl" w:eastAsia="en-US"/>
        </w:rPr>
      </w:pPr>
    </w:p>
    <w:p w14:paraId="64F1B52E" w14:textId="2A80D280" w:rsidR="00C4176A" w:rsidRDefault="00C4176A" w:rsidP="00567C02">
      <w:pPr>
        <w:jc w:val="both"/>
        <w:rPr>
          <w:rFonts w:ascii="Arial" w:eastAsia="Calibri" w:hAnsi="Arial" w:cs="Arial"/>
          <w:bCs/>
          <w:sz w:val="20"/>
          <w:szCs w:val="20"/>
          <w:lang w:val="es-ES_tradnl" w:eastAsia="en-US"/>
        </w:rPr>
      </w:pPr>
    </w:p>
    <w:p w14:paraId="2B18374B" w14:textId="77777777" w:rsidR="00C4176A" w:rsidRPr="00C4176A" w:rsidRDefault="00C4176A" w:rsidP="00567C02">
      <w:pPr>
        <w:jc w:val="both"/>
        <w:rPr>
          <w:rFonts w:ascii="Arial" w:eastAsia="Calibri" w:hAnsi="Arial" w:cs="Arial"/>
          <w:bCs/>
          <w:sz w:val="20"/>
          <w:szCs w:val="20"/>
          <w:lang w:val="es-ES_tradnl" w:eastAsia="en-US"/>
        </w:rPr>
      </w:pPr>
    </w:p>
    <w:bookmarkEnd w:id="2"/>
    <w:p w14:paraId="79AA15FA" w14:textId="432ACACC" w:rsidR="00567C02" w:rsidRPr="00F351E8" w:rsidRDefault="00567C02" w:rsidP="00F351E8">
      <w:pPr>
        <w:jc w:val="both"/>
        <w:rPr>
          <w:rFonts w:ascii="Arial" w:eastAsia="Calibri" w:hAnsi="Arial" w:cs="Arial"/>
          <w:bCs/>
          <w:sz w:val="20"/>
          <w:szCs w:val="20"/>
          <w:lang w:val="es-MX"/>
        </w:rPr>
      </w:pPr>
    </w:p>
    <w:p w14:paraId="41CE9C31" w14:textId="7CF5AEBA" w:rsidR="00567C02" w:rsidRDefault="00567C02" w:rsidP="00C118DB">
      <w:pPr>
        <w:spacing w:line="276" w:lineRule="auto"/>
        <w:jc w:val="both"/>
        <w:rPr>
          <w:rFonts w:ascii="Arial" w:eastAsia="Calibri" w:hAnsi="Arial" w:cs="Arial"/>
          <w:b/>
          <w:color w:val="000000" w:themeColor="text1"/>
          <w:sz w:val="22"/>
          <w:szCs w:val="22"/>
          <w:lang w:val="es-MX" w:eastAsia="en-US"/>
        </w:rPr>
      </w:pPr>
    </w:p>
    <w:p w14:paraId="35FCDE7F" w14:textId="77777777" w:rsidR="005F39F2" w:rsidRDefault="005F39F2" w:rsidP="00C118DB">
      <w:pPr>
        <w:spacing w:line="276" w:lineRule="auto"/>
        <w:jc w:val="both"/>
        <w:rPr>
          <w:rFonts w:ascii="Arial" w:eastAsia="Calibri" w:hAnsi="Arial" w:cs="Arial"/>
          <w:b/>
          <w:color w:val="000000" w:themeColor="text1"/>
          <w:sz w:val="22"/>
          <w:szCs w:val="22"/>
          <w:lang w:val="es-MX" w:eastAsia="en-US"/>
        </w:rPr>
      </w:pPr>
    </w:p>
    <w:p w14:paraId="6732CCC4" w14:textId="77777777" w:rsidR="005F39F2" w:rsidRDefault="005F39F2" w:rsidP="005F39F2">
      <w:pPr>
        <w:jc w:val="both"/>
        <w:rPr>
          <w:rFonts w:ascii="Arial" w:eastAsia="Calibri" w:hAnsi="Arial" w:cs="Arial"/>
          <w:b/>
          <w:color w:val="000000" w:themeColor="text1"/>
          <w:sz w:val="22"/>
          <w:szCs w:val="22"/>
          <w:lang w:val="es-MX" w:eastAsia="en-US"/>
        </w:rPr>
      </w:pPr>
    </w:p>
    <w:p w14:paraId="7DD48F49" w14:textId="023E9483" w:rsidR="00B95C30" w:rsidRPr="002D7EDD" w:rsidRDefault="00B95C30" w:rsidP="00C118DB">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lastRenderedPageBreak/>
        <w:t xml:space="preserve">Bogotá D.C., </w:t>
      </w:r>
      <w:r w:rsidR="00D83A05">
        <w:rPr>
          <w:rFonts w:ascii="Arial" w:hAnsi="Arial" w:cs="Arial"/>
          <w:b/>
          <w:color w:val="000000" w:themeColor="text1"/>
          <w:sz w:val="22"/>
          <w:lang w:val="pt-BR"/>
        </w:rPr>
        <w:t>08/10/2021 15:05:21</w:t>
      </w:r>
    </w:p>
    <w:p w14:paraId="36AE699A" w14:textId="77777777" w:rsidR="00631A31" w:rsidRPr="002D7EDD" w:rsidRDefault="00631A31" w:rsidP="001E442F">
      <w:pPr>
        <w:jc w:val="both"/>
        <w:rPr>
          <w:rFonts w:ascii="Arial" w:hAnsi="Arial" w:cs="Arial"/>
          <w:b/>
          <w:color w:val="000000" w:themeColor="text1"/>
          <w:sz w:val="22"/>
          <w:lang w:val="pt-BR"/>
        </w:rPr>
      </w:pPr>
    </w:p>
    <w:p w14:paraId="5C1617A7" w14:textId="77777777" w:rsidR="00631A31" w:rsidRPr="00C118DB" w:rsidRDefault="00631A31" w:rsidP="005F39F2">
      <w:pPr>
        <w:jc w:val="both"/>
        <w:rPr>
          <w:rFonts w:ascii="Arial" w:eastAsia="Calibri" w:hAnsi="Arial" w:cs="Arial"/>
          <w:noProof/>
          <w:color w:val="000000" w:themeColor="text1"/>
          <w:sz w:val="20"/>
          <w:lang w:val="pt-BR"/>
        </w:rPr>
      </w:pPr>
    </w:p>
    <w:p w14:paraId="5E89E106" w14:textId="3741C9C5" w:rsidR="00B95C30" w:rsidRPr="00F21A51" w:rsidRDefault="00D83A05" w:rsidP="00B95C30">
      <w:pPr>
        <w:spacing w:line="276" w:lineRule="auto"/>
        <w:jc w:val="right"/>
        <w:rPr>
          <w:rFonts w:ascii="Arial" w:hAnsi="Arial" w:cs="Arial"/>
          <w:b/>
          <w:noProof/>
          <w:color w:val="000000" w:themeColor="text1"/>
          <w:sz w:val="22"/>
          <w:szCs w:val="22"/>
          <w:lang w:val="pt-BR"/>
        </w:rPr>
      </w:pPr>
      <w:r w:rsidRPr="00D83A05">
        <w:rPr>
          <w:rFonts w:ascii="Arial" w:hAnsi="Arial" w:cs="Arial"/>
          <w:b/>
          <w:noProof/>
          <w:color w:val="000000" w:themeColor="text1"/>
          <w:sz w:val="22"/>
          <w:szCs w:val="22"/>
          <w:lang w:val="pt-BR"/>
        </w:rPr>
        <w:drawing>
          <wp:inline distT="0" distB="0" distL="0" distR="0" wp14:anchorId="469D0BE7" wp14:editId="474A2878">
            <wp:extent cx="2152650" cy="6858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2650" cy="685800"/>
                    </a:xfrm>
                    <a:prstGeom prst="rect">
                      <a:avLst/>
                    </a:prstGeom>
                    <a:noFill/>
                    <a:ln>
                      <a:noFill/>
                    </a:ln>
                  </pic:spPr>
                </pic:pic>
              </a:graphicData>
            </a:graphic>
          </wp:inline>
        </w:drawing>
      </w:r>
    </w:p>
    <w:p w14:paraId="6A8A869B" w14:textId="77777777" w:rsidR="00B95C30" w:rsidRDefault="00B95C30" w:rsidP="005F39F2">
      <w:pPr>
        <w:jc w:val="both"/>
        <w:rPr>
          <w:rFonts w:ascii="Arial" w:hAnsi="Arial" w:cs="Arial"/>
          <w:b/>
          <w:color w:val="000000" w:themeColor="text1"/>
          <w:sz w:val="22"/>
          <w:lang w:val="pt-BR"/>
        </w:rPr>
      </w:pPr>
    </w:p>
    <w:p w14:paraId="5FDF9495" w14:textId="77777777" w:rsidR="00631A31" w:rsidRPr="00C118DB" w:rsidRDefault="00631A31" w:rsidP="00B95C30">
      <w:pPr>
        <w:jc w:val="both"/>
        <w:rPr>
          <w:rFonts w:ascii="Arial" w:hAnsi="Arial" w:cs="Arial"/>
          <w:b/>
          <w:color w:val="000000" w:themeColor="text1"/>
          <w:sz w:val="22"/>
          <w:lang w:val="pt-BR"/>
        </w:rPr>
      </w:pPr>
    </w:p>
    <w:p w14:paraId="5F5AE9EF" w14:textId="07A03DDD" w:rsidR="00B95C30" w:rsidRPr="0002379D" w:rsidRDefault="00B95C30" w:rsidP="00B95C30">
      <w:pPr>
        <w:jc w:val="both"/>
        <w:rPr>
          <w:rFonts w:ascii="Arial" w:eastAsia="Calibri" w:hAnsi="Arial" w:cs="Arial"/>
          <w:color w:val="000000" w:themeColor="text1"/>
          <w:sz w:val="22"/>
        </w:rPr>
      </w:pPr>
      <w:r w:rsidRPr="0002379D">
        <w:rPr>
          <w:rFonts w:ascii="Arial" w:eastAsia="Calibri" w:hAnsi="Arial" w:cs="Arial"/>
          <w:color w:val="000000" w:themeColor="text1"/>
          <w:sz w:val="22"/>
        </w:rPr>
        <w:t>Señor</w:t>
      </w:r>
    </w:p>
    <w:p w14:paraId="08A0FA34" w14:textId="456AEDBB" w:rsidR="007D409B" w:rsidRPr="0002379D" w:rsidRDefault="003F6E38" w:rsidP="00B95C30">
      <w:pPr>
        <w:jc w:val="both"/>
        <w:rPr>
          <w:rFonts w:ascii="Arial" w:eastAsia="Calibri" w:hAnsi="Arial" w:cs="Arial"/>
          <w:b/>
          <w:color w:val="000000" w:themeColor="text1"/>
          <w:sz w:val="22"/>
        </w:rPr>
      </w:pPr>
      <w:r w:rsidRPr="0002379D">
        <w:rPr>
          <w:rFonts w:ascii="Arial" w:eastAsia="Calibri" w:hAnsi="Arial" w:cs="Arial"/>
          <w:b/>
          <w:color w:val="000000" w:themeColor="text1"/>
          <w:sz w:val="22"/>
        </w:rPr>
        <w:t>Humberto García Vega</w:t>
      </w:r>
    </w:p>
    <w:p w14:paraId="16FC55BD" w14:textId="03461087" w:rsidR="00634C03" w:rsidRPr="0002379D" w:rsidRDefault="003F6E38" w:rsidP="00B95C30">
      <w:pPr>
        <w:jc w:val="both"/>
        <w:rPr>
          <w:rFonts w:ascii="Arial" w:eastAsia="Calibri" w:hAnsi="Arial" w:cs="Arial"/>
          <w:color w:val="000000" w:themeColor="text1"/>
          <w:sz w:val="22"/>
        </w:rPr>
      </w:pPr>
      <w:r w:rsidRPr="0002379D">
        <w:rPr>
          <w:rFonts w:ascii="Arial" w:eastAsia="Calibri" w:hAnsi="Arial" w:cs="Arial"/>
          <w:color w:val="000000" w:themeColor="text1"/>
          <w:sz w:val="22"/>
        </w:rPr>
        <w:t>Bogotá D.C.</w:t>
      </w:r>
    </w:p>
    <w:p w14:paraId="50CB016D" w14:textId="77777777" w:rsidR="003F6E38" w:rsidRPr="0002379D" w:rsidRDefault="003F6E38" w:rsidP="005F39F2">
      <w:pPr>
        <w:jc w:val="both"/>
        <w:rPr>
          <w:rFonts w:ascii="Arial" w:eastAsia="Calibri" w:hAnsi="Arial" w:cs="Arial"/>
          <w:color w:val="000000" w:themeColor="text1"/>
          <w:sz w:val="22"/>
        </w:rPr>
      </w:pPr>
    </w:p>
    <w:p w14:paraId="5629886E" w14:textId="77777777" w:rsidR="00634C03" w:rsidRPr="0002379D" w:rsidRDefault="00634C03" w:rsidP="00B95C30">
      <w:pPr>
        <w:jc w:val="both"/>
        <w:rPr>
          <w:rFonts w:ascii="Arial" w:eastAsia="Calibri" w:hAnsi="Arial" w:cs="Arial"/>
          <w:color w:val="000000" w:themeColor="text1"/>
          <w:sz w:val="22"/>
        </w:rPr>
      </w:pPr>
    </w:p>
    <w:p w14:paraId="1BD594F9" w14:textId="0BC0ECAA" w:rsidR="00B95C30" w:rsidRDefault="007F1C42" w:rsidP="003C0791">
      <w:pPr>
        <w:rPr>
          <w:rFonts w:ascii="Arial" w:eastAsia="Calibri" w:hAnsi="Arial" w:cs="Arial"/>
          <w:b/>
          <w:bCs/>
          <w:color w:val="000000" w:themeColor="text1"/>
          <w:sz w:val="22"/>
          <w:lang w:val="pt-BR"/>
        </w:rPr>
      </w:pPr>
      <w:r w:rsidRPr="0002379D">
        <w:rPr>
          <w:rFonts w:ascii="Arial" w:eastAsia="Calibri" w:hAnsi="Arial" w:cs="Arial"/>
          <w:b/>
          <w:bCs/>
          <w:color w:val="000000" w:themeColor="text1"/>
          <w:sz w:val="22"/>
        </w:rPr>
        <w:t xml:space="preserve">                                            </w:t>
      </w:r>
      <w:r w:rsidR="00023FA5" w:rsidRPr="00E253EB">
        <w:rPr>
          <w:rFonts w:ascii="Arial" w:eastAsia="Calibri" w:hAnsi="Arial" w:cs="Arial"/>
          <w:b/>
          <w:bCs/>
          <w:color w:val="000000" w:themeColor="text1"/>
          <w:sz w:val="22"/>
          <w:lang w:val="pt-BR"/>
        </w:rPr>
        <w:t xml:space="preserve">Concepto C ‒ </w:t>
      </w:r>
      <w:r w:rsidR="003F6E38">
        <w:rPr>
          <w:rFonts w:ascii="Arial" w:eastAsia="Calibri" w:hAnsi="Arial" w:cs="Arial"/>
          <w:b/>
          <w:bCs/>
          <w:color w:val="000000" w:themeColor="text1"/>
          <w:sz w:val="22"/>
          <w:lang w:val="pt-BR"/>
        </w:rPr>
        <w:t>567</w:t>
      </w:r>
      <w:r w:rsidR="00275FBF" w:rsidRPr="00E253EB">
        <w:rPr>
          <w:rFonts w:ascii="Arial" w:eastAsia="Calibri" w:hAnsi="Arial" w:cs="Arial"/>
          <w:b/>
          <w:bCs/>
          <w:color w:val="000000" w:themeColor="text1"/>
          <w:sz w:val="22"/>
          <w:lang w:val="pt-BR"/>
        </w:rPr>
        <w:t xml:space="preserve"> de 2021</w:t>
      </w:r>
    </w:p>
    <w:p w14:paraId="0343F274" w14:textId="77777777" w:rsidR="003E612A" w:rsidRPr="00E253EB" w:rsidRDefault="003E612A"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34C03" w14:paraId="19DFC051" w14:textId="77777777" w:rsidTr="00D15356">
        <w:tc>
          <w:tcPr>
            <w:tcW w:w="2689" w:type="dxa"/>
          </w:tcPr>
          <w:p w14:paraId="6BC0D1AC" w14:textId="77777777" w:rsidR="00B95C30" w:rsidRPr="00634C03" w:rsidRDefault="00B95C30" w:rsidP="00D15356">
            <w:pPr>
              <w:jc w:val="both"/>
              <w:rPr>
                <w:rFonts w:ascii="Arial" w:eastAsia="Calibri" w:hAnsi="Arial" w:cs="Arial"/>
                <w:color w:val="000000" w:themeColor="text1"/>
                <w:sz w:val="22"/>
                <w:lang w:val="es-ES_tradnl"/>
              </w:rPr>
            </w:pPr>
            <w:r w:rsidRPr="00634C03">
              <w:rPr>
                <w:rFonts w:ascii="Arial" w:eastAsia="Calibri" w:hAnsi="Arial" w:cs="Arial"/>
                <w:b/>
                <w:color w:val="000000" w:themeColor="text1"/>
                <w:sz w:val="22"/>
                <w:lang w:val="es-ES_tradnl"/>
              </w:rPr>
              <w:t>Temas:</w:t>
            </w:r>
            <w:r w:rsidRPr="00634C03">
              <w:rPr>
                <w:rFonts w:ascii="Arial" w:eastAsia="Calibri" w:hAnsi="Arial" w:cs="Arial"/>
                <w:color w:val="000000" w:themeColor="text1"/>
                <w:sz w:val="22"/>
                <w:lang w:val="es-ES_tradnl"/>
              </w:rPr>
              <w:t xml:space="preserve">                                      </w:t>
            </w:r>
          </w:p>
        </w:tc>
        <w:tc>
          <w:tcPr>
            <w:tcW w:w="6237" w:type="dxa"/>
          </w:tcPr>
          <w:p w14:paraId="5F389CAF" w14:textId="446097F6" w:rsidR="00B95C30" w:rsidRPr="00F76866" w:rsidRDefault="00F76866" w:rsidP="00F76866">
            <w:pPr>
              <w:jc w:val="both"/>
              <w:rPr>
                <w:rFonts w:ascii="Arial" w:eastAsia="Calibri" w:hAnsi="Arial" w:cs="Arial"/>
                <w:sz w:val="22"/>
                <w:szCs w:val="22"/>
                <w:lang w:val="es-MX" w:eastAsia="en-US"/>
              </w:rPr>
            </w:pPr>
            <w:r w:rsidRPr="00F76866">
              <w:rPr>
                <w:rFonts w:ascii="Arial" w:eastAsiaTheme="minorHAnsi" w:hAnsi="Arial" w:cs="Arial"/>
                <w:color w:val="000000" w:themeColor="text1"/>
                <w:sz w:val="22"/>
                <w:szCs w:val="22"/>
                <w:lang w:val="es-MX" w:eastAsia="en-US"/>
              </w:rPr>
              <w:t xml:space="preserve">CONSTITUCIÓN DE GARANTÍAS – Obligación </w:t>
            </w:r>
            <w:r w:rsidR="006174FA" w:rsidRPr="00F76866">
              <w:rPr>
                <w:rFonts w:ascii="Arial" w:eastAsia="Calibri" w:hAnsi="Arial" w:cs="Arial"/>
                <w:sz w:val="22"/>
                <w:lang w:val="es-ES_tradnl"/>
              </w:rPr>
              <w:t xml:space="preserve">/ </w:t>
            </w:r>
            <w:r w:rsidRPr="001D3786">
              <w:rPr>
                <w:rFonts w:ascii="Arial" w:eastAsiaTheme="minorHAnsi" w:hAnsi="Arial" w:cs="Arial"/>
                <w:color w:val="000000" w:themeColor="text1"/>
                <w:sz w:val="22"/>
                <w:szCs w:val="22"/>
                <w:lang w:val="es-MX" w:eastAsia="en-US"/>
              </w:rPr>
              <w:t>EJECUCIÓN DEL CONTRATO</w:t>
            </w:r>
            <w:r w:rsidRPr="00F76866">
              <w:rPr>
                <w:rFonts w:ascii="Arial" w:eastAsiaTheme="minorHAnsi" w:hAnsi="Arial" w:cs="Arial"/>
                <w:color w:val="000000" w:themeColor="text1"/>
                <w:sz w:val="22"/>
                <w:szCs w:val="22"/>
                <w:lang w:val="es-MX" w:eastAsia="en-US"/>
              </w:rPr>
              <w:t xml:space="preserve"> ESTATAL</w:t>
            </w:r>
            <w:r w:rsidRPr="001D3786">
              <w:rPr>
                <w:rFonts w:ascii="Arial" w:eastAsiaTheme="minorHAnsi" w:hAnsi="Arial" w:cs="Arial"/>
                <w:color w:val="000000" w:themeColor="text1"/>
                <w:sz w:val="22"/>
                <w:szCs w:val="22"/>
                <w:lang w:val="es-MX" w:eastAsia="en-US"/>
              </w:rPr>
              <w:t xml:space="preserve"> </w:t>
            </w:r>
            <w:r w:rsidRPr="001D3786">
              <w:rPr>
                <w:rFonts w:ascii="Arial" w:eastAsia="Calibri" w:hAnsi="Arial" w:cs="Arial"/>
                <w:color w:val="000000" w:themeColor="text1"/>
                <w:sz w:val="22"/>
                <w:szCs w:val="22"/>
                <w:lang w:val="es-MX" w:eastAsia="en-US"/>
              </w:rPr>
              <w:t xml:space="preserve">– Requisitos </w:t>
            </w:r>
            <w:r w:rsidRPr="00F76866">
              <w:rPr>
                <w:rFonts w:ascii="Arial" w:eastAsia="Calibri" w:hAnsi="Arial" w:cs="Arial"/>
                <w:color w:val="000000" w:themeColor="text1"/>
                <w:sz w:val="22"/>
                <w:szCs w:val="22"/>
                <w:lang w:val="es-MX" w:eastAsia="en-US"/>
              </w:rPr>
              <w:t xml:space="preserve">– Artículo 41 de la Ley 80 de 1993 </w:t>
            </w:r>
            <w:r w:rsidR="00B95C30" w:rsidRPr="00F76866">
              <w:rPr>
                <w:rFonts w:ascii="Arial" w:eastAsia="Calibri" w:hAnsi="Arial" w:cs="Arial"/>
                <w:sz w:val="22"/>
                <w:lang w:val="es-ES_tradnl"/>
              </w:rPr>
              <w:t>/</w:t>
            </w:r>
            <w:r w:rsidR="00567C02" w:rsidRPr="00F76866">
              <w:rPr>
                <w:rFonts w:ascii="Arial" w:eastAsia="Calibri" w:hAnsi="Arial" w:cs="Arial"/>
                <w:sz w:val="22"/>
                <w:lang w:val="es-ES_tradnl"/>
              </w:rPr>
              <w:t xml:space="preserve"> </w:t>
            </w:r>
            <w:r w:rsidRPr="00F76866">
              <w:rPr>
                <w:rFonts w:ascii="Arial" w:eastAsia="Calibri" w:hAnsi="Arial" w:cs="Arial"/>
                <w:sz w:val="22"/>
                <w:szCs w:val="22"/>
                <w:lang w:val="es-ES_tradnl" w:eastAsia="es-ES"/>
              </w:rPr>
              <w:t xml:space="preserve">APROBACIÓN DE GARANTÍAS </w:t>
            </w:r>
            <w:r w:rsidRPr="00F76866">
              <w:rPr>
                <w:rFonts w:ascii="Arial" w:eastAsia="Calibri" w:hAnsi="Arial" w:cs="Arial"/>
                <w:sz w:val="22"/>
                <w:lang w:val="x-none" w:eastAsia="es-ES"/>
              </w:rPr>
              <w:t>–</w:t>
            </w:r>
            <w:r w:rsidRPr="00F76866">
              <w:rPr>
                <w:rFonts w:ascii="Arial" w:eastAsia="Calibri" w:hAnsi="Arial" w:cs="Arial"/>
                <w:sz w:val="22"/>
                <w:szCs w:val="22"/>
                <w:lang w:val="es-ES_tradnl" w:eastAsia="es-ES"/>
              </w:rPr>
              <w:t xml:space="preserve"> Verificación de la Entidad </w:t>
            </w:r>
            <w:r w:rsidRPr="00F76866">
              <w:rPr>
                <w:rFonts w:ascii="Arial" w:eastAsia="Calibri" w:hAnsi="Arial" w:cs="Arial"/>
                <w:sz w:val="22"/>
                <w:lang w:val="es-ES_tradnl"/>
              </w:rPr>
              <w:t xml:space="preserve">/ </w:t>
            </w:r>
            <w:r w:rsidRPr="00F76866">
              <w:rPr>
                <w:rFonts w:ascii="Arial" w:eastAsia="Calibri" w:hAnsi="Arial" w:cs="Arial"/>
                <w:sz w:val="22"/>
              </w:rPr>
              <w:t>GARANTÍAS CONTRACTUALES – Aprobación – Notificación</w:t>
            </w:r>
            <w:r>
              <w:rPr>
                <w:rFonts w:ascii="Arial" w:eastAsia="Calibri" w:hAnsi="Arial" w:cs="Arial"/>
                <w:sz w:val="22"/>
              </w:rPr>
              <w:t xml:space="preserve"> </w:t>
            </w:r>
            <w:r w:rsidR="00A461BF" w:rsidRPr="00F76866">
              <w:rPr>
                <w:rFonts w:ascii="Arial" w:eastAsia="Calibri" w:hAnsi="Arial" w:cs="Arial"/>
                <w:sz w:val="22"/>
                <w:lang w:val="es-ES_tradnl"/>
              </w:rPr>
              <w:t>/</w:t>
            </w:r>
            <w:r>
              <w:rPr>
                <w:rFonts w:ascii="Arial" w:eastAsia="Calibri" w:hAnsi="Arial" w:cs="Arial"/>
                <w:sz w:val="22"/>
                <w:lang w:val="es-ES_tradnl"/>
              </w:rPr>
              <w:t xml:space="preserve"> </w:t>
            </w:r>
            <w:r w:rsidRPr="00D07F6D">
              <w:rPr>
                <w:rFonts w:ascii="Arial" w:eastAsia="Calibri" w:hAnsi="Arial" w:cs="Arial"/>
                <w:sz w:val="22"/>
                <w:szCs w:val="22"/>
                <w:lang w:val="es-ES" w:eastAsia="en-US"/>
              </w:rPr>
              <w:t>GARANTÍA DE SERIEDAD – Finalidad</w:t>
            </w:r>
            <w:r w:rsidRPr="00F76866">
              <w:rPr>
                <w:rFonts w:ascii="Arial" w:eastAsia="Calibri" w:hAnsi="Arial" w:cs="Arial"/>
                <w:sz w:val="22"/>
                <w:szCs w:val="22"/>
                <w:lang w:val="es-ES" w:eastAsia="en-US"/>
              </w:rPr>
              <w:t xml:space="preserve"> </w:t>
            </w:r>
            <w:r w:rsidRPr="00F76866">
              <w:rPr>
                <w:rFonts w:ascii="Arial" w:eastAsia="Calibri" w:hAnsi="Arial" w:cs="Arial"/>
                <w:sz w:val="22"/>
                <w:lang w:val="es-ES_tradnl"/>
              </w:rPr>
              <w:t xml:space="preserve">/ </w:t>
            </w:r>
            <w:r w:rsidRPr="00D07F6D">
              <w:rPr>
                <w:rFonts w:ascii="Arial" w:eastAsia="Calibri" w:hAnsi="Arial" w:cs="Arial"/>
                <w:sz w:val="22"/>
                <w:szCs w:val="22"/>
                <w:lang w:val="es-ES" w:eastAsia="en-US"/>
              </w:rPr>
              <w:t xml:space="preserve">GARANTÍA DE SERIEDAD – </w:t>
            </w:r>
            <w:r w:rsidRPr="00F76866">
              <w:rPr>
                <w:rFonts w:ascii="Arial" w:eastAsia="Calibri" w:hAnsi="Arial" w:cs="Arial"/>
                <w:sz w:val="22"/>
                <w:szCs w:val="22"/>
                <w:lang w:val="es-ES" w:eastAsia="en-US"/>
              </w:rPr>
              <w:t xml:space="preserve">Verificación </w:t>
            </w:r>
            <w:r w:rsidRPr="00D07F6D">
              <w:rPr>
                <w:rFonts w:ascii="Arial" w:eastAsia="Calibri" w:hAnsi="Arial" w:cs="Arial"/>
                <w:sz w:val="22"/>
                <w:szCs w:val="22"/>
                <w:lang w:val="es-ES" w:eastAsia="en-US"/>
              </w:rPr>
              <w:t>–</w:t>
            </w:r>
            <w:r w:rsidRPr="00F76866">
              <w:rPr>
                <w:rFonts w:ascii="Arial" w:eastAsia="Calibri" w:hAnsi="Arial" w:cs="Arial"/>
                <w:sz w:val="22"/>
                <w:szCs w:val="22"/>
                <w:lang w:val="es-ES" w:eastAsia="en-US"/>
              </w:rPr>
              <w:t xml:space="preserve"> </w:t>
            </w:r>
            <w:r w:rsidR="00C4176A">
              <w:rPr>
                <w:rFonts w:ascii="Arial" w:eastAsia="Calibri" w:hAnsi="Arial" w:cs="Arial"/>
                <w:sz w:val="22"/>
                <w:szCs w:val="22"/>
                <w:lang w:val="es-ES" w:eastAsia="en-US"/>
              </w:rPr>
              <w:t>E</w:t>
            </w:r>
            <w:r w:rsidRPr="00F76866">
              <w:rPr>
                <w:rFonts w:ascii="Arial" w:eastAsia="Calibri" w:hAnsi="Arial" w:cs="Arial"/>
                <w:sz w:val="22"/>
                <w:szCs w:val="22"/>
                <w:lang w:val="es-ES" w:eastAsia="en-US"/>
              </w:rPr>
              <w:t>valuación de las ofertas</w:t>
            </w:r>
          </w:p>
        </w:tc>
      </w:tr>
      <w:tr w:rsidR="00B95C30" w:rsidRPr="00E8414B" w14:paraId="27CD52AB" w14:textId="77777777" w:rsidTr="00D15356">
        <w:tc>
          <w:tcPr>
            <w:tcW w:w="2689" w:type="dxa"/>
          </w:tcPr>
          <w:p w14:paraId="37E195A1" w14:textId="110D89F2" w:rsidR="00B95C30" w:rsidRPr="00634C03" w:rsidRDefault="00B95C30" w:rsidP="00D15356">
            <w:pPr>
              <w:spacing w:before="120"/>
              <w:jc w:val="both"/>
              <w:rPr>
                <w:rFonts w:ascii="Arial" w:eastAsia="Calibri" w:hAnsi="Arial" w:cs="Arial"/>
                <w:b/>
                <w:color w:val="000000" w:themeColor="text1"/>
                <w:sz w:val="22"/>
                <w:lang w:val="es-ES_tradnl"/>
              </w:rPr>
            </w:pPr>
            <w:r w:rsidRPr="00634C03">
              <w:rPr>
                <w:rFonts w:ascii="Arial" w:eastAsia="Calibri" w:hAnsi="Arial" w:cs="Arial"/>
                <w:b/>
                <w:color w:val="000000" w:themeColor="text1"/>
                <w:sz w:val="22"/>
                <w:lang w:val="es-ES_tradnl"/>
              </w:rPr>
              <w:t>Radicación:</w:t>
            </w:r>
            <w:r w:rsidRPr="00634C03">
              <w:rPr>
                <w:rFonts w:ascii="Arial" w:eastAsia="Calibri" w:hAnsi="Arial" w:cs="Arial"/>
                <w:color w:val="000000" w:themeColor="text1"/>
                <w:sz w:val="22"/>
                <w:lang w:val="es-ES_tradnl"/>
              </w:rPr>
              <w:t xml:space="preserve">                              </w:t>
            </w:r>
          </w:p>
        </w:tc>
        <w:tc>
          <w:tcPr>
            <w:tcW w:w="6237" w:type="dxa"/>
          </w:tcPr>
          <w:p w14:paraId="09088B1B" w14:textId="0492DBF9" w:rsidR="00B95C30" w:rsidRPr="00E23980" w:rsidRDefault="00B95C30" w:rsidP="00FF7134">
            <w:pPr>
              <w:spacing w:before="120"/>
              <w:jc w:val="both"/>
              <w:rPr>
                <w:rFonts w:ascii="Arial" w:eastAsia="Calibri" w:hAnsi="Arial" w:cs="Arial"/>
                <w:color w:val="000000" w:themeColor="text1"/>
                <w:sz w:val="22"/>
                <w:lang w:val="es-ES_tradnl"/>
              </w:rPr>
            </w:pPr>
            <w:r w:rsidRPr="00634C03">
              <w:rPr>
                <w:rFonts w:ascii="Arial" w:eastAsia="Calibri" w:hAnsi="Arial" w:cs="Arial"/>
                <w:color w:val="000000" w:themeColor="text1"/>
                <w:sz w:val="22"/>
                <w:lang w:val="es-ES_tradnl"/>
              </w:rPr>
              <w:t>Respuesta a consulta</w:t>
            </w:r>
            <w:r w:rsidR="003F6E38" w:rsidRPr="003F6E38">
              <w:rPr>
                <w:rFonts w:ascii="Arial" w:eastAsia="Calibri" w:hAnsi="Arial" w:cs="Arial"/>
                <w:color w:val="000000" w:themeColor="text1"/>
                <w:sz w:val="22"/>
                <w:lang w:val="es-ES_tradnl"/>
              </w:rPr>
              <w:t xml:space="preserve"> P20210830007798</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34F0D98A" w14:textId="77777777" w:rsidR="003E612A" w:rsidRDefault="003E612A" w:rsidP="003C3339">
      <w:pPr>
        <w:jc w:val="both"/>
        <w:rPr>
          <w:rFonts w:ascii="Arial" w:eastAsia="Calibri" w:hAnsi="Arial" w:cs="Arial"/>
          <w:color w:val="000000" w:themeColor="text1"/>
          <w:sz w:val="22"/>
          <w:lang w:val="es-ES_tradnl"/>
        </w:rPr>
      </w:pPr>
    </w:p>
    <w:p w14:paraId="1CF4AEA0" w14:textId="60B9048F"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3F6E38">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w:t>
      </w:r>
      <w:r w:rsidR="003F6E38">
        <w:rPr>
          <w:rFonts w:ascii="Arial" w:eastAsia="Calibri" w:hAnsi="Arial" w:cs="Arial"/>
          <w:color w:val="000000" w:themeColor="text1"/>
          <w:sz w:val="22"/>
          <w:lang w:val="es-ES_tradnl"/>
        </w:rPr>
        <w:t xml:space="preserve"> García</w:t>
      </w:r>
      <w:r w:rsidR="00634C03">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2109B2D3" w14:textId="75F64A72"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E8414B">
        <w:rPr>
          <w:rFonts w:ascii="Arial" w:eastAsia="Calibri" w:hAnsi="Arial" w:cs="Arial"/>
          <w:color w:val="000000" w:themeColor="text1"/>
          <w:sz w:val="22"/>
          <w:lang w:val="es-ES_tradnl"/>
        </w:rPr>
        <w:t xml:space="preserve"> </w:t>
      </w:r>
      <w:r w:rsidRPr="00634C03">
        <w:rPr>
          <w:rFonts w:ascii="Arial" w:eastAsia="Calibri" w:hAnsi="Arial" w:cs="Arial"/>
          <w:color w:val="000000" w:themeColor="text1"/>
          <w:sz w:val="22"/>
          <w:lang w:val="es-ES_tradnl"/>
        </w:rPr>
        <w:t xml:space="preserve">del </w:t>
      </w:r>
      <w:r w:rsidR="00634C03" w:rsidRPr="00634C03">
        <w:rPr>
          <w:rFonts w:ascii="Arial" w:eastAsia="Calibri" w:hAnsi="Arial" w:cs="Arial"/>
          <w:color w:val="000000" w:themeColor="text1"/>
          <w:sz w:val="22"/>
          <w:lang w:val="es-ES_tradnl"/>
        </w:rPr>
        <w:t>2</w:t>
      </w:r>
      <w:r w:rsidR="003F6E38">
        <w:rPr>
          <w:rFonts w:ascii="Arial" w:eastAsia="Calibri" w:hAnsi="Arial" w:cs="Arial"/>
          <w:color w:val="000000" w:themeColor="text1"/>
          <w:sz w:val="22"/>
          <w:lang w:val="es-ES_tradnl"/>
        </w:rPr>
        <w:t>8</w:t>
      </w:r>
      <w:r w:rsidR="00F21D6D" w:rsidRPr="00634C03">
        <w:rPr>
          <w:rFonts w:ascii="Arial" w:eastAsia="Calibri" w:hAnsi="Arial" w:cs="Arial"/>
          <w:color w:val="000000" w:themeColor="text1"/>
          <w:sz w:val="22"/>
          <w:lang w:val="es-ES_tradnl"/>
        </w:rPr>
        <w:t xml:space="preserve"> de </w:t>
      </w:r>
      <w:r w:rsidR="003F6E38">
        <w:rPr>
          <w:rFonts w:ascii="Arial" w:eastAsia="Calibri" w:hAnsi="Arial" w:cs="Arial"/>
          <w:color w:val="000000" w:themeColor="text1"/>
          <w:sz w:val="22"/>
          <w:lang w:val="es-ES_tradnl"/>
        </w:rPr>
        <w:t xml:space="preserve">agosto </w:t>
      </w:r>
      <w:r w:rsidR="00990BC7">
        <w:rPr>
          <w:rFonts w:ascii="Arial" w:eastAsia="Calibri" w:hAnsi="Arial" w:cs="Arial"/>
          <w:color w:val="000000" w:themeColor="text1"/>
          <w:sz w:val="22"/>
          <w:lang w:val="es-ES_tradnl"/>
        </w:rPr>
        <w:t xml:space="preserve">de </w:t>
      </w:r>
      <w:r w:rsidR="00F21D6D" w:rsidRPr="00634C03">
        <w:rPr>
          <w:rFonts w:ascii="Arial" w:eastAsia="Calibri" w:hAnsi="Arial" w:cs="Arial"/>
          <w:color w:val="000000" w:themeColor="text1"/>
          <w:sz w:val="22"/>
          <w:lang w:val="es-ES_tradnl"/>
        </w:rPr>
        <w:t>2021.</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5308287" w14:textId="555E318B" w:rsidR="003F6E38" w:rsidRPr="003F6E38" w:rsidRDefault="00827203" w:rsidP="003F6E38">
      <w:pPr>
        <w:spacing w:line="276" w:lineRule="auto"/>
        <w:jc w:val="both"/>
        <w:rPr>
          <w:rFonts w:ascii="Arial" w:hAnsi="Arial" w:cs="Arial"/>
          <w:bCs/>
          <w:color w:val="000000" w:themeColor="text1"/>
          <w:sz w:val="22"/>
          <w:szCs w:val="22"/>
          <w:lang w:val="es-ES_tradnl"/>
        </w:rPr>
      </w:pPr>
      <w:r w:rsidRPr="00634C03">
        <w:rPr>
          <w:rFonts w:ascii="Arial" w:hAnsi="Arial" w:cs="Arial"/>
          <w:color w:val="000000" w:themeColor="text1"/>
          <w:sz w:val="22"/>
          <w:szCs w:val="22"/>
          <w:lang w:val="es-ES_tradnl"/>
        </w:rPr>
        <w:t xml:space="preserve">Usted formula </w:t>
      </w:r>
      <w:r w:rsidR="00026092" w:rsidRPr="00634C03">
        <w:rPr>
          <w:rFonts w:ascii="Arial" w:hAnsi="Arial" w:cs="Arial"/>
          <w:color w:val="000000" w:themeColor="text1"/>
          <w:sz w:val="22"/>
          <w:szCs w:val="22"/>
          <w:lang w:val="es-ES_tradnl"/>
        </w:rPr>
        <w:t>la</w:t>
      </w:r>
      <w:r w:rsidR="00BB43A7" w:rsidRPr="00634C03">
        <w:rPr>
          <w:rFonts w:ascii="Arial" w:hAnsi="Arial" w:cs="Arial"/>
          <w:color w:val="000000" w:themeColor="text1"/>
          <w:sz w:val="22"/>
          <w:szCs w:val="22"/>
          <w:lang w:val="es-ES_tradnl"/>
        </w:rPr>
        <w:t>s</w:t>
      </w:r>
      <w:r w:rsidR="00026092" w:rsidRPr="00634C03">
        <w:rPr>
          <w:rFonts w:ascii="Arial" w:hAnsi="Arial" w:cs="Arial"/>
          <w:color w:val="000000" w:themeColor="text1"/>
          <w:sz w:val="22"/>
          <w:szCs w:val="22"/>
          <w:lang w:val="es-ES_tradnl"/>
        </w:rPr>
        <w:t xml:space="preserve"> siguiente</w:t>
      </w:r>
      <w:r w:rsidR="00BB43A7" w:rsidRPr="00634C03">
        <w:rPr>
          <w:rFonts w:ascii="Arial" w:hAnsi="Arial" w:cs="Arial"/>
          <w:color w:val="000000" w:themeColor="text1"/>
          <w:sz w:val="22"/>
          <w:szCs w:val="22"/>
          <w:lang w:val="es-ES_tradnl"/>
        </w:rPr>
        <w:t>s</w:t>
      </w:r>
      <w:r w:rsidR="00AC4D8F" w:rsidRPr="00634C03">
        <w:rPr>
          <w:rFonts w:ascii="Arial" w:hAnsi="Arial" w:cs="Arial"/>
          <w:color w:val="000000" w:themeColor="text1"/>
          <w:sz w:val="22"/>
          <w:szCs w:val="22"/>
          <w:lang w:val="es-ES_tradnl"/>
        </w:rPr>
        <w:t xml:space="preserve"> consulta</w:t>
      </w:r>
      <w:r w:rsidR="00BB43A7" w:rsidRPr="00634C03">
        <w:rPr>
          <w:rFonts w:ascii="Arial" w:hAnsi="Arial" w:cs="Arial"/>
          <w:color w:val="000000" w:themeColor="text1"/>
          <w:sz w:val="22"/>
          <w:szCs w:val="22"/>
          <w:lang w:val="es-ES_tradnl"/>
        </w:rPr>
        <w:t>s</w:t>
      </w:r>
      <w:r w:rsidR="007577DA" w:rsidRPr="00634C03">
        <w:rPr>
          <w:rFonts w:ascii="Arial" w:hAnsi="Arial" w:cs="Arial"/>
          <w:color w:val="000000" w:themeColor="text1"/>
          <w:sz w:val="22"/>
          <w:szCs w:val="22"/>
          <w:lang w:val="es-ES_tradnl"/>
        </w:rPr>
        <w:t>:</w:t>
      </w:r>
      <w:r w:rsidR="00867167">
        <w:rPr>
          <w:rFonts w:ascii="Arial" w:hAnsi="Arial" w:cs="Arial"/>
          <w:color w:val="000000" w:themeColor="text1"/>
          <w:sz w:val="22"/>
          <w:szCs w:val="22"/>
          <w:lang w:val="es-ES_tradnl"/>
        </w:rPr>
        <w:t xml:space="preserve"> </w:t>
      </w:r>
      <w:r w:rsidR="00634C03" w:rsidRPr="00634C03">
        <w:rPr>
          <w:rFonts w:ascii="Arial" w:hAnsi="Arial" w:cs="Arial"/>
          <w:color w:val="000000" w:themeColor="text1"/>
          <w:sz w:val="22"/>
          <w:szCs w:val="22"/>
          <w:lang w:val="es-ES_tradnl"/>
        </w:rPr>
        <w:t xml:space="preserve">i) </w:t>
      </w:r>
      <w:bookmarkStart w:id="4" w:name="_Hlk82003737"/>
      <w:r w:rsidR="00634C03" w:rsidRPr="00634C03">
        <w:rPr>
          <w:rFonts w:ascii="Arial" w:hAnsi="Arial" w:cs="Arial"/>
          <w:color w:val="000000" w:themeColor="text1"/>
          <w:sz w:val="22"/>
          <w:szCs w:val="22"/>
          <w:lang w:val="es-ES_tradnl"/>
        </w:rPr>
        <w:t>«</w:t>
      </w:r>
      <w:bookmarkEnd w:id="4"/>
      <w:r w:rsidR="003F6E38" w:rsidRPr="003F6E38">
        <w:rPr>
          <w:rFonts w:ascii="Arial" w:hAnsi="Arial" w:cs="Arial"/>
          <w:bCs/>
          <w:color w:val="000000" w:themeColor="text1"/>
          <w:sz w:val="22"/>
          <w:szCs w:val="22"/>
          <w:lang w:val="es-ES_tradnl"/>
        </w:rPr>
        <w:t>¿La garantía de la seriedad de la oferta debe ser aprobada por la entidad contratante?</w:t>
      </w:r>
      <w:r w:rsidR="003F6E38" w:rsidRPr="003F6E38">
        <w:rPr>
          <w:rFonts w:ascii="Arial" w:hAnsi="Arial" w:cs="Arial"/>
          <w:bCs/>
          <w:color w:val="000000" w:themeColor="text1"/>
          <w:sz w:val="22"/>
          <w:szCs w:val="22"/>
        </w:rPr>
        <w:t xml:space="preserve">» </w:t>
      </w:r>
      <w:r w:rsidR="003F6E38">
        <w:rPr>
          <w:rFonts w:ascii="Arial" w:hAnsi="Arial" w:cs="Arial"/>
          <w:bCs/>
          <w:color w:val="000000" w:themeColor="text1"/>
          <w:sz w:val="22"/>
          <w:szCs w:val="22"/>
        </w:rPr>
        <w:t xml:space="preserve">y </w:t>
      </w:r>
      <w:proofErr w:type="spellStart"/>
      <w:r w:rsidR="003F6E38">
        <w:rPr>
          <w:rFonts w:ascii="Arial" w:hAnsi="Arial" w:cs="Arial"/>
          <w:bCs/>
          <w:color w:val="000000" w:themeColor="text1"/>
          <w:sz w:val="22"/>
          <w:szCs w:val="22"/>
        </w:rPr>
        <w:t>ii</w:t>
      </w:r>
      <w:proofErr w:type="spellEnd"/>
      <w:r w:rsidR="003F6E38">
        <w:rPr>
          <w:rFonts w:ascii="Arial" w:hAnsi="Arial" w:cs="Arial"/>
          <w:bCs/>
          <w:color w:val="000000" w:themeColor="text1"/>
          <w:sz w:val="22"/>
          <w:szCs w:val="22"/>
        </w:rPr>
        <w:t xml:space="preserve">) </w:t>
      </w:r>
      <w:r w:rsidR="003F6E38" w:rsidRPr="00634C03">
        <w:rPr>
          <w:rFonts w:ascii="Arial" w:hAnsi="Arial" w:cs="Arial"/>
          <w:color w:val="000000" w:themeColor="text1"/>
          <w:sz w:val="22"/>
          <w:szCs w:val="22"/>
          <w:lang w:val="es-ES_tradnl"/>
        </w:rPr>
        <w:t>«</w:t>
      </w:r>
      <w:r w:rsidR="003F6E38" w:rsidRPr="003F6E38">
        <w:rPr>
          <w:rFonts w:ascii="Arial" w:hAnsi="Arial" w:cs="Arial"/>
          <w:bCs/>
          <w:color w:val="000000" w:themeColor="text1"/>
          <w:sz w:val="22"/>
          <w:szCs w:val="22"/>
        </w:rPr>
        <w:t xml:space="preserve">la aprobación de la garantía prevista en el artículo 41 de la ley 80 de 1993, debe ser comunicada o notificada a la compañía aseguradora?»  </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7A4474A5" w14:textId="5DE2883A" w:rsidR="00892955" w:rsidRDefault="007577DA" w:rsidP="00892955">
      <w:pPr>
        <w:spacing w:line="276" w:lineRule="auto"/>
        <w:jc w:val="both"/>
        <w:rPr>
          <w:rFonts w:ascii="Arial" w:eastAsia="Calibri" w:hAnsi="Arial" w:cs="Arial"/>
          <w:bCs/>
          <w:color w:val="000000" w:themeColor="text1"/>
          <w:sz w:val="22"/>
          <w:lang w:val="es-MX"/>
        </w:rPr>
      </w:pPr>
      <w:r>
        <w:rPr>
          <w:rFonts w:ascii="Arial" w:eastAsia="Calibri" w:hAnsi="Arial" w:cs="Arial"/>
          <w:color w:val="000000" w:themeColor="text1"/>
          <w:sz w:val="22"/>
          <w:szCs w:val="22"/>
        </w:rPr>
        <w:lastRenderedPageBreak/>
        <w:t>Para responder sus interrogantes,</w:t>
      </w:r>
      <w:r w:rsidR="00634C03">
        <w:rPr>
          <w:rFonts w:ascii="Arial" w:eastAsia="Calibri" w:hAnsi="Arial" w:cs="Arial"/>
          <w:color w:val="000000" w:themeColor="text1"/>
          <w:sz w:val="22"/>
          <w:szCs w:val="22"/>
        </w:rPr>
        <w:t xml:space="preserve"> </w:t>
      </w:r>
      <w:r>
        <w:rPr>
          <w:rFonts w:ascii="Arial" w:eastAsia="Calibri" w:hAnsi="Arial" w:cs="Arial"/>
          <w:color w:val="000000" w:themeColor="text1"/>
          <w:sz w:val="22"/>
          <w:lang w:val="es-ES"/>
        </w:rPr>
        <w:t>se analizarán los siguientes temas</w:t>
      </w:r>
      <w:r w:rsidRPr="00964099">
        <w:rPr>
          <w:rFonts w:ascii="Arial" w:eastAsia="Calibri" w:hAnsi="Arial" w:cs="Arial"/>
          <w:bCs/>
          <w:color w:val="000000" w:themeColor="text1"/>
          <w:sz w:val="22"/>
        </w:rPr>
        <w:t>: i)</w:t>
      </w:r>
      <w:r w:rsidR="003F6E38" w:rsidRPr="003F6E38">
        <w:rPr>
          <w:rFonts w:ascii="Arial" w:eastAsia="Calibri" w:hAnsi="Arial" w:cs="Arial"/>
          <w:color w:val="000000"/>
          <w:sz w:val="20"/>
          <w:szCs w:val="20"/>
          <w:lang w:val="es-ES_tradnl" w:eastAsia="en-GB"/>
        </w:rPr>
        <w:t xml:space="preserve"> </w:t>
      </w:r>
      <w:r w:rsidR="003F6E38">
        <w:rPr>
          <w:rFonts w:ascii="Arial" w:eastAsia="Calibri" w:hAnsi="Arial" w:cs="Arial"/>
          <w:bCs/>
          <w:color w:val="000000" w:themeColor="text1"/>
          <w:sz w:val="22"/>
          <w:lang w:val="es-ES_tradnl"/>
        </w:rPr>
        <w:t>a</w:t>
      </w:r>
      <w:r w:rsidR="003F6E38" w:rsidRPr="003F6E38">
        <w:rPr>
          <w:rFonts w:ascii="Arial" w:eastAsia="Calibri" w:hAnsi="Arial" w:cs="Arial"/>
          <w:bCs/>
          <w:color w:val="000000" w:themeColor="text1"/>
          <w:sz w:val="22"/>
          <w:lang w:val="es-ES_tradnl"/>
        </w:rPr>
        <w:t>probación de la</w:t>
      </w:r>
      <w:r w:rsidR="00892955">
        <w:rPr>
          <w:rFonts w:ascii="Arial" w:eastAsia="Calibri" w:hAnsi="Arial" w:cs="Arial"/>
          <w:bCs/>
          <w:color w:val="000000" w:themeColor="text1"/>
          <w:sz w:val="22"/>
          <w:lang w:val="es-ES_tradnl"/>
        </w:rPr>
        <w:t xml:space="preserve">s garantías </w:t>
      </w:r>
      <w:r w:rsidR="003F6E38" w:rsidRPr="003F6E38">
        <w:rPr>
          <w:rFonts w:ascii="Arial" w:eastAsia="Calibri" w:hAnsi="Arial" w:cs="Arial"/>
          <w:bCs/>
          <w:color w:val="000000" w:themeColor="text1"/>
          <w:sz w:val="22"/>
          <w:lang w:val="es-ES_tradnl"/>
        </w:rPr>
        <w:t>como requisito de ejecución del contrato</w:t>
      </w:r>
      <w:r w:rsidR="003F6E38">
        <w:rPr>
          <w:rFonts w:ascii="Arial" w:eastAsia="Calibri" w:hAnsi="Arial" w:cs="Arial"/>
          <w:bCs/>
          <w:color w:val="000000" w:themeColor="text1"/>
          <w:sz w:val="22"/>
          <w:lang w:val="es-ES_tradnl"/>
        </w:rPr>
        <w:t xml:space="preserve"> y ii) la </w:t>
      </w:r>
      <w:r w:rsidR="003F6E38">
        <w:rPr>
          <w:rFonts w:ascii="Arial" w:eastAsia="Calibri" w:hAnsi="Arial" w:cs="Arial"/>
          <w:bCs/>
          <w:color w:val="000000" w:themeColor="text1"/>
          <w:sz w:val="22"/>
          <w:lang w:val="es-MX"/>
        </w:rPr>
        <w:t>g</w:t>
      </w:r>
      <w:r w:rsidR="003F6E38" w:rsidRPr="003F6E38">
        <w:rPr>
          <w:rFonts w:ascii="Arial" w:eastAsia="Calibri" w:hAnsi="Arial" w:cs="Arial"/>
          <w:bCs/>
          <w:color w:val="000000" w:themeColor="text1"/>
          <w:sz w:val="22"/>
          <w:lang w:val="es-MX"/>
        </w:rPr>
        <w:t>arantía de seriedad de la oferta</w:t>
      </w:r>
      <w:r w:rsidR="003F6E38">
        <w:rPr>
          <w:rFonts w:ascii="Arial" w:eastAsia="Calibri" w:hAnsi="Arial" w:cs="Arial"/>
          <w:bCs/>
          <w:color w:val="000000" w:themeColor="text1"/>
          <w:sz w:val="22"/>
          <w:lang w:val="es-MX"/>
        </w:rPr>
        <w:t>.</w:t>
      </w:r>
      <w:bookmarkStart w:id="5" w:name="_Hlk38448224"/>
    </w:p>
    <w:p w14:paraId="280D5495" w14:textId="78B4030A" w:rsidR="009F29A5" w:rsidRPr="00892955" w:rsidRDefault="009F29A5" w:rsidP="00892955">
      <w:pPr>
        <w:spacing w:before="120" w:line="276" w:lineRule="auto"/>
        <w:ind w:firstLine="709"/>
        <w:jc w:val="both"/>
        <w:rPr>
          <w:rFonts w:ascii="Arial" w:eastAsia="Calibri" w:hAnsi="Arial" w:cs="Arial"/>
          <w:bCs/>
          <w:color w:val="000000" w:themeColor="text1"/>
          <w:sz w:val="22"/>
          <w:lang w:val="es-MX"/>
        </w:rPr>
      </w:pPr>
      <w:r>
        <w:rPr>
          <w:rFonts w:ascii="Arial" w:eastAsia="Calibri" w:hAnsi="Arial" w:cs="Arial"/>
          <w:sz w:val="22"/>
        </w:rPr>
        <w:t xml:space="preserve">La Agencia </w:t>
      </w:r>
      <w:r>
        <w:rPr>
          <w:rFonts w:ascii="Arial" w:eastAsia="Calibri" w:hAnsi="Arial" w:cs="Arial"/>
          <w:bCs/>
          <w:sz w:val="22"/>
        </w:rPr>
        <w:t>Nacional de Contratación Pública – Colombia Compra Eficiente,</w:t>
      </w:r>
      <w:r>
        <w:t xml:space="preserve"> </w:t>
      </w:r>
      <w:r>
        <w:rPr>
          <w:rFonts w:ascii="Arial" w:eastAsia="Calibri" w:hAnsi="Arial" w:cs="Arial"/>
          <w:bCs/>
          <w:sz w:val="22"/>
        </w:rPr>
        <w:t xml:space="preserve">en </w:t>
      </w:r>
      <w:r w:rsidR="00867167">
        <w:rPr>
          <w:rFonts w:ascii="Arial" w:eastAsia="Calibri" w:hAnsi="Arial" w:cs="Arial"/>
          <w:bCs/>
          <w:sz w:val="22"/>
        </w:rPr>
        <w:t xml:space="preserve">los </w:t>
      </w:r>
      <w:r>
        <w:rPr>
          <w:rFonts w:ascii="Arial" w:eastAsia="Calibri" w:hAnsi="Arial" w:cs="Arial"/>
          <w:bCs/>
          <w:sz w:val="22"/>
        </w:rPr>
        <w:t>concepto</w:t>
      </w:r>
      <w:r w:rsidR="00867167">
        <w:rPr>
          <w:rFonts w:ascii="Arial" w:eastAsia="Calibri" w:hAnsi="Arial" w:cs="Arial"/>
          <w:bCs/>
          <w:sz w:val="22"/>
        </w:rPr>
        <w:t>s</w:t>
      </w:r>
      <w:r>
        <w:rPr>
          <w:rFonts w:ascii="Arial" w:eastAsia="Calibri" w:hAnsi="Arial" w:cs="Arial"/>
          <w:bCs/>
          <w:sz w:val="22"/>
        </w:rPr>
        <w:t xml:space="preserve"> con radicado </w:t>
      </w:r>
      <w:r w:rsidR="0008569C" w:rsidRPr="00A906FE">
        <w:rPr>
          <w:rFonts w:ascii="Arial" w:eastAsia="Calibri" w:hAnsi="Arial" w:cs="Arial"/>
          <w:color w:val="000000" w:themeColor="text1"/>
          <w:sz w:val="22"/>
        </w:rPr>
        <w:t>4201913000006471</w:t>
      </w:r>
      <w:r w:rsidR="0008569C">
        <w:rPr>
          <w:rFonts w:ascii="Arial" w:eastAsia="Calibri" w:hAnsi="Arial" w:cs="Arial"/>
          <w:color w:val="000000" w:themeColor="text1"/>
          <w:sz w:val="22"/>
        </w:rPr>
        <w:t xml:space="preserve"> del 28 de octubre de 2019, </w:t>
      </w:r>
      <w:r w:rsidR="00867167">
        <w:rPr>
          <w:rFonts w:ascii="Arial" w:eastAsia="Calibri" w:hAnsi="Arial" w:cs="Arial"/>
          <w:color w:val="000000" w:themeColor="text1"/>
          <w:sz w:val="22"/>
        </w:rPr>
        <w:t xml:space="preserve">radicado </w:t>
      </w:r>
      <w:r w:rsidR="0008569C" w:rsidRPr="00A906FE">
        <w:rPr>
          <w:rFonts w:ascii="Arial" w:eastAsia="Calibri" w:hAnsi="Arial" w:cs="Arial"/>
          <w:color w:val="000000" w:themeColor="text1"/>
          <w:sz w:val="22"/>
        </w:rPr>
        <w:t>4201912000006453</w:t>
      </w:r>
      <w:r w:rsidR="0008569C">
        <w:rPr>
          <w:rFonts w:ascii="Arial" w:eastAsia="Calibri" w:hAnsi="Arial" w:cs="Arial"/>
          <w:color w:val="000000" w:themeColor="text1"/>
          <w:sz w:val="22"/>
        </w:rPr>
        <w:t xml:space="preserve"> del 14 de noviembre de 2019,</w:t>
      </w:r>
      <w:r w:rsidR="0008569C" w:rsidRPr="0008569C">
        <w:rPr>
          <w:rFonts w:ascii="Arial" w:eastAsia="Calibri" w:hAnsi="Arial" w:cs="Arial"/>
          <w:color w:val="000000"/>
          <w:sz w:val="22"/>
          <w:lang w:val="es-ES"/>
        </w:rPr>
        <w:t xml:space="preserve"> </w:t>
      </w:r>
      <w:r w:rsidR="006E4765" w:rsidRPr="006E4765">
        <w:rPr>
          <w:rFonts w:ascii="Arial" w:eastAsia="Calibri" w:hAnsi="Arial" w:cs="Arial"/>
          <w:bCs/>
          <w:color w:val="000000" w:themeColor="text1"/>
          <w:sz w:val="22"/>
          <w:lang w:val="es-MX"/>
        </w:rPr>
        <w:t>C-218 del 2 de abril de 2020</w:t>
      </w:r>
      <w:r w:rsidR="006E4765">
        <w:rPr>
          <w:rFonts w:ascii="Arial" w:eastAsia="Calibri" w:hAnsi="Arial" w:cs="Arial"/>
          <w:bCs/>
          <w:color w:val="000000" w:themeColor="text1"/>
          <w:sz w:val="22"/>
          <w:lang w:val="es-MX"/>
        </w:rPr>
        <w:t xml:space="preserve">, </w:t>
      </w:r>
      <w:r w:rsidR="0008569C" w:rsidRPr="00386009">
        <w:rPr>
          <w:rFonts w:ascii="Arial" w:eastAsia="Calibri" w:hAnsi="Arial" w:cs="Arial"/>
          <w:color w:val="000000"/>
          <w:sz w:val="22"/>
          <w:lang w:val="es-ES"/>
        </w:rPr>
        <w:t>C</w:t>
      </w:r>
      <w:r w:rsidR="0008569C">
        <w:rPr>
          <w:rFonts w:ascii="Arial" w:eastAsia="Calibri" w:hAnsi="Arial" w:cs="Arial"/>
          <w:color w:val="000000"/>
          <w:sz w:val="22"/>
          <w:lang w:val="es-ES"/>
        </w:rPr>
        <w:t>-</w:t>
      </w:r>
      <w:r w:rsidR="0008569C" w:rsidRPr="00386009">
        <w:rPr>
          <w:rFonts w:ascii="Arial" w:eastAsia="Calibri" w:hAnsi="Arial" w:cs="Arial"/>
          <w:color w:val="000000"/>
          <w:sz w:val="22"/>
          <w:lang w:val="es-ES"/>
        </w:rPr>
        <w:t>229 del 16 de abril de 2020</w:t>
      </w:r>
      <w:r w:rsidR="0008569C">
        <w:rPr>
          <w:rFonts w:ascii="Arial" w:eastAsia="Calibri" w:hAnsi="Arial" w:cs="Arial"/>
          <w:color w:val="000000"/>
          <w:sz w:val="22"/>
          <w:lang w:val="es-ES"/>
        </w:rPr>
        <w:t>,</w:t>
      </w:r>
      <w:r w:rsidR="0008569C">
        <w:rPr>
          <w:rFonts w:ascii="Arial" w:eastAsia="Calibri" w:hAnsi="Arial" w:cs="Arial"/>
          <w:color w:val="000000" w:themeColor="text1"/>
          <w:sz w:val="22"/>
        </w:rPr>
        <w:t xml:space="preserve"> </w:t>
      </w:r>
      <w:r w:rsidR="006E4765" w:rsidRPr="006E4765">
        <w:rPr>
          <w:rFonts w:ascii="Arial" w:eastAsia="Calibri" w:hAnsi="Arial" w:cs="Arial"/>
          <w:bCs/>
          <w:color w:val="000000" w:themeColor="text1"/>
          <w:sz w:val="22"/>
          <w:lang w:val="es-MX"/>
        </w:rPr>
        <w:t>C-307 del 21 de mayo de 2020</w:t>
      </w:r>
      <w:r w:rsidR="006E4765">
        <w:rPr>
          <w:rFonts w:ascii="Arial" w:eastAsia="Calibri" w:hAnsi="Arial" w:cs="Arial"/>
          <w:bCs/>
          <w:color w:val="000000" w:themeColor="text1"/>
          <w:sz w:val="22"/>
          <w:lang w:val="es-MX"/>
        </w:rPr>
        <w:t xml:space="preserve">, </w:t>
      </w:r>
      <w:r w:rsidR="006E4765">
        <w:rPr>
          <w:rFonts w:ascii="Arial" w:eastAsia="Calibri" w:hAnsi="Arial" w:cs="Arial"/>
          <w:color w:val="000000" w:themeColor="text1"/>
          <w:sz w:val="22"/>
        </w:rPr>
        <w:t xml:space="preserve">C-391 del 3 de agosto de 2020, </w:t>
      </w:r>
      <w:r w:rsidR="0008569C">
        <w:rPr>
          <w:rFonts w:ascii="Arial" w:eastAsia="Calibri" w:hAnsi="Arial" w:cs="Arial"/>
          <w:color w:val="000000" w:themeColor="text1"/>
          <w:sz w:val="22"/>
        </w:rPr>
        <w:t>C-577 del 16 de septiembre de 2020</w:t>
      </w:r>
      <w:r w:rsidR="006E4765">
        <w:rPr>
          <w:rFonts w:ascii="Arial" w:eastAsia="Calibri" w:hAnsi="Arial" w:cs="Arial"/>
          <w:bCs/>
          <w:color w:val="000000" w:themeColor="text1"/>
          <w:sz w:val="22"/>
        </w:rPr>
        <w:t xml:space="preserve">, </w:t>
      </w:r>
      <w:r w:rsidR="006E4765" w:rsidRPr="006E4765">
        <w:rPr>
          <w:rFonts w:ascii="Arial" w:eastAsia="Calibri" w:hAnsi="Arial" w:cs="Arial"/>
          <w:bCs/>
          <w:color w:val="000000" w:themeColor="text1"/>
          <w:sz w:val="22"/>
          <w:lang w:val="es-MX"/>
        </w:rPr>
        <w:t>C-683 del 21 de noviembre de 2020</w:t>
      </w:r>
      <w:r w:rsidR="009004DF">
        <w:rPr>
          <w:rFonts w:ascii="Arial" w:eastAsia="Calibri" w:hAnsi="Arial" w:cs="Arial"/>
          <w:bCs/>
          <w:color w:val="000000" w:themeColor="text1"/>
          <w:sz w:val="22"/>
          <w:lang w:val="es-MX"/>
        </w:rPr>
        <w:t xml:space="preserve">, </w:t>
      </w:r>
      <w:r w:rsidR="006E4765" w:rsidRPr="006E4765">
        <w:rPr>
          <w:rFonts w:ascii="Arial" w:eastAsia="Calibri" w:hAnsi="Arial" w:cs="Arial"/>
          <w:bCs/>
          <w:color w:val="000000" w:themeColor="text1"/>
          <w:sz w:val="22"/>
          <w:lang w:val="es-MX"/>
        </w:rPr>
        <w:t xml:space="preserve">C-675 del 25 de noviembre de 2020 </w:t>
      </w:r>
      <w:r w:rsidR="0008569C">
        <w:rPr>
          <w:rFonts w:ascii="Arial" w:eastAsia="Calibri" w:hAnsi="Arial" w:cs="Arial"/>
          <w:color w:val="000000" w:themeColor="text1"/>
          <w:sz w:val="22"/>
        </w:rPr>
        <w:t xml:space="preserve">y C-080 del 8 de abril de 2021, explicó </w:t>
      </w:r>
      <w:r w:rsidR="009004DF" w:rsidRPr="006E4765">
        <w:rPr>
          <w:rFonts w:ascii="Arial" w:eastAsia="Calibri" w:hAnsi="Arial" w:cs="Arial"/>
          <w:bCs/>
          <w:color w:val="000000" w:themeColor="text1"/>
          <w:sz w:val="22"/>
          <w:lang w:val="es-MX"/>
        </w:rPr>
        <w:t>aspectos relativos a la garantía de seriedad de la oferta, su finalidad, vigencia y subsanabilidad</w:t>
      </w:r>
      <w:r>
        <w:rPr>
          <w:rFonts w:ascii="Arial" w:eastAsia="Calibri" w:hAnsi="Arial" w:cs="Arial"/>
          <w:sz w:val="22"/>
        </w:rPr>
        <w:t xml:space="preserve">. La tesis desarrollada </w:t>
      </w:r>
      <w:r w:rsidR="00867167">
        <w:rPr>
          <w:rFonts w:ascii="Arial" w:eastAsia="Calibri" w:hAnsi="Arial" w:cs="Arial"/>
          <w:sz w:val="22"/>
        </w:rPr>
        <w:t xml:space="preserve">en estos conceptos </w:t>
      </w:r>
      <w:r>
        <w:rPr>
          <w:rFonts w:ascii="Arial" w:eastAsia="Calibri" w:hAnsi="Arial" w:cs="Arial"/>
          <w:sz w:val="22"/>
        </w:rPr>
        <w:t xml:space="preserve">se expone </w:t>
      </w:r>
      <w:r w:rsidR="00867167">
        <w:rPr>
          <w:rFonts w:ascii="Arial" w:eastAsia="Calibri" w:hAnsi="Arial" w:cs="Arial"/>
          <w:sz w:val="22"/>
        </w:rPr>
        <w:t>en el acápite respectivo.</w:t>
      </w:r>
    </w:p>
    <w:bookmarkEnd w:id="5"/>
    <w:p w14:paraId="29675D48" w14:textId="77777777" w:rsidR="006E4765" w:rsidRPr="00E23980" w:rsidRDefault="006E4765" w:rsidP="0030600C">
      <w:pPr>
        <w:tabs>
          <w:tab w:val="left" w:pos="0"/>
        </w:tabs>
        <w:spacing w:line="276" w:lineRule="auto"/>
        <w:jc w:val="both"/>
        <w:rPr>
          <w:rFonts w:ascii="Arial" w:eastAsia="Calibri" w:hAnsi="Arial" w:cs="Arial"/>
          <w:b/>
          <w:color w:val="000000" w:themeColor="text1"/>
          <w:sz w:val="22"/>
          <w:lang w:val="es-ES_tradnl"/>
        </w:rPr>
      </w:pPr>
    </w:p>
    <w:p w14:paraId="2E23BE37" w14:textId="092091C4" w:rsidR="00BD6ED4" w:rsidRDefault="00505DCB" w:rsidP="006400CE">
      <w:pPr>
        <w:spacing w:line="276" w:lineRule="auto"/>
        <w:jc w:val="both"/>
        <w:rPr>
          <w:rFonts w:ascii="Arial" w:eastAsia="Calibri" w:hAnsi="Arial" w:cs="Arial"/>
          <w:b/>
          <w:bCs/>
          <w:color w:val="000000"/>
          <w:sz w:val="22"/>
          <w:lang w:val="es-ES_tradnl" w:eastAsia="en-GB"/>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9004DF">
        <w:rPr>
          <w:rFonts w:ascii="Arial" w:eastAsia="Calibri" w:hAnsi="Arial" w:cs="Arial"/>
          <w:b/>
          <w:bCs/>
          <w:color w:val="000000"/>
          <w:sz w:val="22"/>
          <w:lang w:val="es-ES_tradnl" w:eastAsia="en-GB"/>
        </w:rPr>
        <w:t>A</w:t>
      </w:r>
      <w:r w:rsidR="009004DF" w:rsidRPr="009004DF">
        <w:rPr>
          <w:rFonts w:ascii="Arial" w:eastAsia="Calibri" w:hAnsi="Arial" w:cs="Arial"/>
          <w:b/>
          <w:bCs/>
          <w:color w:val="000000"/>
          <w:sz w:val="22"/>
          <w:lang w:val="es-ES_tradnl" w:eastAsia="en-GB"/>
        </w:rPr>
        <w:t>probación de la</w:t>
      </w:r>
      <w:r w:rsidR="00892955">
        <w:rPr>
          <w:rFonts w:ascii="Arial" w:eastAsia="Calibri" w:hAnsi="Arial" w:cs="Arial"/>
          <w:b/>
          <w:bCs/>
          <w:color w:val="000000"/>
          <w:sz w:val="22"/>
          <w:lang w:val="es-ES_tradnl" w:eastAsia="en-GB"/>
        </w:rPr>
        <w:t>s garantías</w:t>
      </w:r>
      <w:r w:rsidR="00E80E80">
        <w:rPr>
          <w:rFonts w:ascii="Arial" w:eastAsia="Calibri" w:hAnsi="Arial" w:cs="Arial"/>
          <w:b/>
          <w:bCs/>
          <w:color w:val="000000"/>
          <w:sz w:val="22"/>
          <w:lang w:val="es-ES_tradnl" w:eastAsia="en-GB"/>
        </w:rPr>
        <w:t xml:space="preserve"> como</w:t>
      </w:r>
      <w:r w:rsidR="00892955">
        <w:rPr>
          <w:rFonts w:ascii="Arial" w:eastAsia="Calibri" w:hAnsi="Arial" w:cs="Arial"/>
          <w:b/>
          <w:bCs/>
          <w:color w:val="000000"/>
          <w:sz w:val="22"/>
          <w:lang w:val="es-ES_tradnl" w:eastAsia="en-GB"/>
        </w:rPr>
        <w:t xml:space="preserve"> </w:t>
      </w:r>
      <w:r w:rsidR="009004DF" w:rsidRPr="009004DF">
        <w:rPr>
          <w:rFonts w:ascii="Arial" w:eastAsia="Calibri" w:hAnsi="Arial" w:cs="Arial"/>
          <w:b/>
          <w:bCs/>
          <w:color w:val="000000"/>
          <w:sz w:val="22"/>
          <w:lang w:val="es-ES_tradnl" w:eastAsia="en-GB"/>
        </w:rPr>
        <w:t>requisito de ejecución del contrato</w:t>
      </w:r>
    </w:p>
    <w:p w14:paraId="1FA0CBB6" w14:textId="77777777" w:rsidR="002C4D2F" w:rsidRPr="002C4D2F" w:rsidRDefault="002C4D2F" w:rsidP="006400CE">
      <w:pPr>
        <w:spacing w:line="276" w:lineRule="auto"/>
        <w:jc w:val="both"/>
        <w:rPr>
          <w:rFonts w:ascii="Arial" w:eastAsia="Calibri" w:hAnsi="Arial" w:cs="Arial"/>
          <w:b/>
          <w:bCs/>
          <w:color w:val="000000"/>
          <w:sz w:val="22"/>
          <w:lang w:eastAsia="en-GB"/>
        </w:rPr>
      </w:pPr>
    </w:p>
    <w:p w14:paraId="7167ACF8" w14:textId="77777777" w:rsidR="002C4D2F" w:rsidRDefault="002C4D2F" w:rsidP="002C4D2F">
      <w:pPr>
        <w:spacing w:line="276" w:lineRule="auto"/>
        <w:jc w:val="both"/>
        <w:rPr>
          <w:rFonts w:ascii="Arial" w:eastAsia="Calibri" w:hAnsi="Arial" w:cs="Arial"/>
          <w:color w:val="000000" w:themeColor="text1"/>
          <w:sz w:val="22"/>
          <w:szCs w:val="22"/>
          <w:lang w:val="es-ES_tradnl" w:eastAsia="en-US"/>
        </w:rPr>
      </w:pPr>
      <w:r>
        <w:rPr>
          <w:rFonts w:ascii="Arial" w:eastAsia="Calibri" w:hAnsi="Arial" w:cs="Arial"/>
          <w:color w:val="000000" w:themeColor="text1"/>
          <w:sz w:val="22"/>
          <w:lang w:val="es-ES_tradnl"/>
        </w:rPr>
        <w:t xml:space="preserve">Por regla general, </w:t>
      </w:r>
      <w:r>
        <w:rPr>
          <w:rFonts w:ascii="Arial" w:eastAsia="Calibri" w:hAnsi="Arial" w:cs="Arial"/>
          <w:color w:val="000000" w:themeColor="text1"/>
          <w:sz w:val="22"/>
          <w:lang w:val="es-ES"/>
        </w:rPr>
        <w:t>para seleccionar los contratistas y para ejecutar los contratos se requiere la constitución de garantías</w:t>
      </w:r>
      <w:r>
        <w:rPr>
          <w:rFonts w:ascii="Arial" w:eastAsia="Calibri" w:hAnsi="Arial" w:cs="Arial"/>
          <w:color w:val="000000" w:themeColor="text1"/>
          <w:sz w:val="22"/>
          <w:lang w:val="es-ES_tradnl"/>
        </w:rPr>
        <w:t xml:space="preserve">. Por ello, </w:t>
      </w:r>
      <w:r>
        <w:rPr>
          <w:rFonts w:ascii="Arial" w:eastAsia="Calibri" w:hAnsi="Arial" w:cs="Arial"/>
          <w:color w:val="000000" w:themeColor="text1"/>
          <w:sz w:val="22"/>
          <w:szCs w:val="22"/>
          <w:lang w:val="es-ES_tradnl" w:eastAsia="en-US"/>
        </w:rPr>
        <w:t>e</w:t>
      </w:r>
      <w:r w:rsidRPr="00C577CA">
        <w:rPr>
          <w:rFonts w:ascii="Arial" w:eastAsia="Calibri" w:hAnsi="Arial" w:cs="Arial"/>
          <w:color w:val="000000" w:themeColor="text1"/>
          <w:sz w:val="22"/>
          <w:szCs w:val="22"/>
          <w:lang w:val="es-ES_tradnl" w:eastAsia="en-US"/>
        </w:rPr>
        <w:t>l artículo 7 de la Ley 1150 de 2007 dispone que los contratistas tien</w:t>
      </w:r>
      <w:r>
        <w:rPr>
          <w:rFonts w:ascii="Arial" w:eastAsia="Calibri" w:hAnsi="Arial" w:cs="Arial"/>
          <w:color w:val="000000" w:themeColor="text1"/>
          <w:sz w:val="22"/>
          <w:szCs w:val="22"/>
          <w:lang w:val="es-ES_tradnl" w:eastAsia="en-US"/>
        </w:rPr>
        <w:t>en la obligación de constituir garantías</w:t>
      </w:r>
      <w:r w:rsidRPr="00C577CA">
        <w:rPr>
          <w:rFonts w:ascii="Arial" w:eastAsia="Calibri" w:hAnsi="Arial" w:cs="Arial"/>
          <w:color w:val="000000" w:themeColor="text1"/>
          <w:sz w:val="22"/>
          <w:szCs w:val="22"/>
          <w:lang w:val="es-ES_tradnl" w:eastAsia="en-US"/>
        </w:rPr>
        <w:t xml:space="preserve"> para el cumplimiento de las obligaciones surgidas del contrato, </w:t>
      </w:r>
      <w:r>
        <w:rPr>
          <w:rFonts w:ascii="Arial" w:eastAsia="Calibri" w:hAnsi="Arial" w:cs="Arial"/>
          <w:color w:val="000000" w:themeColor="text1"/>
          <w:sz w:val="22"/>
          <w:szCs w:val="22"/>
          <w:lang w:val="es-ES_tradnl" w:eastAsia="en-US"/>
        </w:rPr>
        <w:t xml:space="preserve">y los proponentes por el ofrecimiento realizado, </w:t>
      </w:r>
      <w:r w:rsidRPr="00C577CA">
        <w:rPr>
          <w:rFonts w:ascii="Arial" w:eastAsia="Calibri" w:hAnsi="Arial" w:cs="Arial"/>
          <w:color w:val="000000" w:themeColor="text1"/>
          <w:sz w:val="22"/>
          <w:szCs w:val="22"/>
          <w:lang w:val="es-ES_tradnl" w:eastAsia="en-US"/>
        </w:rPr>
        <w:t>pudiendo consistir en pólizas expedidas por compañías aseguradoras, garantías bancarias u otros mecanismos permitidos por la ley y el reglamento. Esta norm</w:t>
      </w:r>
      <w:r>
        <w:rPr>
          <w:rFonts w:ascii="Arial" w:eastAsia="Calibri" w:hAnsi="Arial" w:cs="Arial"/>
          <w:color w:val="000000" w:themeColor="text1"/>
          <w:sz w:val="22"/>
          <w:szCs w:val="22"/>
          <w:lang w:val="es-ES_tradnl" w:eastAsia="en-US"/>
        </w:rPr>
        <w:t>a señala lo siguiente:</w:t>
      </w:r>
    </w:p>
    <w:p w14:paraId="1CA81443" w14:textId="77777777" w:rsidR="00BD6ED4" w:rsidRPr="0002379D" w:rsidRDefault="00BD6ED4" w:rsidP="00BD6ED4">
      <w:pPr>
        <w:spacing w:line="276" w:lineRule="auto"/>
        <w:ind w:firstLine="709"/>
        <w:jc w:val="both"/>
        <w:rPr>
          <w:rFonts w:ascii="Arial" w:hAnsi="Arial" w:cs="Arial"/>
          <w:color w:val="000000" w:themeColor="text1"/>
          <w:sz w:val="22"/>
          <w:szCs w:val="22"/>
          <w:lang w:eastAsia="es-CO"/>
        </w:rPr>
      </w:pPr>
    </w:p>
    <w:p w14:paraId="771E143F" w14:textId="77777777"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t>Artículo 7. Los contratistas prestarán garantía única para el cumplimiento de las obligaciones surgidas del contrato. Los proponentes prestarán garantía de seriedad de los ofrecimientos hechos. </w:t>
      </w:r>
    </w:p>
    <w:p w14:paraId="57FBA0C8" w14:textId="77777777"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t>  </w:t>
      </w:r>
    </w:p>
    <w:p w14:paraId="6B540813" w14:textId="77777777"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11C69E91" w14:textId="77777777"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t>  </w:t>
      </w:r>
    </w:p>
    <w:p w14:paraId="0BBDD641" w14:textId="77777777"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t xml:space="preserve">El Gobierno Nacional señalará los criterios que seguirán las entidades para la exigencia de garantías, las clases y niveles de amparo de los riesgos de los contratos, así como los casos en </w:t>
      </w:r>
      <w:proofErr w:type="gramStart"/>
      <w:r w:rsidRPr="009004DF">
        <w:rPr>
          <w:rFonts w:ascii="Arial" w:hAnsi="Arial" w:cs="Arial"/>
          <w:color w:val="000000" w:themeColor="text1"/>
          <w:sz w:val="21"/>
          <w:szCs w:val="21"/>
          <w:lang w:eastAsia="es-CO"/>
        </w:rPr>
        <w:t>que</w:t>
      </w:r>
      <w:proofErr w:type="gramEnd"/>
      <w:r w:rsidRPr="009004DF">
        <w:rPr>
          <w:rFonts w:ascii="Arial" w:hAnsi="Arial" w:cs="Arial"/>
          <w:color w:val="000000" w:themeColor="text1"/>
          <w:sz w:val="21"/>
          <w:szCs w:val="21"/>
          <w:lang w:eastAsia="es-CO"/>
        </w:rPr>
        <w:t xml:space="preserve"> por las características y complejidad del contrato a celebrar, la garantía pueda ser dividida teniendo en cuenta las etapas o riesgos relativos a la ejecución del respectivo contrato. </w:t>
      </w:r>
    </w:p>
    <w:p w14:paraId="0CD12A39" w14:textId="77777777"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t>  </w:t>
      </w:r>
    </w:p>
    <w:p w14:paraId="4F4D7F6F" w14:textId="77777777"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t>El acaecimiento del siniestro que amparan las garantías será comunicado por la entidad pública al respectivo asegurador mediante la notificación del acto administrativo que así lo declare. </w:t>
      </w:r>
    </w:p>
    <w:p w14:paraId="6B1E9E09" w14:textId="77777777"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t>  </w:t>
      </w:r>
    </w:p>
    <w:p w14:paraId="10A1C1DF" w14:textId="4C8E68AE" w:rsidR="00BD6ED4" w:rsidRPr="009004DF" w:rsidRDefault="00BD6ED4" w:rsidP="00BD6ED4">
      <w:pPr>
        <w:ind w:left="709" w:right="709"/>
        <w:jc w:val="both"/>
        <w:rPr>
          <w:rFonts w:ascii="Arial" w:hAnsi="Arial" w:cs="Arial"/>
          <w:color w:val="000000" w:themeColor="text1"/>
          <w:sz w:val="21"/>
          <w:szCs w:val="21"/>
          <w:lang w:eastAsia="es-CO"/>
        </w:rPr>
      </w:pPr>
      <w:r w:rsidRPr="009004DF">
        <w:rPr>
          <w:rFonts w:ascii="Arial" w:hAnsi="Arial" w:cs="Arial"/>
          <w:color w:val="000000" w:themeColor="text1"/>
          <w:sz w:val="21"/>
          <w:szCs w:val="21"/>
          <w:lang w:eastAsia="es-CO"/>
        </w:rPr>
        <w:lastRenderedPageBreak/>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28975291" w14:textId="77777777" w:rsidR="00BD6ED4" w:rsidRPr="009004DF" w:rsidRDefault="00BD6ED4" w:rsidP="00BD6ED4">
      <w:pPr>
        <w:spacing w:line="276" w:lineRule="auto"/>
        <w:jc w:val="both"/>
        <w:rPr>
          <w:rFonts w:ascii="Arial" w:eastAsiaTheme="minorHAnsi" w:hAnsi="Arial" w:cs="Arial"/>
          <w:color w:val="000000" w:themeColor="text1"/>
          <w:sz w:val="22"/>
          <w:szCs w:val="22"/>
          <w:lang w:val="es-MX" w:eastAsia="en-US"/>
        </w:rPr>
      </w:pPr>
    </w:p>
    <w:p w14:paraId="50475440" w14:textId="3D4009A8" w:rsidR="00BD6ED4" w:rsidRPr="009004DF" w:rsidRDefault="00BD6ED4" w:rsidP="002E2609">
      <w:pPr>
        <w:spacing w:line="276" w:lineRule="auto"/>
        <w:ind w:firstLine="708"/>
        <w:jc w:val="both"/>
        <w:rPr>
          <w:rFonts w:ascii="Arial" w:eastAsiaTheme="minorHAnsi" w:hAnsi="Arial" w:cs="Arial"/>
          <w:color w:val="000000" w:themeColor="text1"/>
          <w:sz w:val="22"/>
          <w:szCs w:val="22"/>
          <w:lang w:val="es-MX" w:eastAsia="en-US"/>
        </w:rPr>
      </w:pPr>
      <w:r w:rsidRPr="009004DF">
        <w:rPr>
          <w:rFonts w:ascii="Arial" w:eastAsiaTheme="minorHAnsi" w:hAnsi="Arial" w:cs="Arial"/>
          <w:color w:val="000000" w:themeColor="text1"/>
          <w:sz w:val="22"/>
          <w:szCs w:val="22"/>
          <w:lang w:val="es-MX" w:eastAsia="en-US"/>
        </w:rPr>
        <w:t xml:space="preserve">Las condiciones en las que debe cumplirse esta obligación fueron reglamentadas por el Decreto 1082 de 2015, el cual entre sus artículos 2.2.1.2.3.1.1. y 2.2.1.2.3.1.19 se refiere a asuntos como las clases de garantías permitidas, la indivisibilidad de </w:t>
      </w:r>
      <w:proofErr w:type="gramStart"/>
      <w:r w:rsidRPr="009004DF">
        <w:rPr>
          <w:rFonts w:ascii="Arial" w:eastAsiaTheme="minorHAnsi" w:hAnsi="Arial" w:cs="Arial"/>
          <w:color w:val="000000" w:themeColor="text1"/>
          <w:sz w:val="22"/>
          <w:szCs w:val="22"/>
          <w:lang w:val="es-MX" w:eastAsia="en-US"/>
        </w:rPr>
        <w:t>las mismas</w:t>
      </w:r>
      <w:proofErr w:type="gramEnd"/>
      <w:r w:rsidRPr="009004DF">
        <w:rPr>
          <w:rFonts w:ascii="Arial" w:eastAsiaTheme="minorHAnsi" w:hAnsi="Arial" w:cs="Arial"/>
          <w:color w:val="000000" w:themeColor="text1"/>
          <w:sz w:val="22"/>
          <w:szCs w:val="22"/>
          <w:lang w:val="es-MX" w:eastAsia="en-US"/>
        </w:rPr>
        <w:t xml:space="preserve">,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5B77F157" w14:textId="77777777" w:rsidR="00BD6ED4" w:rsidRPr="009004DF" w:rsidRDefault="00BD6ED4" w:rsidP="00867167">
      <w:pPr>
        <w:spacing w:before="120" w:line="276" w:lineRule="auto"/>
        <w:ind w:firstLine="708"/>
        <w:jc w:val="both"/>
        <w:rPr>
          <w:rFonts w:ascii="Arial" w:hAnsi="Arial" w:cs="Arial"/>
          <w:color w:val="000000" w:themeColor="text1"/>
          <w:sz w:val="22"/>
          <w:szCs w:val="22"/>
          <w:lang w:eastAsia="es-CO"/>
        </w:rPr>
      </w:pPr>
      <w:r w:rsidRPr="009004DF">
        <w:rPr>
          <w:rFonts w:ascii="Arial" w:eastAsiaTheme="minorHAnsi" w:hAnsi="Arial" w:cs="Arial"/>
          <w:color w:val="000000" w:themeColor="text1"/>
          <w:sz w:val="22"/>
          <w:szCs w:val="22"/>
          <w:lang w:val="es-MX" w:eastAsia="en-US"/>
        </w:rPr>
        <w:t>El artículo 2.2.1.2.3.1.3, por ejemplo, establece que la «garantía de cobertura del Riesgo es indivisible», además de la obligación de los contratantes de establecer en los pliegos de condiciones las garantías exigidas para cada periodo contractual</w:t>
      </w:r>
      <w:r w:rsidRPr="009004DF">
        <w:rPr>
          <w:rFonts w:ascii="Arial" w:eastAsiaTheme="minorHAnsi" w:hAnsi="Arial" w:cs="Arial"/>
          <w:color w:val="000000" w:themeColor="text1"/>
          <w:sz w:val="22"/>
          <w:szCs w:val="22"/>
          <w:vertAlign w:val="superscript"/>
          <w:lang w:val="es-MX" w:eastAsia="en-US"/>
        </w:rPr>
        <w:footnoteReference w:id="2"/>
      </w:r>
      <w:r w:rsidRPr="009004DF">
        <w:rPr>
          <w:rFonts w:ascii="Arial" w:eastAsiaTheme="minorHAnsi" w:hAnsi="Arial" w:cs="Arial"/>
          <w:color w:val="000000" w:themeColor="text1"/>
          <w:sz w:val="22"/>
          <w:szCs w:val="22"/>
          <w:lang w:val="es-MX" w:eastAsia="en-US"/>
        </w:rPr>
        <w:t xml:space="preserve">. Seguidamente el artículo 2.2.1.3.1.7 prescribe que la garantía de cumplimiento debe cubrir: i) el buen manejo y correcta inversión del anticipo; ii) la devolución del pago anticipado; iii) cumplimiento del contrato; iv) pago de salarios, prestaciones sociales legales e </w:t>
      </w:r>
      <w:r w:rsidRPr="009004DF">
        <w:rPr>
          <w:rFonts w:ascii="Arial" w:eastAsiaTheme="minorHAnsi" w:hAnsi="Arial" w:cs="Arial"/>
          <w:color w:val="000000" w:themeColor="text1"/>
          <w:sz w:val="22"/>
          <w:szCs w:val="22"/>
          <w:lang w:val="es-MX" w:eastAsia="en-US"/>
        </w:rPr>
        <w:lastRenderedPageBreak/>
        <w:t xml:space="preserve">indemnizaciones laborales; v) estabilidad y calidad de la obra; vi) </w:t>
      </w:r>
      <w:r w:rsidRPr="009004DF">
        <w:rPr>
          <w:rFonts w:ascii="Arial" w:hAnsi="Arial" w:cs="Arial"/>
          <w:color w:val="000000" w:themeColor="text1"/>
          <w:sz w:val="22"/>
          <w:szCs w:val="22"/>
          <w:lang w:eastAsia="es-CO"/>
        </w:rPr>
        <w:t>calidad del servicio; vii) calidad y correcto funcionamiento de los bienes; y viii) los demás incumplimientos de las obligaciones que la entidad estatal considere deben ser amparados</w:t>
      </w:r>
      <w:r w:rsidRPr="009004DF">
        <w:rPr>
          <w:rFonts w:ascii="Arial" w:hAnsi="Arial" w:cs="Arial"/>
          <w:color w:val="000000" w:themeColor="text1"/>
          <w:sz w:val="22"/>
          <w:szCs w:val="22"/>
          <w:vertAlign w:val="superscript"/>
          <w:lang w:eastAsia="es-CO"/>
        </w:rPr>
        <w:footnoteReference w:id="3"/>
      </w:r>
      <w:r w:rsidRPr="009004DF">
        <w:rPr>
          <w:rFonts w:ascii="Arial" w:hAnsi="Arial" w:cs="Arial"/>
          <w:color w:val="000000" w:themeColor="text1"/>
          <w:sz w:val="22"/>
          <w:szCs w:val="22"/>
          <w:lang w:eastAsia="es-CO"/>
        </w:rPr>
        <w:t xml:space="preserve">. </w:t>
      </w:r>
    </w:p>
    <w:p w14:paraId="23728B7F" w14:textId="70914836" w:rsidR="00BD6ED4" w:rsidRPr="009004DF" w:rsidRDefault="00BD6ED4" w:rsidP="00BD6ED4">
      <w:pPr>
        <w:spacing w:before="120" w:line="276" w:lineRule="auto"/>
        <w:ind w:firstLine="708"/>
        <w:jc w:val="both"/>
        <w:rPr>
          <w:rFonts w:ascii="Arial" w:hAnsi="Arial" w:cs="Arial"/>
          <w:color w:val="000000" w:themeColor="text1"/>
          <w:sz w:val="22"/>
          <w:szCs w:val="22"/>
          <w:lang w:eastAsia="es-CO"/>
        </w:rPr>
      </w:pPr>
      <w:r w:rsidRPr="009004DF">
        <w:rPr>
          <w:rFonts w:ascii="Arial" w:hAnsi="Arial" w:cs="Arial"/>
          <w:color w:val="000000" w:themeColor="text1"/>
          <w:sz w:val="22"/>
          <w:szCs w:val="22"/>
          <w:lang w:eastAsia="es-CO"/>
        </w:rPr>
        <w:t xml:space="preserve">Por su parte, el artículo 2.2.1.2.3.1.12 regula la suficiencia de la garantía de cumplimiento, al determinar que esta debe tener una vigencia mínima hasta la liquidación del contrato y un valor de por lo menos el diez por ciento (10%) del total del contrato, siempre que este sea inferior a un millón (1.000.000) de </w:t>
      </w:r>
      <w:r w:rsidR="00892955" w:rsidRPr="009004DF">
        <w:rPr>
          <w:rFonts w:ascii="Arial" w:hAnsi="Arial" w:cs="Arial"/>
          <w:color w:val="000000" w:themeColor="text1"/>
          <w:sz w:val="22"/>
          <w:szCs w:val="22"/>
          <w:lang w:eastAsia="es-CO"/>
        </w:rPr>
        <w:t>S.M.M.L.V</w:t>
      </w:r>
      <w:r w:rsidRPr="009004DF">
        <w:rPr>
          <w:rFonts w:ascii="Arial" w:hAnsi="Arial" w:cs="Arial"/>
          <w:color w:val="000000" w:themeColor="text1"/>
          <w:sz w:val="22"/>
          <w:szCs w:val="22"/>
          <w:lang w:eastAsia="es-CO"/>
        </w:rPr>
        <w:t>., estableciendo otros mínimos para el valor de las pólizas en contratos con montos superiores</w:t>
      </w:r>
      <w:r w:rsidRPr="009004DF">
        <w:rPr>
          <w:rFonts w:ascii="Arial" w:hAnsi="Arial" w:cs="Arial"/>
          <w:color w:val="000000" w:themeColor="text1"/>
          <w:sz w:val="22"/>
          <w:szCs w:val="22"/>
          <w:vertAlign w:val="superscript"/>
          <w:lang w:eastAsia="es-CO"/>
        </w:rPr>
        <w:footnoteReference w:id="4"/>
      </w:r>
      <w:r w:rsidRPr="009004DF">
        <w:rPr>
          <w:rFonts w:ascii="Arial" w:hAnsi="Arial" w:cs="Arial"/>
          <w:color w:val="000000" w:themeColor="text1"/>
          <w:sz w:val="22"/>
          <w:szCs w:val="22"/>
          <w:lang w:eastAsia="es-CO"/>
        </w:rPr>
        <w:t xml:space="preserve">.   </w:t>
      </w:r>
    </w:p>
    <w:p w14:paraId="01FBC9ED" w14:textId="77777777" w:rsidR="00191A4A" w:rsidRDefault="00BD6ED4" w:rsidP="00BD6ED4">
      <w:pPr>
        <w:spacing w:before="120" w:line="276" w:lineRule="auto"/>
        <w:ind w:firstLine="708"/>
        <w:jc w:val="both"/>
        <w:rPr>
          <w:rFonts w:ascii="Arial" w:hAnsi="Arial" w:cs="Arial"/>
          <w:color w:val="000000" w:themeColor="text1"/>
          <w:sz w:val="22"/>
        </w:rPr>
      </w:pPr>
      <w:r w:rsidRPr="009004DF">
        <w:rPr>
          <w:rFonts w:ascii="Arial" w:eastAsiaTheme="minorHAnsi" w:hAnsi="Arial" w:cs="Arial"/>
          <w:color w:val="000000" w:themeColor="text1"/>
          <w:sz w:val="22"/>
          <w:szCs w:val="22"/>
          <w:lang w:val="es-MX" w:eastAsia="en-US"/>
        </w:rPr>
        <w:lastRenderedPageBreak/>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p>
    <w:p w14:paraId="3C7CD237" w14:textId="77777777" w:rsidR="00191A4A" w:rsidRDefault="00191A4A" w:rsidP="00191A4A">
      <w:pPr>
        <w:spacing w:before="120" w:line="276" w:lineRule="auto"/>
        <w:ind w:firstLine="708"/>
        <w:jc w:val="both"/>
        <w:rPr>
          <w:rFonts w:ascii="Arial" w:eastAsia="Calibri" w:hAnsi="Arial" w:cs="Arial"/>
          <w:sz w:val="22"/>
        </w:rPr>
      </w:pPr>
      <w:r>
        <w:rPr>
          <w:rFonts w:ascii="Arial" w:hAnsi="Arial" w:cs="Arial"/>
          <w:color w:val="000000" w:themeColor="text1"/>
          <w:sz w:val="22"/>
        </w:rPr>
        <w:t>Lo expuesto resulta de especial relevancia, teniendo en cuenta que e</w:t>
      </w:r>
      <w:r w:rsidRPr="00692DC1">
        <w:rPr>
          <w:rFonts w:ascii="Arial" w:hAnsi="Arial" w:cs="Arial"/>
          <w:color w:val="000000" w:themeColor="text1"/>
          <w:sz w:val="22"/>
        </w:rPr>
        <w:t>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006400CE">
        <w:rPr>
          <w:rStyle w:val="Refdenotaalpie"/>
          <w:rFonts w:ascii="Arial" w:eastAsia="Calibri" w:hAnsi="Arial" w:cs="Arial"/>
          <w:sz w:val="22"/>
        </w:rPr>
        <w:footnoteReference w:id="5"/>
      </w:r>
      <w:r w:rsidR="006400CE">
        <w:rPr>
          <w:rFonts w:ascii="Arial" w:eastAsia="Calibri" w:hAnsi="Arial" w:cs="Arial"/>
          <w:sz w:val="22"/>
        </w:rPr>
        <w:t xml:space="preserve">. </w:t>
      </w:r>
    </w:p>
    <w:p w14:paraId="0CDB2BB6" w14:textId="3B8DB149" w:rsidR="006400CE" w:rsidRPr="00191A4A" w:rsidRDefault="00191A4A" w:rsidP="00191A4A">
      <w:pPr>
        <w:spacing w:before="120" w:line="276" w:lineRule="auto"/>
        <w:ind w:firstLine="708"/>
        <w:jc w:val="both"/>
        <w:rPr>
          <w:rFonts w:ascii="Arial" w:hAnsi="Arial" w:cs="Arial"/>
          <w:color w:val="000000" w:themeColor="text1"/>
          <w:sz w:val="22"/>
          <w:lang w:val="es-ES_tradnl"/>
        </w:rPr>
      </w:pPr>
      <w:r>
        <w:rPr>
          <w:rFonts w:ascii="Arial" w:eastAsia="Calibri" w:hAnsi="Arial" w:cs="Arial"/>
          <w:sz w:val="22"/>
        </w:rPr>
        <w:t xml:space="preserve">En efecto, </w:t>
      </w:r>
      <w:r>
        <w:rPr>
          <w:rFonts w:ascii="Arial" w:eastAsiaTheme="minorHAnsi" w:hAnsi="Arial" w:cs="Arial"/>
          <w:color w:val="000000" w:themeColor="text1"/>
          <w:sz w:val="22"/>
          <w:szCs w:val="22"/>
          <w:lang w:val="es-MX" w:eastAsia="en-US"/>
        </w:rPr>
        <w:t>e</w:t>
      </w:r>
      <w:r w:rsidR="006400CE" w:rsidRPr="00B17018">
        <w:rPr>
          <w:rFonts w:ascii="Arial" w:eastAsiaTheme="minorHAnsi" w:hAnsi="Arial" w:cs="Arial"/>
          <w:color w:val="000000" w:themeColor="text1"/>
          <w:sz w:val="22"/>
          <w:szCs w:val="22"/>
          <w:lang w:val="es-MX" w:eastAsia="en-US"/>
        </w:rPr>
        <w:t>l referido artículo establece en su inciso primero que los contratos estatales se perfeccionan «</w:t>
      </w:r>
      <w:r w:rsidR="006400CE" w:rsidRPr="00B17018">
        <w:rPr>
          <w:rFonts w:ascii="Arial" w:hAnsi="Arial" w:cs="Arial"/>
          <w:color w:val="000000" w:themeColor="text1"/>
          <w:sz w:val="22"/>
          <w:szCs w:val="22"/>
          <w:lang w:eastAsia="es-CO"/>
        </w:rPr>
        <w:t>cuando se logre acuerdo sobre el objeto y la contraprestación y éste se eleve a escrito</w:t>
      </w:r>
      <w:r w:rsidR="006400CE" w:rsidRPr="00B17018">
        <w:rPr>
          <w:rFonts w:ascii="Arial" w:eastAsiaTheme="minorHAnsi" w:hAnsi="Arial" w:cs="Arial"/>
          <w:color w:val="000000" w:themeColor="text1"/>
          <w:sz w:val="22"/>
          <w:szCs w:val="22"/>
          <w:lang w:val="es-MX" w:eastAsia="en-US"/>
        </w:rPr>
        <w:t>». Por su parte el inciso segundo establece que «[</w:t>
      </w:r>
      <w:r w:rsidR="006400CE" w:rsidRPr="00B17018">
        <w:rPr>
          <w:rFonts w:ascii="Arial" w:hAnsi="Arial" w:cs="Arial"/>
          <w:color w:val="000000" w:themeColor="text1"/>
          <w:sz w:val="22"/>
          <w:szCs w:val="22"/>
          <w:lang w:eastAsia="es-CO"/>
        </w:rPr>
        <w:t>p]ara la ejecución se requerirá de la aprobación de la garantía», lo que se traduce en que, sin perjuicio del perfeccionamiento del contrato, no podrá ejecutarse sin que se hayan aprobado las garantías.</w:t>
      </w:r>
    </w:p>
    <w:p w14:paraId="4F28A901" w14:textId="49B12382" w:rsidR="006400CE" w:rsidRPr="00B17018" w:rsidRDefault="006400CE" w:rsidP="006400CE">
      <w:pPr>
        <w:spacing w:before="120" w:line="276" w:lineRule="auto"/>
        <w:ind w:firstLine="708"/>
        <w:jc w:val="both"/>
        <w:rPr>
          <w:rFonts w:ascii="Arial" w:eastAsiaTheme="minorHAnsi" w:hAnsi="Arial" w:cs="Arial"/>
          <w:color w:val="000000" w:themeColor="text1"/>
          <w:sz w:val="22"/>
          <w:szCs w:val="22"/>
          <w:lang w:val="es-MX" w:eastAsia="en-US"/>
        </w:rPr>
      </w:pPr>
      <w:r w:rsidRPr="00B17018">
        <w:rPr>
          <w:rFonts w:ascii="Arial" w:hAnsi="Arial" w:cs="Arial"/>
          <w:color w:val="000000" w:themeColor="text1"/>
          <w:sz w:val="22"/>
          <w:szCs w:val="22"/>
          <w:lang w:eastAsia="es-CO"/>
        </w:rPr>
        <w:t xml:space="preserve">Al interpretar la regulación del precitado artículo, el Consejo de Estado ha diferenciado los requisitos de perfeccionamiento del contrato de los concernientes a la ejecución, al entender que el acuerdo de voluntades elevado a escrito suscrito por las partes </w:t>
      </w:r>
      <w:r w:rsidRPr="00B17018">
        <w:rPr>
          <w:rFonts w:ascii="Arial" w:hAnsi="Arial" w:cs="Arial"/>
          <w:color w:val="000000" w:themeColor="text1"/>
          <w:sz w:val="22"/>
          <w:szCs w:val="22"/>
          <w:lang w:eastAsia="es-CO"/>
        </w:rPr>
        <w:lastRenderedPageBreak/>
        <w:t xml:space="preserve">perfecciona el contrato estatal, mientras que la aprobación de las garantías es un requisito para su ejecución, el cual no está sometido al libre arbitrio del contratante, en la medida que tal aprobación consiste </w:t>
      </w:r>
      <w:r w:rsidRPr="00B17018">
        <w:rPr>
          <w:rFonts w:ascii="Arial" w:eastAsiaTheme="minorHAnsi" w:hAnsi="Arial" w:cs="Arial"/>
          <w:color w:val="000000" w:themeColor="text1"/>
          <w:sz w:val="22"/>
          <w:szCs w:val="22"/>
          <w:lang w:val="es-MX" w:eastAsia="en-US"/>
        </w:rPr>
        <w:t>en un reconocimiento por parte de la Administración de que el contratista ha cumplido con la obligación de la garantía requerida por la ley</w:t>
      </w:r>
      <w:r w:rsidR="007A61CA">
        <w:rPr>
          <w:rFonts w:ascii="Arial" w:eastAsiaTheme="minorHAnsi" w:hAnsi="Arial" w:cs="Arial"/>
          <w:color w:val="000000" w:themeColor="text1"/>
          <w:sz w:val="22"/>
          <w:szCs w:val="22"/>
          <w:lang w:val="es-MX" w:eastAsia="en-US"/>
        </w:rPr>
        <w:t xml:space="preserve"> y que esta se ajuste a lo pactado en el contrato</w:t>
      </w:r>
      <w:r w:rsidRPr="00B17018">
        <w:rPr>
          <w:rFonts w:ascii="Arial" w:eastAsiaTheme="minorHAnsi" w:hAnsi="Arial" w:cs="Arial"/>
          <w:color w:val="000000" w:themeColor="text1"/>
          <w:sz w:val="22"/>
          <w:szCs w:val="22"/>
          <w:lang w:val="es-MX" w:eastAsia="en-US"/>
        </w:rPr>
        <w:t>. Así lo expresó la Sección Tercera del Consejo de Estado en sentencia de 28 de junio de 2012:</w:t>
      </w:r>
    </w:p>
    <w:p w14:paraId="65E86B8F" w14:textId="77777777" w:rsidR="006400CE" w:rsidRPr="00B17018" w:rsidRDefault="006400CE" w:rsidP="002D56D3">
      <w:pPr>
        <w:spacing w:line="276" w:lineRule="auto"/>
        <w:ind w:firstLine="709"/>
        <w:jc w:val="both"/>
        <w:rPr>
          <w:rFonts w:ascii="Arial" w:hAnsi="Arial" w:cs="Arial"/>
          <w:color w:val="000000" w:themeColor="text1"/>
          <w:sz w:val="22"/>
          <w:szCs w:val="22"/>
          <w:lang w:eastAsia="es-CO"/>
        </w:rPr>
      </w:pPr>
    </w:p>
    <w:p w14:paraId="2073468F" w14:textId="77777777" w:rsidR="006400CE" w:rsidRPr="00B17018" w:rsidRDefault="006400CE" w:rsidP="006400CE">
      <w:pPr>
        <w:ind w:left="709" w:right="709"/>
        <w:jc w:val="both"/>
        <w:rPr>
          <w:rFonts w:ascii="Arial" w:eastAsiaTheme="minorHAnsi" w:hAnsi="Arial" w:cs="Arial"/>
          <w:color w:val="000000" w:themeColor="text1"/>
          <w:sz w:val="21"/>
          <w:szCs w:val="21"/>
          <w:lang w:val="es-MX" w:eastAsia="en-US"/>
        </w:rPr>
      </w:pPr>
      <w:r w:rsidRPr="00B17018">
        <w:rPr>
          <w:rFonts w:ascii="Arial" w:eastAsiaTheme="minorHAnsi" w:hAnsi="Arial" w:cs="Arial"/>
          <w:color w:val="000000" w:themeColor="text1"/>
          <w:sz w:val="21"/>
          <w:szCs w:val="21"/>
          <w:lang w:val="es-MX" w:eastAsia="en-US"/>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14:paraId="0166AE3A" w14:textId="77777777" w:rsidR="006400CE" w:rsidRPr="00B17018" w:rsidRDefault="006400CE" w:rsidP="006400CE">
      <w:pPr>
        <w:ind w:left="709" w:right="709"/>
        <w:jc w:val="both"/>
        <w:rPr>
          <w:rFonts w:ascii="Arial" w:eastAsiaTheme="minorHAnsi" w:hAnsi="Arial" w:cs="Arial"/>
          <w:color w:val="000000" w:themeColor="text1"/>
          <w:sz w:val="21"/>
          <w:szCs w:val="21"/>
          <w:lang w:val="es-MX" w:eastAsia="en-US"/>
        </w:rPr>
      </w:pPr>
    </w:p>
    <w:p w14:paraId="5B36851D" w14:textId="77777777" w:rsidR="006400CE" w:rsidRPr="00B17018" w:rsidRDefault="006400CE" w:rsidP="006400CE">
      <w:pPr>
        <w:ind w:left="709" w:right="709"/>
        <w:jc w:val="both"/>
        <w:rPr>
          <w:rFonts w:ascii="Arial" w:eastAsiaTheme="minorHAnsi" w:hAnsi="Arial" w:cs="Arial"/>
          <w:color w:val="000000" w:themeColor="text1"/>
          <w:sz w:val="21"/>
          <w:szCs w:val="21"/>
          <w:lang w:val="es-MX" w:eastAsia="en-US"/>
        </w:rPr>
      </w:pPr>
      <w:r w:rsidRPr="00B17018">
        <w:rPr>
          <w:rFonts w:ascii="Arial" w:eastAsiaTheme="minorHAnsi" w:hAnsi="Arial" w:cs="Arial"/>
          <w:color w:val="000000" w:themeColor="text1"/>
          <w:sz w:val="21"/>
          <w:szCs w:val="21"/>
          <w:lang w:val="es-MX" w:eastAsia="en-US"/>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w:t>
      </w:r>
      <w:proofErr w:type="gramStart"/>
      <w:r w:rsidRPr="00B17018">
        <w:rPr>
          <w:rFonts w:ascii="Arial" w:eastAsiaTheme="minorHAnsi" w:hAnsi="Arial" w:cs="Arial"/>
          <w:color w:val="000000" w:themeColor="text1"/>
          <w:sz w:val="21"/>
          <w:szCs w:val="21"/>
          <w:lang w:val="es-MX" w:eastAsia="en-US"/>
        </w:rPr>
        <w:t>entonces,</w:t>
      </w:r>
      <w:proofErr w:type="gramEnd"/>
      <w:r w:rsidRPr="00B17018">
        <w:rPr>
          <w:rFonts w:ascii="Arial" w:eastAsiaTheme="minorHAnsi" w:hAnsi="Arial" w:cs="Arial"/>
          <w:color w:val="000000" w:themeColor="text1"/>
          <w:sz w:val="21"/>
          <w:szCs w:val="21"/>
          <w:lang w:val="es-MX" w:eastAsia="en-US"/>
        </w:rPr>
        <w:t xml:space="preserve"> no tiene alcance diferente al reconocimiento de parte de la administración sobre que el contratista cumplió con la obligación de la garantía en orden a la ejecución del contrato y el registro presupuestal comporta que la contratante hizo lo propio. </w:t>
      </w:r>
    </w:p>
    <w:p w14:paraId="559DA385" w14:textId="77777777" w:rsidR="006400CE" w:rsidRPr="00B17018" w:rsidRDefault="006400CE" w:rsidP="006400CE">
      <w:pPr>
        <w:ind w:left="709" w:right="709"/>
        <w:jc w:val="both"/>
        <w:rPr>
          <w:rFonts w:ascii="Arial" w:eastAsiaTheme="minorHAnsi" w:hAnsi="Arial" w:cs="Arial"/>
          <w:color w:val="000000" w:themeColor="text1"/>
          <w:sz w:val="21"/>
          <w:szCs w:val="21"/>
          <w:lang w:val="es-MX" w:eastAsia="en-US"/>
        </w:rPr>
      </w:pPr>
    </w:p>
    <w:p w14:paraId="47FB7CBC" w14:textId="45763281" w:rsidR="006400CE" w:rsidRPr="00B17018" w:rsidRDefault="006400CE" w:rsidP="00AF5B02">
      <w:pPr>
        <w:ind w:left="709" w:right="709"/>
        <w:jc w:val="both"/>
        <w:rPr>
          <w:rFonts w:ascii="Arial" w:eastAsiaTheme="minorHAnsi" w:hAnsi="Arial" w:cs="Arial"/>
          <w:color w:val="000000" w:themeColor="text1"/>
          <w:sz w:val="21"/>
          <w:szCs w:val="21"/>
          <w:lang w:val="es-MX" w:eastAsia="en-US"/>
        </w:rPr>
      </w:pPr>
      <w:r w:rsidRPr="00B17018">
        <w:rPr>
          <w:rFonts w:ascii="Arial" w:eastAsiaTheme="minorHAnsi" w:hAnsi="Arial" w:cs="Arial"/>
          <w:color w:val="000000" w:themeColor="text1"/>
          <w:sz w:val="21"/>
          <w:szCs w:val="21"/>
          <w:lang w:val="es-MX" w:eastAsia="en-US"/>
        </w:rPr>
        <w:t>En ese orden de ideas, 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r w:rsidRPr="00B17018">
        <w:rPr>
          <w:rFonts w:ascii="Arial" w:eastAsiaTheme="minorHAnsi" w:hAnsi="Arial" w:cs="Arial"/>
          <w:color w:val="000000" w:themeColor="text1"/>
          <w:sz w:val="21"/>
          <w:szCs w:val="21"/>
          <w:vertAlign w:val="superscript"/>
          <w:lang w:val="es-MX" w:eastAsia="en-US"/>
        </w:rPr>
        <w:footnoteReference w:id="6"/>
      </w:r>
      <w:r w:rsidRPr="00B17018">
        <w:rPr>
          <w:rFonts w:ascii="Arial" w:eastAsiaTheme="minorHAnsi" w:hAnsi="Arial" w:cs="Arial"/>
          <w:color w:val="000000" w:themeColor="text1"/>
          <w:sz w:val="21"/>
          <w:szCs w:val="21"/>
          <w:lang w:val="es-MX" w:eastAsia="en-US"/>
        </w:rPr>
        <w:t>.</w:t>
      </w:r>
    </w:p>
    <w:p w14:paraId="15ED0866" w14:textId="77777777" w:rsidR="006400CE" w:rsidRPr="00B17018" w:rsidRDefault="006400CE" w:rsidP="006400CE">
      <w:pPr>
        <w:spacing w:line="276" w:lineRule="auto"/>
        <w:ind w:firstLine="708"/>
        <w:jc w:val="both"/>
        <w:rPr>
          <w:rFonts w:ascii="Arial" w:hAnsi="Arial" w:cs="Arial"/>
          <w:color w:val="000000" w:themeColor="text1"/>
          <w:sz w:val="22"/>
          <w:szCs w:val="22"/>
          <w:lang w:eastAsia="es-CO"/>
        </w:rPr>
      </w:pPr>
    </w:p>
    <w:p w14:paraId="1CF1A7A0" w14:textId="2221F57F" w:rsidR="00D036D6" w:rsidRPr="00D036D6" w:rsidRDefault="0002379D" w:rsidP="00F36467">
      <w:pPr>
        <w:spacing w:line="276" w:lineRule="auto"/>
        <w:ind w:firstLine="709"/>
        <w:jc w:val="both"/>
        <w:rPr>
          <w:rFonts w:ascii="Arial" w:hAnsi="Arial" w:cs="Arial"/>
          <w:color w:val="000000" w:themeColor="text1"/>
          <w:sz w:val="22"/>
          <w:szCs w:val="22"/>
          <w:lang w:eastAsia="es-CO"/>
        </w:rPr>
      </w:pPr>
      <w:r>
        <w:rPr>
          <w:rFonts w:ascii="Arial" w:hAnsi="Arial" w:cs="Arial"/>
          <w:color w:val="000000" w:themeColor="text1"/>
          <w:sz w:val="22"/>
          <w:szCs w:val="22"/>
          <w:lang w:eastAsia="es-CO"/>
        </w:rPr>
        <w:t>De esta manera</w:t>
      </w:r>
      <w:r w:rsidR="006400CE" w:rsidRPr="00B17018">
        <w:rPr>
          <w:rFonts w:ascii="Arial" w:hAnsi="Arial" w:cs="Arial"/>
          <w:color w:val="000000" w:themeColor="text1"/>
          <w:sz w:val="22"/>
          <w:szCs w:val="22"/>
          <w:lang w:eastAsia="es-CO"/>
        </w:rPr>
        <w:t>, para proceder a ejecutar el contrato el contratista debe cumplir con la obligación de constituir la</w:t>
      </w:r>
      <w:r w:rsidR="004267AF">
        <w:rPr>
          <w:rFonts w:ascii="Arial" w:hAnsi="Arial" w:cs="Arial"/>
          <w:color w:val="000000" w:themeColor="text1"/>
          <w:sz w:val="22"/>
          <w:szCs w:val="22"/>
          <w:lang w:eastAsia="es-CO"/>
        </w:rPr>
        <w:t>s</w:t>
      </w:r>
      <w:r w:rsidR="006400CE" w:rsidRPr="00B17018">
        <w:rPr>
          <w:rFonts w:ascii="Arial" w:hAnsi="Arial" w:cs="Arial"/>
          <w:color w:val="000000" w:themeColor="text1"/>
          <w:sz w:val="22"/>
          <w:szCs w:val="22"/>
          <w:lang w:eastAsia="es-CO"/>
        </w:rPr>
        <w:t xml:space="preserve"> garantía</w:t>
      </w:r>
      <w:r w:rsidR="004267AF">
        <w:rPr>
          <w:rFonts w:ascii="Arial" w:hAnsi="Arial" w:cs="Arial"/>
          <w:color w:val="000000" w:themeColor="text1"/>
          <w:sz w:val="22"/>
          <w:szCs w:val="22"/>
          <w:lang w:eastAsia="es-CO"/>
        </w:rPr>
        <w:t>s</w:t>
      </w:r>
      <w:r w:rsidR="006400CE" w:rsidRPr="00B17018">
        <w:rPr>
          <w:rFonts w:ascii="Arial" w:hAnsi="Arial" w:cs="Arial"/>
          <w:color w:val="000000" w:themeColor="text1"/>
          <w:sz w:val="22"/>
          <w:szCs w:val="22"/>
          <w:lang w:eastAsia="es-CO"/>
        </w:rPr>
        <w:t xml:space="preserve">, para lo cual deberá presentar el respectivo instrumento para la verificación por parte de la entidad estatal, quien procederá a su aprobación siempre que se cumplan con las condiciones </w:t>
      </w:r>
      <w:r w:rsidR="00F36467">
        <w:rPr>
          <w:rFonts w:ascii="Arial" w:hAnsi="Arial" w:cs="Arial"/>
          <w:color w:val="000000" w:themeColor="text1"/>
          <w:sz w:val="22"/>
          <w:szCs w:val="22"/>
          <w:lang w:eastAsia="es-CO"/>
        </w:rPr>
        <w:t>pactadas</w:t>
      </w:r>
      <w:r w:rsidR="006400CE" w:rsidRPr="00B17018">
        <w:rPr>
          <w:rFonts w:ascii="Arial" w:hAnsi="Arial" w:cs="Arial"/>
          <w:color w:val="000000" w:themeColor="text1"/>
          <w:sz w:val="22"/>
          <w:szCs w:val="22"/>
          <w:lang w:eastAsia="es-CO"/>
        </w:rPr>
        <w:t xml:space="preserve"> en el contrato.</w:t>
      </w:r>
      <w:r w:rsidR="00D036D6">
        <w:rPr>
          <w:rFonts w:ascii="Arial" w:hAnsi="Arial" w:cs="Arial"/>
          <w:color w:val="000000" w:themeColor="text1"/>
          <w:sz w:val="22"/>
          <w:szCs w:val="22"/>
          <w:lang w:eastAsia="es-CO"/>
        </w:rPr>
        <w:t xml:space="preserve"> Cabe aclarar que las garantías que debe presentar el contratista </w:t>
      </w:r>
      <w:r w:rsidR="00F36467">
        <w:rPr>
          <w:rFonts w:ascii="Arial" w:hAnsi="Arial" w:cs="Arial"/>
          <w:color w:val="000000" w:themeColor="text1"/>
          <w:sz w:val="22"/>
          <w:szCs w:val="22"/>
          <w:lang w:eastAsia="es-CO"/>
        </w:rPr>
        <w:t>para aprobación de la entidad</w:t>
      </w:r>
      <w:r w:rsidR="002D56D3">
        <w:rPr>
          <w:rFonts w:ascii="Arial" w:hAnsi="Arial" w:cs="Arial"/>
          <w:color w:val="000000" w:themeColor="text1"/>
          <w:sz w:val="22"/>
          <w:szCs w:val="22"/>
          <w:lang w:eastAsia="es-CO"/>
        </w:rPr>
        <w:t xml:space="preserve"> </w:t>
      </w:r>
      <w:r w:rsidR="00AF5B02">
        <w:rPr>
          <w:rFonts w:ascii="Arial" w:hAnsi="Arial" w:cs="Arial"/>
          <w:color w:val="000000" w:themeColor="text1"/>
          <w:sz w:val="22"/>
          <w:szCs w:val="22"/>
          <w:lang w:eastAsia="es-CO"/>
        </w:rPr>
        <w:t xml:space="preserve">en el marco del artículo 41 de la ley 80 de 1993, </w:t>
      </w:r>
      <w:r w:rsidR="00D036D6">
        <w:rPr>
          <w:rFonts w:ascii="Arial" w:hAnsi="Arial" w:cs="Arial"/>
          <w:color w:val="000000" w:themeColor="text1"/>
          <w:sz w:val="22"/>
          <w:szCs w:val="22"/>
          <w:lang w:eastAsia="es-CO"/>
        </w:rPr>
        <w:t xml:space="preserve">corresponden a </w:t>
      </w:r>
      <w:r w:rsidR="00E0472E">
        <w:rPr>
          <w:rFonts w:ascii="Arial" w:hAnsi="Arial" w:cs="Arial"/>
          <w:color w:val="000000" w:themeColor="text1"/>
          <w:sz w:val="22"/>
          <w:szCs w:val="22"/>
          <w:lang w:eastAsia="es-CO"/>
        </w:rPr>
        <w:t xml:space="preserve">las </w:t>
      </w:r>
      <w:r w:rsidR="00FC7D54">
        <w:rPr>
          <w:rFonts w:ascii="Arial" w:hAnsi="Arial" w:cs="Arial"/>
          <w:color w:val="000000" w:themeColor="text1"/>
          <w:sz w:val="22"/>
          <w:szCs w:val="22"/>
          <w:lang w:eastAsia="es-CO"/>
        </w:rPr>
        <w:t>garantías contractuales</w:t>
      </w:r>
      <w:r w:rsidR="00D036D6">
        <w:rPr>
          <w:rFonts w:ascii="Arial" w:hAnsi="Arial" w:cs="Arial"/>
          <w:color w:val="000000" w:themeColor="text1"/>
          <w:sz w:val="22"/>
          <w:szCs w:val="22"/>
          <w:lang w:eastAsia="es-CO"/>
        </w:rPr>
        <w:t xml:space="preserve"> </w:t>
      </w:r>
      <w:r w:rsidR="00D036D6" w:rsidRPr="00D036D6">
        <w:rPr>
          <w:rFonts w:ascii="Arial" w:hAnsi="Arial" w:cs="Arial"/>
          <w:color w:val="000000" w:themeColor="text1"/>
          <w:sz w:val="22"/>
          <w:szCs w:val="22"/>
          <w:lang w:val="es-ES_tradnl" w:eastAsia="es-CO"/>
        </w:rPr>
        <w:t xml:space="preserve">que cubren los riesgos asociados al contrato celebrado y a las obligaciones posteriores a </w:t>
      </w:r>
      <w:r w:rsidR="00D036D6" w:rsidRPr="00D036D6">
        <w:rPr>
          <w:rFonts w:ascii="Arial" w:hAnsi="Arial" w:cs="Arial"/>
          <w:color w:val="000000" w:themeColor="text1"/>
          <w:sz w:val="22"/>
          <w:szCs w:val="22"/>
          <w:lang w:val="es-ES_tradnl" w:eastAsia="es-CO"/>
        </w:rPr>
        <w:lastRenderedPageBreak/>
        <w:t xml:space="preserve">su ejecución, </w:t>
      </w:r>
      <w:r w:rsidR="00D036D6">
        <w:rPr>
          <w:rFonts w:ascii="Arial" w:hAnsi="Arial" w:cs="Arial"/>
          <w:color w:val="000000" w:themeColor="text1"/>
          <w:sz w:val="22"/>
          <w:szCs w:val="22"/>
          <w:lang w:val="es-ES_tradnl" w:eastAsia="es-CO"/>
        </w:rPr>
        <w:t xml:space="preserve">esto es, </w:t>
      </w:r>
      <w:r w:rsidR="00D036D6" w:rsidRPr="00D036D6">
        <w:rPr>
          <w:rFonts w:ascii="Arial" w:hAnsi="Arial" w:cs="Arial"/>
          <w:color w:val="000000" w:themeColor="text1"/>
          <w:sz w:val="22"/>
          <w:szCs w:val="22"/>
          <w:lang w:val="es-ES_tradnl" w:eastAsia="es-CO"/>
        </w:rPr>
        <w:t>la garantía única de cumplimiento</w:t>
      </w:r>
      <w:r>
        <w:rPr>
          <w:rFonts w:ascii="Arial" w:hAnsi="Arial" w:cs="Arial"/>
          <w:color w:val="000000" w:themeColor="text1"/>
          <w:sz w:val="22"/>
          <w:szCs w:val="22"/>
          <w:lang w:val="es-ES_tradnl" w:eastAsia="es-CO"/>
        </w:rPr>
        <w:t xml:space="preserve"> </w:t>
      </w:r>
      <w:r w:rsidR="00EB1D67">
        <w:rPr>
          <w:rFonts w:ascii="Arial" w:hAnsi="Arial" w:cs="Arial"/>
          <w:color w:val="000000" w:themeColor="text1"/>
          <w:sz w:val="22"/>
          <w:szCs w:val="22"/>
          <w:lang w:val="es-ES_tradnl" w:eastAsia="es-CO"/>
        </w:rPr>
        <w:t>–</w:t>
      </w:r>
      <w:r w:rsidR="00F36467">
        <w:rPr>
          <w:rFonts w:ascii="Arial" w:hAnsi="Arial" w:cs="Arial"/>
          <w:color w:val="000000" w:themeColor="text1"/>
          <w:sz w:val="22"/>
          <w:szCs w:val="22"/>
          <w:lang w:val="es-ES_tradnl" w:eastAsia="es-CO"/>
        </w:rPr>
        <w:t>con sus respectivos amparos</w:t>
      </w:r>
      <w:r w:rsidR="00EB1D67">
        <w:rPr>
          <w:rFonts w:ascii="Arial" w:hAnsi="Arial" w:cs="Arial"/>
          <w:color w:val="000000" w:themeColor="text1"/>
          <w:sz w:val="22"/>
          <w:szCs w:val="22"/>
          <w:lang w:val="es-ES_tradnl" w:eastAsia="es-CO"/>
        </w:rPr>
        <w:t>–</w:t>
      </w:r>
      <w:r w:rsidR="00F36467">
        <w:rPr>
          <w:rFonts w:ascii="Arial" w:hAnsi="Arial" w:cs="Arial"/>
          <w:color w:val="000000" w:themeColor="text1"/>
          <w:sz w:val="22"/>
          <w:szCs w:val="22"/>
          <w:lang w:val="es-ES_tradnl" w:eastAsia="es-CO"/>
        </w:rPr>
        <w:t xml:space="preserve"> </w:t>
      </w:r>
      <w:r w:rsidR="00D036D6" w:rsidRPr="00D036D6">
        <w:rPr>
          <w:rFonts w:ascii="Arial" w:hAnsi="Arial" w:cs="Arial"/>
          <w:color w:val="000000" w:themeColor="text1"/>
          <w:sz w:val="22"/>
          <w:szCs w:val="22"/>
          <w:lang w:val="es-ES_tradnl" w:eastAsia="es-CO"/>
        </w:rPr>
        <w:t>y la garantía de responsabilidad civil extracontractual</w:t>
      </w:r>
      <w:r w:rsidR="00630B66">
        <w:rPr>
          <w:rStyle w:val="Refdenotaalpie"/>
          <w:rFonts w:ascii="Arial" w:hAnsi="Arial" w:cs="Arial"/>
          <w:color w:val="000000" w:themeColor="text1"/>
          <w:sz w:val="22"/>
          <w:szCs w:val="22"/>
          <w:lang w:val="es-ES_tradnl" w:eastAsia="es-CO"/>
        </w:rPr>
        <w:footnoteReference w:id="7"/>
      </w:r>
      <w:r w:rsidR="00D036D6" w:rsidRPr="00D036D6">
        <w:rPr>
          <w:rFonts w:ascii="Arial" w:hAnsi="Arial" w:cs="Arial"/>
          <w:color w:val="000000" w:themeColor="text1"/>
          <w:sz w:val="22"/>
          <w:szCs w:val="22"/>
          <w:lang w:val="es-ES_tradnl" w:eastAsia="es-CO"/>
        </w:rPr>
        <w:t>.</w:t>
      </w:r>
    </w:p>
    <w:p w14:paraId="57CA9C5D" w14:textId="051922FD" w:rsidR="0088251E" w:rsidRPr="007A68F6" w:rsidRDefault="007954CE" w:rsidP="00BD6ED4">
      <w:pPr>
        <w:spacing w:before="120" w:line="276" w:lineRule="auto"/>
        <w:ind w:firstLine="709"/>
        <w:jc w:val="both"/>
        <w:rPr>
          <w:rFonts w:ascii="Arial" w:hAnsi="Arial" w:cs="Arial"/>
          <w:color w:val="000000" w:themeColor="text1"/>
          <w:sz w:val="22"/>
          <w:lang w:val="es-ES_tradnl"/>
        </w:rPr>
      </w:pPr>
      <w:r>
        <w:rPr>
          <w:rFonts w:ascii="Arial" w:eastAsia="Calibri" w:hAnsi="Arial" w:cs="Arial"/>
          <w:color w:val="000000"/>
          <w:sz w:val="22"/>
          <w:lang w:eastAsia="en-GB"/>
        </w:rPr>
        <w:t>En este contexto, la</w:t>
      </w:r>
      <w:r w:rsidR="00AF5B02">
        <w:rPr>
          <w:rFonts w:ascii="Arial" w:eastAsia="Calibri" w:hAnsi="Arial" w:cs="Arial"/>
          <w:color w:val="000000"/>
          <w:sz w:val="22"/>
          <w:lang w:eastAsia="en-GB"/>
        </w:rPr>
        <w:t xml:space="preserve"> obligación de</w:t>
      </w:r>
      <w:r w:rsidR="00AF5B02" w:rsidRPr="00AF5B02">
        <w:rPr>
          <w:rFonts w:ascii="Arial" w:eastAsia="Calibri" w:hAnsi="Arial" w:cs="Arial"/>
          <w:color w:val="000000"/>
          <w:sz w:val="22"/>
          <w:lang w:eastAsia="en-GB"/>
        </w:rPr>
        <w:t xml:space="preserve"> constituir la</w:t>
      </w:r>
      <w:r w:rsidR="00AF5B02">
        <w:rPr>
          <w:rFonts w:ascii="Arial" w:eastAsia="Calibri" w:hAnsi="Arial" w:cs="Arial"/>
          <w:color w:val="000000"/>
          <w:sz w:val="22"/>
          <w:lang w:eastAsia="en-GB"/>
        </w:rPr>
        <w:t>s</w:t>
      </w:r>
      <w:r w:rsidR="00AF5B02" w:rsidRPr="00AF5B02">
        <w:rPr>
          <w:rFonts w:ascii="Arial" w:eastAsia="Calibri" w:hAnsi="Arial" w:cs="Arial"/>
          <w:color w:val="000000"/>
          <w:sz w:val="22"/>
          <w:lang w:eastAsia="en-GB"/>
        </w:rPr>
        <w:t xml:space="preserve"> garantía</w:t>
      </w:r>
      <w:r w:rsidR="00AF5B02">
        <w:rPr>
          <w:rFonts w:ascii="Arial" w:eastAsia="Calibri" w:hAnsi="Arial" w:cs="Arial"/>
          <w:color w:val="000000"/>
          <w:sz w:val="22"/>
          <w:lang w:eastAsia="en-GB"/>
        </w:rPr>
        <w:t>s contractuales</w:t>
      </w:r>
      <w:r w:rsidR="00774897">
        <w:rPr>
          <w:rFonts w:ascii="Arial" w:eastAsia="Calibri" w:hAnsi="Arial" w:cs="Arial"/>
          <w:color w:val="000000"/>
          <w:sz w:val="22"/>
          <w:lang w:eastAsia="en-GB"/>
        </w:rPr>
        <w:t xml:space="preserve"> </w:t>
      </w:r>
      <w:r>
        <w:rPr>
          <w:rFonts w:ascii="Arial" w:eastAsia="Calibri" w:hAnsi="Arial" w:cs="Arial"/>
          <w:color w:val="000000"/>
          <w:sz w:val="22"/>
          <w:lang w:eastAsia="en-GB"/>
        </w:rPr>
        <w:t>y</w:t>
      </w:r>
      <w:r w:rsidR="00774897">
        <w:rPr>
          <w:rFonts w:ascii="Arial" w:eastAsia="Calibri" w:hAnsi="Arial" w:cs="Arial"/>
          <w:color w:val="000000"/>
          <w:sz w:val="22"/>
          <w:lang w:eastAsia="en-GB"/>
        </w:rPr>
        <w:t xml:space="preserve"> su aprobación</w:t>
      </w:r>
      <w:r w:rsidR="00AF5B02" w:rsidRPr="00AF5B02">
        <w:rPr>
          <w:rFonts w:ascii="Arial" w:eastAsia="Calibri" w:hAnsi="Arial" w:cs="Arial"/>
          <w:color w:val="000000"/>
          <w:sz w:val="22"/>
          <w:lang w:eastAsia="en-GB"/>
        </w:rPr>
        <w:t xml:space="preserve"> </w:t>
      </w:r>
      <w:r w:rsidR="00FC7D54">
        <w:rPr>
          <w:rFonts w:ascii="Arial" w:eastAsia="Calibri" w:hAnsi="Arial" w:cs="Arial"/>
          <w:color w:val="000000"/>
          <w:sz w:val="22"/>
          <w:lang w:eastAsia="en-GB"/>
        </w:rPr>
        <w:t>tiene como propósito cumplir con el requisito de ejecución del contrato,</w:t>
      </w:r>
      <w:r w:rsidR="00AF5B02" w:rsidRPr="00AF5B02">
        <w:rPr>
          <w:rFonts w:ascii="Arial" w:eastAsia="Calibri" w:hAnsi="Arial" w:cs="Arial"/>
          <w:color w:val="000000"/>
          <w:sz w:val="22"/>
          <w:lang w:eastAsia="en-GB"/>
        </w:rPr>
        <w:t xml:space="preserve"> </w:t>
      </w:r>
      <w:r w:rsidR="00A91AE6">
        <w:rPr>
          <w:rFonts w:ascii="Arial" w:eastAsia="Calibri" w:hAnsi="Arial" w:cs="Arial"/>
          <w:color w:val="000000"/>
          <w:sz w:val="22"/>
          <w:lang w:eastAsia="en-GB"/>
        </w:rPr>
        <w:t xml:space="preserve">pues estas se </w:t>
      </w:r>
      <w:r w:rsidR="00FC7D54">
        <w:rPr>
          <w:rFonts w:ascii="Arial" w:eastAsia="Calibri" w:hAnsi="Arial" w:cs="Arial"/>
          <w:color w:val="000000"/>
          <w:sz w:val="22"/>
          <w:lang w:eastAsia="en-GB"/>
        </w:rPr>
        <w:t>erige</w:t>
      </w:r>
      <w:r w:rsidR="00A91AE6">
        <w:rPr>
          <w:rFonts w:ascii="Arial" w:eastAsia="Calibri" w:hAnsi="Arial" w:cs="Arial"/>
          <w:color w:val="000000"/>
          <w:sz w:val="22"/>
          <w:lang w:eastAsia="en-GB"/>
        </w:rPr>
        <w:t>n</w:t>
      </w:r>
      <w:r w:rsidR="00FC7D54">
        <w:rPr>
          <w:rFonts w:ascii="Arial" w:eastAsia="Calibri" w:hAnsi="Arial" w:cs="Arial"/>
          <w:color w:val="000000"/>
          <w:sz w:val="22"/>
          <w:lang w:eastAsia="en-GB"/>
        </w:rPr>
        <w:t xml:space="preserve"> </w:t>
      </w:r>
      <w:r w:rsidR="00AF5B02" w:rsidRPr="00AF5B02">
        <w:rPr>
          <w:rFonts w:ascii="Arial" w:eastAsia="Calibri" w:hAnsi="Arial" w:cs="Arial"/>
          <w:color w:val="000000"/>
          <w:sz w:val="22"/>
          <w:lang w:eastAsia="en-GB"/>
        </w:rPr>
        <w:t xml:space="preserve">como un </w:t>
      </w:r>
      <w:r w:rsidR="00FC7D54" w:rsidRPr="00B17018">
        <w:rPr>
          <w:rFonts w:ascii="Arial" w:eastAsiaTheme="minorHAnsi" w:hAnsi="Arial" w:cs="Arial"/>
          <w:color w:val="000000" w:themeColor="text1"/>
          <w:sz w:val="22"/>
          <w:szCs w:val="22"/>
          <w:lang w:val="es-MX" w:eastAsia="en-US"/>
        </w:rPr>
        <w:t>«</w:t>
      </w:r>
      <w:r w:rsidR="00AF5B02" w:rsidRPr="00AF5B02">
        <w:rPr>
          <w:rFonts w:ascii="Arial" w:eastAsia="Calibri" w:hAnsi="Arial" w:cs="Arial"/>
          <w:color w:val="000000"/>
          <w:sz w:val="22"/>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w:t>
      </w:r>
      <w:r w:rsidR="00FC7D54">
        <w:rPr>
          <w:rFonts w:ascii="Arial" w:eastAsia="Calibri" w:hAnsi="Arial" w:cs="Arial"/>
          <w:color w:val="000000"/>
          <w:sz w:val="22"/>
          <w:lang w:eastAsia="en-GB"/>
        </w:rPr>
        <w:t>a</w:t>
      </w:r>
      <w:r w:rsidR="00EB1D67">
        <w:rPr>
          <w:rFonts w:ascii="Arial" w:eastAsia="Calibri" w:hAnsi="Arial" w:cs="Arial"/>
          <w:color w:val="000000"/>
          <w:sz w:val="22"/>
          <w:lang w:eastAsia="en-GB"/>
        </w:rPr>
        <w:t>»</w:t>
      </w:r>
      <w:r w:rsidR="00FC7D54">
        <w:rPr>
          <w:rStyle w:val="Refdenotaalpie"/>
          <w:rFonts w:ascii="Arial" w:eastAsia="Calibri" w:hAnsi="Arial" w:cs="Arial"/>
          <w:color w:val="000000"/>
          <w:sz w:val="22"/>
          <w:lang w:eastAsia="en-GB"/>
        </w:rPr>
        <w:footnoteReference w:id="8"/>
      </w:r>
      <w:r w:rsidR="00FC7D54">
        <w:rPr>
          <w:rFonts w:ascii="Arial" w:hAnsi="Arial" w:cs="Arial"/>
          <w:color w:val="000000" w:themeColor="text1"/>
          <w:sz w:val="22"/>
          <w:szCs w:val="22"/>
          <w:lang w:eastAsia="es-CO"/>
        </w:rPr>
        <w:t>.</w:t>
      </w:r>
    </w:p>
    <w:p w14:paraId="4CF6B711" w14:textId="151BB98A" w:rsidR="00A77E71" w:rsidRPr="007024CC" w:rsidRDefault="002B6A13" w:rsidP="007024CC">
      <w:pPr>
        <w:spacing w:before="120" w:line="276" w:lineRule="auto"/>
        <w:ind w:firstLine="708"/>
        <w:jc w:val="both"/>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MX" w:eastAsia="en-US"/>
        </w:rPr>
        <w:t>En este sentido, p</w:t>
      </w:r>
      <w:r w:rsidR="008C5408">
        <w:rPr>
          <w:rFonts w:ascii="Arial" w:eastAsiaTheme="minorHAnsi" w:hAnsi="Arial" w:cs="Arial"/>
          <w:color w:val="000000" w:themeColor="text1"/>
          <w:sz w:val="22"/>
          <w:szCs w:val="22"/>
          <w:lang w:val="es-MX" w:eastAsia="en-US"/>
        </w:rPr>
        <w:t>revio a l</w:t>
      </w:r>
      <w:r w:rsidR="008C5408" w:rsidRPr="008C5408">
        <w:rPr>
          <w:rFonts w:ascii="Arial" w:eastAsiaTheme="minorHAnsi" w:hAnsi="Arial" w:cs="Arial"/>
          <w:color w:val="000000" w:themeColor="text1"/>
          <w:sz w:val="22"/>
          <w:szCs w:val="22"/>
          <w:lang w:val="es-ES_tradnl" w:eastAsia="en-US"/>
        </w:rPr>
        <w:t>a aprobación de las garantías pactadas en el contrato</w:t>
      </w:r>
      <w:r w:rsidR="008C5408">
        <w:rPr>
          <w:rFonts w:ascii="Arial" w:eastAsiaTheme="minorHAnsi" w:hAnsi="Arial" w:cs="Arial"/>
          <w:color w:val="000000" w:themeColor="text1"/>
          <w:sz w:val="22"/>
          <w:szCs w:val="22"/>
          <w:lang w:val="es-ES_tradnl" w:eastAsia="en-US"/>
        </w:rPr>
        <w:t>,</w:t>
      </w:r>
      <w:r w:rsidR="008C5408" w:rsidRPr="008C5408">
        <w:rPr>
          <w:rFonts w:ascii="Arial" w:eastAsiaTheme="minorHAnsi" w:hAnsi="Arial" w:cs="Arial"/>
          <w:color w:val="000000" w:themeColor="text1"/>
          <w:sz w:val="22"/>
          <w:szCs w:val="22"/>
          <w:lang w:val="es-ES_tradnl" w:eastAsia="en-US"/>
        </w:rPr>
        <w:t xml:space="preserve"> </w:t>
      </w:r>
      <w:r w:rsidR="008C5408">
        <w:rPr>
          <w:rFonts w:ascii="Arial" w:eastAsiaTheme="minorHAnsi" w:hAnsi="Arial" w:cs="Arial"/>
          <w:color w:val="000000" w:themeColor="text1"/>
          <w:sz w:val="22"/>
          <w:szCs w:val="22"/>
          <w:lang w:val="es-ES_tradnl" w:eastAsia="en-US"/>
        </w:rPr>
        <w:t xml:space="preserve">la entidad debe realizar la respectiva </w:t>
      </w:r>
      <w:r w:rsidR="008C5408" w:rsidRPr="008C5408">
        <w:rPr>
          <w:rFonts w:ascii="Arial" w:eastAsiaTheme="minorHAnsi" w:hAnsi="Arial" w:cs="Arial"/>
          <w:color w:val="000000" w:themeColor="text1"/>
          <w:sz w:val="22"/>
          <w:szCs w:val="22"/>
          <w:lang w:val="es-ES_tradnl" w:eastAsia="en-US"/>
        </w:rPr>
        <w:t xml:space="preserve">verificación </w:t>
      </w:r>
      <w:r w:rsidR="008C5408">
        <w:rPr>
          <w:rFonts w:ascii="Arial" w:eastAsiaTheme="minorHAnsi" w:hAnsi="Arial" w:cs="Arial"/>
          <w:color w:val="000000" w:themeColor="text1"/>
          <w:sz w:val="22"/>
          <w:szCs w:val="22"/>
          <w:lang w:val="es-ES_tradnl" w:eastAsia="en-US"/>
        </w:rPr>
        <w:t xml:space="preserve">de </w:t>
      </w:r>
      <w:r w:rsidR="008C5408" w:rsidRPr="008C5408">
        <w:rPr>
          <w:rFonts w:ascii="Arial" w:eastAsiaTheme="minorHAnsi" w:hAnsi="Arial" w:cs="Arial"/>
          <w:color w:val="000000" w:themeColor="text1"/>
          <w:sz w:val="22"/>
          <w:szCs w:val="22"/>
          <w:lang w:val="es-ES_tradnl" w:eastAsia="en-US"/>
        </w:rPr>
        <w:t>los amparos y suficiencia de</w:t>
      </w:r>
      <w:r w:rsidR="008C5408">
        <w:rPr>
          <w:rFonts w:ascii="Arial" w:eastAsiaTheme="minorHAnsi" w:hAnsi="Arial" w:cs="Arial"/>
          <w:color w:val="000000" w:themeColor="text1"/>
          <w:sz w:val="22"/>
          <w:szCs w:val="22"/>
          <w:lang w:val="es-ES_tradnl" w:eastAsia="en-US"/>
        </w:rPr>
        <w:t xml:space="preserve"> </w:t>
      </w:r>
      <w:r>
        <w:rPr>
          <w:rFonts w:ascii="Arial" w:eastAsiaTheme="minorHAnsi" w:hAnsi="Arial" w:cs="Arial"/>
          <w:color w:val="000000" w:themeColor="text1"/>
          <w:sz w:val="22"/>
          <w:szCs w:val="22"/>
          <w:lang w:val="es-ES_tradnl" w:eastAsia="en-US"/>
        </w:rPr>
        <w:t>las garantías exigidas</w:t>
      </w:r>
      <w:r w:rsidR="007024CC">
        <w:rPr>
          <w:rFonts w:ascii="Arial" w:eastAsiaTheme="minorHAnsi" w:hAnsi="Arial" w:cs="Arial"/>
          <w:color w:val="000000" w:themeColor="text1"/>
          <w:sz w:val="22"/>
          <w:szCs w:val="22"/>
          <w:lang w:val="es-ES_tradnl" w:eastAsia="en-US"/>
        </w:rPr>
        <w:t xml:space="preserve">, </w:t>
      </w:r>
      <w:r w:rsidR="00EB1D67">
        <w:rPr>
          <w:rFonts w:ascii="Arial" w:eastAsiaTheme="minorHAnsi" w:hAnsi="Arial" w:cs="Arial"/>
          <w:color w:val="000000" w:themeColor="text1"/>
          <w:sz w:val="22"/>
          <w:szCs w:val="22"/>
          <w:lang w:val="es-ES_tradnl" w:eastAsia="en-US"/>
        </w:rPr>
        <w:t>con la finalidad de</w:t>
      </w:r>
      <w:r w:rsidR="007024CC" w:rsidRPr="007024CC">
        <w:rPr>
          <w:rFonts w:ascii="Arial" w:eastAsiaTheme="minorHAnsi" w:hAnsi="Arial" w:cs="Arial"/>
          <w:color w:val="000000" w:themeColor="text1"/>
          <w:sz w:val="22"/>
          <w:szCs w:val="22"/>
          <w:lang w:eastAsia="en-US"/>
        </w:rPr>
        <w:t xml:space="preserve"> asegurar </w:t>
      </w:r>
      <w:r w:rsidR="007024CC">
        <w:rPr>
          <w:rFonts w:ascii="Arial" w:eastAsiaTheme="minorHAnsi" w:hAnsi="Arial" w:cs="Arial"/>
          <w:color w:val="000000" w:themeColor="text1"/>
          <w:sz w:val="22"/>
          <w:szCs w:val="22"/>
          <w:lang w:eastAsia="en-US"/>
        </w:rPr>
        <w:t xml:space="preserve">que </w:t>
      </w:r>
      <w:r w:rsidR="00A91AE6">
        <w:rPr>
          <w:rFonts w:ascii="Arial" w:eastAsiaTheme="minorHAnsi" w:hAnsi="Arial" w:cs="Arial"/>
          <w:color w:val="000000" w:themeColor="text1"/>
          <w:sz w:val="22"/>
          <w:szCs w:val="22"/>
          <w:lang w:eastAsia="en-US"/>
        </w:rPr>
        <w:t xml:space="preserve">estas </w:t>
      </w:r>
      <w:r w:rsidR="00A91AE6" w:rsidRPr="007024CC">
        <w:rPr>
          <w:rFonts w:ascii="Arial" w:eastAsiaTheme="minorHAnsi" w:hAnsi="Arial" w:cs="Arial"/>
          <w:color w:val="000000" w:themeColor="text1"/>
          <w:sz w:val="22"/>
          <w:szCs w:val="22"/>
          <w:lang w:val="es-ES" w:eastAsia="en-US"/>
        </w:rPr>
        <w:t>protej</w:t>
      </w:r>
      <w:r w:rsidR="00A91AE6">
        <w:rPr>
          <w:rFonts w:ascii="Arial" w:eastAsiaTheme="minorHAnsi" w:hAnsi="Arial" w:cs="Arial"/>
          <w:color w:val="000000" w:themeColor="text1"/>
          <w:sz w:val="22"/>
          <w:szCs w:val="22"/>
          <w:lang w:val="es-ES" w:eastAsia="en-US"/>
        </w:rPr>
        <w:t>an el</w:t>
      </w:r>
      <w:r w:rsidR="007024CC" w:rsidRPr="007024CC">
        <w:rPr>
          <w:rFonts w:ascii="Arial" w:eastAsiaTheme="minorHAnsi" w:hAnsi="Arial" w:cs="Arial"/>
          <w:color w:val="000000" w:themeColor="text1"/>
          <w:sz w:val="22"/>
          <w:szCs w:val="22"/>
          <w:lang w:val="es-ES" w:eastAsia="en-US"/>
        </w:rPr>
        <w:t xml:space="preserve"> patrimonio del </w:t>
      </w:r>
      <w:r w:rsidR="00EB1D67">
        <w:rPr>
          <w:rFonts w:ascii="Arial" w:eastAsiaTheme="minorHAnsi" w:hAnsi="Arial" w:cs="Arial"/>
          <w:color w:val="000000" w:themeColor="text1"/>
          <w:sz w:val="22"/>
          <w:szCs w:val="22"/>
          <w:lang w:val="es-ES" w:eastAsia="en-US"/>
        </w:rPr>
        <w:t>E</w:t>
      </w:r>
      <w:r w:rsidR="007024CC" w:rsidRPr="007024CC">
        <w:rPr>
          <w:rFonts w:ascii="Arial" w:eastAsiaTheme="minorHAnsi" w:hAnsi="Arial" w:cs="Arial"/>
          <w:color w:val="000000" w:themeColor="text1"/>
          <w:sz w:val="22"/>
          <w:szCs w:val="22"/>
          <w:lang w:val="es-ES" w:eastAsia="en-US"/>
        </w:rPr>
        <w:t>stado de</w:t>
      </w:r>
      <w:r w:rsidR="00EB1D67">
        <w:rPr>
          <w:rFonts w:ascii="Arial" w:eastAsiaTheme="minorHAnsi" w:hAnsi="Arial" w:cs="Arial"/>
          <w:color w:val="000000" w:themeColor="text1"/>
          <w:sz w:val="22"/>
          <w:szCs w:val="22"/>
          <w:lang w:val="es-ES" w:eastAsia="en-US"/>
        </w:rPr>
        <w:t xml:space="preserve"> </w:t>
      </w:r>
      <w:r w:rsidR="007024CC" w:rsidRPr="007024CC">
        <w:rPr>
          <w:rFonts w:ascii="Arial" w:eastAsiaTheme="minorHAnsi" w:hAnsi="Arial" w:cs="Arial"/>
          <w:color w:val="000000" w:themeColor="text1"/>
          <w:sz w:val="22"/>
          <w:szCs w:val="22"/>
          <w:lang w:val="es-ES" w:eastAsia="en-US"/>
        </w:rPr>
        <w:t>l</w:t>
      </w:r>
      <w:r w:rsidR="00EB1D67">
        <w:rPr>
          <w:rFonts w:ascii="Arial" w:eastAsiaTheme="minorHAnsi" w:hAnsi="Arial" w:cs="Arial"/>
          <w:color w:val="000000" w:themeColor="text1"/>
          <w:sz w:val="22"/>
          <w:szCs w:val="22"/>
          <w:lang w:val="es-ES" w:eastAsia="en-US"/>
        </w:rPr>
        <w:t>os</w:t>
      </w:r>
      <w:r w:rsidR="007024CC" w:rsidRPr="007024CC">
        <w:rPr>
          <w:rFonts w:ascii="Arial" w:eastAsiaTheme="minorHAnsi" w:hAnsi="Arial" w:cs="Arial"/>
          <w:color w:val="000000" w:themeColor="text1"/>
          <w:sz w:val="22"/>
          <w:szCs w:val="22"/>
          <w:lang w:val="es-ES" w:eastAsia="en-US"/>
        </w:rPr>
        <w:t xml:space="preserve"> perjuicio</w:t>
      </w:r>
      <w:r w:rsidR="00EB1D67">
        <w:rPr>
          <w:rFonts w:ascii="Arial" w:eastAsiaTheme="minorHAnsi" w:hAnsi="Arial" w:cs="Arial"/>
          <w:color w:val="000000" w:themeColor="text1"/>
          <w:sz w:val="22"/>
          <w:szCs w:val="22"/>
          <w:lang w:val="es-ES" w:eastAsia="en-US"/>
        </w:rPr>
        <w:t>s</w:t>
      </w:r>
      <w:r w:rsidR="007024CC" w:rsidRPr="007024CC">
        <w:rPr>
          <w:rFonts w:ascii="Arial" w:eastAsiaTheme="minorHAnsi" w:hAnsi="Arial" w:cs="Arial"/>
          <w:color w:val="000000" w:themeColor="text1"/>
          <w:sz w:val="22"/>
          <w:szCs w:val="22"/>
          <w:lang w:val="es-ES" w:eastAsia="en-US"/>
        </w:rPr>
        <w:t xml:space="preserve"> que </w:t>
      </w:r>
      <w:r w:rsidR="00EB1D67">
        <w:rPr>
          <w:rFonts w:ascii="Arial" w:eastAsiaTheme="minorHAnsi" w:hAnsi="Arial" w:cs="Arial"/>
          <w:color w:val="000000" w:themeColor="text1"/>
          <w:sz w:val="22"/>
          <w:szCs w:val="22"/>
          <w:lang w:val="es-ES" w:eastAsia="en-US"/>
        </w:rPr>
        <w:t>eventualmente se derivarían de la materialización de los riesgos amparados</w:t>
      </w:r>
      <w:r w:rsidR="007024CC" w:rsidRPr="007024CC">
        <w:rPr>
          <w:rFonts w:ascii="Arial" w:eastAsiaTheme="minorHAnsi" w:hAnsi="Arial" w:cs="Arial"/>
          <w:color w:val="000000" w:themeColor="text1"/>
          <w:sz w:val="22"/>
          <w:szCs w:val="22"/>
          <w:lang w:val="es-ES" w:eastAsia="en-US"/>
        </w:rPr>
        <w:t>.</w:t>
      </w:r>
      <w:r w:rsidR="007024CC">
        <w:rPr>
          <w:rFonts w:ascii="Arial" w:eastAsiaTheme="minorHAnsi" w:hAnsi="Arial" w:cs="Arial"/>
          <w:color w:val="000000" w:themeColor="text1"/>
          <w:sz w:val="22"/>
          <w:szCs w:val="22"/>
          <w:lang w:val="es-ES" w:eastAsia="en-US"/>
        </w:rPr>
        <w:t xml:space="preserve"> </w:t>
      </w:r>
      <w:r w:rsidR="00A77E71">
        <w:rPr>
          <w:rFonts w:ascii="Arial" w:eastAsiaTheme="minorHAnsi" w:hAnsi="Arial" w:cs="Arial"/>
          <w:color w:val="000000" w:themeColor="text1"/>
          <w:sz w:val="22"/>
          <w:szCs w:val="22"/>
          <w:lang w:val="es-ES_tradnl" w:eastAsia="en-US"/>
        </w:rPr>
        <w:t xml:space="preserve">Esta labor de verificación por parte de la entidad </w:t>
      </w:r>
      <w:r w:rsidR="00C14067">
        <w:rPr>
          <w:rFonts w:ascii="Arial" w:eastAsiaTheme="minorHAnsi" w:hAnsi="Arial" w:cs="Arial"/>
          <w:color w:val="000000" w:themeColor="text1"/>
          <w:sz w:val="22"/>
          <w:szCs w:val="22"/>
          <w:lang w:val="es-ES_tradnl" w:eastAsia="en-US"/>
        </w:rPr>
        <w:t>implica</w:t>
      </w:r>
      <w:r w:rsidR="00DB7954">
        <w:rPr>
          <w:rFonts w:ascii="Arial" w:eastAsiaTheme="minorHAnsi" w:hAnsi="Arial" w:cs="Arial"/>
          <w:color w:val="000000" w:themeColor="text1"/>
          <w:sz w:val="22"/>
          <w:szCs w:val="22"/>
          <w:lang w:val="es-ES_tradnl" w:eastAsia="en-US"/>
        </w:rPr>
        <w:t xml:space="preserve"> validar el origen de l</w:t>
      </w:r>
      <w:r w:rsidR="00A91AE6">
        <w:rPr>
          <w:rFonts w:ascii="Arial" w:eastAsiaTheme="minorHAnsi" w:hAnsi="Arial" w:cs="Arial"/>
          <w:color w:val="000000" w:themeColor="text1"/>
          <w:sz w:val="22"/>
          <w:szCs w:val="22"/>
          <w:lang w:val="es-ES_tradnl" w:eastAsia="en-US"/>
        </w:rPr>
        <w:t>as garantías</w:t>
      </w:r>
      <w:r w:rsidR="00DB7954">
        <w:rPr>
          <w:rFonts w:ascii="Arial" w:eastAsiaTheme="minorHAnsi" w:hAnsi="Arial" w:cs="Arial"/>
          <w:color w:val="000000" w:themeColor="text1"/>
          <w:sz w:val="22"/>
          <w:szCs w:val="22"/>
          <w:lang w:val="es-ES_tradnl" w:eastAsia="en-US"/>
        </w:rPr>
        <w:t xml:space="preserve"> y</w:t>
      </w:r>
      <w:r w:rsidR="00A77E71">
        <w:rPr>
          <w:rFonts w:ascii="Arial" w:eastAsiaTheme="minorHAnsi" w:hAnsi="Arial" w:cs="Arial"/>
          <w:color w:val="000000" w:themeColor="text1"/>
          <w:sz w:val="22"/>
          <w:szCs w:val="22"/>
          <w:lang w:val="es-ES_tradnl" w:eastAsia="en-US"/>
        </w:rPr>
        <w:t xml:space="preserve"> </w:t>
      </w:r>
      <w:r w:rsidR="00EF52B1">
        <w:rPr>
          <w:rFonts w:ascii="Arial" w:eastAsiaTheme="minorHAnsi" w:hAnsi="Arial" w:cs="Arial"/>
          <w:color w:val="000000" w:themeColor="text1"/>
          <w:sz w:val="22"/>
          <w:szCs w:val="22"/>
          <w:lang w:val="es-ES_tradnl" w:eastAsia="en-US"/>
        </w:rPr>
        <w:t>revisar</w:t>
      </w:r>
      <w:r w:rsidR="00A77E71">
        <w:rPr>
          <w:rFonts w:ascii="Arial" w:eastAsiaTheme="minorHAnsi" w:hAnsi="Arial" w:cs="Arial"/>
          <w:color w:val="000000" w:themeColor="text1"/>
          <w:sz w:val="22"/>
          <w:szCs w:val="22"/>
          <w:lang w:val="es-ES_tradnl" w:eastAsia="en-US"/>
        </w:rPr>
        <w:t xml:space="preserve"> </w:t>
      </w:r>
      <w:r w:rsidR="00A77E71" w:rsidRPr="009004DF">
        <w:rPr>
          <w:rFonts w:ascii="Arial" w:eastAsiaTheme="minorHAnsi" w:hAnsi="Arial" w:cs="Arial"/>
          <w:color w:val="000000" w:themeColor="text1"/>
          <w:sz w:val="22"/>
          <w:szCs w:val="22"/>
          <w:lang w:val="es-MX" w:eastAsia="en-US"/>
        </w:rPr>
        <w:t>«</w:t>
      </w:r>
      <w:r w:rsidR="00A77E71" w:rsidRPr="00A77E71">
        <w:rPr>
          <w:rFonts w:ascii="Arial" w:eastAsia="Calibri" w:hAnsi="Arial" w:cs="Arial"/>
          <w:sz w:val="22"/>
          <w:szCs w:val="22"/>
          <w:lang w:eastAsia="en-US"/>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w:t>
      </w:r>
      <w:r w:rsidR="00705A1A">
        <w:rPr>
          <w:rFonts w:ascii="Arial" w:eastAsia="Calibri" w:hAnsi="Arial" w:cs="Arial"/>
          <w:sz w:val="22"/>
          <w:szCs w:val="22"/>
          <w:lang w:eastAsia="en-US"/>
        </w:rPr>
        <w:t xml:space="preserve"> </w:t>
      </w:r>
      <w:r w:rsidR="00A77E71" w:rsidRPr="00A77E71">
        <w:rPr>
          <w:rFonts w:ascii="Arial" w:eastAsia="Calibri" w:hAnsi="Arial" w:cs="Arial"/>
          <w:sz w:val="22"/>
          <w:szCs w:val="22"/>
          <w:lang w:eastAsia="en-US"/>
        </w:rPr>
        <w:t>De tal manera, una vez revisada la póliza, sus anexos (condiciones generales) y su contenido y si está de acuerdo con lo exigido, se impartirá la aprobación correspondiente</w:t>
      </w:r>
      <w:r w:rsidR="00EB1D67">
        <w:rPr>
          <w:rFonts w:ascii="Arial" w:eastAsia="Calibri" w:hAnsi="Arial" w:cs="Arial"/>
          <w:sz w:val="22"/>
          <w:szCs w:val="22"/>
          <w:lang w:eastAsia="en-US"/>
        </w:rPr>
        <w:t>»</w:t>
      </w:r>
      <w:r w:rsidR="00A77E71">
        <w:rPr>
          <w:rStyle w:val="Refdenotaalpie"/>
          <w:rFonts w:ascii="Arial" w:eastAsia="Calibri" w:hAnsi="Arial" w:cs="Arial"/>
          <w:sz w:val="22"/>
          <w:szCs w:val="22"/>
          <w:lang w:eastAsia="en-US"/>
        </w:rPr>
        <w:footnoteReference w:id="9"/>
      </w:r>
      <w:r w:rsidR="00A77E71">
        <w:rPr>
          <w:rFonts w:ascii="Arial" w:eastAsiaTheme="minorHAnsi" w:hAnsi="Arial" w:cs="Arial"/>
          <w:color w:val="000000" w:themeColor="text1"/>
          <w:sz w:val="22"/>
          <w:szCs w:val="22"/>
          <w:lang w:val="es-MX" w:eastAsia="en-US"/>
        </w:rPr>
        <w:t>.</w:t>
      </w:r>
    </w:p>
    <w:p w14:paraId="2A7113FE" w14:textId="5070D12A" w:rsidR="008C5408" w:rsidRDefault="008C5408" w:rsidP="00A77E71">
      <w:pPr>
        <w:spacing w:before="120" w:line="276" w:lineRule="auto"/>
        <w:ind w:firstLine="708"/>
        <w:jc w:val="both"/>
        <w:rPr>
          <w:rFonts w:ascii="Arial" w:eastAsiaTheme="minorHAnsi" w:hAnsi="Arial" w:cs="Arial"/>
          <w:color w:val="000000" w:themeColor="text1"/>
          <w:sz w:val="22"/>
          <w:szCs w:val="22"/>
          <w:lang w:val="es-ES_tradnl" w:eastAsia="en-US"/>
        </w:rPr>
      </w:pPr>
      <w:r>
        <w:rPr>
          <w:rFonts w:ascii="Arial" w:eastAsiaTheme="minorHAnsi" w:hAnsi="Arial" w:cs="Arial"/>
          <w:color w:val="000000" w:themeColor="text1"/>
          <w:sz w:val="22"/>
          <w:szCs w:val="22"/>
          <w:lang w:val="es-ES_tradnl" w:eastAsia="en-US"/>
        </w:rPr>
        <w:t xml:space="preserve">Al respecto, </w:t>
      </w:r>
      <w:r w:rsidRPr="008C5408">
        <w:rPr>
          <w:rFonts w:ascii="Arial" w:eastAsiaTheme="minorHAnsi" w:hAnsi="Arial" w:cs="Arial"/>
          <w:color w:val="000000" w:themeColor="text1"/>
          <w:sz w:val="22"/>
          <w:szCs w:val="22"/>
          <w:lang w:val="es-ES_tradnl" w:eastAsia="en-US"/>
        </w:rPr>
        <w:t>debe señalarse que la Agencia Nacional de Contratación Pública y la Superintendencia Financiera</w:t>
      </w:r>
      <w:r w:rsidR="00D036D6">
        <w:rPr>
          <w:rFonts w:ascii="Arial" w:eastAsiaTheme="minorHAnsi" w:hAnsi="Arial" w:cs="Arial"/>
          <w:color w:val="000000" w:themeColor="text1"/>
          <w:sz w:val="22"/>
          <w:szCs w:val="22"/>
          <w:lang w:val="es-ES_tradnl" w:eastAsia="en-US"/>
        </w:rPr>
        <w:t xml:space="preserve"> de Colombia</w:t>
      </w:r>
      <w:r w:rsidRPr="008C5408">
        <w:rPr>
          <w:rFonts w:ascii="Arial" w:eastAsiaTheme="minorHAnsi" w:hAnsi="Arial" w:cs="Arial"/>
          <w:color w:val="000000" w:themeColor="text1"/>
          <w:sz w:val="22"/>
          <w:szCs w:val="22"/>
          <w:lang w:val="es-ES_tradnl" w:eastAsia="en-US"/>
        </w:rPr>
        <w:t xml:space="preserve"> mediante Circular Conjunta 001 del 20 de agosto de 2021, impartieron instrucciones sobre </w:t>
      </w:r>
      <w:r w:rsidR="002B6A13">
        <w:rPr>
          <w:rFonts w:ascii="Arial" w:eastAsiaTheme="minorHAnsi" w:hAnsi="Arial" w:cs="Arial"/>
          <w:color w:val="000000" w:themeColor="text1"/>
          <w:sz w:val="22"/>
          <w:szCs w:val="22"/>
          <w:lang w:val="es-ES_tradnl" w:eastAsia="en-US"/>
        </w:rPr>
        <w:t xml:space="preserve">los </w:t>
      </w:r>
      <w:r w:rsidRPr="008C5408">
        <w:rPr>
          <w:rFonts w:ascii="Arial" w:eastAsiaTheme="minorHAnsi" w:hAnsi="Arial" w:cs="Arial"/>
          <w:color w:val="000000" w:themeColor="text1"/>
          <w:sz w:val="22"/>
          <w:szCs w:val="22"/>
          <w:lang w:val="es-ES_tradnl" w:eastAsia="en-US"/>
        </w:rPr>
        <w:t>mecanismos para fortalecer la debida diligencia de los beneficiarios de pólizas de seguros, garantías y avales bancarios, y patrimonios autónomos</w:t>
      </w:r>
      <w:r w:rsidR="007954CE">
        <w:rPr>
          <w:rFonts w:ascii="Arial" w:eastAsiaTheme="minorHAnsi" w:hAnsi="Arial" w:cs="Arial"/>
          <w:color w:val="000000" w:themeColor="text1"/>
          <w:sz w:val="22"/>
          <w:szCs w:val="22"/>
          <w:lang w:val="es-ES_tradnl" w:eastAsia="en-US"/>
        </w:rPr>
        <w:t>.</w:t>
      </w:r>
      <w:r w:rsidR="009F6C9A">
        <w:rPr>
          <w:rFonts w:ascii="Arial" w:eastAsiaTheme="minorHAnsi" w:hAnsi="Arial" w:cs="Arial"/>
          <w:color w:val="000000" w:themeColor="text1"/>
          <w:sz w:val="22"/>
          <w:szCs w:val="22"/>
          <w:lang w:val="es-ES_tradnl" w:eastAsia="en-US"/>
        </w:rPr>
        <w:t xml:space="preserve"> </w:t>
      </w:r>
      <w:r w:rsidR="007954CE">
        <w:rPr>
          <w:rFonts w:ascii="Arial" w:eastAsiaTheme="minorHAnsi" w:hAnsi="Arial" w:cs="Arial"/>
          <w:color w:val="000000" w:themeColor="text1"/>
          <w:sz w:val="22"/>
          <w:szCs w:val="22"/>
          <w:lang w:val="es-ES_tradnl" w:eastAsia="en-US"/>
        </w:rPr>
        <w:t>Su finalidad es</w:t>
      </w:r>
      <w:r w:rsidR="00EF52B1">
        <w:rPr>
          <w:rFonts w:ascii="Arial" w:eastAsiaTheme="minorHAnsi" w:hAnsi="Arial" w:cs="Arial"/>
          <w:color w:val="000000" w:themeColor="text1"/>
          <w:sz w:val="22"/>
          <w:szCs w:val="22"/>
          <w:lang w:val="es-ES_tradnl" w:eastAsia="en-US"/>
        </w:rPr>
        <w:t xml:space="preserve"> </w:t>
      </w:r>
      <w:r w:rsidR="00EF52B1" w:rsidRPr="00EF52B1">
        <w:rPr>
          <w:rFonts w:ascii="Arial" w:eastAsiaTheme="minorHAnsi" w:hAnsi="Arial" w:cs="Arial"/>
          <w:color w:val="000000" w:themeColor="text1"/>
          <w:sz w:val="22"/>
          <w:szCs w:val="22"/>
          <w:lang w:eastAsia="en-US"/>
        </w:rPr>
        <w:t>implementar mecanismos adicionales de verificación y recordar la debida diligencia que les asiste a las entidades estatales en la validación del origen e integridad de los documentos que soportan las garantías y avales bancarios, contratos de seguro de cumplimiento y los patrimonios autónomos, sin perjuicio de la importancia del recto obrar de los proponentes y contratistas del Estado en estos asuntos</w:t>
      </w:r>
      <w:r w:rsidRPr="008C5408">
        <w:rPr>
          <w:rFonts w:ascii="Arial" w:eastAsiaTheme="minorHAnsi" w:hAnsi="Arial" w:cs="Arial"/>
          <w:color w:val="000000" w:themeColor="text1"/>
          <w:sz w:val="22"/>
          <w:szCs w:val="22"/>
          <w:lang w:val="es-ES_tradnl" w:eastAsia="en-US"/>
        </w:rPr>
        <w:t>.</w:t>
      </w:r>
      <w:r w:rsidR="00DB7954">
        <w:rPr>
          <w:rFonts w:ascii="Arial" w:eastAsiaTheme="minorHAnsi" w:hAnsi="Arial" w:cs="Arial"/>
          <w:color w:val="000000" w:themeColor="text1"/>
          <w:sz w:val="22"/>
          <w:szCs w:val="22"/>
          <w:lang w:val="es-ES_tradnl" w:eastAsia="en-US"/>
        </w:rPr>
        <w:t xml:space="preserve"> Sobre el particular</w:t>
      </w:r>
      <w:r w:rsidRPr="008C5408">
        <w:rPr>
          <w:rFonts w:ascii="Arial" w:eastAsiaTheme="minorHAnsi" w:hAnsi="Arial" w:cs="Arial"/>
          <w:color w:val="000000" w:themeColor="text1"/>
          <w:sz w:val="22"/>
          <w:szCs w:val="22"/>
          <w:lang w:val="es-ES_tradnl" w:eastAsia="en-US"/>
        </w:rPr>
        <w:t xml:space="preserve">, </w:t>
      </w:r>
      <w:r w:rsidR="004267AF">
        <w:rPr>
          <w:rFonts w:ascii="Arial" w:eastAsiaTheme="minorHAnsi" w:hAnsi="Arial" w:cs="Arial"/>
          <w:color w:val="000000" w:themeColor="text1"/>
          <w:sz w:val="22"/>
          <w:szCs w:val="22"/>
          <w:lang w:val="es-ES_tradnl" w:eastAsia="en-US"/>
        </w:rPr>
        <w:t xml:space="preserve">esta circular </w:t>
      </w:r>
      <w:r w:rsidRPr="008C5408">
        <w:rPr>
          <w:rFonts w:ascii="Arial" w:eastAsiaTheme="minorHAnsi" w:hAnsi="Arial" w:cs="Arial"/>
          <w:color w:val="000000" w:themeColor="text1"/>
          <w:sz w:val="22"/>
          <w:szCs w:val="22"/>
          <w:lang w:val="es-ES_tradnl" w:eastAsia="en-US"/>
        </w:rPr>
        <w:t xml:space="preserve">señaló </w:t>
      </w:r>
      <w:r>
        <w:rPr>
          <w:rFonts w:ascii="Arial" w:eastAsiaTheme="minorHAnsi" w:hAnsi="Arial" w:cs="Arial"/>
          <w:color w:val="000000" w:themeColor="text1"/>
          <w:sz w:val="22"/>
          <w:szCs w:val="22"/>
          <w:lang w:val="es-ES_tradnl" w:eastAsia="en-US"/>
        </w:rPr>
        <w:t xml:space="preserve">lo siguiente: </w:t>
      </w:r>
    </w:p>
    <w:p w14:paraId="3095592E" w14:textId="77777777" w:rsidR="00D036D6" w:rsidRDefault="00D036D6" w:rsidP="00A77E71">
      <w:pPr>
        <w:spacing w:line="276" w:lineRule="auto"/>
        <w:ind w:firstLine="709"/>
        <w:jc w:val="both"/>
        <w:rPr>
          <w:rFonts w:ascii="Arial" w:eastAsiaTheme="minorHAnsi" w:hAnsi="Arial" w:cs="Arial"/>
          <w:color w:val="000000" w:themeColor="text1"/>
          <w:sz w:val="22"/>
          <w:szCs w:val="22"/>
          <w:lang w:val="es-ES_tradnl" w:eastAsia="en-US"/>
        </w:rPr>
      </w:pPr>
    </w:p>
    <w:p w14:paraId="01750CC1" w14:textId="6C8B0F94" w:rsidR="008C5408" w:rsidRDefault="00D036D6" w:rsidP="008A2C16">
      <w:pPr>
        <w:ind w:left="709" w:right="618"/>
        <w:jc w:val="both"/>
        <w:rPr>
          <w:rFonts w:ascii="Arial" w:eastAsiaTheme="minorHAnsi" w:hAnsi="Arial" w:cs="Arial"/>
          <w:color w:val="000000" w:themeColor="text1"/>
          <w:sz w:val="21"/>
          <w:szCs w:val="21"/>
          <w:lang w:eastAsia="en-US"/>
        </w:rPr>
      </w:pPr>
      <w:r w:rsidRPr="00D036D6">
        <w:rPr>
          <w:rFonts w:ascii="Arial" w:eastAsiaTheme="minorHAnsi" w:hAnsi="Arial" w:cs="Arial"/>
          <w:color w:val="000000" w:themeColor="text1"/>
          <w:sz w:val="21"/>
          <w:szCs w:val="21"/>
          <w:lang w:eastAsia="en-US"/>
        </w:rPr>
        <w:lastRenderedPageBreak/>
        <w:t>PRIMERA: Las entidades vigiladas por la Superintendencia Financiera de Colombia deberán ajustar los procedimientos actualmente existentes para facilitar a los beneficiarios e interesados, la confirmación del origen, características y elementos relevantes de las garantías bancarias, los contratos de seguro de cumplimiento y los patrimonios autónomos otorgados como garantías, los cuales deben ser expedidos a través de documentos electrónicos integrales con valor legal y técnicamente asegurados mediante firmado digital y estampado cronológico, además de poseer mecanismos tecnológicos como pueden ser códigos QR, hash, alfanuméricos o CUFE, entre otros, que permitan la verificación en línea, por Internet o a través de aplicaciones móviles. Lo anterior, con el propósito de garantizar su validez, integridad y completitud.</w:t>
      </w:r>
    </w:p>
    <w:p w14:paraId="2DE180C0" w14:textId="77777777" w:rsidR="00D036D6" w:rsidRPr="00D036D6" w:rsidRDefault="00D036D6" w:rsidP="008A2C16">
      <w:pPr>
        <w:ind w:left="709" w:right="618"/>
        <w:jc w:val="both"/>
        <w:rPr>
          <w:rFonts w:ascii="Arial" w:eastAsiaTheme="minorHAnsi" w:hAnsi="Arial" w:cs="Arial"/>
          <w:color w:val="000000" w:themeColor="text1"/>
          <w:sz w:val="21"/>
          <w:szCs w:val="21"/>
          <w:lang w:eastAsia="en-US"/>
        </w:rPr>
      </w:pPr>
    </w:p>
    <w:p w14:paraId="2AB0960D" w14:textId="77777777" w:rsidR="00A77E71" w:rsidRDefault="00D036D6" w:rsidP="008A2C16">
      <w:pPr>
        <w:ind w:left="709" w:right="618"/>
        <w:jc w:val="both"/>
        <w:rPr>
          <w:rFonts w:ascii="Arial" w:eastAsiaTheme="minorHAnsi" w:hAnsi="Arial" w:cs="Arial"/>
          <w:color w:val="000000" w:themeColor="text1"/>
          <w:sz w:val="21"/>
          <w:szCs w:val="21"/>
          <w:lang w:eastAsia="en-US"/>
        </w:rPr>
      </w:pPr>
      <w:r w:rsidRPr="00D036D6">
        <w:rPr>
          <w:rFonts w:ascii="Arial" w:eastAsiaTheme="minorHAnsi" w:hAnsi="Arial" w:cs="Arial"/>
          <w:color w:val="000000" w:themeColor="text1"/>
          <w:sz w:val="21"/>
          <w:szCs w:val="21"/>
          <w:lang w:eastAsia="en-US"/>
        </w:rPr>
        <w:t xml:space="preserve">Adicionalmente, deberán disponer de un punto de contacto telefónico o virtual para que las entidades del Estado puedan solicitar cualquier requerimiento orientado a absolver las consultas que sobre el particular sean pertinentes. </w:t>
      </w:r>
    </w:p>
    <w:p w14:paraId="6CEF61D9" w14:textId="77777777" w:rsidR="00A77E71" w:rsidRDefault="00A77E71" w:rsidP="008A2C16">
      <w:pPr>
        <w:ind w:left="709" w:right="618"/>
        <w:jc w:val="both"/>
        <w:rPr>
          <w:rFonts w:ascii="Arial" w:eastAsiaTheme="minorHAnsi" w:hAnsi="Arial" w:cs="Arial"/>
          <w:color w:val="000000" w:themeColor="text1"/>
          <w:sz w:val="21"/>
          <w:szCs w:val="21"/>
          <w:lang w:eastAsia="en-US"/>
        </w:rPr>
      </w:pPr>
    </w:p>
    <w:p w14:paraId="5ADD87EF" w14:textId="77777777" w:rsidR="00A77E71" w:rsidRDefault="00D036D6" w:rsidP="008A2C16">
      <w:pPr>
        <w:ind w:left="709" w:right="618"/>
        <w:jc w:val="both"/>
        <w:rPr>
          <w:rFonts w:ascii="Arial" w:eastAsiaTheme="minorHAnsi" w:hAnsi="Arial" w:cs="Arial"/>
          <w:color w:val="000000" w:themeColor="text1"/>
          <w:sz w:val="21"/>
          <w:szCs w:val="21"/>
          <w:lang w:eastAsia="en-US"/>
        </w:rPr>
      </w:pPr>
      <w:r w:rsidRPr="00D036D6">
        <w:rPr>
          <w:rFonts w:ascii="Arial" w:eastAsiaTheme="minorHAnsi" w:hAnsi="Arial" w:cs="Arial"/>
          <w:color w:val="000000" w:themeColor="text1"/>
          <w:sz w:val="21"/>
          <w:szCs w:val="21"/>
          <w:lang w:eastAsia="en-US"/>
        </w:rPr>
        <w:t xml:space="preserve">Asimismo, las Entidades Públicas deberán acudir a los mecanismos de verificación en línea que se encuentran previstos en el presente artículo, con el propósito de verificar la validez, idoneidad y suficiencia de los documentos que se entregan como soporte de las garantías que amparan los contratos estatales. </w:t>
      </w:r>
    </w:p>
    <w:p w14:paraId="72F5E283" w14:textId="77777777" w:rsidR="00A77E71" w:rsidRDefault="00A77E71" w:rsidP="008A2C16">
      <w:pPr>
        <w:ind w:left="709" w:right="618"/>
        <w:jc w:val="both"/>
        <w:rPr>
          <w:rFonts w:ascii="Arial" w:eastAsiaTheme="minorHAnsi" w:hAnsi="Arial" w:cs="Arial"/>
          <w:color w:val="000000" w:themeColor="text1"/>
          <w:sz w:val="21"/>
          <w:szCs w:val="21"/>
          <w:lang w:eastAsia="en-US"/>
        </w:rPr>
      </w:pPr>
    </w:p>
    <w:p w14:paraId="12DD53DF" w14:textId="1800D4F1" w:rsidR="00A77E71" w:rsidRDefault="00D036D6" w:rsidP="008A2C16">
      <w:pPr>
        <w:ind w:left="709" w:right="618"/>
        <w:jc w:val="both"/>
        <w:rPr>
          <w:rFonts w:ascii="Arial" w:eastAsiaTheme="minorHAnsi" w:hAnsi="Arial" w:cs="Arial"/>
          <w:color w:val="000000" w:themeColor="text1"/>
          <w:sz w:val="21"/>
          <w:szCs w:val="21"/>
          <w:lang w:eastAsia="en-US"/>
        </w:rPr>
      </w:pPr>
      <w:r w:rsidRPr="00D036D6">
        <w:rPr>
          <w:rFonts w:ascii="Arial" w:eastAsiaTheme="minorHAnsi" w:hAnsi="Arial" w:cs="Arial"/>
          <w:color w:val="000000" w:themeColor="text1"/>
          <w:sz w:val="21"/>
          <w:szCs w:val="21"/>
          <w:lang w:eastAsia="en-US"/>
        </w:rPr>
        <w:t xml:space="preserve">Esta verificación deberá realizarse de manera previa a que las entidades públicas aprueben o rechacen las garantías. Del mencionado acto de consulta, se dejará constancia expresa en el expediente contractual. </w:t>
      </w:r>
    </w:p>
    <w:p w14:paraId="0F75FCCC" w14:textId="48C72BD7" w:rsidR="00A77E71" w:rsidRDefault="00A77E71" w:rsidP="008A2C16">
      <w:pPr>
        <w:ind w:left="709" w:right="618"/>
        <w:jc w:val="both"/>
        <w:rPr>
          <w:rFonts w:ascii="Arial" w:eastAsiaTheme="minorHAnsi" w:hAnsi="Arial" w:cs="Arial"/>
          <w:color w:val="000000" w:themeColor="text1"/>
          <w:sz w:val="21"/>
          <w:szCs w:val="21"/>
          <w:lang w:val="es-ES_tradnl" w:eastAsia="en-US"/>
        </w:rPr>
      </w:pPr>
      <w:r>
        <w:rPr>
          <w:rFonts w:ascii="Arial" w:eastAsiaTheme="minorHAnsi" w:hAnsi="Arial" w:cs="Arial"/>
          <w:color w:val="000000" w:themeColor="text1"/>
          <w:sz w:val="21"/>
          <w:szCs w:val="21"/>
          <w:lang w:val="es-ES_tradnl" w:eastAsia="en-US"/>
        </w:rPr>
        <w:t>[….]</w:t>
      </w:r>
    </w:p>
    <w:p w14:paraId="1BE9C301" w14:textId="77777777" w:rsidR="008A2C16" w:rsidRPr="00D036D6" w:rsidRDefault="008A2C16" w:rsidP="008A2C16">
      <w:pPr>
        <w:spacing w:line="276" w:lineRule="auto"/>
        <w:ind w:left="709" w:right="618"/>
        <w:jc w:val="both"/>
        <w:rPr>
          <w:rFonts w:ascii="Arial" w:eastAsiaTheme="minorHAnsi" w:hAnsi="Arial" w:cs="Arial"/>
          <w:color w:val="000000" w:themeColor="text1"/>
          <w:sz w:val="21"/>
          <w:szCs w:val="21"/>
          <w:lang w:val="es-ES_tradnl" w:eastAsia="en-US"/>
        </w:rPr>
      </w:pPr>
    </w:p>
    <w:p w14:paraId="3F18656E" w14:textId="3072A99D" w:rsidR="008C5408" w:rsidRPr="008C5408" w:rsidRDefault="00A77E71" w:rsidP="008A2C16">
      <w:pPr>
        <w:spacing w:line="276" w:lineRule="auto"/>
        <w:ind w:firstLine="708"/>
        <w:jc w:val="both"/>
        <w:rPr>
          <w:rFonts w:ascii="Arial" w:eastAsiaTheme="minorHAnsi" w:hAnsi="Arial" w:cs="Arial"/>
          <w:color w:val="000000" w:themeColor="text1"/>
          <w:sz w:val="22"/>
          <w:szCs w:val="22"/>
          <w:lang w:val="es-ES_tradnl" w:eastAsia="en-US"/>
        </w:rPr>
      </w:pPr>
      <w:r>
        <w:rPr>
          <w:rFonts w:ascii="Arial" w:eastAsiaTheme="minorHAnsi" w:hAnsi="Arial" w:cs="Arial"/>
          <w:color w:val="000000" w:themeColor="text1"/>
          <w:sz w:val="22"/>
          <w:szCs w:val="22"/>
          <w:lang w:val="es-ES_tradnl" w:eastAsia="en-US"/>
        </w:rPr>
        <w:t>De acuerdo con lo anterior,</w:t>
      </w:r>
      <w:r w:rsidR="008C5408" w:rsidRPr="008C5408">
        <w:rPr>
          <w:rFonts w:ascii="Arial" w:eastAsiaTheme="minorHAnsi" w:hAnsi="Arial" w:cs="Arial"/>
          <w:color w:val="000000" w:themeColor="text1"/>
          <w:sz w:val="22"/>
          <w:szCs w:val="22"/>
          <w:lang w:val="es-ES_tradnl" w:eastAsia="en-US"/>
        </w:rPr>
        <w:t xml:space="preserve"> las entidades públicas deberán acudir a los mecanismos de verificación en línea que se encuentran previstos en esa circular, con el propósito de verificar la validez, idoneidad y suficiencia de los documentos que se entregan como soporte de las garantías que amparan los contratos estatales. Esta verificación deberá realizarse de manera previa a que las entidades públicas aprueben o rechacen las garantías</w:t>
      </w:r>
      <w:r>
        <w:rPr>
          <w:rFonts w:ascii="Arial" w:eastAsiaTheme="minorHAnsi" w:hAnsi="Arial" w:cs="Arial"/>
          <w:color w:val="000000" w:themeColor="text1"/>
          <w:sz w:val="22"/>
          <w:szCs w:val="22"/>
          <w:lang w:val="es-ES_tradnl" w:eastAsia="en-US"/>
        </w:rPr>
        <w:t xml:space="preserve"> y deberá </w:t>
      </w:r>
      <w:r w:rsidR="008C5408" w:rsidRPr="008C5408">
        <w:rPr>
          <w:rFonts w:ascii="Arial" w:eastAsiaTheme="minorHAnsi" w:hAnsi="Arial" w:cs="Arial"/>
          <w:color w:val="000000" w:themeColor="text1"/>
          <w:sz w:val="22"/>
          <w:szCs w:val="22"/>
          <w:lang w:val="es-ES_tradnl" w:eastAsia="en-US"/>
        </w:rPr>
        <w:t>dejar</w:t>
      </w:r>
      <w:r>
        <w:rPr>
          <w:rFonts w:ascii="Arial" w:eastAsiaTheme="minorHAnsi" w:hAnsi="Arial" w:cs="Arial"/>
          <w:color w:val="000000" w:themeColor="text1"/>
          <w:sz w:val="22"/>
          <w:szCs w:val="22"/>
          <w:lang w:val="es-ES_tradnl" w:eastAsia="en-US"/>
        </w:rPr>
        <w:t>se</w:t>
      </w:r>
      <w:r w:rsidR="008C5408" w:rsidRPr="008C5408">
        <w:rPr>
          <w:rFonts w:ascii="Arial" w:eastAsiaTheme="minorHAnsi" w:hAnsi="Arial" w:cs="Arial"/>
          <w:color w:val="000000" w:themeColor="text1"/>
          <w:sz w:val="22"/>
          <w:szCs w:val="22"/>
          <w:lang w:val="es-ES_tradnl" w:eastAsia="en-US"/>
        </w:rPr>
        <w:t xml:space="preserve"> constancia expresa en el expediente contractual</w:t>
      </w:r>
      <w:r>
        <w:rPr>
          <w:rFonts w:ascii="Arial" w:eastAsiaTheme="minorHAnsi" w:hAnsi="Arial" w:cs="Arial"/>
          <w:color w:val="000000" w:themeColor="text1"/>
          <w:sz w:val="22"/>
          <w:szCs w:val="22"/>
          <w:lang w:val="es-ES_tradnl" w:eastAsia="en-US"/>
        </w:rPr>
        <w:t xml:space="preserve"> de la consulta realizada.</w:t>
      </w:r>
    </w:p>
    <w:p w14:paraId="7E59D981" w14:textId="7E34371F" w:rsidR="002670C4" w:rsidRDefault="007024CC" w:rsidP="002670C4">
      <w:pPr>
        <w:spacing w:before="120" w:line="276" w:lineRule="auto"/>
        <w:ind w:firstLine="708"/>
        <w:jc w:val="both"/>
        <w:rPr>
          <w:rFonts w:ascii="Arial" w:eastAsiaTheme="minorHAnsi" w:hAnsi="Arial" w:cs="Arial"/>
          <w:color w:val="000000" w:themeColor="text1"/>
          <w:sz w:val="22"/>
          <w:szCs w:val="22"/>
          <w:lang w:val="es-ES_tradnl" w:eastAsia="en-US"/>
        </w:rPr>
      </w:pPr>
      <w:r w:rsidRPr="004C5320">
        <w:rPr>
          <w:rFonts w:ascii="Arial" w:hAnsi="Arial" w:cs="Arial"/>
          <w:color w:val="000000" w:themeColor="text1"/>
          <w:sz w:val="22"/>
          <w:szCs w:val="22"/>
          <w:lang w:eastAsia="es-CO"/>
        </w:rPr>
        <w:t xml:space="preserve">El proceso mediante el cual los contratistas presentan estas garantías a la entidad estatal para su verificación y su consecuente aprobación o rechazo es realizado a través del SECOP II, tratándose de entidades que llevan su gestión contractual por medio de dicha </w:t>
      </w:r>
      <w:r w:rsidRPr="00FF109C">
        <w:rPr>
          <w:rFonts w:ascii="Arial" w:hAnsi="Arial" w:cs="Arial"/>
          <w:color w:val="000000" w:themeColor="text1"/>
          <w:sz w:val="22"/>
          <w:szCs w:val="22"/>
          <w:lang w:eastAsia="es-CO"/>
        </w:rPr>
        <w:t>plataforma</w:t>
      </w:r>
      <w:r w:rsidR="004C5320" w:rsidRPr="00FF109C">
        <w:rPr>
          <w:rFonts w:ascii="Arial" w:hAnsi="Arial" w:cs="Arial"/>
          <w:color w:val="000000" w:themeColor="text1"/>
          <w:sz w:val="22"/>
          <w:szCs w:val="22"/>
          <w:lang w:eastAsia="es-CO"/>
        </w:rPr>
        <w:t>.</w:t>
      </w:r>
      <w:r w:rsidR="006F1DA6" w:rsidRPr="00FF109C">
        <w:rPr>
          <w:rFonts w:ascii="Arial" w:hAnsi="Arial" w:cs="Arial"/>
          <w:color w:val="000000" w:themeColor="text1"/>
          <w:sz w:val="22"/>
          <w:szCs w:val="22"/>
          <w:lang w:eastAsia="es-CO"/>
        </w:rPr>
        <w:t xml:space="preserve"> Para tales efectos, el </w:t>
      </w:r>
      <w:r w:rsidR="006F1DA6" w:rsidRPr="00FF109C">
        <w:rPr>
          <w:rFonts w:ascii="Arial" w:eastAsiaTheme="minorHAnsi" w:hAnsi="Arial" w:cs="Arial"/>
          <w:color w:val="000000" w:themeColor="text1"/>
          <w:sz w:val="22"/>
          <w:szCs w:val="22"/>
          <w:lang w:val="es-MX" w:eastAsia="en-US"/>
        </w:rPr>
        <w:t xml:space="preserve">literal «B. Requisitos de ejecución» de </w:t>
      </w:r>
      <w:r w:rsidR="004C5320" w:rsidRPr="00FF109C">
        <w:rPr>
          <w:rFonts w:ascii="Arial" w:hAnsi="Arial" w:cs="Arial"/>
          <w:color w:val="000000" w:themeColor="text1"/>
          <w:sz w:val="22"/>
          <w:szCs w:val="22"/>
          <w:lang w:eastAsia="es-CO"/>
        </w:rPr>
        <w:t xml:space="preserve">la </w:t>
      </w:r>
      <w:r w:rsidRPr="00FF109C">
        <w:rPr>
          <w:rFonts w:ascii="Arial" w:eastAsiaTheme="minorHAnsi" w:hAnsi="Arial" w:cs="Arial"/>
          <w:color w:val="000000" w:themeColor="text1"/>
          <w:sz w:val="22"/>
          <w:szCs w:val="22"/>
          <w:lang w:val="es-MX" w:eastAsia="en-US"/>
        </w:rPr>
        <w:t>«Guía de Gestión Contractual</w:t>
      </w:r>
      <w:r w:rsidR="004C5320" w:rsidRPr="00FF109C">
        <w:rPr>
          <w:rFonts w:ascii="Arial" w:eastAsiaTheme="minorHAnsi" w:hAnsi="Arial" w:cs="Arial"/>
          <w:color w:val="000000" w:themeColor="text1"/>
          <w:sz w:val="22"/>
          <w:szCs w:val="22"/>
          <w:lang w:val="es-MX" w:eastAsia="en-US"/>
        </w:rPr>
        <w:t xml:space="preserve"> </w:t>
      </w:r>
      <w:r w:rsidRPr="00FF109C">
        <w:rPr>
          <w:rFonts w:ascii="Arial" w:eastAsiaTheme="minorHAnsi" w:hAnsi="Arial" w:cs="Arial"/>
          <w:color w:val="000000" w:themeColor="text1"/>
          <w:sz w:val="22"/>
          <w:szCs w:val="22"/>
          <w:lang w:val="es-MX" w:eastAsia="en-US"/>
        </w:rPr>
        <w:t>en el SECOP II»</w:t>
      </w:r>
      <w:r w:rsidRPr="00FF109C">
        <w:rPr>
          <w:rFonts w:ascii="Arial" w:eastAsiaTheme="minorHAnsi" w:hAnsi="Arial" w:cs="Arial"/>
          <w:color w:val="000000" w:themeColor="text1"/>
          <w:sz w:val="22"/>
          <w:szCs w:val="22"/>
          <w:vertAlign w:val="superscript"/>
          <w:lang w:val="es-MX" w:eastAsia="en-US"/>
        </w:rPr>
        <w:footnoteReference w:id="10"/>
      </w:r>
      <w:r w:rsidRPr="00FF109C">
        <w:rPr>
          <w:rFonts w:ascii="Arial" w:eastAsiaTheme="minorHAnsi" w:hAnsi="Arial" w:cs="Arial"/>
          <w:color w:val="000000" w:themeColor="text1"/>
          <w:sz w:val="22"/>
          <w:szCs w:val="22"/>
          <w:lang w:val="es-MX" w:eastAsia="en-US"/>
        </w:rPr>
        <w:t>,</w:t>
      </w:r>
      <w:r w:rsidR="006F1DA6" w:rsidRPr="00FF109C">
        <w:rPr>
          <w:rFonts w:ascii="Arial" w:eastAsiaTheme="minorHAnsi" w:hAnsi="Arial" w:cs="Arial"/>
          <w:color w:val="000000" w:themeColor="text1"/>
          <w:sz w:val="22"/>
          <w:szCs w:val="22"/>
          <w:lang w:val="es-MX" w:eastAsia="en-US"/>
        </w:rPr>
        <w:t xml:space="preserve"> </w:t>
      </w:r>
      <w:r w:rsidR="00FF109C" w:rsidRPr="00FF109C">
        <w:rPr>
          <w:rFonts w:ascii="Arial" w:eastAsiaTheme="minorHAnsi" w:hAnsi="Arial" w:cs="Arial"/>
          <w:color w:val="000000" w:themeColor="text1"/>
          <w:sz w:val="22"/>
          <w:szCs w:val="22"/>
          <w:lang w:val="es-MX" w:eastAsia="en-US"/>
        </w:rPr>
        <w:t xml:space="preserve">expedida por esta Agencia, </w:t>
      </w:r>
      <w:r w:rsidRPr="00FF109C">
        <w:rPr>
          <w:rFonts w:ascii="Arial" w:eastAsiaTheme="minorHAnsi" w:hAnsi="Arial" w:cs="Arial"/>
          <w:color w:val="000000" w:themeColor="text1"/>
          <w:sz w:val="22"/>
          <w:szCs w:val="22"/>
          <w:lang w:val="es-MX" w:eastAsia="en-US"/>
        </w:rPr>
        <w:t>explica el paso a paso que deben seguir los contratistas para presentar las garantías para la aprobación del contratante. Por su parte, la «Guía para hacer la gestión contractual en el SECOP II</w:t>
      </w:r>
      <w:bookmarkStart w:id="6" w:name="_Hlk83385958"/>
      <w:r w:rsidRPr="00FF109C">
        <w:rPr>
          <w:rFonts w:ascii="Arial" w:eastAsiaTheme="minorHAnsi" w:hAnsi="Arial" w:cs="Arial"/>
          <w:color w:val="000000" w:themeColor="text1"/>
          <w:sz w:val="22"/>
          <w:szCs w:val="22"/>
          <w:lang w:val="es-MX" w:eastAsia="en-US"/>
        </w:rPr>
        <w:t>»</w:t>
      </w:r>
      <w:bookmarkEnd w:id="6"/>
      <w:r w:rsidRPr="00FF109C">
        <w:rPr>
          <w:rFonts w:ascii="Arial" w:eastAsiaTheme="minorHAnsi" w:hAnsi="Arial" w:cs="Arial"/>
          <w:color w:val="000000" w:themeColor="text1"/>
          <w:sz w:val="22"/>
          <w:szCs w:val="22"/>
          <w:vertAlign w:val="superscript"/>
          <w:lang w:val="es-MX" w:eastAsia="en-US"/>
        </w:rPr>
        <w:footnoteReference w:id="11"/>
      </w:r>
      <w:r w:rsidRPr="00FF109C">
        <w:rPr>
          <w:rFonts w:ascii="Arial" w:eastAsiaTheme="minorHAnsi" w:hAnsi="Arial" w:cs="Arial"/>
          <w:color w:val="000000" w:themeColor="text1"/>
          <w:sz w:val="22"/>
          <w:szCs w:val="22"/>
          <w:lang w:val="es-MX" w:eastAsia="en-US"/>
        </w:rPr>
        <w:t xml:space="preserve">, también expedida </w:t>
      </w:r>
      <w:r w:rsidRPr="00FF109C">
        <w:rPr>
          <w:rFonts w:ascii="Arial" w:eastAsiaTheme="minorHAnsi" w:hAnsi="Arial" w:cs="Arial"/>
          <w:color w:val="000000" w:themeColor="text1"/>
          <w:sz w:val="22"/>
          <w:szCs w:val="22"/>
          <w:lang w:val="es-MX" w:eastAsia="en-US"/>
        </w:rPr>
        <w:lastRenderedPageBreak/>
        <w:t>por esta entidad, detalla en su literal «B. Requisitos para la ejecución del contrato» el procedimiento a seguir por parte de la entidad contratante para aprobar a través del SECOP II las garantías presentadas por el contratista. Si bien estos instrumentos solo se refieren a aspectos propios del uso del SECOP II como herramienta tecnológica para la gestión contractual, las indicaciones brindadas respecto de los procesos de presentación y aprobación de garantías constituyen insumos de valiosa importancia dado el carácter transaccional de dicha plataforma.</w:t>
      </w:r>
      <w:r w:rsidR="002670C4" w:rsidRPr="00FF109C">
        <w:rPr>
          <w:rFonts w:ascii="Arial" w:eastAsiaTheme="minorHAnsi" w:hAnsi="Arial" w:cs="Arial"/>
          <w:color w:val="000000" w:themeColor="text1"/>
          <w:sz w:val="22"/>
          <w:szCs w:val="22"/>
          <w:lang w:val="es-MX" w:eastAsia="en-US"/>
        </w:rPr>
        <w:t xml:space="preserve"> </w:t>
      </w:r>
      <w:r w:rsidR="008C5408" w:rsidRPr="00FF109C">
        <w:rPr>
          <w:rFonts w:ascii="Arial" w:eastAsiaTheme="minorHAnsi" w:hAnsi="Arial" w:cs="Arial"/>
          <w:color w:val="000000" w:themeColor="text1"/>
          <w:sz w:val="22"/>
          <w:szCs w:val="22"/>
          <w:lang w:val="es-ES_tradnl" w:eastAsia="en-US"/>
        </w:rPr>
        <w:t>En este sentido, una vez verificada la validez de las garantías y determinado el cumplimiento de esta</w:t>
      </w:r>
      <w:r w:rsidR="008A5D9D" w:rsidRPr="00FF109C">
        <w:rPr>
          <w:rFonts w:ascii="Arial" w:eastAsiaTheme="minorHAnsi" w:hAnsi="Arial" w:cs="Arial"/>
          <w:color w:val="000000" w:themeColor="text1"/>
          <w:sz w:val="22"/>
          <w:szCs w:val="22"/>
          <w:lang w:val="es-ES_tradnl" w:eastAsia="en-US"/>
        </w:rPr>
        <w:t xml:space="preserve">s </w:t>
      </w:r>
      <w:r w:rsidR="008C5408" w:rsidRPr="00FF109C">
        <w:rPr>
          <w:rFonts w:ascii="Arial" w:eastAsiaTheme="minorHAnsi" w:hAnsi="Arial" w:cs="Arial"/>
          <w:color w:val="000000" w:themeColor="text1"/>
          <w:sz w:val="22"/>
          <w:szCs w:val="22"/>
          <w:lang w:val="es-ES_tradnl" w:eastAsia="en-US"/>
        </w:rPr>
        <w:t>con sujeción a</w:t>
      </w:r>
      <w:r w:rsidR="00DB7954" w:rsidRPr="00FF109C">
        <w:rPr>
          <w:rFonts w:ascii="Arial" w:eastAsiaTheme="minorHAnsi" w:hAnsi="Arial" w:cs="Arial"/>
          <w:color w:val="000000" w:themeColor="text1"/>
          <w:sz w:val="22"/>
          <w:szCs w:val="22"/>
          <w:lang w:val="es-ES_tradnl" w:eastAsia="en-US"/>
        </w:rPr>
        <w:t>l</w:t>
      </w:r>
      <w:r w:rsidR="008C5408" w:rsidRPr="00FF109C">
        <w:rPr>
          <w:rFonts w:ascii="Arial" w:eastAsiaTheme="minorHAnsi" w:hAnsi="Arial" w:cs="Arial"/>
          <w:color w:val="000000" w:themeColor="text1"/>
          <w:sz w:val="22"/>
          <w:szCs w:val="22"/>
          <w:lang w:val="es-ES_tradnl" w:eastAsia="en-US"/>
        </w:rPr>
        <w:t xml:space="preserve"> contrato, la entidad debe aprobarlas a través del SECOP II, cuando aplique.</w:t>
      </w:r>
      <w:r w:rsidR="008C5408" w:rsidRPr="008C5408">
        <w:rPr>
          <w:rFonts w:ascii="Arial" w:eastAsiaTheme="minorHAnsi" w:hAnsi="Arial" w:cs="Arial"/>
          <w:color w:val="000000" w:themeColor="text1"/>
          <w:sz w:val="22"/>
          <w:szCs w:val="22"/>
          <w:lang w:val="es-ES_tradnl" w:eastAsia="en-US"/>
        </w:rPr>
        <w:t xml:space="preserve"> </w:t>
      </w:r>
    </w:p>
    <w:p w14:paraId="25F7F5DE" w14:textId="01D1EF57" w:rsidR="008C5408" w:rsidRPr="002670C4" w:rsidRDefault="00D912C2" w:rsidP="002670C4">
      <w:pPr>
        <w:spacing w:before="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De este modo, </w:t>
      </w:r>
      <w:r>
        <w:rPr>
          <w:rFonts w:ascii="Arial" w:eastAsiaTheme="minorHAnsi" w:hAnsi="Arial" w:cs="Arial"/>
          <w:color w:val="000000" w:themeColor="text1"/>
          <w:sz w:val="22"/>
          <w:szCs w:val="22"/>
          <w:lang w:val="es-ES_tradnl" w:eastAsia="en-US"/>
        </w:rPr>
        <w:t>c</w:t>
      </w:r>
      <w:r w:rsidR="008C5408" w:rsidRPr="008C5408">
        <w:rPr>
          <w:rFonts w:ascii="Arial" w:eastAsiaTheme="minorHAnsi" w:hAnsi="Arial" w:cs="Arial"/>
          <w:color w:val="000000" w:themeColor="text1"/>
          <w:sz w:val="22"/>
          <w:szCs w:val="22"/>
          <w:lang w:val="es-ES_tradnl" w:eastAsia="en-US"/>
        </w:rPr>
        <w:t xml:space="preserve">on </w:t>
      </w:r>
      <w:r w:rsidR="002A2711">
        <w:rPr>
          <w:rFonts w:ascii="Arial" w:eastAsiaTheme="minorHAnsi" w:hAnsi="Arial" w:cs="Arial"/>
          <w:color w:val="000000" w:themeColor="text1"/>
          <w:sz w:val="22"/>
          <w:szCs w:val="22"/>
          <w:lang w:val="es-ES_tradnl" w:eastAsia="en-US"/>
        </w:rPr>
        <w:t>la aprobación de las garantías la entidad estatal</w:t>
      </w:r>
      <w:r w:rsidR="008C5408" w:rsidRPr="008C5408">
        <w:rPr>
          <w:rFonts w:ascii="Arial" w:eastAsiaTheme="minorHAnsi" w:hAnsi="Arial" w:cs="Arial"/>
          <w:color w:val="000000" w:themeColor="text1"/>
          <w:sz w:val="22"/>
          <w:szCs w:val="22"/>
          <w:lang w:val="es-ES_tradnl" w:eastAsia="en-US"/>
        </w:rPr>
        <w:t xml:space="preserve"> </w:t>
      </w:r>
      <w:r w:rsidR="00DB7954" w:rsidRPr="00B17018">
        <w:rPr>
          <w:rFonts w:ascii="Arial" w:hAnsi="Arial" w:cs="Arial"/>
          <w:color w:val="000000" w:themeColor="text1"/>
          <w:sz w:val="22"/>
          <w:szCs w:val="22"/>
          <w:lang w:eastAsia="es-CO"/>
        </w:rPr>
        <w:t>estará acreditado el cumplimiento de la obligación del artículo 7 de la Ley 1150 de 2007,</w:t>
      </w:r>
      <w:r w:rsidR="00DB7954">
        <w:rPr>
          <w:rFonts w:ascii="Arial" w:hAnsi="Arial" w:cs="Arial"/>
          <w:color w:val="000000" w:themeColor="text1"/>
          <w:sz w:val="22"/>
          <w:szCs w:val="22"/>
          <w:lang w:eastAsia="es-CO"/>
        </w:rPr>
        <w:t xml:space="preserve"> </w:t>
      </w:r>
      <w:r w:rsidR="008C5408" w:rsidRPr="008C5408">
        <w:rPr>
          <w:rFonts w:ascii="Arial" w:eastAsiaTheme="minorHAnsi" w:hAnsi="Arial" w:cs="Arial"/>
          <w:color w:val="000000" w:themeColor="text1"/>
          <w:sz w:val="22"/>
          <w:szCs w:val="22"/>
          <w:lang w:val="es-ES_tradnl" w:eastAsia="en-US"/>
        </w:rPr>
        <w:t>y entonces el contrato podrá ser ejecutado</w:t>
      </w:r>
      <w:r w:rsidR="00DB7954">
        <w:rPr>
          <w:rFonts w:ascii="Arial" w:eastAsiaTheme="minorHAnsi" w:hAnsi="Arial" w:cs="Arial"/>
          <w:color w:val="000000" w:themeColor="text1"/>
          <w:sz w:val="22"/>
          <w:szCs w:val="22"/>
          <w:lang w:val="es-ES_tradnl" w:eastAsia="en-US"/>
        </w:rPr>
        <w:t>, siempre que se cumplan los demás requisitos de ejecución que establece el artículo 41 de la Ley 80 de 1993.</w:t>
      </w:r>
      <w:r w:rsidR="00CD3F03">
        <w:rPr>
          <w:rFonts w:ascii="Arial" w:eastAsiaTheme="minorHAnsi" w:hAnsi="Arial" w:cs="Arial"/>
          <w:color w:val="000000" w:themeColor="text1"/>
          <w:sz w:val="22"/>
          <w:szCs w:val="22"/>
          <w:lang w:val="es-ES_tradnl" w:eastAsia="en-US"/>
        </w:rPr>
        <w:t xml:space="preserve"> </w:t>
      </w:r>
    </w:p>
    <w:p w14:paraId="211DBA58" w14:textId="24465DED" w:rsidR="006E5EBD" w:rsidRDefault="008C5408" w:rsidP="004E2047">
      <w:pPr>
        <w:spacing w:before="120" w:line="276" w:lineRule="auto"/>
        <w:ind w:firstLine="708"/>
        <w:jc w:val="both"/>
        <w:rPr>
          <w:rFonts w:ascii="Arial" w:eastAsiaTheme="minorHAnsi" w:hAnsi="Arial" w:cs="Arial"/>
          <w:bCs/>
          <w:color w:val="000000" w:themeColor="text1"/>
          <w:sz w:val="22"/>
          <w:szCs w:val="22"/>
          <w:lang w:val="es-ES_tradnl" w:eastAsia="en-US"/>
        </w:rPr>
      </w:pPr>
      <w:r w:rsidRPr="008C5408">
        <w:rPr>
          <w:rFonts w:ascii="Arial" w:eastAsiaTheme="minorHAnsi" w:hAnsi="Arial" w:cs="Arial"/>
          <w:color w:val="000000" w:themeColor="text1"/>
          <w:sz w:val="22"/>
          <w:szCs w:val="22"/>
          <w:lang w:val="es-ES_tradnl" w:eastAsia="en-US"/>
        </w:rPr>
        <w:t xml:space="preserve">Ahora bien, </w:t>
      </w:r>
      <w:r w:rsidR="00A77E71" w:rsidRPr="00692DC1">
        <w:rPr>
          <w:rFonts w:ascii="Arial" w:hAnsi="Arial" w:cs="Arial"/>
          <w:color w:val="000000" w:themeColor="text1"/>
          <w:sz w:val="22"/>
        </w:rPr>
        <w:t xml:space="preserve">revisadas las leyes 80 de 1993 y 1150 de 2007, al igual que el Decreto 1082 de 2015 y demás normas integrantes del Estatuto General de Contratación de la Administración Pública, no se advierte </w:t>
      </w:r>
      <w:r w:rsidRPr="008C5408">
        <w:rPr>
          <w:rFonts w:ascii="Arial" w:eastAsiaTheme="minorHAnsi" w:hAnsi="Arial" w:cs="Arial"/>
          <w:bCs/>
          <w:color w:val="000000" w:themeColor="text1"/>
          <w:sz w:val="22"/>
          <w:szCs w:val="22"/>
          <w:lang w:val="es-ES_tradnl" w:eastAsia="en-US"/>
        </w:rPr>
        <w:t xml:space="preserve">la obligación de comunicar o notificar la aprobación de las garantías </w:t>
      </w:r>
      <w:r w:rsidR="0000540E">
        <w:rPr>
          <w:rFonts w:ascii="Arial" w:eastAsiaTheme="minorHAnsi" w:hAnsi="Arial" w:cs="Arial"/>
          <w:bCs/>
          <w:color w:val="000000" w:themeColor="text1"/>
          <w:sz w:val="22"/>
          <w:szCs w:val="22"/>
          <w:lang w:val="es-ES_tradnl" w:eastAsia="en-US"/>
        </w:rPr>
        <w:t>a l</w:t>
      </w:r>
      <w:r w:rsidR="00630B66">
        <w:rPr>
          <w:rFonts w:ascii="Arial" w:eastAsiaTheme="minorHAnsi" w:hAnsi="Arial" w:cs="Arial"/>
          <w:bCs/>
          <w:color w:val="000000" w:themeColor="text1"/>
          <w:sz w:val="22"/>
          <w:szCs w:val="22"/>
          <w:lang w:val="es-ES_tradnl" w:eastAsia="en-US"/>
        </w:rPr>
        <w:t>a compañía aseguradora</w:t>
      </w:r>
      <w:r w:rsidR="0000540E">
        <w:rPr>
          <w:rFonts w:ascii="Arial" w:eastAsiaTheme="minorHAnsi" w:hAnsi="Arial" w:cs="Arial"/>
          <w:bCs/>
          <w:color w:val="000000" w:themeColor="text1"/>
          <w:sz w:val="22"/>
          <w:szCs w:val="22"/>
          <w:lang w:val="es-ES_tradnl" w:eastAsia="en-US"/>
        </w:rPr>
        <w:t xml:space="preserve">. Esto no implica de ninguna manera que las garantías no </w:t>
      </w:r>
      <w:r w:rsidR="005B5732">
        <w:rPr>
          <w:rFonts w:ascii="Arial" w:eastAsiaTheme="minorHAnsi" w:hAnsi="Arial" w:cs="Arial"/>
          <w:bCs/>
          <w:color w:val="000000" w:themeColor="text1"/>
          <w:sz w:val="22"/>
          <w:szCs w:val="22"/>
          <w:lang w:val="es-ES_tradnl" w:eastAsia="en-US"/>
        </w:rPr>
        <w:t xml:space="preserve">produzcan </w:t>
      </w:r>
      <w:r w:rsidR="0000540E">
        <w:rPr>
          <w:rFonts w:ascii="Arial" w:eastAsiaTheme="minorHAnsi" w:hAnsi="Arial" w:cs="Arial"/>
          <w:bCs/>
          <w:color w:val="000000" w:themeColor="text1"/>
          <w:sz w:val="22"/>
          <w:szCs w:val="22"/>
          <w:lang w:val="es-ES_tradnl" w:eastAsia="en-US"/>
        </w:rPr>
        <w:t>sus efectos jurídicos de asegurar el contrato</w:t>
      </w:r>
      <w:r w:rsidR="003758EE">
        <w:rPr>
          <w:rFonts w:ascii="Arial" w:eastAsiaTheme="minorHAnsi" w:hAnsi="Arial" w:cs="Arial"/>
          <w:bCs/>
          <w:color w:val="000000" w:themeColor="text1"/>
          <w:sz w:val="22"/>
          <w:szCs w:val="22"/>
          <w:lang w:val="es-ES_tradnl" w:eastAsia="en-US"/>
        </w:rPr>
        <w:t xml:space="preserve">, </w:t>
      </w:r>
      <w:r w:rsidR="004267AF">
        <w:rPr>
          <w:rFonts w:ascii="Arial" w:eastAsiaTheme="minorHAnsi" w:hAnsi="Arial" w:cs="Arial"/>
          <w:bCs/>
          <w:color w:val="000000" w:themeColor="text1"/>
          <w:sz w:val="22"/>
          <w:szCs w:val="22"/>
          <w:lang w:val="es-ES_tradnl" w:eastAsia="en-US"/>
        </w:rPr>
        <w:t xml:space="preserve">ni afecta la </w:t>
      </w:r>
      <w:r w:rsidR="00EE7CB9">
        <w:rPr>
          <w:rFonts w:ascii="Arial" w:eastAsiaTheme="minorHAnsi" w:hAnsi="Arial" w:cs="Arial"/>
          <w:bCs/>
          <w:color w:val="000000" w:themeColor="text1"/>
          <w:sz w:val="22"/>
          <w:szCs w:val="22"/>
          <w:lang w:val="es-ES_tradnl" w:eastAsia="en-US"/>
        </w:rPr>
        <w:t>validez</w:t>
      </w:r>
      <w:r w:rsidR="004267AF">
        <w:rPr>
          <w:rFonts w:ascii="Arial" w:eastAsiaTheme="minorHAnsi" w:hAnsi="Arial" w:cs="Arial"/>
          <w:bCs/>
          <w:color w:val="000000" w:themeColor="text1"/>
          <w:sz w:val="22"/>
          <w:szCs w:val="22"/>
          <w:lang w:val="es-ES_tradnl" w:eastAsia="en-US"/>
        </w:rPr>
        <w:t xml:space="preserve"> o eficacia de </w:t>
      </w:r>
      <w:proofErr w:type="gramStart"/>
      <w:r w:rsidR="004267AF">
        <w:rPr>
          <w:rFonts w:ascii="Arial" w:eastAsiaTheme="minorHAnsi" w:hAnsi="Arial" w:cs="Arial"/>
          <w:bCs/>
          <w:color w:val="000000" w:themeColor="text1"/>
          <w:sz w:val="22"/>
          <w:szCs w:val="22"/>
          <w:lang w:val="es-ES_tradnl" w:eastAsia="en-US"/>
        </w:rPr>
        <w:t>las mismas</w:t>
      </w:r>
      <w:proofErr w:type="gramEnd"/>
      <w:r w:rsidR="004267AF">
        <w:rPr>
          <w:rFonts w:ascii="Arial" w:eastAsiaTheme="minorHAnsi" w:hAnsi="Arial" w:cs="Arial"/>
          <w:bCs/>
          <w:color w:val="000000" w:themeColor="text1"/>
          <w:sz w:val="22"/>
          <w:szCs w:val="22"/>
          <w:lang w:val="es-ES_tradnl" w:eastAsia="en-US"/>
        </w:rPr>
        <w:t xml:space="preserve">, </w:t>
      </w:r>
      <w:r w:rsidR="003758EE">
        <w:rPr>
          <w:rFonts w:ascii="Arial" w:eastAsiaTheme="minorHAnsi" w:hAnsi="Arial" w:cs="Arial"/>
          <w:bCs/>
          <w:color w:val="000000" w:themeColor="text1"/>
          <w:sz w:val="22"/>
          <w:szCs w:val="22"/>
          <w:lang w:val="es-ES_tradnl" w:eastAsia="en-US"/>
        </w:rPr>
        <w:t xml:space="preserve">puesto que la comunicación de dicha aprobación </w:t>
      </w:r>
      <w:r w:rsidR="00655D08">
        <w:rPr>
          <w:rFonts w:ascii="Arial" w:eastAsiaTheme="minorHAnsi" w:hAnsi="Arial" w:cs="Arial"/>
          <w:bCs/>
          <w:color w:val="000000" w:themeColor="text1"/>
          <w:sz w:val="22"/>
          <w:szCs w:val="22"/>
          <w:lang w:val="es-ES_tradnl" w:eastAsia="en-US"/>
        </w:rPr>
        <w:t xml:space="preserve">no </w:t>
      </w:r>
      <w:r w:rsidR="003758EE">
        <w:rPr>
          <w:rFonts w:ascii="Arial" w:eastAsiaTheme="minorHAnsi" w:hAnsi="Arial" w:cs="Arial"/>
          <w:bCs/>
          <w:color w:val="000000" w:themeColor="text1"/>
          <w:sz w:val="22"/>
          <w:szCs w:val="22"/>
          <w:lang w:val="es-ES_tradnl" w:eastAsia="en-US"/>
        </w:rPr>
        <w:t>es un</w:t>
      </w:r>
      <w:r w:rsidR="00655D08">
        <w:rPr>
          <w:rFonts w:ascii="Arial" w:eastAsiaTheme="minorHAnsi" w:hAnsi="Arial" w:cs="Arial"/>
          <w:bCs/>
          <w:color w:val="000000" w:themeColor="text1"/>
          <w:sz w:val="22"/>
          <w:szCs w:val="22"/>
          <w:lang w:val="es-ES_tradnl" w:eastAsia="en-US"/>
        </w:rPr>
        <w:t xml:space="preserve"> requisito exigido </w:t>
      </w:r>
      <w:r w:rsidR="003758EE">
        <w:rPr>
          <w:rFonts w:ascii="Arial" w:eastAsiaTheme="minorHAnsi" w:hAnsi="Arial" w:cs="Arial"/>
          <w:bCs/>
          <w:color w:val="000000" w:themeColor="text1"/>
          <w:sz w:val="22"/>
          <w:szCs w:val="22"/>
          <w:lang w:val="es-ES_tradnl" w:eastAsia="en-US"/>
        </w:rPr>
        <w:t xml:space="preserve">en materia de contratación estatal para </w:t>
      </w:r>
      <w:r w:rsidR="002228EC">
        <w:rPr>
          <w:rFonts w:ascii="Arial" w:eastAsiaTheme="minorHAnsi" w:hAnsi="Arial" w:cs="Arial"/>
          <w:bCs/>
          <w:color w:val="000000" w:themeColor="text1"/>
          <w:sz w:val="22"/>
          <w:szCs w:val="22"/>
          <w:lang w:val="es-ES_tradnl" w:eastAsia="en-US"/>
        </w:rPr>
        <w:t>cubrir los riesgos amparados por el contrato</w:t>
      </w:r>
      <w:r w:rsidR="0000540E">
        <w:rPr>
          <w:rFonts w:ascii="Arial" w:eastAsiaTheme="minorHAnsi" w:hAnsi="Arial" w:cs="Arial"/>
          <w:bCs/>
          <w:color w:val="000000" w:themeColor="text1"/>
          <w:sz w:val="22"/>
          <w:szCs w:val="22"/>
          <w:lang w:val="es-ES_tradnl" w:eastAsia="en-US"/>
        </w:rPr>
        <w:t xml:space="preserve">. </w:t>
      </w:r>
      <w:r w:rsidR="003F526B">
        <w:rPr>
          <w:rFonts w:ascii="Arial" w:eastAsiaTheme="minorHAnsi" w:hAnsi="Arial" w:cs="Arial"/>
          <w:bCs/>
          <w:color w:val="000000" w:themeColor="text1"/>
          <w:sz w:val="22"/>
          <w:szCs w:val="22"/>
          <w:lang w:val="es-ES_tradnl" w:eastAsia="en-US"/>
        </w:rPr>
        <w:t>En armonía con lo anterior</w:t>
      </w:r>
      <w:r w:rsidR="002E021E">
        <w:rPr>
          <w:rFonts w:ascii="Arial" w:eastAsiaTheme="minorHAnsi" w:hAnsi="Arial" w:cs="Arial"/>
          <w:bCs/>
          <w:color w:val="000000" w:themeColor="text1"/>
          <w:sz w:val="22"/>
          <w:szCs w:val="22"/>
          <w:lang w:val="es-ES_tradnl" w:eastAsia="en-US"/>
        </w:rPr>
        <w:t xml:space="preserve">, </w:t>
      </w:r>
      <w:r w:rsidR="00594E2D" w:rsidRPr="00594E2D">
        <w:rPr>
          <w:rFonts w:ascii="Arial" w:eastAsiaTheme="minorHAnsi" w:hAnsi="Arial" w:cs="Arial"/>
          <w:bCs/>
          <w:color w:val="000000" w:themeColor="text1"/>
          <w:sz w:val="22"/>
          <w:szCs w:val="22"/>
          <w:lang w:val="es-ES_tradnl" w:eastAsia="en-US"/>
        </w:rPr>
        <w:t xml:space="preserve">el artículo 1036 del Código de Comercio, </w:t>
      </w:r>
      <w:r w:rsidR="00594E2D">
        <w:rPr>
          <w:rFonts w:ascii="Arial" w:eastAsiaTheme="minorHAnsi" w:hAnsi="Arial" w:cs="Arial"/>
          <w:bCs/>
          <w:color w:val="000000" w:themeColor="text1"/>
          <w:sz w:val="22"/>
          <w:szCs w:val="22"/>
          <w:lang w:val="es-ES_tradnl" w:eastAsia="en-US"/>
        </w:rPr>
        <w:t>señal</w:t>
      </w:r>
      <w:r w:rsidR="003F526B">
        <w:rPr>
          <w:rFonts w:ascii="Arial" w:eastAsiaTheme="minorHAnsi" w:hAnsi="Arial" w:cs="Arial"/>
          <w:bCs/>
          <w:color w:val="000000" w:themeColor="text1"/>
          <w:sz w:val="22"/>
          <w:szCs w:val="22"/>
          <w:lang w:val="es-ES_tradnl" w:eastAsia="en-US"/>
        </w:rPr>
        <w:t>a</w:t>
      </w:r>
      <w:r w:rsidR="00594E2D">
        <w:rPr>
          <w:rFonts w:ascii="Arial" w:eastAsiaTheme="minorHAnsi" w:hAnsi="Arial" w:cs="Arial"/>
          <w:bCs/>
          <w:color w:val="000000" w:themeColor="text1"/>
          <w:sz w:val="22"/>
          <w:szCs w:val="22"/>
          <w:lang w:val="es-ES_tradnl" w:eastAsia="en-US"/>
        </w:rPr>
        <w:t xml:space="preserve"> que el </w:t>
      </w:r>
      <w:r w:rsidR="00594E2D" w:rsidRPr="00594E2D">
        <w:rPr>
          <w:rFonts w:ascii="Arial" w:eastAsiaTheme="minorHAnsi" w:hAnsi="Arial" w:cs="Arial"/>
          <w:bCs/>
          <w:color w:val="000000" w:themeColor="text1"/>
          <w:sz w:val="22"/>
          <w:szCs w:val="22"/>
          <w:lang w:val="es-ES_tradnl" w:eastAsia="en-US"/>
        </w:rPr>
        <w:t xml:space="preserve">contrato de seguro </w:t>
      </w:r>
      <w:r w:rsidR="00594E2D">
        <w:rPr>
          <w:rFonts w:ascii="Arial" w:eastAsiaTheme="minorHAnsi" w:hAnsi="Arial" w:cs="Arial"/>
          <w:bCs/>
          <w:color w:val="000000" w:themeColor="text1"/>
          <w:sz w:val="22"/>
          <w:szCs w:val="22"/>
          <w:lang w:val="es-ES_tradnl" w:eastAsia="en-US"/>
        </w:rPr>
        <w:t xml:space="preserve">es un contrato </w:t>
      </w:r>
      <w:r w:rsidR="00594E2D" w:rsidRPr="00594E2D">
        <w:rPr>
          <w:rFonts w:ascii="Arial" w:eastAsiaTheme="minorHAnsi" w:hAnsi="Arial" w:cs="Arial"/>
          <w:bCs/>
          <w:color w:val="000000" w:themeColor="text1"/>
          <w:sz w:val="22"/>
          <w:szCs w:val="22"/>
          <w:lang w:val="es-ES_tradnl" w:eastAsia="en-US"/>
        </w:rPr>
        <w:t>«consensual, bilateral, oneroso, aleatorio y de ejecución sucesiva»</w:t>
      </w:r>
      <w:r w:rsidR="00594E2D">
        <w:rPr>
          <w:rFonts w:ascii="Arial" w:eastAsiaTheme="minorHAnsi" w:hAnsi="Arial" w:cs="Arial"/>
          <w:bCs/>
          <w:color w:val="000000" w:themeColor="text1"/>
          <w:sz w:val="22"/>
          <w:szCs w:val="22"/>
          <w:lang w:val="es-ES_tradnl" w:eastAsia="en-US"/>
        </w:rPr>
        <w:t xml:space="preserve">, por lo que se perfecciona con el acuerdo entre las partes. En tal sentido, </w:t>
      </w:r>
      <w:r w:rsidR="004E2047">
        <w:rPr>
          <w:rFonts w:ascii="Arial" w:eastAsiaTheme="minorHAnsi" w:hAnsi="Arial" w:cs="Arial"/>
          <w:bCs/>
          <w:color w:val="000000" w:themeColor="text1"/>
          <w:sz w:val="22"/>
          <w:szCs w:val="22"/>
          <w:lang w:val="es-ES_tradnl" w:eastAsia="en-US"/>
        </w:rPr>
        <w:t xml:space="preserve">el contrato de seguros existe y es válido </w:t>
      </w:r>
      <w:r w:rsidR="00594E2D">
        <w:rPr>
          <w:rFonts w:ascii="Arial" w:eastAsiaTheme="minorHAnsi" w:hAnsi="Arial" w:cs="Arial"/>
          <w:bCs/>
          <w:color w:val="000000" w:themeColor="text1"/>
          <w:sz w:val="22"/>
          <w:szCs w:val="22"/>
          <w:lang w:val="es-ES_tradnl" w:eastAsia="en-US"/>
        </w:rPr>
        <w:t xml:space="preserve">desde el momento de su perfeccionamiento, </w:t>
      </w:r>
      <w:r w:rsidR="00FF00C5">
        <w:rPr>
          <w:rFonts w:ascii="Arial" w:eastAsiaTheme="minorHAnsi" w:hAnsi="Arial" w:cs="Arial"/>
          <w:bCs/>
          <w:color w:val="000000" w:themeColor="text1"/>
          <w:sz w:val="22"/>
          <w:szCs w:val="22"/>
          <w:lang w:val="es-ES_tradnl" w:eastAsia="en-US"/>
        </w:rPr>
        <w:t xml:space="preserve">sin necesidad de ningún otro acto adicional, </w:t>
      </w:r>
      <w:r w:rsidR="00594E2D">
        <w:rPr>
          <w:rFonts w:ascii="Arial" w:eastAsiaTheme="minorHAnsi" w:hAnsi="Arial" w:cs="Arial"/>
          <w:bCs/>
          <w:color w:val="000000" w:themeColor="text1"/>
          <w:sz w:val="22"/>
          <w:szCs w:val="22"/>
          <w:lang w:val="es-ES_tradnl" w:eastAsia="en-US"/>
        </w:rPr>
        <w:t xml:space="preserve">siendo la póliza la prueba de </w:t>
      </w:r>
      <w:r w:rsidR="006E5EBD">
        <w:rPr>
          <w:rFonts w:ascii="Arial" w:eastAsiaTheme="minorHAnsi" w:hAnsi="Arial" w:cs="Arial"/>
          <w:bCs/>
          <w:color w:val="000000" w:themeColor="text1"/>
          <w:sz w:val="22"/>
          <w:szCs w:val="22"/>
          <w:lang w:val="es-ES_tradnl" w:eastAsia="en-US"/>
        </w:rPr>
        <w:t>la celebración de este contrato</w:t>
      </w:r>
      <w:r w:rsidR="004E2047">
        <w:rPr>
          <w:rStyle w:val="Refdenotaalpie"/>
          <w:rFonts w:ascii="Arial" w:eastAsiaTheme="minorHAnsi" w:hAnsi="Arial" w:cs="Arial"/>
          <w:bCs/>
          <w:color w:val="000000" w:themeColor="text1"/>
          <w:sz w:val="22"/>
          <w:szCs w:val="22"/>
          <w:lang w:val="es-ES_tradnl" w:eastAsia="en-US"/>
        </w:rPr>
        <w:footnoteReference w:id="12"/>
      </w:r>
      <w:r w:rsidR="006E5EBD">
        <w:rPr>
          <w:rFonts w:ascii="Arial" w:eastAsiaTheme="minorHAnsi" w:hAnsi="Arial" w:cs="Arial"/>
          <w:bCs/>
          <w:color w:val="000000" w:themeColor="text1"/>
          <w:sz w:val="22"/>
          <w:szCs w:val="22"/>
          <w:lang w:val="es-ES_tradnl" w:eastAsia="en-US"/>
        </w:rPr>
        <w:t xml:space="preserve">. </w:t>
      </w:r>
    </w:p>
    <w:p w14:paraId="1AF732E6" w14:textId="769040B8" w:rsidR="00D20A18" w:rsidRPr="00FF00C5" w:rsidRDefault="00EE7CB9" w:rsidP="00FF00C5">
      <w:pPr>
        <w:spacing w:before="120" w:line="276" w:lineRule="auto"/>
        <w:ind w:firstLine="708"/>
        <w:jc w:val="both"/>
        <w:rPr>
          <w:rFonts w:ascii="Arial" w:eastAsiaTheme="minorHAnsi" w:hAnsi="Arial" w:cs="Arial"/>
          <w:color w:val="000000" w:themeColor="text1"/>
          <w:sz w:val="22"/>
          <w:szCs w:val="22"/>
          <w:lang w:val="es-ES_tradnl" w:eastAsia="en-US"/>
        </w:rPr>
      </w:pPr>
      <w:r>
        <w:rPr>
          <w:rFonts w:ascii="Arial" w:eastAsiaTheme="minorHAnsi" w:hAnsi="Arial" w:cs="Arial"/>
          <w:bCs/>
          <w:color w:val="000000" w:themeColor="text1"/>
          <w:sz w:val="22"/>
          <w:szCs w:val="22"/>
          <w:lang w:val="es-ES_tradnl" w:eastAsia="en-US"/>
        </w:rPr>
        <w:lastRenderedPageBreak/>
        <w:t xml:space="preserve">De esta manera, </w:t>
      </w:r>
      <w:r w:rsidR="004267AF">
        <w:rPr>
          <w:rFonts w:ascii="Arial" w:eastAsiaTheme="minorHAnsi" w:hAnsi="Arial" w:cs="Arial"/>
          <w:bCs/>
          <w:color w:val="000000" w:themeColor="text1"/>
          <w:sz w:val="22"/>
          <w:szCs w:val="22"/>
          <w:lang w:val="es-ES_tradnl" w:eastAsia="en-US"/>
        </w:rPr>
        <w:t>c</w:t>
      </w:r>
      <w:r w:rsidR="00EC63F4">
        <w:rPr>
          <w:rFonts w:ascii="Arial" w:eastAsiaTheme="minorHAnsi" w:hAnsi="Arial" w:cs="Arial"/>
          <w:bCs/>
          <w:color w:val="000000" w:themeColor="text1"/>
          <w:sz w:val="22"/>
          <w:szCs w:val="22"/>
          <w:lang w:val="es-ES_tradnl" w:eastAsia="en-US"/>
        </w:rPr>
        <w:t xml:space="preserve">on </w:t>
      </w:r>
      <w:r w:rsidR="00A44F39">
        <w:rPr>
          <w:rFonts w:ascii="Arial" w:eastAsiaTheme="minorHAnsi" w:hAnsi="Arial" w:cs="Arial"/>
          <w:bCs/>
          <w:color w:val="000000" w:themeColor="text1"/>
          <w:sz w:val="22"/>
          <w:szCs w:val="22"/>
          <w:lang w:val="es-ES_tradnl" w:eastAsia="en-US"/>
        </w:rPr>
        <w:t xml:space="preserve">la aprobación de las garantías la entidad </w:t>
      </w:r>
      <w:r w:rsidR="00EC63F4">
        <w:rPr>
          <w:rFonts w:ascii="Arial" w:eastAsiaTheme="minorHAnsi" w:hAnsi="Arial" w:cs="Arial"/>
          <w:bCs/>
          <w:color w:val="000000" w:themeColor="text1"/>
          <w:sz w:val="22"/>
          <w:szCs w:val="22"/>
          <w:lang w:val="es-ES_tradnl" w:eastAsia="en-US"/>
        </w:rPr>
        <w:t xml:space="preserve">estatal </w:t>
      </w:r>
      <w:r w:rsidR="00482E92">
        <w:rPr>
          <w:rFonts w:ascii="Arial" w:eastAsiaTheme="minorHAnsi" w:hAnsi="Arial" w:cs="Arial"/>
          <w:bCs/>
          <w:color w:val="000000" w:themeColor="text1"/>
          <w:sz w:val="22"/>
          <w:szCs w:val="22"/>
          <w:lang w:val="es-ES_tradnl" w:eastAsia="en-US"/>
        </w:rPr>
        <w:t xml:space="preserve">acepta </w:t>
      </w:r>
      <w:r w:rsidR="00A44F39">
        <w:rPr>
          <w:rFonts w:ascii="Arial" w:eastAsiaTheme="minorHAnsi" w:hAnsi="Arial" w:cs="Arial"/>
          <w:bCs/>
          <w:color w:val="000000" w:themeColor="text1"/>
          <w:sz w:val="22"/>
          <w:szCs w:val="22"/>
          <w:lang w:val="es-ES_tradnl" w:eastAsia="en-US"/>
        </w:rPr>
        <w:t>que</w:t>
      </w:r>
      <w:r w:rsidR="00EC63F4">
        <w:rPr>
          <w:rFonts w:ascii="Arial" w:eastAsiaTheme="minorHAnsi" w:hAnsi="Arial" w:cs="Arial"/>
          <w:bCs/>
          <w:color w:val="000000" w:themeColor="text1"/>
          <w:sz w:val="22"/>
          <w:szCs w:val="22"/>
          <w:lang w:val="es-ES_tradnl" w:eastAsia="en-US"/>
        </w:rPr>
        <w:t xml:space="preserve"> </w:t>
      </w:r>
      <w:r w:rsidR="006D2EAB">
        <w:rPr>
          <w:rFonts w:ascii="Arial" w:eastAsiaTheme="minorHAnsi" w:hAnsi="Arial" w:cs="Arial"/>
          <w:bCs/>
          <w:color w:val="000000" w:themeColor="text1"/>
          <w:sz w:val="22"/>
          <w:szCs w:val="22"/>
          <w:lang w:val="es-ES_tradnl" w:eastAsia="en-US"/>
        </w:rPr>
        <w:t>estas</w:t>
      </w:r>
      <w:r w:rsidR="003758EE">
        <w:rPr>
          <w:rFonts w:ascii="Arial" w:eastAsiaTheme="minorHAnsi" w:hAnsi="Arial" w:cs="Arial"/>
          <w:bCs/>
          <w:color w:val="000000" w:themeColor="text1"/>
          <w:sz w:val="22"/>
          <w:szCs w:val="22"/>
          <w:lang w:val="es-ES_tradnl" w:eastAsia="en-US"/>
        </w:rPr>
        <w:t xml:space="preserve"> fueron previamente </w:t>
      </w:r>
      <w:r w:rsidR="00EC63F4">
        <w:rPr>
          <w:rFonts w:ascii="Arial" w:eastAsiaTheme="minorHAnsi" w:hAnsi="Arial" w:cs="Arial"/>
          <w:bCs/>
          <w:color w:val="000000" w:themeColor="text1"/>
          <w:sz w:val="22"/>
          <w:szCs w:val="22"/>
          <w:lang w:val="es-ES_tradnl" w:eastAsia="en-US"/>
        </w:rPr>
        <w:t>expedidas por las compañías autorizadas</w:t>
      </w:r>
      <w:r w:rsidR="006D2EAB">
        <w:rPr>
          <w:rFonts w:ascii="Arial" w:eastAsiaTheme="minorHAnsi" w:hAnsi="Arial" w:cs="Arial"/>
          <w:bCs/>
          <w:color w:val="000000" w:themeColor="text1"/>
          <w:sz w:val="22"/>
          <w:szCs w:val="22"/>
          <w:lang w:val="es-ES_tradnl" w:eastAsia="en-US"/>
        </w:rPr>
        <w:t xml:space="preserve"> y que</w:t>
      </w:r>
      <w:r w:rsidR="00A44F39">
        <w:rPr>
          <w:rFonts w:ascii="Arial" w:eastAsiaTheme="minorHAnsi" w:hAnsi="Arial" w:cs="Arial"/>
          <w:bCs/>
          <w:color w:val="000000" w:themeColor="text1"/>
          <w:sz w:val="22"/>
          <w:szCs w:val="22"/>
          <w:lang w:val="es-ES_tradnl" w:eastAsia="en-US"/>
        </w:rPr>
        <w:t xml:space="preserve"> se encuentran ajustadas </w:t>
      </w:r>
      <w:r w:rsidR="00655D08">
        <w:rPr>
          <w:rFonts w:ascii="Arial" w:eastAsiaTheme="minorHAnsi" w:hAnsi="Arial" w:cs="Arial"/>
          <w:bCs/>
          <w:color w:val="000000" w:themeColor="text1"/>
          <w:sz w:val="22"/>
          <w:szCs w:val="22"/>
          <w:lang w:val="es-ES_tradnl" w:eastAsia="en-US"/>
        </w:rPr>
        <w:t xml:space="preserve">al </w:t>
      </w:r>
      <w:r w:rsidR="00A44F39">
        <w:rPr>
          <w:rFonts w:ascii="Arial" w:eastAsiaTheme="minorHAnsi" w:hAnsi="Arial" w:cs="Arial"/>
          <w:bCs/>
          <w:color w:val="000000" w:themeColor="text1"/>
          <w:sz w:val="22"/>
          <w:szCs w:val="22"/>
          <w:lang w:val="es-ES_tradnl" w:eastAsia="en-US"/>
        </w:rPr>
        <w:t>contrato y</w:t>
      </w:r>
      <w:r w:rsidR="00EC63F4">
        <w:rPr>
          <w:rFonts w:ascii="Arial" w:eastAsiaTheme="minorHAnsi" w:hAnsi="Arial" w:cs="Arial"/>
          <w:bCs/>
          <w:color w:val="000000" w:themeColor="text1"/>
          <w:sz w:val="22"/>
          <w:szCs w:val="22"/>
          <w:lang w:val="es-ES_tradnl" w:eastAsia="en-US"/>
        </w:rPr>
        <w:t xml:space="preserve">, por ende, </w:t>
      </w:r>
      <w:r w:rsidR="00322714">
        <w:rPr>
          <w:rFonts w:ascii="Arial" w:eastAsiaTheme="minorHAnsi" w:hAnsi="Arial" w:cs="Arial"/>
          <w:bCs/>
          <w:color w:val="000000" w:themeColor="text1"/>
          <w:sz w:val="22"/>
          <w:szCs w:val="22"/>
          <w:lang w:val="es-ES_tradnl" w:eastAsia="en-US"/>
        </w:rPr>
        <w:t xml:space="preserve">se </w:t>
      </w:r>
      <w:r w:rsidR="00441751">
        <w:rPr>
          <w:rFonts w:ascii="Arial" w:eastAsiaTheme="minorHAnsi" w:hAnsi="Arial" w:cs="Arial"/>
          <w:bCs/>
          <w:color w:val="000000" w:themeColor="text1"/>
          <w:sz w:val="22"/>
          <w:szCs w:val="22"/>
          <w:lang w:val="es-ES_tradnl" w:eastAsia="en-US"/>
        </w:rPr>
        <w:t xml:space="preserve">entiende </w:t>
      </w:r>
      <w:r w:rsidR="00322714">
        <w:rPr>
          <w:rFonts w:ascii="Arial" w:eastAsiaTheme="minorHAnsi" w:hAnsi="Arial" w:cs="Arial"/>
          <w:bCs/>
          <w:color w:val="000000" w:themeColor="text1"/>
          <w:sz w:val="22"/>
          <w:szCs w:val="22"/>
          <w:lang w:val="es-ES_tradnl" w:eastAsia="en-US"/>
        </w:rPr>
        <w:t>cumpl</w:t>
      </w:r>
      <w:r w:rsidR="00441751">
        <w:rPr>
          <w:rFonts w:ascii="Arial" w:eastAsiaTheme="minorHAnsi" w:hAnsi="Arial" w:cs="Arial"/>
          <w:bCs/>
          <w:color w:val="000000" w:themeColor="text1"/>
          <w:sz w:val="22"/>
          <w:szCs w:val="22"/>
          <w:lang w:val="es-ES_tradnl" w:eastAsia="en-US"/>
        </w:rPr>
        <w:t>ido</w:t>
      </w:r>
      <w:r w:rsidR="00322714">
        <w:rPr>
          <w:rFonts w:ascii="Arial" w:eastAsiaTheme="minorHAnsi" w:hAnsi="Arial" w:cs="Arial"/>
          <w:bCs/>
          <w:color w:val="000000" w:themeColor="text1"/>
          <w:sz w:val="22"/>
          <w:szCs w:val="22"/>
          <w:lang w:val="es-ES_tradnl" w:eastAsia="en-US"/>
        </w:rPr>
        <w:t xml:space="preserve"> el requisito de </w:t>
      </w:r>
      <w:r w:rsidR="00A44F39">
        <w:rPr>
          <w:rFonts w:ascii="Arial" w:eastAsiaTheme="minorHAnsi" w:hAnsi="Arial" w:cs="Arial"/>
          <w:bCs/>
          <w:color w:val="000000" w:themeColor="text1"/>
          <w:sz w:val="22"/>
          <w:szCs w:val="22"/>
          <w:lang w:val="es-ES_tradnl" w:eastAsia="en-US"/>
        </w:rPr>
        <w:t>ejecución</w:t>
      </w:r>
      <w:r w:rsidR="00322714">
        <w:rPr>
          <w:rFonts w:ascii="Arial" w:eastAsiaTheme="minorHAnsi" w:hAnsi="Arial" w:cs="Arial"/>
          <w:bCs/>
          <w:color w:val="000000" w:themeColor="text1"/>
          <w:sz w:val="22"/>
          <w:szCs w:val="22"/>
          <w:lang w:val="es-ES_tradnl" w:eastAsia="en-US"/>
        </w:rPr>
        <w:t xml:space="preserve"> </w:t>
      </w:r>
      <w:r w:rsidR="00B96E6E">
        <w:rPr>
          <w:rFonts w:ascii="Arial" w:eastAsiaTheme="minorHAnsi" w:hAnsi="Arial" w:cs="Arial"/>
          <w:bCs/>
          <w:color w:val="000000" w:themeColor="text1"/>
          <w:sz w:val="22"/>
          <w:szCs w:val="22"/>
          <w:lang w:val="es-ES_tradnl" w:eastAsia="en-US"/>
        </w:rPr>
        <w:t xml:space="preserve">del </w:t>
      </w:r>
      <w:r w:rsidR="00B96E6E">
        <w:rPr>
          <w:rFonts w:ascii="Arial" w:eastAsiaTheme="minorHAnsi" w:hAnsi="Arial" w:cs="Arial"/>
          <w:color w:val="000000" w:themeColor="text1"/>
          <w:sz w:val="22"/>
          <w:szCs w:val="22"/>
          <w:lang w:val="es-ES_tradnl" w:eastAsia="en-US"/>
        </w:rPr>
        <w:t>artículo 41 de la Ley 80 de 1993.</w:t>
      </w:r>
      <w:r w:rsidR="004267AF">
        <w:rPr>
          <w:rFonts w:ascii="Arial" w:eastAsiaTheme="minorHAnsi" w:hAnsi="Arial" w:cs="Arial"/>
          <w:color w:val="000000" w:themeColor="text1"/>
          <w:sz w:val="22"/>
          <w:szCs w:val="22"/>
          <w:lang w:val="es-ES_tradnl" w:eastAsia="en-US"/>
        </w:rPr>
        <w:t xml:space="preserve"> </w:t>
      </w:r>
      <w:r w:rsidR="00FF00C5">
        <w:rPr>
          <w:rFonts w:ascii="Arial" w:eastAsiaTheme="minorHAnsi" w:hAnsi="Arial" w:cs="Arial"/>
          <w:color w:val="000000" w:themeColor="text1"/>
          <w:sz w:val="22"/>
          <w:szCs w:val="22"/>
          <w:lang w:val="es-ES_tradnl" w:eastAsia="en-US"/>
        </w:rPr>
        <w:t xml:space="preserve">En otras palabras, el acto de aprobación de la entidad es una validación del contenido de la garantía cuya existencia se reputa con anterioridad a dicha aprobación. </w:t>
      </w:r>
      <w:r w:rsidR="002E021E">
        <w:rPr>
          <w:rFonts w:ascii="Arial" w:eastAsiaTheme="minorHAnsi" w:hAnsi="Arial" w:cs="Arial"/>
          <w:color w:val="000000" w:themeColor="text1"/>
          <w:sz w:val="22"/>
          <w:szCs w:val="22"/>
          <w:lang w:val="es-ES_tradnl" w:eastAsia="en-US"/>
        </w:rPr>
        <w:t xml:space="preserve">En </w:t>
      </w:r>
      <w:r w:rsidR="004801BE">
        <w:rPr>
          <w:rFonts w:ascii="Arial" w:eastAsiaTheme="minorHAnsi" w:hAnsi="Arial" w:cs="Arial"/>
          <w:color w:val="000000" w:themeColor="text1"/>
          <w:sz w:val="22"/>
          <w:szCs w:val="22"/>
          <w:lang w:val="es-ES_tradnl" w:eastAsia="en-US"/>
        </w:rPr>
        <w:t xml:space="preserve">este sentido, </w:t>
      </w:r>
      <w:r w:rsidR="004E2047">
        <w:rPr>
          <w:rFonts w:ascii="Arial" w:eastAsiaTheme="minorHAnsi" w:hAnsi="Arial" w:cs="Arial"/>
          <w:color w:val="000000" w:themeColor="text1"/>
          <w:sz w:val="22"/>
          <w:szCs w:val="22"/>
          <w:lang w:val="es-ES_tradnl" w:eastAsia="en-US"/>
        </w:rPr>
        <w:t>no es necesaria</w:t>
      </w:r>
      <w:r w:rsidR="002E021E">
        <w:rPr>
          <w:rFonts w:ascii="Arial" w:eastAsiaTheme="minorHAnsi" w:hAnsi="Arial" w:cs="Arial"/>
          <w:color w:val="000000" w:themeColor="text1"/>
          <w:sz w:val="22"/>
          <w:szCs w:val="22"/>
          <w:lang w:val="es-ES_tradnl" w:eastAsia="en-US"/>
        </w:rPr>
        <w:t xml:space="preserve"> la comunicación de la aprobación de las garantías</w:t>
      </w:r>
      <w:r w:rsidR="004E2047">
        <w:rPr>
          <w:rFonts w:ascii="Arial" w:eastAsiaTheme="minorHAnsi" w:hAnsi="Arial" w:cs="Arial"/>
          <w:color w:val="000000" w:themeColor="text1"/>
          <w:sz w:val="22"/>
          <w:szCs w:val="22"/>
          <w:lang w:val="es-ES_tradnl" w:eastAsia="en-US"/>
        </w:rPr>
        <w:t xml:space="preserve"> a la compañía aseguradora</w:t>
      </w:r>
      <w:r w:rsidR="00485451">
        <w:rPr>
          <w:rFonts w:ascii="Arial" w:eastAsiaTheme="minorHAnsi" w:hAnsi="Arial" w:cs="Arial"/>
          <w:color w:val="000000" w:themeColor="text1"/>
          <w:sz w:val="22"/>
          <w:szCs w:val="22"/>
          <w:lang w:val="es-ES_tradnl" w:eastAsia="en-US"/>
        </w:rPr>
        <w:t xml:space="preserve"> para que esta surta sus efectos jurídicos. </w:t>
      </w:r>
    </w:p>
    <w:p w14:paraId="7C60C18A" w14:textId="0CA79327" w:rsidR="008C5408" w:rsidRPr="008C5408" w:rsidRDefault="008C5408" w:rsidP="00E60366">
      <w:pPr>
        <w:spacing w:before="120" w:line="276" w:lineRule="auto"/>
        <w:ind w:firstLine="708"/>
        <w:jc w:val="both"/>
        <w:rPr>
          <w:rFonts w:ascii="Arial" w:eastAsiaTheme="minorHAnsi" w:hAnsi="Arial" w:cs="Arial"/>
          <w:bCs/>
          <w:color w:val="000000" w:themeColor="text1"/>
          <w:sz w:val="22"/>
          <w:szCs w:val="22"/>
          <w:lang w:val="es-ES_tradnl" w:eastAsia="en-US"/>
        </w:rPr>
      </w:pPr>
      <w:r w:rsidRPr="008C5408">
        <w:rPr>
          <w:rFonts w:ascii="Arial" w:eastAsiaTheme="minorHAnsi" w:hAnsi="Arial" w:cs="Arial"/>
          <w:bCs/>
          <w:color w:val="000000" w:themeColor="text1"/>
          <w:sz w:val="22"/>
          <w:szCs w:val="22"/>
          <w:lang w:val="es-ES_tradnl" w:eastAsia="en-US"/>
        </w:rPr>
        <w:t>En todo caso, las entidades, conforme a lo señalado en la Circular Conjunta</w:t>
      </w:r>
      <w:r w:rsidR="004267AF">
        <w:rPr>
          <w:rFonts w:ascii="Arial" w:eastAsiaTheme="minorHAnsi" w:hAnsi="Arial" w:cs="Arial"/>
          <w:bCs/>
          <w:color w:val="000000" w:themeColor="text1"/>
          <w:sz w:val="22"/>
          <w:szCs w:val="22"/>
          <w:lang w:val="es-ES_tradnl" w:eastAsia="en-US"/>
        </w:rPr>
        <w:t xml:space="preserve"> 001 de 2021</w:t>
      </w:r>
      <w:r w:rsidRPr="008C5408">
        <w:rPr>
          <w:rFonts w:ascii="Arial" w:eastAsiaTheme="minorHAnsi" w:hAnsi="Arial" w:cs="Arial"/>
          <w:bCs/>
          <w:color w:val="000000" w:themeColor="text1"/>
          <w:sz w:val="22"/>
          <w:szCs w:val="22"/>
          <w:lang w:val="es-ES_tradnl" w:eastAsia="en-US"/>
        </w:rPr>
        <w:t>, previo a la aprobación de las garantías como requisito de ejecución, deben verificar la</w:t>
      </w:r>
      <w:r w:rsidRPr="008C5408">
        <w:rPr>
          <w:rFonts w:ascii="Arial" w:eastAsiaTheme="minorHAnsi" w:hAnsi="Arial" w:cs="Arial"/>
          <w:color w:val="000000" w:themeColor="text1"/>
          <w:sz w:val="22"/>
          <w:szCs w:val="22"/>
          <w:lang w:val="es-ES_tradnl" w:eastAsia="en-US"/>
        </w:rPr>
        <w:t xml:space="preserve"> validez, idoneidad y suficiencia de los documentos que se entregan como soporte de las garantías que amparan los contratos estatales, </w:t>
      </w:r>
      <w:r w:rsidR="00906806">
        <w:rPr>
          <w:rFonts w:ascii="Arial" w:eastAsiaTheme="minorHAnsi" w:hAnsi="Arial" w:cs="Arial"/>
          <w:color w:val="000000" w:themeColor="text1"/>
          <w:sz w:val="22"/>
          <w:szCs w:val="22"/>
          <w:lang w:val="es-ES_tradnl" w:eastAsia="en-US"/>
        </w:rPr>
        <w:t>en los términos establecidos en dicha circular</w:t>
      </w:r>
      <w:r w:rsidRPr="008C5408">
        <w:rPr>
          <w:rFonts w:ascii="Arial" w:eastAsiaTheme="minorHAnsi" w:hAnsi="Arial" w:cs="Arial"/>
          <w:color w:val="000000" w:themeColor="text1"/>
          <w:sz w:val="22"/>
          <w:szCs w:val="22"/>
          <w:lang w:val="es-ES_tradnl" w:eastAsia="en-US"/>
        </w:rPr>
        <w:t xml:space="preserve">. </w:t>
      </w:r>
    </w:p>
    <w:p w14:paraId="570D4AC1" w14:textId="77777777" w:rsidR="00A77E71" w:rsidRDefault="00A77E71" w:rsidP="009004DF">
      <w:pPr>
        <w:jc w:val="both"/>
        <w:rPr>
          <w:rFonts w:ascii="Arial" w:eastAsiaTheme="minorHAnsi" w:hAnsi="Arial" w:cs="Arial"/>
          <w:color w:val="000000" w:themeColor="text1"/>
          <w:sz w:val="22"/>
          <w:szCs w:val="22"/>
          <w:lang w:val="es-MX" w:eastAsia="en-US"/>
        </w:rPr>
      </w:pPr>
    </w:p>
    <w:p w14:paraId="61975626" w14:textId="0B42B21A" w:rsidR="009004DF" w:rsidRDefault="00815A07" w:rsidP="009004DF">
      <w:pPr>
        <w:jc w:val="both"/>
        <w:rPr>
          <w:rFonts w:ascii="Arial" w:eastAsia="Calibri" w:hAnsi="Arial" w:cs="Arial"/>
          <w:b/>
          <w:bCs/>
          <w:sz w:val="22"/>
          <w:szCs w:val="22"/>
          <w:lang w:val="es-ES" w:eastAsia="en-US"/>
        </w:rPr>
      </w:pPr>
      <w:r>
        <w:rPr>
          <w:rFonts w:ascii="Arial" w:eastAsia="Calibri" w:hAnsi="Arial" w:cs="Arial"/>
          <w:b/>
          <w:bCs/>
          <w:color w:val="000000"/>
          <w:sz w:val="22"/>
          <w:lang w:val="es-MX" w:eastAsia="en-GB"/>
        </w:rPr>
        <w:t xml:space="preserve">2.2. </w:t>
      </w:r>
      <w:r w:rsidR="009004DF">
        <w:rPr>
          <w:rFonts w:ascii="Arial" w:eastAsia="Calibri" w:hAnsi="Arial" w:cs="Arial"/>
          <w:b/>
          <w:bCs/>
          <w:sz w:val="22"/>
          <w:szCs w:val="22"/>
          <w:lang w:val="es-ES" w:eastAsia="en-US"/>
        </w:rPr>
        <w:t>G</w:t>
      </w:r>
      <w:r w:rsidR="009004DF" w:rsidRPr="009004DF">
        <w:rPr>
          <w:rFonts w:ascii="Arial" w:eastAsia="Calibri" w:hAnsi="Arial" w:cs="Arial"/>
          <w:b/>
          <w:bCs/>
          <w:sz w:val="22"/>
          <w:szCs w:val="22"/>
          <w:lang w:val="es-ES" w:eastAsia="en-US"/>
        </w:rPr>
        <w:t xml:space="preserve">arantía de seriedad de la oferta  </w:t>
      </w:r>
    </w:p>
    <w:p w14:paraId="1E7B9510" w14:textId="77777777" w:rsidR="002C4D2F" w:rsidRDefault="002C4D2F" w:rsidP="002C4D2F">
      <w:pPr>
        <w:spacing w:line="276" w:lineRule="auto"/>
        <w:jc w:val="both"/>
        <w:rPr>
          <w:rFonts w:ascii="Arial" w:eastAsia="Calibri" w:hAnsi="Arial" w:cs="Arial"/>
          <w:sz w:val="22"/>
          <w:szCs w:val="22"/>
          <w:lang w:val="es-ES_tradnl" w:eastAsia="en-US"/>
        </w:rPr>
      </w:pPr>
    </w:p>
    <w:p w14:paraId="635489CA" w14:textId="4A41CA17" w:rsidR="00F226F3" w:rsidRDefault="002C4D2F" w:rsidP="001D287D">
      <w:pPr>
        <w:spacing w:line="276" w:lineRule="auto"/>
        <w:jc w:val="both"/>
        <w:rPr>
          <w:rFonts w:ascii="Arial" w:eastAsia="Calibri" w:hAnsi="Arial" w:cs="Arial"/>
          <w:sz w:val="22"/>
          <w:szCs w:val="22"/>
          <w:lang w:val="es-ES" w:eastAsia="en-US"/>
        </w:rPr>
      </w:pPr>
      <w:r>
        <w:rPr>
          <w:rFonts w:ascii="Arial" w:eastAsia="Calibri" w:hAnsi="Arial" w:cs="Arial"/>
          <w:sz w:val="22"/>
          <w:szCs w:val="22"/>
          <w:lang w:val="es-ES" w:eastAsia="en-US"/>
        </w:rPr>
        <w:t>Como se expuso, e</w:t>
      </w:r>
      <w:r w:rsidRPr="004768A2">
        <w:rPr>
          <w:rFonts w:ascii="Arial" w:eastAsia="Calibri" w:hAnsi="Arial" w:cs="Arial"/>
          <w:sz w:val="22"/>
          <w:szCs w:val="22"/>
          <w:lang w:val="es-ES" w:eastAsia="en-US"/>
        </w:rPr>
        <w:t xml:space="preserve">n los contratos estatales, por regla general, en la etapa precontractual y en la contractual se requiere la constitución de garantías. Mientras las garantías en la primera etapa implican una caución provisional que avala la propuesta y es una garantía precontractual –y parcialmente contractual– destinada a asegurar la suscripción del acuerdo, entre otras obligaciones; las garantías en la segunda etapa son un mecanismo de cobertura del riesgo </w:t>
      </w:r>
      <w:r w:rsidR="00B132B0">
        <w:rPr>
          <w:rFonts w:ascii="Arial" w:eastAsia="Calibri" w:hAnsi="Arial" w:cs="Arial"/>
          <w:sz w:val="22"/>
          <w:szCs w:val="22"/>
          <w:lang w:val="es-ES" w:eastAsia="en-US"/>
        </w:rPr>
        <w:t>asociado al</w:t>
      </w:r>
      <w:r w:rsidR="00B132B0" w:rsidRPr="004768A2">
        <w:rPr>
          <w:rFonts w:ascii="Arial" w:eastAsia="Calibri" w:hAnsi="Arial" w:cs="Arial"/>
          <w:sz w:val="22"/>
          <w:szCs w:val="22"/>
          <w:lang w:val="es-ES" w:eastAsia="en-US"/>
        </w:rPr>
        <w:t xml:space="preserve"> </w:t>
      </w:r>
      <w:r w:rsidRPr="004768A2">
        <w:rPr>
          <w:rFonts w:ascii="Arial" w:eastAsia="Calibri" w:hAnsi="Arial" w:cs="Arial"/>
          <w:sz w:val="22"/>
          <w:szCs w:val="22"/>
          <w:lang w:val="es-ES" w:eastAsia="en-US"/>
        </w:rPr>
        <w:t xml:space="preserve">contrato. </w:t>
      </w:r>
      <w:bookmarkStart w:id="8" w:name="_Hlk47893233"/>
    </w:p>
    <w:p w14:paraId="30DAA86D" w14:textId="559229A5" w:rsidR="00F226F3" w:rsidRPr="00F226F3" w:rsidRDefault="00F226F3" w:rsidP="005010A7">
      <w:pPr>
        <w:spacing w:before="120" w:line="276" w:lineRule="auto"/>
        <w:ind w:firstLine="567"/>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t>Los artículos 2.2.1.2.3.1.6 y 2.2.1.2.3.1.9 del Decreto 1082 de 2015 establecen las condiciones que debe cumplir la garantía de seriedad de la oferta</w:t>
      </w:r>
      <w:r w:rsidRPr="00F226F3">
        <w:rPr>
          <w:rFonts w:ascii="Arial" w:eastAsia="Calibri" w:hAnsi="Arial" w:cs="Arial"/>
          <w:sz w:val="22"/>
          <w:szCs w:val="22"/>
          <w:vertAlign w:val="superscript"/>
          <w:lang w:val="es-ES" w:eastAsia="en-US"/>
        </w:rPr>
        <w:footnoteReference w:id="13"/>
      </w:r>
      <w:r w:rsidRPr="00F226F3">
        <w:rPr>
          <w:rFonts w:ascii="Arial" w:eastAsia="Calibri" w:hAnsi="Arial" w:cs="Arial"/>
          <w:sz w:val="22"/>
          <w:szCs w:val="22"/>
          <w:lang w:val="es-ES" w:eastAsia="en-US"/>
        </w:rPr>
        <w:t xml:space="preserve">. Esta puede otorgarse </w:t>
      </w:r>
      <w:r w:rsidRPr="00F226F3">
        <w:rPr>
          <w:rFonts w:ascii="Arial" w:eastAsia="Calibri" w:hAnsi="Arial" w:cs="Arial"/>
          <w:sz w:val="22"/>
          <w:szCs w:val="22"/>
          <w:lang w:val="es-ES" w:eastAsia="en-US"/>
        </w:rPr>
        <w:lastRenderedPageBreak/>
        <w:t>a través de: i) un contrato de seguro contenido en una póliza, ii) la constitución de un patrimonio autónomo, o iii) una garantía bancaria. Allí se indica que el proponente debe presentar una garantía que cumpla con los parámetros, condiciones y requisitos señalados en ese numeral, y no requiere necesariamente que se aporten documentos adicionales, concretamente el recibo de pago de la prima, porque el artículo 7 de la Ley 1150 de 2007 establece que «[…] tratándose de pólizas, las mismas no expirarán por falta de pago de la prima o por revocatoria unilateral […]»</w:t>
      </w:r>
      <w:r w:rsidRPr="00F226F3">
        <w:rPr>
          <w:rFonts w:ascii="Arial" w:eastAsia="Calibri" w:hAnsi="Arial" w:cs="Arial"/>
          <w:sz w:val="22"/>
          <w:szCs w:val="22"/>
          <w:vertAlign w:val="superscript"/>
          <w:lang w:val="es-ES" w:eastAsia="en-US"/>
        </w:rPr>
        <w:footnoteReference w:id="14"/>
      </w:r>
      <w:r w:rsidRPr="00F226F3">
        <w:rPr>
          <w:rFonts w:ascii="Arial" w:eastAsia="Calibri" w:hAnsi="Arial" w:cs="Arial"/>
          <w:sz w:val="22"/>
          <w:szCs w:val="22"/>
          <w:lang w:val="es-ES" w:eastAsia="en-US"/>
        </w:rPr>
        <w:t>. Esta disposición excepciona la terminación automática del contrato de seguro por falta de pago, prevista en el artículo 1068 del Código de Comercio</w:t>
      </w:r>
      <w:r w:rsidRPr="00F226F3">
        <w:rPr>
          <w:rFonts w:ascii="Arial" w:eastAsia="Calibri" w:hAnsi="Arial" w:cs="Arial"/>
          <w:sz w:val="22"/>
          <w:szCs w:val="22"/>
          <w:vertAlign w:val="superscript"/>
          <w:lang w:val="es-ES" w:eastAsia="en-US"/>
        </w:rPr>
        <w:footnoteReference w:id="15"/>
      </w:r>
      <w:r w:rsidRPr="00F226F3">
        <w:rPr>
          <w:rFonts w:ascii="Arial" w:eastAsia="Calibri" w:hAnsi="Arial" w:cs="Arial"/>
          <w:sz w:val="22"/>
          <w:szCs w:val="22"/>
          <w:lang w:val="es-ES" w:eastAsia="en-US"/>
        </w:rPr>
        <w:t>.</w:t>
      </w:r>
    </w:p>
    <w:p w14:paraId="4F7C350A" w14:textId="77777777" w:rsidR="00F226F3" w:rsidRPr="00F226F3" w:rsidRDefault="00F226F3" w:rsidP="005010A7">
      <w:pPr>
        <w:spacing w:before="120" w:line="276" w:lineRule="auto"/>
        <w:jc w:val="both"/>
        <w:rPr>
          <w:rFonts w:ascii="Arial" w:eastAsia="Calibri" w:hAnsi="Arial" w:cs="Arial"/>
          <w:sz w:val="21"/>
          <w:szCs w:val="21"/>
          <w:lang w:val="es-ES" w:eastAsia="en-US"/>
        </w:rPr>
      </w:pPr>
      <w:r w:rsidRPr="00F226F3">
        <w:rPr>
          <w:rFonts w:ascii="Arial" w:eastAsia="Calibri" w:hAnsi="Arial" w:cs="Arial"/>
          <w:sz w:val="22"/>
          <w:szCs w:val="22"/>
          <w:lang w:val="es-ES" w:eastAsia="en-US"/>
        </w:rPr>
        <w:tab/>
        <w:t xml:space="preserve">Esta garantía tiene su fundamento en el principio de irrevocabilidad de la oferta, razón por la cual los proponentes que pierdan interés en la adjudicación resarcirán los perjuicios causados por su retiro del proceso de selección. Naturalmente, esta garantía solo la constituyen quienes presenten oferta, motivo por el cual sus efectos no se extienden a personas ajenas a la actividad precontractual; sin perjuicio de que la póliza sea un </w:t>
      </w:r>
      <w:r w:rsidRPr="00F226F3">
        <w:rPr>
          <w:rFonts w:ascii="Arial" w:eastAsia="Calibri" w:hAnsi="Arial" w:cs="Arial"/>
          <w:sz w:val="22"/>
          <w:szCs w:val="22"/>
          <w:lang w:val="es-ES" w:eastAsia="en-US"/>
        </w:rPr>
        <w:lastRenderedPageBreak/>
        <w:t>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sidRPr="00F226F3">
        <w:rPr>
          <w:rFonts w:ascii="Arial" w:eastAsia="Calibri" w:hAnsi="Arial" w:cs="Arial"/>
          <w:sz w:val="22"/>
          <w:szCs w:val="22"/>
          <w:vertAlign w:val="superscript"/>
          <w:lang w:val="es-ES" w:eastAsia="en-US"/>
        </w:rPr>
        <w:footnoteReference w:id="16"/>
      </w:r>
      <w:r w:rsidRPr="00F226F3">
        <w:rPr>
          <w:rFonts w:ascii="Arial" w:eastAsia="Calibri" w:hAnsi="Arial" w:cs="Arial"/>
          <w:sz w:val="22"/>
          <w:szCs w:val="22"/>
          <w:lang w:val="es-ES" w:eastAsia="en-US"/>
        </w:rPr>
        <w:t xml:space="preserve"> </w:t>
      </w:r>
      <w:r w:rsidRPr="00F226F3">
        <w:rPr>
          <w:rFonts w:ascii="Arial" w:eastAsia="Calibri" w:hAnsi="Arial" w:cs="Arial"/>
          <w:sz w:val="22"/>
          <w:szCs w:val="22"/>
          <w:vertAlign w:val="superscript"/>
          <w:lang w:val="es-ES" w:eastAsia="en-US"/>
        </w:rPr>
        <w:t xml:space="preserve">- </w:t>
      </w:r>
      <w:r w:rsidRPr="00F226F3">
        <w:rPr>
          <w:rFonts w:ascii="Arial" w:eastAsia="Calibri" w:hAnsi="Arial" w:cs="Arial"/>
          <w:sz w:val="22"/>
          <w:szCs w:val="22"/>
          <w:vertAlign w:val="superscript"/>
          <w:lang w:val="es-ES" w:eastAsia="en-US"/>
        </w:rPr>
        <w:footnoteReference w:id="17"/>
      </w:r>
      <w:r w:rsidRPr="00F226F3">
        <w:rPr>
          <w:rFonts w:ascii="Arial" w:eastAsia="Calibri" w:hAnsi="Arial" w:cs="Arial"/>
          <w:sz w:val="22"/>
          <w:szCs w:val="22"/>
          <w:lang w:val="es-ES" w:eastAsia="en-US"/>
        </w:rPr>
        <w:t xml:space="preserve">. </w:t>
      </w:r>
    </w:p>
    <w:p w14:paraId="6B0B997F" w14:textId="77777777" w:rsidR="00F226F3" w:rsidRPr="00F226F3" w:rsidRDefault="00F226F3" w:rsidP="005010A7">
      <w:pPr>
        <w:spacing w:before="120" w:line="276" w:lineRule="auto"/>
        <w:ind w:firstLine="709"/>
        <w:jc w:val="both"/>
        <w:rPr>
          <w:rFonts w:ascii="Arial" w:eastAsia="Calibri" w:hAnsi="Arial" w:cs="Arial"/>
          <w:sz w:val="22"/>
          <w:szCs w:val="22"/>
          <w:lang w:val="es-ES" w:eastAsia="en-US"/>
        </w:rPr>
      </w:pPr>
      <w:bookmarkStart w:id="9" w:name="_Hlk36669819"/>
      <w:bookmarkStart w:id="10" w:name="_Hlk36672441"/>
      <w:r w:rsidRPr="00F226F3">
        <w:rPr>
          <w:rFonts w:ascii="Arial" w:eastAsia="Calibri" w:hAnsi="Arial" w:cs="Arial"/>
          <w:sz w:val="22"/>
          <w:szCs w:val="22"/>
          <w:lang w:val="es-ES" w:eastAsia="en-US"/>
        </w:rPr>
        <w:t xml:space="preserve">Conforme a lo anterior, para que la garantía de seriedad respalde el principio de irrevocabilidad de la oferta, y que esta sirva al célere y eficiente desarrollo de los procesos de contratación, el Decreto 1082 de 2015 reglamenta varios aspectos con los que debe cumplir la garantía de seriedad. </w:t>
      </w:r>
    </w:p>
    <w:bookmarkEnd w:id="9"/>
    <w:bookmarkEnd w:id="10"/>
    <w:p w14:paraId="370C8750" w14:textId="77777777" w:rsidR="00F226F3" w:rsidRPr="00F226F3" w:rsidRDefault="00F226F3" w:rsidP="005010A7">
      <w:pPr>
        <w:spacing w:before="120" w:line="276" w:lineRule="auto"/>
        <w:ind w:firstLine="709"/>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t xml:space="preserve">En primer lugar, el artículo 2.2.1.2.3.1.9 del Decreto 1082 de 2015 define la cobertura en términos de monto y tiempo, disponiendo que «La garantía de seriedad de la oferta debe estar vigente desde la presentación de la oferta y hasta la aprobación de la garantía de cumplimiento del contrato y su valor debe ser de por lo menos el diez por ciento (10%) del valor de la oferta». </w:t>
      </w:r>
    </w:p>
    <w:p w14:paraId="76AFCA5F" w14:textId="5B6B4218" w:rsidR="00F226F3" w:rsidRPr="00F226F3" w:rsidRDefault="00F226F3" w:rsidP="005010A7">
      <w:pPr>
        <w:spacing w:before="120" w:line="276" w:lineRule="auto"/>
        <w:ind w:firstLine="709"/>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t xml:space="preserve">Respecto al valor, dispone que tendrá un monto igual o superior al diez por ciento (10%) de la oferta, constituyendo la suma mínima que la entidad puede establecer para cumplir la exigencia, sin perjuicio de que requiera un valor superior. En todo caso, conforme a la norma citada, este principio tiene excepciones para los acuerdos marco de precios, los contratos derivados de la selección abreviada por subasta inversa y el concurso de méritos, así como para los contratos que superan un millón –1’000.000– de </w:t>
      </w:r>
      <w:r w:rsidR="00B132B0" w:rsidRPr="00F226F3">
        <w:rPr>
          <w:rFonts w:ascii="Arial" w:eastAsia="Calibri" w:hAnsi="Arial" w:cs="Arial"/>
          <w:sz w:val="22"/>
          <w:szCs w:val="22"/>
          <w:lang w:val="es-ES" w:eastAsia="en-US"/>
        </w:rPr>
        <w:t>SMLMV</w:t>
      </w:r>
      <w:r w:rsidRPr="00F226F3">
        <w:rPr>
          <w:rFonts w:ascii="Arial" w:eastAsia="Calibri" w:hAnsi="Arial" w:cs="Arial"/>
          <w:sz w:val="22"/>
          <w:szCs w:val="22"/>
          <w:lang w:val="es-ES" w:eastAsia="en-US"/>
        </w:rPr>
        <w:t xml:space="preserve">. </w:t>
      </w:r>
    </w:p>
    <w:p w14:paraId="50F39533" w14:textId="7F78E57E" w:rsidR="00F226F3" w:rsidRPr="00F226F3" w:rsidRDefault="00F226F3" w:rsidP="005010A7">
      <w:pPr>
        <w:spacing w:before="120" w:line="276" w:lineRule="auto"/>
        <w:ind w:firstLine="709"/>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t>Respecto al tiempo, la norma dispone que debe estar vigente entre «la fecha de presentación de la propuesta» y hasta «la fecha de aprobación de la garantía única de cumplimiento». Allí se indica la fecha de inicio –</w:t>
      </w:r>
      <w:proofErr w:type="spellStart"/>
      <w:r w:rsidRPr="00F226F3">
        <w:rPr>
          <w:rFonts w:ascii="Arial" w:eastAsia="Calibri" w:hAnsi="Arial" w:cs="Arial"/>
          <w:i/>
          <w:iCs/>
          <w:sz w:val="22"/>
          <w:szCs w:val="22"/>
          <w:lang w:val="es-ES" w:eastAsia="en-US"/>
        </w:rPr>
        <w:t>dies</w:t>
      </w:r>
      <w:proofErr w:type="spellEnd"/>
      <w:r w:rsidRPr="00F226F3">
        <w:rPr>
          <w:rFonts w:ascii="Arial" w:eastAsia="Calibri" w:hAnsi="Arial" w:cs="Arial"/>
          <w:i/>
          <w:iCs/>
          <w:sz w:val="22"/>
          <w:szCs w:val="22"/>
          <w:lang w:val="es-ES" w:eastAsia="en-US"/>
        </w:rPr>
        <w:t xml:space="preserve"> a quo</w:t>
      </w:r>
      <w:r w:rsidRPr="00F226F3">
        <w:rPr>
          <w:rFonts w:ascii="Arial" w:eastAsia="Calibri" w:hAnsi="Arial" w:cs="Arial"/>
          <w:sz w:val="22"/>
          <w:szCs w:val="22"/>
          <w:lang w:val="es-ES" w:eastAsia="en-US"/>
        </w:rPr>
        <w:t>–, pero la fecha final –</w:t>
      </w:r>
      <w:proofErr w:type="spellStart"/>
      <w:r w:rsidRPr="00F226F3">
        <w:rPr>
          <w:rFonts w:ascii="Arial" w:eastAsia="Calibri" w:hAnsi="Arial" w:cs="Arial"/>
          <w:i/>
          <w:iCs/>
          <w:sz w:val="22"/>
          <w:szCs w:val="22"/>
          <w:lang w:val="es-ES" w:eastAsia="en-US"/>
        </w:rPr>
        <w:t>dies</w:t>
      </w:r>
      <w:proofErr w:type="spellEnd"/>
      <w:r w:rsidRPr="00F226F3">
        <w:rPr>
          <w:rFonts w:ascii="Arial" w:eastAsia="Calibri" w:hAnsi="Arial" w:cs="Arial"/>
          <w:i/>
          <w:iCs/>
          <w:sz w:val="22"/>
          <w:szCs w:val="22"/>
          <w:lang w:val="es-ES" w:eastAsia="en-US"/>
        </w:rPr>
        <w:t xml:space="preserve"> ad </w:t>
      </w:r>
      <w:proofErr w:type="spellStart"/>
      <w:r w:rsidRPr="00F226F3">
        <w:rPr>
          <w:rFonts w:ascii="Arial" w:eastAsia="Calibri" w:hAnsi="Arial" w:cs="Arial"/>
          <w:i/>
          <w:iCs/>
          <w:sz w:val="22"/>
          <w:szCs w:val="22"/>
          <w:lang w:val="es-ES" w:eastAsia="en-US"/>
        </w:rPr>
        <w:t>quem</w:t>
      </w:r>
      <w:proofErr w:type="spellEnd"/>
      <w:r w:rsidRPr="00F226F3">
        <w:rPr>
          <w:rFonts w:ascii="Arial" w:eastAsia="Calibri" w:hAnsi="Arial" w:cs="Arial"/>
          <w:sz w:val="22"/>
          <w:szCs w:val="22"/>
          <w:lang w:val="es-ES" w:eastAsia="en-US"/>
        </w:rPr>
        <w:t>– se somete a una estimación razonable sobre el tiempo que toma adelantar el procedimiento de selección y la posterior aprobación de la garantía</w:t>
      </w:r>
      <w:r>
        <w:rPr>
          <w:rFonts w:ascii="Arial" w:eastAsia="Calibri" w:hAnsi="Arial" w:cs="Arial"/>
          <w:sz w:val="22"/>
          <w:szCs w:val="22"/>
          <w:lang w:val="es-ES" w:eastAsia="en-US"/>
        </w:rPr>
        <w:t xml:space="preserve"> única de cumplimiento, como se explicó en el acápite anterior</w:t>
      </w:r>
      <w:r w:rsidRPr="00F226F3">
        <w:rPr>
          <w:rFonts w:ascii="Arial" w:eastAsia="Calibri" w:hAnsi="Arial" w:cs="Arial"/>
          <w:sz w:val="22"/>
          <w:szCs w:val="22"/>
          <w:lang w:val="es-ES" w:eastAsia="en-US"/>
        </w:rPr>
        <w:t xml:space="preserve">. </w:t>
      </w:r>
    </w:p>
    <w:p w14:paraId="2BAF9494" w14:textId="2A31D084" w:rsidR="00F226F3" w:rsidRPr="00F226F3" w:rsidRDefault="00F226F3" w:rsidP="005010A7">
      <w:pPr>
        <w:spacing w:before="120" w:line="276" w:lineRule="auto"/>
        <w:ind w:firstLine="709"/>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lastRenderedPageBreak/>
        <w:t xml:space="preserve">Naturalmente, como el cronograma del procedimiento de contratación puede ampliarse, por sucesos inesperados, o por otras razones, el plazo que debe cubrir la garantía de seriedad se determina a partir de un </w:t>
      </w:r>
      <w:r w:rsidRPr="00F226F3">
        <w:rPr>
          <w:rFonts w:ascii="Arial" w:eastAsia="Calibri" w:hAnsi="Arial" w:cs="Arial"/>
          <w:i/>
          <w:iCs/>
          <w:sz w:val="22"/>
          <w:szCs w:val="22"/>
          <w:lang w:val="es-ES" w:eastAsia="en-US"/>
        </w:rPr>
        <w:t>período de incertidumbre,</w:t>
      </w:r>
      <w:r w:rsidRPr="00F226F3">
        <w:rPr>
          <w:rFonts w:ascii="Arial" w:eastAsia="Calibri" w:hAnsi="Arial" w:cs="Arial"/>
          <w:sz w:val="22"/>
          <w:szCs w:val="22"/>
          <w:lang w:val="es-ES" w:eastAsia="en-US"/>
        </w:rPr>
        <w:t xml:space="preserve"> bajo el cual las entidades disponen que la seriedad del ofrecimiento tenga una vigencia superior a la duración del procedimiento de selección, incluyendo tanto el plazo de suscripción del contrato como el de aprobación de la garantía única</w:t>
      </w:r>
      <w:r w:rsidR="00EF660F">
        <w:rPr>
          <w:rFonts w:ascii="Arial" w:eastAsia="Calibri" w:hAnsi="Arial" w:cs="Arial"/>
          <w:sz w:val="22"/>
          <w:szCs w:val="22"/>
          <w:lang w:val="es-ES" w:eastAsia="en-US"/>
        </w:rPr>
        <w:t xml:space="preserve"> de cumplimiento</w:t>
      </w:r>
      <w:r w:rsidRPr="00F226F3">
        <w:rPr>
          <w:rFonts w:ascii="Arial" w:eastAsia="Calibri" w:hAnsi="Arial" w:cs="Arial"/>
          <w:sz w:val="22"/>
          <w:szCs w:val="22"/>
          <w:lang w:val="es-ES" w:eastAsia="en-US"/>
        </w:rPr>
        <w:t>.</w:t>
      </w:r>
    </w:p>
    <w:p w14:paraId="09E3BD72" w14:textId="77777777" w:rsidR="00F226F3" w:rsidRPr="00F226F3" w:rsidRDefault="00F226F3" w:rsidP="005010A7">
      <w:pPr>
        <w:spacing w:before="120" w:line="276" w:lineRule="auto"/>
        <w:ind w:firstLine="709"/>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t xml:space="preserve">Normalmente, en el pliego de condiciones, o en la invitación a contratar, las entidades «acostumbran» exigir a los proponentes que garanticen la seriedad de la propuesta durante 3 meses –pudiendo ser de más o menos tiempo–, para cubrir el lapso que tarda el trámite precontractual, pero también los eventuales contratiempos y hasta las eventuales ampliaciones de las distintas etapas del procedimiento de selección, así como la posterior firma del contrato y aprobación de la garantía de cumplimiento, lo que evita que la Administración solicite frecuentemente su prórroga. </w:t>
      </w:r>
    </w:p>
    <w:p w14:paraId="00E7836D" w14:textId="77777777" w:rsidR="00F226F3" w:rsidRPr="00F226F3" w:rsidRDefault="00F226F3" w:rsidP="005010A7">
      <w:pPr>
        <w:spacing w:before="120" w:line="276" w:lineRule="auto"/>
        <w:ind w:firstLine="709"/>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t xml:space="preserve">Por tanto, la entidad calcula y establece un </w:t>
      </w:r>
      <w:r w:rsidRPr="00F226F3">
        <w:rPr>
          <w:rFonts w:ascii="Arial" w:eastAsia="Calibri" w:hAnsi="Arial" w:cs="Arial"/>
          <w:i/>
          <w:iCs/>
          <w:sz w:val="22"/>
          <w:szCs w:val="22"/>
          <w:lang w:val="es-ES" w:eastAsia="en-US"/>
        </w:rPr>
        <w:t xml:space="preserve">término </w:t>
      </w:r>
      <w:r w:rsidRPr="00F226F3">
        <w:rPr>
          <w:rFonts w:ascii="Arial" w:eastAsia="Calibri" w:hAnsi="Arial" w:cs="Arial"/>
          <w:sz w:val="22"/>
          <w:szCs w:val="22"/>
          <w:lang w:val="es-ES" w:eastAsia="en-US"/>
        </w:rPr>
        <w:t xml:space="preserve">para realizar el procedimiento de selección, firmar el contrato y aprobar la garantía de cumplimiento, contado a partir de la recepción de las propuestas, fecha que se define al elaborar el pliego o la invitación. Esta </w:t>
      </w:r>
      <w:r w:rsidRPr="00F226F3">
        <w:rPr>
          <w:rFonts w:ascii="Arial" w:eastAsia="Calibri" w:hAnsi="Arial" w:cs="Arial"/>
          <w:i/>
          <w:iCs/>
          <w:sz w:val="22"/>
          <w:szCs w:val="22"/>
          <w:lang w:val="es-ES" w:eastAsia="en-US"/>
        </w:rPr>
        <w:t>estimación</w:t>
      </w:r>
      <w:r w:rsidRPr="00F226F3">
        <w:rPr>
          <w:rFonts w:ascii="Arial" w:eastAsia="Calibri" w:hAnsi="Arial" w:cs="Arial"/>
          <w:sz w:val="22"/>
          <w:szCs w:val="22"/>
          <w:lang w:val="es-ES" w:eastAsia="en-US"/>
        </w:rPr>
        <w:t xml:space="preserve"> corresponde a la vigencia de la garantía precontractual, y las </w:t>
      </w:r>
      <w:proofErr w:type="gramStart"/>
      <w:r w:rsidRPr="00F226F3">
        <w:rPr>
          <w:rFonts w:ascii="Arial" w:eastAsia="Calibri" w:hAnsi="Arial" w:cs="Arial"/>
          <w:sz w:val="22"/>
          <w:szCs w:val="22"/>
          <w:lang w:val="es-ES" w:eastAsia="en-US"/>
        </w:rPr>
        <w:t>autoridades públicas</w:t>
      </w:r>
      <w:proofErr w:type="gramEnd"/>
      <w:r w:rsidRPr="00F226F3">
        <w:rPr>
          <w:rFonts w:ascii="Arial" w:eastAsia="Calibri" w:hAnsi="Arial" w:cs="Arial"/>
          <w:sz w:val="22"/>
          <w:szCs w:val="22"/>
          <w:lang w:val="es-ES" w:eastAsia="en-US"/>
        </w:rPr>
        <w:t xml:space="preserve"> lo fijan discrecionalmente, salvo que se trate de un procedimiento regulado por documentos tipo</w:t>
      </w:r>
      <w:r w:rsidRPr="00F226F3">
        <w:rPr>
          <w:rFonts w:ascii="Arial" w:eastAsia="Calibri" w:hAnsi="Arial" w:cs="Arial"/>
          <w:sz w:val="22"/>
          <w:szCs w:val="22"/>
          <w:vertAlign w:val="superscript"/>
          <w:lang w:val="es-ES" w:eastAsia="en-US"/>
        </w:rPr>
        <w:footnoteReference w:id="18"/>
      </w:r>
      <w:r w:rsidRPr="00F226F3">
        <w:rPr>
          <w:rFonts w:ascii="Arial" w:eastAsia="Calibri" w:hAnsi="Arial" w:cs="Arial"/>
          <w:sz w:val="22"/>
          <w:szCs w:val="22"/>
          <w:lang w:val="es-ES" w:eastAsia="en-US"/>
        </w:rPr>
        <w:t xml:space="preserve">.    </w:t>
      </w:r>
    </w:p>
    <w:p w14:paraId="4CA9AB3D" w14:textId="77777777" w:rsidR="00F226F3" w:rsidRPr="00F226F3" w:rsidRDefault="00F226F3" w:rsidP="005010A7">
      <w:pPr>
        <w:spacing w:before="120" w:line="276" w:lineRule="auto"/>
        <w:ind w:firstLine="709"/>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t xml:space="preserve">Esta característica diferencia la garantía de seriedad de otros amparos, pues el Decreto 1082 de 2015 define, para muchos, tanto la fecha de inicio como la fecha de terminación. Por ejemplo, el artículo 2.2.1.2.3.1.13 dispone que el amparo de pago de salarios y prestaciones sociales tiene una vigencia equivalente al plazo del contrato y tres (3) años más; para la estabilidad de la obra, el artículo 2.2.1.2.3.1.14 dispone que el amparo estará vigente por un término no inferior a cinco (5) años, contado a partir del recibo a satisfacción; y para el seguro de responsabilidad civil extracontractual, la vigencia debe ser igual o superior al plazo de ejecución del contrato. </w:t>
      </w:r>
    </w:p>
    <w:p w14:paraId="241B174F" w14:textId="2A3D7B0E" w:rsidR="00F226F3" w:rsidRPr="00F226F3" w:rsidRDefault="00EF660F" w:rsidP="005010A7">
      <w:pPr>
        <w:spacing w:before="120" w:line="276" w:lineRule="auto"/>
        <w:ind w:firstLine="709"/>
        <w:jc w:val="both"/>
        <w:rPr>
          <w:rFonts w:ascii="Arial" w:eastAsia="Calibri" w:hAnsi="Arial" w:cs="Arial"/>
          <w:sz w:val="22"/>
          <w:szCs w:val="22"/>
          <w:lang w:val="es-ES" w:eastAsia="en-US"/>
        </w:rPr>
      </w:pPr>
      <w:r>
        <w:rPr>
          <w:rFonts w:ascii="Arial" w:eastAsia="Calibri" w:hAnsi="Arial" w:cs="Arial"/>
          <w:sz w:val="22"/>
          <w:szCs w:val="22"/>
          <w:lang w:val="es-ES" w:eastAsia="en-US"/>
        </w:rPr>
        <w:t>De esta manera, l</w:t>
      </w:r>
      <w:r w:rsidR="00F226F3" w:rsidRPr="00F226F3">
        <w:rPr>
          <w:rFonts w:ascii="Arial" w:eastAsia="Calibri" w:hAnsi="Arial" w:cs="Arial"/>
          <w:sz w:val="22"/>
          <w:szCs w:val="22"/>
          <w:lang w:val="es-ES" w:eastAsia="en-US"/>
        </w:rPr>
        <w:t xml:space="preserve">a determinación del </w:t>
      </w:r>
      <w:r w:rsidR="00F226F3" w:rsidRPr="00F226F3">
        <w:rPr>
          <w:rFonts w:ascii="Arial" w:eastAsia="Calibri" w:hAnsi="Arial" w:cs="Arial"/>
          <w:i/>
          <w:iCs/>
          <w:sz w:val="22"/>
          <w:szCs w:val="22"/>
          <w:lang w:val="es-ES" w:eastAsia="en-US"/>
        </w:rPr>
        <w:t>valor</w:t>
      </w:r>
      <w:r w:rsidR="00F226F3" w:rsidRPr="00F226F3">
        <w:rPr>
          <w:rFonts w:ascii="Arial" w:eastAsia="Calibri" w:hAnsi="Arial" w:cs="Arial"/>
          <w:sz w:val="22"/>
          <w:szCs w:val="22"/>
          <w:lang w:val="es-ES" w:eastAsia="en-US"/>
        </w:rPr>
        <w:t xml:space="preserve"> y el </w:t>
      </w:r>
      <w:r w:rsidR="00F226F3" w:rsidRPr="00F226F3">
        <w:rPr>
          <w:rFonts w:ascii="Arial" w:eastAsia="Calibri" w:hAnsi="Arial" w:cs="Arial"/>
          <w:i/>
          <w:iCs/>
          <w:sz w:val="22"/>
          <w:szCs w:val="22"/>
          <w:lang w:val="es-ES" w:eastAsia="en-US"/>
        </w:rPr>
        <w:t>tiempo</w:t>
      </w:r>
      <w:r w:rsidR="00F226F3" w:rsidRPr="00F226F3">
        <w:rPr>
          <w:rFonts w:ascii="Arial" w:eastAsia="Calibri" w:hAnsi="Arial" w:cs="Arial"/>
          <w:sz w:val="22"/>
          <w:szCs w:val="22"/>
          <w:lang w:val="es-ES" w:eastAsia="en-US"/>
        </w:rPr>
        <w:t xml:space="preserve"> de cobertura de esta garantía precontractual es esencial en el procedimiento de selección. Respecto al primero, corresponde a la sanción por el incumplimiento de la seriedad de la propuesta, delimitando </w:t>
      </w:r>
      <w:r w:rsidR="00F226F3" w:rsidRPr="00F226F3">
        <w:rPr>
          <w:rFonts w:ascii="Arial" w:eastAsia="Calibri" w:hAnsi="Arial" w:cs="Arial"/>
          <w:sz w:val="22"/>
          <w:szCs w:val="22"/>
          <w:lang w:val="es-ES" w:eastAsia="en-US"/>
        </w:rPr>
        <w:lastRenderedPageBreak/>
        <w:t>la obligación pecuniaria de la aseguradora</w:t>
      </w:r>
      <w:r w:rsidR="00F226F3" w:rsidRPr="00F226F3">
        <w:rPr>
          <w:rFonts w:ascii="Arial" w:eastAsia="Calibri" w:hAnsi="Arial" w:cs="Arial"/>
          <w:sz w:val="22"/>
          <w:szCs w:val="22"/>
          <w:vertAlign w:val="superscript"/>
          <w:lang w:val="es-ES" w:eastAsia="en-US"/>
        </w:rPr>
        <w:footnoteReference w:id="19"/>
      </w:r>
      <w:r w:rsidR="00F226F3" w:rsidRPr="00F226F3">
        <w:rPr>
          <w:rFonts w:ascii="Arial" w:eastAsia="Calibri" w:hAnsi="Arial" w:cs="Arial"/>
          <w:sz w:val="22"/>
          <w:szCs w:val="22"/>
          <w:lang w:val="es-ES" w:eastAsia="en-US"/>
        </w:rPr>
        <w:t xml:space="preserve">. Lo anterior es una consecuencia del principio de responsabilidad, ya que el mantenimiento de la oferta está sujeto al deber de buena fe y, por tanto, el desconocimiento de las expectativas legítimas de la Administración autoriza la reparación de los perjuicios sufridos. Respecto al segundo, el </w:t>
      </w:r>
      <w:r w:rsidR="00F226F3" w:rsidRPr="00F226F3">
        <w:rPr>
          <w:rFonts w:ascii="Arial" w:eastAsia="Calibri" w:hAnsi="Arial" w:cs="Arial"/>
          <w:i/>
          <w:iCs/>
          <w:sz w:val="22"/>
          <w:szCs w:val="22"/>
          <w:lang w:val="es-ES" w:eastAsia="en-US"/>
        </w:rPr>
        <w:t xml:space="preserve">plazo de cobertura </w:t>
      </w:r>
      <w:r w:rsidR="00F226F3" w:rsidRPr="00F226F3">
        <w:rPr>
          <w:rFonts w:ascii="Arial" w:eastAsia="Calibri" w:hAnsi="Arial" w:cs="Arial"/>
          <w:sz w:val="22"/>
          <w:szCs w:val="22"/>
          <w:lang w:val="es-ES" w:eastAsia="en-US"/>
        </w:rPr>
        <w:t>delimita directamente</w:t>
      </w:r>
      <w:r w:rsidR="00F226F3" w:rsidRPr="00F226F3">
        <w:rPr>
          <w:rFonts w:ascii="Arial" w:eastAsia="Calibri" w:hAnsi="Arial" w:cs="Arial"/>
          <w:i/>
          <w:iCs/>
          <w:sz w:val="22"/>
          <w:szCs w:val="22"/>
          <w:lang w:val="es-ES" w:eastAsia="en-US"/>
        </w:rPr>
        <w:t xml:space="preserve"> </w:t>
      </w:r>
      <w:r w:rsidR="00F226F3" w:rsidRPr="00F226F3">
        <w:rPr>
          <w:rFonts w:ascii="Arial" w:eastAsia="Calibri" w:hAnsi="Arial" w:cs="Arial"/>
          <w:sz w:val="22"/>
          <w:szCs w:val="22"/>
          <w:lang w:val="es-ES" w:eastAsia="en-US"/>
        </w:rPr>
        <w:t xml:space="preserve">el período </w:t>
      </w:r>
      <w:r>
        <w:rPr>
          <w:rFonts w:ascii="Arial" w:eastAsia="Calibri" w:hAnsi="Arial" w:cs="Arial"/>
          <w:sz w:val="22"/>
          <w:szCs w:val="22"/>
          <w:lang w:val="es-ES" w:eastAsia="en-US"/>
        </w:rPr>
        <w:t>dentro del cual se deben materializar los riesgos amparados por la garantía, para efectos de su cobertura</w:t>
      </w:r>
      <w:r w:rsidR="00F226F3" w:rsidRPr="00F226F3">
        <w:rPr>
          <w:rFonts w:ascii="Arial" w:eastAsia="Calibri" w:hAnsi="Arial" w:cs="Arial"/>
          <w:sz w:val="22"/>
          <w:szCs w:val="22"/>
          <w:lang w:val="es-ES" w:eastAsia="en-US"/>
        </w:rPr>
        <w:t xml:space="preserve">. </w:t>
      </w:r>
    </w:p>
    <w:p w14:paraId="5EE1BB00" w14:textId="288D1207" w:rsidR="00DF52A4" w:rsidRDefault="00F226F3" w:rsidP="005010A7">
      <w:pPr>
        <w:spacing w:before="120" w:line="276" w:lineRule="auto"/>
        <w:ind w:firstLine="709"/>
        <w:jc w:val="both"/>
        <w:rPr>
          <w:rFonts w:ascii="Arial" w:eastAsia="Calibri" w:hAnsi="Arial" w:cs="Arial"/>
          <w:sz w:val="22"/>
          <w:szCs w:val="22"/>
          <w:lang w:val="es-ES" w:eastAsia="en-US"/>
        </w:rPr>
      </w:pPr>
      <w:r w:rsidRPr="00F226F3">
        <w:rPr>
          <w:rFonts w:ascii="Arial" w:eastAsia="Calibri" w:hAnsi="Arial" w:cs="Arial"/>
          <w:sz w:val="22"/>
          <w:szCs w:val="22"/>
          <w:lang w:val="es-ES" w:eastAsia="en-US"/>
        </w:rPr>
        <w:t>En ambos aspectos, es decir, tanto respecto al valor como al plazo, la garantía de seriedad tiene diferencias marcadas con el régimen de la irrevocabilidad de la oferta en el derecho privado. El inciso primero del artículo 846 del Código de Comercio dispone que «La propuesta será irrevocable, por lo tanto, 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el artículo 2.2.1.2.3.2.8 del Decreto 1082 de 2015 dispone que «En caso de siniestro en la garantía de la seriedad de la oferta, la compañía de seguros debe responder por el total del valor asegurado a título de sanción»</w:t>
      </w:r>
      <w:r w:rsidRPr="00F226F3">
        <w:rPr>
          <w:rFonts w:ascii="Arial" w:eastAsia="Calibri" w:hAnsi="Arial" w:cs="Arial"/>
          <w:sz w:val="22"/>
          <w:szCs w:val="22"/>
          <w:vertAlign w:val="superscript"/>
          <w:lang w:val="es-ES" w:eastAsia="en-US"/>
        </w:rPr>
        <w:footnoteReference w:id="20"/>
      </w:r>
      <w:r w:rsidRPr="00F226F3">
        <w:rPr>
          <w:rFonts w:ascii="Arial" w:eastAsia="Calibri" w:hAnsi="Arial" w:cs="Arial"/>
          <w:sz w:val="22"/>
          <w:szCs w:val="22"/>
          <w:lang w:val="es-ES" w:eastAsia="en-US"/>
        </w:rPr>
        <w:t xml:space="preserve">. </w:t>
      </w:r>
      <w:bookmarkEnd w:id="8"/>
    </w:p>
    <w:p w14:paraId="731318D1" w14:textId="1CF30E81" w:rsidR="00A04D21" w:rsidRPr="00A04D21" w:rsidRDefault="00B20734" w:rsidP="00897BB1">
      <w:pPr>
        <w:spacing w:before="120" w:line="276" w:lineRule="auto"/>
        <w:ind w:firstLine="709"/>
        <w:jc w:val="both"/>
        <w:rPr>
          <w:rFonts w:ascii="Arial" w:hAnsi="Arial" w:cs="Arial"/>
          <w:color w:val="000000" w:themeColor="text1"/>
          <w:sz w:val="22"/>
          <w:szCs w:val="22"/>
          <w:lang w:val="es-MX" w:eastAsia="en-US"/>
        </w:rPr>
      </w:pPr>
      <w:r>
        <w:rPr>
          <w:rFonts w:ascii="Arial" w:eastAsia="Calibri" w:hAnsi="Arial" w:cs="Arial"/>
          <w:sz w:val="22"/>
          <w:szCs w:val="22"/>
          <w:lang w:val="es-ES" w:eastAsia="en-US"/>
        </w:rPr>
        <w:t>Ahora bien</w:t>
      </w:r>
      <w:r w:rsidR="0042188A">
        <w:rPr>
          <w:rFonts w:ascii="Arial" w:eastAsia="Calibri" w:hAnsi="Arial" w:cs="Arial"/>
          <w:sz w:val="22"/>
          <w:szCs w:val="22"/>
          <w:lang w:val="es-ES" w:eastAsia="en-US"/>
        </w:rPr>
        <w:t>, conforme</w:t>
      </w:r>
      <w:r w:rsidR="00B6044E">
        <w:rPr>
          <w:rFonts w:ascii="Arial" w:eastAsia="Calibri" w:hAnsi="Arial" w:cs="Arial"/>
          <w:sz w:val="22"/>
          <w:szCs w:val="22"/>
          <w:lang w:val="es-ES" w:eastAsia="en-US"/>
        </w:rPr>
        <w:t xml:space="preserve"> con </w:t>
      </w:r>
      <w:r w:rsidR="00B6044E" w:rsidRPr="00B6044E">
        <w:rPr>
          <w:rFonts w:ascii="Arial" w:eastAsia="Calibri" w:hAnsi="Arial" w:cs="Arial"/>
          <w:sz w:val="22"/>
          <w:szCs w:val="22"/>
          <w:lang w:val="es-ES" w:eastAsia="en-US"/>
        </w:rPr>
        <w:t>el parágrafo 3 del artículo 5 de la Ley 1150 de 2007, adicionado por el artículo 5 de la Ley 1882 de 2018</w:t>
      </w:r>
      <w:r w:rsidR="00B6044E">
        <w:rPr>
          <w:rFonts w:ascii="Arial" w:eastAsia="Calibri" w:hAnsi="Arial" w:cs="Arial"/>
          <w:sz w:val="22"/>
          <w:szCs w:val="22"/>
          <w:lang w:val="es-ES" w:eastAsia="en-US"/>
        </w:rPr>
        <w:t xml:space="preserve">, </w:t>
      </w:r>
      <w:r w:rsidR="00B6044E" w:rsidRPr="00B6044E">
        <w:rPr>
          <w:rFonts w:ascii="Arial" w:eastAsia="Calibri" w:hAnsi="Arial" w:cs="Arial"/>
          <w:sz w:val="22"/>
          <w:szCs w:val="22"/>
          <w:lang w:val="es-ES" w:eastAsia="en-US"/>
        </w:rPr>
        <w:t xml:space="preserve">la </w:t>
      </w:r>
      <w:bookmarkStart w:id="11" w:name="_Hlk83401660"/>
      <w:r w:rsidR="00B6044E" w:rsidRPr="00B6044E">
        <w:rPr>
          <w:rFonts w:ascii="Arial" w:eastAsia="Calibri" w:hAnsi="Arial" w:cs="Arial"/>
          <w:sz w:val="22"/>
          <w:szCs w:val="22"/>
          <w:lang w:val="es-ES" w:eastAsia="en-US"/>
        </w:rPr>
        <w:t>«</w:t>
      </w:r>
      <w:bookmarkEnd w:id="11"/>
      <w:r w:rsidR="00B6044E" w:rsidRPr="00B6044E">
        <w:rPr>
          <w:rFonts w:ascii="Arial" w:eastAsia="Calibri" w:hAnsi="Arial" w:cs="Arial"/>
          <w:sz w:val="22"/>
          <w:szCs w:val="22"/>
          <w:lang w:val="es-ES" w:eastAsia="en-US"/>
        </w:rPr>
        <w:t xml:space="preserve">no entrega de la garantía de </w:t>
      </w:r>
      <w:r w:rsidR="00B6044E" w:rsidRPr="00B6044E">
        <w:rPr>
          <w:rFonts w:ascii="Arial" w:eastAsia="Calibri" w:hAnsi="Arial" w:cs="Arial"/>
          <w:sz w:val="22"/>
          <w:szCs w:val="22"/>
          <w:lang w:val="es-ES" w:eastAsia="en-US"/>
        </w:rPr>
        <w:lastRenderedPageBreak/>
        <w:t xml:space="preserve">seriedad junto con la propuesta no será subsanable y será causal de rechazo de </w:t>
      </w:r>
      <w:proofErr w:type="gramStart"/>
      <w:r w:rsidR="00B6044E" w:rsidRPr="00B6044E">
        <w:rPr>
          <w:rFonts w:ascii="Arial" w:eastAsia="Calibri" w:hAnsi="Arial" w:cs="Arial"/>
          <w:sz w:val="22"/>
          <w:szCs w:val="22"/>
          <w:lang w:val="es-ES" w:eastAsia="en-US"/>
        </w:rPr>
        <w:t>la misma</w:t>
      </w:r>
      <w:proofErr w:type="gramEnd"/>
      <w:r w:rsidR="00B6044E" w:rsidRPr="00B6044E">
        <w:rPr>
          <w:rFonts w:ascii="Arial" w:eastAsia="Calibri" w:hAnsi="Arial" w:cs="Arial"/>
          <w:sz w:val="22"/>
          <w:szCs w:val="22"/>
          <w:lang w:val="es-ES" w:eastAsia="en-US"/>
        </w:rPr>
        <w:t>»</w:t>
      </w:r>
      <w:r w:rsidR="00F81214">
        <w:rPr>
          <w:rFonts w:ascii="Arial" w:eastAsia="Calibri" w:hAnsi="Arial" w:cs="Arial"/>
          <w:sz w:val="22"/>
          <w:szCs w:val="22"/>
          <w:lang w:val="es-ES" w:eastAsia="en-US"/>
        </w:rPr>
        <w:t>,</w:t>
      </w:r>
      <w:r w:rsidR="00B6044E" w:rsidRPr="00B6044E">
        <w:rPr>
          <w:rFonts w:ascii="Arial" w:eastAsia="Arial" w:hAnsi="Arial" w:cs="Arial"/>
          <w:sz w:val="22"/>
          <w:szCs w:val="22"/>
          <w:lang w:val="es-ES" w:eastAsia="en-US"/>
        </w:rPr>
        <w:t xml:space="preserve"> </w:t>
      </w:r>
      <w:r w:rsidR="00F81214">
        <w:rPr>
          <w:rFonts w:ascii="Arial" w:hAnsi="Arial" w:cs="Arial"/>
          <w:color w:val="000000" w:themeColor="text1"/>
          <w:sz w:val="22"/>
          <w:lang w:val="es-ES_tradnl"/>
        </w:rPr>
        <w:t>dejando claro que se trata de un documento de obligatoria presentación junto con la propuesta y que materializa los principios de seriedad e irrevocabilidad de la oferta.</w:t>
      </w:r>
      <w:r w:rsidR="001750D2">
        <w:rPr>
          <w:rFonts w:ascii="Arial" w:hAnsi="Arial" w:cs="Arial"/>
          <w:color w:val="000000" w:themeColor="text1"/>
          <w:sz w:val="22"/>
          <w:szCs w:val="22"/>
          <w:lang w:val="es-ES_tradnl" w:eastAsia="en-US"/>
        </w:rPr>
        <w:t xml:space="preserve"> </w:t>
      </w:r>
    </w:p>
    <w:p w14:paraId="6C61E6EA" w14:textId="0607D6F5" w:rsidR="005010A7" w:rsidRPr="00945060" w:rsidRDefault="001750D2" w:rsidP="00945060">
      <w:pPr>
        <w:spacing w:before="120" w:line="276" w:lineRule="auto"/>
        <w:ind w:firstLine="709"/>
        <w:jc w:val="both"/>
        <w:rPr>
          <w:rFonts w:ascii="Arial" w:hAnsi="Arial" w:cs="Arial"/>
          <w:color w:val="000000" w:themeColor="text1"/>
          <w:sz w:val="22"/>
        </w:rPr>
      </w:pPr>
      <w:r>
        <w:rPr>
          <w:rFonts w:ascii="Arial" w:hAnsi="Arial" w:cs="Arial"/>
          <w:color w:val="000000" w:themeColor="text1"/>
          <w:sz w:val="22"/>
          <w:szCs w:val="22"/>
          <w:lang w:val="es-ES_tradnl" w:eastAsia="en-US"/>
        </w:rPr>
        <w:t xml:space="preserve"> </w:t>
      </w:r>
      <w:r w:rsidR="00FA382E" w:rsidRPr="001750D2">
        <w:rPr>
          <w:rFonts w:ascii="Arial" w:eastAsia="Calibri" w:hAnsi="Arial" w:cs="Arial"/>
          <w:sz w:val="22"/>
          <w:szCs w:val="22"/>
          <w:lang w:val="es-ES" w:eastAsia="en-US"/>
        </w:rPr>
        <w:t xml:space="preserve">En este sentido, </w:t>
      </w:r>
      <w:r w:rsidRPr="001750D2">
        <w:rPr>
          <w:rFonts w:ascii="Arial" w:eastAsia="Calibri" w:hAnsi="Arial" w:cs="Arial"/>
          <w:sz w:val="22"/>
          <w:szCs w:val="22"/>
          <w:lang w:val="es-ES" w:eastAsia="en-US"/>
        </w:rPr>
        <w:t>la garantía</w:t>
      </w:r>
      <w:r>
        <w:rPr>
          <w:rFonts w:ascii="Arial" w:eastAsia="Calibri" w:hAnsi="Arial" w:cs="Arial"/>
          <w:sz w:val="22"/>
          <w:szCs w:val="22"/>
          <w:lang w:val="es-ES" w:eastAsia="en-US"/>
        </w:rPr>
        <w:t xml:space="preserve"> de seriedad de la oferta es un requisito para participar en los procesos de selección que debe presentarse junto con la propuesta. </w:t>
      </w:r>
      <w:r w:rsidR="00FA382E">
        <w:rPr>
          <w:rFonts w:ascii="Arial" w:eastAsia="Calibri" w:hAnsi="Arial" w:cs="Arial"/>
          <w:sz w:val="22"/>
          <w:szCs w:val="22"/>
          <w:lang w:val="es-ES" w:eastAsia="en-US"/>
        </w:rPr>
        <w:t>Por tanto, e</w:t>
      </w:r>
      <w:r w:rsidR="009366F2" w:rsidRPr="001B73F5">
        <w:rPr>
          <w:rFonts w:ascii="Arial" w:eastAsia="Calibri" w:hAnsi="Arial" w:cs="Arial"/>
          <w:sz w:val="22"/>
          <w:szCs w:val="22"/>
          <w:lang w:val="es-ES_tradnl" w:eastAsia="en-US"/>
        </w:rPr>
        <w:t>n el evento en que el proponente no presente</w:t>
      </w:r>
      <w:r>
        <w:rPr>
          <w:rFonts w:ascii="Arial" w:eastAsia="Calibri" w:hAnsi="Arial" w:cs="Arial"/>
          <w:sz w:val="22"/>
          <w:szCs w:val="22"/>
          <w:lang w:val="es-ES_tradnl" w:eastAsia="en-US"/>
        </w:rPr>
        <w:t xml:space="preserve"> esta garantía al momento del cierre</w:t>
      </w:r>
      <w:r w:rsidR="00197ACA">
        <w:rPr>
          <w:rFonts w:ascii="Arial" w:eastAsia="Calibri" w:hAnsi="Arial" w:cs="Arial"/>
          <w:sz w:val="22"/>
          <w:szCs w:val="22"/>
          <w:lang w:val="es-ES_tradnl" w:eastAsia="en-US"/>
        </w:rPr>
        <w:t xml:space="preserve"> del proceso</w:t>
      </w:r>
      <w:r w:rsidR="009366F2" w:rsidRPr="001B73F5">
        <w:rPr>
          <w:rFonts w:ascii="Arial" w:eastAsia="Calibri" w:hAnsi="Arial" w:cs="Arial"/>
          <w:sz w:val="22"/>
          <w:szCs w:val="22"/>
          <w:lang w:val="es-ES_tradnl" w:eastAsia="en-US"/>
        </w:rPr>
        <w:t>, la propuesta será rechazada de plano y no podrá subsanarse.</w:t>
      </w:r>
      <w:r w:rsidR="00FA382E">
        <w:rPr>
          <w:rFonts w:ascii="Arial" w:eastAsia="Calibri" w:hAnsi="Arial" w:cs="Arial"/>
          <w:sz w:val="22"/>
          <w:szCs w:val="22"/>
          <w:lang w:val="es-ES_tradnl" w:eastAsia="en-US"/>
        </w:rPr>
        <w:t xml:space="preserve"> </w:t>
      </w:r>
      <w:r w:rsidR="00B20734">
        <w:rPr>
          <w:rFonts w:ascii="Arial" w:eastAsia="Calibri" w:hAnsi="Arial" w:cs="Arial"/>
          <w:sz w:val="22"/>
          <w:szCs w:val="22"/>
          <w:lang w:val="es-ES_tradnl" w:eastAsia="en-US"/>
        </w:rPr>
        <w:t xml:space="preserve">Sin embargo, se aclara que </w:t>
      </w:r>
      <w:r w:rsidR="00B20734">
        <w:rPr>
          <w:rFonts w:ascii="Arial" w:hAnsi="Arial" w:cs="Arial"/>
          <w:color w:val="000000" w:themeColor="text1"/>
          <w:sz w:val="22"/>
          <w:lang w:val="es-ES_tradnl"/>
        </w:rPr>
        <w:t>l</w:t>
      </w:r>
      <w:r w:rsidR="00945060">
        <w:rPr>
          <w:rFonts w:ascii="Arial" w:hAnsi="Arial" w:cs="Arial"/>
          <w:color w:val="000000" w:themeColor="text1"/>
          <w:sz w:val="22"/>
        </w:rPr>
        <w:t xml:space="preserve">os errores en el contenido de </w:t>
      </w:r>
      <w:r w:rsidR="00B20734">
        <w:rPr>
          <w:rFonts w:ascii="Arial" w:hAnsi="Arial" w:cs="Arial"/>
          <w:color w:val="000000" w:themeColor="text1"/>
          <w:sz w:val="22"/>
        </w:rPr>
        <w:t xml:space="preserve">esta garantía </w:t>
      </w:r>
      <w:r w:rsidR="00945060">
        <w:rPr>
          <w:rFonts w:ascii="Arial" w:hAnsi="Arial" w:cs="Arial"/>
          <w:color w:val="000000" w:themeColor="text1"/>
          <w:sz w:val="22"/>
        </w:rPr>
        <w:t>no afectan la comparación de las propuestas, porque las entidades no asignan puntaje a la</w:t>
      </w:r>
      <w:r w:rsidR="00B20734">
        <w:rPr>
          <w:rFonts w:ascii="Arial" w:hAnsi="Arial" w:cs="Arial"/>
          <w:color w:val="000000" w:themeColor="text1"/>
          <w:sz w:val="22"/>
        </w:rPr>
        <w:t xml:space="preserve"> garantía</w:t>
      </w:r>
      <w:r w:rsidR="00945060">
        <w:rPr>
          <w:rFonts w:ascii="Arial" w:hAnsi="Arial" w:cs="Arial"/>
          <w:color w:val="000000" w:themeColor="text1"/>
          <w:sz w:val="22"/>
        </w:rPr>
        <w:t xml:space="preserve"> y, por ende, la entidad les debe otorgar la facultad a los proponentes de subsanar cualquier error en </w:t>
      </w:r>
      <w:r w:rsidR="00B20734">
        <w:rPr>
          <w:rFonts w:ascii="Arial" w:hAnsi="Arial" w:cs="Arial"/>
          <w:color w:val="000000" w:themeColor="text1"/>
          <w:sz w:val="22"/>
        </w:rPr>
        <w:t>su</w:t>
      </w:r>
      <w:r w:rsidR="00945060">
        <w:rPr>
          <w:rFonts w:ascii="Arial" w:hAnsi="Arial" w:cs="Arial"/>
          <w:color w:val="000000" w:themeColor="text1"/>
          <w:sz w:val="22"/>
        </w:rPr>
        <w:t xml:space="preserve"> contenido, y estos últimos deben subsanarlos hasta el traslado del informe de evaluación, so pena de rechazar la oferta si no se corrige durante el término establecido.</w:t>
      </w:r>
      <w:r w:rsidR="00945060" w:rsidRPr="00B6044E">
        <w:rPr>
          <w:rFonts w:ascii="Arial" w:eastAsia="Arial" w:hAnsi="Arial" w:cs="Arial"/>
          <w:spacing w:val="-14"/>
          <w:sz w:val="22"/>
          <w:szCs w:val="22"/>
          <w:lang w:val="es-ES" w:eastAsia="en-US"/>
        </w:rPr>
        <w:t xml:space="preserve"> </w:t>
      </w:r>
    </w:p>
    <w:p w14:paraId="19BCBC84" w14:textId="05292B6D" w:rsidR="009E507C" w:rsidRDefault="00DF52A4" w:rsidP="004A3597">
      <w:pPr>
        <w:spacing w:before="120" w:line="276" w:lineRule="auto"/>
        <w:ind w:firstLine="709"/>
        <w:jc w:val="both"/>
        <w:rPr>
          <w:rFonts w:ascii="Arial" w:eastAsia="Calibri" w:hAnsi="Arial" w:cs="Arial"/>
          <w:sz w:val="22"/>
          <w:szCs w:val="22"/>
          <w:lang w:val="es-ES_tradnl" w:eastAsia="en-US"/>
        </w:rPr>
      </w:pPr>
      <w:r w:rsidRPr="004768A2">
        <w:rPr>
          <w:rFonts w:ascii="Arial" w:eastAsia="Calibri" w:hAnsi="Arial" w:cs="Arial"/>
          <w:sz w:val="22"/>
          <w:szCs w:val="22"/>
          <w:lang w:val="es-ES" w:eastAsia="en-US"/>
        </w:rPr>
        <w:t>De acuerdo con las anteriores consideraciones</w:t>
      </w:r>
      <w:r>
        <w:rPr>
          <w:rFonts w:ascii="Arial" w:eastAsia="Calibri" w:hAnsi="Arial" w:cs="Arial"/>
          <w:sz w:val="22"/>
          <w:szCs w:val="22"/>
          <w:lang w:val="es-ES" w:eastAsia="en-US"/>
        </w:rPr>
        <w:t xml:space="preserve">, </w:t>
      </w:r>
      <w:r w:rsidR="00FC610D">
        <w:rPr>
          <w:rFonts w:ascii="Arial" w:eastAsia="Calibri" w:hAnsi="Arial" w:cs="Arial"/>
          <w:sz w:val="22"/>
          <w:szCs w:val="22"/>
          <w:lang w:val="es-ES" w:eastAsia="en-US"/>
        </w:rPr>
        <w:t>en la etapa de</w:t>
      </w:r>
      <w:r>
        <w:rPr>
          <w:rFonts w:ascii="Arial" w:eastAsia="Calibri" w:hAnsi="Arial" w:cs="Arial"/>
          <w:sz w:val="22"/>
          <w:szCs w:val="22"/>
          <w:lang w:val="es-ES" w:eastAsia="en-US"/>
        </w:rPr>
        <w:t xml:space="preserve"> evaluación de las ofertas determinada en cada proceso de selección, </w:t>
      </w:r>
      <w:r w:rsidR="00897BB1">
        <w:rPr>
          <w:rFonts w:ascii="Arial" w:eastAsia="Calibri" w:hAnsi="Arial" w:cs="Arial"/>
          <w:sz w:val="22"/>
          <w:szCs w:val="22"/>
          <w:lang w:val="es-ES" w:eastAsia="en-US"/>
        </w:rPr>
        <w:t xml:space="preserve">la entidad </w:t>
      </w:r>
      <w:r>
        <w:rPr>
          <w:rFonts w:ascii="Arial" w:eastAsia="Calibri" w:hAnsi="Arial" w:cs="Arial"/>
          <w:sz w:val="22"/>
          <w:szCs w:val="22"/>
          <w:lang w:val="es-ES" w:eastAsia="en-US"/>
        </w:rPr>
        <w:t>deberá verificar que</w:t>
      </w:r>
      <w:r w:rsidR="002F3D6B">
        <w:rPr>
          <w:rFonts w:ascii="Arial" w:eastAsia="Calibri" w:hAnsi="Arial" w:cs="Arial"/>
          <w:sz w:val="22"/>
          <w:szCs w:val="22"/>
          <w:lang w:val="es-ES" w:eastAsia="en-US"/>
        </w:rPr>
        <w:t xml:space="preserve"> el proponente cumple con los requisitos habilitantes solicitados, así como con</w:t>
      </w:r>
      <w:r>
        <w:rPr>
          <w:rFonts w:ascii="Arial" w:eastAsia="Calibri" w:hAnsi="Arial" w:cs="Arial"/>
          <w:sz w:val="22"/>
          <w:szCs w:val="22"/>
          <w:lang w:val="es-ES" w:eastAsia="en-US"/>
        </w:rPr>
        <w:t xml:space="preserve"> la garantía de seriedad</w:t>
      </w:r>
      <w:r w:rsidR="009F1BC1">
        <w:rPr>
          <w:rFonts w:ascii="Arial" w:eastAsia="Calibri" w:hAnsi="Arial" w:cs="Arial"/>
          <w:sz w:val="22"/>
          <w:szCs w:val="22"/>
          <w:lang w:val="es-ES" w:eastAsia="en-US"/>
        </w:rPr>
        <w:t xml:space="preserve"> presentad</w:t>
      </w:r>
      <w:r w:rsidR="0012256F">
        <w:rPr>
          <w:rFonts w:ascii="Arial" w:eastAsia="Calibri" w:hAnsi="Arial" w:cs="Arial"/>
          <w:sz w:val="22"/>
          <w:szCs w:val="22"/>
          <w:lang w:val="es-ES" w:eastAsia="en-US"/>
        </w:rPr>
        <w:t>a</w:t>
      </w:r>
      <w:r w:rsidR="009F1BC1">
        <w:rPr>
          <w:rFonts w:ascii="Arial" w:eastAsia="Calibri" w:hAnsi="Arial" w:cs="Arial"/>
          <w:sz w:val="22"/>
          <w:szCs w:val="22"/>
          <w:lang w:val="es-ES" w:eastAsia="en-US"/>
        </w:rPr>
        <w:t>.</w:t>
      </w:r>
      <w:r w:rsidR="0084749F" w:rsidRPr="0084749F">
        <w:rPr>
          <w:rFonts w:ascii="Arial" w:eastAsia="Calibri" w:hAnsi="Arial" w:cs="Arial"/>
          <w:sz w:val="22"/>
          <w:szCs w:val="22"/>
          <w:lang w:val="es-ES_tradnl" w:eastAsia="en-US"/>
        </w:rPr>
        <w:t xml:space="preserve"> </w:t>
      </w:r>
      <w:r w:rsidR="000069B1">
        <w:rPr>
          <w:rFonts w:ascii="Arial" w:eastAsia="Calibri" w:hAnsi="Arial" w:cs="Arial"/>
          <w:sz w:val="22"/>
          <w:szCs w:val="22"/>
          <w:lang w:val="es-ES_tradnl" w:eastAsia="en-US"/>
        </w:rPr>
        <w:t>En efecto, el objeto de la evaluación de las ofertas es comprobar que las propuestas cumplen con los parámetros exigidos en el pliego de condiciones</w:t>
      </w:r>
      <w:r w:rsidR="00787669">
        <w:rPr>
          <w:rFonts w:ascii="Arial" w:eastAsia="Calibri" w:hAnsi="Arial" w:cs="Arial"/>
          <w:sz w:val="22"/>
          <w:szCs w:val="22"/>
          <w:lang w:val="es-ES_tradnl" w:eastAsia="en-US"/>
        </w:rPr>
        <w:t>,</w:t>
      </w:r>
      <w:r w:rsidR="000069B1">
        <w:rPr>
          <w:rFonts w:ascii="Arial" w:eastAsia="Calibri" w:hAnsi="Arial" w:cs="Arial"/>
          <w:sz w:val="22"/>
          <w:szCs w:val="22"/>
          <w:lang w:val="es-ES_tradnl" w:eastAsia="en-US"/>
        </w:rPr>
        <w:t xml:space="preserve"> con el fin de establecer la habilitación del proponente</w:t>
      </w:r>
      <w:r w:rsidR="0012256F">
        <w:rPr>
          <w:rFonts w:ascii="Arial" w:eastAsia="Calibri" w:hAnsi="Arial" w:cs="Arial"/>
          <w:sz w:val="22"/>
          <w:szCs w:val="22"/>
          <w:lang w:val="es-ES_tradnl" w:eastAsia="en-US"/>
        </w:rPr>
        <w:t xml:space="preserve"> en dicho proceso de selección</w:t>
      </w:r>
      <w:r w:rsidR="000069B1">
        <w:rPr>
          <w:rFonts w:ascii="Arial" w:eastAsia="Calibri" w:hAnsi="Arial" w:cs="Arial"/>
          <w:sz w:val="22"/>
          <w:szCs w:val="22"/>
          <w:lang w:val="es-ES_tradnl" w:eastAsia="en-US"/>
        </w:rPr>
        <w:t xml:space="preserve"> y de</w:t>
      </w:r>
      <w:r w:rsidR="00967BB7">
        <w:rPr>
          <w:rFonts w:ascii="Arial" w:eastAsia="Calibri" w:hAnsi="Arial" w:cs="Arial"/>
          <w:sz w:val="22"/>
          <w:szCs w:val="22"/>
          <w:lang w:val="es-ES_tradnl" w:eastAsia="en-US"/>
        </w:rPr>
        <w:t>finir</w:t>
      </w:r>
      <w:r w:rsidR="000069B1">
        <w:rPr>
          <w:rFonts w:ascii="Arial" w:eastAsia="Calibri" w:hAnsi="Arial" w:cs="Arial"/>
          <w:sz w:val="22"/>
          <w:szCs w:val="22"/>
          <w:lang w:val="es-ES_tradnl" w:eastAsia="en-US"/>
        </w:rPr>
        <w:t xml:space="preserve"> el oferente que será el adjudicatario del futuro contrato</w:t>
      </w:r>
      <w:r w:rsidR="00897A6D">
        <w:rPr>
          <w:rFonts w:ascii="Arial" w:eastAsia="Calibri" w:hAnsi="Arial" w:cs="Arial"/>
          <w:sz w:val="22"/>
          <w:szCs w:val="22"/>
          <w:lang w:val="es-ES_tradnl" w:eastAsia="en-US"/>
        </w:rPr>
        <w:t>, de acuerdo con la ponderación de los factores de evaluación aplicables</w:t>
      </w:r>
      <w:r w:rsidR="000069B1">
        <w:rPr>
          <w:rFonts w:ascii="Arial" w:eastAsia="Calibri" w:hAnsi="Arial" w:cs="Arial"/>
          <w:sz w:val="22"/>
          <w:szCs w:val="22"/>
          <w:lang w:val="es-ES_tradnl" w:eastAsia="en-US"/>
        </w:rPr>
        <w:t xml:space="preserve">. </w:t>
      </w:r>
      <w:r w:rsidR="0012256F">
        <w:rPr>
          <w:rFonts w:ascii="Arial" w:eastAsia="Calibri" w:hAnsi="Arial" w:cs="Arial"/>
          <w:sz w:val="22"/>
          <w:szCs w:val="22"/>
          <w:lang w:val="es-ES_tradnl" w:eastAsia="en-US"/>
        </w:rPr>
        <w:t xml:space="preserve">Este análisis </w:t>
      </w:r>
      <w:r w:rsidR="00897A6D">
        <w:rPr>
          <w:rFonts w:ascii="Arial" w:eastAsia="Calibri" w:hAnsi="Arial" w:cs="Arial"/>
          <w:sz w:val="22"/>
          <w:szCs w:val="22"/>
          <w:lang w:val="es-ES_tradnl" w:eastAsia="en-US"/>
        </w:rPr>
        <w:t xml:space="preserve">se emplea </w:t>
      </w:r>
      <w:r w:rsidR="0012256F">
        <w:rPr>
          <w:rFonts w:ascii="Arial" w:eastAsia="Calibri" w:hAnsi="Arial" w:cs="Arial"/>
          <w:sz w:val="22"/>
          <w:szCs w:val="22"/>
          <w:lang w:val="es-ES_tradnl" w:eastAsia="en-US"/>
        </w:rPr>
        <w:t xml:space="preserve">en relación con todos los documentos de la propuesta y con aquellos </w:t>
      </w:r>
      <w:r w:rsidR="00897A6D">
        <w:rPr>
          <w:rFonts w:ascii="Arial" w:eastAsia="Calibri" w:hAnsi="Arial" w:cs="Arial"/>
          <w:sz w:val="22"/>
          <w:szCs w:val="22"/>
          <w:lang w:val="es-ES_tradnl" w:eastAsia="en-US"/>
        </w:rPr>
        <w:t xml:space="preserve">documentos </w:t>
      </w:r>
      <w:r w:rsidR="0012256F">
        <w:rPr>
          <w:rFonts w:ascii="Arial" w:eastAsia="Calibri" w:hAnsi="Arial" w:cs="Arial"/>
          <w:sz w:val="22"/>
          <w:szCs w:val="22"/>
          <w:lang w:val="es-ES_tradnl" w:eastAsia="en-US"/>
        </w:rPr>
        <w:t>necesarios para la participación en el proceso de selección, como lo es la garantía de seriedad de la oferta.</w:t>
      </w:r>
    </w:p>
    <w:p w14:paraId="426196C7" w14:textId="59D19902" w:rsidR="00AC0AF5" w:rsidRPr="001750D2" w:rsidRDefault="000069B1" w:rsidP="004A3597">
      <w:pPr>
        <w:spacing w:before="120" w:line="276" w:lineRule="auto"/>
        <w:ind w:firstLine="709"/>
        <w:jc w:val="both"/>
        <w:rPr>
          <w:rFonts w:ascii="Arial" w:eastAsia="Calibri" w:hAnsi="Arial" w:cs="Arial"/>
          <w:sz w:val="22"/>
          <w:szCs w:val="22"/>
          <w:lang w:val="es-ES_tradnl" w:eastAsia="en-US"/>
        </w:rPr>
      </w:pPr>
      <w:r>
        <w:rPr>
          <w:rFonts w:ascii="Arial" w:eastAsia="Calibri" w:hAnsi="Arial" w:cs="Arial"/>
          <w:sz w:val="22"/>
          <w:szCs w:val="22"/>
          <w:lang w:val="es-ES_tradnl" w:eastAsia="en-US"/>
        </w:rPr>
        <w:t>Concretamente, p</w:t>
      </w:r>
      <w:r w:rsidR="0084749F" w:rsidRPr="001B73F5">
        <w:rPr>
          <w:rFonts w:ascii="Arial" w:eastAsia="Calibri" w:hAnsi="Arial" w:cs="Arial"/>
          <w:sz w:val="22"/>
          <w:szCs w:val="22"/>
          <w:lang w:val="es-ES_tradnl" w:eastAsia="en-US"/>
        </w:rPr>
        <w:t>ara la verificación de</w:t>
      </w:r>
      <w:r w:rsidR="009366F2">
        <w:rPr>
          <w:rFonts w:ascii="Arial" w:eastAsia="Calibri" w:hAnsi="Arial" w:cs="Arial"/>
          <w:sz w:val="22"/>
          <w:szCs w:val="22"/>
          <w:lang w:val="es-ES_tradnl" w:eastAsia="en-US"/>
        </w:rPr>
        <w:t xml:space="preserve">l contenido </w:t>
      </w:r>
      <w:r w:rsidR="0084749F" w:rsidRPr="001B73F5">
        <w:rPr>
          <w:rFonts w:ascii="Arial" w:eastAsia="Calibri" w:hAnsi="Arial" w:cs="Arial"/>
          <w:sz w:val="22"/>
          <w:szCs w:val="22"/>
          <w:lang w:val="es-ES_tradnl" w:eastAsia="en-US"/>
        </w:rPr>
        <w:t xml:space="preserve">de </w:t>
      </w:r>
      <w:r w:rsidR="0012256F">
        <w:rPr>
          <w:rFonts w:ascii="Arial" w:eastAsia="Calibri" w:hAnsi="Arial" w:cs="Arial"/>
          <w:sz w:val="22"/>
          <w:szCs w:val="22"/>
          <w:lang w:val="es-ES_tradnl" w:eastAsia="en-US"/>
        </w:rPr>
        <w:t>esta</w:t>
      </w:r>
      <w:r w:rsidR="0084749F" w:rsidRPr="001B73F5">
        <w:rPr>
          <w:rFonts w:ascii="Arial" w:eastAsia="Calibri" w:hAnsi="Arial" w:cs="Arial"/>
          <w:sz w:val="22"/>
          <w:szCs w:val="22"/>
          <w:lang w:val="es-ES_tradnl" w:eastAsia="en-US"/>
        </w:rPr>
        <w:t xml:space="preserve"> garantía</w:t>
      </w:r>
      <w:r w:rsidR="0084749F">
        <w:rPr>
          <w:rFonts w:ascii="Arial" w:eastAsia="Calibri" w:hAnsi="Arial" w:cs="Arial"/>
          <w:sz w:val="22"/>
          <w:szCs w:val="22"/>
          <w:lang w:val="es-ES_tradnl" w:eastAsia="en-US"/>
        </w:rPr>
        <w:t xml:space="preserve">, la entidad </w:t>
      </w:r>
      <w:r w:rsidR="005010A7">
        <w:rPr>
          <w:rFonts w:ascii="Arial" w:eastAsia="Calibri" w:hAnsi="Arial" w:cs="Arial"/>
          <w:sz w:val="22"/>
          <w:szCs w:val="22"/>
          <w:lang w:val="es-ES_tradnl" w:eastAsia="en-US"/>
        </w:rPr>
        <w:t xml:space="preserve">deberá revisar la </w:t>
      </w:r>
      <w:r w:rsidR="005010A7" w:rsidRPr="00EF52B1">
        <w:rPr>
          <w:rFonts w:ascii="Arial" w:eastAsiaTheme="minorHAnsi" w:hAnsi="Arial" w:cs="Arial"/>
          <w:color w:val="000000" w:themeColor="text1"/>
          <w:sz w:val="22"/>
          <w:szCs w:val="22"/>
          <w:lang w:eastAsia="en-US"/>
        </w:rPr>
        <w:t>validación del origen e integridad de los documentos que soporta</w:t>
      </w:r>
      <w:r w:rsidR="004A3597">
        <w:rPr>
          <w:rFonts w:ascii="Arial" w:eastAsiaTheme="minorHAnsi" w:hAnsi="Arial" w:cs="Arial"/>
          <w:color w:val="000000" w:themeColor="text1"/>
          <w:sz w:val="22"/>
          <w:szCs w:val="22"/>
          <w:lang w:eastAsia="en-US"/>
        </w:rPr>
        <w:t>n</w:t>
      </w:r>
      <w:r w:rsidR="005010A7" w:rsidRPr="00EF52B1">
        <w:rPr>
          <w:rFonts w:ascii="Arial" w:eastAsiaTheme="minorHAnsi" w:hAnsi="Arial" w:cs="Arial"/>
          <w:color w:val="000000" w:themeColor="text1"/>
          <w:sz w:val="22"/>
          <w:szCs w:val="22"/>
          <w:lang w:eastAsia="en-US"/>
        </w:rPr>
        <w:t xml:space="preserve"> la garantía</w:t>
      </w:r>
      <w:r w:rsidR="005010A7">
        <w:rPr>
          <w:rFonts w:ascii="Arial" w:eastAsiaTheme="minorHAnsi" w:hAnsi="Arial" w:cs="Arial"/>
          <w:color w:val="000000" w:themeColor="text1"/>
          <w:sz w:val="22"/>
          <w:szCs w:val="22"/>
          <w:lang w:eastAsia="en-US"/>
        </w:rPr>
        <w:t xml:space="preserve"> mediante los mecanismos que considere necesario y</w:t>
      </w:r>
      <w:r w:rsidR="001E4C62">
        <w:rPr>
          <w:rFonts w:ascii="Arial" w:eastAsiaTheme="minorHAnsi" w:hAnsi="Arial" w:cs="Arial"/>
          <w:color w:val="000000" w:themeColor="text1"/>
          <w:sz w:val="22"/>
          <w:szCs w:val="22"/>
          <w:lang w:eastAsia="en-US"/>
        </w:rPr>
        <w:t>,</w:t>
      </w:r>
      <w:r w:rsidR="005010A7">
        <w:rPr>
          <w:rFonts w:ascii="Arial" w:eastAsiaTheme="minorHAnsi" w:hAnsi="Arial" w:cs="Arial"/>
          <w:color w:val="000000" w:themeColor="text1"/>
          <w:sz w:val="22"/>
          <w:szCs w:val="22"/>
          <w:lang w:eastAsia="en-US"/>
        </w:rPr>
        <w:t xml:space="preserve"> en particular, los determinados </w:t>
      </w:r>
      <w:r w:rsidR="0084749F" w:rsidRPr="001B73F5">
        <w:rPr>
          <w:rFonts w:ascii="Arial" w:eastAsia="Calibri" w:hAnsi="Arial" w:cs="Arial"/>
          <w:sz w:val="22"/>
          <w:szCs w:val="22"/>
          <w:lang w:val="es-ES_tradnl" w:eastAsia="en-US"/>
        </w:rPr>
        <w:t>en la Circular Conjunta 001 de 2021</w:t>
      </w:r>
      <w:r>
        <w:rPr>
          <w:rFonts w:ascii="Arial" w:eastAsia="Calibri" w:hAnsi="Arial" w:cs="Arial"/>
          <w:sz w:val="22"/>
          <w:szCs w:val="22"/>
          <w:lang w:val="es-ES_tradnl" w:eastAsia="en-US"/>
        </w:rPr>
        <w:t>, conforme lo expuesto en el acápite anterior</w:t>
      </w:r>
      <w:r w:rsidR="001750D2">
        <w:rPr>
          <w:rFonts w:ascii="Arial" w:eastAsia="Calibri" w:hAnsi="Arial" w:cs="Arial"/>
          <w:sz w:val="22"/>
          <w:szCs w:val="22"/>
          <w:lang w:val="es-ES_tradnl" w:eastAsia="en-US"/>
        </w:rPr>
        <w:t xml:space="preserve">. </w:t>
      </w:r>
      <w:r w:rsidR="009366F2">
        <w:rPr>
          <w:rFonts w:ascii="Arial" w:eastAsia="Calibri" w:hAnsi="Arial" w:cs="Arial"/>
          <w:sz w:val="22"/>
          <w:szCs w:val="22"/>
          <w:lang w:val="es-ES_tradnl" w:eastAsia="en-US"/>
        </w:rPr>
        <w:t>De esta manera</w:t>
      </w:r>
      <w:r w:rsidR="009F1BC1" w:rsidRPr="001B73F5">
        <w:rPr>
          <w:rFonts w:ascii="Arial" w:eastAsia="Calibri" w:hAnsi="Arial" w:cs="Arial"/>
          <w:sz w:val="22"/>
          <w:szCs w:val="22"/>
          <w:lang w:val="es-ES_tradnl" w:eastAsia="en-US"/>
        </w:rPr>
        <w:t>,</w:t>
      </w:r>
      <w:r>
        <w:rPr>
          <w:rFonts w:ascii="Arial" w:eastAsia="Calibri" w:hAnsi="Arial" w:cs="Arial"/>
          <w:sz w:val="22"/>
          <w:szCs w:val="22"/>
          <w:lang w:val="es-ES_tradnl" w:eastAsia="en-US"/>
        </w:rPr>
        <w:t xml:space="preserve"> </w:t>
      </w:r>
      <w:r w:rsidR="004A3597">
        <w:rPr>
          <w:rFonts w:ascii="Arial" w:eastAsia="Calibri" w:hAnsi="Arial" w:cs="Arial"/>
          <w:sz w:val="22"/>
          <w:szCs w:val="22"/>
          <w:lang w:val="es-ES_tradnl" w:eastAsia="en-US"/>
        </w:rPr>
        <w:t>si</w:t>
      </w:r>
      <w:r w:rsidR="001750D2">
        <w:rPr>
          <w:rFonts w:ascii="Arial" w:eastAsia="Calibri" w:hAnsi="Arial" w:cs="Arial"/>
          <w:sz w:val="22"/>
          <w:szCs w:val="22"/>
          <w:lang w:val="es-ES_tradnl" w:eastAsia="en-US"/>
        </w:rPr>
        <w:t xml:space="preserve"> la garantía</w:t>
      </w:r>
      <w:r w:rsidR="001E4C62">
        <w:rPr>
          <w:rFonts w:ascii="Arial" w:eastAsia="Calibri" w:hAnsi="Arial" w:cs="Arial"/>
          <w:sz w:val="22"/>
          <w:szCs w:val="22"/>
          <w:lang w:val="es-ES_tradnl" w:eastAsia="en-US"/>
        </w:rPr>
        <w:t xml:space="preserve"> de seriedad de la oferta</w:t>
      </w:r>
      <w:r w:rsidR="001750D2">
        <w:rPr>
          <w:rFonts w:ascii="Arial" w:eastAsia="Calibri" w:hAnsi="Arial" w:cs="Arial"/>
          <w:sz w:val="22"/>
          <w:szCs w:val="22"/>
          <w:lang w:val="es-ES_tradnl" w:eastAsia="en-US"/>
        </w:rPr>
        <w:t xml:space="preserve"> cumpl</w:t>
      </w:r>
      <w:r w:rsidR="004A3597">
        <w:rPr>
          <w:rFonts w:ascii="Arial" w:eastAsia="Calibri" w:hAnsi="Arial" w:cs="Arial"/>
          <w:sz w:val="22"/>
          <w:szCs w:val="22"/>
          <w:lang w:val="es-ES_tradnl" w:eastAsia="en-US"/>
        </w:rPr>
        <w:t>e</w:t>
      </w:r>
      <w:r w:rsidR="001750D2">
        <w:rPr>
          <w:rFonts w:ascii="Arial" w:eastAsia="Calibri" w:hAnsi="Arial" w:cs="Arial"/>
          <w:sz w:val="22"/>
          <w:szCs w:val="22"/>
          <w:lang w:val="es-ES_tradnl" w:eastAsia="en-US"/>
        </w:rPr>
        <w:t xml:space="preserve"> con los requisitos exigidos en el pliego de condiciones</w:t>
      </w:r>
      <w:r w:rsidR="0012256F" w:rsidRPr="0012256F">
        <w:rPr>
          <w:rFonts w:ascii="Arial" w:eastAsia="Calibri" w:hAnsi="Arial" w:cs="Arial"/>
          <w:sz w:val="22"/>
          <w:szCs w:val="22"/>
          <w:lang w:val="es-ES" w:eastAsia="en-US"/>
        </w:rPr>
        <w:t xml:space="preserve"> </w:t>
      </w:r>
      <w:r w:rsidR="0012256F">
        <w:rPr>
          <w:rFonts w:ascii="Arial" w:eastAsia="Calibri" w:hAnsi="Arial" w:cs="Arial"/>
          <w:sz w:val="22"/>
          <w:szCs w:val="22"/>
          <w:lang w:val="es-ES" w:eastAsia="en-US"/>
        </w:rPr>
        <w:t>en cuanto a la cobertura, valor</w:t>
      </w:r>
      <w:r w:rsidR="00A40834">
        <w:rPr>
          <w:rFonts w:ascii="Arial" w:eastAsia="Calibri" w:hAnsi="Arial" w:cs="Arial"/>
          <w:sz w:val="22"/>
          <w:szCs w:val="22"/>
          <w:lang w:val="es-ES" w:eastAsia="en-US"/>
        </w:rPr>
        <w:t>,</w:t>
      </w:r>
      <w:r w:rsidR="0012256F">
        <w:rPr>
          <w:rFonts w:ascii="Arial" w:eastAsia="Calibri" w:hAnsi="Arial" w:cs="Arial"/>
          <w:sz w:val="22"/>
          <w:szCs w:val="22"/>
          <w:lang w:val="es-ES" w:eastAsia="en-US"/>
        </w:rPr>
        <w:t xml:space="preserve"> vigencia</w:t>
      </w:r>
      <w:r w:rsidR="00A40834">
        <w:rPr>
          <w:rFonts w:ascii="Arial" w:eastAsia="Calibri" w:hAnsi="Arial" w:cs="Arial"/>
          <w:sz w:val="22"/>
          <w:szCs w:val="22"/>
          <w:lang w:val="es-ES" w:eastAsia="en-US"/>
        </w:rPr>
        <w:t xml:space="preserve"> y se encuentra validado su origen</w:t>
      </w:r>
      <w:r w:rsidR="00FC610D">
        <w:rPr>
          <w:rFonts w:ascii="Arial" w:eastAsia="Calibri" w:hAnsi="Arial" w:cs="Arial"/>
          <w:sz w:val="22"/>
          <w:szCs w:val="22"/>
          <w:lang w:val="es-ES_tradnl" w:eastAsia="en-US"/>
        </w:rPr>
        <w:t xml:space="preserve">, </w:t>
      </w:r>
      <w:r w:rsidR="009F1BC1" w:rsidRPr="001B73F5">
        <w:rPr>
          <w:rFonts w:ascii="Arial" w:eastAsia="Calibri" w:hAnsi="Arial" w:cs="Arial"/>
          <w:sz w:val="22"/>
          <w:szCs w:val="22"/>
          <w:lang w:val="es-ES_tradnl" w:eastAsia="en-US"/>
        </w:rPr>
        <w:t xml:space="preserve">la entidad </w:t>
      </w:r>
      <w:r w:rsidR="00967BB7">
        <w:rPr>
          <w:rFonts w:ascii="Arial" w:eastAsia="Calibri" w:hAnsi="Arial" w:cs="Arial"/>
          <w:sz w:val="22"/>
          <w:szCs w:val="22"/>
          <w:lang w:val="es-ES_tradnl" w:eastAsia="en-US"/>
        </w:rPr>
        <w:t xml:space="preserve">habilitará la propuesta </w:t>
      </w:r>
      <w:r w:rsidR="001750D2">
        <w:rPr>
          <w:rFonts w:ascii="Arial" w:eastAsia="Calibri" w:hAnsi="Arial" w:cs="Arial"/>
          <w:sz w:val="22"/>
          <w:szCs w:val="22"/>
          <w:lang w:val="es-ES_tradnl" w:eastAsia="en-US"/>
        </w:rPr>
        <w:t xml:space="preserve">en el informe de evaluación </w:t>
      </w:r>
      <w:r w:rsidR="009F1BC1" w:rsidRPr="001B73F5">
        <w:rPr>
          <w:rFonts w:ascii="Arial" w:eastAsia="Calibri" w:hAnsi="Arial" w:cs="Arial"/>
          <w:sz w:val="22"/>
          <w:szCs w:val="22"/>
          <w:lang w:val="es-ES_tradnl" w:eastAsia="en-US"/>
        </w:rPr>
        <w:t xml:space="preserve">siempre que </w:t>
      </w:r>
      <w:r>
        <w:rPr>
          <w:rFonts w:ascii="Arial" w:eastAsia="Calibri" w:hAnsi="Arial" w:cs="Arial"/>
          <w:sz w:val="22"/>
          <w:szCs w:val="22"/>
          <w:lang w:val="es-ES_tradnl" w:eastAsia="en-US"/>
        </w:rPr>
        <w:t xml:space="preserve">ésta </w:t>
      </w:r>
      <w:r w:rsidR="009F1BC1" w:rsidRPr="001B73F5">
        <w:rPr>
          <w:rFonts w:ascii="Arial" w:eastAsia="Calibri" w:hAnsi="Arial" w:cs="Arial"/>
          <w:sz w:val="22"/>
          <w:szCs w:val="22"/>
          <w:lang w:val="es-ES_tradnl" w:eastAsia="en-US"/>
        </w:rPr>
        <w:t xml:space="preserve">cumpla con los demás requisitos habilitantes. </w:t>
      </w:r>
    </w:p>
    <w:p w14:paraId="6F6FBC13" w14:textId="01213DE2" w:rsidR="00AF5A3B" w:rsidRDefault="001B73F5" w:rsidP="005C62BD">
      <w:pPr>
        <w:spacing w:before="120" w:line="276" w:lineRule="auto"/>
        <w:ind w:firstLine="709"/>
        <w:jc w:val="both"/>
        <w:rPr>
          <w:rFonts w:ascii="Arial" w:eastAsia="Calibri" w:hAnsi="Arial" w:cs="Arial"/>
          <w:sz w:val="22"/>
          <w:szCs w:val="22"/>
          <w:lang w:val="es-ES_tradnl" w:eastAsia="en-US"/>
        </w:rPr>
      </w:pPr>
      <w:r w:rsidRPr="001B73F5">
        <w:rPr>
          <w:rFonts w:ascii="Arial" w:eastAsia="Calibri" w:hAnsi="Arial" w:cs="Arial"/>
          <w:sz w:val="22"/>
          <w:szCs w:val="22"/>
          <w:lang w:val="es-ES_tradnl" w:eastAsia="en-US"/>
        </w:rPr>
        <w:t>Así las cosas,</w:t>
      </w:r>
      <w:r w:rsidR="00ED28CC">
        <w:rPr>
          <w:rFonts w:ascii="Arial" w:eastAsia="Calibri" w:hAnsi="Arial" w:cs="Arial"/>
          <w:sz w:val="22"/>
          <w:szCs w:val="22"/>
          <w:lang w:val="es-ES_tradnl" w:eastAsia="en-US"/>
        </w:rPr>
        <w:t xml:space="preserve"> </w:t>
      </w:r>
      <w:r w:rsidR="004A3597">
        <w:rPr>
          <w:rFonts w:ascii="Arial" w:eastAsia="Calibri" w:hAnsi="Arial" w:cs="Arial"/>
          <w:sz w:val="22"/>
          <w:szCs w:val="22"/>
          <w:lang w:val="es-ES_tradnl" w:eastAsia="en-US"/>
        </w:rPr>
        <w:t xml:space="preserve">el proceso mediante el cual se verifica y se </w:t>
      </w:r>
      <w:r w:rsidR="00787669">
        <w:rPr>
          <w:rFonts w:ascii="Arial" w:eastAsia="Calibri" w:hAnsi="Arial" w:cs="Arial"/>
          <w:sz w:val="22"/>
          <w:szCs w:val="22"/>
          <w:lang w:val="es-ES_tradnl" w:eastAsia="en-US"/>
        </w:rPr>
        <w:t>“</w:t>
      </w:r>
      <w:r w:rsidR="0067308A">
        <w:rPr>
          <w:rFonts w:ascii="Arial" w:eastAsia="Calibri" w:hAnsi="Arial" w:cs="Arial"/>
          <w:sz w:val="22"/>
          <w:szCs w:val="22"/>
          <w:lang w:val="es-ES_tradnl" w:eastAsia="en-US"/>
        </w:rPr>
        <w:t>aprueba</w:t>
      </w:r>
      <w:r w:rsidR="00787669">
        <w:rPr>
          <w:rFonts w:ascii="Arial" w:eastAsia="Calibri" w:hAnsi="Arial" w:cs="Arial"/>
          <w:sz w:val="22"/>
          <w:szCs w:val="22"/>
          <w:lang w:val="es-ES_tradnl" w:eastAsia="en-US"/>
        </w:rPr>
        <w:t>”</w:t>
      </w:r>
      <w:r w:rsidR="004A3597">
        <w:rPr>
          <w:rFonts w:ascii="Arial" w:eastAsia="Calibri" w:hAnsi="Arial" w:cs="Arial"/>
          <w:sz w:val="22"/>
          <w:szCs w:val="22"/>
          <w:lang w:val="es-ES_tradnl" w:eastAsia="en-US"/>
        </w:rPr>
        <w:t xml:space="preserve"> el cumplimiento de la garantía de seriedad de la oferta se realiza en el marco del procedimiento de selección contractual que adelanta la entidad, concretamente en la evaluación de las ofertas, teniendo en cuenta las condiciones señaladas en el pliego de condiciones. </w:t>
      </w:r>
      <w:r w:rsidR="00362BCF">
        <w:rPr>
          <w:rFonts w:ascii="Arial" w:eastAsia="Calibri" w:hAnsi="Arial" w:cs="Arial"/>
          <w:sz w:val="22"/>
          <w:szCs w:val="22"/>
          <w:lang w:val="es-ES_tradnl" w:eastAsia="en-US"/>
        </w:rPr>
        <w:t>Sin embargo</w:t>
      </w:r>
      <w:r w:rsidR="00D57849">
        <w:rPr>
          <w:rFonts w:ascii="Arial" w:eastAsia="Calibri" w:hAnsi="Arial" w:cs="Arial"/>
          <w:sz w:val="22"/>
          <w:szCs w:val="22"/>
          <w:lang w:val="es-ES_tradnl" w:eastAsia="en-US"/>
        </w:rPr>
        <w:t xml:space="preserve">, se </w:t>
      </w:r>
      <w:r w:rsidR="005C62BD">
        <w:rPr>
          <w:rFonts w:ascii="Arial" w:eastAsia="Calibri" w:hAnsi="Arial" w:cs="Arial"/>
          <w:sz w:val="22"/>
          <w:szCs w:val="22"/>
          <w:lang w:val="es-ES_tradnl" w:eastAsia="en-US"/>
        </w:rPr>
        <w:t xml:space="preserve">precisa </w:t>
      </w:r>
      <w:r w:rsidR="00D57849">
        <w:rPr>
          <w:rFonts w:ascii="Arial" w:eastAsia="Calibri" w:hAnsi="Arial" w:cs="Arial"/>
          <w:sz w:val="22"/>
          <w:szCs w:val="22"/>
          <w:lang w:val="es-ES_tradnl" w:eastAsia="en-US"/>
        </w:rPr>
        <w:t>que</w:t>
      </w:r>
      <w:r w:rsidR="00362BCF">
        <w:rPr>
          <w:rFonts w:ascii="Arial" w:eastAsia="Calibri" w:hAnsi="Arial" w:cs="Arial"/>
          <w:sz w:val="22"/>
          <w:szCs w:val="22"/>
          <w:lang w:val="es-ES_tradnl" w:eastAsia="en-US"/>
        </w:rPr>
        <w:t xml:space="preserve"> </w:t>
      </w:r>
      <w:r w:rsidR="002F3D6B">
        <w:rPr>
          <w:rFonts w:ascii="Arial" w:eastAsia="Calibri" w:hAnsi="Arial" w:cs="Arial"/>
          <w:sz w:val="22"/>
          <w:szCs w:val="22"/>
          <w:lang w:val="es-ES_tradnl" w:eastAsia="en-US"/>
        </w:rPr>
        <w:t>este proceso</w:t>
      </w:r>
      <w:r w:rsidR="00362BCF">
        <w:rPr>
          <w:rFonts w:ascii="Arial" w:eastAsia="Calibri" w:hAnsi="Arial" w:cs="Arial"/>
          <w:sz w:val="22"/>
          <w:szCs w:val="22"/>
          <w:lang w:val="es-ES_tradnl" w:eastAsia="en-US"/>
        </w:rPr>
        <w:t xml:space="preserve"> d</w:t>
      </w:r>
      <w:r w:rsidR="00AF5A3B">
        <w:rPr>
          <w:rFonts w:ascii="Arial" w:eastAsia="Calibri" w:hAnsi="Arial" w:cs="Arial"/>
          <w:sz w:val="22"/>
          <w:szCs w:val="22"/>
          <w:lang w:val="es-ES_tradnl" w:eastAsia="en-US"/>
        </w:rPr>
        <w:t>e</w:t>
      </w:r>
      <w:r w:rsidR="00362BCF">
        <w:rPr>
          <w:rFonts w:ascii="Arial" w:eastAsia="Calibri" w:hAnsi="Arial" w:cs="Arial"/>
          <w:sz w:val="22"/>
          <w:szCs w:val="22"/>
          <w:lang w:val="es-ES_tradnl" w:eastAsia="en-US"/>
        </w:rPr>
        <w:t xml:space="preserve"> validación de la garantía de seriedad de la oferta</w:t>
      </w:r>
      <w:r w:rsidR="002F3D6B">
        <w:rPr>
          <w:rFonts w:ascii="Arial" w:eastAsia="Calibri" w:hAnsi="Arial" w:cs="Arial"/>
          <w:sz w:val="22"/>
          <w:szCs w:val="22"/>
          <w:lang w:val="es-ES_tradnl" w:eastAsia="en-US"/>
        </w:rPr>
        <w:t xml:space="preserve"> </w:t>
      </w:r>
      <w:r w:rsidR="00D57849">
        <w:rPr>
          <w:rFonts w:ascii="Arial" w:eastAsia="Calibri" w:hAnsi="Arial" w:cs="Arial"/>
          <w:sz w:val="22"/>
          <w:szCs w:val="22"/>
          <w:lang w:val="es-ES_tradnl" w:eastAsia="en-US"/>
        </w:rPr>
        <w:t>es distinto a</w:t>
      </w:r>
      <w:r w:rsidR="00AF5A3B">
        <w:rPr>
          <w:rFonts w:ascii="Arial" w:eastAsia="Calibri" w:hAnsi="Arial" w:cs="Arial"/>
          <w:sz w:val="22"/>
          <w:szCs w:val="22"/>
          <w:lang w:val="es-ES_tradnl" w:eastAsia="en-US"/>
        </w:rPr>
        <w:t>l procedimiento de</w:t>
      </w:r>
      <w:r w:rsidRPr="001B73F5">
        <w:rPr>
          <w:rFonts w:ascii="Arial" w:eastAsia="Calibri" w:hAnsi="Arial" w:cs="Arial"/>
          <w:sz w:val="22"/>
          <w:szCs w:val="22"/>
          <w:lang w:val="es-ES_tradnl" w:eastAsia="en-US"/>
        </w:rPr>
        <w:t xml:space="preserve"> aprobación</w:t>
      </w:r>
      <w:r w:rsidR="002F3D6B">
        <w:rPr>
          <w:rFonts w:ascii="Arial" w:eastAsia="Calibri" w:hAnsi="Arial" w:cs="Arial"/>
          <w:sz w:val="22"/>
          <w:szCs w:val="22"/>
          <w:lang w:val="es-ES_tradnl" w:eastAsia="en-US"/>
        </w:rPr>
        <w:t xml:space="preserve"> de garantías</w:t>
      </w:r>
      <w:r w:rsidRPr="001B73F5">
        <w:rPr>
          <w:rFonts w:ascii="Arial" w:eastAsia="Calibri" w:hAnsi="Arial" w:cs="Arial"/>
          <w:sz w:val="22"/>
          <w:szCs w:val="22"/>
          <w:lang w:val="es-ES_tradnl" w:eastAsia="en-US"/>
        </w:rPr>
        <w:t xml:space="preserve"> establecid</w:t>
      </w:r>
      <w:r w:rsidR="005156D4">
        <w:rPr>
          <w:rFonts w:ascii="Arial" w:eastAsia="Calibri" w:hAnsi="Arial" w:cs="Arial"/>
          <w:sz w:val="22"/>
          <w:szCs w:val="22"/>
          <w:lang w:val="es-ES_tradnl" w:eastAsia="en-US"/>
        </w:rPr>
        <w:t>o</w:t>
      </w:r>
      <w:r w:rsidRPr="001B73F5">
        <w:rPr>
          <w:rFonts w:ascii="Arial" w:eastAsia="Calibri" w:hAnsi="Arial" w:cs="Arial"/>
          <w:sz w:val="22"/>
          <w:szCs w:val="22"/>
          <w:lang w:val="es-ES_tradnl" w:eastAsia="en-US"/>
        </w:rPr>
        <w:t xml:space="preserve"> en el artículo 41 de la Ley 80 de 1993</w:t>
      </w:r>
      <w:r w:rsidR="005C62BD">
        <w:rPr>
          <w:rFonts w:ascii="Arial" w:eastAsia="Calibri" w:hAnsi="Arial" w:cs="Arial"/>
          <w:sz w:val="22"/>
          <w:szCs w:val="22"/>
          <w:lang w:val="es-ES_tradnl" w:eastAsia="en-US"/>
        </w:rPr>
        <w:t xml:space="preserve">. </w:t>
      </w:r>
      <w:r w:rsidR="00343198">
        <w:rPr>
          <w:rFonts w:ascii="Arial" w:eastAsia="Calibri" w:hAnsi="Arial" w:cs="Arial"/>
          <w:sz w:val="22"/>
          <w:szCs w:val="22"/>
          <w:lang w:val="es-ES_tradnl" w:eastAsia="en-US"/>
        </w:rPr>
        <w:t>E</w:t>
      </w:r>
      <w:r w:rsidRPr="001B73F5">
        <w:rPr>
          <w:rFonts w:ascii="Arial" w:eastAsia="Calibri" w:hAnsi="Arial" w:cs="Arial"/>
          <w:sz w:val="22"/>
          <w:szCs w:val="22"/>
          <w:lang w:val="es-ES_tradnl" w:eastAsia="en-US"/>
        </w:rPr>
        <w:t xml:space="preserve">sta norma se refiere a </w:t>
      </w:r>
      <w:r w:rsidR="002F3D6B">
        <w:rPr>
          <w:rFonts w:ascii="Arial" w:eastAsia="Calibri" w:hAnsi="Arial" w:cs="Arial"/>
          <w:sz w:val="22"/>
          <w:szCs w:val="22"/>
          <w:lang w:val="es-ES_tradnl" w:eastAsia="en-US"/>
        </w:rPr>
        <w:t xml:space="preserve">la aprobación de </w:t>
      </w:r>
      <w:r w:rsidRPr="001B73F5">
        <w:rPr>
          <w:rFonts w:ascii="Arial" w:eastAsia="Calibri" w:hAnsi="Arial" w:cs="Arial"/>
          <w:sz w:val="22"/>
          <w:szCs w:val="22"/>
          <w:lang w:val="es-ES_tradnl" w:eastAsia="en-US"/>
        </w:rPr>
        <w:t xml:space="preserve">las garantías </w:t>
      </w:r>
      <w:r w:rsidR="00AF5A3B" w:rsidRPr="00AF5A3B">
        <w:rPr>
          <w:rFonts w:ascii="Arial" w:eastAsia="Calibri" w:hAnsi="Arial" w:cs="Arial"/>
          <w:sz w:val="22"/>
          <w:szCs w:val="22"/>
          <w:lang w:eastAsia="en-US"/>
        </w:rPr>
        <w:t>contractuales</w:t>
      </w:r>
      <w:r w:rsidR="00AF5A3B" w:rsidRPr="00AF5A3B">
        <w:rPr>
          <w:rFonts w:ascii="Arial" w:eastAsia="Calibri" w:hAnsi="Arial" w:cs="Arial"/>
          <w:sz w:val="22"/>
          <w:szCs w:val="22"/>
          <w:lang w:val="es-ES_tradnl" w:eastAsia="en-US"/>
        </w:rPr>
        <w:t xml:space="preserve"> </w:t>
      </w:r>
      <w:r w:rsidR="00AF5A3B">
        <w:rPr>
          <w:rFonts w:ascii="Arial" w:eastAsia="Calibri" w:hAnsi="Arial" w:cs="Arial"/>
          <w:sz w:val="22"/>
          <w:szCs w:val="22"/>
          <w:lang w:val="es-ES_tradnl" w:eastAsia="en-US"/>
        </w:rPr>
        <w:t xml:space="preserve">como requisito </w:t>
      </w:r>
      <w:r w:rsidR="00AF5A3B">
        <w:rPr>
          <w:rFonts w:ascii="Arial" w:eastAsia="Calibri" w:hAnsi="Arial" w:cs="Arial"/>
          <w:sz w:val="22"/>
          <w:szCs w:val="22"/>
          <w:lang w:val="es-ES_tradnl" w:eastAsia="en-US"/>
        </w:rPr>
        <w:lastRenderedPageBreak/>
        <w:t>para la ejecución del contrato,</w:t>
      </w:r>
      <w:r w:rsidR="00AF5A3B">
        <w:rPr>
          <w:rFonts w:ascii="Arial" w:eastAsia="Calibri" w:hAnsi="Arial" w:cs="Arial"/>
          <w:sz w:val="22"/>
          <w:szCs w:val="22"/>
          <w:lang w:eastAsia="en-US"/>
        </w:rPr>
        <w:t xml:space="preserve"> garantías </w:t>
      </w:r>
      <w:r w:rsidR="00AF5A3B" w:rsidRPr="00AF5A3B">
        <w:rPr>
          <w:rFonts w:ascii="Arial" w:eastAsia="Calibri" w:hAnsi="Arial" w:cs="Arial"/>
          <w:sz w:val="22"/>
          <w:szCs w:val="22"/>
          <w:lang w:val="es-ES_tradnl" w:eastAsia="en-US"/>
        </w:rPr>
        <w:t>que cubren los riesgos asociados al contrato celebrado y a las obligaciones posteriores</w:t>
      </w:r>
      <w:r w:rsidR="00AF5A3B">
        <w:rPr>
          <w:rFonts w:ascii="Arial" w:eastAsia="Calibri" w:hAnsi="Arial" w:cs="Arial"/>
          <w:sz w:val="22"/>
          <w:szCs w:val="22"/>
          <w:lang w:val="es-ES_tradnl" w:eastAsia="en-US"/>
        </w:rPr>
        <w:t xml:space="preserve"> a este. Lo anterior, excluye </w:t>
      </w:r>
      <w:r w:rsidRPr="001B73F5">
        <w:rPr>
          <w:rFonts w:ascii="Arial" w:eastAsia="Calibri" w:hAnsi="Arial" w:cs="Arial"/>
          <w:sz w:val="22"/>
          <w:szCs w:val="22"/>
          <w:lang w:val="es-ES_tradnl" w:eastAsia="en-US"/>
        </w:rPr>
        <w:t xml:space="preserve">a la garantía de seriedad de la oferta, </w:t>
      </w:r>
      <w:r w:rsidR="00AF5A3B">
        <w:rPr>
          <w:rFonts w:ascii="Arial" w:eastAsia="Calibri" w:hAnsi="Arial" w:cs="Arial"/>
          <w:sz w:val="22"/>
          <w:szCs w:val="22"/>
          <w:lang w:val="es-ES_tradnl" w:eastAsia="en-US"/>
        </w:rPr>
        <w:t>cuya presentación se realiza junto con la propuesta siendo un requisito de participación en el proceso de selección, por lo que su verificación debe ocurrir con antelación a la celebración del contrato</w:t>
      </w:r>
      <w:r w:rsidR="00787669">
        <w:rPr>
          <w:rFonts w:ascii="Arial" w:eastAsia="Calibri" w:hAnsi="Arial" w:cs="Arial"/>
          <w:sz w:val="22"/>
          <w:szCs w:val="22"/>
          <w:lang w:val="es-ES_tradnl" w:eastAsia="en-US"/>
        </w:rPr>
        <w:t>, realizándose su verificación mediante la evaluación de las ofertas.</w:t>
      </w:r>
    </w:p>
    <w:p w14:paraId="5B9A3DD7" w14:textId="77777777" w:rsidR="00815A07" w:rsidRPr="00990BC7" w:rsidRDefault="00815A07" w:rsidP="00725F81">
      <w:pPr>
        <w:widowControl w:val="0"/>
        <w:autoSpaceDE w:val="0"/>
        <w:autoSpaceDN w:val="0"/>
        <w:spacing w:line="276" w:lineRule="auto"/>
        <w:jc w:val="both"/>
        <w:rPr>
          <w:rFonts w:ascii="Arial" w:eastAsia="Arial" w:hAnsi="Arial" w:cs="Arial"/>
          <w:sz w:val="22"/>
          <w:szCs w:val="22"/>
          <w:shd w:val="clear" w:color="auto" w:fill="FFFFFF"/>
          <w:lang w:val="es-ES" w:eastAsia="es-ES" w:bidi="es-ES"/>
        </w:rPr>
      </w:pPr>
    </w:p>
    <w:p w14:paraId="37CA9805" w14:textId="7D32B119" w:rsidR="00DD5B04" w:rsidRPr="00990BC7" w:rsidRDefault="004177A6" w:rsidP="00510DE9">
      <w:pPr>
        <w:tabs>
          <w:tab w:val="left" w:pos="0"/>
        </w:tabs>
        <w:jc w:val="both"/>
        <w:rPr>
          <w:rFonts w:ascii="Arial" w:eastAsia="Calibri" w:hAnsi="Arial" w:cs="Arial"/>
          <w:b/>
          <w:color w:val="000000" w:themeColor="text1"/>
          <w:sz w:val="22"/>
          <w:lang w:val="es-ES_tradnl"/>
        </w:rPr>
      </w:pPr>
      <w:r w:rsidRPr="00990BC7">
        <w:rPr>
          <w:rFonts w:ascii="Arial" w:eastAsia="Calibri" w:hAnsi="Arial" w:cs="Arial"/>
          <w:b/>
          <w:color w:val="000000" w:themeColor="text1"/>
          <w:sz w:val="22"/>
          <w:lang w:val="es-ES_tradnl"/>
        </w:rPr>
        <w:t>3</w:t>
      </w:r>
      <w:r w:rsidR="00B011A9" w:rsidRPr="00990BC7">
        <w:rPr>
          <w:rFonts w:ascii="Arial" w:eastAsia="Calibri" w:hAnsi="Arial" w:cs="Arial"/>
          <w:b/>
          <w:color w:val="000000" w:themeColor="text1"/>
          <w:sz w:val="22"/>
          <w:lang w:val="es-ES_tradnl"/>
        </w:rPr>
        <w:t xml:space="preserve">. </w:t>
      </w:r>
      <w:r w:rsidR="00DD5B04" w:rsidRPr="00990BC7">
        <w:rPr>
          <w:rFonts w:ascii="Arial" w:eastAsia="Calibri" w:hAnsi="Arial" w:cs="Arial"/>
          <w:b/>
          <w:color w:val="000000" w:themeColor="text1"/>
          <w:sz w:val="22"/>
          <w:lang w:val="es-ES_tradnl"/>
        </w:rPr>
        <w:t>Respuesta</w:t>
      </w:r>
    </w:p>
    <w:p w14:paraId="49375CFA" w14:textId="77777777" w:rsidR="00D633AC" w:rsidRPr="00990BC7" w:rsidRDefault="00D633AC" w:rsidP="00D633AC">
      <w:pPr>
        <w:spacing w:line="276" w:lineRule="auto"/>
        <w:jc w:val="both"/>
        <w:rPr>
          <w:rFonts w:ascii="Arial" w:hAnsi="Arial" w:cs="Arial"/>
          <w:color w:val="000000" w:themeColor="text1"/>
          <w:sz w:val="22"/>
          <w:lang w:val="es-ES_tradnl"/>
        </w:rPr>
      </w:pPr>
    </w:p>
    <w:p w14:paraId="21ABA9BA" w14:textId="519AF905" w:rsidR="009366F2" w:rsidRDefault="00EC346B" w:rsidP="009366F2">
      <w:pPr>
        <w:ind w:left="709" w:right="709"/>
        <w:jc w:val="both"/>
        <w:rPr>
          <w:rFonts w:ascii="Arial" w:hAnsi="Arial" w:cs="Arial"/>
          <w:bCs/>
          <w:color w:val="000000" w:themeColor="text1"/>
          <w:sz w:val="21"/>
          <w:szCs w:val="21"/>
        </w:rPr>
      </w:pPr>
      <w:r w:rsidRPr="00990BC7">
        <w:rPr>
          <w:rFonts w:ascii="Arial" w:hAnsi="Arial" w:cs="Arial"/>
          <w:color w:val="000000" w:themeColor="text1"/>
          <w:sz w:val="21"/>
          <w:szCs w:val="21"/>
          <w:lang w:val="es-ES_tradnl"/>
        </w:rPr>
        <w:t xml:space="preserve">i) </w:t>
      </w:r>
      <w:r w:rsidR="009366F2" w:rsidRPr="009366F2">
        <w:rPr>
          <w:rFonts w:ascii="Arial" w:hAnsi="Arial" w:cs="Arial"/>
          <w:color w:val="000000" w:themeColor="text1"/>
          <w:sz w:val="21"/>
          <w:szCs w:val="21"/>
          <w:lang w:val="es-ES_tradnl"/>
        </w:rPr>
        <w:t>«</w:t>
      </w:r>
      <w:r w:rsidR="009366F2" w:rsidRPr="009366F2">
        <w:rPr>
          <w:rFonts w:ascii="Arial" w:hAnsi="Arial" w:cs="Arial"/>
          <w:bCs/>
          <w:color w:val="000000" w:themeColor="text1"/>
          <w:sz w:val="21"/>
          <w:szCs w:val="21"/>
          <w:lang w:val="es-ES_tradnl"/>
        </w:rPr>
        <w:t>¿La garantía de la seriedad de la oferta debe ser aprobada por la entidad contratante?</w:t>
      </w:r>
      <w:r w:rsidR="009366F2" w:rsidRPr="009366F2">
        <w:rPr>
          <w:rFonts w:ascii="Arial" w:hAnsi="Arial" w:cs="Arial"/>
          <w:bCs/>
          <w:color w:val="000000" w:themeColor="text1"/>
          <w:sz w:val="21"/>
          <w:szCs w:val="21"/>
        </w:rPr>
        <w:t xml:space="preserve">»  </w:t>
      </w:r>
    </w:p>
    <w:p w14:paraId="0A515742" w14:textId="6D8D2317" w:rsidR="00AC0AF5" w:rsidRDefault="00AC0AF5" w:rsidP="00AC0AF5">
      <w:pPr>
        <w:ind w:right="709"/>
        <w:jc w:val="both"/>
        <w:rPr>
          <w:rFonts w:ascii="Arial" w:hAnsi="Arial" w:cs="Arial"/>
          <w:bCs/>
          <w:color w:val="000000" w:themeColor="text1"/>
          <w:sz w:val="21"/>
          <w:szCs w:val="21"/>
        </w:rPr>
      </w:pPr>
    </w:p>
    <w:p w14:paraId="65438110" w14:textId="11C9D93E" w:rsidR="005156D4" w:rsidRDefault="00593A95" w:rsidP="005156D4">
      <w:pPr>
        <w:spacing w:line="276" w:lineRule="auto"/>
        <w:ind w:right="51"/>
        <w:jc w:val="both"/>
        <w:rPr>
          <w:rFonts w:ascii="Arial" w:eastAsia="Calibri" w:hAnsi="Arial" w:cs="Arial"/>
          <w:sz w:val="22"/>
          <w:szCs w:val="22"/>
          <w:lang w:val="es-ES" w:eastAsia="en-US"/>
        </w:rPr>
      </w:pPr>
      <w:r>
        <w:rPr>
          <w:rFonts w:ascii="Arial" w:eastAsia="Calibri" w:hAnsi="Arial" w:cs="Arial"/>
          <w:sz w:val="22"/>
          <w:szCs w:val="22"/>
          <w:lang w:val="es-ES" w:eastAsia="en-US"/>
        </w:rPr>
        <w:t>La</w:t>
      </w:r>
      <w:r w:rsidRPr="004768A2">
        <w:rPr>
          <w:rFonts w:ascii="Arial" w:eastAsia="Calibri" w:hAnsi="Arial" w:cs="Arial"/>
          <w:sz w:val="22"/>
          <w:szCs w:val="22"/>
          <w:lang w:val="es-ES" w:eastAsia="en-US"/>
        </w:rPr>
        <w:t xml:space="preserve"> garantía</w:t>
      </w:r>
      <w:r>
        <w:rPr>
          <w:rFonts w:ascii="Arial" w:eastAsia="Calibri" w:hAnsi="Arial" w:cs="Arial"/>
          <w:sz w:val="22"/>
          <w:szCs w:val="22"/>
          <w:lang w:val="es-ES" w:eastAsia="en-US"/>
        </w:rPr>
        <w:t xml:space="preserve"> de seriedad de la oferta</w:t>
      </w:r>
      <w:r w:rsidRPr="004768A2">
        <w:rPr>
          <w:rFonts w:ascii="Arial" w:eastAsia="Calibri" w:hAnsi="Arial" w:cs="Arial"/>
          <w:sz w:val="22"/>
          <w:szCs w:val="22"/>
          <w:lang w:val="es-ES" w:eastAsia="en-US"/>
        </w:rPr>
        <w:t xml:space="preserve"> </w:t>
      </w:r>
      <w:r w:rsidR="000129FD">
        <w:rPr>
          <w:rFonts w:ascii="Arial" w:eastAsia="Calibri" w:hAnsi="Arial" w:cs="Arial"/>
          <w:sz w:val="22"/>
          <w:szCs w:val="22"/>
          <w:lang w:val="es-ES" w:eastAsia="en-US"/>
        </w:rPr>
        <w:t xml:space="preserve">implica </w:t>
      </w:r>
      <w:r w:rsidRPr="004768A2">
        <w:rPr>
          <w:rFonts w:ascii="Arial" w:eastAsia="Calibri" w:hAnsi="Arial" w:cs="Arial"/>
          <w:sz w:val="22"/>
          <w:szCs w:val="22"/>
          <w:lang w:val="es-ES" w:eastAsia="en-US"/>
        </w:rPr>
        <w:t>una caución provisional que avala la propuesta y es una garantía precontractual –y parcialmente contractual– destinada a asegurar la suscripción del acuerdo, entre otras obligaciones</w:t>
      </w:r>
      <w:r>
        <w:rPr>
          <w:rFonts w:ascii="Arial" w:eastAsia="Calibri" w:hAnsi="Arial" w:cs="Arial"/>
          <w:sz w:val="22"/>
          <w:szCs w:val="22"/>
          <w:lang w:val="es-ES" w:eastAsia="en-US"/>
        </w:rPr>
        <w:t>.</w:t>
      </w:r>
      <w:r w:rsidR="000129FD" w:rsidRPr="000129FD">
        <w:rPr>
          <w:rFonts w:ascii="Arial" w:eastAsia="Calibri" w:hAnsi="Arial" w:cs="Arial"/>
          <w:sz w:val="22"/>
          <w:szCs w:val="22"/>
          <w:lang w:val="es-ES" w:eastAsia="en-US"/>
        </w:rPr>
        <w:t xml:space="preserve"> </w:t>
      </w:r>
      <w:r w:rsidR="000129FD" w:rsidRPr="00F226F3">
        <w:rPr>
          <w:rFonts w:ascii="Arial" w:eastAsia="Calibri" w:hAnsi="Arial" w:cs="Arial"/>
          <w:sz w:val="22"/>
          <w:szCs w:val="22"/>
          <w:lang w:val="es-ES" w:eastAsia="en-US"/>
        </w:rPr>
        <w:t xml:space="preserve">Esta puede otorgarse a través de: i) un contrato de seguro contenido en una póliza, ii) la constitución de un patrimonio autónomo, o iii) una garantía bancaria. </w:t>
      </w:r>
      <w:r w:rsidR="005156D4">
        <w:rPr>
          <w:rFonts w:ascii="Arial" w:eastAsia="Calibri" w:hAnsi="Arial" w:cs="Arial"/>
          <w:sz w:val="22"/>
          <w:szCs w:val="22"/>
          <w:lang w:val="es-ES" w:eastAsia="en-US"/>
        </w:rPr>
        <w:t xml:space="preserve">Ademas, </w:t>
      </w:r>
      <w:r w:rsidR="000129FD" w:rsidRPr="00F226F3">
        <w:rPr>
          <w:rFonts w:ascii="Arial" w:eastAsia="Calibri" w:hAnsi="Arial" w:cs="Arial"/>
          <w:sz w:val="22"/>
          <w:szCs w:val="22"/>
          <w:lang w:val="es-ES" w:eastAsia="en-US"/>
        </w:rPr>
        <w:t>debe estar vigente desde la presentación de la oferta y hasta la aprobación de la garantía de cumplimiento del contrato y su valor debe ser de por lo menos el diez por ciento (10%) del valor de la oferta</w:t>
      </w:r>
      <w:r w:rsidR="000129FD">
        <w:rPr>
          <w:rFonts w:ascii="Arial" w:eastAsia="Calibri" w:hAnsi="Arial" w:cs="Arial"/>
          <w:sz w:val="22"/>
          <w:szCs w:val="22"/>
          <w:lang w:val="es-ES" w:eastAsia="en-US"/>
        </w:rPr>
        <w:t xml:space="preserve">. </w:t>
      </w:r>
    </w:p>
    <w:p w14:paraId="6C1AEE00" w14:textId="2BD1AC6A" w:rsidR="000129FD" w:rsidRPr="005156D4" w:rsidRDefault="005156D4" w:rsidP="005156D4">
      <w:pPr>
        <w:spacing w:before="120" w:line="276" w:lineRule="auto"/>
        <w:ind w:right="51" w:firstLine="709"/>
        <w:jc w:val="both"/>
        <w:rPr>
          <w:rFonts w:ascii="Arial" w:eastAsia="Calibri" w:hAnsi="Arial" w:cs="Arial"/>
          <w:sz w:val="22"/>
          <w:szCs w:val="22"/>
          <w:lang w:val="es-ES" w:eastAsia="en-US"/>
        </w:rPr>
      </w:pPr>
      <w:r>
        <w:rPr>
          <w:rFonts w:ascii="Arial" w:eastAsia="Calibri" w:hAnsi="Arial" w:cs="Arial"/>
          <w:sz w:val="22"/>
          <w:szCs w:val="22"/>
          <w:lang w:val="es-ES" w:eastAsia="en-US"/>
        </w:rPr>
        <w:t>C</w:t>
      </w:r>
      <w:r w:rsidR="000129FD" w:rsidRPr="000129FD">
        <w:rPr>
          <w:rFonts w:ascii="Arial" w:eastAsia="Calibri" w:hAnsi="Arial" w:cs="Arial"/>
          <w:sz w:val="22"/>
          <w:szCs w:val="22"/>
          <w:lang w:val="es-ES" w:eastAsia="en-US"/>
        </w:rPr>
        <w:t xml:space="preserve">onforme con </w:t>
      </w:r>
      <w:r w:rsidR="000129FD" w:rsidRPr="00B6044E">
        <w:rPr>
          <w:rFonts w:ascii="Arial" w:eastAsia="Calibri" w:hAnsi="Arial" w:cs="Arial"/>
          <w:sz w:val="22"/>
          <w:szCs w:val="22"/>
          <w:lang w:val="es-ES" w:eastAsia="en-US"/>
        </w:rPr>
        <w:t>el parágrafo 3 del artículo 5 de la Ley 1150 de 2007, adicionado por el artículo 5 de la Ley 1882 de 2018</w:t>
      </w:r>
      <w:r w:rsidR="000129FD" w:rsidRPr="000129FD">
        <w:rPr>
          <w:rFonts w:ascii="Arial" w:eastAsia="Calibri" w:hAnsi="Arial" w:cs="Arial"/>
          <w:sz w:val="22"/>
          <w:szCs w:val="22"/>
          <w:lang w:val="es-ES" w:eastAsia="en-US"/>
        </w:rPr>
        <w:t xml:space="preserve">, </w:t>
      </w:r>
      <w:r w:rsidR="000129FD" w:rsidRPr="00B6044E">
        <w:rPr>
          <w:rFonts w:ascii="Arial" w:eastAsia="Calibri" w:hAnsi="Arial" w:cs="Arial"/>
          <w:sz w:val="22"/>
          <w:szCs w:val="22"/>
          <w:lang w:val="es-ES" w:eastAsia="en-US"/>
        </w:rPr>
        <w:t xml:space="preserve">la «no entrega de la garantía de seriedad junto con la propuesta no será subsanable y será causal de rechazo de </w:t>
      </w:r>
      <w:proofErr w:type="gramStart"/>
      <w:r w:rsidR="000129FD" w:rsidRPr="00B6044E">
        <w:rPr>
          <w:rFonts w:ascii="Arial" w:eastAsia="Calibri" w:hAnsi="Arial" w:cs="Arial"/>
          <w:sz w:val="22"/>
          <w:szCs w:val="22"/>
          <w:lang w:val="es-ES" w:eastAsia="en-US"/>
        </w:rPr>
        <w:t>la misma</w:t>
      </w:r>
      <w:proofErr w:type="gramEnd"/>
      <w:r w:rsidR="000129FD" w:rsidRPr="00B6044E">
        <w:rPr>
          <w:rFonts w:ascii="Arial" w:eastAsia="Calibri" w:hAnsi="Arial" w:cs="Arial"/>
          <w:sz w:val="22"/>
          <w:szCs w:val="22"/>
          <w:lang w:val="es-ES" w:eastAsia="en-US"/>
        </w:rPr>
        <w:t>»</w:t>
      </w:r>
      <w:r w:rsidR="000129FD" w:rsidRPr="000129FD">
        <w:rPr>
          <w:rFonts w:ascii="Arial" w:eastAsia="Calibri" w:hAnsi="Arial" w:cs="Arial"/>
          <w:sz w:val="22"/>
          <w:szCs w:val="22"/>
          <w:lang w:val="es-ES" w:eastAsia="en-US"/>
        </w:rPr>
        <w:t xml:space="preserve">, </w:t>
      </w:r>
      <w:r w:rsidR="000129FD" w:rsidRPr="000129FD">
        <w:rPr>
          <w:rFonts w:ascii="Arial" w:eastAsia="Calibri" w:hAnsi="Arial" w:cs="Arial"/>
          <w:sz w:val="22"/>
          <w:szCs w:val="22"/>
          <w:lang w:val="es-ES_tradnl" w:eastAsia="en-US"/>
        </w:rPr>
        <w:t>dejando claro que se trata de un documento de obligatoria presentación junto con la propuesta y que materializa los principios de seriedad e irrevocabilidad de la oferta</w:t>
      </w:r>
      <w:r w:rsidR="000129FD">
        <w:rPr>
          <w:rFonts w:ascii="Arial" w:eastAsia="Calibri" w:hAnsi="Arial" w:cs="Arial"/>
          <w:sz w:val="22"/>
          <w:szCs w:val="22"/>
          <w:lang w:val="es-ES_tradnl" w:eastAsia="en-US"/>
        </w:rPr>
        <w:t xml:space="preserve">. </w:t>
      </w:r>
    </w:p>
    <w:p w14:paraId="4A8C85AA" w14:textId="734FB601" w:rsidR="00343198" w:rsidRPr="001750D2" w:rsidRDefault="00343198" w:rsidP="008A2C16">
      <w:pPr>
        <w:spacing w:before="120" w:line="276" w:lineRule="auto"/>
        <w:ind w:firstLine="709"/>
        <w:jc w:val="both"/>
        <w:rPr>
          <w:rFonts w:ascii="Arial" w:eastAsia="Calibri" w:hAnsi="Arial" w:cs="Arial"/>
          <w:sz w:val="22"/>
          <w:szCs w:val="22"/>
          <w:lang w:val="es-ES_tradnl" w:eastAsia="en-US"/>
        </w:rPr>
      </w:pPr>
      <w:r>
        <w:rPr>
          <w:rFonts w:ascii="Arial" w:eastAsia="Calibri" w:hAnsi="Arial" w:cs="Arial"/>
          <w:sz w:val="22"/>
          <w:szCs w:val="22"/>
          <w:lang w:val="es-ES" w:eastAsia="en-US"/>
        </w:rPr>
        <w:t>En atención a lo anterior</w:t>
      </w:r>
      <w:r w:rsidR="000129FD">
        <w:rPr>
          <w:rFonts w:ascii="Arial" w:eastAsia="Calibri" w:hAnsi="Arial" w:cs="Arial"/>
          <w:sz w:val="22"/>
          <w:szCs w:val="22"/>
          <w:lang w:val="es-ES" w:eastAsia="en-US"/>
        </w:rPr>
        <w:t xml:space="preserve">, </w:t>
      </w:r>
      <w:r>
        <w:rPr>
          <w:rFonts w:ascii="Arial" w:eastAsia="Calibri" w:hAnsi="Arial" w:cs="Arial"/>
          <w:sz w:val="22"/>
          <w:szCs w:val="22"/>
          <w:lang w:val="es-ES" w:eastAsia="en-US"/>
        </w:rPr>
        <w:t>en la etapa de evaluación de las ofertas determinada en cada proceso de selección, la entidad deberá verificar que el proponente cumple con la garantía de seriedad presentada de acuerdo con las exigencias del pliego de condiciones.</w:t>
      </w:r>
      <w:r w:rsidRPr="0084749F">
        <w:rPr>
          <w:rFonts w:ascii="Arial" w:eastAsia="Calibri" w:hAnsi="Arial" w:cs="Arial"/>
          <w:sz w:val="22"/>
          <w:szCs w:val="22"/>
          <w:lang w:val="es-ES_tradnl" w:eastAsia="en-US"/>
        </w:rPr>
        <w:t xml:space="preserve"> </w:t>
      </w:r>
      <w:r w:rsidRPr="001B73F5">
        <w:rPr>
          <w:rFonts w:ascii="Arial" w:eastAsia="Calibri" w:hAnsi="Arial" w:cs="Arial"/>
          <w:sz w:val="22"/>
          <w:szCs w:val="22"/>
          <w:lang w:val="es-ES_tradnl" w:eastAsia="en-US"/>
        </w:rPr>
        <w:t>Para la verificación de</w:t>
      </w:r>
      <w:r>
        <w:rPr>
          <w:rFonts w:ascii="Arial" w:eastAsia="Calibri" w:hAnsi="Arial" w:cs="Arial"/>
          <w:sz w:val="22"/>
          <w:szCs w:val="22"/>
          <w:lang w:val="es-ES_tradnl" w:eastAsia="en-US"/>
        </w:rPr>
        <w:t xml:space="preserve">l contenido </w:t>
      </w:r>
      <w:r w:rsidRPr="001B73F5">
        <w:rPr>
          <w:rFonts w:ascii="Arial" w:eastAsia="Calibri" w:hAnsi="Arial" w:cs="Arial"/>
          <w:sz w:val="22"/>
          <w:szCs w:val="22"/>
          <w:lang w:val="es-ES_tradnl" w:eastAsia="en-US"/>
        </w:rPr>
        <w:t>de esta garantía</w:t>
      </w:r>
      <w:r>
        <w:rPr>
          <w:rFonts w:ascii="Arial" w:eastAsia="Calibri" w:hAnsi="Arial" w:cs="Arial"/>
          <w:sz w:val="22"/>
          <w:szCs w:val="22"/>
          <w:lang w:val="es-ES_tradnl" w:eastAsia="en-US"/>
        </w:rPr>
        <w:t xml:space="preserve">, como se expuso </w:t>
      </w:r>
      <w:r w:rsidR="005037CF">
        <w:rPr>
          <w:rFonts w:ascii="Arial" w:eastAsia="Calibri" w:hAnsi="Arial" w:cs="Arial"/>
          <w:sz w:val="22"/>
          <w:szCs w:val="22"/>
          <w:lang w:val="es-ES_tradnl" w:eastAsia="en-US"/>
        </w:rPr>
        <w:t>en este concepto</w:t>
      </w:r>
      <w:r>
        <w:rPr>
          <w:rFonts w:ascii="Arial" w:eastAsia="Calibri" w:hAnsi="Arial" w:cs="Arial"/>
          <w:sz w:val="22"/>
          <w:szCs w:val="22"/>
          <w:lang w:val="es-ES_tradnl" w:eastAsia="en-US"/>
        </w:rPr>
        <w:t xml:space="preserve">, la entidad deberá revisar la </w:t>
      </w:r>
      <w:r w:rsidRPr="00EF52B1">
        <w:rPr>
          <w:rFonts w:ascii="Arial" w:eastAsiaTheme="minorHAnsi" w:hAnsi="Arial" w:cs="Arial"/>
          <w:color w:val="000000" w:themeColor="text1"/>
          <w:sz w:val="22"/>
          <w:szCs w:val="22"/>
          <w:lang w:eastAsia="en-US"/>
        </w:rPr>
        <w:t>validación del origen e integridad de los documentos que soporta</w:t>
      </w:r>
      <w:r>
        <w:rPr>
          <w:rFonts w:ascii="Arial" w:eastAsiaTheme="minorHAnsi" w:hAnsi="Arial" w:cs="Arial"/>
          <w:color w:val="000000" w:themeColor="text1"/>
          <w:sz w:val="22"/>
          <w:szCs w:val="22"/>
          <w:lang w:eastAsia="en-US"/>
        </w:rPr>
        <w:t>n</w:t>
      </w:r>
      <w:r w:rsidRPr="00EF52B1">
        <w:rPr>
          <w:rFonts w:ascii="Arial" w:eastAsiaTheme="minorHAnsi" w:hAnsi="Arial" w:cs="Arial"/>
          <w:color w:val="000000" w:themeColor="text1"/>
          <w:sz w:val="22"/>
          <w:szCs w:val="22"/>
          <w:lang w:eastAsia="en-US"/>
        </w:rPr>
        <w:t xml:space="preserve"> la garantía</w:t>
      </w:r>
      <w:r>
        <w:rPr>
          <w:rFonts w:ascii="Arial" w:eastAsiaTheme="minorHAnsi" w:hAnsi="Arial" w:cs="Arial"/>
          <w:color w:val="000000" w:themeColor="text1"/>
          <w:sz w:val="22"/>
          <w:szCs w:val="22"/>
          <w:lang w:eastAsia="en-US"/>
        </w:rPr>
        <w:t xml:space="preserve"> mediante los mecanismos que considere necesario y, en particular, los determinados </w:t>
      </w:r>
      <w:r w:rsidRPr="001B73F5">
        <w:rPr>
          <w:rFonts w:ascii="Arial" w:eastAsia="Calibri" w:hAnsi="Arial" w:cs="Arial"/>
          <w:sz w:val="22"/>
          <w:szCs w:val="22"/>
          <w:lang w:val="es-ES_tradnl" w:eastAsia="en-US"/>
        </w:rPr>
        <w:t>en la Circular Conjunta 001 de 2021</w:t>
      </w:r>
      <w:r>
        <w:rPr>
          <w:rFonts w:ascii="Arial" w:eastAsia="Calibri" w:hAnsi="Arial" w:cs="Arial"/>
          <w:sz w:val="22"/>
          <w:szCs w:val="22"/>
          <w:lang w:val="es-ES_tradnl" w:eastAsia="en-US"/>
        </w:rPr>
        <w:t>. De esta manera</w:t>
      </w:r>
      <w:r w:rsidRPr="001B73F5">
        <w:rPr>
          <w:rFonts w:ascii="Arial" w:eastAsia="Calibri" w:hAnsi="Arial" w:cs="Arial"/>
          <w:sz w:val="22"/>
          <w:szCs w:val="22"/>
          <w:lang w:val="es-ES_tradnl" w:eastAsia="en-US"/>
        </w:rPr>
        <w:t xml:space="preserve">, </w:t>
      </w:r>
      <w:r w:rsidR="008A2C16">
        <w:rPr>
          <w:rFonts w:ascii="Arial" w:eastAsia="Calibri" w:hAnsi="Arial" w:cs="Arial"/>
          <w:sz w:val="22"/>
          <w:szCs w:val="22"/>
          <w:lang w:val="es-ES_tradnl" w:eastAsia="en-US"/>
        </w:rPr>
        <w:t>si la garantía de seriedad de la oferta cumple con los requisitos exigidos en el pliego de condiciones</w:t>
      </w:r>
      <w:r w:rsidR="008A2C16" w:rsidRPr="0012256F">
        <w:rPr>
          <w:rFonts w:ascii="Arial" w:eastAsia="Calibri" w:hAnsi="Arial" w:cs="Arial"/>
          <w:sz w:val="22"/>
          <w:szCs w:val="22"/>
          <w:lang w:val="es-ES" w:eastAsia="en-US"/>
        </w:rPr>
        <w:t xml:space="preserve"> </w:t>
      </w:r>
      <w:r w:rsidR="008A2C16">
        <w:rPr>
          <w:rFonts w:ascii="Arial" w:eastAsia="Calibri" w:hAnsi="Arial" w:cs="Arial"/>
          <w:sz w:val="22"/>
          <w:szCs w:val="22"/>
          <w:lang w:val="es-ES" w:eastAsia="en-US"/>
        </w:rPr>
        <w:t>en cuanto a la cobertura, valor, vigencia y se encuentra validad</w:t>
      </w:r>
      <w:r w:rsidR="004754B6">
        <w:rPr>
          <w:rFonts w:ascii="Arial" w:eastAsia="Calibri" w:hAnsi="Arial" w:cs="Arial"/>
          <w:sz w:val="22"/>
          <w:szCs w:val="22"/>
          <w:lang w:val="es-ES" w:eastAsia="en-US"/>
        </w:rPr>
        <w:t>o</w:t>
      </w:r>
      <w:r w:rsidR="008A2C16">
        <w:rPr>
          <w:rFonts w:ascii="Arial" w:eastAsia="Calibri" w:hAnsi="Arial" w:cs="Arial"/>
          <w:sz w:val="22"/>
          <w:szCs w:val="22"/>
          <w:lang w:val="es-ES" w:eastAsia="en-US"/>
        </w:rPr>
        <w:t xml:space="preserve"> su origen</w:t>
      </w:r>
      <w:r w:rsidR="008A2C16">
        <w:rPr>
          <w:rFonts w:ascii="Arial" w:eastAsia="Calibri" w:hAnsi="Arial" w:cs="Arial"/>
          <w:sz w:val="22"/>
          <w:szCs w:val="22"/>
          <w:lang w:val="es-ES_tradnl" w:eastAsia="en-US"/>
        </w:rPr>
        <w:t xml:space="preserve">, </w:t>
      </w:r>
      <w:r w:rsidR="008A2C16" w:rsidRPr="001B73F5">
        <w:rPr>
          <w:rFonts w:ascii="Arial" w:eastAsia="Calibri" w:hAnsi="Arial" w:cs="Arial"/>
          <w:sz w:val="22"/>
          <w:szCs w:val="22"/>
          <w:lang w:val="es-ES_tradnl" w:eastAsia="en-US"/>
        </w:rPr>
        <w:t xml:space="preserve">la entidad </w:t>
      </w:r>
      <w:r w:rsidR="008A2C16">
        <w:rPr>
          <w:rFonts w:ascii="Arial" w:eastAsia="Calibri" w:hAnsi="Arial" w:cs="Arial"/>
          <w:sz w:val="22"/>
          <w:szCs w:val="22"/>
          <w:lang w:val="es-ES_tradnl" w:eastAsia="en-US"/>
        </w:rPr>
        <w:t xml:space="preserve">habilitará la propuesta en el informe de evaluación </w:t>
      </w:r>
      <w:r w:rsidR="008A2C16" w:rsidRPr="001B73F5">
        <w:rPr>
          <w:rFonts w:ascii="Arial" w:eastAsia="Calibri" w:hAnsi="Arial" w:cs="Arial"/>
          <w:sz w:val="22"/>
          <w:szCs w:val="22"/>
          <w:lang w:val="es-ES_tradnl" w:eastAsia="en-US"/>
        </w:rPr>
        <w:t xml:space="preserve">siempre que </w:t>
      </w:r>
      <w:r w:rsidR="008A2C16">
        <w:rPr>
          <w:rFonts w:ascii="Arial" w:eastAsia="Calibri" w:hAnsi="Arial" w:cs="Arial"/>
          <w:sz w:val="22"/>
          <w:szCs w:val="22"/>
          <w:lang w:val="es-ES_tradnl" w:eastAsia="en-US"/>
        </w:rPr>
        <w:t xml:space="preserve">ésta </w:t>
      </w:r>
      <w:r w:rsidR="008A2C16" w:rsidRPr="001B73F5">
        <w:rPr>
          <w:rFonts w:ascii="Arial" w:eastAsia="Calibri" w:hAnsi="Arial" w:cs="Arial"/>
          <w:sz w:val="22"/>
          <w:szCs w:val="22"/>
          <w:lang w:val="es-ES_tradnl" w:eastAsia="en-US"/>
        </w:rPr>
        <w:t xml:space="preserve">cumpla con los demás requisitos habilitantes. </w:t>
      </w:r>
    </w:p>
    <w:p w14:paraId="638A28AE" w14:textId="54063954" w:rsidR="00343198" w:rsidRDefault="00343198" w:rsidP="00343198">
      <w:pPr>
        <w:spacing w:before="120" w:line="276" w:lineRule="auto"/>
        <w:ind w:firstLine="709"/>
        <w:jc w:val="both"/>
        <w:rPr>
          <w:rFonts w:ascii="Arial" w:eastAsia="Calibri" w:hAnsi="Arial" w:cs="Arial"/>
          <w:sz w:val="22"/>
          <w:szCs w:val="22"/>
          <w:lang w:val="es-ES_tradnl" w:eastAsia="en-US"/>
        </w:rPr>
      </w:pPr>
      <w:r>
        <w:rPr>
          <w:rFonts w:ascii="Arial" w:eastAsia="Calibri" w:hAnsi="Arial" w:cs="Arial"/>
          <w:sz w:val="22"/>
          <w:szCs w:val="22"/>
          <w:lang w:val="es-ES_tradnl" w:eastAsia="en-US"/>
        </w:rPr>
        <w:t>Sin embargo, se precisa que este proceso de validación</w:t>
      </w:r>
      <w:r w:rsidR="00AA61CB">
        <w:rPr>
          <w:rFonts w:ascii="Arial" w:eastAsia="Calibri" w:hAnsi="Arial" w:cs="Arial"/>
          <w:sz w:val="22"/>
          <w:szCs w:val="22"/>
          <w:lang w:val="es-ES_tradnl" w:eastAsia="en-US"/>
        </w:rPr>
        <w:t xml:space="preserve"> </w:t>
      </w:r>
      <w:r>
        <w:rPr>
          <w:rFonts w:ascii="Arial" w:eastAsia="Calibri" w:hAnsi="Arial" w:cs="Arial"/>
          <w:sz w:val="22"/>
          <w:szCs w:val="22"/>
          <w:lang w:val="es-ES_tradnl" w:eastAsia="en-US"/>
        </w:rPr>
        <w:t>de la garantía de seriedad de la oferta es distinto al procedimiento de</w:t>
      </w:r>
      <w:r w:rsidRPr="001B73F5">
        <w:rPr>
          <w:rFonts w:ascii="Arial" w:eastAsia="Calibri" w:hAnsi="Arial" w:cs="Arial"/>
          <w:sz w:val="22"/>
          <w:szCs w:val="22"/>
          <w:lang w:val="es-ES_tradnl" w:eastAsia="en-US"/>
        </w:rPr>
        <w:t xml:space="preserve"> aprobación</w:t>
      </w:r>
      <w:r>
        <w:rPr>
          <w:rFonts w:ascii="Arial" w:eastAsia="Calibri" w:hAnsi="Arial" w:cs="Arial"/>
          <w:sz w:val="22"/>
          <w:szCs w:val="22"/>
          <w:lang w:val="es-ES_tradnl" w:eastAsia="en-US"/>
        </w:rPr>
        <w:t xml:space="preserve"> de garantías</w:t>
      </w:r>
      <w:r w:rsidRPr="001B73F5">
        <w:rPr>
          <w:rFonts w:ascii="Arial" w:eastAsia="Calibri" w:hAnsi="Arial" w:cs="Arial"/>
          <w:sz w:val="22"/>
          <w:szCs w:val="22"/>
          <w:lang w:val="es-ES_tradnl" w:eastAsia="en-US"/>
        </w:rPr>
        <w:t xml:space="preserve"> establecid</w:t>
      </w:r>
      <w:r>
        <w:rPr>
          <w:rFonts w:ascii="Arial" w:eastAsia="Calibri" w:hAnsi="Arial" w:cs="Arial"/>
          <w:sz w:val="22"/>
          <w:szCs w:val="22"/>
          <w:lang w:val="es-ES_tradnl" w:eastAsia="en-US"/>
        </w:rPr>
        <w:t>o</w:t>
      </w:r>
      <w:r w:rsidRPr="001B73F5">
        <w:rPr>
          <w:rFonts w:ascii="Arial" w:eastAsia="Calibri" w:hAnsi="Arial" w:cs="Arial"/>
          <w:sz w:val="22"/>
          <w:szCs w:val="22"/>
          <w:lang w:val="es-ES_tradnl" w:eastAsia="en-US"/>
        </w:rPr>
        <w:t xml:space="preserve"> en el artículo 41 de la Ley 80 de 1993</w:t>
      </w:r>
      <w:r>
        <w:rPr>
          <w:rFonts w:ascii="Arial" w:eastAsia="Calibri" w:hAnsi="Arial" w:cs="Arial"/>
          <w:sz w:val="22"/>
          <w:szCs w:val="22"/>
          <w:lang w:val="es-ES_tradnl" w:eastAsia="en-US"/>
        </w:rPr>
        <w:t>. E</w:t>
      </w:r>
      <w:r w:rsidRPr="001B73F5">
        <w:rPr>
          <w:rFonts w:ascii="Arial" w:eastAsia="Calibri" w:hAnsi="Arial" w:cs="Arial"/>
          <w:sz w:val="22"/>
          <w:szCs w:val="22"/>
          <w:lang w:val="es-ES_tradnl" w:eastAsia="en-US"/>
        </w:rPr>
        <w:t xml:space="preserve">sta norma se refiere a </w:t>
      </w:r>
      <w:r>
        <w:rPr>
          <w:rFonts w:ascii="Arial" w:eastAsia="Calibri" w:hAnsi="Arial" w:cs="Arial"/>
          <w:sz w:val="22"/>
          <w:szCs w:val="22"/>
          <w:lang w:val="es-ES_tradnl" w:eastAsia="en-US"/>
        </w:rPr>
        <w:t xml:space="preserve">la aprobación de </w:t>
      </w:r>
      <w:r w:rsidRPr="001B73F5">
        <w:rPr>
          <w:rFonts w:ascii="Arial" w:eastAsia="Calibri" w:hAnsi="Arial" w:cs="Arial"/>
          <w:sz w:val="22"/>
          <w:szCs w:val="22"/>
          <w:lang w:val="es-ES_tradnl" w:eastAsia="en-US"/>
        </w:rPr>
        <w:t xml:space="preserve">las garantías </w:t>
      </w:r>
      <w:r w:rsidRPr="00AF5A3B">
        <w:rPr>
          <w:rFonts w:ascii="Arial" w:eastAsia="Calibri" w:hAnsi="Arial" w:cs="Arial"/>
          <w:sz w:val="22"/>
          <w:szCs w:val="22"/>
          <w:lang w:eastAsia="en-US"/>
        </w:rPr>
        <w:lastRenderedPageBreak/>
        <w:t>contractuales</w:t>
      </w:r>
      <w:r w:rsidRPr="00AF5A3B">
        <w:rPr>
          <w:rFonts w:ascii="Arial" w:eastAsia="Calibri" w:hAnsi="Arial" w:cs="Arial"/>
          <w:sz w:val="22"/>
          <w:szCs w:val="22"/>
          <w:lang w:val="es-ES_tradnl" w:eastAsia="en-US"/>
        </w:rPr>
        <w:t xml:space="preserve"> </w:t>
      </w:r>
      <w:r>
        <w:rPr>
          <w:rFonts w:ascii="Arial" w:eastAsia="Calibri" w:hAnsi="Arial" w:cs="Arial"/>
          <w:sz w:val="22"/>
          <w:szCs w:val="22"/>
          <w:lang w:val="es-ES_tradnl" w:eastAsia="en-US"/>
        </w:rPr>
        <w:t>como requisito para la ejecución del contrato,</w:t>
      </w:r>
      <w:r>
        <w:rPr>
          <w:rFonts w:ascii="Arial" w:eastAsia="Calibri" w:hAnsi="Arial" w:cs="Arial"/>
          <w:sz w:val="22"/>
          <w:szCs w:val="22"/>
          <w:lang w:eastAsia="en-US"/>
        </w:rPr>
        <w:t xml:space="preserve"> garantías </w:t>
      </w:r>
      <w:r w:rsidRPr="00AF5A3B">
        <w:rPr>
          <w:rFonts w:ascii="Arial" w:eastAsia="Calibri" w:hAnsi="Arial" w:cs="Arial"/>
          <w:sz w:val="22"/>
          <w:szCs w:val="22"/>
          <w:lang w:val="es-ES_tradnl" w:eastAsia="en-US"/>
        </w:rPr>
        <w:t>que cubren los riesgos asociados al contrato celebrado y a las obligaciones posteriores</w:t>
      </w:r>
      <w:r>
        <w:rPr>
          <w:rFonts w:ascii="Arial" w:eastAsia="Calibri" w:hAnsi="Arial" w:cs="Arial"/>
          <w:sz w:val="22"/>
          <w:szCs w:val="22"/>
          <w:lang w:val="es-ES_tradnl" w:eastAsia="en-US"/>
        </w:rPr>
        <w:t xml:space="preserve"> a este. Lo anterior, excluye </w:t>
      </w:r>
      <w:r w:rsidRPr="001B73F5">
        <w:rPr>
          <w:rFonts w:ascii="Arial" w:eastAsia="Calibri" w:hAnsi="Arial" w:cs="Arial"/>
          <w:sz w:val="22"/>
          <w:szCs w:val="22"/>
          <w:lang w:val="es-ES_tradnl" w:eastAsia="en-US"/>
        </w:rPr>
        <w:t xml:space="preserve">a la garantía de seriedad de la oferta, </w:t>
      </w:r>
      <w:r>
        <w:rPr>
          <w:rFonts w:ascii="Arial" w:eastAsia="Calibri" w:hAnsi="Arial" w:cs="Arial"/>
          <w:sz w:val="22"/>
          <w:szCs w:val="22"/>
          <w:lang w:val="es-ES_tradnl" w:eastAsia="en-US"/>
        </w:rPr>
        <w:t>cuya presentación se realiza junto con la propuesta siendo un requisito de participación en el proceso de selección, por lo que su verificación</w:t>
      </w:r>
      <w:r w:rsidR="002E62D9">
        <w:rPr>
          <w:rFonts w:ascii="Arial" w:eastAsia="Calibri" w:hAnsi="Arial" w:cs="Arial"/>
          <w:sz w:val="22"/>
          <w:szCs w:val="22"/>
          <w:lang w:val="es-ES_tradnl" w:eastAsia="en-US"/>
        </w:rPr>
        <w:t xml:space="preserve"> y validación</w:t>
      </w:r>
      <w:r>
        <w:rPr>
          <w:rFonts w:ascii="Arial" w:eastAsia="Calibri" w:hAnsi="Arial" w:cs="Arial"/>
          <w:sz w:val="22"/>
          <w:szCs w:val="22"/>
          <w:lang w:val="es-ES_tradnl" w:eastAsia="en-US"/>
        </w:rPr>
        <w:t xml:space="preserve"> debe ocurrir con antelación a la celebración del contrato</w:t>
      </w:r>
      <w:r w:rsidR="005037CF">
        <w:rPr>
          <w:rFonts w:ascii="Arial" w:eastAsia="Calibri" w:hAnsi="Arial" w:cs="Arial"/>
          <w:sz w:val="22"/>
          <w:szCs w:val="22"/>
          <w:lang w:val="es-ES_tradnl" w:eastAsia="en-US"/>
        </w:rPr>
        <w:t>, realizándose su verificación mediante la evaluación de las ofertas.</w:t>
      </w:r>
      <w:r>
        <w:rPr>
          <w:rFonts w:ascii="Arial" w:eastAsia="Calibri" w:hAnsi="Arial" w:cs="Arial"/>
          <w:sz w:val="22"/>
          <w:szCs w:val="22"/>
          <w:lang w:val="es-ES_tradnl" w:eastAsia="en-US"/>
        </w:rPr>
        <w:t xml:space="preserve"> </w:t>
      </w:r>
    </w:p>
    <w:p w14:paraId="18F32A3A" w14:textId="77777777" w:rsidR="005156D4" w:rsidRPr="00343198" w:rsidRDefault="005156D4" w:rsidP="004754B6">
      <w:pPr>
        <w:spacing w:line="276" w:lineRule="auto"/>
        <w:jc w:val="both"/>
        <w:rPr>
          <w:rFonts w:ascii="Arial" w:eastAsia="Calibri" w:hAnsi="Arial" w:cs="Arial"/>
          <w:sz w:val="22"/>
          <w:szCs w:val="22"/>
          <w:lang w:val="es-ES_tradnl" w:eastAsia="en-US"/>
        </w:rPr>
      </w:pPr>
    </w:p>
    <w:p w14:paraId="475A9A29" w14:textId="2D11DF2E" w:rsidR="009366F2" w:rsidRPr="009366F2" w:rsidRDefault="009366F2" w:rsidP="009366F2">
      <w:pPr>
        <w:ind w:left="709" w:right="709"/>
        <w:jc w:val="both"/>
        <w:rPr>
          <w:rFonts w:ascii="Arial" w:hAnsi="Arial" w:cs="Arial"/>
          <w:bCs/>
          <w:color w:val="000000" w:themeColor="text1"/>
          <w:sz w:val="21"/>
          <w:szCs w:val="21"/>
          <w:lang w:val="es-ES_tradnl"/>
        </w:rPr>
      </w:pPr>
      <w:r w:rsidRPr="009366F2">
        <w:rPr>
          <w:rFonts w:ascii="Arial" w:hAnsi="Arial" w:cs="Arial"/>
          <w:bCs/>
          <w:color w:val="000000" w:themeColor="text1"/>
          <w:sz w:val="21"/>
          <w:szCs w:val="21"/>
        </w:rPr>
        <w:t xml:space="preserve">ii) </w:t>
      </w:r>
      <w:r w:rsidRPr="009366F2">
        <w:rPr>
          <w:rFonts w:ascii="Arial" w:hAnsi="Arial" w:cs="Arial"/>
          <w:color w:val="000000" w:themeColor="text1"/>
          <w:sz w:val="21"/>
          <w:szCs w:val="21"/>
          <w:lang w:val="es-ES_tradnl"/>
        </w:rPr>
        <w:t>«</w:t>
      </w:r>
      <w:r w:rsidRPr="009366F2">
        <w:rPr>
          <w:rFonts w:ascii="Arial" w:hAnsi="Arial" w:cs="Arial"/>
          <w:bCs/>
          <w:color w:val="000000" w:themeColor="text1"/>
          <w:sz w:val="21"/>
          <w:szCs w:val="21"/>
        </w:rPr>
        <w:t xml:space="preserve">la aprobación de la garantía prevista en el artículo 41 de la ley 80 de 1993, debe ser comunicada o notificada a la compañía aseguradora?»  </w:t>
      </w:r>
    </w:p>
    <w:p w14:paraId="1F2F20C7" w14:textId="79D8EAF6" w:rsidR="00EC346B" w:rsidRPr="009366F2" w:rsidRDefault="00EC346B" w:rsidP="009366F2">
      <w:pPr>
        <w:ind w:left="709" w:right="709"/>
        <w:jc w:val="both"/>
        <w:rPr>
          <w:rFonts w:ascii="Arial" w:hAnsi="Arial" w:cs="Arial"/>
          <w:color w:val="000000" w:themeColor="text1"/>
          <w:sz w:val="21"/>
          <w:szCs w:val="21"/>
          <w:lang w:val="es-ES_tradnl"/>
        </w:rPr>
      </w:pPr>
    </w:p>
    <w:p w14:paraId="6EF58FD6" w14:textId="397D91C7" w:rsidR="00421C3E" w:rsidRPr="00421C3E" w:rsidRDefault="00421C3E" w:rsidP="00421C3E">
      <w:pPr>
        <w:spacing w:before="120" w:line="276" w:lineRule="auto"/>
        <w:jc w:val="both"/>
        <w:rPr>
          <w:rFonts w:ascii="Arial" w:eastAsia="Calibri" w:hAnsi="Arial" w:cs="Arial"/>
          <w:sz w:val="22"/>
          <w:lang w:val="es-ES_tradnl"/>
        </w:rPr>
      </w:pPr>
      <w:r w:rsidRPr="00421C3E">
        <w:rPr>
          <w:rFonts w:ascii="Arial" w:eastAsia="Calibri" w:hAnsi="Arial" w:cs="Arial"/>
          <w:sz w:val="22"/>
          <w:lang w:val="es-ES_tradnl"/>
        </w:rPr>
        <w:t>El artículo 41</w:t>
      </w:r>
      <w:r>
        <w:rPr>
          <w:rFonts w:ascii="Arial" w:eastAsia="Calibri" w:hAnsi="Arial" w:cs="Arial"/>
          <w:sz w:val="22"/>
          <w:lang w:val="es-ES_tradnl"/>
        </w:rPr>
        <w:t xml:space="preserve"> de la Ley 80 de 1993</w:t>
      </w:r>
      <w:r w:rsidRPr="00421C3E">
        <w:rPr>
          <w:rFonts w:ascii="Arial" w:eastAsia="Calibri" w:hAnsi="Arial" w:cs="Arial"/>
          <w:sz w:val="22"/>
          <w:lang w:val="es-ES_tradnl"/>
        </w:rPr>
        <w:t xml:space="preserve"> establece los requisitos de perfeccionamiento y ejecución </w:t>
      </w:r>
      <w:r w:rsidR="00B607DE">
        <w:rPr>
          <w:rFonts w:ascii="Arial" w:eastAsia="Calibri" w:hAnsi="Arial" w:cs="Arial"/>
          <w:sz w:val="22"/>
          <w:lang w:val="es-ES_tradnl"/>
        </w:rPr>
        <w:t>de los</w:t>
      </w:r>
      <w:r w:rsidR="00B607DE" w:rsidRPr="00421C3E">
        <w:rPr>
          <w:rFonts w:ascii="Arial" w:eastAsia="Calibri" w:hAnsi="Arial" w:cs="Arial"/>
          <w:sz w:val="22"/>
          <w:lang w:val="es-ES_tradnl"/>
        </w:rPr>
        <w:t xml:space="preserve"> </w:t>
      </w:r>
      <w:r w:rsidRPr="00421C3E">
        <w:rPr>
          <w:rFonts w:ascii="Arial" w:eastAsia="Calibri" w:hAnsi="Arial" w:cs="Arial"/>
          <w:sz w:val="22"/>
          <w:lang w:val="es-ES_tradnl"/>
        </w:rPr>
        <w:t>contrato</w:t>
      </w:r>
      <w:r w:rsidR="00B607DE">
        <w:rPr>
          <w:rFonts w:ascii="Arial" w:eastAsia="Calibri" w:hAnsi="Arial" w:cs="Arial"/>
          <w:sz w:val="22"/>
          <w:lang w:val="es-ES_tradnl"/>
        </w:rPr>
        <w:t>s estatales</w:t>
      </w:r>
      <w:r w:rsidRPr="00421C3E">
        <w:rPr>
          <w:rFonts w:ascii="Arial" w:eastAsia="Calibri" w:hAnsi="Arial" w:cs="Arial"/>
          <w:sz w:val="22"/>
          <w:lang w:val="es-ES_tradnl"/>
        </w:rPr>
        <w:t xml:space="preserve">. Respecto </w:t>
      </w:r>
      <w:r w:rsidR="00B607DE">
        <w:rPr>
          <w:rFonts w:ascii="Arial" w:eastAsia="Calibri" w:hAnsi="Arial" w:cs="Arial"/>
          <w:sz w:val="22"/>
          <w:lang w:val="es-ES_tradnl"/>
        </w:rPr>
        <w:t>de los primero</w:t>
      </w:r>
      <w:r w:rsidR="00CF1031">
        <w:rPr>
          <w:rFonts w:ascii="Arial" w:eastAsia="Calibri" w:hAnsi="Arial" w:cs="Arial"/>
          <w:sz w:val="22"/>
          <w:lang w:val="es-ES_tradnl"/>
        </w:rPr>
        <w:t>s</w:t>
      </w:r>
      <w:r w:rsidR="00B607DE">
        <w:rPr>
          <w:rFonts w:ascii="Arial" w:eastAsia="Calibri" w:hAnsi="Arial" w:cs="Arial"/>
          <w:sz w:val="22"/>
          <w:lang w:val="es-ES_tradnl"/>
        </w:rPr>
        <w:t>,</w:t>
      </w:r>
      <w:r w:rsidRPr="00421C3E">
        <w:rPr>
          <w:rFonts w:ascii="Arial" w:eastAsia="Calibri" w:hAnsi="Arial" w:cs="Arial"/>
          <w:sz w:val="22"/>
          <w:lang w:val="es-ES_tradnl"/>
        </w:rPr>
        <w:t xml:space="preserve"> dispone que </w:t>
      </w:r>
      <w:r w:rsidR="00B607DE">
        <w:rPr>
          <w:rFonts w:ascii="Arial" w:eastAsia="Calibri" w:hAnsi="Arial" w:cs="Arial"/>
          <w:sz w:val="22"/>
          <w:lang w:val="es-ES_tradnl"/>
        </w:rPr>
        <w:t>estos contratos</w:t>
      </w:r>
      <w:r w:rsidRPr="00421C3E">
        <w:rPr>
          <w:rFonts w:ascii="Arial" w:eastAsia="Calibri" w:hAnsi="Arial" w:cs="Arial"/>
          <w:sz w:val="22"/>
          <w:lang w:val="es-ES_tradnl"/>
        </w:rPr>
        <w:t xml:space="preserve"> se perfeccionan cuando se logre acuerdo </w:t>
      </w:r>
      <w:r w:rsidR="00B607DE">
        <w:rPr>
          <w:rFonts w:ascii="Arial" w:eastAsia="Calibri" w:hAnsi="Arial" w:cs="Arial"/>
          <w:sz w:val="22"/>
          <w:lang w:val="es-ES_tradnl"/>
        </w:rPr>
        <w:t>sobre</w:t>
      </w:r>
      <w:r w:rsidR="00B607DE" w:rsidRPr="00421C3E">
        <w:rPr>
          <w:rFonts w:ascii="Arial" w:eastAsia="Calibri" w:hAnsi="Arial" w:cs="Arial"/>
          <w:sz w:val="22"/>
          <w:lang w:val="es-ES_tradnl"/>
        </w:rPr>
        <w:t xml:space="preserve"> </w:t>
      </w:r>
      <w:r w:rsidRPr="00421C3E">
        <w:rPr>
          <w:rFonts w:ascii="Arial" w:eastAsia="Calibri" w:hAnsi="Arial" w:cs="Arial"/>
          <w:sz w:val="22"/>
          <w:lang w:val="es-ES_tradnl"/>
        </w:rPr>
        <w:t xml:space="preserve">el objeto y la contraprestación y este se eleve a escrito. En relación con </w:t>
      </w:r>
      <w:r w:rsidR="00B607DE">
        <w:rPr>
          <w:rFonts w:ascii="Arial" w:eastAsia="Calibri" w:hAnsi="Arial" w:cs="Arial"/>
          <w:sz w:val="22"/>
          <w:lang w:val="es-ES_tradnl"/>
        </w:rPr>
        <w:t>los segundos</w:t>
      </w:r>
      <w:r w:rsidRPr="00421C3E">
        <w:rPr>
          <w:rFonts w:ascii="Arial" w:eastAsia="Calibri" w:hAnsi="Arial" w:cs="Arial"/>
          <w:sz w:val="22"/>
          <w:lang w:val="es-ES_tradnl"/>
        </w:rPr>
        <w:t>, establece que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w:t>
      </w:r>
      <w:r>
        <w:rPr>
          <w:rFonts w:ascii="Arial" w:eastAsia="Calibri" w:hAnsi="Arial" w:cs="Arial"/>
          <w:sz w:val="22"/>
          <w:lang w:val="es-ES_tradnl"/>
        </w:rPr>
        <w:t xml:space="preserve">, </w:t>
      </w:r>
      <w:r w:rsidRPr="00B17018">
        <w:rPr>
          <w:rFonts w:ascii="Arial" w:hAnsi="Arial" w:cs="Arial"/>
          <w:color w:val="000000" w:themeColor="text1"/>
          <w:sz w:val="22"/>
          <w:szCs w:val="22"/>
          <w:lang w:eastAsia="es-CO"/>
        </w:rPr>
        <w:t>lo que se traduce en que, sin perjuicio del perfeccionamiento del contrato, no podrá ejecutarse sin que se hayan aprobado las garantías.</w:t>
      </w:r>
    </w:p>
    <w:p w14:paraId="0E8DBB67" w14:textId="7C462DAB" w:rsidR="00421C3E" w:rsidRDefault="00DF77F4" w:rsidP="00DF77F4">
      <w:pPr>
        <w:spacing w:before="120" w:line="276" w:lineRule="auto"/>
        <w:ind w:firstLine="709"/>
        <w:jc w:val="both"/>
        <w:rPr>
          <w:rFonts w:ascii="Arial" w:hAnsi="Arial" w:cs="Arial"/>
          <w:color w:val="000000" w:themeColor="text1"/>
          <w:sz w:val="22"/>
          <w:szCs w:val="22"/>
          <w:lang w:val="es-ES_tradnl" w:eastAsia="es-CO"/>
        </w:rPr>
      </w:pPr>
      <w:r>
        <w:rPr>
          <w:rFonts w:ascii="Arial" w:hAnsi="Arial" w:cs="Arial"/>
          <w:color w:val="000000" w:themeColor="text1"/>
          <w:sz w:val="22"/>
          <w:szCs w:val="22"/>
          <w:lang w:eastAsia="es-CO"/>
        </w:rPr>
        <w:t>De esta manera</w:t>
      </w:r>
      <w:r w:rsidRPr="00B17018">
        <w:rPr>
          <w:rFonts w:ascii="Arial" w:hAnsi="Arial" w:cs="Arial"/>
          <w:color w:val="000000" w:themeColor="text1"/>
          <w:sz w:val="22"/>
          <w:szCs w:val="22"/>
          <w:lang w:eastAsia="es-CO"/>
        </w:rPr>
        <w:t>, para proceder a ejecutar el contrato</w:t>
      </w:r>
      <w:r w:rsidR="000C0F39">
        <w:rPr>
          <w:rFonts w:ascii="Arial" w:hAnsi="Arial" w:cs="Arial"/>
          <w:color w:val="000000" w:themeColor="text1"/>
          <w:sz w:val="22"/>
          <w:szCs w:val="22"/>
          <w:lang w:eastAsia="es-CO"/>
        </w:rPr>
        <w:t>,</w:t>
      </w:r>
      <w:r w:rsidRPr="00B17018">
        <w:rPr>
          <w:rFonts w:ascii="Arial" w:hAnsi="Arial" w:cs="Arial"/>
          <w:color w:val="000000" w:themeColor="text1"/>
          <w:sz w:val="22"/>
          <w:szCs w:val="22"/>
          <w:lang w:eastAsia="es-CO"/>
        </w:rPr>
        <w:t xml:space="preserve"> el contratista debe cumplir con la obligación de constituir la garantía de cumplimiento, para lo cual deberá presentar el respectivo instrumento para la verificación por parte de la entidad estatal, quien procederá a su aprobación siempre que se cumplan con las condiciones </w:t>
      </w:r>
      <w:r>
        <w:rPr>
          <w:rFonts w:ascii="Arial" w:hAnsi="Arial" w:cs="Arial"/>
          <w:color w:val="000000" w:themeColor="text1"/>
          <w:sz w:val="22"/>
          <w:szCs w:val="22"/>
          <w:lang w:eastAsia="es-CO"/>
        </w:rPr>
        <w:t>pactadas</w:t>
      </w:r>
      <w:r w:rsidRPr="00B17018">
        <w:rPr>
          <w:rFonts w:ascii="Arial" w:hAnsi="Arial" w:cs="Arial"/>
          <w:color w:val="000000" w:themeColor="text1"/>
          <w:sz w:val="22"/>
          <w:szCs w:val="22"/>
          <w:lang w:eastAsia="es-CO"/>
        </w:rPr>
        <w:t xml:space="preserve"> en el contrato.</w:t>
      </w:r>
      <w:r>
        <w:rPr>
          <w:rFonts w:ascii="Arial" w:hAnsi="Arial" w:cs="Arial"/>
          <w:color w:val="000000" w:themeColor="text1"/>
          <w:sz w:val="22"/>
          <w:szCs w:val="22"/>
          <w:lang w:eastAsia="es-CO"/>
        </w:rPr>
        <w:t xml:space="preserve"> Cabe aclarar que las garantías que debe presentar el contratista para aprobación de la entidad en el marco del artículo 41 de la ley 80 de 1993, corresponden a las garantías contractuales </w:t>
      </w:r>
      <w:r w:rsidRPr="00D036D6">
        <w:rPr>
          <w:rFonts w:ascii="Arial" w:hAnsi="Arial" w:cs="Arial"/>
          <w:color w:val="000000" w:themeColor="text1"/>
          <w:sz w:val="22"/>
          <w:szCs w:val="22"/>
          <w:lang w:val="es-ES_tradnl" w:eastAsia="es-CO"/>
        </w:rPr>
        <w:t xml:space="preserve">que cubren los riesgos asociados al contrato celebrado y a las obligaciones posteriores a su ejecución, </w:t>
      </w:r>
      <w:r>
        <w:rPr>
          <w:rFonts w:ascii="Arial" w:hAnsi="Arial" w:cs="Arial"/>
          <w:color w:val="000000" w:themeColor="text1"/>
          <w:sz w:val="22"/>
          <w:szCs w:val="22"/>
          <w:lang w:val="es-ES_tradnl" w:eastAsia="es-CO"/>
        </w:rPr>
        <w:t xml:space="preserve">esto es, </w:t>
      </w:r>
      <w:r w:rsidRPr="00D036D6">
        <w:rPr>
          <w:rFonts w:ascii="Arial" w:hAnsi="Arial" w:cs="Arial"/>
          <w:color w:val="000000" w:themeColor="text1"/>
          <w:sz w:val="22"/>
          <w:szCs w:val="22"/>
          <w:lang w:val="es-ES_tradnl" w:eastAsia="es-CO"/>
        </w:rPr>
        <w:t>la garantía única de cumplimiento</w:t>
      </w:r>
      <w:r>
        <w:rPr>
          <w:rFonts w:ascii="Arial" w:hAnsi="Arial" w:cs="Arial"/>
          <w:color w:val="000000" w:themeColor="text1"/>
          <w:sz w:val="22"/>
          <w:szCs w:val="22"/>
          <w:lang w:val="es-ES_tradnl" w:eastAsia="es-CO"/>
        </w:rPr>
        <w:t xml:space="preserve"> </w:t>
      </w:r>
      <w:r w:rsidR="00B607DE">
        <w:rPr>
          <w:rFonts w:ascii="Arial" w:hAnsi="Arial" w:cs="Arial"/>
          <w:color w:val="000000" w:themeColor="text1"/>
          <w:sz w:val="22"/>
          <w:szCs w:val="22"/>
          <w:lang w:val="es-ES_tradnl" w:eastAsia="es-CO"/>
        </w:rPr>
        <w:t>–</w:t>
      </w:r>
      <w:r>
        <w:rPr>
          <w:rFonts w:ascii="Arial" w:hAnsi="Arial" w:cs="Arial"/>
          <w:color w:val="000000" w:themeColor="text1"/>
          <w:sz w:val="22"/>
          <w:szCs w:val="22"/>
          <w:lang w:val="es-ES_tradnl" w:eastAsia="es-CO"/>
        </w:rPr>
        <w:t>con sus respectivos amparos</w:t>
      </w:r>
      <w:r w:rsidR="00B607DE">
        <w:rPr>
          <w:rFonts w:ascii="Arial" w:hAnsi="Arial" w:cs="Arial"/>
          <w:color w:val="000000" w:themeColor="text1"/>
          <w:sz w:val="22"/>
          <w:szCs w:val="22"/>
          <w:lang w:val="es-ES_tradnl" w:eastAsia="es-CO"/>
        </w:rPr>
        <w:t>–</w:t>
      </w:r>
      <w:r>
        <w:rPr>
          <w:rFonts w:ascii="Arial" w:hAnsi="Arial" w:cs="Arial"/>
          <w:color w:val="000000" w:themeColor="text1"/>
          <w:sz w:val="22"/>
          <w:szCs w:val="22"/>
          <w:lang w:val="es-ES_tradnl" w:eastAsia="es-CO"/>
        </w:rPr>
        <w:t xml:space="preserve"> </w:t>
      </w:r>
      <w:r w:rsidRPr="00D036D6">
        <w:rPr>
          <w:rFonts w:ascii="Arial" w:hAnsi="Arial" w:cs="Arial"/>
          <w:color w:val="000000" w:themeColor="text1"/>
          <w:sz w:val="22"/>
          <w:szCs w:val="22"/>
          <w:lang w:val="es-ES_tradnl" w:eastAsia="es-CO"/>
        </w:rPr>
        <w:t>y la garantía de responsabilidad civil extracontractual</w:t>
      </w:r>
      <w:r w:rsidR="00B607DE">
        <w:rPr>
          <w:rFonts w:ascii="Arial" w:hAnsi="Arial" w:cs="Arial"/>
          <w:color w:val="000000" w:themeColor="text1"/>
          <w:sz w:val="22"/>
          <w:szCs w:val="22"/>
          <w:lang w:val="es-ES_tradnl" w:eastAsia="es-CO"/>
        </w:rPr>
        <w:t xml:space="preserve">, en caso de que se haya exigido. </w:t>
      </w:r>
    </w:p>
    <w:p w14:paraId="5B1C7EA8" w14:textId="3BB4C0BA" w:rsidR="000C0F39" w:rsidRDefault="00421C3E" w:rsidP="00710F0C">
      <w:pPr>
        <w:spacing w:before="120" w:line="276" w:lineRule="auto"/>
        <w:ind w:firstLine="709"/>
        <w:jc w:val="both"/>
        <w:rPr>
          <w:rFonts w:ascii="Arial" w:eastAsiaTheme="minorHAnsi" w:hAnsi="Arial" w:cs="Arial"/>
          <w:bCs/>
          <w:color w:val="000000" w:themeColor="text1"/>
          <w:sz w:val="22"/>
          <w:szCs w:val="22"/>
          <w:lang w:val="es-ES_tradnl" w:eastAsia="en-US"/>
        </w:rPr>
      </w:pPr>
      <w:r>
        <w:rPr>
          <w:rFonts w:ascii="Arial" w:hAnsi="Arial" w:cs="Arial"/>
          <w:color w:val="000000" w:themeColor="text1"/>
          <w:sz w:val="22"/>
        </w:rPr>
        <w:t>Ahora bien, r</w:t>
      </w:r>
      <w:r w:rsidR="001750D2" w:rsidRPr="00692DC1">
        <w:rPr>
          <w:rFonts w:ascii="Arial" w:hAnsi="Arial" w:cs="Arial"/>
          <w:color w:val="000000" w:themeColor="text1"/>
          <w:sz w:val="22"/>
        </w:rPr>
        <w:t xml:space="preserve">evisadas las leyes 80 de 1993 y 1150 de 2007, al igual que el Decreto 1082 de 2015 y demás normas integrantes del Estatuto General de Contratación de la Administración Pública, no se advierte </w:t>
      </w:r>
      <w:r w:rsidR="001750D2" w:rsidRPr="008C5408">
        <w:rPr>
          <w:rFonts w:ascii="Arial" w:eastAsiaTheme="minorHAnsi" w:hAnsi="Arial" w:cs="Arial"/>
          <w:bCs/>
          <w:color w:val="000000" w:themeColor="text1"/>
          <w:sz w:val="22"/>
          <w:szCs w:val="22"/>
          <w:lang w:val="es-ES_tradnl" w:eastAsia="en-US"/>
        </w:rPr>
        <w:t xml:space="preserve">la obligación de comunicar o notificar la aprobación de las garantías </w:t>
      </w:r>
      <w:r w:rsidR="001750D2">
        <w:rPr>
          <w:rFonts w:ascii="Arial" w:eastAsiaTheme="minorHAnsi" w:hAnsi="Arial" w:cs="Arial"/>
          <w:bCs/>
          <w:color w:val="000000" w:themeColor="text1"/>
          <w:sz w:val="22"/>
          <w:szCs w:val="22"/>
          <w:lang w:val="es-ES_tradnl" w:eastAsia="en-US"/>
        </w:rPr>
        <w:t xml:space="preserve">a las entidades que las expiden. </w:t>
      </w:r>
      <w:r w:rsidR="00710F0C">
        <w:rPr>
          <w:rFonts w:ascii="Arial" w:eastAsiaTheme="minorHAnsi" w:hAnsi="Arial" w:cs="Arial"/>
          <w:bCs/>
          <w:color w:val="000000" w:themeColor="text1"/>
          <w:sz w:val="22"/>
          <w:szCs w:val="22"/>
          <w:lang w:val="es-ES_tradnl" w:eastAsia="en-US"/>
        </w:rPr>
        <w:t xml:space="preserve">Esto no implica de ninguna manera que las garantías no produzcan sus efectos jurídicos de asegurar el contrato, ni afecta la validez o eficacia de </w:t>
      </w:r>
      <w:proofErr w:type="gramStart"/>
      <w:r w:rsidR="00710F0C">
        <w:rPr>
          <w:rFonts w:ascii="Arial" w:eastAsiaTheme="minorHAnsi" w:hAnsi="Arial" w:cs="Arial"/>
          <w:bCs/>
          <w:color w:val="000000" w:themeColor="text1"/>
          <w:sz w:val="22"/>
          <w:szCs w:val="22"/>
          <w:lang w:val="es-ES_tradnl" w:eastAsia="en-US"/>
        </w:rPr>
        <w:t>las mismas</w:t>
      </w:r>
      <w:proofErr w:type="gramEnd"/>
      <w:r w:rsidR="00710F0C">
        <w:rPr>
          <w:rFonts w:ascii="Arial" w:eastAsiaTheme="minorHAnsi" w:hAnsi="Arial" w:cs="Arial"/>
          <w:bCs/>
          <w:color w:val="000000" w:themeColor="text1"/>
          <w:sz w:val="22"/>
          <w:szCs w:val="22"/>
          <w:lang w:val="es-ES_tradnl" w:eastAsia="en-US"/>
        </w:rPr>
        <w:t xml:space="preserve">, puesto que la comunicación de dicha aprobación no es un requisito exigido en materia de contratación estatal para cubrir los riesgos amparados por el contrato. En efecto, </w:t>
      </w:r>
      <w:r w:rsidR="00710F0C" w:rsidRPr="00594E2D">
        <w:rPr>
          <w:rFonts w:ascii="Arial" w:eastAsiaTheme="minorHAnsi" w:hAnsi="Arial" w:cs="Arial"/>
          <w:bCs/>
          <w:color w:val="000000" w:themeColor="text1"/>
          <w:sz w:val="22"/>
          <w:szCs w:val="22"/>
          <w:lang w:val="es-ES_tradnl" w:eastAsia="en-US"/>
        </w:rPr>
        <w:t xml:space="preserve">el artículo 1036 del Código de Comercio, </w:t>
      </w:r>
      <w:r w:rsidR="00710F0C">
        <w:rPr>
          <w:rFonts w:ascii="Arial" w:eastAsiaTheme="minorHAnsi" w:hAnsi="Arial" w:cs="Arial"/>
          <w:bCs/>
          <w:color w:val="000000" w:themeColor="text1"/>
          <w:sz w:val="22"/>
          <w:szCs w:val="22"/>
          <w:lang w:val="es-ES_tradnl" w:eastAsia="en-US"/>
        </w:rPr>
        <w:t>señal</w:t>
      </w:r>
      <w:r w:rsidR="00436C48">
        <w:rPr>
          <w:rFonts w:ascii="Arial" w:eastAsiaTheme="minorHAnsi" w:hAnsi="Arial" w:cs="Arial"/>
          <w:bCs/>
          <w:color w:val="000000" w:themeColor="text1"/>
          <w:sz w:val="22"/>
          <w:szCs w:val="22"/>
          <w:lang w:val="es-ES_tradnl" w:eastAsia="en-US"/>
        </w:rPr>
        <w:t>a</w:t>
      </w:r>
      <w:r w:rsidR="00710F0C">
        <w:rPr>
          <w:rFonts w:ascii="Arial" w:eastAsiaTheme="minorHAnsi" w:hAnsi="Arial" w:cs="Arial"/>
          <w:bCs/>
          <w:color w:val="000000" w:themeColor="text1"/>
          <w:sz w:val="22"/>
          <w:szCs w:val="22"/>
          <w:lang w:val="es-ES_tradnl" w:eastAsia="en-US"/>
        </w:rPr>
        <w:t xml:space="preserve"> que el </w:t>
      </w:r>
      <w:r w:rsidR="00710F0C" w:rsidRPr="00594E2D">
        <w:rPr>
          <w:rFonts w:ascii="Arial" w:eastAsiaTheme="minorHAnsi" w:hAnsi="Arial" w:cs="Arial"/>
          <w:bCs/>
          <w:color w:val="000000" w:themeColor="text1"/>
          <w:sz w:val="22"/>
          <w:szCs w:val="22"/>
          <w:lang w:val="es-ES_tradnl" w:eastAsia="en-US"/>
        </w:rPr>
        <w:t xml:space="preserve">contrato de seguro </w:t>
      </w:r>
      <w:r w:rsidR="00710F0C">
        <w:rPr>
          <w:rFonts w:ascii="Arial" w:eastAsiaTheme="minorHAnsi" w:hAnsi="Arial" w:cs="Arial"/>
          <w:bCs/>
          <w:color w:val="000000" w:themeColor="text1"/>
          <w:sz w:val="22"/>
          <w:szCs w:val="22"/>
          <w:lang w:val="es-ES_tradnl" w:eastAsia="en-US"/>
        </w:rPr>
        <w:t xml:space="preserve">es un contrato </w:t>
      </w:r>
      <w:r w:rsidR="00710F0C" w:rsidRPr="00594E2D">
        <w:rPr>
          <w:rFonts w:ascii="Arial" w:eastAsiaTheme="minorHAnsi" w:hAnsi="Arial" w:cs="Arial"/>
          <w:bCs/>
          <w:color w:val="000000" w:themeColor="text1"/>
          <w:sz w:val="22"/>
          <w:szCs w:val="22"/>
          <w:lang w:val="es-ES_tradnl" w:eastAsia="en-US"/>
        </w:rPr>
        <w:t>«consensual, bilateral, oneroso, aleatorio y de ejecución sucesiva»</w:t>
      </w:r>
      <w:r w:rsidR="00710F0C">
        <w:rPr>
          <w:rFonts w:ascii="Arial" w:eastAsiaTheme="minorHAnsi" w:hAnsi="Arial" w:cs="Arial"/>
          <w:bCs/>
          <w:color w:val="000000" w:themeColor="text1"/>
          <w:sz w:val="22"/>
          <w:szCs w:val="22"/>
          <w:lang w:val="es-ES_tradnl" w:eastAsia="en-US"/>
        </w:rPr>
        <w:t xml:space="preserve">, por lo que se perfecciona con el acuerdo entre las partes. En tal sentido, el contrato de </w:t>
      </w:r>
      <w:r w:rsidR="00710F0C">
        <w:rPr>
          <w:rFonts w:ascii="Arial" w:eastAsiaTheme="minorHAnsi" w:hAnsi="Arial" w:cs="Arial"/>
          <w:bCs/>
          <w:color w:val="000000" w:themeColor="text1"/>
          <w:sz w:val="22"/>
          <w:szCs w:val="22"/>
          <w:lang w:val="es-ES_tradnl" w:eastAsia="en-US"/>
        </w:rPr>
        <w:lastRenderedPageBreak/>
        <w:t>seguros existe y es válido desde el momento de su perfeccionamiento, sin necesidad de ningún otro acto adicional, siendo la póliza la prueba de la celebración de este contrato.</w:t>
      </w:r>
    </w:p>
    <w:p w14:paraId="1F6E76FE" w14:textId="56621933" w:rsidR="001750D2" w:rsidRPr="008C5408" w:rsidRDefault="001750D2" w:rsidP="00C4176A">
      <w:pPr>
        <w:spacing w:before="120" w:line="276" w:lineRule="auto"/>
        <w:ind w:firstLine="709"/>
        <w:jc w:val="both"/>
        <w:rPr>
          <w:rFonts w:ascii="Arial" w:eastAsiaTheme="minorHAnsi" w:hAnsi="Arial" w:cs="Arial"/>
          <w:bCs/>
          <w:color w:val="000000" w:themeColor="text1"/>
          <w:sz w:val="22"/>
          <w:szCs w:val="22"/>
          <w:lang w:val="es-ES_tradnl" w:eastAsia="en-US"/>
        </w:rPr>
      </w:pPr>
      <w:r w:rsidRPr="008C5408">
        <w:rPr>
          <w:rFonts w:ascii="Arial" w:eastAsiaTheme="minorHAnsi" w:hAnsi="Arial" w:cs="Arial"/>
          <w:bCs/>
          <w:color w:val="000000" w:themeColor="text1"/>
          <w:sz w:val="22"/>
          <w:szCs w:val="22"/>
          <w:lang w:val="es-ES_tradnl" w:eastAsia="en-US"/>
        </w:rPr>
        <w:t>En todo caso, las entidades, conforme a lo señalado en la Circular Conjunta</w:t>
      </w:r>
      <w:r w:rsidR="00710F0C">
        <w:rPr>
          <w:rFonts w:ascii="Arial" w:eastAsiaTheme="minorHAnsi" w:hAnsi="Arial" w:cs="Arial"/>
          <w:bCs/>
          <w:color w:val="000000" w:themeColor="text1"/>
          <w:sz w:val="22"/>
          <w:szCs w:val="22"/>
          <w:lang w:val="es-ES_tradnl" w:eastAsia="en-US"/>
        </w:rPr>
        <w:t xml:space="preserve"> 001 de 2021</w:t>
      </w:r>
      <w:r w:rsidRPr="008C5408">
        <w:rPr>
          <w:rFonts w:ascii="Arial" w:eastAsiaTheme="minorHAnsi" w:hAnsi="Arial" w:cs="Arial"/>
          <w:bCs/>
          <w:color w:val="000000" w:themeColor="text1"/>
          <w:sz w:val="22"/>
          <w:szCs w:val="22"/>
          <w:lang w:val="es-ES_tradnl" w:eastAsia="en-US"/>
        </w:rPr>
        <w:t>, previo a la aprobación de las garantías como requisito de ejecución, deben verificar la</w:t>
      </w:r>
      <w:r w:rsidRPr="008C5408">
        <w:rPr>
          <w:rFonts w:ascii="Arial" w:eastAsiaTheme="minorHAnsi" w:hAnsi="Arial" w:cs="Arial"/>
          <w:color w:val="000000" w:themeColor="text1"/>
          <w:sz w:val="22"/>
          <w:szCs w:val="22"/>
          <w:lang w:val="es-ES_tradnl" w:eastAsia="en-US"/>
        </w:rPr>
        <w:t xml:space="preserve"> validez, idoneidad y suficiencia de los documentos que se entregan como soporte de las garantías que amparan los contratos estatales, </w:t>
      </w:r>
      <w:r w:rsidR="00436C48">
        <w:rPr>
          <w:rFonts w:ascii="Arial" w:eastAsiaTheme="minorHAnsi" w:hAnsi="Arial" w:cs="Arial"/>
          <w:color w:val="000000" w:themeColor="text1"/>
          <w:sz w:val="22"/>
          <w:szCs w:val="22"/>
          <w:lang w:val="es-ES_tradnl" w:eastAsia="en-US"/>
        </w:rPr>
        <w:t>en los términos establecidos en dicha circular</w:t>
      </w:r>
      <w:r w:rsidRPr="008C5408">
        <w:rPr>
          <w:rFonts w:ascii="Arial" w:eastAsiaTheme="minorHAnsi" w:hAnsi="Arial" w:cs="Arial"/>
          <w:color w:val="000000" w:themeColor="text1"/>
          <w:sz w:val="22"/>
          <w:szCs w:val="22"/>
          <w:lang w:val="es-ES_tradnl" w:eastAsia="en-US"/>
        </w:rPr>
        <w:t xml:space="preserve">. </w:t>
      </w:r>
    </w:p>
    <w:p w14:paraId="70747DD1" w14:textId="77777777" w:rsidR="001E4587" w:rsidRPr="001750D2" w:rsidRDefault="001E4587" w:rsidP="00344A64">
      <w:pPr>
        <w:spacing w:line="276" w:lineRule="auto"/>
        <w:jc w:val="both"/>
        <w:textAlignment w:val="baseline"/>
        <w:rPr>
          <w:rFonts w:ascii="Arial" w:hAnsi="Arial" w:cs="Arial"/>
          <w:sz w:val="22"/>
          <w:szCs w:val="22"/>
          <w:lang w:val="es-ES_tradnl" w:eastAsia="es-E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19032FCD" w:rsidR="00D40F8B" w:rsidRDefault="00D40F8B" w:rsidP="00003233">
      <w:pPr>
        <w:pStyle w:val="NormalWeb"/>
        <w:spacing w:before="0" w:beforeAutospacing="0" w:after="0" w:afterAutospacing="0" w:line="276" w:lineRule="auto"/>
        <w:jc w:val="center"/>
        <w:rPr>
          <w:rFonts w:ascii="Arial" w:hAnsi="Arial" w:cs="Arial"/>
          <w:noProof/>
          <w:sz w:val="22"/>
          <w:lang w:val="en-US"/>
        </w:rPr>
      </w:pPr>
    </w:p>
    <w:p w14:paraId="3E94C97E" w14:textId="1D869907" w:rsidR="002122FC" w:rsidRDefault="002122FC" w:rsidP="002122FC">
      <w:pPr>
        <w:pStyle w:val="NormalWeb"/>
        <w:spacing w:before="0" w:beforeAutospacing="0" w:after="0" w:afterAutospacing="0" w:line="276" w:lineRule="auto"/>
        <w:jc w:val="center"/>
        <w:rPr>
          <w:rFonts w:ascii="Arial" w:hAnsi="Arial" w:cs="Arial"/>
          <w:noProof/>
          <w:sz w:val="22"/>
          <w:lang w:val="en-US"/>
        </w:rPr>
      </w:pPr>
      <w:r w:rsidRPr="00C06922">
        <w:rPr>
          <w:rFonts w:ascii="Arial" w:hAnsi="Arial" w:cs="Arial"/>
          <w:bCs/>
          <w:color w:val="000000" w:themeColor="text1"/>
          <w:sz w:val="20"/>
          <w:szCs w:val="20"/>
        </w:rPr>
        <w:drawing>
          <wp:inline distT="0" distB="0" distL="0" distR="0" wp14:anchorId="02BF37CF" wp14:editId="7CCCC236">
            <wp:extent cx="3124636" cy="100026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pic:nvPicPr>
                  <pic:blipFill>
                    <a:blip r:embed="rId12"/>
                    <a:stretch>
                      <a:fillRect/>
                    </a:stretch>
                  </pic:blipFill>
                  <pic:spPr>
                    <a:xfrm>
                      <a:off x="0" y="0"/>
                      <a:ext cx="3124636" cy="1000265"/>
                    </a:xfrm>
                    <a:prstGeom prst="rect">
                      <a:avLst/>
                    </a:prstGeom>
                  </pic:spPr>
                </pic:pic>
              </a:graphicData>
            </a:graphic>
          </wp:inline>
        </w:drawing>
      </w:r>
    </w:p>
    <w:p w14:paraId="4FA96ECB" w14:textId="77777777" w:rsidR="002122FC" w:rsidRPr="002122FC" w:rsidRDefault="002122FC" w:rsidP="002122FC">
      <w:pPr>
        <w:pStyle w:val="NormalWeb"/>
        <w:spacing w:before="0" w:beforeAutospacing="0" w:after="0" w:afterAutospacing="0" w:line="276" w:lineRule="auto"/>
        <w:jc w:val="center"/>
        <w:rPr>
          <w:rFonts w:ascii="Arial" w:hAnsi="Arial" w:cs="Arial"/>
          <w:noProof/>
          <w:sz w:val="22"/>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71EBBFC2" w:rsidR="00B17563" w:rsidRPr="000A446A" w:rsidRDefault="00B17563" w:rsidP="00F412DF">
            <w:pPr>
              <w:jc w:val="both"/>
              <w:rPr>
                <w:rFonts w:ascii="Arial" w:hAnsi="Arial" w:cs="Arial"/>
                <w:color w:val="000000" w:themeColor="text1"/>
                <w:sz w:val="16"/>
                <w:szCs w:val="16"/>
                <w:lang w:val="es-ES_tradnl" w:eastAsia="es-ES"/>
              </w:rPr>
            </w:pPr>
            <w:r w:rsidRPr="000A446A">
              <w:rPr>
                <w:rFonts w:ascii="Arial" w:hAnsi="Arial" w:cs="Arial"/>
                <w:color w:val="000000" w:themeColor="text1"/>
                <w:sz w:val="16"/>
                <w:szCs w:val="16"/>
                <w:lang w:val="es-ES_tradnl" w:eastAsia="es-ES"/>
              </w:rPr>
              <w:t>Sebastián Ramírez Grisales</w:t>
            </w:r>
          </w:p>
          <w:p w14:paraId="130B3228" w14:textId="128627BF"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9D7BDC" w14:textId="77777777" w:rsidR="004A1614" w:rsidRPr="00C4176A" w:rsidRDefault="004A1614" w:rsidP="004A1614">
            <w:pPr>
              <w:jc w:val="both"/>
              <w:textAlignment w:val="baseline"/>
              <w:rPr>
                <w:rFonts w:ascii="Segoe UI" w:hAnsi="Segoe UI" w:cs="Segoe UI"/>
                <w:sz w:val="16"/>
                <w:szCs w:val="16"/>
                <w:lang w:eastAsia="es-CO"/>
              </w:rPr>
            </w:pPr>
            <w:r w:rsidRPr="00C4176A">
              <w:rPr>
                <w:rFonts w:ascii="Arial" w:hAnsi="Arial" w:cs="Arial"/>
                <w:sz w:val="16"/>
                <w:szCs w:val="16"/>
                <w:lang w:val="es-MX" w:eastAsia="es-CO"/>
              </w:rPr>
              <w:t>Juan David Marín López</w:t>
            </w:r>
          </w:p>
          <w:p w14:paraId="1ADC483B" w14:textId="78701DA3" w:rsidR="00DD5B04" w:rsidRPr="00D40F8B" w:rsidRDefault="004A1614" w:rsidP="00DF76A2">
            <w:pPr>
              <w:jc w:val="both"/>
              <w:rPr>
                <w:rFonts w:ascii="Arial" w:hAnsi="Arial" w:cs="Arial"/>
                <w:color w:val="000000" w:themeColor="text1"/>
                <w:sz w:val="16"/>
                <w:szCs w:val="16"/>
                <w:lang w:val="es-ES_tradnl" w:eastAsia="es-ES"/>
              </w:rPr>
            </w:pPr>
            <w:r w:rsidRPr="00C4176A">
              <w:rPr>
                <w:rFonts w:ascii="Arial" w:hAnsi="Arial" w:cs="Arial"/>
                <w:sz w:val="16"/>
                <w:szCs w:val="16"/>
                <w:lang w:val="es-MX" w:eastAsia="es-CO"/>
              </w:rPr>
              <w:t>Subdirector de Gestión Contractual ANCP -CCE (E)</w:t>
            </w:r>
          </w:p>
        </w:tc>
      </w:tr>
    </w:tbl>
    <w:p w14:paraId="62A9C657" w14:textId="77777777" w:rsidR="00453A53" w:rsidRDefault="00453A53" w:rsidP="00215B8E">
      <w:pPr>
        <w:jc w:val="both"/>
        <w:rPr>
          <w:rFonts w:ascii="Arial" w:hAnsi="Arial" w:cs="Arial"/>
          <w:lang w:val="es-ES_tradnl"/>
        </w:rPr>
      </w:pPr>
    </w:p>
    <w:p w14:paraId="407E8F17" w14:textId="1D7EAB6F" w:rsidR="00DD118B" w:rsidRPr="0002379D" w:rsidRDefault="00DD118B" w:rsidP="00215B8E">
      <w:pPr>
        <w:jc w:val="both"/>
        <w:rPr>
          <w:rFonts w:ascii="Arial" w:hAnsi="Arial" w:cs="Arial"/>
          <w:lang w:val="es-ES_tradnl"/>
        </w:rPr>
      </w:pPr>
    </w:p>
    <w:sectPr w:rsidR="00DD118B" w:rsidRPr="0002379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2DC63" w14:textId="77777777" w:rsidR="00F67D95" w:rsidRDefault="00F67D95">
      <w:r>
        <w:separator/>
      </w:r>
    </w:p>
  </w:endnote>
  <w:endnote w:type="continuationSeparator" w:id="0">
    <w:p w14:paraId="1B44D422" w14:textId="77777777" w:rsidR="00F67D95" w:rsidRDefault="00F67D95">
      <w:r>
        <w:continuationSeparator/>
      </w:r>
    </w:p>
  </w:endnote>
  <w:endnote w:type="continuationNotice" w:id="1">
    <w:p w14:paraId="7AC3E4A4" w14:textId="77777777" w:rsidR="00F67D95" w:rsidRDefault="00F67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1B2A3" w14:textId="77777777" w:rsidR="00F67D95" w:rsidRDefault="00F67D95">
      <w:r>
        <w:separator/>
      </w:r>
    </w:p>
  </w:footnote>
  <w:footnote w:type="continuationSeparator" w:id="0">
    <w:p w14:paraId="5A74AB7D" w14:textId="77777777" w:rsidR="00F67D95" w:rsidRDefault="00F67D95">
      <w:r>
        <w:continuationSeparator/>
      </w:r>
    </w:p>
  </w:footnote>
  <w:footnote w:type="continuationNotice" w:id="1">
    <w:p w14:paraId="62478FC4" w14:textId="77777777" w:rsidR="00F67D95" w:rsidRDefault="00F67D95"/>
  </w:footnote>
  <w:footnote w:id="2">
    <w:p w14:paraId="480C52E9"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Style w:val="Refdenotaalpie"/>
          <w:rFonts w:ascii="Arial" w:hAnsi="Arial" w:cs="Arial"/>
          <w:color w:val="000000" w:themeColor="text1"/>
          <w:sz w:val="19"/>
          <w:szCs w:val="19"/>
        </w:rPr>
        <w:footnoteRef/>
      </w:r>
      <w:r w:rsidRPr="007D4A8E">
        <w:rPr>
          <w:rFonts w:ascii="Arial" w:hAnsi="Arial" w:cs="Arial"/>
          <w:color w:val="000000" w:themeColor="text1"/>
          <w:sz w:val="19"/>
          <w:szCs w:val="19"/>
        </w:rPr>
        <w:t xml:space="preserve"> </w:t>
      </w:r>
      <w:r w:rsidRPr="007D4A8E">
        <w:rPr>
          <w:rFonts w:ascii="Arial" w:hAnsi="Arial" w:cs="Arial"/>
          <w:color w:val="000000" w:themeColor="text1"/>
          <w:sz w:val="19"/>
          <w:szCs w:val="19"/>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1BD5972E"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»En consecuencia, la Entidad Estatal en los pliegos de condiciones para la Contratación debe indicar las garantías que exige en cada Etapa del Contrato o cada Periodo Contractual así: </w:t>
      </w:r>
    </w:p>
    <w:p w14:paraId="6C156DB7"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0D1EF38E"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77723B9D"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7465FC9A"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p w14:paraId="0798A8D8" w14:textId="77777777" w:rsidR="00BD6ED4" w:rsidRPr="007D4A8E" w:rsidRDefault="00BD6ED4" w:rsidP="00472485">
      <w:pPr>
        <w:pStyle w:val="Textonotapie"/>
        <w:jc w:val="both"/>
        <w:rPr>
          <w:rFonts w:ascii="Arial" w:hAnsi="Arial" w:cs="Arial"/>
          <w:color w:val="000000" w:themeColor="text1"/>
          <w:sz w:val="19"/>
          <w:szCs w:val="19"/>
          <w:lang w:val="es-CO"/>
        </w:rPr>
      </w:pPr>
    </w:p>
  </w:footnote>
  <w:footnote w:id="3">
    <w:p w14:paraId="0692148E"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Style w:val="Refdenotaalpie"/>
          <w:rFonts w:ascii="Arial" w:hAnsi="Arial" w:cs="Arial"/>
          <w:color w:val="000000" w:themeColor="text1"/>
          <w:sz w:val="19"/>
          <w:szCs w:val="19"/>
        </w:rPr>
        <w:footnoteRef/>
      </w:r>
      <w:r w:rsidRPr="007D4A8E">
        <w:rPr>
          <w:rFonts w:ascii="Arial" w:hAnsi="Arial" w:cs="Arial"/>
          <w:color w:val="000000" w:themeColor="text1"/>
          <w:sz w:val="19"/>
          <w:szCs w:val="19"/>
        </w:rPr>
        <w:t xml:space="preserve"> </w:t>
      </w:r>
      <w:r w:rsidRPr="007D4A8E">
        <w:rPr>
          <w:rFonts w:ascii="Arial" w:hAnsi="Arial" w:cs="Arial"/>
          <w:color w:val="000000" w:themeColor="text1"/>
          <w:sz w:val="19"/>
          <w:szCs w:val="19"/>
          <w:lang w:val="es-CO"/>
        </w:rPr>
        <w:t xml:space="preserve">«Artículo 2.2.1.2.3.1.7. Garantía de cumplimiento. La garantía de cumplimiento del contrato debe cubrir: </w:t>
      </w:r>
    </w:p>
    <w:p w14:paraId="2D2B33E6" w14:textId="77777777" w:rsidR="00BD6ED4" w:rsidRPr="007D4A8E" w:rsidRDefault="00BD6ED4" w:rsidP="00472485">
      <w:pPr>
        <w:pStyle w:val="Textonotapie"/>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  </w:t>
      </w:r>
      <w:r w:rsidRPr="007D4A8E">
        <w:rPr>
          <w:rFonts w:ascii="Arial" w:hAnsi="Arial" w:cs="Arial"/>
          <w:color w:val="000000" w:themeColor="text1"/>
          <w:sz w:val="19"/>
          <w:szCs w:val="19"/>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6D72CDC0"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684C3EBA"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»3. Cumplimiento del contrato. Este amparo cubre a la Entidad Estatal de los perjuicios derivados de: </w:t>
      </w:r>
    </w:p>
    <w:p w14:paraId="500F48B3" w14:textId="77777777" w:rsidR="00BD6ED4" w:rsidRPr="007D4A8E" w:rsidRDefault="00BD6ED4" w:rsidP="00472485">
      <w:pPr>
        <w:pStyle w:val="Textonotapie"/>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  </w:t>
      </w:r>
      <w:r w:rsidRPr="007D4A8E">
        <w:rPr>
          <w:rFonts w:ascii="Arial" w:hAnsi="Arial" w:cs="Arial"/>
          <w:color w:val="000000" w:themeColor="text1"/>
          <w:sz w:val="19"/>
          <w:szCs w:val="19"/>
          <w:lang w:val="es-CO"/>
        </w:rPr>
        <w:tab/>
        <w:t xml:space="preserve">»3.1. El incumplimiento total o parcial del contrato, cuando el incumplimiento es imputable al contratista; </w:t>
      </w:r>
    </w:p>
    <w:p w14:paraId="7564E0C7" w14:textId="77777777" w:rsidR="00BD6ED4" w:rsidRPr="007D4A8E" w:rsidRDefault="00BD6ED4" w:rsidP="00472485">
      <w:pPr>
        <w:pStyle w:val="Textonotapie"/>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  </w:t>
      </w:r>
      <w:r w:rsidRPr="007D4A8E">
        <w:rPr>
          <w:rFonts w:ascii="Arial" w:hAnsi="Arial" w:cs="Arial"/>
          <w:color w:val="000000" w:themeColor="text1"/>
          <w:sz w:val="19"/>
          <w:szCs w:val="19"/>
          <w:lang w:val="es-CO"/>
        </w:rPr>
        <w:tab/>
        <w:t xml:space="preserve">»3.2. El cumplimiento tardío o defectuoso del contrato, cuando el incumplimiento es imputable al contratista; </w:t>
      </w:r>
    </w:p>
    <w:p w14:paraId="3A1025C2"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»3.3. Los daños imputables al contratista por entregas parciales de la obra, cuando el contrato no prevé entregas parciales; y </w:t>
      </w:r>
    </w:p>
    <w:p w14:paraId="188559DF"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»3.4. El pago del valor de las multas y de la cláusula penal pecuniaria. </w:t>
      </w:r>
    </w:p>
    <w:p w14:paraId="4ED5840C"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70379780"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»La Entidad Estatal no debe exigir una garantía para cubrir este Riesgo en los contratos que se ejecuten fuera del territorio nacional con personal contratado bajo un régimen jurídico distinto al colombiano. </w:t>
      </w:r>
    </w:p>
    <w:p w14:paraId="1FBBECDB"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»5. Estabilidad y calidad de la obra. Este amparo cubre a la Entidad Estatal de los perjuicios ocasionados por cualquier tipo de daño o deterioro, imputable al contratista, sufrido por la obra entregada a satisfacción. </w:t>
      </w:r>
    </w:p>
    <w:p w14:paraId="077A6202"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»6. Calidad del servicio. Este amparo cubre a la Entidad Estatal por los perjuicios derivados de la deficiente calidad del servicio prestado. </w:t>
      </w:r>
    </w:p>
    <w:p w14:paraId="7D0E8F09"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 xml:space="preserve">»7. Calidad y correcto funcionamiento de los bienes. Este amparo debe cubrir la calidad y el correcto funcionamiento de los bienes que recibe la Entidad Estatal en cumplimiento de un contrato. </w:t>
      </w:r>
    </w:p>
    <w:p w14:paraId="329241D5"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lang w:val="es-CO"/>
        </w:rPr>
        <w:t>»8. Los demás incumplimientos de obligaciones que la Entidad Estatal considere deben ser amparados de manera proporcional y acorde a la naturaleza del contrato».</w:t>
      </w:r>
    </w:p>
    <w:p w14:paraId="2FF46212"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p>
  </w:footnote>
  <w:footnote w:id="4">
    <w:p w14:paraId="4D631046" w14:textId="77777777" w:rsidR="00BD6ED4" w:rsidRPr="007D4A8E" w:rsidRDefault="00BD6ED4" w:rsidP="00472485">
      <w:pPr>
        <w:pStyle w:val="Textonotapie"/>
        <w:ind w:firstLine="708"/>
        <w:jc w:val="both"/>
        <w:rPr>
          <w:rFonts w:ascii="Arial" w:hAnsi="Arial" w:cs="Arial"/>
          <w:color w:val="000000" w:themeColor="text1"/>
          <w:sz w:val="19"/>
          <w:szCs w:val="19"/>
        </w:rPr>
      </w:pPr>
      <w:r w:rsidRPr="007D4A8E">
        <w:rPr>
          <w:rStyle w:val="Refdenotaalpie"/>
          <w:rFonts w:ascii="Arial" w:hAnsi="Arial" w:cs="Arial"/>
          <w:color w:val="000000" w:themeColor="text1"/>
          <w:sz w:val="19"/>
          <w:szCs w:val="19"/>
        </w:rPr>
        <w:footnoteRef/>
      </w:r>
      <w:r w:rsidRPr="007D4A8E">
        <w:rPr>
          <w:rFonts w:ascii="Arial" w:hAnsi="Arial" w:cs="Arial"/>
          <w:color w:val="000000" w:themeColor="text1"/>
          <w:sz w:val="19"/>
          <w:szCs w:val="19"/>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6C742F0F" w14:textId="77777777" w:rsidR="00BD6ED4" w:rsidRPr="007D4A8E" w:rsidRDefault="00BD6ED4"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 xml:space="preserve">»1. Si el valor del contrato es superior a un millón (1.000.000) de smmlv y hasta cinco millones (5.000.000) de smmlv, la Entidad Estatal puede aceptar garantías que cubran al menos el dos punto cinco por ciento (2,5%) del valor del contrato. </w:t>
      </w:r>
    </w:p>
    <w:p w14:paraId="403E464A" w14:textId="77777777" w:rsidR="00BD6ED4" w:rsidRPr="007D4A8E" w:rsidRDefault="00BD6ED4"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 xml:space="preserve">»2. Si el valor del contrato es superior a cinco millones (5.000.000) de smmlv y hasta diez millones (10.000.000) de smmlv, la Entidad Estatal puede aceptar garantías que cubran al menos el uno por ciento (1%) del valor del contrato. </w:t>
      </w:r>
    </w:p>
    <w:p w14:paraId="301B57D4" w14:textId="77777777" w:rsidR="00BD6ED4" w:rsidRPr="007D4A8E" w:rsidRDefault="00BD6ED4"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»3. Si el valor del contrato es superior a diez millones (10.000.000) de smmlv, la Entidad Estatal puede aceptar garantías que cubran al menos el cero punto cinco por ciento (0,5%) del valor del contrato.</w:t>
      </w:r>
    </w:p>
    <w:p w14:paraId="24053CC7" w14:textId="77777777" w:rsidR="00BD6ED4" w:rsidRPr="007D4A8E" w:rsidRDefault="00BD6ED4" w:rsidP="00472485">
      <w:pPr>
        <w:pStyle w:val="Textonotapie"/>
        <w:ind w:firstLine="708"/>
        <w:jc w:val="both"/>
        <w:rPr>
          <w:rFonts w:ascii="Arial" w:hAnsi="Arial" w:cs="Arial"/>
          <w:color w:val="000000" w:themeColor="text1"/>
          <w:sz w:val="19"/>
          <w:szCs w:val="19"/>
          <w:lang w:val="es-CO"/>
        </w:rPr>
      </w:pPr>
      <w:r w:rsidRPr="007D4A8E">
        <w:rPr>
          <w:rFonts w:ascii="Arial" w:hAnsi="Arial" w:cs="Arial"/>
          <w:color w:val="000000" w:themeColor="text1"/>
          <w:sz w:val="19"/>
          <w:szCs w:val="19"/>
        </w:rPr>
        <w:t>»4. Colombia Compra Eficiente debe determinar el valor de la garantía única de cumplimiento del Acuerdo Marco de Precios de acuerdo con el objeto, el valor, la naturaleza y las obligaciones contenidas en este».</w:t>
      </w:r>
    </w:p>
  </w:footnote>
  <w:footnote w:id="5">
    <w:p w14:paraId="641233EC" w14:textId="6732CFF1" w:rsidR="006400CE" w:rsidRPr="007D4A8E" w:rsidRDefault="006400CE" w:rsidP="00472485">
      <w:pPr>
        <w:pStyle w:val="NormalWeb"/>
        <w:spacing w:before="0" w:beforeAutospacing="0" w:after="0" w:afterAutospacing="0"/>
        <w:ind w:firstLine="708"/>
        <w:jc w:val="both"/>
        <w:rPr>
          <w:rFonts w:ascii="Arial" w:hAnsi="Arial" w:cs="Arial"/>
          <w:color w:val="000000" w:themeColor="text1"/>
          <w:sz w:val="19"/>
          <w:szCs w:val="19"/>
        </w:rPr>
      </w:pPr>
      <w:r w:rsidRPr="007D4A8E">
        <w:rPr>
          <w:rStyle w:val="Refdenotaalpie"/>
          <w:rFonts w:ascii="Arial" w:hAnsi="Arial" w:cs="Arial"/>
          <w:sz w:val="19"/>
          <w:szCs w:val="19"/>
        </w:rPr>
        <w:footnoteRef/>
      </w:r>
      <w:r w:rsidRPr="007D4A8E">
        <w:rPr>
          <w:rFonts w:ascii="Arial" w:hAnsi="Arial" w:cs="Arial"/>
          <w:sz w:val="19"/>
          <w:szCs w:val="19"/>
        </w:rPr>
        <w:t xml:space="preserve"> </w:t>
      </w:r>
      <w:r w:rsidRPr="007D4A8E">
        <w:rPr>
          <w:rFonts w:ascii="Arial" w:hAnsi="Arial" w:cs="Arial"/>
          <w:color w:val="000000" w:themeColor="text1"/>
          <w:sz w:val="19"/>
          <w:szCs w:val="19"/>
        </w:rPr>
        <w:t>«</w:t>
      </w:r>
      <w:r w:rsidRPr="007D4A8E">
        <w:rPr>
          <w:rStyle w:val="Textoennegrita"/>
          <w:rFonts w:ascii="Arial" w:hAnsi="Arial" w:cs="Arial"/>
          <w:b w:val="0"/>
          <w:bCs w:val="0"/>
          <w:color w:val="000000" w:themeColor="text1"/>
          <w:sz w:val="19"/>
          <w:szCs w:val="19"/>
        </w:rPr>
        <w:t>Artículo 41.</w:t>
      </w:r>
      <w:r w:rsidRPr="007D4A8E">
        <w:rPr>
          <w:rFonts w:ascii="Arial" w:hAnsi="Arial" w:cs="Arial"/>
          <w:color w:val="000000" w:themeColor="text1"/>
          <w:sz w:val="19"/>
          <w:szCs w:val="19"/>
        </w:rPr>
        <w:t> Los contratos del Estado se perfeccionan cuando se logre acuerdo sobre el objeto y la contraprestación y éste se eleve a escrito. </w:t>
      </w:r>
    </w:p>
    <w:p w14:paraId="295ED44E" w14:textId="77777777" w:rsidR="006400CE" w:rsidRPr="007D4A8E" w:rsidRDefault="006400CE" w:rsidP="00472485">
      <w:pPr>
        <w:pStyle w:val="NormalWeb"/>
        <w:spacing w:before="0" w:beforeAutospacing="0" w:after="0" w:afterAutospacing="0"/>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36037992" w14:textId="77777777" w:rsidR="006400CE" w:rsidRPr="007D4A8E" w:rsidRDefault="006400CE" w:rsidP="00472485">
      <w:pPr>
        <w:pStyle w:val="NormalWeb"/>
        <w:spacing w:before="0" w:beforeAutospacing="0" w:after="0" w:afterAutospacing="0"/>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»Los contratos estatales son </w:t>
      </w:r>
      <w:r w:rsidRPr="007D4A8E">
        <w:rPr>
          <w:rStyle w:val="nfasis"/>
          <w:rFonts w:ascii="Arial" w:hAnsi="Arial" w:cs="Arial"/>
          <w:color w:val="000000" w:themeColor="text1"/>
          <w:sz w:val="19"/>
          <w:szCs w:val="19"/>
        </w:rPr>
        <w:t>intuito personae</w:t>
      </w:r>
      <w:r w:rsidRPr="007D4A8E">
        <w:rPr>
          <w:rFonts w:ascii="Arial" w:hAnsi="Arial" w:cs="Arial"/>
          <w:color w:val="000000" w:themeColor="text1"/>
          <w:sz w:val="19"/>
          <w:szCs w:val="19"/>
        </w:rPr>
        <w:t> y, en consecuencia, una vez celebrados no podrán cederse sin previa autorización escrita de la entidad contratante. […]».</w:t>
      </w:r>
    </w:p>
    <w:p w14:paraId="3E5BA996" w14:textId="77777777" w:rsidR="006400CE" w:rsidRPr="007D4A8E" w:rsidRDefault="006400CE" w:rsidP="00472485">
      <w:pPr>
        <w:pStyle w:val="NormalWeb"/>
        <w:spacing w:before="0" w:beforeAutospacing="0" w:after="0" w:afterAutospacing="0"/>
        <w:jc w:val="both"/>
        <w:rPr>
          <w:rFonts w:ascii="Arial" w:hAnsi="Arial" w:cs="Arial"/>
          <w:color w:val="000000" w:themeColor="text1"/>
          <w:sz w:val="19"/>
          <w:szCs w:val="19"/>
        </w:rPr>
      </w:pPr>
    </w:p>
    <w:p w14:paraId="5D85A746" w14:textId="77777777" w:rsidR="006400CE" w:rsidRPr="007D4A8E" w:rsidRDefault="006400CE" w:rsidP="00472485">
      <w:pPr>
        <w:pStyle w:val="Textonotapie"/>
        <w:jc w:val="both"/>
        <w:rPr>
          <w:rFonts w:ascii="Arial" w:hAnsi="Arial" w:cs="Arial"/>
          <w:sz w:val="19"/>
          <w:szCs w:val="19"/>
          <w:lang w:val="es-CO"/>
        </w:rPr>
      </w:pPr>
    </w:p>
  </w:footnote>
  <w:footnote w:id="6">
    <w:p w14:paraId="6B6F02B7" w14:textId="77777777" w:rsidR="006400CE" w:rsidRPr="007D4A8E" w:rsidRDefault="006400CE" w:rsidP="00472485">
      <w:pPr>
        <w:pStyle w:val="Textonotapie"/>
        <w:ind w:firstLine="708"/>
        <w:jc w:val="both"/>
        <w:rPr>
          <w:rFonts w:ascii="Arial" w:hAnsi="Arial" w:cs="Arial"/>
          <w:color w:val="000000" w:themeColor="text1"/>
          <w:sz w:val="19"/>
          <w:szCs w:val="19"/>
        </w:rPr>
      </w:pPr>
      <w:r w:rsidRPr="007D4A8E">
        <w:rPr>
          <w:rStyle w:val="Refdenotaalpie"/>
          <w:rFonts w:ascii="Arial" w:hAnsi="Arial" w:cs="Arial"/>
          <w:color w:val="000000" w:themeColor="text1"/>
          <w:sz w:val="19"/>
          <w:szCs w:val="19"/>
        </w:rPr>
        <w:footnoteRef/>
      </w:r>
      <w:r w:rsidRPr="007D4A8E">
        <w:rPr>
          <w:rFonts w:ascii="Arial" w:hAnsi="Arial" w:cs="Arial"/>
          <w:color w:val="000000" w:themeColor="text1"/>
          <w:sz w:val="19"/>
          <w:szCs w:val="19"/>
        </w:rPr>
        <w:t xml:space="preserve"> Consejo de Estado, Sección Tercera, Subsección B. Sentencia de 28 de junio de 2012. Radicación número: 25000-23-26-000-1997-05346-01(23966). C.P: Stella Conto Diaz Del Castillo.</w:t>
      </w:r>
    </w:p>
    <w:p w14:paraId="1CC821F7" w14:textId="77777777" w:rsidR="006400CE" w:rsidRPr="007D4A8E" w:rsidRDefault="006400CE" w:rsidP="00472485">
      <w:pPr>
        <w:pStyle w:val="Textonotapie"/>
        <w:ind w:firstLine="708"/>
        <w:jc w:val="both"/>
        <w:rPr>
          <w:rFonts w:ascii="Arial" w:hAnsi="Arial" w:cs="Arial"/>
          <w:color w:val="000000" w:themeColor="text1"/>
          <w:sz w:val="19"/>
          <w:szCs w:val="19"/>
          <w:lang w:val="es-CO"/>
        </w:rPr>
      </w:pPr>
    </w:p>
  </w:footnote>
  <w:footnote w:id="7">
    <w:p w14:paraId="40F4E068" w14:textId="2A4D27A9" w:rsidR="00630B66" w:rsidRPr="007D4A8E" w:rsidRDefault="00630B66" w:rsidP="002E2609">
      <w:pPr>
        <w:pStyle w:val="Textonotapie"/>
        <w:ind w:firstLine="708"/>
        <w:jc w:val="both"/>
        <w:rPr>
          <w:rFonts w:ascii="Arial" w:hAnsi="Arial" w:cs="Arial"/>
          <w:color w:val="333333"/>
          <w:sz w:val="19"/>
          <w:szCs w:val="19"/>
          <w:shd w:val="clear" w:color="auto" w:fill="FFFFFF"/>
        </w:rPr>
      </w:pPr>
      <w:r w:rsidRPr="007D4A8E">
        <w:rPr>
          <w:rStyle w:val="Refdenotaalpie"/>
          <w:rFonts w:ascii="Arial" w:hAnsi="Arial" w:cs="Arial"/>
          <w:sz w:val="19"/>
          <w:szCs w:val="19"/>
        </w:rPr>
        <w:footnoteRef/>
      </w:r>
      <w:r w:rsidRPr="007D4A8E">
        <w:rPr>
          <w:rFonts w:ascii="Arial" w:hAnsi="Arial" w:cs="Arial"/>
          <w:sz w:val="19"/>
          <w:szCs w:val="19"/>
        </w:rPr>
        <w:t xml:space="preserve"> De</w:t>
      </w:r>
      <w:r w:rsidR="00472485" w:rsidRPr="007D4A8E">
        <w:rPr>
          <w:rFonts w:ascii="Arial" w:hAnsi="Arial" w:cs="Arial"/>
          <w:sz w:val="19"/>
          <w:szCs w:val="19"/>
        </w:rPr>
        <w:t xml:space="preserve"> conformidad con el artículo </w:t>
      </w:r>
      <w:r w:rsidR="00472485" w:rsidRPr="007D4A8E">
        <w:rPr>
          <w:rStyle w:val="Textoennegrita"/>
          <w:rFonts w:ascii="Arial" w:hAnsi="Arial" w:cs="Arial"/>
          <w:b w:val="0"/>
          <w:bCs w:val="0"/>
          <w:color w:val="333333"/>
          <w:sz w:val="19"/>
          <w:szCs w:val="19"/>
          <w:shd w:val="clear" w:color="auto" w:fill="FFFFFF"/>
        </w:rPr>
        <w:t>2.2.1.2.3.1.5.</w:t>
      </w:r>
      <w:r w:rsidR="00472485" w:rsidRPr="007D4A8E">
        <w:rPr>
          <w:rFonts w:ascii="Arial" w:hAnsi="Arial" w:cs="Arial"/>
          <w:color w:val="333333"/>
          <w:sz w:val="19"/>
          <w:szCs w:val="19"/>
          <w:shd w:val="clear" w:color="auto" w:fill="FFFFFF"/>
        </w:rPr>
        <w:t xml:space="preserve"> del Decreto 1082 de 2015 </w:t>
      </w:r>
      <w:r w:rsidR="00472485" w:rsidRPr="007D4A8E">
        <w:rPr>
          <w:rFonts w:ascii="Arial" w:hAnsi="Arial" w:cs="Arial"/>
          <w:color w:val="000000" w:themeColor="text1"/>
          <w:sz w:val="19"/>
          <w:szCs w:val="19"/>
        </w:rPr>
        <w:t>«</w:t>
      </w:r>
      <w:r w:rsidR="00472485" w:rsidRPr="007D4A8E">
        <w:rPr>
          <w:rFonts w:ascii="Arial" w:hAnsi="Arial" w:cs="Arial"/>
          <w:color w:val="333333"/>
          <w:sz w:val="19"/>
          <w:szCs w:val="19"/>
          <w:shd w:val="clear" w:color="auto" w:fill="FFFFFF"/>
        </w:rPr>
        <w:t>La responsabilidad extracontractual de la administración derivada de las actuaciones, hechos u omisiones de sus contratistas o subcontratistas solamente puede ser amparada con un contrato de seguro</w:t>
      </w:r>
      <w:r w:rsidR="00472485" w:rsidRPr="007D4A8E">
        <w:rPr>
          <w:rFonts w:ascii="Arial" w:hAnsi="Arial" w:cs="Arial"/>
          <w:color w:val="000000" w:themeColor="text1"/>
          <w:sz w:val="19"/>
          <w:szCs w:val="19"/>
        </w:rPr>
        <w:t>»</w:t>
      </w:r>
      <w:r w:rsidR="00472485" w:rsidRPr="007D4A8E">
        <w:rPr>
          <w:rFonts w:ascii="Arial" w:hAnsi="Arial" w:cs="Arial"/>
          <w:color w:val="333333"/>
          <w:sz w:val="19"/>
          <w:szCs w:val="19"/>
          <w:shd w:val="clear" w:color="auto" w:fill="FFFFFF"/>
        </w:rPr>
        <w:t>.</w:t>
      </w:r>
    </w:p>
    <w:p w14:paraId="34B4F5B5" w14:textId="77777777" w:rsidR="00472485" w:rsidRPr="007D4A8E" w:rsidRDefault="00472485" w:rsidP="00472485">
      <w:pPr>
        <w:pStyle w:val="Textonotapie"/>
        <w:jc w:val="both"/>
        <w:rPr>
          <w:rFonts w:ascii="Arial" w:hAnsi="Arial" w:cs="Arial"/>
          <w:sz w:val="19"/>
          <w:szCs w:val="19"/>
        </w:rPr>
      </w:pPr>
    </w:p>
  </w:footnote>
  <w:footnote w:id="8">
    <w:p w14:paraId="55AD53B1" w14:textId="15F67646" w:rsidR="00FC7D54" w:rsidRPr="007D4A8E" w:rsidRDefault="00FC7D54" w:rsidP="00472485">
      <w:pPr>
        <w:pStyle w:val="Textonotapie"/>
        <w:ind w:firstLine="709"/>
        <w:jc w:val="both"/>
        <w:rPr>
          <w:rFonts w:ascii="Arial" w:hAnsi="Arial" w:cs="Arial"/>
          <w:color w:val="000000" w:themeColor="text1"/>
          <w:sz w:val="19"/>
          <w:szCs w:val="19"/>
        </w:rPr>
      </w:pPr>
      <w:r w:rsidRPr="007D4A8E">
        <w:rPr>
          <w:rStyle w:val="Refdenotaalpie"/>
          <w:rFonts w:ascii="Arial" w:hAnsi="Arial" w:cs="Arial"/>
          <w:sz w:val="19"/>
          <w:szCs w:val="19"/>
        </w:rPr>
        <w:footnoteRef/>
      </w:r>
      <w:r w:rsidRPr="007D4A8E">
        <w:rPr>
          <w:rFonts w:ascii="Arial" w:hAnsi="Arial" w:cs="Arial"/>
          <w:sz w:val="19"/>
          <w:szCs w:val="19"/>
        </w:rPr>
        <w:t xml:space="preserve"> </w:t>
      </w:r>
      <w:r w:rsidRPr="007D4A8E">
        <w:rPr>
          <w:rFonts w:ascii="Arial" w:hAnsi="Arial" w:cs="Arial"/>
          <w:color w:val="000000" w:themeColor="text1"/>
          <w:sz w:val="19"/>
          <w:szCs w:val="19"/>
        </w:rPr>
        <w:t xml:space="preserve">Consejo de Estado, Sección Tercera, Subsección A. Sentencia del 14 de junio del 2019. Radicación número: </w:t>
      </w:r>
      <w:r w:rsidRPr="007D4A8E">
        <w:rPr>
          <w:rFonts w:ascii="Arial" w:hAnsi="Arial" w:cs="Arial"/>
          <w:color w:val="000000"/>
          <w:sz w:val="19"/>
          <w:szCs w:val="19"/>
        </w:rPr>
        <w:t>11001 03 26 000 2009 00047 00 (36860)</w:t>
      </w:r>
      <w:r w:rsidRPr="007D4A8E">
        <w:rPr>
          <w:rFonts w:ascii="Arial" w:hAnsi="Arial" w:cs="Arial"/>
          <w:bCs/>
          <w:color w:val="000000" w:themeColor="text1"/>
          <w:sz w:val="19"/>
          <w:szCs w:val="19"/>
          <w:lang w:val="es-CO"/>
        </w:rPr>
        <w:t xml:space="preserve">. </w:t>
      </w:r>
      <w:r w:rsidRPr="007D4A8E">
        <w:rPr>
          <w:rFonts w:ascii="Arial" w:hAnsi="Arial" w:cs="Arial"/>
          <w:color w:val="000000" w:themeColor="text1"/>
          <w:sz w:val="19"/>
          <w:szCs w:val="19"/>
        </w:rPr>
        <w:t>C.P: Carlos Alberto Zambrano Barrera.</w:t>
      </w:r>
    </w:p>
    <w:p w14:paraId="2B2411C1" w14:textId="77777777" w:rsidR="00FC7D54" w:rsidRPr="007D4A8E" w:rsidRDefault="00FC7D54" w:rsidP="00472485">
      <w:pPr>
        <w:pStyle w:val="Textonotapie"/>
        <w:jc w:val="both"/>
        <w:rPr>
          <w:rFonts w:ascii="Arial" w:hAnsi="Arial" w:cs="Arial"/>
          <w:sz w:val="19"/>
          <w:szCs w:val="19"/>
        </w:rPr>
      </w:pPr>
    </w:p>
  </w:footnote>
  <w:footnote w:id="9">
    <w:p w14:paraId="017D5BA8" w14:textId="45DEF492" w:rsidR="00A77E71" w:rsidRPr="007D4A8E" w:rsidRDefault="00A77E71" w:rsidP="00472485">
      <w:pPr>
        <w:pStyle w:val="Textonotapie"/>
        <w:ind w:firstLine="709"/>
        <w:jc w:val="both"/>
        <w:rPr>
          <w:rFonts w:ascii="Arial" w:hAnsi="Arial" w:cs="Arial"/>
          <w:sz w:val="19"/>
          <w:szCs w:val="19"/>
          <w:lang w:val="es-CO"/>
        </w:rPr>
      </w:pPr>
      <w:r w:rsidRPr="007D4A8E">
        <w:rPr>
          <w:rStyle w:val="Refdenotaalpie"/>
          <w:rFonts w:ascii="Arial" w:hAnsi="Arial" w:cs="Arial"/>
          <w:sz w:val="19"/>
          <w:szCs w:val="19"/>
        </w:rPr>
        <w:footnoteRef/>
      </w:r>
      <w:r w:rsidRPr="007D4A8E">
        <w:rPr>
          <w:rFonts w:ascii="Arial" w:hAnsi="Arial" w:cs="Arial"/>
          <w:sz w:val="19"/>
          <w:szCs w:val="19"/>
        </w:rPr>
        <w:t xml:space="preserve"> </w:t>
      </w:r>
      <w:r w:rsidR="00C14067" w:rsidRPr="007D4A8E">
        <w:rPr>
          <w:rFonts w:ascii="Arial" w:hAnsi="Arial" w:cs="Arial"/>
          <w:color w:val="000000" w:themeColor="text1"/>
          <w:sz w:val="19"/>
          <w:szCs w:val="19"/>
        </w:rPr>
        <w:t xml:space="preserve">Consejo de Estado, Sección Segunda, Subsección A. Sentencia del 25 de enero del 2018. Radicación número: </w:t>
      </w:r>
      <w:r w:rsidR="00C14067" w:rsidRPr="007D4A8E">
        <w:rPr>
          <w:rFonts w:ascii="Arial" w:hAnsi="Arial" w:cs="Arial"/>
          <w:bCs/>
          <w:color w:val="000000" w:themeColor="text1"/>
          <w:sz w:val="19"/>
          <w:szCs w:val="19"/>
          <w:lang w:val="es-CO"/>
        </w:rPr>
        <w:t>11001-03-25-000-2011-00489-00(1924-11).</w:t>
      </w:r>
      <w:r w:rsidR="00C14067" w:rsidRPr="007D4A8E">
        <w:rPr>
          <w:rFonts w:ascii="Arial" w:hAnsi="Arial" w:cs="Arial"/>
          <w:b/>
          <w:color w:val="000000" w:themeColor="text1"/>
          <w:sz w:val="19"/>
          <w:szCs w:val="19"/>
          <w:lang w:val="es-CO"/>
        </w:rPr>
        <w:t xml:space="preserve"> </w:t>
      </w:r>
      <w:r w:rsidR="00C14067" w:rsidRPr="007D4A8E">
        <w:rPr>
          <w:rFonts w:ascii="Arial" w:hAnsi="Arial" w:cs="Arial"/>
          <w:color w:val="000000" w:themeColor="text1"/>
          <w:sz w:val="19"/>
          <w:szCs w:val="19"/>
        </w:rPr>
        <w:t>C.P: Gabriel Valbuena Hernandez</w:t>
      </w:r>
    </w:p>
  </w:footnote>
  <w:footnote w:id="10">
    <w:p w14:paraId="32501BAA" w14:textId="653DDE53" w:rsidR="007024CC" w:rsidRPr="007D4A8E" w:rsidRDefault="007024CC" w:rsidP="00472485">
      <w:pPr>
        <w:pStyle w:val="Textonotapie"/>
        <w:ind w:firstLine="708"/>
        <w:jc w:val="both"/>
        <w:rPr>
          <w:rFonts w:ascii="Arial" w:hAnsi="Arial" w:cs="Arial"/>
          <w:color w:val="000000" w:themeColor="text1"/>
          <w:sz w:val="19"/>
          <w:szCs w:val="19"/>
          <w:lang w:val="es-CO"/>
        </w:rPr>
      </w:pPr>
      <w:r w:rsidRPr="007D4A8E">
        <w:rPr>
          <w:rStyle w:val="Refdenotaalpie"/>
          <w:rFonts w:ascii="Arial" w:hAnsi="Arial" w:cs="Arial"/>
          <w:color w:val="000000" w:themeColor="text1"/>
          <w:sz w:val="19"/>
          <w:szCs w:val="19"/>
        </w:rPr>
        <w:footnoteRef/>
      </w:r>
      <w:r w:rsidRPr="007D4A8E">
        <w:rPr>
          <w:rFonts w:ascii="Arial" w:hAnsi="Arial" w:cs="Arial"/>
          <w:color w:val="000000" w:themeColor="text1"/>
          <w:sz w:val="19"/>
          <w:szCs w:val="19"/>
        </w:rPr>
        <w:t xml:space="preserve"> Disponible en: </w:t>
      </w:r>
      <w:hyperlink r:id="rId1" w:history="1">
        <w:r w:rsidR="004C5320" w:rsidRPr="007D4A8E">
          <w:rPr>
            <w:rStyle w:val="Hipervnculo"/>
            <w:rFonts w:ascii="Arial" w:hAnsi="Arial" w:cs="Arial"/>
            <w:color w:val="auto"/>
            <w:sz w:val="19"/>
            <w:szCs w:val="19"/>
          </w:rPr>
          <w:t>https://colombiacompra.gov.co/sites/cce_public/files/cce_step/cce-sec-gi-01provpcgestioncontractual07-09-2020_0.pdf</w:t>
        </w:r>
      </w:hyperlink>
      <w:r w:rsidR="004C5320" w:rsidRPr="007D4A8E">
        <w:rPr>
          <w:rFonts w:ascii="Arial" w:hAnsi="Arial" w:cs="Arial"/>
          <w:sz w:val="19"/>
          <w:szCs w:val="19"/>
        </w:rPr>
        <w:t xml:space="preserve"> </w:t>
      </w:r>
    </w:p>
  </w:footnote>
  <w:footnote w:id="11">
    <w:p w14:paraId="464221EC" w14:textId="77777777" w:rsidR="007024CC" w:rsidRPr="007D4A8E" w:rsidRDefault="007024CC" w:rsidP="00472485">
      <w:pPr>
        <w:pStyle w:val="Textonotapie"/>
        <w:ind w:firstLine="708"/>
        <w:jc w:val="both"/>
        <w:rPr>
          <w:rFonts w:ascii="Arial" w:hAnsi="Arial" w:cs="Arial"/>
          <w:color w:val="000000" w:themeColor="text1"/>
          <w:sz w:val="19"/>
          <w:szCs w:val="19"/>
        </w:rPr>
      </w:pPr>
    </w:p>
    <w:p w14:paraId="3FF9F2FD" w14:textId="1CB92195" w:rsidR="007024CC" w:rsidRPr="007D4A8E" w:rsidRDefault="007024CC" w:rsidP="00472485">
      <w:pPr>
        <w:pStyle w:val="Textonotapie"/>
        <w:tabs>
          <w:tab w:val="left" w:pos="709"/>
        </w:tabs>
        <w:ind w:firstLine="708"/>
        <w:jc w:val="both"/>
        <w:rPr>
          <w:rFonts w:ascii="Arial" w:hAnsi="Arial" w:cs="Arial"/>
          <w:sz w:val="19"/>
          <w:szCs w:val="19"/>
          <w:lang w:val="es-CO"/>
        </w:rPr>
      </w:pPr>
      <w:r w:rsidRPr="007D4A8E">
        <w:rPr>
          <w:rStyle w:val="Refdenotaalpie"/>
          <w:rFonts w:ascii="Arial" w:hAnsi="Arial" w:cs="Arial"/>
          <w:sz w:val="19"/>
          <w:szCs w:val="19"/>
        </w:rPr>
        <w:footnoteRef/>
      </w:r>
      <w:r w:rsidR="00EB1D67">
        <w:rPr>
          <w:rFonts w:ascii="Arial" w:hAnsi="Arial" w:cs="Arial"/>
          <w:sz w:val="19"/>
          <w:szCs w:val="19"/>
          <w:lang w:val="es-CO"/>
        </w:rPr>
        <w:t xml:space="preserve"> </w:t>
      </w:r>
      <w:r w:rsidRPr="007D4A8E">
        <w:rPr>
          <w:rFonts w:ascii="Arial" w:hAnsi="Arial" w:cs="Arial"/>
          <w:sz w:val="19"/>
          <w:szCs w:val="19"/>
          <w:lang w:val="es-CO"/>
        </w:rPr>
        <w:t>Disponible en:</w:t>
      </w:r>
      <w:r w:rsidR="00FF109C" w:rsidRPr="007D4A8E">
        <w:rPr>
          <w:rFonts w:ascii="Arial" w:hAnsi="Arial" w:cs="Arial"/>
          <w:sz w:val="19"/>
          <w:szCs w:val="19"/>
          <w:lang w:val="es-CO"/>
        </w:rPr>
        <w:t xml:space="preserve"> </w:t>
      </w:r>
      <w:hyperlink r:id="rId2" w:history="1">
        <w:r w:rsidR="00FF109C" w:rsidRPr="007D4A8E">
          <w:rPr>
            <w:rStyle w:val="Hipervnculo"/>
            <w:rFonts w:ascii="Arial" w:hAnsi="Arial" w:cs="Arial"/>
            <w:color w:val="auto"/>
            <w:sz w:val="19"/>
            <w:szCs w:val="19"/>
            <w:lang w:val="es-CO"/>
          </w:rPr>
          <w:t>https://colombiacompra.gov.co/sites/cce_public/files/cce_step/20190821guiagcgestioncontractualentidadestatalv2.pdf</w:t>
        </w:r>
      </w:hyperlink>
      <w:r w:rsidR="00FF109C" w:rsidRPr="007D4A8E">
        <w:rPr>
          <w:rFonts w:ascii="Arial" w:hAnsi="Arial" w:cs="Arial"/>
          <w:sz w:val="19"/>
          <w:szCs w:val="19"/>
          <w:lang w:val="es-CO"/>
        </w:rPr>
        <w:t xml:space="preserve"> </w:t>
      </w:r>
    </w:p>
    <w:p w14:paraId="067BA42D" w14:textId="77777777" w:rsidR="007D4A8E" w:rsidRPr="007D4A8E" w:rsidRDefault="007D4A8E" w:rsidP="00472485">
      <w:pPr>
        <w:pStyle w:val="Textonotapie"/>
        <w:tabs>
          <w:tab w:val="left" w:pos="709"/>
        </w:tabs>
        <w:ind w:firstLine="708"/>
        <w:jc w:val="both"/>
        <w:rPr>
          <w:rFonts w:ascii="Arial" w:hAnsi="Arial" w:cs="Arial"/>
          <w:color w:val="000000" w:themeColor="text1"/>
          <w:sz w:val="19"/>
          <w:szCs w:val="19"/>
          <w:u w:val="single"/>
        </w:rPr>
      </w:pPr>
    </w:p>
  </w:footnote>
  <w:footnote w:id="12">
    <w:p w14:paraId="3D1ECC49" w14:textId="5256839B" w:rsidR="004E2047" w:rsidRPr="004E2047" w:rsidRDefault="004E2047" w:rsidP="004E2047">
      <w:pPr>
        <w:pStyle w:val="Textonotapie"/>
        <w:ind w:firstLine="709"/>
        <w:jc w:val="both"/>
        <w:rPr>
          <w:rFonts w:ascii="Arial" w:hAnsi="Arial" w:cs="Arial"/>
          <w:sz w:val="19"/>
          <w:szCs w:val="19"/>
          <w:lang w:val="es-CO"/>
        </w:rPr>
      </w:pPr>
      <w:r w:rsidRPr="004E2047">
        <w:rPr>
          <w:rStyle w:val="Refdenotaalpie"/>
          <w:rFonts w:ascii="Arial" w:hAnsi="Arial" w:cs="Arial"/>
        </w:rPr>
        <w:footnoteRef/>
      </w:r>
      <w:r w:rsidRPr="004E2047">
        <w:rPr>
          <w:rFonts w:ascii="Arial" w:hAnsi="Arial" w:cs="Arial"/>
        </w:rPr>
        <w:t xml:space="preserve"> </w:t>
      </w:r>
      <w:bookmarkStart w:id="7" w:name="1046"/>
      <w:r w:rsidRPr="004E2047">
        <w:rPr>
          <w:rFonts w:ascii="Arial" w:hAnsi="Arial" w:cs="Arial"/>
          <w:color w:val="000000" w:themeColor="text1"/>
          <w:sz w:val="22"/>
          <w:szCs w:val="22"/>
        </w:rPr>
        <w:t>«</w:t>
      </w:r>
      <w:r w:rsidRPr="004E2047">
        <w:rPr>
          <w:rFonts w:ascii="Arial" w:hAnsi="Arial" w:cs="Arial"/>
          <w:sz w:val="19"/>
          <w:szCs w:val="19"/>
          <w:lang w:val="es-CO"/>
        </w:rPr>
        <w:t>Artículo 1046.</w:t>
      </w:r>
      <w:r w:rsidR="005F39F2">
        <w:rPr>
          <w:rFonts w:ascii="Arial" w:hAnsi="Arial" w:cs="Arial"/>
          <w:sz w:val="19"/>
          <w:szCs w:val="19"/>
          <w:lang w:val="es-CO"/>
        </w:rPr>
        <w:t xml:space="preserve"> </w:t>
      </w:r>
      <w:r w:rsidRPr="004E2047">
        <w:rPr>
          <w:rFonts w:ascii="Arial" w:hAnsi="Arial" w:cs="Arial"/>
          <w:sz w:val="19"/>
          <w:szCs w:val="19"/>
          <w:lang w:val="es-CO"/>
        </w:rPr>
        <w:t xml:space="preserve">Prueba </w:t>
      </w:r>
      <w:r>
        <w:rPr>
          <w:rFonts w:ascii="Arial" w:hAnsi="Arial" w:cs="Arial"/>
          <w:sz w:val="19"/>
          <w:szCs w:val="19"/>
          <w:lang w:val="es-CO"/>
        </w:rPr>
        <w:t>d</w:t>
      </w:r>
      <w:r w:rsidRPr="004E2047">
        <w:rPr>
          <w:rFonts w:ascii="Arial" w:hAnsi="Arial" w:cs="Arial"/>
          <w:sz w:val="19"/>
          <w:szCs w:val="19"/>
          <w:lang w:val="es-CO"/>
        </w:rPr>
        <w:t xml:space="preserve">el Contrato </w:t>
      </w:r>
      <w:r>
        <w:rPr>
          <w:rFonts w:ascii="Arial" w:hAnsi="Arial" w:cs="Arial"/>
          <w:sz w:val="19"/>
          <w:szCs w:val="19"/>
          <w:lang w:val="es-CO"/>
        </w:rPr>
        <w:t>D</w:t>
      </w:r>
      <w:r w:rsidRPr="004E2047">
        <w:rPr>
          <w:rFonts w:ascii="Arial" w:hAnsi="Arial" w:cs="Arial"/>
          <w:sz w:val="19"/>
          <w:szCs w:val="19"/>
          <w:lang w:val="es-CO"/>
        </w:rPr>
        <w:t>e Seguro - Póliza.</w:t>
      </w:r>
      <w:bookmarkEnd w:id="7"/>
      <w:r w:rsidRPr="004E2047">
        <w:rPr>
          <w:rFonts w:ascii="Arial" w:hAnsi="Arial" w:cs="Arial"/>
          <w:sz w:val="19"/>
          <w:szCs w:val="19"/>
          <w:lang w:val="es-CO"/>
        </w:rPr>
        <w:t> </w:t>
      </w:r>
      <w:r w:rsidR="003F526B">
        <w:rPr>
          <w:rFonts w:ascii="Arial" w:hAnsi="Arial" w:cs="Arial"/>
          <w:sz w:val="19"/>
          <w:szCs w:val="19"/>
          <w:lang w:val="es-CO"/>
        </w:rPr>
        <w:t>[</w:t>
      </w:r>
      <w:r w:rsidRPr="004E2047">
        <w:rPr>
          <w:rFonts w:ascii="Arial" w:hAnsi="Arial" w:cs="Arial"/>
          <w:sz w:val="19"/>
          <w:szCs w:val="19"/>
          <w:lang w:val="es-CO"/>
        </w:rPr>
        <w:t xml:space="preserve">Artículo subrogado por el </w:t>
      </w:r>
      <w:r w:rsidRPr="005F39F2">
        <w:rPr>
          <w:rFonts w:ascii="Arial" w:hAnsi="Arial" w:cs="Arial"/>
          <w:sz w:val="19"/>
          <w:szCs w:val="19"/>
          <w:lang w:val="es-CO"/>
        </w:rPr>
        <w:t>artículo </w:t>
      </w:r>
      <w:hyperlink r:id="rId3" w:anchor="3" w:history="1">
        <w:r w:rsidRPr="005F39F2">
          <w:rPr>
            <w:rStyle w:val="Hipervnculo"/>
            <w:rFonts w:ascii="Arial" w:hAnsi="Arial" w:cs="Arial"/>
            <w:color w:val="auto"/>
            <w:sz w:val="19"/>
            <w:szCs w:val="19"/>
            <w:u w:val="none"/>
            <w:lang w:val="es-CO"/>
          </w:rPr>
          <w:t>3</w:t>
        </w:r>
      </w:hyperlink>
      <w:r w:rsidRPr="005F39F2">
        <w:rPr>
          <w:rFonts w:ascii="Arial" w:hAnsi="Arial" w:cs="Arial"/>
          <w:sz w:val="19"/>
          <w:szCs w:val="19"/>
          <w:lang w:val="es-CO"/>
        </w:rPr>
        <w:t>o.</w:t>
      </w:r>
      <w:r w:rsidRPr="004E2047">
        <w:rPr>
          <w:rFonts w:ascii="Arial" w:hAnsi="Arial" w:cs="Arial"/>
          <w:sz w:val="19"/>
          <w:szCs w:val="19"/>
          <w:lang w:val="es-CO"/>
        </w:rPr>
        <w:t xml:space="preserve"> de la Ley 389 de 1997. El nuevo texto es el siguiente:</w:t>
      </w:r>
      <w:r w:rsidR="003F526B">
        <w:rPr>
          <w:rFonts w:ascii="Arial" w:hAnsi="Arial" w:cs="Arial"/>
          <w:sz w:val="19"/>
          <w:szCs w:val="19"/>
          <w:lang w:val="es-CO"/>
        </w:rPr>
        <w:t>]</w:t>
      </w:r>
      <w:r w:rsidRPr="004E2047">
        <w:rPr>
          <w:rFonts w:ascii="Arial" w:hAnsi="Arial" w:cs="Arial"/>
          <w:sz w:val="19"/>
          <w:szCs w:val="19"/>
          <w:lang w:val="es-CO"/>
        </w:rPr>
        <w:t xml:space="preserve"> El contrato de seguro se probará por escrito o por confesión.</w:t>
      </w:r>
    </w:p>
    <w:p w14:paraId="618FD4F9" w14:textId="39102F5F" w:rsidR="004E2047" w:rsidRPr="004E2047" w:rsidRDefault="004E2047" w:rsidP="004E2047">
      <w:pPr>
        <w:pStyle w:val="Textonotapie"/>
        <w:ind w:firstLine="709"/>
        <w:jc w:val="both"/>
        <w:rPr>
          <w:rFonts w:ascii="Arial" w:hAnsi="Arial" w:cs="Arial"/>
          <w:sz w:val="19"/>
          <w:szCs w:val="19"/>
          <w:lang w:val="es-CO"/>
        </w:rPr>
      </w:pPr>
      <w:r w:rsidRPr="00FF109C">
        <w:rPr>
          <w:rFonts w:ascii="Arial" w:hAnsi="Arial" w:cs="Arial"/>
          <w:color w:val="000000" w:themeColor="text1"/>
          <w:sz w:val="22"/>
          <w:szCs w:val="22"/>
        </w:rPr>
        <w:t>»</w:t>
      </w:r>
      <w:r w:rsidRPr="004E2047">
        <w:rPr>
          <w:rFonts w:ascii="Arial" w:hAnsi="Arial" w:cs="Arial"/>
          <w:sz w:val="19"/>
          <w:szCs w:val="19"/>
          <w:lang w:val="es-CO"/>
        </w:rPr>
        <w:t>Con fines exclusivamente probatorios, el asegurador está obligado a entregar en su original, al tomador, dentro de los quince días siguientes a la fecha de su celebración el documento contentivo del contrato de seguro, el cual se denomina póliza, el que deberá redactarse en castellano y firmarse por el asegurador.</w:t>
      </w:r>
    </w:p>
    <w:p w14:paraId="65EA4718" w14:textId="3CF63484" w:rsidR="004E2047" w:rsidRPr="004E2047" w:rsidRDefault="004E2047" w:rsidP="004E2047">
      <w:pPr>
        <w:pStyle w:val="Textonotapie"/>
        <w:ind w:firstLine="709"/>
        <w:jc w:val="both"/>
        <w:rPr>
          <w:rFonts w:ascii="Arial" w:hAnsi="Arial" w:cs="Arial"/>
          <w:sz w:val="19"/>
          <w:szCs w:val="19"/>
          <w:lang w:val="es-CO"/>
        </w:rPr>
      </w:pPr>
      <w:r w:rsidRPr="00FF109C">
        <w:rPr>
          <w:rFonts w:ascii="Arial" w:hAnsi="Arial" w:cs="Arial"/>
          <w:color w:val="000000" w:themeColor="text1"/>
          <w:sz w:val="22"/>
          <w:szCs w:val="22"/>
        </w:rPr>
        <w:t>»</w:t>
      </w:r>
      <w:r w:rsidRPr="004E2047">
        <w:rPr>
          <w:rFonts w:ascii="Arial" w:hAnsi="Arial" w:cs="Arial"/>
          <w:sz w:val="19"/>
          <w:szCs w:val="19"/>
          <w:lang w:val="es-CO"/>
        </w:rPr>
        <w:t>La Superintendencia Bancaria señalará los ramos y la clase de contratos que se redacten en idioma extranjero.</w:t>
      </w:r>
    </w:p>
    <w:p w14:paraId="67B66079" w14:textId="5DB06D9C" w:rsidR="004E2047" w:rsidRPr="004E2047" w:rsidRDefault="004E2047" w:rsidP="004E2047">
      <w:pPr>
        <w:pStyle w:val="Textonotapie"/>
        <w:ind w:firstLine="709"/>
        <w:jc w:val="both"/>
        <w:rPr>
          <w:rFonts w:ascii="Arial" w:hAnsi="Arial" w:cs="Arial"/>
          <w:sz w:val="19"/>
          <w:szCs w:val="19"/>
          <w:lang w:val="es-CO"/>
        </w:rPr>
      </w:pPr>
      <w:r w:rsidRPr="004E2047">
        <w:rPr>
          <w:rFonts w:ascii="Arial" w:hAnsi="Arial" w:cs="Arial"/>
          <w:color w:val="000000" w:themeColor="text1"/>
          <w:sz w:val="22"/>
          <w:szCs w:val="22"/>
        </w:rPr>
        <w:t>»</w:t>
      </w:r>
      <w:r w:rsidRPr="004E2047">
        <w:rPr>
          <w:rFonts w:ascii="Arial" w:hAnsi="Arial" w:cs="Arial"/>
          <w:sz w:val="19"/>
          <w:szCs w:val="19"/>
          <w:lang w:val="es-CO"/>
        </w:rPr>
        <w:t>Parágrafo</w:t>
      </w:r>
      <w:r w:rsidRPr="00881FC0">
        <w:rPr>
          <w:rFonts w:ascii="Arial" w:hAnsi="Arial" w:cs="Arial"/>
          <w:sz w:val="19"/>
          <w:szCs w:val="19"/>
          <w:lang w:val="es-CO"/>
        </w:rPr>
        <w:t>.</w:t>
      </w:r>
      <w:r w:rsidRPr="004E2047">
        <w:rPr>
          <w:rFonts w:ascii="Arial" w:hAnsi="Arial" w:cs="Arial"/>
          <w:sz w:val="19"/>
          <w:szCs w:val="19"/>
          <w:lang w:val="es-CO"/>
        </w:rPr>
        <w:t> El asegurador está también obligado a librar a petición y a costa del tomador, del asegurado o del beneficiario duplicados o copias de la póliza</w:t>
      </w:r>
      <w:r w:rsidRPr="00FF109C">
        <w:rPr>
          <w:rFonts w:ascii="Arial" w:hAnsi="Arial" w:cs="Arial"/>
          <w:color w:val="000000" w:themeColor="text1"/>
          <w:sz w:val="22"/>
          <w:szCs w:val="22"/>
        </w:rPr>
        <w:t>»</w:t>
      </w:r>
      <w:r w:rsidR="003F526B">
        <w:rPr>
          <w:rFonts w:ascii="Arial" w:hAnsi="Arial" w:cs="Arial"/>
          <w:color w:val="000000" w:themeColor="text1"/>
          <w:sz w:val="22"/>
          <w:szCs w:val="22"/>
        </w:rPr>
        <w:t>.</w:t>
      </w:r>
    </w:p>
    <w:p w14:paraId="22DD77DF" w14:textId="5A9FEC5B" w:rsidR="004E2047" w:rsidRPr="004E2047" w:rsidRDefault="004E2047">
      <w:pPr>
        <w:pStyle w:val="Textonotapie"/>
        <w:rPr>
          <w:lang w:val="es-CO"/>
        </w:rPr>
      </w:pPr>
    </w:p>
  </w:footnote>
  <w:footnote w:id="13">
    <w:p w14:paraId="0DCA4677"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Style w:val="Refdenotaalpie"/>
          <w:rFonts w:ascii="Arial" w:hAnsi="Arial" w:cs="Arial"/>
          <w:color w:val="000000" w:themeColor="text1"/>
          <w:sz w:val="19"/>
          <w:szCs w:val="19"/>
        </w:rPr>
        <w:footnoteRef/>
      </w:r>
      <w:r w:rsidRPr="007D4A8E">
        <w:rPr>
          <w:rFonts w:ascii="Arial" w:hAnsi="Arial" w:cs="Arial"/>
          <w:color w:val="000000" w:themeColor="text1"/>
          <w:sz w:val="19"/>
          <w:szCs w:val="19"/>
        </w:rPr>
        <w:t xml:space="preserve"> «Artículo 2.2.1.2.3.1.6. Garantía de los Riesgos derivados del incumplimiento de la oferta. La garantía de seriedad de la oferta debe cubrir la sanción derivada del incumplimiento de la oferta, en los siguientes eventos:</w:t>
      </w:r>
    </w:p>
    <w:p w14:paraId="23FDFAAE"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»1.    La no ampliación de la vigencia de la garantía de seriedad de la oferta cuando el plazo para la adjudicación o para suscribir el contrato es prorrogado, siempre que tal prórroga sea inferior a tres (3) meses.</w:t>
      </w:r>
    </w:p>
    <w:p w14:paraId="6186A892"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»2.    El retiro de la oferta después de vencido el plazo fijado para la presentación de las ofertas.</w:t>
      </w:r>
    </w:p>
    <w:p w14:paraId="05FDCE32"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»3.    La no suscripción del contrato sin justa causa por parte del adjudicatario.</w:t>
      </w:r>
    </w:p>
    <w:p w14:paraId="74DC0FE1"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»4.  La falta de otorgamiento por parte del proponente seleccionado de la garantía de cumplimiento del contrato».</w:t>
      </w:r>
    </w:p>
    <w:p w14:paraId="395A2206"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 xml:space="preserve">[…] </w:t>
      </w:r>
    </w:p>
    <w:p w14:paraId="51D8209D"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«Artículo 2.2.1.2.3.1.9. Suficiencia de la garantía de seriedad de la oferta. La garantía de seriedad de la oferta debe estar vigente desde la presentación de la oferta y hasta la aprobación de la garantía de cumplimiento del contrato y su valor debe ser de por lo menos el diez por ciento (10%) del valor de la oferta.</w:t>
      </w:r>
    </w:p>
    <w:p w14:paraId="6B67F81B"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»El valor de la garantía de seriedad de la oferta que presenten los proponentes en el Proceso de Contratación de un Acuerdo Marco de Precio debe ser de mil (1.000) SMMLV.</w:t>
      </w:r>
    </w:p>
    <w:p w14:paraId="0EA6122E"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»El valor de la garantía de seriedad de la oferta que presenten los proponentes en la subasta inversa y en el concurso de méritos debe ser equivalente al diez por ciento (10%) del presupuesto oficial estimado del Proceso de Contratación.</w:t>
      </w:r>
    </w:p>
    <w:p w14:paraId="1414379F"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»Cuando el valor de la oferta o el presupuesto estimado de la contratación sea superior a un millón (1.000.000) de SMMLV se aplicarán las siguientes reglas:</w:t>
      </w:r>
    </w:p>
    <w:p w14:paraId="66A6781F"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»1.    Si el valor de la oferta es superior a un millón (1.000.000) de SMMLV y hasta cinco millones (5.000.000) de SMMLV, la Entidad Estatal puede aceptar garantías que cubran al menos el dos punto cinco por ciento (2,5%) del valor de la oferta.</w:t>
      </w:r>
    </w:p>
    <w:p w14:paraId="1B5B214B"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»2.  Si el valor de la oferta es superior a cinco millones (5.000.000) de SMMLV y hasta diez millones (10.000.000) de SMMLV, la Entidad Estatal puede aceptar garantías que cubran al menos el uno por ciento (1%) del valor de la oferta.</w:t>
      </w:r>
    </w:p>
    <w:p w14:paraId="12190088"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»3.    Si el valor de la oferta es superior a diez millones (10.000.000) de SMMLV, la Entidad Estatal puede aceptar garantías que cubran al menos el cero punto cinco por ciento (0,5%) del valor de la oferta».</w:t>
      </w:r>
    </w:p>
  </w:footnote>
  <w:footnote w:id="14">
    <w:p w14:paraId="6436236B" w14:textId="77777777" w:rsidR="00F226F3" w:rsidRPr="007D4A8E" w:rsidRDefault="00F226F3" w:rsidP="00472485">
      <w:pPr>
        <w:pStyle w:val="Textonotapie"/>
        <w:jc w:val="both"/>
        <w:rPr>
          <w:rFonts w:ascii="Arial" w:hAnsi="Arial" w:cs="Arial"/>
          <w:sz w:val="19"/>
          <w:szCs w:val="19"/>
        </w:rPr>
      </w:pPr>
    </w:p>
    <w:p w14:paraId="0BF99AB0" w14:textId="77777777" w:rsidR="00F226F3" w:rsidRPr="007D4A8E" w:rsidRDefault="00F226F3" w:rsidP="00472485">
      <w:pPr>
        <w:pStyle w:val="Textonotapie"/>
        <w:ind w:firstLine="708"/>
        <w:jc w:val="both"/>
        <w:rPr>
          <w:rFonts w:ascii="Arial" w:hAnsi="Arial" w:cs="Arial"/>
          <w:sz w:val="19"/>
          <w:szCs w:val="19"/>
        </w:rPr>
      </w:pPr>
      <w:r w:rsidRPr="007D4A8E">
        <w:rPr>
          <w:rStyle w:val="Refdenotaalpie"/>
          <w:rFonts w:ascii="Arial" w:hAnsi="Arial" w:cs="Arial"/>
          <w:sz w:val="19"/>
          <w:szCs w:val="19"/>
        </w:rPr>
        <w:footnoteRef/>
      </w:r>
      <w:r w:rsidRPr="007D4A8E">
        <w:rPr>
          <w:rFonts w:ascii="Arial" w:hAnsi="Arial" w:cs="Arial"/>
          <w:sz w:val="19"/>
          <w:szCs w:val="19"/>
        </w:rPr>
        <w:t xml:space="preserve"> Al respecto esta Agencia ha expedido los conceptos C-675 de 25 de noviembre de 2020 –Radicado de entrada No. 4202013000009300. Radicado de salida No. 2202013000011706– y C-683 del 25 de noviembre de 2020–Radicado de entrada No. 4202012000009307. Radicado de salida No. 2202013000011701–. </w:t>
      </w:r>
    </w:p>
  </w:footnote>
  <w:footnote w:id="15">
    <w:p w14:paraId="01B00B1D" w14:textId="77777777" w:rsidR="00F226F3" w:rsidRPr="007D4A8E" w:rsidRDefault="00F226F3" w:rsidP="00472485">
      <w:pPr>
        <w:pStyle w:val="Textonotapie"/>
        <w:ind w:firstLine="708"/>
        <w:jc w:val="both"/>
        <w:rPr>
          <w:rFonts w:ascii="Arial" w:hAnsi="Arial" w:cs="Arial"/>
          <w:color w:val="000000" w:themeColor="text1"/>
          <w:sz w:val="19"/>
          <w:szCs w:val="19"/>
        </w:rPr>
      </w:pPr>
    </w:p>
    <w:p w14:paraId="59A6FB5A"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Style w:val="Refdenotaalpie"/>
          <w:rFonts w:ascii="Arial" w:hAnsi="Arial" w:cs="Arial"/>
          <w:color w:val="000000" w:themeColor="text1"/>
          <w:sz w:val="19"/>
          <w:szCs w:val="19"/>
        </w:rPr>
        <w:footnoteRef/>
      </w:r>
      <w:r w:rsidRPr="007D4A8E">
        <w:rPr>
          <w:rFonts w:ascii="Arial" w:hAnsi="Arial" w:cs="Arial"/>
          <w:color w:val="000000" w:themeColor="text1"/>
          <w:sz w:val="19"/>
          <w:szCs w:val="19"/>
        </w:rPr>
        <w:t xml:space="preserve"> «Artículo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76057ECA"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»Lo dispuesto en el inciso anterior deberá consignarse por parte del asegurador en la carátula de la póliza, en caracteres destacados.</w:t>
      </w:r>
    </w:p>
    <w:p w14:paraId="4BDE0D15"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Fonts w:ascii="Arial" w:hAnsi="Arial" w:cs="Arial"/>
          <w:color w:val="000000" w:themeColor="text1"/>
          <w:sz w:val="19"/>
          <w:szCs w:val="19"/>
        </w:rPr>
        <w:t>»Lo dispuesto en este artículo no podrá ser modificado por las partes».</w:t>
      </w:r>
    </w:p>
    <w:p w14:paraId="20A8C8A8" w14:textId="77777777" w:rsidR="00F226F3" w:rsidRPr="007D4A8E" w:rsidRDefault="00F226F3" w:rsidP="00472485">
      <w:pPr>
        <w:pStyle w:val="Textonotapie"/>
        <w:ind w:firstLine="708"/>
        <w:jc w:val="both"/>
        <w:rPr>
          <w:rFonts w:ascii="Arial" w:hAnsi="Arial" w:cs="Arial"/>
          <w:color w:val="000000" w:themeColor="text1"/>
          <w:sz w:val="19"/>
          <w:szCs w:val="19"/>
        </w:rPr>
      </w:pPr>
    </w:p>
  </w:footnote>
  <w:footnote w:id="16">
    <w:p w14:paraId="06268956"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Style w:val="Refdenotaalpie"/>
          <w:rFonts w:ascii="Arial" w:hAnsi="Arial" w:cs="Arial"/>
          <w:color w:val="000000" w:themeColor="text1"/>
          <w:sz w:val="19"/>
          <w:szCs w:val="19"/>
        </w:rPr>
        <w:footnoteRef/>
      </w:r>
      <w:r w:rsidRPr="007D4A8E">
        <w:rPr>
          <w:rFonts w:ascii="Arial" w:hAnsi="Arial" w:cs="Arial"/>
          <w:color w:val="000000" w:themeColor="text1"/>
          <w:sz w:val="19"/>
          <w:szCs w:val="19"/>
          <w:lang w:val="pt-BR"/>
        </w:rPr>
        <w:t xml:space="preserve"> CORTE CONSTITUCIONAL. Sentencia C-452 de 1999. </w:t>
      </w:r>
      <w:r w:rsidRPr="007D4A8E">
        <w:rPr>
          <w:rFonts w:ascii="Arial" w:hAnsi="Arial" w:cs="Arial"/>
          <w:color w:val="000000" w:themeColor="text1"/>
          <w:sz w:val="19"/>
          <w:szCs w:val="19"/>
        </w:rPr>
        <w:t xml:space="preserve">M.P. Eduardo Cifuentes Muñoz. </w:t>
      </w:r>
    </w:p>
    <w:p w14:paraId="0F6F537B" w14:textId="77777777" w:rsidR="00F226F3" w:rsidRPr="007D4A8E" w:rsidRDefault="00F226F3" w:rsidP="00472485">
      <w:pPr>
        <w:pStyle w:val="Textonotapie"/>
        <w:ind w:firstLine="708"/>
        <w:jc w:val="both"/>
        <w:rPr>
          <w:rFonts w:ascii="Arial" w:hAnsi="Arial" w:cs="Arial"/>
          <w:color w:val="000000" w:themeColor="text1"/>
          <w:sz w:val="19"/>
          <w:szCs w:val="19"/>
        </w:rPr>
      </w:pPr>
    </w:p>
  </w:footnote>
  <w:footnote w:id="17">
    <w:p w14:paraId="3CE241BE" w14:textId="77777777" w:rsidR="00F226F3" w:rsidRPr="007D4A8E" w:rsidRDefault="00F226F3" w:rsidP="00472485">
      <w:pPr>
        <w:pStyle w:val="Textonotapie"/>
        <w:ind w:firstLine="708"/>
        <w:jc w:val="both"/>
        <w:rPr>
          <w:rFonts w:ascii="Arial" w:hAnsi="Arial" w:cs="Arial"/>
          <w:color w:val="000000" w:themeColor="text1"/>
          <w:sz w:val="19"/>
          <w:szCs w:val="19"/>
        </w:rPr>
      </w:pPr>
      <w:r w:rsidRPr="007D4A8E">
        <w:rPr>
          <w:rStyle w:val="Refdenotaalpie"/>
          <w:rFonts w:ascii="Arial" w:hAnsi="Arial" w:cs="Arial"/>
          <w:sz w:val="19"/>
          <w:szCs w:val="19"/>
        </w:rPr>
        <w:footnoteRef/>
      </w:r>
      <w:r w:rsidRPr="007D4A8E">
        <w:rPr>
          <w:rFonts w:ascii="Arial" w:hAnsi="Arial" w:cs="Arial"/>
          <w:sz w:val="19"/>
          <w:szCs w:val="19"/>
        </w:rPr>
        <w:t xml:space="preserve"> Sobre este aspecto, la doctrina explica que: «Las garantías provisionales “avalan la solemnidad de la oferta por parte del contratista”; constituyen una seña pre-contractual destinada a asegurar la celebración del contrato, no su cumplimiento. La administración procede a devolver a los oferentes no adjudicatarios, y a transformar en definitiva respecto al adjudicatario, las garantías provisionales, deduciéndose entonces que las arras no forman parte del precio, ni son por tanto arras confirmatorias […], sino puramente penitenciales […] como garantías y compensación del ius poenitendi del licitante. Son, en consecuencia, “la medida de la responsabilidad pre-contractual del oferente”; o, más bien, la garantía de oferta representa en definitiva la medida de la responsabilidad» (Cursivas dentro del texto). </w:t>
      </w:r>
      <w:r w:rsidRPr="007D4A8E">
        <w:rPr>
          <w:rFonts w:ascii="Arial" w:hAnsi="Arial" w:cs="Arial"/>
          <w:color w:val="000000" w:themeColor="text1"/>
          <w:sz w:val="19"/>
          <w:szCs w:val="19"/>
        </w:rPr>
        <w:t>DROMI, José Roberto. La licitación pública. Buenos Aires: Ciudad Argentina, 1980. pp. 288-289.</w:t>
      </w:r>
    </w:p>
    <w:p w14:paraId="4F00E85E" w14:textId="77777777" w:rsidR="00F226F3" w:rsidRPr="007D4A8E" w:rsidRDefault="00F226F3" w:rsidP="00472485">
      <w:pPr>
        <w:pStyle w:val="Textonotapie"/>
        <w:ind w:firstLine="708"/>
        <w:jc w:val="both"/>
        <w:rPr>
          <w:rFonts w:ascii="Arial" w:hAnsi="Arial" w:cs="Arial"/>
          <w:sz w:val="19"/>
          <w:szCs w:val="19"/>
        </w:rPr>
      </w:pPr>
    </w:p>
  </w:footnote>
  <w:footnote w:id="18">
    <w:p w14:paraId="61EE3EB7" w14:textId="3CFCE71E" w:rsidR="00F226F3" w:rsidRPr="007D4A8E" w:rsidRDefault="00F226F3" w:rsidP="00472485">
      <w:pPr>
        <w:pStyle w:val="Textonotapie"/>
        <w:ind w:firstLine="708"/>
        <w:jc w:val="both"/>
        <w:rPr>
          <w:rFonts w:ascii="Arial" w:hAnsi="Arial" w:cs="Arial"/>
          <w:sz w:val="19"/>
          <w:szCs w:val="19"/>
        </w:rPr>
      </w:pPr>
      <w:r w:rsidRPr="007D4A8E">
        <w:rPr>
          <w:rStyle w:val="Refdenotaalpie"/>
          <w:rFonts w:ascii="Arial" w:hAnsi="Arial" w:cs="Arial"/>
          <w:sz w:val="19"/>
          <w:szCs w:val="19"/>
        </w:rPr>
        <w:footnoteRef/>
      </w:r>
      <w:r w:rsidRPr="007D4A8E">
        <w:rPr>
          <w:rFonts w:ascii="Arial" w:hAnsi="Arial" w:cs="Arial"/>
          <w:sz w:val="19"/>
          <w:szCs w:val="19"/>
        </w:rPr>
        <w:t xml:space="preserve"> </w:t>
      </w:r>
      <w:r w:rsidRPr="00A04D21">
        <w:rPr>
          <w:rFonts w:ascii="Arial" w:hAnsi="Arial" w:cs="Arial"/>
          <w:sz w:val="19"/>
          <w:szCs w:val="19"/>
        </w:rPr>
        <w:t>Al respecto, el numeral 7.</w:t>
      </w:r>
      <w:r w:rsidR="00A04D21" w:rsidRPr="00A04D21">
        <w:rPr>
          <w:rFonts w:ascii="Arial" w:hAnsi="Arial" w:cs="Arial"/>
          <w:sz w:val="19"/>
          <w:szCs w:val="19"/>
        </w:rPr>
        <w:t>1</w:t>
      </w:r>
      <w:r w:rsidRPr="00A04D21">
        <w:rPr>
          <w:rFonts w:ascii="Arial" w:hAnsi="Arial" w:cs="Arial"/>
          <w:sz w:val="19"/>
          <w:szCs w:val="19"/>
        </w:rPr>
        <w:t xml:space="preserve"> del «Pliego Tipo – Versión 3» para la licitación pública para los contratos de obra de infraestructura de transporte dispone que la garantía de seriedad de la oferta tiene una vigencia de «3 meses contados a partir de la fecha de cierre del Proceso de Contratación», lo que se reitera en el numeral 7.1 del documento base para la selección abreviada de menor cuantía y, con carácter potestativo, en el numeral 7.1 de la invitación para la mínima cuantía.</w:t>
      </w:r>
    </w:p>
    <w:p w14:paraId="0BE8CC19" w14:textId="77777777" w:rsidR="00F226F3" w:rsidRPr="007D4A8E" w:rsidRDefault="00F226F3" w:rsidP="00472485">
      <w:pPr>
        <w:pStyle w:val="Textonotapie"/>
        <w:ind w:firstLine="708"/>
        <w:jc w:val="both"/>
        <w:rPr>
          <w:rFonts w:ascii="Arial" w:hAnsi="Arial" w:cs="Arial"/>
          <w:sz w:val="19"/>
          <w:szCs w:val="19"/>
          <w:lang w:val="es-ES"/>
        </w:rPr>
      </w:pPr>
    </w:p>
  </w:footnote>
  <w:footnote w:id="19">
    <w:p w14:paraId="7CEA97D8" w14:textId="77777777" w:rsidR="00F226F3" w:rsidRPr="007D4A8E" w:rsidRDefault="00F226F3" w:rsidP="00472485">
      <w:pPr>
        <w:pStyle w:val="Textonotapie"/>
        <w:ind w:firstLine="708"/>
        <w:jc w:val="both"/>
        <w:rPr>
          <w:rFonts w:ascii="Arial" w:hAnsi="Arial" w:cs="Arial"/>
          <w:sz w:val="19"/>
          <w:szCs w:val="19"/>
        </w:rPr>
      </w:pPr>
      <w:r w:rsidRPr="007D4A8E">
        <w:rPr>
          <w:rStyle w:val="Refdenotaalpie"/>
          <w:rFonts w:ascii="Arial" w:hAnsi="Arial" w:cs="Arial"/>
          <w:sz w:val="19"/>
          <w:szCs w:val="19"/>
        </w:rPr>
        <w:footnoteRef/>
      </w:r>
      <w:r w:rsidRPr="007D4A8E">
        <w:rPr>
          <w:rFonts w:ascii="Arial" w:hAnsi="Arial" w:cs="Arial"/>
          <w:sz w:val="19"/>
          <w:szCs w:val="19"/>
        </w:rPr>
        <w:t xml:space="preserve"> Sobre el particular, el artículo 2.2.1.2.3.2.8 del Decreto 1082 de 2015 dispone lo siguiente: «En caso de siniestro en la garantía de la seriedad de la oferta, la compañía de seguros debe responder por el total del valor asegurado a título de sanción».</w:t>
      </w:r>
    </w:p>
    <w:p w14:paraId="4ED04596" w14:textId="77777777" w:rsidR="00F226F3" w:rsidRPr="007D4A8E" w:rsidRDefault="00F226F3" w:rsidP="00472485">
      <w:pPr>
        <w:pStyle w:val="Textonotapie"/>
        <w:ind w:firstLine="708"/>
        <w:jc w:val="both"/>
        <w:rPr>
          <w:rFonts w:ascii="Arial" w:hAnsi="Arial" w:cs="Arial"/>
          <w:sz w:val="19"/>
          <w:szCs w:val="19"/>
        </w:rPr>
      </w:pPr>
    </w:p>
  </w:footnote>
  <w:footnote w:id="20">
    <w:p w14:paraId="270A58BF" w14:textId="77777777" w:rsidR="00F226F3" w:rsidRPr="007D4A8E" w:rsidRDefault="00F226F3" w:rsidP="00472485">
      <w:pPr>
        <w:pStyle w:val="Textonotapie"/>
        <w:ind w:firstLine="708"/>
        <w:jc w:val="both"/>
        <w:rPr>
          <w:rFonts w:ascii="Arial" w:hAnsi="Arial" w:cs="Arial"/>
          <w:sz w:val="19"/>
          <w:szCs w:val="19"/>
        </w:rPr>
      </w:pPr>
      <w:r w:rsidRPr="007D4A8E">
        <w:rPr>
          <w:rStyle w:val="Refdenotaalpie"/>
          <w:rFonts w:ascii="Arial" w:hAnsi="Arial" w:cs="Arial"/>
          <w:sz w:val="19"/>
          <w:szCs w:val="19"/>
        </w:rPr>
        <w:footnoteRef/>
      </w:r>
      <w:r w:rsidRPr="007D4A8E">
        <w:rPr>
          <w:rFonts w:ascii="Arial" w:hAnsi="Arial" w:cs="Arial"/>
          <w:sz w:val="19"/>
          <w:szCs w:val="19"/>
        </w:rPr>
        <w:t xml:space="preserve">  Sobre las particularidades de la garantía de seriedad en el ámbito del derecho privado respecto de la contratación pública esta Subdirección ha considerado lo siguiente: «[…] la ley civil y comercial dispone de plazos cortos para aceptar la propuesta –a falta de pacto en contrario–. Los artículos 846 y 847 del Código de Comercio definen el término de obligatoriedad de la propuesta cuando se ofrecen mercaderías o se exhiben bienes en vitrinas o mostradores. Adicionalmente, los artículos 850 y 851 ibidem definen el plazo de vinculación de la oferta en la propuesta verbal y escrita, respectivamente. Para la primera dispone que «[…] deberá ser aceptada o rechazada en el acto de oírse», agregando que «[…] La propuesta hecha por teléfono se asimilará, para los efectos de su aceptación o rechazo, a la propuesta verbal entre presentes». Por su parte, la segunda «[…] deberá ser aceptada o rechazada dentro de los seis días siguientes a la fecha que tenga la propuesta, si el destinatario reside en el mismo lugar del proponente; [pero] si reside en lugar distinto, a dicho término se sumará el de la distancia» (Corchetes fuera de texto), el cual –conforme al artículo 852 del Código de Comercio– se calcula según el medio empleado por el proponente. </w:t>
      </w:r>
    </w:p>
    <w:p w14:paraId="52FB5547" w14:textId="77777777" w:rsidR="00F226F3" w:rsidRPr="007D4A8E" w:rsidRDefault="00F226F3" w:rsidP="00472485">
      <w:pPr>
        <w:pStyle w:val="Textonotapie"/>
        <w:ind w:firstLine="708"/>
        <w:jc w:val="both"/>
        <w:rPr>
          <w:rFonts w:ascii="Arial" w:hAnsi="Arial" w:cs="Arial"/>
          <w:sz w:val="19"/>
          <w:szCs w:val="19"/>
        </w:rPr>
      </w:pPr>
      <w:r w:rsidRPr="007D4A8E">
        <w:rPr>
          <w:rFonts w:ascii="Arial" w:hAnsi="Arial" w:cs="Arial"/>
          <w:sz w:val="19"/>
          <w:szCs w:val="19"/>
        </w:rPr>
        <w:t xml:space="preserve">»Aunque el artículo 853 dispone que estos términos son supletivos, porque «Las partes podrán fijar plazos distintos a la aceptación o rechazo de la propuesta o ésta contenerlos», en la contratación estatal no hay norma semejante, pero la garantía de seriedad directamente es la que define el plazo de mantenimiento de la propuesta, el cual acepta el proponente cuando se presentar al procedimiento de selección». Agencia Nacional de Contratación Pública – Colombia Compra Eficiente. Concepto C-391 del 10 de agosto de 2020. Radicado de entrada No. 4202013000004385. Radicado de salida No. 2202013000007273.    </w:t>
      </w:r>
    </w:p>
    <w:p w14:paraId="0F035FFC" w14:textId="77777777" w:rsidR="00F226F3" w:rsidRPr="007D4A8E" w:rsidRDefault="00F226F3" w:rsidP="00472485">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40E"/>
    <w:rsid w:val="00005958"/>
    <w:rsid w:val="000059D3"/>
    <w:rsid w:val="0000600A"/>
    <w:rsid w:val="00006081"/>
    <w:rsid w:val="000060D0"/>
    <w:rsid w:val="000069B1"/>
    <w:rsid w:val="000075EA"/>
    <w:rsid w:val="00007750"/>
    <w:rsid w:val="000077FD"/>
    <w:rsid w:val="00007E37"/>
    <w:rsid w:val="00010408"/>
    <w:rsid w:val="00010C40"/>
    <w:rsid w:val="000112B4"/>
    <w:rsid w:val="00011DCC"/>
    <w:rsid w:val="00012532"/>
    <w:rsid w:val="000129FD"/>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1C0A"/>
    <w:rsid w:val="0002256F"/>
    <w:rsid w:val="0002296A"/>
    <w:rsid w:val="0002379D"/>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9C"/>
    <w:rsid w:val="000856DE"/>
    <w:rsid w:val="00085F17"/>
    <w:rsid w:val="00085FB3"/>
    <w:rsid w:val="0008686B"/>
    <w:rsid w:val="00086B2A"/>
    <w:rsid w:val="00086ED2"/>
    <w:rsid w:val="000914D6"/>
    <w:rsid w:val="00091569"/>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CFF"/>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39"/>
    <w:rsid w:val="000C0F81"/>
    <w:rsid w:val="000C128D"/>
    <w:rsid w:val="000C17A3"/>
    <w:rsid w:val="000C1D4B"/>
    <w:rsid w:val="000C3260"/>
    <w:rsid w:val="000C3616"/>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7A4"/>
    <w:rsid w:val="000F4C3F"/>
    <w:rsid w:val="000F4E17"/>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56F"/>
    <w:rsid w:val="00122B23"/>
    <w:rsid w:val="00122B7E"/>
    <w:rsid w:val="00123D64"/>
    <w:rsid w:val="00123FB5"/>
    <w:rsid w:val="0012400F"/>
    <w:rsid w:val="001246C9"/>
    <w:rsid w:val="001249DC"/>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50E"/>
    <w:rsid w:val="0017391B"/>
    <w:rsid w:val="001742BF"/>
    <w:rsid w:val="001749DF"/>
    <w:rsid w:val="001750D2"/>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A4A"/>
    <w:rsid w:val="00191C5A"/>
    <w:rsid w:val="00191CEB"/>
    <w:rsid w:val="00191E63"/>
    <w:rsid w:val="00192D68"/>
    <w:rsid w:val="0019388B"/>
    <w:rsid w:val="00193B9A"/>
    <w:rsid w:val="001946AE"/>
    <w:rsid w:val="001946D5"/>
    <w:rsid w:val="00194E8C"/>
    <w:rsid w:val="001962EC"/>
    <w:rsid w:val="001963DD"/>
    <w:rsid w:val="001965DB"/>
    <w:rsid w:val="00196DC9"/>
    <w:rsid w:val="00197ACA"/>
    <w:rsid w:val="001A0236"/>
    <w:rsid w:val="001A0AF8"/>
    <w:rsid w:val="001A18D5"/>
    <w:rsid w:val="001A1D4A"/>
    <w:rsid w:val="001A3011"/>
    <w:rsid w:val="001A325B"/>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B73F5"/>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87D"/>
    <w:rsid w:val="001D2970"/>
    <w:rsid w:val="001D30F3"/>
    <w:rsid w:val="001D31A0"/>
    <w:rsid w:val="001D338E"/>
    <w:rsid w:val="001D3786"/>
    <w:rsid w:val="001D3D3F"/>
    <w:rsid w:val="001D3FE2"/>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4C62"/>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88"/>
    <w:rsid w:val="0021148C"/>
    <w:rsid w:val="00211694"/>
    <w:rsid w:val="0021201A"/>
    <w:rsid w:val="002122FC"/>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8EC"/>
    <w:rsid w:val="00222BE8"/>
    <w:rsid w:val="00223102"/>
    <w:rsid w:val="002232CB"/>
    <w:rsid w:val="00224022"/>
    <w:rsid w:val="00226055"/>
    <w:rsid w:val="0022613F"/>
    <w:rsid w:val="00226236"/>
    <w:rsid w:val="0022668A"/>
    <w:rsid w:val="00226DF9"/>
    <w:rsid w:val="002270C9"/>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3257"/>
    <w:rsid w:val="00243434"/>
    <w:rsid w:val="00244058"/>
    <w:rsid w:val="00244F9A"/>
    <w:rsid w:val="00245718"/>
    <w:rsid w:val="00245E07"/>
    <w:rsid w:val="0024729C"/>
    <w:rsid w:val="00247712"/>
    <w:rsid w:val="00250EC6"/>
    <w:rsid w:val="00251866"/>
    <w:rsid w:val="00251A9F"/>
    <w:rsid w:val="00252492"/>
    <w:rsid w:val="00252919"/>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670C4"/>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784"/>
    <w:rsid w:val="002929BB"/>
    <w:rsid w:val="00292E64"/>
    <w:rsid w:val="002932BA"/>
    <w:rsid w:val="00293669"/>
    <w:rsid w:val="00294368"/>
    <w:rsid w:val="00294B78"/>
    <w:rsid w:val="00295949"/>
    <w:rsid w:val="0029624A"/>
    <w:rsid w:val="00296922"/>
    <w:rsid w:val="00297098"/>
    <w:rsid w:val="002A05D4"/>
    <w:rsid w:val="002A09FF"/>
    <w:rsid w:val="002A0E60"/>
    <w:rsid w:val="002A1A58"/>
    <w:rsid w:val="002A1B02"/>
    <w:rsid w:val="002A1C53"/>
    <w:rsid w:val="002A2711"/>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3ADB"/>
    <w:rsid w:val="002B438C"/>
    <w:rsid w:val="002B48DB"/>
    <w:rsid w:val="002B4B34"/>
    <w:rsid w:val="002B508E"/>
    <w:rsid w:val="002B541A"/>
    <w:rsid w:val="002B6407"/>
    <w:rsid w:val="002B6416"/>
    <w:rsid w:val="002B6459"/>
    <w:rsid w:val="002B64D2"/>
    <w:rsid w:val="002B6A13"/>
    <w:rsid w:val="002B73B0"/>
    <w:rsid w:val="002C1143"/>
    <w:rsid w:val="002C24B4"/>
    <w:rsid w:val="002C2B3A"/>
    <w:rsid w:val="002C2B87"/>
    <w:rsid w:val="002C3CF4"/>
    <w:rsid w:val="002C441A"/>
    <w:rsid w:val="002C4A73"/>
    <w:rsid w:val="002C4B84"/>
    <w:rsid w:val="002C4C0C"/>
    <w:rsid w:val="002C4D2F"/>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6D3"/>
    <w:rsid w:val="002D5A1B"/>
    <w:rsid w:val="002D65BC"/>
    <w:rsid w:val="002D6D7E"/>
    <w:rsid w:val="002D7EDD"/>
    <w:rsid w:val="002E021E"/>
    <w:rsid w:val="002E055C"/>
    <w:rsid w:val="002E1050"/>
    <w:rsid w:val="002E18E5"/>
    <w:rsid w:val="002E1953"/>
    <w:rsid w:val="002E2609"/>
    <w:rsid w:val="002E2D7D"/>
    <w:rsid w:val="002E3AB5"/>
    <w:rsid w:val="002E3D76"/>
    <w:rsid w:val="002E40A1"/>
    <w:rsid w:val="002E48EC"/>
    <w:rsid w:val="002E4B44"/>
    <w:rsid w:val="002E4ECB"/>
    <w:rsid w:val="002E4F23"/>
    <w:rsid w:val="002E5B53"/>
    <w:rsid w:val="002E62D9"/>
    <w:rsid w:val="002E7847"/>
    <w:rsid w:val="002E7FCF"/>
    <w:rsid w:val="002F0073"/>
    <w:rsid w:val="002F0618"/>
    <w:rsid w:val="002F1D41"/>
    <w:rsid w:val="002F240B"/>
    <w:rsid w:val="002F2F50"/>
    <w:rsid w:val="002F3601"/>
    <w:rsid w:val="002F3D6B"/>
    <w:rsid w:val="002F45F6"/>
    <w:rsid w:val="002F6389"/>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6BD"/>
    <w:rsid w:val="0031088E"/>
    <w:rsid w:val="00310A35"/>
    <w:rsid w:val="00310CAF"/>
    <w:rsid w:val="00310D01"/>
    <w:rsid w:val="00311376"/>
    <w:rsid w:val="00311A1F"/>
    <w:rsid w:val="00311B47"/>
    <w:rsid w:val="00311D52"/>
    <w:rsid w:val="00312190"/>
    <w:rsid w:val="003125E0"/>
    <w:rsid w:val="00312606"/>
    <w:rsid w:val="0031271D"/>
    <w:rsid w:val="00313447"/>
    <w:rsid w:val="00313748"/>
    <w:rsid w:val="00313EA3"/>
    <w:rsid w:val="00315457"/>
    <w:rsid w:val="003156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14"/>
    <w:rsid w:val="003227D3"/>
    <w:rsid w:val="00322937"/>
    <w:rsid w:val="00322A46"/>
    <w:rsid w:val="00322A84"/>
    <w:rsid w:val="00323881"/>
    <w:rsid w:val="00323B73"/>
    <w:rsid w:val="00325D98"/>
    <w:rsid w:val="0032682A"/>
    <w:rsid w:val="00327A5C"/>
    <w:rsid w:val="003302E8"/>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19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46EF"/>
    <w:rsid w:val="00355131"/>
    <w:rsid w:val="00356438"/>
    <w:rsid w:val="00361A59"/>
    <w:rsid w:val="00362BCF"/>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8EE"/>
    <w:rsid w:val="003759D1"/>
    <w:rsid w:val="00375C7C"/>
    <w:rsid w:val="003762F6"/>
    <w:rsid w:val="00377027"/>
    <w:rsid w:val="00377135"/>
    <w:rsid w:val="00380272"/>
    <w:rsid w:val="00380576"/>
    <w:rsid w:val="003805DB"/>
    <w:rsid w:val="003813F4"/>
    <w:rsid w:val="0038152A"/>
    <w:rsid w:val="00382BAD"/>
    <w:rsid w:val="00383A8D"/>
    <w:rsid w:val="00384CD6"/>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0E23"/>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12A"/>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26B"/>
    <w:rsid w:val="003F559E"/>
    <w:rsid w:val="003F5DB7"/>
    <w:rsid w:val="003F6181"/>
    <w:rsid w:val="003F6E38"/>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D6E"/>
    <w:rsid w:val="0042188A"/>
    <w:rsid w:val="00421BD2"/>
    <w:rsid w:val="00421C3E"/>
    <w:rsid w:val="00421E00"/>
    <w:rsid w:val="00421FCB"/>
    <w:rsid w:val="00421FF6"/>
    <w:rsid w:val="00422DCA"/>
    <w:rsid w:val="00423F9F"/>
    <w:rsid w:val="0042499B"/>
    <w:rsid w:val="00425C43"/>
    <w:rsid w:val="004267AF"/>
    <w:rsid w:val="00426C69"/>
    <w:rsid w:val="004273FA"/>
    <w:rsid w:val="00430186"/>
    <w:rsid w:val="0043269A"/>
    <w:rsid w:val="00432E14"/>
    <w:rsid w:val="004333C2"/>
    <w:rsid w:val="00433ACB"/>
    <w:rsid w:val="00434787"/>
    <w:rsid w:val="004347DA"/>
    <w:rsid w:val="00434C13"/>
    <w:rsid w:val="00436323"/>
    <w:rsid w:val="0043683F"/>
    <w:rsid w:val="00436C48"/>
    <w:rsid w:val="00436E45"/>
    <w:rsid w:val="00436F40"/>
    <w:rsid w:val="004370FA"/>
    <w:rsid w:val="00437266"/>
    <w:rsid w:val="00440096"/>
    <w:rsid w:val="004403DD"/>
    <w:rsid w:val="00440DB0"/>
    <w:rsid w:val="00440FAD"/>
    <w:rsid w:val="0044105D"/>
    <w:rsid w:val="00441291"/>
    <w:rsid w:val="0044175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846"/>
    <w:rsid w:val="004511A5"/>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485"/>
    <w:rsid w:val="0047295C"/>
    <w:rsid w:val="00472D8E"/>
    <w:rsid w:val="004734CF"/>
    <w:rsid w:val="00474889"/>
    <w:rsid w:val="004754B6"/>
    <w:rsid w:val="00475C5A"/>
    <w:rsid w:val="00475C9C"/>
    <w:rsid w:val="0047676B"/>
    <w:rsid w:val="004768A2"/>
    <w:rsid w:val="0047773C"/>
    <w:rsid w:val="00477C5F"/>
    <w:rsid w:val="00480050"/>
    <w:rsid w:val="004801BE"/>
    <w:rsid w:val="004808DE"/>
    <w:rsid w:val="00481AC4"/>
    <w:rsid w:val="00481DC1"/>
    <w:rsid w:val="00482507"/>
    <w:rsid w:val="0048268A"/>
    <w:rsid w:val="00482E92"/>
    <w:rsid w:val="00483356"/>
    <w:rsid w:val="004835CA"/>
    <w:rsid w:val="004836F8"/>
    <w:rsid w:val="004836FE"/>
    <w:rsid w:val="00484074"/>
    <w:rsid w:val="004843F9"/>
    <w:rsid w:val="00484F0F"/>
    <w:rsid w:val="00484F40"/>
    <w:rsid w:val="0048540C"/>
    <w:rsid w:val="00485451"/>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14"/>
    <w:rsid w:val="004A16C1"/>
    <w:rsid w:val="004A1CE2"/>
    <w:rsid w:val="004A2069"/>
    <w:rsid w:val="004A2800"/>
    <w:rsid w:val="004A34D2"/>
    <w:rsid w:val="004A3597"/>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E5D"/>
    <w:rsid w:val="004C0DD8"/>
    <w:rsid w:val="004C22F7"/>
    <w:rsid w:val="004C2B27"/>
    <w:rsid w:val="004C3929"/>
    <w:rsid w:val="004C4DCB"/>
    <w:rsid w:val="004C5212"/>
    <w:rsid w:val="004C5320"/>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6826"/>
    <w:rsid w:val="004E023F"/>
    <w:rsid w:val="004E0742"/>
    <w:rsid w:val="004E0C64"/>
    <w:rsid w:val="004E0F6B"/>
    <w:rsid w:val="004E1545"/>
    <w:rsid w:val="004E1F1C"/>
    <w:rsid w:val="004E2047"/>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0A7"/>
    <w:rsid w:val="005012E2"/>
    <w:rsid w:val="00501481"/>
    <w:rsid w:val="0050160F"/>
    <w:rsid w:val="0050284E"/>
    <w:rsid w:val="005037CF"/>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6D4"/>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584"/>
    <w:rsid w:val="00567723"/>
    <w:rsid w:val="00567AB8"/>
    <w:rsid w:val="00567C02"/>
    <w:rsid w:val="005707F7"/>
    <w:rsid w:val="00570A26"/>
    <w:rsid w:val="0057221F"/>
    <w:rsid w:val="00572539"/>
    <w:rsid w:val="0057337D"/>
    <w:rsid w:val="00573504"/>
    <w:rsid w:val="00574708"/>
    <w:rsid w:val="00574D81"/>
    <w:rsid w:val="00575191"/>
    <w:rsid w:val="005756AA"/>
    <w:rsid w:val="00576233"/>
    <w:rsid w:val="0057696F"/>
    <w:rsid w:val="005774FE"/>
    <w:rsid w:val="0058040C"/>
    <w:rsid w:val="00580918"/>
    <w:rsid w:val="00580D6D"/>
    <w:rsid w:val="00581179"/>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A95"/>
    <w:rsid w:val="00593F75"/>
    <w:rsid w:val="005940A0"/>
    <w:rsid w:val="0059429A"/>
    <w:rsid w:val="00594E2D"/>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5732"/>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62BD"/>
    <w:rsid w:val="005C7F3E"/>
    <w:rsid w:val="005D0E1C"/>
    <w:rsid w:val="005D1051"/>
    <w:rsid w:val="005D154B"/>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760"/>
    <w:rsid w:val="005E3B0D"/>
    <w:rsid w:val="005E65B1"/>
    <w:rsid w:val="005E6EA5"/>
    <w:rsid w:val="005E75B3"/>
    <w:rsid w:val="005F041F"/>
    <w:rsid w:val="005F1216"/>
    <w:rsid w:val="005F1819"/>
    <w:rsid w:val="005F1D7D"/>
    <w:rsid w:val="005F1D89"/>
    <w:rsid w:val="005F305B"/>
    <w:rsid w:val="005F3361"/>
    <w:rsid w:val="005F39F2"/>
    <w:rsid w:val="005F3B47"/>
    <w:rsid w:val="005F4481"/>
    <w:rsid w:val="005F49AF"/>
    <w:rsid w:val="005F4A58"/>
    <w:rsid w:val="005F54DF"/>
    <w:rsid w:val="005F5888"/>
    <w:rsid w:val="005F5984"/>
    <w:rsid w:val="005F6CE2"/>
    <w:rsid w:val="005F7111"/>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0B66"/>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0CE"/>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5D08"/>
    <w:rsid w:val="00656B31"/>
    <w:rsid w:val="00656C4B"/>
    <w:rsid w:val="006573EA"/>
    <w:rsid w:val="00661029"/>
    <w:rsid w:val="00661042"/>
    <w:rsid w:val="0066135A"/>
    <w:rsid w:val="00661639"/>
    <w:rsid w:val="0066272D"/>
    <w:rsid w:val="00662E58"/>
    <w:rsid w:val="00662F10"/>
    <w:rsid w:val="00662F39"/>
    <w:rsid w:val="006635A0"/>
    <w:rsid w:val="00664351"/>
    <w:rsid w:val="006651A0"/>
    <w:rsid w:val="00665968"/>
    <w:rsid w:val="00665BF7"/>
    <w:rsid w:val="00666178"/>
    <w:rsid w:val="0066639E"/>
    <w:rsid w:val="00666473"/>
    <w:rsid w:val="00666C72"/>
    <w:rsid w:val="00666E6C"/>
    <w:rsid w:val="0066707F"/>
    <w:rsid w:val="00667ED8"/>
    <w:rsid w:val="0067064C"/>
    <w:rsid w:val="00670B20"/>
    <w:rsid w:val="00670E12"/>
    <w:rsid w:val="00672E80"/>
    <w:rsid w:val="0067308A"/>
    <w:rsid w:val="006739E4"/>
    <w:rsid w:val="00673ECF"/>
    <w:rsid w:val="0067426B"/>
    <w:rsid w:val="00674A1B"/>
    <w:rsid w:val="00674AB7"/>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1C"/>
    <w:rsid w:val="006B67AC"/>
    <w:rsid w:val="006B6A25"/>
    <w:rsid w:val="006B786A"/>
    <w:rsid w:val="006B7E4E"/>
    <w:rsid w:val="006C003A"/>
    <w:rsid w:val="006C2454"/>
    <w:rsid w:val="006C2551"/>
    <w:rsid w:val="006C28BB"/>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2EAB"/>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765"/>
    <w:rsid w:val="006E4D5B"/>
    <w:rsid w:val="006E5EBD"/>
    <w:rsid w:val="006E602F"/>
    <w:rsid w:val="006E6720"/>
    <w:rsid w:val="006E68FA"/>
    <w:rsid w:val="006E7275"/>
    <w:rsid w:val="006E77B8"/>
    <w:rsid w:val="006F15CC"/>
    <w:rsid w:val="006F1DA6"/>
    <w:rsid w:val="006F3BDD"/>
    <w:rsid w:val="006F4147"/>
    <w:rsid w:val="006F4315"/>
    <w:rsid w:val="006F4478"/>
    <w:rsid w:val="006F458D"/>
    <w:rsid w:val="006F4A6D"/>
    <w:rsid w:val="006F4CB0"/>
    <w:rsid w:val="006F4F78"/>
    <w:rsid w:val="006F547E"/>
    <w:rsid w:val="006F5656"/>
    <w:rsid w:val="006F5CA8"/>
    <w:rsid w:val="006F5CCF"/>
    <w:rsid w:val="006F60A5"/>
    <w:rsid w:val="006F772B"/>
    <w:rsid w:val="006F78DC"/>
    <w:rsid w:val="0070138A"/>
    <w:rsid w:val="0070157E"/>
    <w:rsid w:val="007024CC"/>
    <w:rsid w:val="007030D4"/>
    <w:rsid w:val="0070317C"/>
    <w:rsid w:val="00703279"/>
    <w:rsid w:val="00703B61"/>
    <w:rsid w:val="00703E11"/>
    <w:rsid w:val="00704102"/>
    <w:rsid w:val="0070461C"/>
    <w:rsid w:val="00705631"/>
    <w:rsid w:val="00705818"/>
    <w:rsid w:val="00705A1A"/>
    <w:rsid w:val="00705F62"/>
    <w:rsid w:val="0070773F"/>
    <w:rsid w:val="00707ED3"/>
    <w:rsid w:val="007101B7"/>
    <w:rsid w:val="00710668"/>
    <w:rsid w:val="00710F0C"/>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35F1"/>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A2F"/>
    <w:rsid w:val="007573E1"/>
    <w:rsid w:val="0075744C"/>
    <w:rsid w:val="0075749E"/>
    <w:rsid w:val="007577DA"/>
    <w:rsid w:val="00757B2D"/>
    <w:rsid w:val="00757BAD"/>
    <w:rsid w:val="00757D62"/>
    <w:rsid w:val="00760844"/>
    <w:rsid w:val="00760867"/>
    <w:rsid w:val="00760EB6"/>
    <w:rsid w:val="007616DB"/>
    <w:rsid w:val="0076228A"/>
    <w:rsid w:val="00762440"/>
    <w:rsid w:val="007629B7"/>
    <w:rsid w:val="00762E60"/>
    <w:rsid w:val="007634AD"/>
    <w:rsid w:val="0076648C"/>
    <w:rsid w:val="00766ECC"/>
    <w:rsid w:val="007672F3"/>
    <w:rsid w:val="007677B5"/>
    <w:rsid w:val="007678B1"/>
    <w:rsid w:val="00770317"/>
    <w:rsid w:val="007708A8"/>
    <w:rsid w:val="00772275"/>
    <w:rsid w:val="007734E4"/>
    <w:rsid w:val="0077380D"/>
    <w:rsid w:val="00773BC8"/>
    <w:rsid w:val="0077466F"/>
    <w:rsid w:val="00774897"/>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66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4CE"/>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A61CA"/>
    <w:rsid w:val="007A661B"/>
    <w:rsid w:val="007A68F6"/>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46BD"/>
    <w:rsid w:val="007C55FF"/>
    <w:rsid w:val="007C6339"/>
    <w:rsid w:val="007C7C43"/>
    <w:rsid w:val="007C7F0D"/>
    <w:rsid w:val="007D1134"/>
    <w:rsid w:val="007D20CF"/>
    <w:rsid w:val="007D23F7"/>
    <w:rsid w:val="007D2566"/>
    <w:rsid w:val="007D2C18"/>
    <w:rsid w:val="007D2D74"/>
    <w:rsid w:val="007D3395"/>
    <w:rsid w:val="007D3693"/>
    <w:rsid w:val="007D3C6D"/>
    <w:rsid w:val="007D409B"/>
    <w:rsid w:val="007D481A"/>
    <w:rsid w:val="007D4A8E"/>
    <w:rsid w:val="007D5648"/>
    <w:rsid w:val="007D58C5"/>
    <w:rsid w:val="007D5DE8"/>
    <w:rsid w:val="007D7503"/>
    <w:rsid w:val="007D7CFC"/>
    <w:rsid w:val="007D7FFC"/>
    <w:rsid w:val="007E0812"/>
    <w:rsid w:val="007E1518"/>
    <w:rsid w:val="007E16A4"/>
    <w:rsid w:val="007E18DF"/>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29D"/>
    <w:rsid w:val="00827203"/>
    <w:rsid w:val="0082767A"/>
    <w:rsid w:val="00827CC0"/>
    <w:rsid w:val="00831026"/>
    <w:rsid w:val="0083119B"/>
    <w:rsid w:val="00831BAE"/>
    <w:rsid w:val="00832216"/>
    <w:rsid w:val="00832CD0"/>
    <w:rsid w:val="00833430"/>
    <w:rsid w:val="0083388E"/>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49F"/>
    <w:rsid w:val="00847535"/>
    <w:rsid w:val="00847B6D"/>
    <w:rsid w:val="00847FFA"/>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167"/>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1FC0"/>
    <w:rsid w:val="0088251E"/>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E1E"/>
    <w:rsid w:val="00891F84"/>
    <w:rsid w:val="008928EC"/>
    <w:rsid w:val="00892955"/>
    <w:rsid w:val="00892E5D"/>
    <w:rsid w:val="008935CF"/>
    <w:rsid w:val="00894436"/>
    <w:rsid w:val="00894BB1"/>
    <w:rsid w:val="00895087"/>
    <w:rsid w:val="008950CB"/>
    <w:rsid w:val="008951D0"/>
    <w:rsid w:val="0089582D"/>
    <w:rsid w:val="008959C6"/>
    <w:rsid w:val="0089606D"/>
    <w:rsid w:val="00896129"/>
    <w:rsid w:val="008965DF"/>
    <w:rsid w:val="0089774F"/>
    <w:rsid w:val="00897875"/>
    <w:rsid w:val="00897A6D"/>
    <w:rsid w:val="00897B8F"/>
    <w:rsid w:val="00897BB1"/>
    <w:rsid w:val="008A00D8"/>
    <w:rsid w:val="008A00D9"/>
    <w:rsid w:val="008A07D5"/>
    <w:rsid w:val="008A2527"/>
    <w:rsid w:val="008A295B"/>
    <w:rsid w:val="008A2A23"/>
    <w:rsid w:val="008A2AF5"/>
    <w:rsid w:val="008A2B5A"/>
    <w:rsid w:val="008A2C16"/>
    <w:rsid w:val="008A2DD1"/>
    <w:rsid w:val="008A3F9D"/>
    <w:rsid w:val="008A5474"/>
    <w:rsid w:val="008A5C9A"/>
    <w:rsid w:val="008A5D9D"/>
    <w:rsid w:val="008A6A55"/>
    <w:rsid w:val="008A6C5C"/>
    <w:rsid w:val="008A6DF0"/>
    <w:rsid w:val="008A6F6E"/>
    <w:rsid w:val="008A7888"/>
    <w:rsid w:val="008A796E"/>
    <w:rsid w:val="008B0862"/>
    <w:rsid w:val="008B088C"/>
    <w:rsid w:val="008B1BF5"/>
    <w:rsid w:val="008B2268"/>
    <w:rsid w:val="008B263F"/>
    <w:rsid w:val="008B47A6"/>
    <w:rsid w:val="008B672C"/>
    <w:rsid w:val="008B7611"/>
    <w:rsid w:val="008C036D"/>
    <w:rsid w:val="008C0743"/>
    <w:rsid w:val="008C0B4C"/>
    <w:rsid w:val="008C11F0"/>
    <w:rsid w:val="008C15CC"/>
    <w:rsid w:val="008C1DBA"/>
    <w:rsid w:val="008C24E7"/>
    <w:rsid w:val="008C2500"/>
    <w:rsid w:val="008C2CAC"/>
    <w:rsid w:val="008C3E2A"/>
    <w:rsid w:val="008C45BD"/>
    <w:rsid w:val="008C4B19"/>
    <w:rsid w:val="008C5408"/>
    <w:rsid w:val="008C568F"/>
    <w:rsid w:val="008C62D4"/>
    <w:rsid w:val="008C6B89"/>
    <w:rsid w:val="008D18AA"/>
    <w:rsid w:val="008D1A16"/>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04DF"/>
    <w:rsid w:val="009026AF"/>
    <w:rsid w:val="009028E8"/>
    <w:rsid w:val="00902E5C"/>
    <w:rsid w:val="0090350D"/>
    <w:rsid w:val="009039EB"/>
    <w:rsid w:val="009046E5"/>
    <w:rsid w:val="009047C5"/>
    <w:rsid w:val="00906806"/>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4FA6"/>
    <w:rsid w:val="009366F2"/>
    <w:rsid w:val="009367D5"/>
    <w:rsid w:val="00937401"/>
    <w:rsid w:val="00937561"/>
    <w:rsid w:val="009376FB"/>
    <w:rsid w:val="00937D6B"/>
    <w:rsid w:val="00940477"/>
    <w:rsid w:val="00940876"/>
    <w:rsid w:val="00940A53"/>
    <w:rsid w:val="00940F3C"/>
    <w:rsid w:val="00940FC1"/>
    <w:rsid w:val="009410E0"/>
    <w:rsid w:val="009444B4"/>
    <w:rsid w:val="00944644"/>
    <w:rsid w:val="00945060"/>
    <w:rsid w:val="0094608F"/>
    <w:rsid w:val="009460F9"/>
    <w:rsid w:val="00946A24"/>
    <w:rsid w:val="009470D4"/>
    <w:rsid w:val="00947337"/>
    <w:rsid w:val="009512FA"/>
    <w:rsid w:val="00951E57"/>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67BB7"/>
    <w:rsid w:val="00971441"/>
    <w:rsid w:val="009715D4"/>
    <w:rsid w:val="00972470"/>
    <w:rsid w:val="009739A9"/>
    <w:rsid w:val="00973AA2"/>
    <w:rsid w:val="0097494E"/>
    <w:rsid w:val="00974B58"/>
    <w:rsid w:val="009761ED"/>
    <w:rsid w:val="009801E7"/>
    <w:rsid w:val="0098022F"/>
    <w:rsid w:val="009810DE"/>
    <w:rsid w:val="009816A2"/>
    <w:rsid w:val="00981D3C"/>
    <w:rsid w:val="009822D7"/>
    <w:rsid w:val="009827E6"/>
    <w:rsid w:val="00982E70"/>
    <w:rsid w:val="00982F84"/>
    <w:rsid w:val="0098427D"/>
    <w:rsid w:val="00984567"/>
    <w:rsid w:val="00984804"/>
    <w:rsid w:val="00985102"/>
    <w:rsid w:val="009865D5"/>
    <w:rsid w:val="009876F2"/>
    <w:rsid w:val="00987C77"/>
    <w:rsid w:val="00990345"/>
    <w:rsid w:val="00990701"/>
    <w:rsid w:val="0099090B"/>
    <w:rsid w:val="00990BC7"/>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1AE"/>
    <w:rsid w:val="009C756F"/>
    <w:rsid w:val="009C78A3"/>
    <w:rsid w:val="009D0156"/>
    <w:rsid w:val="009D05DA"/>
    <w:rsid w:val="009D11F6"/>
    <w:rsid w:val="009D13B9"/>
    <w:rsid w:val="009D1A14"/>
    <w:rsid w:val="009D1E2A"/>
    <w:rsid w:val="009D1FA0"/>
    <w:rsid w:val="009D2485"/>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07C"/>
    <w:rsid w:val="009E56FF"/>
    <w:rsid w:val="009E5CB1"/>
    <w:rsid w:val="009E5E56"/>
    <w:rsid w:val="009E61EA"/>
    <w:rsid w:val="009E6990"/>
    <w:rsid w:val="009E6FEE"/>
    <w:rsid w:val="009F060F"/>
    <w:rsid w:val="009F0781"/>
    <w:rsid w:val="009F0850"/>
    <w:rsid w:val="009F11B2"/>
    <w:rsid w:val="009F1BC1"/>
    <w:rsid w:val="009F1BDF"/>
    <w:rsid w:val="009F1EAE"/>
    <w:rsid w:val="009F29A5"/>
    <w:rsid w:val="009F369D"/>
    <w:rsid w:val="009F36FE"/>
    <w:rsid w:val="009F46A9"/>
    <w:rsid w:val="009F4F25"/>
    <w:rsid w:val="009F59C2"/>
    <w:rsid w:val="009F6C9A"/>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4D21"/>
    <w:rsid w:val="00A059CD"/>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D2"/>
    <w:rsid w:val="00A12ADA"/>
    <w:rsid w:val="00A12E7C"/>
    <w:rsid w:val="00A143EC"/>
    <w:rsid w:val="00A14A60"/>
    <w:rsid w:val="00A1500F"/>
    <w:rsid w:val="00A15621"/>
    <w:rsid w:val="00A15670"/>
    <w:rsid w:val="00A157A0"/>
    <w:rsid w:val="00A1585B"/>
    <w:rsid w:val="00A15C19"/>
    <w:rsid w:val="00A16563"/>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834"/>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39"/>
    <w:rsid w:val="00A44F54"/>
    <w:rsid w:val="00A45F9B"/>
    <w:rsid w:val="00A461BF"/>
    <w:rsid w:val="00A46574"/>
    <w:rsid w:val="00A4657A"/>
    <w:rsid w:val="00A467C4"/>
    <w:rsid w:val="00A500B1"/>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522"/>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77E71"/>
    <w:rsid w:val="00A80085"/>
    <w:rsid w:val="00A8043B"/>
    <w:rsid w:val="00A81323"/>
    <w:rsid w:val="00A81AC0"/>
    <w:rsid w:val="00A820CB"/>
    <w:rsid w:val="00A82342"/>
    <w:rsid w:val="00A82ECF"/>
    <w:rsid w:val="00A83BEF"/>
    <w:rsid w:val="00A841E1"/>
    <w:rsid w:val="00A84443"/>
    <w:rsid w:val="00A8487F"/>
    <w:rsid w:val="00A848FC"/>
    <w:rsid w:val="00A849A3"/>
    <w:rsid w:val="00A84A0E"/>
    <w:rsid w:val="00A851FD"/>
    <w:rsid w:val="00A86E0B"/>
    <w:rsid w:val="00A9069B"/>
    <w:rsid w:val="00A90F12"/>
    <w:rsid w:val="00A91AE6"/>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1CB"/>
    <w:rsid w:val="00AA669D"/>
    <w:rsid w:val="00AA66ED"/>
    <w:rsid w:val="00AA6BE1"/>
    <w:rsid w:val="00AA7416"/>
    <w:rsid w:val="00AA7A60"/>
    <w:rsid w:val="00AA7B42"/>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0AF5"/>
    <w:rsid w:val="00AC2A0B"/>
    <w:rsid w:val="00AC2BEC"/>
    <w:rsid w:val="00AC2BEE"/>
    <w:rsid w:val="00AC2E53"/>
    <w:rsid w:val="00AC484F"/>
    <w:rsid w:val="00AC4B20"/>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6236"/>
    <w:rsid w:val="00AD7619"/>
    <w:rsid w:val="00AD7770"/>
    <w:rsid w:val="00AE0C0E"/>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A3B"/>
    <w:rsid w:val="00AF5B02"/>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2735"/>
    <w:rsid w:val="00B129C6"/>
    <w:rsid w:val="00B131C4"/>
    <w:rsid w:val="00B132B0"/>
    <w:rsid w:val="00B13386"/>
    <w:rsid w:val="00B13533"/>
    <w:rsid w:val="00B13C48"/>
    <w:rsid w:val="00B13E35"/>
    <w:rsid w:val="00B13EC0"/>
    <w:rsid w:val="00B14102"/>
    <w:rsid w:val="00B14D32"/>
    <w:rsid w:val="00B1557C"/>
    <w:rsid w:val="00B155DC"/>
    <w:rsid w:val="00B15766"/>
    <w:rsid w:val="00B159AA"/>
    <w:rsid w:val="00B1666A"/>
    <w:rsid w:val="00B1686D"/>
    <w:rsid w:val="00B17018"/>
    <w:rsid w:val="00B17037"/>
    <w:rsid w:val="00B1741D"/>
    <w:rsid w:val="00B17447"/>
    <w:rsid w:val="00B17563"/>
    <w:rsid w:val="00B1771D"/>
    <w:rsid w:val="00B17B91"/>
    <w:rsid w:val="00B20209"/>
    <w:rsid w:val="00B203AF"/>
    <w:rsid w:val="00B203C9"/>
    <w:rsid w:val="00B20734"/>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1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E7C"/>
    <w:rsid w:val="00B54D8F"/>
    <w:rsid w:val="00B55857"/>
    <w:rsid w:val="00B55C69"/>
    <w:rsid w:val="00B56851"/>
    <w:rsid w:val="00B56D6E"/>
    <w:rsid w:val="00B572F7"/>
    <w:rsid w:val="00B57B9D"/>
    <w:rsid w:val="00B57DAF"/>
    <w:rsid w:val="00B60094"/>
    <w:rsid w:val="00B6022C"/>
    <w:rsid w:val="00B6044E"/>
    <w:rsid w:val="00B607DE"/>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0281"/>
    <w:rsid w:val="00B71FA7"/>
    <w:rsid w:val="00B72110"/>
    <w:rsid w:val="00B72B91"/>
    <w:rsid w:val="00B73019"/>
    <w:rsid w:val="00B7315F"/>
    <w:rsid w:val="00B7323A"/>
    <w:rsid w:val="00B73356"/>
    <w:rsid w:val="00B7353B"/>
    <w:rsid w:val="00B7358A"/>
    <w:rsid w:val="00B737FB"/>
    <w:rsid w:val="00B7423D"/>
    <w:rsid w:val="00B74605"/>
    <w:rsid w:val="00B7474C"/>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E3D"/>
    <w:rsid w:val="00B95F7F"/>
    <w:rsid w:val="00B9691F"/>
    <w:rsid w:val="00B969E0"/>
    <w:rsid w:val="00B96E6E"/>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3A7"/>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140"/>
    <w:rsid w:val="00BD02CC"/>
    <w:rsid w:val="00BD1675"/>
    <w:rsid w:val="00BD2063"/>
    <w:rsid w:val="00BD33D9"/>
    <w:rsid w:val="00BD38C5"/>
    <w:rsid w:val="00BD3A59"/>
    <w:rsid w:val="00BD3CF1"/>
    <w:rsid w:val="00BD3DEA"/>
    <w:rsid w:val="00BD3E97"/>
    <w:rsid w:val="00BD40E4"/>
    <w:rsid w:val="00BD52FE"/>
    <w:rsid w:val="00BD62CF"/>
    <w:rsid w:val="00BD67B2"/>
    <w:rsid w:val="00BD6A07"/>
    <w:rsid w:val="00BD6ED4"/>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3EDF"/>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067"/>
    <w:rsid w:val="00C14639"/>
    <w:rsid w:val="00C14E82"/>
    <w:rsid w:val="00C14FF6"/>
    <w:rsid w:val="00C15A85"/>
    <w:rsid w:val="00C1641B"/>
    <w:rsid w:val="00C165FC"/>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562"/>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76A"/>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3C0"/>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60DC"/>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E7B"/>
    <w:rsid w:val="00CB0236"/>
    <w:rsid w:val="00CB19E3"/>
    <w:rsid w:val="00CB28E5"/>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F03"/>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031"/>
    <w:rsid w:val="00CF1226"/>
    <w:rsid w:val="00CF16C0"/>
    <w:rsid w:val="00CF1ABB"/>
    <w:rsid w:val="00CF1E1D"/>
    <w:rsid w:val="00CF24FE"/>
    <w:rsid w:val="00CF35A9"/>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6D6"/>
    <w:rsid w:val="00D03D2D"/>
    <w:rsid w:val="00D03E7B"/>
    <w:rsid w:val="00D0401A"/>
    <w:rsid w:val="00D047E0"/>
    <w:rsid w:val="00D04B9F"/>
    <w:rsid w:val="00D04FFB"/>
    <w:rsid w:val="00D05153"/>
    <w:rsid w:val="00D058E9"/>
    <w:rsid w:val="00D0595A"/>
    <w:rsid w:val="00D0612A"/>
    <w:rsid w:val="00D06A0E"/>
    <w:rsid w:val="00D07F6D"/>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0A18"/>
    <w:rsid w:val="00D20DAF"/>
    <w:rsid w:val="00D2104A"/>
    <w:rsid w:val="00D213F1"/>
    <w:rsid w:val="00D21BB5"/>
    <w:rsid w:val="00D21FFC"/>
    <w:rsid w:val="00D22077"/>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849"/>
    <w:rsid w:val="00D57940"/>
    <w:rsid w:val="00D60327"/>
    <w:rsid w:val="00D61526"/>
    <w:rsid w:val="00D61F81"/>
    <w:rsid w:val="00D623A9"/>
    <w:rsid w:val="00D62BE6"/>
    <w:rsid w:val="00D633AC"/>
    <w:rsid w:val="00D63766"/>
    <w:rsid w:val="00D63912"/>
    <w:rsid w:val="00D63923"/>
    <w:rsid w:val="00D6451B"/>
    <w:rsid w:val="00D64B57"/>
    <w:rsid w:val="00D655FE"/>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3A05"/>
    <w:rsid w:val="00D85494"/>
    <w:rsid w:val="00D8582C"/>
    <w:rsid w:val="00D85D61"/>
    <w:rsid w:val="00D8616D"/>
    <w:rsid w:val="00D8711B"/>
    <w:rsid w:val="00D87384"/>
    <w:rsid w:val="00D90683"/>
    <w:rsid w:val="00D912C2"/>
    <w:rsid w:val="00D915C8"/>
    <w:rsid w:val="00D9261C"/>
    <w:rsid w:val="00D9310B"/>
    <w:rsid w:val="00D93299"/>
    <w:rsid w:val="00D93726"/>
    <w:rsid w:val="00D93DD3"/>
    <w:rsid w:val="00D93F3E"/>
    <w:rsid w:val="00D9405B"/>
    <w:rsid w:val="00D94942"/>
    <w:rsid w:val="00D95145"/>
    <w:rsid w:val="00D967CB"/>
    <w:rsid w:val="00D96EE0"/>
    <w:rsid w:val="00D97BD1"/>
    <w:rsid w:val="00D97EA6"/>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954"/>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755"/>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52A4"/>
    <w:rsid w:val="00DF651F"/>
    <w:rsid w:val="00DF6E10"/>
    <w:rsid w:val="00DF6F43"/>
    <w:rsid w:val="00DF752F"/>
    <w:rsid w:val="00DF76A2"/>
    <w:rsid w:val="00DF77F4"/>
    <w:rsid w:val="00DF7B33"/>
    <w:rsid w:val="00E00B7A"/>
    <w:rsid w:val="00E02186"/>
    <w:rsid w:val="00E026BB"/>
    <w:rsid w:val="00E027C5"/>
    <w:rsid w:val="00E03124"/>
    <w:rsid w:val="00E031EB"/>
    <w:rsid w:val="00E03951"/>
    <w:rsid w:val="00E03DB8"/>
    <w:rsid w:val="00E0472E"/>
    <w:rsid w:val="00E057BA"/>
    <w:rsid w:val="00E05E70"/>
    <w:rsid w:val="00E064BC"/>
    <w:rsid w:val="00E07225"/>
    <w:rsid w:val="00E07AAA"/>
    <w:rsid w:val="00E1079C"/>
    <w:rsid w:val="00E109DD"/>
    <w:rsid w:val="00E11229"/>
    <w:rsid w:val="00E114CA"/>
    <w:rsid w:val="00E11CF0"/>
    <w:rsid w:val="00E12E62"/>
    <w:rsid w:val="00E132D5"/>
    <w:rsid w:val="00E1397F"/>
    <w:rsid w:val="00E13AB8"/>
    <w:rsid w:val="00E1482E"/>
    <w:rsid w:val="00E16382"/>
    <w:rsid w:val="00E16572"/>
    <w:rsid w:val="00E1699C"/>
    <w:rsid w:val="00E16E75"/>
    <w:rsid w:val="00E1746D"/>
    <w:rsid w:val="00E2012A"/>
    <w:rsid w:val="00E205A2"/>
    <w:rsid w:val="00E20BA4"/>
    <w:rsid w:val="00E23137"/>
    <w:rsid w:val="00E23980"/>
    <w:rsid w:val="00E241E9"/>
    <w:rsid w:val="00E2520A"/>
    <w:rsid w:val="00E253EB"/>
    <w:rsid w:val="00E257C3"/>
    <w:rsid w:val="00E25CB3"/>
    <w:rsid w:val="00E25DA4"/>
    <w:rsid w:val="00E26CB8"/>
    <w:rsid w:val="00E26FCF"/>
    <w:rsid w:val="00E27165"/>
    <w:rsid w:val="00E27226"/>
    <w:rsid w:val="00E3044A"/>
    <w:rsid w:val="00E31A4A"/>
    <w:rsid w:val="00E31C43"/>
    <w:rsid w:val="00E32DD5"/>
    <w:rsid w:val="00E32FA8"/>
    <w:rsid w:val="00E3344A"/>
    <w:rsid w:val="00E33B29"/>
    <w:rsid w:val="00E33B62"/>
    <w:rsid w:val="00E3403D"/>
    <w:rsid w:val="00E34E6C"/>
    <w:rsid w:val="00E350D8"/>
    <w:rsid w:val="00E353E2"/>
    <w:rsid w:val="00E35963"/>
    <w:rsid w:val="00E36345"/>
    <w:rsid w:val="00E367A6"/>
    <w:rsid w:val="00E36C86"/>
    <w:rsid w:val="00E36CEB"/>
    <w:rsid w:val="00E37A28"/>
    <w:rsid w:val="00E40430"/>
    <w:rsid w:val="00E40690"/>
    <w:rsid w:val="00E40AEB"/>
    <w:rsid w:val="00E4143A"/>
    <w:rsid w:val="00E424C8"/>
    <w:rsid w:val="00E4251D"/>
    <w:rsid w:val="00E43D00"/>
    <w:rsid w:val="00E441AE"/>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366"/>
    <w:rsid w:val="00E60B5F"/>
    <w:rsid w:val="00E613AE"/>
    <w:rsid w:val="00E61429"/>
    <w:rsid w:val="00E61ABB"/>
    <w:rsid w:val="00E61FD7"/>
    <w:rsid w:val="00E623E6"/>
    <w:rsid w:val="00E630C0"/>
    <w:rsid w:val="00E63107"/>
    <w:rsid w:val="00E634E6"/>
    <w:rsid w:val="00E63DCE"/>
    <w:rsid w:val="00E64700"/>
    <w:rsid w:val="00E64C96"/>
    <w:rsid w:val="00E64E0B"/>
    <w:rsid w:val="00E65074"/>
    <w:rsid w:val="00E65E70"/>
    <w:rsid w:val="00E65EE9"/>
    <w:rsid w:val="00E66087"/>
    <w:rsid w:val="00E66D79"/>
    <w:rsid w:val="00E66FF9"/>
    <w:rsid w:val="00E67856"/>
    <w:rsid w:val="00E679C8"/>
    <w:rsid w:val="00E70314"/>
    <w:rsid w:val="00E724E7"/>
    <w:rsid w:val="00E72B41"/>
    <w:rsid w:val="00E72F5A"/>
    <w:rsid w:val="00E7347B"/>
    <w:rsid w:val="00E73D03"/>
    <w:rsid w:val="00E7471C"/>
    <w:rsid w:val="00E7498A"/>
    <w:rsid w:val="00E7514E"/>
    <w:rsid w:val="00E75B34"/>
    <w:rsid w:val="00E77AF5"/>
    <w:rsid w:val="00E8029A"/>
    <w:rsid w:val="00E80E80"/>
    <w:rsid w:val="00E81653"/>
    <w:rsid w:val="00E823F9"/>
    <w:rsid w:val="00E82C1F"/>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D67"/>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46B"/>
    <w:rsid w:val="00EC36B1"/>
    <w:rsid w:val="00EC3C94"/>
    <w:rsid w:val="00EC44DF"/>
    <w:rsid w:val="00EC4AB1"/>
    <w:rsid w:val="00EC4FB9"/>
    <w:rsid w:val="00EC5310"/>
    <w:rsid w:val="00EC5393"/>
    <w:rsid w:val="00EC5741"/>
    <w:rsid w:val="00EC5ACE"/>
    <w:rsid w:val="00EC5DA3"/>
    <w:rsid w:val="00EC6014"/>
    <w:rsid w:val="00EC63F4"/>
    <w:rsid w:val="00EC65AB"/>
    <w:rsid w:val="00EC6B3E"/>
    <w:rsid w:val="00EC6D8D"/>
    <w:rsid w:val="00EC73DE"/>
    <w:rsid w:val="00EC7637"/>
    <w:rsid w:val="00EC7B63"/>
    <w:rsid w:val="00EC7CF2"/>
    <w:rsid w:val="00ED046B"/>
    <w:rsid w:val="00ED046C"/>
    <w:rsid w:val="00ED053A"/>
    <w:rsid w:val="00ED1F03"/>
    <w:rsid w:val="00ED28CC"/>
    <w:rsid w:val="00ED2C2C"/>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6B95"/>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A1A"/>
    <w:rsid w:val="00EE7B54"/>
    <w:rsid w:val="00EE7C88"/>
    <w:rsid w:val="00EE7C8B"/>
    <w:rsid w:val="00EE7CB9"/>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2B1"/>
    <w:rsid w:val="00EF55C4"/>
    <w:rsid w:val="00EF57BC"/>
    <w:rsid w:val="00EF5FD2"/>
    <w:rsid w:val="00EF660F"/>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BFF"/>
    <w:rsid w:val="00F17105"/>
    <w:rsid w:val="00F20A0B"/>
    <w:rsid w:val="00F213A0"/>
    <w:rsid w:val="00F217AB"/>
    <w:rsid w:val="00F21A51"/>
    <w:rsid w:val="00F21D54"/>
    <w:rsid w:val="00F21D6D"/>
    <w:rsid w:val="00F21EF4"/>
    <w:rsid w:val="00F226F3"/>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467"/>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761"/>
    <w:rsid w:val="00F60F60"/>
    <w:rsid w:val="00F612CE"/>
    <w:rsid w:val="00F624A7"/>
    <w:rsid w:val="00F62AB6"/>
    <w:rsid w:val="00F63984"/>
    <w:rsid w:val="00F65A3C"/>
    <w:rsid w:val="00F66282"/>
    <w:rsid w:val="00F67D8B"/>
    <w:rsid w:val="00F67D95"/>
    <w:rsid w:val="00F70961"/>
    <w:rsid w:val="00F70A8F"/>
    <w:rsid w:val="00F71397"/>
    <w:rsid w:val="00F722AA"/>
    <w:rsid w:val="00F72389"/>
    <w:rsid w:val="00F72516"/>
    <w:rsid w:val="00F72FB4"/>
    <w:rsid w:val="00F735E5"/>
    <w:rsid w:val="00F73DD9"/>
    <w:rsid w:val="00F73E80"/>
    <w:rsid w:val="00F7469C"/>
    <w:rsid w:val="00F747E9"/>
    <w:rsid w:val="00F7492E"/>
    <w:rsid w:val="00F74945"/>
    <w:rsid w:val="00F749A3"/>
    <w:rsid w:val="00F74A04"/>
    <w:rsid w:val="00F74AE8"/>
    <w:rsid w:val="00F76866"/>
    <w:rsid w:val="00F76C11"/>
    <w:rsid w:val="00F77021"/>
    <w:rsid w:val="00F77E61"/>
    <w:rsid w:val="00F81214"/>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82E"/>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10D"/>
    <w:rsid w:val="00FC6A39"/>
    <w:rsid w:val="00FC6E50"/>
    <w:rsid w:val="00FC79AB"/>
    <w:rsid w:val="00FC7BE7"/>
    <w:rsid w:val="00FC7D54"/>
    <w:rsid w:val="00FC7DAC"/>
    <w:rsid w:val="00FD04AE"/>
    <w:rsid w:val="00FD1890"/>
    <w:rsid w:val="00FD1994"/>
    <w:rsid w:val="00FD2AC8"/>
    <w:rsid w:val="00FD2CA6"/>
    <w:rsid w:val="00FD3508"/>
    <w:rsid w:val="00FD393C"/>
    <w:rsid w:val="00FD43BB"/>
    <w:rsid w:val="00FD4AF3"/>
    <w:rsid w:val="00FD556A"/>
    <w:rsid w:val="00FD798D"/>
    <w:rsid w:val="00FD7FB9"/>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0C5"/>
    <w:rsid w:val="00FF045F"/>
    <w:rsid w:val="00FF0712"/>
    <w:rsid w:val="00FF109C"/>
    <w:rsid w:val="00FF13D4"/>
    <w:rsid w:val="00FF2053"/>
    <w:rsid w:val="00FF2F4E"/>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character" w:styleId="Mencinsinresolver">
    <w:name w:val="Unresolved Mention"/>
    <w:basedOn w:val="Fuentedeprrafopredeter"/>
    <w:uiPriority w:val="99"/>
    <w:semiHidden/>
    <w:unhideWhenUsed/>
    <w:rsid w:val="004C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7563">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4162887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2562476">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623633">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3611080">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56547888">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827055">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65481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09016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2725673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1422337">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098944749">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389_1997.html" TargetMode="External"/><Relationship Id="rId2" Type="http://schemas.openxmlformats.org/officeDocument/2006/relationships/hyperlink" Target="https://colombiacompra.gov.co/sites/cce_public/files/cce_step/20190821guiagcgestioncontractualentidadestatalv2.pdf" TargetMode="External"/><Relationship Id="rId1" Type="http://schemas.openxmlformats.org/officeDocument/2006/relationships/hyperlink" Target="https://colombiacompra.gov.co/sites/cce_public/files/cce_step/cce-sec-gi-01provpcgestioncontractual07-09-2020_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797F2-6AED-4AB8-BBC3-098BC4FC5F31}"/>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20</TotalTime>
  <Pages>20</Pages>
  <Words>6662</Words>
  <Characters>36641</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2021-10-08T20:33:00Z</dcterms:created>
  <dcterms:modified xsi:type="dcterms:W3CDTF">2021-10-12T16:11:00Z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