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B02D3" w14:textId="77777777" w:rsidR="001453EF" w:rsidRPr="00523017" w:rsidRDefault="001453EF" w:rsidP="001453EF">
      <w:pPr>
        <w:tabs>
          <w:tab w:val="left" w:pos="426"/>
        </w:tabs>
        <w:spacing w:after="0" w:line="240" w:lineRule="auto"/>
        <w:rPr>
          <w:rFonts w:ascii="Arial" w:eastAsia="Calibri" w:hAnsi="Arial" w:cs="Arial"/>
          <w:noProof/>
          <w:sz w:val="20"/>
          <w:szCs w:val="20"/>
          <w:lang w:val="es-ES_tradnl"/>
        </w:rPr>
      </w:pPr>
      <w:bookmarkStart w:id="0" w:name="_Hlk77165666"/>
      <w:bookmarkStart w:id="1" w:name="_Hlk78821436"/>
    </w:p>
    <w:p w14:paraId="123E5A89" w14:textId="74D78BA9" w:rsidR="00D1347F" w:rsidRDefault="00D1347F" w:rsidP="002E7E35">
      <w:pPr>
        <w:spacing w:after="120" w:line="240" w:lineRule="auto"/>
        <w:rPr>
          <w:rFonts w:ascii="Arial" w:eastAsia="Arial" w:hAnsi="Arial" w:cs="Arial"/>
          <w:color w:val="000000"/>
          <w:sz w:val="20"/>
          <w:szCs w:val="20"/>
          <w:lang w:val="es-CO" w:eastAsia="es-ES_tradnl"/>
        </w:rPr>
      </w:pPr>
    </w:p>
    <w:p w14:paraId="14E45307" w14:textId="63569F39" w:rsidR="00D1347F" w:rsidRPr="002F3FD7" w:rsidRDefault="00D1347F" w:rsidP="00D1347F">
      <w:pPr>
        <w:spacing w:after="160" w:line="240" w:lineRule="auto"/>
        <w:rPr>
          <w:rFonts w:ascii="Arial" w:eastAsia="Calibri" w:hAnsi="Arial" w:cs="Arial"/>
          <w:b/>
          <w:color w:val="000000"/>
          <w:sz w:val="22"/>
        </w:rPr>
      </w:pPr>
      <w:r w:rsidRPr="002F3FD7">
        <w:rPr>
          <w:rFonts w:ascii="Arial" w:eastAsia="Calibri" w:hAnsi="Arial" w:cs="Arial"/>
          <w:b/>
          <w:color w:val="000000"/>
          <w:sz w:val="22"/>
        </w:rPr>
        <w:t xml:space="preserve">CAPACIDAD RESIDUAL – </w:t>
      </w:r>
      <w:r w:rsidRPr="002F3FD7">
        <w:rPr>
          <w:rFonts w:ascii="Arial" w:eastAsia="Calibri" w:hAnsi="Arial" w:cs="Arial"/>
          <w:b/>
          <w:bCs/>
          <w:sz w:val="22"/>
          <w:lang w:val="es-CO"/>
        </w:rPr>
        <w:t xml:space="preserve">Cálculo – Factores </w:t>
      </w:r>
    </w:p>
    <w:p w14:paraId="1651EAFE" w14:textId="77777777" w:rsidR="00D1347F" w:rsidRPr="002F3FD7" w:rsidRDefault="00D1347F" w:rsidP="00D1347F">
      <w:pPr>
        <w:spacing w:after="160" w:line="240" w:lineRule="auto"/>
        <w:rPr>
          <w:rFonts w:ascii="Arial" w:eastAsia="Calibri" w:hAnsi="Arial" w:cs="Arial"/>
          <w:sz w:val="20"/>
          <w:szCs w:val="20"/>
        </w:rPr>
      </w:pPr>
      <w:r w:rsidRPr="002F3FD7">
        <w:rPr>
          <w:rFonts w:ascii="Arial" w:eastAsia="Calibri" w:hAnsi="Arial" w:cs="Arial"/>
          <w:sz w:val="20"/>
          <w:szCs w:val="20"/>
        </w:rPr>
        <w:t xml:space="preserve">El Decreto 1082 de 2015 dispone que las entidades estatales deberán calcular la capacidad residual conforme a la metodología definida por Colombia Compre Eficiente. Para tale fines, resulta necesario tener en cuenta los factores de i) Experiencia –E–, ii) Capacidad Financiera –CF–, </w:t>
      </w:r>
      <w:proofErr w:type="spellStart"/>
      <w:r w:rsidRPr="002F3FD7">
        <w:rPr>
          <w:rFonts w:ascii="Arial" w:eastAsia="Calibri" w:hAnsi="Arial" w:cs="Arial"/>
          <w:sz w:val="20"/>
          <w:szCs w:val="20"/>
        </w:rPr>
        <w:t>iii</w:t>
      </w:r>
      <w:proofErr w:type="spellEnd"/>
      <w:r w:rsidRPr="002F3FD7">
        <w:rPr>
          <w:rFonts w:ascii="Arial" w:eastAsia="Calibri" w:hAnsi="Arial" w:cs="Arial"/>
          <w:sz w:val="20"/>
          <w:szCs w:val="20"/>
        </w:rPr>
        <w:t xml:space="preserve">) Capacidad Técnica –CT–, iv)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w:t>
      </w:r>
      <w:proofErr w:type="spellStart"/>
      <w:r w:rsidRPr="002F3FD7">
        <w:rPr>
          <w:rFonts w:ascii="Arial" w:eastAsia="Calibri" w:hAnsi="Arial" w:cs="Arial"/>
          <w:sz w:val="20"/>
          <w:szCs w:val="20"/>
        </w:rPr>
        <w:t>iii</w:t>
      </w:r>
      <w:proofErr w:type="spellEnd"/>
      <w:r w:rsidRPr="002F3FD7">
        <w:rPr>
          <w:rFonts w:ascii="Arial" w:eastAsia="Calibri" w:hAnsi="Arial" w:cs="Arial"/>
          <w:sz w:val="20"/>
          <w:szCs w:val="20"/>
        </w:rPr>
        <w:t xml:space="preserve">) el balance general auditado del año inmediatamente anterior y estado de resultados auditado del año en que haya obtenido el mayor ingreso operacional en los últimos cinco (5) años. </w:t>
      </w:r>
    </w:p>
    <w:p w14:paraId="5FB0D5A2" w14:textId="77777777" w:rsidR="00D1347F" w:rsidRPr="002F3FD7" w:rsidRDefault="00D1347F" w:rsidP="00D1347F">
      <w:pPr>
        <w:autoSpaceDE w:val="0"/>
        <w:autoSpaceDN w:val="0"/>
        <w:adjustRightInd w:val="0"/>
        <w:spacing w:after="160" w:line="240" w:lineRule="auto"/>
        <w:rPr>
          <w:rFonts w:ascii="Arial" w:eastAsia="Calibri" w:hAnsi="Arial" w:cs="Arial"/>
          <w:b/>
          <w:sz w:val="22"/>
          <w:lang w:val="es-CO"/>
        </w:rPr>
      </w:pPr>
      <w:r w:rsidRPr="002F3FD7">
        <w:rPr>
          <w:rFonts w:ascii="Arial" w:eastAsia="Calibri" w:hAnsi="Arial" w:cs="Arial"/>
          <w:b/>
          <w:bCs/>
          <w:sz w:val="22"/>
          <w:lang w:val="es-CO"/>
        </w:rPr>
        <w:t xml:space="preserve">CAPACIDAD RESIDUAL – Saldos de Contratos en Ejecución </w:t>
      </w:r>
      <w:r w:rsidRPr="002F3FD7">
        <w:rPr>
          <w:rFonts w:ascii="Arial" w:eastAsia="Calibri" w:hAnsi="Arial" w:cs="Arial"/>
          <w:b/>
          <w:color w:val="000000"/>
          <w:sz w:val="22"/>
          <w:lang w:val="es-CO"/>
        </w:rPr>
        <w:t xml:space="preserve">«SCE» </w:t>
      </w:r>
      <w:r w:rsidRPr="002F3FD7">
        <w:rPr>
          <w:rFonts w:ascii="Arial" w:eastAsia="Calibri" w:hAnsi="Arial" w:cs="Arial"/>
          <w:b/>
          <w:bCs/>
          <w:sz w:val="22"/>
          <w:lang w:val="es-CO"/>
        </w:rPr>
        <w:t>– Contratos de obra – Contratos suspendidos</w:t>
      </w:r>
    </w:p>
    <w:p w14:paraId="1E008D02" w14:textId="77777777" w:rsidR="00D1347F" w:rsidRPr="002F3FD7" w:rsidRDefault="00D1347F" w:rsidP="00D1347F">
      <w:pPr>
        <w:spacing w:after="160" w:line="240" w:lineRule="auto"/>
        <w:rPr>
          <w:rFonts w:ascii="Arial" w:eastAsia="Calibri" w:hAnsi="Arial" w:cs="Arial"/>
          <w:bCs/>
          <w:color w:val="000000"/>
          <w:sz w:val="20"/>
          <w:szCs w:val="20"/>
          <w:lang w:val="es-CO"/>
        </w:rPr>
      </w:pPr>
      <w:r w:rsidRPr="002F3FD7">
        <w:rPr>
          <w:rFonts w:ascii="Arial" w:eastAsia="Calibri" w:hAnsi="Arial" w:cs="Arial"/>
          <w:bCs/>
          <w:color w:val="000000"/>
          <w:sz w:val="20"/>
          <w:szCs w:val="20"/>
          <w:lang w:val="es-CO"/>
        </w:rPr>
        <w:t>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debe mencionarse que, si bien la suspensión de los contratos estatales no es una institución regulada explícitamente en el Estatuto General de Contratación de la Administración Pública,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162E4173" w14:textId="77777777" w:rsidR="00D1347F" w:rsidRPr="002F3FD7" w:rsidRDefault="00D1347F" w:rsidP="00D1347F">
      <w:pPr>
        <w:spacing w:after="160" w:line="240" w:lineRule="auto"/>
        <w:ind w:right="49"/>
        <w:rPr>
          <w:rFonts w:ascii="Arial" w:eastAsia="Calibri" w:hAnsi="Arial" w:cs="Arial"/>
          <w:b/>
          <w:bCs/>
          <w:sz w:val="22"/>
          <w:lang w:val="es-CO"/>
        </w:rPr>
      </w:pPr>
      <w:r w:rsidRPr="002F3FD7">
        <w:rPr>
          <w:rFonts w:ascii="Arial" w:eastAsia="Calibri" w:hAnsi="Arial" w:cs="Arial"/>
          <w:b/>
          <w:bCs/>
          <w:sz w:val="22"/>
          <w:lang w:val="es-CO"/>
        </w:rPr>
        <w:t>CAPACIDAD RESIDUAL – Cálculo y aplicativo – Obligatoriedad</w:t>
      </w:r>
    </w:p>
    <w:p w14:paraId="07918357" w14:textId="77777777" w:rsidR="00D1347F" w:rsidRPr="002F3FD7" w:rsidRDefault="00D1347F" w:rsidP="00D1347F">
      <w:pPr>
        <w:spacing w:after="160" w:line="240" w:lineRule="auto"/>
        <w:ind w:right="49"/>
        <w:rPr>
          <w:rFonts w:ascii="Arial" w:eastAsia="Calibri" w:hAnsi="Arial" w:cs="Arial"/>
          <w:sz w:val="20"/>
          <w:szCs w:val="20"/>
          <w:lang w:val="es-CO"/>
        </w:rPr>
      </w:pPr>
      <w:r w:rsidRPr="002F3FD7">
        <w:rPr>
          <w:rFonts w:ascii="Arial" w:eastAsia="Calibri" w:hAnsi="Arial" w:cs="Arial"/>
          <w:sz w:val="20"/>
          <w:szCs w:val="20"/>
          <w:lang w:val="es-CO"/>
        </w:rPr>
        <w:t>[…] 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 Así mismo, se reitera, la guía es el instrumento que detenta fuerza vinculante y, por tanto, son sus disposiciones las que deben observarse para la determinación de la capacidad residual.</w:t>
      </w:r>
    </w:p>
    <w:p w14:paraId="4EB178E4" w14:textId="77777777" w:rsidR="00D1347F" w:rsidRPr="002F3FD7" w:rsidRDefault="00D1347F" w:rsidP="00D1347F">
      <w:pPr>
        <w:spacing w:after="0" w:line="240" w:lineRule="auto"/>
        <w:rPr>
          <w:rFonts w:ascii="Arial" w:eastAsia="Calibri" w:hAnsi="Arial" w:cs="Arial"/>
          <w:b/>
          <w:sz w:val="22"/>
        </w:rPr>
      </w:pPr>
      <w:bookmarkStart w:id="2" w:name="_Hlk65849162"/>
      <w:r w:rsidRPr="002F3FD7">
        <w:rPr>
          <w:rFonts w:ascii="Arial" w:eastAsia="Calibri" w:hAnsi="Arial" w:cs="Arial"/>
          <w:b/>
          <w:sz w:val="22"/>
        </w:rPr>
        <w:t>DOCUMENTOS TIPO – Versión 3 – Licitación Pública - Capacidad residual – Rechazo de la oferta – Causales</w:t>
      </w:r>
    </w:p>
    <w:p w14:paraId="09779999" w14:textId="77777777" w:rsidR="00D1347F" w:rsidRPr="002F3FD7" w:rsidRDefault="00D1347F" w:rsidP="00D1347F">
      <w:pPr>
        <w:spacing w:after="0" w:line="240" w:lineRule="auto"/>
        <w:rPr>
          <w:rFonts w:ascii="Arial" w:eastAsia="Calibri" w:hAnsi="Arial" w:cs="Arial"/>
          <w:sz w:val="20"/>
          <w:szCs w:val="20"/>
        </w:rPr>
      </w:pPr>
    </w:p>
    <w:bookmarkEnd w:id="2"/>
    <w:p w14:paraId="4C4C4318" w14:textId="6F3AC80C" w:rsidR="00D1347F" w:rsidRPr="002F3FD7" w:rsidRDefault="00AE564A" w:rsidP="00704F99">
      <w:pPr>
        <w:spacing w:after="120" w:line="240" w:lineRule="auto"/>
        <w:rPr>
          <w:rFonts w:ascii="Arial" w:eastAsia="Calibri" w:hAnsi="Arial" w:cs="Arial"/>
          <w:sz w:val="20"/>
          <w:szCs w:val="20"/>
        </w:rPr>
      </w:pPr>
      <w:r w:rsidRPr="002F3FD7">
        <w:rPr>
          <w:rFonts w:ascii="Arial" w:eastAsia="Calibri" w:hAnsi="Arial" w:cs="Arial"/>
          <w:sz w:val="20"/>
          <w:szCs w:val="20"/>
        </w:rPr>
        <w:t>Como se consideró en los conceptos del 25 de septiembre y el 23 de diciembre de 2019 −radicados Nos. 2201913000007117 y 2201913000009538</w:t>
      </w:r>
      <w:r w:rsidR="00D1347F" w:rsidRPr="002F3FD7">
        <w:rPr>
          <w:rFonts w:ascii="Arial" w:eastAsia="Calibri" w:hAnsi="Arial" w:cs="Arial"/>
          <w:sz w:val="20"/>
          <w:szCs w:val="20"/>
        </w:rPr>
        <w:t>−,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24B6D89F" w14:textId="77777777" w:rsidR="00D1347F" w:rsidRPr="002F3FD7" w:rsidRDefault="00D1347F" w:rsidP="00704F99">
      <w:pPr>
        <w:spacing w:after="0" w:line="240" w:lineRule="auto"/>
        <w:rPr>
          <w:rFonts w:ascii="Arial" w:eastAsia="Calibri" w:hAnsi="Arial" w:cs="Arial"/>
          <w:sz w:val="20"/>
          <w:szCs w:val="18"/>
        </w:rPr>
      </w:pPr>
      <w:r w:rsidRPr="002F3FD7">
        <w:rPr>
          <w:rFonts w:ascii="Arial" w:eastAsia="Calibri" w:hAnsi="Arial" w:cs="Arial"/>
          <w:sz w:val="20"/>
          <w:szCs w:val="18"/>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15A10AA1" w14:textId="77777777" w:rsidR="00D1347F" w:rsidRPr="002F3FD7" w:rsidRDefault="00D1347F" w:rsidP="00704F99">
      <w:pPr>
        <w:spacing w:after="0" w:line="240" w:lineRule="auto"/>
        <w:rPr>
          <w:rFonts w:ascii="Arial" w:eastAsia="Calibri" w:hAnsi="Arial" w:cs="Arial"/>
          <w:sz w:val="20"/>
          <w:szCs w:val="18"/>
        </w:rPr>
      </w:pPr>
      <w:r w:rsidRPr="002F3FD7">
        <w:rPr>
          <w:rFonts w:ascii="Arial" w:eastAsia="Calibri" w:hAnsi="Arial" w:cs="Arial"/>
          <w:sz w:val="20"/>
          <w:szCs w:val="18"/>
        </w:rPr>
        <w:t xml:space="preserve">ii)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E21852C" w14:textId="77777777" w:rsidR="00D1347F" w:rsidRPr="002F3FD7" w:rsidRDefault="00D1347F" w:rsidP="00704F99">
      <w:pPr>
        <w:spacing w:after="0" w:line="240" w:lineRule="auto"/>
        <w:rPr>
          <w:rFonts w:ascii="Arial" w:eastAsia="Calibri" w:hAnsi="Arial" w:cs="Arial"/>
          <w:sz w:val="20"/>
          <w:szCs w:val="18"/>
        </w:rPr>
      </w:pPr>
      <w:proofErr w:type="spellStart"/>
      <w:r w:rsidRPr="002F3FD7">
        <w:rPr>
          <w:rFonts w:ascii="Arial" w:eastAsia="Calibri" w:hAnsi="Arial" w:cs="Arial"/>
          <w:sz w:val="20"/>
          <w:szCs w:val="18"/>
        </w:rPr>
        <w:t>iii</w:t>
      </w:r>
      <w:proofErr w:type="spellEnd"/>
      <w:r w:rsidRPr="002F3FD7">
        <w:rPr>
          <w:rFonts w:ascii="Arial" w:eastAsia="Calibri" w:hAnsi="Arial" w:cs="Arial"/>
          <w:sz w:val="20"/>
          <w:szCs w:val="18"/>
        </w:rPr>
        <w:t>) Lo dicho en los numerales precedentes tampoco descarta la posibilidad de que la entidad rechace la oferta si encuentra configurada la causal establecida en el literal H del numeral 1.15, que aplica cuando el proponente aporta información inexacta</w:t>
      </w:r>
    </w:p>
    <w:p w14:paraId="46FEDC26" w14:textId="77777777" w:rsidR="00D1347F" w:rsidRPr="002F3FD7" w:rsidRDefault="00D1347F" w:rsidP="00D1347F">
      <w:pPr>
        <w:spacing w:after="0"/>
        <w:rPr>
          <w:rFonts w:ascii="Arial" w:eastAsia="Calibri" w:hAnsi="Arial" w:cs="Arial"/>
          <w:sz w:val="20"/>
          <w:szCs w:val="18"/>
        </w:rPr>
      </w:pPr>
    </w:p>
    <w:p w14:paraId="3E5FB5B4" w14:textId="77777777" w:rsidR="00C23442" w:rsidRPr="002F3FD7" w:rsidRDefault="00C23442" w:rsidP="00C23442">
      <w:pPr>
        <w:spacing w:after="0" w:line="240" w:lineRule="auto"/>
        <w:rPr>
          <w:rFonts w:ascii="Arial" w:eastAsia="Calibri" w:hAnsi="Arial" w:cs="Arial"/>
          <w:b/>
          <w:sz w:val="22"/>
        </w:rPr>
      </w:pPr>
      <w:bookmarkStart w:id="3" w:name="_Hlk65849173"/>
      <w:r w:rsidRPr="002F3FD7">
        <w:rPr>
          <w:rFonts w:ascii="Arial" w:eastAsia="Calibri" w:hAnsi="Arial" w:cs="Arial"/>
          <w:b/>
          <w:sz w:val="22"/>
        </w:rPr>
        <w:t xml:space="preserve">RECHAZO DE LA OFERTA – Capacidad residual – Documento Base – Literal Z – Versión 3 – Licitación Pública –Alcance </w:t>
      </w:r>
    </w:p>
    <w:p w14:paraId="78CA96ED" w14:textId="77777777" w:rsidR="00C23442" w:rsidRPr="002F3FD7" w:rsidRDefault="00C23442" w:rsidP="00C23442">
      <w:pPr>
        <w:spacing w:after="0" w:line="240" w:lineRule="auto"/>
        <w:rPr>
          <w:rFonts w:ascii="Arial" w:eastAsia="Calibri" w:hAnsi="Arial" w:cs="Arial"/>
          <w:sz w:val="20"/>
          <w:szCs w:val="20"/>
        </w:rPr>
      </w:pPr>
    </w:p>
    <w:p w14:paraId="0F0CE874" w14:textId="5E0B2DE5" w:rsidR="00C23442" w:rsidRDefault="00C23442" w:rsidP="00C23442">
      <w:pPr>
        <w:spacing w:after="120" w:line="240" w:lineRule="auto"/>
        <w:rPr>
          <w:rFonts w:ascii="Arial" w:eastAsia="Calibri" w:hAnsi="Arial" w:cs="Arial"/>
          <w:sz w:val="20"/>
          <w:szCs w:val="20"/>
        </w:rPr>
      </w:pPr>
      <w:r w:rsidRPr="002F3FD7">
        <w:rPr>
          <w:rFonts w:ascii="Arial" w:eastAsia="Calibri" w:hAnsi="Arial" w:cs="Arial"/>
          <w:sz w:val="20"/>
          <w:szCs w:val="20"/>
        </w:rPr>
        <w:t>La causal del literal Z del numeral 1.15 –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configuración de la causal de rechazo del literal Z del numeral 1.15 –versión 3 de licitación de obra pública es objetiva, pues solo aplica ante la omisión del proponente de informar el número total de contratos en ejecución antes del cierre.</w:t>
      </w:r>
    </w:p>
    <w:p w14:paraId="6DEC9EDA" w14:textId="11787F55" w:rsidR="002F3FD7" w:rsidRDefault="002F3FD7" w:rsidP="00C23442">
      <w:pPr>
        <w:spacing w:after="120" w:line="240" w:lineRule="auto"/>
        <w:rPr>
          <w:rFonts w:ascii="Arial" w:eastAsia="Calibri" w:hAnsi="Arial" w:cs="Arial"/>
          <w:sz w:val="20"/>
          <w:szCs w:val="20"/>
        </w:rPr>
      </w:pPr>
    </w:p>
    <w:p w14:paraId="17E373B3" w14:textId="17A8AE43" w:rsidR="0058472B" w:rsidRDefault="0058472B" w:rsidP="00C23442">
      <w:pPr>
        <w:spacing w:after="120" w:line="240" w:lineRule="auto"/>
        <w:rPr>
          <w:rFonts w:ascii="Arial" w:eastAsia="Calibri" w:hAnsi="Arial" w:cs="Arial"/>
          <w:b/>
          <w:bCs/>
          <w:sz w:val="20"/>
          <w:szCs w:val="20"/>
        </w:rPr>
      </w:pPr>
      <w:r>
        <w:rPr>
          <w:rFonts w:ascii="Arial" w:eastAsia="Calibri" w:hAnsi="Arial" w:cs="Arial"/>
          <w:b/>
          <w:bCs/>
          <w:sz w:val="20"/>
          <w:szCs w:val="20"/>
        </w:rPr>
        <w:t xml:space="preserve">SALDOS DE CONTRATOS EN EJECUCIÓN – Capacidad residual – Formato 5 – Subsanabilidad – Causal de rechazo – Omisión de información </w:t>
      </w:r>
    </w:p>
    <w:p w14:paraId="2392693B" w14:textId="3C03730F" w:rsidR="0058472B" w:rsidRPr="0058472B" w:rsidRDefault="0058472B" w:rsidP="0058472B">
      <w:pPr>
        <w:spacing w:after="0" w:line="240" w:lineRule="auto"/>
        <w:rPr>
          <w:rFonts w:ascii="Arial" w:eastAsia="Calibri" w:hAnsi="Arial" w:cs="Arial"/>
          <w:sz w:val="20"/>
          <w:szCs w:val="20"/>
          <w:lang w:val="es-CO"/>
        </w:rPr>
      </w:pPr>
      <w:r>
        <w:rPr>
          <w:rFonts w:ascii="Arial" w:eastAsia="Calibri" w:hAnsi="Arial" w:cs="Arial"/>
          <w:sz w:val="20"/>
          <w:szCs w:val="20"/>
          <w:lang w:val="es-CO"/>
        </w:rPr>
        <w:t>E</w:t>
      </w:r>
      <w:r w:rsidRPr="0058472B">
        <w:rPr>
          <w:rFonts w:ascii="Arial" w:eastAsia="Calibri" w:hAnsi="Arial" w:cs="Arial"/>
          <w:sz w:val="20"/>
          <w:szCs w:val="20"/>
          <w:lang w:val="es-CO"/>
        </w:rPr>
        <w:t xml:space="preserv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w:t>
      </w:r>
      <w:r w:rsidRPr="0058472B">
        <w:rPr>
          <w:rFonts w:ascii="Arial" w:eastAsia="Calibri" w:hAnsi="Arial" w:cs="Arial"/>
          <w:sz w:val="20"/>
          <w:szCs w:val="20"/>
          <w:lang w:val="es-CO"/>
        </w:rPr>
        <w:lastRenderedPageBreak/>
        <w:t>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w:t>
      </w:r>
      <w:r w:rsidRPr="0058472B">
        <w:rPr>
          <w:rFonts w:ascii="Arial" w:eastAsia="Arial" w:hAnsi="Arial" w:cs="Arial"/>
          <w:sz w:val="20"/>
          <w:szCs w:val="20"/>
          <w:lang w:val="es-CO" w:eastAsia="es-CO"/>
        </w:rPr>
        <w:t>Que</w:t>
      </w:r>
      <w:r w:rsidRPr="0058472B">
        <w:rPr>
          <w:rFonts w:ascii="Arial" w:eastAsia="Arial,Calibri" w:hAnsi="Arial" w:cs="Arial"/>
          <w:sz w:val="20"/>
          <w:szCs w:val="20"/>
          <w:lang w:val="es-CO" w:eastAsia="es-CO"/>
        </w:rPr>
        <w:t xml:space="preserve"> </w:t>
      </w:r>
      <w:r w:rsidRPr="0058472B">
        <w:rPr>
          <w:rFonts w:ascii="Arial" w:eastAsia="Arial" w:hAnsi="Arial" w:cs="Arial"/>
          <w:sz w:val="20"/>
          <w:szCs w:val="20"/>
          <w:lang w:val="es-CO" w:eastAsia="es-CO"/>
        </w:rPr>
        <w:t>el</w:t>
      </w:r>
      <w:r w:rsidRPr="0058472B">
        <w:rPr>
          <w:rFonts w:ascii="Arial" w:eastAsia="Arial,Calibri" w:hAnsi="Arial" w:cs="Arial"/>
          <w:sz w:val="20"/>
          <w:szCs w:val="20"/>
          <w:lang w:val="es-CO" w:eastAsia="es-CO"/>
        </w:rPr>
        <w:t xml:space="preserve"> </w:t>
      </w:r>
      <w:r w:rsidRPr="0058472B">
        <w:rPr>
          <w:rFonts w:ascii="Arial" w:eastAsia="Arial" w:hAnsi="Arial" w:cs="Arial"/>
          <w:sz w:val="20"/>
          <w:szCs w:val="20"/>
          <w:lang w:val="es-CO" w:eastAsia="es-CO"/>
        </w:rPr>
        <w:t>Proponente</w:t>
      </w:r>
      <w:r w:rsidRPr="0058472B">
        <w:rPr>
          <w:rFonts w:ascii="Arial" w:eastAsia="Arial,Calibri" w:hAnsi="Arial" w:cs="Arial"/>
          <w:sz w:val="20"/>
          <w:szCs w:val="20"/>
          <w:lang w:val="es-CO" w:eastAsia="es-CO"/>
        </w:rPr>
        <w:t xml:space="preserve"> </w:t>
      </w:r>
      <w:r w:rsidRPr="0058472B">
        <w:rPr>
          <w:rFonts w:ascii="Arial" w:eastAsia="Arial" w:hAnsi="Arial" w:cs="Arial"/>
          <w:sz w:val="20"/>
          <w:szCs w:val="20"/>
          <w:lang w:val="es-CO" w:eastAsia="es-CO"/>
        </w:rPr>
        <w:t xml:space="preserve">aporte información inexacta </w:t>
      </w:r>
      <w:r w:rsidRPr="0058472B">
        <w:rPr>
          <w:rFonts w:ascii="Arial" w:eastAsia="Times New Roman" w:hAnsi="Arial" w:cs="Arial"/>
          <w:sz w:val="20"/>
          <w:szCs w:val="20"/>
          <w:lang w:val="es-CO" w:eastAsia="es-CO"/>
        </w:rPr>
        <w:t>sobre la cual pueda existir una posible falsedad</w:t>
      </w:r>
      <w:r w:rsidRPr="0058472B" w:rsidDel="003061D1">
        <w:rPr>
          <w:rFonts w:ascii="Arial" w:eastAsia="Times New Roman" w:hAnsi="Arial" w:cs="Arial"/>
          <w:sz w:val="20"/>
          <w:szCs w:val="20"/>
          <w:lang w:val="es-CO" w:eastAsia="es-CO"/>
        </w:rPr>
        <w:t xml:space="preserve"> </w:t>
      </w:r>
      <w:r w:rsidRPr="0058472B">
        <w:rPr>
          <w:rFonts w:ascii="Arial" w:eastAsia="Times New Roman" w:hAnsi="Arial" w:cs="Arial"/>
          <w:sz w:val="20"/>
          <w:szCs w:val="20"/>
          <w:lang w:val="es-CO" w:eastAsia="es-CO"/>
        </w:rPr>
        <w:t>en los términos de la sección 1.11».</w:t>
      </w:r>
    </w:p>
    <w:p w14:paraId="172EAD24" w14:textId="6C045FDA" w:rsidR="00EF5CB5" w:rsidRPr="00EF5CB5" w:rsidRDefault="0058472B" w:rsidP="00EF5CB5">
      <w:pPr>
        <w:spacing w:after="120" w:line="240" w:lineRule="auto"/>
        <w:rPr>
          <w:rFonts w:ascii="Arial" w:eastAsia="Calibri" w:hAnsi="Arial" w:cs="Arial"/>
          <w:sz w:val="20"/>
          <w:szCs w:val="20"/>
          <w:lang w:val="es-CO"/>
        </w:rPr>
      </w:pPr>
      <w:r w:rsidRPr="0058472B">
        <w:rPr>
          <w:rFonts w:ascii="Arial" w:eastAsia="Calibri" w:hAnsi="Arial" w:cs="Arial"/>
          <w:sz w:val="20"/>
          <w:szCs w:val="20"/>
          <w:lang w:val="es-CO"/>
        </w:rPr>
        <w:t xml:space="preserve">Según lo expuesto, al verificarse que el proponente no incluyó información contractual que afecte su capacidad residual, la entidad no estará en posición de solicitar aclaraciones, o acudir al </w:t>
      </w:r>
      <w:r w:rsidRPr="00EF5CB5">
        <w:rPr>
          <w:rFonts w:ascii="Arial" w:eastAsia="Calibri" w:hAnsi="Arial" w:cs="Arial"/>
          <w:sz w:val="20"/>
          <w:szCs w:val="20"/>
          <w:lang w:val="es-CO"/>
        </w:rPr>
        <w:t>régimen de subsanabilidad de ofertas</w:t>
      </w:r>
      <w:r w:rsidRPr="00EF5CB5">
        <w:rPr>
          <w:rFonts w:ascii="Arial" w:eastAsia="Calibri" w:hAnsi="Arial" w:cs="Arial"/>
          <w:sz w:val="20"/>
          <w:szCs w:val="20"/>
          <w:vertAlign w:val="superscript"/>
          <w:lang w:val="es-CO"/>
        </w:rPr>
        <w:footnoteReference w:id="1"/>
      </w:r>
      <w:r w:rsidRPr="00EF5CB5">
        <w:rPr>
          <w:rFonts w:ascii="Arial" w:eastAsia="Calibri" w:hAnsi="Arial" w:cs="Arial"/>
          <w:sz w:val="20"/>
          <w:szCs w:val="20"/>
          <w:lang w:val="es-CO"/>
        </w:rPr>
        <w:t xml:space="preserve">. Esto en la medida que tal circunstancia constituye una causal de rechazo en los términos de los literales H y Z del numeral 1.15 del documento base; y como se indicó precedentemente, en el evento en que el mismo proponente  «corrija» el error e informe la existencia de un contrato no informado, </w:t>
      </w:r>
      <w:proofErr w:type="spellStart"/>
      <w:r w:rsidRPr="00EF5CB5">
        <w:rPr>
          <w:rFonts w:ascii="Arial" w:eastAsia="Calibri" w:hAnsi="Arial" w:cs="Arial"/>
          <w:sz w:val="20"/>
          <w:szCs w:val="20"/>
          <w:lang w:val="es-CO"/>
        </w:rPr>
        <w:t>esta</w:t>
      </w:r>
      <w:proofErr w:type="spellEnd"/>
      <w:r w:rsidRPr="00EF5CB5">
        <w:rPr>
          <w:rFonts w:ascii="Arial" w:eastAsia="Calibri" w:hAnsi="Arial" w:cs="Arial"/>
          <w:sz w:val="20"/>
          <w:szCs w:val="20"/>
          <w:lang w:val="es-CO"/>
        </w:rPr>
        <w:t xml:space="preserve"> aceptando que se configura el supuesto de hecho de que trata la causal del literal Z </w:t>
      </w:r>
      <w:r w:rsidRPr="00EF5CB5">
        <w:rPr>
          <w:rFonts w:ascii="Arial" w:eastAsia="Calibri" w:hAnsi="Arial" w:cs="Arial"/>
          <w:sz w:val="20"/>
          <w:szCs w:val="20"/>
        </w:rPr>
        <w:t xml:space="preserve">de los documentos tipo –versión 3 de licitación de obra pública, </w:t>
      </w:r>
      <w:r w:rsidRPr="00EF5CB5">
        <w:rPr>
          <w:rFonts w:ascii="Arial" w:eastAsia="Calibri" w:hAnsi="Arial" w:cs="Arial"/>
          <w:sz w:val="20"/>
          <w:szCs w:val="20"/>
          <w:lang w:val="es-CO"/>
        </w:rPr>
        <w:t>esto es, que el proponente no cumplió con la  obligación de reportar la totalidad de los contratos que tenía en ejecución</w:t>
      </w:r>
      <w:r w:rsidR="00EF5CB5" w:rsidRPr="00EF5CB5">
        <w:rPr>
          <w:rFonts w:ascii="Arial" w:eastAsia="Calibri" w:hAnsi="Arial" w:cs="Arial"/>
          <w:sz w:val="20"/>
          <w:szCs w:val="20"/>
          <w:lang w:val="es-CO"/>
        </w:rPr>
        <w:t xml:space="preserve">. Por lo cual, las entidades contratantes deberán analizar, caso a caso, la configuración de dichas causales, con base en los parámetros que se señalaron precedentemente, siendo entonces claro que, la información relacionado con saldos de contratos en ejecución diligenciada en el Formato 5 – Capacidad Residual de los documentos tipo referidos no podrá ser subsanada por el proponente, cuando se configuren los supuestos analizados en este conceptos. </w:t>
      </w:r>
    </w:p>
    <w:p w14:paraId="6EFB2997" w14:textId="77777777" w:rsidR="00EF5CB5" w:rsidRPr="0058472B" w:rsidRDefault="00EF5CB5" w:rsidP="0058472B">
      <w:pPr>
        <w:spacing w:after="120" w:line="240" w:lineRule="auto"/>
        <w:rPr>
          <w:rFonts w:ascii="Arial" w:eastAsia="Calibri" w:hAnsi="Arial" w:cs="Arial"/>
          <w:b/>
          <w:bCs/>
          <w:sz w:val="20"/>
          <w:szCs w:val="20"/>
        </w:rPr>
      </w:pPr>
    </w:p>
    <w:bookmarkEnd w:id="3"/>
    <w:p w14:paraId="6DF7DC4A" w14:textId="77777777" w:rsidR="00D1347F" w:rsidRPr="002F3FD7" w:rsidRDefault="00D1347F" w:rsidP="002E7E35">
      <w:pPr>
        <w:spacing w:after="120" w:line="240" w:lineRule="auto"/>
        <w:rPr>
          <w:rFonts w:ascii="Arial" w:eastAsia="Arial" w:hAnsi="Arial" w:cs="Arial"/>
          <w:color w:val="000000"/>
          <w:sz w:val="20"/>
          <w:szCs w:val="20"/>
          <w:lang w:val="es-CO" w:eastAsia="es-ES_tradnl"/>
        </w:rPr>
      </w:pPr>
    </w:p>
    <w:p w14:paraId="6156B69A" w14:textId="2A44E9DF" w:rsidR="006E74A5" w:rsidRPr="002F3FD7" w:rsidRDefault="001453EF" w:rsidP="00F176B9">
      <w:pPr>
        <w:spacing w:after="0" w:line="240" w:lineRule="auto"/>
        <w:rPr>
          <w:rFonts w:ascii="Arial" w:eastAsia="Calibri" w:hAnsi="Arial" w:cs="Arial"/>
          <w:sz w:val="22"/>
          <w:lang w:val="es-CO"/>
        </w:rPr>
      </w:pPr>
      <w:r w:rsidRPr="002F3FD7">
        <w:rPr>
          <w:rFonts w:ascii="Arial" w:eastAsia="Calibri" w:hAnsi="Arial" w:cs="Arial"/>
          <w:noProof/>
          <w:sz w:val="20"/>
          <w:szCs w:val="20"/>
          <w:lang w:val="es-ES"/>
        </w:rPr>
        <w:br w:type="page"/>
      </w:r>
      <w:bookmarkEnd w:id="0"/>
      <w:bookmarkEnd w:id="1"/>
    </w:p>
    <w:p w14:paraId="420DF076" w14:textId="5029182E" w:rsidR="00997A4C" w:rsidRPr="002F3FD7" w:rsidRDefault="00D64E9A" w:rsidP="00997A4C">
      <w:pPr>
        <w:spacing w:after="0" w:line="240" w:lineRule="auto"/>
        <w:jc w:val="right"/>
        <w:rPr>
          <w:rFonts w:ascii="Arial" w:eastAsia="Calibri" w:hAnsi="Arial" w:cs="Arial"/>
          <w:sz w:val="22"/>
          <w:lang w:val="es-CO"/>
        </w:rPr>
      </w:pPr>
      <w:r>
        <w:rPr>
          <w:noProof/>
        </w:rPr>
        <w:lastRenderedPageBreak/>
        <w:drawing>
          <wp:inline distT="0" distB="0" distL="0" distR="0" wp14:anchorId="539170A1" wp14:editId="0D9ABB1D">
            <wp:extent cx="2872304" cy="704850"/>
            <wp:effectExtent l="0" t="0" r="4445"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pic:nvPicPr>
                  <pic:blipFill>
                    <a:blip r:embed="rId11"/>
                    <a:stretch>
                      <a:fillRect/>
                    </a:stretch>
                  </pic:blipFill>
                  <pic:spPr>
                    <a:xfrm>
                      <a:off x="0" y="0"/>
                      <a:ext cx="2872304" cy="704850"/>
                    </a:xfrm>
                    <a:prstGeom prst="rect">
                      <a:avLst/>
                    </a:prstGeom>
                  </pic:spPr>
                </pic:pic>
              </a:graphicData>
            </a:graphic>
          </wp:inline>
        </w:drawing>
      </w:r>
    </w:p>
    <w:p w14:paraId="5655C6DA" w14:textId="77777777" w:rsidR="00D64E9A" w:rsidRDefault="00D64E9A" w:rsidP="00D64E9A">
      <w:pPr>
        <w:spacing w:after="0" w:line="240" w:lineRule="auto"/>
        <w:jc w:val="right"/>
        <w:rPr>
          <w:rFonts w:ascii="Arial" w:eastAsia="Calibri" w:hAnsi="Arial" w:cs="Arial"/>
          <w:sz w:val="22"/>
          <w:lang w:val="es-CO"/>
        </w:rPr>
      </w:pPr>
    </w:p>
    <w:p w14:paraId="6DE23F2B" w14:textId="40212B5A" w:rsidR="00997A4C" w:rsidRDefault="00613407" w:rsidP="00D64E9A">
      <w:pPr>
        <w:spacing w:after="0" w:line="240" w:lineRule="auto"/>
        <w:rPr>
          <w:rFonts w:ascii="Arial" w:eastAsia="Calibri" w:hAnsi="Arial" w:cs="Arial"/>
          <w:sz w:val="22"/>
          <w:lang w:val="es-CO"/>
        </w:rPr>
      </w:pPr>
      <w:r>
        <w:rPr>
          <w:rFonts w:ascii="Arial" w:eastAsia="Calibri" w:hAnsi="Arial" w:cs="Arial"/>
          <w:sz w:val="22"/>
          <w:lang w:val="es-CO"/>
        </w:rPr>
        <w:t xml:space="preserve">Bogotá D.C., 2 </w:t>
      </w:r>
      <w:proofErr w:type="gramStart"/>
      <w:r>
        <w:rPr>
          <w:rFonts w:ascii="Arial" w:eastAsia="Calibri" w:hAnsi="Arial" w:cs="Arial"/>
          <w:sz w:val="22"/>
          <w:lang w:val="es-CO"/>
        </w:rPr>
        <w:t>Septiembre</w:t>
      </w:r>
      <w:proofErr w:type="gramEnd"/>
      <w:r>
        <w:rPr>
          <w:rFonts w:ascii="Arial" w:eastAsia="Calibri" w:hAnsi="Arial" w:cs="Arial"/>
          <w:sz w:val="22"/>
          <w:lang w:val="es-CO"/>
        </w:rPr>
        <w:t xml:space="preserve"> 2022</w:t>
      </w:r>
      <w:r w:rsidR="00D64E9A" w:rsidRPr="00D64E9A">
        <w:rPr>
          <w:noProof/>
        </w:rPr>
        <w:t xml:space="preserve"> </w:t>
      </w:r>
    </w:p>
    <w:p w14:paraId="5F284A5C" w14:textId="27B99A78" w:rsidR="00613407" w:rsidRDefault="00613407" w:rsidP="00F176B9">
      <w:pPr>
        <w:spacing w:after="0" w:line="240" w:lineRule="auto"/>
        <w:rPr>
          <w:rFonts w:ascii="Arial" w:eastAsia="Calibri" w:hAnsi="Arial" w:cs="Arial"/>
          <w:sz w:val="22"/>
          <w:lang w:val="es-CO"/>
        </w:rPr>
      </w:pPr>
    </w:p>
    <w:p w14:paraId="1667A86A" w14:textId="21B4B48A" w:rsidR="00613407" w:rsidRDefault="00613407" w:rsidP="00F176B9">
      <w:pPr>
        <w:spacing w:after="0" w:line="240" w:lineRule="auto"/>
        <w:rPr>
          <w:rFonts w:ascii="Arial" w:eastAsia="Calibri" w:hAnsi="Arial" w:cs="Arial"/>
          <w:sz w:val="22"/>
          <w:lang w:val="es-CO"/>
        </w:rPr>
      </w:pPr>
    </w:p>
    <w:p w14:paraId="2C7ED74B" w14:textId="77777777" w:rsidR="00613407" w:rsidRPr="002F3FD7" w:rsidRDefault="00613407" w:rsidP="00F176B9">
      <w:pPr>
        <w:spacing w:after="0" w:line="240" w:lineRule="auto"/>
        <w:rPr>
          <w:rFonts w:ascii="Arial" w:eastAsia="Calibri" w:hAnsi="Arial" w:cs="Arial"/>
          <w:sz w:val="22"/>
          <w:lang w:val="es-CO"/>
        </w:rPr>
      </w:pPr>
    </w:p>
    <w:p w14:paraId="7A7F1602" w14:textId="77777777" w:rsidR="00997A4C" w:rsidRPr="002F3FD7" w:rsidRDefault="00997A4C" w:rsidP="00F176B9">
      <w:pPr>
        <w:spacing w:after="0" w:line="240" w:lineRule="auto"/>
        <w:rPr>
          <w:rFonts w:ascii="Arial" w:eastAsia="Calibri" w:hAnsi="Arial" w:cs="Arial"/>
          <w:sz w:val="22"/>
          <w:lang w:val="es-CO"/>
        </w:rPr>
      </w:pPr>
    </w:p>
    <w:p w14:paraId="6A81B1B9" w14:textId="3506EE52" w:rsidR="00303D47" w:rsidRPr="002F3FD7" w:rsidRDefault="004653E7" w:rsidP="00F176B9">
      <w:pPr>
        <w:spacing w:after="0" w:line="240" w:lineRule="auto"/>
        <w:rPr>
          <w:rFonts w:ascii="Arial" w:eastAsia="Calibri" w:hAnsi="Arial" w:cs="Arial"/>
          <w:sz w:val="22"/>
          <w:lang w:val="es-CO"/>
        </w:rPr>
      </w:pPr>
      <w:r w:rsidRPr="002F3FD7">
        <w:rPr>
          <w:rFonts w:ascii="Arial" w:eastAsia="Calibri" w:hAnsi="Arial" w:cs="Arial"/>
          <w:sz w:val="22"/>
          <w:lang w:val="es-CO"/>
        </w:rPr>
        <w:t>Señor</w:t>
      </w:r>
      <w:r w:rsidR="00704F99" w:rsidRPr="002F3FD7">
        <w:rPr>
          <w:rFonts w:ascii="Arial" w:eastAsia="Calibri" w:hAnsi="Arial" w:cs="Arial"/>
          <w:sz w:val="22"/>
          <w:lang w:val="es-CO"/>
        </w:rPr>
        <w:t>(a)</w:t>
      </w:r>
    </w:p>
    <w:p w14:paraId="38F5C0DE" w14:textId="342DCC37" w:rsidR="004653E7" w:rsidRPr="002F3FD7" w:rsidRDefault="00704F99" w:rsidP="00F176B9">
      <w:pPr>
        <w:spacing w:after="0" w:line="240" w:lineRule="auto"/>
        <w:rPr>
          <w:rFonts w:ascii="Arial" w:eastAsia="Calibri" w:hAnsi="Arial" w:cs="Arial"/>
          <w:b/>
          <w:sz w:val="22"/>
          <w:lang w:val="es-CO"/>
        </w:rPr>
      </w:pPr>
      <w:r w:rsidRPr="002F3FD7">
        <w:rPr>
          <w:rFonts w:ascii="Arial" w:eastAsia="Calibri" w:hAnsi="Arial" w:cs="Arial"/>
          <w:b/>
          <w:sz w:val="22"/>
          <w:lang w:val="es-CO"/>
        </w:rPr>
        <w:t>Ciudadano (a) anónimo (a)</w:t>
      </w:r>
    </w:p>
    <w:p w14:paraId="72352372" w14:textId="65F18F83" w:rsidR="00303D47" w:rsidRPr="002F3FD7" w:rsidRDefault="00A972D0" w:rsidP="00F176B9">
      <w:pPr>
        <w:spacing w:after="0" w:line="240" w:lineRule="auto"/>
        <w:rPr>
          <w:rFonts w:ascii="Arial" w:eastAsia="Calibri" w:hAnsi="Arial" w:cs="Arial"/>
          <w:sz w:val="22"/>
          <w:lang w:val="es-CO"/>
        </w:rPr>
      </w:pPr>
      <w:r w:rsidRPr="002F3FD7">
        <w:rPr>
          <w:rFonts w:ascii="Arial" w:eastAsia="Calibri" w:hAnsi="Arial" w:cs="Arial"/>
          <w:sz w:val="22"/>
          <w:lang w:val="es-CO"/>
        </w:rPr>
        <w:t>B</w:t>
      </w:r>
      <w:r w:rsidR="001D4536" w:rsidRPr="002F3FD7">
        <w:rPr>
          <w:rFonts w:ascii="Arial" w:eastAsia="Calibri" w:hAnsi="Arial" w:cs="Arial"/>
          <w:sz w:val="22"/>
          <w:lang w:val="es-CO"/>
        </w:rPr>
        <w:t xml:space="preserve">ogotá D.C. </w:t>
      </w:r>
    </w:p>
    <w:p w14:paraId="7F1B789E" w14:textId="77777777" w:rsidR="00704F99" w:rsidRPr="002F3FD7" w:rsidRDefault="00704F99" w:rsidP="00F176B9">
      <w:pPr>
        <w:spacing w:after="0" w:line="240" w:lineRule="auto"/>
        <w:rPr>
          <w:rFonts w:ascii="Arial" w:eastAsia="Calibri" w:hAnsi="Arial" w:cs="Arial"/>
          <w:sz w:val="22"/>
          <w:lang w:val="es-CO"/>
        </w:rPr>
      </w:pPr>
    </w:p>
    <w:p w14:paraId="20C73A65" w14:textId="77777777" w:rsidR="002B72C0" w:rsidRPr="002F3FD7" w:rsidRDefault="002B72C0" w:rsidP="00F176B9">
      <w:pPr>
        <w:spacing w:after="0" w:line="240" w:lineRule="auto"/>
        <w:rPr>
          <w:rFonts w:ascii="Arial" w:eastAsia="Calibri" w:hAnsi="Arial" w:cs="Arial"/>
          <w:sz w:val="22"/>
          <w:lang w:val="es-CO"/>
        </w:rPr>
      </w:pPr>
    </w:p>
    <w:p w14:paraId="6316E3D6" w14:textId="5A4213D6" w:rsidR="00FE0395" w:rsidRPr="002F3FD7" w:rsidRDefault="00904CD9" w:rsidP="00F176B9">
      <w:pPr>
        <w:spacing w:after="0" w:line="240" w:lineRule="auto"/>
        <w:rPr>
          <w:rFonts w:ascii="Arial" w:hAnsi="Arial" w:cs="Arial"/>
          <w:sz w:val="22"/>
          <w:lang w:val="es-CO"/>
        </w:rPr>
      </w:pPr>
      <w:r w:rsidRPr="002F3FD7">
        <w:rPr>
          <w:rFonts w:ascii="Arial" w:eastAsia="Calibri" w:hAnsi="Arial" w:cs="Arial"/>
          <w:sz w:val="22"/>
          <w:lang w:val="es-CO"/>
        </w:rPr>
        <w:t xml:space="preserve">                                            </w:t>
      </w:r>
      <w:r w:rsidRPr="002F3FD7">
        <w:rPr>
          <w:rFonts w:ascii="Arial" w:eastAsia="Calibri" w:hAnsi="Arial" w:cs="Arial"/>
          <w:b/>
          <w:sz w:val="22"/>
          <w:lang w:val="es-CO"/>
        </w:rPr>
        <w:t>Concepto C –</w:t>
      </w:r>
      <w:r w:rsidR="000E190F" w:rsidRPr="002F3FD7">
        <w:rPr>
          <w:rFonts w:ascii="Arial" w:eastAsia="Calibri" w:hAnsi="Arial" w:cs="Arial"/>
          <w:b/>
          <w:sz w:val="22"/>
          <w:lang w:val="es-CO"/>
        </w:rPr>
        <w:t xml:space="preserve"> </w:t>
      </w:r>
      <w:r w:rsidR="00A40C29" w:rsidRPr="002F3FD7">
        <w:rPr>
          <w:rFonts w:ascii="Arial" w:eastAsia="Calibri" w:hAnsi="Arial" w:cs="Arial"/>
          <w:b/>
          <w:sz w:val="22"/>
          <w:lang w:val="es-CO"/>
        </w:rPr>
        <w:t>567</w:t>
      </w:r>
      <w:r w:rsidR="00F63738" w:rsidRPr="002F3FD7">
        <w:rPr>
          <w:rFonts w:ascii="Arial" w:eastAsia="Calibri" w:hAnsi="Arial" w:cs="Arial"/>
          <w:b/>
          <w:sz w:val="22"/>
          <w:lang w:val="es-CO"/>
        </w:rPr>
        <w:t xml:space="preserve"> </w:t>
      </w:r>
      <w:r w:rsidR="00285D82" w:rsidRPr="002F3FD7">
        <w:rPr>
          <w:rFonts w:ascii="Arial" w:eastAsia="Calibri" w:hAnsi="Arial" w:cs="Arial"/>
          <w:b/>
          <w:sz w:val="22"/>
          <w:lang w:val="es-CO"/>
        </w:rPr>
        <w:t>de 202</w:t>
      </w:r>
      <w:r w:rsidR="001640BC" w:rsidRPr="002F3FD7">
        <w:rPr>
          <w:rFonts w:ascii="Arial" w:eastAsia="Calibri" w:hAnsi="Arial" w:cs="Arial"/>
          <w:b/>
          <w:sz w:val="22"/>
          <w:lang w:val="es-CO"/>
        </w:rPr>
        <w:t>2</w:t>
      </w:r>
      <w:r w:rsidR="00B346CC" w:rsidRPr="002F3FD7">
        <w:rPr>
          <w:rFonts w:ascii="Arial" w:hAnsi="Arial" w:cs="Arial"/>
          <w:sz w:val="22"/>
          <w:lang w:val="es-CO"/>
        </w:rPr>
        <w:t xml:space="preserve"> </w:t>
      </w:r>
    </w:p>
    <w:p w14:paraId="4736A594" w14:textId="77777777" w:rsidR="00303D47" w:rsidRPr="002F3FD7"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2F3FD7" w14:paraId="1701BC3D" w14:textId="77777777" w:rsidTr="000641BE">
        <w:trPr>
          <w:trHeight w:val="485"/>
        </w:trPr>
        <w:tc>
          <w:tcPr>
            <w:tcW w:w="2689" w:type="dxa"/>
            <w:hideMark/>
          </w:tcPr>
          <w:p w14:paraId="69F7D7B9" w14:textId="77777777" w:rsidR="00714833" w:rsidRPr="002F3FD7" w:rsidRDefault="00714833" w:rsidP="00F176B9">
            <w:pPr>
              <w:contextualSpacing/>
              <w:rPr>
                <w:rFonts w:ascii="Arial" w:eastAsia="Calibri" w:hAnsi="Arial" w:cs="Arial"/>
                <w:noProof/>
                <w:sz w:val="22"/>
                <w:lang w:val="es-ES_tradnl"/>
              </w:rPr>
            </w:pPr>
            <w:r w:rsidRPr="002F3FD7">
              <w:rPr>
                <w:rFonts w:ascii="Arial" w:eastAsia="Calibri" w:hAnsi="Arial" w:cs="Arial"/>
                <w:b/>
                <w:noProof/>
                <w:sz w:val="22"/>
                <w:lang w:val="es-ES_tradnl"/>
              </w:rPr>
              <w:t>Temas:</w:t>
            </w:r>
            <w:r w:rsidRPr="002F3FD7">
              <w:rPr>
                <w:rFonts w:ascii="Arial" w:eastAsia="Calibri" w:hAnsi="Arial" w:cs="Arial"/>
                <w:noProof/>
                <w:sz w:val="22"/>
                <w:lang w:val="es-ES_tradnl"/>
              </w:rPr>
              <w:t xml:space="preserve">        </w:t>
            </w:r>
          </w:p>
        </w:tc>
        <w:tc>
          <w:tcPr>
            <w:tcW w:w="6237" w:type="dxa"/>
            <w:hideMark/>
          </w:tcPr>
          <w:p w14:paraId="641BBBD5" w14:textId="74C6AD6E" w:rsidR="00714833" w:rsidRPr="00AE564A" w:rsidRDefault="00EC4BBB" w:rsidP="00AE564A">
            <w:pPr>
              <w:spacing w:after="120"/>
              <w:jc w:val="both"/>
              <w:rPr>
                <w:rFonts w:ascii="Arial" w:eastAsia="Calibri" w:hAnsi="Arial" w:cs="Arial"/>
                <w:b/>
                <w:bCs/>
                <w:sz w:val="22"/>
              </w:rPr>
            </w:pPr>
            <w:r w:rsidRPr="004A7092">
              <w:rPr>
                <w:rFonts w:ascii="Arial" w:eastAsia="Calibri" w:hAnsi="Arial" w:cs="Arial"/>
                <w:bCs/>
                <w:sz w:val="22"/>
                <w:lang w:val="es-ES_tradnl"/>
              </w:rPr>
              <w:t xml:space="preserve">CAPACIDAD RESIDUAL – Cálculo – Factores / CAPACIDAD RESIDUAL – Saldos de Contratos en Ejecución «SCE» – Contratos de obra – Contratos suspendidos / </w:t>
            </w:r>
            <w:r w:rsidR="0036064B" w:rsidRPr="004A7092">
              <w:rPr>
                <w:rFonts w:ascii="Arial" w:eastAsia="Calibri" w:hAnsi="Arial" w:cs="Arial"/>
                <w:bCs/>
                <w:sz w:val="22"/>
                <w:lang w:val="es-ES_tradnl"/>
              </w:rPr>
              <w:t xml:space="preserve">CAPACIDAD RESIDUAL – Cálculo y aplicativo – Obligatoriedad / DOCUMENTOS TIPO – Versión 3 – Licitación Pública - Capacidad residual – Rechazo de la oferta – Causales / </w:t>
            </w:r>
            <w:r w:rsidR="00C23442" w:rsidRPr="004A7092">
              <w:rPr>
                <w:rFonts w:ascii="Arial" w:eastAsia="Calibri" w:hAnsi="Arial" w:cs="Arial"/>
                <w:bCs/>
                <w:sz w:val="22"/>
                <w:lang w:val="es-ES_tradnl"/>
              </w:rPr>
              <w:t>RECHAZO DE LA OFERTA – Capacidad residual – Documento Base – Literal Z – Versión 3 – Licitación Pública –Alcance</w:t>
            </w:r>
            <w:r w:rsidR="0058472B" w:rsidRPr="004A7092">
              <w:rPr>
                <w:rFonts w:ascii="Arial" w:eastAsia="Calibri" w:hAnsi="Arial" w:cs="Arial"/>
                <w:bCs/>
                <w:sz w:val="22"/>
                <w:lang w:val="es-ES_tradnl"/>
              </w:rPr>
              <w:t xml:space="preserve">/ </w:t>
            </w:r>
            <w:r w:rsidR="0058472B" w:rsidRPr="00AE564A">
              <w:rPr>
                <w:rFonts w:ascii="Arial" w:eastAsia="Calibri" w:hAnsi="Arial" w:cs="Arial"/>
                <w:sz w:val="22"/>
              </w:rPr>
              <w:t>SALDOS DE CONTRATOS EN EJECUCIÓN – Capacidad residual – Formato 5 – Subsanabilidad – Causal de rechazo – Omisión de información /</w:t>
            </w:r>
          </w:p>
        </w:tc>
      </w:tr>
      <w:tr w:rsidR="00B66D78" w:rsidRPr="002F3FD7" w14:paraId="4074FCE6" w14:textId="77777777" w:rsidTr="000641BE">
        <w:tc>
          <w:tcPr>
            <w:tcW w:w="2689" w:type="dxa"/>
          </w:tcPr>
          <w:p w14:paraId="389F2C2E" w14:textId="77777777" w:rsidR="00FE0395" w:rsidRPr="002F3FD7" w:rsidRDefault="00FE0395" w:rsidP="00F176B9">
            <w:pPr>
              <w:contextualSpacing/>
              <w:rPr>
                <w:rFonts w:ascii="Arial" w:eastAsia="Calibri" w:hAnsi="Arial" w:cs="Arial"/>
                <w:b/>
                <w:noProof/>
                <w:sz w:val="22"/>
                <w:lang w:val="es-ES_tradnl"/>
              </w:rPr>
            </w:pPr>
            <w:r w:rsidRPr="002F3FD7">
              <w:rPr>
                <w:rFonts w:ascii="Arial" w:eastAsia="Calibri" w:hAnsi="Arial" w:cs="Arial"/>
                <w:b/>
                <w:noProof/>
                <w:sz w:val="22"/>
                <w:lang w:val="es-ES_tradnl"/>
              </w:rPr>
              <w:t>Radicación:</w:t>
            </w:r>
            <w:r w:rsidRPr="002F3FD7">
              <w:rPr>
                <w:rFonts w:ascii="Arial" w:eastAsia="Calibri" w:hAnsi="Arial" w:cs="Arial"/>
                <w:noProof/>
                <w:sz w:val="22"/>
                <w:lang w:val="es-ES_tradnl"/>
              </w:rPr>
              <w:t xml:space="preserve">                              </w:t>
            </w:r>
          </w:p>
        </w:tc>
        <w:tc>
          <w:tcPr>
            <w:tcW w:w="6237" w:type="dxa"/>
          </w:tcPr>
          <w:p w14:paraId="290F0664" w14:textId="18B92CE7" w:rsidR="00FE0395" w:rsidRPr="002F3FD7" w:rsidRDefault="00FE0395" w:rsidP="00F176B9">
            <w:pPr>
              <w:contextualSpacing/>
              <w:jc w:val="both"/>
              <w:rPr>
                <w:rFonts w:ascii="Arial" w:eastAsia="Calibri" w:hAnsi="Arial" w:cs="Arial"/>
                <w:noProof/>
                <w:sz w:val="22"/>
                <w:lang w:val="es-ES_tradnl"/>
              </w:rPr>
            </w:pPr>
            <w:r w:rsidRPr="002F3FD7">
              <w:rPr>
                <w:rFonts w:ascii="Arial" w:eastAsia="Calibri" w:hAnsi="Arial" w:cs="Arial"/>
                <w:noProof/>
                <w:sz w:val="22"/>
                <w:lang w:val="es-ES_tradnl"/>
              </w:rPr>
              <w:t xml:space="preserve">Respuesta a consulta </w:t>
            </w:r>
            <w:r w:rsidR="004653E7" w:rsidRPr="002F3FD7">
              <w:rPr>
                <w:rFonts w:ascii="Arial" w:eastAsia="Calibri" w:hAnsi="Arial" w:cs="Arial"/>
                <w:noProof/>
                <w:sz w:val="22"/>
                <w:lang w:val="es-ES_tradnl"/>
              </w:rPr>
              <w:t>P</w:t>
            </w:r>
            <w:r w:rsidR="00704F99" w:rsidRPr="002F3FD7">
              <w:rPr>
                <w:rFonts w:ascii="Arial" w:eastAsia="Calibri" w:hAnsi="Arial" w:cs="Arial"/>
                <w:noProof/>
                <w:sz w:val="22"/>
                <w:lang w:val="es-ES_tradnl"/>
              </w:rPr>
              <w:t>20220729007473</w:t>
            </w:r>
          </w:p>
        </w:tc>
      </w:tr>
    </w:tbl>
    <w:p w14:paraId="0CB3D4D0" w14:textId="77777777" w:rsidR="00FE0395" w:rsidRPr="002F3FD7" w:rsidRDefault="00FE0395" w:rsidP="00F176B9">
      <w:pPr>
        <w:spacing w:after="0" w:line="240" w:lineRule="auto"/>
        <w:rPr>
          <w:rFonts w:ascii="Arial" w:eastAsia="Calibri" w:hAnsi="Arial" w:cs="Arial"/>
          <w:sz w:val="22"/>
          <w:lang w:val="es-CO"/>
        </w:rPr>
      </w:pPr>
    </w:p>
    <w:p w14:paraId="3C6248D2" w14:textId="77777777" w:rsidR="00F246FE" w:rsidRPr="002F3FD7" w:rsidRDefault="00F246FE" w:rsidP="00F176B9">
      <w:pPr>
        <w:spacing w:after="0" w:line="240" w:lineRule="auto"/>
        <w:rPr>
          <w:rFonts w:ascii="Arial" w:eastAsia="Calibri" w:hAnsi="Arial" w:cs="Arial"/>
          <w:sz w:val="22"/>
          <w:lang w:val="es-CO"/>
        </w:rPr>
      </w:pPr>
    </w:p>
    <w:p w14:paraId="0ADE9D41" w14:textId="37B3902A" w:rsidR="00990612" w:rsidRPr="002F3FD7" w:rsidRDefault="00990612" w:rsidP="00F176B9">
      <w:pPr>
        <w:spacing w:after="0"/>
        <w:rPr>
          <w:rFonts w:ascii="Arial" w:eastAsia="Calibri" w:hAnsi="Arial" w:cs="Arial"/>
          <w:sz w:val="22"/>
          <w:lang w:val="es-CO"/>
        </w:rPr>
      </w:pPr>
      <w:r w:rsidRPr="002F3FD7">
        <w:rPr>
          <w:rFonts w:ascii="Arial" w:eastAsia="Calibri" w:hAnsi="Arial" w:cs="Arial"/>
          <w:sz w:val="22"/>
          <w:lang w:val="es-CO"/>
        </w:rPr>
        <w:t>Estimad</w:t>
      </w:r>
      <w:r w:rsidR="001260C4" w:rsidRPr="002F3FD7">
        <w:rPr>
          <w:rFonts w:ascii="Arial" w:eastAsia="Calibri" w:hAnsi="Arial" w:cs="Arial"/>
          <w:sz w:val="22"/>
          <w:lang w:val="es-CO"/>
        </w:rPr>
        <w:t>o</w:t>
      </w:r>
      <w:r w:rsidR="00704F99" w:rsidRPr="002F3FD7">
        <w:rPr>
          <w:rFonts w:ascii="Arial" w:eastAsia="Calibri" w:hAnsi="Arial" w:cs="Arial"/>
          <w:sz w:val="22"/>
          <w:lang w:val="es-CO"/>
        </w:rPr>
        <w:t>(a) señor(a) ciudadano(a)</w:t>
      </w:r>
      <w:r w:rsidR="006D44E6" w:rsidRPr="002F3FD7">
        <w:rPr>
          <w:rFonts w:ascii="Arial" w:eastAsia="Calibri" w:hAnsi="Arial" w:cs="Arial"/>
          <w:sz w:val="22"/>
          <w:lang w:val="es-CO"/>
        </w:rPr>
        <w:t>:</w:t>
      </w:r>
    </w:p>
    <w:p w14:paraId="19436ABB" w14:textId="77777777" w:rsidR="00990612" w:rsidRPr="002F3FD7" w:rsidRDefault="00990612" w:rsidP="00F176B9">
      <w:pPr>
        <w:spacing w:after="0"/>
        <w:ind w:firstLine="709"/>
        <w:rPr>
          <w:rFonts w:ascii="Arial" w:eastAsia="Calibri" w:hAnsi="Arial" w:cs="Arial"/>
          <w:sz w:val="22"/>
          <w:lang w:val="es-CO"/>
        </w:rPr>
      </w:pPr>
    </w:p>
    <w:p w14:paraId="4A62508A" w14:textId="7F6E2E76" w:rsidR="00990612" w:rsidRPr="002F3FD7" w:rsidRDefault="00990612" w:rsidP="00F176B9">
      <w:pPr>
        <w:spacing w:after="0"/>
        <w:ind w:right="51"/>
        <w:rPr>
          <w:rFonts w:ascii="Arial" w:eastAsia="Calibri" w:hAnsi="Arial" w:cs="Arial"/>
          <w:sz w:val="22"/>
          <w:lang w:val="es-CO"/>
        </w:rPr>
      </w:pPr>
      <w:r w:rsidRPr="002F3FD7">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2F3FD7">
        <w:rPr>
          <w:rFonts w:ascii="Arial" w:eastAsia="Calibri" w:hAnsi="Arial" w:cs="Arial"/>
          <w:sz w:val="22"/>
          <w:lang w:val="es-CO"/>
        </w:rPr>
        <w:t xml:space="preserve"> responde</w:t>
      </w:r>
      <w:r w:rsidRPr="002F3FD7">
        <w:rPr>
          <w:rFonts w:ascii="Arial" w:eastAsia="Calibri" w:hAnsi="Arial" w:cs="Arial"/>
          <w:sz w:val="22"/>
          <w:lang w:val="es-CO"/>
        </w:rPr>
        <w:t xml:space="preserve"> la consulta </w:t>
      </w:r>
      <w:r w:rsidR="00FE65B4" w:rsidRPr="002F3FD7">
        <w:rPr>
          <w:rFonts w:ascii="Arial" w:eastAsia="Calibri" w:hAnsi="Arial" w:cs="Arial"/>
          <w:sz w:val="22"/>
          <w:lang w:val="es-CO"/>
        </w:rPr>
        <w:t xml:space="preserve">radicada </w:t>
      </w:r>
      <w:r w:rsidRPr="002F3FD7">
        <w:rPr>
          <w:rFonts w:ascii="Arial" w:eastAsia="Calibri" w:hAnsi="Arial" w:cs="Arial"/>
          <w:sz w:val="22"/>
          <w:lang w:val="es-CO"/>
        </w:rPr>
        <w:t xml:space="preserve">el </w:t>
      </w:r>
      <w:r w:rsidR="00704F99" w:rsidRPr="002F3FD7">
        <w:rPr>
          <w:rFonts w:ascii="Arial" w:eastAsia="Calibri" w:hAnsi="Arial" w:cs="Arial"/>
          <w:sz w:val="22"/>
          <w:lang w:val="es-CO"/>
        </w:rPr>
        <w:t xml:space="preserve">2 de agosto de 2022. </w:t>
      </w:r>
    </w:p>
    <w:p w14:paraId="6512D341" w14:textId="77777777" w:rsidR="00303D47" w:rsidRPr="002F3FD7" w:rsidRDefault="00303D47" w:rsidP="00F176B9">
      <w:pPr>
        <w:spacing w:after="0"/>
        <w:rPr>
          <w:rFonts w:ascii="Arial" w:eastAsia="Calibri" w:hAnsi="Arial" w:cs="Arial"/>
          <w:sz w:val="22"/>
          <w:lang w:val="es-CO"/>
        </w:rPr>
      </w:pPr>
    </w:p>
    <w:p w14:paraId="3B0D1063" w14:textId="420ECC95" w:rsidR="005A114C" w:rsidRPr="002F3FD7" w:rsidRDefault="002B72C0" w:rsidP="00F176B9">
      <w:pPr>
        <w:tabs>
          <w:tab w:val="left" w:pos="284"/>
        </w:tabs>
        <w:spacing w:after="0"/>
        <w:rPr>
          <w:rFonts w:ascii="Arial" w:eastAsia="Calibri" w:hAnsi="Arial" w:cs="Arial"/>
          <w:b/>
          <w:sz w:val="22"/>
          <w:lang w:val="es-CO"/>
        </w:rPr>
      </w:pPr>
      <w:r w:rsidRPr="002F3FD7">
        <w:rPr>
          <w:rFonts w:ascii="Arial" w:eastAsia="Calibri" w:hAnsi="Arial" w:cs="Arial"/>
          <w:b/>
          <w:sz w:val="22"/>
          <w:lang w:val="es-CO"/>
        </w:rPr>
        <w:t xml:space="preserve">1. </w:t>
      </w:r>
      <w:r w:rsidR="00990612" w:rsidRPr="002F3FD7">
        <w:rPr>
          <w:rFonts w:ascii="Arial" w:eastAsia="Calibri" w:hAnsi="Arial" w:cs="Arial"/>
          <w:b/>
          <w:sz w:val="22"/>
          <w:lang w:val="es-CO"/>
        </w:rPr>
        <w:t>Problema</w:t>
      </w:r>
      <w:r w:rsidR="00AD55A8" w:rsidRPr="002F3FD7">
        <w:rPr>
          <w:rFonts w:ascii="Arial" w:eastAsia="Calibri" w:hAnsi="Arial" w:cs="Arial"/>
          <w:b/>
          <w:sz w:val="22"/>
          <w:lang w:val="es-CO"/>
        </w:rPr>
        <w:t>s</w:t>
      </w:r>
      <w:r w:rsidR="00990612" w:rsidRPr="002F3FD7">
        <w:rPr>
          <w:rFonts w:ascii="Arial" w:eastAsia="Calibri" w:hAnsi="Arial" w:cs="Arial"/>
          <w:b/>
          <w:sz w:val="22"/>
          <w:lang w:val="es-CO"/>
        </w:rPr>
        <w:t xml:space="preserve"> planteado</w:t>
      </w:r>
      <w:r w:rsidR="00AD55A8" w:rsidRPr="002F3FD7">
        <w:rPr>
          <w:rFonts w:ascii="Arial" w:eastAsia="Calibri" w:hAnsi="Arial" w:cs="Arial"/>
          <w:b/>
          <w:sz w:val="22"/>
          <w:lang w:val="es-CO"/>
        </w:rPr>
        <w:t>s</w:t>
      </w:r>
    </w:p>
    <w:p w14:paraId="2FBDB7F6" w14:textId="77777777" w:rsidR="005A114C" w:rsidRPr="002F3FD7" w:rsidRDefault="005A114C" w:rsidP="00F176B9">
      <w:pPr>
        <w:pStyle w:val="Prrafodelista"/>
        <w:tabs>
          <w:tab w:val="left" w:pos="284"/>
        </w:tabs>
        <w:spacing w:after="0"/>
        <w:ind w:left="0" w:firstLine="709"/>
        <w:rPr>
          <w:rFonts w:ascii="Arial" w:eastAsia="Calibri" w:hAnsi="Arial" w:cs="Arial"/>
          <w:b/>
          <w:sz w:val="18"/>
          <w:szCs w:val="18"/>
          <w:lang w:val="es-CO"/>
        </w:rPr>
      </w:pPr>
    </w:p>
    <w:p w14:paraId="1598A224" w14:textId="211D8D12" w:rsidR="009B2C78" w:rsidRPr="002F3FD7" w:rsidRDefault="004653E7" w:rsidP="002E7E35">
      <w:pPr>
        <w:autoSpaceDE w:val="0"/>
        <w:autoSpaceDN w:val="0"/>
        <w:adjustRightInd w:val="0"/>
        <w:spacing w:after="0" w:line="240" w:lineRule="auto"/>
        <w:jc w:val="left"/>
        <w:rPr>
          <w:rFonts w:ascii="Arial" w:hAnsi="Arial" w:cs="Arial"/>
          <w:sz w:val="22"/>
          <w:shd w:val="clear" w:color="auto" w:fill="FFFFFF"/>
        </w:rPr>
      </w:pPr>
      <w:bookmarkStart w:id="4" w:name="_Hlk58917991"/>
      <w:bookmarkStart w:id="5" w:name="_Hlk56103000"/>
      <w:r w:rsidRPr="002F3FD7">
        <w:rPr>
          <w:rFonts w:ascii="Arial" w:hAnsi="Arial" w:cs="Arial"/>
          <w:sz w:val="22"/>
        </w:rPr>
        <w:t xml:space="preserve">Usted realiza </w:t>
      </w:r>
      <w:r w:rsidR="00C67716" w:rsidRPr="002F3FD7">
        <w:rPr>
          <w:rFonts w:ascii="Arial" w:hAnsi="Arial" w:cs="Arial"/>
          <w:sz w:val="22"/>
        </w:rPr>
        <w:t>la</w:t>
      </w:r>
      <w:r w:rsidR="00861F65" w:rsidRPr="002F3FD7">
        <w:rPr>
          <w:rFonts w:ascii="Arial" w:hAnsi="Arial" w:cs="Arial"/>
          <w:sz w:val="22"/>
        </w:rPr>
        <w:t>s</w:t>
      </w:r>
      <w:r w:rsidR="00C67716" w:rsidRPr="002F3FD7">
        <w:rPr>
          <w:rFonts w:ascii="Arial" w:hAnsi="Arial" w:cs="Arial"/>
          <w:sz w:val="22"/>
        </w:rPr>
        <w:t xml:space="preserve"> siguiente</w:t>
      </w:r>
      <w:r w:rsidR="00861F65" w:rsidRPr="002F3FD7">
        <w:rPr>
          <w:rFonts w:ascii="Arial" w:hAnsi="Arial" w:cs="Arial"/>
          <w:sz w:val="22"/>
        </w:rPr>
        <w:t>s</w:t>
      </w:r>
      <w:r w:rsidR="00C67716" w:rsidRPr="002F3FD7">
        <w:rPr>
          <w:rFonts w:ascii="Arial" w:hAnsi="Arial" w:cs="Arial"/>
          <w:sz w:val="22"/>
        </w:rPr>
        <w:t xml:space="preserve"> </w:t>
      </w:r>
      <w:r w:rsidRPr="002F3FD7">
        <w:rPr>
          <w:rFonts w:ascii="Arial" w:hAnsi="Arial" w:cs="Arial"/>
          <w:sz w:val="22"/>
        </w:rPr>
        <w:t>consulta</w:t>
      </w:r>
      <w:r w:rsidR="00861F65" w:rsidRPr="002F3FD7">
        <w:rPr>
          <w:rFonts w:ascii="Arial" w:hAnsi="Arial" w:cs="Arial"/>
          <w:sz w:val="22"/>
        </w:rPr>
        <w:t>s relacionadas con la Capacidad Residual</w:t>
      </w:r>
      <w:r w:rsidR="008C710C" w:rsidRPr="002F3FD7">
        <w:rPr>
          <w:rFonts w:ascii="Arial" w:hAnsi="Arial" w:cs="Arial"/>
          <w:sz w:val="22"/>
          <w:shd w:val="clear" w:color="auto" w:fill="FFFFFF"/>
        </w:rPr>
        <w:t xml:space="preserve">: </w:t>
      </w:r>
    </w:p>
    <w:p w14:paraId="267A195A" w14:textId="77777777" w:rsidR="009B2C78" w:rsidRPr="002F3FD7" w:rsidRDefault="009B2C78" w:rsidP="002E7E35">
      <w:pPr>
        <w:autoSpaceDE w:val="0"/>
        <w:autoSpaceDN w:val="0"/>
        <w:adjustRightInd w:val="0"/>
        <w:spacing w:after="0" w:line="240" w:lineRule="auto"/>
        <w:jc w:val="left"/>
        <w:rPr>
          <w:rFonts w:ascii="Arial" w:hAnsi="Arial" w:cs="Arial"/>
          <w:sz w:val="22"/>
          <w:shd w:val="clear" w:color="auto" w:fill="FFFFFF"/>
        </w:rPr>
      </w:pPr>
    </w:p>
    <w:p w14:paraId="1B8AFFA0" w14:textId="4BD48F0E" w:rsidR="00704F99" w:rsidRPr="002F3FD7" w:rsidRDefault="008C710C" w:rsidP="00A40C29">
      <w:pPr>
        <w:autoSpaceDE w:val="0"/>
        <w:autoSpaceDN w:val="0"/>
        <w:adjustRightInd w:val="0"/>
        <w:spacing w:after="0" w:line="240" w:lineRule="auto"/>
        <w:ind w:left="709" w:right="709"/>
        <w:rPr>
          <w:rFonts w:ascii="Arial" w:hAnsi="Arial" w:cs="Arial"/>
          <w:sz w:val="21"/>
          <w:szCs w:val="21"/>
          <w:shd w:val="clear" w:color="auto" w:fill="FFFFFF"/>
        </w:rPr>
      </w:pPr>
      <w:bookmarkStart w:id="6" w:name="_Hlk105769369"/>
      <w:r w:rsidRPr="002F3FD7">
        <w:rPr>
          <w:rFonts w:ascii="Arial" w:hAnsi="Arial" w:cs="Arial"/>
          <w:sz w:val="21"/>
          <w:szCs w:val="21"/>
          <w:shd w:val="clear" w:color="auto" w:fill="FFFFFF"/>
        </w:rPr>
        <w:t>«</w:t>
      </w:r>
      <w:r w:rsidR="00704F99" w:rsidRPr="002F3FD7">
        <w:rPr>
          <w:rFonts w:ascii="Arial" w:hAnsi="Arial" w:cs="Arial"/>
          <w:sz w:val="21"/>
          <w:szCs w:val="21"/>
          <w:shd w:val="clear" w:color="auto" w:fill="FFFFFF"/>
        </w:rPr>
        <w:t xml:space="preserve">Pregunta: </w:t>
      </w:r>
      <w:proofErr w:type="gramStart"/>
      <w:r w:rsidR="00704F99" w:rsidRPr="002F3FD7">
        <w:rPr>
          <w:rFonts w:ascii="Arial" w:hAnsi="Arial" w:cs="Arial"/>
          <w:sz w:val="21"/>
          <w:szCs w:val="21"/>
          <w:shd w:val="clear" w:color="auto" w:fill="FFFFFF"/>
        </w:rPr>
        <w:t>el formato de SCE es subsanable???</w:t>
      </w:r>
      <w:proofErr w:type="gramEnd"/>
      <w:r w:rsidR="00704F99" w:rsidRPr="002F3FD7">
        <w:rPr>
          <w:rFonts w:ascii="Arial" w:hAnsi="Arial" w:cs="Arial"/>
          <w:sz w:val="21"/>
          <w:szCs w:val="21"/>
          <w:shd w:val="clear" w:color="auto" w:fill="FFFFFF"/>
        </w:rPr>
        <w:t xml:space="preserve"> En el entendido1</w:t>
      </w:r>
      <w:proofErr w:type="gramStart"/>
      <w:r w:rsidR="00704F99" w:rsidRPr="002F3FD7">
        <w:rPr>
          <w:rFonts w:ascii="Arial" w:hAnsi="Arial" w:cs="Arial"/>
          <w:sz w:val="21"/>
          <w:szCs w:val="21"/>
          <w:shd w:val="clear" w:color="auto" w:fill="FFFFFF"/>
        </w:rPr>
        <w:t>.”…</w:t>
      </w:r>
      <w:proofErr w:type="gramEnd"/>
      <w:r w:rsidR="00704F99" w:rsidRPr="002F3FD7">
        <w:rPr>
          <w:rFonts w:ascii="Arial" w:hAnsi="Arial" w:cs="Arial"/>
          <w:sz w:val="21"/>
          <w:szCs w:val="21"/>
          <w:shd w:val="clear" w:color="auto" w:fill="FFFFFF"/>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w:t>
      </w:r>
      <w:r w:rsidR="009526A8">
        <w:rPr>
          <w:rFonts w:ascii="Arial" w:hAnsi="Arial" w:cs="Arial"/>
          <w:sz w:val="21"/>
          <w:szCs w:val="21"/>
          <w:shd w:val="clear" w:color="auto" w:fill="FFFFFF"/>
        </w:rPr>
        <w:t>o</w:t>
      </w:r>
      <w:r w:rsidR="00704F99" w:rsidRPr="002F3FD7">
        <w:rPr>
          <w:rFonts w:ascii="Arial" w:hAnsi="Arial" w:cs="Arial"/>
          <w:sz w:val="21"/>
          <w:szCs w:val="21"/>
          <w:shd w:val="clear" w:color="auto" w:fill="FFFFFF"/>
        </w:rPr>
        <w:t xml:space="preserve">ntractual que afecte su capacidad residual, la entidad rechazará la oferta…”. </w:t>
      </w:r>
    </w:p>
    <w:p w14:paraId="6639328B" w14:textId="60318AEB" w:rsidR="00714833" w:rsidRPr="002F3FD7" w:rsidRDefault="00F12377" w:rsidP="00A40C29">
      <w:pPr>
        <w:autoSpaceDE w:val="0"/>
        <w:autoSpaceDN w:val="0"/>
        <w:adjustRightInd w:val="0"/>
        <w:spacing w:after="0" w:line="240" w:lineRule="auto"/>
        <w:ind w:left="709" w:right="709"/>
        <w:rPr>
          <w:rFonts w:ascii="Arial" w:hAnsi="Arial" w:cs="Arial"/>
          <w:sz w:val="21"/>
          <w:szCs w:val="21"/>
          <w:shd w:val="clear" w:color="auto" w:fill="FFFFFF"/>
        </w:rPr>
      </w:pPr>
      <w:r w:rsidRPr="002F3FD7">
        <w:rPr>
          <w:rFonts w:ascii="Arial" w:hAnsi="Arial" w:cs="Arial"/>
          <w:sz w:val="21"/>
          <w:szCs w:val="21"/>
          <w:shd w:val="clear" w:color="auto" w:fill="FFFFFF"/>
        </w:rPr>
        <w:t xml:space="preserve">2. si el mismo proponente (y no otro) se da cuenta que cometió un error en la información cualquiera que ella sea en el formato de SCE y lo corrige renviando el formato SEC (subsanado) </w:t>
      </w:r>
      <w:proofErr w:type="gramStart"/>
      <w:r w:rsidRPr="002F3FD7">
        <w:rPr>
          <w:rFonts w:ascii="Arial" w:hAnsi="Arial" w:cs="Arial"/>
          <w:sz w:val="21"/>
          <w:szCs w:val="21"/>
          <w:shd w:val="clear" w:color="auto" w:fill="FFFFFF"/>
        </w:rPr>
        <w:t>la Entidad lo puede rechazar aun cuando es un requisito habilitante y no da puntos igualmente, si esta subsanación la hace el proponente durante la etapa de traslado del informe preliminar 1 es rechazada</w:t>
      </w:r>
      <w:r w:rsidR="00FC62E4" w:rsidRPr="002F3FD7">
        <w:rPr>
          <w:rFonts w:ascii="Arial" w:hAnsi="Arial" w:cs="Arial"/>
          <w:sz w:val="21"/>
          <w:szCs w:val="21"/>
          <w:shd w:val="clear" w:color="auto" w:fill="FFFFFF"/>
        </w:rPr>
        <w:t>?</w:t>
      </w:r>
      <w:proofErr w:type="gramEnd"/>
      <w:r w:rsidR="004653E7" w:rsidRPr="002F3FD7">
        <w:rPr>
          <w:rFonts w:ascii="Arial" w:hAnsi="Arial" w:cs="Arial"/>
          <w:sz w:val="21"/>
          <w:szCs w:val="21"/>
        </w:rPr>
        <w:t>»</w:t>
      </w:r>
      <w:r w:rsidR="0067388D" w:rsidRPr="002F3FD7">
        <w:rPr>
          <w:rFonts w:ascii="Arial" w:hAnsi="Arial" w:cs="Arial"/>
          <w:sz w:val="21"/>
          <w:szCs w:val="21"/>
        </w:rPr>
        <w:t>.</w:t>
      </w:r>
      <w:r w:rsidR="00AE0CBF" w:rsidRPr="002F3FD7">
        <w:rPr>
          <w:rFonts w:ascii="Arial" w:hAnsi="Arial" w:cs="Arial"/>
          <w:sz w:val="21"/>
          <w:szCs w:val="21"/>
        </w:rPr>
        <w:t xml:space="preserve"> </w:t>
      </w:r>
      <w:r w:rsidRPr="002F3FD7">
        <w:rPr>
          <w:rFonts w:ascii="Arial" w:hAnsi="Arial" w:cs="Arial"/>
          <w:sz w:val="21"/>
          <w:szCs w:val="21"/>
        </w:rPr>
        <w:t xml:space="preserve">(sic) </w:t>
      </w:r>
    </w:p>
    <w:bookmarkEnd w:id="6"/>
    <w:p w14:paraId="0340A3A7" w14:textId="77777777" w:rsidR="009F3C99" w:rsidRPr="002F3FD7" w:rsidRDefault="009F3C99" w:rsidP="00AE564A">
      <w:pPr>
        <w:tabs>
          <w:tab w:val="left" w:pos="426"/>
        </w:tabs>
        <w:spacing w:after="0" w:line="240" w:lineRule="auto"/>
        <w:rPr>
          <w:rFonts w:ascii="Arial" w:eastAsia="Calibri" w:hAnsi="Arial" w:cs="Arial"/>
          <w:sz w:val="22"/>
          <w:lang w:val="es-CO"/>
        </w:rPr>
      </w:pPr>
    </w:p>
    <w:bookmarkEnd w:id="4"/>
    <w:bookmarkEnd w:id="5"/>
    <w:p w14:paraId="509ED1DE" w14:textId="4F8AAED4" w:rsidR="005027F0" w:rsidRPr="002F3FD7" w:rsidRDefault="002B72C0" w:rsidP="00F176B9">
      <w:pPr>
        <w:tabs>
          <w:tab w:val="left" w:pos="284"/>
        </w:tabs>
        <w:spacing w:after="0"/>
        <w:rPr>
          <w:rFonts w:ascii="Arial" w:eastAsia="Calibri" w:hAnsi="Arial" w:cs="Arial"/>
          <w:b/>
          <w:sz w:val="22"/>
          <w:lang w:val="es-CO"/>
        </w:rPr>
      </w:pPr>
      <w:r w:rsidRPr="002F3FD7">
        <w:rPr>
          <w:rFonts w:ascii="Arial" w:eastAsia="Calibri" w:hAnsi="Arial" w:cs="Arial"/>
          <w:b/>
          <w:sz w:val="22"/>
          <w:lang w:val="es-CO"/>
        </w:rPr>
        <w:t xml:space="preserve">2. </w:t>
      </w:r>
      <w:r w:rsidR="00990612" w:rsidRPr="002F3FD7">
        <w:rPr>
          <w:rFonts w:ascii="Arial" w:eastAsia="Calibri" w:hAnsi="Arial" w:cs="Arial"/>
          <w:b/>
          <w:sz w:val="22"/>
          <w:lang w:val="es-CO"/>
        </w:rPr>
        <w:t>Consideraciones</w:t>
      </w:r>
    </w:p>
    <w:p w14:paraId="6B56ED14" w14:textId="77777777" w:rsidR="007539E1" w:rsidRPr="002F3FD7" w:rsidRDefault="007539E1" w:rsidP="00AE564A">
      <w:pPr>
        <w:spacing w:after="0" w:line="240" w:lineRule="auto"/>
        <w:rPr>
          <w:rFonts w:ascii="Arial" w:hAnsi="Arial" w:cs="Arial"/>
          <w:color w:val="000000" w:themeColor="text1"/>
          <w:sz w:val="22"/>
          <w:lang w:val="es-ES"/>
        </w:rPr>
      </w:pPr>
    </w:p>
    <w:p w14:paraId="26AC2A7D" w14:textId="1E735C28" w:rsidR="00066743" w:rsidRPr="002F3FD7" w:rsidRDefault="00066743" w:rsidP="00066743">
      <w:pPr>
        <w:spacing w:after="0"/>
        <w:rPr>
          <w:rFonts w:ascii="Arial" w:eastAsia="Calibri" w:hAnsi="Arial" w:cs="Arial"/>
          <w:sz w:val="22"/>
        </w:rPr>
      </w:pPr>
      <w:r w:rsidRPr="002F3FD7">
        <w:rPr>
          <w:rFonts w:ascii="Arial" w:eastAsia="Calibri" w:hAnsi="Arial" w:cs="Arial"/>
          <w:sz w:val="22"/>
          <w:lang w:val="es-ES_tradnl"/>
        </w:rPr>
        <w:t>La Agencia Nacional de Contratación Pública − Colombia Compra Eficiente se ha pronunciado sobre la capacidad residual, y la forma como esta se debe acreditar, en los conceptos del 27 de agosto y el 20 y 26 de diciembre de 2019 −radicados Nos. 2201913000006275, 2201913000009465, 2201913000009642 y 2201913000009640−; así como en los conceptos C–022 del 20 de febrero de 2020, C–089 del 4 de marzo de 2020, C–112 del 16 de marzo de 2020, C–222 del 29 de marzo de 2020, C–133 del 30 de marzo de 2020, C – 194 del 21 de abril de 2020, , C–326 del 9 de junio de 2020, C-446 del 6 de julio de 2020, C-045 del 5 de marzo de 2021, C-079 del 17 de marzo de 2021 y el</w:t>
      </w:r>
      <w:r w:rsidRPr="002F3FD7">
        <w:rPr>
          <w:rFonts w:ascii="Arial" w:eastAsia="Calibri" w:hAnsi="Arial" w:cs="Arial"/>
          <w:sz w:val="22"/>
          <w:lang w:val="es-CO"/>
        </w:rPr>
        <w:t xml:space="preserve"> </w:t>
      </w:r>
      <w:r w:rsidRPr="002F3FD7">
        <w:rPr>
          <w:rFonts w:ascii="Arial" w:eastAsia="Calibri" w:hAnsi="Arial" w:cs="Arial"/>
          <w:sz w:val="22"/>
          <w:lang w:val="es-ES_tradnl"/>
        </w:rPr>
        <w:t>C-003 del 25 de marzo de 2021    C-011 del 18 de febrero de 2022, C-013 del 17 de febrero de 2022, C-068 del 8 de marzo de 2022, C-070 del 14 de marzo de 2022, C-104 del 22 de marzo de 2022.</w:t>
      </w:r>
      <w:r w:rsidRPr="002F3FD7">
        <w:rPr>
          <w:rFonts w:ascii="Arial" w:eastAsia="Calibri" w:hAnsi="Arial" w:cs="Arial"/>
          <w:sz w:val="22"/>
          <w:lang w:val="es-ES_tradnl" w:bidi="es-ES"/>
        </w:rPr>
        <w:t xml:space="preserve"> Asimismo, </w:t>
      </w:r>
      <w:r w:rsidRPr="002F3FD7">
        <w:rPr>
          <w:rFonts w:ascii="Arial" w:eastAsia="Calibri" w:hAnsi="Arial" w:cs="Arial"/>
          <w:sz w:val="22"/>
        </w:rPr>
        <w:t>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 C-042 del 4 de marzo de 2021, C-460 del 2 de septiembre de 2021, C-513 del 23 de septiembre de 2021, C-663 del 30 de noviembre de 2021</w:t>
      </w:r>
      <w:r w:rsidR="00BD5CBA" w:rsidRPr="002F3FD7">
        <w:rPr>
          <w:rFonts w:ascii="Arial" w:eastAsia="Calibri" w:hAnsi="Arial" w:cs="Arial"/>
          <w:sz w:val="22"/>
        </w:rPr>
        <w:t xml:space="preserve">, </w:t>
      </w:r>
      <w:r w:rsidRPr="002F3FD7">
        <w:rPr>
          <w:rFonts w:ascii="Arial" w:eastAsia="Calibri" w:hAnsi="Arial" w:cs="Arial"/>
          <w:sz w:val="22"/>
          <w:lang w:val="es-CO"/>
        </w:rPr>
        <w:t>C-667 del 7 de diciembre de 2021</w:t>
      </w:r>
      <w:r w:rsidRPr="002F3FD7">
        <w:rPr>
          <w:rFonts w:ascii="Arial" w:eastAsia="Calibri" w:hAnsi="Arial" w:cs="Arial"/>
          <w:sz w:val="22"/>
        </w:rPr>
        <w:t>,</w:t>
      </w:r>
      <w:r w:rsidR="00BD5CBA" w:rsidRPr="002F3FD7">
        <w:rPr>
          <w:rFonts w:ascii="Arial" w:eastAsia="Calibri" w:hAnsi="Arial" w:cs="Arial"/>
          <w:sz w:val="22"/>
        </w:rPr>
        <w:t xml:space="preserve">C-013 del 17 de febrero de 2022, C-011 del 18 de febrero de 2022, C-068 del 9 de marzo de 2022, </w:t>
      </w:r>
      <w:r w:rsidR="00944CF7" w:rsidRPr="002F3FD7">
        <w:rPr>
          <w:rFonts w:ascii="Arial" w:eastAsia="Calibri" w:hAnsi="Arial" w:cs="Arial"/>
          <w:sz w:val="22"/>
        </w:rPr>
        <w:t>C-104 del 22 de marzo de 2022,</w:t>
      </w:r>
      <w:r w:rsidR="00BD5CBA" w:rsidRPr="002F3FD7">
        <w:rPr>
          <w:rFonts w:ascii="Arial" w:eastAsia="Calibri" w:hAnsi="Arial" w:cs="Arial"/>
          <w:sz w:val="22"/>
        </w:rPr>
        <w:t xml:space="preserve"> C-173 del 7 de abril de 2022</w:t>
      </w:r>
      <w:r w:rsidR="00704F99" w:rsidRPr="002F3FD7">
        <w:rPr>
          <w:rFonts w:ascii="Arial" w:eastAsia="Calibri" w:hAnsi="Arial" w:cs="Arial"/>
          <w:sz w:val="22"/>
        </w:rPr>
        <w:t>,</w:t>
      </w:r>
      <w:r w:rsidR="00944CF7" w:rsidRPr="002F3FD7">
        <w:rPr>
          <w:rFonts w:ascii="Arial" w:eastAsia="Calibri" w:hAnsi="Arial" w:cs="Arial"/>
          <w:sz w:val="22"/>
        </w:rPr>
        <w:t xml:space="preserve">y </w:t>
      </w:r>
      <w:r w:rsidR="00BD5CBA" w:rsidRPr="002F3FD7">
        <w:rPr>
          <w:rFonts w:ascii="Arial" w:eastAsia="Calibri" w:hAnsi="Arial" w:cs="Arial"/>
          <w:sz w:val="22"/>
        </w:rPr>
        <w:t>C-186 del 12 de abril de 2022</w:t>
      </w:r>
      <w:r w:rsidR="00EE100F">
        <w:rPr>
          <w:rFonts w:ascii="Arial" w:eastAsia="Calibri" w:hAnsi="Arial" w:cs="Arial"/>
          <w:sz w:val="22"/>
        </w:rPr>
        <w:t xml:space="preserve">, </w:t>
      </w:r>
      <w:r w:rsidR="00704F99" w:rsidRPr="002F3FD7">
        <w:rPr>
          <w:rFonts w:ascii="Arial" w:eastAsia="Calibri" w:hAnsi="Arial" w:cs="Arial"/>
          <w:sz w:val="22"/>
        </w:rPr>
        <w:t>C–402 de 28 de junio de 2022</w:t>
      </w:r>
      <w:r w:rsidR="00BD5CBA" w:rsidRPr="002F3FD7">
        <w:rPr>
          <w:rFonts w:ascii="Arial" w:eastAsia="Calibri" w:hAnsi="Arial" w:cs="Arial"/>
          <w:sz w:val="22"/>
        </w:rPr>
        <w:t>,</w:t>
      </w:r>
      <w:r w:rsidR="00EE100F">
        <w:rPr>
          <w:rFonts w:ascii="Arial" w:eastAsia="Calibri" w:hAnsi="Arial" w:cs="Arial"/>
          <w:sz w:val="22"/>
        </w:rPr>
        <w:t xml:space="preserve"> C-515 del 27 de julio de 2022,</w:t>
      </w:r>
      <w:r w:rsidR="00944CF7" w:rsidRPr="002F3FD7">
        <w:rPr>
          <w:rFonts w:ascii="Arial" w:eastAsia="Calibri" w:hAnsi="Arial" w:cs="Arial"/>
          <w:sz w:val="22"/>
        </w:rPr>
        <w:t xml:space="preserve"> entre otros. </w:t>
      </w:r>
      <w:r w:rsidRPr="002F3FD7">
        <w:rPr>
          <w:rFonts w:ascii="Arial" w:eastAsia="Calibri" w:hAnsi="Arial" w:cs="Arial"/>
          <w:sz w:val="22"/>
        </w:rPr>
        <w:t>La tesis desarrollada en estos conceptos en lo pertinente se reitera a continuación.</w:t>
      </w:r>
    </w:p>
    <w:p w14:paraId="444D7609" w14:textId="06AADAD9" w:rsidR="00234500" w:rsidRPr="002F3FD7" w:rsidRDefault="00234500" w:rsidP="00234500">
      <w:pPr>
        <w:spacing w:after="0"/>
        <w:rPr>
          <w:rFonts w:ascii="Arial" w:eastAsia="Calibri" w:hAnsi="Arial" w:cs="Arial"/>
          <w:sz w:val="22"/>
          <w:lang w:val="es-ES_tradnl"/>
        </w:rPr>
      </w:pPr>
    </w:p>
    <w:p w14:paraId="0C3C0F11" w14:textId="77777777" w:rsidR="006A11F5" w:rsidRPr="002F3FD7" w:rsidRDefault="006A11F5" w:rsidP="006A11F5">
      <w:pPr>
        <w:spacing w:after="0"/>
        <w:rPr>
          <w:rFonts w:ascii="Arial" w:eastAsia="Calibri" w:hAnsi="Arial" w:cs="Arial"/>
          <w:b/>
          <w:bCs/>
          <w:color w:val="000000"/>
          <w:sz w:val="22"/>
          <w:szCs w:val="24"/>
          <w:lang w:val="es-CO" w:eastAsia="en-GB"/>
        </w:rPr>
      </w:pPr>
      <w:r w:rsidRPr="002F3FD7">
        <w:rPr>
          <w:rFonts w:ascii="Arial" w:eastAsia="Calibri" w:hAnsi="Arial" w:cs="Arial"/>
          <w:b/>
          <w:bCs/>
          <w:color w:val="000000"/>
          <w:sz w:val="22"/>
          <w:lang w:val="es-CO" w:eastAsia="en-GB"/>
        </w:rPr>
        <w:lastRenderedPageBreak/>
        <w:t xml:space="preserve">2.1. Capacidad residual como requisito habilitante: </w:t>
      </w:r>
      <w:r w:rsidRPr="002F3FD7">
        <w:rPr>
          <w:rFonts w:ascii="Arial" w:eastAsia="Calibri" w:hAnsi="Arial" w:cs="Arial"/>
          <w:b/>
          <w:bCs/>
          <w:color w:val="000000"/>
          <w:sz w:val="22"/>
          <w:szCs w:val="24"/>
          <w:lang w:val="es-CO" w:eastAsia="en-GB"/>
        </w:rPr>
        <w:t>saldo de Contratos en Ejecución –SCE–</w:t>
      </w:r>
    </w:p>
    <w:p w14:paraId="771AA490" w14:textId="77777777" w:rsidR="006A11F5" w:rsidRPr="002F3FD7" w:rsidRDefault="006A11F5" w:rsidP="006A11F5">
      <w:pPr>
        <w:spacing w:after="0"/>
        <w:rPr>
          <w:rFonts w:ascii="Arial" w:eastAsia="Calibri" w:hAnsi="Arial" w:cs="Arial"/>
          <w:color w:val="000000"/>
          <w:sz w:val="22"/>
        </w:rPr>
      </w:pPr>
    </w:p>
    <w:p w14:paraId="54281AA7" w14:textId="77777777" w:rsidR="006A11F5" w:rsidRPr="002F3FD7" w:rsidRDefault="006A11F5" w:rsidP="006A11F5">
      <w:pPr>
        <w:spacing w:after="160"/>
        <w:rPr>
          <w:rFonts w:ascii="Arial" w:eastAsia="Calibri" w:hAnsi="Arial" w:cs="Arial"/>
          <w:color w:val="000000"/>
          <w:sz w:val="22"/>
        </w:rPr>
      </w:pPr>
      <w:r w:rsidRPr="002F3FD7">
        <w:rPr>
          <w:rFonts w:ascii="Arial" w:eastAsia="Calibri" w:hAnsi="Arial" w:cs="Arial"/>
          <w:color w:val="000000"/>
          <w:sz w:val="22"/>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2F3FD7">
        <w:rPr>
          <w:rFonts w:ascii="Arial" w:eastAsia="Calibri" w:hAnsi="Arial" w:cs="Arial"/>
          <w:color w:val="000000"/>
          <w:sz w:val="22"/>
          <w:szCs w:val="20"/>
          <w:vertAlign w:val="superscript"/>
        </w:rPr>
        <w:footnoteReference w:id="2"/>
      </w:r>
      <w:r w:rsidRPr="002F3FD7">
        <w:rPr>
          <w:rFonts w:ascii="Arial" w:eastAsia="Calibri" w:hAnsi="Arial" w:cs="Arial"/>
          <w:color w:val="000000"/>
          <w:sz w:val="22"/>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2F3FD7">
        <w:rPr>
          <w:rFonts w:ascii="Arial" w:eastAsia="Calibri" w:hAnsi="Arial" w:cs="Arial"/>
          <w:color w:val="000000"/>
          <w:sz w:val="22"/>
          <w:vertAlign w:val="superscript"/>
        </w:rPr>
        <w:footnoteReference w:id="3"/>
      </w:r>
      <w:r w:rsidRPr="002F3FD7">
        <w:rPr>
          <w:rFonts w:ascii="Arial" w:eastAsia="Calibri" w:hAnsi="Arial" w:cs="Arial"/>
          <w:color w:val="000000"/>
          <w:sz w:val="22"/>
        </w:rPr>
        <w:t>.</w:t>
      </w:r>
    </w:p>
    <w:p w14:paraId="219359B4" w14:textId="77777777" w:rsidR="006A11F5" w:rsidRPr="002F3FD7" w:rsidRDefault="006A11F5" w:rsidP="006A11F5">
      <w:pPr>
        <w:spacing w:before="120" w:after="0"/>
        <w:ind w:firstLine="708"/>
        <w:rPr>
          <w:rFonts w:ascii="Arial" w:eastAsia="Calibri" w:hAnsi="Arial" w:cs="Arial"/>
          <w:color w:val="000000"/>
          <w:sz w:val="22"/>
        </w:rPr>
      </w:pPr>
      <w:r w:rsidRPr="002F3FD7">
        <w:rPr>
          <w:rFonts w:ascii="Arial" w:eastAsia="Calibri" w:hAnsi="Arial" w:cs="Arial"/>
          <w:color w:val="000000"/>
          <w:sz w:val="22"/>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2CE50A7C" w14:textId="77777777" w:rsidR="006A11F5" w:rsidRPr="002F3FD7" w:rsidRDefault="006A11F5" w:rsidP="006A11F5">
      <w:pPr>
        <w:spacing w:after="0"/>
        <w:ind w:firstLine="708"/>
        <w:rPr>
          <w:rFonts w:ascii="Arial" w:eastAsia="Calibri" w:hAnsi="Arial" w:cs="Arial"/>
          <w:color w:val="000000"/>
          <w:sz w:val="22"/>
        </w:rPr>
      </w:pPr>
    </w:p>
    <w:p w14:paraId="69D00472" w14:textId="77777777" w:rsidR="006A11F5" w:rsidRPr="002F3FD7" w:rsidRDefault="006A11F5" w:rsidP="006A11F5">
      <w:pPr>
        <w:spacing w:after="120" w:line="240" w:lineRule="auto"/>
        <w:ind w:left="709" w:right="709"/>
        <w:rPr>
          <w:rFonts w:ascii="Arial" w:eastAsia="Calibri" w:hAnsi="Arial" w:cs="Arial"/>
          <w:color w:val="000000"/>
          <w:sz w:val="21"/>
          <w:szCs w:val="21"/>
        </w:rPr>
      </w:pPr>
      <w:r w:rsidRPr="002F3FD7">
        <w:rPr>
          <w:rFonts w:ascii="Arial" w:eastAsia="Calibri" w:hAnsi="Arial" w:cs="Arial"/>
          <w:color w:val="000000"/>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C477B9A" w14:textId="77777777" w:rsidR="006A11F5" w:rsidRPr="002F3FD7" w:rsidRDefault="006A11F5" w:rsidP="006A11F5">
      <w:pPr>
        <w:spacing w:after="0" w:line="240" w:lineRule="auto"/>
        <w:ind w:left="708" w:right="709"/>
        <w:rPr>
          <w:rFonts w:ascii="Arial" w:eastAsia="Calibri" w:hAnsi="Arial" w:cs="Arial"/>
          <w:color w:val="000000"/>
          <w:sz w:val="21"/>
          <w:szCs w:val="21"/>
        </w:rPr>
      </w:pPr>
      <w:r w:rsidRPr="002F3FD7">
        <w:rPr>
          <w:rFonts w:ascii="Arial" w:eastAsia="Calibri" w:hAnsi="Arial" w:cs="Arial"/>
          <w:color w:val="000000"/>
          <w:sz w:val="21"/>
          <w:szCs w:val="21"/>
        </w:rPr>
        <w:t xml:space="preserve">Para establecer la capacidad residual del proponente o K de contratación, se deberán considerar todos los contratos que tenga en ejecución el </w:t>
      </w:r>
      <w:r w:rsidRPr="002F3FD7">
        <w:rPr>
          <w:rFonts w:ascii="Arial" w:eastAsia="Calibri" w:hAnsi="Arial" w:cs="Arial"/>
          <w:color w:val="000000"/>
          <w:sz w:val="21"/>
          <w:szCs w:val="21"/>
        </w:rPr>
        <w:lastRenderedPageBreak/>
        <w:t>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5DBC42" w14:textId="77777777" w:rsidR="006A11F5" w:rsidRPr="002F3FD7" w:rsidRDefault="006A11F5" w:rsidP="006A11F5">
      <w:pPr>
        <w:spacing w:after="0"/>
        <w:ind w:right="709"/>
        <w:rPr>
          <w:rFonts w:ascii="Arial" w:eastAsia="Calibri" w:hAnsi="Arial" w:cs="Arial"/>
          <w:color w:val="000000"/>
          <w:sz w:val="22"/>
        </w:rPr>
      </w:pPr>
    </w:p>
    <w:p w14:paraId="600BE673" w14:textId="77777777" w:rsidR="006A11F5" w:rsidRPr="002F3FD7" w:rsidRDefault="006A11F5" w:rsidP="006A11F5">
      <w:pPr>
        <w:spacing w:after="160"/>
        <w:ind w:firstLine="709"/>
        <w:rPr>
          <w:rFonts w:ascii="Arial" w:eastAsia="Calibri" w:hAnsi="Arial" w:cs="Arial"/>
          <w:color w:val="000000"/>
          <w:sz w:val="22"/>
          <w:lang w:val="es-CO"/>
        </w:rPr>
      </w:pPr>
      <w:bookmarkStart w:id="7" w:name="_Hlk106356257"/>
      <w:r w:rsidRPr="002F3FD7">
        <w:rPr>
          <w:rFonts w:ascii="Arial" w:eastAsia="Calibri" w:hAnsi="Arial" w:cs="Arial"/>
          <w:color w:val="000000"/>
          <w:sz w:val="22"/>
        </w:rPr>
        <w:t xml:space="preserve">De acuerdo con </w:t>
      </w:r>
      <w:r w:rsidRPr="002F3FD7">
        <w:rPr>
          <w:rFonts w:ascii="Arial" w:eastAsia="Calibri" w:hAnsi="Arial" w:cs="Arial"/>
          <w:color w:val="000000"/>
          <w:sz w:val="22"/>
          <w:lang w:val="es-CO"/>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bookmarkEnd w:id="7"/>
    <w:p w14:paraId="4394A5A4" w14:textId="5BA10F1A" w:rsidR="006A11F5" w:rsidRPr="002F3FD7" w:rsidRDefault="006A11F5" w:rsidP="006A11F5">
      <w:pPr>
        <w:spacing w:before="120" w:after="120"/>
        <w:ind w:firstLine="709"/>
        <w:rPr>
          <w:rFonts w:ascii="Arial" w:eastAsia="Calibri" w:hAnsi="Arial" w:cs="Arial"/>
          <w:color w:val="000000"/>
          <w:sz w:val="22"/>
        </w:rPr>
      </w:pPr>
      <w:r w:rsidRPr="002F3FD7">
        <w:rPr>
          <w:rFonts w:ascii="Arial" w:eastAsia="Calibri" w:hAnsi="Arial" w:cs="Arial"/>
          <w:color w:val="000000"/>
          <w:sz w:val="22"/>
        </w:rPr>
        <w:t>Por su parte, el artículo 2.2.1.1.1.6.4 del Decreto 1082 de 2015 dispone que las entidades estatales deberán calcular la capacidad residual conforme a la metodología definida por Colombia Compre Eficiente. Para tale</w:t>
      </w:r>
      <w:r w:rsidR="00C50AB1" w:rsidRPr="002F3FD7">
        <w:rPr>
          <w:rFonts w:ascii="Arial" w:eastAsia="Calibri" w:hAnsi="Arial" w:cs="Arial"/>
          <w:color w:val="000000"/>
          <w:sz w:val="22"/>
        </w:rPr>
        <w:t>s</w:t>
      </w:r>
      <w:r w:rsidRPr="002F3FD7">
        <w:rPr>
          <w:rFonts w:ascii="Arial" w:eastAsia="Calibri" w:hAnsi="Arial" w:cs="Arial"/>
          <w:color w:val="000000"/>
          <w:sz w:val="22"/>
        </w:rPr>
        <w:t xml:space="preserve"> fines, resulta necesario tener en cuenta los factores de i) Experiencia –E–, ii) Capacidad Financiera –CF–, </w:t>
      </w:r>
      <w:proofErr w:type="spellStart"/>
      <w:r w:rsidRPr="002F3FD7">
        <w:rPr>
          <w:rFonts w:ascii="Arial" w:eastAsia="Calibri" w:hAnsi="Arial" w:cs="Arial"/>
          <w:color w:val="000000"/>
          <w:sz w:val="22"/>
        </w:rPr>
        <w:t>iii</w:t>
      </w:r>
      <w:proofErr w:type="spellEnd"/>
      <w:r w:rsidRPr="002F3FD7">
        <w:rPr>
          <w:rFonts w:ascii="Arial" w:eastAsia="Calibri" w:hAnsi="Arial" w:cs="Arial"/>
          <w:color w:val="000000"/>
          <w:sz w:val="22"/>
        </w:rPr>
        <w:t>) Capacidad Técnica –CT–, iv) Capacidad de Organización y v) los Saldos de los Contratos en Ejecución –SCE–</w:t>
      </w:r>
    </w:p>
    <w:p w14:paraId="38A35294" w14:textId="77777777" w:rsidR="006A11F5" w:rsidRPr="002F3FD7" w:rsidRDefault="006A11F5" w:rsidP="006A11F5">
      <w:pPr>
        <w:spacing w:before="120" w:after="120"/>
        <w:ind w:firstLine="709"/>
        <w:rPr>
          <w:rFonts w:ascii="Arial" w:eastAsia="Calibri" w:hAnsi="Arial" w:cs="Arial"/>
          <w:sz w:val="22"/>
          <w:szCs w:val="20"/>
        </w:rPr>
      </w:pPr>
      <w:r w:rsidRPr="002F3FD7">
        <w:rPr>
          <w:rFonts w:ascii="Arial" w:eastAsia="Calibri" w:hAnsi="Arial" w:cs="Arial"/>
          <w:color w:val="000000"/>
          <w:sz w:val="22"/>
        </w:rPr>
        <w:t xml:space="preserve">De igual manera, </w:t>
      </w:r>
      <w:r w:rsidRPr="002F3FD7">
        <w:rPr>
          <w:rFonts w:ascii="Arial" w:eastAsia="Calibri" w:hAnsi="Arial" w:cs="Arial"/>
          <w:sz w:val="22"/>
          <w:szCs w:val="20"/>
        </w:rPr>
        <w:t xml:space="preserve">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w:t>
      </w:r>
      <w:proofErr w:type="spellStart"/>
      <w:r w:rsidRPr="002F3FD7">
        <w:rPr>
          <w:rFonts w:ascii="Arial" w:eastAsia="Calibri" w:hAnsi="Arial" w:cs="Arial"/>
          <w:sz w:val="22"/>
          <w:szCs w:val="20"/>
        </w:rPr>
        <w:t>iii</w:t>
      </w:r>
      <w:proofErr w:type="spellEnd"/>
      <w:r w:rsidRPr="002F3FD7">
        <w:rPr>
          <w:rFonts w:ascii="Arial" w:eastAsia="Calibri" w:hAnsi="Arial" w:cs="Arial"/>
          <w:sz w:val="22"/>
          <w:szCs w:val="20"/>
        </w:rPr>
        <w:t>) el balance general auditado del año inmediatamente anterior y estado de resultados auditado del año en que haya obtenido el mayor ingreso operacional en los últimos cinco (5) años</w:t>
      </w:r>
      <w:r w:rsidRPr="002F3FD7">
        <w:rPr>
          <w:rFonts w:ascii="Arial" w:eastAsia="Calibri" w:hAnsi="Arial" w:cs="Arial"/>
          <w:sz w:val="22"/>
          <w:szCs w:val="20"/>
          <w:vertAlign w:val="superscript"/>
        </w:rPr>
        <w:footnoteReference w:id="4"/>
      </w:r>
      <w:r w:rsidRPr="002F3FD7">
        <w:rPr>
          <w:rFonts w:ascii="Arial" w:eastAsia="Calibri" w:hAnsi="Arial" w:cs="Arial"/>
          <w:sz w:val="22"/>
          <w:szCs w:val="20"/>
        </w:rPr>
        <w:t xml:space="preserve">. </w:t>
      </w:r>
    </w:p>
    <w:p w14:paraId="6CA3D4F9" w14:textId="77777777" w:rsidR="006A11F5" w:rsidRPr="002F3FD7" w:rsidRDefault="006A11F5" w:rsidP="006A11F5">
      <w:pPr>
        <w:spacing w:before="120" w:after="120"/>
        <w:ind w:firstLine="709"/>
        <w:rPr>
          <w:rFonts w:ascii="Arial" w:eastAsia="Calibri" w:hAnsi="Arial" w:cs="Arial"/>
          <w:bCs/>
          <w:color w:val="000000"/>
          <w:sz w:val="22"/>
          <w:lang w:val="es-CO"/>
        </w:rPr>
      </w:pPr>
      <w:r w:rsidRPr="002F3FD7">
        <w:rPr>
          <w:rFonts w:ascii="Arial" w:eastAsia="Calibri" w:hAnsi="Arial" w:cs="Arial"/>
          <w:color w:val="000000"/>
          <w:sz w:val="22"/>
        </w:rPr>
        <w:lastRenderedPageBreak/>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642E5329" w14:textId="77777777" w:rsidR="006A11F5" w:rsidRPr="002F3FD7" w:rsidRDefault="006A11F5" w:rsidP="006A11F5">
      <w:pPr>
        <w:spacing w:after="160"/>
        <w:ind w:firstLine="709"/>
        <w:rPr>
          <w:rFonts w:ascii="Arial" w:eastAsia="Calibri" w:hAnsi="Arial" w:cs="Arial"/>
          <w:bCs/>
          <w:color w:val="000000"/>
          <w:sz w:val="22"/>
          <w:lang w:val="es-CO"/>
        </w:rPr>
      </w:pPr>
      <w:r w:rsidRPr="002F3FD7">
        <w:rPr>
          <w:rFonts w:ascii="Arial" w:eastAsia="Calibri" w:hAnsi="Arial" w:cs="Arial"/>
          <w:bCs/>
          <w:color w:val="000000"/>
          <w:sz w:val="22"/>
          <w:lang w:val="es-CO"/>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60392BBA" w14:textId="77777777" w:rsidR="006A11F5" w:rsidRPr="002F3FD7" w:rsidRDefault="006A11F5" w:rsidP="006A11F5">
      <w:pPr>
        <w:spacing w:before="120" w:after="160"/>
        <w:ind w:firstLine="709"/>
        <w:rPr>
          <w:rFonts w:ascii="Arial" w:eastAsia="Calibri" w:hAnsi="Arial" w:cs="Arial"/>
          <w:bCs/>
          <w:color w:val="000000"/>
          <w:sz w:val="22"/>
          <w:lang w:val="es-CO"/>
        </w:rPr>
      </w:pPr>
      <w:r w:rsidRPr="002F3FD7">
        <w:rPr>
          <w:rFonts w:ascii="Arial" w:eastAsia="Calibri" w:hAnsi="Arial" w:cs="Arial"/>
          <w:bCs/>
          <w:color w:val="000000"/>
          <w:sz w:val="22"/>
          <w:lang w:val="es-CO"/>
        </w:rPr>
        <w:t xml:space="preserve">En cuanto al segundo aspecto, sobre la validación de </w:t>
      </w:r>
      <w:bookmarkStart w:id="8" w:name="_Hlk68683272"/>
      <w:r w:rsidRPr="002F3FD7">
        <w:rPr>
          <w:rFonts w:ascii="Arial" w:eastAsia="Calibri" w:hAnsi="Arial" w:cs="Arial"/>
          <w:bCs/>
          <w:color w:val="000000"/>
          <w:sz w:val="22"/>
          <w:lang w:val="es-CO"/>
        </w:rPr>
        <w:t>que cada proponente cumpla con la CRPC</w:t>
      </w:r>
      <w:bookmarkEnd w:id="8"/>
      <w:r w:rsidRPr="002F3FD7">
        <w:rPr>
          <w:rFonts w:ascii="Arial" w:eastAsia="Calibri" w:hAnsi="Arial" w:cs="Arial"/>
          <w:bCs/>
          <w:color w:val="000000"/>
          <w:sz w:val="22"/>
          <w:lang w:val="es-CO"/>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w:t>
      </w:r>
      <w:proofErr w:type="spellStart"/>
      <w:r w:rsidRPr="002F3FD7">
        <w:rPr>
          <w:rFonts w:ascii="Arial" w:eastAsia="Calibri" w:hAnsi="Arial" w:cs="Arial"/>
          <w:bCs/>
          <w:color w:val="000000"/>
          <w:sz w:val="22"/>
          <w:lang w:val="es-CO"/>
        </w:rPr>
        <w:t>iii</w:t>
      </w:r>
      <w:proofErr w:type="spellEnd"/>
      <w:r w:rsidRPr="002F3FD7">
        <w:rPr>
          <w:rFonts w:ascii="Arial" w:eastAsia="Calibri" w:hAnsi="Arial" w:cs="Arial"/>
          <w:bCs/>
          <w:color w:val="000000"/>
          <w:sz w:val="22"/>
          <w:lang w:val="es-CO"/>
        </w:rPr>
        <w:t>) capacidad técnica «CT», iv) capacidad de organización «CO»; y v) los saldos de los contratos en ejecución «SCE», según la siguiente formula:</w:t>
      </w:r>
    </w:p>
    <w:p w14:paraId="0C4F64A0" w14:textId="77777777" w:rsidR="006A11F5" w:rsidRPr="002F3FD7" w:rsidRDefault="006A11F5" w:rsidP="006A11F5">
      <w:pPr>
        <w:spacing w:after="160"/>
        <w:ind w:firstLine="709"/>
        <w:rPr>
          <w:rFonts w:ascii="Arial" w:eastAsia="Calibri" w:hAnsi="Arial" w:cs="Arial"/>
          <w:bCs/>
          <w:color w:val="000000"/>
          <w:sz w:val="22"/>
          <w:lang w:val="es-CO"/>
        </w:rPr>
      </w:pPr>
      <w:r w:rsidRPr="002F3FD7">
        <w:rPr>
          <w:rFonts w:ascii="Arial" w:eastAsia="Calibri" w:hAnsi="Arial" w:cs="Arial"/>
          <w:bCs/>
          <w:noProof/>
          <w:color w:val="000000"/>
          <w:sz w:val="22"/>
          <w:lang w:val="es-CO"/>
        </w:rPr>
        <w:drawing>
          <wp:anchor distT="0" distB="0" distL="0" distR="0" simplePos="0" relativeHeight="251661312" behindDoc="0" locked="0" layoutInCell="1" allowOverlap="1" wp14:anchorId="2E837D52" wp14:editId="056B7D7F">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5CD410BC" w14:textId="77777777" w:rsidR="006A11F5" w:rsidRPr="002F3FD7" w:rsidRDefault="006A11F5" w:rsidP="006A11F5">
      <w:pPr>
        <w:spacing w:after="160"/>
        <w:rPr>
          <w:rFonts w:ascii="Arial" w:eastAsia="Calibri" w:hAnsi="Arial" w:cs="Arial"/>
          <w:bCs/>
          <w:color w:val="000000"/>
          <w:sz w:val="22"/>
        </w:rPr>
      </w:pPr>
    </w:p>
    <w:p w14:paraId="4E92E87E" w14:textId="77777777" w:rsidR="006A11F5" w:rsidRPr="002F3FD7" w:rsidRDefault="006A11F5" w:rsidP="006A11F5">
      <w:pPr>
        <w:spacing w:after="0"/>
        <w:ind w:firstLine="709"/>
        <w:rPr>
          <w:rFonts w:ascii="Arial" w:eastAsia="Calibri" w:hAnsi="Arial" w:cs="Arial"/>
          <w:i/>
          <w:iCs/>
          <w:sz w:val="22"/>
          <w:lang w:val="es-CO"/>
        </w:rPr>
      </w:pPr>
      <w:r w:rsidRPr="002F3FD7">
        <w:rPr>
          <w:rFonts w:ascii="Arial" w:eastAsia="Calibri" w:hAnsi="Arial" w:cs="Arial"/>
          <w:bCs/>
          <w:color w:val="000000"/>
          <w:sz w:val="22"/>
        </w:rPr>
        <w:t xml:space="preserve">Particularmente, </w:t>
      </w:r>
      <w:bookmarkStart w:id="9" w:name="_Hlk100139879"/>
      <w:r w:rsidRPr="002F3FD7">
        <w:rPr>
          <w:rFonts w:ascii="Arial" w:eastAsia="Calibri" w:hAnsi="Arial" w:cs="Arial"/>
          <w:bCs/>
          <w:color w:val="000000"/>
          <w:sz w:val="22"/>
        </w:rPr>
        <w:t xml:space="preserve">respecto del factor de saldos de los contratos en ejecución </w:t>
      </w:r>
      <w:r w:rsidRPr="002F3FD7">
        <w:rPr>
          <w:rFonts w:ascii="Arial" w:eastAsia="Calibri" w:hAnsi="Arial" w:cs="Arial"/>
          <w:bCs/>
          <w:color w:val="000000"/>
          <w:sz w:val="22"/>
          <w:lang w:val="es-CO"/>
        </w:rPr>
        <w:t>«SCE»,</w:t>
      </w:r>
      <w:r w:rsidRPr="002F3FD7">
        <w:rPr>
          <w:rFonts w:ascii="Arial" w:eastAsia="Calibri" w:hAnsi="Arial" w:cs="Arial"/>
          <w:sz w:val="22"/>
          <w:lang w:val="es-CO"/>
        </w:rPr>
        <w:t xml:space="preserve"> es necesario tener en cuenta que la Guía para Determinar y Verificar la </w:t>
      </w:r>
      <w:r w:rsidRPr="002F3FD7">
        <w:rPr>
          <w:rFonts w:ascii="Arial" w:eastAsia="Calibri" w:hAnsi="Arial" w:cs="Arial"/>
          <w:sz w:val="22"/>
          <w:lang w:val="es-CO"/>
        </w:rPr>
        <w:lastRenderedPageBreak/>
        <w:t>Capacidad Residual del Proponente en los Procesos de Contratación de Obra Pública</w:t>
      </w:r>
      <w:r w:rsidRPr="002F3FD7">
        <w:rPr>
          <w:rFonts w:ascii="Arial" w:eastAsia="Calibri" w:hAnsi="Arial" w:cs="Arial"/>
          <w:i/>
          <w:iCs/>
          <w:sz w:val="22"/>
          <w:lang w:val="es-CO"/>
        </w:rPr>
        <w:t xml:space="preserve">, </w:t>
      </w:r>
      <w:r w:rsidRPr="002F3FD7">
        <w:rPr>
          <w:rFonts w:ascii="Arial" w:eastAsia="Calibri" w:hAnsi="Arial" w:cs="Arial"/>
          <w:sz w:val="22"/>
          <w:lang w:val="es-CO"/>
        </w:rPr>
        <w:t xml:space="preserve">define a este factor </w:t>
      </w:r>
      <w:r w:rsidRPr="002F3FD7">
        <w:rPr>
          <w:rFonts w:ascii="Arial" w:eastAsia="Calibri" w:hAnsi="Arial" w:cs="Arial"/>
          <w:bCs/>
          <w:color w:val="000000"/>
          <w:sz w:val="22"/>
          <w:lang w:val="es-CO"/>
        </w:rPr>
        <w:t>como «la suma de los montos por ejecutar de los contratos en ejecución durante los 12 meses siguientes»</w:t>
      </w:r>
      <w:bookmarkEnd w:id="9"/>
      <w:r w:rsidRPr="002F3FD7">
        <w:rPr>
          <w:rFonts w:ascii="Arial" w:eastAsia="Calibri" w:hAnsi="Arial" w:cs="Arial"/>
          <w:bCs/>
          <w:color w:val="000000"/>
          <w:sz w:val="22"/>
          <w:lang w:val="es-CO"/>
        </w:rPr>
        <w:t>. Así mismo, define los</w:t>
      </w:r>
      <w:r w:rsidRPr="002F3FD7">
        <w:rPr>
          <w:rFonts w:ascii="Arial" w:eastAsia="Calibri" w:hAnsi="Arial" w:cs="Arial"/>
          <w:sz w:val="22"/>
          <w:lang w:val="es-CO"/>
        </w:rPr>
        <w:t xml:space="preserve"> </w:t>
      </w:r>
      <w:bookmarkStart w:id="10" w:name="_Hlk78819022"/>
      <w:r w:rsidRPr="002F3FD7">
        <w:rPr>
          <w:rFonts w:ascii="Arial" w:eastAsia="Calibri" w:hAnsi="Arial" w:cs="Arial"/>
          <w:i/>
          <w:iCs/>
          <w:sz w:val="22"/>
          <w:lang w:val="es-CO"/>
        </w:rPr>
        <w:t>Contratos en Ejecución</w:t>
      </w:r>
      <w:r w:rsidRPr="002F3FD7">
        <w:rPr>
          <w:rFonts w:ascii="Arial" w:eastAsia="Calibri" w:hAnsi="Arial" w:cs="Arial"/>
          <w:sz w:val="22"/>
          <w:lang w:val="es-CO"/>
        </w:rPr>
        <w:t xml:space="preserve"> </w:t>
      </w:r>
      <w:bookmarkEnd w:id="10"/>
      <w:r w:rsidRPr="002F3FD7">
        <w:rPr>
          <w:rFonts w:ascii="Arial" w:eastAsia="Calibri" w:hAnsi="Arial" w:cs="Arial"/>
          <w:sz w:val="22"/>
          <w:lang w:val="es-CO"/>
        </w:rPr>
        <w:t xml:space="preserve">de la siguiente manera: </w:t>
      </w:r>
      <w:r w:rsidRPr="002F3FD7">
        <w:rPr>
          <w:rFonts w:ascii="Arial" w:eastAsia="Calibri" w:hAnsi="Arial" w:cs="Arial"/>
          <w:i/>
          <w:iCs/>
          <w:sz w:val="22"/>
          <w:lang w:val="es-CO"/>
        </w:rPr>
        <w:t xml:space="preserve"> </w:t>
      </w:r>
    </w:p>
    <w:p w14:paraId="74EE0EB3" w14:textId="77777777" w:rsidR="006A11F5" w:rsidRPr="002F3FD7" w:rsidRDefault="006A11F5" w:rsidP="006A11F5">
      <w:pPr>
        <w:spacing w:after="0"/>
        <w:ind w:firstLine="709"/>
        <w:rPr>
          <w:rFonts w:ascii="Arial" w:eastAsia="Calibri" w:hAnsi="Arial" w:cs="Arial"/>
          <w:sz w:val="22"/>
          <w:lang w:val="es-CO"/>
        </w:rPr>
      </w:pPr>
    </w:p>
    <w:p w14:paraId="6BB6DC90" w14:textId="77777777" w:rsidR="006A11F5" w:rsidRPr="002F3FD7" w:rsidRDefault="006A11F5" w:rsidP="006A11F5">
      <w:pPr>
        <w:spacing w:after="0" w:line="240" w:lineRule="auto"/>
        <w:ind w:left="709" w:right="709"/>
        <w:rPr>
          <w:rFonts w:ascii="Arial" w:eastAsia="Calibri" w:hAnsi="Arial" w:cs="Arial"/>
          <w:sz w:val="21"/>
          <w:szCs w:val="21"/>
          <w:lang w:val="es-CO"/>
        </w:rPr>
      </w:pPr>
      <w:r w:rsidRPr="002F3FD7">
        <w:rPr>
          <w:rFonts w:ascii="Arial" w:eastAsia="Calibri" w:hAnsi="Arial" w:cs="Arial"/>
          <w:sz w:val="21"/>
          <w:szCs w:val="21"/>
          <w:lang w:val="es-CO"/>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6138841C" w14:textId="77777777" w:rsidR="006A11F5" w:rsidRPr="002F3FD7" w:rsidRDefault="006A11F5" w:rsidP="006A11F5">
      <w:pPr>
        <w:spacing w:after="0"/>
        <w:ind w:right="709"/>
        <w:rPr>
          <w:rFonts w:ascii="Arial" w:eastAsia="Calibri" w:hAnsi="Arial" w:cs="Arial"/>
          <w:sz w:val="22"/>
          <w:lang w:val="es-CO"/>
        </w:rPr>
      </w:pPr>
    </w:p>
    <w:p w14:paraId="5031137E" w14:textId="77777777" w:rsidR="006A11F5" w:rsidRPr="002F3FD7" w:rsidRDefault="006A11F5" w:rsidP="006A11F5">
      <w:pPr>
        <w:spacing w:after="0"/>
        <w:ind w:firstLine="709"/>
        <w:rPr>
          <w:rFonts w:ascii="Arial" w:eastAsia="Calibri" w:hAnsi="Arial" w:cs="Arial"/>
          <w:sz w:val="22"/>
          <w:szCs w:val="20"/>
        </w:rPr>
      </w:pPr>
      <w:bookmarkStart w:id="11" w:name="_Hlk100139912"/>
      <w:r w:rsidRPr="002F3FD7">
        <w:rPr>
          <w:rFonts w:ascii="Arial" w:eastAsia="Calibri" w:hAnsi="Arial" w:cs="Arial"/>
          <w:sz w:val="22"/>
          <w:lang w:val="es-CO"/>
        </w:rPr>
        <w:t>En este sentido, los saldos pendientes se derivan de las obligaciones que se encuentran en ejecución al momento de la presentación de la oferta y se refieren a contratos cuyo objeto sea la ejecución de obras civiles</w:t>
      </w:r>
      <w:bookmarkEnd w:id="11"/>
      <w:r w:rsidRPr="002F3FD7">
        <w:rPr>
          <w:rFonts w:ascii="Arial" w:eastAsia="Calibri" w:hAnsi="Arial" w:cs="Arial"/>
          <w:sz w:val="22"/>
          <w:lang w:val="es-CO"/>
        </w:rPr>
        <w:t xml:space="preserve">. </w:t>
      </w:r>
      <w:bookmarkStart w:id="12" w:name="_Hlk106354840"/>
      <w:bookmarkStart w:id="13" w:name="_Hlk100139986"/>
      <w:r w:rsidRPr="002F3FD7">
        <w:rPr>
          <w:rFonts w:ascii="Arial" w:eastAsia="Calibri" w:hAnsi="Arial" w:cs="Arial"/>
          <w:sz w:val="22"/>
          <w:lang w:val="es-CO"/>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w:t>
      </w:r>
      <w:bookmarkEnd w:id="12"/>
      <w:r w:rsidRPr="002F3FD7">
        <w:rPr>
          <w:rFonts w:ascii="Arial" w:eastAsia="Calibri" w:hAnsi="Arial" w:cs="Arial"/>
          <w:sz w:val="22"/>
          <w:lang w:val="es-CO"/>
        </w:rPr>
        <w:t xml:space="preserve">Además, los saldos pendientes por ejecutar de los contratos afectados por una suspensión constituyen, también, información relevante para calcular la capacidad residual del proponente </w:t>
      </w:r>
      <w:r w:rsidRPr="002F3FD7">
        <w:rPr>
          <w:rFonts w:ascii="Arial" w:eastAsia="Calibri" w:hAnsi="Arial" w:cs="Arial"/>
          <w:b/>
          <w:color w:val="000000"/>
          <w:sz w:val="22"/>
          <w:lang w:val="es-CO"/>
        </w:rPr>
        <w:t>«</w:t>
      </w:r>
      <w:r w:rsidRPr="002F3FD7">
        <w:rPr>
          <w:rFonts w:ascii="Arial" w:eastAsia="Calibri" w:hAnsi="Arial" w:cs="Arial"/>
          <w:bCs/>
          <w:color w:val="000000"/>
          <w:sz w:val="22"/>
          <w:lang w:val="es-CO"/>
        </w:rPr>
        <w:t>CRP</w:t>
      </w:r>
      <w:r w:rsidRPr="002F3FD7">
        <w:rPr>
          <w:rFonts w:ascii="Arial" w:eastAsia="Calibri" w:hAnsi="Arial" w:cs="Arial"/>
          <w:b/>
          <w:color w:val="000000"/>
          <w:sz w:val="22"/>
          <w:lang w:val="es-CO"/>
        </w:rPr>
        <w:t>»</w:t>
      </w:r>
      <w:r w:rsidRPr="002F3FD7">
        <w:rPr>
          <w:rFonts w:ascii="Arial" w:eastAsia="Calibri" w:hAnsi="Arial" w:cs="Arial"/>
          <w:sz w:val="22"/>
          <w:lang w:val="es-CO"/>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13"/>
      <w:r w:rsidRPr="002F3FD7">
        <w:rPr>
          <w:rFonts w:ascii="Arial" w:eastAsia="Calibri" w:hAnsi="Arial" w:cs="Arial"/>
          <w:sz w:val="22"/>
          <w:lang w:val="es-CO"/>
        </w:rPr>
        <w:t xml:space="preserve">. </w:t>
      </w:r>
      <w:r w:rsidRPr="002F3FD7">
        <w:rPr>
          <w:rFonts w:ascii="Arial" w:eastAsia="Calibri" w:hAnsi="Arial" w:cs="Arial"/>
          <w:sz w:val="22"/>
          <w:szCs w:val="20"/>
        </w:rPr>
        <w:t>Por lo demás, en dicha guía también se precisa que:</w:t>
      </w:r>
    </w:p>
    <w:p w14:paraId="05C5A324" w14:textId="77777777" w:rsidR="006A11F5" w:rsidRPr="002F3FD7" w:rsidRDefault="006A11F5" w:rsidP="006A11F5">
      <w:pPr>
        <w:spacing w:after="0"/>
        <w:ind w:firstLine="709"/>
        <w:rPr>
          <w:rFonts w:ascii="Arial" w:eastAsia="Calibri" w:hAnsi="Arial" w:cs="Arial"/>
          <w:sz w:val="22"/>
          <w:szCs w:val="20"/>
        </w:rPr>
      </w:pPr>
    </w:p>
    <w:p w14:paraId="0A1051CE" w14:textId="77777777" w:rsidR="006A11F5" w:rsidRPr="002F3FD7" w:rsidRDefault="006A11F5" w:rsidP="006A11F5">
      <w:pPr>
        <w:spacing w:after="0" w:line="240" w:lineRule="auto"/>
        <w:ind w:left="709" w:right="709"/>
        <w:rPr>
          <w:rFonts w:ascii="Arial" w:eastAsia="Calibri" w:hAnsi="Arial" w:cs="Arial"/>
          <w:sz w:val="21"/>
          <w:szCs w:val="21"/>
          <w:lang w:val="es-CO"/>
        </w:rPr>
      </w:pPr>
      <w:bookmarkStart w:id="14" w:name="_Hlk100140013"/>
      <w:r w:rsidRPr="002F3FD7">
        <w:rPr>
          <w:rFonts w:ascii="Arial" w:eastAsia="Calibri" w:hAnsi="Arial" w:cs="Arial"/>
          <w:sz w:val="21"/>
          <w:szCs w:val="21"/>
          <w:lang w:val="es-CO"/>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4"/>
      <w:r w:rsidRPr="002F3FD7">
        <w:rPr>
          <w:rFonts w:ascii="Arial" w:eastAsia="Calibri" w:hAnsi="Arial" w:cs="Arial"/>
          <w:sz w:val="21"/>
          <w:szCs w:val="21"/>
          <w:lang w:val="es-CO"/>
        </w:rPr>
        <w:t>.</w:t>
      </w:r>
    </w:p>
    <w:p w14:paraId="2F1F0861" w14:textId="77777777" w:rsidR="006A11F5" w:rsidRPr="002F3FD7" w:rsidRDefault="006A11F5" w:rsidP="006A11F5">
      <w:pPr>
        <w:spacing w:after="120" w:line="240" w:lineRule="auto"/>
        <w:ind w:left="709" w:right="709"/>
        <w:rPr>
          <w:rFonts w:ascii="Arial" w:eastAsia="Calibri" w:hAnsi="Arial" w:cs="Arial"/>
          <w:sz w:val="21"/>
          <w:szCs w:val="21"/>
        </w:rPr>
      </w:pPr>
      <w:r w:rsidRPr="002F3FD7">
        <w:rPr>
          <w:rFonts w:ascii="Arial" w:eastAsia="Calibri" w:hAnsi="Arial" w:cs="Arial"/>
          <w:sz w:val="21"/>
          <w:szCs w:val="21"/>
        </w:rPr>
        <w:t>[…]</w:t>
      </w:r>
    </w:p>
    <w:p w14:paraId="54914216" w14:textId="77777777" w:rsidR="006A11F5" w:rsidRPr="002F3FD7" w:rsidRDefault="006A11F5" w:rsidP="006A11F5">
      <w:pPr>
        <w:spacing w:after="0" w:line="240" w:lineRule="auto"/>
        <w:ind w:left="709" w:right="709"/>
        <w:rPr>
          <w:rFonts w:ascii="Arial" w:eastAsia="Calibri" w:hAnsi="Arial" w:cs="Arial"/>
          <w:sz w:val="21"/>
          <w:szCs w:val="21"/>
          <w:lang w:val="es-CO"/>
        </w:rPr>
      </w:pPr>
      <w:r w:rsidRPr="002F3FD7">
        <w:rPr>
          <w:rFonts w:ascii="Arial" w:eastAsia="Calibri" w:hAnsi="Arial" w:cs="Arial"/>
          <w:i/>
          <w:iCs/>
          <w:sz w:val="21"/>
          <w:szCs w:val="21"/>
          <w:lang w:val="es-CO"/>
        </w:rPr>
        <w:lastRenderedPageBreak/>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2F3FD7">
        <w:rPr>
          <w:rFonts w:ascii="Arial" w:eastAsia="Calibri" w:hAnsi="Arial" w:cs="Arial"/>
          <w:sz w:val="21"/>
          <w:szCs w:val="21"/>
          <w:lang w:val="es-CO"/>
        </w:rPr>
        <w:t>. (Énfasis fuera de texto)</w:t>
      </w:r>
    </w:p>
    <w:p w14:paraId="63A11F74" w14:textId="77777777" w:rsidR="006A11F5" w:rsidRPr="002F3FD7" w:rsidRDefault="006A11F5" w:rsidP="006A11F5">
      <w:pPr>
        <w:spacing w:after="0"/>
        <w:ind w:firstLine="709"/>
        <w:rPr>
          <w:rFonts w:ascii="Arial" w:eastAsia="Calibri" w:hAnsi="Arial" w:cs="Arial"/>
          <w:sz w:val="22"/>
          <w:lang w:val="es-CO"/>
        </w:rPr>
      </w:pPr>
    </w:p>
    <w:p w14:paraId="3740A0B3" w14:textId="77777777" w:rsidR="006A11F5" w:rsidRPr="002F3FD7" w:rsidRDefault="006A11F5" w:rsidP="006A11F5">
      <w:pPr>
        <w:spacing w:after="0"/>
        <w:ind w:firstLine="709"/>
        <w:rPr>
          <w:rFonts w:ascii="Arial" w:eastAsia="Calibri" w:hAnsi="Arial" w:cs="Arial"/>
          <w:sz w:val="22"/>
          <w:lang w:val="es-CO"/>
        </w:rPr>
      </w:pPr>
      <w:r w:rsidRPr="002F3FD7">
        <w:rPr>
          <w:rFonts w:ascii="Arial" w:eastAsia="Calibri" w:hAnsi="Arial" w:cs="Arial"/>
          <w:sz w:val="22"/>
          <w:lang w:val="es-CO"/>
        </w:rPr>
        <w:t xml:space="preserve">De este modo, para acreditar el factor </w:t>
      </w:r>
      <w:r w:rsidRPr="002F3FD7">
        <w:rPr>
          <w:rFonts w:ascii="Arial" w:eastAsia="Calibri" w:hAnsi="Arial" w:cs="Arial"/>
          <w:bCs/>
          <w:color w:val="000000"/>
          <w:sz w:val="22"/>
        </w:rPr>
        <w:t xml:space="preserve">saldos de los contratos en ejecución </w:t>
      </w:r>
      <w:r w:rsidRPr="002F3FD7">
        <w:rPr>
          <w:rFonts w:ascii="Arial" w:eastAsia="Calibri" w:hAnsi="Arial" w:cs="Arial"/>
          <w:bCs/>
          <w:color w:val="000000"/>
          <w:sz w:val="22"/>
          <w:lang w:val="es-CO"/>
        </w:rPr>
        <w:t>«SCE»</w:t>
      </w:r>
      <w:r w:rsidRPr="002F3FD7">
        <w:rPr>
          <w:rFonts w:ascii="Arial" w:eastAsia="Calibri" w:hAnsi="Arial" w:cs="Arial"/>
          <w:sz w:val="22"/>
          <w:lang w:val="es-CO"/>
        </w:rPr>
        <w:t xml:space="preserve">  como lo establece la Guía, el proponente debe presentar la lista de contratos de obras civiles en ejecución, tanto a nivel nacional como internacional señalando: i) el valor del contrato; ii) el plazo del contrato en meses; </w:t>
      </w:r>
      <w:proofErr w:type="spellStart"/>
      <w:r w:rsidRPr="002F3FD7">
        <w:rPr>
          <w:rFonts w:ascii="Arial" w:eastAsia="Calibri" w:hAnsi="Arial" w:cs="Arial"/>
          <w:sz w:val="22"/>
          <w:lang w:val="es-CO"/>
        </w:rPr>
        <w:t>iii</w:t>
      </w:r>
      <w:proofErr w:type="spellEnd"/>
      <w:r w:rsidRPr="002F3FD7">
        <w:rPr>
          <w:rFonts w:ascii="Arial" w:eastAsia="Calibri" w:hAnsi="Arial" w:cs="Arial"/>
          <w:sz w:val="22"/>
          <w:lang w:val="es-CO"/>
        </w:rPr>
        <w:t xml:space="preserve">)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2F3FD7">
        <w:rPr>
          <w:rFonts w:ascii="Arial" w:eastAsia="Calibri" w:hAnsi="Arial" w:cs="Arial"/>
          <w:bCs/>
          <w:color w:val="000000"/>
          <w:sz w:val="22"/>
          <w:lang w:val="es-CO"/>
        </w:rPr>
        <w:t xml:space="preserve">«SCE» </w:t>
      </w:r>
      <w:r w:rsidRPr="002F3FD7">
        <w:rPr>
          <w:rFonts w:ascii="Arial" w:eastAsia="Calibri" w:hAnsi="Arial" w:cs="Arial"/>
          <w:sz w:val="22"/>
          <w:lang w:val="es-CO"/>
        </w:rPr>
        <w:t xml:space="preserve">en los documentos tipo de licitación de obra pública para infraestructura de transporte, </w:t>
      </w:r>
      <w:bookmarkStart w:id="15" w:name="_Hlk100140108"/>
      <w:r w:rsidRPr="002F3FD7">
        <w:rPr>
          <w:rFonts w:ascii="Arial" w:eastAsia="Calibri" w:hAnsi="Arial" w:cs="Arial"/>
          <w:sz w:val="22"/>
          <w:lang w:val="es-CO"/>
        </w:rPr>
        <w:t>el literal E del numeral 3.10.2 del documento base</w:t>
      </w:r>
      <w:bookmarkEnd w:id="15"/>
      <w:r w:rsidRPr="002F3FD7">
        <w:rPr>
          <w:rFonts w:ascii="Arial" w:eastAsia="Calibri" w:hAnsi="Arial" w:cs="Arial"/>
          <w:sz w:val="22"/>
          <w:lang w:val="es-CO"/>
        </w:rPr>
        <w:t xml:space="preserve"> señala lo siguiente:</w:t>
      </w:r>
    </w:p>
    <w:p w14:paraId="4561BAA9" w14:textId="77777777" w:rsidR="006A11F5" w:rsidRPr="002F3FD7" w:rsidRDefault="006A11F5" w:rsidP="006A11F5">
      <w:pPr>
        <w:spacing w:after="0"/>
        <w:ind w:firstLine="709"/>
        <w:rPr>
          <w:rFonts w:ascii="Arial" w:eastAsia="Calibri" w:hAnsi="Arial" w:cs="Arial"/>
          <w:sz w:val="22"/>
          <w:lang w:val="es-CO"/>
        </w:rPr>
      </w:pPr>
    </w:p>
    <w:p w14:paraId="5142B1BF" w14:textId="77777777" w:rsidR="006A11F5" w:rsidRPr="002F3FD7" w:rsidRDefault="006A11F5" w:rsidP="006A11F5">
      <w:pPr>
        <w:spacing w:after="0" w:line="259" w:lineRule="auto"/>
        <w:ind w:left="709" w:right="709"/>
        <w:rPr>
          <w:rFonts w:ascii="Arial" w:eastAsia="Arial," w:hAnsi="Arial" w:cs="Arial"/>
          <w:sz w:val="21"/>
          <w:szCs w:val="21"/>
          <w:lang w:val="es-CO"/>
        </w:rPr>
      </w:pPr>
      <w:r w:rsidRPr="002F3FD7">
        <w:rPr>
          <w:rFonts w:ascii="Arial" w:eastAsia="Calibri" w:hAnsi="Arial" w:cs="Arial"/>
          <w:sz w:val="21"/>
          <w:szCs w:val="21"/>
          <w:lang w:val="es-CO"/>
        </w:rPr>
        <w:t>Para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acreditar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factor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(SCE)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Proponente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tendrá</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en</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cuenta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lo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siguiente:</w:t>
      </w:r>
      <w:r w:rsidRPr="002F3FD7">
        <w:rPr>
          <w:rFonts w:ascii="Arial" w:eastAsia="Arial," w:hAnsi="Arial" w:cs="Arial"/>
          <w:sz w:val="21"/>
          <w:szCs w:val="21"/>
          <w:lang w:val="es-CO"/>
        </w:rPr>
        <w:t xml:space="preserve"> </w:t>
      </w:r>
    </w:p>
    <w:p w14:paraId="06A9C9C0" w14:textId="77777777" w:rsidR="006A11F5" w:rsidRPr="002F3FD7" w:rsidRDefault="006A11F5" w:rsidP="006A11F5">
      <w:pPr>
        <w:spacing w:after="0" w:line="259" w:lineRule="auto"/>
        <w:ind w:right="709" w:firstLine="709"/>
        <w:rPr>
          <w:rFonts w:ascii="Arial" w:eastAsia="Arial," w:hAnsi="Arial" w:cs="Arial"/>
          <w:sz w:val="21"/>
          <w:szCs w:val="21"/>
          <w:lang w:val="es-CO"/>
        </w:rPr>
      </w:pPr>
      <w:r w:rsidRPr="002F3FD7">
        <w:rPr>
          <w:rFonts w:ascii="Arial" w:eastAsia="Arial," w:hAnsi="Arial" w:cs="Arial"/>
          <w:sz w:val="21"/>
          <w:szCs w:val="21"/>
          <w:lang w:val="es-CO"/>
        </w:rPr>
        <w:t>[…]</w:t>
      </w:r>
    </w:p>
    <w:p w14:paraId="3AAD8AAA" w14:textId="77777777" w:rsidR="006A11F5" w:rsidRPr="002F3FD7" w:rsidRDefault="006A11F5" w:rsidP="006A11F5">
      <w:pPr>
        <w:spacing w:after="0" w:line="259" w:lineRule="auto"/>
        <w:ind w:right="709" w:firstLine="709"/>
        <w:rPr>
          <w:rFonts w:ascii="Arial" w:eastAsia="Arial," w:hAnsi="Arial" w:cs="Arial"/>
          <w:sz w:val="21"/>
          <w:szCs w:val="21"/>
          <w:lang w:val="es-CO"/>
        </w:rPr>
      </w:pPr>
    </w:p>
    <w:p w14:paraId="2EAD7347" w14:textId="77777777" w:rsidR="006A11F5" w:rsidRPr="002F3FD7" w:rsidRDefault="006A11F5" w:rsidP="006A11F5">
      <w:pPr>
        <w:spacing w:after="0" w:line="240" w:lineRule="auto"/>
        <w:ind w:left="1134" w:right="709" w:hanging="425"/>
        <w:rPr>
          <w:rFonts w:ascii="Arial" w:eastAsia="Arial" w:hAnsi="Arial" w:cs="Arial"/>
          <w:sz w:val="21"/>
          <w:szCs w:val="21"/>
        </w:rPr>
      </w:pPr>
      <w:r w:rsidRPr="002F3FD7">
        <w:rPr>
          <w:rFonts w:ascii="Arial" w:eastAsia="Arial" w:hAnsi="Arial" w:cs="Arial"/>
          <w:sz w:val="21"/>
          <w:szCs w:val="21"/>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F2C2443" w14:textId="77777777" w:rsidR="006A11F5" w:rsidRPr="002F3FD7" w:rsidRDefault="006A11F5" w:rsidP="006A11F5">
      <w:pPr>
        <w:spacing w:after="0" w:line="240" w:lineRule="auto"/>
        <w:ind w:left="1134" w:right="709" w:hanging="425"/>
        <w:rPr>
          <w:rFonts w:ascii="Arial" w:eastAsia="Arial" w:hAnsi="Arial" w:cs="Arial"/>
          <w:sz w:val="21"/>
          <w:szCs w:val="21"/>
        </w:rPr>
      </w:pPr>
      <w:r w:rsidRPr="002F3FD7">
        <w:rPr>
          <w:rFonts w:ascii="Arial" w:eastAsia="Arial" w:hAnsi="Arial" w:cs="Arial"/>
          <w:sz w:val="21"/>
          <w:szCs w:val="21"/>
        </w:rPr>
        <w:t>III.  Se tendrán en cuenta los contratos de obras civiles en ejecución suscritos por el proponente o por sociedades, consorcios o uniones temporales en los cuales el proponente tenga participación</w:t>
      </w:r>
    </w:p>
    <w:p w14:paraId="6B780464" w14:textId="77777777" w:rsidR="006A11F5" w:rsidRPr="002F3FD7" w:rsidRDefault="006A11F5" w:rsidP="006A11F5">
      <w:pPr>
        <w:spacing w:after="0" w:line="240" w:lineRule="auto"/>
        <w:ind w:left="1134" w:right="709" w:hanging="425"/>
        <w:rPr>
          <w:rFonts w:ascii="Arial" w:eastAsia="Arial" w:hAnsi="Arial" w:cs="Arial"/>
          <w:i/>
          <w:iCs/>
          <w:sz w:val="21"/>
          <w:szCs w:val="21"/>
        </w:rPr>
      </w:pPr>
      <w:r w:rsidRPr="002F3FD7">
        <w:rPr>
          <w:rFonts w:ascii="Arial" w:eastAsia="Arial" w:hAnsi="Arial" w:cs="Arial"/>
          <w:sz w:val="21"/>
          <w:szCs w:val="21"/>
        </w:rPr>
        <w:t xml:space="preserve">IV.  </w:t>
      </w:r>
      <w:bookmarkStart w:id="16" w:name="_Hlk100140218"/>
      <w:r w:rsidRPr="00AE564A">
        <w:rPr>
          <w:rFonts w:ascii="Arial" w:eastAsia="Arial" w:hAnsi="Arial" w:cs="Arial"/>
          <w:sz w:val="21"/>
          <w:szCs w:val="21"/>
        </w:rPr>
        <w:t>Si</w:t>
      </w:r>
      <w:r w:rsidRPr="00AE564A">
        <w:rPr>
          <w:rFonts w:ascii="Arial" w:eastAsia="Arial," w:hAnsi="Arial" w:cs="Arial"/>
          <w:sz w:val="21"/>
          <w:szCs w:val="21"/>
        </w:rPr>
        <w:t xml:space="preserve"> </w:t>
      </w:r>
      <w:r w:rsidRPr="00AE564A">
        <w:rPr>
          <w:rFonts w:ascii="Arial" w:eastAsia="Arial" w:hAnsi="Arial" w:cs="Arial"/>
          <w:sz w:val="21"/>
          <w:szCs w:val="21"/>
        </w:rPr>
        <w:t>un</w:t>
      </w:r>
      <w:r w:rsidRPr="00AE564A">
        <w:rPr>
          <w:rFonts w:ascii="Arial" w:eastAsia="Arial," w:hAnsi="Arial" w:cs="Arial"/>
          <w:sz w:val="21"/>
          <w:szCs w:val="21"/>
        </w:rPr>
        <w:t xml:space="preserve"> </w:t>
      </w:r>
      <w:r w:rsidRPr="00AE564A">
        <w:rPr>
          <w:rFonts w:ascii="Arial" w:eastAsia="Arial" w:hAnsi="Arial" w:cs="Arial"/>
          <w:sz w:val="21"/>
          <w:szCs w:val="21"/>
        </w:rPr>
        <w:t>contrato</w:t>
      </w:r>
      <w:r w:rsidRPr="00AE564A">
        <w:rPr>
          <w:rFonts w:ascii="Arial" w:eastAsia="Arial," w:hAnsi="Arial" w:cs="Arial"/>
          <w:sz w:val="21"/>
          <w:szCs w:val="21"/>
        </w:rPr>
        <w:t xml:space="preserve"> </w:t>
      </w:r>
      <w:r w:rsidRPr="00AE564A">
        <w:rPr>
          <w:rFonts w:ascii="Arial" w:eastAsia="Arial" w:hAnsi="Arial" w:cs="Arial"/>
          <w:sz w:val="21"/>
          <w:szCs w:val="21"/>
        </w:rPr>
        <w:t>se</w:t>
      </w:r>
      <w:r w:rsidRPr="00AE564A">
        <w:rPr>
          <w:rFonts w:ascii="Arial" w:eastAsia="Arial," w:hAnsi="Arial" w:cs="Arial"/>
          <w:sz w:val="21"/>
          <w:szCs w:val="21"/>
        </w:rPr>
        <w:t xml:space="preserve"> </w:t>
      </w:r>
      <w:r w:rsidRPr="00AE564A">
        <w:rPr>
          <w:rFonts w:ascii="Arial" w:eastAsia="Arial" w:hAnsi="Arial" w:cs="Arial"/>
          <w:sz w:val="21"/>
          <w:szCs w:val="21"/>
        </w:rPr>
        <w:t>encuentra</w:t>
      </w:r>
      <w:r w:rsidRPr="00AE564A">
        <w:rPr>
          <w:rFonts w:ascii="Arial" w:eastAsia="Arial," w:hAnsi="Arial" w:cs="Arial"/>
          <w:sz w:val="21"/>
          <w:szCs w:val="21"/>
        </w:rPr>
        <w:t xml:space="preserve"> </w:t>
      </w:r>
      <w:r w:rsidRPr="00AE564A">
        <w:rPr>
          <w:rFonts w:ascii="Arial" w:eastAsia="Arial" w:hAnsi="Arial" w:cs="Arial"/>
          <w:sz w:val="21"/>
          <w:szCs w:val="21"/>
        </w:rPr>
        <w:t>suspendido,</w:t>
      </w:r>
      <w:r w:rsidRPr="00AE564A">
        <w:rPr>
          <w:rFonts w:ascii="Arial" w:eastAsia="Arial," w:hAnsi="Arial" w:cs="Arial"/>
          <w:sz w:val="21"/>
          <w:szCs w:val="21"/>
        </w:rPr>
        <w:t xml:space="preserve"> </w:t>
      </w:r>
      <w:r w:rsidRPr="00AE564A">
        <w:rPr>
          <w:rFonts w:ascii="Arial" w:eastAsia="Arial" w:hAnsi="Arial" w:cs="Arial"/>
          <w:sz w:val="21"/>
          <w:szCs w:val="21"/>
        </w:rPr>
        <w:t>el</w:t>
      </w:r>
      <w:r w:rsidRPr="00AE564A">
        <w:rPr>
          <w:rFonts w:ascii="Arial" w:eastAsia="Arial," w:hAnsi="Arial" w:cs="Arial"/>
          <w:sz w:val="21"/>
          <w:szCs w:val="21"/>
        </w:rPr>
        <w:t xml:space="preserve"> </w:t>
      </w:r>
      <w:r w:rsidRPr="00AE564A">
        <w:rPr>
          <w:rFonts w:ascii="Arial" w:eastAsia="Arial" w:hAnsi="Arial" w:cs="Arial"/>
          <w:sz w:val="21"/>
          <w:szCs w:val="21"/>
        </w:rPr>
        <w:t>cálculo</w:t>
      </w:r>
      <w:r w:rsidRPr="00AE564A">
        <w:rPr>
          <w:rFonts w:ascii="Arial" w:eastAsia="Arial," w:hAnsi="Arial" w:cs="Arial"/>
          <w:sz w:val="21"/>
          <w:szCs w:val="21"/>
        </w:rPr>
        <w:t xml:space="preserve"> </w:t>
      </w:r>
      <w:r w:rsidRPr="00AE564A">
        <w:rPr>
          <w:rFonts w:ascii="Arial" w:eastAsia="Arial" w:hAnsi="Arial" w:cs="Arial"/>
          <w:sz w:val="21"/>
          <w:szCs w:val="21"/>
        </w:rPr>
        <w:t>del</w:t>
      </w:r>
      <w:r w:rsidRPr="00AE564A">
        <w:rPr>
          <w:rFonts w:ascii="Arial" w:eastAsia="Arial," w:hAnsi="Arial" w:cs="Arial"/>
          <w:sz w:val="21"/>
          <w:szCs w:val="21"/>
        </w:rPr>
        <w:t xml:space="preserve"> </w:t>
      </w:r>
      <w:r w:rsidRPr="00AE564A">
        <w:rPr>
          <w:rFonts w:ascii="Arial" w:eastAsia="Arial" w:hAnsi="Arial" w:cs="Arial"/>
          <w:sz w:val="21"/>
          <w:szCs w:val="21"/>
        </w:rPr>
        <w:t>(SCE)</w:t>
      </w:r>
      <w:r w:rsidRPr="00AE564A">
        <w:rPr>
          <w:rFonts w:ascii="Arial" w:eastAsia="Arial," w:hAnsi="Arial" w:cs="Arial"/>
          <w:sz w:val="21"/>
          <w:szCs w:val="21"/>
        </w:rPr>
        <w:t xml:space="preserve"> </w:t>
      </w:r>
      <w:r w:rsidRPr="00AE564A">
        <w:rPr>
          <w:rFonts w:ascii="Arial" w:eastAsia="Arial" w:hAnsi="Arial" w:cs="Arial"/>
          <w:sz w:val="21"/>
          <w:szCs w:val="21"/>
        </w:rPr>
        <w:t>de</w:t>
      </w:r>
      <w:r w:rsidRPr="00AE564A">
        <w:rPr>
          <w:rFonts w:ascii="Arial" w:eastAsia="Arial," w:hAnsi="Arial" w:cs="Arial"/>
          <w:sz w:val="21"/>
          <w:szCs w:val="21"/>
        </w:rPr>
        <w:t xml:space="preserve"> </w:t>
      </w:r>
      <w:r w:rsidRPr="00AE564A">
        <w:rPr>
          <w:rFonts w:ascii="Arial" w:eastAsia="Arial" w:hAnsi="Arial" w:cs="Arial"/>
          <w:sz w:val="21"/>
          <w:szCs w:val="21"/>
        </w:rPr>
        <w:t>dicho</w:t>
      </w:r>
      <w:r w:rsidRPr="00AE564A">
        <w:rPr>
          <w:rFonts w:ascii="Arial" w:eastAsia="Arial," w:hAnsi="Arial" w:cs="Arial"/>
          <w:sz w:val="21"/>
          <w:szCs w:val="21"/>
        </w:rPr>
        <w:t xml:space="preserve"> </w:t>
      </w:r>
      <w:r w:rsidRPr="00AE564A">
        <w:rPr>
          <w:rFonts w:ascii="Arial" w:eastAsia="Arial" w:hAnsi="Arial" w:cs="Arial"/>
          <w:sz w:val="21"/>
          <w:szCs w:val="21"/>
        </w:rPr>
        <w:t>contrato</w:t>
      </w:r>
      <w:r w:rsidRPr="00AE564A">
        <w:rPr>
          <w:rFonts w:ascii="Arial" w:eastAsia="Arial," w:hAnsi="Arial" w:cs="Arial"/>
          <w:sz w:val="21"/>
          <w:szCs w:val="21"/>
        </w:rPr>
        <w:t xml:space="preserve"> </w:t>
      </w:r>
      <w:r w:rsidRPr="00AE564A">
        <w:rPr>
          <w:rFonts w:ascii="Arial" w:eastAsia="Arial" w:hAnsi="Arial" w:cs="Arial"/>
          <w:sz w:val="21"/>
          <w:szCs w:val="21"/>
        </w:rPr>
        <w:t>debe</w:t>
      </w:r>
      <w:r w:rsidRPr="00AE564A">
        <w:rPr>
          <w:rFonts w:ascii="Arial" w:eastAsia="Arial," w:hAnsi="Arial" w:cs="Arial"/>
          <w:sz w:val="21"/>
          <w:szCs w:val="21"/>
        </w:rPr>
        <w:t xml:space="preserve"> </w:t>
      </w:r>
      <w:r w:rsidRPr="00AE564A">
        <w:rPr>
          <w:rFonts w:ascii="Arial" w:eastAsia="Arial" w:hAnsi="Arial" w:cs="Arial"/>
          <w:sz w:val="21"/>
          <w:szCs w:val="21"/>
        </w:rPr>
        <w:t>efectuarse</w:t>
      </w:r>
      <w:r w:rsidRPr="00AE564A">
        <w:rPr>
          <w:rFonts w:ascii="Arial" w:eastAsia="Arial," w:hAnsi="Arial" w:cs="Arial"/>
          <w:sz w:val="21"/>
          <w:szCs w:val="21"/>
        </w:rPr>
        <w:t xml:space="preserve"> </w:t>
      </w:r>
      <w:r w:rsidRPr="00AE564A">
        <w:rPr>
          <w:rFonts w:ascii="Arial" w:eastAsia="Arial" w:hAnsi="Arial" w:cs="Arial"/>
          <w:sz w:val="21"/>
          <w:szCs w:val="21"/>
        </w:rPr>
        <w:t>asumiendo</w:t>
      </w:r>
      <w:r w:rsidRPr="00AE564A">
        <w:rPr>
          <w:rFonts w:ascii="Arial" w:eastAsia="Arial," w:hAnsi="Arial" w:cs="Arial"/>
          <w:sz w:val="21"/>
          <w:szCs w:val="21"/>
        </w:rPr>
        <w:t xml:space="preserve"> </w:t>
      </w:r>
      <w:r w:rsidRPr="00AE564A">
        <w:rPr>
          <w:rFonts w:ascii="Arial" w:eastAsia="Arial" w:hAnsi="Arial" w:cs="Arial"/>
          <w:sz w:val="21"/>
          <w:szCs w:val="21"/>
        </w:rPr>
        <w:t>que</w:t>
      </w:r>
      <w:r w:rsidRPr="00AE564A">
        <w:rPr>
          <w:rFonts w:ascii="Arial" w:eastAsia="Arial," w:hAnsi="Arial" w:cs="Arial"/>
          <w:sz w:val="21"/>
          <w:szCs w:val="21"/>
        </w:rPr>
        <w:t xml:space="preserve"> </w:t>
      </w:r>
      <w:r w:rsidRPr="00AE564A">
        <w:rPr>
          <w:rFonts w:ascii="Arial" w:eastAsia="Arial" w:hAnsi="Arial" w:cs="Arial"/>
          <w:sz w:val="21"/>
          <w:szCs w:val="21"/>
        </w:rPr>
        <w:t>lo</w:t>
      </w:r>
      <w:r w:rsidRPr="00AE564A">
        <w:rPr>
          <w:rFonts w:ascii="Arial" w:eastAsia="Arial," w:hAnsi="Arial" w:cs="Arial"/>
          <w:sz w:val="21"/>
          <w:szCs w:val="21"/>
        </w:rPr>
        <w:t xml:space="preserve"> </w:t>
      </w:r>
      <w:r w:rsidRPr="00AE564A">
        <w:rPr>
          <w:rFonts w:ascii="Arial" w:eastAsia="Arial" w:hAnsi="Arial" w:cs="Arial"/>
          <w:sz w:val="21"/>
          <w:szCs w:val="21"/>
        </w:rPr>
        <w:t>que</w:t>
      </w:r>
      <w:r w:rsidRPr="00AE564A">
        <w:rPr>
          <w:rFonts w:ascii="Arial" w:eastAsia="Arial," w:hAnsi="Arial" w:cs="Arial"/>
          <w:sz w:val="21"/>
          <w:szCs w:val="21"/>
        </w:rPr>
        <w:t xml:space="preserve"> </w:t>
      </w:r>
      <w:r w:rsidRPr="00AE564A">
        <w:rPr>
          <w:rFonts w:ascii="Arial" w:eastAsia="Arial" w:hAnsi="Arial" w:cs="Arial"/>
          <w:sz w:val="21"/>
          <w:szCs w:val="21"/>
        </w:rPr>
        <w:t>falta</w:t>
      </w:r>
      <w:r w:rsidRPr="00AE564A">
        <w:rPr>
          <w:rFonts w:ascii="Arial" w:eastAsia="Arial," w:hAnsi="Arial" w:cs="Arial"/>
          <w:sz w:val="21"/>
          <w:szCs w:val="21"/>
        </w:rPr>
        <w:t xml:space="preserve"> </w:t>
      </w:r>
      <w:r w:rsidRPr="00AE564A">
        <w:rPr>
          <w:rFonts w:ascii="Arial" w:eastAsia="Arial" w:hAnsi="Arial" w:cs="Arial"/>
          <w:sz w:val="21"/>
          <w:szCs w:val="21"/>
        </w:rPr>
        <w:t>por</w:t>
      </w:r>
      <w:r w:rsidRPr="00AE564A">
        <w:rPr>
          <w:rFonts w:ascii="Arial" w:eastAsia="Arial," w:hAnsi="Arial" w:cs="Arial"/>
          <w:sz w:val="21"/>
          <w:szCs w:val="21"/>
        </w:rPr>
        <w:t xml:space="preserve"> </w:t>
      </w:r>
      <w:r w:rsidRPr="00AE564A">
        <w:rPr>
          <w:rFonts w:ascii="Arial" w:eastAsia="Arial" w:hAnsi="Arial" w:cs="Arial"/>
          <w:sz w:val="21"/>
          <w:szCs w:val="21"/>
        </w:rPr>
        <w:t>ejecutar</w:t>
      </w:r>
      <w:r w:rsidRPr="00AE564A">
        <w:rPr>
          <w:rFonts w:ascii="Arial" w:eastAsia="Arial," w:hAnsi="Arial" w:cs="Arial"/>
          <w:sz w:val="21"/>
          <w:szCs w:val="21"/>
        </w:rPr>
        <w:t xml:space="preserve"> </w:t>
      </w:r>
      <w:r w:rsidRPr="00AE564A">
        <w:rPr>
          <w:rFonts w:ascii="Arial" w:eastAsia="Arial" w:hAnsi="Arial" w:cs="Arial"/>
          <w:sz w:val="21"/>
          <w:szCs w:val="21"/>
        </w:rPr>
        <w:t>iniciara</w:t>
      </w:r>
      <w:r w:rsidRPr="00AE564A">
        <w:rPr>
          <w:rFonts w:ascii="Arial" w:eastAsia="Arial," w:hAnsi="Arial" w:cs="Arial"/>
          <w:sz w:val="21"/>
          <w:szCs w:val="21"/>
        </w:rPr>
        <w:t xml:space="preserve"> </w:t>
      </w:r>
      <w:r w:rsidRPr="00AE564A">
        <w:rPr>
          <w:rFonts w:ascii="Arial" w:eastAsia="Arial" w:hAnsi="Arial" w:cs="Arial"/>
          <w:sz w:val="21"/>
          <w:szCs w:val="21"/>
        </w:rPr>
        <w:t>en</w:t>
      </w:r>
      <w:r w:rsidRPr="00AE564A">
        <w:rPr>
          <w:rFonts w:ascii="Arial" w:eastAsia="Arial," w:hAnsi="Arial" w:cs="Arial"/>
          <w:sz w:val="21"/>
          <w:szCs w:val="21"/>
        </w:rPr>
        <w:t xml:space="preserve"> </w:t>
      </w:r>
      <w:r w:rsidRPr="00AE564A">
        <w:rPr>
          <w:rFonts w:ascii="Arial" w:eastAsia="Arial" w:hAnsi="Arial" w:cs="Arial"/>
          <w:sz w:val="21"/>
          <w:szCs w:val="21"/>
        </w:rPr>
        <w:t>la</w:t>
      </w:r>
      <w:r w:rsidRPr="00AE564A">
        <w:rPr>
          <w:rFonts w:ascii="Arial" w:eastAsia="Arial," w:hAnsi="Arial" w:cs="Arial"/>
          <w:sz w:val="21"/>
          <w:szCs w:val="21"/>
        </w:rPr>
        <w:t xml:space="preserve"> </w:t>
      </w:r>
      <w:r w:rsidRPr="00AE564A">
        <w:rPr>
          <w:rFonts w:ascii="Arial" w:eastAsia="Arial" w:hAnsi="Arial" w:cs="Arial"/>
          <w:sz w:val="21"/>
          <w:szCs w:val="21"/>
        </w:rPr>
        <w:t>fecha de</w:t>
      </w:r>
      <w:r w:rsidRPr="00AE564A">
        <w:rPr>
          <w:rFonts w:ascii="Arial" w:eastAsia="Arial," w:hAnsi="Arial" w:cs="Arial"/>
          <w:sz w:val="21"/>
          <w:szCs w:val="21"/>
        </w:rPr>
        <w:t xml:space="preserve"> </w:t>
      </w:r>
      <w:r w:rsidRPr="00AE564A">
        <w:rPr>
          <w:rFonts w:ascii="Arial" w:eastAsia="Arial" w:hAnsi="Arial" w:cs="Arial"/>
          <w:sz w:val="21"/>
          <w:szCs w:val="21"/>
        </w:rPr>
        <w:t>presentación</w:t>
      </w:r>
      <w:r w:rsidRPr="00AE564A">
        <w:rPr>
          <w:rFonts w:ascii="Arial" w:eastAsia="Arial," w:hAnsi="Arial" w:cs="Arial"/>
          <w:sz w:val="21"/>
          <w:szCs w:val="21"/>
        </w:rPr>
        <w:t xml:space="preserve"> </w:t>
      </w:r>
      <w:r w:rsidRPr="00AE564A">
        <w:rPr>
          <w:rFonts w:ascii="Arial" w:eastAsia="Arial" w:hAnsi="Arial" w:cs="Arial"/>
          <w:sz w:val="21"/>
          <w:szCs w:val="21"/>
        </w:rPr>
        <w:t>de</w:t>
      </w:r>
      <w:r w:rsidRPr="00AE564A">
        <w:rPr>
          <w:rFonts w:ascii="Arial" w:eastAsia="Arial," w:hAnsi="Arial" w:cs="Arial"/>
          <w:sz w:val="21"/>
          <w:szCs w:val="21"/>
        </w:rPr>
        <w:t xml:space="preserve"> </w:t>
      </w:r>
      <w:r w:rsidRPr="00AE564A">
        <w:rPr>
          <w:rFonts w:ascii="Arial" w:eastAsia="Arial" w:hAnsi="Arial" w:cs="Arial"/>
          <w:sz w:val="21"/>
          <w:szCs w:val="21"/>
        </w:rPr>
        <w:t>la</w:t>
      </w:r>
      <w:r w:rsidRPr="00AE564A">
        <w:rPr>
          <w:rFonts w:ascii="Arial" w:eastAsia="Arial," w:hAnsi="Arial" w:cs="Arial"/>
          <w:sz w:val="21"/>
          <w:szCs w:val="21"/>
        </w:rPr>
        <w:t xml:space="preserve"> </w:t>
      </w:r>
      <w:r w:rsidRPr="00AE564A">
        <w:rPr>
          <w:rFonts w:ascii="Arial" w:eastAsia="Arial" w:hAnsi="Arial" w:cs="Arial"/>
          <w:sz w:val="21"/>
          <w:szCs w:val="21"/>
        </w:rPr>
        <w:t>oferta</w:t>
      </w:r>
      <w:r w:rsidRPr="00AE564A">
        <w:rPr>
          <w:rFonts w:ascii="Arial" w:eastAsia="Arial," w:hAnsi="Arial" w:cs="Arial"/>
          <w:sz w:val="21"/>
          <w:szCs w:val="21"/>
        </w:rPr>
        <w:t xml:space="preserve"> </w:t>
      </w:r>
      <w:r w:rsidRPr="00AE564A">
        <w:rPr>
          <w:rFonts w:ascii="Arial" w:eastAsia="Arial" w:hAnsi="Arial" w:cs="Arial"/>
          <w:sz w:val="21"/>
          <w:szCs w:val="21"/>
        </w:rPr>
        <w:t>del</w:t>
      </w:r>
      <w:r w:rsidRPr="00AE564A">
        <w:rPr>
          <w:rFonts w:ascii="Arial" w:eastAsia="Arial," w:hAnsi="Arial" w:cs="Arial"/>
          <w:sz w:val="21"/>
          <w:szCs w:val="21"/>
        </w:rPr>
        <w:t xml:space="preserve"> </w:t>
      </w:r>
      <w:r w:rsidRPr="00AE564A">
        <w:rPr>
          <w:rFonts w:ascii="Arial" w:eastAsia="Arial" w:hAnsi="Arial" w:cs="Arial"/>
          <w:sz w:val="21"/>
          <w:szCs w:val="21"/>
        </w:rPr>
        <w:t>Proceso de Contratación.</w:t>
      </w:r>
      <w:r w:rsidRPr="00AE564A">
        <w:rPr>
          <w:rFonts w:ascii="Arial" w:eastAsia="Arial," w:hAnsi="Arial" w:cs="Arial"/>
          <w:sz w:val="21"/>
          <w:szCs w:val="21"/>
        </w:rPr>
        <w:t xml:space="preserve"> </w:t>
      </w:r>
      <w:r w:rsidRPr="00AE564A">
        <w:rPr>
          <w:rFonts w:ascii="Arial" w:eastAsia="Arial" w:hAnsi="Arial" w:cs="Arial"/>
          <w:sz w:val="21"/>
          <w:szCs w:val="21"/>
        </w:rPr>
        <w:t>Si</w:t>
      </w:r>
      <w:r w:rsidRPr="00AE564A">
        <w:rPr>
          <w:rFonts w:ascii="Arial" w:eastAsia="Arial," w:hAnsi="Arial" w:cs="Arial"/>
          <w:sz w:val="21"/>
          <w:szCs w:val="21"/>
        </w:rPr>
        <w:t xml:space="preserve"> </w:t>
      </w:r>
      <w:r w:rsidRPr="00AE564A">
        <w:rPr>
          <w:rFonts w:ascii="Arial" w:eastAsia="Arial" w:hAnsi="Arial" w:cs="Arial"/>
          <w:sz w:val="21"/>
          <w:szCs w:val="21"/>
        </w:rPr>
        <w:t>el</w:t>
      </w:r>
      <w:r w:rsidRPr="00AE564A">
        <w:rPr>
          <w:rFonts w:ascii="Arial" w:eastAsia="Arial," w:hAnsi="Arial" w:cs="Arial"/>
          <w:sz w:val="21"/>
          <w:szCs w:val="21"/>
        </w:rPr>
        <w:t xml:space="preserve"> </w:t>
      </w:r>
      <w:r w:rsidRPr="00AE564A">
        <w:rPr>
          <w:rFonts w:ascii="Arial" w:eastAsia="Arial" w:hAnsi="Arial" w:cs="Arial"/>
          <w:sz w:val="21"/>
          <w:szCs w:val="21"/>
        </w:rPr>
        <w:t>contrato</w:t>
      </w:r>
      <w:r w:rsidRPr="00AE564A">
        <w:rPr>
          <w:rFonts w:ascii="Arial" w:eastAsia="Arial," w:hAnsi="Arial" w:cs="Arial"/>
          <w:sz w:val="21"/>
          <w:szCs w:val="21"/>
        </w:rPr>
        <w:t xml:space="preserve"> </w:t>
      </w:r>
      <w:r w:rsidRPr="00AE564A">
        <w:rPr>
          <w:rFonts w:ascii="Arial" w:eastAsia="Arial" w:hAnsi="Arial" w:cs="Arial"/>
          <w:sz w:val="21"/>
          <w:szCs w:val="21"/>
        </w:rPr>
        <w:t>está</w:t>
      </w:r>
      <w:r w:rsidRPr="00AE564A">
        <w:rPr>
          <w:rFonts w:ascii="Arial" w:eastAsia="Arial," w:hAnsi="Arial" w:cs="Arial"/>
          <w:sz w:val="21"/>
          <w:szCs w:val="21"/>
        </w:rPr>
        <w:t xml:space="preserve"> </w:t>
      </w:r>
      <w:r w:rsidRPr="00AE564A">
        <w:rPr>
          <w:rFonts w:ascii="Arial" w:eastAsia="Arial" w:hAnsi="Arial" w:cs="Arial"/>
          <w:sz w:val="21"/>
          <w:szCs w:val="21"/>
        </w:rPr>
        <w:t>suspendido</w:t>
      </w:r>
      <w:r w:rsidRPr="00AE564A">
        <w:rPr>
          <w:rFonts w:ascii="Arial" w:eastAsia="Arial," w:hAnsi="Arial" w:cs="Arial"/>
          <w:sz w:val="21"/>
          <w:szCs w:val="21"/>
        </w:rPr>
        <w:t xml:space="preserve"> </w:t>
      </w:r>
      <w:r w:rsidRPr="00AE564A">
        <w:rPr>
          <w:rFonts w:ascii="Arial" w:eastAsia="Arial" w:hAnsi="Arial" w:cs="Arial"/>
          <w:sz w:val="21"/>
          <w:szCs w:val="21"/>
        </w:rPr>
        <w:t>el</w:t>
      </w:r>
      <w:r w:rsidRPr="00AE564A">
        <w:rPr>
          <w:rFonts w:ascii="Arial" w:eastAsia="Arial," w:hAnsi="Arial" w:cs="Arial"/>
          <w:sz w:val="21"/>
          <w:szCs w:val="21"/>
        </w:rPr>
        <w:t xml:space="preserve"> </w:t>
      </w:r>
      <w:r w:rsidRPr="00AE564A">
        <w:rPr>
          <w:rFonts w:ascii="Arial" w:eastAsia="Arial" w:hAnsi="Arial" w:cs="Arial"/>
          <w:sz w:val="21"/>
          <w:szCs w:val="21"/>
        </w:rPr>
        <w:t>Proponente</w:t>
      </w:r>
      <w:r w:rsidRPr="00AE564A">
        <w:rPr>
          <w:rFonts w:ascii="Arial" w:eastAsia="Arial," w:hAnsi="Arial" w:cs="Arial"/>
          <w:sz w:val="21"/>
          <w:szCs w:val="21"/>
        </w:rPr>
        <w:t xml:space="preserve"> </w:t>
      </w:r>
      <w:r w:rsidRPr="00AE564A">
        <w:rPr>
          <w:rFonts w:ascii="Arial" w:eastAsia="Arial" w:hAnsi="Arial" w:cs="Arial"/>
          <w:sz w:val="21"/>
          <w:szCs w:val="21"/>
        </w:rPr>
        <w:t>debe</w:t>
      </w:r>
      <w:r w:rsidRPr="00AE564A">
        <w:rPr>
          <w:rFonts w:ascii="Arial" w:eastAsia="Arial," w:hAnsi="Arial" w:cs="Arial"/>
          <w:sz w:val="21"/>
          <w:szCs w:val="21"/>
        </w:rPr>
        <w:t xml:space="preserve"> </w:t>
      </w:r>
      <w:r w:rsidRPr="00AE564A">
        <w:rPr>
          <w:rFonts w:ascii="Arial" w:eastAsia="Arial" w:hAnsi="Arial" w:cs="Arial"/>
          <w:sz w:val="21"/>
          <w:szCs w:val="21"/>
        </w:rPr>
        <w:t>informar</w:t>
      </w:r>
      <w:r w:rsidRPr="00AE564A">
        <w:rPr>
          <w:rFonts w:ascii="Arial" w:eastAsia="Arial," w:hAnsi="Arial" w:cs="Arial"/>
          <w:sz w:val="21"/>
          <w:szCs w:val="21"/>
        </w:rPr>
        <w:t xml:space="preserve"> </w:t>
      </w:r>
      <w:r w:rsidRPr="00AE564A">
        <w:rPr>
          <w:rFonts w:ascii="Arial" w:eastAsia="Arial" w:hAnsi="Arial" w:cs="Arial"/>
          <w:sz w:val="21"/>
          <w:szCs w:val="21"/>
        </w:rPr>
        <w:t>el</w:t>
      </w:r>
      <w:r w:rsidRPr="00AE564A">
        <w:rPr>
          <w:rFonts w:ascii="Arial" w:eastAsia="Arial," w:hAnsi="Arial" w:cs="Arial"/>
          <w:sz w:val="21"/>
          <w:szCs w:val="21"/>
        </w:rPr>
        <w:t xml:space="preserve"> </w:t>
      </w:r>
      <w:r w:rsidRPr="00AE564A">
        <w:rPr>
          <w:rFonts w:ascii="Arial" w:eastAsia="Arial" w:hAnsi="Arial" w:cs="Arial"/>
          <w:sz w:val="21"/>
          <w:szCs w:val="21"/>
        </w:rPr>
        <w:t>saldo</w:t>
      </w:r>
      <w:r w:rsidRPr="00AE564A">
        <w:rPr>
          <w:rFonts w:ascii="Arial" w:eastAsia="Arial," w:hAnsi="Arial" w:cs="Arial"/>
          <w:sz w:val="21"/>
          <w:szCs w:val="21"/>
        </w:rPr>
        <w:t xml:space="preserve"> </w:t>
      </w:r>
      <w:r w:rsidRPr="00AE564A">
        <w:rPr>
          <w:rFonts w:ascii="Arial" w:eastAsia="Arial" w:hAnsi="Arial" w:cs="Arial"/>
          <w:sz w:val="21"/>
          <w:szCs w:val="21"/>
        </w:rPr>
        <w:t>pendiente</w:t>
      </w:r>
      <w:r w:rsidRPr="00AE564A">
        <w:rPr>
          <w:rFonts w:ascii="Arial" w:eastAsia="Arial," w:hAnsi="Arial" w:cs="Arial"/>
          <w:sz w:val="21"/>
          <w:szCs w:val="21"/>
        </w:rPr>
        <w:t xml:space="preserve"> </w:t>
      </w:r>
      <w:r w:rsidRPr="00AE564A">
        <w:rPr>
          <w:rFonts w:ascii="Arial" w:eastAsia="Arial" w:hAnsi="Arial" w:cs="Arial"/>
          <w:sz w:val="21"/>
          <w:szCs w:val="21"/>
        </w:rPr>
        <w:t>por</w:t>
      </w:r>
      <w:r w:rsidRPr="00AE564A">
        <w:rPr>
          <w:rFonts w:ascii="Arial" w:eastAsia="Arial," w:hAnsi="Arial" w:cs="Arial"/>
          <w:sz w:val="21"/>
          <w:szCs w:val="21"/>
        </w:rPr>
        <w:t xml:space="preserve"> </w:t>
      </w:r>
      <w:r w:rsidRPr="00AE564A">
        <w:rPr>
          <w:rFonts w:ascii="Arial" w:eastAsia="Arial" w:hAnsi="Arial" w:cs="Arial"/>
          <w:sz w:val="21"/>
          <w:szCs w:val="21"/>
        </w:rPr>
        <w:t>ejecutar</w:t>
      </w:r>
      <w:bookmarkEnd w:id="16"/>
      <w:r w:rsidRPr="00AE564A">
        <w:rPr>
          <w:rFonts w:ascii="Arial" w:eastAsia="Arial" w:hAnsi="Arial" w:cs="Arial"/>
          <w:sz w:val="21"/>
          <w:szCs w:val="21"/>
        </w:rPr>
        <w:t>.</w:t>
      </w:r>
      <w:r w:rsidRPr="002F3FD7">
        <w:rPr>
          <w:rFonts w:ascii="Arial" w:eastAsia="Arial" w:hAnsi="Arial" w:cs="Arial"/>
          <w:i/>
          <w:iCs/>
          <w:sz w:val="21"/>
          <w:szCs w:val="21"/>
        </w:rPr>
        <w:t xml:space="preserve"> </w:t>
      </w:r>
    </w:p>
    <w:p w14:paraId="764D594D" w14:textId="77777777" w:rsidR="006A11F5" w:rsidRPr="002F3FD7" w:rsidRDefault="006A11F5" w:rsidP="006A11F5">
      <w:pPr>
        <w:spacing w:after="0" w:line="240" w:lineRule="auto"/>
        <w:ind w:left="1134" w:right="709" w:hanging="425"/>
        <w:rPr>
          <w:rFonts w:ascii="Arial" w:eastAsia="Arial" w:hAnsi="Arial" w:cs="Arial"/>
          <w:sz w:val="21"/>
          <w:szCs w:val="21"/>
        </w:rPr>
      </w:pPr>
      <w:r w:rsidRPr="002F3FD7">
        <w:rPr>
          <w:rFonts w:ascii="Arial" w:eastAsia="Arial" w:hAnsi="Arial" w:cs="Arial"/>
          <w:sz w:val="21"/>
          <w:szCs w:val="21"/>
        </w:rPr>
        <w:t xml:space="preserve">V.  </w:t>
      </w:r>
      <w:bookmarkStart w:id="17" w:name="_Hlk100140164"/>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cálculo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factor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(SCE)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debe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hacerse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linealmente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calculando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una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ejecución</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diaria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equivalente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al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valor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contrato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dividido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plazo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contrato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expresado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en</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días.</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Este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resultado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se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multiplica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número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días</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pendientes</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para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cumplir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plazo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contrato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y</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si</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lastRenderedPageBreak/>
        <w:t>contrato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es</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ejecutado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una estructura plural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la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participación</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Proponente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en</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la respectiva estructura</w:t>
      </w:r>
      <w:bookmarkEnd w:id="17"/>
      <w:r w:rsidRPr="002F3FD7">
        <w:rPr>
          <w:rFonts w:ascii="Arial" w:eastAsia="Calibri" w:hAnsi="Arial" w:cs="Arial"/>
          <w:sz w:val="21"/>
          <w:szCs w:val="21"/>
          <w:lang w:val="es-CO"/>
        </w:rPr>
        <w:t>. (Énfasis fuera de texto)</w:t>
      </w:r>
    </w:p>
    <w:p w14:paraId="1067CB3F" w14:textId="77777777" w:rsidR="006A11F5" w:rsidRPr="002F3FD7" w:rsidRDefault="006A11F5" w:rsidP="006A11F5">
      <w:pPr>
        <w:spacing w:after="0"/>
        <w:contextualSpacing/>
        <w:rPr>
          <w:rFonts w:ascii="Arial" w:eastAsia="Arial," w:hAnsi="Arial" w:cs="Arial"/>
          <w:sz w:val="22"/>
        </w:rPr>
      </w:pPr>
    </w:p>
    <w:p w14:paraId="78ECF57E" w14:textId="77777777" w:rsidR="006A11F5" w:rsidRPr="002F3FD7" w:rsidRDefault="006A11F5" w:rsidP="006A11F5">
      <w:pPr>
        <w:spacing w:after="120"/>
        <w:ind w:firstLine="708"/>
        <w:rPr>
          <w:rFonts w:ascii="Arial" w:eastAsia="Calibri" w:hAnsi="Arial" w:cs="Arial"/>
          <w:sz w:val="22"/>
          <w:lang w:val="es-CO"/>
        </w:rPr>
      </w:pPr>
      <w:r w:rsidRPr="002F3FD7">
        <w:rPr>
          <w:rFonts w:ascii="Arial" w:eastAsia="Arial," w:hAnsi="Arial" w:cs="Arial"/>
          <w:sz w:val="22"/>
          <w:lang w:val="es-CO"/>
        </w:rPr>
        <w:t xml:space="preserve">Como se aprecia, los apartados transcritos del documento base están en armonía con lo dispuesto en la </w:t>
      </w:r>
      <w:r w:rsidRPr="002F3FD7">
        <w:rPr>
          <w:rFonts w:ascii="Arial" w:eastAsia="Calibri" w:hAnsi="Arial" w:cs="Arial"/>
          <w:sz w:val="22"/>
          <w:lang w:val="es-CO"/>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bookmarkStart w:id="18" w:name="_Hlk106354154"/>
      <w:r w:rsidRPr="002F3FD7">
        <w:rPr>
          <w:rFonts w:ascii="Arial" w:eastAsia="Calibri" w:hAnsi="Arial" w:cs="Arial"/>
          <w:color w:val="000000"/>
          <w:sz w:val="22"/>
        </w:rPr>
        <w:t xml:space="preserve">el artículo 2.2.1.1.1.6.4 del Decreto 1082 de 2015, en virtud del cual, para efectos de </w:t>
      </w:r>
      <w:r w:rsidRPr="002F3FD7">
        <w:rPr>
          <w:rFonts w:ascii="Arial" w:eastAsia="Calibri" w:hAnsi="Arial" w:cs="Arial"/>
          <w:sz w:val="22"/>
          <w:szCs w:val="20"/>
        </w:rPr>
        <w:t xml:space="preserve">acreditar la capacidad residual del proponente, se requiere el listado de contratos de obra civiles en ejecución suscritos con entidades estatales y con entidades privadas. </w:t>
      </w:r>
    </w:p>
    <w:p w14:paraId="3592D929" w14:textId="77777777" w:rsidR="006A11F5" w:rsidRPr="002F3FD7" w:rsidRDefault="006A11F5" w:rsidP="006A11F5">
      <w:pPr>
        <w:widowControl w:val="0"/>
        <w:autoSpaceDE w:val="0"/>
        <w:autoSpaceDN w:val="0"/>
        <w:spacing w:after="120"/>
        <w:ind w:right="51" w:firstLine="709"/>
        <w:rPr>
          <w:rFonts w:ascii="Arial" w:eastAsia="Arial" w:hAnsi="Arial" w:cs="Arial"/>
          <w:sz w:val="22"/>
          <w:lang w:val="es-CO"/>
        </w:rPr>
      </w:pPr>
      <w:bookmarkStart w:id="19" w:name="_Hlk100140278"/>
      <w:bookmarkEnd w:id="18"/>
      <w:r w:rsidRPr="002F3FD7">
        <w:rPr>
          <w:rFonts w:ascii="Arial" w:eastAsia="Arial" w:hAnsi="Arial" w:cs="Arial"/>
          <w:sz w:val="22"/>
          <w:lang w:val="es-CO"/>
        </w:rPr>
        <w:t xml:space="preserve">Sin perjuicio de lo anterior, sobre el uso del aplicativo y la acreditación de los factores necesarios para calcular la capacidad residual, el punto 7 de la Circular Externa Única de Colombia Compra Eficiente dispone </w:t>
      </w:r>
      <w:r w:rsidRPr="002F3FD7">
        <w:rPr>
          <w:rFonts w:ascii="Arial" w:eastAsia="Arial" w:hAnsi="Arial" w:cs="Arial"/>
          <w:sz w:val="22"/>
          <w:lang w:val="es-ES"/>
        </w:rPr>
        <w:t>que</w:t>
      </w:r>
      <w:r w:rsidRPr="002F3FD7">
        <w:rPr>
          <w:rFonts w:ascii="Arial" w:eastAsia="Calibri" w:hAnsi="Arial" w:cs="Arial"/>
          <w:color w:val="000000"/>
          <w:sz w:val="22"/>
          <w:lang w:val="es-ES"/>
        </w:rPr>
        <w:t xml:space="preserve"> «</w:t>
      </w:r>
      <w:r w:rsidRPr="002F3FD7">
        <w:rPr>
          <w:rFonts w:ascii="Arial" w:eastAsia="Arial" w:hAnsi="Arial" w:cs="Arial"/>
          <w:sz w:val="22"/>
          <w:lang w:val="es-CO"/>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r w:rsidRPr="002F3FD7">
        <w:rPr>
          <w:rFonts w:ascii="Arial" w:eastAsia="Calibri" w:hAnsi="Arial" w:cs="Arial"/>
          <w:color w:val="000000"/>
          <w:sz w:val="22"/>
          <w:lang w:val="es-ES"/>
        </w:rPr>
        <w:t>».</w:t>
      </w:r>
    </w:p>
    <w:p w14:paraId="5DA1D36F" w14:textId="77777777" w:rsidR="006A11F5" w:rsidRPr="002F3FD7" w:rsidRDefault="006A11F5" w:rsidP="006A11F5">
      <w:pPr>
        <w:widowControl w:val="0"/>
        <w:autoSpaceDE w:val="0"/>
        <w:autoSpaceDN w:val="0"/>
        <w:spacing w:after="120"/>
        <w:ind w:firstLine="709"/>
        <w:rPr>
          <w:rFonts w:ascii="Arial" w:eastAsia="Arial," w:hAnsi="Arial" w:cs="Arial"/>
          <w:sz w:val="22"/>
          <w:lang w:val="es-CO"/>
        </w:rPr>
      </w:pPr>
      <w:r w:rsidRPr="002F3FD7">
        <w:rPr>
          <w:rFonts w:ascii="Arial" w:eastAsia="Arial," w:hAnsi="Arial" w:cs="Arial"/>
          <w:sz w:val="22"/>
          <w:lang w:val="es-CO"/>
        </w:rPr>
        <w:t>De esta manera, 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w:t>
      </w:r>
      <w:r w:rsidRPr="002F3FD7">
        <w:rPr>
          <w:rFonts w:ascii="Arial" w:eastAsia="Arial" w:hAnsi="Arial" w:cs="Arial"/>
          <w:sz w:val="22"/>
          <w:lang w:val="es-CO"/>
        </w:rPr>
        <w:t xml:space="preserve">. </w:t>
      </w:r>
      <w:r w:rsidRPr="002F3FD7">
        <w:rPr>
          <w:rFonts w:ascii="Arial" w:eastAsia="Arial," w:hAnsi="Arial" w:cs="Arial"/>
          <w:sz w:val="22"/>
          <w:lang w:val="es-CO"/>
        </w:rPr>
        <w:t>Así mismo, se reitera, la guía es el instrumento que detenta fuerza vinculante y, por tanto, son sus disposiciones las que deben observarse para la determinación de la capacidad residual.</w:t>
      </w:r>
    </w:p>
    <w:p w14:paraId="2439257D" w14:textId="77777777" w:rsidR="006A11F5" w:rsidRPr="002F3FD7" w:rsidRDefault="006A11F5" w:rsidP="006A11F5">
      <w:pPr>
        <w:widowControl w:val="0"/>
        <w:autoSpaceDE w:val="0"/>
        <w:autoSpaceDN w:val="0"/>
        <w:spacing w:after="0"/>
        <w:ind w:firstLine="709"/>
        <w:rPr>
          <w:rFonts w:ascii="Arial" w:eastAsia="Arial" w:hAnsi="Arial" w:cs="Arial"/>
          <w:color w:val="000000"/>
          <w:sz w:val="22"/>
          <w:shd w:val="clear" w:color="auto" w:fill="FFFFFF"/>
          <w:lang w:val="es-ES"/>
        </w:rPr>
      </w:pPr>
      <w:r w:rsidRPr="002F3FD7">
        <w:rPr>
          <w:rFonts w:ascii="Arial" w:eastAsia="Arial," w:hAnsi="Arial" w:cs="Arial"/>
          <w:sz w:val="22"/>
          <w:lang w:val="es-CO"/>
        </w:rPr>
        <w:t>De otro lado, en procesos como los regidos por los documentos tipo de licitación de obra pública de infraestructura de transporte – Versión 3, se</w:t>
      </w:r>
      <w:r w:rsidRPr="002F3FD7">
        <w:rPr>
          <w:rFonts w:ascii="Arial" w:eastAsia="Arial" w:hAnsi="Arial" w:cs="Arial"/>
          <w:bCs/>
          <w:sz w:val="22"/>
          <w:lang w:val="es-ES"/>
        </w:rPr>
        <w:t xml:space="preserve"> faculta a las entidades estatales para establecer los formatos aplicables al proceso contractual necesarios para calcular la capacidad residual. En efecto, el Formato 5 de los documentos tipo señala que: «[La entidad estatal deberá estructurar los formatos para la verificación de la capacidad residual utilizando los formatos y la metodología </w:t>
      </w:r>
      <w:r w:rsidRPr="002F3FD7">
        <w:rPr>
          <w:rFonts w:ascii="Arial" w:eastAsia="Arial" w:hAnsi="Arial" w:cs="Arial"/>
          <w:bCs/>
          <w:sz w:val="22"/>
          <w:lang w:val="es-ES"/>
        </w:rPr>
        <w:lastRenderedPageBreak/>
        <w:t>señalada en la "Guía para Determinar y Verificar la Capacidad Residual del Proponente en los Procesos de Contratación de Obra Pública" de la Agencia Nacional de Contratación Pública - Colombia Compra Eficiente]»</w:t>
      </w:r>
      <w:r w:rsidRPr="002F3FD7">
        <w:rPr>
          <w:rFonts w:ascii="Arial" w:eastAsia="Arial" w:hAnsi="Arial" w:cs="Arial"/>
          <w:color w:val="000000"/>
          <w:sz w:val="22"/>
          <w:shd w:val="clear" w:color="auto" w:fill="FFFFFF"/>
          <w:lang w:val="es-ES"/>
        </w:rPr>
        <w:t>. En virtud de lo anterior, de acuerdo con lo establecido en los documentos tipo, las entidades estatales establecen los formatos que presentarán los proponentes para el cálculo de la capacidad residual.</w:t>
      </w:r>
    </w:p>
    <w:bookmarkEnd w:id="19"/>
    <w:p w14:paraId="3F5FEFEC" w14:textId="77777777" w:rsidR="006A11F5" w:rsidRPr="002F3FD7" w:rsidRDefault="006A11F5" w:rsidP="006A11F5">
      <w:pPr>
        <w:spacing w:after="0"/>
        <w:rPr>
          <w:rFonts w:ascii="Arial" w:eastAsia="Times New Roman" w:hAnsi="Arial" w:cs="Arial"/>
          <w:sz w:val="22"/>
          <w:lang w:val="es-CO" w:eastAsia="es-ES_tradnl"/>
        </w:rPr>
      </w:pPr>
    </w:p>
    <w:p w14:paraId="4B88B101" w14:textId="59975EF3" w:rsidR="00A13C07" w:rsidRPr="002F3FD7" w:rsidRDefault="00A13C07" w:rsidP="00A13C07">
      <w:pPr>
        <w:spacing w:after="0"/>
        <w:rPr>
          <w:rFonts w:ascii="Arial" w:eastAsia="Calibri" w:hAnsi="Arial" w:cs="Arial"/>
          <w:b/>
          <w:bCs/>
          <w:sz w:val="22"/>
        </w:rPr>
      </w:pPr>
      <w:r w:rsidRPr="002F3FD7">
        <w:rPr>
          <w:rFonts w:ascii="Arial" w:eastAsia="Calibri" w:hAnsi="Arial" w:cs="Arial"/>
          <w:b/>
          <w:bCs/>
          <w:sz w:val="22"/>
        </w:rPr>
        <w:t>2.2. Causales de rechazo de la oferta previstas</w:t>
      </w:r>
      <w:r w:rsidR="001C4EEE" w:rsidRPr="002F3FD7">
        <w:rPr>
          <w:rFonts w:ascii="Arial" w:eastAsia="Calibri" w:hAnsi="Arial" w:cs="Arial"/>
          <w:b/>
          <w:bCs/>
          <w:sz w:val="22"/>
        </w:rPr>
        <w:t xml:space="preserve"> en</w:t>
      </w:r>
      <w:r w:rsidRPr="002F3FD7">
        <w:rPr>
          <w:rFonts w:ascii="Arial" w:eastAsia="Calibri" w:hAnsi="Arial" w:cs="Arial"/>
          <w:b/>
          <w:bCs/>
          <w:sz w:val="22"/>
        </w:rPr>
        <w:t xml:space="preserve"> los documentos tipo de licitación de obra pública de infraestructura de transporte en relación con la acreditación de la capacidad residual</w:t>
      </w:r>
    </w:p>
    <w:p w14:paraId="55FB482E" w14:textId="77777777" w:rsidR="00A13C07" w:rsidRPr="002F3FD7" w:rsidRDefault="00A13C07" w:rsidP="00A13C07">
      <w:pPr>
        <w:spacing w:after="0"/>
        <w:rPr>
          <w:rFonts w:ascii="Arial" w:eastAsia="Calibri" w:hAnsi="Arial" w:cs="Arial"/>
          <w:b/>
          <w:bCs/>
          <w:sz w:val="22"/>
        </w:rPr>
      </w:pPr>
    </w:p>
    <w:p w14:paraId="240CFE3B" w14:textId="565E40B9" w:rsidR="00A13C07" w:rsidRPr="002F3FD7" w:rsidRDefault="00A13C07" w:rsidP="00A13C07">
      <w:pPr>
        <w:tabs>
          <w:tab w:val="left" w:pos="426"/>
        </w:tabs>
        <w:spacing w:after="0"/>
        <w:rPr>
          <w:rFonts w:ascii="Arial" w:eastAsia="Calibri" w:hAnsi="Arial" w:cs="Arial"/>
          <w:sz w:val="22"/>
          <w:szCs w:val="20"/>
        </w:rPr>
      </w:pPr>
      <w:r w:rsidRPr="002F3FD7">
        <w:rPr>
          <w:rFonts w:ascii="Arial" w:eastAsia="Calibri" w:hAnsi="Arial" w:cs="Arial"/>
          <w:sz w:val="22"/>
          <w:szCs w:val="20"/>
        </w:rPr>
        <w:t xml:space="preserve">El numeral 3.10 </w:t>
      </w:r>
      <w:bookmarkStart w:id="20" w:name="_Hlk106358481"/>
      <w:r w:rsidRPr="002F3FD7">
        <w:rPr>
          <w:rFonts w:ascii="Arial" w:eastAsia="Calibri" w:hAnsi="Arial" w:cs="Arial"/>
          <w:sz w:val="22"/>
          <w:szCs w:val="20"/>
        </w:rPr>
        <w:t>del «Documento Base»</w:t>
      </w:r>
      <w:bookmarkEnd w:id="20"/>
      <w:r w:rsidRPr="002F3FD7">
        <w:rPr>
          <w:rFonts w:ascii="Arial" w:eastAsia="Calibri" w:hAnsi="Arial" w:cs="Arial"/>
          <w:sz w:val="22"/>
          <w:szCs w:val="20"/>
        </w:rPr>
        <w:t xml:space="preserve"> de los documentos tipo de licitación pública –versión 3 establece como requisito habilitante la capacidad residual, definida por el Decreto 1082 de 2015, en el artículo 2.2.1.1.1.3.1, como la «Aptitud de un oferente para cumplir oportuna y cabalmente con el objeto de un contrato de obra, sin que sus otros compromisos contractuales afecten su habilidad de cumplir con el contrato que está en proceso de selección</w:t>
      </w:r>
      <w:r w:rsidRPr="002F3FD7">
        <w:rPr>
          <w:rFonts w:ascii="Arial" w:eastAsia="Calibri" w:hAnsi="Arial" w:cs="Arial"/>
          <w:iCs/>
          <w:sz w:val="22"/>
          <w:szCs w:val="20"/>
        </w:rPr>
        <w:t>»</w:t>
      </w:r>
      <w:r w:rsidRPr="002F3FD7">
        <w:rPr>
          <w:rFonts w:ascii="Arial" w:eastAsia="Calibri" w:hAnsi="Arial" w:cs="Arial"/>
          <w:sz w:val="22"/>
          <w:szCs w:val="20"/>
        </w:rPr>
        <w:t>. Ahora, el artículo 72 de la Ley 1682 de 2013 establece que para calcular la capacidad residual de contratación pública se deben tener en cuenta los factores de experiencia, capacidad financiera, capacidad técnica y capacidad de organización, y en consecuencia faculta al Gobierno para reglamentar la materia</w:t>
      </w:r>
      <w:r w:rsidRPr="002F3FD7">
        <w:rPr>
          <w:rFonts w:ascii="Calibri" w:eastAsia="Calibri" w:hAnsi="Calibri" w:cs="Arial"/>
          <w:sz w:val="22"/>
          <w:szCs w:val="20"/>
          <w:vertAlign w:val="superscript"/>
        </w:rPr>
        <w:footnoteReference w:id="5"/>
      </w:r>
      <w:r w:rsidRPr="002F3FD7">
        <w:rPr>
          <w:rFonts w:ascii="Arial" w:eastAsia="Calibri" w:hAnsi="Arial" w:cs="Arial"/>
          <w:sz w:val="22"/>
          <w:szCs w:val="20"/>
        </w:rPr>
        <w:t xml:space="preserve">. </w:t>
      </w:r>
    </w:p>
    <w:p w14:paraId="2181D808" w14:textId="27BB188C" w:rsidR="00A13C07" w:rsidRPr="002F3FD7" w:rsidRDefault="00A13C07" w:rsidP="00A13C07">
      <w:pPr>
        <w:tabs>
          <w:tab w:val="left" w:pos="426"/>
        </w:tabs>
        <w:spacing w:before="120" w:after="120"/>
        <w:ind w:firstLine="709"/>
        <w:rPr>
          <w:rFonts w:ascii="Arial" w:eastAsia="Calibri" w:hAnsi="Arial" w:cs="Arial"/>
          <w:sz w:val="22"/>
          <w:szCs w:val="20"/>
        </w:rPr>
      </w:pPr>
      <w:r w:rsidRPr="002F3FD7">
        <w:rPr>
          <w:rFonts w:ascii="Arial" w:eastAsia="Calibri" w:hAnsi="Arial" w:cs="Arial"/>
          <w:sz w:val="22"/>
          <w:szCs w:val="20"/>
        </w:rPr>
        <w:t xml:space="preserve">Por su parte, el artículo 2.2.1.1.1.1.6.4. del Decreto 1082 de 2015 con fundamento en la facultad otorgada al Gobierno, establece que el interesado en celebrar contratos de obra pública acreditará su capacidad residual con los siguientes </w:t>
      </w:r>
      <w:r w:rsidRPr="002F3FD7">
        <w:rPr>
          <w:rFonts w:ascii="Arial" w:eastAsia="Calibri" w:hAnsi="Arial" w:cs="Arial"/>
          <w:sz w:val="22"/>
          <w:szCs w:val="20"/>
        </w:rPr>
        <w:lastRenderedPageBreak/>
        <w:t xml:space="preserve">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w:t>
      </w:r>
      <w:proofErr w:type="spellStart"/>
      <w:r w:rsidRPr="002F3FD7">
        <w:rPr>
          <w:rFonts w:ascii="Arial" w:eastAsia="Calibri" w:hAnsi="Arial" w:cs="Arial"/>
          <w:sz w:val="22"/>
          <w:szCs w:val="20"/>
        </w:rPr>
        <w:t>iii</w:t>
      </w:r>
      <w:proofErr w:type="spellEnd"/>
      <w:r w:rsidRPr="002F3FD7">
        <w:rPr>
          <w:rFonts w:ascii="Arial" w:eastAsia="Calibri" w:hAnsi="Arial" w:cs="Arial"/>
          <w:sz w:val="22"/>
          <w:szCs w:val="20"/>
        </w:rPr>
        <w:t>) el balance general auditado del año inmediatamente anterior y estado de resultados auditado del año en que haya obtenido el mayor ingreso operacional en los últimos cinco (5) años</w:t>
      </w:r>
      <w:r w:rsidRPr="002F3FD7">
        <w:rPr>
          <w:rFonts w:ascii="Calibri" w:eastAsia="Calibri" w:hAnsi="Calibri" w:cs="Arial"/>
          <w:sz w:val="22"/>
          <w:szCs w:val="20"/>
          <w:vertAlign w:val="superscript"/>
        </w:rPr>
        <w:footnoteReference w:id="6"/>
      </w:r>
      <w:r w:rsidRPr="002F3FD7">
        <w:rPr>
          <w:rFonts w:ascii="Arial" w:eastAsia="Calibri" w:hAnsi="Arial" w:cs="Arial"/>
          <w:sz w:val="22"/>
          <w:szCs w:val="20"/>
        </w:rPr>
        <w:t xml:space="preserve">. </w:t>
      </w:r>
    </w:p>
    <w:p w14:paraId="0D496009" w14:textId="77777777" w:rsidR="00A13C07" w:rsidRPr="002F3FD7" w:rsidRDefault="00A13C07" w:rsidP="00A13C07">
      <w:pPr>
        <w:tabs>
          <w:tab w:val="left" w:pos="426"/>
        </w:tabs>
        <w:spacing w:before="120" w:after="120"/>
        <w:ind w:firstLine="709"/>
        <w:rPr>
          <w:rFonts w:ascii="Arial" w:eastAsia="Calibri" w:hAnsi="Arial" w:cs="Arial"/>
          <w:sz w:val="22"/>
          <w:szCs w:val="20"/>
        </w:rPr>
      </w:pPr>
      <w:r w:rsidRPr="002F3FD7">
        <w:rPr>
          <w:rFonts w:ascii="Arial" w:eastAsia="Calibri" w:hAnsi="Arial" w:cs="Arial"/>
          <w:sz w:val="22"/>
          <w:szCs w:val="20"/>
        </w:rPr>
        <w:t xml:space="preserve">El artículo 6 de la Ley 1150 de 2007 establece que todas las personas naturales o jurídicas nacionales o extranjeras domiciliadas o con sucursal en Colombia, que aspiren a celebrar contratos con las entidades estatales, deben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 </w:t>
      </w:r>
    </w:p>
    <w:p w14:paraId="52F5E46D" w14:textId="77777777" w:rsidR="00A13C07" w:rsidRPr="002F3FD7" w:rsidRDefault="00A13C07" w:rsidP="00A13C07">
      <w:pPr>
        <w:tabs>
          <w:tab w:val="left" w:pos="426"/>
        </w:tabs>
        <w:spacing w:before="120" w:after="120"/>
        <w:ind w:firstLine="709"/>
        <w:rPr>
          <w:rFonts w:ascii="Arial" w:eastAsia="Calibri" w:hAnsi="Arial" w:cs="Arial"/>
          <w:sz w:val="22"/>
          <w:szCs w:val="20"/>
        </w:rPr>
      </w:pPr>
      <w:r w:rsidRPr="002F3FD7">
        <w:rPr>
          <w:rFonts w:ascii="Arial" w:eastAsia="Calibri" w:hAnsi="Arial" w:cs="Arial"/>
          <w:sz w:val="22"/>
          <w:szCs w:val="20"/>
        </w:rPr>
        <w:t xml:space="preserve">Conforme a lo anterior, la Ley 1150 de 2007 establece que los requisitos habilitantes de experiencia, capacidad jurídica, financiera y de organización se acreditarán conforme a lo contenido en el Registro Único de Proponentes. Respecto </w:t>
      </w:r>
      <w:r w:rsidRPr="002F3FD7">
        <w:rPr>
          <w:rFonts w:ascii="Arial" w:eastAsia="Calibri" w:hAnsi="Arial" w:cs="Arial"/>
          <w:sz w:val="22"/>
          <w:szCs w:val="20"/>
        </w:rPr>
        <w:lastRenderedPageBreak/>
        <w:t xml:space="preserve">a la acreditación de la capacidad residual, como esta no se realiza totalmente conforme al contenido del RUP, las entidades deben exigir los documentos previstos en el artículo 2.2.1.1.1.6.4 del Decreto 1082 de 2015, siempre y cuando no sea información que el proponente haya aportado, con anterioridad, para inscribirse en el RUP. </w:t>
      </w:r>
    </w:p>
    <w:p w14:paraId="3E491B6A" w14:textId="77777777" w:rsidR="00A13C07" w:rsidRPr="002F3FD7" w:rsidRDefault="00A13C07" w:rsidP="00A13C07">
      <w:pPr>
        <w:spacing w:before="120" w:after="0"/>
        <w:rPr>
          <w:rFonts w:ascii="Arial" w:eastAsia="Calibri" w:hAnsi="Arial" w:cs="Arial"/>
          <w:sz w:val="22"/>
          <w:szCs w:val="20"/>
        </w:rPr>
      </w:pPr>
      <w:r w:rsidRPr="002F3FD7">
        <w:rPr>
          <w:rFonts w:ascii="Arial" w:eastAsia="Calibri" w:hAnsi="Arial" w:cs="Arial"/>
          <w:sz w:val="22"/>
          <w:szCs w:val="20"/>
        </w:rPr>
        <w:tab/>
        <w:t xml:space="preserve">Resulta relevante para el caso reiterar lo explicado en los conceptos C-513 del 23 de septiembre de 2021 y C-668 del 20 de diciembre de 2021, en </w:t>
      </w:r>
      <w:proofErr w:type="gramStart"/>
      <w:r w:rsidRPr="002F3FD7">
        <w:rPr>
          <w:rFonts w:ascii="Arial" w:eastAsia="Calibri" w:hAnsi="Arial" w:cs="Arial"/>
          <w:sz w:val="22"/>
          <w:szCs w:val="20"/>
        </w:rPr>
        <w:t>relación  con</w:t>
      </w:r>
      <w:proofErr w:type="gramEnd"/>
      <w:r w:rsidRPr="002F3FD7">
        <w:rPr>
          <w:rFonts w:ascii="Arial" w:eastAsia="Calibri" w:hAnsi="Arial" w:cs="Arial"/>
          <w:sz w:val="22"/>
          <w:szCs w:val="20"/>
        </w:rPr>
        <w:t xml:space="preserve"> las tres causales de rechazo establecidas en el numeral 1.15 de los documentos tipo, asociadas a la capacidad residual como requisito habilitante, esto es, las de los literales E, H y BB de la segunda versión de licitación de los «Pliegos Tipo».  En la tercera versión de los documentos tipo se refiere a las causales previstas en los literales E, H y Z., consagradas en los siguientes términos:</w:t>
      </w:r>
    </w:p>
    <w:p w14:paraId="15AD87FA" w14:textId="77777777" w:rsidR="00A13C07" w:rsidRPr="002F3FD7" w:rsidRDefault="00A13C07" w:rsidP="00A13C07">
      <w:pPr>
        <w:spacing w:after="0" w:line="240" w:lineRule="auto"/>
        <w:ind w:left="709" w:right="709"/>
        <w:rPr>
          <w:rFonts w:ascii="Arial" w:eastAsia="Calibri" w:hAnsi="Arial" w:cs="Arial"/>
          <w:sz w:val="21"/>
          <w:szCs w:val="21"/>
        </w:rPr>
      </w:pPr>
    </w:p>
    <w:p w14:paraId="3D464CD3" w14:textId="77777777" w:rsidR="00A13C07" w:rsidRPr="002F3FD7" w:rsidRDefault="00A13C07" w:rsidP="00EC6E07">
      <w:pPr>
        <w:spacing w:after="0" w:line="240" w:lineRule="auto"/>
        <w:ind w:left="709" w:right="709"/>
        <w:rPr>
          <w:rFonts w:ascii="Arial" w:eastAsia="Calibri" w:hAnsi="Arial" w:cs="Arial"/>
          <w:b/>
          <w:bCs/>
          <w:sz w:val="21"/>
          <w:szCs w:val="21"/>
        </w:rPr>
      </w:pPr>
      <w:r w:rsidRPr="002F3FD7">
        <w:rPr>
          <w:rFonts w:ascii="Arial" w:eastAsia="Calibri" w:hAnsi="Arial" w:cs="Arial"/>
          <w:b/>
          <w:bCs/>
          <w:sz w:val="21"/>
          <w:szCs w:val="21"/>
        </w:rPr>
        <w:t>1.15.</w:t>
      </w:r>
      <w:r w:rsidRPr="002F3FD7">
        <w:rPr>
          <w:rFonts w:ascii="Arial" w:eastAsia="Calibri" w:hAnsi="Arial" w:cs="Arial"/>
          <w:b/>
          <w:bCs/>
          <w:sz w:val="21"/>
          <w:szCs w:val="21"/>
        </w:rPr>
        <w:tab/>
        <w:t xml:space="preserve">CAUSALES DE RECHAZO </w:t>
      </w:r>
    </w:p>
    <w:p w14:paraId="4CFE0DAC" w14:textId="77777777" w:rsidR="00A13C07" w:rsidRPr="002F3FD7" w:rsidRDefault="00A13C07" w:rsidP="00EC6E07">
      <w:pPr>
        <w:spacing w:after="0" w:line="240" w:lineRule="auto"/>
        <w:ind w:left="709" w:right="709"/>
        <w:rPr>
          <w:rFonts w:ascii="Arial" w:eastAsia="Calibri" w:hAnsi="Arial" w:cs="Arial"/>
          <w:sz w:val="21"/>
          <w:szCs w:val="21"/>
        </w:rPr>
      </w:pPr>
      <w:r w:rsidRPr="002F3FD7">
        <w:rPr>
          <w:rFonts w:ascii="Arial" w:eastAsia="Calibri" w:hAnsi="Arial" w:cs="Arial"/>
          <w:sz w:val="21"/>
          <w:szCs w:val="21"/>
        </w:rPr>
        <w:t>Son causales de rechazo de las propuestas las siguientes [Las entidades no podrán incluir causales de rechazo distintas a las señaladas en la presente sección]:</w:t>
      </w:r>
    </w:p>
    <w:p w14:paraId="495F6337" w14:textId="77777777" w:rsidR="00A13C07" w:rsidRPr="002F3FD7" w:rsidRDefault="00A13C07" w:rsidP="00EC6E07">
      <w:pPr>
        <w:spacing w:after="0" w:line="240" w:lineRule="auto"/>
        <w:ind w:left="709" w:right="709"/>
        <w:rPr>
          <w:rFonts w:ascii="Arial" w:eastAsia="Calibri" w:hAnsi="Arial" w:cs="Arial"/>
          <w:sz w:val="21"/>
          <w:szCs w:val="21"/>
        </w:rPr>
      </w:pPr>
    </w:p>
    <w:p w14:paraId="6B6E05C0" w14:textId="77777777" w:rsidR="00A13C07" w:rsidRPr="002F3FD7" w:rsidRDefault="00A13C07" w:rsidP="00AE564A">
      <w:pPr>
        <w:spacing w:after="0" w:line="240" w:lineRule="auto"/>
        <w:ind w:left="709" w:right="709"/>
        <w:rPr>
          <w:rFonts w:ascii="Arial" w:eastAsia="Calibri" w:hAnsi="Arial" w:cs="Arial"/>
          <w:sz w:val="21"/>
          <w:szCs w:val="21"/>
        </w:rPr>
      </w:pPr>
      <w:r w:rsidRPr="002F3FD7">
        <w:rPr>
          <w:rFonts w:ascii="Arial" w:eastAsia="Calibri" w:hAnsi="Arial" w:cs="Arial"/>
          <w:sz w:val="21"/>
          <w:szCs w:val="21"/>
        </w:rPr>
        <w:t>[…]</w:t>
      </w:r>
    </w:p>
    <w:p w14:paraId="76DF8F9B" w14:textId="77777777" w:rsidR="00A13C07" w:rsidRPr="002F3FD7" w:rsidRDefault="00A13C07" w:rsidP="00AE564A">
      <w:pPr>
        <w:spacing w:after="0" w:line="240" w:lineRule="auto"/>
        <w:ind w:left="709" w:right="709"/>
        <w:rPr>
          <w:rFonts w:ascii="Arial" w:eastAsia="Calibri" w:hAnsi="Arial" w:cs="Arial"/>
          <w:sz w:val="21"/>
          <w:szCs w:val="21"/>
        </w:rPr>
      </w:pPr>
      <w:r w:rsidRPr="002F3FD7">
        <w:rPr>
          <w:rFonts w:ascii="Arial" w:eastAsia="Calibri" w:hAnsi="Arial" w:cs="Arial"/>
          <w:sz w:val="21"/>
          <w:szCs w:val="21"/>
        </w:rPr>
        <w:t>E. Que el Proponente no aclare, subsane o aporte documentos necesarios para el cumplimiento de un requisito habilitante en los términos establecidos en la sección 1.6.</w:t>
      </w:r>
    </w:p>
    <w:p w14:paraId="79952D0F" w14:textId="77777777" w:rsidR="00A13C07" w:rsidRPr="002F3FD7" w:rsidRDefault="00A13C07" w:rsidP="00AE564A">
      <w:pPr>
        <w:spacing w:after="0" w:line="240" w:lineRule="auto"/>
        <w:ind w:left="709" w:right="709"/>
        <w:rPr>
          <w:rFonts w:ascii="Arial" w:eastAsia="Calibri" w:hAnsi="Arial" w:cs="Arial"/>
          <w:sz w:val="21"/>
          <w:szCs w:val="21"/>
        </w:rPr>
      </w:pPr>
      <w:r w:rsidRPr="002F3FD7">
        <w:rPr>
          <w:rFonts w:ascii="Arial" w:eastAsia="Calibri" w:hAnsi="Arial" w:cs="Arial"/>
          <w:sz w:val="21"/>
          <w:szCs w:val="21"/>
        </w:rPr>
        <w:t>[…]</w:t>
      </w:r>
    </w:p>
    <w:p w14:paraId="6AEE8D1C" w14:textId="77777777" w:rsidR="00A13C07" w:rsidRPr="002F3FD7" w:rsidRDefault="00A13C07" w:rsidP="00AE564A">
      <w:pPr>
        <w:spacing w:after="0" w:line="240" w:lineRule="auto"/>
        <w:ind w:left="709" w:right="709"/>
        <w:rPr>
          <w:rFonts w:ascii="Arial" w:eastAsia="Calibri" w:hAnsi="Arial" w:cs="Arial"/>
          <w:sz w:val="21"/>
          <w:szCs w:val="21"/>
        </w:rPr>
      </w:pPr>
      <w:r w:rsidRPr="002F3FD7">
        <w:rPr>
          <w:rFonts w:ascii="Arial" w:eastAsia="Calibri" w:hAnsi="Arial" w:cs="Arial"/>
          <w:sz w:val="21"/>
          <w:szCs w:val="21"/>
        </w:rPr>
        <w:t>H. Que el Proponente aporte información inexacta sobre la cual pueda existir una posible falsedad en los términos de la sección 1.11.</w:t>
      </w:r>
    </w:p>
    <w:p w14:paraId="5CA86454" w14:textId="77777777" w:rsidR="00A13C07" w:rsidRPr="002F3FD7" w:rsidRDefault="00A13C07" w:rsidP="00AE564A">
      <w:pPr>
        <w:spacing w:after="0" w:line="240" w:lineRule="auto"/>
        <w:ind w:left="709" w:right="709"/>
        <w:rPr>
          <w:rFonts w:ascii="Arial" w:eastAsia="Calibri" w:hAnsi="Arial" w:cs="Arial"/>
          <w:sz w:val="21"/>
          <w:szCs w:val="21"/>
        </w:rPr>
      </w:pPr>
      <w:r w:rsidRPr="002F3FD7">
        <w:rPr>
          <w:rFonts w:ascii="Arial" w:eastAsia="Calibri" w:hAnsi="Arial" w:cs="Arial"/>
          <w:sz w:val="21"/>
          <w:szCs w:val="21"/>
        </w:rPr>
        <w:t>[…]</w:t>
      </w:r>
    </w:p>
    <w:p w14:paraId="431DDFC7" w14:textId="77777777" w:rsidR="00A13C07" w:rsidRPr="002F3FD7" w:rsidRDefault="00A13C07" w:rsidP="00EC6E07">
      <w:pPr>
        <w:spacing w:after="0" w:line="240" w:lineRule="auto"/>
        <w:ind w:left="709" w:right="709"/>
        <w:rPr>
          <w:rFonts w:ascii="Arial" w:eastAsia="Calibri" w:hAnsi="Arial" w:cs="Arial"/>
          <w:sz w:val="21"/>
          <w:szCs w:val="21"/>
        </w:rPr>
      </w:pPr>
    </w:p>
    <w:p w14:paraId="6C1EB965" w14:textId="77777777" w:rsidR="00A13C07" w:rsidRPr="002F3FD7" w:rsidRDefault="00A13C07" w:rsidP="00EC6E07">
      <w:pPr>
        <w:spacing w:after="0" w:line="240" w:lineRule="auto"/>
        <w:ind w:left="709" w:right="709"/>
        <w:rPr>
          <w:rFonts w:ascii="Arial" w:eastAsia="Calibri" w:hAnsi="Arial" w:cs="Arial"/>
          <w:sz w:val="21"/>
          <w:szCs w:val="21"/>
        </w:rPr>
      </w:pPr>
      <w:r w:rsidRPr="002F3FD7">
        <w:rPr>
          <w:rFonts w:ascii="Arial" w:eastAsia="Calibri" w:hAnsi="Arial" w:cs="Arial"/>
          <w:sz w:val="21"/>
          <w:szCs w:val="21"/>
        </w:rPr>
        <w:t>Z.</w:t>
      </w:r>
      <w:r w:rsidRPr="002F3FD7">
        <w:rPr>
          <w:rFonts w:ascii="Arial" w:eastAsia="Calibri" w:hAnsi="Arial" w:cs="Arial"/>
          <w:sz w:val="21"/>
          <w:szCs w:val="21"/>
        </w:rPr>
        <w:tab/>
        <w:t>No informar todos los contratos que el proponente tenga en ejecución antes del cierre, necesarios para acreditar su capacidad residual conforme a la sección 3.10.</w:t>
      </w:r>
    </w:p>
    <w:p w14:paraId="71BB4B4E" w14:textId="77777777" w:rsidR="00A13C07" w:rsidRPr="002F3FD7" w:rsidRDefault="00A13C07" w:rsidP="00A13C07">
      <w:pPr>
        <w:spacing w:after="0" w:line="240" w:lineRule="auto"/>
        <w:ind w:left="709" w:right="709"/>
        <w:rPr>
          <w:rFonts w:ascii="Arial" w:eastAsia="Calibri" w:hAnsi="Arial" w:cs="Arial"/>
          <w:sz w:val="21"/>
          <w:szCs w:val="21"/>
        </w:rPr>
      </w:pPr>
    </w:p>
    <w:p w14:paraId="3944D3AA" w14:textId="77777777" w:rsidR="00A13C07" w:rsidRPr="002F3FD7" w:rsidRDefault="00A13C07" w:rsidP="00A13C07">
      <w:pPr>
        <w:spacing w:after="120"/>
        <w:ind w:firstLine="709"/>
        <w:rPr>
          <w:rFonts w:ascii="Arial" w:eastAsia="Calibri" w:hAnsi="Arial" w:cs="Arial"/>
          <w:sz w:val="22"/>
          <w:szCs w:val="20"/>
        </w:rPr>
      </w:pPr>
      <w:r w:rsidRPr="002F3FD7">
        <w:rPr>
          <w:rFonts w:ascii="Arial" w:eastAsia="Calibri" w:hAnsi="Arial" w:cs="Arial"/>
          <w:sz w:val="22"/>
          <w:szCs w:val="20"/>
        </w:rPr>
        <w:t>Como se consideró en los conceptos del 25 de septiembre y el 23 de diciembre de 2019 −radicados Nos. 2201913000007117 y 2201913000009538−, las causales de rechazo de ofertas consagradas en los documentos tipo son taxativas, descartándose la posibilidad de que la entidad introduzca causales, salvo que estén establecidas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207902FE" w14:textId="6E30123C" w:rsidR="00A13C07" w:rsidRPr="002F3FD7" w:rsidRDefault="00A13C07" w:rsidP="00A13C07">
      <w:pPr>
        <w:spacing w:after="120"/>
        <w:ind w:firstLine="709"/>
        <w:rPr>
          <w:rFonts w:ascii="Arial" w:eastAsia="Calibri" w:hAnsi="Arial" w:cs="Arial"/>
          <w:sz w:val="22"/>
        </w:rPr>
      </w:pPr>
      <w:r w:rsidRPr="002F3FD7">
        <w:rPr>
          <w:rFonts w:ascii="Arial" w:eastAsia="Calibri" w:hAnsi="Arial" w:cs="Arial"/>
          <w:sz w:val="22"/>
          <w:szCs w:val="20"/>
        </w:rPr>
        <w:lastRenderedPageBreak/>
        <w:t xml:space="preserve"> </w:t>
      </w:r>
      <w:r w:rsidRPr="002F3FD7">
        <w:rPr>
          <w:rFonts w:ascii="Arial" w:eastAsia="Calibri" w:hAnsi="Arial" w:cs="Arial"/>
          <w:i/>
          <w:iCs/>
          <w:sz w:val="22"/>
          <w:szCs w:val="20"/>
        </w:rPr>
        <w:t xml:space="preserve">i)  </w:t>
      </w:r>
      <w:bookmarkStart w:id="22" w:name="_Hlk100655643"/>
      <w:r w:rsidRPr="002F3FD7">
        <w:rPr>
          <w:rFonts w:ascii="Arial" w:eastAsia="Calibri" w:hAnsi="Arial" w:cs="Arial"/>
          <w:sz w:val="22"/>
          <w:szCs w:val="20"/>
        </w:rPr>
        <w:t xml:space="preserve">La causal </w:t>
      </w:r>
      <w:bookmarkStart w:id="23" w:name="_Hlk106358426"/>
      <w:r w:rsidRPr="002F3FD7">
        <w:rPr>
          <w:rFonts w:ascii="Arial" w:eastAsia="Calibri" w:hAnsi="Arial" w:cs="Arial"/>
          <w:sz w:val="22"/>
          <w:szCs w:val="20"/>
        </w:rPr>
        <w:t xml:space="preserve">del literal Z del numeral 1.15 </w:t>
      </w:r>
      <w:r w:rsidR="00574CA8" w:rsidRPr="002F3FD7">
        <w:rPr>
          <w:rFonts w:ascii="Arial" w:eastAsia="Calibri" w:hAnsi="Arial" w:cs="Arial"/>
          <w:sz w:val="22"/>
          <w:szCs w:val="20"/>
        </w:rPr>
        <w:t>– solamente</w:t>
      </w:r>
      <w:r w:rsidRPr="002F3FD7">
        <w:rPr>
          <w:rFonts w:ascii="Arial" w:eastAsia="Calibri" w:hAnsi="Arial" w:cs="Arial"/>
          <w:sz w:val="22"/>
          <w:szCs w:val="20"/>
        </w:rPr>
        <w:t xml:space="preserve"> aplica cuando el proponente no informa todos los contratos que tiene en ejecución antes del cierre. </w:t>
      </w:r>
      <w:bookmarkEnd w:id="23"/>
      <w:r w:rsidRPr="002F3FD7">
        <w:rPr>
          <w:rFonts w:ascii="Arial" w:eastAsia="Calibri" w:hAnsi="Arial" w:cs="Arial"/>
          <w:sz w:val="22"/>
          <w:szCs w:val="20"/>
        </w:rPr>
        <w:t xml:space="preserve">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w:t>
      </w:r>
      <w:r w:rsidRPr="002F3FD7">
        <w:rPr>
          <w:rFonts w:ascii="Arial" w:eastAsia="Calibri" w:hAnsi="Arial" w:cs="Arial"/>
          <w:sz w:val="22"/>
        </w:rPr>
        <w:t xml:space="preserve">configuración de la causal de rechazo del </w:t>
      </w:r>
      <w:r w:rsidRPr="002F3FD7">
        <w:rPr>
          <w:rFonts w:ascii="Arial" w:eastAsia="Calibri" w:hAnsi="Arial" w:cs="Arial"/>
          <w:sz w:val="22"/>
          <w:szCs w:val="20"/>
        </w:rPr>
        <w:t xml:space="preserve">literal Z del numeral 1.15 –versión 3 de licitación de obra pública </w:t>
      </w:r>
      <w:r w:rsidRPr="002F3FD7">
        <w:rPr>
          <w:rFonts w:ascii="Arial" w:eastAsia="Calibri" w:hAnsi="Arial" w:cs="Arial"/>
          <w:sz w:val="22"/>
        </w:rPr>
        <w:t>es objetiva, pues solo aplica ante la omisión del proponente de informar el número total de contratos en ejecución antes del cierre.</w:t>
      </w:r>
    </w:p>
    <w:bookmarkEnd w:id="22"/>
    <w:p w14:paraId="5D7482C5" w14:textId="77777777" w:rsidR="00A13C07" w:rsidRPr="002F3FD7" w:rsidRDefault="00A13C07" w:rsidP="00A13C07">
      <w:pPr>
        <w:spacing w:before="120" w:after="0"/>
        <w:ind w:firstLine="708"/>
        <w:rPr>
          <w:rFonts w:ascii="Arial" w:eastAsia="Calibri" w:hAnsi="Arial" w:cs="Arial"/>
          <w:sz w:val="22"/>
          <w:szCs w:val="20"/>
        </w:rPr>
      </w:pPr>
      <w:r w:rsidRPr="002F3FD7">
        <w:rPr>
          <w:rFonts w:ascii="Arial" w:eastAsia="Calibri" w:hAnsi="Arial" w:cs="Arial"/>
          <w:i/>
          <w:sz w:val="22"/>
          <w:szCs w:val="20"/>
        </w:rPr>
        <w:t xml:space="preserve">ii) </w:t>
      </w:r>
      <w:r w:rsidRPr="002F3FD7">
        <w:rPr>
          <w:rFonts w:ascii="Arial" w:eastAsia="Calibri" w:hAnsi="Arial" w:cs="Arial"/>
          <w:sz w:val="22"/>
          <w:szCs w:val="20"/>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9C997C1" w14:textId="77777777" w:rsidR="00A13C07" w:rsidRPr="002F3FD7" w:rsidRDefault="00A13C07" w:rsidP="00A13C07">
      <w:pPr>
        <w:spacing w:before="120" w:after="0"/>
        <w:ind w:firstLine="708"/>
        <w:rPr>
          <w:rFonts w:ascii="Arial" w:eastAsia="Calibri" w:hAnsi="Arial" w:cs="Arial"/>
          <w:sz w:val="22"/>
          <w:szCs w:val="20"/>
        </w:rPr>
      </w:pPr>
      <w:proofErr w:type="spellStart"/>
      <w:r w:rsidRPr="002F3FD7">
        <w:rPr>
          <w:rFonts w:ascii="Arial" w:eastAsia="Calibri" w:hAnsi="Arial" w:cs="Arial"/>
          <w:i/>
          <w:sz w:val="22"/>
          <w:szCs w:val="20"/>
        </w:rPr>
        <w:t>iii</w:t>
      </w:r>
      <w:proofErr w:type="spellEnd"/>
      <w:r w:rsidRPr="002F3FD7">
        <w:rPr>
          <w:rFonts w:ascii="Arial" w:eastAsia="Calibri" w:hAnsi="Arial" w:cs="Arial"/>
          <w:i/>
          <w:sz w:val="22"/>
          <w:szCs w:val="20"/>
        </w:rPr>
        <w:t xml:space="preserve">) </w:t>
      </w:r>
      <w:r w:rsidRPr="002F3FD7">
        <w:rPr>
          <w:rFonts w:ascii="Arial" w:eastAsia="Calibri" w:hAnsi="Arial" w:cs="Arial"/>
          <w:sz w:val="22"/>
          <w:szCs w:val="20"/>
        </w:rPr>
        <w:t xml:space="preserve">Lo dicho en los numerales precedentes tampoco descarta la posibilidad de que la entidad rechace la oferta si encuentra configurada la causal establecida en el literal H del numeral 1.15, que aplica </w:t>
      </w:r>
      <w:bookmarkStart w:id="24" w:name="_Hlk88663672"/>
      <w:r w:rsidRPr="002F3FD7">
        <w:rPr>
          <w:rFonts w:ascii="Arial" w:eastAsia="Calibri" w:hAnsi="Arial" w:cs="Arial"/>
          <w:sz w:val="22"/>
          <w:szCs w:val="20"/>
        </w:rPr>
        <w:t>cuando el proponente aporta información inexacta</w:t>
      </w:r>
      <w:bookmarkEnd w:id="24"/>
      <w:r w:rsidRPr="002F3FD7">
        <w:rPr>
          <w:rFonts w:ascii="Arial" w:eastAsia="Calibri" w:hAnsi="Arial" w:cs="Arial"/>
          <w:sz w:val="22"/>
          <w:szCs w:val="20"/>
        </w:rPr>
        <w:t xml:space="preserve">, de acuerdo con lo señalado en el numeral 1.11. del documento base: </w:t>
      </w:r>
    </w:p>
    <w:p w14:paraId="25CFBF4D" w14:textId="77777777" w:rsidR="00A13C07" w:rsidRPr="002F3FD7" w:rsidRDefault="00A13C07" w:rsidP="00A13C07">
      <w:pPr>
        <w:spacing w:after="0"/>
        <w:rPr>
          <w:rFonts w:ascii="Arial" w:hAnsi="Arial" w:cs="Arial"/>
          <w:sz w:val="22"/>
        </w:rPr>
      </w:pPr>
    </w:p>
    <w:p w14:paraId="2DEAADF0" w14:textId="77777777" w:rsidR="00A13C07" w:rsidRPr="002F3FD7" w:rsidRDefault="00A13C07" w:rsidP="00A13C07">
      <w:pPr>
        <w:spacing w:after="120" w:line="240" w:lineRule="auto"/>
        <w:ind w:left="709" w:right="709"/>
        <w:rPr>
          <w:rFonts w:ascii="Arial" w:hAnsi="Arial" w:cs="Arial"/>
          <w:b/>
          <w:bCs/>
          <w:sz w:val="21"/>
          <w:szCs w:val="21"/>
          <w:lang w:val="es-CO"/>
        </w:rPr>
      </w:pPr>
      <w:r w:rsidRPr="002F3FD7">
        <w:rPr>
          <w:rFonts w:ascii="Arial" w:hAnsi="Arial" w:cs="Arial"/>
          <w:b/>
          <w:bCs/>
          <w:sz w:val="21"/>
          <w:szCs w:val="21"/>
          <w:lang w:val="es-CO"/>
        </w:rPr>
        <w:t xml:space="preserve">1.11 INFORMACIÓN INEXACTA </w:t>
      </w:r>
    </w:p>
    <w:p w14:paraId="1F1F962C" w14:textId="77777777" w:rsidR="00A13C07" w:rsidRPr="002F3FD7" w:rsidRDefault="00A13C07" w:rsidP="00A13C07">
      <w:pPr>
        <w:spacing w:after="120" w:line="240" w:lineRule="auto"/>
        <w:ind w:left="709" w:right="709"/>
        <w:rPr>
          <w:rFonts w:ascii="Arial" w:hAnsi="Arial" w:cs="Arial"/>
          <w:sz w:val="21"/>
          <w:szCs w:val="21"/>
          <w:lang w:val="es-CO"/>
        </w:rPr>
      </w:pPr>
      <w:r w:rsidRPr="002F3FD7">
        <w:rPr>
          <w:rFonts w:ascii="Arial" w:hAnsi="Arial" w:cs="Arial"/>
          <w:sz w:val="21"/>
          <w:szCs w:val="21"/>
          <w:lang w:val="es-CO"/>
        </w:rPr>
        <w:t xml:space="preserve">La Entidad se reserva el derecho de verificar integralmente la información aportada por el Proponente. Para esto, puede acudir a las autoridades, personas, empresas o entidades respectivas. </w:t>
      </w:r>
    </w:p>
    <w:p w14:paraId="19D0E27D" w14:textId="77777777" w:rsidR="00A13C07" w:rsidRPr="002F3FD7" w:rsidRDefault="00A13C07" w:rsidP="00A13C07">
      <w:pPr>
        <w:spacing w:after="120" w:line="240" w:lineRule="auto"/>
        <w:ind w:left="709" w:right="709"/>
        <w:rPr>
          <w:rFonts w:ascii="Arial" w:hAnsi="Arial" w:cs="Arial"/>
          <w:sz w:val="21"/>
          <w:szCs w:val="21"/>
          <w:lang w:val="es-CO"/>
        </w:rPr>
      </w:pPr>
      <w:r w:rsidRPr="002F3FD7">
        <w:rPr>
          <w:rFonts w:ascii="Arial" w:hAnsi="Arial" w:cs="Arial"/>
          <w:sz w:val="21"/>
          <w:szCs w:val="21"/>
          <w:lang w:val="es-CO"/>
        </w:rPr>
        <w:t xml:space="preserve">Cuando exista inconsistencia entre la información suministrada por el Proponente y la efectivamente verificada por la Entidad, la información que pretende demostrar el Proponente se tendrá por no acreditada. </w:t>
      </w:r>
    </w:p>
    <w:p w14:paraId="7D8D9A57" w14:textId="77777777" w:rsidR="00A13C07" w:rsidRPr="002F3FD7" w:rsidRDefault="00A13C07" w:rsidP="00A13C07">
      <w:pPr>
        <w:spacing w:after="0" w:line="240" w:lineRule="auto"/>
        <w:ind w:left="709" w:right="709"/>
        <w:rPr>
          <w:rFonts w:ascii="Arial" w:hAnsi="Arial" w:cs="Arial"/>
          <w:sz w:val="21"/>
          <w:szCs w:val="21"/>
          <w:lang w:val="es-CO"/>
        </w:rPr>
      </w:pPr>
      <w:r w:rsidRPr="002F3FD7">
        <w:rPr>
          <w:rFonts w:ascii="Arial" w:hAnsi="Arial" w:cs="Arial"/>
          <w:sz w:val="21"/>
          <w:szCs w:val="21"/>
          <w:lang w:val="es-CO"/>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3C670001" w14:textId="77777777" w:rsidR="00A13C07" w:rsidRPr="002F3FD7" w:rsidRDefault="00A13C07" w:rsidP="00A13C07">
      <w:pPr>
        <w:spacing w:after="0"/>
        <w:rPr>
          <w:rFonts w:ascii="Arial" w:hAnsi="Arial" w:cs="Arial"/>
          <w:sz w:val="22"/>
          <w:lang w:val="es-CO"/>
        </w:rPr>
      </w:pPr>
    </w:p>
    <w:p w14:paraId="5677FEB4" w14:textId="77777777" w:rsidR="00A13C07" w:rsidRPr="002F3FD7" w:rsidRDefault="00A13C07" w:rsidP="00A13C07">
      <w:pPr>
        <w:spacing w:after="0"/>
        <w:ind w:firstLine="709"/>
        <w:rPr>
          <w:rFonts w:ascii="Arial" w:eastAsia="Calibri" w:hAnsi="Arial" w:cs="Arial"/>
          <w:sz w:val="22"/>
          <w:lang w:val="es-CO"/>
        </w:rPr>
      </w:pPr>
      <w:r w:rsidRPr="002F3FD7">
        <w:rPr>
          <w:rFonts w:ascii="Arial" w:eastAsia="Calibri" w:hAnsi="Arial" w:cs="Arial"/>
          <w:sz w:val="22"/>
          <w:lang w:val="es-CO"/>
        </w:rPr>
        <w:t xml:space="preserve">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w:t>
      </w:r>
      <w:r w:rsidRPr="002F3FD7">
        <w:rPr>
          <w:rFonts w:ascii="Arial" w:eastAsia="Calibri" w:hAnsi="Arial" w:cs="Arial"/>
          <w:sz w:val="22"/>
          <w:lang w:val="es-CO"/>
        </w:rPr>
        <w:lastRenderedPageBreak/>
        <w:t>en la presentación completa y veraz de la información que constituye su oferta, así como la lealtad y comportamiento adecuado frente a la entidad estatal y los demás proponentes durante las diferentes etapas del procedimiento de contratación»</w:t>
      </w:r>
      <w:r w:rsidRPr="002F3FD7">
        <w:rPr>
          <w:rFonts w:ascii="Arial" w:eastAsia="Calibri" w:hAnsi="Arial" w:cs="Arial"/>
          <w:sz w:val="22"/>
          <w:vertAlign w:val="superscript"/>
          <w:lang w:val="es-CO"/>
        </w:rPr>
        <w:footnoteReference w:id="7"/>
      </w:r>
      <w:r w:rsidRPr="002F3FD7">
        <w:rPr>
          <w:rFonts w:ascii="Arial" w:eastAsia="Calibri" w:hAnsi="Arial" w:cs="Arial"/>
          <w:sz w:val="22"/>
          <w:lang w:val="es-CO"/>
        </w:rPr>
        <w:t>. Conforme a ello, la prerrogativa de verificación es una herramienta para que la Administración adquiera certeza en el cumplimiento de los requisitos del procedimiento de selección y del comportamiento leal que se exige a los proponentes.</w:t>
      </w:r>
    </w:p>
    <w:p w14:paraId="54731F26" w14:textId="77777777" w:rsidR="00A13C07" w:rsidRPr="002F3FD7" w:rsidRDefault="00A13C07" w:rsidP="00A13C07">
      <w:pPr>
        <w:spacing w:before="120" w:after="0"/>
        <w:ind w:firstLine="708"/>
        <w:rPr>
          <w:rFonts w:ascii="Arial" w:eastAsia="Times New Roman" w:hAnsi="Arial" w:cs="Arial"/>
          <w:sz w:val="22"/>
          <w:lang w:eastAsia="es-CO"/>
        </w:rPr>
      </w:pPr>
      <w:r w:rsidRPr="002F3FD7">
        <w:rPr>
          <w:rFonts w:ascii="Arial" w:eastAsia="Times New Roman" w:hAnsi="Arial" w:cs="Arial"/>
          <w:sz w:val="22"/>
          <w:lang w:val="es-CO" w:eastAsia="es-CO"/>
        </w:rPr>
        <w:t>Según</w:t>
      </w:r>
      <w:r w:rsidRPr="002F3FD7">
        <w:rPr>
          <w:rFonts w:ascii="Arial" w:eastAsia="Times New Roman" w:hAnsi="Arial" w:cs="Arial"/>
          <w:sz w:val="22"/>
          <w:lang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5F7ED3E3" w14:textId="77777777" w:rsidR="00A13C07" w:rsidRPr="002F3FD7" w:rsidRDefault="00A13C07" w:rsidP="00A13C07">
      <w:pPr>
        <w:spacing w:before="120" w:after="0"/>
        <w:ind w:firstLine="709"/>
        <w:rPr>
          <w:rFonts w:ascii="Arial" w:eastAsia="Calibri" w:hAnsi="Arial" w:cs="Arial"/>
          <w:sz w:val="22"/>
          <w:lang w:val="es-CO"/>
        </w:rPr>
      </w:pPr>
      <w:r w:rsidRPr="002F3FD7">
        <w:rPr>
          <w:rFonts w:ascii="Arial" w:eastAsia="Calibri" w:hAnsi="Arial" w:cs="Arial"/>
          <w:sz w:val="22"/>
        </w:rPr>
        <w:t xml:space="preserve">La </w:t>
      </w:r>
      <w:r w:rsidRPr="002F3FD7">
        <w:rPr>
          <w:rFonts w:ascii="Arial" w:eastAsia="Calibri" w:hAnsi="Arial" w:cs="Arial"/>
          <w:sz w:val="22"/>
          <w:lang w:val="es-CO"/>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1F939890" w14:textId="77777777" w:rsidR="00A13C07" w:rsidRPr="002F3FD7" w:rsidRDefault="00A13C07" w:rsidP="00A13C07">
      <w:pPr>
        <w:spacing w:before="120" w:after="0"/>
        <w:ind w:firstLine="709"/>
        <w:rPr>
          <w:rFonts w:ascii="Arial" w:eastAsia="Calibri" w:hAnsi="Arial" w:cs="Arial"/>
          <w:sz w:val="22"/>
          <w:lang w:val="es-CO"/>
        </w:rPr>
      </w:pPr>
      <w:r w:rsidRPr="002F3FD7">
        <w:rPr>
          <w:rFonts w:ascii="Arial" w:eastAsia="Calibri" w:hAnsi="Arial" w:cs="Arial"/>
          <w:sz w:val="22"/>
          <w:lang w:val="es-CO"/>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w:t>
      </w:r>
      <w:r w:rsidRPr="002F3FD7">
        <w:rPr>
          <w:rFonts w:ascii="Arial" w:eastAsia="Calibri" w:hAnsi="Arial" w:cs="Arial"/>
          <w:sz w:val="22"/>
          <w:lang w:val="es-CO"/>
        </w:rPr>
        <w:lastRenderedPageBreak/>
        <w:t xml:space="preserve">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7C5091C5" w14:textId="77777777" w:rsidR="00A13C07" w:rsidRPr="002F3FD7" w:rsidRDefault="00A13C07" w:rsidP="00A13C07">
      <w:pPr>
        <w:spacing w:before="120" w:after="0"/>
        <w:ind w:firstLine="708"/>
        <w:rPr>
          <w:rFonts w:ascii="Arial" w:eastAsia="Calibri" w:hAnsi="Arial" w:cs="Arial"/>
          <w:sz w:val="22"/>
          <w:lang w:val="es-CO"/>
        </w:rPr>
      </w:pPr>
      <w:bookmarkStart w:id="25" w:name="_Hlk100655757"/>
      <w:r w:rsidRPr="002F3FD7">
        <w:rPr>
          <w:rFonts w:ascii="Arial" w:eastAsia="Calibri" w:hAnsi="Arial" w:cs="Arial"/>
          <w:sz w:val="22"/>
          <w:lang w:val="es-CO"/>
        </w:rPr>
        <w:t>Ahora bien, aunque las</w:t>
      </w:r>
      <w:r w:rsidRPr="002F3FD7">
        <w:rPr>
          <w:rFonts w:ascii="Arial" w:eastAsia="Calibri" w:hAnsi="Arial" w:cs="Arial"/>
          <w:sz w:val="22"/>
          <w:szCs w:val="20"/>
          <w:lang w:val="es-CO"/>
        </w:rPr>
        <w:t xml:space="preserve"> causales de rechazo del literal E, H y Z del numeral 1.15 de los documentos tipo se relacionan con la capacidad residual como requisito habilitante</w:t>
      </w:r>
      <w:r w:rsidRPr="002F3FD7">
        <w:rPr>
          <w:rFonts w:ascii="Arial" w:eastAsia="Calibri" w:hAnsi="Arial" w:cs="Arial"/>
          <w:sz w:val="22"/>
          <w:lang w:val="es-CO"/>
        </w:rPr>
        <w:t xml:space="preserve">, estas se aplican en supuestos diferentes, de acuerdo con lo explicado </w:t>
      </w:r>
      <w:r w:rsidRPr="002F3FD7">
        <w:rPr>
          <w:rFonts w:ascii="Arial" w:eastAsia="Calibri" w:hAnsi="Arial" w:cs="Arial"/>
          <w:i/>
          <w:sz w:val="22"/>
          <w:lang w:val="es-CO"/>
        </w:rPr>
        <w:t>ut supra</w:t>
      </w:r>
      <w:r w:rsidRPr="002F3FD7">
        <w:rPr>
          <w:rFonts w:ascii="Arial" w:eastAsia="Calibri" w:hAnsi="Arial" w:cs="Arial"/>
          <w:sz w:val="22"/>
          <w:lang w:val="es-CO"/>
        </w:rPr>
        <w:t>. La causal del literal H se concreta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En el ejemplo sugerido, el supuesto de hecho se presenta si el proponente, teniendo tres contratos de obra en ejecución antes del cierre, no informa la totalidad de estos.</w:t>
      </w:r>
    </w:p>
    <w:p w14:paraId="39F51B04" w14:textId="77777777" w:rsidR="00A13C07" w:rsidRPr="002F3FD7" w:rsidRDefault="00A13C07" w:rsidP="00A13C07">
      <w:pPr>
        <w:spacing w:before="120" w:after="0"/>
        <w:ind w:firstLine="708"/>
        <w:rPr>
          <w:rFonts w:ascii="Arial" w:eastAsia="Calibri" w:hAnsi="Arial" w:cs="Arial"/>
          <w:sz w:val="22"/>
          <w:lang w:val="es-CO"/>
        </w:rPr>
      </w:pPr>
      <w:bookmarkStart w:id="26" w:name="_Hlk100655703"/>
      <w:bookmarkEnd w:id="25"/>
      <w:r w:rsidRPr="002F3FD7">
        <w:rPr>
          <w:rFonts w:ascii="Arial" w:eastAsia="Calibri" w:hAnsi="Arial" w:cs="Arial"/>
          <w:sz w:val="22"/>
          <w:lang w:val="es-CO"/>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w:t>
      </w:r>
    </w:p>
    <w:bookmarkEnd w:id="26"/>
    <w:p w14:paraId="0B1A4A63" w14:textId="77777777" w:rsidR="00A13C07" w:rsidRPr="002F3FD7" w:rsidRDefault="00A13C07" w:rsidP="00A13C07">
      <w:pPr>
        <w:spacing w:before="120" w:after="120"/>
        <w:ind w:firstLine="709"/>
        <w:rPr>
          <w:rFonts w:ascii="Arial" w:eastAsia="Calibri" w:hAnsi="Arial" w:cs="Arial"/>
          <w:sz w:val="22"/>
          <w:lang w:val="es-CO"/>
        </w:rPr>
      </w:pPr>
      <w:r w:rsidRPr="002F3FD7">
        <w:rPr>
          <w:rFonts w:ascii="Arial" w:eastAsia="Calibri" w:hAnsi="Arial" w:cs="Arial"/>
          <w:noProof/>
          <w:sz w:val="22"/>
          <w:lang w:val="es-CO"/>
        </w:rPr>
        <w:t>Lo</w:t>
      </w:r>
      <w:r w:rsidRPr="002F3FD7">
        <w:rPr>
          <w:rFonts w:ascii="Arial" w:eastAsia="Calibri" w:hAnsi="Arial" w:cs="Arial"/>
          <w:sz w:val="22"/>
          <w:lang w:val="es-CO"/>
        </w:rPr>
        <w:t xml:space="preserve"> expresado en el párrafo precedente no contradice lo dispuesto en el artículo 5, parágrafo 1, de la Ley 1150 de 2007, adicionado por el artículo 5 de la Ley 1882 de 2018, norma que dispone que «</w:t>
      </w:r>
      <w:r w:rsidRPr="002F3FD7">
        <w:rPr>
          <w:rFonts w:ascii="Calibri" w:eastAsia="Calibri" w:hAnsi="Calibri" w:cs="Arial"/>
          <w:sz w:val="22"/>
          <w:lang w:val="es-CO"/>
        </w:rPr>
        <w:t xml:space="preserve">[…] </w:t>
      </w:r>
      <w:r w:rsidRPr="002F3FD7">
        <w:rPr>
          <w:rFonts w:ascii="Arial" w:eastAsia="Calibri" w:hAnsi="Arial" w:cs="Arial"/>
          <w:sz w:val="22"/>
          <w:lang w:val="es-CO"/>
        </w:rPr>
        <w:t xml:space="preserve">todos aquellos requisitos de la propuesta que no afecten la asignación de </w:t>
      </w:r>
      <w:proofErr w:type="gramStart"/>
      <w:r w:rsidRPr="002F3FD7">
        <w:rPr>
          <w:rFonts w:ascii="Arial" w:eastAsia="Calibri" w:hAnsi="Arial" w:cs="Arial"/>
          <w:sz w:val="22"/>
          <w:lang w:val="es-CO"/>
        </w:rPr>
        <w:t>puntaje,</w:t>
      </w:r>
      <w:proofErr w:type="gramEnd"/>
      <w:r w:rsidRPr="002F3FD7">
        <w:rPr>
          <w:rFonts w:ascii="Arial" w:eastAsia="Calibri" w:hAnsi="Arial" w:cs="Arial"/>
          <w:sz w:val="22"/>
          <w:lang w:val="es-CO"/>
        </w:rPr>
        <w:t xml:space="preserv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w:t>
      </w:r>
      <w:r w:rsidRPr="002F3FD7">
        <w:rPr>
          <w:rFonts w:ascii="Arial" w:eastAsia="Calibri" w:hAnsi="Arial" w:cs="Arial"/>
          <w:sz w:val="22"/>
          <w:lang w:val="es-CO"/>
        </w:rPr>
        <w:lastRenderedPageBreak/>
        <w:t xml:space="preserve">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0AA47AF4" w14:textId="07FAC279" w:rsidR="00A13C07" w:rsidRPr="002F3FD7" w:rsidRDefault="00A13C07" w:rsidP="00A13C07">
      <w:pPr>
        <w:spacing w:after="120"/>
        <w:rPr>
          <w:rFonts w:ascii="Arial" w:eastAsia="Calibri" w:hAnsi="Arial" w:cs="Arial"/>
          <w:sz w:val="22"/>
          <w:lang w:val="es-CO"/>
        </w:rPr>
      </w:pPr>
      <w:r w:rsidRPr="002F3FD7">
        <w:rPr>
          <w:rFonts w:ascii="Arial" w:eastAsia="Calibri" w:hAnsi="Arial" w:cs="Arial"/>
          <w:iCs/>
          <w:sz w:val="22"/>
          <w:szCs w:val="20"/>
        </w:rPr>
        <w:t xml:space="preserve"> </w:t>
      </w:r>
      <w:r w:rsidRPr="002F3FD7">
        <w:rPr>
          <w:rFonts w:ascii="Arial" w:eastAsia="Calibri" w:hAnsi="Arial" w:cs="Arial"/>
          <w:iCs/>
          <w:sz w:val="22"/>
          <w:szCs w:val="20"/>
        </w:rPr>
        <w:tab/>
      </w:r>
      <w:r w:rsidRPr="002F3FD7">
        <w:rPr>
          <w:rFonts w:ascii="Arial" w:eastAsia="Calibri" w:hAnsi="Arial" w:cs="Arial"/>
          <w:sz w:val="22"/>
          <w:lang w:val="es-CO"/>
        </w:rPr>
        <w:t xml:space="preserve">La causal del literal Z </w:t>
      </w:r>
      <w:r w:rsidRPr="002F3FD7">
        <w:rPr>
          <w:rFonts w:ascii="Arial" w:eastAsia="Calibri" w:hAnsi="Arial" w:cs="Arial"/>
          <w:sz w:val="22"/>
          <w:szCs w:val="20"/>
        </w:rPr>
        <w:t>de los documentos tipo –versión 3 de licitación de obra pública</w:t>
      </w:r>
      <w:r w:rsidRPr="002F3FD7">
        <w:rPr>
          <w:rFonts w:ascii="Arial" w:eastAsia="Calibri" w:hAnsi="Arial" w:cs="Arial"/>
          <w:sz w:val="22"/>
          <w:lang w:val="es-CO"/>
        </w:rPr>
        <w:t xml:space="preserve"> procede cuando el proponente no informa todos los contratos,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informado, implica aceptar que ocurrió la causal del literal Z </w:t>
      </w:r>
      <w:r w:rsidRPr="002F3FD7">
        <w:rPr>
          <w:rFonts w:ascii="Arial" w:eastAsia="Calibri" w:hAnsi="Arial" w:cs="Arial"/>
          <w:sz w:val="22"/>
          <w:szCs w:val="20"/>
        </w:rPr>
        <w:t xml:space="preserve">de los documentos tipo –versión 3 de licitación de obra pública, </w:t>
      </w:r>
      <w:r w:rsidRPr="002F3FD7">
        <w:rPr>
          <w:rFonts w:ascii="Arial" w:eastAsia="Calibri" w:hAnsi="Arial" w:cs="Arial"/>
          <w:sz w:val="22"/>
          <w:lang w:val="es-CO"/>
        </w:rPr>
        <w:t xml:space="preserve">esto es, que el proponente incumplió su obligación de reportar todos los contratos que tenía en ejecución. </w:t>
      </w:r>
    </w:p>
    <w:p w14:paraId="630DA4F3" w14:textId="77777777" w:rsidR="00A13C07" w:rsidRPr="002F3FD7" w:rsidRDefault="00A13C07" w:rsidP="00A13C07">
      <w:pPr>
        <w:spacing w:before="120" w:after="0"/>
        <w:ind w:firstLine="709"/>
        <w:rPr>
          <w:rFonts w:ascii="Arial" w:eastAsia="Calibri" w:hAnsi="Arial" w:cs="Arial"/>
          <w:sz w:val="22"/>
          <w:lang w:val="es-CO"/>
        </w:rPr>
      </w:pPr>
      <w:r w:rsidRPr="002F3FD7">
        <w:rPr>
          <w:rFonts w:ascii="Arial" w:eastAsia="Calibri" w:hAnsi="Arial" w:cs="Arial"/>
          <w:sz w:val="22"/>
          <w:lang w:val="es-CO"/>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2F3FD7">
        <w:rPr>
          <w:rFonts w:ascii="Arial" w:eastAsia="Calibri" w:hAnsi="Arial" w:cs="Arial"/>
          <w:i/>
          <w:sz w:val="22"/>
          <w:lang w:val="es-CO"/>
        </w:rPr>
        <w:t>sub examine</w:t>
      </w:r>
      <w:r w:rsidRPr="002F3FD7">
        <w:rPr>
          <w:rFonts w:ascii="Arial" w:eastAsia="Calibri" w:hAnsi="Arial" w:cs="Arial"/>
          <w:sz w:val="22"/>
          <w:lang w:val="es-CO"/>
        </w:rPr>
        <w:t xml:space="preserve"> es desincentivar todas las prácticas delictivas en los procesos de contratación estatal. </w:t>
      </w:r>
    </w:p>
    <w:p w14:paraId="1D7DF4F7" w14:textId="77777777" w:rsidR="00A13C07" w:rsidRPr="002F3FD7" w:rsidRDefault="00A13C07" w:rsidP="00A13C07">
      <w:pPr>
        <w:spacing w:before="120" w:after="0"/>
        <w:ind w:firstLine="709"/>
        <w:rPr>
          <w:rFonts w:ascii="Arial" w:eastAsia="Times New Roman" w:hAnsi="Arial" w:cs="Arial"/>
          <w:sz w:val="22"/>
          <w:szCs w:val="24"/>
          <w:lang w:val="es-CO" w:eastAsia="es-ES_tradnl"/>
        </w:rPr>
      </w:pPr>
      <w:r w:rsidRPr="002F3FD7">
        <w:rPr>
          <w:rFonts w:ascii="Arial" w:eastAsia="Times New Roman" w:hAnsi="Arial" w:cs="Arial"/>
          <w:sz w:val="22"/>
          <w:szCs w:val="24"/>
          <w:lang w:val="es-CO" w:eastAsia="es-ES_tradnl"/>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w:t>
      </w:r>
      <w:r w:rsidRPr="002F3FD7">
        <w:rPr>
          <w:rFonts w:ascii="Arial" w:hAnsi="Arial" w:cs="Arial"/>
          <w:sz w:val="22"/>
          <w:lang w:val="es-CO"/>
        </w:rPr>
        <w:t xml:space="preserve">conforme a la explicación precedente, no se trata de información inexacta que tenga la connotación de falsedad, por lo que no habría lugar a rechazo de la propuesta por esta </w:t>
      </w:r>
      <w:proofErr w:type="spellStart"/>
      <w:r w:rsidRPr="002F3FD7">
        <w:rPr>
          <w:rFonts w:ascii="Arial" w:hAnsi="Arial" w:cs="Arial"/>
          <w:sz w:val="22"/>
          <w:lang w:val="es-CO"/>
        </w:rPr>
        <w:t>causal</w:t>
      </w:r>
      <w:proofErr w:type="spellEnd"/>
      <w:r w:rsidRPr="002F3FD7">
        <w:rPr>
          <w:rFonts w:ascii="Arial" w:eastAsia="Times New Roman" w:hAnsi="Arial" w:cs="Arial"/>
          <w:sz w:val="22"/>
          <w:szCs w:val="24"/>
          <w:lang w:val="es-CO" w:eastAsia="es-ES_tradnl"/>
        </w:rPr>
        <w:t xml:space="preserve">. Por ello, simplemente </w:t>
      </w:r>
      <w:r w:rsidRPr="002F3FD7">
        <w:rPr>
          <w:rFonts w:ascii="Arial" w:hAnsi="Arial" w:cs="Arial"/>
          <w:sz w:val="22"/>
          <w:lang w:val="es-CO"/>
        </w:rPr>
        <w:t xml:space="preserve">no se tendrá en cuenta la información de los contratos que no cumplen con lo requerido en el documento base. </w:t>
      </w:r>
    </w:p>
    <w:p w14:paraId="32C4FF4F" w14:textId="77777777" w:rsidR="00313A75" w:rsidRPr="002F3FD7" w:rsidRDefault="00A13C07" w:rsidP="00313A75">
      <w:pPr>
        <w:spacing w:before="120" w:after="0"/>
        <w:ind w:firstLine="709"/>
        <w:rPr>
          <w:rFonts w:ascii="Arial" w:eastAsia="Times New Roman" w:hAnsi="Arial" w:cs="Arial"/>
          <w:sz w:val="22"/>
          <w:szCs w:val="24"/>
          <w:lang w:val="es-CO" w:eastAsia="es-ES_tradnl"/>
        </w:rPr>
      </w:pPr>
      <w:r w:rsidRPr="002F3FD7">
        <w:rPr>
          <w:rFonts w:ascii="Arial" w:eastAsia="Times New Roman" w:hAnsi="Arial" w:cs="Arial"/>
          <w:sz w:val="22"/>
          <w:szCs w:val="24"/>
          <w:lang w:val="es-CO" w:eastAsia="es-ES_tradnl"/>
        </w:rPr>
        <w:t xml:space="preserve">Sin embargo, las situaciones en la que la información inexacta conduce a una posible falsedad pueden ser múltiples y su configuración como causal de rechazo dependerá de las circunstancias particulares de cada caso. Por consiguiente, la </w:t>
      </w:r>
      <w:r w:rsidRPr="002F3FD7">
        <w:rPr>
          <w:rFonts w:ascii="Arial" w:eastAsia="Times New Roman" w:hAnsi="Arial" w:cs="Arial"/>
          <w:sz w:val="22"/>
          <w:szCs w:val="24"/>
          <w:lang w:val="es-CO" w:eastAsia="es-ES_tradnl"/>
        </w:rPr>
        <w:lastRenderedPageBreak/>
        <w:t xml:space="preserve">entidad estatal deberá analizar concretamente cada una de ellas para determinar si existe una posible falsedad, caso en el cual, </w:t>
      </w:r>
      <w:r w:rsidRPr="002F3FD7">
        <w:rPr>
          <w:rFonts w:ascii="Arial" w:hAnsi="Arial" w:cs="Arial"/>
          <w:sz w:val="22"/>
          <w:lang w:val="es-CO"/>
        </w:rPr>
        <w:t xml:space="preserve">luego de dar la oportunidad para que el proponente se manifieste, es procedente rechazar la oferta y compulsar copias a las autoridades competentes, quienes adelantarán las respectivas investigaciones. </w:t>
      </w:r>
    </w:p>
    <w:p w14:paraId="1278A256" w14:textId="5B14A477" w:rsidR="00A13C07" w:rsidRPr="002F3FD7" w:rsidRDefault="00DE07F8" w:rsidP="00313A75">
      <w:pPr>
        <w:spacing w:before="120" w:after="0"/>
        <w:ind w:firstLine="709"/>
        <w:rPr>
          <w:rFonts w:ascii="Arial" w:eastAsia="Times New Roman" w:hAnsi="Arial" w:cs="Arial"/>
          <w:sz w:val="22"/>
          <w:szCs w:val="24"/>
          <w:lang w:val="es-CO" w:eastAsia="es-ES_tradnl"/>
        </w:rPr>
      </w:pPr>
      <w:r>
        <w:rPr>
          <w:rFonts w:ascii="Arial" w:eastAsia="Times New Roman" w:hAnsi="Arial" w:cs="Arial"/>
          <w:sz w:val="22"/>
          <w:szCs w:val="24"/>
          <w:lang w:val="es-CO" w:eastAsia="es-ES_tradnl"/>
        </w:rPr>
        <w:t>Sin perjuicio de lo anterior</w:t>
      </w:r>
      <w:r w:rsidR="00313A75" w:rsidRPr="002F3FD7">
        <w:rPr>
          <w:rFonts w:ascii="Arial" w:eastAsia="Times New Roman" w:hAnsi="Arial" w:cs="Arial"/>
          <w:sz w:val="22"/>
          <w:szCs w:val="24"/>
          <w:lang w:val="es-CO" w:eastAsia="es-ES_tradnl"/>
        </w:rPr>
        <w:t>,</w:t>
      </w:r>
      <w:bookmarkStart w:id="27" w:name="_Hlk110588361"/>
      <w:r w:rsidR="004C1D9F">
        <w:rPr>
          <w:rFonts w:ascii="Arial" w:eastAsia="Times New Roman" w:hAnsi="Arial" w:cs="Arial"/>
          <w:sz w:val="22"/>
          <w:szCs w:val="24"/>
          <w:lang w:val="es-CO" w:eastAsia="es-ES_tradnl"/>
        </w:rPr>
        <w:t xml:space="preserve"> es precisó mencionar </w:t>
      </w:r>
      <w:proofErr w:type="gramStart"/>
      <w:r w:rsidR="004C1D9F">
        <w:rPr>
          <w:rFonts w:ascii="Arial" w:eastAsia="Times New Roman" w:hAnsi="Arial" w:cs="Arial"/>
          <w:sz w:val="22"/>
          <w:szCs w:val="24"/>
          <w:lang w:val="es-CO" w:eastAsia="es-ES_tradnl"/>
        </w:rPr>
        <w:t>que</w:t>
      </w:r>
      <w:r w:rsidR="00313A75" w:rsidRPr="002F3FD7">
        <w:rPr>
          <w:rFonts w:ascii="Arial" w:eastAsia="Times New Roman" w:hAnsi="Arial" w:cs="Arial"/>
          <w:sz w:val="22"/>
          <w:szCs w:val="24"/>
          <w:lang w:val="es-CO" w:eastAsia="es-ES_tradnl"/>
        </w:rPr>
        <w:t xml:space="preserve"> </w:t>
      </w:r>
      <w:r w:rsidR="006D41C3" w:rsidRPr="002F3FD7">
        <w:rPr>
          <w:rFonts w:ascii="Arial" w:eastAsia="Times New Roman" w:hAnsi="Arial" w:cs="Arial"/>
          <w:sz w:val="22"/>
          <w:szCs w:val="24"/>
          <w:lang w:val="es-CO" w:eastAsia="es-ES_tradnl"/>
        </w:rPr>
        <w:t xml:space="preserve"> en</w:t>
      </w:r>
      <w:proofErr w:type="gramEnd"/>
      <w:r w:rsidR="006D41C3" w:rsidRPr="002F3FD7">
        <w:rPr>
          <w:rFonts w:ascii="Arial" w:eastAsia="Times New Roman" w:hAnsi="Arial" w:cs="Arial"/>
          <w:sz w:val="22"/>
          <w:szCs w:val="24"/>
          <w:lang w:val="es-CO" w:eastAsia="es-ES_tradnl"/>
        </w:rPr>
        <w:t xml:space="preserve"> relación con</w:t>
      </w:r>
      <w:r w:rsidR="003637D9" w:rsidRPr="002F3FD7">
        <w:rPr>
          <w:rFonts w:ascii="Arial" w:eastAsia="Calibri" w:hAnsi="Arial" w:cs="Arial"/>
          <w:sz w:val="22"/>
          <w:lang w:val="es-CO"/>
        </w:rPr>
        <w:t xml:space="preserve"> </w:t>
      </w:r>
      <w:r w:rsidR="00A13C07" w:rsidRPr="002F3FD7">
        <w:rPr>
          <w:rFonts w:ascii="Arial" w:eastAsia="Calibri" w:hAnsi="Arial" w:cs="Arial"/>
          <w:sz w:val="22"/>
          <w:lang w:val="es-CO"/>
        </w:rPr>
        <w:t xml:space="preserve">la información contractual no incluida que pueda afectar la capacidad residual del proponente, </w:t>
      </w:r>
      <w:r w:rsidR="006B72BF" w:rsidRPr="002F3FD7">
        <w:rPr>
          <w:rFonts w:ascii="Arial" w:eastAsia="Times New Roman" w:hAnsi="Arial" w:cs="Arial"/>
          <w:sz w:val="22"/>
          <w:szCs w:val="24"/>
          <w:lang w:val="es-CO" w:eastAsia="es-ES_tradnl"/>
        </w:rPr>
        <w:t>la Agencia Nacional de Contratación Pública Colombia Compra Eficiente</w:t>
      </w:r>
      <w:r w:rsidR="006B72BF" w:rsidRPr="002F3FD7">
        <w:rPr>
          <w:rFonts w:ascii="Arial" w:eastAsia="Calibri" w:hAnsi="Arial" w:cs="Arial"/>
          <w:sz w:val="22"/>
          <w:lang w:val="es-CO"/>
        </w:rPr>
        <w:t xml:space="preserve"> </w:t>
      </w:r>
      <w:r w:rsidR="006B72BF">
        <w:rPr>
          <w:rFonts w:ascii="Arial" w:eastAsia="Calibri" w:hAnsi="Arial" w:cs="Arial"/>
          <w:sz w:val="22"/>
          <w:lang w:val="es-CO"/>
        </w:rPr>
        <w:t xml:space="preserve"> incluyó en </w:t>
      </w:r>
      <w:r w:rsidR="00A13C07" w:rsidRPr="002F3FD7">
        <w:rPr>
          <w:rFonts w:ascii="Arial" w:eastAsia="Calibri" w:hAnsi="Arial" w:cs="Arial"/>
          <w:sz w:val="22"/>
          <w:lang w:val="es-CO"/>
        </w:rPr>
        <w:t>el Documento</w:t>
      </w:r>
      <w:r w:rsidR="006B72BF">
        <w:rPr>
          <w:rFonts w:ascii="Arial" w:eastAsia="Calibri" w:hAnsi="Arial" w:cs="Arial"/>
          <w:sz w:val="22"/>
          <w:lang w:val="es-CO"/>
        </w:rPr>
        <w:t xml:space="preserve"> Base o Pliego</w:t>
      </w:r>
      <w:r w:rsidR="00A13C07" w:rsidRPr="002F3FD7">
        <w:rPr>
          <w:rFonts w:ascii="Arial" w:eastAsia="Calibri" w:hAnsi="Arial" w:cs="Arial"/>
          <w:sz w:val="22"/>
          <w:lang w:val="es-CO"/>
        </w:rPr>
        <w:t xml:space="preserve"> Tipo</w:t>
      </w:r>
      <w:r w:rsidR="006B72BF">
        <w:rPr>
          <w:rFonts w:ascii="Arial" w:eastAsia="Calibri" w:hAnsi="Arial" w:cs="Arial"/>
          <w:sz w:val="22"/>
          <w:lang w:val="es-CO"/>
        </w:rPr>
        <w:t xml:space="preserve"> </w:t>
      </w:r>
      <w:r w:rsidR="00A13C07" w:rsidRPr="002F3FD7">
        <w:rPr>
          <w:rFonts w:ascii="Arial" w:eastAsia="Calibri" w:hAnsi="Arial" w:cs="Arial"/>
          <w:sz w:val="22"/>
          <w:lang w:val="es-CO"/>
        </w:rPr>
        <w:t>de licitación para obra pública de infraestructura de transporte</w:t>
      </w:r>
      <w:r w:rsidR="006B72BF">
        <w:rPr>
          <w:rFonts w:ascii="Arial" w:eastAsia="Calibri" w:hAnsi="Arial" w:cs="Arial"/>
          <w:sz w:val="22"/>
          <w:lang w:val="es-CO"/>
        </w:rPr>
        <w:t xml:space="preserve"> – Versión 3</w:t>
      </w:r>
      <w:r w:rsidR="006973C7">
        <w:rPr>
          <w:rFonts w:ascii="Arial" w:eastAsia="Calibri" w:hAnsi="Arial" w:cs="Arial"/>
          <w:sz w:val="22"/>
          <w:lang w:val="es-CO"/>
        </w:rPr>
        <w:t>,</w:t>
      </w:r>
      <w:r w:rsidR="00A13C07" w:rsidRPr="002F3FD7">
        <w:rPr>
          <w:rFonts w:ascii="Arial" w:eastAsia="Calibri" w:hAnsi="Arial" w:cs="Arial"/>
          <w:sz w:val="22"/>
          <w:lang w:val="es-CO"/>
        </w:rPr>
        <w:t xml:space="preserve"> una regla especial en el numeral 3.10 </w:t>
      </w:r>
      <w:r w:rsidR="006973C7">
        <w:rPr>
          <w:rFonts w:ascii="Arial" w:eastAsia="Calibri" w:hAnsi="Arial" w:cs="Arial"/>
          <w:sz w:val="22"/>
          <w:lang w:val="es-CO"/>
        </w:rPr>
        <w:t>la señala lo siguiente</w:t>
      </w:r>
      <w:r w:rsidR="00A13C07" w:rsidRPr="002F3FD7">
        <w:rPr>
          <w:rFonts w:ascii="Arial" w:eastAsia="Calibri" w:hAnsi="Arial" w:cs="Arial"/>
          <w:sz w:val="22"/>
          <w:lang w:val="es-CO"/>
        </w:rPr>
        <w:t xml:space="preserve">: </w:t>
      </w:r>
    </w:p>
    <w:p w14:paraId="38F88240" w14:textId="77777777" w:rsidR="00A13C07" w:rsidRPr="002F3FD7" w:rsidRDefault="00A13C07" w:rsidP="00A13C07">
      <w:pPr>
        <w:spacing w:after="0"/>
        <w:ind w:firstLine="709"/>
        <w:rPr>
          <w:rFonts w:ascii="Arial" w:eastAsia="Calibri" w:hAnsi="Arial" w:cs="Arial"/>
          <w:sz w:val="22"/>
          <w:lang w:val="es-CO"/>
        </w:rPr>
      </w:pPr>
    </w:p>
    <w:p w14:paraId="30A9B641" w14:textId="77777777" w:rsidR="00A13C07" w:rsidRPr="002F3FD7" w:rsidRDefault="00A13C07" w:rsidP="00A13C07">
      <w:pPr>
        <w:keepNext/>
        <w:spacing w:after="0" w:line="240" w:lineRule="auto"/>
        <w:ind w:left="709" w:right="709"/>
        <w:jc w:val="left"/>
        <w:outlineLvl w:val="1"/>
        <w:rPr>
          <w:rFonts w:ascii="Arial" w:eastAsia="Times New Roman" w:hAnsi="Arial" w:cs="Arial"/>
          <w:b/>
          <w:sz w:val="21"/>
          <w:szCs w:val="21"/>
          <w:lang w:val="es-CO" w:eastAsia="es-CO"/>
        </w:rPr>
      </w:pPr>
      <w:bookmarkStart w:id="28" w:name="_Toc32096843"/>
      <w:bookmarkStart w:id="29" w:name="_Toc32144836"/>
      <w:r w:rsidRPr="002F3FD7">
        <w:rPr>
          <w:rFonts w:ascii="Arial" w:eastAsia="Times New Roman" w:hAnsi="Arial" w:cs="Arial"/>
          <w:b/>
          <w:sz w:val="21"/>
          <w:szCs w:val="21"/>
          <w:lang w:val="es-CO" w:eastAsia="es-CO"/>
        </w:rPr>
        <w:t>3.10. CAPACIDAD RESIDUAL</w:t>
      </w:r>
      <w:bookmarkEnd w:id="28"/>
      <w:bookmarkEnd w:id="29"/>
      <w:r w:rsidRPr="002F3FD7">
        <w:rPr>
          <w:rFonts w:ascii="Arial" w:eastAsia="Times New Roman" w:hAnsi="Arial" w:cs="Arial"/>
          <w:b/>
          <w:sz w:val="21"/>
          <w:szCs w:val="21"/>
          <w:lang w:val="es-CO" w:eastAsia="es-CO"/>
        </w:rPr>
        <w:t xml:space="preserve"> </w:t>
      </w:r>
    </w:p>
    <w:p w14:paraId="79C1AFC1" w14:textId="77777777" w:rsidR="00A13C07" w:rsidRPr="002F3FD7" w:rsidRDefault="00A13C07" w:rsidP="00A13C07">
      <w:pPr>
        <w:keepNext/>
        <w:spacing w:after="0" w:line="240" w:lineRule="auto"/>
        <w:ind w:left="709" w:right="709"/>
        <w:jc w:val="left"/>
        <w:outlineLvl w:val="1"/>
        <w:rPr>
          <w:rFonts w:ascii="Arial" w:eastAsia="Times New Roman" w:hAnsi="Arial" w:cs="Arial"/>
          <w:b/>
          <w:sz w:val="21"/>
          <w:szCs w:val="21"/>
          <w:lang w:val="es-CO" w:eastAsia="es-CO"/>
        </w:rPr>
      </w:pPr>
    </w:p>
    <w:p w14:paraId="16807EA5" w14:textId="77777777" w:rsidR="00A13C07" w:rsidRPr="002F3FD7" w:rsidRDefault="00A13C07" w:rsidP="00A13C07">
      <w:pPr>
        <w:widowControl w:val="0"/>
        <w:spacing w:after="0" w:line="240" w:lineRule="auto"/>
        <w:ind w:left="709" w:right="709"/>
        <w:rPr>
          <w:rFonts w:ascii="Arial" w:eastAsia="Arial" w:hAnsi="Arial" w:cs="Arial"/>
          <w:sz w:val="21"/>
          <w:szCs w:val="21"/>
          <w:lang w:val="es-CO"/>
        </w:rPr>
      </w:pPr>
      <w:r w:rsidRPr="002F3FD7">
        <w:rPr>
          <w:rFonts w:ascii="Arial" w:eastAsia="Calibri" w:hAnsi="Arial" w:cs="Arial"/>
          <w:sz w:val="21"/>
          <w:szCs w:val="21"/>
          <w:lang w:val="es-CO"/>
        </w:rPr>
        <w:t>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Proponente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será</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hábil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si</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la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capacidad</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residual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Proponente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(CRP)</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es</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mayor</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o</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igual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la</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capacidad</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residual</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de</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Proceso de Contratación</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(CRPC).</w:t>
      </w:r>
      <w:r w:rsidRPr="002F3FD7">
        <w:rPr>
          <w:rFonts w:ascii="Arial" w:eastAsia="Arial" w:hAnsi="Arial" w:cs="Arial"/>
          <w:sz w:val="21"/>
          <w:szCs w:val="21"/>
          <w:lang w:val="es-CO"/>
        </w:rPr>
        <w:t xml:space="preserve"> </w:t>
      </w:r>
      <w:r w:rsidRPr="002F3FD7">
        <w:rPr>
          <w:rFonts w:ascii="Arial" w:eastAsia="Calibri" w:hAnsi="Arial" w:cs="Arial"/>
          <w:sz w:val="21"/>
          <w:szCs w:val="21"/>
          <w:lang w:val="es-CO"/>
        </w:rPr>
        <w:t>Así:</w:t>
      </w:r>
      <w:r w:rsidRPr="002F3FD7">
        <w:rPr>
          <w:rFonts w:ascii="Arial" w:eastAsia="Arial" w:hAnsi="Arial" w:cs="Arial"/>
          <w:sz w:val="21"/>
          <w:szCs w:val="21"/>
          <w:lang w:val="es-CO"/>
        </w:rPr>
        <w:t xml:space="preserve"> </w:t>
      </w:r>
    </w:p>
    <w:p w14:paraId="5A873969" w14:textId="77777777" w:rsidR="00A13C07" w:rsidRPr="002F3FD7" w:rsidRDefault="00A13C07" w:rsidP="00A13C07">
      <w:pPr>
        <w:widowControl w:val="0"/>
        <w:spacing w:after="0" w:line="240" w:lineRule="auto"/>
        <w:ind w:left="709" w:right="709"/>
        <w:rPr>
          <w:rFonts w:ascii="Arial" w:eastAsia="Arial" w:hAnsi="Arial" w:cs="Arial"/>
          <w:sz w:val="21"/>
          <w:szCs w:val="21"/>
          <w:lang w:val="es-CO"/>
        </w:rPr>
      </w:pPr>
    </w:p>
    <w:p w14:paraId="10B25733" w14:textId="77777777" w:rsidR="00A13C07" w:rsidRPr="002F3FD7" w:rsidRDefault="00A13C07" w:rsidP="00A13C07">
      <w:pPr>
        <w:widowControl w:val="0"/>
        <w:spacing w:after="0" w:line="240" w:lineRule="auto"/>
        <w:ind w:left="709" w:right="709"/>
        <w:jc w:val="center"/>
        <w:rPr>
          <w:rFonts w:ascii="Arial" w:eastAsia="Times New Roman" w:hAnsi="Arial" w:cs="Arial"/>
          <w:sz w:val="21"/>
          <w:szCs w:val="21"/>
          <w:lang w:val="es-CO"/>
        </w:rPr>
      </w:pPr>
      <m:oMathPara>
        <m:oMath>
          <m:r>
            <w:rPr>
              <w:rFonts w:ascii="Cambria Math" w:eastAsia="Calibri" w:hAnsi="Cambria Math" w:cs="Arial"/>
              <w:sz w:val="21"/>
              <w:szCs w:val="21"/>
              <w:lang w:val="es-CO"/>
            </w:rPr>
            <m:t>CRP ≥CRPC</m:t>
          </m:r>
        </m:oMath>
      </m:oMathPara>
    </w:p>
    <w:p w14:paraId="24C80224" w14:textId="77777777" w:rsidR="00A13C07" w:rsidRPr="002F3FD7" w:rsidRDefault="00A13C07" w:rsidP="00A13C07">
      <w:pPr>
        <w:widowControl w:val="0"/>
        <w:spacing w:after="0" w:line="240" w:lineRule="auto"/>
        <w:ind w:left="709" w:right="709"/>
        <w:jc w:val="center"/>
        <w:rPr>
          <w:rFonts w:ascii="Arial" w:eastAsia="Calibri" w:hAnsi="Arial" w:cs="Arial"/>
          <w:sz w:val="21"/>
          <w:szCs w:val="21"/>
          <w:lang w:val="es-CO"/>
        </w:rPr>
      </w:pPr>
    </w:p>
    <w:p w14:paraId="2806E4EA" w14:textId="77777777" w:rsidR="00A13C07" w:rsidRPr="002F3FD7" w:rsidRDefault="00A13C07" w:rsidP="00A13C07">
      <w:pPr>
        <w:widowControl w:val="0"/>
        <w:spacing w:after="0" w:line="240" w:lineRule="auto"/>
        <w:ind w:left="709" w:right="709"/>
        <w:rPr>
          <w:rFonts w:ascii="Arial" w:eastAsia="Calibri" w:hAnsi="Arial" w:cs="Arial"/>
          <w:sz w:val="21"/>
          <w:szCs w:val="21"/>
          <w:lang w:val="es-CO"/>
        </w:rPr>
      </w:pPr>
      <w:r w:rsidRPr="002F3FD7">
        <w:rPr>
          <w:rFonts w:ascii="Arial" w:eastAsia="Calibri" w:hAnsi="Arial" w:cs="Arial"/>
          <w:sz w:val="21"/>
          <w:szCs w:val="21"/>
          <w:lang w:val="es-CO"/>
        </w:rPr>
        <w:t xml:space="preserve">Los Proponentes acreditarán la capacidad residual o K de contratación conforme se describe a continuación. </w:t>
      </w:r>
      <w:r w:rsidRPr="002F3FD7">
        <w:rPr>
          <w:rFonts w:ascii="Arial" w:eastAsia="Calibri" w:hAnsi="Arial" w:cs="Arial"/>
          <w:i/>
          <w:iCs/>
          <w:sz w:val="21"/>
          <w:szCs w:val="21"/>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2F3FD7">
        <w:rPr>
          <w:rFonts w:ascii="Arial" w:eastAsia="Calibri" w:hAnsi="Arial" w:cs="Arial"/>
          <w:sz w:val="21"/>
          <w:szCs w:val="21"/>
          <w:lang w:val="es-CO"/>
        </w:rPr>
        <w:t xml:space="preserve">. </w:t>
      </w:r>
    </w:p>
    <w:p w14:paraId="2B88A393" w14:textId="77777777" w:rsidR="00A13C07" w:rsidRPr="002F3FD7" w:rsidRDefault="00A13C07" w:rsidP="00A13C07">
      <w:pPr>
        <w:widowControl w:val="0"/>
        <w:spacing w:after="0" w:line="240" w:lineRule="auto"/>
        <w:ind w:left="709" w:right="709"/>
        <w:rPr>
          <w:rFonts w:ascii="Arial" w:eastAsia="Arial" w:hAnsi="Arial" w:cs="Arial"/>
          <w:sz w:val="21"/>
          <w:szCs w:val="21"/>
          <w:lang w:val="es-CO"/>
        </w:rPr>
      </w:pPr>
    </w:p>
    <w:p w14:paraId="33F80B94" w14:textId="77777777" w:rsidR="00A13C07" w:rsidRPr="002F3FD7" w:rsidRDefault="00A13C07" w:rsidP="00A13C07">
      <w:pPr>
        <w:widowControl w:val="0"/>
        <w:spacing w:after="0" w:line="240" w:lineRule="auto"/>
        <w:ind w:left="709" w:right="709"/>
        <w:rPr>
          <w:rFonts w:ascii="Arial" w:eastAsia="Calibri" w:hAnsi="Arial" w:cs="Arial"/>
          <w:sz w:val="21"/>
          <w:szCs w:val="21"/>
          <w:lang w:val="es-CO"/>
        </w:rPr>
      </w:pPr>
      <w:r w:rsidRPr="002F3FD7">
        <w:rPr>
          <w:rFonts w:ascii="Arial" w:eastAsia="Calibri" w:hAnsi="Arial" w:cs="Arial"/>
          <w:sz w:val="21"/>
          <w:szCs w:val="21"/>
          <w:lang w:val="es-CO"/>
        </w:rPr>
        <w:t>Lo anterior, sin perjuicio de las acciones administrativas y/o judiciales a que haya lugar, en contra de la (s) persona (s) que haya (n) suscrito las certificaciones exigidas para el cálculo de la capacidad residual.</w:t>
      </w:r>
    </w:p>
    <w:p w14:paraId="4DE10A0D" w14:textId="77777777" w:rsidR="00A13C07" w:rsidRPr="002F3FD7" w:rsidRDefault="00A13C07" w:rsidP="00A13C07">
      <w:pPr>
        <w:widowControl w:val="0"/>
        <w:spacing w:after="0" w:line="240" w:lineRule="auto"/>
        <w:ind w:left="709" w:right="709"/>
        <w:rPr>
          <w:rFonts w:ascii="Arial" w:eastAsia="Calibri" w:hAnsi="Arial" w:cs="Arial"/>
          <w:sz w:val="21"/>
          <w:szCs w:val="21"/>
          <w:lang w:val="es-CO"/>
        </w:rPr>
      </w:pPr>
    </w:p>
    <w:p w14:paraId="4D4B7408" w14:textId="77777777" w:rsidR="00A13C07" w:rsidRPr="002F3FD7" w:rsidRDefault="00A13C07" w:rsidP="00A13C07">
      <w:pPr>
        <w:widowControl w:val="0"/>
        <w:spacing w:after="0" w:line="240" w:lineRule="auto"/>
        <w:ind w:left="709" w:right="709"/>
        <w:rPr>
          <w:rFonts w:ascii="Arial" w:eastAsia="Calibri" w:hAnsi="Arial" w:cs="Arial"/>
          <w:sz w:val="21"/>
          <w:szCs w:val="21"/>
          <w:lang w:val="es-CO"/>
        </w:rPr>
      </w:pPr>
      <w:r w:rsidRPr="002F3FD7">
        <w:rPr>
          <w:rFonts w:ascii="Arial" w:eastAsia="Calibri" w:hAnsi="Arial" w:cs="Arial"/>
          <w:sz w:val="21"/>
          <w:szCs w:val="21"/>
          <w:lang w:val="es-CO"/>
        </w:rPr>
        <w:t xml:space="preserve">[…] (Énfasis fuera de texto) </w:t>
      </w:r>
    </w:p>
    <w:p w14:paraId="62AF328B" w14:textId="77777777" w:rsidR="00A13C07" w:rsidRPr="002F3FD7" w:rsidRDefault="00A13C07" w:rsidP="00A13C07">
      <w:pPr>
        <w:widowControl w:val="0"/>
        <w:spacing w:after="0" w:line="259" w:lineRule="auto"/>
        <w:ind w:right="709"/>
        <w:rPr>
          <w:rFonts w:ascii="Arial" w:eastAsia="Calibri" w:hAnsi="Arial" w:cs="Arial"/>
          <w:sz w:val="22"/>
          <w:lang w:val="es-CO"/>
        </w:rPr>
      </w:pPr>
    </w:p>
    <w:p w14:paraId="7632DDF4" w14:textId="77777777" w:rsidR="00A13C07" w:rsidRPr="002F3FD7" w:rsidRDefault="00A13C07" w:rsidP="00AE564A">
      <w:pPr>
        <w:spacing w:after="120"/>
        <w:ind w:firstLine="709"/>
        <w:rPr>
          <w:rFonts w:ascii="Arial" w:eastAsia="Calibri" w:hAnsi="Arial" w:cs="Arial"/>
          <w:sz w:val="22"/>
          <w:lang w:val="es-CO"/>
        </w:rPr>
      </w:pPr>
      <w:r w:rsidRPr="002F3FD7">
        <w:rPr>
          <w:rFonts w:ascii="Arial" w:eastAsia="Calibri" w:hAnsi="Arial" w:cs="Arial"/>
          <w:sz w:val="22"/>
          <w:lang w:val="es-CO"/>
        </w:rPr>
        <w:t xml:space="preserve">De conformidad con esta regla, </w:t>
      </w:r>
      <w:bookmarkStart w:id="30" w:name="_Hlk81551358"/>
      <w:r w:rsidRPr="002F3FD7">
        <w:rPr>
          <w:rFonts w:ascii="Arial" w:eastAsia="Calibri" w:hAnsi="Arial" w:cs="Arial"/>
          <w:sz w:val="22"/>
          <w:lang w:val="es-CO"/>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30"/>
      <w:r w:rsidRPr="002F3FD7">
        <w:rPr>
          <w:rFonts w:ascii="Arial" w:eastAsia="Calibri" w:hAnsi="Arial" w:cs="Arial"/>
          <w:sz w:val="22"/>
          <w:lang w:val="es-CO"/>
        </w:rPr>
        <w:t xml:space="preserve">Esto concuerda con la causal de rechazo </w:t>
      </w:r>
      <w:r w:rsidRPr="002F3FD7">
        <w:rPr>
          <w:rFonts w:ascii="Arial" w:eastAsia="Calibri" w:hAnsi="Arial" w:cs="Arial"/>
          <w:sz w:val="22"/>
          <w:lang w:val="es-CO"/>
        </w:rPr>
        <w:lastRenderedPageBreak/>
        <w:t>prevista en el literal «H» del numeral 1.15 del documento base, el cual autoriza el rechazo de la propuesta en el evento en «</w:t>
      </w:r>
      <w:r w:rsidRPr="002F3FD7">
        <w:rPr>
          <w:rFonts w:ascii="Arial" w:eastAsia="Arial" w:hAnsi="Arial" w:cs="Arial"/>
          <w:sz w:val="22"/>
          <w:lang w:val="es-CO" w:eastAsia="es-CO"/>
        </w:rPr>
        <w:t>Que</w:t>
      </w:r>
      <w:r w:rsidRPr="002F3FD7">
        <w:rPr>
          <w:rFonts w:ascii="Arial" w:eastAsia="Arial,Calibri" w:hAnsi="Arial" w:cs="Arial"/>
          <w:sz w:val="22"/>
          <w:lang w:val="es-CO" w:eastAsia="es-CO"/>
        </w:rPr>
        <w:t xml:space="preserve"> </w:t>
      </w:r>
      <w:r w:rsidRPr="002F3FD7">
        <w:rPr>
          <w:rFonts w:ascii="Arial" w:eastAsia="Arial" w:hAnsi="Arial" w:cs="Arial"/>
          <w:sz w:val="22"/>
          <w:lang w:val="es-CO" w:eastAsia="es-CO"/>
        </w:rPr>
        <w:t>el</w:t>
      </w:r>
      <w:r w:rsidRPr="002F3FD7">
        <w:rPr>
          <w:rFonts w:ascii="Arial" w:eastAsia="Arial,Calibri" w:hAnsi="Arial" w:cs="Arial"/>
          <w:sz w:val="22"/>
          <w:lang w:val="es-CO" w:eastAsia="es-CO"/>
        </w:rPr>
        <w:t xml:space="preserve"> </w:t>
      </w:r>
      <w:r w:rsidRPr="002F3FD7">
        <w:rPr>
          <w:rFonts w:ascii="Arial" w:eastAsia="Arial" w:hAnsi="Arial" w:cs="Arial"/>
          <w:sz w:val="22"/>
          <w:lang w:val="es-CO" w:eastAsia="es-CO"/>
        </w:rPr>
        <w:t>Proponente</w:t>
      </w:r>
      <w:r w:rsidRPr="002F3FD7">
        <w:rPr>
          <w:rFonts w:ascii="Arial" w:eastAsia="Arial,Calibri" w:hAnsi="Arial" w:cs="Arial"/>
          <w:sz w:val="22"/>
          <w:lang w:val="es-CO" w:eastAsia="es-CO"/>
        </w:rPr>
        <w:t xml:space="preserve"> </w:t>
      </w:r>
      <w:r w:rsidRPr="002F3FD7">
        <w:rPr>
          <w:rFonts w:ascii="Arial" w:eastAsia="Arial" w:hAnsi="Arial" w:cs="Arial"/>
          <w:sz w:val="22"/>
          <w:lang w:val="es-CO" w:eastAsia="es-CO"/>
        </w:rPr>
        <w:t xml:space="preserve">aporte información inexacta </w:t>
      </w:r>
      <w:r w:rsidRPr="002F3FD7">
        <w:rPr>
          <w:rFonts w:ascii="Arial" w:eastAsia="Times New Roman" w:hAnsi="Arial" w:cs="Arial"/>
          <w:sz w:val="22"/>
          <w:lang w:val="es-CO" w:eastAsia="es-CO"/>
        </w:rPr>
        <w:t>sobre la cual pueda existir una posible falsedad</w:t>
      </w:r>
      <w:r w:rsidRPr="002F3FD7" w:rsidDel="003061D1">
        <w:rPr>
          <w:rFonts w:ascii="Arial" w:eastAsia="Times New Roman" w:hAnsi="Arial" w:cs="Arial"/>
          <w:sz w:val="22"/>
          <w:lang w:val="es-CO" w:eastAsia="es-CO"/>
        </w:rPr>
        <w:t xml:space="preserve"> </w:t>
      </w:r>
      <w:r w:rsidRPr="002F3FD7">
        <w:rPr>
          <w:rFonts w:ascii="Arial" w:eastAsia="Times New Roman" w:hAnsi="Arial" w:cs="Arial"/>
          <w:sz w:val="22"/>
          <w:lang w:val="es-CO" w:eastAsia="es-CO"/>
        </w:rPr>
        <w:t>en los términos de la sección 1.11».</w:t>
      </w:r>
    </w:p>
    <w:p w14:paraId="22FF7064" w14:textId="41F65640" w:rsidR="00EF5CB5" w:rsidRDefault="00A13C07" w:rsidP="00AE564A">
      <w:pPr>
        <w:spacing w:after="120"/>
        <w:ind w:firstLine="708"/>
        <w:rPr>
          <w:rFonts w:ascii="Arial" w:eastAsia="Calibri" w:hAnsi="Arial" w:cs="Arial"/>
          <w:sz w:val="22"/>
          <w:lang w:val="es-CO"/>
        </w:rPr>
      </w:pPr>
      <w:r w:rsidRPr="002F3FD7">
        <w:rPr>
          <w:rFonts w:ascii="Arial" w:eastAsia="Calibri" w:hAnsi="Arial" w:cs="Arial"/>
          <w:sz w:val="22"/>
          <w:lang w:val="es-CO"/>
        </w:rPr>
        <w:t>Según lo expuesto, al verificarse que el proponente no incluyó información contractual que afecte su capacidad residual, la entidad no estará en posición de solicitar aclaraciones, o acudir al régimen de subsanabilidad de ofertas</w:t>
      </w:r>
      <w:r w:rsidRPr="002F3FD7">
        <w:rPr>
          <w:rFonts w:ascii="Arial" w:eastAsia="Calibri" w:hAnsi="Arial" w:cs="Arial"/>
          <w:sz w:val="22"/>
          <w:vertAlign w:val="superscript"/>
          <w:lang w:val="es-CO"/>
        </w:rPr>
        <w:footnoteReference w:id="8"/>
      </w:r>
      <w:r w:rsidRPr="002F3FD7">
        <w:rPr>
          <w:rFonts w:ascii="Arial" w:eastAsia="Calibri" w:hAnsi="Arial" w:cs="Arial"/>
          <w:sz w:val="22"/>
          <w:lang w:val="es-CO"/>
        </w:rPr>
        <w:t>. Esto en la medida que tal circunstancia constituye una causal de rechazo en los términos de los literales H y Z del numeral 1.15 del documento base</w:t>
      </w:r>
      <w:r w:rsidR="00B44213" w:rsidRPr="002F3FD7">
        <w:rPr>
          <w:rFonts w:ascii="Arial" w:eastAsia="Calibri" w:hAnsi="Arial" w:cs="Arial"/>
          <w:sz w:val="22"/>
          <w:lang w:val="es-CO"/>
        </w:rPr>
        <w:t>; y</w:t>
      </w:r>
      <w:r w:rsidR="00C42274" w:rsidRPr="002F3FD7">
        <w:rPr>
          <w:rFonts w:ascii="Arial" w:eastAsia="Calibri" w:hAnsi="Arial" w:cs="Arial"/>
          <w:sz w:val="22"/>
          <w:lang w:val="es-CO"/>
        </w:rPr>
        <w:t xml:space="preserve"> como se indicó precedentemente,</w:t>
      </w:r>
      <w:r w:rsidR="00B44213" w:rsidRPr="002F3FD7">
        <w:rPr>
          <w:rFonts w:ascii="Arial" w:eastAsia="Calibri" w:hAnsi="Arial" w:cs="Arial"/>
          <w:sz w:val="22"/>
          <w:lang w:val="es-CO"/>
        </w:rPr>
        <w:t xml:space="preserve"> en el evento en que el mismo proponente  «corrija» el error e informe la existencia de un contrato no informado, </w:t>
      </w:r>
      <w:r w:rsidR="00207CEA" w:rsidRPr="002F3FD7">
        <w:rPr>
          <w:rFonts w:ascii="Arial" w:eastAsia="Calibri" w:hAnsi="Arial" w:cs="Arial"/>
          <w:sz w:val="22"/>
          <w:lang w:val="es-CO"/>
        </w:rPr>
        <w:t>está</w:t>
      </w:r>
      <w:r w:rsidR="00C42274" w:rsidRPr="002F3FD7">
        <w:rPr>
          <w:rFonts w:ascii="Arial" w:eastAsia="Calibri" w:hAnsi="Arial" w:cs="Arial"/>
          <w:sz w:val="22"/>
          <w:lang w:val="es-CO"/>
        </w:rPr>
        <w:t xml:space="preserve"> aceptando que se configur</w:t>
      </w:r>
      <w:r w:rsidR="00043CEC" w:rsidRPr="002F3FD7">
        <w:rPr>
          <w:rFonts w:ascii="Arial" w:eastAsia="Calibri" w:hAnsi="Arial" w:cs="Arial"/>
          <w:sz w:val="22"/>
          <w:lang w:val="es-CO"/>
        </w:rPr>
        <w:t>a</w:t>
      </w:r>
      <w:r w:rsidR="00C42274" w:rsidRPr="002F3FD7">
        <w:rPr>
          <w:rFonts w:ascii="Arial" w:eastAsia="Calibri" w:hAnsi="Arial" w:cs="Arial"/>
          <w:sz w:val="22"/>
          <w:lang w:val="es-CO"/>
        </w:rPr>
        <w:t xml:space="preserve"> el supuesto de hecho de que trata </w:t>
      </w:r>
      <w:r w:rsidR="00B44213" w:rsidRPr="002F3FD7">
        <w:rPr>
          <w:rFonts w:ascii="Arial" w:eastAsia="Calibri" w:hAnsi="Arial" w:cs="Arial"/>
          <w:sz w:val="22"/>
          <w:lang w:val="es-CO"/>
        </w:rPr>
        <w:t xml:space="preserve">la causal del literal Z </w:t>
      </w:r>
      <w:r w:rsidR="00B44213" w:rsidRPr="002F3FD7">
        <w:rPr>
          <w:rFonts w:ascii="Arial" w:eastAsia="Calibri" w:hAnsi="Arial" w:cs="Arial"/>
          <w:sz w:val="22"/>
          <w:szCs w:val="20"/>
        </w:rPr>
        <w:t xml:space="preserve">de los documentos tipo –versión 3 de licitación de obra pública, </w:t>
      </w:r>
      <w:r w:rsidR="00B44213" w:rsidRPr="002F3FD7">
        <w:rPr>
          <w:rFonts w:ascii="Arial" w:eastAsia="Calibri" w:hAnsi="Arial" w:cs="Arial"/>
          <w:sz w:val="22"/>
          <w:lang w:val="es-CO"/>
        </w:rPr>
        <w:t xml:space="preserve">esto es, que el proponente </w:t>
      </w:r>
      <w:r w:rsidR="00C42274" w:rsidRPr="002F3FD7">
        <w:rPr>
          <w:rFonts w:ascii="Arial" w:eastAsia="Calibri" w:hAnsi="Arial" w:cs="Arial"/>
          <w:sz w:val="22"/>
          <w:lang w:val="es-CO"/>
        </w:rPr>
        <w:t xml:space="preserve">no cumplió con la </w:t>
      </w:r>
      <w:r w:rsidR="00B44213" w:rsidRPr="002F3FD7">
        <w:rPr>
          <w:rFonts w:ascii="Arial" w:eastAsia="Calibri" w:hAnsi="Arial" w:cs="Arial"/>
          <w:sz w:val="22"/>
          <w:lang w:val="es-CO"/>
        </w:rPr>
        <w:t xml:space="preserve"> obligación de reportar </w:t>
      </w:r>
      <w:r w:rsidR="00DA57A0" w:rsidRPr="002F3FD7">
        <w:rPr>
          <w:rFonts w:ascii="Arial" w:eastAsia="Calibri" w:hAnsi="Arial" w:cs="Arial"/>
          <w:sz w:val="22"/>
          <w:lang w:val="es-CO"/>
        </w:rPr>
        <w:t xml:space="preserve">la totalidad de los contratos que tenía en </w:t>
      </w:r>
      <w:r w:rsidR="00D7736F" w:rsidRPr="002F3FD7">
        <w:rPr>
          <w:rFonts w:ascii="Arial" w:eastAsia="Calibri" w:hAnsi="Arial" w:cs="Arial"/>
          <w:sz w:val="22"/>
          <w:lang w:val="es-CO"/>
        </w:rPr>
        <w:t>ejecución</w:t>
      </w:r>
      <w:r w:rsidR="00EF5CB5">
        <w:rPr>
          <w:rFonts w:ascii="Arial" w:eastAsia="Calibri" w:hAnsi="Arial" w:cs="Arial"/>
          <w:sz w:val="22"/>
          <w:lang w:val="es-CO"/>
        </w:rPr>
        <w:t xml:space="preserve">. </w:t>
      </w:r>
    </w:p>
    <w:p w14:paraId="5DF7078C" w14:textId="77777777" w:rsidR="00EF5CB5" w:rsidRDefault="00EF5CB5" w:rsidP="00EF5CB5">
      <w:pPr>
        <w:spacing w:after="0"/>
        <w:ind w:firstLine="708"/>
        <w:rPr>
          <w:rFonts w:ascii="Arial" w:eastAsia="Calibri" w:hAnsi="Arial" w:cs="Arial"/>
          <w:sz w:val="22"/>
          <w:lang w:val="es-CO"/>
        </w:rPr>
      </w:pPr>
      <w:r>
        <w:rPr>
          <w:rFonts w:ascii="Arial" w:eastAsia="Calibri" w:hAnsi="Arial" w:cs="Arial"/>
          <w:sz w:val="22"/>
          <w:lang w:val="es-CO"/>
        </w:rPr>
        <w:t xml:space="preserve">Por lo cual, </w:t>
      </w:r>
      <w:r w:rsidRPr="002F3FD7">
        <w:rPr>
          <w:rFonts w:ascii="Arial" w:eastAsia="Calibri" w:hAnsi="Arial" w:cs="Arial"/>
          <w:sz w:val="22"/>
          <w:lang w:val="es-CO"/>
        </w:rPr>
        <w:t>las entidades contratantes deberán analizar, caso a caso, la configuración de dichas causales, con base en los parámetros que se señalaron precedentemente</w:t>
      </w:r>
      <w:r>
        <w:rPr>
          <w:rFonts w:ascii="Arial" w:eastAsia="Calibri" w:hAnsi="Arial" w:cs="Arial"/>
          <w:sz w:val="22"/>
          <w:lang w:val="es-CO"/>
        </w:rPr>
        <w:t xml:space="preserve">, siendo entonces claro que, la información relacionado con saldos de contratos en ejecución diligenciada en el Formato 5 – Capacidad Residual de los documentos tipo referidos no podrá ser subsanada por el proponente, cuando se configuren los supuestos analizados en este conceptos. </w:t>
      </w:r>
    </w:p>
    <w:p w14:paraId="1879C338" w14:textId="4244A191" w:rsidR="00A13C07" w:rsidRPr="002F3FD7" w:rsidRDefault="00302D08" w:rsidP="00EF5CB5">
      <w:pPr>
        <w:spacing w:after="0"/>
        <w:ind w:firstLine="708"/>
        <w:rPr>
          <w:rFonts w:ascii="Arial" w:eastAsia="Calibri" w:hAnsi="Arial" w:cs="Arial"/>
          <w:sz w:val="22"/>
          <w:lang w:val="es-CO"/>
        </w:rPr>
      </w:pPr>
      <w:r w:rsidRPr="002F3FD7">
        <w:rPr>
          <w:rFonts w:ascii="Arial" w:eastAsia="Calibri" w:hAnsi="Arial" w:cs="Arial"/>
          <w:sz w:val="22"/>
          <w:lang w:val="es-CO"/>
        </w:rPr>
        <w:t xml:space="preserve"> </w:t>
      </w:r>
      <w:r w:rsidR="00923AF0" w:rsidRPr="002F3FD7">
        <w:rPr>
          <w:rFonts w:ascii="Arial" w:eastAsia="Calibri" w:hAnsi="Arial" w:cs="Arial"/>
          <w:sz w:val="22"/>
          <w:lang w:val="es-CO"/>
        </w:rPr>
        <w:t xml:space="preserve"> </w:t>
      </w:r>
    </w:p>
    <w:bookmarkEnd w:id="27"/>
    <w:p w14:paraId="3A07097A" w14:textId="314E06F0" w:rsidR="00A13C07" w:rsidRPr="002F3FD7" w:rsidRDefault="00A13C07" w:rsidP="00C57839">
      <w:pPr>
        <w:spacing w:after="120"/>
        <w:ind w:firstLine="708"/>
        <w:rPr>
          <w:rFonts w:ascii="Arial" w:eastAsia="Calibri" w:hAnsi="Arial" w:cs="Arial"/>
          <w:sz w:val="22"/>
          <w:lang w:val="es-CO"/>
        </w:rPr>
      </w:pPr>
      <w:r w:rsidRPr="002F3FD7">
        <w:rPr>
          <w:rFonts w:ascii="Arial" w:eastAsia="Calibri" w:hAnsi="Arial" w:cs="Arial"/>
          <w:sz w:val="22"/>
          <w:lang w:val="es-CO"/>
        </w:rPr>
        <w:t xml:space="preserve">Ahora bien, en relación con la aplicabilidad de la causal de rechazo del literal Z es necesario tener en cuenta la noción de </w:t>
      </w:r>
      <w:r w:rsidRPr="002F3FD7">
        <w:rPr>
          <w:rFonts w:ascii="Arial" w:eastAsia="Calibri" w:hAnsi="Arial" w:cs="Arial"/>
          <w:i/>
          <w:iCs/>
          <w:sz w:val="22"/>
          <w:lang w:val="es-CO"/>
        </w:rPr>
        <w:t>contratos en ejecución</w:t>
      </w:r>
      <w:r w:rsidRPr="002F3FD7">
        <w:rPr>
          <w:rFonts w:ascii="Arial" w:eastAsia="Calibri" w:hAnsi="Arial" w:cs="Arial"/>
          <w:sz w:val="22"/>
          <w:lang w:val="es-CO"/>
        </w:rPr>
        <w:t xml:space="preserve">, precisada en el numeral anterior del presente concepto, de conformidad con la «Guía para Determinar y Verificar la Capacidad Residual del Proponente en los Procesos de Contratación de Obra Pública» expedida por esta Agencia, reproducida en el numeral II del literal E del numeral 3.10.2 del documento base.  Según esta noción los </w:t>
      </w:r>
      <w:r w:rsidRPr="002F3FD7">
        <w:rPr>
          <w:rFonts w:ascii="Arial" w:eastAsia="Calibri" w:hAnsi="Arial" w:cs="Arial"/>
          <w:i/>
          <w:iCs/>
          <w:sz w:val="22"/>
          <w:lang w:val="es-CO"/>
        </w:rPr>
        <w:t>contratos en ejecución</w:t>
      </w:r>
      <w:r w:rsidRPr="002F3FD7">
        <w:rPr>
          <w:rFonts w:ascii="Arial" w:eastAsia="Calibri" w:hAnsi="Arial" w:cs="Arial"/>
          <w:sz w:val="22"/>
          <w:lang w:val="es-CO"/>
        </w:rPr>
        <w:t>,</w:t>
      </w:r>
      <w:r w:rsidRPr="002F3FD7">
        <w:rPr>
          <w:rFonts w:ascii="Arial" w:eastAsia="Calibri" w:hAnsi="Arial" w:cs="Arial"/>
          <w:i/>
          <w:iCs/>
          <w:sz w:val="22"/>
          <w:lang w:val="es-CO"/>
        </w:rPr>
        <w:t xml:space="preserve"> </w:t>
      </w:r>
      <w:r w:rsidRPr="002F3FD7">
        <w:rPr>
          <w:rFonts w:ascii="Arial" w:eastAsia="Calibri" w:hAnsi="Arial" w:cs="Arial"/>
          <w:sz w:val="22"/>
          <w:lang w:val="es-CO"/>
        </w:rPr>
        <w:t xml:space="preserve">para efectos de la acreditación de la capacidad residual, no son solo aquellos en los que, tras haberse perfeccionado y suscrito la respectiva acta de inicio, han iniciado la fase de ejecución, sino también todos aquellos contratos que, al momento de presentar la oferta, obliguen al proponente a ejecutar obras civiles. En ese sentido, son considerados contratos en ejecución incluso aquellos cuya ejecución no haya dado inicio, siempre que se hayan perfeccionado, </w:t>
      </w:r>
      <w:r w:rsidRPr="002F3FD7">
        <w:rPr>
          <w:rFonts w:ascii="Arial" w:eastAsia="Calibri" w:hAnsi="Arial" w:cs="Arial"/>
          <w:sz w:val="22"/>
          <w:lang w:val="es-CO"/>
        </w:rPr>
        <w:lastRenderedPageBreak/>
        <w:t>comoquiera que, el hecho de que por una u otra razón no haya iniciado su ejecución, no significa que no obliguen al proponente, por lo que las referidas definición incluyen expresamente a los contratos que no tengan acta de inicio.</w:t>
      </w:r>
    </w:p>
    <w:p w14:paraId="08F32B9A" w14:textId="4C1DC755" w:rsidR="00A13C07" w:rsidRPr="002F3FD7" w:rsidRDefault="00A13C07" w:rsidP="00E169BF">
      <w:pPr>
        <w:spacing w:after="120"/>
        <w:ind w:firstLine="708"/>
        <w:rPr>
          <w:rFonts w:ascii="Arial" w:eastAsia="Calibri" w:hAnsi="Arial" w:cs="Arial"/>
          <w:sz w:val="22"/>
          <w:lang w:val="es-CO"/>
        </w:rPr>
      </w:pPr>
      <w:r w:rsidRPr="002F3FD7">
        <w:rPr>
          <w:rFonts w:ascii="Arial" w:eastAsia="Calibri" w:hAnsi="Arial" w:cs="Arial"/>
          <w:sz w:val="22"/>
          <w:lang w:val="es-CO"/>
        </w:rPr>
        <w:t>Esta definición también se refiere de manera expresa a los contratos suspendidos, incluyéndolos dentro su ámbito de aplicación, lo que obedece a un presupuesto similar al explicado en el párrafo anterior, esto es, que el hecho de que un contrato se encuentre suspendido no significa que no obligue al proponente a ejecutar las obras civiles que se comprometió a desarrollar, ni que la ejecución no pueda reanudarse en lo sucesivo. En atención a esto, y considerando que la eventual reanudación de contratos suspendidos es una circunstancia que podría afectar la capacidad del proponente para asumir otros compromisos, la guía y el Documento Base establecen que para al calcular la capacidad residual se debe asumir que lo que falta por ejecutarse empezará a ejecutarse en la fecha de la presentación de la oferta.</w:t>
      </w:r>
    </w:p>
    <w:p w14:paraId="68BF7580" w14:textId="064F77E8" w:rsidR="00A13C07" w:rsidRPr="002F3FD7" w:rsidRDefault="00A13C07" w:rsidP="00E169BF">
      <w:pPr>
        <w:spacing w:after="120"/>
        <w:ind w:firstLine="708"/>
        <w:rPr>
          <w:rFonts w:ascii="Arial" w:eastAsia="Calibri" w:hAnsi="Arial" w:cs="Arial"/>
          <w:sz w:val="22"/>
          <w:lang w:val="es-CO"/>
        </w:rPr>
      </w:pPr>
      <w:r w:rsidRPr="002F3FD7">
        <w:rPr>
          <w:rFonts w:ascii="Arial" w:eastAsia="Calibri" w:hAnsi="Arial" w:cs="Arial"/>
          <w:sz w:val="22"/>
          <w:lang w:val="es-CO"/>
        </w:rPr>
        <w:t xml:space="preserve">Lo anterior resulta relevante para la aplicación de la referida causal de rechazo del literal Z del numeral 1.15, comoquiera que cuando esta habla de los contratos que el proponente tenga en ejecución necesarios para acreditar su capacidad residual, tales contratos deben ser entendidos conforme al alcance precisado de </w:t>
      </w:r>
      <w:r w:rsidRPr="002F3FD7">
        <w:rPr>
          <w:rFonts w:ascii="Arial" w:eastAsia="Calibri" w:hAnsi="Arial" w:cs="Arial"/>
          <w:i/>
          <w:iCs/>
          <w:sz w:val="22"/>
          <w:lang w:val="es-CO"/>
        </w:rPr>
        <w:t>contratos en ejecución</w:t>
      </w:r>
      <w:r w:rsidRPr="002F3FD7">
        <w:rPr>
          <w:rFonts w:ascii="Arial" w:eastAsia="Calibri" w:hAnsi="Arial" w:cs="Arial"/>
          <w:sz w:val="22"/>
          <w:lang w:val="es-CO"/>
        </w:rPr>
        <w:t xml:space="preserve">. Esto significa la causal aplica a aquellos casos en los que los oferentes no informen contratos que, al momento de presentar la oferta, los obliguen a la ejecución de obras civiles, ya sea con entidades públicas </w:t>
      </w:r>
      <w:r w:rsidR="000576A6">
        <w:rPr>
          <w:rFonts w:ascii="Arial" w:eastAsia="Calibri" w:hAnsi="Arial" w:cs="Arial"/>
          <w:sz w:val="22"/>
          <w:lang w:val="es-CO"/>
        </w:rPr>
        <w:t>o</w:t>
      </w:r>
      <w:r w:rsidRPr="002F3FD7">
        <w:rPr>
          <w:rFonts w:ascii="Arial" w:eastAsia="Calibri" w:hAnsi="Arial" w:cs="Arial"/>
          <w:sz w:val="22"/>
          <w:lang w:val="es-CO"/>
        </w:rPr>
        <w:t xml:space="preserve"> privados, incluso si estos no tienen acta de inicio o se encuentren suspendidos. </w:t>
      </w:r>
    </w:p>
    <w:p w14:paraId="1C52813E" w14:textId="0B3D90DB" w:rsidR="00A13C07" w:rsidRPr="002F3FD7" w:rsidRDefault="00A13C07" w:rsidP="00BC1A6C">
      <w:pPr>
        <w:spacing w:after="120"/>
        <w:ind w:firstLine="709"/>
        <w:rPr>
          <w:rFonts w:ascii="Arial" w:eastAsia="Calibri" w:hAnsi="Arial" w:cs="Arial"/>
          <w:sz w:val="22"/>
          <w:lang w:val="es-CO"/>
        </w:rPr>
      </w:pPr>
      <w:r w:rsidRPr="002F3FD7">
        <w:rPr>
          <w:rFonts w:ascii="Arial" w:eastAsia="Calibri" w:hAnsi="Arial" w:cs="Arial"/>
          <w:sz w:val="22"/>
          <w:lang w:val="es-CO"/>
        </w:rPr>
        <w:t>Por el contrario, de acuerdo con lo explicado, la causal en comento no sería aplicable a eventos en los que, a pesar de haberse adjudicado el contrato, comoquiera que, en tal circunstancia, a luz del inciso primero del artículo 41 de la Ley 80 de 1993, no se habría perfeccionado aun un contrato que obligue al proponente a la ejecución de obras civiles, toda vez que, para que ello suceda, además de la adjudicación se requiere que el acuerdo entre ambas partes se eleve a escrito</w:t>
      </w:r>
      <w:r w:rsidRPr="002F3FD7">
        <w:rPr>
          <w:rFonts w:ascii="Arial" w:eastAsia="Calibri" w:hAnsi="Arial" w:cs="Arial"/>
          <w:sz w:val="22"/>
          <w:vertAlign w:val="superscript"/>
          <w:lang w:val="es-CO"/>
        </w:rPr>
        <w:footnoteReference w:id="9"/>
      </w:r>
      <w:r w:rsidRPr="002F3FD7">
        <w:rPr>
          <w:rFonts w:ascii="Arial" w:eastAsia="Calibri" w:hAnsi="Arial" w:cs="Arial"/>
          <w:sz w:val="22"/>
          <w:lang w:val="es-CO"/>
        </w:rPr>
        <w:t xml:space="preserve">. En </w:t>
      </w:r>
      <w:r w:rsidRPr="002F3FD7">
        <w:rPr>
          <w:rFonts w:ascii="Arial" w:eastAsia="Calibri" w:hAnsi="Arial" w:cs="Arial"/>
          <w:sz w:val="22"/>
          <w:lang w:val="es-CO"/>
        </w:rPr>
        <w:lastRenderedPageBreak/>
        <w:t xml:space="preserve">ese sentido, de acuerdo con el inciso segundo de dicha norma, dado que la adjudicación del contrato no obliga la ejecución del objeto propiamente dicho, sino a la suscripción del contrato y a mantener las condiciones de la oferta, no podría afirmarse que este se trate de un contrato en ejecución relevante para el </w:t>
      </w:r>
      <w:r w:rsidR="002A663D" w:rsidRPr="002F3FD7">
        <w:rPr>
          <w:rFonts w:ascii="Arial" w:eastAsia="Calibri" w:hAnsi="Arial" w:cs="Arial"/>
          <w:sz w:val="22"/>
          <w:lang w:val="es-CO"/>
        </w:rPr>
        <w:t>cálculo</w:t>
      </w:r>
      <w:r w:rsidRPr="002F3FD7">
        <w:rPr>
          <w:rFonts w:ascii="Arial" w:eastAsia="Calibri" w:hAnsi="Arial" w:cs="Arial"/>
          <w:sz w:val="22"/>
          <w:lang w:val="es-CO"/>
        </w:rPr>
        <w:t xml:space="preserve"> de la capacidad residual, por lo que omitir un contrato no es un evento que configure la referida causal de rechazo. </w:t>
      </w:r>
    </w:p>
    <w:p w14:paraId="1BF312F7" w14:textId="2067C644" w:rsidR="00A13C07" w:rsidRPr="002F3FD7" w:rsidRDefault="00A13C07" w:rsidP="002B76BD">
      <w:pPr>
        <w:spacing w:after="120"/>
        <w:ind w:firstLine="709"/>
        <w:rPr>
          <w:rFonts w:ascii="Arial" w:eastAsia="Times New Roman" w:hAnsi="Arial" w:cs="Arial"/>
          <w:color w:val="000000" w:themeColor="text1"/>
          <w:sz w:val="21"/>
          <w:szCs w:val="21"/>
          <w:lang w:val="es-ES_tradnl" w:eastAsia="es-ES_tradnl"/>
        </w:rPr>
      </w:pPr>
      <w:r w:rsidRPr="002F3FD7">
        <w:rPr>
          <w:rFonts w:ascii="Arial" w:eastAsia="Calibri" w:hAnsi="Arial" w:cs="Arial"/>
          <w:sz w:val="22"/>
          <w:lang w:val="es-CO"/>
        </w:rPr>
        <w:t xml:space="preserve">Conclusión distinta merece el supuesto relativo la omisión de contratos que, a pesar de haber sido suscritos, no han sido aprobadas sus respectivas garantías de cumplimiento, al que si le aplicar la causal. Esto comoquiera que, al tenor de lo dispuesto en el segundo inciso del artículo 41 de la Ley 80 de 1993, tales garantías son un requisito para la ejecución del contrato, más no para su perfeccionamiento. En atención a esto, partiendo de la base de que para someter a aprobación una garantía única de cumplimiento debe antes haberse suscrito el contrato escrito, es posible afirmar que en este caso si hay un contrato perfeccionado, el cual no cuenta con acta de inicio, lo que lo ubica dentro de la noción de </w:t>
      </w:r>
      <w:r w:rsidRPr="002F3FD7">
        <w:rPr>
          <w:rFonts w:ascii="Arial" w:eastAsia="Calibri" w:hAnsi="Arial" w:cs="Arial"/>
          <w:i/>
          <w:iCs/>
          <w:sz w:val="22"/>
          <w:lang w:val="es-CO"/>
        </w:rPr>
        <w:t xml:space="preserve">contratos en ejecución, </w:t>
      </w:r>
      <w:r w:rsidRPr="002F3FD7">
        <w:rPr>
          <w:rFonts w:ascii="Arial" w:eastAsia="Calibri" w:hAnsi="Arial" w:cs="Arial"/>
          <w:sz w:val="22"/>
          <w:lang w:val="es-CO"/>
        </w:rPr>
        <w:t>cuya omisión al momento de presentar la oferta es sancionada con el rechazo de la oferta, según la causal del literal Z del numeral 1.15 del documento base de licitación de obra pública de infraestructura de transporte –versión 3– .</w:t>
      </w:r>
    </w:p>
    <w:p w14:paraId="123146D1" w14:textId="50870158" w:rsidR="00A13C07" w:rsidRPr="002F3FD7" w:rsidRDefault="00A13C07" w:rsidP="001245D8">
      <w:pPr>
        <w:spacing w:after="120"/>
        <w:ind w:firstLine="709"/>
        <w:rPr>
          <w:rFonts w:ascii="Arial" w:eastAsia="Times New Roman" w:hAnsi="Arial" w:cs="Arial"/>
          <w:color w:val="000000" w:themeColor="text1"/>
          <w:sz w:val="21"/>
          <w:szCs w:val="21"/>
          <w:lang w:val="es-ES_tradnl" w:eastAsia="es-ES_tradnl"/>
        </w:rPr>
      </w:pPr>
      <w:r w:rsidRPr="002F3FD7">
        <w:rPr>
          <w:rFonts w:ascii="Arial" w:eastAsia="Times New Roman" w:hAnsi="Arial" w:cs="Arial"/>
          <w:color w:val="000000" w:themeColor="text1"/>
          <w:sz w:val="21"/>
          <w:szCs w:val="21"/>
          <w:lang w:val="es-ES_tradnl" w:eastAsia="es-ES_tradnl"/>
        </w:rPr>
        <w:t xml:space="preserve">En conclusión, la causal del literal Z es aplicable a aquellos eventos en los que se omite informar a la entidad los </w:t>
      </w:r>
      <w:r w:rsidRPr="002F3FD7">
        <w:rPr>
          <w:rFonts w:ascii="Arial" w:eastAsia="Times New Roman" w:hAnsi="Arial" w:cs="Arial"/>
          <w:i/>
          <w:iCs/>
          <w:color w:val="000000" w:themeColor="text1"/>
          <w:sz w:val="21"/>
          <w:szCs w:val="21"/>
          <w:lang w:val="es-ES_tradnl" w:eastAsia="es-ES_tradnl"/>
        </w:rPr>
        <w:t xml:space="preserve">contratos en ejecución </w:t>
      </w:r>
      <w:r w:rsidRPr="002F3FD7">
        <w:rPr>
          <w:rFonts w:ascii="Arial" w:eastAsia="Times New Roman" w:hAnsi="Arial" w:cs="Arial"/>
          <w:color w:val="000000" w:themeColor="text1"/>
          <w:sz w:val="21"/>
          <w:szCs w:val="21"/>
          <w:lang w:val="es-ES_tradnl" w:eastAsia="es-ES_tradnl"/>
        </w:rPr>
        <w:t xml:space="preserve">al momento de presentar la oferta, cuya acreditación es necesaria para acreditar la capacidad residual del proponente. Para estos efectos es relevante la noción de </w:t>
      </w:r>
      <w:r w:rsidRPr="002F3FD7">
        <w:rPr>
          <w:rFonts w:ascii="Arial" w:eastAsia="Times New Roman" w:hAnsi="Arial" w:cs="Arial"/>
          <w:i/>
          <w:iCs/>
          <w:color w:val="000000" w:themeColor="text1"/>
          <w:sz w:val="21"/>
          <w:szCs w:val="21"/>
          <w:lang w:val="es-ES_tradnl" w:eastAsia="es-ES_tradnl"/>
        </w:rPr>
        <w:t>contratos en ejecución</w:t>
      </w:r>
      <w:r w:rsidRPr="002F3FD7">
        <w:rPr>
          <w:rFonts w:ascii="Arial" w:eastAsia="Times New Roman" w:hAnsi="Arial" w:cs="Arial"/>
          <w:color w:val="000000" w:themeColor="text1"/>
          <w:sz w:val="21"/>
          <w:szCs w:val="21"/>
          <w:lang w:val="es-ES_tradnl" w:eastAsia="es-ES_tradnl"/>
        </w:rPr>
        <w:t xml:space="preserve"> establecida la «Guía para Determinar y Verificar la Capacidad Residual del Proponente en los Procesos de Contratación de Obra Pública», reproducida en el numeral 3.10.2 del documento base de licitación de obra pública de infraestructura de transporte, que, según lo aquí explicado, aplica a todos aquellos contratos perfeccionados que obliguen al proponente a la ejecución de obras civiles, incluso si se encuentran suspendidos, no tienen acta de inicio o, habiendo sido ya suscritos, no han sido aprobadas sus garantías de cumplimiento. </w:t>
      </w:r>
    </w:p>
    <w:p w14:paraId="46F0721B" w14:textId="6DBA87A6" w:rsidR="0058472B" w:rsidRDefault="00A13C07" w:rsidP="00A13C07">
      <w:pPr>
        <w:spacing w:after="0"/>
        <w:rPr>
          <w:rFonts w:ascii="Arial" w:eastAsia="Times New Roman" w:hAnsi="Arial" w:cs="Arial"/>
          <w:iCs/>
          <w:color w:val="000000" w:themeColor="text1"/>
          <w:sz w:val="22"/>
          <w:szCs w:val="24"/>
          <w:lang w:val="es-ES_tradnl" w:eastAsia="es-ES_tradnl"/>
        </w:rPr>
      </w:pPr>
      <w:r w:rsidRPr="002F3FD7">
        <w:rPr>
          <w:rFonts w:ascii="Arial" w:eastAsia="Times New Roman" w:hAnsi="Arial" w:cs="Arial"/>
          <w:iCs/>
          <w:color w:val="000000" w:themeColor="text1"/>
          <w:sz w:val="22"/>
          <w:szCs w:val="24"/>
          <w:lang w:val="es-ES_tradnl" w:eastAsia="es-ES_tradnl"/>
        </w:rPr>
        <w:tab/>
        <w:t>Por último, es menester mencionar que, en virtud la causal del literal Z solo es aplicable a</w:t>
      </w:r>
      <w:r w:rsidR="00D3638A" w:rsidRPr="002F3FD7">
        <w:rPr>
          <w:rFonts w:ascii="Arial" w:eastAsia="Times New Roman" w:hAnsi="Arial" w:cs="Arial"/>
          <w:iCs/>
          <w:color w:val="000000" w:themeColor="text1"/>
          <w:sz w:val="22"/>
          <w:szCs w:val="24"/>
          <w:lang w:val="es-ES_tradnl" w:eastAsia="es-ES_tradnl"/>
        </w:rPr>
        <w:t>l</w:t>
      </w:r>
      <w:r w:rsidRPr="002F3FD7">
        <w:rPr>
          <w:rFonts w:ascii="Arial" w:eastAsia="Times New Roman" w:hAnsi="Arial" w:cs="Arial"/>
          <w:iCs/>
          <w:color w:val="000000" w:themeColor="text1"/>
          <w:sz w:val="22"/>
          <w:szCs w:val="24"/>
          <w:lang w:val="es-ES_tradnl" w:eastAsia="es-ES_tradnl"/>
        </w:rPr>
        <w:t xml:space="preserve"> evento en los que se omite informar </w:t>
      </w:r>
      <w:r w:rsidRPr="002F3FD7">
        <w:rPr>
          <w:rFonts w:ascii="Arial" w:eastAsia="Times New Roman" w:hAnsi="Arial" w:cs="Arial"/>
          <w:i/>
          <w:color w:val="000000" w:themeColor="text1"/>
          <w:sz w:val="22"/>
          <w:szCs w:val="24"/>
          <w:lang w:val="es-ES_tradnl" w:eastAsia="es-ES_tradnl"/>
        </w:rPr>
        <w:t xml:space="preserve">contratos en ejecución, </w:t>
      </w:r>
      <w:r w:rsidRPr="002F3FD7">
        <w:rPr>
          <w:rFonts w:ascii="Arial" w:eastAsia="Times New Roman" w:hAnsi="Arial" w:cs="Arial"/>
          <w:iCs/>
          <w:color w:val="000000" w:themeColor="text1"/>
          <w:sz w:val="22"/>
          <w:szCs w:val="24"/>
          <w:lang w:val="es-ES_tradnl" w:eastAsia="es-ES_tradnl"/>
        </w:rPr>
        <w:t xml:space="preserve">de acuerdo con lo aquí explicado. Esto sin perjuicio de que, en eventos en la acreditación de la capacidad residual el proponente incurre en supuestos de hechos penalizados </w:t>
      </w:r>
      <w:r w:rsidRPr="002F3FD7">
        <w:rPr>
          <w:rFonts w:ascii="Arial" w:eastAsia="Times New Roman" w:hAnsi="Arial" w:cs="Arial"/>
          <w:iCs/>
          <w:color w:val="000000" w:themeColor="text1"/>
          <w:sz w:val="22"/>
          <w:szCs w:val="24"/>
          <w:lang w:val="es-ES_tradnl" w:eastAsia="es-ES_tradnl"/>
        </w:rPr>
        <w:lastRenderedPageBreak/>
        <w:t>con rechazo por otras causales, como, por ejemplo, cuando se informen todos los contratos correspondientes, pero se acredite información inexacta sobre la que pueda existir falsedad, situación en la que podría tener aplicación la causal del literal H.</w:t>
      </w:r>
    </w:p>
    <w:p w14:paraId="0384BA85" w14:textId="77777777" w:rsidR="00B0312C" w:rsidRPr="002F3FD7" w:rsidRDefault="00B0312C" w:rsidP="00C529C9">
      <w:pPr>
        <w:spacing w:after="0"/>
        <w:rPr>
          <w:rFonts w:ascii="Arial" w:eastAsia="Calibri" w:hAnsi="Arial" w:cs="Arial"/>
          <w:sz w:val="22"/>
        </w:rPr>
      </w:pPr>
    </w:p>
    <w:p w14:paraId="52ACB68C" w14:textId="65210C65" w:rsidR="001C1A26" w:rsidRPr="002F3FD7" w:rsidRDefault="00231E50" w:rsidP="00F176B9">
      <w:pPr>
        <w:spacing w:after="0"/>
        <w:rPr>
          <w:rFonts w:ascii="Arial" w:eastAsia="Calibri" w:hAnsi="Arial" w:cs="Arial"/>
          <w:b/>
          <w:sz w:val="22"/>
          <w:lang w:val="es-CO"/>
        </w:rPr>
      </w:pPr>
      <w:r w:rsidRPr="002F3FD7">
        <w:rPr>
          <w:rFonts w:ascii="Arial" w:eastAsia="Calibri" w:hAnsi="Arial" w:cs="Arial"/>
          <w:b/>
          <w:sz w:val="22"/>
          <w:lang w:val="es-CO"/>
        </w:rPr>
        <w:t>3</w:t>
      </w:r>
      <w:r w:rsidR="00CF2AA3" w:rsidRPr="002F3FD7">
        <w:rPr>
          <w:rFonts w:ascii="Arial" w:eastAsia="Calibri" w:hAnsi="Arial" w:cs="Arial"/>
          <w:b/>
          <w:sz w:val="22"/>
          <w:lang w:val="es-CO"/>
        </w:rPr>
        <w:t>. Respuest</w:t>
      </w:r>
      <w:r w:rsidR="001C1A26" w:rsidRPr="002F3FD7">
        <w:rPr>
          <w:rFonts w:ascii="Arial" w:eastAsia="Calibri" w:hAnsi="Arial" w:cs="Arial"/>
          <w:b/>
          <w:sz w:val="22"/>
          <w:lang w:val="es-CO"/>
        </w:rPr>
        <w:t>a</w:t>
      </w:r>
    </w:p>
    <w:p w14:paraId="79A8F50A" w14:textId="77777777" w:rsidR="00264924" w:rsidRPr="002F3FD7" w:rsidRDefault="00264924" w:rsidP="00F176B9">
      <w:pPr>
        <w:spacing w:after="0" w:line="240" w:lineRule="auto"/>
        <w:rPr>
          <w:rFonts w:ascii="Arial" w:eastAsia="Calibri" w:hAnsi="Arial" w:cs="Arial"/>
          <w:bCs/>
          <w:sz w:val="22"/>
          <w:lang w:val="es-CO"/>
        </w:rPr>
      </w:pPr>
    </w:p>
    <w:p w14:paraId="288A1D3F" w14:textId="2189CBD1" w:rsidR="00CC2FD5" w:rsidRPr="002F3FD7" w:rsidRDefault="00CC2FD5" w:rsidP="00CC2FD5">
      <w:pPr>
        <w:autoSpaceDE w:val="0"/>
        <w:autoSpaceDN w:val="0"/>
        <w:adjustRightInd w:val="0"/>
        <w:spacing w:after="0" w:line="240" w:lineRule="auto"/>
        <w:ind w:left="709" w:right="709"/>
        <w:rPr>
          <w:rFonts w:ascii="Arial" w:hAnsi="Arial" w:cs="Arial"/>
          <w:sz w:val="21"/>
          <w:szCs w:val="21"/>
          <w:shd w:val="clear" w:color="auto" w:fill="FFFFFF"/>
        </w:rPr>
      </w:pPr>
      <w:bookmarkStart w:id="31" w:name="_Hlk101816210"/>
      <w:bookmarkStart w:id="32" w:name="_Hlk57650395"/>
      <w:r w:rsidRPr="002F3FD7">
        <w:rPr>
          <w:rFonts w:ascii="Arial" w:hAnsi="Arial" w:cs="Arial"/>
          <w:sz w:val="21"/>
          <w:szCs w:val="21"/>
          <w:shd w:val="clear" w:color="auto" w:fill="FFFFFF"/>
        </w:rPr>
        <w:t xml:space="preserve">«Pregunta: </w:t>
      </w:r>
      <w:proofErr w:type="gramStart"/>
      <w:r w:rsidRPr="002F3FD7">
        <w:rPr>
          <w:rFonts w:ascii="Arial" w:hAnsi="Arial" w:cs="Arial"/>
          <w:sz w:val="21"/>
          <w:szCs w:val="21"/>
          <w:shd w:val="clear" w:color="auto" w:fill="FFFFFF"/>
        </w:rPr>
        <w:t>el formato de SCE es subsanable???</w:t>
      </w:r>
      <w:proofErr w:type="gramEnd"/>
      <w:r w:rsidRPr="002F3FD7">
        <w:rPr>
          <w:rFonts w:ascii="Arial" w:hAnsi="Arial" w:cs="Arial"/>
          <w:sz w:val="21"/>
          <w:szCs w:val="21"/>
          <w:shd w:val="clear" w:color="auto" w:fill="FFFFFF"/>
        </w:rPr>
        <w:t xml:space="preserve"> En el entendido1</w:t>
      </w:r>
      <w:proofErr w:type="gramStart"/>
      <w:r w:rsidRPr="002F3FD7">
        <w:rPr>
          <w:rFonts w:ascii="Arial" w:hAnsi="Arial" w:cs="Arial"/>
          <w:sz w:val="21"/>
          <w:szCs w:val="21"/>
          <w:shd w:val="clear" w:color="auto" w:fill="FFFFFF"/>
        </w:rPr>
        <w:t>.”…</w:t>
      </w:r>
      <w:proofErr w:type="gramEnd"/>
      <w:r w:rsidRPr="002F3FD7">
        <w:rPr>
          <w:rFonts w:ascii="Arial" w:hAnsi="Arial" w:cs="Arial"/>
          <w:sz w:val="21"/>
          <w:szCs w:val="21"/>
          <w:shd w:val="clear" w:color="auto" w:fill="FFFFFF"/>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w:t>
      </w:r>
      <w:r w:rsidR="00D5208B" w:rsidRPr="002F3FD7">
        <w:rPr>
          <w:rFonts w:ascii="Arial" w:hAnsi="Arial" w:cs="Arial"/>
          <w:sz w:val="21"/>
          <w:szCs w:val="21"/>
          <w:shd w:val="clear" w:color="auto" w:fill="FFFFFF"/>
        </w:rPr>
        <w:t>o</w:t>
      </w:r>
      <w:r w:rsidRPr="002F3FD7">
        <w:rPr>
          <w:rFonts w:ascii="Arial" w:hAnsi="Arial" w:cs="Arial"/>
          <w:sz w:val="21"/>
          <w:szCs w:val="21"/>
          <w:shd w:val="clear" w:color="auto" w:fill="FFFFFF"/>
        </w:rPr>
        <w:t xml:space="preserve">ntractual que afecte su capacidad residual, la entidad rechazará la oferta…”. </w:t>
      </w:r>
    </w:p>
    <w:p w14:paraId="5590D3A6" w14:textId="77777777" w:rsidR="00CC2FD5" w:rsidRPr="002F3FD7" w:rsidRDefault="00CC2FD5" w:rsidP="00CC2FD5">
      <w:pPr>
        <w:autoSpaceDE w:val="0"/>
        <w:autoSpaceDN w:val="0"/>
        <w:adjustRightInd w:val="0"/>
        <w:spacing w:after="0" w:line="240" w:lineRule="auto"/>
        <w:ind w:left="709" w:right="709"/>
        <w:rPr>
          <w:rFonts w:ascii="Arial" w:hAnsi="Arial" w:cs="Arial"/>
          <w:sz w:val="21"/>
          <w:szCs w:val="21"/>
          <w:shd w:val="clear" w:color="auto" w:fill="FFFFFF"/>
        </w:rPr>
      </w:pPr>
      <w:r w:rsidRPr="002F3FD7">
        <w:rPr>
          <w:rFonts w:ascii="Arial" w:hAnsi="Arial" w:cs="Arial"/>
          <w:sz w:val="21"/>
          <w:szCs w:val="21"/>
          <w:shd w:val="clear" w:color="auto" w:fill="FFFFFF"/>
        </w:rPr>
        <w:t xml:space="preserve">2. si el mismo proponente (y no otro) se da cuenta que cometió un error en la información cualquiera que ella sea en el formato de SCE y lo corrige renviando el formato SEC (subsanado) </w:t>
      </w:r>
      <w:proofErr w:type="gramStart"/>
      <w:r w:rsidRPr="002F3FD7">
        <w:rPr>
          <w:rFonts w:ascii="Arial" w:hAnsi="Arial" w:cs="Arial"/>
          <w:sz w:val="21"/>
          <w:szCs w:val="21"/>
          <w:shd w:val="clear" w:color="auto" w:fill="FFFFFF"/>
        </w:rPr>
        <w:t>la Entidad lo puede rechazar aun cuando es un requisito habilitante y no da puntos igualmente, si esta subsanación la hace el proponente durante la etapa de traslado del informe preliminar 1 es rechazada?</w:t>
      </w:r>
      <w:proofErr w:type="gramEnd"/>
      <w:r w:rsidRPr="002F3FD7">
        <w:rPr>
          <w:rFonts w:ascii="Arial" w:hAnsi="Arial" w:cs="Arial"/>
          <w:sz w:val="21"/>
          <w:szCs w:val="21"/>
        </w:rPr>
        <w:t xml:space="preserve">». (sic) </w:t>
      </w:r>
    </w:p>
    <w:p w14:paraId="0C2CAB70" w14:textId="6E002ABF" w:rsidR="00D777A2" w:rsidRPr="002F3FD7" w:rsidRDefault="00D777A2" w:rsidP="00E554E9">
      <w:pPr>
        <w:spacing w:after="0" w:line="240" w:lineRule="auto"/>
        <w:ind w:right="709"/>
        <w:rPr>
          <w:rFonts w:ascii="Arial" w:hAnsi="Arial" w:cs="Arial"/>
          <w:sz w:val="21"/>
          <w:szCs w:val="21"/>
          <w:shd w:val="clear" w:color="auto" w:fill="FFFFFF"/>
          <w:lang w:val="es-CO"/>
        </w:rPr>
      </w:pPr>
    </w:p>
    <w:bookmarkEnd w:id="31"/>
    <w:p w14:paraId="6D52A813" w14:textId="76CB2EF4" w:rsidR="003C0943" w:rsidRPr="0007053F" w:rsidRDefault="003C0943" w:rsidP="00AE564A">
      <w:pPr>
        <w:spacing w:after="120"/>
        <w:rPr>
          <w:rFonts w:ascii="Arial" w:hAnsi="Arial" w:cs="Arial"/>
          <w:color w:val="000000" w:themeColor="text1"/>
          <w:sz w:val="22"/>
        </w:rPr>
      </w:pPr>
      <w:r w:rsidRPr="0007053F">
        <w:rPr>
          <w:rFonts w:ascii="Arial" w:eastAsia="Times New Roman" w:hAnsi="Arial" w:cs="Arial"/>
          <w:sz w:val="22"/>
          <w:lang w:val="es-CO" w:eastAsia="es-ES_tradnl"/>
        </w:rPr>
        <w:t>Conforme a lo expuesto, en relación con</w:t>
      </w:r>
      <w:r w:rsidRPr="0007053F">
        <w:rPr>
          <w:rFonts w:ascii="Arial" w:eastAsia="Calibri" w:hAnsi="Arial" w:cs="Arial"/>
          <w:sz w:val="22"/>
          <w:lang w:val="es-CO"/>
        </w:rPr>
        <w:t xml:space="preserve"> la información contractual no incluida en la oferta que pueda afectar la capacidad residual del proponente, el «Documento Base o Pliego Tipo» de licitación de obra pública de infraestructura de transporte –Versión 3– contempla una regla</w:t>
      </w:r>
      <w:r w:rsidRPr="0007053F">
        <w:rPr>
          <w:rFonts w:ascii="Arial" w:hAnsi="Arial" w:cs="Arial"/>
          <w:sz w:val="22"/>
        </w:rPr>
        <w:t xml:space="preserve">, según la cual procede el rechazo de la oferta cuando cualquier interesado o la entidad, en ejercicio de la potestad verificadora, advierta que se dejó de incluir información que afecta la capacidad residual del proponente, por ejemplo, la referente a </w:t>
      </w:r>
      <w:r w:rsidRPr="0007053F">
        <w:rPr>
          <w:rFonts w:ascii="Arial" w:hAnsi="Arial" w:cs="Arial"/>
          <w:i/>
          <w:iCs/>
          <w:sz w:val="22"/>
        </w:rPr>
        <w:t>Contratos en ejecución</w:t>
      </w:r>
      <w:r w:rsidRPr="0007053F">
        <w:rPr>
          <w:rFonts w:ascii="Arial" w:hAnsi="Arial" w:cs="Arial"/>
          <w:sz w:val="22"/>
        </w:rPr>
        <w:t xml:space="preserve">. En este sentido, </w:t>
      </w:r>
      <w:r w:rsidRPr="0007053F">
        <w:rPr>
          <w:rFonts w:ascii="Arial" w:hAnsi="Arial" w:cs="Arial"/>
          <w:color w:val="000000" w:themeColor="text1"/>
          <w:sz w:val="22"/>
        </w:rPr>
        <w:t xml:space="preserve">la expresión «afecta la capacidad residual» abarca aquellos eventos en los que la información omitida conduce a que el proponente no cumpla con la exigencia de capacidad residual, así como las situaciones en que la información omitida no conduce al incumplimiento de dicho requisito, pero modifica la capacidad residual. </w:t>
      </w:r>
    </w:p>
    <w:p w14:paraId="1706D292" w14:textId="77777777" w:rsidR="003C0943" w:rsidRPr="0007053F" w:rsidRDefault="003C0943" w:rsidP="00AE564A">
      <w:pPr>
        <w:spacing w:after="120"/>
        <w:ind w:firstLine="709"/>
        <w:rPr>
          <w:rFonts w:ascii="Arial" w:hAnsi="Arial" w:cs="Arial"/>
          <w:sz w:val="22"/>
        </w:rPr>
      </w:pPr>
      <w:r w:rsidRPr="0007053F">
        <w:rPr>
          <w:rFonts w:ascii="Arial" w:hAnsi="Arial" w:cs="Arial"/>
          <w:color w:val="000000" w:themeColor="text1"/>
          <w:sz w:val="22"/>
        </w:rPr>
        <w:t>Esta regla concuerda con las causales de rechazo de los literales H y Z del numeral 1.15 del documento base, referidas a la información inexacta sobre la cual pueda</w:t>
      </w:r>
      <w:r w:rsidRPr="0007053F">
        <w:rPr>
          <w:rFonts w:ascii="Arial" w:hAnsi="Arial" w:cs="Arial"/>
          <w:sz w:val="22"/>
        </w:rPr>
        <w:t xml:space="preserve"> existir una posible falsedad</w:t>
      </w:r>
      <w:r w:rsidRPr="0007053F">
        <w:rPr>
          <w:rFonts w:ascii="Arial" w:hAnsi="Arial" w:cs="Arial"/>
          <w:color w:val="000000" w:themeColor="text1"/>
          <w:sz w:val="22"/>
        </w:rPr>
        <w:t xml:space="preserve"> y la omisión de informar los contratos en ejecución. Por tanto, </w:t>
      </w:r>
      <w:r w:rsidRPr="0007053F">
        <w:rPr>
          <w:rFonts w:ascii="Arial" w:hAnsi="Arial" w:cs="Arial"/>
          <w:sz w:val="22"/>
        </w:rPr>
        <w:t xml:space="preserve">al verificarse que el proponente no incluyó información contractual que afecte su capacidad residual, la entidad no estará en posición de solicitar aclaraciones, o acudir al régimen de subsanabilidad de ofertas. Esto en la medida que tal circunstancia constituye una causal de rechazo en los términos de los literales </w:t>
      </w:r>
      <w:r w:rsidRPr="0007053F">
        <w:rPr>
          <w:rFonts w:ascii="Arial" w:hAnsi="Arial" w:cs="Arial"/>
          <w:sz w:val="22"/>
        </w:rPr>
        <w:lastRenderedPageBreak/>
        <w:t>H y Z del numeral 1.15 del «Documento Base o Pliego Tipo», las cuales deberán analizar, caso a caso, las entidades contratantes.</w:t>
      </w:r>
    </w:p>
    <w:p w14:paraId="7BC8F3A4" w14:textId="77777777" w:rsidR="003C0943" w:rsidRPr="0007053F" w:rsidRDefault="003C0943" w:rsidP="00AE564A">
      <w:pPr>
        <w:spacing w:after="120"/>
        <w:ind w:firstLine="709"/>
        <w:rPr>
          <w:rFonts w:ascii="Arial" w:hAnsi="Arial" w:cs="Arial"/>
          <w:color w:val="000000" w:themeColor="text1"/>
          <w:sz w:val="22"/>
        </w:rPr>
      </w:pPr>
      <w:r w:rsidRPr="0007053F">
        <w:rPr>
          <w:rFonts w:ascii="Arial" w:hAnsi="Arial" w:cs="Arial"/>
          <w:color w:val="000000" w:themeColor="text1"/>
          <w:sz w:val="22"/>
        </w:rPr>
        <w:t xml:space="preserve">Se precisa que para que la información omitida afecte la capacidad residual, es necesario que se refiera a contratos que no solo hayan sido adjudicados al proponente, sino que se requiere que los mismos estuviesen en ejecución al momento del cierre, pues si la omisión se refiere a contratos que fueron suspendidos o que no han comenzado a ejecutarse, no se cumpliría el supuesto de hecho del numeral 3.10 del documento base que faculta a la entidad para rechazar la oferta. Lo anterior pues no se configura una omisión de información que afecte el cálculo de la capacidad residual, conforme al artículo 2.2.1.1.1.6.4 del Decreto 1082 de 2015. </w:t>
      </w:r>
    </w:p>
    <w:p w14:paraId="6737DB27" w14:textId="77777777" w:rsidR="003C0943" w:rsidRPr="0007053F" w:rsidRDefault="003C0943" w:rsidP="00AE564A">
      <w:pPr>
        <w:spacing w:after="120"/>
        <w:ind w:firstLine="709"/>
        <w:rPr>
          <w:rFonts w:ascii="Arial" w:hAnsi="Arial" w:cs="Arial"/>
          <w:color w:val="000000" w:themeColor="text1"/>
          <w:sz w:val="22"/>
        </w:rPr>
      </w:pPr>
      <w:r w:rsidRPr="0007053F">
        <w:rPr>
          <w:rFonts w:ascii="Arial" w:hAnsi="Arial" w:cs="Arial"/>
          <w:color w:val="000000" w:themeColor="text1"/>
          <w:sz w:val="22"/>
        </w:rPr>
        <w:t>Finalmente, la causal del literal Z procede cuando el proponente no informa todos los contratos en ejecución antes del cierre,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informado, implica aceptar que ocurrió la causal del literal Z, esto es, que el proponente incumplió su obligación de reportar todos los contratos que tenía en ejecución.</w:t>
      </w:r>
    </w:p>
    <w:p w14:paraId="64DF5BAE" w14:textId="77777777" w:rsidR="003C0943" w:rsidRPr="0007053F" w:rsidRDefault="003C0943" w:rsidP="00AE564A">
      <w:pPr>
        <w:spacing w:after="120"/>
        <w:ind w:firstLine="709"/>
        <w:rPr>
          <w:rFonts w:ascii="Arial" w:hAnsi="Arial" w:cs="Arial"/>
          <w:color w:val="000000" w:themeColor="text1"/>
          <w:sz w:val="22"/>
        </w:rPr>
      </w:pPr>
      <w:r w:rsidRPr="0007053F">
        <w:rPr>
          <w:rFonts w:ascii="Arial" w:hAnsi="Arial" w:cs="Arial"/>
          <w:color w:val="000000" w:themeColor="text1"/>
          <w:sz w:val="22"/>
        </w:rPr>
        <w:t xml:space="preserve">Conforme a lo anterior, el supuesto en el cual no se acreditan a la fecha de cierre la totalidad de los </w:t>
      </w:r>
      <w:r w:rsidRPr="0007053F">
        <w:rPr>
          <w:rFonts w:ascii="Arial" w:hAnsi="Arial" w:cs="Arial"/>
          <w:i/>
          <w:iCs/>
          <w:color w:val="000000" w:themeColor="text1"/>
          <w:sz w:val="22"/>
        </w:rPr>
        <w:t>Contratos en ejecución</w:t>
      </w:r>
      <w:r w:rsidRPr="0007053F">
        <w:rPr>
          <w:rFonts w:ascii="Arial" w:hAnsi="Arial" w:cs="Arial"/>
          <w:color w:val="000000" w:themeColor="text1"/>
          <w:sz w:val="22"/>
        </w:rPr>
        <w:t xml:space="preserve"> que obligan proponente, amerita el rechazo de la oferta según la causal del literal Z, cuyo supuesto de hecho no permite la subsanación. Del mismo modo, informar un valor incorrecto de un </w:t>
      </w:r>
      <w:r w:rsidRPr="0007053F">
        <w:rPr>
          <w:rFonts w:ascii="Arial" w:hAnsi="Arial" w:cs="Arial"/>
          <w:i/>
          <w:iCs/>
          <w:color w:val="000000" w:themeColor="text1"/>
          <w:sz w:val="22"/>
        </w:rPr>
        <w:t>Contrato en ejecución</w:t>
      </w:r>
      <w:r w:rsidRPr="0007053F">
        <w:rPr>
          <w:rFonts w:ascii="Arial" w:hAnsi="Arial" w:cs="Arial"/>
          <w:color w:val="000000" w:themeColor="text1"/>
          <w:sz w:val="22"/>
        </w:rPr>
        <w:t xml:space="preserve"> está sancionado con el rechazo de la oferta de conformidad con lo señalado en el numeral 3.10, en el entendido de que se trata de información contractual que afecta su capacidad residual. En caso de que la inexactitud se configure a partir de una falsedad, debe rechazarse la oferta en atención a la causal del literal H.     </w:t>
      </w:r>
    </w:p>
    <w:p w14:paraId="6458DF5F" w14:textId="7B11D73A" w:rsidR="00302D08" w:rsidRPr="0007053F" w:rsidRDefault="00136A94" w:rsidP="00876821">
      <w:pPr>
        <w:spacing w:after="0"/>
        <w:ind w:firstLine="708"/>
        <w:rPr>
          <w:rFonts w:ascii="Arial" w:eastAsia="Calibri" w:hAnsi="Arial" w:cs="Arial"/>
          <w:sz w:val="22"/>
          <w:lang w:val="es-CO"/>
        </w:rPr>
      </w:pPr>
      <w:r w:rsidRPr="0007053F">
        <w:rPr>
          <w:rFonts w:ascii="Arial" w:eastAsia="Calibri" w:hAnsi="Arial" w:cs="Arial"/>
          <w:sz w:val="22"/>
          <w:lang w:val="es-CO"/>
        </w:rPr>
        <w:t>En todo caso</w:t>
      </w:r>
      <w:r w:rsidR="008E2CFF" w:rsidRPr="0007053F">
        <w:rPr>
          <w:rFonts w:ascii="Arial" w:eastAsia="Calibri" w:hAnsi="Arial" w:cs="Arial"/>
          <w:sz w:val="22"/>
          <w:lang w:val="es-CO"/>
        </w:rPr>
        <w:t>,</w:t>
      </w:r>
      <w:r w:rsidRPr="0007053F">
        <w:rPr>
          <w:rFonts w:ascii="Arial" w:eastAsia="Calibri" w:hAnsi="Arial" w:cs="Arial"/>
          <w:sz w:val="22"/>
          <w:lang w:val="es-CO"/>
        </w:rPr>
        <w:t xml:space="preserve"> corresponde</w:t>
      </w:r>
      <w:r w:rsidR="008E2CFF" w:rsidRPr="0007053F">
        <w:rPr>
          <w:rFonts w:ascii="Arial" w:eastAsia="Calibri" w:hAnsi="Arial" w:cs="Arial"/>
          <w:sz w:val="22"/>
          <w:lang w:val="es-CO"/>
        </w:rPr>
        <w:t xml:space="preserve"> </w:t>
      </w:r>
      <w:r w:rsidR="00302D08" w:rsidRPr="0007053F">
        <w:rPr>
          <w:rFonts w:ascii="Arial" w:eastAsia="Calibri" w:hAnsi="Arial" w:cs="Arial"/>
          <w:sz w:val="22"/>
          <w:lang w:val="es-CO"/>
        </w:rPr>
        <w:t>las entidades contratantes analizar</w:t>
      </w:r>
      <w:r w:rsidRPr="0007053F">
        <w:rPr>
          <w:rFonts w:ascii="Arial" w:eastAsia="Calibri" w:hAnsi="Arial" w:cs="Arial"/>
          <w:sz w:val="22"/>
          <w:lang w:val="es-CO"/>
        </w:rPr>
        <w:t xml:space="preserve"> en cada</w:t>
      </w:r>
      <w:r w:rsidR="00302D08" w:rsidRPr="0007053F">
        <w:rPr>
          <w:rFonts w:ascii="Arial" w:eastAsia="Calibri" w:hAnsi="Arial" w:cs="Arial"/>
          <w:sz w:val="22"/>
          <w:lang w:val="es-CO"/>
        </w:rPr>
        <w:t xml:space="preserve"> caso la configuración de dichas causales, con base en los parámetros que se señalaron precedentemente</w:t>
      </w:r>
      <w:r w:rsidR="008E2CFF" w:rsidRPr="0007053F">
        <w:rPr>
          <w:rFonts w:ascii="Arial" w:eastAsia="Calibri" w:hAnsi="Arial" w:cs="Arial"/>
          <w:sz w:val="22"/>
          <w:lang w:val="es-CO"/>
        </w:rPr>
        <w:t xml:space="preserve">, siendo entonces claro que, </w:t>
      </w:r>
      <w:r w:rsidR="00052D8F" w:rsidRPr="0007053F">
        <w:rPr>
          <w:rFonts w:ascii="Arial" w:eastAsia="Calibri" w:hAnsi="Arial" w:cs="Arial"/>
          <w:sz w:val="22"/>
          <w:lang w:val="es-CO"/>
        </w:rPr>
        <w:t xml:space="preserve">la </w:t>
      </w:r>
      <w:proofErr w:type="gramStart"/>
      <w:r w:rsidR="00052D8F" w:rsidRPr="0007053F">
        <w:rPr>
          <w:rFonts w:ascii="Arial" w:eastAsia="Calibri" w:hAnsi="Arial" w:cs="Arial"/>
          <w:sz w:val="22"/>
          <w:lang w:val="es-CO"/>
        </w:rPr>
        <w:t>información relacionado</w:t>
      </w:r>
      <w:proofErr w:type="gramEnd"/>
      <w:r w:rsidR="00052D8F" w:rsidRPr="0007053F">
        <w:rPr>
          <w:rFonts w:ascii="Arial" w:eastAsia="Calibri" w:hAnsi="Arial" w:cs="Arial"/>
          <w:sz w:val="22"/>
          <w:lang w:val="es-CO"/>
        </w:rPr>
        <w:t xml:space="preserve"> con saldos de contratos en ejecución </w:t>
      </w:r>
      <w:r w:rsidR="00EF5CB5" w:rsidRPr="0007053F">
        <w:rPr>
          <w:rFonts w:ascii="Arial" w:eastAsia="Calibri" w:hAnsi="Arial" w:cs="Arial"/>
          <w:sz w:val="22"/>
          <w:lang w:val="es-CO"/>
        </w:rPr>
        <w:t xml:space="preserve">diligenciada en el Formato 5 – Capacidad Residual de los documentos tipo referidos no podrá ser subsanada por el proponente, cuando se configuren los supuestos analizados en este conceptos. </w:t>
      </w:r>
    </w:p>
    <w:p w14:paraId="18C1EAA7" w14:textId="77777777" w:rsidR="001811CA" w:rsidRPr="002F3FD7" w:rsidRDefault="001811CA" w:rsidP="00F176B9">
      <w:pPr>
        <w:spacing w:after="0" w:line="240" w:lineRule="auto"/>
        <w:ind w:left="709" w:right="709"/>
        <w:rPr>
          <w:rFonts w:ascii="Arial" w:eastAsia="Times New Roman" w:hAnsi="Arial" w:cs="Arial"/>
          <w:sz w:val="22"/>
          <w:lang w:val="es-CO" w:eastAsia="es-ES_tradnl"/>
        </w:rPr>
      </w:pPr>
    </w:p>
    <w:p w14:paraId="06025F48" w14:textId="1C6BD03F" w:rsidR="00506085" w:rsidRPr="002F3FD7" w:rsidRDefault="00506085" w:rsidP="00F176B9">
      <w:pPr>
        <w:spacing w:after="0"/>
        <w:rPr>
          <w:rFonts w:ascii="Times New Roman" w:eastAsia="Times New Roman" w:hAnsi="Times New Roman" w:cs="Times New Roman"/>
          <w:szCs w:val="24"/>
          <w:lang w:val="es-CO" w:eastAsia="es-ES_tradnl"/>
        </w:rPr>
      </w:pPr>
      <w:r w:rsidRPr="002F3FD7">
        <w:rPr>
          <w:rFonts w:ascii="Arial" w:eastAsia="Calibri" w:hAnsi="Arial" w:cs="Arial"/>
          <w:sz w:val="22"/>
          <w:lang w:val="es-CO"/>
        </w:rPr>
        <w:lastRenderedPageBreak/>
        <w:t>Este concepto tiene el alcance previsto en el artículo 28 del Código de Procedimiento Administrativo y de lo Contencioso Administrativo.</w:t>
      </w:r>
      <w:r w:rsidRPr="002F3FD7">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C6D1C12"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0827501E" w14:textId="77777777" w:rsidR="00717A45" w:rsidRPr="002F3FD7" w:rsidRDefault="00717A45" w:rsidP="00F176B9">
      <w:pPr>
        <w:spacing w:after="0"/>
        <w:rPr>
          <w:noProof/>
        </w:rPr>
      </w:pPr>
    </w:p>
    <w:p w14:paraId="240E0475" w14:textId="55B126B8" w:rsidR="00506085" w:rsidRPr="002F3FD7" w:rsidRDefault="00506085" w:rsidP="00F176B9">
      <w:pPr>
        <w:rPr>
          <w:rFonts w:ascii="Arial" w:eastAsia="Times New Roman" w:hAnsi="Arial" w:cs="Arial"/>
          <w:sz w:val="22"/>
          <w:lang w:val="es-CO" w:eastAsia="es-CO"/>
        </w:rPr>
      </w:pPr>
      <w:r w:rsidRPr="002F3FD7">
        <w:rPr>
          <w:rFonts w:ascii="Arial" w:eastAsia="Times New Roman" w:hAnsi="Arial" w:cs="Arial"/>
          <w:sz w:val="22"/>
          <w:lang w:val="es-CO" w:eastAsia="es-CO"/>
        </w:rPr>
        <w:t>Atentamente,</w:t>
      </w:r>
    </w:p>
    <w:p w14:paraId="300BE44C" w14:textId="55B78AC0" w:rsidR="00843449" w:rsidRPr="002F3FD7" w:rsidRDefault="007E6D9E" w:rsidP="00F176B9">
      <w:pPr>
        <w:jc w:val="center"/>
        <w:rPr>
          <w:rFonts w:ascii="Arial" w:eastAsia="Times New Roman" w:hAnsi="Arial" w:cs="Arial"/>
          <w:sz w:val="18"/>
          <w:szCs w:val="20"/>
          <w:lang w:eastAsia="es-CO"/>
        </w:rPr>
      </w:pPr>
      <w:r>
        <w:rPr>
          <w:rFonts w:ascii="Arial" w:eastAsia="Times New Roman" w:hAnsi="Arial" w:cs="Arial"/>
          <w:noProof/>
          <w:sz w:val="18"/>
          <w:szCs w:val="20"/>
          <w:lang w:eastAsia="es-CO"/>
        </w:rPr>
        <w:drawing>
          <wp:inline distT="0" distB="0" distL="0" distR="0" wp14:anchorId="7D52C82E" wp14:editId="6CCC1BDC">
            <wp:extent cx="3124636" cy="1000265"/>
            <wp:effectExtent l="0" t="0" r="0" b="9525"/>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3"/>
                    <a:stretch>
                      <a:fillRect/>
                    </a:stretch>
                  </pic:blipFill>
                  <pic:spPr>
                    <a:xfrm>
                      <a:off x="0" y="0"/>
                      <a:ext cx="3124636" cy="100026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2F3FD7" w14:paraId="59E26AD8" w14:textId="77777777" w:rsidTr="00DE279B">
        <w:trPr>
          <w:trHeight w:val="315"/>
        </w:trPr>
        <w:tc>
          <w:tcPr>
            <w:tcW w:w="812" w:type="dxa"/>
            <w:vAlign w:val="center"/>
            <w:hideMark/>
          </w:tcPr>
          <w:p w14:paraId="53421173" w14:textId="77777777" w:rsidR="00843449" w:rsidRPr="002F3FD7" w:rsidRDefault="00843449" w:rsidP="00F176B9">
            <w:pPr>
              <w:rPr>
                <w:rFonts w:ascii="Arial" w:eastAsia="Times New Roman" w:hAnsi="Arial" w:cs="Arial"/>
                <w:sz w:val="16"/>
                <w:szCs w:val="16"/>
                <w:lang w:val="es-CO" w:eastAsia="es-ES"/>
              </w:rPr>
            </w:pPr>
            <w:r w:rsidRPr="002F3FD7">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E5507FB" w14:textId="791C0697" w:rsidR="00F354B5" w:rsidRPr="002F3FD7" w:rsidRDefault="00D5208B" w:rsidP="00F354B5">
            <w:pPr>
              <w:rPr>
                <w:rFonts w:ascii="Arial" w:eastAsia="Times New Roman" w:hAnsi="Arial" w:cs="Arial"/>
                <w:color w:val="000000" w:themeColor="text1"/>
                <w:sz w:val="16"/>
                <w:szCs w:val="16"/>
                <w:lang w:val="es-ES_tradnl" w:eastAsia="es-ES"/>
              </w:rPr>
            </w:pPr>
            <w:r w:rsidRPr="002F3FD7">
              <w:rPr>
                <w:rFonts w:ascii="Arial" w:eastAsia="Times New Roman" w:hAnsi="Arial" w:cs="Arial"/>
                <w:color w:val="000000" w:themeColor="text1"/>
                <w:sz w:val="16"/>
                <w:szCs w:val="16"/>
                <w:lang w:val="es-ES_tradnl" w:eastAsia="es-ES"/>
              </w:rPr>
              <w:t xml:space="preserve">Nina María </w:t>
            </w:r>
            <w:r w:rsidR="003E6D12" w:rsidRPr="002F3FD7">
              <w:rPr>
                <w:rFonts w:ascii="Arial" w:eastAsia="Times New Roman" w:hAnsi="Arial" w:cs="Arial"/>
                <w:color w:val="000000" w:themeColor="text1"/>
                <w:sz w:val="16"/>
                <w:szCs w:val="16"/>
                <w:lang w:val="es-ES_tradnl" w:eastAsia="es-ES"/>
              </w:rPr>
              <w:t>Padrón Ballestas</w:t>
            </w:r>
          </w:p>
          <w:p w14:paraId="3F63272B" w14:textId="4F20144E" w:rsidR="00843449" w:rsidRPr="002F3FD7" w:rsidRDefault="00F354B5" w:rsidP="00F354B5">
            <w:pPr>
              <w:rPr>
                <w:rFonts w:ascii="Arial" w:eastAsia="Times New Roman" w:hAnsi="Arial" w:cs="Arial"/>
                <w:sz w:val="16"/>
                <w:szCs w:val="16"/>
                <w:lang w:val="es-CO" w:eastAsia="es-ES"/>
              </w:rPr>
            </w:pPr>
            <w:r w:rsidRPr="002F3FD7">
              <w:rPr>
                <w:rFonts w:ascii="Arial" w:eastAsia="Times New Roman" w:hAnsi="Arial" w:cs="Arial"/>
                <w:color w:val="000000" w:themeColor="text1"/>
                <w:sz w:val="16"/>
                <w:szCs w:val="16"/>
                <w:lang w:val="es-ES_tradnl" w:eastAsia="es-ES"/>
              </w:rPr>
              <w:t>Contratista de la Subdirección de Gestión Contractual</w:t>
            </w:r>
          </w:p>
        </w:tc>
      </w:tr>
      <w:tr w:rsidR="00F176B9" w:rsidRPr="002F3FD7" w14:paraId="363E18D7" w14:textId="77777777" w:rsidTr="00DE279B">
        <w:trPr>
          <w:trHeight w:val="330"/>
        </w:trPr>
        <w:tc>
          <w:tcPr>
            <w:tcW w:w="812" w:type="dxa"/>
            <w:vAlign w:val="center"/>
            <w:hideMark/>
          </w:tcPr>
          <w:p w14:paraId="5E29D295" w14:textId="77777777" w:rsidR="00843449" w:rsidRPr="002F3FD7" w:rsidRDefault="00843449" w:rsidP="00F176B9">
            <w:pPr>
              <w:rPr>
                <w:rFonts w:ascii="Arial" w:eastAsia="Times New Roman" w:hAnsi="Arial" w:cs="Arial"/>
                <w:sz w:val="16"/>
                <w:szCs w:val="16"/>
                <w:lang w:val="es-CO" w:eastAsia="es-ES"/>
              </w:rPr>
            </w:pPr>
            <w:r w:rsidRPr="002F3FD7">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52250CF4" w:rsidR="00843449" w:rsidRPr="002F3FD7" w:rsidRDefault="00F354B5" w:rsidP="00F176B9">
            <w:pPr>
              <w:rPr>
                <w:rFonts w:ascii="Arial" w:eastAsia="Times New Roman" w:hAnsi="Arial" w:cs="Arial"/>
                <w:sz w:val="16"/>
                <w:szCs w:val="16"/>
                <w:lang w:val="es-CO" w:eastAsia="es-ES"/>
              </w:rPr>
            </w:pPr>
            <w:r w:rsidRPr="002F3FD7">
              <w:rPr>
                <w:rFonts w:ascii="Arial" w:eastAsia="Times New Roman" w:hAnsi="Arial" w:cs="Arial"/>
                <w:sz w:val="16"/>
                <w:szCs w:val="16"/>
                <w:lang w:val="es-CO" w:eastAsia="es-ES"/>
              </w:rPr>
              <w:t>Alejandro Sarmiento Cantillo</w:t>
            </w:r>
          </w:p>
          <w:p w14:paraId="30332C7A" w14:textId="77777777" w:rsidR="00843449" w:rsidRPr="002F3FD7" w:rsidRDefault="00843449" w:rsidP="00F176B9">
            <w:pPr>
              <w:rPr>
                <w:rFonts w:ascii="Arial" w:eastAsia="Times New Roman" w:hAnsi="Arial" w:cs="Arial"/>
                <w:sz w:val="16"/>
                <w:szCs w:val="16"/>
                <w:lang w:val="es-CO" w:eastAsia="es-ES"/>
              </w:rPr>
            </w:pPr>
            <w:r w:rsidRPr="002F3FD7">
              <w:rPr>
                <w:rFonts w:ascii="Arial" w:eastAsia="Times New Roman" w:hAnsi="Arial" w:cs="Arial"/>
                <w:sz w:val="16"/>
                <w:szCs w:val="16"/>
                <w:lang w:val="es-CO" w:eastAsia="es-ES"/>
              </w:rPr>
              <w:t>Gestor T1-15 de la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2F3FD7" w:rsidRDefault="00843449" w:rsidP="00F176B9">
            <w:pPr>
              <w:rPr>
                <w:rFonts w:ascii="Arial" w:eastAsia="Times New Roman" w:hAnsi="Arial" w:cs="Arial"/>
                <w:sz w:val="16"/>
                <w:szCs w:val="16"/>
                <w:lang w:val="es-CO" w:eastAsia="es-ES"/>
              </w:rPr>
            </w:pPr>
            <w:r w:rsidRPr="002F3FD7">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2F3FD7" w:rsidRDefault="00843449" w:rsidP="00F176B9">
            <w:pPr>
              <w:rPr>
                <w:rFonts w:ascii="Arial" w:eastAsia="Times New Roman" w:hAnsi="Arial" w:cs="Arial"/>
                <w:sz w:val="16"/>
                <w:szCs w:val="16"/>
                <w:lang w:val="es-CO" w:eastAsia="es-ES"/>
              </w:rPr>
            </w:pPr>
            <w:r w:rsidRPr="002F3FD7">
              <w:rPr>
                <w:rFonts w:ascii="Arial" w:eastAsia="Times New Roman" w:hAnsi="Arial" w:cs="Arial"/>
                <w:sz w:val="16"/>
                <w:szCs w:val="16"/>
                <w:lang w:val="es-CO" w:eastAsia="es-ES"/>
              </w:rPr>
              <w:t>Jorge Augusto Tirado Navarro</w:t>
            </w:r>
          </w:p>
          <w:p w14:paraId="4A949C01" w14:textId="77777777" w:rsidR="00843449" w:rsidRPr="00F176B9" w:rsidRDefault="00843449" w:rsidP="00F176B9">
            <w:pPr>
              <w:rPr>
                <w:rFonts w:ascii="Arial" w:eastAsia="Times New Roman" w:hAnsi="Arial" w:cs="Arial"/>
                <w:sz w:val="16"/>
                <w:szCs w:val="16"/>
                <w:lang w:val="es-CO" w:eastAsia="es-ES"/>
              </w:rPr>
            </w:pPr>
            <w:r w:rsidRPr="002F3FD7">
              <w:rPr>
                <w:rFonts w:ascii="Arial" w:eastAsia="Times New Roman" w:hAnsi="Arial" w:cs="Arial"/>
                <w:sz w:val="16"/>
                <w:szCs w:val="16"/>
                <w:lang w:val="es-CO" w:eastAsia="es-ES"/>
              </w:rPr>
              <w:t>Subdirector de Gestión Contractual ANCP – CCE</w:t>
            </w:r>
          </w:p>
        </w:tc>
      </w:tr>
      <w:bookmarkEnd w:id="32"/>
    </w:tbl>
    <w:p w14:paraId="20333B98" w14:textId="77777777" w:rsidR="006674C1" w:rsidRPr="00F176B9" w:rsidRDefault="006674C1" w:rsidP="00F176B9">
      <w:pPr>
        <w:spacing w:after="120"/>
        <w:contextualSpacing/>
        <w:rPr>
          <w:rFonts w:ascii="Arial" w:eastAsia="Calibri" w:hAnsi="Arial" w:cs="Arial"/>
          <w:b/>
          <w:bCs/>
          <w:sz w:val="20"/>
          <w:szCs w:val="20"/>
        </w:rPr>
      </w:pPr>
    </w:p>
    <w:sectPr w:rsidR="006674C1" w:rsidRPr="00F176B9" w:rsidSect="003D603B">
      <w:headerReference w:type="default" r:id="rId14"/>
      <w:footerReference w:type="default" r:id="rId15"/>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39B1A" w14:textId="77777777" w:rsidR="00D23CA9" w:rsidRDefault="00D23CA9">
      <w:r>
        <w:separator/>
      </w:r>
    </w:p>
  </w:endnote>
  <w:endnote w:type="continuationSeparator" w:id="0">
    <w:p w14:paraId="48A08EA1" w14:textId="77777777" w:rsidR="00D23CA9" w:rsidRDefault="00D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Calibri">
    <w:altName w:val="Times New Roman"/>
    <w:charset w:val="00"/>
    <w:family w:val="roman"/>
    <w:pitch w:val="default"/>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4C2E7" w14:textId="77777777" w:rsidR="00D23CA9" w:rsidRDefault="00D23CA9">
      <w:r>
        <w:separator/>
      </w:r>
    </w:p>
  </w:footnote>
  <w:footnote w:type="continuationSeparator" w:id="0">
    <w:p w14:paraId="55FA62AA" w14:textId="77777777" w:rsidR="00D23CA9" w:rsidRDefault="00D23CA9">
      <w:r>
        <w:continuationSeparator/>
      </w:r>
    </w:p>
  </w:footnote>
  <w:footnote w:id="1">
    <w:p w14:paraId="0488F642" w14:textId="77777777" w:rsidR="0058472B" w:rsidRPr="00EC64BC" w:rsidRDefault="0058472B" w:rsidP="00AE564A">
      <w:pPr>
        <w:pStyle w:val="Textonotapie"/>
        <w:spacing w:after="0" w:line="240" w:lineRule="auto"/>
        <w:ind w:firstLine="708"/>
        <w:rPr>
          <w:rFonts w:ascii="Arial" w:hAnsi="Arial" w:cs="Arial"/>
          <w:sz w:val="19"/>
          <w:szCs w:val="19"/>
        </w:rPr>
      </w:pPr>
      <w:r w:rsidRPr="00EC64BC">
        <w:rPr>
          <w:rStyle w:val="Refdenotaalpie"/>
          <w:rFonts w:ascii="Arial" w:hAnsi="Arial" w:cs="Arial"/>
          <w:sz w:val="19"/>
          <w:szCs w:val="19"/>
        </w:rPr>
        <w:footnoteRef/>
      </w:r>
      <w:r w:rsidRPr="00EC64BC">
        <w:rPr>
          <w:rFonts w:ascii="Arial" w:hAnsi="Arial" w:cs="Arial"/>
          <w:sz w:val="19"/>
          <w:szCs w:val="19"/>
        </w:rPr>
        <w:t xml:space="preserve"> Concepto C-196 de 2020. Radicado de entrada No. 4202013000001559. Radicado de salida No. 2202013000002534.</w:t>
      </w:r>
    </w:p>
    <w:p w14:paraId="155C0411" w14:textId="77777777" w:rsidR="0058472B" w:rsidRPr="00EC64BC" w:rsidRDefault="0058472B" w:rsidP="00AE564A">
      <w:pPr>
        <w:pStyle w:val="Textonotapie"/>
        <w:spacing w:after="0" w:line="240" w:lineRule="auto"/>
        <w:rPr>
          <w:rFonts w:ascii="Arial" w:hAnsi="Arial" w:cs="Arial"/>
          <w:sz w:val="19"/>
          <w:szCs w:val="19"/>
        </w:rPr>
      </w:pPr>
    </w:p>
  </w:footnote>
  <w:footnote w:id="2">
    <w:p w14:paraId="07BA284A" w14:textId="77777777" w:rsidR="006A11F5" w:rsidRPr="006A11F5" w:rsidRDefault="006A11F5" w:rsidP="00AE564A">
      <w:pPr>
        <w:pStyle w:val="Textonotapie"/>
        <w:spacing w:after="0" w:line="240" w:lineRule="auto"/>
        <w:ind w:firstLine="709"/>
        <w:rPr>
          <w:rFonts w:ascii="Arial" w:eastAsia="Calibri" w:hAnsi="Arial" w:cs="Arial"/>
          <w:color w:val="000000"/>
          <w:sz w:val="19"/>
          <w:szCs w:val="19"/>
        </w:rPr>
      </w:pPr>
      <w:r w:rsidRPr="006A11F5">
        <w:rPr>
          <w:rStyle w:val="Refdenotaalpie"/>
          <w:rFonts w:ascii="Arial" w:hAnsi="Arial" w:cs="Arial"/>
          <w:color w:val="000000"/>
          <w:sz w:val="19"/>
          <w:szCs w:val="19"/>
        </w:rPr>
        <w:footnoteRef/>
      </w:r>
      <w:r w:rsidRPr="006A11F5">
        <w:rPr>
          <w:rFonts w:ascii="Arial" w:hAnsi="Arial" w:cs="Arial"/>
          <w:color w:val="000000"/>
          <w:sz w:val="19"/>
          <w:szCs w:val="19"/>
        </w:rPr>
        <w:t xml:space="preserve"> </w:t>
      </w:r>
      <w:r w:rsidRPr="006A11F5">
        <w:rPr>
          <w:rFonts w:ascii="Arial" w:eastAsia="Calibri" w:hAnsi="Arial" w:cs="Arial"/>
          <w:color w:val="000000"/>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0BA84660" w14:textId="77777777" w:rsidR="006A11F5" w:rsidRPr="006A11F5" w:rsidRDefault="006A11F5" w:rsidP="00AE564A">
      <w:pPr>
        <w:pStyle w:val="Textonotapie"/>
        <w:spacing w:after="0" w:line="240" w:lineRule="auto"/>
        <w:ind w:firstLine="709"/>
        <w:rPr>
          <w:rFonts w:ascii="Arial" w:eastAsia="Calibri" w:hAnsi="Arial" w:cs="Arial"/>
          <w:color w:val="000000"/>
          <w:sz w:val="19"/>
          <w:szCs w:val="19"/>
        </w:rPr>
      </w:pPr>
      <w:r w:rsidRPr="006A11F5">
        <w:rPr>
          <w:rFonts w:ascii="Arial" w:eastAsia="Calibri" w:hAnsi="Arial" w:cs="Arial"/>
          <w:color w:val="000000"/>
          <w:sz w:val="19"/>
          <w:szCs w:val="19"/>
        </w:rPr>
        <w:t>[…]</w:t>
      </w:r>
    </w:p>
    <w:p w14:paraId="51A079C9" w14:textId="77777777" w:rsidR="006A11F5" w:rsidRPr="006A11F5" w:rsidRDefault="006A11F5" w:rsidP="00AE564A">
      <w:pPr>
        <w:pStyle w:val="Textonotapie"/>
        <w:spacing w:after="0" w:line="240" w:lineRule="auto"/>
        <w:ind w:firstLine="709"/>
        <w:rPr>
          <w:rFonts w:ascii="Arial" w:hAnsi="Arial" w:cs="Arial"/>
          <w:color w:val="000000"/>
          <w:sz w:val="19"/>
          <w:szCs w:val="19"/>
          <w:lang w:val="es-CO"/>
        </w:rPr>
      </w:pPr>
      <w:proofErr w:type="gramStart"/>
      <w:r w:rsidRPr="006A11F5">
        <w:rPr>
          <w:rFonts w:ascii="Arial" w:eastAsia="Calibri" w:hAnsi="Arial" w:cs="Arial"/>
          <w:color w:val="000000"/>
          <w:sz w:val="19"/>
          <w:szCs w:val="19"/>
        </w:rPr>
        <w:t>»Capacidad</w:t>
      </w:r>
      <w:proofErr w:type="gramEnd"/>
      <w:r w:rsidRPr="006A11F5">
        <w:rPr>
          <w:rFonts w:ascii="Arial" w:eastAsia="Calibri" w:hAnsi="Arial" w:cs="Arial"/>
          <w:color w:val="000000"/>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sidRPr="006A11F5">
        <w:rPr>
          <w:rFonts w:ascii="Arial" w:hAnsi="Arial" w:cs="Arial"/>
          <w:color w:val="000000"/>
          <w:sz w:val="19"/>
          <w:szCs w:val="19"/>
          <w:lang w:val="es-CO"/>
        </w:rPr>
        <w:t xml:space="preserve"> </w:t>
      </w:r>
    </w:p>
    <w:p w14:paraId="146CF49B" w14:textId="77777777" w:rsidR="006A11F5" w:rsidRPr="006A11F5" w:rsidRDefault="006A11F5" w:rsidP="00AE564A">
      <w:pPr>
        <w:pStyle w:val="Textonotapie"/>
        <w:spacing w:after="0" w:line="240" w:lineRule="auto"/>
        <w:ind w:firstLine="709"/>
        <w:rPr>
          <w:rFonts w:ascii="Arial" w:hAnsi="Arial" w:cs="Arial"/>
          <w:color w:val="000000"/>
          <w:sz w:val="19"/>
          <w:szCs w:val="19"/>
          <w:lang w:val="es-CO"/>
        </w:rPr>
      </w:pPr>
    </w:p>
  </w:footnote>
  <w:footnote w:id="3">
    <w:p w14:paraId="32F096F5" w14:textId="77777777" w:rsidR="006A11F5" w:rsidRPr="006A11F5" w:rsidRDefault="006A11F5" w:rsidP="00AE564A">
      <w:pPr>
        <w:pStyle w:val="Textonotapie"/>
        <w:spacing w:after="0" w:line="240" w:lineRule="auto"/>
        <w:ind w:firstLine="709"/>
        <w:rPr>
          <w:rFonts w:ascii="Arial" w:hAnsi="Arial" w:cs="Arial"/>
          <w:color w:val="000000"/>
          <w:sz w:val="19"/>
          <w:szCs w:val="19"/>
          <w:lang w:val="es-CO"/>
        </w:rPr>
      </w:pPr>
      <w:r w:rsidRPr="006A11F5">
        <w:rPr>
          <w:rFonts w:ascii="Arial" w:eastAsia="Calibri" w:hAnsi="Arial" w:cs="Arial"/>
          <w:color w:val="000000"/>
          <w:sz w:val="19"/>
          <w:szCs w:val="19"/>
          <w:vertAlign w:val="superscript"/>
        </w:rPr>
        <w:footnoteRef/>
      </w:r>
      <w:r w:rsidRPr="006A11F5">
        <w:rPr>
          <w:rFonts w:ascii="Arial" w:eastAsia="Calibri" w:hAnsi="Arial" w:cs="Arial"/>
          <w:color w:val="000000"/>
          <w:sz w:val="19"/>
          <w:szCs w:val="19"/>
          <w:vertAlign w:val="superscript"/>
        </w:rPr>
        <w:t xml:space="preserve"> </w:t>
      </w:r>
      <w:r w:rsidRPr="006A11F5">
        <w:rPr>
          <w:rFonts w:ascii="Arial" w:eastAsia="Calibri" w:hAnsi="Arial" w:cs="Arial"/>
          <w:color w:val="000000"/>
          <w:sz w:val="19"/>
          <w:szCs w:val="19"/>
        </w:rPr>
        <w:t xml:space="preserve">Consejo de Estado. Sección Tercera. Sentencia del 26 de junio de 2003. Rad. 13.354. C.P: María Elena Giraldo Gómez. </w:t>
      </w:r>
    </w:p>
  </w:footnote>
  <w:footnote w:id="4">
    <w:p w14:paraId="52DBF4C4" w14:textId="77777777" w:rsidR="006A11F5" w:rsidRPr="00FB670A" w:rsidRDefault="006A11F5" w:rsidP="00AE564A">
      <w:pPr>
        <w:pStyle w:val="NormalWeb"/>
        <w:shd w:val="clear" w:color="auto" w:fill="FFFFFF"/>
        <w:spacing w:before="0" w:beforeAutospacing="0" w:after="0" w:afterAutospacing="0" w:line="240" w:lineRule="auto"/>
        <w:ind w:firstLine="709"/>
        <w:rPr>
          <w:rFonts w:ascii="Arial" w:hAnsi="Arial" w:cs="Arial"/>
          <w:sz w:val="19"/>
          <w:szCs w:val="19"/>
        </w:rPr>
      </w:pPr>
      <w:r w:rsidRPr="00816383">
        <w:rPr>
          <w:rStyle w:val="Refdenotaalpie"/>
          <w:rFonts w:ascii="Arial" w:hAnsi="Arial" w:cs="Arial"/>
          <w:sz w:val="19"/>
          <w:szCs w:val="19"/>
          <w:lang w:val="es-MX"/>
        </w:rPr>
        <w:footnoteRef/>
      </w:r>
      <w:r w:rsidRPr="00816383">
        <w:rPr>
          <w:rStyle w:val="Refdenotaalpie"/>
          <w:rFonts w:ascii="Arial" w:hAnsi="Arial" w:cs="Arial"/>
          <w:sz w:val="19"/>
          <w:szCs w:val="19"/>
          <w:lang w:val="es-MX"/>
        </w:rPr>
        <w:t xml:space="preserve"> </w:t>
      </w:r>
      <w:r w:rsidRPr="00816383">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5B49F325" w14:textId="77777777" w:rsidR="006A11F5" w:rsidRPr="00FB670A" w:rsidRDefault="006A11F5" w:rsidP="00CA6343">
      <w:pPr>
        <w:shd w:val="clear" w:color="auto" w:fill="FFFFFF"/>
        <w:spacing w:after="0" w:line="240" w:lineRule="auto"/>
        <w:ind w:firstLine="709"/>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F01BA84" w14:textId="77777777" w:rsidR="006A11F5" w:rsidRPr="00FB670A" w:rsidRDefault="006A11F5" w:rsidP="00CA6343">
      <w:pPr>
        <w:shd w:val="clear" w:color="auto" w:fill="FFFFFF"/>
        <w:spacing w:after="0" w:line="240" w:lineRule="auto"/>
        <w:ind w:firstLine="709"/>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05D3F42" w14:textId="77777777" w:rsidR="006A11F5" w:rsidRPr="00FB670A" w:rsidRDefault="006A11F5" w:rsidP="00CA6343">
      <w:pPr>
        <w:shd w:val="clear" w:color="auto" w:fill="FFFFFF"/>
        <w:spacing w:after="0" w:line="240" w:lineRule="auto"/>
        <w:ind w:firstLine="709"/>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6483FB9E" w14:textId="77777777" w:rsidR="00A13C07" w:rsidRPr="00EC64BC" w:rsidRDefault="00A13C07" w:rsidP="00CA6343">
      <w:pPr>
        <w:pStyle w:val="Textonotapie"/>
        <w:spacing w:after="0" w:line="240" w:lineRule="auto"/>
        <w:ind w:firstLine="708"/>
        <w:rPr>
          <w:rFonts w:ascii="Arial" w:hAnsi="Arial" w:cs="Arial"/>
          <w:bCs/>
          <w:iCs/>
          <w:sz w:val="19"/>
          <w:szCs w:val="19"/>
          <w:lang w:val="es-CO"/>
        </w:rPr>
      </w:pPr>
      <w:r w:rsidRPr="006E3ACD">
        <w:rPr>
          <w:rStyle w:val="Refdenotaalpie"/>
          <w:rFonts w:ascii="Arial" w:hAnsi="Arial" w:cs="Arial"/>
          <w:sz w:val="19"/>
          <w:szCs w:val="19"/>
        </w:rPr>
        <w:footnoteRef/>
      </w:r>
      <w:r w:rsidRPr="00EC64BC">
        <w:rPr>
          <w:rFonts w:ascii="Arial" w:hAnsi="Arial" w:cs="Arial"/>
          <w:sz w:val="19"/>
          <w:szCs w:val="19"/>
        </w:rPr>
        <w:t xml:space="preserve"> «</w:t>
      </w:r>
      <w:r w:rsidRPr="00EC64BC">
        <w:rPr>
          <w:rFonts w:ascii="Arial" w:hAnsi="Arial" w:cs="Arial"/>
          <w:bCs/>
          <w:sz w:val="19"/>
          <w:szCs w:val="19"/>
          <w:lang w:val="es-CO"/>
        </w:rPr>
        <w:t>Artículo</w:t>
      </w:r>
      <w:bookmarkStart w:id="21" w:name="72"/>
      <w:r w:rsidRPr="00EC64BC">
        <w:rPr>
          <w:rFonts w:ascii="Arial" w:hAnsi="Arial" w:cs="Arial"/>
          <w:bCs/>
          <w:sz w:val="19"/>
          <w:szCs w:val="19"/>
          <w:lang w:val="es-CO"/>
        </w:rPr>
        <w:t> </w:t>
      </w:r>
      <w:bookmarkEnd w:id="21"/>
      <w:r w:rsidRPr="00EC64BC">
        <w:rPr>
          <w:rFonts w:ascii="Arial" w:hAnsi="Arial" w:cs="Arial"/>
          <w:bCs/>
          <w:sz w:val="19"/>
          <w:szCs w:val="19"/>
          <w:lang w:val="es-CO"/>
        </w:rPr>
        <w:t>72.</w:t>
      </w:r>
      <w:r w:rsidRPr="00EC64BC">
        <w:rPr>
          <w:rFonts w:ascii="Arial" w:hAnsi="Arial" w:cs="Arial"/>
          <w:sz w:val="19"/>
          <w:szCs w:val="19"/>
          <w:lang w:val="es-CO"/>
        </w:rPr>
        <w:t> </w:t>
      </w:r>
      <w:r w:rsidRPr="00EC64BC">
        <w:rPr>
          <w:rFonts w:ascii="Arial" w:hAnsi="Arial" w:cs="Arial"/>
          <w:bCs/>
          <w:iCs/>
          <w:sz w:val="19"/>
          <w:szCs w:val="19"/>
          <w:lang w:val="es-CO"/>
        </w:rPr>
        <w:t>Capacidad residual de contratación pública</w:t>
      </w:r>
      <w:r w:rsidRPr="00EC64BC">
        <w:rPr>
          <w:rFonts w:ascii="Arial" w:hAnsi="Arial" w:cs="Arial"/>
          <w:sz w:val="19"/>
          <w:szCs w:val="19"/>
          <w:lang w:val="es-CO"/>
        </w:rPr>
        <w:t>:</w:t>
      </w:r>
      <w:r w:rsidRPr="00EC64BC">
        <w:rPr>
          <w:rFonts w:ascii="Arial" w:hAnsi="Arial" w:cs="Arial"/>
          <w:b/>
          <w:bCs/>
          <w:i/>
          <w:iCs/>
          <w:sz w:val="19"/>
          <w:szCs w:val="19"/>
          <w:lang w:val="es-CO"/>
        </w:rPr>
        <w:t xml:space="preserve"> </w:t>
      </w:r>
      <w:r w:rsidRPr="00EC64BC">
        <w:rPr>
          <w:rFonts w:ascii="Arial" w:hAnsi="Arial" w:cs="Arial"/>
          <w:sz w:val="19"/>
          <w:szCs w:val="19"/>
          <w:lang w:val="es-CO"/>
        </w:rPr>
        <w:t>La capacidad residual de contratación cuando obra pública se obtendrá de sustraer de la capacidad del valor de los contratos en ejecución.</w:t>
      </w:r>
    </w:p>
    <w:p w14:paraId="3658BE41" w14:textId="77777777" w:rsidR="00A13C07" w:rsidRPr="00EC64BC" w:rsidRDefault="00A13C07" w:rsidP="00CA6343">
      <w:pPr>
        <w:pStyle w:val="Textonotapie"/>
        <w:spacing w:after="0" w:line="240" w:lineRule="auto"/>
        <w:ind w:firstLine="708"/>
        <w:rPr>
          <w:rFonts w:ascii="Arial" w:hAnsi="Arial" w:cs="Arial"/>
          <w:sz w:val="19"/>
          <w:szCs w:val="19"/>
          <w:lang w:val="es-CO"/>
        </w:rPr>
      </w:pPr>
      <w:proofErr w:type="gramStart"/>
      <w:r w:rsidRPr="00EC64BC">
        <w:rPr>
          <w:rFonts w:ascii="Arial" w:hAnsi="Arial" w:cs="Arial"/>
          <w:sz w:val="19"/>
          <w:szCs w:val="19"/>
          <w:lang w:val="es-CO"/>
        </w:rPr>
        <w:t>»La</w:t>
      </w:r>
      <w:proofErr w:type="gramEnd"/>
      <w:r w:rsidRPr="00EC64BC">
        <w:rPr>
          <w:rFonts w:ascii="Arial" w:hAnsi="Arial" w:cs="Arial"/>
          <w:sz w:val="19"/>
          <w:szCs w:val="19"/>
          <w:lang w:val="es-CO"/>
        </w:rPr>
        <w:t xml:space="preserve"> capacidad de contratación se deberá calcular mediante la evaluación de los siguientes factores: Experiencia (E), Capacidad Financiera (CF), Capacidad Técnica (CT), y Capacidad de Organización (CO).</w:t>
      </w:r>
    </w:p>
    <w:p w14:paraId="0587A5FF" w14:textId="77777777" w:rsidR="00A13C07" w:rsidRPr="00EC64BC" w:rsidRDefault="00A13C07" w:rsidP="00CA6343">
      <w:pPr>
        <w:pStyle w:val="Textonotapie"/>
        <w:spacing w:after="0" w:line="240" w:lineRule="auto"/>
        <w:ind w:firstLine="708"/>
        <w:rPr>
          <w:rFonts w:ascii="Arial" w:hAnsi="Arial" w:cs="Arial"/>
          <w:sz w:val="19"/>
          <w:szCs w:val="19"/>
          <w:lang w:val="es-CO"/>
        </w:rPr>
      </w:pPr>
      <w:proofErr w:type="gramStart"/>
      <w:r w:rsidRPr="00EC64BC">
        <w:rPr>
          <w:rFonts w:ascii="Arial" w:hAnsi="Arial" w:cs="Arial"/>
          <w:sz w:val="19"/>
          <w:szCs w:val="19"/>
          <w:lang w:val="es-CO"/>
        </w:rPr>
        <w:t>»Para</w:t>
      </w:r>
      <w:proofErr w:type="gramEnd"/>
      <w:r w:rsidRPr="00EC64BC">
        <w:rPr>
          <w:rFonts w:ascii="Arial" w:hAnsi="Arial" w:cs="Arial"/>
          <w:sz w:val="19"/>
          <w:szCs w:val="19"/>
          <w:lang w:val="es-CO"/>
        </w:rPr>
        <w:t xml:space="preserve"> los efectos de la evaluación de los factores mencionados en el inciso anterior, por ningún motivo, ni bajo ninguna circunstancia se podrán tener en cuenta la rentabilidad y las utilidades.</w:t>
      </w:r>
    </w:p>
    <w:p w14:paraId="3FF7EE12" w14:textId="77777777" w:rsidR="00A13C07" w:rsidRPr="00EC64BC" w:rsidRDefault="00A13C07" w:rsidP="00CA6343">
      <w:pPr>
        <w:pStyle w:val="Textonotapie"/>
        <w:spacing w:after="0" w:line="240" w:lineRule="auto"/>
        <w:ind w:firstLine="708"/>
        <w:rPr>
          <w:rFonts w:ascii="Arial" w:hAnsi="Arial" w:cs="Arial"/>
          <w:sz w:val="19"/>
          <w:szCs w:val="19"/>
          <w:lang w:val="es-CO"/>
        </w:rPr>
      </w:pPr>
      <w:proofErr w:type="gramStart"/>
      <w:r w:rsidRPr="00EC64BC">
        <w:rPr>
          <w:rFonts w:ascii="Arial" w:hAnsi="Arial" w:cs="Arial"/>
          <w:sz w:val="19"/>
          <w:szCs w:val="19"/>
          <w:lang w:val="es-CO"/>
        </w:rPr>
        <w:t>»El</w:t>
      </w:r>
      <w:proofErr w:type="gramEnd"/>
      <w:r w:rsidRPr="00EC64BC">
        <w:rPr>
          <w:rFonts w:ascii="Arial" w:hAnsi="Arial" w:cs="Arial"/>
          <w:sz w:val="19"/>
          <w:szCs w:val="19"/>
          <w:lang w:val="es-CO"/>
        </w:rPr>
        <w:t xml:space="preserve">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2574F87D" w14:textId="77777777" w:rsidR="00A13C07" w:rsidRPr="00EC64BC" w:rsidRDefault="00A13C07" w:rsidP="00CA6343">
      <w:pPr>
        <w:pStyle w:val="Textonotapie"/>
        <w:spacing w:after="0" w:line="240" w:lineRule="auto"/>
        <w:ind w:firstLine="708"/>
        <w:rPr>
          <w:rFonts w:ascii="Arial" w:hAnsi="Arial" w:cs="Arial"/>
          <w:sz w:val="19"/>
          <w:szCs w:val="19"/>
          <w:lang w:val="es-CO"/>
        </w:rPr>
      </w:pPr>
    </w:p>
  </w:footnote>
  <w:footnote w:id="6">
    <w:p w14:paraId="136DA5FC" w14:textId="77777777" w:rsidR="00A13C07" w:rsidRPr="00EC64BC" w:rsidRDefault="00A13C07" w:rsidP="00CA6343">
      <w:pPr>
        <w:pStyle w:val="NormalWeb"/>
        <w:shd w:val="clear" w:color="auto" w:fill="FFFFFF"/>
        <w:spacing w:before="0" w:beforeAutospacing="0" w:after="0" w:afterAutospacing="0" w:line="240" w:lineRule="auto"/>
        <w:ind w:firstLine="708"/>
        <w:rPr>
          <w:rFonts w:ascii="Arial" w:hAnsi="Arial" w:cs="Arial"/>
          <w:sz w:val="19"/>
          <w:szCs w:val="19"/>
        </w:rPr>
      </w:pPr>
      <w:r w:rsidRPr="006E3ACD">
        <w:rPr>
          <w:rStyle w:val="Refdenotaalpie"/>
          <w:rFonts w:ascii="Arial" w:hAnsi="Arial" w:cs="Arial"/>
          <w:sz w:val="19"/>
          <w:szCs w:val="19"/>
        </w:rPr>
        <w:footnoteRef/>
      </w:r>
      <w:r w:rsidRPr="006E3ACD">
        <w:rPr>
          <w:rStyle w:val="Refdenotaalpie"/>
          <w:rFonts w:ascii="Arial" w:hAnsi="Arial" w:cs="Arial"/>
          <w:sz w:val="19"/>
          <w:szCs w:val="19"/>
        </w:rPr>
        <w:t xml:space="preserve"> </w:t>
      </w:r>
      <w:r w:rsidRPr="00EC64BC">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70856E77" w14:textId="77777777" w:rsidR="00A13C07" w:rsidRPr="00EC64BC" w:rsidRDefault="00A13C07" w:rsidP="00CA6343">
      <w:pPr>
        <w:shd w:val="clear" w:color="auto" w:fill="FFFFFF"/>
        <w:spacing w:after="0" w:line="240" w:lineRule="auto"/>
        <w:ind w:firstLine="709"/>
        <w:rPr>
          <w:rFonts w:ascii="Arial" w:hAnsi="Arial" w:cs="Arial"/>
          <w:sz w:val="19"/>
          <w:szCs w:val="19"/>
        </w:rPr>
      </w:pPr>
      <w:r w:rsidRPr="00EC64BC">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49EBB4BB" w14:textId="77777777" w:rsidR="00A13C07" w:rsidRPr="00EC64BC" w:rsidRDefault="00A13C07" w:rsidP="00CA6343">
      <w:pPr>
        <w:shd w:val="clear" w:color="auto" w:fill="FFFFFF"/>
        <w:spacing w:after="0" w:line="240" w:lineRule="auto"/>
        <w:ind w:firstLine="709"/>
        <w:rPr>
          <w:rFonts w:ascii="Arial" w:hAnsi="Arial" w:cs="Arial"/>
          <w:sz w:val="19"/>
          <w:szCs w:val="19"/>
        </w:rPr>
      </w:pPr>
      <w:r w:rsidRPr="00EC64BC">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2813A2E" w14:textId="77777777" w:rsidR="00A13C07" w:rsidRPr="00EC64BC" w:rsidRDefault="00A13C07" w:rsidP="00AE564A">
      <w:pPr>
        <w:shd w:val="clear" w:color="auto" w:fill="FFFFFF"/>
        <w:spacing w:after="0" w:line="240" w:lineRule="auto"/>
        <w:ind w:firstLine="709"/>
        <w:rPr>
          <w:rFonts w:ascii="Arial" w:hAnsi="Arial" w:cs="Arial"/>
          <w:sz w:val="19"/>
          <w:szCs w:val="19"/>
        </w:rPr>
      </w:pPr>
      <w:r w:rsidRPr="00EC64BC">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62A1E527" w14:textId="77777777" w:rsidR="00A13C07" w:rsidRPr="00EC64BC" w:rsidRDefault="00A13C07" w:rsidP="00AE564A">
      <w:pPr>
        <w:shd w:val="clear" w:color="auto" w:fill="FFFFFF"/>
        <w:spacing w:after="0" w:line="240" w:lineRule="auto"/>
        <w:ind w:firstLine="708"/>
        <w:rPr>
          <w:rFonts w:ascii="Arial" w:hAnsi="Arial" w:cs="Arial"/>
          <w:sz w:val="19"/>
          <w:szCs w:val="19"/>
        </w:rPr>
      </w:pPr>
    </w:p>
  </w:footnote>
  <w:footnote w:id="7">
    <w:p w14:paraId="77E0FF7A" w14:textId="77777777" w:rsidR="00A13C07" w:rsidRPr="00EC64BC" w:rsidRDefault="00A13C07" w:rsidP="00AE564A">
      <w:pPr>
        <w:pStyle w:val="Textonotapie"/>
        <w:spacing w:after="0" w:line="240" w:lineRule="auto"/>
        <w:ind w:firstLine="708"/>
        <w:rPr>
          <w:rFonts w:ascii="Arial" w:hAnsi="Arial" w:cs="Arial"/>
          <w:sz w:val="19"/>
          <w:szCs w:val="19"/>
        </w:rPr>
      </w:pPr>
      <w:r w:rsidRPr="00EC64BC">
        <w:rPr>
          <w:rStyle w:val="Refdenotaalpie"/>
          <w:rFonts w:ascii="Arial" w:hAnsi="Arial" w:cs="Arial"/>
          <w:sz w:val="19"/>
          <w:szCs w:val="19"/>
        </w:rPr>
        <w:footnoteRef/>
      </w:r>
      <w:r w:rsidRPr="00EC64BC">
        <w:rPr>
          <w:rFonts w:ascii="Arial" w:hAnsi="Arial" w:cs="Arial"/>
          <w:sz w:val="19"/>
          <w:szCs w:val="19"/>
        </w:rPr>
        <w:t xml:space="preserve"> Colombia Compra Eficiente. Concepto C-297 del 4 de junio de 2020.  Retirado recientemente en los Conceptos C-667 del 7 de diciembre de 2021, C-</w:t>
      </w:r>
      <w:r w:rsidRPr="00EC64BC">
        <w:rPr>
          <w:rFonts w:ascii="Arial" w:hAnsi="Arial" w:cs="Arial"/>
          <w:sz w:val="19"/>
          <w:szCs w:val="19"/>
          <w:lang w:val="es-CO"/>
        </w:rPr>
        <w:t xml:space="preserve">663 del 30 de noviembre de 2021, C-513 del 23 de septiembre de 2021 y </w:t>
      </w:r>
      <w:r w:rsidRPr="00EC64BC">
        <w:rPr>
          <w:rFonts w:ascii="Arial" w:hAnsi="Arial" w:cs="Arial"/>
          <w:sz w:val="19"/>
          <w:szCs w:val="19"/>
        </w:rPr>
        <w:t>C-460 del 2 de septiembre de 2021.</w:t>
      </w:r>
    </w:p>
  </w:footnote>
  <w:footnote w:id="8">
    <w:p w14:paraId="1602720D" w14:textId="767ABC29" w:rsidR="00A13C07" w:rsidRPr="00EC64BC" w:rsidRDefault="00A13C07" w:rsidP="00AE564A">
      <w:pPr>
        <w:pStyle w:val="Textonotapie"/>
        <w:spacing w:after="0" w:line="240" w:lineRule="auto"/>
        <w:ind w:firstLine="708"/>
        <w:rPr>
          <w:rFonts w:ascii="Arial" w:hAnsi="Arial" w:cs="Arial"/>
          <w:sz w:val="19"/>
          <w:szCs w:val="19"/>
        </w:rPr>
      </w:pPr>
      <w:r w:rsidRPr="00EC64BC">
        <w:rPr>
          <w:rStyle w:val="Refdenotaalpie"/>
          <w:rFonts w:ascii="Arial" w:hAnsi="Arial" w:cs="Arial"/>
          <w:sz w:val="19"/>
          <w:szCs w:val="19"/>
        </w:rPr>
        <w:footnoteRef/>
      </w:r>
      <w:r w:rsidRPr="00EC64BC">
        <w:rPr>
          <w:rFonts w:ascii="Arial" w:hAnsi="Arial" w:cs="Arial"/>
          <w:sz w:val="19"/>
          <w:szCs w:val="19"/>
        </w:rPr>
        <w:t xml:space="preserve"> Concepto C-196 de 2020. Radicado de entrada No. 4202013000001559. Radicado de salida No. 2202013000002534.</w:t>
      </w:r>
    </w:p>
  </w:footnote>
  <w:footnote w:id="9">
    <w:p w14:paraId="76DE076E" w14:textId="77777777" w:rsidR="00A13C07" w:rsidRPr="006E3ACD" w:rsidRDefault="00A13C07" w:rsidP="00AE564A">
      <w:pPr>
        <w:pStyle w:val="Textonotapie"/>
        <w:spacing w:after="0" w:line="240" w:lineRule="auto"/>
        <w:ind w:firstLine="709"/>
        <w:rPr>
          <w:rFonts w:ascii="Arial" w:hAnsi="Arial" w:cs="Arial"/>
          <w:sz w:val="19"/>
          <w:szCs w:val="19"/>
        </w:rPr>
      </w:pPr>
      <w:r w:rsidRPr="006E3ACD">
        <w:rPr>
          <w:rStyle w:val="Refdenotaalpie"/>
          <w:rFonts w:ascii="Arial" w:hAnsi="Arial" w:cs="Arial"/>
          <w:sz w:val="19"/>
          <w:szCs w:val="19"/>
        </w:rPr>
        <w:footnoteRef/>
      </w:r>
      <w:r w:rsidRPr="006E3ACD">
        <w:rPr>
          <w:rFonts w:ascii="Arial" w:hAnsi="Arial" w:cs="Arial"/>
          <w:sz w:val="19"/>
          <w:szCs w:val="19"/>
        </w:rPr>
        <w:t xml:space="preserve"> Ley 80 de 1993: «Artículo 41º.- Del Perfeccionamiento del Contrato. Los contratos del Estado se perfeccionan cuando se logre acuerdo sobre el objeto y la contraprestación y éste se eleve a escrito.</w:t>
      </w:r>
    </w:p>
    <w:p w14:paraId="3ECFF555" w14:textId="77777777" w:rsidR="00A13C07" w:rsidRPr="006E3ACD" w:rsidRDefault="00A13C07" w:rsidP="00AE564A">
      <w:pPr>
        <w:pStyle w:val="Textonotapie"/>
        <w:spacing w:after="0" w:line="240" w:lineRule="auto"/>
        <w:ind w:firstLine="708"/>
        <w:rPr>
          <w:rFonts w:ascii="Arial" w:hAnsi="Arial" w:cs="Arial"/>
          <w:sz w:val="19"/>
          <w:szCs w:val="19"/>
        </w:rPr>
      </w:pPr>
      <w:proofErr w:type="gramStart"/>
      <w:r w:rsidRPr="006E3ACD">
        <w:rPr>
          <w:rFonts w:ascii="Arial" w:hAnsi="Arial" w:cs="Arial"/>
          <w:sz w:val="19"/>
          <w:szCs w:val="19"/>
        </w:rPr>
        <w:t>»Para</w:t>
      </w:r>
      <w:proofErr w:type="gramEnd"/>
      <w:r w:rsidRPr="006E3ACD">
        <w:rPr>
          <w:rFonts w:ascii="Arial" w:hAnsi="Arial" w:cs="Arial"/>
          <w:sz w:val="19"/>
          <w:szCs w:val="19"/>
        </w:rPr>
        <w:t xml:space="preserve">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6723387">
    <w:abstractNumId w:val="11"/>
  </w:num>
  <w:num w:numId="2" w16cid:durableId="1958440169">
    <w:abstractNumId w:val="9"/>
  </w:num>
  <w:num w:numId="3" w16cid:durableId="316155424">
    <w:abstractNumId w:val="15"/>
  </w:num>
  <w:num w:numId="4" w16cid:durableId="1768383740">
    <w:abstractNumId w:val="21"/>
  </w:num>
  <w:num w:numId="5" w16cid:durableId="1484350696">
    <w:abstractNumId w:val="23"/>
  </w:num>
  <w:num w:numId="6" w16cid:durableId="158911959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550102">
    <w:abstractNumId w:val="6"/>
  </w:num>
  <w:num w:numId="8" w16cid:durableId="1737043428">
    <w:abstractNumId w:val="24"/>
  </w:num>
  <w:num w:numId="9" w16cid:durableId="1268270013">
    <w:abstractNumId w:val="6"/>
    <w:lvlOverride w:ilvl="0">
      <w:startOverride w:val="1"/>
    </w:lvlOverride>
  </w:num>
  <w:num w:numId="10" w16cid:durableId="706569284">
    <w:abstractNumId w:val="25"/>
  </w:num>
  <w:num w:numId="11" w16cid:durableId="1309550324">
    <w:abstractNumId w:val="7"/>
  </w:num>
  <w:num w:numId="12" w16cid:durableId="2042898743">
    <w:abstractNumId w:val="2"/>
  </w:num>
  <w:num w:numId="13" w16cid:durableId="290479431">
    <w:abstractNumId w:val="4"/>
  </w:num>
  <w:num w:numId="14" w16cid:durableId="1064569126">
    <w:abstractNumId w:val="20"/>
  </w:num>
  <w:num w:numId="15" w16cid:durableId="1195926361">
    <w:abstractNumId w:val="13"/>
  </w:num>
  <w:num w:numId="16" w16cid:durableId="1651592925">
    <w:abstractNumId w:val="10"/>
  </w:num>
  <w:num w:numId="17" w16cid:durableId="646201754">
    <w:abstractNumId w:val="14"/>
  </w:num>
  <w:num w:numId="18" w16cid:durableId="209729287">
    <w:abstractNumId w:val="16"/>
  </w:num>
  <w:num w:numId="19" w16cid:durableId="506094081">
    <w:abstractNumId w:val="5"/>
  </w:num>
  <w:num w:numId="20" w16cid:durableId="728847338">
    <w:abstractNumId w:val="27"/>
  </w:num>
  <w:num w:numId="21" w16cid:durableId="2070036288">
    <w:abstractNumId w:val="22"/>
  </w:num>
  <w:num w:numId="22" w16cid:durableId="1975478088">
    <w:abstractNumId w:val="18"/>
  </w:num>
  <w:num w:numId="23" w16cid:durableId="1406099759">
    <w:abstractNumId w:val="17"/>
  </w:num>
  <w:num w:numId="24" w16cid:durableId="1081949993">
    <w:abstractNumId w:val="8"/>
  </w:num>
  <w:num w:numId="25" w16cid:durableId="2041709872">
    <w:abstractNumId w:val="19"/>
  </w:num>
  <w:num w:numId="26" w16cid:durableId="1114787580">
    <w:abstractNumId w:val="1"/>
  </w:num>
  <w:num w:numId="27" w16cid:durableId="2065519921">
    <w:abstractNumId w:val="12"/>
  </w:num>
  <w:num w:numId="28" w16cid:durableId="869076342">
    <w:abstractNumId w:val="26"/>
  </w:num>
  <w:num w:numId="29" w16cid:durableId="123697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2D"/>
    <w:rsid w:val="0000210D"/>
    <w:rsid w:val="0000268F"/>
    <w:rsid w:val="000029BC"/>
    <w:rsid w:val="000031A6"/>
    <w:rsid w:val="00003AEE"/>
    <w:rsid w:val="0000404B"/>
    <w:rsid w:val="00004F5E"/>
    <w:rsid w:val="000058C4"/>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8AF"/>
    <w:rsid w:val="00020D8D"/>
    <w:rsid w:val="000236CF"/>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37F22"/>
    <w:rsid w:val="00043CEC"/>
    <w:rsid w:val="000465F7"/>
    <w:rsid w:val="00046F46"/>
    <w:rsid w:val="000471AA"/>
    <w:rsid w:val="0004770A"/>
    <w:rsid w:val="000503A1"/>
    <w:rsid w:val="00050E2C"/>
    <w:rsid w:val="00051590"/>
    <w:rsid w:val="000522B1"/>
    <w:rsid w:val="0005275D"/>
    <w:rsid w:val="000527A5"/>
    <w:rsid w:val="00052CE1"/>
    <w:rsid w:val="00052D8F"/>
    <w:rsid w:val="00053983"/>
    <w:rsid w:val="00053991"/>
    <w:rsid w:val="00054C6E"/>
    <w:rsid w:val="00054E46"/>
    <w:rsid w:val="00055141"/>
    <w:rsid w:val="00055B28"/>
    <w:rsid w:val="00055CDC"/>
    <w:rsid w:val="00056024"/>
    <w:rsid w:val="00056809"/>
    <w:rsid w:val="000568C7"/>
    <w:rsid w:val="000576A6"/>
    <w:rsid w:val="00057953"/>
    <w:rsid w:val="00057D35"/>
    <w:rsid w:val="00061727"/>
    <w:rsid w:val="00061C7B"/>
    <w:rsid w:val="0006235E"/>
    <w:rsid w:val="0006293E"/>
    <w:rsid w:val="0006331A"/>
    <w:rsid w:val="00063E52"/>
    <w:rsid w:val="000641BE"/>
    <w:rsid w:val="00064542"/>
    <w:rsid w:val="0006625D"/>
    <w:rsid w:val="00066743"/>
    <w:rsid w:val="00067665"/>
    <w:rsid w:val="0007053F"/>
    <w:rsid w:val="00070770"/>
    <w:rsid w:val="00070A22"/>
    <w:rsid w:val="00071D6E"/>
    <w:rsid w:val="00072274"/>
    <w:rsid w:val="000731F3"/>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C08"/>
    <w:rsid w:val="000873C1"/>
    <w:rsid w:val="00087888"/>
    <w:rsid w:val="00087D9E"/>
    <w:rsid w:val="00090D35"/>
    <w:rsid w:val="000914F4"/>
    <w:rsid w:val="0009180B"/>
    <w:rsid w:val="00092CEE"/>
    <w:rsid w:val="000932C2"/>
    <w:rsid w:val="000939E0"/>
    <w:rsid w:val="00093D35"/>
    <w:rsid w:val="0009402D"/>
    <w:rsid w:val="000942EB"/>
    <w:rsid w:val="000953A7"/>
    <w:rsid w:val="0009651A"/>
    <w:rsid w:val="00096EAB"/>
    <w:rsid w:val="0009712F"/>
    <w:rsid w:val="000972BA"/>
    <w:rsid w:val="000976FD"/>
    <w:rsid w:val="00097ABD"/>
    <w:rsid w:val="00097B95"/>
    <w:rsid w:val="000A15CB"/>
    <w:rsid w:val="000A1B81"/>
    <w:rsid w:val="000A1DA7"/>
    <w:rsid w:val="000A2C01"/>
    <w:rsid w:val="000A4D0D"/>
    <w:rsid w:val="000A5189"/>
    <w:rsid w:val="000A5777"/>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695E"/>
    <w:rsid w:val="000B707E"/>
    <w:rsid w:val="000C00B6"/>
    <w:rsid w:val="000C0B7C"/>
    <w:rsid w:val="000C21BA"/>
    <w:rsid w:val="000C2DD2"/>
    <w:rsid w:val="000C5BA1"/>
    <w:rsid w:val="000C6347"/>
    <w:rsid w:val="000C7235"/>
    <w:rsid w:val="000C73E5"/>
    <w:rsid w:val="000C755D"/>
    <w:rsid w:val="000C7852"/>
    <w:rsid w:val="000C7BB6"/>
    <w:rsid w:val="000D0148"/>
    <w:rsid w:val="000D05AD"/>
    <w:rsid w:val="000D0AFA"/>
    <w:rsid w:val="000D17D2"/>
    <w:rsid w:val="000D28E0"/>
    <w:rsid w:val="000D2ADD"/>
    <w:rsid w:val="000D44F0"/>
    <w:rsid w:val="000D457E"/>
    <w:rsid w:val="000D5150"/>
    <w:rsid w:val="000D58C2"/>
    <w:rsid w:val="000D75DD"/>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45BF"/>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12CF"/>
    <w:rsid w:val="00111438"/>
    <w:rsid w:val="00111636"/>
    <w:rsid w:val="00112192"/>
    <w:rsid w:val="00112D2F"/>
    <w:rsid w:val="00112D6B"/>
    <w:rsid w:val="001139AE"/>
    <w:rsid w:val="00114236"/>
    <w:rsid w:val="00114A81"/>
    <w:rsid w:val="00114E2B"/>
    <w:rsid w:val="001152BA"/>
    <w:rsid w:val="0011536E"/>
    <w:rsid w:val="0011561C"/>
    <w:rsid w:val="0011730D"/>
    <w:rsid w:val="001208F1"/>
    <w:rsid w:val="00121409"/>
    <w:rsid w:val="001214FF"/>
    <w:rsid w:val="001229C6"/>
    <w:rsid w:val="00122B23"/>
    <w:rsid w:val="00123C67"/>
    <w:rsid w:val="001245D8"/>
    <w:rsid w:val="00124E73"/>
    <w:rsid w:val="00124EC3"/>
    <w:rsid w:val="00124EE5"/>
    <w:rsid w:val="00125291"/>
    <w:rsid w:val="00125390"/>
    <w:rsid w:val="00125D4C"/>
    <w:rsid w:val="00126087"/>
    <w:rsid w:val="001260C4"/>
    <w:rsid w:val="0012687C"/>
    <w:rsid w:val="0012754A"/>
    <w:rsid w:val="00127BA6"/>
    <w:rsid w:val="0013045B"/>
    <w:rsid w:val="001308DC"/>
    <w:rsid w:val="001310A5"/>
    <w:rsid w:val="001316AB"/>
    <w:rsid w:val="0013236F"/>
    <w:rsid w:val="001332D0"/>
    <w:rsid w:val="00134030"/>
    <w:rsid w:val="001342C0"/>
    <w:rsid w:val="001344AA"/>
    <w:rsid w:val="001355F5"/>
    <w:rsid w:val="00135C93"/>
    <w:rsid w:val="00136A94"/>
    <w:rsid w:val="00137BA1"/>
    <w:rsid w:val="00137FFA"/>
    <w:rsid w:val="00140015"/>
    <w:rsid w:val="001406ED"/>
    <w:rsid w:val="00141C42"/>
    <w:rsid w:val="00141E84"/>
    <w:rsid w:val="00141F99"/>
    <w:rsid w:val="001420C8"/>
    <w:rsid w:val="001425C5"/>
    <w:rsid w:val="001448B5"/>
    <w:rsid w:val="001453EF"/>
    <w:rsid w:val="0014582F"/>
    <w:rsid w:val="00145AAA"/>
    <w:rsid w:val="00146E1D"/>
    <w:rsid w:val="00147605"/>
    <w:rsid w:val="0014792F"/>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291F"/>
    <w:rsid w:val="0016397F"/>
    <w:rsid w:val="001640BC"/>
    <w:rsid w:val="001650A0"/>
    <w:rsid w:val="00165EA8"/>
    <w:rsid w:val="0016680A"/>
    <w:rsid w:val="00167B9D"/>
    <w:rsid w:val="00167F0C"/>
    <w:rsid w:val="00170733"/>
    <w:rsid w:val="00170813"/>
    <w:rsid w:val="00170C89"/>
    <w:rsid w:val="00170E51"/>
    <w:rsid w:val="00171D50"/>
    <w:rsid w:val="00172B2A"/>
    <w:rsid w:val="00172E0A"/>
    <w:rsid w:val="00173980"/>
    <w:rsid w:val="00173D30"/>
    <w:rsid w:val="00174107"/>
    <w:rsid w:val="00174FBC"/>
    <w:rsid w:val="0017528B"/>
    <w:rsid w:val="001755EC"/>
    <w:rsid w:val="00175795"/>
    <w:rsid w:val="001765FA"/>
    <w:rsid w:val="001770E9"/>
    <w:rsid w:val="00177BAA"/>
    <w:rsid w:val="00180B3B"/>
    <w:rsid w:val="001811CA"/>
    <w:rsid w:val="00182427"/>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4D86"/>
    <w:rsid w:val="001B528A"/>
    <w:rsid w:val="001B53B4"/>
    <w:rsid w:val="001B59D6"/>
    <w:rsid w:val="001B6044"/>
    <w:rsid w:val="001B686F"/>
    <w:rsid w:val="001B7618"/>
    <w:rsid w:val="001B7DEA"/>
    <w:rsid w:val="001C1A26"/>
    <w:rsid w:val="001C219D"/>
    <w:rsid w:val="001C2F1A"/>
    <w:rsid w:val="001C33CB"/>
    <w:rsid w:val="001C398F"/>
    <w:rsid w:val="001C4EEE"/>
    <w:rsid w:val="001C5292"/>
    <w:rsid w:val="001C722C"/>
    <w:rsid w:val="001C775D"/>
    <w:rsid w:val="001D0988"/>
    <w:rsid w:val="001D172E"/>
    <w:rsid w:val="001D1FD0"/>
    <w:rsid w:val="001D2E79"/>
    <w:rsid w:val="001D4536"/>
    <w:rsid w:val="001D5E4D"/>
    <w:rsid w:val="001D64EC"/>
    <w:rsid w:val="001D6B16"/>
    <w:rsid w:val="001D7B74"/>
    <w:rsid w:val="001E0042"/>
    <w:rsid w:val="001E008B"/>
    <w:rsid w:val="001E0545"/>
    <w:rsid w:val="001E0849"/>
    <w:rsid w:val="001E118B"/>
    <w:rsid w:val="001E124E"/>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E0A"/>
    <w:rsid w:val="001F62DC"/>
    <w:rsid w:val="001F63E1"/>
    <w:rsid w:val="001F64DE"/>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07CEA"/>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0ED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58E"/>
    <w:rsid w:val="00231E50"/>
    <w:rsid w:val="0023236C"/>
    <w:rsid w:val="00233A24"/>
    <w:rsid w:val="00233DF3"/>
    <w:rsid w:val="00234500"/>
    <w:rsid w:val="0023484E"/>
    <w:rsid w:val="00234B84"/>
    <w:rsid w:val="00235B42"/>
    <w:rsid w:val="00236137"/>
    <w:rsid w:val="00236740"/>
    <w:rsid w:val="00237253"/>
    <w:rsid w:val="00237329"/>
    <w:rsid w:val="002400B3"/>
    <w:rsid w:val="00240225"/>
    <w:rsid w:val="00240A06"/>
    <w:rsid w:val="002416BA"/>
    <w:rsid w:val="00241AB9"/>
    <w:rsid w:val="002427B1"/>
    <w:rsid w:val="0024280B"/>
    <w:rsid w:val="00244181"/>
    <w:rsid w:val="002446B8"/>
    <w:rsid w:val="00244C00"/>
    <w:rsid w:val="0024535C"/>
    <w:rsid w:val="002457FD"/>
    <w:rsid w:val="00245C7E"/>
    <w:rsid w:val="00246AB2"/>
    <w:rsid w:val="00250718"/>
    <w:rsid w:val="00251445"/>
    <w:rsid w:val="0025237E"/>
    <w:rsid w:val="002523D6"/>
    <w:rsid w:val="00252AEC"/>
    <w:rsid w:val="00253276"/>
    <w:rsid w:val="002536AE"/>
    <w:rsid w:val="00253C1D"/>
    <w:rsid w:val="00254319"/>
    <w:rsid w:val="00254D37"/>
    <w:rsid w:val="002553F1"/>
    <w:rsid w:val="0025578A"/>
    <w:rsid w:val="002563B9"/>
    <w:rsid w:val="0025685E"/>
    <w:rsid w:val="0025768C"/>
    <w:rsid w:val="00257BC1"/>
    <w:rsid w:val="00257C73"/>
    <w:rsid w:val="00257F4E"/>
    <w:rsid w:val="00261631"/>
    <w:rsid w:val="00264666"/>
    <w:rsid w:val="00264924"/>
    <w:rsid w:val="00264AE6"/>
    <w:rsid w:val="00265C96"/>
    <w:rsid w:val="00265CEB"/>
    <w:rsid w:val="00265ED0"/>
    <w:rsid w:val="00265F6D"/>
    <w:rsid w:val="00266E0C"/>
    <w:rsid w:val="0026775B"/>
    <w:rsid w:val="00270234"/>
    <w:rsid w:val="0027071C"/>
    <w:rsid w:val="0027122E"/>
    <w:rsid w:val="00272C62"/>
    <w:rsid w:val="00274F54"/>
    <w:rsid w:val="002755B8"/>
    <w:rsid w:val="00275701"/>
    <w:rsid w:val="0027630F"/>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30C"/>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6EA4"/>
    <w:rsid w:val="00296FA3"/>
    <w:rsid w:val="0029772C"/>
    <w:rsid w:val="002A1031"/>
    <w:rsid w:val="002A1308"/>
    <w:rsid w:val="002A3472"/>
    <w:rsid w:val="002A34C5"/>
    <w:rsid w:val="002A3C58"/>
    <w:rsid w:val="002A4F10"/>
    <w:rsid w:val="002A632D"/>
    <w:rsid w:val="002A63F4"/>
    <w:rsid w:val="002A663D"/>
    <w:rsid w:val="002B03FF"/>
    <w:rsid w:val="002B0B61"/>
    <w:rsid w:val="002B0CA6"/>
    <w:rsid w:val="002B1AAF"/>
    <w:rsid w:val="002B1BDA"/>
    <w:rsid w:val="002B287D"/>
    <w:rsid w:val="002B36EB"/>
    <w:rsid w:val="002B3BD7"/>
    <w:rsid w:val="002B3DA6"/>
    <w:rsid w:val="002B3F20"/>
    <w:rsid w:val="002B484D"/>
    <w:rsid w:val="002B4907"/>
    <w:rsid w:val="002B5092"/>
    <w:rsid w:val="002B50DA"/>
    <w:rsid w:val="002B5AD8"/>
    <w:rsid w:val="002B5ED5"/>
    <w:rsid w:val="002B729F"/>
    <w:rsid w:val="002B72C0"/>
    <w:rsid w:val="002B76BD"/>
    <w:rsid w:val="002B7DD1"/>
    <w:rsid w:val="002C05A7"/>
    <w:rsid w:val="002C087E"/>
    <w:rsid w:val="002C09B8"/>
    <w:rsid w:val="002C0DF9"/>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8A4"/>
    <w:rsid w:val="002E1964"/>
    <w:rsid w:val="002E19A5"/>
    <w:rsid w:val="002E1E7E"/>
    <w:rsid w:val="002E27E0"/>
    <w:rsid w:val="002E39A3"/>
    <w:rsid w:val="002E5EB7"/>
    <w:rsid w:val="002E6150"/>
    <w:rsid w:val="002E631C"/>
    <w:rsid w:val="002E6B6F"/>
    <w:rsid w:val="002E74C9"/>
    <w:rsid w:val="002E7874"/>
    <w:rsid w:val="002E7E35"/>
    <w:rsid w:val="002F0800"/>
    <w:rsid w:val="002F1307"/>
    <w:rsid w:val="002F1721"/>
    <w:rsid w:val="002F3451"/>
    <w:rsid w:val="002F3606"/>
    <w:rsid w:val="002F3CF5"/>
    <w:rsid w:val="002F3FD7"/>
    <w:rsid w:val="002F5131"/>
    <w:rsid w:val="002F51E1"/>
    <w:rsid w:val="002F70EB"/>
    <w:rsid w:val="002F72BB"/>
    <w:rsid w:val="002F7411"/>
    <w:rsid w:val="002F779E"/>
    <w:rsid w:val="002F7AB3"/>
    <w:rsid w:val="00301514"/>
    <w:rsid w:val="00302D08"/>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A75"/>
    <w:rsid w:val="00313BBA"/>
    <w:rsid w:val="00313CB3"/>
    <w:rsid w:val="00313D9F"/>
    <w:rsid w:val="00314352"/>
    <w:rsid w:val="00314899"/>
    <w:rsid w:val="00315623"/>
    <w:rsid w:val="00316182"/>
    <w:rsid w:val="003203D9"/>
    <w:rsid w:val="0032072B"/>
    <w:rsid w:val="00320DFD"/>
    <w:rsid w:val="003210F8"/>
    <w:rsid w:val="00321947"/>
    <w:rsid w:val="00323ECD"/>
    <w:rsid w:val="00326A5D"/>
    <w:rsid w:val="00326F22"/>
    <w:rsid w:val="00327032"/>
    <w:rsid w:val="003276A0"/>
    <w:rsid w:val="003278FA"/>
    <w:rsid w:val="0033002D"/>
    <w:rsid w:val="00330686"/>
    <w:rsid w:val="00332906"/>
    <w:rsid w:val="00332B6F"/>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7"/>
    <w:rsid w:val="00350DCD"/>
    <w:rsid w:val="003510C2"/>
    <w:rsid w:val="00351383"/>
    <w:rsid w:val="003528F0"/>
    <w:rsid w:val="00352927"/>
    <w:rsid w:val="00352FE4"/>
    <w:rsid w:val="00353FDF"/>
    <w:rsid w:val="00354545"/>
    <w:rsid w:val="00354FD8"/>
    <w:rsid w:val="003551A5"/>
    <w:rsid w:val="003555B4"/>
    <w:rsid w:val="00356A4C"/>
    <w:rsid w:val="0035733D"/>
    <w:rsid w:val="0036064B"/>
    <w:rsid w:val="00360753"/>
    <w:rsid w:val="00360A53"/>
    <w:rsid w:val="00362486"/>
    <w:rsid w:val="00362CEC"/>
    <w:rsid w:val="00362F73"/>
    <w:rsid w:val="003630B0"/>
    <w:rsid w:val="003637D9"/>
    <w:rsid w:val="00363A73"/>
    <w:rsid w:val="0036497E"/>
    <w:rsid w:val="00364F1A"/>
    <w:rsid w:val="003657B9"/>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041"/>
    <w:rsid w:val="00384B44"/>
    <w:rsid w:val="00384F42"/>
    <w:rsid w:val="00385EC9"/>
    <w:rsid w:val="00386456"/>
    <w:rsid w:val="00387241"/>
    <w:rsid w:val="00387E1C"/>
    <w:rsid w:val="0039010E"/>
    <w:rsid w:val="003901D8"/>
    <w:rsid w:val="00390732"/>
    <w:rsid w:val="00390B41"/>
    <w:rsid w:val="0039100A"/>
    <w:rsid w:val="00391AC0"/>
    <w:rsid w:val="00391D93"/>
    <w:rsid w:val="00392714"/>
    <w:rsid w:val="00392E7E"/>
    <w:rsid w:val="00392F63"/>
    <w:rsid w:val="00393184"/>
    <w:rsid w:val="0039337D"/>
    <w:rsid w:val="0039340C"/>
    <w:rsid w:val="003934DD"/>
    <w:rsid w:val="00394337"/>
    <w:rsid w:val="00395BF9"/>
    <w:rsid w:val="00396D23"/>
    <w:rsid w:val="003978D0"/>
    <w:rsid w:val="003A0468"/>
    <w:rsid w:val="003A046A"/>
    <w:rsid w:val="003A0603"/>
    <w:rsid w:val="003A1031"/>
    <w:rsid w:val="003A1157"/>
    <w:rsid w:val="003A25E4"/>
    <w:rsid w:val="003A2A86"/>
    <w:rsid w:val="003A2C66"/>
    <w:rsid w:val="003A2D28"/>
    <w:rsid w:val="003A433D"/>
    <w:rsid w:val="003A4C65"/>
    <w:rsid w:val="003A4F71"/>
    <w:rsid w:val="003A581E"/>
    <w:rsid w:val="003A5E28"/>
    <w:rsid w:val="003A651C"/>
    <w:rsid w:val="003A6DA8"/>
    <w:rsid w:val="003A6E17"/>
    <w:rsid w:val="003B0136"/>
    <w:rsid w:val="003B0B16"/>
    <w:rsid w:val="003B3D8A"/>
    <w:rsid w:val="003B4162"/>
    <w:rsid w:val="003B5540"/>
    <w:rsid w:val="003B5DB6"/>
    <w:rsid w:val="003B6897"/>
    <w:rsid w:val="003B6EE4"/>
    <w:rsid w:val="003B79A5"/>
    <w:rsid w:val="003C0943"/>
    <w:rsid w:val="003C1943"/>
    <w:rsid w:val="003C347B"/>
    <w:rsid w:val="003C3D13"/>
    <w:rsid w:val="003C40DD"/>
    <w:rsid w:val="003C4141"/>
    <w:rsid w:val="003C432C"/>
    <w:rsid w:val="003C50C9"/>
    <w:rsid w:val="003C62BD"/>
    <w:rsid w:val="003C71EE"/>
    <w:rsid w:val="003C7DC2"/>
    <w:rsid w:val="003D2137"/>
    <w:rsid w:val="003D284B"/>
    <w:rsid w:val="003D40F4"/>
    <w:rsid w:val="003D4187"/>
    <w:rsid w:val="003D43F8"/>
    <w:rsid w:val="003D4F72"/>
    <w:rsid w:val="003D603B"/>
    <w:rsid w:val="003D6CF0"/>
    <w:rsid w:val="003D70AA"/>
    <w:rsid w:val="003D73F1"/>
    <w:rsid w:val="003E07B4"/>
    <w:rsid w:val="003E11A8"/>
    <w:rsid w:val="003E14B0"/>
    <w:rsid w:val="003E15E5"/>
    <w:rsid w:val="003E1ABD"/>
    <w:rsid w:val="003E1F12"/>
    <w:rsid w:val="003E443D"/>
    <w:rsid w:val="003E5505"/>
    <w:rsid w:val="003E55AE"/>
    <w:rsid w:val="003E5C80"/>
    <w:rsid w:val="003E5ED1"/>
    <w:rsid w:val="003E6682"/>
    <w:rsid w:val="003E6D12"/>
    <w:rsid w:val="003E7261"/>
    <w:rsid w:val="003E7A20"/>
    <w:rsid w:val="003E7AAD"/>
    <w:rsid w:val="003F088B"/>
    <w:rsid w:val="003F0FBE"/>
    <w:rsid w:val="003F165C"/>
    <w:rsid w:val="003F28CF"/>
    <w:rsid w:val="003F2AD2"/>
    <w:rsid w:val="003F30B1"/>
    <w:rsid w:val="003F328D"/>
    <w:rsid w:val="003F3340"/>
    <w:rsid w:val="003F47E5"/>
    <w:rsid w:val="003F5439"/>
    <w:rsid w:val="003F5CDD"/>
    <w:rsid w:val="003F5D5D"/>
    <w:rsid w:val="003F60D3"/>
    <w:rsid w:val="003F6F65"/>
    <w:rsid w:val="003F7E6A"/>
    <w:rsid w:val="00400083"/>
    <w:rsid w:val="0040059A"/>
    <w:rsid w:val="00402FD5"/>
    <w:rsid w:val="00403A30"/>
    <w:rsid w:val="00404797"/>
    <w:rsid w:val="00405524"/>
    <w:rsid w:val="00406868"/>
    <w:rsid w:val="00406898"/>
    <w:rsid w:val="00407BD2"/>
    <w:rsid w:val="0041043C"/>
    <w:rsid w:val="004105AB"/>
    <w:rsid w:val="004106B4"/>
    <w:rsid w:val="00411B85"/>
    <w:rsid w:val="00412132"/>
    <w:rsid w:val="00412214"/>
    <w:rsid w:val="0041266E"/>
    <w:rsid w:val="0041386A"/>
    <w:rsid w:val="00413E71"/>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7BB"/>
    <w:rsid w:val="00435AA2"/>
    <w:rsid w:val="004363BC"/>
    <w:rsid w:val="004363D3"/>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47B2D"/>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53E7"/>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0940"/>
    <w:rsid w:val="00481FA4"/>
    <w:rsid w:val="004821AB"/>
    <w:rsid w:val="00482A4E"/>
    <w:rsid w:val="004832C7"/>
    <w:rsid w:val="00485197"/>
    <w:rsid w:val="00485AD7"/>
    <w:rsid w:val="00485ED3"/>
    <w:rsid w:val="004866CB"/>
    <w:rsid w:val="00487569"/>
    <w:rsid w:val="004878C1"/>
    <w:rsid w:val="00487986"/>
    <w:rsid w:val="004928C4"/>
    <w:rsid w:val="00492EB5"/>
    <w:rsid w:val="00493E48"/>
    <w:rsid w:val="0049475A"/>
    <w:rsid w:val="0049505C"/>
    <w:rsid w:val="00495861"/>
    <w:rsid w:val="00496626"/>
    <w:rsid w:val="0049684A"/>
    <w:rsid w:val="00496DBC"/>
    <w:rsid w:val="00497B27"/>
    <w:rsid w:val="00497F48"/>
    <w:rsid w:val="004A0A76"/>
    <w:rsid w:val="004A29A9"/>
    <w:rsid w:val="004A34D2"/>
    <w:rsid w:val="004A36C3"/>
    <w:rsid w:val="004A3CCB"/>
    <w:rsid w:val="004A411B"/>
    <w:rsid w:val="004A486C"/>
    <w:rsid w:val="004A488B"/>
    <w:rsid w:val="004A4EE9"/>
    <w:rsid w:val="004A5218"/>
    <w:rsid w:val="004A5B0B"/>
    <w:rsid w:val="004A5B41"/>
    <w:rsid w:val="004A606D"/>
    <w:rsid w:val="004A6356"/>
    <w:rsid w:val="004A7092"/>
    <w:rsid w:val="004A7E8A"/>
    <w:rsid w:val="004B0F1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D9F"/>
    <w:rsid w:val="004C1F44"/>
    <w:rsid w:val="004C1F93"/>
    <w:rsid w:val="004C2021"/>
    <w:rsid w:val="004C21E9"/>
    <w:rsid w:val="004C5092"/>
    <w:rsid w:val="004C5273"/>
    <w:rsid w:val="004C544E"/>
    <w:rsid w:val="004C6C01"/>
    <w:rsid w:val="004C7677"/>
    <w:rsid w:val="004D1653"/>
    <w:rsid w:val="004D1B75"/>
    <w:rsid w:val="004D1CE5"/>
    <w:rsid w:val="004D2B08"/>
    <w:rsid w:val="004D2C64"/>
    <w:rsid w:val="004D2E7D"/>
    <w:rsid w:val="004D3473"/>
    <w:rsid w:val="004D3521"/>
    <w:rsid w:val="004D4556"/>
    <w:rsid w:val="004D47D0"/>
    <w:rsid w:val="004D4FFE"/>
    <w:rsid w:val="004D5372"/>
    <w:rsid w:val="004D6525"/>
    <w:rsid w:val="004D6799"/>
    <w:rsid w:val="004D725A"/>
    <w:rsid w:val="004D78D4"/>
    <w:rsid w:val="004D7A98"/>
    <w:rsid w:val="004D7B77"/>
    <w:rsid w:val="004E06CD"/>
    <w:rsid w:val="004E06F4"/>
    <w:rsid w:val="004E1267"/>
    <w:rsid w:val="004E2760"/>
    <w:rsid w:val="004E27A0"/>
    <w:rsid w:val="004E2973"/>
    <w:rsid w:val="004E2F8D"/>
    <w:rsid w:val="004E3A4E"/>
    <w:rsid w:val="004E4142"/>
    <w:rsid w:val="004E4900"/>
    <w:rsid w:val="004E4A6B"/>
    <w:rsid w:val="004E4AB3"/>
    <w:rsid w:val="004E5102"/>
    <w:rsid w:val="004E5B78"/>
    <w:rsid w:val="004E5BC5"/>
    <w:rsid w:val="004E6147"/>
    <w:rsid w:val="004E638B"/>
    <w:rsid w:val="004E6C63"/>
    <w:rsid w:val="004F00FF"/>
    <w:rsid w:val="004F0B50"/>
    <w:rsid w:val="004F1050"/>
    <w:rsid w:val="004F1065"/>
    <w:rsid w:val="004F32CC"/>
    <w:rsid w:val="004F38A9"/>
    <w:rsid w:val="004F4394"/>
    <w:rsid w:val="004F46FC"/>
    <w:rsid w:val="004F4EB9"/>
    <w:rsid w:val="004F5711"/>
    <w:rsid w:val="004F5F6A"/>
    <w:rsid w:val="004F71C2"/>
    <w:rsid w:val="0050188C"/>
    <w:rsid w:val="00501BC4"/>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0698E"/>
    <w:rsid w:val="0051074C"/>
    <w:rsid w:val="0051089A"/>
    <w:rsid w:val="00510BB6"/>
    <w:rsid w:val="0051288D"/>
    <w:rsid w:val="005132B5"/>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1545"/>
    <w:rsid w:val="00533367"/>
    <w:rsid w:val="00533C01"/>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34"/>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66E"/>
    <w:rsid w:val="00572788"/>
    <w:rsid w:val="005731B5"/>
    <w:rsid w:val="0057389B"/>
    <w:rsid w:val="00573D85"/>
    <w:rsid w:val="0057417D"/>
    <w:rsid w:val="00574CA8"/>
    <w:rsid w:val="00574D20"/>
    <w:rsid w:val="0057530E"/>
    <w:rsid w:val="00575B77"/>
    <w:rsid w:val="00575D08"/>
    <w:rsid w:val="00576E9C"/>
    <w:rsid w:val="005770F6"/>
    <w:rsid w:val="00577DD4"/>
    <w:rsid w:val="00577EF5"/>
    <w:rsid w:val="00580136"/>
    <w:rsid w:val="005811F1"/>
    <w:rsid w:val="0058472B"/>
    <w:rsid w:val="00584E86"/>
    <w:rsid w:val="0058506F"/>
    <w:rsid w:val="00585230"/>
    <w:rsid w:val="0058589B"/>
    <w:rsid w:val="005867BF"/>
    <w:rsid w:val="00587B36"/>
    <w:rsid w:val="0059058A"/>
    <w:rsid w:val="00590963"/>
    <w:rsid w:val="00590DD9"/>
    <w:rsid w:val="00590E6F"/>
    <w:rsid w:val="00591C90"/>
    <w:rsid w:val="00591F4C"/>
    <w:rsid w:val="0059266D"/>
    <w:rsid w:val="00592AC9"/>
    <w:rsid w:val="00592E5C"/>
    <w:rsid w:val="005942C5"/>
    <w:rsid w:val="0059458E"/>
    <w:rsid w:val="00595BD5"/>
    <w:rsid w:val="00596F22"/>
    <w:rsid w:val="00597E53"/>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4BC3"/>
    <w:rsid w:val="005B533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3A4B"/>
    <w:rsid w:val="005D474D"/>
    <w:rsid w:val="005D552E"/>
    <w:rsid w:val="005D5C5D"/>
    <w:rsid w:val="005D7F00"/>
    <w:rsid w:val="005E0385"/>
    <w:rsid w:val="005E06A4"/>
    <w:rsid w:val="005E1BC6"/>
    <w:rsid w:val="005E1CF3"/>
    <w:rsid w:val="005E1DA0"/>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6007CC"/>
    <w:rsid w:val="00600FA4"/>
    <w:rsid w:val="00601496"/>
    <w:rsid w:val="0060197B"/>
    <w:rsid w:val="00601E1F"/>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07"/>
    <w:rsid w:val="006134DB"/>
    <w:rsid w:val="006135E8"/>
    <w:rsid w:val="00613F45"/>
    <w:rsid w:val="0061564E"/>
    <w:rsid w:val="00616C91"/>
    <w:rsid w:val="00616F60"/>
    <w:rsid w:val="00617024"/>
    <w:rsid w:val="00617066"/>
    <w:rsid w:val="006178DB"/>
    <w:rsid w:val="00620CBF"/>
    <w:rsid w:val="00620E47"/>
    <w:rsid w:val="0062127B"/>
    <w:rsid w:val="00621771"/>
    <w:rsid w:val="006219B0"/>
    <w:rsid w:val="00622002"/>
    <w:rsid w:val="006220A1"/>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61024"/>
    <w:rsid w:val="006616CE"/>
    <w:rsid w:val="006625BC"/>
    <w:rsid w:val="00663A05"/>
    <w:rsid w:val="006645BF"/>
    <w:rsid w:val="006652E9"/>
    <w:rsid w:val="0066584D"/>
    <w:rsid w:val="00665A16"/>
    <w:rsid w:val="00665E49"/>
    <w:rsid w:val="00666AF7"/>
    <w:rsid w:val="006670F5"/>
    <w:rsid w:val="006674C1"/>
    <w:rsid w:val="00667B7F"/>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1A07"/>
    <w:rsid w:val="00682D0A"/>
    <w:rsid w:val="00683085"/>
    <w:rsid w:val="0068338B"/>
    <w:rsid w:val="00683404"/>
    <w:rsid w:val="00683799"/>
    <w:rsid w:val="006837E9"/>
    <w:rsid w:val="00683D48"/>
    <w:rsid w:val="00686E92"/>
    <w:rsid w:val="006914D0"/>
    <w:rsid w:val="0069158F"/>
    <w:rsid w:val="006916C0"/>
    <w:rsid w:val="00691C58"/>
    <w:rsid w:val="00692BB0"/>
    <w:rsid w:val="00693CC2"/>
    <w:rsid w:val="00694B76"/>
    <w:rsid w:val="00695E74"/>
    <w:rsid w:val="0069678A"/>
    <w:rsid w:val="006973C7"/>
    <w:rsid w:val="00697665"/>
    <w:rsid w:val="00697D73"/>
    <w:rsid w:val="006A00B7"/>
    <w:rsid w:val="006A049D"/>
    <w:rsid w:val="006A0BF9"/>
    <w:rsid w:val="006A11F5"/>
    <w:rsid w:val="006A12F4"/>
    <w:rsid w:val="006A1A12"/>
    <w:rsid w:val="006A2013"/>
    <w:rsid w:val="006A2F2D"/>
    <w:rsid w:val="006A3206"/>
    <w:rsid w:val="006A3CD1"/>
    <w:rsid w:val="006A3CF2"/>
    <w:rsid w:val="006A454C"/>
    <w:rsid w:val="006A5273"/>
    <w:rsid w:val="006A58B8"/>
    <w:rsid w:val="006A64A9"/>
    <w:rsid w:val="006A7FD0"/>
    <w:rsid w:val="006B161A"/>
    <w:rsid w:val="006B2195"/>
    <w:rsid w:val="006B34D7"/>
    <w:rsid w:val="006B4C1B"/>
    <w:rsid w:val="006B5004"/>
    <w:rsid w:val="006B5571"/>
    <w:rsid w:val="006B55C5"/>
    <w:rsid w:val="006B72BF"/>
    <w:rsid w:val="006B7576"/>
    <w:rsid w:val="006C0662"/>
    <w:rsid w:val="006C084F"/>
    <w:rsid w:val="006C0B38"/>
    <w:rsid w:val="006C14D1"/>
    <w:rsid w:val="006C2EB8"/>
    <w:rsid w:val="006C41CF"/>
    <w:rsid w:val="006C453C"/>
    <w:rsid w:val="006C4F96"/>
    <w:rsid w:val="006C5A51"/>
    <w:rsid w:val="006C627E"/>
    <w:rsid w:val="006C68E5"/>
    <w:rsid w:val="006C6A3B"/>
    <w:rsid w:val="006C6E36"/>
    <w:rsid w:val="006C7E2B"/>
    <w:rsid w:val="006D09F8"/>
    <w:rsid w:val="006D18A5"/>
    <w:rsid w:val="006D23BA"/>
    <w:rsid w:val="006D2CB8"/>
    <w:rsid w:val="006D2CF6"/>
    <w:rsid w:val="006D40DC"/>
    <w:rsid w:val="006D41C3"/>
    <w:rsid w:val="006D4498"/>
    <w:rsid w:val="006D44E6"/>
    <w:rsid w:val="006D4EC2"/>
    <w:rsid w:val="006D4F07"/>
    <w:rsid w:val="006D5176"/>
    <w:rsid w:val="006D5415"/>
    <w:rsid w:val="006D5EA2"/>
    <w:rsid w:val="006D717D"/>
    <w:rsid w:val="006D7687"/>
    <w:rsid w:val="006E0385"/>
    <w:rsid w:val="006E0572"/>
    <w:rsid w:val="006E0C98"/>
    <w:rsid w:val="006E0F9F"/>
    <w:rsid w:val="006E1079"/>
    <w:rsid w:val="006E1324"/>
    <w:rsid w:val="006E140D"/>
    <w:rsid w:val="006E1CCF"/>
    <w:rsid w:val="006E28FE"/>
    <w:rsid w:val="006E4F08"/>
    <w:rsid w:val="006E6202"/>
    <w:rsid w:val="006E6B65"/>
    <w:rsid w:val="006E6D63"/>
    <w:rsid w:val="006E6E42"/>
    <w:rsid w:val="006E74A5"/>
    <w:rsid w:val="006F0E22"/>
    <w:rsid w:val="006F1DF7"/>
    <w:rsid w:val="006F2EC7"/>
    <w:rsid w:val="006F3DAA"/>
    <w:rsid w:val="006F514F"/>
    <w:rsid w:val="006F5461"/>
    <w:rsid w:val="006F70A0"/>
    <w:rsid w:val="00700377"/>
    <w:rsid w:val="007008A4"/>
    <w:rsid w:val="00700E8E"/>
    <w:rsid w:val="007018AF"/>
    <w:rsid w:val="00701D9E"/>
    <w:rsid w:val="00701E35"/>
    <w:rsid w:val="007020A1"/>
    <w:rsid w:val="00702115"/>
    <w:rsid w:val="007029A4"/>
    <w:rsid w:val="00703E2C"/>
    <w:rsid w:val="00704F99"/>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17D15"/>
    <w:rsid w:val="0072005B"/>
    <w:rsid w:val="00720966"/>
    <w:rsid w:val="007210EC"/>
    <w:rsid w:val="0072127D"/>
    <w:rsid w:val="007229B0"/>
    <w:rsid w:val="00723351"/>
    <w:rsid w:val="00724809"/>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873"/>
    <w:rsid w:val="00747E9B"/>
    <w:rsid w:val="007506F2"/>
    <w:rsid w:val="00751EE7"/>
    <w:rsid w:val="00752568"/>
    <w:rsid w:val="00752CB1"/>
    <w:rsid w:val="0075364A"/>
    <w:rsid w:val="007539E1"/>
    <w:rsid w:val="0075455D"/>
    <w:rsid w:val="00754621"/>
    <w:rsid w:val="0075582E"/>
    <w:rsid w:val="0075647A"/>
    <w:rsid w:val="00756E36"/>
    <w:rsid w:val="007573C1"/>
    <w:rsid w:val="007574E5"/>
    <w:rsid w:val="007605B5"/>
    <w:rsid w:val="007611DB"/>
    <w:rsid w:val="007634AD"/>
    <w:rsid w:val="00763BF0"/>
    <w:rsid w:val="00764CD2"/>
    <w:rsid w:val="0076566F"/>
    <w:rsid w:val="007656E6"/>
    <w:rsid w:val="00765BE2"/>
    <w:rsid w:val="007673F0"/>
    <w:rsid w:val="0076744F"/>
    <w:rsid w:val="00767455"/>
    <w:rsid w:val="007679AF"/>
    <w:rsid w:val="007701D9"/>
    <w:rsid w:val="00772C6C"/>
    <w:rsid w:val="00772D54"/>
    <w:rsid w:val="007741D9"/>
    <w:rsid w:val="007743B6"/>
    <w:rsid w:val="007748F6"/>
    <w:rsid w:val="00774A8C"/>
    <w:rsid w:val="007750BB"/>
    <w:rsid w:val="00775779"/>
    <w:rsid w:val="00776ED5"/>
    <w:rsid w:val="007809E9"/>
    <w:rsid w:val="00780D84"/>
    <w:rsid w:val="0078122E"/>
    <w:rsid w:val="0078165F"/>
    <w:rsid w:val="00782024"/>
    <w:rsid w:val="007828DB"/>
    <w:rsid w:val="00782DC1"/>
    <w:rsid w:val="007831EF"/>
    <w:rsid w:val="00783506"/>
    <w:rsid w:val="0078442B"/>
    <w:rsid w:val="00784AB3"/>
    <w:rsid w:val="007853BD"/>
    <w:rsid w:val="00785A12"/>
    <w:rsid w:val="00785E18"/>
    <w:rsid w:val="0078614D"/>
    <w:rsid w:val="00787B6F"/>
    <w:rsid w:val="00791C0F"/>
    <w:rsid w:val="007924DC"/>
    <w:rsid w:val="00793845"/>
    <w:rsid w:val="00793FA2"/>
    <w:rsid w:val="0079440B"/>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724"/>
    <w:rsid w:val="007B0854"/>
    <w:rsid w:val="007B0F2D"/>
    <w:rsid w:val="007B0F58"/>
    <w:rsid w:val="007B16E2"/>
    <w:rsid w:val="007B234F"/>
    <w:rsid w:val="007B24B5"/>
    <w:rsid w:val="007B44DA"/>
    <w:rsid w:val="007B5F82"/>
    <w:rsid w:val="007B6218"/>
    <w:rsid w:val="007B6351"/>
    <w:rsid w:val="007B78B9"/>
    <w:rsid w:val="007C0326"/>
    <w:rsid w:val="007C0A36"/>
    <w:rsid w:val="007C19C1"/>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1FD8"/>
    <w:rsid w:val="007D28C9"/>
    <w:rsid w:val="007D40E2"/>
    <w:rsid w:val="007D58E1"/>
    <w:rsid w:val="007D5E0B"/>
    <w:rsid w:val="007D65D4"/>
    <w:rsid w:val="007D71A4"/>
    <w:rsid w:val="007E01FC"/>
    <w:rsid w:val="007E03C8"/>
    <w:rsid w:val="007E044F"/>
    <w:rsid w:val="007E1384"/>
    <w:rsid w:val="007E38F5"/>
    <w:rsid w:val="007E4585"/>
    <w:rsid w:val="007E56BA"/>
    <w:rsid w:val="007E5B03"/>
    <w:rsid w:val="007E6035"/>
    <w:rsid w:val="007E6D9E"/>
    <w:rsid w:val="007E750C"/>
    <w:rsid w:val="007F047F"/>
    <w:rsid w:val="007F0D40"/>
    <w:rsid w:val="007F1322"/>
    <w:rsid w:val="007F168F"/>
    <w:rsid w:val="007F25AB"/>
    <w:rsid w:val="007F2AC3"/>
    <w:rsid w:val="007F3452"/>
    <w:rsid w:val="007F367B"/>
    <w:rsid w:val="007F3F7B"/>
    <w:rsid w:val="007F4347"/>
    <w:rsid w:val="007F5F3B"/>
    <w:rsid w:val="007F723E"/>
    <w:rsid w:val="007F72CB"/>
    <w:rsid w:val="00800175"/>
    <w:rsid w:val="00802A13"/>
    <w:rsid w:val="00802D30"/>
    <w:rsid w:val="0080423D"/>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931"/>
    <w:rsid w:val="00817A26"/>
    <w:rsid w:val="00817CA8"/>
    <w:rsid w:val="00817DDD"/>
    <w:rsid w:val="0082251D"/>
    <w:rsid w:val="00822D58"/>
    <w:rsid w:val="00822F0F"/>
    <w:rsid w:val="008232F1"/>
    <w:rsid w:val="00824AA3"/>
    <w:rsid w:val="00824D50"/>
    <w:rsid w:val="008259B9"/>
    <w:rsid w:val="00826A9D"/>
    <w:rsid w:val="00827E09"/>
    <w:rsid w:val="008303BC"/>
    <w:rsid w:val="0083119B"/>
    <w:rsid w:val="00831238"/>
    <w:rsid w:val="0083133A"/>
    <w:rsid w:val="008313DB"/>
    <w:rsid w:val="008334FC"/>
    <w:rsid w:val="008339C5"/>
    <w:rsid w:val="008344BC"/>
    <w:rsid w:val="00834864"/>
    <w:rsid w:val="008349A7"/>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A9F"/>
    <w:rsid w:val="00842F23"/>
    <w:rsid w:val="00843449"/>
    <w:rsid w:val="00843BC4"/>
    <w:rsid w:val="00843E6C"/>
    <w:rsid w:val="00843F7A"/>
    <w:rsid w:val="00844326"/>
    <w:rsid w:val="0084483F"/>
    <w:rsid w:val="00845303"/>
    <w:rsid w:val="008464D7"/>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1F65"/>
    <w:rsid w:val="00862B2A"/>
    <w:rsid w:val="00862D58"/>
    <w:rsid w:val="00863C35"/>
    <w:rsid w:val="00865014"/>
    <w:rsid w:val="00865967"/>
    <w:rsid w:val="00865EEA"/>
    <w:rsid w:val="008700C1"/>
    <w:rsid w:val="008705C2"/>
    <w:rsid w:val="008705DE"/>
    <w:rsid w:val="00871295"/>
    <w:rsid w:val="0087249D"/>
    <w:rsid w:val="00873BCF"/>
    <w:rsid w:val="00874A6C"/>
    <w:rsid w:val="00876821"/>
    <w:rsid w:val="00877366"/>
    <w:rsid w:val="0087745C"/>
    <w:rsid w:val="00877FC5"/>
    <w:rsid w:val="00880626"/>
    <w:rsid w:val="00881690"/>
    <w:rsid w:val="00881742"/>
    <w:rsid w:val="008817ED"/>
    <w:rsid w:val="0088243F"/>
    <w:rsid w:val="00882EA0"/>
    <w:rsid w:val="00883662"/>
    <w:rsid w:val="00883715"/>
    <w:rsid w:val="0088419B"/>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97ED9"/>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AF6"/>
    <w:rsid w:val="008C0ED3"/>
    <w:rsid w:val="008C26E3"/>
    <w:rsid w:val="008C2BFB"/>
    <w:rsid w:val="008C41C5"/>
    <w:rsid w:val="008C4353"/>
    <w:rsid w:val="008C596E"/>
    <w:rsid w:val="008C6600"/>
    <w:rsid w:val="008C6B51"/>
    <w:rsid w:val="008C710C"/>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2CFF"/>
    <w:rsid w:val="008E3219"/>
    <w:rsid w:val="008E425D"/>
    <w:rsid w:val="008E5380"/>
    <w:rsid w:val="008E55D9"/>
    <w:rsid w:val="008E5D4B"/>
    <w:rsid w:val="008E5EBF"/>
    <w:rsid w:val="008E6F70"/>
    <w:rsid w:val="008E7715"/>
    <w:rsid w:val="008E7D23"/>
    <w:rsid w:val="008F0394"/>
    <w:rsid w:val="008F14CC"/>
    <w:rsid w:val="008F1D84"/>
    <w:rsid w:val="008F1E25"/>
    <w:rsid w:val="008F2734"/>
    <w:rsid w:val="008F30C9"/>
    <w:rsid w:val="008F35B7"/>
    <w:rsid w:val="008F39BD"/>
    <w:rsid w:val="008F4123"/>
    <w:rsid w:val="008F489B"/>
    <w:rsid w:val="008F5C25"/>
    <w:rsid w:val="008F646E"/>
    <w:rsid w:val="008F6E4A"/>
    <w:rsid w:val="008F71EB"/>
    <w:rsid w:val="008F7353"/>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78A"/>
    <w:rsid w:val="00916A72"/>
    <w:rsid w:val="00916C89"/>
    <w:rsid w:val="0091746C"/>
    <w:rsid w:val="00917585"/>
    <w:rsid w:val="009176F3"/>
    <w:rsid w:val="00917700"/>
    <w:rsid w:val="0092110B"/>
    <w:rsid w:val="009213FA"/>
    <w:rsid w:val="00921659"/>
    <w:rsid w:val="009217EE"/>
    <w:rsid w:val="00921A66"/>
    <w:rsid w:val="00921CF3"/>
    <w:rsid w:val="00923AF0"/>
    <w:rsid w:val="00923DC9"/>
    <w:rsid w:val="00923F88"/>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C4F"/>
    <w:rsid w:val="00937E01"/>
    <w:rsid w:val="00937E58"/>
    <w:rsid w:val="00940531"/>
    <w:rsid w:val="0094059F"/>
    <w:rsid w:val="00940714"/>
    <w:rsid w:val="009409CA"/>
    <w:rsid w:val="009418E8"/>
    <w:rsid w:val="009424CF"/>
    <w:rsid w:val="00942B12"/>
    <w:rsid w:val="00942D7C"/>
    <w:rsid w:val="00944342"/>
    <w:rsid w:val="00944CF7"/>
    <w:rsid w:val="00944EA4"/>
    <w:rsid w:val="00945AD3"/>
    <w:rsid w:val="009465F7"/>
    <w:rsid w:val="00946737"/>
    <w:rsid w:val="00946C75"/>
    <w:rsid w:val="00946CFA"/>
    <w:rsid w:val="00947536"/>
    <w:rsid w:val="00947D1F"/>
    <w:rsid w:val="00947D28"/>
    <w:rsid w:val="00947EF5"/>
    <w:rsid w:val="00950258"/>
    <w:rsid w:val="00951364"/>
    <w:rsid w:val="009521FC"/>
    <w:rsid w:val="009526A8"/>
    <w:rsid w:val="00952E20"/>
    <w:rsid w:val="0095385A"/>
    <w:rsid w:val="00953A90"/>
    <w:rsid w:val="00954ABD"/>
    <w:rsid w:val="00955CAC"/>
    <w:rsid w:val="00955E10"/>
    <w:rsid w:val="009568DA"/>
    <w:rsid w:val="00956C80"/>
    <w:rsid w:val="00956E82"/>
    <w:rsid w:val="009604AE"/>
    <w:rsid w:val="00960A8B"/>
    <w:rsid w:val="00961FA1"/>
    <w:rsid w:val="00962034"/>
    <w:rsid w:val="00962A37"/>
    <w:rsid w:val="00964C6F"/>
    <w:rsid w:val="00965849"/>
    <w:rsid w:val="00967FE3"/>
    <w:rsid w:val="00970217"/>
    <w:rsid w:val="00971941"/>
    <w:rsid w:val="00971A67"/>
    <w:rsid w:val="009738F8"/>
    <w:rsid w:val="00973D6C"/>
    <w:rsid w:val="00973F55"/>
    <w:rsid w:val="00975490"/>
    <w:rsid w:val="00975D1B"/>
    <w:rsid w:val="00976CC3"/>
    <w:rsid w:val="00977088"/>
    <w:rsid w:val="0098054E"/>
    <w:rsid w:val="00981B5D"/>
    <w:rsid w:val="00982489"/>
    <w:rsid w:val="00984DFB"/>
    <w:rsid w:val="009859D0"/>
    <w:rsid w:val="009866C8"/>
    <w:rsid w:val="009874B4"/>
    <w:rsid w:val="00987787"/>
    <w:rsid w:val="00987DBA"/>
    <w:rsid w:val="00987F32"/>
    <w:rsid w:val="00990612"/>
    <w:rsid w:val="00990A26"/>
    <w:rsid w:val="00990A2F"/>
    <w:rsid w:val="0099113C"/>
    <w:rsid w:val="0099114C"/>
    <w:rsid w:val="0099165C"/>
    <w:rsid w:val="00995007"/>
    <w:rsid w:val="0099549D"/>
    <w:rsid w:val="00995CA3"/>
    <w:rsid w:val="009966E7"/>
    <w:rsid w:val="00996D56"/>
    <w:rsid w:val="00997A4C"/>
    <w:rsid w:val="009A0B76"/>
    <w:rsid w:val="009A1A89"/>
    <w:rsid w:val="009A1A94"/>
    <w:rsid w:val="009A1B74"/>
    <w:rsid w:val="009A1C15"/>
    <w:rsid w:val="009A353C"/>
    <w:rsid w:val="009A3AEB"/>
    <w:rsid w:val="009A4864"/>
    <w:rsid w:val="009B053C"/>
    <w:rsid w:val="009B0BF6"/>
    <w:rsid w:val="009B0CB9"/>
    <w:rsid w:val="009B1415"/>
    <w:rsid w:val="009B17C2"/>
    <w:rsid w:val="009B19D2"/>
    <w:rsid w:val="009B1BF2"/>
    <w:rsid w:val="009B2695"/>
    <w:rsid w:val="009B29F8"/>
    <w:rsid w:val="009B2C7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C0B"/>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E6915"/>
    <w:rsid w:val="009E70F0"/>
    <w:rsid w:val="009F0113"/>
    <w:rsid w:val="009F0BCE"/>
    <w:rsid w:val="009F1817"/>
    <w:rsid w:val="009F1BD6"/>
    <w:rsid w:val="009F2418"/>
    <w:rsid w:val="009F3083"/>
    <w:rsid w:val="009F372D"/>
    <w:rsid w:val="009F3C99"/>
    <w:rsid w:val="009F48F0"/>
    <w:rsid w:val="009F57D1"/>
    <w:rsid w:val="009F596F"/>
    <w:rsid w:val="009F6369"/>
    <w:rsid w:val="009F6523"/>
    <w:rsid w:val="009F6B3F"/>
    <w:rsid w:val="009F773F"/>
    <w:rsid w:val="009F7802"/>
    <w:rsid w:val="009F7D1F"/>
    <w:rsid w:val="00A00987"/>
    <w:rsid w:val="00A0154B"/>
    <w:rsid w:val="00A01B73"/>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3C07"/>
    <w:rsid w:val="00A14F3C"/>
    <w:rsid w:val="00A17B91"/>
    <w:rsid w:val="00A206C9"/>
    <w:rsid w:val="00A20C68"/>
    <w:rsid w:val="00A21624"/>
    <w:rsid w:val="00A23088"/>
    <w:rsid w:val="00A23DDC"/>
    <w:rsid w:val="00A23E37"/>
    <w:rsid w:val="00A24560"/>
    <w:rsid w:val="00A2459B"/>
    <w:rsid w:val="00A24CAF"/>
    <w:rsid w:val="00A25834"/>
    <w:rsid w:val="00A25EC5"/>
    <w:rsid w:val="00A26731"/>
    <w:rsid w:val="00A26D28"/>
    <w:rsid w:val="00A2734F"/>
    <w:rsid w:val="00A27EFE"/>
    <w:rsid w:val="00A30501"/>
    <w:rsid w:val="00A305CD"/>
    <w:rsid w:val="00A308D1"/>
    <w:rsid w:val="00A3167C"/>
    <w:rsid w:val="00A316F7"/>
    <w:rsid w:val="00A31770"/>
    <w:rsid w:val="00A31AAB"/>
    <w:rsid w:val="00A3216E"/>
    <w:rsid w:val="00A32529"/>
    <w:rsid w:val="00A32559"/>
    <w:rsid w:val="00A338FC"/>
    <w:rsid w:val="00A33A2C"/>
    <w:rsid w:val="00A34538"/>
    <w:rsid w:val="00A35156"/>
    <w:rsid w:val="00A36062"/>
    <w:rsid w:val="00A37529"/>
    <w:rsid w:val="00A40C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9C2"/>
    <w:rsid w:val="00A85C05"/>
    <w:rsid w:val="00A86F68"/>
    <w:rsid w:val="00A87177"/>
    <w:rsid w:val="00A87B23"/>
    <w:rsid w:val="00A923B7"/>
    <w:rsid w:val="00A95B45"/>
    <w:rsid w:val="00A95D9F"/>
    <w:rsid w:val="00A972D0"/>
    <w:rsid w:val="00A97342"/>
    <w:rsid w:val="00AA03C4"/>
    <w:rsid w:val="00AA077E"/>
    <w:rsid w:val="00AA18DB"/>
    <w:rsid w:val="00AA195D"/>
    <w:rsid w:val="00AA1C27"/>
    <w:rsid w:val="00AA33BA"/>
    <w:rsid w:val="00AA3DEF"/>
    <w:rsid w:val="00AA442B"/>
    <w:rsid w:val="00AA58FD"/>
    <w:rsid w:val="00AA59F5"/>
    <w:rsid w:val="00AA671A"/>
    <w:rsid w:val="00AA686E"/>
    <w:rsid w:val="00AA6CC1"/>
    <w:rsid w:val="00AB00BD"/>
    <w:rsid w:val="00AB0D4D"/>
    <w:rsid w:val="00AB14CE"/>
    <w:rsid w:val="00AB1580"/>
    <w:rsid w:val="00AB1690"/>
    <w:rsid w:val="00AB196B"/>
    <w:rsid w:val="00AB1AC8"/>
    <w:rsid w:val="00AB1CC8"/>
    <w:rsid w:val="00AB214B"/>
    <w:rsid w:val="00AB232F"/>
    <w:rsid w:val="00AB265E"/>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DD1"/>
    <w:rsid w:val="00AD4EBB"/>
    <w:rsid w:val="00AD55A8"/>
    <w:rsid w:val="00AD5E7A"/>
    <w:rsid w:val="00AD6135"/>
    <w:rsid w:val="00AD73E8"/>
    <w:rsid w:val="00AD7A11"/>
    <w:rsid w:val="00AD7C52"/>
    <w:rsid w:val="00AE0AC7"/>
    <w:rsid w:val="00AE0CBF"/>
    <w:rsid w:val="00AE1289"/>
    <w:rsid w:val="00AE19FC"/>
    <w:rsid w:val="00AE1FAC"/>
    <w:rsid w:val="00AE24EC"/>
    <w:rsid w:val="00AE3710"/>
    <w:rsid w:val="00AE39BD"/>
    <w:rsid w:val="00AE3A7C"/>
    <w:rsid w:val="00AE3E75"/>
    <w:rsid w:val="00AE4072"/>
    <w:rsid w:val="00AE4119"/>
    <w:rsid w:val="00AE4E69"/>
    <w:rsid w:val="00AE5307"/>
    <w:rsid w:val="00AE564A"/>
    <w:rsid w:val="00AE5B43"/>
    <w:rsid w:val="00AE65B9"/>
    <w:rsid w:val="00AE6719"/>
    <w:rsid w:val="00AE6D68"/>
    <w:rsid w:val="00AE7610"/>
    <w:rsid w:val="00AF0F32"/>
    <w:rsid w:val="00AF1383"/>
    <w:rsid w:val="00AF152E"/>
    <w:rsid w:val="00AF1ED8"/>
    <w:rsid w:val="00AF28FF"/>
    <w:rsid w:val="00AF51A0"/>
    <w:rsid w:val="00AF5644"/>
    <w:rsid w:val="00AF5CE1"/>
    <w:rsid w:val="00AF6D47"/>
    <w:rsid w:val="00AF713D"/>
    <w:rsid w:val="00AF7FCE"/>
    <w:rsid w:val="00B00147"/>
    <w:rsid w:val="00B00F9B"/>
    <w:rsid w:val="00B01850"/>
    <w:rsid w:val="00B02601"/>
    <w:rsid w:val="00B02716"/>
    <w:rsid w:val="00B029E3"/>
    <w:rsid w:val="00B0312C"/>
    <w:rsid w:val="00B0400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4315"/>
    <w:rsid w:val="00B162E3"/>
    <w:rsid w:val="00B16C38"/>
    <w:rsid w:val="00B16C94"/>
    <w:rsid w:val="00B16D08"/>
    <w:rsid w:val="00B16D7C"/>
    <w:rsid w:val="00B16E58"/>
    <w:rsid w:val="00B17763"/>
    <w:rsid w:val="00B17C06"/>
    <w:rsid w:val="00B21D6C"/>
    <w:rsid w:val="00B22E22"/>
    <w:rsid w:val="00B23B33"/>
    <w:rsid w:val="00B243F7"/>
    <w:rsid w:val="00B258A0"/>
    <w:rsid w:val="00B25E2E"/>
    <w:rsid w:val="00B2636B"/>
    <w:rsid w:val="00B26374"/>
    <w:rsid w:val="00B26EC1"/>
    <w:rsid w:val="00B273B5"/>
    <w:rsid w:val="00B305CF"/>
    <w:rsid w:val="00B30D3C"/>
    <w:rsid w:val="00B32A85"/>
    <w:rsid w:val="00B32C0B"/>
    <w:rsid w:val="00B32DE6"/>
    <w:rsid w:val="00B33C57"/>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4213"/>
    <w:rsid w:val="00B442B7"/>
    <w:rsid w:val="00B45158"/>
    <w:rsid w:val="00B45DA9"/>
    <w:rsid w:val="00B46798"/>
    <w:rsid w:val="00B46BC7"/>
    <w:rsid w:val="00B47E57"/>
    <w:rsid w:val="00B50315"/>
    <w:rsid w:val="00B512C3"/>
    <w:rsid w:val="00B513FE"/>
    <w:rsid w:val="00B51451"/>
    <w:rsid w:val="00B5146F"/>
    <w:rsid w:val="00B515CA"/>
    <w:rsid w:val="00B51689"/>
    <w:rsid w:val="00B5178D"/>
    <w:rsid w:val="00B525CB"/>
    <w:rsid w:val="00B531D7"/>
    <w:rsid w:val="00B53F68"/>
    <w:rsid w:val="00B54F70"/>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2E"/>
    <w:rsid w:val="00B6444C"/>
    <w:rsid w:val="00B66866"/>
    <w:rsid w:val="00B66D78"/>
    <w:rsid w:val="00B67C3D"/>
    <w:rsid w:val="00B70169"/>
    <w:rsid w:val="00B70283"/>
    <w:rsid w:val="00B7078C"/>
    <w:rsid w:val="00B710C4"/>
    <w:rsid w:val="00B71561"/>
    <w:rsid w:val="00B7287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4B1F"/>
    <w:rsid w:val="00B9556D"/>
    <w:rsid w:val="00B95717"/>
    <w:rsid w:val="00B979C2"/>
    <w:rsid w:val="00BA0FA8"/>
    <w:rsid w:val="00BA101A"/>
    <w:rsid w:val="00BA1433"/>
    <w:rsid w:val="00BA2BEC"/>
    <w:rsid w:val="00BA32EF"/>
    <w:rsid w:val="00BA4904"/>
    <w:rsid w:val="00BA4B5B"/>
    <w:rsid w:val="00BA549C"/>
    <w:rsid w:val="00BA54F0"/>
    <w:rsid w:val="00BA5612"/>
    <w:rsid w:val="00BA5B4B"/>
    <w:rsid w:val="00BA6306"/>
    <w:rsid w:val="00BB16AA"/>
    <w:rsid w:val="00BB325C"/>
    <w:rsid w:val="00BB32EA"/>
    <w:rsid w:val="00BB37BD"/>
    <w:rsid w:val="00BB5B30"/>
    <w:rsid w:val="00BB5C7A"/>
    <w:rsid w:val="00BB7738"/>
    <w:rsid w:val="00BB7CF2"/>
    <w:rsid w:val="00BC0980"/>
    <w:rsid w:val="00BC11CA"/>
    <w:rsid w:val="00BC1901"/>
    <w:rsid w:val="00BC1A6C"/>
    <w:rsid w:val="00BC20AF"/>
    <w:rsid w:val="00BC2F8F"/>
    <w:rsid w:val="00BC3610"/>
    <w:rsid w:val="00BC3A7B"/>
    <w:rsid w:val="00BC3E50"/>
    <w:rsid w:val="00BC46FA"/>
    <w:rsid w:val="00BC4CFC"/>
    <w:rsid w:val="00BC5E6E"/>
    <w:rsid w:val="00BC638A"/>
    <w:rsid w:val="00BC754C"/>
    <w:rsid w:val="00BC7A70"/>
    <w:rsid w:val="00BD075C"/>
    <w:rsid w:val="00BD0942"/>
    <w:rsid w:val="00BD09C9"/>
    <w:rsid w:val="00BD1370"/>
    <w:rsid w:val="00BD16E4"/>
    <w:rsid w:val="00BD3ADF"/>
    <w:rsid w:val="00BD404B"/>
    <w:rsid w:val="00BD4104"/>
    <w:rsid w:val="00BD418A"/>
    <w:rsid w:val="00BD484B"/>
    <w:rsid w:val="00BD5979"/>
    <w:rsid w:val="00BD5CBA"/>
    <w:rsid w:val="00BD5F18"/>
    <w:rsid w:val="00BD5F91"/>
    <w:rsid w:val="00BD78FE"/>
    <w:rsid w:val="00BE1B2E"/>
    <w:rsid w:val="00BE1EB7"/>
    <w:rsid w:val="00BE3C30"/>
    <w:rsid w:val="00BE43C0"/>
    <w:rsid w:val="00BE4C31"/>
    <w:rsid w:val="00BE5743"/>
    <w:rsid w:val="00BE60C5"/>
    <w:rsid w:val="00BE62F9"/>
    <w:rsid w:val="00BE646C"/>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4ABA"/>
    <w:rsid w:val="00BF52BB"/>
    <w:rsid w:val="00BF5655"/>
    <w:rsid w:val="00BF59DD"/>
    <w:rsid w:val="00BF6F68"/>
    <w:rsid w:val="00BF765B"/>
    <w:rsid w:val="00BF7FBC"/>
    <w:rsid w:val="00C01713"/>
    <w:rsid w:val="00C01888"/>
    <w:rsid w:val="00C0300E"/>
    <w:rsid w:val="00C03968"/>
    <w:rsid w:val="00C03D7A"/>
    <w:rsid w:val="00C04038"/>
    <w:rsid w:val="00C05889"/>
    <w:rsid w:val="00C05EFC"/>
    <w:rsid w:val="00C06AA8"/>
    <w:rsid w:val="00C06C24"/>
    <w:rsid w:val="00C06D8D"/>
    <w:rsid w:val="00C06F4E"/>
    <w:rsid w:val="00C074ED"/>
    <w:rsid w:val="00C07969"/>
    <w:rsid w:val="00C07BA3"/>
    <w:rsid w:val="00C07EFC"/>
    <w:rsid w:val="00C1063D"/>
    <w:rsid w:val="00C108FF"/>
    <w:rsid w:val="00C11C22"/>
    <w:rsid w:val="00C128D8"/>
    <w:rsid w:val="00C13117"/>
    <w:rsid w:val="00C13B27"/>
    <w:rsid w:val="00C140C5"/>
    <w:rsid w:val="00C14392"/>
    <w:rsid w:val="00C14CDE"/>
    <w:rsid w:val="00C14D9E"/>
    <w:rsid w:val="00C15F8E"/>
    <w:rsid w:val="00C16340"/>
    <w:rsid w:val="00C16E80"/>
    <w:rsid w:val="00C1755A"/>
    <w:rsid w:val="00C20311"/>
    <w:rsid w:val="00C20858"/>
    <w:rsid w:val="00C210EA"/>
    <w:rsid w:val="00C215F9"/>
    <w:rsid w:val="00C21979"/>
    <w:rsid w:val="00C2235E"/>
    <w:rsid w:val="00C22C1C"/>
    <w:rsid w:val="00C2341D"/>
    <w:rsid w:val="00C23442"/>
    <w:rsid w:val="00C236F1"/>
    <w:rsid w:val="00C23EB2"/>
    <w:rsid w:val="00C248DB"/>
    <w:rsid w:val="00C248E6"/>
    <w:rsid w:val="00C24CB7"/>
    <w:rsid w:val="00C25356"/>
    <w:rsid w:val="00C260AE"/>
    <w:rsid w:val="00C26FF5"/>
    <w:rsid w:val="00C2785E"/>
    <w:rsid w:val="00C301D9"/>
    <w:rsid w:val="00C3050E"/>
    <w:rsid w:val="00C31E79"/>
    <w:rsid w:val="00C32E42"/>
    <w:rsid w:val="00C33584"/>
    <w:rsid w:val="00C355B4"/>
    <w:rsid w:val="00C358C6"/>
    <w:rsid w:val="00C35C94"/>
    <w:rsid w:val="00C35CCA"/>
    <w:rsid w:val="00C36B79"/>
    <w:rsid w:val="00C3789F"/>
    <w:rsid w:val="00C37E77"/>
    <w:rsid w:val="00C40376"/>
    <w:rsid w:val="00C403FB"/>
    <w:rsid w:val="00C40C20"/>
    <w:rsid w:val="00C41A44"/>
    <w:rsid w:val="00C41D28"/>
    <w:rsid w:val="00C420C0"/>
    <w:rsid w:val="00C421D2"/>
    <w:rsid w:val="00C42274"/>
    <w:rsid w:val="00C4266A"/>
    <w:rsid w:val="00C4281E"/>
    <w:rsid w:val="00C42841"/>
    <w:rsid w:val="00C429CB"/>
    <w:rsid w:val="00C43FAA"/>
    <w:rsid w:val="00C44120"/>
    <w:rsid w:val="00C445C0"/>
    <w:rsid w:val="00C44882"/>
    <w:rsid w:val="00C451B2"/>
    <w:rsid w:val="00C4553B"/>
    <w:rsid w:val="00C46C7E"/>
    <w:rsid w:val="00C46DAD"/>
    <w:rsid w:val="00C474F7"/>
    <w:rsid w:val="00C5029B"/>
    <w:rsid w:val="00C50AB1"/>
    <w:rsid w:val="00C50FFB"/>
    <w:rsid w:val="00C51383"/>
    <w:rsid w:val="00C5178F"/>
    <w:rsid w:val="00C529C9"/>
    <w:rsid w:val="00C52AA0"/>
    <w:rsid w:val="00C52E69"/>
    <w:rsid w:val="00C535EB"/>
    <w:rsid w:val="00C53904"/>
    <w:rsid w:val="00C539FA"/>
    <w:rsid w:val="00C53C40"/>
    <w:rsid w:val="00C54A27"/>
    <w:rsid w:val="00C54A9A"/>
    <w:rsid w:val="00C54E31"/>
    <w:rsid w:val="00C54E4E"/>
    <w:rsid w:val="00C5659C"/>
    <w:rsid w:val="00C57839"/>
    <w:rsid w:val="00C579C6"/>
    <w:rsid w:val="00C606C0"/>
    <w:rsid w:val="00C60A58"/>
    <w:rsid w:val="00C611EF"/>
    <w:rsid w:val="00C61389"/>
    <w:rsid w:val="00C63537"/>
    <w:rsid w:val="00C63B97"/>
    <w:rsid w:val="00C63E4C"/>
    <w:rsid w:val="00C64C51"/>
    <w:rsid w:val="00C6585A"/>
    <w:rsid w:val="00C67675"/>
    <w:rsid w:val="00C67716"/>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5EAF"/>
    <w:rsid w:val="00C878E8"/>
    <w:rsid w:val="00C87A79"/>
    <w:rsid w:val="00C87FB1"/>
    <w:rsid w:val="00C90A72"/>
    <w:rsid w:val="00C91D94"/>
    <w:rsid w:val="00C91E02"/>
    <w:rsid w:val="00C92306"/>
    <w:rsid w:val="00C92639"/>
    <w:rsid w:val="00C92842"/>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343"/>
    <w:rsid w:val="00CA6B80"/>
    <w:rsid w:val="00CA70E5"/>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2FD5"/>
    <w:rsid w:val="00CC4A96"/>
    <w:rsid w:val="00CC5BE0"/>
    <w:rsid w:val="00CC5E3E"/>
    <w:rsid w:val="00CC670C"/>
    <w:rsid w:val="00CC786F"/>
    <w:rsid w:val="00CD080F"/>
    <w:rsid w:val="00CD1434"/>
    <w:rsid w:val="00CD1A2C"/>
    <w:rsid w:val="00CD2200"/>
    <w:rsid w:val="00CD22B2"/>
    <w:rsid w:val="00CD2709"/>
    <w:rsid w:val="00CD2B02"/>
    <w:rsid w:val="00CD39D4"/>
    <w:rsid w:val="00CD47FC"/>
    <w:rsid w:val="00CD4833"/>
    <w:rsid w:val="00CD4CEE"/>
    <w:rsid w:val="00CD542B"/>
    <w:rsid w:val="00CD5688"/>
    <w:rsid w:val="00CD5978"/>
    <w:rsid w:val="00CD598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A4E"/>
    <w:rsid w:val="00CF4DAF"/>
    <w:rsid w:val="00CF532E"/>
    <w:rsid w:val="00CF5675"/>
    <w:rsid w:val="00CF6B14"/>
    <w:rsid w:val="00CF7778"/>
    <w:rsid w:val="00CF7DE3"/>
    <w:rsid w:val="00D00084"/>
    <w:rsid w:val="00D004A0"/>
    <w:rsid w:val="00D03273"/>
    <w:rsid w:val="00D04268"/>
    <w:rsid w:val="00D047D3"/>
    <w:rsid w:val="00D0488F"/>
    <w:rsid w:val="00D04F45"/>
    <w:rsid w:val="00D054BD"/>
    <w:rsid w:val="00D05E28"/>
    <w:rsid w:val="00D063D2"/>
    <w:rsid w:val="00D06D43"/>
    <w:rsid w:val="00D07E72"/>
    <w:rsid w:val="00D07F68"/>
    <w:rsid w:val="00D1038E"/>
    <w:rsid w:val="00D10D52"/>
    <w:rsid w:val="00D111AF"/>
    <w:rsid w:val="00D1185B"/>
    <w:rsid w:val="00D11E53"/>
    <w:rsid w:val="00D121E4"/>
    <w:rsid w:val="00D12348"/>
    <w:rsid w:val="00D1347F"/>
    <w:rsid w:val="00D1440B"/>
    <w:rsid w:val="00D147AB"/>
    <w:rsid w:val="00D14A78"/>
    <w:rsid w:val="00D150E7"/>
    <w:rsid w:val="00D1587C"/>
    <w:rsid w:val="00D15D40"/>
    <w:rsid w:val="00D16345"/>
    <w:rsid w:val="00D164E5"/>
    <w:rsid w:val="00D16E21"/>
    <w:rsid w:val="00D16E36"/>
    <w:rsid w:val="00D16E39"/>
    <w:rsid w:val="00D20355"/>
    <w:rsid w:val="00D20C61"/>
    <w:rsid w:val="00D2159B"/>
    <w:rsid w:val="00D228A3"/>
    <w:rsid w:val="00D235C6"/>
    <w:rsid w:val="00D23B7C"/>
    <w:rsid w:val="00D23CA9"/>
    <w:rsid w:val="00D24CC2"/>
    <w:rsid w:val="00D24E22"/>
    <w:rsid w:val="00D250D0"/>
    <w:rsid w:val="00D25B15"/>
    <w:rsid w:val="00D26C51"/>
    <w:rsid w:val="00D2740A"/>
    <w:rsid w:val="00D30416"/>
    <w:rsid w:val="00D31F4A"/>
    <w:rsid w:val="00D32C9D"/>
    <w:rsid w:val="00D3549C"/>
    <w:rsid w:val="00D356F9"/>
    <w:rsid w:val="00D35D5C"/>
    <w:rsid w:val="00D361D0"/>
    <w:rsid w:val="00D3638A"/>
    <w:rsid w:val="00D37454"/>
    <w:rsid w:val="00D376C1"/>
    <w:rsid w:val="00D40159"/>
    <w:rsid w:val="00D40DDB"/>
    <w:rsid w:val="00D429EC"/>
    <w:rsid w:val="00D43978"/>
    <w:rsid w:val="00D44121"/>
    <w:rsid w:val="00D44846"/>
    <w:rsid w:val="00D454B6"/>
    <w:rsid w:val="00D46CF4"/>
    <w:rsid w:val="00D478EC"/>
    <w:rsid w:val="00D502F1"/>
    <w:rsid w:val="00D5042F"/>
    <w:rsid w:val="00D50796"/>
    <w:rsid w:val="00D5088B"/>
    <w:rsid w:val="00D5208B"/>
    <w:rsid w:val="00D521EA"/>
    <w:rsid w:val="00D52852"/>
    <w:rsid w:val="00D52B1B"/>
    <w:rsid w:val="00D52CF7"/>
    <w:rsid w:val="00D53EA2"/>
    <w:rsid w:val="00D542C3"/>
    <w:rsid w:val="00D544C5"/>
    <w:rsid w:val="00D55CA0"/>
    <w:rsid w:val="00D55D37"/>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4E9A"/>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7736F"/>
    <w:rsid w:val="00D777A2"/>
    <w:rsid w:val="00D80E2D"/>
    <w:rsid w:val="00D80EB6"/>
    <w:rsid w:val="00D81B3A"/>
    <w:rsid w:val="00D82056"/>
    <w:rsid w:val="00D82CE5"/>
    <w:rsid w:val="00D8343C"/>
    <w:rsid w:val="00D83D88"/>
    <w:rsid w:val="00D8437F"/>
    <w:rsid w:val="00D84C74"/>
    <w:rsid w:val="00D84D9D"/>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3BF1"/>
    <w:rsid w:val="00DA499F"/>
    <w:rsid w:val="00DA4FD9"/>
    <w:rsid w:val="00DA5253"/>
    <w:rsid w:val="00DA57A0"/>
    <w:rsid w:val="00DA5AB1"/>
    <w:rsid w:val="00DA6996"/>
    <w:rsid w:val="00DA6EE1"/>
    <w:rsid w:val="00DA7078"/>
    <w:rsid w:val="00DA72B4"/>
    <w:rsid w:val="00DB12BD"/>
    <w:rsid w:val="00DB236B"/>
    <w:rsid w:val="00DB2BFA"/>
    <w:rsid w:val="00DB2EB1"/>
    <w:rsid w:val="00DB3448"/>
    <w:rsid w:val="00DB3C24"/>
    <w:rsid w:val="00DB44D8"/>
    <w:rsid w:val="00DB49AA"/>
    <w:rsid w:val="00DB5ED4"/>
    <w:rsid w:val="00DB6093"/>
    <w:rsid w:val="00DB61B2"/>
    <w:rsid w:val="00DB6533"/>
    <w:rsid w:val="00DB73EC"/>
    <w:rsid w:val="00DB768D"/>
    <w:rsid w:val="00DB796B"/>
    <w:rsid w:val="00DC2BC5"/>
    <w:rsid w:val="00DC2F49"/>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93D"/>
    <w:rsid w:val="00DD5E33"/>
    <w:rsid w:val="00DD6339"/>
    <w:rsid w:val="00DD735D"/>
    <w:rsid w:val="00DD7602"/>
    <w:rsid w:val="00DD7D8D"/>
    <w:rsid w:val="00DE0618"/>
    <w:rsid w:val="00DE07F8"/>
    <w:rsid w:val="00DE0A17"/>
    <w:rsid w:val="00DE0BE3"/>
    <w:rsid w:val="00DE1FEF"/>
    <w:rsid w:val="00DE279B"/>
    <w:rsid w:val="00DE2F27"/>
    <w:rsid w:val="00DE3119"/>
    <w:rsid w:val="00DE3ABA"/>
    <w:rsid w:val="00DE4CF0"/>
    <w:rsid w:val="00DE4D23"/>
    <w:rsid w:val="00DE5084"/>
    <w:rsid w:val="00DE5723"/>
    <w:rsid w:val="00DE6489"/>
    <w:rsid w:val="00DE683C"/>
    <w:rsid w:val="00DE6B11"/>
    <w:rsid w:val="00DE6E79"/>
    <w:rsid w:val="00DE6FE1"/>
    <w:rsid w:val="00DE70DC"/>
    <w:rsid w:val="00DF0AB4"/>
    <w:rsid w:val="00DF0AE3"/>
    <w:rsid w:val="00DF1287"/>
    <w:rsid w:val="00DF1308"/>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2E3E"/>
    <w:rsid w:val="00E13AB8"/>
    <w:rsid w:val="00E13FD3"/>
    <w:rsid w:val="00E14299"/>
    <w:rsid w:val="00E144AB"/>
    <w:rsid w:val="00E169BF"/>
    <w:rsid w:val="00E17C49"/>
    <w:rsid w:val="00E17EE1"/>
    <w:rsid w:val="00E206ED"/>
    <w:rsid w:val="00E21256"/>
    <w:rsid w:val="00E21494"/>
    <w:rsid w:val="00E217A5"/>
    <w:rsid w:val="00E21B32"/>
    <w:rsid w:val="00E22BCE"/>
    <w:rsid w:val="00E238B4"/>
    <w:rsid w:val="00E2399D"/>
    <w:rsid w:val="00E23B36"/>
    <w:rsid w:val="00E240CB"/>
    <w:rsid w:val="00E240E7"/>
    <w:rsid w:val="00E24EBF"/>
    <w:rsid w:val="00E25161"/>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5E7"/>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4AE8"/>
    <w:rsid w:val="00E554E9"/>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695"/>
    <w:rsid w:val="00E737A7"/>
    <w:rsid w:val="00E742A7"/>
    <w:rsid w:val="00E7503A"/>
    <w:rsid w:val="00E7556E"/>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203"/>
    <w:rsid w:val="00E91477"/>
    <w:rsid w:val="00E91585"/>
    <w:rsid w:val="00E915AC"/>
    <w:rsid w:val="00E9178F"/>
    <w:rsid w:val="00E917AE"/>
    <w:rsid w:val="00E91DA5"/>
    <w:rsid w:val="00E92488"/>
    <w:rsid w:val="00E9442D"/>
    <w:rsid w:val="00E94DA3"/>
    <w:rsid w:val="00E970AD"/>
    <w:rsid w:val="00E97548"/>
    <w:rsid w:val="00E9754A"/>
    <w:rsid w:val="00E9760B"/>
    <w:rsid w:val="00E97CC7"/>
    <w:rsid w:val="00E97E46"/>
    <w:rsid w:val="00EA04EF"/>
    <w:rsid w:val="00EA1131"/>
    <w:rsid w:val="00EA3483"/>
    <w:rsid w:val="00EA38C4"/>
    <w:rsid w:val="00EA6BEE"/>
    <w:rsid w:val="00EA704D"/>
    <w:rsid w:val="00EA79EB"/>
    <w:rsid w:val="00EB0DF1"/>
    <w:rsid w:val="00EB372E"/>
    <w:rsid w:val="00EB3AB3"/>
    <w:rsid w:val="00EB5145"/>
    <w:rsid w:val="00EB7836"/>
    <w:rsid w:val="00EB7E20"/>
    <w:rsid w:val="00EC08B0"/>
    <w:rsid w:val="00EC2A8B"/>
    <w:rsid w:val="00EC3B81"/>
    <w:rsid w:val="00EC443D"/>
    <w:rsid w:val="00EC4988"/>
    <w:rsid w:val="00EC4A47"/>
    <w:rsid w:val="00EC4BBB"/>
    <w:rsid w:val="00EC58BE"/>
    <w:rsid w:val="00EC5A9E"/>
    <w:rsid w:val="00EC5E1B"/>
    <w:rsid w:val="00EC5F41"/>
    <w:rsid w:val="00EC60CB"/>
    <w:rsid w:val="00EC6E07"/>
    <w:rsid w:val="00EC7091"/>
    <w:rsid w:val="00EC7470"/>
    <w:rsid w:val="00EC7B4C"/>
    <w:rsid w:val="00ED009B"/>
    <w:rsid w:val="00ED0667"/>
    <w:rsid w:val="00ED0F19"/>
    <w:rsid w:val="00ED2EB1"/>
    <w:rsid w:val="00ED2EFF"/>
    <w:rsid w:val="00ED3700"/>
    <w:rsid w:val="00ED3AC7"/>
    <w:rsid w:val="00ED3BF4"/>
    <w:rsid w:val="00ED4234"/>
    <w:rsid w:val="00ED42A5"/>
    <w:rsid w:val="00ED612C"/>
    <w:rsid w:val="00ED7F90"/>
    <w:rsid w:val="00EE094E"/>
    <w:rsid w:val="00EE100F"/>
    <w:rsid w:val="00EE1CCD"/>
    <w:rsid w:val="00EE4DB7"/>
    <w:rsid w:val="00EE5189"/>
    <w:rsid w:val="00EE6E21"/>
    <w:rsid w:val="00EE7272"/>
    <w:rsid w:val="00EE776B"/>
    <w:rsid w:val="00EE7C4F"/>
    <w:rsid w:val="00EF15DA"/>
    <w:rsid w:val="00EF16DD"/>
    <w:rsid w:val="00EF2FB0"/>
    <w:rsid w:val="00EF3555"/>
    <w:rsid w:val="00EF3915"/>
    <w:rsid w:val="00EF4A52"/>
    <w:rsid w:val="00EF51E8"/>
    <w:rsid w:val="00EF5CB5"/>
    <w:rsid w:val="00EF5D1E"/>
    <w:rsid w:val="00EF66A8"/>
    <w:rsid w:val="00EF66D5"/>
    <w:rsid w:val="00EF66D6"/>
    <w:rsid w:val="00EF6B86"/>
    <w:rsid w:val="00EF7EB1"/>
    <w:rsid w:val="00F01322"/>
    <w:rsid w:val="00F02183"/>
    <w:rsid w:val="00F038E5"/>
    <w:rsid w:val="00F03B2B"/>
    <w:rsid w:val="00F04511"/>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2377"/>
    <w:rsid w:val="00F1301C"/>
    <w:rsid w:val="00F134D2"/>
    <w:rsid w:val="00F13DF7"/>
    <w:rsid w:val="00F13E07"/>
    <w:rsid w:val="00F145B8"/>
    <w:rsid w:val="00F155B7"/>
    <w:rsid w:val="00F15A44"/>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4720"/>
    <w:rsid w:val="00F354B5"/>
    <w:rsid w:val="00F355D3"/>
    <w:rsid w:val="00F368C1"/>
    <w:rsid w:val="00F36B58"/>
    <w:rsid w:val="00F36E11"/>
    <w:rsid w:val="00F37460"/>
    <w:rsid w:val="00F379A3"/>
    <w:rsid w:val="00F37C6E"/>
    <w:rsid w:val="00F404F8"/>
    <w:rsid w:val="00F41D25"/>
    <w:rsid w:val="00F421CA"/>
    <w:rsid w:val="00F42730"/>
    <w:rsid w:val="00F43565"/>
    <w:rsid w:val="00F449FE"/>
    <w:rsid w:val="00F44CA3"/>
    <w:rsid w:val="00F452B6"/>
    <w:rsid w:val="00F45AD2"/>
    <w:rsid w:val="00F46903"/>
    <w:rsid w:val="00F46AAC"/>
    <w:rsid w:val="00F47998"/>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63531"/>
    <w:rsid w:val="00F63738"/>
    <w:rsid w:val="00F672BE"/>
    <w:rsid w:val="00F701A7"/>
    <w:rsid w:val="00F71570"/>
    <w:rsid w:val="00F7173E"/>
    <w:rsid w:val="00F71883"/>
    <w:rsid w:val="00F726FC"/>
    <w:rsid w:val="00F72899"/>
    <w:rsid w:val="00F728C3"/>
    <w:rsid w:val="00F72BAE"/>
    <w:rsid w:val="00F7558E"/>
    <w:rsid w:val="00F76205"/>
    <w:rsid w:val="00F801B3"/>
    <w:rsid w:val="00F803F1"/>
    <w:rsid w:val="00F809EF"/>
    <w:rsid w:val="00F81111"/>
    <w:rsid w:val="00F8177B"/>
    <w:rsid w:val="00F81B47"/>
    <w:rsid w:val="00F83810"/>
    <w:rsid w:val="00F83B75"/>
    <w:rsid w:val="00F845A1"/>
    <w:rsid w:val="00F84899"/>
    <w:rsid w:val="00F8492C"/>
    <w:rsid w:val="00F85499"/>
    <w:rsid w:val="00F859F0"/>
    <w:rsid w:val="00F86883"/>
    <w:rsid w:val="00F8789E"/>
    <w:rsid w:val="00F87B39"/>
    <w:rsid w:val="00F91CA6"/>
    <w:rsid w:val="00F92E29"/>
    <w:rsid w:val="00F93448"/>
    <w:rsid w:val="00F94AEF"/>
    <w:rsid w:val="00FA06A3"/>
    <w:rsid w:val="00FA0AD1"/>
    <w:rsid w:val="00FA0E3E"/>
    <w:rsid w:val="00FA273C"/>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564"/>
    <w:rsid w:val="00FB58AF"/>
    <w:rsid w:val="00FB5BF9"/>
    <w:rsid w:val="00FC0B6A"/>
    <w:rsid w:val="00FC0F82"/>
    <w:rsid w:val="00FC3D45"/>
    <w:rsid w:val="00FC4435"/>
    <w:rsid w:val="00FC4647"/>
    <w:rsid w:val="00FC55C2"/>
    <w:rsid w:val="00FC62E4"/>
    <w:rsid w:val="00FC6EB3"/>
    <w:rsid w:val="00FC711A"/>
    <w:rsid w:val="00FC7299"/>
    <w:rsid w:val="00FC7C2E"/>
    <w:rsid w:val="00FC7F10"/>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1325"/>
    <w:rsid w:val="00FF2832"/>
    <w:rsid w:val="00FF3657"/>
    <w:rsid w:val="00FF417D"/>
    <w:rsid w:val="00FF49BD"/>
    <w:rsid w:val="00FF4A64"/>
    <w:rsid w:val="00FF521D"/>
    <w:rsid w:val="00FF5C43"/>
    <w:rsid w:val="00FF5EBA"/>
    <w:rsid w:val="00FF60FB"/>
    <w:rsid w:val="00FF66DD"/>
    <w:rsid w:val="00FF6C03"/>
    <w:rsid w:val="00FF6F65"/>
    <w:rsid w:val="00FF7737"/>
    <w:rsid w:val="00FF773A"/>
    <w:rsid w:val="00FF7BEE"/>
    <w:rsid w:val="00FF7E87"/>
    <w:rsid w:val="03C30222"/>
    <w:rsid w:val="127BF070"/>
    <w:rsid w:val="1756A024"/>
    <w:rsid w:val="374C1BEF"/>
    <w:rsid w:val="4AD19253"/>
    <w:rsid w:val="73FCB4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D08"/>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7DE3ADD-159E-4B94-919B-5FF082C0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25</Pages>
  <Words>8756</Words>
  <Characters>48163</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Nina María Padrón</cp:lastModifiedBy>
  <cp:revision>6</cp:revision>
  <dcterms:created xsi:type="dcterms:W3CDTF">2022-09-02T19:57:00Z</dcterms:created>
  <dcterms:modified xsi:type="dcterms:W3CDTF">2022-10-06T16:28:00Z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