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0CC5B" w14:textId="77777777" w:rsidR="00EF3E27" w:rsidRPr="00026D66" w:rsidRDefault="00EF3E27" w:rsidP="00EF3E27">
      <w:pPr>
        <w:spacing w:after="0" w:line="240" w:lineRule="auto"/>
        <w:contextualSpacing/>
        <w:jc w:val="both"/>
        <w:rPr>
          <w:rFonts w:ascii="Verdana" w:eastAsia="Calibri" w:hAnsi="Verdana" w:cs="Arial"/>
          <w:b/>
          <w:lang w:val="es-MX"/>
        </w:rPr>
      </w:pPr>
      <w:bookmarkStart w:id="0" w:name="_Hlk143780582"/>
      <w:r w:rsidRPr="00026D66">
        <w:rPr>
          <w:rFonts w:ascii="Verdana" w:eastAsia="Calibri" w:hAnsi="Verdana" w:cs="Arial"/>
          <w:b/>
          <w:lang w:val="es-MX"/>
        </w:rPr>
        <w:t>EXPERIENCIA – Concepto</w:t>
      </w:r>
    </w:p>
    <w:p w14:paraId="3ECC7B27" w14:textId="77777777" w:rsidR="00EF3E27" w:rsidRPr="00303C4B" w:rsidRDefault="00EF3E27" w:rsidP="00EF3E27">
      <w:pPr>
        <w:spacing w:after="0" w:line="240" w:lineRule="auto"/>
        <w:contextualSpacing/>
        <w:jc w:val="both"/>
        <w:rPr>
          <w:rFonts w:ascii="Verdana" w:eastAsia="Calibri" w:hAnsi="Verdana" w:cs="Arial"/>
          <w:b/>
          <w:sz w:val="20"/>
          <w:szCs w:val="20"/>
          <w:lang w:val="es-MX"/>
        </w:rPr>
      </w:pPr>
    </w:p>
    <w:p w14:paraId="459D5492" w14:textId="77777777" w:rsidR="00EF3E27" w:rsidRPr="00D57D39" w:rsidRDefault="00EF3E27" w:rsidP="00EF3E27">
      <w:pPr>
        <w:spacing w:line="276" w:lineRule="auto"/>
        <w:jc w:val="both"/>
        <w:rPr>
          <w:rFonts w:ascii="Verdana" w:eastAsia="Calibri" w:hAnsi="Verdana" w:cs="Arial"/>
          <w:sz w:val="20"/>
          <w:szCs w:val="20"/>
          <w:lang w:eastAsia="es-CO"/>
        </w:rPr>
      </w:pPr>
      <w:r w:rsidRPr="00D57D39">
        <w:rPr>
          <w:rFonts w:ascii="Verdana" w:eastAsia="Calibri" w:hAnsi="Verdana" w:cs="Arial"/>
          <w:sz w:val="20"/>
          <w:szCs w:val="20"/>
          <w:lang w:eastAsia="es-CO"/>
        </w:rPr>
        <w:t xml:space="preserve">La experiencia es aquella que se deriva de los contratos que el proponente ha celebrado y ejecutado con diferentes contratantes, sin importar la naturaleza de estos, se verifica con el Registro Único de Proponentes – RUP, cuando este certificado sea exigible de acuerdo con la Ley. </w:t>
      </w:r>
    </w:p>
    <w:p w14:paraId="3FC230DE" w14:textId="77777777" w:rsidR="00EF3E27" w:rsidRPr="00E7745C" w:rsidRDefault="00EF3E27" w:rsidP="00EF3E27">
      <w:pPr>
        <w:spacing w:line="276" w:lineRule="auto"/>
        <w:jc w:val="both"/>
        <w:rPr>
          <w:rFonts w:ascii="Verdana" w:eastAsia="Century Gothic" w:hAnsi="Verdana" w:cs="Century Gothic"/>
          <w:b/>
          <w:bCs/>
        </w:rPr>
      </w:pPr>
      <w:r w:rsidRPr="00E7745C">
        <w:rPr>
          <w:rFonts w:ascii="Verdana" w:eastAsia="Century Gothic" w:hAnsi="Verdana" w:cs="Century Gothic"/>
          <w:b/>
          <w:bCs/>
        </w:rPr>
        <w:t xml:space="preserve">REQUISITO HABILITANTE DE EXPERIENCIA – Forma de acreditación </w:t>
      </w:r>
    </w:p>
    <w:p w14:paraId="17D98799" w14:textId="77777777" w:rsidR="00EF3E27" w:rsidRPr="00632DC2" w:rsidRDefault="00EF3E27" w:rsidP="00EF3E27">
      <w:pPr>
        <w:spacing w:line="276" w:lineRule="auto"/>
        <w:jc w:val="both"/>
        <w:rPr>
          <w:rFonts w:ascii="Verdana" w:eastAsia="Calibri" w:hAnsi="Verdana" w:cs="Arial"/>
          <w:sz w:val="20"/>
          <w:szCs w:val="20"/>
          <w:lang w:eastAsia="es-CO"/>
        </w:rPr>
      </w:pPr>
      <w:r w:rsidRPr="00632DC2">
        <w:rPr>
          <w:rFonts w:ascii="Verdana" w:eastAsia="Century Gothic" w:hAnsi="Verdana" w:cs="Century Gothic"/>
          <w:sz w:val="20"/>
          <w:szCs w:val="20"/>
        </w:rPr>
        <w:t xml:space="preserve">En efecto, este requisito se acreditará a través del registro único de proponentes en los procesos de selección que así lo exija la norma. </w:t>
      </w:r>
      <w:r w:rsidRPr="00632DC2">
        <w:rPr>
          <w:rFonts w:ascii="Verdana" w:eastAsia="Calibri" w:hAnsi="Verdana" w:cs="Arial"/>
          <w:sz w:val="20"/>
          <w:szCs w:val="20"/>
          <w:lang w:eastAsia="es-CO"/>
        </w:rPr>
        <w:t xml:space="preserve">No obstante,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Lo mismo ocurre en los procesos de selección en los cuales no es exigible el RUP. En ambos escenarios,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cuáles documentos resultan ser adecuados y proporcionales para verificar el requisito de experiencia establecido. </w:t>
      </w:r>
    </w:p>
    <w:p w14:paraId="0F33AEFC" w14:textId="77777777" w:rsidR="00EF3E27" w:rsidRPr="00D57D39" w:rsidRDefault="00EF3E27" w:rsidP="00EF3E27">
      <w:pPr>
        <w:spacing w:line="276" w:lineRule="auto"/>
        <w:jc w:val="both"/>
        <w:rPr>
          <w:rFonts w:ascii="Verdana" w:eastAsia="Calibri" w:hAnsi="Verdana" w:cs="Arial"/>
          <w:sz w:val="20"/>
          <w:szCs w:val="20"/>
          <w:lang w:eastAsia="es-CO"/>
        </w:rPr>
      </w:pPr>
      <w:r w:rsidRPr="00632DC2">
        <w:rPr>
          <w:rFonts w:ascii="Verdana" w:eastAsia="Calibri" w:hAnsi="Verdana" w:cs="Arial"/>
          <w:sz w:val="20"/>
          <w:szCs w:val="20"/>
          <w:lang w:eastAsia="es-CO"/>
        </w:rPr>
        <w:t>Las entidades por ejemplo suelen requerir documentos como actas de liquidación, actas de entrega, actas de terminación, o de recibo definitivo, certificaciones expedidas con posterioridad a la fecha de terminación del contrato, entre otros documentos. Estos documentos permiten que la entidad pueda comprobar la experiencia del proponente, como, por ejemplo, el objeto del contrato, las actividades desarrolladas, el valor del contrato o el valor debidamente ejecutado, esto es, cualquier información que le de certeza y seguridad a la entidad estatal en la verificación del requisito de experiencia.</w:t>
      </w:r>
      <w:r>
        <w:rPr>
          <w:rFonts w:ascii="Verdana" w:eastAsia="Calibri" w:hAnsi="Verdana" w:cs="Arial"/>
          <w:sz w:val="20"/>
          <w:szCs w:val="20"/>
          <w:lang w:eastAsia="es-CO"/>
        </w:rPr>
        <w:t xml:space="preserve"> </w:t>
      </w:r>
    </w:p>
    <w:p w14:paraId="4CCCA814" w14:textId="77777777" w:rsidR="00EF3E27" w:rsidRPr="00632DC2" w:rsidRDefault="00EF3E27" w:rsidP="00EF3E27">
      <w:pPr>
        <w:spacing w:line="276" w:lineRule="auto"/>
        <w:jc w:val="both"/>
        <w:rPr>
          <w:rFonts w:ascii="Verdana" w:eastAsia="Calibri" w:hAnsi="Verdana" w:cs="Arial"/>
          <w:sz w:val="20"/>
          <w:szCs w:val="20"/>
          <w:lang w:eastAsia="es-CO"/>
        </w:rPr>
      </w:pPr>
      <w:r w:rsidRPr="00D57D39">
        <w:rPr>
          <w:rFonts w:ascii="Verdana" w:eastAsia="Calibri" w:hAnsi="Verdana" w:cs="Arial"/>
          <w:sz w:val="20"/>
          <w:szCs w:val="20"/>
          <w:lang w:eastAsia="es-CO"/>
        </w:rPr>
        <w:t>La Agencia Nacional de Contratación Pública - Colombia Compra Eficiente puso a disposición de los interesados del sistema de compra pública el “Manual para determinar y verificar requisitos habilitantes en los procesos de contratación”, y en este de forma particular, sobre la experiencia se centra en una de sus cualidades; y es su carácter personal, lo cual significa que quien tiene la experiencia lo hace debido a su participación, con anterioridad, en actividades que le permitieron conocer cómo ejecutar el objeto contractual que la entidad pretende satisfacer ahora.</w:t>
      </w:r>
      <w:r w:rsidRPr="00632DC2">
        <w:rPr>
          <w:rFonts w:ascii="Verdana" w:eastAsia="Calibri" w:hAnsi="Verdana" w:cs="Arial"/>
          <w:sz w:val="20"/>
          <w:szCs w:val="20"/>
          <w:lang w:eastAsia="es-CO"/>
        </w:rPr>
        <w:t xml:space="preserve"> </w:t>
      </w:r>
    </w:p>
    <w:p w14:paraId="6258D963" w14:textId="77777777" w:rsidR="00EF3E27" w:rsidRPr="00E7745C" w:rsidRDefault="00EF3E27" w:rsidP="00EF3E27">
      <w:pPr>
        <w:jc w:val="both"/>
        <w:rPr>
          <w:rFonts w:ascii="Verdana" w:eastAsia="Century Gothic" w:hAnsi="Verdana" w:cs="Century Gothic"/>
          <w:b/>
          <w:bCs/>
        </w:rPr>
      </w:pPr>
      <w:r w:rsidRPr="00E7745C">
        <w:rPr>
          <w:rFonts w:ascii="Verdana" w:eastAsia="Century Gothic" w:hAnsi="Verdana" w:cs="Century Gothic"/>
          <w:b/>
          <w:bCs/>
        </w:rPr>
        <w:t xml:space="preserve">REQUISITO HABILITANTE DE EXPERIENCIA – </w:t>
      </w:r>
      <w:r>
        <w:rPr>
          <w:rFonts w:ascii="Verdana" w:eastAsia="Century Gothic" w:hAnsi="Verdana" w:cs="Century Gothic"/>
          <w:b/>
          <w:bCs/>
        </w:rPr>
        <w:t>A</w:t>
      </w:r>
      <w:r w:rsidRPr="00E7745C">
        <w:rPr>
          <w:rFonts w:ascii="Verdana" w:eastAsia="Century Gothic" w:hAnsi="Verdana" w:cs="Century Gothic"/>
          <w:b/>
          <w:bCs/>
        </w:rPr>
        <w:t xml:space="preserve">creditación del valor de los contratos </w:t>
      </w:r>
    </w:p>
    <w:p w14:paraId="059887CE" w14:textId="77777777" w:rsidR="00EF3E27" w:rsidRDefault="00EF3E27" w:rsidP="00EF3E27">
      <w:pPr>
        <w:spacing w:line="276" w:lineRule="auto"/>
        <w:jc w:val="both"/>
        <w:rPr>
          <w:rFonts w:ascii="Verdana" w:eastAsia="Calibri" w:hAnsi="Verdana" w:cs="Arial"/>
          <w:sz w:val="20"/>
          <w:szCs w:val="20"/>
          <w:lang w:eastAsia="es-CO"/>
        </w:rPr>
      </w:pPr>
      <w:r w:rsidRPr="00632DC2">
        <w:rPr>
          <w:rFonts w:ascii="Verdana" w:eastAsia="Calibri" w:hAnsi="Verdana" w:cs="Arial"/>
          <w:sz w:val="20"/>
          <w:szCs w:val="20"/>
          <w:lang w:eastAsia="es-CO"/>
        </w:rPr>
        <w:t xml:space="preserve">[…] la entidad estatal podrá adoptar, dentro de los términos que fija la ley, de manera proporcional y adecuada, alternativas que le permitan definir la verificación del valor </w:t>
      </w:r>
      <w:r w:rsidRPr="00632DC2">
        <w:rPr>
          <w:rFonts w:ascii="Verdana" w:eastAsia="Calibri" w:hAnsi="Verdana" w:cs="Arial"/>
          <w:sz w:val="20"/>
          <w:szCs w:val="20"/>
          <w:lang w:eastAsia="es-CO"/>
        </w:rPr>
        <w:lastRenderedPageBreak/>
        <w:t xml:space="preserve">ejecutado de un contrato como es dividir el valor ejecutado por el valor del salario mínimo legal mensual vigente del contrato realmente ejecutado. </w:t>
      </w:r>
    </w:p>
    <w:p w14:paraId="479E9F56" w14:textId="77777777" w:rsidR="00EF3E27" w:rsidRDefault="00EF3E27" w:rsidP="00EF3E27">
      <w:pPr>
        <w:spacing w:after="0"/>
        <w:rPr>
          <w:rFonts w:ascii="Verdana" w:hAnsi="Verdana"/>
        </w:rPr>
      </w:pPr>
    </w:p>
    <w:p w14:paraId="2B53743E" w14:textId="77777777" w:rsidR="00EF3E27" w:rsidRDefault="00EF3E27" w:rsidP="00EF3E27">
      <w:pPr>
        <w:spacing w:after="0"/>
        <w:rPr>
          <w:rFonts w:ascii="Verdana" w:hAnsi="Verdana"/>
        </w:rPr>
      </w:pPr>
    </w:p>
    <w:p w14:paraId="3B9F4BBC" w14:textId="77777777" w:rsidR="00EF3E27" w:rsidRDefault="00EF3E27" w:rsidP="00EF3E27">
      <w:pPr>
        <w:spacing w:after="0"/>
        <w:rPr>
          <w:rFonts w:ascii="Verdana" w:hAnsi="Verdana"/>
        </w:rPr>
      </w:pPr>
    </w:p>
    <w:p w14:paraId="692943A3" w14:textId="77777777" w:rsidR="00EF3E27" w:rsidRDefault="00EF3E27" w:rsidP="00EF3E27">
      <w:pPr>
        <w:spacing w:after="0"/>
        <w:rPr>
          <w:rFonts w:ascii="Verdana" w:hAnsi="Verdana"/>
        </w:rPr>
      </w:pPr>
    </w:p>
    <w:p w14:paraId="6F14A3F8" w14:textId="77777777" w:rsidR="00EF3E27" w:rsidRDefault="00EF3E27" w:rsidP="00EF3E27">
      <w:pPr>
        <w:spacing w:after="0"/>
        <w:rPr>
          <w:rFonts w:ascii="Verdana" w:hAnsi="Verdana"/>
        </w:rPr>
      </w:pPr>
    </w:p>
    <w:p w14:paraId="05E3668B" w14:textId="77777777" w:rsidR="00EF3E27" w:rsidRDefault="00EF3E27" w:rsidP="00EF3E27">
      <w:pPr>
        <w:spacing w:after="0"/>
        <w:rPr>
          <w:rFonts w:ascii="Verdana" w:hAnsi="Verdana"/>
        </w:rPr>
      </w:pPr>
    </w:p>
    <w:p w14:paraId="7FE1A94D" w14:textId="77777777" w:rsidR="00EF3E27" w:rsidRDefault="00EF3E27" w:rsidP="00EF3E27">
      <w:pPr>
        <w:spacing w:after="0"/>
        <w:rPr>
          <w:rFonts w:ascii="Verdana" w:hAnsi="Verdana"/>
        </w:rPr>
      </w:pPr>
    </w:p>
    <w:p w14:paraId="0F28E1C4" w14:textId="77777777" w:rsidR="00EF3E27" w:rsidRDefault="00EF3E27" w:rsidP="00EF3E27">
      <w:pPr>
        <w:spacing w:after="0"/>
        <w:rPr>
          <w:rFonts w:ascii="Verdana" w:hAnsi="Verdana"/>
        </w:rPr>
      </w:pPr>
    </w:p>
    <w:p w14:paraId="2E69DA2C" w14:textId="77777777" w:rsidR="00EF3E27" w:rsidRDefault="00EF3E27" w:rsidP="00EF3E27">
      <w:pPr>
        <w:spacing w:after="0"/>
        <w:rPr>
          <w:rFonts w:ascii="Verdana" w:hAnsi="Verdana"/>
        </w:rPr>
      </w:pPr>
    </w:p>
    <w:p w14:paraId="2DE385C7" w14:textId="77777777" w:rsidR="00EF3E27" w:rsidRDefault="00EF3E27" w:rsidP="00EF3E27">
      <w:pPr>
        <w:spacing w:after="0"/>
        <w:rPr>
          <w:rFonts w:ascii="Verdana" w:hAnsi="Verdana"/>
        </w:rPr>
      </w:pPr>
    </w:p>
    <w:p w14:paraId="0C8FFB30" w14:textId="77777777" w:rsidR="00EF3E27" w:rsidRDefault="00EF3E27" w:rsidP="00EF3E27">
      <w:pPr>
        <w:spacing w:after="0"/>
        <w:rPr>
          <w:rFonts w:ascii="Verdana" w:hAnsi="Verdana"/>
        </w:rPr>
      </w:pPr>
    </w:p>
    <w:p w14:paraId="0AA41664" w14:textId="77777777" w:rsidR="00EF3E27" w:rsidRDefault="00EF3E27" w:rsidP="00EF3E27">
      <w:pPr>
        <w:spacing w:after="0"/>
        <w:rPr>
          <w:rFonts w:ascii="Verdana" w:hAnsi="Verdana"/>
        </w:rPr>
      </w:pPr>
    </w:p>
    <w:p w14:paraId="53FBA569" w14:textId="77777777" w:rsidR="00EF3E27" w:rsidRDefault="00EF3E27" w:rsidP="00EF3E27">
      <w:pPr>
        <w:spacing w:after="0"/>
        <w:rPr>
          <w:rFonts w:ascii="Verdana" w:hAnsi="Verdana"/>
        </w:rPr>
      </w:pPr>
    </w:p>
    <w:p w14:paraId="780597FD" w14:textId="77777777" w:rsidR="00EF3E27" w:rsidRDefault="00EF3E27" w:rsidP="00EF3E27">
      <w:pPr>
        <w:spacing w:after="0"/>
        <w:rPr>
          <w:rFonts w:ascii="Verdana" w:hAnsi="Verdana"/>
        </w:rPr>
      </w:pPr>
    </w:p>
    <w:p w14:paraId="09A4C5DE" w14:textId="77777777" w:rsidR="00EF3E27" w:rsidRDefault="00EF3E27" w:rsidP="00EF3E27">
      <w:pPr>
        <w:spacing w:after="0"/>
        <w:rPr>
          <w:rFonts w:ascii="Verdana" w:hAnsi="Verdana"/>
        </w:rPr>
      </w:pPr>
    </w:p>
    <w:p w14:paraId="114779FE" w14:textId="77777777" w:rsidR="00EF3E27" w:rsidRDefault="00EF3E27" w:rsidP="00EF3E27">
      <w:pPr>
        <w:spacing w:after="0"/>
        <w:rPr>
          <w:rFonts w:ascii="Verdana" w:hAnsi="Verdana"/>
        </w:rPr>
      </w:pPr>
    </w:p>
    <w:p w14:paraId="7E1FBC6B" w14:textId="77777777" w:rsidR="00EF3E27" w:rsidRDefault="00EF3E27" w:rsidP="00EF3E27">
      <w:pPr>
        <w:spacing w:after="0"/>
        <w:rPr>
          <w:rFonts w:ascii="Verdana" w:hAnsi="Verdana"/>
        </w:rPr>
      </w:pPr>
    </w:p>
    <w:p w14:paraId="228C4916" w14:textId="77777777" w:rsidR="00EF3E27" w:rsidRDefault="00EF3E27" w:rsidP="00EF3E27">
      <w:pPr>
        <w:spacing w:after="0"/>
        <w:rPr>
          <w:rFonts w:ascii="Verdana" w:hAnsi="Verdana"/>
        </w:rPr>
      </w:pPr>
    </w:p>
    <w:p w14:paraId="7ADCA057" w14:textId="77777777" w:rsidR="00EF3E27" w:rsidRDefault="00EF3E27" w:rsidP="00EF3E27">
      <w:pPr>
        <w:spacing w:after="0"/>
        <w:rPr>
          <w:rFonts w:ascii="Verdana" w:hAnsi="Verdana"/>
        </w:rPr>
      </w:pPr>
    </w:p>
    <w:p w14:paraId="7D001127" w14:textId="77777777" w:rsidR="00EF3E27" w:rsidRDefault="00EF3E27" w:rsidP="00EF3E27">
      <w:pPr>
        <w:spacing w:after="0"/>
        <w:rPr>
          <w:rFonts w:ascii="Verdana" w:hAnsi="Verdana"/>
        </w:rPr>
      </w:pPr>
    </w:p>
    <w:p w14:paraId="069F0693" w14:textId="77777777" w:rsidR="00EF3E27" w:rsidRDefault="00EF3E27" w:rsidP="00EF3E27">
      <w:pPr>
        <w:spacing w:after="0"/>
        <w:rPr>
          <w:rFonts w:ascii="Verdana" w:hAnsi="Verdana"/>
        </w:rPr>
      </w:pPr>
    </w:p>
    <w:p w14:paraId="1DCBDD31" w14:textId="77777777" w:rsidR="00EF3E27" w:rsidRDefault="00EF3E27" w:rsidP="00EF3E27">
      <w:pPr>
        <w:spacing w:after="0"/>
        <w:rPr>
          <w:rFonts w:ascii="Verdana" w:hAnsi="Verdana"/>
        </w:rPr>
      </w:pPr>
    </w:p>
    <w:p w14:paraId="0987407F" w14:textId="30168598" w:rsidR="16F041FF" w:rsidRDefault="16F041FF" w:rsidP="16F041FF">
      <w:pPr>
        <w:spacing w:after="0"/>
        <w:rPr>
          <w:rFonts w:ascii="Verdana" w:hAnsi="Verdana"/>
        </w:rPr>
      </w:pPr>
    </w:p>
    <w:p w14:paraId="7A8390D2" w14:textId="59BC5945" w:rsidR="16F041FF" w:rsidRDefault="16F041FF" w:rsidP="16F041FF">
      <w:pPr>
        <w:spacing w:after="0"/>
        <w:rPr>
          <w:rFonts w:ascii="Verdana" w:hAnsi="Verdana"/>
        </w:rPr>
      </w:pPr>
    </w:p>
    <w:p w14:paraId="3C756CB4" w14:textId="77777777" w:rsidR="005A3FF4" w:rsidRDefault="005A3FF4" w:rsidP="16F041FF">
      <w:pPr>
        <w:spacing w:after="0"/>
        <w:rPr>
          <w:rFonts w:ascii="Verdana" w:hAnsi="Verdana"/>
        </w:rPr>
      </w:pPr>
    </w:p>
    <w:p w14:paraId="1E9F1E2D" w14:textId="77777777" w:rsidR="005A3FF4" w:rsidRDefault="005A3FF4" w:rsidP="16F041FF">
      <w:pPr>
        <w:spacing w:after="0"/>
        <w:rPr>
          <w:rFonts w:ascii="Verdana" w:hAnsi="Verdana"/>
        </w:rPr>
      </w:pPr>
    </w:p>
    <w:p w14:paraId="3E2D5C40" w14:textId="77777777" w:rsidR="005A3FF4" w:rsidRDefault="005A3FF4" w:rsidP="16F041FF">
      <w:pPr>
        <w:spacing w:after="0"/>
        <w:rPr>
          <w:rFonts w:ascii="Verdana" w:hAnsi="Verdana"/>
        </w:rPr>
      </w:pPr>
    </w:p>
    <w:p w14:paraId="38DFD487" w14:textId="77777777" w:rsidR="005A3FF4" w:rsidRDefault="005A3FF4" w:rsidP="16F041FF">
      <w:pPr>
        <w:spacing w:after="0"/>
        <w:rPr>
          <w:rFonts w:ascii="Verdana" w:hAnsi="Verdana"/>
        </w:rPr>
      </w:pPr>
    </w:p>
    <w:p w14:paraId="73AE5949" w14:textId="77777777" w:rsidR="005A3FF4" w:rsidRDefault="005A3FF4" w:rsidP="16F041FF">
      <w:pPr>
        <w:spacing w:after="0"/>
        <w:rPr>
          <w:rFonts w:ascii="Verdana" w:hAnsi="Verdana"/>
        </w:rPr>
      </w:pPr>
    </w:p>
    <w:p w14:paraId="72DA1E8A" w14:textId="77777777" w:rsidR="005A3FF4" w:rsidRDefault="005A3FF4" w:rsidP="16F041FF">
      <w:pPr>
        <w:spacing w:after="0"/>
        <w:rPr>
          <w:rFonts w:ascii="Verdana" w:hAnsi="Verdana"/>
        </w:rPr>
      </w:pPr>
    </w:p>
    <w:p w14:paraId="09A65D21" w14:textId="77777777" w:rsidR="005A3FF4" w:rsidRDefault="005A3FF4" w:rsidP="16F041FF">
      <w:pPr>
        <w:spacing w:after="0"/>
        <w:rPr>
          <w:rFonts w:ascii="Verdana" w:hAnsi="Verdana"/>
        </w:rPr>
      </w:pPr>
    </w:p>
    <w:p w14:paraId="5ABD60D6" w14:textId="77777777" w:rsidR="005A3FF4" w:rsidRDefault="005A3FF4" w:rsidP="16F041FF">
      <w:pPr>
        <w:spacing w:after="0"/>
        <w:rPr>
          <w:rFonts w:ascii="Verdana" w:hAnsi="Verdana"/>
        </w:rPr>
      </w:pPr>
    </w:p>
    <w:p w14:paraId="57CC57EC" w14:textId="77777777" w:rsidR="005A3FF4" w:rsidRDefault="005A3FF4" w:rsidP="16F041FF">
      <w:pPr>
        <w:spacing w:after="0"/>
        <w:rPr>
          <w:rFonts w:ascii="Verdana" w:hAnsi="Verdana"/>
        </w:rPr>
      </w:pPr>
    </w:p>
    <w:p w14:paraId="5C9553DE" w14:textId="77777777" w:rsidR="005A3FF4" w:rsidRDefault="005A3FF4" w:rsidP="16F041FF">
      <w:pPr>
        <w:spacing w:after="0"/>
        <w:rPr>
          <w:rFonts w:ascii="Verdana" w:hAnsi="Verdana"/>
        </w:rPr>
      </w:pPr>
    </w:p>
    <w:p w14:paraId="34548A7B" w14:textId="77777777" w:rsidR="005A3FF4" w:rsidRDefault="005A3FF4" w:rsidP="16F041FF">
      <w:pPr>
        <w:spacing w:after="0"/>
        <w:rPr>
          <w:rFonts w:ascii="Verdana" w:hAnsi="Verdana"/>
        </w:rPr>
      </w:pPr>
    </w:p>
    <w:p w14:paraId="112B3FF3" w14:textId="77777777" w:rsidR="005A3FF4" w:rsidRDefault="005A3FF4" w:rsidP="16F041FF">
      <w:pPr>
        <w:spacing w:after="0"/>
        <w:rPr>
          <w:rFonts w:ascii="Verdana" w:hAnsi="Verdana"/>
        </w:rPr>
      </w:pPr>
    </w:p>
    <w:p w14:paraId="3CFEF442" w14:textId="7C3A033E" w:rsidR="16F041FF" w:rsidRDefault="16F041FF" w:rsidP="16F041FF">
      <w:pPr>
        <w:spacing w:after="0"/>
        <w:rPr>
          <w:rFonts w:ascii="Verdana" w:hAnsi="Verdana"/>
        </w:rPr>
      </w:pPr>
    </w:p>
    <w:p w14:paraId="75D76EE7" w14:textId="73CB4BBF" w:rsidR="16F041FF" w:rsidRDefault="16F041FF" w:rsidP="16F041FF">
      <w:pPr>
        <w:spacing w:after="0"/>
        <w:rPr>
          <w:rFonts w:ascii="Verdana" w:hAnsi="Verdana"/>
        </w:rPr>
      </w:pPr>
    </w:p>
    <w:p w14:paraId="39092513" w14:textId="77777777" w:rsidR="00AC667A" w:rsidRDefault="00AC667A" w:rsidP="00AC667A">
      <w:pPr>
        <w:spacing w:after="0" w:line="240" w:lineRule="auto"/>
        <w:jc w:val="both"/>
        <w:rPr>
          <w:rFonts w:ascii="Verdana" w:eastAsia="Calibri" w:hAnsi="Verdana" w:cs="Arial"/>
          <w:lang w:eastAsia="es-ES"/>
        </w:rPr>
      </w:pPr>
    </w:p>
    <w:p w14:paraId="63E28E92" w14:textId="77777777" w:rsidR="00AC667A" w:rsidRDefault="00AC667A" w:rsidP="00AC667A">
      <w:pPr>
        <w:spacing w:after="0" w:line="240" w:lineRule="auto"/>
        <w:jc w:val="both"/>
        <w:rPr>
          <w:rFonts w:ascii="Verdana" w:eastAsia="Calibri" w:hAnsi="Verdana" w:cs="Arial"/>
          <w:lang w:eastAsia="es-ES"/>
        </w:rPr>
      </w:pPr>
    </w:p>
    <w:p w14:paraId="41A3A7F4" w14:textId="2F90EF61" w:rsidR="00AC667A" w:rsidRDefault="00AC667A" w:rsidP="00AC667A">
      <w:pPr>
        <w:spacing w:after="0" w:line="240" w:lineRule="auto"/>
        <w:ind w:left="4956"/>
        <w:jc w:val="both"/>
        <w:rPr>
          <w:rFonts w:ascii="Verdana" w:eastAsia="Calibri" w:hAnsi="Verdana" w:cs="Arial"/>
          <w:lang w:eastAsia="es-ES"/>
        </w:rPr>
      </w:pPr>
      <w:r>
        <w:rPr>
          <w:noProof/>
        </w:rPr>
        <w:drawing>
          <wp:inline distT="0" distB="0" distL="0" distR="0" wp14:anchorId="663C39AC" wp14:editId="5264ED38">
            <wp:extent cx="2419350" cy="790575"/>
            <wp:effectExtent l="0" t="0" r="0" b="9525"/>
            <wp:docPr id="14788727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72753" name=""/>
                    <pic:cNvPicPr/>
                  </pic:nvPicPr>
                  <pic:blipFill>
                    <a:blip r:embed="rId10"/>
                    <a:stretch>
                      <a:fillRect/>
                    </a:stretch>
                  </pic:blipFill>
                  <pic:spPr>
                    <a:xfrm>
                      <a:off x="0" y="0"/>
                      <a:ext cx="2419350" cy="790575"/>
                    </a:xfrm>
                    <a:prstGeom prst="rect">
                      <a:avLst/>
                    </a:prstGeom>
                  </pic:spPr>
                </pic:pic>
              </a:graphicData>
            </a:graphic>
          </wp:inline>
        </w:drawing>
      </w:r>
    </w:p>
    <w:p w14:paraId="43A3E35E" w14:textId="77777777" w:rsidR="00AC667A" w:rsidRDefault="00AC667A" w:rsidP="00AC667A">
      <w:pPr>
        <w:spacing w:after="0" w:line="240" w:lineRule="auto"/>
        <w:jc w:val="both"/>
        <w:rPr>
          <w:rFonts w:ascii="Verdana" w:eastAsia="Calibri" w:hAnsi="Verdana" w:cs="Arial"/>
          <w:lang w:eastAsia="es-ES"/>
        </w:rPr>
      </w:pPr>
    </w:p>
    <w:p w14:paraId="6C1B59AC" w14:textId="77777777" w:rsidR="00AC667A" w:rsidRDefault="00AC667A" w:rsidP="00AC667A">
      <w:pPr>
        <w:spacing w:after="0" w:line="240" w:lineRule="auto"/>
        <w:jc w:val="both"/>
        <w:rPr>
          <w:rFonts w:ascii="Verdana" w:eastAsia="Calibri" w:hAnsi="Verdana" w:cs="Arial"/>
          <w:lang w:eastAsia="es-ES"/>
        </w:rPr>
      </w:pPr>
    </w:p>
    <w:p w14:paraId="31847B06" w14:textId="77777777" w:rsidR="00AC667A" w:rsidRDefault="00AC667A" w:rsidP="00AC667A">
      <w:pPr>
        <w:spacing w:after="0" w:line="240" w:lineRule="auto"/>
        <w:jc w:val="both"/>
        <w:rPr>
          <w:rFonts w:ascii="Verdana" w:eastAsia="Calibri" w:hAnsi="Verdana" w:cs="Arial"/>
          <w:lang w:eastAsia="es-ES"/>
        </w:rPr>
      </w:pPr>
    </w:p>
    <w:p w14:paraId="089FD807" w14:textId="704C1312" w:rsidR="00EF3E27" w:rsidRPr="00AC667A" w:rsidRDefault="00EF3E27" w:rsidP="00AC667A">
      <w:pPr>
        <w:spacing w:after="0" w:line="240" w:lineRule="auto"/>
        <w:jc w:val="both"/>
        <w:rPr>
          <w:rFonts w:ascii="Verdana" w:eastAsia="Calibri" w:hAnsi="Verdana" w:cs="Arial"/>
          <w:lang w:eastAsia="es-ES"/>
        </w:rPr>
      </w:pPr>
      <w:r w:rsidRPr="00AC667A">
        <w:rPr>
          <w:rFonts w:ascii="Verdana" w:eastAsia="Calibri" w:hAnsi="Verdana" w:cs="Arial"/>
          <w:lang w:eastAsia="es-ES"/>
        </w:rPr>
        <w:t>Bogotá D.C.,</w:t>
      </w:r>
      <w:r w:rsidR="00AC667A" w:rsidRPr="00AC667A">
        <w:rPr>
          <w:rFonts w:ascii="Verdana" w:eastAsia="Calibri" w:hAnsi="Verdana" w:cs="Arial"/>
          <w:lang w:eastAsia="es-ES"/>
        </w:rPr>
        <w:t xml:space="preserve"> 24</w:t>
      </w:r>
      <w:r w:rsidRPr="00AC667A">
        <w:rPr>
          <w:rFonts w:ascii="Verdana" w:eastAsia="Calibri" w:hAnsi="Verdana" w:cs="Arial"/>
          <w:lang w:eastAsia="es-ES"/>
        </w:rPr>
        <w:t xml:space="preserve"> de </w:t>
      </w:r>
      <w:r w:rsidR="00AC667A" w:rsidRPr="00AC667A">
        <w:rPr>
          <w:rFonts w:ascii="Verdana" w:eastAsia="Calibri" w:hAnsi="Verdana" w:cs="Arial"/>
          <w:lang w:eastAsia="es-ES"/>
        </w:rPr>
        <w:t>junio</w:t>
      </w:r>
      <w:r w:rsidRPr="00AC667A">
        <w:rPr>
          <w:rFonts w:ascii="Verdana" w:eastAsia="Calibri" w:hAnsi="Verdana" w:cs="Arial"/>
          <w:lang w:eastAsia="es-ES"/>
        </w:rPr>
        <w:t xml:space="preserve"> de 2025.</w:t>
      </w:r>
    </w:p>
    <w:p w14:paraId="772F3C83" w14:textId="77777777" w:rsidR="00EF3E27" w:rsidRDefault="00EF3E27" w:rsidP="00EF3E27">
      <w:pPr>
        <w:spacing w:after="0"/>
        <w:rPr>
          <w:rFonts w:ascii="Verdana" w:hAnsi="Verdana"/>
        </w:rPr>
      </w:pPr>
      <w:bookmarkStart w:id="1" w:name="_Hlk180638295"/>
    </w:p>
    <w:p w14:paraId="6A3161BA" w14:textId="77777777" w:rsidR="00EF3E27" w:rsidRDefault="00EF3E27" w:rsidP="00EF3E27">
      <w:pPr>
        <w:spacing w:after="0"/>
        <w:rPr>
          <w:rFonts w:ascii="Verdana" w:hAnsi="Verdana"/>
        </w:rPr>
      </w:pPr>
    </w:p>
    <w:p w14:paraId="037F0B65" w14:textId="77777777" w:rsidR="00EF3E27" w:rsidRPr="005E62E2" w:rsidRDefault="00EF3E27" w:rsidP="00EF3E27">
      <w:pPr>
        <w:spacing w:after="0" w:line="240" w:lineRule="auto"/>
        <w:jc w:val="both"/>
        <w:rPr>
          <w:rFonts w:ascii="Verdana" w:eastAsia="Calibri" w:hAnsi="Verdana" w:cs="Arial"/>
          <w:lang w:eastAsia="es-ES"/>
        </w:rPr>
      </w:pPr>
      <w:bookmarkStart w:id="2"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3BE4C79B" w14:textId="77777777" w:rsidR="00EF3E27" w:rsidRDefault="00EF3E27" w:rsidP="00EF3E27">
      <w:pPr>
        <w:spacing w:after="0" w:line="240" w:lineRule="auto"/>
        <w:rPr>
          <w:rFonts w:ascii="Verdana" w:eastAsia="Calibri" w:hAnsi="Verdana" w:cs="Arial"/>
          <w:b/>
          <w:bCs/>
          <w:color w:val="000000"/>
          <w:lang w:eastAsia="es-ES_tradnl"/>
        </w:rPr>
      </w:pPr>
      <w:r>
        <w:rPr>
          <w:rFonts w:ascii="Verdana" w:eastAsia="Calibri" w:hAnsi="Verdana" w:cs="Arial"/>
          <w:b/>
          <w:bCs/>
          <w:color w:val="000000"/>
          <w:lang w:eastAsia="es-ES_tradnl"/>
        </w:rPr>
        <w:t>BRAULIO FEDERICO ANGEL PASCUAS</w:t>
      </w:r>
    </w:p>
    <w:p w14:paraId="52CA5BB3" w14:textId="77777777" w:rsidR="00EF3E27" w:rsidRDefault="00EF3E27" w:rsidP="00EF3E27">
      <w:pPr>
        <w:spacing w:after="0" w:line="240" w:lineRule="auto"/>
        <w:rPr>
          <w:rFonts w:ascii="Verdana" w:hAnsi="Verdana"/>
        </w:rPr>
      </w:pPr>
      <w:hyperlink r:id="rId11" w:history="1">
        <w:r w:rsidRPr="00A31E2C">
          <w:rPr>
            <w:rStyle w:val="Hipervnculo"/>
            <w:rFonts w:ascii="Verdana" w:hAnsi="Verdana"/>
          </w:rPr>
          <w:t>federangelp.contrataciones@gmail.com</w:t>
        </w:r>
      </w:hyperlink>
    </w:p>
    <w:p w14:paraId="382CCC6D" w14:textId="77777777" w:rsidR="00EF3E27" w:rsidRPr="00511C06" w:rsidRDefault="00EF3E27" w:rsidP="00EF3E27">
      <w:pPr>
        <w:spacing w:after="0" w:line="240" w:lineRule="auto"/>
        <w:rPr>
          <w:rFonts w:ascii="Verdana" w:hAnsi="Verdana"/>
          <w:lang w:val="pt-PT"/>
        </w:rPr>
      </w:pPr>
    </w:p>
    <w:p w14:paraId="29AB48BE" w14:textId="77777777" w:rsidR="00EF3E27" w:rsidRPr="00B6773F" w:rsidRDefault="00EF3E27" w:rsidP="00EF3E27">
      <w:pPr>
        <w:spacing w:after="0" w:line="240" w:lineRule="auto"/>
        <w:rPr>
          <w:rFonts w:ascii="Verdana" w:eastAsia="Calibri" w:hAnsi="Verdana" w:cs="Arial"/>
          <w:b/>
          <w:bCs/>
          <w:color w:val="000000"/>
          <w:lang w:val="pt-PT"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35"/>
        <w:gridCol w:w="6943"/>
        <w:gridCol w:w="336"/>
      </w:tblGrid>
      <w:tr w:rsidR="00EF3E27" w:rsidRPr="00593A5F" w14:paraId="7009ED7C" w14:textId="77777777" w:rsidTr="16F041FF">
        <w:trPr>
          <w:trHeight w:val="884"/>
        </w:trPr>
        <w:tc>
          <w:tcPr>
            <w:tcW w:w="1935" w:type="dxa"/>
          </w:tcPr>
          <w:p w14:paraId="2B125E04" w14:textId="77777777" w:rsidR="00EF3E27" w:rsidRPr="00B6773F" w:rsidRDefault="00EF3E27" w:rsidP="00283568">
            <w:pPr>
              <w:jc w:val="both"/>
              <w:rPr>
                <w:rFonts w:ascii="Verdana" w:eastAsia="Calibri" w:hAnsi="Verdana" w:cs="Arial"/>
                <w:b/>
                <w:bCs/>
                <w:color w:val="7030A0"/>
                <w:lang w:val="pt-PT" w:eastAsia="es-ES_tradnl"/>
              </w:rPr>
            </w:pPr>
          </w:p>
        </w:tc>
        <w:tc>
          <w:tcPr>
            <w:tcW w:w="7279" w:type="dxa"/>
            <w:gridSpan w:val="2"/>
          </w:tcPr>
          <w:p w14:paraId="3CA768A9" w14:textId="1F3BE009" w:rsidR="00EF3E27" w:rsidRPr="002B5057" w:rsidRDefault="00EF3E27" w:rsidP="16F041FF">
            <w:pPr>
              <w:jc w:val="both"/>
              <w:rPr>
                <w:rFonts w:ascii="Verdana" w:eastAsia="Calibri" w:hAnsi="Verdana" w:cs="Arial"/>
                <w:b/>
                <w:bCs/>
                <w:color w:val="7030A0"/>
                <w:lang w:val="es-ES" w:eastAsia="es-ES"/>
              </w:rPr>
            </w:pPr>
            <w:r w:rsidRPr="16F041FF">
              <w:rPr>
                <w:rFonts w:ascii="Verdana" w:eastAsia="Calibri" w:hAnsi="Verdana" w:cs="Arial"/>
                <w:b/>
                <w:bCs/>
                <w:lang w:val="es-ES" w:eastAsia="es-ES"/>
              </w:rPr>
              <w:t>Concepto C- 568 de 2025</w:t>
            </w:r>
          </w:p>
          <w:p w14:paraId="7AAD93BF" w14:textId="27DBF1F2" w:rsidR="00EF3E27" w:rsidRPr="002B5057" w:rsidRDefault="00EF3E27" w:rsidP="16F041FF">
            <w:pPr>
              <w:jc w:val="both"/>
              <w:rPr>
                <w:rFonts w:ascii="Verdana" w:eastAsia="Calibri" w:hAnsi="Verdana" w:cs="Arial"/>
                <w:b/>
                <w:bCs/>
                <w:lang w:val="es-ES" w:eastAsia="es-ES"/>
              </w:rPr>
            </w:pPr>
          </w:p>
        </w:tc>
      </w:tr>
      <w:tr w:rsidR="00EF3E27" w:rsidRPr="00593A5F" w14:paraId="29570641" w14:textId="77777777" w:rsidTr="16F041FF">
        <w:trPr>
          <w:trHeight w:val="884"/>
        </w:trPr>
        <w:tc>
          <w:tcPr>
            <w:tcW w:w="1935" w:type="dxa"/>
          </w:tcPr>
          <w:p w14:paraId="47E8ABDA" w14:textId="77777777" w:rsidR="00EF3E27" w:rsidRPr="00593A5F" w:rsidRDefault="00EF3E27" w:rsidP="0028356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7279" w:type="dxa"/>
            <w:gridSpan w:val="2"/>
          </w:tcPr>
          <w:p w14:paraId="4415A323" w14:textId="77777777" w:rsidR="00EF3E27" w:rsidRDefault="00EF3E27" w:rsidP="00283568">
            <w:pPr>
              <w:spacing w:line="276" w:lineRule="auto"/>
              <w:jc w:val="both"/>
              <w:rPr>
                <w:rFonts w:ascii="Verdana" w:eastAsia="Calibri" w:hAnsi="Verdana" w:cs="Arial"/>
                <w:lang w:val="es-ES" w:eastAsia="es-ES"/>
              </w:rPr>
            </w:pPr>
            <w:r w:rsidRPr="00D57D39">
              <w:rPr>
                <w:rFonts w:ascii="Verdana" w:eastAsia="Calibri" w:hAnsi="Verdana" w:cs="Arial"/>
                <w:lang w:val="es-ES" w:eastAsia="es-ES"/>
              </w:rPr>
              <w:t>EXPERIENCIA – Concepto</w:t>
            </w:r>
            <w:r>
              <w:rPr>
                <w:rFonts w:ascii="Verdana" w:eastAsia="Calibri" w:hAnsi="Verdana" w:cs="Arial"/>
                <w:lang w:val="es-ES" w:eastAsia="es-ES"/>
              </w:rPr>
              <w:t xml:space="preserve">- </w:t>
            </w:r>
            <w:r w:rsidRPr="00E7745C">
              <w:rPr>
                <w:rFonts w:ascii="Verdana" w:eastAsia="Calibri" w:hAnsi="Verdana" w:cs="Arial"/>
                <w:lang w:val="es-ES" w:eastAsia="es-ES"/>
              </w:rPr>
              <w:t xml:space="preserve">REQUISITO HABILITANTE DE EXPERIENCIA – Fundamento Normativo – </w:t>
            </w:r>
            <w:r w:rsidRPr="00BD4587">
              <w:rPr>
                <w:rFonts w:ascii="Verdana" w:eastAsia="Calibri" w:hAnsi="Verdana" w:cs="Arial"/>
                <w:lang w:val="es-ES" w:eastAsia="es-ES"/>
              </w:rPr>
              <w:t xml:space="preserve">REQUISITO HABILITANTE DE EXPERIENCIA – </w:t>
            </w:r>
            <w:r>
              <w:rPr>
                <w:rFonts w:ascii="Verdana" w:eastAsia="Calibri" w:hAnsi="Verdana" w:cs="Arial"/>
                <w:lang w:val="es-ES" w:eastAsia="es-ES"/>
              </w:rPr>
              <w:t>A</w:t>
            </w:r>
            <w:r w:rsidRPr="00BD4587">
              <w:rPr>
                <w:rFonts w:ascii="Verdana" w:eastAsia="Calibri" w:hAnsi="Verdana" w:cs="Arial"/>
                <w:lang w:val="es-ES" w:eastAsia="es-ES"/>
              </w:rPr>
              <w:t xml:space="preserve">creditación del </w:t>
            </w:r>
            <w:r>
              <w:rPr>
                <w:rFonts w:ascii="Verdana" w:eastAsia="Calibri" w:hAnsi="Verdana" w:cs="Arial"/>
                <w:lang w:val="es-ES" w:eastAsia="es-ES"/>
              </w:rPr>
              <w:t>V</w:t>
            </w:r>
            <w:r w:rsidRPr="00BD4587">
              <w:rPr>
                <w:rFonts w:ascii="Verdana" w:eastAsia="Calibri" w:hAnsi="Verdana" w:cs="Arial"/>
                <w:lang w:val="es-ES" w:eastAsia="es-ES"/>
              </w:rPr>
              <w:t xml:space="preserve">alor de los </w:t>
            </w:r>
            <w:r>
              <w:rPr>
                <w:rFonts w:ascii="Verdana" w:eastAsia="Calibri" w:hAnsi="Verdana" w:cs="Arial"/>
                <w:lang w:val="es-ES" w:eastAsia="es-ES"/>
              </w:rPr>
              <w:t>C</w:t>
            </w:r>
            <w:r w:rsidRPr="00BD4587">
              <w:rPr>
                <w:rFonts w:ascii="Verdana" w:eastAsia="Calibri" w:hAnsi="Verdana" w:cs="Arial"/>
                <w:lang w:val="es-ES" w:eastAsia="es-ES"/>
              </w:rPr>
              <w:t>ontratos</w:t>
            </w:r>
          </w:p>
          <w:p w14:paraId="0D20407F" w14:textId="77777777" w:rsidR="00EF3E27" w:rsidRPr="00606078" w:rsidRDefault="00EF3E27" w:rsidP="00283568">
            <w:pPr>
              <w:spacing w:line="276" w:lineRule="auto"/>
              <w:jc w:val="both"/>
              <w:rPr>
                <w:rFonts w:ascii="Verdana" w:eastAsia="Calibri" w:hAnsi="Verdana" w:cs="Arial"/>
                <w:b/>
                <w:bCs/>
                <w:highlight w:val="yellow"/>
                <w:lang w:val="es-ES" w:eastAsia="es-ES"/>
              </w:rPr>
            </w:pPr>
          </w:p>
        </w:tc>
      </w:tr>
      <w:tr w:rsidR="00EF3E27" w:rsidRPr="00593A5F" w14:paraId="2C2E4A76" w14:textId="77777777" w:rsidTr="16F041FF">
        <w:tc>
          <w:tcPr>
            <w:tcW w:w="1935" w:type="dxa"/>
          </w:tcPr>
          <w:p w14:paraId="0A97B559" w14:textId="77777777" w:rsidR="00EF3E27" w:rsidRPr="006730E9" w:rsidRDefault="00EF3E27" w:rsidP="0028356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7279" w:type="dxa"/>
            <w:gridSpan w:val="2"/>
          </w:tcPr>
          <w:p w14:paraId="7914C09D" w14:textId="77777777" w:rsidR="00EF3E27" w:rsidRPr="006730E9" w:rsidRDefault="00EF3E27" w:rsidP="0028356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D23CBD">
              <w:rPr>
                <w:rFonts w:ascii="Verdana" w:eastAsia="Calibri" w:hAnsi="Verdana" w:cs="Arial"/>
                <w:lang w:val="es-ES_tradnl" w:eastAsia="es-ES_tradnl"/>
              </w:rPr>
              <w:t>P20250509004456</w:t>
            </w:r>
            <w:r>
              <w:rPr>
                <w:rFonts w:ascii="Verdana" w:eastAsia="Calibri" w:hAnsi="Verdana" w:cs="Arial"/>
                <w:lang w:val="es-ES_tradnl" w:eastAsia="es-ES_tradnl"/>
              </w:rPr>
              <w:t>.</w:t>
            </w:r>
          </w:p>
        </w:tc>
      </w:tr>
      <w:tr w:rsidR="00EF3E27" w:rsidRPr="00DB23D2" w14:paraId="0E1F0DD0" w14:textId="77777777" w:rsidTr="16F041FF">
        <w:trPr>
          <w:gridAfter w:val="1"/>
          <w:wAfter w:w="336" w:type="dxa"/>
          <w:trHeight w:val="233"/>
        </w:trPr>
        <w:tc>
          <w:tcPr>
            <w:tcW w:w="8878" w:type="dxa"/>
            <w:gridSpan w:val="2"/>
          </w:tcPr>
          <w:p w14:paraId="06EB5B6D" w14:textId="77777777" w:rsidR="00EF3E27" w:rsidRPr="00DB23D2" w:rsidRDefault="00EF3E27" w:rsidP="00283568">
            <w:pPr>
              <w:spacing w:after="120" w:line="276" w:lineRule="auto"/>
              <w:jc w:val="both"/>
              <w:rPr>
                <w:rFonts w:ascii="Verdana" w:eastAsia="Calibri" w:hAnsi="Verdana" w:cs="Arial"/>
                <w:lang w:val="es-ES_tradnl" w:eastAsia="es-ES"/>
              </w:rPr>
            </w:pPr>
          </w:p>
        </w:tc>
      </w:tr>
    </w:tbl>
    <w:p w14:paraId="5861944A" w14:textId="77777777" w:rsidR="00EF3E27" w:rsidRPr="006730E9" w:rsidRDefault="00EF3E27" w:rsidP="00EF3E2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proofErr w:type="spellStart"/>
      <w:r>
        <w:rPr>
          <w:rFonts w:ascii="Verdana" w:eastAsia="Calibri" w:hAnsi="Verdana" w:cs="Arial"/>
          <w:lang w:val="es-ES" w:eastAsia="es-ES"/>
        </w:rPr>
        <w:t>Angel</w:t>
      </w:r>
      <w:proofErr w:type="spellEnd"/>
      <w:r>
        <w:rPr>
          <w:rFonts w:ascii="Verdana" w:eastAsia="Calibri" w:hAnsi="Verdana" w:cs="Arial"/>
          <w:lang w:val="es-ES" w:eastAsia="es-ES"/>
        </w:rPr>
        <w:t>;</w:t>
      </w:r>
    </w:p>
    <w:p w14:paraId="3282CFC6" w14:textId="77777777" w:rsidR="00EF3E27" w:rsidRDefault="00EF3E27" w:rsidP="00EF3E27">
      <w:pPr>
        <w:tabs>
          <w:tab w:val="left" w:pos="3768"/>
        </w:tabs>
        <w:spacing w:after="0" w:line="276" w:lineRule="auto"/>
        <w:jc w:val="both"/>
        <w:rPr>
          <w:rFonts w:ascii="Verdana" w:eastAsia="Calibri" w:hAnsi="Verdana" w:cs="Arial"/>
          <w:color w:val="000000" w:themeColor="text1"/>
          <w:lang w:val="es-ES" w:eastAsia="es-ES"/>
        </w:rPr>
      </w:pPr>
    </w:p>
    <w:p w14:paraId="5F69A031" w14:textId="77777777" w:rsidR="00EF3E27" w:rsidRPr="006730E9" w:rsidRDefault="00EF3E27" w:rsidP="00EF3E2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a su</w:t>
      </w:r>
      <w:r w:rsidRPr="006730E9">
        <w:rPr>
          <w:rFonts w:ascii="Verdana" w:eastAsia="Calibri" w:hAnsi="Verdana" w:cs="Arial"/>
          <w:lang w:val="es-ES" w:eastAsia="es-ES"/>
        </w:rPr>
        <w:t xml:space="preserve"> solicitud </w:t>
      </w:r>
      <w:r>
        <w:rPr>
          <w:rFonts w:ascii="Verdana" w:eastAsia="Calibri" w:hAnsi="Verdana" w:cs="Arial"/>
          <w:lang w:val="es-ES" w:eastAsia="es-ES"/>
        </w:rPr>
        <w:t xml:space="preserve">trasladada por competencia por la Contaduría General de la Nación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10 </w:t>
      </w:r>
      <w:r w:rsidRPr="00E5644F">
        <w:rPr>
          <w:rFonts w:ascii="Verdana" w:eastAsia="Calibri" w:hAnsi="Verdana" w:cs="Arial"/>
          <w:lang w:val="es-ES" w:eastAsia="es-ES"/>
        </w:rPr>
        <w:t xml:space="preserve">de </w:t>
      </w:r>
      <w:r>
        <w:rPr>
          <w:rFonts w:ascii="Verdana" w:eastAsia="Calibri" w:hAnsi="Verdana" w:cs="Arial"/>
          <w:lang w:val="es-ES" w:eastAsia="es-ES"/>
        </w:rPr>
        <w:t>abril</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 xml:space="preserve">mediante </w:t>
      </w:r>
      <w:r w:rsidRPr="006730E9">
        <w:rPr>
          <w:rFonts w:ascii="Verdana" w:eastAsia="Calibri" w:hAnsi="Verdana" w:cs="Arial"/>
          <w:lang w:val="es-ES" w:eastAsia="es-ES"/>
        </w:rPr>
        <w:t>la</w:t>
      </w:r>
      <w:r>
        <w:rPr>
          <w:rFonts w:ascii="Verdana" w:eastAsia="Calibri" w:hAnsi="Verdana" w:cs="Arial"/>
          <w:lang w:val="es-ES" w:eastAsia="es-ES"/>
        </w:rPr>
        <w:t>s</w:t>
      </w:r>
      <w:r w:rsidRPr="006730E9">
        <w:rPr>
          <w:rFonts w:ascii="Verdana" w:eastAsia="Calibri" w:hAnsi="Verdana" w:cs="Arial"/>
          <w:lang w:val="es-ES" w:eastAsia="es-ES"/>
        </w:rPr>
        <w:t xml:space="preserve"> cual</w:t>
      </w:r>
      <w:r>
        <w:rPr>
          <w:rFonts w:ascii="Verdana" w:eastAsia="Calibri" w:hAnsi="Verdana" w:cs="Arial"/>
          <w:lang w:val="es-ES" w:eastAsia="es-ES"/>
        </w:rPr>
        <w:t>es</w:t>
      </w:r>
      <w:r w:rsidRPr="006730E9">
        <w:rPr>
          <w:rFonts w:ascii="Verdana" w:eastAsia="Calibri" w:hAnsi="Verdana" w:cs="Arial"/>
          <w:lang w:val="es-ES" w:eastAsia="es-ES"/>
        </w:rPr>
        <w:t xml:space="preserve"> manifiesta lo siguiente: </w:t>
      </w:r>
    </w:p>
    <w:p w14:paraId="723359A8" w14:textId="77777777" w:rsidR="00EF3E27" w:rsidRPr="00326382" w:rsidRDefault="00EF3E27" w:rsidP="00EF3E27">
      <w:pPr>
        <w:spacing w:after="0" w:line="240" w:lineRule="auto"/>
        <w:ind w:left="709" w:right="474"/>
        <w:jc w:val="both"/>
        <w:rPr>
          <w:rFonts w:ascii="Verdana" w:hAnsi="Verdana" w:cs="Arial"/>
          <w:sz w:val="20"/>
          <w:szCs w:val="20"/>
          <w:shd w:val="clear" w:color="auto" w:fill="FFFFFF"/>
        </w:rPr>
      </w:pPr>
      <w:bookmarkStart w:id="3" w:name="_Hlk95313578"/>
    </w:p>
    <w:bookmarkEnd w:id="3"/>
    <w:p w14:paraId="3703646A" w14:textId="77777777" w:rsidR="00EF3E27" w:rsidRPr="005758A5" w:rsidRDefault="00EF3E27" w:rsidP="00EF3E27">
      <w:pPr>
        <w:pStyle w:val="Prrafodelista"/>
        <w:tabs>
          <w:tab w:val="left" w:pos="142"/>
          <w:tab w:val="left" w:pos="284"/>
        </w:tabs>
        <w:ind w:left="709" w:right="709"/>
        <w:jc w:val="both"/>
        <w:rPr>
          <w:rFonts w:ascii="Verdana" w:eastAsia="Century Gothic" w:hAnsi="Verdana" w:cs="Century Gothic"/>
          <w:i/>
          <w:iCs/>
        </w:rPr>
      </w:pPr>
    </w:p>
    <w:p w14:paraId="182FFD05" w14:textId="77777777" w:rsidR="00EF3E27" w:rsidRDefault="00EF3E27" w:rsidP="00EF3E27">
      <w:pPr>
        <w:pStyle w:val="Prrafodelista"/>
        <w:tabs>
          <w:tab w:val="left" w:pos="142"/>
          <w:tab w:val="left" w:pos="284"/>
        </w:tabs>
        <w:ind w:left="709" w:right="709"/>
        <w:jc w:val="both"/>
        <w:rPr>
          <w:rFonts w:ascii="Verdana" w:hAnsi="Verdana"/>
          <w:i/>
          <w:iCs/>
        </w:rPr>
      </w:pPr>
      <w:r>
        <w:rPr>
          <w:rFonts w:ascii="Verdana" w:hAnsi="Verdana"/>
          <w:i/>
          <w:iCs/>
        </w:rPr>
        <w:t xml:space="preserve">“Por medio de la presente requiero a la entidad para que analice si en el presente proceso que tiene por objeto contratar del desarrollo </w:t>
      </w:r>
      <w:r>
        <w:rPr>
          <w:rFonts w:ascii="Verdana" w:hAnsi="Verdana"/>
          <w:i/>
          <w:iCs/>
        </w:rPr>
        <w:lastRenderedPageBreak/>
        <w:t>y la ejecución de obras complementarias de infraestructura en instituciones educativas oficiales del municipio (…)</w:t>
      </w:r>
    </w:p>
    <w:p w14:paraId="040A5960" w14:textId="77777777" w:rsidR="00EF3E27" w:rsidRDefault="00EF3E27" w:rsidP="00EF3E27">
      <w:pPr>
        <w:pStyle w:val="Prrafodelista"/>
        <w:tabs>
          <w:tab w:val="left" w:pos="142"/>
          <w:tab w:val="left" w:pos="284"/>
        </w:tabs>
        <w:ind w:left="709" w:right="709"/>
        <w:jc w:val="both"/>
        <w:rPr>
          <w:rFonts w:ascii="Verdana" w:hAnsi="Verdana"/>
          <w:i/>
          <w:iCs/>
        </w:rPr>
      </w:pPr>
    </w:p>
    <w:p w14:paraId="1C135FF7" w14:textId="77777777" w:rsidR="00EF3E27" w:rsidRPr="00EB35EC" w:rsidRDefault="00EF3E27" w:rsidP="00EF3E27">
      <w:pPr>
        <w:pStyle w:val="Prrafodelista"/>
        <w:tabs>
          <w:tab w:val="left" w:pos="142"/>
          <w:tab w:val="left" w:pos="284"/>
        </w:tabs>
        <w:ind w:left="709" w:right="709"/>
        <w:jc w:val="both"/>
        <w:rPr>
          <w:rFonts w:ascii="Verdana" w:hAnsi="Verdana"/>
          <w:i/>
          <w:iCs/>
        </w:rPr>
      </w:pPr>
      <w:r>
        <w:rPr>
          <w:rFonts w:ascii="Verdana" w:hAnsi="Verdana"/>
          <w:i/>
          <w:iCs/>
        </w:rPr>
        <w:t xml:space="preserve">¿Esta combinación de experiencia se está aplicando de manera </w:t>
      </w:r>
      <w:proofErr w:type="gramStart"/>
      <w:r>
        <w:rPr>
          <w:rFonts w:ascii="Verdana" w:hAnsi="Verdana"/>
          <w:i/>
          <w:iCs/>
        </w:rPr>
        <w:t>correcta ?</w:t>
      </w:r>
      <w:proofErr w:type="gramEnd"/>
      <w:r w:rsidRPr="00EB35EC">
        <w:rPr>
          <w:rFonts w:ascii="Verdana" w:hAnsi="Verdana"/>
          <w:i/>
          <w:iCs/>
          <w:lang w:val="es-CO"/>
        </w:rPr>
        <w:t>”</w:t>
      </w:r>
    </w:p>
    <w:p w14:paraId="2E554107" w14:textId="77777777" w:rsidR="00EF3E27" w:rsidRPr="000852B0" w:rsidRDefault="00EF3E27" w:rsidP="00EF3E27">
      <w:pPr>
        <w:pStyle w:val="Prrafodelista"/>
        <w:tabs>
          <w:tab w:val="left" w:pos="142"/>
          <w:tab w:val="left" w:pos="284"/>
        </w:tabs>
        <w:ind w:left="709" w:right="709"/>
        <w:jc w:val="both"/>
        <w:rPr>
          <w:rFonts w:ascii="Verdana" w:hAnsi="Verdana"/>
          <w:i/>
          <w:iCs/>
        </w:rPr>
      </w:pPr>
      <w:r w:rsidRPr="000852B0">
        <w:rPr>
          <w:rFonts w:ascii="Verdana" w:eastAsia="Century Gothic" w:hAnsi="Verdana" w:cs="Century Gothic"/>
          <w:i/>
          <w:iCs/>
          <w:lang w:val="es-CO"/>
        </w:rPr>
        <w:t>(…)</w:t>
      </w:r>
    </w:p>
    <w:p w14:paraId="17AC6929" w14:textId="77777777" w:rsidR="00EF3E27" w:rsidRPr="00AA3B9F" w:rsidRDefault="00EF3E27" w:rsidP="00EF3E2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4C4B0589" w14:textId="77777777" w:rsidR="00EF3E27" w:rsidRDefault="00EF3E27" w:rsidP="00EF3E2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dentro de los límites de la referida competencia consultiva, esto es, haciendo abstracción de las circunstancias particulares y concretas mencionadas en su</w:t>
      </w:r>
      <w:r>
        <w:rPr>
          <w:rFonts w:ascii="Verdana" w:eastAsia="Calibri" w:hAnsi="Verdana" w:cs="Arial"/>
          <w:lang w:val="es-ES" w:eastAsia="es-ES"/>
        </w:rPr>
        <w:t>s</w:t>
      </w:r>
      <w:r w:rsidRPr="00AA3B9F">
        <w:rPr>
          <w:rFonts w:ascii="Verdana" w:eastAsia="Calibri" w:hAnsi="Verdana" w:cs="Arial"/>
          <w:lang w:val="es-ES" w:eastAsia="es-ES"/>
        </w:rPr>
        <w:t xml:space="preserve"> peticion</w:t>
      </w:r>
      <w:r>
        <w:rPr>
          <w:rFonts w:ascii="Verdana" w:eastAsia="Calibri" w:hAnsi="Verdana" w:cs="Arial"/>
          <w:lang w:val="es-ES" w:eastAsia="es-ES"/>
        </w:rPr>
        <w:t>es</w:t>
      </w:r>
      <w:r w:rsidRPr="00AA3B9F">
        <w:rPr>
          <w:rFonts w:ascii="Verdana" w:eastAsia="Calibri" w:hAnsi="Verdana" w:cs="Arial"/>
          <w:lang w:val="es-ES" w:eastAsia="es-ES"/>
        </w:rPr>
        <w:t>, pero haciendo unas consideraciones sobre las normas generales relacionadas con los problemas jurídicos de su</w:t>
      </w:r>
      <w:r>
        <w:rPr>
          <w:rFonts w:ascii="Verdana" w:eastAsia="Calibri" w:hAnsi="Verdana" w:cs="Arial"/>
          <w:lang w:val="es-ES" w:eastAsia="es-ES"/>
        </w:rPr>
        <w:t>s</w:t>
      </w:r>
      <w:r w:rsidRPr="00AA3B9F">
        <w:rPr>
          <w:rFonts w:ascii="Verdana" w:eastAsia="Calibri" w:hAnsi="Verdana" w:cs="Arial"/>
          <w:lang w:val="es-ES" w:eastAsia="es-ES"/>
        </w:rPr>
        <w:t xml:space="preserve"> consulta</w:t>
      </w:r>
      <w:r>
        <w:rPr>
          <w:rFonts w:ascii="Verdana" w:eastAsia="Calibri" w:hAnsi="Verdana" w:cs="Arial"/>
          <w:lang w:val="es-ES" w:eastAsia="es-ES"/>
        </w:rPr>
        <w:t>s</w:t>
      </w:r>
      <w:r w:rsidRPr="00AA3B9F">
        <w:rPr>
          <w:rFonts w:ascii="Verdana" w:eastAsia="Calibri" w:hAnsi="Verdana" w:cs="Arial"/>
          <w:lang w:val="es-ES" w:eastAsia="es-ES"/>
        </w:rPr>
        <w:t xml:space="preserve">.  </w:t>
      </w:r>
    </w:p>
    <w:p w14:paraId="75204916" w14:textId="77777777" w:rsidR="00EF3E27" w:rsidRPr="00AA3B9F" w:rsidRDefault="00EF3E27" w:rsidP="00EF3E27">
      <w:pPr>
        <w:spacing w:after="0" w:line="276" w:lineRule="auto"/>
        <w:ind w:firstLine="709"/>
        <w:jc w:val="both"/>
        <w:rPr>
          <w:rFonts w:ascii="Verdana" w:eastAsia="Calibri" w:hAnsi="Verdana" w:cs="Arial"/>
          <w:lang w:val="es-ES" w:eastAsia="es-ES"/>
        </w:rPr>
      </w:pPr>
    </w:p>
    <w:p w14:paraId="72A0B58B" w14:textId="77777777" w:rsidR="00EF3E27" w:rsidRPr="00593A5F" w:rsidRDefault="00EF3E27" w:rsidP="00EF3E2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w:t>
      </w:r>
      <w:r>
        <w:rPr>
          <w:rFonts w:ascii="Verdana" w:eastAsia="Century Gothic" w:hAnsi="Verdana" w:cs="Century Gothic"/>
          <w:b/>
          <w:bCs/>
        </w:rPr>
        <w:t xml:space="preserve">jurídicos </w:t>
      </w:r>
      <w:r w:rsidRPr="00593A5F">
        <w:rPr>
          <w:rFonts w:ascii="Verdana" w:eastAsia="Century Gothic" w:hAnsi="Verdana" w:cs="Century Gothic"/>
          <w:b/>
          <w:bCs/>
        </w:rPr>
        <w:t>planteado</w:t>
      </w:r>
      <w:r>
        <w:rPr>
          <w:rFonts w:ascii="Verdana" w:eastAsia="Century Gothic" w:hAnsi="Verdana" w:cs="Century Gothic"/>
          <w:b/>
          <w:bCs/>
        </w:rPr>
        <w:t>s</w:t>
      </w:r>
      <w:r w:rsidRPr="00593A5F">
        <w:rPr>
          <w:rFonts w:ascii="Verdana" w:eastAsia="Century Gothic" w:hAnsi="Verdana" w:cs="Century Gothic"/>
          <w:b/>
          <w:bCs/>
        </w:rPr>
        <w:t>:</w:t>
      </w:r>
    </w:p>
    <w:p w14:paraId="1A618CB6" w14:textId="77777777" w:rsidR="00EF3E27" w:rsidRPr="00593A5F" w:rsidRDefault="00EF3E27" w:rsidP="00EF3E27">
      <w:pPr>
        <w:tabs>
          <w:tab w:val="left" w:pos="426"/>
        </w:tabs>
        <w:spacing w:after="0" w:line="276" w:lineRule="auto"/>
        <w:jc w:val="both"/>
        <w:rPr>
          <w:rFonts w:ascii="Verdana" w:eastAsia="Century Gothic" w:hAnsi="Verdana" w:cs="Century Gothic"/>
          <w:lang w:val="es-ES"/>
        </w:rPr>
      </w:pPr>
    </w:p>
    <w:p w14:paraId="2B5FD54B" w14:textId="2FCF5D66" w:rsidR="00EF3E27" w:rsidRPr="008A574A" w:rsidRDefault="00EF3E27" w:rsidP="00EF3E27">
      <w:pPr>
        <w:pStyle w:val="Prrafodelista"/>
        <w:ind w:left="0" w:right="49"/>
        <w:jc w:val="both"/>
        <w:rPr>
          <w:rFonts w:ascii="Verdana" w:eastAsia="Century Gothic" w:hAnsi="Verdana" w:cs="Century Gothic"/>
        </w:rPr>
      </w:pPr>
      <w:r w:rsidRPr="16F041FF">
        <w:rPr>
          <w:rFonts w:ascii="Verdana" w:eastAsia="Century Gothic" w:hAnsi="Verdana" w:cs="Century Gothic"/>
        </w:rPr>
        <w:t xml:space="preserve">De acuerdo con el contenido de su solicitud, esta Agencia resolverá los siguientes problemas jurídico: </w:t>
      </w:r>
      <w:r w:rsidRPr="16F041FF">
        <w:rPr>
          <w:rFonts w:ascii="Verdana" w:hAnsi="Verdana"/>
          <w:lang w:val="es-CO"/>
        </w:rPr>
        <w:t>¿</w:t>
      </w:r>
      <w:r w:rsidR="00F929DF">
        <w:rPr>
          <w:rFonts w:ascii="Verdana" w:hAnsi="Verdana"/>
          <w:lang w:val="es-CO"/>
        </w:rPr>
        <w:t>Cuál es el marco jurídico d</w:t>
      </w:r>
      <w:r w:rsidR="00F929DF" w:rsidRPr="00F929DF">
        <w:rPr>
          <w:rFonts w:ascii="Verdana" w:hAnsi="Verdana"/>
          <w:lang w:val="es-CO"/>
        </w:rPr>
        <w:t xml:space="preserve">el requisito habilitante de experiencia en los procesos de contratación </w:t>
      </w:r>
      <w:proofErr w:type="gramStart"/>
      <w:r w:rsidR="00F929DF" w:rsidRPr="00F929DF">
        <w:rPr>
          <w:rFonts w:ascii="Verdana" w:hAnsi="Verdana"/>
          <w:lang w:val="es-CO"/>
        </w:rPr>
        <w:t>pública</w:t>
      </w:r>
      <w:r w:rsidRPr="16F041FF">
        <w:rPr>
          <w:rFonts w:ascii="Verdana" w:hAnsi="Verdana"/>
          <w:lang w:val="es-CO"/>
        </w:rPr>
        <w:t>?</w:t>
      </w:r>
      <w:r w:rsidR="005A3FF4">
        <w:rPr>
          <w:rFonts w:ascii="Verdana" w:hAnsi="Verdana"/>
          <w:lang w:val="es-CO"/>
        </w:rPr>
        <w:t>.</w:t>
      </w:r>
      <w:proofErr w:type="gramEnd"/>
    </w:p>
    <w:p w14:paraId="16867A69" w14:textId="77777777" w:rsidR="00EF3E27" w:rsidRDefault="00EF3E27" w:rsidP="00EF3E27">
      <w:pPr>
        <w:pStyle w:val="Prrafodelista"/>
        <w:ind w:left="0" w:right="49"/>
        <w:jc w:val="both"/>
        <w:rPr>
          <w:rFonts w:ascii="Verdana" w:eastAsia="Century Gothic" w:hAnsi="Verdana" w:cs="Century Gothic"/>
          <w:lang w:val="es-CO"/>
        </w:rPr>
      </w:pPr>
    </w:p>
    <w:p w14:paraId="4012D1A8" w14:textId="77777777" w:rsidR="00EF3E27" w:rsidRPr="00593A5F" w:rsidRDefault="00EF3E27" w:rsidP="00EF3E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D01E6C2" w14:textId="77777777" w:rsidR="00EF3E27" w:rsidRPr="00593A5F" w:rsidRDefault="00EF3E27" w:rsidP="00EF3E2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F3E27" w:rsidRPr="00593A5F" w14:paraId="2035048D" w14:textId="77777777" w:rsidTr="16F041FF">
        <w:tc>
          <w:tcPr>
            <w:tcW w:w="8828" w:type="dxa"/>
            <w:shd w:val="clear" w:color="auto" w:fill="auto"/>
          </w:tcPr>
          <w:p w14:paraId="3CFE7A51" w14:textId="77777777" w:rsidR="00EF3E27" w:rsidRDefault="00EF3E27" w:rsidP="00283568">
            <w:pPr>
              <w:spacing w:line="276" w:lineRule="auto"/>
              <w:jc w:val="both"/>
              <w:rPr>
                <w:rFonts w:ascii="Verdana" w:eastAsia="Calibri" w:hAnsi="Verdana" w:cs="Arial"/>
                <w:bCs/>
                <w:lang w:val="es-MX" w:eastAsia="es-ES" w:bidi="es-ES"/>
              </w:rPr>
            </w:pPr>
          </w:p>
          <w:p w14:paraId="09A7471A" w14:textId="77777777" w:rsidR="00EF3E27" w:rsidRPr="00E7745C" w:rsidRDefault="00EF3E27" w:rsidP="00283568">
            <w:pPr>
              <w:spacing w:line="276" w:lineRule="auto"/>
              <w:ind w:firstLine="709"/>
              <w:contextualSpacing/>
              <w:jc w:val="both"/>
              <w:rPr>
                <w:rFonts w:ascii="Verdana" w:hAnsi="Verdana" w:cs="Arial"/>
                <w:lang w:val="es-ES"/>
              </w:rPr>
            </w:pPr>
            <w:r>
              <w:rPr>
                <w:rFonts w:ascii="Verdana" w:hAnsi="Verdana" w:cs="Arial"/>
                <w:lang w:val="es-ES"/>
              </w:rPr>
              <w:t>De manera preliminar resulta pertinente indicar que e</w:t>
            </w:r>
            <w:r w:rsidRPr="00E7745C">
              <w:rPr>
                <w:rFonts w:ascii="Verdana" w:hAnsi="Verdana" w:cs="Arial"/>
                <w:lang w:val="es-ES"/>
              </w:rPr>
              <w:t xml:space="preserve">l numeral 1º del artículo 5 de la Ley 1150 de 2007 establece que en los procesos de selección de contratistas serán objeto de verificación, como requisitos habilitantes, entre </w:t>
            </w:r>
            <w:r w:rsidRPr="00E7745C">
              <w:rPr>
                <w:rFonts w:ascii="Verdana" w:hAnsi="Verdana" w:cs="Arial"/>
                <w:lang w:val="es-ES"/>
              </w:rPr>
              <w:lastRenderedPageBreak/>
              <w:t xml:space="preserve">otros, los siguientes: i) la capacidad jurídica; </w:t>
            </w:r>
            <w:proofErr w:type="spellStart"/>
            <w:r w:rsidRPr="00E7745C">
              <w:rPr>
                <w:rFonts w:ascii="Verdana" w:hAnsi="Verdana" w:cs="Arial"/>
                <w:lang w:val="es-ES"/>
              </w:rPr>
              <w:t>ii</w:t>
            </w:r>
            <w:proofErr w:type="spellEnd"/>
            <w:r w:rsidRPr="00E7745C">
              <w:rPr>
                <w:rFonts w:ascii="Verdana" w:hAnsi="Verdana" w:cs="Arial"/>
                <w:lang w:val="es-ES"/>
              </w:rPr>
              <w:t xml:space="preserve">) la experiencia; </w:t>
            </w:r>
            <w:proofErr w:type="spellStart"/>
            <w:r w:rsidRPr="00E7745C">
              <w:rPr>
                <w:rFonts w:ascii="Verdana" w:hAnsi="Verdana" w:cs="Arial"/>
                <w:lang w:val="es-ES"/>
              </w:rPr>
              <w:t>iii</w:t>
            </w:r>
            <w:proofErr w:type="spellEnd"/>
            <w:r w:rsidRPr="00E7745C">
              <w:rPr>
                <w:rFonts w:ascii="Verdana" w:hAnsi="Verdana" w:cs="Arial"/>
                <w:lang w:val="es-ES"/>
              </w:rPr>
              <w:t xml:space="preserve">) la capacidad financiera; y </w:t>
            </w:r>
            <w:proofErr w:type="spellStart"/>
            <w:r w:rsidRPr="00E7745C">
              <w:rPr>
                <w:rFonts w:ascii="Verdana" w:hAnsi="Verdana" w:cs="Arial"/>
                <w:lang w:val="es-ES"/>
              </w:rPr>
              <w:t>iv</w:t>
            </w:r>
            <w:proofErr w:type="spellEnd"/>
            <w:r w:rsidRPr="00E7745C">
              <w:rPr>
                <w:rFonts w:ascii="Verdana" w:hAnsi="Verdana" w:cs="Arial"/>
                <w:lang w:val="es-ES"/>
              </w:rPr>
              <w:t xml:space="preserve">) la capacidad de organización. </w:t>
            </w:r>
          </w:p>
          <w:p w14:paraId="715F6378" w14:textId="77777777" w:rsidR="00EF3E27" w:rsidRDefault="00EF3E27" w:rsidP="00283568">
            <w:pPr>
              <w:spacing w:line="276" w:lineRule="auto"/>
              <w:jc w:val="both"/>
              <w:rPr>
                <w:rFonts w:ascii="Verdana" w:eastAsia="Calibri" w:hAnsi="Verdana" w:cs="Arial"/>
                <w:bCs/>
                <w:lang w:val="es-MX" w:eastAsia="es-ES" w:bidi="es-ES"/>
              </w:rPr>
            </w:pPr>
            <w:r>
              <w:rPr>
                <w:rFonts w:ascii="Verdana" w:eastAsia="Calibri" w:hAnsi="Verdana" w:cs="Arial"/>
                <w:bCs/>
                <w:lang w:val="es-MX" w:eastAsia="es-ES" w:bidi="es-ES"/>
              </w:rPr>
              <w:t xml:space="preserve">        </w:t>
            </w:r>
          </w:p>
          <w:p w14:paraId="7377E72E" w14:textId="77777777" w:rsidR="00EF3E27" w:rsidRDefault="00EF3E27" w:rsidP="00283568">
            <w:pPr>
              <w:spacing w:line="276" w:lineRule="auto"/>
              <w:jc w:val="both"/>
              <w:rPr>
                <w:rFonts w:ascii="Verdana" w:eastAsia="Calibri" w:hAnsi="Verdana" w:cs="Arial"/>
              </w:rPr>
            </w:pPr>
            <w:r>
              <w:rPr>
                <w:rFonts w:ascii="Verdana" w:eastAsia="Calibri" w:hAnsi="Verdana" w:cs="Arial"/>
                <w:bCs/>
                <w:lang w:val="es-MX" w:eastAsia="es-ES" w:bidi="es-ES"/>
              </w:rPr>
              <w:t xml:space="preserve">          Así las cosas, e</w:t>
            </w:r>
            <w:r w:rsidRPr="00E04FB1">
              <w:rPr>
                <w:rFonts w:ascii="Verdana" w:eastAsia="Calibri" w:hAnsi="Verdana" w:cs="Arial"/>
              </w:rPr>
              <w:t>l requisito habilitante de experiencia en los procesos de selección de contratación estatal está regulado en el artículo 2.2.1.1.1.7 del Decreto 1082 de 2015, el cual establece que la experiencia debe ser acreditada mediante contratos que especifiquen su cuantía, permitiendo su valoración en salarios mínimos legales mensuales vigentes (SMLMV), conforme a lo exigido en el Registro Único de Proponentes (RUP).</w:t>
            </w:r>
          </w:p>
          <w:p w14:paraId="59ECC1D3" w14:textId="77777777" w:rsidR="00EF3E27" w:rsidRDefault="00EF3E27" w:rsidP="00283568">
            <w:pPr>
              <w:spacing w:line="276" w:lineRule="auto"/>
              <w:jc w:val="both"/>
              <w:rPr>
                <w:rFonts w:ascii="Verdana" w:eastAsia="Calibri" w:hAnsi="Verdana" w:cs="Arial"/>
              </w:rPr>
            </w:pPr>
          </w:p>
          <w:p w14:paraId="6AD4AE11" w14:textId="77777777" w:rsidR="00EF3E27" w:rsidRDefault="00EF3E27" w:rsidP="00283568">
            <w:pPr>
              <w:spacing w:line="276" w:lineRule="auto"/>
              <w:jc w:val="both"/>
              <w:rPr>
                <w:rFonts w:ascii="Verdana" w:eastAsia="Calibri" w:hAnsi="Verdana" w:cs="Arial"/>
              </w:rPr>
            </w:pPr>
            <w:r>
              <w:rPr>
                <w:rFonts w:ascii="Verdana" w:eastAsia="Calibri" w:hAnsi="Verdana" w:cs="Arial"/>
              </w:rPr>
              <w:t xml:space="preserve">         Ahora bien, “</w:t>
            </w:r>
            <w:r w:rsidRPr="00541BEC">
              <w:rPr>
                <w:rFonts w:ascii="Verdana" w:eastAsia="Calibri" w:hAnsi="Verdana" w:cs="Arial"/>
              </w:rPr>
              <w:t xml:space="preserve">Manual </w:t>
            </w:r>
            <w:r>
              <w:rPr>
                <w:rFonts w:ascii="Verdana" w:eastAsia="Calibri" w:hAnsi="Verdana" w:cs="Arial"/>
              </w:rPr>
              <w:t>p</w:t>
            </w:r>
            <w:r w:rsidRPr="00541BEC">
              <w:rPr>
                <w:rFonts w:ascii="Verdana" w:eastAsia="Calibri" w:hAnsi="Verdana" w:cs="Arial"/>
              </w:rPr>
              <w:t xml:space="preserve">ara </w:t>
            </w:r>
            <w:r>
              <w:rPr>
                <w:rFonts w:ascii="Verdana" w:eastAsia="Calibri" w:hAnsi="Verdana" w:cs="Arial"/>
              </w:rPr>
              <w:t>D</w:t>
            </w:r>
            <w:r w:rsidRPr="00541BEC">
              <w:rPr>
                <w:rFonts w:ascii="Verdana" w:eastAsia="Calibri" w:hAnsi="Verdana" w:cs="Arial"/>
              </w:rPr>
              <w:t xml:space="preserve">eterminar </w:t>
            </w:r>
            <w:r>
              <w:rPr>
                <w:rFonts w:ascii="Verdana" w:eastAsia="Calibri" w:hAnsi="Verdana" w:cs="Arial"/>
              </w:rPr>
              <w:t>y</w:t>
            </w:r>
            <w:r w:rsidRPr="00541BEC">
              <w:rPr>
                <w:rFonts w:ascii="Verdana" w:eastAsia="Calibri" w:hAnsi="Verdana" w:cs="Arial"/>
              </w:rPr>
              <w:t xml:space="preserve"> </w:t>
            </w:r>
            <w:r>
              <w:rPr>
                <w:rFonts w:ascii="Verdana" w:eastAsia="Calibri" w:hAnsi="Verdana" w:cs="Arial"/>
              </w:rPr>
              <w:t>V</w:t>
            </w:r>
            <w:r w:rsidRPr="00541BEC">
              <w:rPr>
                <w:rFonts w:ascii="Verdana" w:eastAsia="Calibri" w:hAnsi="Verdana" w:cs="Arial"/>
              </w:rPr>
              <w:t xml:space="preserve">erificar </w:t>
            </w:r>
            <w:r>
              <w:rPr>
                <w:rFonts w:ascii="Verdana" w:eastAsia="Calibri" w:hAnsi="Verdana" w:cs="Arial"/>
              </w:rPr>
              <w:t>l</w:t>
            </w:r>
            <w:r w:rsidRPr="00541BEC">
              <w:rPr>
                <w:rFonts w:ascii="Verdana" w:eastAsia="Calibri" w:hAnsi="Verdana" w:cs="Arial"/>
              </w:rPr>
              <w:t xml:space="preserve">os </w:t>
            </w:r>
            <w:r>
              <w:rPr>
                <w:rFonts w:ascii="Verdana" w:eastAsia="Calibri" w:hAnsi="Verdana" w:cs="Arial"/>
              </w:rPr>
              <w:t>R</w:t>
            </w:r>
            <w:r w:rsidRPr="00541BEC">
              <w:rPr>
                <w:rFonts w:ascii="Verdana" w:eastAsia="Calibri" w:hAnsi="Verdana" w:cs="Arial"/>
              </w:rPr>
              <w:t xml:space="preserve">equisitos </w:t>
            </w:r>
            <w:r>
              <w:rPr>
                <w:rFonts w:ascii="Verdana" w:eastAsia="Calibri" w:hAnsi="Verdana" w:cs="Arial"/>
              </w:rPr>
              <w:t>H</w:t>
            </w:r>
            <w:r w:rsidRPr="00541BEC">
              <w:rPr>
                <w:rFonts w:ascii="Verdana" w:eastAsia="Calibri" w:hAnsi="Verdana" w:cs="Arial"/>
              </w:rPr>
              <w:t xml:space="preserve">abilitantes </w:t>
            </w:r>
            <w:r>
              <w:rPr>
                <w:rFonts w:ascii="Verdana" w:eastAsia="Calibri" w:hAnsi="Verdana" w:cs="Arial"/>
              </w:rPr>
              <w:t>e</w:t>
            </w:r>
            <w:r w:rsidRPr="00541BEC">
              <w:rPr>
                <w:rFonts w:ascii="Verdana" w:eastAsia="Calibri" w:hAnsi="Verdana" w:cs="Arial"/>
              </w:rPr>
              <w:t xml:space="preserve">n </w:t>
            </w:r>
            <w:r>
              <w:rPr>
                <w:rFonts w:ascii="Verdana" w:eastAsia="Calibri" w:hAnsi="Verdana" w:cs="Arial"/>
              </w:rPr>
              <w:t>l</w:t>
            </w:r>
            <w:r w:rsidRPr="00541BEC">
              <w:rPr>
                <w:rFonts w:ascii="Verdana" w:eastAsia="Calibri" w:hAnsi="Verdana" w:cs="Arial"/>
              </w:rPr>
              <w:t xml:space="preserve">os </w:t>
            </w:r>
            <w:r>
              <w:rPr>
                <w:rFonts w:ascii="Verdana" w:eastAsia="Calibri" w:hAnsi="Verdana" w:cs="Arial"/>
              </w:rPr>
              <w:t>p</w:t>
            </w:r>
            <w:r w:rsidRPr="00541BEC">
              <w:rPr>
                <w:rFonts w:ascii="Verdana" w:eastAsia="Calibri" w:hAnsi="Verdana" w:cs="Arial"/>
              </w:rPr>
              <w:t xml:space="preserve">rocesos </w:t>
            </w:r>
            <w:r>
              <w:rPr>
                <w:rFonts w:ascii="Verdana" w:eastAsia="Calibri" w:hAnsi="Verdana" w:cs="Arial"/>
              </w:rPr>
              <w:t>d</w:t>
            </w:r>
            <w:r w:rsidRPr="00541BEC">
              <w:rPr>
                <w:rFonts w:ascii="Verdana" w:eastAsia="Calibri" w:hAnsi="Verdana" w:cs="Arial"/>
              </w:rPr>
              <w:t xml:space="preserve">e </w:t>
            </w:r>
            <w:r>
              <w:rPr>
                <w:rFonts w:ascii="Verdana" w:eastAsia="Calibri" w:hAnsi="Verdana" w:cs="Arial"/>
              </w:rPr>
              <w:t>C</w:t>
            </w:r>
            <w:r w:rsidRPr="00541BEC">
              <w:rPr>
                <w:rFonts w:ascii="Verdana" w:eastAsia="Calibri" w:hAnsi="Verdana" w:cs="Arial"/>
              </w:rPr>
              <w:t>ontratación</w:t>
            </w:r>
            <w:r>
              <w:rPr>
                <w:rFonts w:ascii="Verdana" w:eastAsia="Calibri" w:hAnsi="Verdana" w:cs="Arial"/>
              </w:rPr>
              <w:t>”</w:t>
            </w:r>
            <w:r>
              <w:rPr>
                <w:rStyle w:val="Refdenotaalpie"/>
                <w:rFonts w:ascii="Verdana" w:eastAsia="Calibri" w:hAnsi="Verdana" w:cs="Arial"/>
              </w:rPr>
              <w:footnoteReference w:id="1"/>
            </w:r>
            <w:r>
              <w:rPr>
                <w:rFonts w:ascii="Verdana" w:eastAsia="Calibri" w:hAnsi="Verdana" w:cs="Arial"/>
              </w:rPr>
              <w:t xml:space="preserve"> expedido por esta Agencia, establece que la experiencia </w:t>
            </w:r>
            <w:r w:rsidRPr="00541BEC">
              <w:rPr>
                <w:rFonts w:ascii="Verdana" w:eastAsia="Calibri" w:hAnsi="Verdana" w:cs="Arial"/>
              </w:rPr>
              <w:t xml:space="preserve">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p>
          <w:p w14:paraId="7C26AA06" w14:textId="77777777" w:rsidR="00EF3E27" w:rsidRDefault="00EF3E27" w:rsidP="00283568">
            <w:pPr>
              <w:spacing w:line="276" w:lineRule="auto"/>
              <w:jc w:val="both"/>
              <w:rPr>
                <w:rFonts w:ascii="Verdana" w:eastAsia="Calibri" w:hAnsi="Verdana" w:cs="Arial"/>
              </w:rPr>
            </w:pPr>
          </w:p>
          <w:p w14:paraId="72559F17" w14:textId="45AC90F6" w:rsidR="00EF3E27" w:rsidRDefault="00EF3E27" w:rsidP="00283568">
            <w:pPr>
              <w:spacing w:line="276" w:lineRule="auto"/>
              <w:jc w:val="both"/>
              <w:rPr>
                <w:rFonts w:ascii="Verdana" w:eastAsia="Calibri" w:hAnsi="Verdana" w:cs="Arial"/>
              </w:rPr>
            </w:pPr>
            <w:r>
              <w:rPr>
                <w:rFonts w:ascii="Verdana" w:eastAsia="Calibri" w:hAnsi="Verdana" w:cs="Arial"/>
              </w:rPr>
              <w:t xml:space="preserve">       De igual manera, el mencionado manual indica </w:t>
            </w:r>
            <w:r w:rsidR="7F4DCA70">
              <w:rPr>
                <w:rFonts w:ascii="Verdana" w:eastAsia="Calibri" w:hAnsi="Verdana" w:cs="Arial"/>
              </w:rPr>
              <w:t>que,</w:t>
            </w:r>
            <w:r>
              <w:rPr>
                <w:rFonts w:ascii="Verdana" w:eastAsia="Calibri" w:hAnsi="Verdana" w:cs="Arial"/>
              </w:rPr>
              <w:t xml:space="preserve"> e</w:t>
            </w:r>
            <w:r w:rsidRPr="00541BEC">
              <w:rPr>
                <w:rFonts w:ascii="Verdana" w:eastAsia="Calibri" w:hAnsi="Verdana" w:cs="Arial"/>
              </w:rPr>
              <w:t>n el marco de la contratación pública, la experiencia del proponente se reviste de particular importancia, en la medida en que garantiza, en cierto grado, que no habrá improvisación ni mayores costos por errores o dificultades originadas en realizar una actividad por primera vez.  Las Entidades Estatales contratantes, como responsables de la estructuración de los Procesos de Contratación, son autónomas para establecer los requisitos habilitantes de experiencia, de acuerdo con el estudio realizado en marco del análisis del sector</w:t>
            </w:r>
            <w:r>
              <w:rPr>
                <w:rStyle w:val="Refdenotaalpie"/>
                <w:rFonts w:ascii="Verdana" w:eastAsia="Calibri" w:hAnsi="Verdana" w:cs="Arial"/>
              </w:rPr>
              <w:footnoteReference w:id="2"/>
            </w:r>
            <w:r>
              <w:rPr>
                <w:rFonts w:ascii="Verdana" w:eastAsia="Calibri" w:hAnsi="Verdana" w:cs="Arial"/>
              </w:rPr>
              <w:t>.</w:t>
            </w:r>
          </w:p>
          <w:p w14:paraId="59C51962" w14:textId="77777777" w:rsidR="00EF3E27" w:rsidRDefault="00EF3E27" w:rsidP="00283568">
            <w:pPr>
              <w:spacing w:line="276" w:lineRule="auto"/>
              <w:jc w:val="both"/>
              <w:rPr>
                <w:rFonts w:ascii="Verdana" w:eastAsia="Calibri" w:hAnsi="Verdana" w:cs="Arial"/>
              </w:rPr>
            </w:pPr>
          </w:p>
          <w:p w14:paraId="796BB152" w14:textId="777F94D2" w:rsidR="00EF3E27" w:rsidRDefault="00EF3E27" w:rsidP="00283568">
            <w:pPr>
              <w:spacing w:line="276" w:lineRule="auto"/>
              <w:jc w:val="both"/>
              <w:rPr>
                <w:rFonts w:ascii="Verdana" w:eastAsia="Calibri" w:hAnsi="Verdana" w:cs="Arial"/>
              </w:rPr>
            </w:pPr>
            <w:r w:rsidRPr="16F041FF">
              <w:rPr>
                <w:rFonts w:ascii="Verdana" w:eastAsia="Calibri" w:hAnsi="Verdana" w:cs="Arial"/>
              </w:rPr>
              <w:t xml:space="preserve">         La experiencia requerida en un Proceso de Contratación debe ser adecuada y proporcional a la naturaleza del contrato, su valor, complejidad y riesgo. La experiencia es adecuada cuando es afín al tipo de actividades incluidas dentro del objeto del contrato a celebrar. </w:t>
            </w:r>
          </w:p>
          <w:p w14:paraId="337E8622" w14:textId="77777777" w:rsidR="00EF3E27" w:rsidRDefault="00EF3E27" w:rsidP="00283568">
            <w:pPr>
              <w:spacing w:line="276" w:lineRule="auto"/>
              <w:jc w:val="both"/>
              <w:rPr>
                <w:rFonts w:ascii="Verdana" w:eastAsia="Calibri" w:hAnsi="Verdana" w:cs="Arial"/>
              </w:rPr>
            </w:pPr>
          </w:p>
          <w:p w14:paraId="17EC9D32" w14:textId="77777777" w:rsidR="00EF3E27" w:rsidRDefault="00EF3E27" w:rsidP="00283568">
            <w:pPr>
              <w:spacing w:line="276" w:lineRule="auto"/>
              <w:jc w:val="both"/>
              <w:rPr>
                <w:rFonts w:ascii="Verdana" w:eastAsia="Calibri" w:hAnsi="Verdana" w:cs="Arial"/>
              </w:rPr>
            </w:pPr>
            <w:r>
              <w:rPr>
                <w:rFonts w:ascii="Verdana" w:eastAsia="Calibri" w:hAnsi="Verdana" w:cs="Arial"/>
              </w:rPr>
              <w:t xml:space="preserve">      </w:t>
            </w:r>
            <w:r w:rsidRPr="002F1076">
              <w:rPr>
                <w:rFonts w:ascii="Verdana" w:eastAsia="Calibri" w:hAnsi="Verdana" w:cs="Arial"/>
              </w:rPr>
              <w:t xml:space="preserve">De otra parte, la experiencia 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con cuantías similares. </w:t>
            </w:r>
          </w:p>
          <w:p w14:paraId="6B574EA5" w14:textId="77777777" w:rsidR="00EF3E27" w:rsidRDefault="00EF3E27" w:rsidP="00283568">
            <w:pPr>
              <w:spacing w:line="276" w:lineRule="auto"/>
              <w:jc w:val="both"/>
              <w:rPr>
                <w:rFonts w:ascii="Verdana" w:eastAsia="Calibri" w:hAnsi="Verdana" w:cs="Arial"/>
              </w:rPr>
            </w:pPr>
          </w:p>
          <w:p w14:paraId="0F70F4B9" w14:textId="28A13ED5" w:rsidR="00EF3E27" w:rsidRDefault="00EF3E27" w:rsidP="00283568">
            <w:pPr>
              <w:spacing w:line="276" w:lineRule="auto"/>
              <w:jc w:val="both"/>
              <w:rPr>
                <w:rFonts w:ascii="Verdana" w:eastAsia="Calibri" w:hAnsi="Verdana" w:cs="Arial"/>
              </w:rPr>
            </w:pPr>
            <w:r w:rsidRPr="16F041FF">
              <w:rPr>
                <w:rFonts w:ascii="Verdana" w:eastAsia="Calibri" w:hAnsi="Verdana" w:cs="Arial"/>
              </w:rPr>
              <w:t xml:space="preserve">      Cabe aclarar que el requisito de que la experiencia sea adecuada y proporcional no implica que esta deba haberse adquirido exclusivamente en contratos cuyo objeto sea exactamente igual al que se pretende contratar. Esta interpretación restrictiva podría excluir a potenciales proponentes que, habiendo ejecutado actividades similares —aunque no idénticas—, cuentan con el conocimiento y la capacidad técnica suficientes para cumplir con las exigencias del proceso. Por tanto, exigir experiencia en condiciones estrictamente iguales a las del objeto contractual puede constituir una barrera injustificada a la participación plural de oferentes.  </w:t>
            </w:r>
          </w:p>
          <w:p w14:paraId="7B691C85" w14:textId="77777777" w:rsidR="00EF3E27" w:rsidRDefault="00EF3E27" w:rsidP="00283568">
            <w:pPr>
              <w:spacing w:line="276" w:lineRule="auto"/>
              <w:jc w:val="both"/>
              <w:rPr>
                <w:rFonts w:ascii="Verdana" w:eastAsia="Calibri" w:hAnsi="Verdana" w:cs="Arial"/>
              </w:rPr>
            </w:pPr>
            <w:r w:rsidRPr="002F1076">
              <w:rPr>
                <w:rFonts w:ascii="Verdana" w:eastAsia="Calibri" w:hAnsi="Verdana" w:cs="Arial"/>
              </w:rPr>
              <w:t xml:space="preserve">   </w:t>
            </w:r>
          </w:p>
          <w:p w14:paraId="0A7806D1" w14:textId="77777777" w:rsidR="00EF3E27" w:rsidRDefault="00EF3E27" w:rsidP="00283568">
            <w:pPr>
              <w:spacing w:line="276" w:lineRule="auto"/>
              <w:jc w:val="both"/>
              <w:rPr>
                <w:rFonts w:ascii="Verdana" w:eastAsia="Calibri" w:hAnsi="Verdana" w:cs="Arial"/>
              </w:rPr>
            </w:pPr>
            <w:r>
              <w:rPr>
                <w:rFonts w:ascii="Verdana" w:eastAsia="Calibri" w:hAnsi="Verdana" w:cs="Arial"/>
              </w:rPr>
              <w:t xml:space="preserve">        </w:t>
            </w:r>
            <w:r w:rsidRPr="002F1076">
              <w:rPr>
                <w:rFonts w:ascii="Verdana" w:eastAsia="Calibri" w:hAnsi="Verdana" w:cs="Arial"/>
              </w:rPr>
              <w:t>Los proponentes deben registrar en el RUP, sin restricción alguna de cantidad o fecha de suscripción, los contratos que hayan celebrado para suministrar bienes, obras y/o servicios, identificándolos con el Clasificador de Bienes y Servicios en el tercer nivel</w:t>
            </w:r>
            <w:r>
              <w:rPr>
                <w:rStyle w:val="Refdenotaalpie"/>
                <w:rFonts w:ascii="Verdana" w:eastAsia="Calibri" w:hAnsi="Verdana" w:cs="Arial"/>
              </w:rPr>
              <w:footnoteReference w:id="3"/>
            </w:r>
            <w:r>
              <w:rPr>
                <w:rFonts w:ascii="Verdana" w:eastAsia="Calibri" w:hAnsi="Verdana" w:cs="Arial"/>
              </w:rPr>
              <w:t xml:space="preserve"> </w:t>
            </w:r>
            <w:r w:rsidRPr="002F1076">
              <w:rPr>
                <w:rFonts w:ascii="Verdana" w:eastAsia="Calibri" w:hAnsi="Verdana" w:cs="Arial"/>
              </w:rPr>
              <w:t>y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p>
          <w:p w14:paraId="39AA3400" w14:textId="77777777" w:rsidR="00EF3E27" w:rsidRDefault="00EF3E27" w:rsidP="00283568">
            <w:pPr>
              <w:spacing w:line="276" w:lineRule="auto"/>
              <w:jc w:val="both"/>
              <w:rPr>
                <w:rFonts w:ascii="Verdana" w:eastAsia="Calibri" w:hAnsi="Verdana" w:cs="Arial"/>
              </w:rPr>
            </w:pPr>
          </w:p>
          <w:p w14:paraId="5199C70E" w14:textId="77777777" w:rsidR="00EF3E27" w:rsidRDefault="00EF3E27" w:rsidP="00283568">
            <w:pPr>
              <w:spacing w:line="276" w:lineRule="auto"/>
              <w:jc w:val="both"/>
              <w:rPr>
                <w:rFonts w:ascii="Verdana" w:eastAsia="Calibri" w:hAnsi="Verdana" w:cs="Arial"/>
              </w:rPr>
            </w:pPr>
            <w:r>
              <w:rPr>
                <w:rFonts w:ascii="Verdana" w:eastAsia="Calibri" w:hAnsi="Verdana" w:cs="Arial"/>
              </w:rPr>
              <w:t xml:space="preserve">         Por su parte</w:t>
            </w:r>
            <w:r w:rsidRPr="002F1076">
              <w:rPr>
                <w:rFonts w:ascii="Verdana" w:eastAsia="Calibri" w:hAnsi="Verdana" w:cs="Arial"/>
              </w:rPr>
              <w:t xml:space="preserve">, la experiencia de los oferentes plurales debe ser proporcional a la participación de cada uno de sus integrantes en el consorcio o unión temporal.   Sin perjuicio del carácter personal de la experiencia, entre los integrantes del oferente plural la experiencia se puede compartir, sin que implique que la experiencia compartida con alguna de las partes se entienda como propia. Dentro del procedimiento contractual se reflejará que uno de los integrantes del proponente plural comparte la experiencia de otra. Esto es claro en el caso de las figuras asociativas donde se verificará en el documento privado de constitución.  </w:t>
            </w:r>
          </w:p>
          <w:p w14:paraId="137642E0" w14:textId="77777777" w:rsidR="00EF3E27" w:rsidRDefault="00EF3E27" w:rsidP="00283568">
            <w:pPr>
              <w:spacing w:line="276" w:lineRule="auto"/>
              <w:jc w:val="both"/>
              <w:rPr>
                <w:rFonts w:ascii="Verdana" w:eastAsia="Calibri" w:hAnsi="Verdana" w:cs="Arial"/>
              </w:rPr>
            </w:pPr>
          </w:p>
          <w:p w14:paraId="3AF0363C" w14:textId="77777777" w:rsidR="00EF3E27" w:rsidRDefault="00EF3E27" w:rsidP="00283568">
            <w:pPr>
              <w:spacing w:line="276" w:lineRule="auto"/>
              <w:jc w:val="both"/>
              <w:rPr>
                <w:rFonts w:ascii="Verdana" w:eastAsia="Calibri" w:hAnsi="Verdana" w:cs="Arial"/>
              </w:rPr>
            </w:pPr>
            <w:r>
              <w:rPr>
                <w:rFonts w:ascii="Verdana" w:eastAsia="Calibri" w:hAnsi="Verdana" w:cs="Arial"/>
              </w:rPr>
              <w:t xml:space="preserve">        </w:t>
            </w:r>
            <w:r w:rsidRPr="002F1076">
              <w:rPr>
                <w:rFonts w:ascii="Verdana" w:eastAsia="Calibri" w:hAnsi="Verdana" w:cs="Arial"/>
              </w:rPr>
              <w:t xml:space="preserve">En casos como la fusión o escisión de sociedades, la experiencia se puede transferir, siendo diferente a compartir. Esto implica que la experiencia de una persona o sociedad se traslada a otra y esta última acredita esa experiencia como propia. </w:t>
            </w:r>
          </w:p>
          <w:p w14:paraId="2C5D71BE" w14:textId="77777777" w:rsidR="00EF3E27" w:rsidRDefault="00EF3E27" w:rsidP="00283568">
            <w:pPr>
              <w:spacing w:line="276" w:lineRule="auto"/>
              <w:jc w:val="both"/>
              <w:rPr>
                <w:rFonts w:ascii="Verdana" w:eastAsia="Calibri" w:hAnsi="Verdana" w:cs="Arial"/>
              </w:rPr>
            </w:pPr>
          </w:p>
          <w:p w14:paraId="17E1469D" w14:textId="77777777" w:rsidR="00EF3E27" w:rsidRDefault="00EF3E27" w:rsidP="00283568">
            <w:pPr>
              <w:spacing w:line="276" w:lineRule="auto"/>
              <w:jc w:val="both"/>
              <w:rPr>
                <w:rFonts w:ascii="Verdana" w:eastAsia="Calibri" w:hAnsi="Verdana" w:cs="Arial"/>
              </w:rPr>
            </w:pPr>
            <w:r>
              <w:rPr>
                <w:rFonts w:ascii="Verdana" w:eastAsia="Calibri" w:hAnsi="Verdana" w:cs="Arial"/>
              </w:rPr>
              <w:t xml:space="preserve">        </w:t>
            </w:r>
            <w:r w:rsidRPr="002F1076">
              <w:rPr>
                <w:rFonts w:ascii="Verdana" w:eastAsia="Calibri" w:hAnsi="Verdana" w:cs="Arial"/>
              </w:rPr>
              <w:t xml:space="preserve">En todo caso, se resalta que las entidades estatales son autónomas en la estructuración de sus procedimientos contractuales, por lo cual en sus pliegos de condiciones pueden establecer las reglas de acreditación de la experiencia de los proponentes plurales, siempre que esta sea proporcional a la de sus integrantes. </w:t>
            </w:r>
          </w:p>
          <w:p w14:paraId="385EBE8A" w14:textId="77777777" w:rsidR="00EF3E27" w:rsidRDefault="00EF3E27" w:rsidP="00283568">
            <w:pPr>
              <w:spacing w:line="276" w:lineRule="auto"/>
              <w:jc w:val="both"/>
              <w:rPr>
                <w:rFonts w:ascii="Verdana" w:eastAsia="Calibri" w:hAnsi="Verdana" w:cs="Arial"/>
              </w:rPr>
            </w:pPr>
          </w:p>
          <w:p w14:paraId="25C0953E" w14:textId="77777777" w:rsidR="00EF3E27" w:rsidRDefault="00EF3E27" w:rsidP="00283568">
            <w:pPr>
              <w:spacing w:line="276" w:lineRule="auto"/>
              <w:jc w:val="both"/>
              <w:rPr>
                <w:rFonts w:ascii="Verdana" w:eastAsia="Calibri" w:hAnsi="Verdana" w:cs="Arial"/>
              </w:rPr>
            </w:pPr>
            <w:r>
              <w:rPr>
                <w:rFonts w:ascii="Verdana" w:eastAsia="Calibri" w:hAnsi="Verdana" w:cs="Arial"/>
              </w:rPr>
              <w:t xml:space="preserve">           Así las cosas y en línea con lo anterior se recomienda consultar </w:t>
            </w:r>
            <w:r w:rsidRPr="004540B2">
              <w:rPr>
                <w:rFonts w:ascii="Verdana" w:eastAsia="Calibri" w:hAnsi="Verdana" w:cs="Arial"/>
              </w:rPr>
              <w:t xml:space="preserve">el </w:t>
            </w:r>
            <w:r>
              <w:rPr>
                <w:rFonts w:ascii="Verdana" w:eastAsia="Calibri" w:hAnsi="Verdana" w:cs="Arial"/>
                <w:i/>
                <w:iCs/>
              </w:rPr>
              <w:t>“</w:t>
            </w:r>
            <w:r w:rsidRPr="004540B2">
              <w:rPr>
                <w:rFonts w:ascii="Verdana" w:eastAsia="Calibri" w:hAnsi="Verdana" w:cs="Arial"/>
                <w:i/>
                <w:iCs/>
              </w:rPr>
              <w:t>Manual para Determinar y Verificar los Requisitos Habilitantes en los Procesos de Contratación</w:t>
            </w:r>
            <w:r>
              <w:rPr>
                <w:rFonts w:ascii="Verdana" w:eastAsia="Calibri" w:hAnsi="Verdana" w:cs="Arial"/>
                <w:i/>
                <w:iCs/>
              </w:rPr>
              <w:t>”</w:t>
            </w:r>
            <w:r w:rsidRPr="004540B2">
              <w:rPr>
                <w:rFonts w:ascii="Verdana" w:eastAsia="Calibri" w:hAnsi="Verdana" w:cs="Arial"/>
              </w:rPr>
              <w:t>, ya que este documento proporciona lineamientos detallados sobre cómo aplicar de manera adecuada la experiencia dentro de un proceso de contratación</w:t>
            </w:r>
            <w:r>
              <w:rPr>
                <w:rFonts w:ascii="Verdana" w:eastAsia="Calibri" w:hAnsi="Verdana" w:cs="Arial"/>
              </w:rPr>
              <w:t xml:space="preserve"> </w:t>
            </w:r>
            <w:r w:rsidRPr="004540B2">
              <w:rPr>
                <w:rFonts w:ascii="Verdana" w:eastAsia="Calibri" w:hAnsi="Verdana" w:cs="Arial"/>
              </w:rPr>
              <w:t>garantizando así la transparencia, objetividad y legalidad en la evaluación de las propuestas.</w:t>
            </w:r>
          </w:p>
          <w:p w14:paraId="682A2E95" w14:textId="77777777" w:rsidR="00EF3E27" w:rsidRDefault="00EF3E27" w:rsidP="00283568">
            <w:pPr>
              <w:spacing w:line="276" w:lineRule="auto"/>
              <w:jc w:val="both"/>
              <w:rPr>
                <w:rFonts w:ascii="Verdana" w:eastAsia="Calibri" w:hAnsi="Verdana" w:cs="Arial"/>
              </w:rPr>
            </w:pPr>
          </w:p>
          <w:p w14:paraId="3549F9C6" w14:textId="77777777" w:rsidR="00EF3E27" w:rsidRPr="00DB4737" w:rsidRDefault="00EF3E27" w:rsidP="00283568">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Finalmente debe advertirse, que el análisis para resolver problemas específicos en torno </w:t>
            </w:r>
            <w:r>
              <w:rPr>
                <w:rFonts w:ascii="Verdana" w:eastAsia="Calibri" w:hAnsi="Verdana" w:cs="Times New Roman"/>
                <w:lang w:val="es-ES"/>
              </w:rPr>
              <w:t xml:space="preserve">a los procesos de contratación </w:t>
            </w:r>
            <w:r w:rsidRPr="00DB4737">
              <w:rPr>
                <w:rFonts w:ascii="Verdana" w:eastAsia="Calibri" w:hAnsi="Verdana" w:cs="Times New Roman"/>
                <w:lang w:val="es-ES"/>
              </w:rPr>
              <w:t>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71FFED21" w14:textId="77777777" w:rsidR="00EF3E27" w:rsidRPr="00DB4737" w:rsidRDefault="00EF3E27" w:rsidP="00283568">
            <w:pPr>
              <w:ind w:left="720"/>
              <w:contextualSpacing/>
              <w:rPr>
                <w:rFonts w:ascii="Verdana" w:eastAsia="Calibri" w:hAnsi="Verdana" w:cs="Times New Roman"/>
                <w:lang w:val="es-ES"/>
              </w:rPr>
            </w:pPr>
          </w:p>
          <w:p w14:paraId="023900C8" w14:textId="77777777" w:rsidR="00EF3E27" w:rsidRPr="00DB4737" w:rsidRDefault="00EF3E27" w:rsidP="00283568">
            <w:pPr>
              <w:spacing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FDF9A73" w14:textId="77777777" w:rsidR="00EF3E27" w:rsidRPr="00F40564" w:rsidRDefault="00EF3E27" w:rsidP="00283568">
            <w:pPr>
              <w:pStyle w:val="Prrafodelista"/>
              <w:spacing w:line="276" w:lineRule="auto"/>
              <w:ind w:left="306"/>
              <w:jc w:val="both"/>
              <w:rPr>
                <w:rFonts w:ascii="Verdana" w:hAnsi="Verdana" w:cs="Arial"/>
                <w:bCs/>
                <w:color w:val="000000" w:themeColor="text1"/>
              </w:rPr>
            </w:pPr>
          </w:p>
        </w:tc>
      </w:tr>
      <w:tr w:rsidR="00EF3E27" w:rsidRPr="00593A5F" w14:paraId="6524B0B5" w14:textId="77777777" w:rsidTr="16F041FF">
        <w:tc>
          <w:tcPr>
            <w:tcW w:w="8828" w:type="dxa"/>
            <w:shd w:val="clear" w:color="auto" w:fill="auto"/>
          </w:tcPr>
          <w:p w14:paraId="2CFC4661" w14:textId="77777777" w:rsidR="00EF3E27" w:rsidRPr="002973E9" w:rsidRDefault="00EF3E27" w:rsidP="00283568">
            <w:pPr>
              <w:spacing w:line="276" w:lineRule="auto"/>
              <w:jc w:val="both"/>
              <w:rPr>
                <w:rFonts w:ascii="Verdana" w:eastAsia="Calibri" w:hAnsi="Verdana" w:cs="Arial"/>
                <w:lang w:val="es-ES"/>
              </w:rPr>
            </w:pPr>
          </w:p>
        </w:tc>
      </w:tr>
    </w:tbl>
    <w:p w14:paraId="4B9BF5CE" w14:textId="77777777" w:rsidR="00EF3E27" w:rsidRDefault="00EF3E27" w:rsidP="00EF3E27">
      <w:pPr>
        <w:tabs>
          <w:tab w:val="left" w:pos="142"/>
          <w:tab w:val="left" w:pos="284"/>
        </w:tabs>
        <w:spacing w:after="0" w:line="276" w:lineRule="auto"/>
        <w:jc w:val="both"/>
        <w:rPr>
          <w:rFonts w:ascii="Verdana" w:eastAsia="Century Gothic" w:hAnsi="Verdana" w:cs="Century Gothic"/>
          <w:b/>
          <w:bCs/>
          <w:lang w:val="es-ES"/>
        </w:rPr>
      </w:pPr>
    </w:p>
    <w:p w14:paraId="3931C8D0" w14:textId="77777777" w:rsidR="00EF3E27" w:rsidRPr="00593A5F" w:rsidRDefault="00EF3E27" w:rsidP="00EF3E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5F19965" w14:textId="77777777" w:rsidR="00EF3E27" w:rsidRDefault="00EF3E27" w:rsidP="00EF3E27">
      <w:pPr>
        <w:spacing w:after="0" w:line="276" w:lineRule="auto"/>
        <w:jc w:val="both"/>
        <w:rPr>
          <w:rFonts w:ascii="Verdana" w:eastAsia="Calibri" w:hAnsi="Verdana" w:cs="Arial"/>
          <w:color w:val="7030A0"/>
          <w:lang w:val="es-ES"/>
        </w:rPr>
      </w:pPr>
    </w:p>
    <w:p w14:paraId="60969C9E" w14:textId="77777777" w:rsidR="00EF3E27" w:rsidRPr="00E7745C" w:rsidRDefault="00EF3E27" w:rsidP="00EF3E27">
      <w:pPr>
        <w:spacing w:after="0" w:line="276" w:lineRule="auto"/>
        <w:ind w:firstLine="709"/>
        <w:contextualSpacing/>
        <w:jc w:val="both"/>
        <w:rPr>
          <w:rFonts w:ascii="Verdana" w:hAnsi="Verdana" w:cs="Arial"/>
          <w:lang w:val="es-ES"/>
        </w:rPr>
      </w:pPr>
      <w:r w:rsidRPr="00E7745C">
        <w:rPr>
          <w:rFonts w:ascii="Verdana" w:hAnsi="Verdana" w:cs="Arial"/>
          <w:lang w:val="es-ES"/>
        </w:rPr>
        <w:t xml:space="preserve">El artículo 5 de la Ley 1150 de 2007, establece que dentro de los procesos de contratación la escogencia del oferente se efectuará conforme al </w:t>
      </w:r>
      <w:r w:rsidRPr="00E7745C">
        <w:rPr>
          <w:rFonts w:ascii="Verdana" w:hAnsi="Verdana" w:cs="Arial"/>
        </w:rPr>
        <w:t xml:space="preserve">ofrecimiento más favorable a la entidad y a los fines que ella busca, sin tener en consideración factores de afecto o de interés y, en general, cualquier clase de motivación subjetiva. De tal manera que, se establecen unos </w:t>
      </w:r>
      <w:r w:rsidRPr="00E7745C">
        <w:rPr>
          <w:rFonts w:ascii="Verdana" w:hAnsi="Verdana" w:cs="Arial"/>
          <w:lang w:val="es-ES"/>
        </w:rPr>
        <w:t xml:space="preserve">criterios habilitantes para participar en un procedimiento contractual y que se establecerán en los pliegos de condiciones o el documento equivalente a este, los cuales deben fijarse de forma adecuada y proporcional.  </w:t>
      </w:r>
    </w:p>
    <w:p w14:paraId="0D034CF1" w14:textId="77777777" w:rsidR="00EF3E27" w:rsidRPr="00E7745C" w:rsidRDefault="00EF3E27" w:rsidP="00EF3E27">
      <w:pPr>
        <w:spacing w:after="0" w:line="276" w:lineRule="auto"/>
        <w:ind w:firstLine="709"/>
        <w:contextualSpacing/>
        <w:jc w:val="both"/>
        <w:rPr>
          <w:rFonts w:ascii="Verdana" w:hAnsi="Verdana" w:cs="Arial"/>
          <w:lang w:val="es-ES"/>
        </w:rPr>
      </w:pPr>
    </w:p>
    <w:p w14:paraId="52AB7079" w14:textId="77777777" w:rsidR="00EF3E27" w:rsidRPr="00E7745C" w:rsidRDefault="00EF3E27" w:rsidP="00EF3E27">
      <w:pPr>
        <w:spacing w:after="0" w:line="276" w:lineRule="auto"/>
        <w:ind w:firstLine="709"/>
        <w:contextualSpacing/>
        <w:jc w:val="both"/>
        <w:rPr>
          <w:rFonts w:ascii="Verdana" w:hAnsi="Verdana" w:cs="Arial"/>
          <w:lang w:val="es-ES"/>
        </w:rPr>
      </w:pPr>
      <w:r w:rsidRPr="00E7745C">
        <w:rPr>
          <w:rFonts w:ascii="Verdana" w:hAnsi="Verdana" w:cs="Arial"/>
          <w:lang w:val="es-ES"/>
        </w:rPr>
        <w:t xml:space="preserve">El numeral 1º del artículo referido establece que en los procesos de selección de contratistas serán objeto de verificación, como requisitos habilitantes, entre otros, los siguientes: i) la capacidad jurídica; </w:t>
      </w:r>
      <w:proofErr w:type="spellStart"/>
      <w:r w:rsidRPr="00E7745C">
        <w:rPr>
          <w:rFonts w:ascii="Verdana" w:hAnsi="Verdana" w:cs="Arial"/>
          <w:lang w:val="es-ES"/>
        </w:rPr>
        <w:t>ii</w:t>
      </w:r>
      <w:proofErr w:type="spellEnd"/>
      <w:r w:rsidRPr="00E7745C">
        <w:rPr>
          <w:rFonts w:ascii="Verdana" w:hAnsi="Verdana" w:cs="Arial"/>
          <w:lang w:val="es-ES"/>
        </w:rPr>
        <w:t xml:space="preserve">) la experiencia; </w:t>
      </w:r>
      <w:proofErr w:type="spellStart"/>
      <w:r w:rsidRPr="00E7745C">
        <w:rPr>
          <w:rFonts w:ascii="Verdana" w:hAnsi="Verdana" w:cs="Arial"/>
          <w:lang w:val="es-ES"/>
        </w:rPr>
        <w:t>iii</w:t>
      </w:r>
      <w:proofErr w:type="spellEnd"/>
      <w:r w:rsidRPr="00E7745C">
        <w:rPr>
          <w:rFonts w:ascii="Verdana" w:hAnsi="Verdana" w:cs="Arial"/>
          <w:lang w:val="es-ES"/>
        </w:rPr>
        <w:t xml:space="preserve">) la capacidad financiera; y </w:t>
      </w:r>
      <w:proofErr w:type="spellStart"/>
      <w:r w:rsidRPr="00E7745C">
        <w:rPr>
          <w:rFonts w:ascii="Verdana" w:hAnsi="Verdana" w:cs="Arial"/>
          <w:lang w:val="es-ES"/>
        </w:rPr>
        <w:t>iv</w:t>
      </w:r>
      <w:proofErr w:type="spellEnd"/>
      <w:r w:rsidRPr="00E7745C">
        <w:rPr>
          <w:rFonts w:ascii="Verdana" w:hAnsi="Verdana" w:cs="Arial"/>
          <w:lang w:val="es-ES"/>
        </w:rPr>
        <w:t xml:space="preserve">) la capacidad de organización. </w:t>
      </w:r>
    </w:p>
    <w:p w14:paraId="1606B145" w14:textId="77777777" w:rsidR="00EF3E27" w:rsidRPr="00E7745C" w:rsidRDefault="00EF3E27" w:rsidP="00EF3E27">
      <w:pPr>
        <w:spacing w:after="0" w:line="240" w:lineRule="auto"/>
        <w:ind w:firstLine="709"/>
        <w:contextualSpacing/>
        <w:jc w:val="both"/>
        <w:rPr>
          <w:rFonts w:ascii="Verdana" w:hAnsi="Verdana" w:cs="Arial"/>
          <w:lang w:val="es-ES"/>
        </w:rPr>
      </w:pPr>
    </w:p>
    <w:p w14:paraId="19CB5958" w14:textId="77777777" w:rsidR="00EF3E27" w:rsidRDefault="00EF3E27" w:rsidP="00EF3E27">
      <w:pPr>
        <w:spacing w:line="276" w:lineRule="auto"/>
        <w:ind w:firstLine="708"/>
        <w:jc w:val="both"/>
        <w:rPr>
          <w:rFonts w:ascii="Verdana" w:eastAsia="Calibri" w:hAnsi="Verdana" w:cs="Arial"/>
        </w:rPr>
      </w:pPr>
      <w:r w:rsidRPr="00E04FB1">
        <w:rPr>
          <w:rFonts w:ascii="Verdana" w:eastAsia="Calibri" w:hAnsi="Verdana" w:cs="Arial"/>
        </w:rPr>
        <w:t>El requisito habilitante de experiencia en los procesos de selección de contratación estatal está regulado en el artículo 2.2.1.1.1.7 del Decreto 1082 de 2015, el cual establece que la experiencia debe ser acreditada mediante contratos que especifiquen su cuantía, permitiendo su valoración en salarios mínimos legales mensuales vigentes (SMLMV), conforme a lo exigido en el Registro Único de Proponentes (RUP).</w:t>
      </w:r>
    </w:p>
    <w:p w14:paraId="292F3E11" w14:textId="77777777" w:rsidR="00EF3E27" w:rsidRDefault="00EF3E27" w:rsidP="00EF3E27">
      <w:pPr>
        <w:spacing w:line="276" w:lineRule="auto"/>
        <w:jc w:val="both"/>
        <w:rPr>
          <w:rFonts w:ascii="Verdana" w:eastAsia="Calibri" w:hAnsi="Verdana" w:cs="Arial"/>
        </w:rPr>
      </w:pPr>
      <w:r>
        <w:rPr>
          <w:rFonts w:ascii="Verdana" w:eastAsia="Calibri" w:hAnsi="Verdana" w:cs="Arial"/>
        </w:rPr>
        <w:t xml:space="preserve">         Ahora bien, “</w:t>
      </w:r>
      <w:r w:rsidRPr="00541BEC">
        <w:rPr>
          <w:rFonts w:ascii="Verdana" w:eastAsia="Calibri" w:hAnsi="Verdana" w:cs="Arial"/>
        </w:rPr>
        <w:t xml:space="preserve">Manual </w:t>
      </w:r>
      <w:r>
        <w:rPr>
          <w:rFonts w:ascii="Verdana" w:eastAsia="Calibri" w:hAnsi="Verdana" w:cs="Arial"/>
        </w:rPr>
        <w:t>p</w:t>
      </w:r>
      <w:r w:rsidRPr="00541BEC">
        <w:rPr>
          <w:rFonts w:ascii="Verdana" w:eastAsia="Calibri" w:hAnsi="Verdana" w:cs="Arial"/>
        </w:rPr>
        <w:t xml:space="preserve">ara </w:t>
      </w:r>
      <w:r>
        <w:rPr>
          <w:rFonts w:ascii="Verdana" w:eastAsia="Calibri" w:hAnsi="Verdana" w:cs="Arial"/>
        </w:rPr>
        <w:t>D</w:t>
      </w:r>
      <w:r w:rsidRPr="00541BEC">
        <w:rPr>
          <w:rFonts w:ascii="Verdana" w:eastAsia="Calibri" w:hAnsi="Verdana" w:cs="Arial"/>
        </w:rPr>
        <w:t xml:space="preserve">eterminar </w:t>
      </w:r>
      <w:r>
        <w:rPr>
          <w:rFonts w:ascii="Verdana" w:eastAsia="Calibri" w:hAnsi="Verdana" w:cs="Arial"/>
        </w:rPr>
        <w:t>y</w:t>
      </w:r>
      <w:r w:rsidRPr="00541BEC">
        <w:rPr>
          <w:rFonts w:ascii="Verdana" w:eastAsia="Calibri" w:hAnsi="Verdana" w:cs="Arial"/>
        </w:rPr>
        <w:t xml:space="preserve"> </w:t>
      </w:r>
      <w:r>
        <w:rPr>
          <w:rFonts w:ascii="Verdana" w:eastAsia="Calibri" w:hAnsi="Verdana" w:cs="Arial"/>
        </w:rPr>
        <w:t>V</w:t>
      </w:r>
      <w:r w:rsidRPr="00541BEC">
        <w:rPr>
          <w:rFonts w:ascii="Verdana" w:eastAsia="Calibri" w:hAnsi="Verdana" w:cs="Arial"/>
        </w:rPr>
        <w:t xml:space="preserve">erificar </w:t>
      </w:r>
      <w:r>
        <w:rPr>
          <w:rFonts w:ascii="Verdana" w:eastAsia="Calibri" w:hAnsi="Verdana" w:cs="Arial"/>
        </w:rPr>
        <w:t>l</w:t>
      </w:r>
      <w:r w:rsidRPr="00541BEC">
        <w:rPr>
          <w:rFonts w:ascii="Verdana" w:eastAsia="Calibri" w:hAnsi="Verdana" w:cs="Arial"/>
        </w:rPr>
        <w:t xml:space="preserve">os </w:t>
      </w:r>
      <w:r>
        <w:rPr>
          <w:rFonts w:ascii="Verdana" w:eastAsia="Calibri" w:hAnsi="Verdana" w:cs="Arial"/>
        </w:rPr>
        <w:t>R</w:t>
      </w:r>
      <w:r w:rsidRPr="00541BEC">
        <w:rPr>
          <w:rFonts w:ascii="Verdana" w:eastAsia="Calibri" w:hAnsi="Verdana" w:cs="Arial"/>
        </w:rPr>
        <w:t xml:space="preserve">equisitos </w:t>
      </w:r>
      <w:r>
        <w:rPr>
          <w:rFonts w:ascii="Verdana" w:eastAsia="Calibri" w:hAnsi="Verdana" w:cs="Arial"/>
        </w:rPr>
        <w:t>H</w:t>
      </w:r>
      <w:r w:rsidRPr="00541BEC">
        <w:rPr>
          <w:rFonts w:ascii="Verdana" w:eastAsia="Calibri" w:hAnsi="Verdana" w:cs="Arial"/>
        </w:rPr>
        <w:t xml:space="preserve">abilitantes </w:t>
      </w:r>
      <w:r>
        <w:rPr>
          <w:rFonts w:ascii="Verdana" w:eastAsia="Calibri" w:hAnsi="Verdana" w:cs="Arial"/>
        </w:rPr>
        <w:t>e</w:t>
      </w:r>
      <w:r w:rsidRPr="00541BEC">
        <w:rPr>
          <w:rFonts w:ascii="Verdana" w:eastAsia="Calibri" w:hAnsi="Verdana" w:cs="Arial"/>
        </w:rPr>
        <w:t xml:space="preserve">n </w:t>
      </w:r>
      <w:r>
        <w:rPr>
          <w:rFonts w:ascii="Verdana" w:eastAsia="Calibri" w:hAnsi="Verdana" w:cs="Arial"/>
        </w:rPr>
        <w:t>l</w:t>
      </w:r>
      <w:r w:rsidRPr="00541BEC">
        <w:rPr>
          <w:rFonts w:ascii="Verdana" w:eastAsia="Calibri" w:hAnsi="Verdana" w:cs="Arial"/>
        </w:rPr>
        <w:t xml:space="preserve">os </w:t>
      </w:r>
      <w:r>
        <w:rPr>
          <w:rFonts w:ascii="Verdana" w:eastAsia="Calibri" w:hAnsi="Verdana" w:cs="Arial"/>
        </w:rPr>
        <w:t>p</w:t>
      </w:r>
      <w:r w:rsidRPr="00541BEC">
        <w:rPr>
          <w:rFonts w:ascii="Verdana" w:eastAsia="Calibri" w:hAnsi="Verdana" w:cs="Arial"/>
        </w:rPr>
        <w:t xml:space="preserve">rocesos </w:t>
      </w:r>
      <w:r>
        <w:rPr>
          <w:rFonts w:ascii="Verdana" w:eastAsia="Calibri" w:hAnsi="Verdana" w:cs="Arial"/>
        </w:rPr>
        <w:t>d</w:t>
      </w:r>
      <w:r w:rsidRPr="00541BEC">
        <w:rPr>
          <w:rFonts w:ascii="Verdana" w:eastAsia="Calibri" w:hAnsi="Verdana" w:cs="Arial"/>
        </w:rPr>
        <w:t xml:space="preserve">e </w:t>
      </w:r>
      <w:r>
        <w:rPr>
          <w:rFonts w:ascii="Verdana" w:eastAsia="Calibri" w:hAnsi="Verdana" w:cs="Arial"/>
        </w:rPr>
        <w:t>C</w:t>
      </w:r>
      <w:r w:rsidRPr="00541BEC">
        <w:rPr>
          <w:rFonts w:ascii="Verdana" w:eastAsia="Calibri" w:hAnsi="Verdana" w:cs="Arial"/>
        </w:rPr>
        <w:t>ontratación</w:t>
      </w:r>
      <w:r>
        <w:rPr>
          <w:rFonts w:ascii="Verdana" w:eastAsia="Calibri" w:hAnsi="Verdana" w:cs="Arial"/>
        </w:rPr>
        <w:t>”</w:t>
      </w:r>
      <w:r>
        <w:rPr>
          <w:rStyle w:val="Refdenotaalpie"/>
          <w:rFonts w:ascii="Verdana" w:eastAsia="Calibri" w:hAnsi="Verdana" w:cs="Arial"/>
        </w:rPr>
        <w:footnoteReference w:id="4"/>
      </w:r>
      <w:r>
        <w:rPr>
          <w:rFonts w:ascii="Verdana" w:eastAsia="Calibri" w:hAnsi="Verdana" w:cs="Arial"/>
        </w:rPr>
        <w:t xml:space="preserve"> expedido por esta Agencia </w:t>
      </w:r>
      <w:r w:rsidRPr="00541BEC">
        <w:rPr>
          <w:rFonts w:ascii="Verdana" w:eastAsia="Calibri" w:hAnsi="Verdana" w:cs="Arial"/>
        </w:rPr>
        <w:t xml:space="preserve">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p>
    <w:p w14:paraId="146CD564" w14:textId="77777777" w:rsidR="00EF3E27" w:rsidRDefault="00EF3E27" w:rsidP="00EF3E27">
      <w:pPr>
        <w:spacing w:line="276" w:lineRule="auto"/>
        <w:jc w:val="both"/>
        <w:rPr>
          <w:rFonts w:ascii="Verdana" w:eastAsia="Calibri" w:hAnsi="Verdana" w:cs="Arial"/>
        </w:rPr>
      </w:pPr>
      <w:r>
        <w:rPr>
          <w:rFonts w:ascii="Verdana" w:eastAsia="Calibri" w:hAnsi="Verdana" w:cs="Arial"/>
        </w:rPr>
        <w:t xml:space="preserve">       De igual manera el mencionado manual indica que e</w:t>
      </w:r>
      <w:r w:rsidRPr="00541BEC">
        <w:rPr>
          <w:rFonts w:ascii="Verdana" w:eastAsia="Calibri" w:hAnsi="Verdana" w:cs="Arial"/>
        </w:rPr>
        <w:t xml:space="preserve">n el marco de la contratación pública, la experiencia del proponente se reviste de particular </w:t>
      </w:r>
      <w:r w:rsidRPr="00541BEC">
        <w:rPr>
          <w:rFonts w:ascii="Verdana" w:eastAsia="Calibri" w:hAnsi="Verdana" w:cs="Arial"/>
        </w:rPr>
        <w:lastRenderedPageBreak/>
        <w:t>importancia, en la medida en que garantiza, en cierto grado, que no habrá improvisación ni mayores costos por errores o dificultades originadas en realizar una actividad por primera vez.  Las Entidades Estatales contratantes, como responsables de la estructuración de los Procesos de Contratación, son autónomas para establecer los requisitos habilitantes de experiencia, de acuerdo con el estudio realizado en marco del análisis del sector</w:t>
      </w:r>
      <w:r>
        <w:rPr>
          <w:rStyle w:val="Refdenotaalpie"/>
          <w:rFonts w:ascii="Verdana" w:eastAsia="Calibri" w:hAnsi="Verdana" w:cs="Arial"/>
        </w:rPr>
        <w:footnoteReference w:id="5"/>
      </w:r>
      <w:r>
        <w:rPr>
          <w:rFonts w:ascii="Verdana" w:eastAsia="Calibri" w:hAnsi="Verdana" w:cs="Arial"/>
        </w:rPr>
        <w:t>.</w:t>
      </w:r>
    </w:p>
    <w:p w14:paraId="4714390D" w14:textId="3C987BF3" w:rsidR="0006483D" w:rsidRPr="0006483D" w:rsidRDefault="00EF3E27" w:rsidP="0006483D">
      <w:pPr>
        <w:spacing w:line="276" w:lineRule="auto"/>
        <w:jc w:val="both"/>
        <w:rPr>
          <w:rFonts w:ascii="Verdana" w:eastAsia="Calibri" w:hAnsi="Verdana" w:cs="Arial"/>
        </w:rPr>
      </w:pPr>
      <w:r>
        <w:rPr>
          <w:rFonts w:ascii="Verdana" w:eastAsia="Calibri" w:hAnsi="Verdana" w:cs="Arial"/>
        </w:rPr>
        <w:t xml:space="preserve">      </w:t>
      </w:r>
      <w:r w:rsidR="0006483D" w:rsidRPr="0006483D">
        <w:rPr>
          <w:rFonts w:ascii="Verdana" w:eastAsia="Calibri" w:hAnsi="Verdana" w:cs="Arial"/>
        </w:rPr>
        <w:t xml:space="preserve">La experiencia requerida en un Proceso de Contratación debe ser adecuada y proporcional a la naturaleza del contrato, su valor, complejidad y riesgo. La experiencia es adecuada cuando es afín al tipo de actividades incluidas dentro del objeto del contrato a celebrar. </w:t>
      </w:r>
    </w:p>
    <w:p w14:paraId="65502807" w14:textId="77777777"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De otra parte, la experiencia 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con cuantías similares. </w:t>
      </w:r>
    </w:p>
    <w:p w14:paraId="11CBEB61" w14:textId="77777777"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Cabe aclarar que el requisito de que la experiencia sea adecuada y proporcional no implica que esta deba haberse adquirido exclusivamente en contratos cuyo objeto sea exactamente igual al que se pretende contratar. Esta interpretación restrictiva podría excluir a potenciales proponentes que, habiendo ejecutado actividades similares —aunque no idénticas—, cuentan con el conocimiento y la capacidad técnica suficientes para cumplir con las exigencias del proceso. Por tanto, exigir experiencia en condiciones estrictamente iguales a las del objeto contractual puede constituir una barrera injustificada a la participación plural de oferentes.  </w:t>
      </w:r>
    </w:p>
    <w:p w14:paraId="5A2AC62B" w14:textId="5477387E"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Los proponentes deben registrar en el RUP, sin restricción alguna de cantidad o fecha de suscripción, los contratos que hayan celebrado para suministrar bienes, obras y/o servicios, identificándolos con el Clasificador de Bienes y Servicios en el tercer </w:t>
      </w:r>
      <w:proofErr w:type="gramStart"/>
      <w:r w:rsidRPr="0006483D">
        <w:rPr>
          <w:rFonts w:ascii="Verdana" w:eastAsia="Calibri" w:hAnsi="Verdana" w:cs="Arial"/>
        </w:rPr>
        <w:t>nivel  y</w:t>
      </w:r>
      <w:proofErr w:type="gramEnd"/>
      <w:r w:rsidRPr="0006483D">
        <w:rPr>
          <w:rFonts w:ascii="Verdana" w:eastAsia="Calibri" w:hAnsi="Verdana" w:cs="Arial"/>
        </w:rPr>
        <w:t xml:space="preserve">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p>
    <w:p w14:paraId="691A291F" w14:textId="3992EC12"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Por su parte, la experiencia de los oferentes plurales debe ser proporcional a la participación de cada uno de sus integrantes en el consorcio o unión </w:t>
      </w:r>
      <w:r w:rsidRPr="0006483D">
        <w:rPr>
          <w:rFonts w:ascii="Verdana" w:eastAsia="Calibri" w:hAnsi="Verdana" w:cs="Arial"/>
        </w:rPr>
        <w:lastRenderedPageBreak/>
        <w:t>temporal.</w:t>
      </w:r>
      <w:r>
        <w:rPr>
          <w:rFonts w:ascii="Verdana" w:eastAsia="Calibri" w:hAnsi="Verdana" w:cs="Arial"/>
        </w:rPr>
        <w:t xml:space="preserve"> </w:t>
      </w:r>
      <w:r w:rsidRPr="0006483D">
        <w:rPr>
          <w:rFonts w:ascii="Verdana" w:eastAsia="Calibri" w:hAnsi="Verdana" w:cs="Arial"/>
        </w:rPr>
        <w:t xml:space="preserve">Sin perjuicio del carácter personal de la experiencia, entre los integrantes del oferente plural la experiencia se puede compartir, sin que implique que la experiencia compartida con alguna de las partes se entienda como propia. Dentro del procedimiento contractual se reflejará que uno de los integrantes del proponente plural comparte la experiencia de otra. Esto es claro en el caso de las figuras asociativas donde se verificará en el documento privado de constitución.  </w:t>
      </w:r>
    </w:p>
    <w:p w14:paraId="79F79E5E" w14:textId="77777777"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En casos como la fusión o escisión de sociedades, la experiencia se puede transferir, siendo diferente a compartir. Esto implica que la experiencia de una persona o sociedad se traslada a otra y esta última acredita esa experiencia como propia. </w:t>
      </w:r>
    </w:p>
    <w:p w14:paraId="6D3DE656" w14:textId="77777777"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En todo caso, se resalta que las entidades estatales son autónomas en la estructuración de sus procedimientos contractuales, por lo cual en sus pliegos de condiciones pueden establecer las reglas de acreditación de la experiencia de los proponentes plurales, siempre que esta sea proporcional a la de sus integrantes. </w:t>
      </w:r>
    </w:p>
    <w:p w14:paraId="5DEC90BE" w14:textId="51F2F3F0"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Así las cosas y en línea con lo anterior se recomienda consultar el “Manual para Determinar y Verificar los Requisitos Habilitantes en los Procesos de Contratación”, ya que este documento proporciona lineamientos detallados sobre cómo aplicar de manera adecuada la experiencia dentro de un proceso de contratación garantizando así la transparencia, objetividad y legalidad en la evaluación de las propuestas.</w:t>
      </w:r>
    </w:p>
    <w:p w14:paraId="7304ABF3" w14:textId="77777777" w:rsidR="0006483D" w:rsidRPr="0006483D" w:rsidRDefault="0006483D" w:rsidP="0006483D">
      <w:pPr>
        <w:spacing w:line="276" w:lineRule="auto"/>
        <w:jc w:val="both"/>
        <w:rPr>
          <w:rFonts w:ascii="Verdana" w:eastAsia="Calibri" w:hAnsi="Verdana" w:cs="Arial"/>
        </w:rPr>
      </w:pPr>
      <w:r w:rsidRPr="0006483D">
        <w:rPr>
          <w:rFonts w:ascii="Verdana" w:eastAsia="Calibri" w:hAnsi="Verdana" w:cs="Arial"/>
        </w:rPr>
        <w:t xml:space="preserve">     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5791487" w14:textId="15F70A67" w:rsidR="00EF3E27" w:rsidRDefault="0006483D" w:rsidP="005A3FF4">
      <w:pPr>
        <w:spacing w:line="276" w:lineRule="auto"/>
        <w:jc w:val="both"/>
        <w:rPr>
          <w:rFonts w:ascii="Verdana" w:hAnsi="Verdana" w:cs="Arial"/>
          <w:lang w:eastAsia="es-ES"/>
        </w:rPr>
      </w:pPr>
      <w:r w:rsidRPr="0006483D">
        <w:rPr>
          <w:rFonts w:ascii="Verdana" w:eastAsia="Calibri" w:hAnsi="Verdana" w:cs="Arial"/>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06483D">
        <w:rPr>
          <w:rFonts w:ascii="Verdana" w:eastAsia="Calibri" w:hAnsi="Verdana" w:cs="Arial"/>
        </w:rPr>
        <w:lastRenderedPageBreak/>
        <w:t>contractual, sin que sea atribución de la Agencia Nacional de Contratación Pública – Colombia Compra Eficiente, validar sus actuaciones</w:t>
      </w:r>
      <w:r w:rsidR="005A3FF4">
        <w:rPr>
          <w:rFonts w:ascii="Verdana" w:eastAsia="Calibri" w:hAnsi="Verdana" w:cs="Arial"/>
        </w:rPr>
        <w:t>.</w:t>
      </w:r>
    </w:p>
    <w:p w14:paraId="21156579" w14:textId="77777777" w:rsidR="00EF3E27" w:rsidRPr="00593A5F" w:rsidRDefault="00EF3E27" w:rsidP="00EF3E2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CE2920C" w14:textId="77777777" w:rsidR="00EF3E27" w:rsidRPr="00593A5F" w:rsidRDefault="00EF3E27" w:rsidP="00EF3E2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F3E27" w:rsidRPr="00593A5F" w14:paraId="7A1D1E83" w14:textId="77777777" w:rsidTr="00283568">
        <w:trPr>
          <w:trHeight w:val="870"/>
        </w:trPr>
        <w:tc>
          <w:tcPr>
            <w:tcW w:w="8647" w:type="dxa"/>
          </w:tcPr>
          <w:p w14:paraId="2B09ADF4" w14:textId="77777777" w:rsidR="00EF3E27" w:rsidRPr="00E7745C" w:rsidRDefault="00EF3E27" w:rsidP="00283568">
            <w:pPr>
              <w:pStyle w:val="Prrafodelista"/>
              <w:widowControl w:val="0"/>
              <w:numPr>
                <w:ilvl w:val="0"/>
                <w:numId w:val="17"/>
              </w:numPr>
              <w:autoSpaceDE w:val="0"/>
              <w:autoSpaceDN w:val="0"/>
              <w:spacing w:after="120" w:line="276" w:lineRule="auto"/>
              <w:jc w:val="both"/>
              <w:rPr>
                <w:rFonts w:ascii="Verdana" w:hAnsi="Verdana" w:cs="Arial"/>
              </w:rPr>
            </w:pPr>
            <w:r w:rsidRPr="00E7745C">
              <w:rPr>
                <w:rFonts w:ascii="Verdana" w:hAnsi="Verdana" w:cs="Arial"/>
              </w:rPr>
              <w:t>Ley 1150 de 2007: Artículo 5.</w:t>
            </w:r>
          </w:p>
          <w:p w14:paraId="2D632A15" w14:textId="77777777" w:rsidR="00EF3E27" w:rsidRPr="00E7745C" w:rsidRDefault="00EF3E27" w:rsidP="00283568">
            <w:pPr>
              <w:pStyle w:val="Prrafodelista"/>
              <w:widowControl w:val="0"/>
              <w:numPr>
                <w:ilvl w:val="0"/>
                <w:numId w:val="17"/>
              </w:numPr>
              <w:autoSpaceDE w:val="0"/>
              <w:autoSpaceDN w:val="0"/>
              <w:spacing w:after="120" w:line="276" w:lineRule="auto"/>
              <w:jc w:val="both"/>
              <w:rPr>
                <w:rFonts w:ascii="Verdana" w:hAnsi="Verdana" w:cs="Arial"/>
              </w:rPr>
            </w:pPr>
            <w:r w:rsidRPr="00E7745C">
              <w:rPr>
                <w:rFonts w:ascii="Verdana" w:hAnsi="Verdana" w:cs="Arial"/>
              </w:rPr>
              <w:t xml:space="preserve">Decreto 1082 de 2015: Artículo 2.2.1.1.1.5.2, numerales 2.1. y 2.5. </w:t>
            </w:r>
          </w:p>
          <w:p w14:paraId="50522332" w14:textId="77777777" w:rsidR="00EF3E27" w:rsidRPr="002B5057" w:rsidRDefault="00EF3E27" w:rsidP="00283568">
            <w:pPr>
              <w:pStyle w:val="Prrafodelista"/>
              <w:widowControl w:val="0"/>
              <w:numPr>
                <w:ilvl w:val="0"/>
                <w:numId w:val="17"/>
              </w:numPr>
              <w:autoSpaceDE w:val="0"/>
              <w:autoSpaceDN w:val="0"/>
              <w:spacing w:after="120" w:line="276" w:lineRule="auto"/>
              <w:jc w:val="both"/>
              <w:rPr>
                <w:rFonts w:ascii="Verdana" w:hAnsi="Verdana" w:cs="Arial"/>
              </w:rPr>
            </w:pPr>
            <w:r w:rsidRPr="00BD4587">
              <w:rPr>
                <w:rFonts w:ascii="Verdana" w:hAnsi="Verdana" w:cs="Arial"/>
              </w:rPr>
              <w:t>“Manual para determinar y verificar requisitos habilitantes en los procesos de contratación”. Disponibles en: https://colombiacompra.gov.co/sites/cce_public/files/cce_documents/cce-eicp-ma-04._manual_requisitos_habilitantes_v3_29-09-2023.pdf</w:t>
            </w:r>
          </w:p>
        </w:tc>
      </w:tr>
    </w:tbl>
    <w:p w14:paraId="4A287044" w14:textId="77777777" w:rsidR="00EF3E27" w:rsidRPr="00593A5F" w:rsidRDefault="00EF3E27" w:rsidP="00EF3E27">
      <w:pPr>
        <w:widowControl w:val="0"/>
        <w:autoSpaceDE w:val="0"/>
        <w:autoSpaceDN w:val="0"/>
        <w:spacing w:after="0" w:line="276" w:lineRule="auto"/>
        <w:jc w:val="both"/>
        <w:rPr>
          <w:rFonts w:ascii="Verdana" w:hAnsi="Verdana" w:cs="Arial"/>
        </w:rPr>
      </w:pPr>
    </w:p>
    <w:p w14:paraId="0C67B11B" w14:textId="77777777" w:rsidR="00EF3E27" w:rsidRPr="00593A5F" w:rsidRDefault="00EF3E27" w:rsidP="00EF3E2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1020878" w14:textId="77777777" w:rsidR="00EF3E27" w:rsidRDefault="00EF3E27" w:rsidP="00EF3E27">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460B84C9" w14:textId="77777777" w:rsidR="00EF3E27" w:rsidRPr="00D57D39" w:rsidRDefault="00EF3E27" w:rsidP="00EF3E27">
      <w:pPr>
        <w:spacing w:after="0" w:line="276" w:lineRule="auto"/>
        <w:jc w:val="both"/>
        <w:rPr>
          <w:rFonts w:ascii="Verdana" w:eastAsia="Calibri" w:hAnsi="Verdana" w:cs="Times New Roman"/>
        </w:rPr>
      </w:pPr>
      <w:r w:rsidRPr="00E7745C">
        <w:rPr>
          <w:rFonts w:ascii="Verdana" w:eastAsia="Calibri" w:hAnsi="Verdana" w:cs="Arial"/>
          <w:szCs w:val="24"/>
          <w:lang w:val="es-ES"/>
        </w:rPr>
        <w:t>La Agencia Nacional de Contratación Pública ‒ Colombia Compra Eficiente, estudi</w:t>
      </w:r>
      <w:r w:rsidRPr="00E7745C">
        <w:rPr>
          <w:rFonts w:ascii="Verdana" w:eastAsia="Calibri" w:hAnsi="Verdana" w:cs="Century Gothic"/>
          <w:szCs w:val="24"/>
          <w:lang w:val="es-ES"/>
        </w:rPr>
        <w:t>ó</w:t>
      </w:r>
      <w:r w:rsidRPr="00E7745C">
        <w:rPr>
          <w:rFonts w:ascii="Verdana" w:eastAsia="Calibri" w:hAnsi="Verdana" w:cs="Arial"/>
          <w:szCs w:val="24"/>
          <w:lang w:val="es-ES"/>
        </w:rPr>
        <w:t xml:space="preserve"> el tema de experiencia y su noci</w:t>
      </w:r>
      <w:r w:rsidRPr="00E7745C">
        <w:rPr>
          <w:rFonts w:ascii="Verdana" w:eastAsia="Calibri" w:hAnsi="Verdana" w:cs="Century Gothic"/>
          <w:szCs w:val="24"/>
          <w:lang w:val="es-ES"/>
        </w:rPr>
        <w:t>ó</w:t>
      </w:r>
      <w:r w:rsidRPr="00E7745C">
        <w:rPr>
          <w:rFonts w:ascii="Verdana" w:eastAsia="Calibri" w:hAnsi="Verdana" w:cs="Arial"/>
          <w:szCs w:val="24"/>
          <w:lang w:val="es-ES"/>
        </w:rPr>
        <w:t>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C-569 del 13 de septiembre de 2022, C-820 del 29 de noviembre de 2022 y C-121 de 12 de mayo de 2023, C-088 del 13 de junio de 2024, C-278 del 31 de julio de 2024, entre otros.</w:t>
      </w:r>
      <w:r>
        <w:rPr>
          <w:rFonts w:ascii="Verdana" w:eastAsia="Calibri" w:hAnsi="Verdana" w:cs="Arial"/>
          <w:szCs w:val="24"/>
          <w:lang w:val="es-ES"/>
        </w:rPr>
        <w:t xml:space="preserve"> </w:t>
      </w:r>
      <w:r w:rsidRPr="00D57D39">
        <w:rPr>
          <w:rFonts w:ascii="Verdana" w:eastAsia="Calibri" w:hAnsi="Verdana" w:cs="Arial"/>
          <w:szCs w:val="24"/>
          <w:lang w:val="es-ES"/>
        </w:rPr>
        <w:t>E</w:t>
      </w:r>
      <w:proofErr w:type="spellStart"/>
      <w:r w:rsidRPr="00D57D39">
        <w:rPr>
          <w:rFonts w:ascii="Verdana" w:eastAsia="Calibri" w:hAnsi="Verdana" w:cs="Times New Roman"/>
        </w:rPr>
        <w:t>stos</w:t>
      </w:r>
      <w:proofErr w:type="spellEnd"/>
      <w:r w:rsidRPr="00D57D39">
        <w:rPr>
          <w:rFonts w:ascii="Verdana" w:eastAsia="Calibri" w:hAnsi="Verdana" w:cs="Times New Roman"/>
        </w:rPr>
        <w:t xml:space="preserve">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2F1FEC5" w14:textId="77777777" w:rsidR="00EF3E27" w:rsidRPr="0065720B" w:rsidRDefault="00EF3E27" w:rsidP="00EF3E27">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D57D39">
          <w:rPr>
            <w:rStyle w:val="Hipervnculo"/>
            <w:rFonts w:ascii="Verdana" w:eastAsia="Calibri" w:hAnsi="Verdana" w:cs="Times New Roman"/>
            <w:lang w:val="es-ES"/>
          </w:rPr>
          <w:t>https://relatoria.colombiacompra.gov.co/busqueda/conceptos</w:t>
        </w:r>
      </w:hyperlink>
      <w:r w:rsidRPr="00D57D39">
        <w:rPr>
          <w:rFonts w:ascii="Verdana" w:eastAsia="Calibri" w:hAnsi="Verdana" w:cs="Times New Roman"/>
        </w:rPr>
        <w:t>.</w:t>
      </w:r>
    </w:p>
    <w:p w14:paraId="58C79226" w14:textId="77777777" w:rsidR="00EF3E27" w:rsidRDefault="00EF3E27" w:rsidP="00EF3E27">
      <w:pPr>
        <w:widowControl w:val="0"/>
        <w:autoSpaceDE w:val="0"/>
        <w:autoSpaceDN w:val="0"/>
        <w:spacing w:after="0" w:line="276" w:lineRule="auto"/>
        <w:jc w:val="both"/>
        <w:rPr>
          <w:rStyle w:val="normaltextrun"/>
          <w:rFonts w:ascii="Verdana" w:hAnsi="Verdana" w:cs="Arial"/>
          <w:shd w:val="clear" w:color="auto" w:fill="FFFFFF"/>
          <w:lang w:val="es-ES"/>
        </w:rPr>
      </w:pPr>
    </w:p>
    <w:p w14:paraId="7B3E99B0" w14:textId="77777777" w:rsidR="00EF3E27" w:rsidRPr="00505CD6" w:rsidRDefault="00EF3E27" w:rsidP="00EF3E27">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 xml:space="preserve">Nos complace informarte que ya están disponibles las nuevas versiones de los Documentos Tipo para Infraestructura de Transporte, recuerda que es de obligatoria observancia por todas las entidades sometidas al EGCAP y entidades </w:t>
      </w:r>
      <w:r w:rsidRPr="00505CD6">
        <w:rPr>
          <w:rFonts w:ascii="Verdana" w:hAnsi="Verdana" w:cs="Arial"/>
          <w:color w:val="000000" w:themeColor="text1"/>
          <w:shd w:val="clear" w:color="auto" w:fill="FFFFFF"/>
        </w:rPr>
        <w:lastRenderedPageBreak/>
        <w:t>de régimen especial, con las excepciones de ley:</w:t>
      </w:r>
    </w:p>
    <w:p w14:paraId="2B9AE5A2" w14:textId="77777777" w:rsidR="00EF3E27" w:rsidRPr="00505CD6" w:rsidRDefault="00EF3E27" w:rsidP="00EF3E27">
      <w:pPr>
        <w:widowControl w:val="0"/>
        <w:autoSpaceDE w:val="0"/>
        <w:autoSpaceDN w:val="0"/>
        <w:spacing w:after="0" w:line="276" w:lineRule="auto"/>
        <w:jc w:val="both"/>
        <w:rPr>
          <w:rFonts w:ascii="Verdana" w:hAnsi="Verdana" w:cs="Arial"/>
          <w:color w:val="000000" w:themeColor="text1"/>
          <w:shd w:val="clear" w:color="auto" w:fill="FFFFFF"/>
        </w:rPr>
      </w:pPr>
    </w:p>
    <w:p w14:paraId="70683285" w14:textId="77777777" w:rsidR="00EF3E27" w:rsidRPr="00505CD6" w:rsidRDefault="00EF3E27" w:rsidP="00EF3E27">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6866FAC5" w14:textId="77777777" w:rsidR="00EF3E27" w:rsidRPr="00505CD6" w:rsidRDefault="00EF3E27" w:rsidP="00EF3E27">
      <w:pPr>
        <w:widowControl w:val="0"/>
        <w:numPr>
          <w:ilvl w:val="0"/>
          <w:numId w:val="1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51AF4B7B" w14:textId="77777777" w:rsidR="00EF3E27" w:rsidRPr="00505CD6" w:rsidRDefault="00EF3E27" w:rsidP="00EF3E27">
      <w:pPr>
        <w:widowControl w:val="0"/>
        <w:autoSpaceDE w:val="0"/>
        <w:autoSpaceDN w:val="0"/>
        <w:spacing w:after="0" w:line="276" w:lineRule="auto"/>
        <w:jc w:val="both"/>
        <w:rPr>
          <w:rFonts w:ascii="Verdana" w:hAnsi="Verdana" w:cs="Arial"/>
          <w:color w:val="000000" w:themeColor="text1"/>
          <w:shd w:val="clear" w:color="auto" w:fill="FFFFFF"/>
        </w:rPr>
      </w:pPr>
    </w:p>
    <w:p w14:paraId="4CEF8772" w14:textId="77777777" w:rsidR="00EF3E27" w:rsidRDefault="00EF3E27" w:rsidP="00EF3E27">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1C2C117C" w14:textId="77777777" w:rsidR="00EF3E27" w:rsidRDefault="00EF3E27" w:rsidP="00EF3E27">
      <w:pPr>
        <w:widowControl w:val="0"/>
        <w:autoSpaceDE w:val="0"/>
        <w:autoSpaceDN w:val="0"/>
        <w:spacing w:after="0" w:line="276" w:lineRule="auto"/>
        <w:jc w:val="both"/>
      </w:pPr>
    </w:p>
    <w:p w14:paraId="61A77931" w14:textId="77777777" w:rsidR="00EF3E27" w:rsidRPr="00505CD6" w:rsidRDefault="00EF3E27" w:rsidP="00EF3E27">
      <w:pPr>
        <w:widowControl w:val="0"/>
        <w:autoSpaceDE w:val="0"/>
        <w:autoSpaceDN w:val="0"/>
        <w:spacing w:after="0" w:line="276" w:lineRule="auto"/>
        <w:jc w:val="both"/>
        <w:rPr>
          <w:rFonts w:ascii="Verdana" w:hAnsi="Verdana" w:cs="Arial"/>
          <w:color w:val="000000" w:themeColor="text1"/>
          <w:shd w:val="clear" w:color="auto" w:fill="FFFFFF"/>
        </w:rPr>
      </w:pPr>
      <w:r w:rsidRPr="00617F64">
        <w:rPr>
          <w:rFonts w:ascii="Verdana" w:hAnsi="Verdana" w:cs="Arial"/>
          <w:color w:val="000000" w:themeColor="text1"/>
          <w:shd w:val="clear" w:color="auto" w:fill="FFFFFF"/>
        </w:rPr>
        <w:t>De igual manera, 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 Documentos Tipo – ANCP Colombia Compra Eficiente.</w:t>
      </w:r>
    </w:p>
    <w:p w14:paraId="70E14103" w14:textId="77777777" w:rsidR="00EF3E27" w:rsidRPr="00505CD6" w:rsidRDefault="00EF3E27" w:rsidP="00EF3E27">
      <w:pPr>
        <w:widowControl w:val="0"/>
        <w:autoSpaceDE w:val="0"/>
        <w:autoSpaceDN w:val="0"/>
        <w:spacing w:after="0" w:line="276" w:lineRule="auto"/>
        <w:jc w:val="both"/>
        <w:rPr>
          <w:rFonts w:ascii="Verdana" w:eastAsia="Calibri" w:hAnsi="Verdana" w:cs="Arial"/>
          <w:color w:val="000000" w:themeColor="text1"/>
        </w:rPr>
      </w:pPr>
    </w:p>
    <w:p w14:paraId="0C8805BB" w14:textId="77777777" w:rsidR="00EF3E27" w:rsidRPr="00505CD6" w:rsidRDefault="00EF3E27" w:rsidP="00EF3E2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5950914D" w14:textId="77777777" w:rsidR="00EF3E27" w:rsidRPr="00505CD6" w:rsidRDefault="00EF3E27" w:rsidP="00EF3E27">
      <w:pPr>
        <w:widowControl w:val="0"/>
        <w:autoSpaceDE w:val="0"/>
        <w:autoSpaceDN w:val="0"/>
        <w:spacing w:after="0" w:line="276" w:lineRule="auto"/>
        <w:jc w:val="both"/>
        <w:rPr>
          <w:rFonts w:ascii="Verdana" w:hAnsi="Verdana" w:cs="Arial"/>
        </w:rPr>
      </w:pPr>
    </w:p>
    <w:p w14:paraId="02E323EC" w14:textId="77777777" w:rsidR="00EF3E27" w:rsidRPr="00505CD6" w:rsidRDefault="00EF3E27" w:rsidP="00EF3E27">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5EE5CC41" w14:textId="473B8B12" w:rsidR="00EF3E27" w:rsidRPr="00EF055B" w:rsidRDefault="00AC667A" w:rsidP="00EF3E27">
      <w:pPr>
        <w:spacing w:line="276" w:lineRule="auto"/>
        <w:jc w:val="center"/>
        <w:rPr>
          <w:noProof/>
          <w:color w:val="000000"/>
        </w:rPr>
      </w:pPr>
      <w:r>
        <w:rPr>
          <w:noProof/>
          <w:color w:val="000000"/>
        </w:rPr>
        <w:lastRenderedPageBreak/>
        <w:drawing>
          <wp:inline distT="0" distB="0" distL="0" distR="0" wp14:anchorId="52530648" wp14:editId="7EBF7AC2">
            <wp:extent cx="3610963" cy="1552575"/>
            <wp:effectExtent l="0" t="0" r="8890" b="0"/>
            <wp:docPr id="14092713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71363" name="Imagen 1409271363"/>
                    <pic:cNvPicPr/>
                  </pic:nvPicPr>
                  <pic:blipFill>
                    <a:blip r:embed="rId16">
                      <a:extLst>
                        <a:ext uri="{28A0092B-C50C-407E-A947-70E740481C1C}">
                          <a14:useLocalDpi xmlns:a14="http://schemas.microsoft.com/office/drawing/2010/main" val="0"/>
                        </a:ext>
                      </a:extLst>
                    </a:blip>
                    <a:stretch>
                      <a:fillRect/>
                    </a:stretch>
                  </pic:blipFill>
                  <pic:spPr>
                    <a:xfrm>
                      <a:off x="0" y="0"/>
                      <a:ext cx="3614775" cy="155421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F3E27" w:rsidRPr="00593A5F" w14:paraId="6398E724" w14:textId="77777777" w:rsidTr="00283568">
        <w:trPr>
          <w:trHeight w:val="315"/>
        </w:trPr>
        <w:tc>
          <w:tcPr>
            <w:tcW w:w="893" w:type="dxa"/>
            <w:vAlign w:val="center"/>
            <w:hideMark/>
          </w:tcPr>
          <w:p w14:paraId="30D9CA4F" w14:textId="77777777" w:rsidR="00EF3E27" w:rsidRPr="003751C7" w:rsidRDefault="00EF3E27" w:rsidP="0028356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E330A5F" w14:textId="77777777" w:rsidR="00EF3E27" w:rsidRDefault="00EF3E27" w:rsidP="00283568">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Karol Andrea González Marín.</w:t>
            </w:r>
          </w:p>
          <w:p w14:paraId="7721B7E6" w14:textId="77777777" w:rsidR="00EF3E27" w:rsidRPr="000015E6" w:rsidRDefault="00EF3E27" w:rsidP="00283568">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EF3E27" w:rsidRPr="00593A5F" w14:paraId="5FC1E6A0" w14:textId="77777777" w:rsidTr="00283568">
        <w:trPr>
          <w:trHeight w:val="330"/>
        </w:trPr>
        <w:tc>
          <w:tcPr>
            <w:tcW w:w="893" w:type="dxa"/>
            <w:vAlign w:val="center"/>
            <w:hideMark/>
          </w:tcPr>
          <w:p w14:paraId="7BE84231" w14:textId="77777777" w:rsidR="00EF3E27" w:rsidRPr="003751C7" w:rsidRDefault="00EF3E27" w:rsidP="0028356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8404425" w14:textId="77777777" w:rsidR="00EF3E27" w:rsidRDefault="00EF3E27" w:rsidP="00283568">
            <w:pPr>
              <w:pStyle w:val="paragraph"/>
              <w:spacing w:before="0" w:beforeAutospacing="0" w:after="0" w:afterAutospacing="0"/>
              <w:contextualSpacing/>
              <w:textAlignment w:val="baseline"/>
              <w:rPr>
                <w:rStyle w:val="normaltextrun"/>
                <w:rFonts w:ascii="Verdana" w:hAnsi="Verdana" w:cstheme="minorHAnsi"/>
                <w:sz w:val="16"/>
                <w:szCs w:val="16"/>
              </w:rPr>
            </w:pPr>
            <w:r w:rsidRPr="00FA6E78">
              <w:rPr>
                <w:rStyle w:val="normaltextrun"/>
                <w:rFonts w:ascii="Verdana" w:hAnsi="Verdana" w:cstheme="minorHAnsi"/>
                <w:sz w:val="16"/>
                <w:szCs w:val="16"/>
              </w:rPr>
              <w:t>Juan Carlos González</w:t>
            </w:r>
            <w:r>
              <w:rPr>
                <w:rStyle w:val="normaltextrun"/>
                <w:rFonts w:ascii="Verdana" w:hAnsi="Verdana" w:cstheme="minorHAnsi"/>
                <w:sz w:val="16"/>
                <w:szCs w:val="16"/>
              </w:rPr>
              <w:t>.</w:t>
            </w:r>
          </w:p>
          <w:p w14:paraId="7482FA1B" w14:textId="77777777" w:rsidR="00EF3E27" w:rsidRPr="00EF40D2" w:rsidRDefault="00EF3E27" w:rsidP="00283568">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EF3E27" w:rsidRPr="00593A5F" w14:paraId="58A723FC" w14:textId="77777777" w:rsidTr="00283568">
        <w:trPr>
          <w:trHeight w:val="300"/>
        </w:trPr>
        <w:tc>
          <w:tcPr>
            <w:tcW w:w="893" w:type="dxa"/>
            <w:vAlign w:val="center"/>
          </w:tcPr>
          <w:p w14:paraId="2CB97C0A" w14:textId="77777777" w:rsidR="00EF3E27" w:rsidRPr="003751C7" w:rsidRDefault="00EF3E27" w:rsidP="0028356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D86565" w14:textId="77777777" w:rsidR="00EF3E27" w:rsidRPr="000015E6" w:rsidRDefault="00EF3E27" w:rsidP="00283568">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22B6C4C3" w14:textId="77777777" w:rsidR="00EF3E27" w:rsidRPr="000015E6" w:rsidRDefault="00EF3E27" w:rsidP="00283568">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tbl>
    <w:p w14:paraId="1F1C6EC3" w14:textId="77777777" w:rsidR="00EF3E27" w:rsidRPr="0044528D" w:rsidRDefault="00EF3E27" w:rsidP="00EF3E27">
      <w:pPr>
        <w:spacing w:after="0"/>
        <w:rPr>
          <w:rFonts w:ascii="Verdana" w:hAnsi="Verdana"/>
        </w:rPr>
      </w:pPr>
    </w:p>
    <w:p w14:paraId="20D1FE1E" w14:textId="77777777" w:rsidR="00EF3E27" w:rsidRPr="0044528D" w:rsidRDefault="00EF3E27" w:rsidP="00EF3E27">
      <w:pPr>
        <w:spacing w:after="0" w:line="240" w:lineRule="auto"/>
        <w:textAlignment w:val="baseline"/>
        <w:rPr>
          <w:rFonts w:ascii="Verdana" w:eastAsia="Times New Roman" w:hAnsi="Verdana" w:cs="Segoe UI"/>
          <w:b/>
          <w:bCs/>
          <w:color w:val="46589C"/>
          <w:lang w:val="es-ES" w:eastAsia="es-CO"/>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3C18B" w14:textId="77777777" w:rsidR="008C64E1" w:rsidRDefault="008C64E1" w:rsidP="004A1847">
      <w:pPr>
        <w:spacing w:after="0" w:line="240" w:lineRule="auto"/>
      </w:pPr>
      <w:r>
        <w:separator/>
      </w:r>
    </w:p>
  </w:endnote>
  <w:endnote w:type="continuationSeparator" w:id="0">
    <w:p w14:paraId="177A0F81" w14:textId="77777777" w:rsidR="008C64E1" w:rsidRDefault="008C64E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CF391" w14:textId="77777777" w:rsidR="008C64E1" w:rsidRDefault="008C64E1" w:rsidP="004A1847">
      <w:pPr>
        <w:spacing w:after="0" w:line="240" w:lineRule="auto"/>
      </w:pPr>
      <w:r>
        <w:separator/>
      </w:r>
    </w:p>
  </w:footnote>
  <w:footnote w:type="continuationSeparator" w:id="0">
    <w:p w14:paraId="662980BC" w14:textId="77777777" w:rsidR="008C64E1" w:rsidRDefault="008C64E1" w:rsidP="004A1847">
      <w:pPr>
        <w:spacing w:after="0" w:line="240" w:lineRule="auto"/>
      </w:pPr>
      <w:r>
        <w:continuationSeparator/>
      </w:r>
    </w:p>
  </w:footnote>
  <w:footnote w:id="1">
    <w:p w14:paraId="0F712A69" w14:textId="77777777" w:rsidR="00EF3E27" w:rsidRPr="004540B2" w:rsidRDefault="00EF3E27" w:rsidP="00EF3E27">
      <w:pPr>
        <w:pStyle w:val="Textonotapie"/>
        <w:rPr>
          <w:rFonts w:ascii="Verdana" w:hAnsi="Verdana"/>
          <w:sz w:val="16"/>
          <w:szCs w:val="16"/>
          <w:lang w:val="es-ES"/>
        </w:rPr>
      </w:pPr>
      <w:r w:rsidRPr="004540B2">
        <w:rPr>
          <w:rStyle w:val="Refdenotaalpie"/>
          <w:rFonts w:ascii="Verdana" w:hAnsi="Verdana"/>
          <w:sz w:val="16"/>
          <w:szCs w:val="16"/>
        </w:rPr>
        <w:footnoteRef/>
      </w:r>
      <w:r w:rsidRPr="004540B2">
        <w:rPr>
          <w:rFonts w:ascii="Verdana" w:hAnsi="Verdana"/>
          <w:sz w:val="16"/>
          <w:szCs w:val="16"/>
        </w:rPr>
        <w:t xml:space="preserve"> </w:t>
      </w:r>
      <w:hyperlink r:id="rId1" w:history="1">
        <w:r w:rsidRPr="004540B2">
          <w:rPr>
            <w:rStyle w:val="Hipervnculo"/>
            <w:rFonts w:ascii="Verdana" w:hAnsi="Verdana"/>
            <w:sz w:val="16"/>
            <w:szCs w:val="16"/>
          </w:rPr>
          <w:t>https://www.colombiacompra.gov.co/wp-content/uploads/2024/08/cce-eicp-ma-04._manual_requisitos_</w:t>
        </w:r>
      </w:hyperlink>
      <w:r w:rsidRPr="004540B2">
        <w:rPr>
          <w:rFonts w:ascii="Verdana" w:hAnsi="Verdana"/>
          <w:sz w:val="16"/>
          <w:szCs w:val="16"/>
        </w:rPr>
        <w:t xml:space="preserve"> habilitantes_v3_29-09-2023.pdf</w:t>
      </w:r>
    </w:p>
  </w:footnote>
  <w:footnote w:id="2">
    <w:p w14:paraId="0374C7BA" w14:textId="77777777" w:rsidR="00EF3E27" w:rsidRPr="00541BEC" w:rsidRDefault="00EF3E27" w:rsidP="00EF3E27">
      <w:pPr>
        <w:pStyle w:val="Textonotapie"/>
        <w:rPr>
          <w:rFonts w:ascii="Verdana" w:hAnsi="Verdana"/>
          <w:sz w:val="16"/>
          <w:szCs w:val="16"/>
          <w:lang w:val="es-ES"/>
        </w:rPr>
      </w:pPr>
      <w:r w:rsidRPr="00541BEC">
        <w:rPr>
          <w:rStyle w:val="Refdenotaalpie"/>
          <w:rFonts w:ascii="Verdana" w:hAnsi="Verdana"/>
          <w:sz w:val="16"/>
          <w:szCs w:val="16"/>
        </w:rPr>
        <w:footnoteRef/>
      </w:r>
      <w:r w:rsidRPr="00541BEC">
        <w:rPr>
          <w:rFonts w:ascii="Verdana" w:hAnsi="Verdana"/>
          <w:sz w:val="16"/>
          <w:szCs w:val="16"/>
        </w:rPr>
        <w:t xml:space="preserve"> Ley 1150 de 2007, artículo 5, parágrafo, adicionado por la Ley 1882 de 2018.</w:t>
      </w:r>
    </w:p>
  </w:footnote>
  <w:footnote w:id="3">
    <w:p w14:paraId="321EEC49" w14:textId="77777777" w:rsidR="00EF3E27" w:rsidRPr="004540B2" w:rsidRDefault="00EF3E27" w:rsidP="00EF3E27">
      <w:pPr>
        <w:pStyle w:val="Textonotapie"/>
        <w:jc w:val="both"/>
        <w:rPr>
          <w:rFonts w:ascii="Verdana" w:hAnsi="Verdana"/>
          <w:sz w:val="16"/>
          <w:szCs w:val="16"/>
          <w:lang w:val="es-ES"/>
        </w:rPr>
      </w:pPr>
      <w:r w:rsidRPr="004540B2">
        <w:rPr>
          <w:rStyle w:val="Refdenotaalpie"/>
          <w:rFonts w:ascii="Verdana" w:hAnsi="Verdana"/>
          <w:sz w:val="16"/>
          <w:szCs w:val="16"/>
        </w:rPr>
        <w:footnoteRef/>
      </w:r>
      <w:r w:rsidRPr="004540B2">
        <w:rPr>
          <w:rFonts w:ascii="Verdana" w:hAnsi="Verdana"/>
          <w:sz w:val="16"/>
          <w:szCs w:val="16"/>
        </w:rPr>
        <w:t xml:space="preserve"> Para facilitar el uso del Clasificador de Bienes y Servicios UNSPSC Colombia Compra Eficiente ha desarrollado diferentes herramientas, las cuales están disponibles en el siguiente enlace: https://www.colombiacompra.gov.co/clasificador-de-bienes-y-servicios</w:t>
      </w:r>
    </w:p>
  </w:footnote>
  <w:footnote w:id="4">
    <w:p w14:paraId="675B6B75" w14:textId="77777777" w:rsidR="00EF3E27" w:rsidRPr="004540B2" w:rsidRDefault="00EF3E27" w:rsidP="00EF3E27">
      <w:pPr>
        <w:pStyle w:val="Textonotapie"/>
        <w:rPr>
          <w:rFonts w:ascii="Verdana" w:hAnsi="Verdana"/>
          <w:sz w:val="16"/>
          <w:szCs w:val="16"/>
          <w:lang w:val="es-ES"/>
        </w:rPr>
      </w:pPr>
      <w:r w:rsidRPr="004540B2">
        <w:rPr>
          <w:rStyle w:val="Refdenotaalpie"/>
          <w:rFonts w:ascii="Verdana" w:hAnsi="Verdana"/>
          <w:sz w:val="16"/>
          <w:szCs w:val="16"/>
        </w:rPr>
        <w:footnoteRef/>
      </w:r>
      <w:r w:rsidRPr="004540B2">
        <w:rPr>
          <w:rFonts w:ascii="Verdana" w:hAnsi="Verdana"/>
          <w:sz w:val="16"/>
          <w:szCs w:val="16"/>
        </w:rPr>
        <w:t xml:space="preserve"> </w:t>
      </w:r>
      <w:hyperlink r:id="rId2" w:history="1">
        <w:r w:rsidRPr="004540B2">
          <w:rPr>
            <w:rStyle w:val="Hipervnculo"/>
            <w:rFonts w:ascii="Verdana" w:hAnsi="Verdana"/>
            <w:sz w:val="16"/>
            <w:szCs w:val="16"/>
          </w:rPr>
          <w:t>https://www.colombiacompra.gov.co/wp-content/uploads/2024/08/cce-eicp-ma-04._manual_requisitos_</w:t>
        </w:r>
      </w:hyperlink>
      <w:r w:rsidRPr="004540B2">
        <w:rPr>
          <w:rFonts w:ascii="Verdana" w:hAnsi="Verdana"/>
          <w:sz w:val="16"/>
          <w:szCs w:val="16"/>
        </w:rPr>
        <w:t xml:space="preserve"> habilitantes_v3_29-09-2023.pdf</w:t>
      </w:r>
    </w:p>
  </w:footnote>
  <w:footnote w:id="5">
    <w:p w14:paraId="39365786" w14:textId="77777777" w:rsidR="00EF3E27" w:rsidRPr="00541BEC" w:rsidRDefault="00EF3E27" w:rsidP="00EF3E27">
      <w:pPr>
        <w:pStyle w:val="Textonotapie"/>
        <w:rPr>
          <w:rFonts w:ascii="Verdana" w:hAnsi="Verdana"/>
          <w:sz w:val="16"/>
          <w:szCs w:val="16"/>
          <w:lang w:val="es-ES"/>
        </w:rPr>
      </w:pPr>
      <w:r w:rsidRPr="00541BEC">
        <w:rPr>
          <w:rStyle w:val="Refdenotaalpie"/>
          <w:rFonts w:ascii="Verdana" w:hAnsi="Verdana"/>
          <w:sz w:val="16"/>
          <w:szCs w:val="16"/>
        </w:rPr>
        <w:footnoteRef/>
      </w:r>
      <w:r w:rsidRPr="00541BEC">
        <w:rPr>
          <w:rFonts w:ascii="Verdana" w:hAnsi="Verdana"/>
          <w:sz w:val="16"/>
          <w:szCs w:val="16"/>
        </w:rPr>
        <w:t xml:space="preserve"> Ley 1150 de 2007, artículo 5, parágrafo, adicionado por la Ley 1882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DEADD3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22876549" o:spid="_x0000_i1025" type="#_x0000_t75" style="width:11.25pt;height:11.25pt;visibility:visible;mso-wrap-style:square">
            <v:imagedata r:id="rId1" o:title=""/>
          </v:shape>
        </w:pict>
      </mc:Choice>
      <mc:Fallback>
        <w:drawing>
          <wp:inline distT="0" distB="0" distL="0" distR="0" wp14:anchorId="506A0C84">
            <wp:extent cx="142875" cy="142875"/>
            <wp:effectExtent l="0" t="0" r="0" b="0"/>
            <wp:docPr id="1922876549" name="Imagen 192287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679089576">
    <w:abstractNumId w:val="9"/>
  </w:num>
  <w:num w:numId="18" w16cid:durableId="1982299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83D"/>
    <w:rsid w:val="00082362"/>
    <w:rsid w:val="000A683E"/>
    <w:rsid w:val="000B19B9"/>
    <w:rsid w:val="000D0334"/>
    <w:rsid w:val="000F6486"/>
    <w:rsid w:val="00125105"/>
    <w:rsid w:val="00127233"/>
    <w:rsid w:val="00134A7E"/>
    <w:rsid w:val="001511A0"/>
    <w:rsid w:val="001C2655"/>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3867"/>
    <w:rsid w:val="00406575"/>
    <w:rsid w:val="00414C74"/>
    <w:rsid w:val="0042722E"/>
    <w:rsid w:val="0044528D"/>
    <w:rsid w:val="00454AF4"/>
    <w:rsid w:val="004A1847"/>
    <w:rsid w:val="004A305D"/>
    <w:rsid w:val="004F21C4"/>
    <w:rsid w:val="004F685F"/>
    <w:rsid w:val="005566E8"/>
    <w:rsid w:val="00574867"/>
    <w:rsid w:val="00591460"/>
    <w:rsid w:val="005A3FF4"/>
    <w:rsid w:val="005B3816"/>
    <w:rsid w:val="005C3777"/>
    <w:rsid w:val="005C5CDC"/>
    <w:rsid w:val="005D476C"/>
    <w:rsid w:val="006219F8"/>
    <w:rsid w:val="00665D70"/>
    <w:rsid w:val="006900D9"/>
    <w:rsid w:val="006E57FB"/>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C64E1"/>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5AFA"/>
    <w:rsid w:val="00A66AA9"/>
    <w:rsid w:val="00AB0ADB"/>
    <w:rsid w:val="00AC1BD6"/>
    <w:rsid w:val="00AC667A"/>
    <w:rsid w:val="00AD6FCE"/>
    <w:rsid w:val="00AE79CF"/>
    <w:rsid w:val="00B01B1A"/>
    <w:rsid w:val="00B30694"/>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3E27"/>
    <w:rsid w:val="00F31EDC"/>
    <w:rsid w:val="00F462B3"/>
    <w:rsid w:val="00F5664F"/>
    <w:rsid w:val="00F666C4"/>
    <w:rsid w:val="00F76AFC"/>
    <w:rsid w:val="00F929DF"/>
    <w:rsid w:val="00F961BC"/>
    <w:rsid w:val="00FA47C0"/>
    <w:rsid w:val="00FB5DD1"/>
    <w:rsid w:val="00FC2B5D"/>
    <w:rsid w:val="00FF1449"/>
    <w:rsid w:val="165E9519"/>
    <w:rsid w:val="16F041FF"/>
    <w:rsid w:val="1896EF3B"/>
    <w:rsid w:val="2BBD74B7"/>
    <w:rsid w:val="382536D9"/>
    <w:rsid w:val="4B99FB6F"/>
    <w:rsid w:val="56D413DC"/>
    <w:rsid w:val="6636EEB3"/>
    <w:rsid w:val="6E70F3F8"/>
    <w:rsid w:val="6EFDAB80"/>
    <w:rsid w:val="7B6AA7A6"/>
    <w:rsid w:val="7C183931"/>
    <w:rsid w:val="7F4DCA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F3E2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F3E27"/>
    <w:rPr>
      <w:rFonts w:ascii="Geomanist Light" w:hAnsi="Geomanist Light"/>
      <w:lang w:val="es-E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derangelp.contrataciones@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ce-eicp-ma-04._manual_requisitos_" TargetMode="External"/><Relationship Id="rId1" Type="http://schemas.openxmlformats.org/officeDocument/2006/relationships/hyperlink" Target="https://www.colombiacompra.gov.co/wp-content/uploads/2024/08/cce-eicp-ma-04._manual_requisitos_"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760A4-8768-4DFB-87D0-3A760500A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4145</Words>
  <Characters>22802</Characters>
  <Application>Microsoft Office Word</Application>
  <DocSecurity>0</DocSecurity>
  <Lines>190</Lines>
  <Paragraphs>53</Paragraphs>
  <ScaleCrop>false</ScaleCrop>
  <Company/>
  <LinksUpToDate>false</LinksUpToDate>
  <CharactersWithSpaces>26894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2025-06-24T19:14:00Z</dcterms:created>
  <dcterms:modified xsi:type="dcterms:W3CDTF">2025-06-24T19:14:00Z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