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AF349" w14:textId="77777777" w:rsidR="005C572E" w:rsidRPr="00715939" w:rsidRDefault="005C572E" w:rsidP="00715939">
      <w:pPr>
        <w:spacing w:line="276" w:lineRule="auto"/>
        <w:ind w:left="-142" w:right="191"/>
        <w:jc w:val="both"/>
        <w:rPr>
          <w:rFonts w:ascii="Verdana" w:eastAsia="Verdana" w:hAnsi="Verdana" w:cs="Verdana"/>
          <w:b/>
          <w:bCs/>
          <w:lang w:val="es-ES"/>
        </w:rPr>
      </w:pPr>
      <w:bookmarkStart w:id="0" w:name="_Hlk143780582"/>
      <w:r w:rsidRPr="00715939">
        <w:rPr>
          <w:rFonts w:ascii="Verdana" w:eastAsia="Verdana" w:hAnsi="Verdana" w:cs="Verdana"/>
          <w:b/>
          <w:bCs/>
          <w:lang w:val="es-ES"/>
        </w:rPr>
        <w:t xml:space="preserve">CESIÓN DEL CONTRATO ESTATAL – Régimen jurídico aplicable – EGCAP – Código de comercio – Requisitos </w:t>
      </w:r>
    </w:p>
    <w:p w14:paraId="2073FB55" w14:textId="77777777" w:rsidR="005C572E" w:rsidRPr="00715939" w:rsidRDefault="005C572E" w:rsidP="00715939">
      <w:pPr>
        <w:pStyle w:val="Textoindependiente"/>
        <w:spacing w:line="276" w:lineRule="auto"/>
        <w:ind w:left="-142" w:right="191"/>
      </w:pPr>
    </w:p>
    <w:p w14:paraId="1C7DAE1E" w14:textId="77777777" w:rsidR="005C572E" w:rsidRPr="00715939" w:rsidRDefault="005C572E" w:rsidP="00715939">
      <w:pPr>
        <w:pStyle w:val="Textoindependiente"/>
        <w:spacing w:before="1" w:line="276" w:lineRule="auto"/>
        <w:ind w:left="-142" w:right="191"/>
        <w:jc w:val="both"/>
      </w:pPr>
      <w:r w:rsidRPr="00715939">
        <w:t>Tratándose</w:t>
      </w:r>
      <w:r w:rsidRPr="00715939">
        <w:rPr>
          <w:spacing w:val="-8"/>
        </w:rPr>
        <w:t xml:space="preserve"> </w:t>
      </w:r>
      <w:r w:rsidRPr="00715939">
        <w:t>de</w:t>
      </w:r>
      <w:r w:rsidRPr="00715939">
        <w:rPr>
          <w:spacing w:val="-11"/>
        </w:rPr>
        <w:t xml:space="preserve"> </w:t>
      </w:r>
      <w:r w:rsidRPr="00715939">
        <w:t>la</w:t>
      </w:r>
      <w:r w:rsidRPr="00715939">
        <w:rPr>
          <w:spacing w:val="-11"/>
        </w:rPr>
        <w:t xml:space="preserve"> </w:t>
      </w:r>
      <w:r w:rsidRPr="00715939">
        <w:t>cesión</w:t>
      </w:r>
      <w:r w:rsidRPr="00715939">
        <w:rPr>
          <w:spacing w:val="-9"/>
        </w:rPr>
        <w:t xml:space="preserve"> </w:t>
      </w:r>
      <w:r w:rsidRPr="00715939">
        <w:t>de</w:t>
      </w:r>
      <w:r w:rsidRPr="00715939">
        <w:rPr>
          <w:spacing w:val="-11"/>
        </w:rPr>
        <w:t xml:space="preserve"> </w:t>
      </w:r>
      <w:r w:rsidRPr="00715939">
        <w:t>contratos</w:t>
      </w:r>
      <w:r w:rsidRPr="00715939">
        <w:rPr>
          <w:spacing w:val="-9"/>
        </w:rPr>
        <w:t xml:space="preserve"> </w:t>
      </w:r>
      <w:r w:rsidRPr="00715939">
        <w:t>estatales,</w:t>
      </w:r>
      <w:r w:rsidRPr="00715939">
        <w:rPr>
          <w:spacing w:val="-8"/>
        </w:rPr>
        <w:t xml:space="preserve"> </w:t>
      </w:r>
      <w:r w:rsidRPr="00715939">
        <w:t>conforme</w:t>
      </w:r>
      <w:r w:rsidRPr="00715939">
        <w:rPr>
          <w:spacing w:val="-9"/>
        </w:rPr>
        <w:t xml:space="preserve"> </w:t>
      </w:r>
      <w:r w:rsidRPr="00715939">
        <w:t>a</w:t>
      </w:r>
      <w:r w:rsidRPr="00715939">
        <w:rPr>
          <w:spacing w:val="-11"/>
        </w:rPr>
        <w:t xml:space="preserve"> </w:t>
      </w:r>
      <w:r w:rsidRPr="00715939">
        <w:t>la</w:t>
      </w:r>
      <w:r w:rsidRPr="00715939">
        <w:rPr>
          <w:spacing w:val="-11"/>
        </w:rPr>
        <w:t xml:space="preserve"> </w:t>
      </w:r>
      <w:r w:rsidRPr="00715939">
        <w:t>regulación del EGCAP, confluyen una mixtura entre el derecho público y privado en su regulación. En efecto, i) los contratos estatales se regirán por las normas comerciales y civiles pertinentes, salvo en lo concerniente a las materias particularmente</w:t>
      </w:r>
      <w:r w:rsidRPr="00715939">
        <w:rPr>
          <w:spacing w:val="-9"/>
        </w:rPr>
        <w:t xml:space="preserve"> </w:t>
      </w:r>
      <w:r w:rsidRPr="00715939">
        <w:t>reguladas</w:t>
      </w:r>
      <w:r w:rsidRPr="00715939">
        <w:rPr>
          <w:spacing w:val="-11"/>
        </w:rPr>
        <w:t xml:space="preserve"> </w:t>
      </w:r>
      <w:r w:rsidRPr="00715939">
        <w:t>en</w:t>
      </w:r>
      <w:r w:rsidRPr="00715939">
        <w:rPr>
          <w:spacing w:val="-14"/>
        </w:rPr>
        <w:t xml:space="preserve"> </w:t>
      </w:r>
      <w:r w:rsidRPr="00715939">
        <w:t>dicha</w:t>
      </w:r>
      <w:r w:rsidRPr="00715939">
        <w:rPr>
          <w:spacing w:val="-12"/>
        </w:rPr>
        <w:t xml:space="preserve"> </w:t>
      </w:r>
      <w:r w:rsidRPr="00715939">
        <w:t>ley,</w:t>
      </w:r>
      <w:r w:rsidRPr="00715939">
        <w:rPr>
          <w:spacing w:val="-13"/>
        </w:rPr>
        <w:t xml:space="preserve"> </w:t>
      </w:r>
      <w:r w:rsidRPr="00715939">
        <w:t>de</w:t>
      </w:r>
      <w:r w:rsidRPr="00715939">
        <w:rPr>
          <w:spacing w:val="-14"/>
        </w:rPr>
        <w:t xml:space="preserve"> </w:t>
      </w:r>
      <w:r w:rsidRPr="00715939">
        <w:t>acuerdo</w:t>
      </w:r>
      <w:r w:rsidRPr="00715939">
        <w:rPr>
          <w:spacing w:val="-11"/>
        </w:rPr>
        <w:t xml:space="preserve"> </w:t>
      </w:r>
      <w:r w:rsidRPr="00715939">
        <w:t>con</w:t>
      </w:r>
      <w:r w:rsidRPr="00715939">
        <w:rPr>
          <w:spacing w:val="-14"/>
        </w:rPr>
        <w:t xml:space="preserve"> </w:t>
      </w:r>
      <w:r w:rsidRPr="00715939">
        <w:t>lo</w:t>
      </w:r>
      <w:r w:rsidRPr="00715939">
        <w:rPr>
          <w:spacing w:val="-15"/>
        </w:rPr>
        <w:t xml:space="preserve"> </w:t>
      </w:r>
      <w:r w:rsidRPr="00715939">
        <w:t>prescrito</w:t>
      </w:r>
      <w:r w:rsidRPr="00715939">
        <w:rPr>
          <w:spacing w:val="-10"/>
        </w:rPr>
        <w:t xml:space="preserve"> </w:t>
      </w:r>
      <w:r w:rsidRPr="00715939">
        <w:t>en</w:t>
      </w:r>
      <w:r w:rsidRPr="00715939">
        <w:rPr>
          <w:spacing w:val="-14"/>
        </w:rPr>
        <w:t xml:space="preserve"> </w:t>
      </w:r>
      <w:r w:rsidRPr="00715939">
        <w:t>el</w:t>
      </w:r>
      <w:r w:rsidRPr="00715939">
        <w:rPr>
          <w:spacing w:val="-14"/>
        </w:rPr>
        <w:t xml:space="preserve"> </w:t>
      </w:r>
      <w:r w:rsidRPr="00715939">
        <w:t>inciso primero del artículo 13 de la Ley 80 de 1993, por lo que deben observarse en primer término las</w:t>
      </w:r>
      <w:r w:rsidRPr="00715939">
        <w:rPr>
          <w:spacing w:val="-1"/>
        </w:rPr>
        <w:t xml:space="preserve"> </w:t>
      </w:r>
      <w:r w:rsidRPr="00715939">
        <w:t>disposiciones establecidas en</w:t>
      </w:r>
      <w:r w:rsidRPr="00715939">
        <w:rPr>
          <w:spacing w:val="-1"/>
        </w:rPr>
        <w:t xml:space="preserve"> </w:t>
      </w:r>
      <w:r w:rsidRPr="00715939">
        <w:t>el</w:t>
      </w:r>
      <w:r w:rsidRPr="00715939">
        <w:rPr>
          <w:spacing w:val="-1"/>
        </w:rPr>
        <w:t xml:space="preserve"> </w:t>
      </w:r>
      <w:r w:rsidRPr="00715939">
        <w:t>EGCAP;</w:t>
      </w:r>
      <w:r w:rsidRPr="00715939">
        <w:rPr>
          <w:spacing w:val="-2"/>
        </w:rPr>
        <w:t xml:space="preserve"> </w:t>
      </w:r>
      <w:proofErr w:type="spellStart"/>
      <w:r w:rsidRPr="00715939">
        <w:t>ii</w:t>
      </w:r>
      <w:proofErr w:type="spellEnd"/>
      <w:r w:rsidRPr="00715939">
        <w:t>)</w:t>
      </w:r>
      <w:r w:rsidRPr="00715939">
        <w:rPr>
          <w:spacing w:val="-2"/>
        </w:rPr>
        <w:t xml:space="preserve"> </w:t>
      </w:r>
      <w:r w:rsidRPr="00715939">
        <w:t>corresponderán como</w:t>
      </w:r>
      <w:r w:rsidRPr="00715939">
        <w:rPr>
          <w:spacing w:val="-12"/>
        </w:rPr>
        <w:t xml:space="preserve"> </w:t>
      </w:r>
      <w:r w:rsidRPr="00715939">
        <w:t>actos</w:t>
      </w:r>
      <w:r w:rsidRPr="00715939">
        <w:rPr>
          <w:spacing w:val="-12"/>
        </w:rPr>
        <w:t xml:space="preserve"> </w:t>
      </w:r>
      <w:r w:rsidRPr="00715939">
        <w:t>jurídicos</w:t>
      </w:r>
      <w:r w:rsidRPr="00715939">
        <w:rPr>
          <w:spacing w:val="-11"/>
        </w:rPr>
        <w:t xml:space="preserve"> </w:t>
      </w:r>
      <w:r w:rsidRPr="00715939">
        <w:t>bilaterales</w:t>
      </w:r>
      <w:r w:rsidRPr="00715939">
        <w:rPr>
          <w:spacing w:val="-11"/>
        </w:rPr>
        <w:t xml:space="preserve"> </w:t>
      </w:r>
      <w:r w:rsidRPr="00715939">
        <w:t>generadores</w:t>
      </w:r>
      <w:r w:rsidRPr="00715939">
        <w:rPr>
          <w:spacing w:val="-11"/>
        </w:rPr>
        <w:t xml:space="preserve"> </w:t>
      </w:r>
      <w:r w:rsidRPr="00715939">
        <w:t>de</w:t>
      </w:r>
      <w:r w:rsidRPr="00715939">
        <w:rPr>
          <w:spacing w:val="-12"/>
        </w:rPr>
        <w:t xml:space="preserve"> </w:t>
      </w:r>
      <w:r w:rsidRPr="00715939">
        <w:t>obligaciones,</w:t>
      </w:r>
      <w:r w:rsidRPr="00715939">
        <w:rPr>
          <w:spacing w:val="-10"/>
        </w:rPr>
        <w:t xml:space="preserve"> </w:t>
      </w:r>
      <w:r w:rsidRPr="00715939">
        <w:t>entre</w:t>
      </w:r>
      <w:r w:rsidRPr="00715939">
        <w:rPr>
          <w:spacing w:val="-12"/>
        </w:rPr>
        <w:t xml:space="preserve"> </w:t>
      </w:r>
      <w:r w:rsidRPr="00715939">
        <w:t>otros,</w:t>
      </w:r>
      <w:r w:rsidRPr="00715939">
        <w:rPr>
          <w:spacing w:val="-12"/>
        </w:rPr>
        <w:t xml:space="preserve"> </w:t>
      </w:r>
      <w:r w:rsidRPr="00715939">
        <w:t>a</w:t>
      </w:r>
      <w:r w:rsidRPr="00715939">
        <w:rPr>
          <w:spacing w:val="-13"/>
        </w:rPr>
        <w:t xml:space="preserve"> </w:t>
      </w:r>
      <w:r w:rsidRPr="00715939">
        <w:t xml:space="preserve">los previstos en el derecho privado, en los términos del artículo 32 </w:t>
      </w:r>
      <w:r w:rsidRPr="00715939">
        <w:rPr>
          <w:i/>
        </w:rPr>
        <w:t>ibidem</w:t>
      </w:r>
      <w:r w:rsidRPr="00715939">
        <w:t xml:space="preserve">; y </w:t>
      </w:r>
      <w:proofErr w:type="spellStart"/>
      <w:r w:rsidRPr="00715939">
        <w:t>iii</w:t>
      </w:r>
      <w:proofErr w:type="spellEnd"/>
      <w:r w:rsidRPr="00715939">
        <w:t>) contendrán las estipulaciones que, de acuerdo con las normas civiles, comerciales</w:t>
      </w:r>
      <w:r w:rsidRPr="00715939">
        <w:rPr>
          <w:spacing w:val="-20"/>
        </w:rPr>
        <w:t xml:space="preserve"> </w:t>
      </w:r>
      <w:r w:rsidRPr="00715939">
        <w:t>y</w:t>
      </w:r>
      <w:r w:rsidRPr="00715939">
        <w:rPr>
          <w:spacing w:val="-19"/>
        </w:rPr>
        <w:t xml:space="preserve"> </w:t>
      </w:r>
      <w:r w:rsidRPr="00715939">
        <w:t>las</w:t>
      </w:r>
      <w:r w:rsidRPr="00715939">
        <w:rPr>
          <w:spacing w:val="-19"/>
        </w:rPr>
        <w:t xml:space="preserve"> </w:t>
      </w:r>
      <w:r w:rsidRPr="00715939">
        <w:t>previstas</w:t>
      </w:r>
      <w:r w:rsidRPr="00715939">
        <w:rPr>
          <w:spacing w:val="-20"/>
        </w:rPr>
        <w:t xml:space="preserve"> </w:t>
      </w:r>
      <w:r w:rsidRPr="00715939">
        <w:t>en</w:t>
      </w:r>
      <w:r w:rsidRPr="00715939">
        <w:rPr>
          <w:spacing w:val="-19"/>
        </w:rPr>
        <w:t xml:space="preserve"> </w:t>
      </w:r>
      <w:r w:rsidRPr="00715939">
        <w:t>esta</w:t>
      </w:r>
      <w:r w:rsidRPr="00715939">
        <w:rPr>
          <w:spacing w:val="-20"/>
        </w:rPr>
        <w:t xml:space="preserve"> </w:t>
      </w:r>
      <w:r w:rsidRPr="00715939">
        <w:t>ley,</w:t>
      </w:r>
      <w:r w:rsidRPr="00715939">
        <w:rPr>
          <w:spacing w:val="-19"/>
        </w:rPr>
        <w:t xml:space="preserve"> </w:t>
      </w:r>
      <w:r w:rsidRPr="00715939">
        <w:t>correspondan</w:t>
      </w:r>
      <w:r w:rsidRPr="00715939">
        <w:rPr>
          <w:spacing w:val="-19"/>
        </w:rPr>
        <w:t xml:space="preserve"> </w:t>
      </w:r>
      <w:r w:rsidRPr="00715939">
        <w:t>a</w:t>
      </w:r>
      <w:r w:rsidRPr="00715939">
        <w:rPr>
          <w:spacing w:val="-20"/>
        </w:rPr>
        <w:t xml:space="preserve"> </w:t>
      </w:r>
      <w:r w:rsidRPr="00715939">
        <w:t>su</w:t>
      </w:r>
      <w:r w:rsidRPr="00715939">
        <w:rPr>
          <w:spacing w:val="-19"/>
        </w:rPr>
        <w:t xml:space="preserve"> </w:t>
      </w:r>
      <w:r w:rsidRPr="00715939">
        <w:t>esencia</w:t>
      </w:r>
      <w:r w:rsidRPr="00715939">
        <w:rPr>
          <w:spacing w:val="-19"/>
        </w:rPr>
        <w:t xml:space="preserve"> </w:t>
      </w:r>
      <w:r w:rsidRPr="00715939">
        <w:t>y</w:t>
      </w:r>
      <w:r w:rsidRPr="00715939">
        <w:rPr>
          <w:spacing w:val="-20"/>
        </w:rPr>
        <w:t xml:space="preserve"> </w:t>
      </w:r>
      <w:r w:rsidRPr="00715939">
        <w:t xml:space="preserve">naturaleza, conforme a lo dispuesto por el artículo 40 </w:t>
      </w:r>
      <w:r w:rsidRPr="00715939">
        <w:rPr>
          <w:i/>
        </w:rPr>
        <w:t>ibidem</w:t>
      </w:r>
      <w:r w:rsidRPr="00715939">
        <w:t>.</w:t>
      </w:r>
    </w:p>
    <w:p w14:paraId="47A6706F" w14:textId="77777777" w:rsidR="005C572E" w:rsidRPr="00715939" w:rsidRDefault="005C572E" w:rsidP="00715939">
      <w:pPr>
        <w:pStyle w:val="Textoindependiente"/>
        <w:spacing w:before="1" w:line="276" w:lineRule="auto"/>
        <w:ind w:left="-142" w:right="191"/>
        <w:jc w:val="both"/>
      </w:pPr>
    </w:p>
    <w:p w14:paraId="05BD6DE2" w14:textId="5973CCE5" w:rsidR="005C572E" w:rsidRPr="00715939" w:rsidRDefault="005C572E" w:rsidP="00715939">
      <w:pPr>
        <w:pStyle w:val="Textoindependiente"/>
        <w:spacing w:before="1" w:line="276" w:lineRule="auto"/>
        <w:ind w:left="-142" w:right="191"/>
        <w:jc w:val="both"/>
        <w:rPr>
          <w:b/>
          <w:bCs/>
        </w:rPr>
      </w:pPr>
      <w:r w:rsidRPr="00715939">
        <w:rPr>
          <w:b/>
          <w:bCs/>
        </w:rPr>
        <w:t>CONTRATO DE MANDATO - Código de comercio</w:t>
      </w:r>
    </w:p>
    <w:p w14:paraId="76FC45CE" w14:textId="77777777" w:rsidR="005C572E" w:rsidRPr="00715939" w:rsidRDefault="005C572E" w:rsidP="00715939">
      <w:pPr>
        <w:pStyle w:val="Textoindependiente"/>
        <w:spacing w:before="1" w:line="276" w:lineRule="auto"/>
        <w:ind w:left="-142" w:right="191"/>
        <w:jc w:val="both"/>
      </w:pPr>
    </w:p>
    <w:p w14:paraId="232FA08D" w14:textId="380AEF73" w:rsidR="005C572E" w:rsidRPr="00715939" w:rsidRDefault="005C572E" w:rsidP="00715939">
      <w:pPr>
        <w:pStyle w:val="Textoindependiente"/>
        <w:spacing w:before="1" w:line="276" w:lineRule="auto"/>
        <w:ind w:left="-142" w:right="191"/>
        <w:jc w:val="both"/>
        <w:rPr>
          <w:lang w:val="es-CO"/>
        </w:rPr>
      </w:pPr>
      <w:r w:rsidRPr="00715939">
        <w:rPr>
          <w:lang w:val="es-CO"/>
        </w:rPr>
        <w:t xml:space="preserve">En relación con el contrato de mandato, se observa que el mismo es definido por el Código Civil, art. 2142, como aquel en que una persona confía la gestión de uno o más negocios a otra, que se hace cargo de ellos por cuenta y riesgo de la primera, y el Código de Comercio se refiere al mismo, en el artículo 1262, manifestando que el mandato comercial es un contrato por el cual una parte se obliga a celebrar o ejecutar uno o más actos de comercio por cuenta de otra. Por su parte, el artículo 1505 del Código Civil, establece que lo que una persona ejecuta a nombre de otra, estando facultada por ella o por la ley para representarla, produce respecto del representado iguales efectos que si hubiese contratado él mismo; y por su parte, el artículo 833 del </w:t>
      </w:r>
      <w:proofErr w:type="spellStart"/>
      <w:r w:rsidRPr="00715939">
        <w:rPr>
          <w:lang w:val="es-CO"/>
        </w:rPr>
        <w:t>C.Co</w:t>
      </w:r>
      <w:proofErr w:type="spellEnd"/>
      <w:r w:rsidRPr="00715939">
        <w:rPr>
          <w:lang w:val="es-CO"/>
        </w:rPr>
        <w:t>., dispone que los negocios jurídicos propuestos o celebrados por el representante en nombre del representado, dentro del límite de sus poderes, producirán directamente efectos en relación con éste, regla que no se aplicará a los negocios propuestos o celebrados por intermediario que carezca de la facultad para representar.</w:t>
      </w:r>
    </w:p>
    <w:p w14:paraId="409522D0" w14:textId="77777777" w:rsidR="00127C91" w:rsidRDefault="00127C91" w:rsidP="00715939">
      <w:pPr>
        <w:spacing w:line="276" w:lineRule="auto"/>
        <w:rPr>
          <w:rFonts w:ascii="Verdana" w:eastAsia="Calibri" w:hAnsi="Verdana" w:cs="Arial"/>
          <w:b/>
          <w:bCs/>
          <w:lang w:val="es-ES" w:eastAsia="es-ES"/>
        </w:rPr>
      </w:pPr>
    </w:p>
    <w:p w14:paraId="18F65C43" w14:textId="14CABBD9" w:rsidR="00715939" w:rsidRPr="00715939" w:rsidRDefault="00715939" w:rsidP="00715939">
      <w:pPr>
        <w:spacing w:line="276" w:lineRule="auto"/>
        <w:rPr>
          <w:rFonts w:ascii="Verdana" w:eastAsia="Calibri" w:hAnsi="Verdana" w:cs="Arial"/>
          <w:b/>
          <w:bCs/>
          <w:lang w:val="es-ES" w:eastAsia="es-ES"/>
        </w:rPr>
      </w:pPr>
      <w:r w:rsidRPr="00715939">
        <w:rPr>
          <w:rFonts w:ascii="Verdana" w:eastAsia="Calibri" w:hAnsi="Verdana" w:cs="Arial"/>
          <w:b/>
          <w:bCs/>
          <w:lang w:val="es-ES" w:eastAsia="es-ES"/>
        </w:rPr>
        <w:t>SANCIONES CONTRACTUALES – Clases – Consagración legal</w:t>
      </w:r>
    </w:p>
    <w:p w14:paraId="3E3E32A8" w14:textId="77777777" w:rsidR="00715939" w:rsidRPr="00715939" w:rsidRDefault="00715939" w:rsidP="00715939">
      <w:pPr>
        <w:spacing w:line="276" w:lineRule="auto"/>
        <w:jc w:val="both"/>
        <w:rPr>
          <w:rFonts w:ascii="Verdana" w:eastAsia="Calibri" w:hAnsi="Verdana" w:cs="Arial"/>
          <w:lang w:val="es-ES" w:eastAsia="es-ES"/>
        </w:rPr>
      </w:pPr>
      <w:r w:rsidRPr="00715939">
        <w:rPr>
          <w:rFonts w:ascii="Verdana" w:eastAsia="Calibri" w:hAnsi="Verdana" w:cs="Arial"/>
          <w:lang w:val="es-ES" w:eastAsia="es-ES"/>
        </w:rPr>
        <w:lastRenderedPageBreak/>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ibidem. </w:t>
      </w:r>
      <w:proofErr w:type="spellStart"/>
      <w:r w:rsidRPr="00715939">
        <w:rPr>
          <w:rFonts w:ascii="Verdana" w:eastAsia="Calibri" w:hAnsi="Verdana" w:cs="Arial"/>
          <w:lang w:val="es-ES" w:eastAsia="es-ES"/>
        </w:rPr>
        <w:t>ii</w:t>
      </w:r>
      <w:proofErr w:type="spellEnd"/>
      <w:r w:rsidRPr="00715939">
        <w:rPr>
          <w:rFonts w:ascii="Verdana" w:eastAsia="Calibri" w:hAnsi="Verdana" w:cs="Arial"/>
          <w:lang w:val="es-ES" w:eastAsia="es-ES"/>
        </w:rPr>
        <w:t xml:space="preserve">) En algunas disposiciones también se establecen otras potestades exorbitantes, como la liquidación unilateral y la declaratoria unilateral del siniestro –artículos 7 y 11 de la Ley 1150 de 2007–Dentro de las potestades unilaterales también se encuentran </w:t>
      </w:r>
      <w:proofErr w:type="spellStart"/>
      <w:r w:rsidRPr="00715939">
        <w:rPr>
          <w:rFonts w:ascii="Verdana" w:eastAsia="Calibri" w:hAnsi="Verdana" w:cs="Arial"/>
          <w:lang w:val="es-ES" w:eastAsia="es-ES"/>
        </w:rPr>
        <w:t>iii</w:t>
      </w:r>
      <w:proofErr w:type="spellEnd"/>
      <w:r w:rsidRPr="00715939">
        <w:rPr>
          <w:rFonts w:ascii="Verdana" w:eastAsia="Calibri" w:hAnsi="Verdana" w:cs="Arial"/>
          <w:lang w:val="es-ES" w:eastAsia="es-ES"/>
        </w:rPr>
        <w:t>) las cláusulas excepcionales de imposición unilateral de las cláusulas penales y de multas –artículo 17 de la Ley 1150 de 2007–, aclarando que su exorbitancia se refiere a su imposición unilateral, no a su pacto, que es posible en virtud de las normas civiles y comerciales.</w:t>
      </w:r>
    </w:p>
    <w:p w14:paraId="732A3956" w14:textId="77777777" w:rsidR="00715939" w:rsidRPr="00715939" w:rsidRDefault="00715939" w:rsidP="00715939">
      <w:pPr>
        <w:spacing w:line="276" w:lineRule="auto"/>
        <w:rPr>
          <w:rFonts w:ascii="Verdana" w:eastAsia="Calibri" w:hAnsi="Verdana" w:cs="Arial"/>
          <w:b/>
          <w:szCs w:val="24"/>
          <w:lang w:val="es-ES_tradnl" w:eastAsia="es-ES_tradnl"/>
        </w:rPr>
      </w:pPr>
      <w:r w:rsidRPr="00715939">
        <w:rPr>
          <w:rFonts w:ascii="Verdana" w:eastAsia="Calibri" w:hAnsi="Verdana" w:cs="Arial"/>
          <w:b/>
          <w:szCs w:val="24"/>
          <w:lang w:val="es-ES_tradnl" w:eastAsia="es-ES_tradnl"/>
        </w:rPr>
        <w:t>PROCEDIMIENTO SANCIONATORIO – Ley 1474 de 2011 – Artículo 86</w:t>
      </w:r>
    </w:p>
    <w:p w14:paraId="35E67E12" w14:textId="77777777" w:rsidR="00715939" w:rsidRPr="00715939" w:rsidRDefault="00715939" w:rsidP="00715939">
      <w:pPr>
        <w:spacing w:line="276" w:lineRule="auto"/>
        <w:jc w:val="both"/>
        <w:rPr>
          <w:rFonts w:ascii="Verdana" w:eastAsia="Calibri" w:hAnsi="Verdana" w:cs="Arial"/>
          <w:bCs/>
          <w:szCs w:val="24"/>
          <w:lang w:val="es-ES_tradnl" w:eastAsia="es-ES_tradnl"/>
        </w:rPr>
      </w:pPr>
      <w:r w:rsidRPr="00715939">
        <w:rPr>
          <w:rFonts w:ascii="Verdana" w:eastAsia="Calibri" w:hAnsi="Verdana" w:cs="Arial"/>
          <w:bCs/>
          <w:szCs w:val="24"/>
          <w:lang w:val="es-ES_tradnl" w:eastAsia="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“entidades sometidas al Estatuto General de Contratación de la Administración Pública podrán declarar el incumplimiento […]. Para tal efecto observarán […]” el procedimiento que en tal enunciado normativo se regula. </w:t>
      </w:r>
    </w:p>
    <w:p w14:paraId="23A2593B" w14:textId="77777777" w:rsidR="00283C1D" w:rsidRPr="00715939" w:rsidRDefault="00283C1D" w:rsidP="00715939">
      <w:pPr>
        <w:pStyle w:val="Textoindependiente"/>
        <w:spacing w:before="1" w:line="276" w:lineRule="auto"/>
        <w:ind w:left="-142" w:right="191"/>
        <w:jc w:val="both"/>
        <w:rPr>
          <w:lang w:val="es-CO"/>
        </w:rPr>
      </w:pPr>
    </w:p>
    <w:p w14:paraId="2B58E0D9" w14:textId="77777777" w:rsidR="00283C1D" w:rsidRPr="00715939" w:rsidRDefault="00283C1D" w:rsidP="00715939">
      <w:pPr>
        <w:spacing w:after="0" w:line="276" w:lineRule="auto"/>
        <w:jc w:val="both"/>
        <w:rPr>
          <w:rFonts w:ascii="Verdana" w:eastAsia="Calibri" w:hAnsi="Verdana" w:cs="Arial"/>
          <w:b/>
          <w:lang w:val="es-ES" w:eastAsia="es-ES"/>
        </w:rPr>
      </w:pPr>
      <w:r w:rsidRPr="00715939">
        <w:rPr>
          <w:rFonts w:ascii="Verdana" w:eastAsia="Calibri" w:hAnsi="Verdana" w:cs="Arial"/>
          <w:b/>
          <w:lang w:val="es-ES" w:eastAsia="es-ES"/>
        </w:rPr>
        <w:t xml:space="preserve">CONTRATACIÓN PÚBLICA – Principio de publicidad – Principio de transparencia – Uso del SECOP </w:t>
      </w:r>
    </w:p>
    <w:p w14:paraId="0BB6BF93" w14:textId="77777777" w:rsidR="00283C1D" w:rsidRPr="00715939" w:rsidRDefault="00283C1D" w:rsidP="00715939">
      <w:pPr>
        <w:spacing w:after="0" w:line="276" w:lineRule="auto"/>
        <w:jc w:val="both"/>
        <w:rPr>
          <w:rFonts w:ascii="Verdana" w:eastAsia="Calibri" w:hAnsi="Verdana" w:cs="Arial"/>
          <w:b/>
          <w:bCs/>
          <w:sz w:val="20"/>
          <w:szCs w:val="20"/>
          <w:highlight w:val="yellow"/>
          <w:lang w:val="es-ES_tradnl" w:eastAsia="es-ES_tradnl"/>
        </w:rPr>
      </w:pPr>
    </w:p>
    <w:p w14:paraId="7CE01C9A" w14:textId="77777777" w:rsidR="00283C1D" w:rsidRPr="00715939" w:rsidRDefault="00283C1D" w:rsidP="00715939">
      <w:pPr>
        <w:spacing w:after="0" w:line="276" w:lineRule="auto"/>
        <w:jc w:val="both"/>
        <w:rPr>
          <w:rFonts w:ascii="Verdana" w:eastAsia="Aptos" w:hAnsi="Verdana" w:cs="Times New Roman"/>
          <w:sz w:val="20"/>
          <w:szCs w:val="20"/>
        </w:rPr>
      </w:pPr>
      <w:r w:rsidRPr="00715939">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0B9620C7" w14:textId="77777777" w:rsidR="00283C1D" w:rsidRPr="00715939" w:rsidRDefault="00283C1D" w:rsidP="00715939">
      <w:pPr>
        <w:spacing w:after="0" w:line="276" w:lineRule="auto"/>
        <w:jc w:val="both"/>
        <w:rPr>
          <w:rFonts w:ascii="Verdana" w:eastAsia="Calibri" w:hAnsi="Verdana" w:cs="Arial"/>
          <w:b/>
          <w:bCs/>
          <w:sz w:val="20"/>
          <w:szCs w:val="20"/>
          <w:highlight w:val="yellow"/>
          <w:lang w:eastAsia="es-ES_tradnl"/>
        </w:rPr>
      </w:pPr>
    </w:p>
    <w:p w14:paraId="197424F3" w14:textId="77777777" w:rsidR="00283C1D" w:rsidRPr="00715939" w:rsidRDefault="00283C1D" w:rsidP="00715939">
      <w:pPr>
        <w:spacing w:after="0" w:line="276" w:lineRule="auto"/>
        <w:jc w:val="both"/>
        <w:rPr>
          <w:rFonts w:ascii="Verdana" w:eastAsia="Aptos" w:hAnsi="Verdana" w:cs="Times New Roman"/>
          <w:sz w:val="20"/>
          <w:szCs w:val="20"/>
        </w:rPr>
      </w:pPr>
      <w:r w:rsidRPr="00715939">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64328237" w14:textId="77777777" w:rsidR="00283C1D" w:rsidRPr="00715939" w:rsidRDefault="00283C1D" w:rsidP="00715939">
      <w:pPr>
        <w:pStyle w:val="Textoindependiente"/>
        <w:spacing w:before="1" w:line="276" w:lineRule="auto"/>
        <w:ind w:left="-142" w:right="191"/>
        <w:jc w:val="both"/>
        <w:rPr>
          <w:lang w:val="es-CO"/>
        </w:rPr>
      </w:pPr>
    </w:p>
    <w:p w14:paraId="131A973B" w14:textId="44BAC2BD" w:rsidR="00AB64A5" w:rsidRPr="00715939" w:rsidRDefault="00FC3EC1" w:rsidP="00715939">
      <w:pPr>
        <w:spacing w:line="276" w:lineRule="auto"/>
        <w:rPr>
          <w:rFonts w:ascii="Verdana" w:eastAsia="Calibri" w:hAnsi="Verdana" w:cs="Arial"/>
          <w:bCs/>
          <w:sz w:val="20"/>
          <w:szCs w:val="20"/>
          <w:lang w:val="es-ES_tradnl"/>
        </w:rPr>
      </w:pPr>
      <w:r w:rsidRPr="00715939">
        <w:rPr>
          <w:rFonts w:ascii="Verdana" w:eastAsia="Calibri" w:hAnsi="Verdana" w:cs="Arial"/>
          <w:bCs/>
          <w:sz w:val="20"/>
          <w:szCs w:val="20"/>
          <w:lang w:val="es-ES_tradnl"/>
        </w:rPr>
        <w:br w:type="page"/>
      </w:r>
      <w:r w:rsidR="00AB64A5" w:rsidRPr="00715939">
        <w:rPr>
          <w:rFonts w:ascii="Verdana" w:hAnsi="Verdana"/>
        </w:rPr>
        <w:lastRenderedPageBreak/>
        <w:t>Bogo</w:t>
      </w:r>
      <w:r w:rsidRPr="00715939">
        <w:rPr>
          <w:rFonts w:ascii="Verdana" w:hAnsi="Verdana"/>
        </w:rPr>
        <w:t>t</w:t>
      </w:r>
      <w:r w:rsidR="00AB64A5" w:rsidRPr="00715939">
        <w:rPr>
          <w:rFonts w:ascii="Verdana" w:hAnsi="Verdana"/>
        </w:rPr>
        <w:t xml:space="preserve">á D.C., </w:t>
      </w:r>
      <w:r w:rsidR="003E448D">
        <w:rPr>
          <w:rFonts w:ascii="Verdana" w:hAnsi="Verdana"/>
        </w:rPr>
        <w:t xml:space="preserve">5 de </w:t>
      </w:r>
      <w:proofErr w:type="gramStart"/>
      <w:r w:rsidR="003E448D">
        <w:rPr>
          <w:rFonts w:ascii="Verdana" w:hAnsi="Verdana"/>
        </w:rPr>
        <w:t>Noviembre</w:t>
      </w:r>
      <w:proofErr w:type="gramEnd"/>
      <w:r w:rsidR="003E448D">
        <w:rPr>
          <w:rFonts w:ascii="Verdana" w:hAnsi="Verdana"/>
        </w:rPr>
        <w:t xml:space="preserve"> 2024</w:t>
      </w:r>
      <w:r w:rsidR="00AB64A5" w:rsidRPr="00715939">
        <w:rPr>
          <w:rFonts w:ascii="Verdana" w:hAnsi="Verdana"/>
        </w:rPr>
        <w:tab/>
      </w:r>
    </w:p>
    <w:p w14:paraId="6F8CA54C" w14:textId="0F9D2476" w:rsidR="00AB64A5" w:rsidRPr="00715939" w:rsidRDefault="001E1251" w:rsidP="00715939">
      <w:pPr>
        <w:spacing w:after="0" w:line="276" w:lineRule="auto"/>
        <w:rPr>
          <w:rFonts w:ascii="Verdana" w:hAnsi="Verdana"/>
        </w:rPr>
      </w:pPr>
      <w:r w:rsidRPr="0068640D">
        <w:rPr>
          <w:rFonts w:ascii="Verdana" w:eastAsia="Calibri" w:hAnsi="Verdana" w:cs="Arial"/>
          <w:b/>
          <w:bCs/>
          <w:noProof/>
          <w:color w:val="000000"/>
          <w:lang w:val="es-ES_tradnl" w:eastAsia="es-ES_tradnl"/>
        </w:rPr>
        <w:drawing>
          <wp:anchor distT="0" distB="0" distL="114300" distR="114300" simplePos="0" relativeHeight="251658240" behindDoc="1" locked="0" layoutInCell="1" allowOverlap="1" wp14:anchorId="053EB84B" wp14:editId="23759644">
            <wp:simplePos x="0" y="0"/>
            <wp:positionH relativeFrom="column">
              <wp:posOffset>2644140</wp:posOffset>
            </wp:positionH>
            <wp:positionV relativeFrom="paragraph">
              <wp:posOffset>48260</wp:posOffset>
            </wp:positionV>
            <wp:extent cx="3429297" cy="1028789"/>
            <wp:effectExtent l="0" t="0" r="0" b="0"/>
            <wp:wrapTight wrapText="bothSides">
              <wp:wrapPolygon edited="0">
                <wp:start x="0" y="0"/>
                <wp:lineTo x="0" y="21200"/>
                <wp:lineTo x="21480" y="21200"/>
                <wp:lineTo x="21480" y="0"/>
                <wp:lineTo x="0" y="0"/>
              </wp:wrapPolygon>
            </wp:wrapTight>
            <wp:docPr id="22590463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04636"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429297" cy="1028789"/>
                    </a:xfrm>
                    <a:prstGeom prst="rect">
                      <a:avLst/>
                    </a:prstGeom>
                  </pic:spPr>
                </pic:pic>
              </a:graphicData>
            </a:graphic>
          </wp:anchor>
        </w:drawing>
      </w:r>
    </w:p>
    <w:p w14:paraId="01AE3B0A" w14:textId="49820804" w:rsidR="00AB64A5" w:rsidRPr="00715939" w:rsidRDefault="00AB64A5" w:rsidP="00715939">
      <w:pPr>
        <w:spacing w:after="0" w:line="276" w:lineRule="auto"/>
        <w:jc w:val="both"/>
        <w:rPr>
          <w:rFonts w:ascii="Verdana" w:eastAsia="Calibri" w:hAnsi="Verdana" w:cs="Arial"/>
          <w:lang w:eastAsia="es-ES"/>
        </w:rPr>
      </w:pPr>
      <w:bookmarkStart w:id="1" w:name="_Hlk180520845"/>
      <w:r w:rsidRPr="00715939">
        <w:rPr>
          <w:rFonts w:ascii="Verdana" w:eastAsia="Calibri" w:hAnsi="Verdana" w:cs="Arial"/>
          <w:lang w:eastAsia="es-ES"/>
        </w:rPr>
        <w:t>Señor</w:t>
      </w:r>
    </w:p>
    <w:p w14:paraId="682811EE" w14:textId="7EFBF106" w:rsidR="005C572E" w:rsidRPr="005C572E" w:rsidRDefault="005C572E" w:rsidP="00715939">
      <w:pPr>
        <w:spacing w:after="0" w:line="276" w:lineRule="auto"/>
        <w:rPr>
          <w:rFonts w:ascii="Verdana" w:hAnsi="Verdana"/>
          <w:b/>
          <w:bCs/>
        </w:rPr>
      </w:pPr>
      <w:r w:rsidRPr="005C572E">
        <w:rPr>
          <w:rFonts w:ascii="Verdana" w:hAnsi="Verdana"/>
          <w:b/>
          <w:bCs/>
        </w:rPr>
        <w:t>Cristhian Daniel Lozada cortes </w:t>
      </w:r>
    </w:p>
    <w:p w14:paraId="1FD8EFA0" w14:textId="467BA625" w:rsidR="005C572E" w:rsidRPr="00715939" w:rsidRDefault="005C572E" w:rsidP="00715939">
      <w:pPr>
        <w:spacing w:after="0" w:line="276" w:lineRule="auto"/>
        <w:rPr>
          <w:rFonts w:ascii="Verdana" w:hAnsi="Verdana"/>
        </w:rPr>
      </w:pPr>
      <w:hyperlink r:id="rId12" w:history="1">
        <w:r w:rsidRPr="00715939">
          <w:rPr>
            <w:rStyle w:val="Hipervnculo"/>
            <w:rFonts w:ascii="Verdana" w:hAnsi="Verdana"/>
          </w:rPr>
          <w:t>cris.dani13@hotmail.com</w:t>
        </w:r>
      </w:hyperlink>
    </w:p>
    <w:p w14:paraId="38021ECE" w14:textId="220B868A" w:rsidR="00AB64A5" w:rsidRPr="00715939" w:rsidRDefault="00AB64A5" w:rsidP="00715939">
      <w:pPr>
        <w:spacing w:after="0" w:line="276" w:lineRule="auto"/>
        <w:rPr>
          <w:rFonts w:ascii="Verdana" w:eastAsia="Calibri" w:hAnsi="Verdana" w:cs="Arial"/>
          <w:b/>
          <w:bCs/>
          <w:lang w:val="es-ES" w:eastAsia="es-ES"/>
        </w:rPr>
      </w:pPr>
      <w:r w:rsidRPr="00715939">
        <w:rPr>
          <w:rFonts w:ascii="Verdana" w:eastAsia="Calibri" w:hAnsi="Verdana" w:cs="Arial"/>
          <w:lang w:val="es-ES" w:eastAsia="es-ES"/>
        </w:rPr>
        <w:t>Bogotá D.C.</w:t>
      </w:r>
    </w:p>
    <w:p w14:paraId="44649E13" w14:textId="7EC96A1A" w:rsidR="00AB64A5" w:rsidRDefault="00AB64A5" w:rsidP="00715939">
      <w:pPr>
        <w:spacing w:after="0" w:line="276" w:lineRule="auto"/>
        <w:rPr>
          <w:rFonts w:ascii="Verdana" w:eastAsia="Calibri" w:hAnsi="Verdana" w:cs="Arial"/>
          <w:b/>
          <w:bCs/>
          <w:color w:val="000000"/>
          <w:lang w:val="es-ES_tradnl" w:eastAsia="es-ES_tradnl"/>
        </w:rPr>
      </w:pPr>
    </w:p>
    <w:p w14:paraId="5DB1EAC7" w14:textId="6E0D4F03" w:rsidR="0068640D" w:rsidRDefault="0068640D" w:rsidP="00715939">
      <w:pPr>
        <w:spacing w:after="0" w:line="276" w:lineRule="auto"/>
        <w:rPr>
          <w:rFonts w:ascii="Verdana" w:eastAsia="Calibri" w:hAnsi="Verdana" w:cs="Arial"/>
          <w:b/>
          <w:bCs/>
          <w:color w:val="000000"/>
          <w:lang w:val="es-ES_tradnl" w:eastAsia="es-ES_tradnl"/>
        </w:rPr>
      </w:pPr>
    </w:p>
    <w:p w14:paraId="501439F2" w14:textId="62CDB3F5" w:rsidR="0068640D" w:rsidRPr="00715939" w:rsidRDefault="0068640D" w:rsidP="0068640D">
      <w:pPr>
        <w:spacing w:after="0" w:line="276" w:lineRule="auto"/>
        <w:jc w:val="right"/>
        <w:rPr>
          <w:rFonts w:ascii="Verdana" w:eastAsia="Calibri" w:hAnsi="Verdana"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946"/>
      </w:tblGrid>
      <w:tr w:rsidR="00AB64A5" w:rsidRPr="00715939" w14:paraId="124FFB5C" w14:textId="77777777" w:rsidTr="00127C91">
        <w:trPr>
          <w:trHeight w:val="884"/>
        </w:trPr>
        <w:tc>
          <w:tcPr>
            <w:tcW w:w="1985" w:type="dxa"/>
          </w:tcPr>
          <w:p w14:paraId="6311258D" w14:textId="77777777" w:rsidR="00AB64A5" w:rsidRPr="00715939" w:rsidRDefault="00AB64A5" w:rsidP="00715939">
            <w:pPr>
              <w:spacing w:line="276" w:lineRule="auto"/>
              <w:jc w:val="both"/>
              <w:rPr>
                <w:rFonts w:ascii="Verdana" w:eastAsia="Calibri" w:hAnsi="Verdana" w:cs="Arial"/>
                <w:b/>
                <w:bCs/>
                <w:color w:val="7030A0"/>
                <w:lang w:val="es-ES_tradnl" w:eastAsia="es-ES_tradnl"/>
              </w:rPr>
            </w:pPr>
          </w:p>
        </w:tc>
        <w:tc>
          <w:tcPr>
            <w:tcW w:w="6946" w:type="dxa"/>
          </w:tcPr>
          <w:p w14:paraId="23DA8C95" w14:textId="339BF43B" w:rsidR="00AB64A5" w:rsidRPr="00715939" w:rsidRDefault="00AB64A5" w:rsidP="00715939">
            <w:pPr>
              <w:spacing w:line="276" w:lineRule="auto"/>
              <w:jc w:val="both"/>
              <w:rPr>
                <w:rFonts w:ascii="Verdana" w:eastAsia="Calibri" w:hAnsi="Verdana" w:cs="Arial"/>
                <w:b/>
                <w:bCs/>
                <w:color w:val="7030A0"/>
                <w:lang w:val="es-ES" w:eastAsia="es-ES"/>
              </w:rPr>
            </w:pPr>
            <w:r w:rsidRPr="00715939">
              <w:rPr>
                <w:rFonts w:ascii="Verdana" w:eastAsia="Calibri" w:hAnsi="Verdana" w:cs="Arial"/>
                <w:b/>
                <w:bCs/>
                <w:lang w:val="es-ES" w:eastAsia="es-ES"/>
              </w:rPr>
              <w:t xml:space="preserve">Concepto C- </w:t>
            </w:r>
            <w:r w:rsidR="00CD258B" w:rsidRPr="00715939">
              <w:rPr>
                <w:rFonts w:ascii="Verdana" w:eastAsia="Calibri" w:hAnsi="Verdana" w:cs="Arial"/>
                <w:b/>
                <w:bCs/>
                <w:lang w:val="es-ES" w:eastAsia="es-ES"/>
              </w:rPr>
              <w:t>5</w:t>
            </w:r>
            <w:r w:rsidR="005C572E" w:rsidRPr="00715939">
              <w:rPr>
                <w:rFonts w:ascii="Verdana" w:eastAsia="Calibri" w:hAnsi="Verdana" w:cs="Arial"/>
                <w:b/>
                <w:bCs/>
                <w:lang w:val="es-ES" w:eastAsia="es-ES"/>
              </w:rPr>
              <w:t>70</w:t>
            </w:r>
            <w:r w:rsidRPr="00715939">
              <w:rPr>
                <w:rFonts w:ascii="Verdana" w:eastAsia="Calibri" w:hAnsi="Verdana" w:cs="Arial"/>
                <w:b/>
                <w:bCs/>
                <w:lang w:val="es-ES" w:eastAsia="es-ES"/>
              </w:rPr>
              <w:t xml:space="preserve"> de 2024</w:t>
            </w:r>
          </w:p>
        </w:tc>
      </w:tr>
      <w:tr w:rsidR="00AB64A5" w:rsidRPr="00127C91" w14:paraId="317258D8" w14:textId="77777777" w:rsidTr="00127C91">
        <w:trPr>
          <w:trHeight w:val="884"/>
        </w:trPr>
        <w:tc>
          <w:tcPr>
            <w:tcW w:w="1985" w:type="dxa"/>
          </w:tcPr>
          <w:p w14:paraId="216AB9FC" w14:textId="77777777" w:rsidR="00AB64A5" w:rsidRPr="00715939" w:rsidRDefault="00AB64A5" w:rsidP="00715939">
            <w:pPr>
              <w:spacing w:line="276" w:lineRule="auto"/>
              <w:jc w:val="both"/>
              <w:rPr>
                <w:rFonts w:ascii="Verdana" w:eastAsia="Calibri" w:hAnsi="Verdana" w:cs="Arial"/>
                <w:b/>
                <w:bCs/>
                <w:lang w:val="es-ES_tradnl" w:eastAsia="es-ES_tradnl"/>
              </w:rPr>
            </w:pPr>
            <w:r w:rsidRPr="00715939">
              <w:rPr>
                <w:rFonts w:ascii="Verdana" w:eastAsia="Calibri" w:hAnsi="Verdana" w:cs="Arial"/>
                <w:b/>
                <w:bCs/>
                <w:lang w:val="es-ES_tradnl" w:eastAsia="es-ES_tradnl"/>
              </w:rPr>
              <w:t xml:space="preserve">Temas:                   </w:t>
            </w:r>
          </w:p>
        </w:tc>
        <w:tc>
          <w:tcPr>
            <w:tcW w:w="6946" w:type="dxa"/>
          </w:tcPr>
          <w:p w14:paraId="7327A2E4" w14:textId="1EE482EE" w:rsidR="00283C1D" w:rsidRPr="00127C91" w:rsidRDefault="005C572E" w:rsidP="00127C91">
            <w:pPr>
              <w:pStyle w:val="Textoindependiente"/>
              <w:spacing w:before="1" w:line="276" w:lineRule="auto"/>
              <w:ind w:left="-141" w:right="191" w:hanging="1"/>
              <w:jc w:val="both"/>
              <w:rPr>
                <w:rFonts w:eastAsia="Calibri" w:cs="Arial"/>
                <w:lang w:eastAsia="es-ES"/>
              </w:rPr>
            </w:pPr>
            <w:proofErr w:type="spellStart"/>
            <w:r w:rsidRPr="00715939">
              <w:rPr>
                <w:rFonts w:eastAsia="Calibri" w:cs="Arial"/>
                <w:lang w:eastAsia="es-ES"/>
              </w:rPr>
              <w:t>RRégimen</w:t>
            </w:r>
            <w:proofErr w:type="spellEnd"/>
            <w:r w:rsidRPr="00715939">
              <w:rPr>
                <w:rFonts w:eastAsia="Calibri" w:cs="Arial"/>
                <w:lang w:eastAsia="es-ES"/>
              </w:rPr>
              <w:t xml:space="preserve"> jurídico aplicable – EGCAP – Código de comercio /</w:t>
            </w:r>
            <w:r w:rsidRPr="00127C91">
              <w:rPr>
                <w:rFonts w:eastAsia="Calibri" w:cs="Arial"/>
                <w:lang w:eastAsia="es-ES"/>
              </w:rPr>
              <w:t>CONTRATO DE MANDATO - Código de comercio/</w:t>
            </w:r>
            <w:r w:rsidR="00127C91" w:rsidRPr="00127C91">
              <w:rPr>
                <w:rFonts w:eastAsia="Calibri" w:cs="Arial"/>
                <w:lang w:eastAsia="es-ES"/>
              </w:rPr>
              <w:t xml:space="preserve"> SANCIONES C</w:t>
            </w:r>
            <w:r w:rsidR="00127C91">
              <w:rPr>
                <w:rFonts w:eastAsia="Calibri" w:cs="Arial"/>
                <w:lang w:eastAsia="es-ES"/>
              </w:rPr>
              <w:t>C</w:t>
            </w:r>
            <w:r w:rsidR="00127C91" w:rsidRPr="00127C91">
              <w:rPr>
                <w:rFonts w:eastAsia="Calibri" w:cs="Arial"/>
                <w:lang w:eastAsia="es-ES"/>
              </w:rPr>
              <w:t>ONTRACTUALES – Clases – Consagración legal</w:t>
            </w:r>
            <w:r w:rsidR="00127C91">
              <w:rPr>
                <w:rFonts w:eastAsia="Calibri" w:cs="Arial"/>
                <w:lang w:eastAsia="es-ES"/>
              </w:rPr>
              <w:t xml:space="preserve"> </w:t>
            </w:r>
            <w:r w:rsidR="00127C91" w:rsidRPr="00127C91">
              <w:rPr>
                <w:rFonts w:eastAsia="Calibri" w:cs="Arial"/>
                <w:lang w:eastAsia="es-ES"/>
              </w:rPr>
              <w:t>/ PROCEDIMIENTO SANCIONATORIO – Ley 1474 de 2011 – Artículo 86 /</w:t>
            </w:r>
            <w:r w:rsidR="00283C1D" w:rsidRPr="00127C91">
              <w:rPr>
                <w:rFonts w:eastAsia="Calibri" w:cs="Arial"/>
                <w:lang w:eastAsia="es-ES"/>
              </w:rPr>
              <w:t xml:space="preserve"> CONTRATACIÓN PÚBLICA – Principio de publicidad – Principio de transparencia – Uso del SECOP </w:t>
            </w:r>
          </w:p>
          <w:p w14:paraId="52A0FC1D" w14:textId="77777777" w:rsidR="00283C1D" w:rsidRPr="00127C91" w:rsidRDefault="00283C1D" w:rsidP="00127C91">
            <w:pPr>
              <w:spacing w:line="276" w:lineRule="auto"/>
              <w:jc w:val="both"/>
              <w:rPr>
                <w:rFonts w:ascii="Verdana" w:eastAsia="Calibri" w:hAnsi="Verdana" w:cs="Arial"/>
                <w:lang w:val="es-ES" w:eastAsia="es-ES"/>
              </w:rPr>
            </w:pPr>
          </w:p>
          <w:p w14:paraId="6DE442C3" w14:textId="3D352F2B" w:rsidR="005C572E" w:rsidRPr="00127C91" w:rsidRDefault="005C572E" w:rsidP="00127C91">
            <w:pPr>
              <w:pStyle w:val="Textoindependiente"/>
              <w:spacing w:before="1" w:line="276" w:lineRule="auto"/>
              <w:ind w:left="-142" w:right="191"/>
              <w:jc w:val="both"/>
              <w:rPr>
                <w:rFonts w:eastAsia="Calibri" w:cs="Arial"/>
                <w:lang w:eastAsia="es-ES"/>
              </w:rPr>
            </w:pPr>
          </w:p>
          <w:p w14:paraId="362B2D37" w14:textId="68E218AA" w:rsidR="00AB64A5" w:rsidRPr="00715939" w:rsidRDefault="005C572E" w:rsidP="00127C91">
            <w:pPr>
              <w:spacing w:line="276" w:lineRule="auto"/>
              <w:jc w:val="both"/>
              <w:rPr>
                <w:rFonts w:ascii="Verdana" w:eastAsia="Calibri" w:hAnsi="Verdana" w:cs="Arial"/>
                <w:lang w:val="es-ES" w:eastAsia="es-ES"/>
              </w:rPr>
            </w:pPr>
            <w:r w:rsidRPr="00715939">
              <w:rPr>
                <w:rFonts w:ascii="Verdana" w:eastAsia="Calibri" w:hAnsi="Verdana" w:cs="Arial"/>
                <w:lang w:val="es-ES" w:eastAsia="es-ES"/>
              </w:rPr>
              <w:t xml:space="preserve"> </w:t>
            </w:r>
          </w:p>
        </w:tc>
      </w:tr>
      <w:tr w:rsidR="00AB64A5" w:rsidRPr="00715939" w14:paraId="6B3F3ED0" w14:textId="77777777" w:rsidTr="00127C91">
        <w:tc>
          <w:tcPr>
            <w:tcW w:w="1985" w:type="dxa"/>
          </w:tcPr>
          <w:p w14:paraId="0AC72359" w14:textId="77777777" w:rsidR="00AB64A5" w:rsidRPr="00715939" w:rsidRDefault="00AB64A5" w:rsidP="00715939">
            <w:pPr>
              <w:spacing w:line="276" w:lineRule="auto"/>
              <w:jc w:val="both"/>
              <w:rPr>
                <w:rFonts w:ascii="Verdana" w:eastAsia="Calibri" w:hAnsi="Verdana" w:cs="Arial"/>
                <w:b/>
                <w:lang w:val="es-ES_tradnl" w:eastAsia="es-ES_tradnl"/>
              </w:rPr>
            </w:pPr>
            <w:r w:rsidRPr="00715939">
              <w:rPr>
                <w:rFonts w:ascii="Verdana" w:eastAsia="Calibri" w:hAnsi="Verdana" w:cs="Arial"/>
                <w:b/>
                <w:lang w:val="es-ES_tradnl" w:eastAsia="es-ES_tradnl"/>
              </w:rPr>
              <w:t>Radicación:</w:t>
            </w:r>
            <w:r w:rsidRPr="00715939">
              <w:rPr>
                <w:rFonts w:ascii="Verdana" w:eastAsia="Calibri" w:hAnsi="Verdana" w:cs="Arial"/>
                <w:lang w:val="es-ES_tradnl" w:eastAsia="es-ES_tradnl"/>
              </w:rPr>
              <w:t xml:space="preserve">               </w:t>
            </w:r>
          </w:p>
        </w:tc>
        <w:tc>
          <w:tcPr>
            <w:tcW w:w="6946" w:type="dxa"/>
          </w:tcPr>
          <w:p w14:paraId="3BC81AFB" w14:textId="28D84DFE" w:rsidR="00F02EBB" w:rsidRPr="00715939" w:rsidRDefault="00AB64A5" w:rsidP="00715939">
            <w:pPr>
              <w:spacing w:line="276" w:lineRule="auto"/>
              <w:rPr>
                <w:rFonts w:ascii="Verdana" w:eastAsia="Times New Roman" w:hAnsi="Verdana" w:cs="Calibri"/>
                <w:color w:val="000000"/>
                <w:lang w:val="es-419" w:eastAsia="es-419"/>
              </w:rPr>
            </w:pPr>
            <w:r w:rsidRPr="00715939">
              <w:rPr>
                <w:rFonts w:ascii="Verdana" w:eastAsia="Calibri" w:hAnsi="Verdana" w:cs="Arial"/>
                <w:lang w:val="es-ES_tradnl" w:eastAsia="es-ES_tradnl"/>
              </w:rPr>
              <w:t xml:space="preserve">Respuesta a consulta con radicado No. </w:t>
            </w:r>
            <w:r w:rsidR="005C572E" w:rsidRPr="00715939">
              <w:rPr>
                <w:rFonts w:ascii="Verdana" w:eastAsia="Times New Roman" w:hAnsi="Verdana" w:cs="Calibri"/>
                <w:color w:val="000000"/>
                <w:lang w:val="es-419" w:eastAsia="es-419"/>
              </w:rPr>
              <w:t>P20240909009152</w:t>
            </w:r>
          </w:p>
          <w:p w14:paraId="14A3CEBF" w14:textId="06BFF59D" w:rsidR="00AB64A5" w:rsidRPr="00715939" w:rsidRDefault="00AB64A5" w:rsidP="00715939">
            <w:pPr>
              <w:spacing w:line="276" w:lineRule="auto"/>
              <w:jc w:val="both"/>
              <w:rPr>
                <w:rFonts w:ascii="Verdana" w:eastAsia="Calibri" w:hAnsi="Verdana" w:cs="Arial"/>
                <w:lang w:val="es-ES_tradnl" w:eastAsia="es-ES_tradnl"/>
              </w:rPr>
            </w:pPr>
          </w:p>
        </w:tc>
      </w:tr>
    </w:tbl>
    <w:p w14:paraId="7459B210" w14:textId="77777777" w:rsidR="00AB64A5" w:rsidRPr="00715939" w:rsidRDefault="00AB64A5" w:rsidP="00715939">
      <w:pPr>
        <w:spacing w:after="0" w:line="276" w:lineRule="auto"/>
        <w:jc w:val="both"/>
        <w:rPr>
          <w:rFonts w:ascii="Verdana" w:eastAsia="Calibri" w:hAnsi="Verdana" w:cs="Arial"/>
          <w:color w:val="000000"/>
          <w:lang w:val="es-ES_tradnl" w:eastAsia="es-ES_tradnl"/>
        </w:rPr>
      </w:pPr>
    </w:p>
    <w:p w14:paraId="3010FD6F" w14:textId="77777777" w:rsidR="00AB64A5" w:rsidRPr="00715939" w:rsidRDefault="00AB64A5" w:rsidP="00715939">
      <w:pPr>
        <w:spacing w:after="0" w:line="276" w:lineRule="auto"/>
        <w:jc w:val="both"/>
        <w:rPr>
          <w:rFonts w:ascii="Verdana" w:eastAsia="Calibri" w:hAnsi="Verdana" w:cs="Arial"/>
          <w:color w:val="000000"/>
          <w:lang w:val="es-ES_tradnl" w:eastAsia="es-ES_tradnl"/>
        </w:rPr>
      </w:pPr>
    </w:p>
    <w:p w14:paraId="16D75B47" w14:textId="61CF9988" w:rsidR="00AB64A5" w:rsidRPr="00715939" w:rsidRDefault="00AB64A5" w:rsidP="00715939">
      <w:pPr>
        <w:spacing w:after="0" w:line="276" w:lineRule="auto"/>
        <w:jc w:val="both"/>
        <w:rPr>
          <w:rFonts w:ascii="Verdana" w:eastAsia="Calibri" w:hAnsi="Verdana" w:cs="Arial"/>
          <w:lang w:val="es-ES" w:eastAsia="es-ES"/>
        </w:rPr>
      </w:pPr>
      <w:r w:rsidRPr="00715939">
        <w:rPr>
          <w:rFonts w:ascii="Verdana" w:eastAsia="Calibri" w:hAnsi="Verdana" w:cs="Arial"/>
          <w:lang w:val="es-ES" w:eastAsia="es-ES"/>
        </w:rPr>
        <w:t>Estima</w:t>
      </w:r>
      <w:r w:rsidR="005C572E" w:rsidRPr="00715939">
        <w:rPr>
          <w:rFonts w:ascii="Verdana" w:eastAsia="Calibri" w:hAnsi="Verdana" w:cs="Arial"/>
          <w:lang w:val="es-ES" w:eastAsia="es-ES"/>
        </w:rPr>
        <w:t>do señor Lozada:</w:t>
      </w:r>
      <w:r w:rsidRPr="00715939">
        <w:rPr>
          <w:rFonts w:ascii="Verdana" w:eastAsia="Calibri" w:hAnsi="Verdana" w:cs="Arial"/>
          <w:lang w:val="es-ES" w:eastAsia="es-ES"/>
        </w:rPr>
        <w:t xml:space="preserve"> </w:t>
      </w:r>
    </w:p>
    <w:p w14:paraId="5ED55F00" w14:textId="77777777" w:rsidR="00AB64A5" w:rsidRPr="00715939" w:rsidRDefault="00AB64A5" w:rsidP="00715939">
      <w:pPr>
        <w:tabs>
          <w:tab w:val="left" w:pos="3768"/>
        </w:tabs>
        <w:spacing w:after="0" w:line="276" w:lineRule="auto"/>
        <w:jc w:val="both"/>
        <w:rPr>
          <w:rFonts w:ascii="Verdana" w:eastAsia="Calibri" w:hAnsi="Verdana" w:cs="Arial"/>
          <w:color w:val="000000" w:themeColor="text1"/>
          <w:lang w:val="es-ES" w:eastAsia="es-ES"/>
        </w:rPr>
      </w:pPr>
      <w:r w:rsidRPr="00715939">
        <w:rPr>
          <w:rFonts w:ascii="Verdana" w:eastAsia="Calibri" w:hAnsi="Verdana" w:cs="Arial"/>
          <w:color w:val="000000" w:themeColor="text1"/>
          <w:lang w:val="es-ES" w:eastAsia="es-ES"/>
        </w:rPr>
        <w:tab/>
      </w:r>
    </w:p>
    <w:p w14:paraId="3AAA6349" w14:textId="49B2D6A1" w:rsidR="00AB64A5" w:rsidRPr="00715939" w:rsidRDefault="00AB64A5" w:rsidP="00715939">
      <w:pPr>
        <w:spacing w:after="0" w:line="276" w:lineRule="auto"/>
        <w:jc w:val="both"/>
        <w:rPr>
          <w:rFonts w:ascii="Verdana" w:eastAsia="Calibri" w:hAnsi="Verdana" w:cs="Arial"/>
          <w:lang w:val="es-ES" w:eastAsia="es-ES"/>
        </w:rPr>
      </w:pPr>
      <w:r w:rsidRPr="00715939">
        <w:rPr>
          <w:rFonts w:ascii="Verdana" w:eastAsia="Calibri" w:hAnsi="Verdana" w:cs="Arial"/>
          <w:lang w:val="es-ES" w:eastAsia="es-ES"/>
        </w:rPr>
        <w:t>En ejercicio de la competencia otorgada por los artículos 3, numeral 5º, y 11, numeral 8º, del Decreto Ley 4170 de 2011,</w:t>
      </w:r>
      <w:r w:rsidRPr="00715939">
        <w:rPr>
          <w:rFonts w:ascii="Verdana" w:eastAsia="Arial MT" w:hAnsi="Verdana" w:cs="Arial MT"/>
          <w:lang w:val="es-ES" w:eastAsia="es-ES"/>
        </w:rPr>
        <w:t xml:space="preserve"> </w:t>
      </w:r>
      <w:r w:rsidRPr="00715939">
        <w:rPr>
          <w:rFonts w:ascii="Verdana" w:hAnsi="Verdana" w:cs="Arial"/>
        </w:rPr>
        <w:t xml:space="preserve">así como lo establecido en el artículo 4 de la Resolución 1707 de 2018 expedida por esta Entidad, </w:t>
      </w:r>
      <w:r w:rsidRPr="00715939">
        <w:rPr>
          <w:rFonts w:ascii="Verdana" w:eastAsia="Calibri" w:hAnsi="Verdana" w:cs="Arial"/>
          <w:lang w:val="es-ES" w:eastAsia="es-ES"/>
        </w:rPr>
        <w:t xml:space="preserve">la Agencia Nacional de Contratación Pública – Colombia Compra Eficiente– responde su solicitud radicada en esta entidad el </w:t>
      </w:r>
      <w:r w:rsidR="005C572E" w:rsidRPr="00715939">
        <w:rPr>
          <w:rFonts w:ascii="Verdana" w:eastAsia="Calibri" w:hAnsi="Verdana" w:cs="Arial"/>
          <w:lang w:val="es-ES" w:eastAsia="es-ES"/>
        </w:rPr>
        <w:t>9</w:t>
      </w:r>
      <w:r w:rsidRPr="00715939">
        <w:rPr>
          <w:rFonts w:ascii="Verdana" w:eastAsia="Calibri" w:hAnsi="Verdana" w:cs="Arial"/>
          <w:lang w:val="es-ES" w:eastAsia="es-ES"/>
        </w:rPr>
        <w:t xml:space="preserve"> de </w:t>
      </w:r>
      <w:r w:rsidR="005C572E" w:rsidRPr="00715939">
        <w:rPr>
          <w:rFonts w:ascii="Verdana" w:eastAsia="Calibri" w:hAnsi="Verdana" w:cs="Arial"/>
          <w:lang w:val="es-ES" w:eastAsia="es-ES"/>
        </w:rPr>
        <w:t>septiembre</w:t>
      </w:r>
      <w:r w:rsidRPr="00715939">
        <w:rPr>
          <w:rFonts w:ascii="Verdana" w:eastAsia="Calibri" w:hAnsi="Verdana" w:cs="Arial"/>
          <w:lang w:val="es-ES" w:eastAsia="es-ES"/>
        </w:rPr>
        <w:t xml:space="preserve"> de 2024, en la cual manifiesta lo siguiente: </w:t>
      </w:r>
    </w:p>
    <w:p w14:paraId="35AFAAA8" w14:textId="77777777" w:rsidR="00AB64A5" w:rsidRPr="00715939" w:rsidRDefault="00AB64A5" w:rsidP="00715939">
      <w:pPr>
        <w:spacing w:after="0" w:line="276" w:lineRule="auto"/>
        <w:ind w:left="709" w:right="709"/>
        <w:jc w:val="both"/>
        <w:rPr>
          <w:rFonts w:ascii="Verdana" w:hAnsi="Verdana" w:cs="Arial"/>
          <w:shd w:val="clear" w:color="auto" w:fill="FFFFFF"/>
        </w:rPr>
      </w:pPr>
      <w:bookmarkStart w:id="2" w:name="_Hlk95313578"/>
    </w:p>
    <w:bookmarkEnd w:id="2"/>
    <w:p w14:paraId="42D0D6FE" w14:textId="2B179887" w:rsidR="005C572E" w:rsidRPr="00715939" w:rsidRDefault="00FC3EC1" w:rsidP="00715939">
      <w:pPr>
        <w:spacing w:after="0" w:line="276" w:lineRule="auto"/>
        <w:ind w:left="709" w:right="758"/>
        <w:jc w:val="both"/>
        <w:rPr>
          <w:rFonts w:ascii="Verdana" w:eastAsia="Calibri" w:hAnsi="Verdana" w:cs="Arial"/>
          <w:sz w:val="20"/>
          <w:szCs w:val="20"/>
          <w:lang w:eastAsia="es-ES"/>
        </w:rPr>
      </w:pPr>
      <w:r w:rsidRPr="00715939">
        <w:rPr>
          <w:rFonts w:ascii="Verdana" w:eastAsia="Calibri" w:hAnsi="Verdana" w:cs="Arial"/>
          <w:sz w:val="20"/>
          <w:szCs w:val="20"/>
          <w:lang w:val="es-ES" w:eastAsia="es-ES"/>
        </w:rPr>
        <w:lastRenderedPageBreak/>
        <w:t>“1</w:t>
      </w:r>
      <w:r w:rsidR="005C572E" w:rsidRPr="00715939">
        <w:rPr>
          <w:rFonts w:ascii="Verdana" w:eastAsia="Times New Roman" w:hAnsi="Verdana" w:cs="Aptos"/>
          <w:sz w:val="20"/>
          <w:szCs w:val="20"/>
          <w:lang w:eastAsia="es-CO"/>
        </w:rPr>
        <w:t xml:space="preserve"> </w:t>
      </w:r>
      <w:r w:rsidR="005C572E" w:rsidRPr="00715939">
        <w:rPr>
          <w:rFonts w:ascii="Verdana" w:eastAsia="Calibri" w:hAnsi="Verdana" w:cs="Arial"/>
          <w:sz w:val="20"/>
          <w:szCs w:val="20"/>
          <w:lang w:eastAsia="es-ES"/>
        </w:rPr>
        <w:t>1. Consulta sobre la calificación de un contrato de mandato como contrato estatal:</w:t>
      </w:r>
    </w:p>
    <w:p w14:paraId="5A396715"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Se solicita que Colombia Compra Eficiente nos informe si un contrato de mandato suscrito entre una entidad estatal y un abogado, cuya finalidad es el recaudo de cartera morosa, en el que los honorarios son pagados por los clientes morosos y no por la entidad, puede ser considerado un contrato estatal conforme a la normativa vigente en Colombia, particularmente lo dispuesto en la Ley 80 de 1993 y sus decretos reglamentarios.</w:t>
      </w:r>
    </w:p>
    <w:p w14:paraId="6734873D"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p>
    <w:p w14:paraId="65351D9A"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2. Consulta sobre la liquidación unilateral del contrato en caso de incumplimiento:</w:t>
      </w:r>
    </w:p>
    <w:p w14:paraId="20C15DCF"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Se solicita que se nos informe si, en caso de incumplimiento de las obligaciones contractuales por parte del abogado, la entidad estatal puede liquidar unilateralmente el contrato de mandato, y si este proceso de liquidación debe ceñirse a lo preceptuado por la Ley 80 de 1993, o si es posible que la entidad se guíe por lo acordado en las cláusulas del propio contrato de mandato.</w:t>
      </w:r>
    </w:p>
    <w:p w14:paraId="5607022C"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 xml:space="preserve">3. En caso de terminación unilateral del mandato por causa diferente a incumplimiento, </w:t>
      </w:r>
      <w:proofErr w:type="gramStart"/>
      <w:r w:rsidRPr="005C572E">
        <w:rPr>
          <w:rFonts w:ascii="Verdana" w:eastAsia="Calibri" w:hAnsi="Verdana" w:cs="Arial"/>
          <w:sz w:val="20"/>
          <w:szCs w:val="20"/>
          <w:lang w:eastAsia="es-ES"/>
        </w:rPr>
        <w:t>cuál es el procedimiento que debería seguir la entidad?</w:t>
      </w:r>
      <w:proofErr w:type="gramEnd"/>
      <w:r w:rsidRPr="005C572E">
        <w:rPr>
          <w:rFonts w:ascii="Verdana" w:eastAsia="Calibri" w:hAnsi="Verdana" w:cs="Arial"/>
          <w:sz w:val="20"/>
          <w:szCs w:val="20"/>
          <w:lang w:eastAsia="es-ES"/>
        </w:rPr>
        <w:t xml:space="preserve"> Debería realizarlo por acto administrativo motivado o un simple oficio de comunicación.</w:t>
      </w:r>
    </w:p>
    <w:p w14:paraId="099B53BA" w14:textId="77777777" w:rsidR="005C572E" w:rsidRPr="005C572E"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4. Consulta sobre la publicidad y publicación del contrato de mandato:</w:t>
      </w:r>
    </w:p>
    <w:p w14:paraId="4E543B6E" w14:textId="2425C470" w:rsidR="00AB64A5" w:rsidRPr="00715939" w:rsidRDefault="005C572E" w:rsidP="00715939">
      <w:pPr>
        <w:spacing w:after="0" w:line="276" w:lineRule="auto"/>
        <w:ind w:left="709" w:right="758"/>
        <w:jc w:val="both"/>
        <w:rPr>
          <w:rFonts w:ascii="Verdana" w:eastAsia="Calibri" w:hAnsi="Verdana" w:cs="Arial"/>
          <w:sz w:val="20"/>
          <w:szCs w:val="20"/>
          <w:lang w:eastAsia="es-ES"/>
        </w:rPr>
      </w:pPr>
      <w:r w:rsidRPr="005C572E">
        <w:rPr>
          <w:rFonts w:ascii="Verdana" w:eastAsia="Calibri" w:hAnsi="Verdana" w:cs="Arial"/>
          <w:sz w:val="20"/>
          <w:szCs w:val="20"/>
          <w:lang w:eastAsia="es-ES"/>
        </w:rPr>
        <w:t>Se solicita que Colombia Compra Eficiente nos informe si es obligatorio para la entidad estatal la publicación o publicidad de este tipo de contratos de mandato en el SECOP (Sistema Electrónico para la Contratación Pública) o en algún portal web oficial de la entidad.</w:t>
      </w:r>
      <w:r w:rsidR="00FC3EC1" w:rsidRPr="00715939">
        <w:rPr>
          <w:rFonts w:ascii="Verdana" w:eastAsia="Calibri" w:hAnsi="Verdana" w:cs="Arial"/>
          <w:sz w:val="20"/>
          <w:szCs w:val="20"/>
          <w:lang w:val="es-ES" w:eastAsia="es-ES"/>
        </w:rPr>
        <w:t>” [sic]</w:t>
      </w:r>
    </w:p>
    <w:p w14:paraId="59ACC790" w14:textId="77777777" w:rsidR="00FC3EC1" w:rsidRPr="00715939" w:rsidRDefault="00FC3EC1" w:rsidP="00715939">
      <w:pPr>
        <w:spacing w:after="0" w:line="276" w:lineRule="auto"/>
        <w:ind w:left="709" w:right="758"/>
        <w:jc w:val="both"/>
        <w:rPr>
          <w:rFonts w:ascii="Verdana" w:eastAsia="Century Gothic" w:hAnsi="Verdana" w:cs="Century Gothic"/>
          <w:i/>
          <w:iCs/>
        </w:rPr>
      </w:pPr>
    </w:p>
    <w:p w14:paraId="1078C241" w14:textId="77777777" w:rsidR="00AB64A5" w:rsidRPr="00715939" w:rsidRDefault="00AB64A5" w:rsidP="00715939">
      <w:pPr>
        <w:spacing w:after="120" w:line="276" w:lineRule="auto"/>
        <w:ind w:firstLine="709"/>
        <w:jc w:val="both"/>
        <w:rPr>
          <w:rFonts w:ascii="Verdana" w:eastAsia="Calibri" w:hAnsi="Verdana" w:cs="Arial"/>
          <w:color w:val="000000"/>
          <w:lang w:val="es-ES_tradnl" w:eastAsia="es-ES_tradnl"/>
        </w:rPr>
      </w:pPr>
      <w:r w:rsidRPr="00715939">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715939">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715939">
        <w:rPr>
          <w:rFonts w:ascii="Verdana" w:eastAsia="Calibri" w:hAnsi="Verdana" w:cs="Arial"/>
          <w:color w:val="000000"/>
          <w:lang w:val="es-ES_tradnl" w:eastAsia="es-ES_tradnl"/>
        </w:rPr>
        <w:tab/>
      </w:r>
    </w:p>
    <w:p w14:paraId="03C1028C" w14:textId="77777777" w:rsidR="00AB64A5" w:rsidRPr="00715939" w:rsidRDefault="00AB64A5" w:rsidP="00715939">
      <w:pPr>
        <w:spacing w:after="0" w:line="276" w:lineRule="auto"/>
        <w:ind w:firstLine="709"/>
        <w:jc w:val="both"/>
        <w:rPr>
          <w:rFonts w:ascii="Verdana" w:eastAsia="Calibri" w:hAnsi="Verdana" w:cs="Arial"/>
          <w:color w:val="000000"/>
          <w:lang w:val="es-ES" w:eastAsia="es-ES"/>
        </w:rPr>
      </w:pPr>
      <w:r w:rsidRPr="00715939">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715939">
        <w:rPr>
          <w:rFonts w:ascii="Verdana" w:eastAsia="Calibri" w:hAnsi="Verdana" w:cs="Arial"/>
          <w:color w:val="7030A0"/>
          <w:lang w:val="es-ES" w:eastAsia="es-ES"/>
        </w:rPr>
        <w:t xml:space="preserve"> </w:t>
      </w:r>
      <w:r w:rsidRPr="00715939">
        <w:rPr>
          <w:rFonts w:ascii="Verdana" w:eastAsia="Calibri" w:hAnsi="Verdana" w:cs="Arial"/>
          <w:color w:val="000000"/>
          <w:lang w:val="es-ES" w:eastAsia="es-ES"/>
        </w:rPr>
        <w:t>jurídico</w:t>
      </w:r>
      <w:r w:rsidRPr="00715939">
        <w:rPr>
          <w:rFonts w:ascii="Verdana" w:eastAsia="Calibri" w:hAnsi="Verdana" w:cs="Arial"/>
          <w:color w:val="7030A0"/>
          <w:lang w:val="es-ES" w:eastAsia="es-ES"/>
        </w:rPr>
        <w:t xml:space="preserve"> </w:t>
      </w:r>
      <w:r w:rsidRPr="00715939">
        <w:rPr>
          <w:rFonts w:ascii="Verdana" w:eastAsia="Calibri" w:hAnsi="Verdana" w:cs="Arial"/>
          <w:color w:val="000000"/>
          <w:lang w:val="es-ES" w:eastAsia="es-ES"/>
        </w:rPr>
        <w:t xml:space="preserve">de su consulta. </w:t>
      </w:r>
    </w:p>
    <w:p w14:paraId="1E8B5A8D" w14:textId="77777777" w:rsidR="00AB64A5" w:rsidRPr="00715939" w:rsidRDefault="00AB64A5" w:rsidP="00715939">
      <w:pPr>
        <w:spacing w:after="0" w:line="276" w:lineRule="auto"/>
        <w:ind w:firstLine="709"/>
        <w:jc w:val="both"/>
        <w:rPr>
          <w:rFonts w:ascii="Verdana" w:eastAsia="Calibri" w:hAnsi="Verdana" w:cs="Arial"/>
          <w:color w:val="000000"/>
          <w:lang w:val="es-ES" w:eastAsia="es-ES"/>
        </w:rPr>
      </w:pPr>
    </w:p>
    <w:p w14:paraId="631D94B5" w14:textId="77777777" w:rsidR="00AB64A5" w:rsidRPr="00715939" w:rsidRDefault="00AB64A5" w:rsidP="00715939">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715939">
        <w:rPr>
          <w:rFonts w:ascii="Verdana" w:eastAsia="Century Gothic" w:hAnsi="Verdana" w:cs="Century Gothic"/>
          <w:b/>
          <w:bCs/>
        </w:rPr>
        <w:t>Problema planteado:</w:t>
      </w:r>
    </w:p>
    <w:p w14:paraId="00DEDA85" w14:textId="77777777" w:rsidR="00AB64A5" w:rsidRPr="00715939" w:rsidRDefault="00AB64A5" w:rsidP="00715939">
      <w:pPr>
        <w:tabs>
          <w:tab w:val="left" w:pos="426"/>
        </w:tabs>
        <w:spacing w:after="0" w:line="276" w:lineRule="auto"/>
        <w:jc w:val="both"/>
        <w:rPr>
          <w:rFonts w:ascii="Verdana" w:eastAsia="Century Gothic" w:hAnsi="Verdana" w:cs="Century Gothic"/>
          <w:lang w:val="es-ES"/>
        </w:rPr>
      </w:pPr>
    </w:p>
    <w:p w14:paraId="510EDFE3" w14:textId="35832D85" w:rsidR="00CD258B" w:rsidRDefault="00AB64A5" w:rsidP="009C0230">
      <w:pPr>
        <w:spacing w:after="0" w:line="276" w:lineRule="auto"/>
        <w:ind w:right="49"/>
        <w:jc w:val="both"/>
        <w:rPr>
          <w:rFonts w:ascii="Verdana" w:eastAsia="Calibri" w:hAnsi="Verdana" w:cs="Arial"/>
          <w:lang w:eastAsia="es-ES"/>
        </w:rPr>
      </w:pPr>
      <w:r w:rsidRPr="00715939">
        <w:rPr>
          <w:rFonts w:ascii="Verdana" w:eastAsia="Century Gothic" w:hAnsi="Verdana" w:cs="Century Gothic"/>
        </w:rPr>
        <w:t xml:space="preserve">De acuerdo con el contenido de su solicitud, esta Agencia resolverá </w:t>
      </w:r>
      <w:r w:rsidR="00AE18F1">
        <w:rPr>
          <w:rFonts w:ascii="Verdana" w:eastAsia="Century Gothic" w:hAnsi="Verdana" w:cs="Century Gothic"/>
        </w:rPr>
        <w:t>los</w:t>
      </w:r>
      <w:r w:rsidRPr="00715939">
        <w:rPr>
          <w:rFonts w:ascii="Verdana" w:eastAsia="Century Gothic" w:hAnsi="Verdana" w:cs="Century Gothic"/>
        </w:rPr>
        <w:t xml:space="preserve"> siguiente</w:t>
      </w:r>
      <w:r w:rsidR="00AE18F1">
        <w:rPr>
          <w:rFonts w:ascii="Verdana" w:eastAsia="Century Gothic" w:hAnsi="Verdana" w:cs="Century Gothic"/>
        </w:rPr>
        <w:t>s</w:t>
      </w:r>
      <w:r w:rsidRPr="00715939">
        <w:rPr>
          <w:rFonts w:ascii="Verdana" w:eastAsia="Century Gothic" w:hAnsi="Verdana" w:cs="Century Gothic"/>
        </w:rPr>
        <w:t xml:space="preserve"> problema</w:t>
      </w:r>
      <w:r w:rsidR="00AE18F1">
        <w:rPr>
          <w:rFonts w:ascii="Verdana" w:eastAsia="Century Gothic" w:hAnsi="Verdana" w:cs="Century Gothic"/>
        </w:rPr>
        <w:t>s</w:t>
      </w:r>
      <w:r w:rsidRPr="00715939">
        <w:rPr>
          <w:rFonts w:ascii="Verdana" w:eastAsia="Century Gothic" w:hAnsi="Verdana" w:cs="Century Gothic"/>
        </w:rPr>
        <w:t xml:space="preserve"> jurídico</w:t>
      </w:r>
      <w:r w:rsidR="00AE18F1">
        <w:rPr>
          <w:rFonts w:ascii="Verdana" w:eastAsia="Century Gothic" w:hAnsi="Verdana" w:cs="Century Gothic"/>
        </w:rPr>
        <w:t>s</w:t>
      </w:r>
      <w:r w:rsidRPr="00715939">
        <w:rPr>
          <w:rFonts w:ascii="Verdana" w:eastAsia="Century Gothic" w:hAnsi="Verdana" w:cs="Century Gothic"/>
        </w:rPr>
        <w:t>:</w:t>
      </w:r>
      <w:r w:rsidR="00FC3EC1" w:rsidRPr="00715939">
        <w:rPr>
          <w:rFonts w:ascii="Verdana" w:eastAsia="Century Gothic" w:hAnsi="Verdana" w:cs="Century Gothic"/>
        </w:rPr>
        <w:t xml:space="preserve"> </w:t>
      </w:r>
      <w:r w:rsidR="009C0230" w:rsidRPr="009C0230">
        <w:rPr>
          <w:rFonts w:ascii="Verdana" w:eastAsia="Calibri" w:hAnsi="Verdana" w:cs="Arial"/>
          <w:lang w:eastAsia="es-ES"/>
        </w:rPr>
        <w:t xml:space="preserve">i) ¿Es viable que una Entidad Estatal celebre contratos de mandato para representación judicial?; </w:t>
      </w:r>
      <w:proofErr w:type="spellStart"/>
      <w:r w:rsidR="009C0230" w:rsidRPr="009C0230">
        <w:rPr>
          <w:rFonts w:ascii="Verdana" w:eastAsia="Calibri" w:hAnsi="Verdana" w:cs="Arial"/>
          <w:lang w:eastAsia="es-ES"/>
        </w:rPr>
        <w:t>ii</w:t>
      </w:r>
      <w:proofErr w:type="spellEnd"/>
      <w:r w:rsidR="009C0230" w:rsidRPr="009C0230">
        <w:rPr>
          <w:rFonts w:ascii="Verdana" w:eastAsia="Calibri" w:hAnsi="Verdana" w:cs="Arial"/>
          <w:lang w:eastAsia="es-ES"/>
        </w:rPr>
        <w:t xml:space="preserve">) ¿Cuáles son los mecanismos que tiene la Entidad Estatal ante el incumplimiento de un contrato durante su ejecución, y es viable proceder a su liquidación?; </w:t>
      </w:r>
      <w:proofErr w:type="spellStart"/>
      <w:r w:rsidR="009C0230" w:rsidRPr="009C0230">
        <w:rPr>
          <w:rFonts w:ascii="Verdana" w:eastAsia="Calibri" w:hAnsi="Verdana" w:cs="Arial"/>
          <w:lang w:eastAsia="es-ES"/>
        </w:rPr>
        <w:t>iii</w:t>
      </w:r>
      <w:proofErr w:type="spellEnd"/>
      <w:r w:rsidR="009C0230" w:rsidRPr="009C0230">
        <w:rPr>
          <w:rFonts w:ascii="Verdana" w:eastAsia="Calibri" w:hAnsi="Verdana" w:cs="Arial"/>
          <w:lang w:eastAsia="es-ES"/>
        </w:rPr>
        <w:t>) ¿En caso de celebrarse un contrato de mandato por parte de una Entidad Estatal se debe publicar en el Sistema Electrónico de Contratación Pública?.</w:t>
      </w:r>
    </w:p>
    <w:p w14:paraId="4A96489D" w14:textId="77777777" w:rsidR="009C0230" w:rsidRPr="00715939" w:rsidRDefault="009C0230" w:rsidP="009C0230">
      <w:pPr>
        <w:spacing w:after="0" w:line="276" w:lineRule="auto"/>
        <w:ind w:right="49"/>
        <w:jc w:val="both"/>
        <w:rPr>
          <w:rFonts w:ascii="Verdana" w:eastAsia="Century Gothic" w:hAnsi="Verdana" w:cs="Century Gothic"/>
          <w:lang w:val="es-ES"/>
        </w:rPr>
      </w:pPr>
    </w:p>
    <w:p w14:paraId="7105E377" w14:textId="77777777" w:rsidR="00AB64A5" w:rsidRPr="00715939" w:rsidRDefault="00AB64A5" w:rsidP="0071593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5939">
        <w:rPr>
          <w:rFonts w:ascii="Verdana" w:eastAsia="Century Gothic" w:hAnsi="Verdana" w:cs="Century Gothic"/>
          <w:b/>
          <w:bCs/>
        </w:rPr>
        <w:t>Respuesta:</w:t>
      </w:r>
    </w:p>
    <w:p w14:paraId="09F450DC" w14:textId="77777777" w:rsidR="00AB64A5" w:rsidRPr="00715939" w:rsidRDefault="00AB64A5" w:rsidP="0071593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64A5" w:rsidRPr="00715939" w14:paraId="7E3B28CD" w14:textId="77777777" w:rsidTr="007B0B27">
        <w:tc>
          <w:tcPr>
            <w:tcW w:w="8828" w:type="dxa"/>
          </w:tcPr>
          <w:p w14:paraId="2FB1EF56" w14:textId="77777777" w:rsidR="009C0230" w:rsidRDefault="009C0230" w:rsidP="009C0230">
            <w:pPr>
              <w:spacing w:line="276" w:lineRule="auto"/>
              <w:jc w:val="both"/>
              <w:rPr>
                <w:rFonts w:ascii="Verdana" w:eastAsia="Calibri" w:hAnsi="Verdana" w:cs="Arial"/>
              </w:rPr>
            </w:pPr>
            <w:r w:rsidRPr="009C0230">
              <w:rPr>
                <w:rFonts w:ascii="Verdana" w:eastAsia="Calibri" w:hAnsi="Verdana" w:cs="Arial"/>
              </w:rPr>
              <w:t xml:space="preserve">En respuesta a los problemas planteado la Subdirección manifiesta: </w:t>
            </w:r>
          </w:p>
          <w:p w14:paraId="6249B938" w14:textId="77777777" w:rsidR="009C0230" w:rsidRDefault="009C0230" w:rsidP="009C0230">
            <w:pPr>
              <w:spacing w:line="276" w:lineRule="auto"/>
              <w:jc w:val="both"/>
              <w:rPr>
                <w:rFonts w:ascii="Verdana" w:eastAsia="Calibri" w:hAnsi="Verdana" w:cs="Arial"/>
              </w:rPr>
            </w:pPr>
          </w:p>
          <w:p w14:paraId="6197E30F" w14:textId="77777777" w:rsidR="008A3960" w:rsidRDefault="009C0230" w:rsidP="009C0230">
            <w:pPr>
              <w:spacing w:line="276" w:lineRule="auto"/>
              <w:jc w:val="both"/>
              <w:rPr>
                <w:rFonts w:ascii="Verdana" w:eastAsia="Calibri" w:hAnsi="Verdana" w:cs="Arial"/>
              </w:rPr>
            </w:pPr>
            <w:r w:rsidRPr="009C0230">
              <w:rPr>
                <w:rFonts w:ascii="Verdana" w:eastAsia="Calibri" w:hAnsi="Verdana" w:cs="Arial"/>
              </w:rPr>
              <w:t xml:space="preserve">Respecto de la </w:t>
            </w:r>
            <w:r w:rsidRPr="009C0230">
              <w:rPr>
                <w:rFonts w:ascii="Verdana" w:eastAsia="Calibri" w:hAnsi="Verdana" w:cs="Arial"/>
                <w:i/>
                <w:iCs/>
              </w:rPr>
              <w:t xml:space="preserve">primera </w:t>
            </w:r>
            <w:r w:rsidRPr="009C0230">
              <w:rPr>
                <w:rFonts w:ascii="Verdana" w:eastAsia="Calibri" w:hAnsi="Verdana" w:cs="Arial"/>
              </w:rPr>
              <w:t>cuestión se indica que, de acuerdo con lo dispuesto en los artículos 13 y 32 de la Ley 80 de 1993, las Entidades Estatales se encuentra facultadas para celebrar todos los negocios jurídicos tipificados en el Estatuto General de Contratación de la Administración Pública, así como aquellos previstos en el derecho privado o en disposiciones especiales o derivados del ejercicio de la autonomía de la voluntad. Esto implica que, por ejemplo, las Entidades Estatales puedan celebrar contratos de mandato y/o de prestación de servicios cuando requieran la prestación de servicios de representación judicial por parte abogados.</w:t>
            </w:r>
          </w:p>
          <w:p w14:paraId="52609C29" w14:textId="0481F879" w:rsidR="00982E6E" w:rsidRDefault="00982E6E" w:rsidP="009C0230">
            <w:pPr>
              <w:spacing w:line="276" w:lineRule="auto"/>
              <w:jc w:val="both"/>
              <w:rPr>
                <w:rFonts w:ascii="Verdana" w:eastAsia="Calibri" w:hAnsi="Verdana" w:cs="Arial"/>
              </w:rPr>
            </w:pPr>
            <w:r>
              <w:rPr>
                <w:rFonts w:ascii="Verdana" w:eastAsia="Calibri" w:hAnsi="Verdana" w:cs="Arial"/>
              </w:rPr>
              <w:t xml:space="preserve">    </w:t>
            </w:r>
            <w:r w:rsidRPr="00982E6E">
              <w:rPr>
                <w:rFonts w:ascii="Verdana" w:eastAsia="Calibri" w:hAnsi="Verdana" w:cs="Arial"/>
              </w:rPr>
              <w:t xml:space="preserve">De otra parte, </w:t>
            </w:r>
            <w:proofErr w:type="gramStart"/>
            <w:r w:rsidRPr="00982E6E">
              <w:rPr>
                <w:rFonts w:ascii="Verdana" w:eastAsia="Calibri" w:hAnsi="Verdana" w:cs="Arial"/>
              </w:rPr>
              <w:t xml:space="preserve">respecto de la </w:t>
            </w:r>
            <w:r w:rsidRPr="00982E6E">
              <w:rPr>
                <w:rFonts w:ascii="Verdana" w:eastAsia="Calibri" w:hAnsi="Verdana" w:cs="Arial"/>
                <w:i/>
                <w:iCs/>
              </w:rPr>
              <w:t>segundo</w:t>
            </w:r>
            <w:r w:rsidRPr="00982E6E">
              <w:rPr>
                <w:rFonts w:ascii="Verdana" w:eastAsia="Calibri" w:hAnsi="Verdana" w:cs="Arial"/>
              </w:rPr>
              <w:t xml:space="preserve"> problema planteado</w:t>
            </w:r>
            <w:proofErr w:type="gramEnd"/>
            <w:r w:rsidRPr="00982E6E">
              <w:rPr>
                <w:rFonts w:ascii="Verdana" w:eastAsia="Calibri" w:hAnsi="Verdana" w:cs="Arial"/>
              </w:rPr>
              <w:t xml:space="preserve"> es importante acotar que, de conformidad con lo previsto en el artículo 17 de la Ley 1150 de 2007, tienen la potestad de: i) imponer las multas pactadas en el contrato, a efectos de conminar al contratista a frente incumplimientos parciales; y </w:t>
            </w:r>
            <w:proofErr w:type="spellStart"/>
            <w:r w:rsidRPr="00982E6E">
              <w:rPr>
                <w:rFonts w:ascii="Verdana" w:eastAsia="Calibri" w:hAnsi="Verdana" w:cs="Arial"/>
              </w:rPr>
              <w:t>ii</w:t>
            </w:r>
            <w:proofErr w:type="spellEnd"/>
            <w:r w:rsidRPr="00982E6E">
              <w:rPr>
                <w:rFonts w:ascii="Verdana" w:eastAsia="Calibri" w:hAnsi="Verdana" w:cs="Arial"/>
              </w:rPr>
              <w:t xml:space="preserve">) </w:t>
            </w:r>
            <w:r w:rsidRPr="00982E6E">
              <w:rPr>
                <w:rFonts w:ascii="Verdana" w:eastAsia="Calibri" w:hAnsi="Verdana" w:cs="Arial"/>
              </w:rPr>
              <w:lastRenderedPageBreak/>
              <w:t>declarar el incumplimiento para hacer efectiva la cláusula penal. Para estos efectos las Entidades Estatales deben garantizar el derecho al debido proceso del contratista adelantado el procedimiento dispuesto en el artículo 86 de la Ley 1474 de 2011</w:t>
            </w:r>
            <w:r w:rsidR="00412DE6">
              <w:rPr>
                <w:rFonts w:ascii="Verdana" w:eastAsia="Calibri" w:hAnsi="Verdana" w:cs="Arial"/>
              </w:rPr>
              <w:t>.</w:t>
            </w:r>
          </w:p>
          <w:p w14:paraId="0FB0A5E3" w14:textId="77777777" w:rsidR="00412DE6" w:rsidRDefault="00412DE6" w:rsidP="009C0230">
            <w:pPr>
              <w:spacing w:line="276" w:lineRule="auto"/>
              <w:jc w:val="both"/>
              <w:rPr>
                <w:rFonts w:ascii="Verdana" w:eastAsia="Calibri" w:hAnsi="Verdana" w:cs="Arial"/>
              </w:rPr>
            </w:pPr>
          </w:p>
          <w:p w14:paraId="78D112C6" w14:textId="77777777" w:rsidR="007F56B2" w:rsidRDefault="00412DE6" w:rsidP="009C0230">
            <w:pPr>
              <w:spacing w:line="276" w:lineRule="auto"/>
              <w:jc w:val="both"/>
              <w:rPr>
                <w:rFonts w:ascii="Verdana" w:eastAsia="Calibri" w:hAnsi="Verdana" w:cs="Arial"/>
              </w:rPr>
            </w:pPr>
            <w:r>
              <w:rPr>
                <w:rFonts w:ascii="Verdana" w:eastAsia="Calibri" w:hAnsi="Verdana" w:cs="Arial"/>
              </w:rPr>
              <w:t xml:space="preserve">    </w:t>
            </w:r>
            <w:r w:rsidRPr="00412DE6">
              <w:rPr>
                <w:rFonts w:ascii="Verdana" w:eastAsia="Calibri" w:hAnsi="Verdana" w:cs="Arial"/>
              </w:rPr>
              <w:t>Frente a la liquidación del contrato, entendida como el un balance final o corte definitivo de las cuentas derivadas de la relación negocial, es pertinente acotar que son las Entidades Estatales a quienes, en ejercicio de su autonomía de la voluntad y de conformidad con los criterios de la naturaleza, objeto y plazo del contrato, están llamadas a definir en el pliego de condiciones o en el contrato el plazo para efectuar la liquidación de mutuo acuerdo. Pero, en ausencia de pacto contractual, el artículo 11 de la Ley 1150 de 2007 prevé un término supletivo de 4 meses contados desde: i) el vencimiento del plazo</w:t>
            </w:r>
            <w:r>
              <w:rPr>
                <w:rFonts w:ascii="Verdana" w:eastAsia="Calibri" w:hAnsi="Verdana" w:cs="Arial"/>
              </w:rPr>
              <w:t xml:space="preserve"> </w:t>
            </w:r>
            <w:r w:rsidRPr="00412DE6">
              <w:rPr>
                <w:rFonts w:ascii="Verdana" w:eastAsia="Calibri" w:hAnsi="Verdana" w:cs="Arial"/>
              </w:rPr>
              <w:t xml:space="preserve">previsto para la ejecución del contrato; </w:t>
            </w:r>
            <w:proofErr w:type="spellStart"/>
            <w:r w:rsidRPr="00412DE6">
              <w:rPr>
                <w:rFonts w:ascii="Verdana" w:eastAsia="Calibri" w:hAnsi="Verdana" w:cs="Arial"/>
              </w:rPr>
              <w:t>ii</w:t>
            </w:r>
            <w:proofErr w:type="spellEnd"/>
            <w:r w:rsidRPr="00412DE6">
              <w:rPr>
                <w:rFonts w:ascii="Verdana" w:eastAsia="Calibri" w:hAnsi="Verdana" w:cs="Arial"/>
              </w:rPr>
              <w:t xml:space="preserve">) la expedición del acto administrativo que ordene la terminación del contrato; o, </w:t>
            </w:r>
            <w:proofErr w:type="spellStart"/>
            <w:r w:rsidRPr="00412DE6">
              <w:rPr>
                <w:rFonts w:ascii="Verdana" w:eastAsia="Calibri" w:hAnsi="Verdana" w:cs="Arial"/>
              </w:rPr>
              <w:t>iii</w:t>
            </w:r>
            <w:proofErr w:type="spellEnd"/>
            <w:r w:rsidRPr="00412DE6">
              <w:rPr>
                <w:rFonts w:ascii="Verdana" w:eastAsia="Calibri" w:hAnsi="Verdana" w:cs="Arial"/>
              </w:rPr>
              <w:t xml:space="preserve">) la fecha del acuerdo que disponga la terminación del contrato. </w:t>
            </w:r>
          </w:p>
          <w:p w14:paraId="74CA99D1" w14:textId="77777777" w:rsidR="007F56B2" w:rsidRDefault="007F56B2" w:rsidP="009C0230">
            <w:pPr>
              <w:spacing w:line="276" w:lineRule="auto"/>
              <w:jc w:val="both"/>
              <w:rPr>
                <w:rFonts w:ascii="Verdana" w:eastAsia="Calibri" w:hAnsi="Verdana" w:cs="Arial"/>
              </w:rPr>
            </w:pPr>
          </w:p>
          <w:p w14:paraId="3897F135" w14:textId="43CDF090" w:rsidR="00412DE6" w:rsidRDefault="007F56B2" w:rsidP="009C0230">
            <w:pPr>
              <w:spacing w:line="276" w:lineRule="auto"/>
              <w:jc w:val="both"/>
              <w:rPr>
                <w:rFonts w:ascii="Verdana" w:eastAsia="Calibri" w:hAnsi="Verdana" w:cs="Arial"/>
              </w:rPr>
            </w:pPr>
            <w:r>
              <w:rPr>
                <w:rFonts w:ascii="Verdana" w:eastAsia="Calibri" w:hAnsi="Verdana" w:cs="Arial"/>
              </w:rPr>
              <w:t xml:space="preserve">   </w:t>
            </w:r>
            <w:r w:rsidR="00412DE6" w:rsidRPr="00412DE6">
              <w:rPr>
                <w:rFonts w:ascii="Verdana" w:eastAsia="Calibri" w:hAnsi="Verdana" w:cs="Arial"/>
              </w:rPr>
              <w:t xml:space="preserve">Frente al particular se aclara que, de conformidad con el artículo 14 de la Ley 80 de 1993, las cláusulas exorbitantes de terminación unilateral solo se encuentran previstas en para aquello contratos por objeto el ejercicio de una actividad que constituya monopolio estatal, la prestación de servicios públicos, los contratos relacionados con el programa de alimentación escolar o la explotación y concesión de bienes del Estado. Estos contratos, podrán ser terminados unilateralmente con el fin de evitar la paralización o la afectación grave de los servicios públicos a su cargo y asegurar la inmediata, continua y adecuada prestación. Esta posibilidad se extiende a aquellos contratos suministro y de prestación de servicios en los que expresamente se prevean. </w:t>
            </w:r>
          </w:p>
          <w:p w14:paraId="740A761A" w14:textId="77777777" w:rsidR="00412DE6" w:rsidRDefault="00412DE6" w:rsidP="009C0230">
            <w:pPr>
              <w:spacing w:line="276" w:lineRule="auto"/>
              <w:jc w:val="both"/>
              <w:rPr>
                <w:rFonts w:ascii="Verdana" w:eastAsia="Calibri" w:hAnsi="Verdana" w:cs="Arial"/>
              </w:rPr>
            </w:pPr>
          </w:p>
          <w:p w14:paraId="414BD1EC" w14:textId="0DDF7144" w:rsidR="00412DE6" w:rsidRDefault="00412DE6" w:rsidP="009C0230">
            <w:pPr>
              <w:spacing w:line="276" w:lineRule="auto"/>
              <w:jc w:val="both"/>
              <w:rPr>
                <w:rFonts w:ascii="Verdana" w:eastAsia="Calibri" w:hAnsi="Verdana" w:cs="Arial"/>
              </w:rPr>
            </w:pPr>
            <w:r>
              <w:rPr>
                <w:rFonts w:ascii="Verdana" w:eastAsia="Calibri" w:hAnsi="Verdana" w:cs="Arial"/>
              </w:rPr>
              <w:t xml:space="preserve">  </w:t>
            </w:r>
            <w:r w:rsidRPr="00412DE6">
              <w:rPr>
                <w:rFonts w:ascii="Verdana" w:eastAsia="Calibri" w:hAnsi="Verdana" w:cs="Arial"/>
              </w:rPr>
              <w:t xml:space="preserve">Por último, frente al </w:t>
            </w:r>
            <w:r w:rsidRPr="007F56B2">
              <w:rPr>
                <w:rFonts w:ascii="Verdana" w:eastAsia="Calibri" w:hAnsi="Verdana" w:cs="Arial"/>
                <w:i/>
                <w:iCs/>
              </w:rPr>
              <w:t>tercer</w:t>
            </w:r>
            <w:r w:rsidRPr="00412DE6">
              <w:rPr>
                <w:rFonts w:ascii="Verdana" w:eastAsia="Calibri" w:hAnsi="Verdana" w:cs="Arial"/>
              </w:rPr>
              <w:t xml:space="preserve"> interrogante, se advierte que, de acuerdo con el artículo 3 de la Ley 1150 de 2007, reglamentado por el artículo 2.2.1.1.1.7.1 del Decreto 1082 de 2015, todas las Entidades Estatales que contratan con cargo a recursos públicos deben publicar su actividad contractual en el SECOP</w:t>
            </w:r>
            <w:r>
              <w:rPr>
                <w:rFonts w:ascii="Verdana" w:eastAsia="Calibri" w:hAnsi="Verdana" w:cs="Arial"/>
              </w:rPr>
              <w:t>.</w:t>
            </w:r>
          </w:p>
          <w:p w14:paraId="4108809F" w14:textId="58377328" w:rsidR="00982E6E" w:rsidRPr="00715939" w:rsidRDefault="00982E6E" w:rsidP="009C0230">
            <w:pPr>
              <w:spacing w:line="276" w:lineRule="auto"/>
              <w:jc w:val="both"/>
              <w:rPr>
                <w:rFonts w:ascii="Verdana" w:eastAsia="Calibri" w:hAnsi="Verdana" w:cs="Arial"/>
                <w:lang w:val="es-ES"/>
              </w:rPr>
            </w:pPr>
          </w:p>
        </w:tc>
      </w:tr>
    </w:tbl>
    <w:p w14:paraId="0BD98629" w14:textId="77777777" w:rsidR="008A3960" w:rsidRPr="00715939" w:rsidRDefault="008A3960" w:rsidP="0071593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4193F0" w14:textId="320F310D" w:rsidR="00AB64A5" w:rsidRPr="00715939" w:rsidRDefault="00AB64A5" w:rsidP="0071593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5939">
        <w:rPr>
          <w:rFonts w:ascii="Verdana" w:eastAsia="Century Gothic" w:hAnsi="Verdana" w:cs="Century Gothic"/>
          <w:b/>
          <w:bCs/>
        </w:rPr>
        <w:t>Razones de la respuesta:</w:t>
      </w:r>
    </w:p>
    <w:p w14:paraId="03D52260" w14:textId="77777777" w:rsidR="00AB64A5" w:rsidRPr="00715939" w:rsidRDefault="00AB64A5" w:rsidP="00715939">
      <w:pPr>
        <w:spacing w:after="0" w:line="276" w:lineRule="auto"/>
        <w:jc w:val="both"/>
        <w:rPr>
          <w:rFonts w:ascii="Verdana" w:eastAsia="Calibri" w:hAnsi="Verdana" w:cs="Arial"/>
          <w:color w:val="7030A0"/>
          <w:lang w:val="es-ES"/>
        </w:rPr>
      </w:pPr>
    </w:p>
    <w:p w14:paraId="22947B98" w14:textId="77777777" w:rsidR="00AB64A5" w:rsidRPr="00715939" w:rsidRDefault="00AB64A5" w:rsidP="00715939">
      <w:pPr>
        <w:spacing w:after="0" w:line="276" w:lineRule="auto"/>
        <w:jc w:val="both"/>
        <w:rPr>
          <w:rFonts w:ascii="Verdana" w:eastAsia="Calibri" w:hAnsi="Verdana" w:cs="Arial"/>
          <w:lang w:val="es-ES"/>
        </w:rPr>
      </w:pPr>
      <w:r w:rsidRPr="00715939">
        <w:rPr>
          <w:rFonts w:ascii="Verdana" w:eastAsia="Calibri" w:hAnsi="Verdana" w:cs="Arial"/>
          <w:lang w:val="es-ES"/>
        </w:rPr>
        <w:t xml:space="preserve">Lo anterior se sustenta en las siguientes consideraciones: </w:t>
      </w:r>
    </w:p>
    <w:p w14:paraId="1B0B6DAD" w14:textId="77777777" w:rsidR="000E2148" w:rsidRPr="00715939" w:rsidRDefault="000E2148" w:rsidP="00715939">
      <w:pPr>
        <w:spacing w:after="0" w:line="276" w:lineRule="auto"/>
        <w:jc w:val="both"/>
        <w:rPr>
          <w:rFonts w:ascii="Verdana" w:eastAsia="Calibri" w:hAnsi="Verdana" w:cs="Arial"/>
          <w:lang w:val="es-ES"/>
        </w:rPr>
      </w:pPr>
    </w:p>
    <w:p w14:paraId="6274106F" w14:textId="40A56704" w:rsidR="00283C1D" w:rsidRPr="00715939" w:rsidRDefault="00283C1D" w:rsidP="00715939">
      <w:pPr>
        <w:pStyle w:val="Textoindependiente"/>
        <w:spacing w:before="1" w:line="276" w:lineRule="auto"/>
        <w:ind w:right="49"/>
        <w:jc w:val="both"/>
      </w:pPr>
      <w:bookmarkStart w:id="3" w:name="_Hlk176447385"/>
      <w:r w:rsidRPr="00715939">
        <w:t>Tratándose</w:t>
      </w:r>
      <w:r w:rsidRPr="00715939">
        <w:rPr>
          <w:spacing w:val="-9"/>
        </w:rPr>
        <w:t xml:space="preserve"> </w:t>
      </w:r>
      <w:r w:rsidRPr="00715939">
        <w:t>de</w:t>
      </w:r>
      <w:r w:rsidRPr="00715939">
        <w:rPr>
          <w:spacing w:val="-11"/>
        </w:rPr>
        <w:t xml:space="preserve"> </w:t>
      </w:r>
      <w:r w:rsidRPr="00715939">
        <w:t>contratos</w:t>
      </w:r>
      <w:r w:rsidRPr="00715939">
        <w:rPr>
          <w:spacing w:val="-9"/>
        </w:rPr>
        <w:t xml:space="preserve"> </w:t>
      </w:r>
      <w:r w:rsidRPr="00715939">
        <w:t>estatales,</w:t>
      </w:r>
      <w:r w:rsidRPr="00715939">
        <w:rPr>
          <w:spacing w:val="-8"/>
        </w:rPr>
        <w:t xml:space="preserve"> </w:t>
      </w:r>
      <w:r w:rsidRPr="00715939">
        <w:t>conforme</w:t>
      </w:r>
      <w:r w:rsidRPr="00715939">
        <w:rPr>
          <w:spacing w:val="-9"/>
        </w:rPr>
        <w:t xml:space="preserve"> </w:t>
      </w:r>
      <w:r w:rsidRPr="00715939">
        <w:t>a</w:t>
      </w:r>
      <w:r w:rsidRPr="00715939">
        <w:rPr>
          <w:spacing w:val="-11"/>
        </w:rPr>
        <w:t xml:space="preserve"> </w:t>
      </w:r>
      <w:r w:rsidRPr="00715939">
        <w:t>la</w:t>
      </w:r>
      <w:r w:rsidRPr="00715939">
        <w:rPr>
          <w:spacing w:val="-11"/>
        </w:rPr>
        <w:t xml:space="preserve"> </w:t>
      </w:r>
      <w:r w:rsidRPr="00715939">
        <w:t>regulación del EGCAP, confluyen una mixtura entre el derecho público y privado en su regulación. En efecto, i) los contratos estatales se regirán por las normas comerciales y civiles pertinentes, salvo en lo concerniente a las materias particularmente</w:t>
      </w:r>
      <w:r w:rsidRPr="00715939">
        <w:rPr>
          <w:spacing w:val="-9"/>
        </w:rPr>
        <w:t xml:space="preserve"> </w:t>
      </w:r>
      <w:r w:rsidRPr="00715939">
        <w:t>reguladas</w:t>
      </w:r>
      <w:r w:rsidRPr="00715939">
        <w:rPr>
          <w:spacing w:val="-11"/>
        </w:rPr>
        <w:t xml:space="preserve"> </w:t>
      </w:r>
      <w:r w:rsidRPr="00715939">
        <w:t>en</w:t>
      </w:r>
      <w:r w:rsidRPr="00715939">
        <w:rPr>
          <w:spacing w:val="-14"/>
        </w:rPr>
        <w:t xml:space="preserve"> </w:t>
      </w:r>
      <w:r w:rsidRPr="00715939">
        <w:t>dicha</w:t>
      </w:r>
      <w:r w:rsidRPr="00715939">
        <w:rPr>
          <w:spacing w:val="-12"/>
        </w:rPr>
        <w:t xml:space="preserve"> </w:t>
      </w:r>
      <w:r w:rsidRPr="00715939">
        <w:t>ley,</w:t>
      </w:r>
      <w:r w:rsidRPr="00715939">
        <w:rPr>
          <w:spacing w:val="-13"/>
        </w:rPr>
        <w:t xml:space="preserve"> </w:t>
      </w:r>
      <w:r w:rsidRPr="00715939">
        <w:t>de</w:t>
      </w:r>
      <w:r w:rsidRPr="00715939">
        <w:rPr>
          <w:spacing w:val="-14"/>
        </w:rPr>
        <w:t xml:space="preserve"> </w:t>
      </w:r>
      <w:r w:rsidRPr="00715939">
        <w:t>acuerdo</w:t>
      </w:r>
      <w:r w:rsidRPr="00715939">
        <w:rPr>
          <w:spacing w:val="-11"/>
        </w:rPr>
        <w:t xml:space="preserve"> </w:t>
      </w:r>
      <w:r w:rsidRPr="00715939">
        <w:t>con</w:t>
      </w:r>
      <w:r w:rsidRPr="00715939">
        <w:rPr>
          <w:spacing w:val="-14"/>
        </w:rPr>
        <w:t xml:space="preserve"> </w:t>
      </w:r>
      <w:r w:rsidRPr="00715939">
        <w:t>lo</w:t>
      </w:r>
      <w:r w:rsidRPr="00715939">
        <w:rPr>
          <w:spacing w:val="-15"/>
        </w:rPr>
        <w:t xml:space="preserve"> </w:t>
      </w:r>
      <w:r w:rsidRPr="00715939">
        <w:t>prescrito</w:t>
      </w:r>
      <w:r w:rsidRPr="00715939">
        <w:rPr>
          <w:spacing w:val="-10"/>
        </w:rPr>
        <w:t xml:space="preserve"> </w:t>
      </w:r>
      <w:r w:rsidRPr="00715939">
        <w:t>en</w:t>
      </w:r>
      <w:r w:rsidRPr="00715939">
        <w:rPr>
          <w:spacing w:val="-14"/>
        </w:rPr>
        <w:t xml:space="preserve"> </w:t>
      </w:r>
      <w:r w:rsidRPr="00715939">
        <w:t>el</w:t>
      </w:r>
      <w:r w:rsidRPr="00715939">
        <w:rPr>
          <w:spacing w:val="-14"/>
        </w:rPr>
        <w:t xml:space="preserve"> </w:t>
      </w:r>
      <w:r w:rsidRPr="00715939">
        <w:t>inciso primero del artículo 13 de la Ley 80 de 1993, por lo que deben observarse en primer término las</w:t>
      </w:r>
      <w:r w:rsidRPr="00715939">
        <w:rPr>
          <w:spacing w:val="-1"/>
        </w:rPr>
        <w:t xml:space="preserve"> </w:t>
      </w:r>
      <w:r w:rsidRPr="00715939">
        <w:t>disposiciones establecidas en</w:t>
      </w:r>
      <w:r w:rsidRPr="00715939">
        <w:rPr>
          <w:spacing w:val="-1"/>
        </w:rPr>
        <w:t xml:space="preserve"> </w:t>
      </w:r>
      <w:r w:rsidRPr="00715939">
        <w:t>el</w:t>
      </w:r>
      <w:r w:rsidRPr="00715939">
        <w:rPr>
          <w:spacing w:val="-1"/>
        </w:rPr>
        <w:t xml:space="preserve"> </w:t>
      </w:r>
      <w:r w:rsidRPr="00715939">
        <w:t>EGCAP;</w:t>
      </w:r>
      <w:r w:rsidRPr="00715939">
        <w:rPr>
          <w:spacing w:val="-2"/>
        </w:rPr>
        <w:t xml:space="preserve"> </w:t>
      </w:r>
      <w:proofErr w:type="spellStart"/>
      <w:r w:rsidRPr="00715939">
        <w:t>ii</w:t>
      </w:r>
      <w:proofErr w:type="spellEnd"/>
      <w:r w:rsidRPr="00715939">
        <w:t>)</w:t>
      </w:r>
      <w:r w:rsidRPr="00715939">
        <w:rPr>
          <w:spacing w:val="-2"/>
        </w:rPr>
        <w:t xml:space="preserve"> </w:t>
      </w:r>
      <w:r w:rsidRPr="00715939">
        <w:t>corresponderán como</w:t>
      </w:r>
      <w:r w:rsidRPr="00715939">
        <w:rPr>
          <w:spacing w:val="-12"/>
        </w:rPr>
        <w:t xml:space="preserve"> </w:t>
      </w:r>
      <w:r w:rsidRPr="00715939">
        <w:t>actos</w:t>
      </w:r>
      <w:r w:rsidRPr="00715939">
        <w:rPr>
          <w:spacing w:val="-12"/>
        </w:rPr>
        <w:t xml:space="preserve"> </w:t>
      </w:r>
      <w:r w:rsidRPr="00715939">
        <w:t>jurídicos</w:t>
      </w:r>
      <w:r w:rsidRPr="00715939">
        <w:rPr>
          <w:spacing w:val="-11"/>
        </w:rPr>
        <w:t xml:space="preserve"> </w:t>
      </w:r>
      <w:r w:rsidRPr="00715939">
        <w:t>bilaterales</w:t>
      </w:r>
      <w:r w:rsidRPr="00715939">
        <w:rPr>
          <w:spacing w:val="-11"/>
        </w:rPr>
        <w:t xml:space="preserve"> </w:t>
      </w:r>
      <w:r w:rsidRPr="00715939">
        <w:t>generadores</w:t>
      </w:r>
      <w:r w:rsidRPr="00715939">
        <w:rPr>
          <w:spacing w:val="-11"/>
        </w:rPr>
        <w:t xml:space="preserve"> </w:t>
      </w:r>
      <w:r w:rsidRPr="00715939">
        <w:t>de</w:t>
      </w:r>
      <w:r w:rsidRPr="00715939">
        <w:rPr>
          <w:spacing w:val="-12"/>
        </w:rPr>
        <w:t xml:space="preserve"> </w:t>
      </w:r>
      <w:r w:rsidRPr="00715939">
        <w:t>obligaciones,</w:t>
      </w:r>
      <w:r w:rsidRPr="00715939">
        <w:rPr>
          <w:spacing w:val="-10"/>
        </w:rPr>
        <w:t xml:space="preserve"> </w:t>
      </w:r>
      <w:r w:rsidRPr="00715939">
        <w:t>entre</w:t>
      </w:r>
      <w:r w:rsidRPr="00715939">
        <w:rPr>
          <w:spacing w:val="-12"/>
        </w:rPr>
        <w:t xml:space="preserve"> </w:t>
      </w:r>
      <w:r w:rsidRPr="00715939">
        <w:t>otros,</w:t>
      </w:r>
      <w:r w:rsidRPr="00715939">
        <w:rPr>
          <w:spacing w:val="-12"/>
        </w:rPr>
        <w:t xml:space="preserve"> </w:t>
      </w:r>
      <w:r w:rsidRPr="00715939">
        <w:t>a</w:t>
      </w:r>
      <w:r w:rsidRPr="00715939">
        <w:rPr>
          <w:spacing w:val="-13"/>
        </w:rPr>
        <w:t xml:space="preserve"> </w:t>
      </w:r>
      <w:r w:rsidRPr="00715939">
        <w:t xml:space="preserve">los previstos en el derecho privado, en los términos del artículo 32 </w:t>
      </w:r>
      <w:r w:rsidRPr="00715939">
        <w:rPr>
          <w:i/>
        </w:rPr>
        <w:t>ibidem</w:t>
      </w:r>
      <w:r w:rsidRPr="00715939">
        <w:t xml:space="preserve">; y </w:t>
      </w:r>
      <w:proofErr w:type="spellStart"/>
      <w:r w:rsidRPr="00715939">
        <w:t>iii</w:t>
      </w:r>
      <w:proofErr w:type="spellEnd"/>
      <w:r w:rsidRPr="00715939">
        <w:t>) contendrán las estipulaciones que, de acuerdo con las normas civiles, comerciales</w:t>
      </w:r>
      <w:r w:rsidRPr="00715939">
        <w:rPr>
          <w:spacing w:val="-20"/>
        </w:rPr>
        <w:t xml:space="preserve"> </w:t>
      </w:r>
      <w:r w:rsidRPr="00715939">
        <w:t>y</w:t>
      </w:r>
      <w:r w:rsidRPr="00715939">
        <w:rPr>
          <w:spacing w:val="-19"/>
        </w:rPr>
        <w:t xml:space="preserve"> </w:t>
      </w:r>
      <w:r w:rsidRPr="00715939">
        <w:t>las</w:t>
      </w:r>
      <w:r w:rsidRPr="00715939">
        <w:rPr>
          <w:spacing w:val="-19"/>
        </w:rPr>
        <w:t xml:space="preserve"> </w:t>
      </w:r>
      <w:r w:rsidRPr="00715939">
        <w:t>previstas</w:t>
      </w:r>
      <w:r w:rsidRPr="00715939">
        <w:rPr>
          <w:spacing w:val="-20"/>
        </w:rPr>
        <w:t xml:space="preserve"> </w:t>
      </w:r>
      <w:r w:rsidRPr="00715939">
        <w:t>en</w:t>
      </w:r>
      <w:r w:rsidRPr="00715939">
        <w:rPr>
          <w:spacing w:val="-19"/>
        </w:rPr>
        <w:t xml:space="preserve"> </w:t>
      </w:r>
      <w:r w:rsidRPr="00715939">
        <w:t>esta</w:t>
      </w:r>
      <w:r w:rsidRPr="00715939">
        <w:rPr>
          <w:spacing w:val="-20"/>
        </w:rPr>
        <w:t xml:space="preserve"> </w:t>
      </w:r>
      <w:r w:rsidRPr="00715939">
        <w:t>ley,</w:t>
      </w:r>
      <w:r w:rsidRPr="00715939">
        <w:rPr>
          <w:spacing w:val="-19"/>
        </w:rPr>
        <w:t xml:space="preserve"> </w:t>
      </w:r>
      <w:r w:rsidRPr="00715939">
        <w:t>correspondan</w:t>
      </w:r>
      <w:r w:rsidRPr="00715939">
        <w:rPr>
          <w:spacing w:val="-19"/>
        </w:rPr>
        <w:t xml:space="preserve"> </w:t>
      </w:r>
      <w:r w:rsidRPr="00715939">
        <w:t>a</w:t>
      </w:r>
      <w:r w:rsidRPr="00715939">
        <w:rPr>
          <w:spacing w:val="-20"/>
        </w:rPr>
        <w:t xml:space="preserve"> </w:t>
      </w:r>
      <w:r w:rsidRPr="00715939">
        <w:t>su</w:t>
      </w:r>
      <w:r w:rsidRPr="00715939">
        <w:rPr>
          <w:spacing w:val="-19"/>
        </w:rPr>
        <w:t xml:space="preserve"> </w:t>
      </w:r>
      <w:r w:rsidRPr="00715939">
        <w:t>esencia</w:t>
      </w:r>
      <w:r w:rsidRPr="00715939">
        <w:rPr>
          <w:spacing w:val="-19"/>
        </w:rPr>
        <w:t xml:space="preserve"> </w:t>
      </w:r>
      <w:r w:rsidRPr="00715939">
        <w:t>y</w:t>
      </w:r>
      <w:r w:rsidRPr="00715939">
        <w:rPr>
          <w:spacing w:val="-20"/>
        </w:rPr>
        <w:t xml:space="preserve"> </w:t>
      </w:r>
      <w:r w:rsidRPr="00715939">
        <w:t xml:space="preserve">naturaleza, conforme a lo dispuesto por el artículo 40 </w:t>
      </w:r>
      <w:r w:rsidRPr="00715939">
        <w:rPr>
          <w:i/>
        </w:rPr>
        <w:t>ibidem</w:t>
      </w:r>
      <w:r w:rsidRPr="00715939">
        <w:t>.</w:t>
      </w:r>
      <w:bookmarkEnd w:id="3"/>
    </w:p>
    <w:p w14:paraId="67F1A707" w14:textId="77777777" w:rsidR="00715939" w:rsidRDefault="00715939" w:rsidP="00715939">
      <w:pPr>
        <w:tabs>
          <w:tab w:val="left" w:pos="426"/>
        </w:tabs>
        <w:spacing w:after="120" w:line="276" w:lineRule="auto"/>
        <w:jc w:val="both"/>
        <w:rPr>
          <w:rFonts w:ascii="Verdana" w:hAnsi="Verdana" w:cs="Arial"/>
          <w:lang w:val="es-ES"/>
        </w:rPr>
      </w:pPr>
    </w:p>
    <w:p w14:paraId="7C7AC6C7" w14:textId="6290CC12" w:rsidR="00283C1D" w:rsidRPr="00715939" w:rsidRDefault="00283C1D" w:rsidP="00715939">
      <w:pPr>
        <w:tabs>
          <w:tab w:val="left" w:pos="426"/>
        </w:tabs>
        <w:spacing w:after="120" w:line="276" w:lineRule="auto"/>
        <w:jc w:val="both"/>
        <w:rPr>
          <w:rFonts w:ascii="Verdana" w:hAnsi="Verdana" w:cs="Arial"/>
          <w:lang w:val="es-ES"/>
        </w:rPr>
      </w:pPr>
      <w:r w:rsidRPr="00715939">
        <w:rPr>
          <w:rFonts w:ascii="Verdana" w:hAnsi="Verdana" w:cs="Arial"/>
          <w:lang w:val="es-ES"/>
        </w:rPr>
        <w:t>Por lo general, las personas que concurren a la celebración de un negocio o un contrato suelen ser quienes materialmente, y en la práctica, fungen como partes del correspondiente acuerdo, es decir, quienes se obligan en virtud de este. No obstante, ello no siempre es así, pues también es frecuente que personas, actuando en representación de otras, celebren acuerdos de voluntades que producen efectos respecto de las personas que representan, conforme a lo establecido en el artículo 1505 del Código Civil</w:t>
      </w:r>
      <w:r w:rsidRPr="00715939">
        <w:rPr>
          <w:vertAlign w:val="superscript"/>
        </w:rPr>
        <w:footnoteReference w:id="1"/>
      </w:r>
      <w:r w:rsidRPr="00715939">
        <w:rPr>
          <w:rFonts w:ascii="Verdana" w:hAnsi="Verdana" w:cs="Arial"/>
          <w:lang w:val="es-ES"/>
        </w:rPr>
        <w:t xml:space="preserve">. Esto sucede, por ejemplo, en las figuras en las que de manera voluntaria se acuerda tal representación, como el contrato de mandato. </w:t>
      </w:r>
    </w:p>
    <w:p w14:paraId="3673FC99" w14:textId="3CA1A53D" w:rsidR="00283C1D" w:rsidRPr="00715939" w:rsidRDefault="00283C1D" w:rsidP="00715939">
      <w:pPr>
        <w:tabs>
          <w:tab w:val="left" w:pos="426"/>
        </w:tabs>
        <w:spacing w:after="120" w:line="276" w:lineRule="auto"/>
        <w:jc w:val="both"/>
        <w:rPr>
          <w:rFonts w:ascii="Verdana" w:hAnsi="Verdana" w:cs="Arial"/>
          <w:lang w:val="es-ES"/>
        </w:rPr>
      </w:pPr>
      <w:r w:rsidRPr="00715939">
        <w:rPr>
          <w:rFonts w:ascii="Verdana" w:hAnsi="Verdana" w:cs="Arial"/>
          <w:lang w:val="es-ES"/>
        </w:rPr>
        <w:t xml:space="preserve">De acuerdo con el artículo 2142 del Código Civil, el mandato es </w:t>
      </w:r>
      <w:r w:rsidR="006138DE" w:rsidRPr="00715939">
        <w:rPr>
          <w:rFonts w:ascii="Verdana" w:hAnsi="Verdana" w:cs="Arial"/>
          <w:lang w:val="es-ES"/>
        </w:rPr>
        <w:t>“</w:t>
      </w:r>
      <w:r w:rsidRPr="00715939">
        <w:rPr>
          <w:rFonts w:ascii="Verdana" w:hAnsi="Verdana" w:cs="Arial"/>
          <w:lang w:val="es-ES"/>
        </w:rPr>
        <w:t>un contrato en que una persona confía la gestión de uno o más negocios a otra, que se hace cargo de ellos por cuenta y riesgo de la primera</w:t>
      </w:r>
      <w:r w:rsidR="006138DE" w:rsidRPr="00715939">
        <w:rPr>
          <w:rFonts w:ascii="Verdana" w:hAnsi="Verdana" w:cs="Arial"/>
          <w:lang w:val="es-ES"/>
        </w:rPr>
        <w:t>”</w:t>
      </w:r>
      <w:r w:rsidRPr="00715939">
        <w:rPr>
          <w:vertAlign w:val="superscript"/>
          <w:lang w:val="es-ES"/>
        </w:rPr>
        <w:footnoteReference w:id="2"/>
      </w:r>
      <w:r w:rsidRPr="00715939">
        <w:rPr>
          <w:rFonts w:ascii="Verdana" w:hAnsi="Verdana" w:cs="Arial"/>
          <w:lang w:val="es-ES"/>
        </w:rPr>
        <w:t xml:space="preserve">. Por su parte, el Código de Comercio también establece su propia regulación del contrato de mandato </w:t>
      </w:r>
      <w:r w:rsidRPr="00715939">
        <w:rPr>
          <w:rFonts w:ascii="Verdana" w:hAnsi="Verdana" w:cs="Arial"/>
          <w:lang w:val="es-ES"/>
        </w:rPr>
        <w:lastRenderedPageBreak/>
        <w:t xml:space="preserve">cuando este tiene una naturaleza comercial. El artículo 1262 de este cuerpo normativo define al mandato como el </w:t>
      </w:r>
      <w:r w:rsidR="006138DE" w:rsidRPr="00715939">
        <w:rPr>
          <w:rFonts w:ascii="Verdana" w:hAnsi="Verdana" w:cs="Arial"/>
          <w:lang w:val="es-ES"/>
        </w:rPr>
        <w:t>“</w:t>
      </w:r>
      <w:r w:rsidRPr="00715939">
        <w:rPr>
          <w:rFonts w:ascii="Verdana" w:hAnsi="Verdana" w:cs="Arial"/>
          <w:lang w:val="es-ES"/>
        </w:rPr>
        <w:t>[…] contrato por el cual una parte se obliga a celebrar o ejecutar uno o más actos de comercio por cuenta de otra</w:t>
      </w:r>
      <w:r w:rsidR="006138DE" w:rsidRPr="00715939">
        <w:rPr>
          <w:rFonts w:ascii="Verdana" w:hAnsi="Verdana" w:cs="Arial"/>
          <w:lang w:val="es-ES"/>
        </w:rPr>
        <w:t>”</w:t>
      </w:r>
      <w:r w:rsidRPr="00715939">
        <w:rPr>
          <w:rFonts w:ascii="Verdana" w:hAnsi="Verdana" w:cs="Arial"/>
          <w:lang w:val="es-ES"/>
        </w:rPr>
        <w:t>.</w:t>
      </w:r>
    </w:p>
    <w:p w14:paraId="5D095A03" w14:textId="4F8920CD" w:rsidR="00283C1D" w:rsidRPr="00715939" w:rsidRDefault="00283C1D" w:rsidP="00715939">
      <w:pPr>
        <w:tabs>
          <w:tab w:val="left" w:pos="426"/>
        </w:tabs>
        <w:spacing w:after="120" w:line="276" w:lineRule="auto"/>
        <w:jc w:val="both"/>
        <w:rPr>
          <w:rFonts w:ascii="Verdana" w:hAnsi="Verdana" w:cs="Arial"/>
          <w:lang w:val="es-ES"/>
        </w:rPr>
      </w:pPr>
      <w:r w:rsidRPr="00715939">
        <w:rPr>
          <w:rFonts w:ascii="Verdana" w:hAnsi="Verdana" w:cs="Arial"/>
          <w:lang w:val="es-ES"/>
        </w:rPr>
        <w:t xml:space="preserve">Por su parte, </w:t>
      </w:r>
      <w:r w:rsidRPr="00715939">
        <w:rPr>
          <w:rFonts w:ascii="Verdana" w:hAnsi="Verdana" w:cs="Arial"/>
        </w:rPr>
        <w:t xml:space="preserve">el artículo 2177 del Código Civil establece que el </w:t>
      </w:r>
      <w:r w:rsidR="006138DE" w:rsidRPr="00715939">
        <w:rPr>
          <w:rFonts w:ascii="Verdana" w:hAnsi="Verdana" w:cs="Arial"/>
          <w:lang w:val="es-ES"/>
        </w:rPr>
        <w:t>“</w:t>
      </w:r>
      <w:r w:rsidRPr="00715939">
        <w:rPr>
          <w:rFonts w:ascii="Verdana" w:hAnsi="Verdana" w:cs="Arial"/>
          <w:lang w:val="es-ES"/>
        </w:rPr>
        <w:t>El mandatario puede, en el ejercicio de su cargo, contestar a su propio nombre o al del mandante; si contrata a su propio nombre no obliga respecto de terceros al mandante</w:t>
      </w:r>
      <w:r w:rsidR="006138DE" w:rsidRPr="00715939">
        <w:rPr>
          <w:rFonts w:ascii="Verdana" w:hAnsi="Verdana" w:cs="Arial"/>
          <w:lang w:val="es-ES"/>
        </w:rPr>
        <w:t>”</w:t>
      </w:r>
      <w:r w:rsidRPr="00715939">
        <w:rPr>
          <w:rFonts w:ascii="Verdana" w:hAnsi="Verdana" w:cs="Arial"/>
          <w:lang w:val="es-ES"/>
        </w:rPr>
        <w:t xml:space="preserve">, lo que significa que el mandatario </w:t>
      </w:r>
      <w:r w:rsidRPr="00715939">
        <w:rPr>
          <w:rFonts w:ascii="Verdana" w:hAnsi="Verdana" w:cs="Arial"/>
        </w:rPr>
        <w:t xml:space="preserve">puede actuar con o sin representación y, que si contrata a su propio nombre –caso del mandato sin representación–, no obliga, respecto de terceros, al mandante. Del mismo modo, el artículo 1262 del Código de Comercio establece que el </w:t>
      </w:r>
      <w:r w:rsidRPr="00715939">
        <w:rPr>
          <w:rFonts w:ascii="Verdana" w:hAnsi="Verdana" w:cs="Arial"/>
          <w:lang w:val="es-ES"/>
        </w:rPr>
        <w:t xml:space="preserve">mandato </w:t>
      </w:r>
      <w:r w:rsidR="006138DE" w:rsidRPr="00715939">
        <w:rPr>
          <w:rFonts w:ascii="Verdana" w:hAnsi="Verdana" w:cs="Arial"/>
          <w:lang w:val="es-ES"/>
        </w:rPr>
        <w:t>“</w:t>
      </w:r>
      <w:r w:rsidRPr="00715939">
        <w:rPr>
          <w:rFonts w:ascii="Verdana" w:hAnsi="Verdana" w:cs="Arial"/>
          <w:lang w:val="es-ES"/>
        </w:rPr>
        <w:t>[…] puede conllevar o no la representación del mandante</w:t>
      </w:r>
      <w:r w:rsidR="006138DE" w:rsidRPr="00715939">
        <w:rPr>
          <w:rFonts w:ascii="Verdana" w:hAnsi="Verdana" w:cs="Arial"/>
          <w:lang w:val="es-ES"/>
        </w:rPr>
        <w:t>”</w:t>
      </w:r>
      <w:r w:rsidRPr="00715939">
        <w:rPr>
          <w:rFonts w:ascii="Verdana" w:hAnsi="Verdana"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43BA00ED" w14:textId="2519777A" w:rsidR="00283C1D" w:rsidRPr="00715939" w:rsidRDefault="00283C1D" w:rsidP="00715939">
      <w:pPr>
        <w:tabs>
          <w:tab w:val="left" w:pos="426"/>
        </w:tabs>
        <w:spacing w:after="120" w:line="276" w:lineRule="auto"/>
        <w:jc w:val="both"/>
        <w:rPr>
          <w:rFonts w:ascii="Verdana" w:hAnsi="Verdana" w:cs="Arial"/>
        </w:rPr>
      </w:pPr>
      <w:r w:rsidRPr="00715939">
        <w:rPr>
          <w:rFonts w:ascii="Verdana" w:hAnsi="Verdana" w:cs="Arial"/>
        </w:rPr>
        <w:t xml:space="preserve">Conforme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 cabeza del mandante.  Por el contrario, si el mandatario actúa en virtud de un contrato de mandato sin representación, los efectos de este frente a terceros se radicarán en su propia esfera. </w:t>
      </w:r>
    </w:p>
    <w:p w14:paraId="2343EC7B" w14:textId="552691F3" w:rsidR="00283C1D" w:rsidRPr="00715939" w:rsidRDefault="00283C1D" w:rsidP="00715939">
      <w:pPr>
        <w:tabs>
          <w:tab w:val="left" w:pos="426"/>
        </w:tabs>
        <w:spacing w:after="120" w:line="276" w:lineRule="auto"/>
        <w:jc w:val="both"/>
        <w:rPr>
          <w:rFonts w:ascii="Verdana" w:hAnsi="Verdana" w:cs="Arial"/>
        </w:rPr>
      </w:pPr>
      <w:r w:rsidRPr="00715939">
        <w:rPr>
          <w:rFonts w:ascii="Verdana" w:hAnsi="Verdana" w:cs="Arial"/>
        </w:rPr>
        <w:t>Sin perjuicio de lo anterior, y particularmente en el ámbito civil, existe cierta discusión en torno a si la representación es un elemento esencial del mandato, o si por el contrario es posible suscribir contratos de mandato sin representación. Sobre el particular, la Sala de Casación Civil de la Corte Suprema de Justicia, de vieja data, ha defendido la posibilidad de celebrar contratos de mandato sin representación:</w:t>
      </w:r>
    </w:p>
    <w:p w14:paraId="7FD4009F" w14:textId="77777777" w:rsidR="00283C1D" w:rsidRPr="00715939" w:rsidRDefault="00283C1D" w:rsidP="00715939">
      <w:pPr>
        <w:pStyle w:val="Prrafodelista"/>
        <w:tabs>
          <w:tab w:val="left" w:pos="426"/>
        </w:tabs>
        <w:spacing w:after="0" w:line="276" w:lineRule="auto"/>
        <w:ind w:right="709"/>
        <w:rPr>
          <w:rFonts w:ascii="Verdana" w:hAnsi="Verdana" w:cs="Arial"/>
          <w:sz w:val="21"/>
          <w:szCs w:val="21"/>
        </w:rPr>
      </w:pPr>
    </w:p>
    <w:p w14:paraId="0328E115" w14:textId="235FD778" w:rsidR="00283C1D" w:rsidRPr="00715939" w:rsidRDefault="00283C1D" w:rsidP="00715939">
      <w:pPr>
        <w:pStyle w:val="Prrafodelista"/>
        <w:tabs>
          <w:tab w:val="left" w:pos="426"/>
        </w:tabs>
        <w:spacing w:after="0" w:line="276" w:lineRule="auto"/>
        <w:ind w:right="709"/>
        <w:jc w:val="both"/>
        <w:rPr>
          <w:rFonts w:ascii="Verdana" w:hAnsi="Verdana" w:cs="Arial"/>
          <w:sz w:val="20"/>
          <w:szCs w:val="20"/>
        </w:rPr>
      </w:pPr>
      <w:r w:rsidRPr="00715939">
        <w:rPr>
          <w:rFonts w:ascii="Verdana" w:hAnsi="Verdana" w:cs="Arial"/>
          <w:sz w:val="20"/>
          <w:szCs w:val="20"/>
        </w:rPr>
        <w:t xml:space="preserve">“El apoderado, en el contrato de mandato civil, obra por cuenta y riesgo de la persona que le confía la gestión del negocio. El mandatario no es </w:t>
      </w:r>
      <w:r w:rsidRPr="00715939">
        <w:rPr>
          <w:rFonts w:ascii="Verdana" w:hAnsi="Verdana" w:cs="Arial"/>
          <w:sz w:val="20"/>
          <w:szCs w:val="20"/>
        </w:rPr>
        <w:lastRenderedPageBreak/>
        <w:t xml:space="preserve">más que el órgano de la voluntad del mandante, su papel es siempre de intermediario y propiamente no puede decirse que sea parte contratante. Esto cuando el mandato es aparente, pero el apoderado puede, en ejercicio de su cargo, contratar en su propio nombre, como si el negocio le interesase personalmente. El mandante en este caso queda desligado de toda acción de parte de terceros, y al mandatario que ha obrado de hecho por encargo del mandante, aunque haya ocultado su calidad al contratar, corresponden activa y pasivamente los efectos legales del contrato. </w:t>
      </w:r>
    </w:p>
    <w:p w14:paraId="524F85EB" w14:textId="77777777" w:rsidR="00283C1D" w:rsidRPr="00715939" w:rsidRDefault="00283C1D" w:rsidP="00715939">
      <w:pPr>
        <w:pStyle w:val="Prrafodelista"/>
        <w:tabs>
          <w:tab w:val="left" w:pos="426"/>
        </w:tabs>
        <w:spacing w:after="0" w:line="276" w:lineRule="auto"/>
        <w:ind w:right="709"/>
        <w:jc w:val="both"/>
        <w:rPr>
          <w:rFonts w:ascii="Verdana" w:hAnsi="Verdana" w:cs="Arial"/>
          <w:sz w:val="20"/>
          <w:szCs w:val="20"/>
        </w:rPr>
      </w:pPr>
    </w:p>
    <w:p w14:paraId="4FD1776B" w14:textId="77777777" w:rsidR="00283C1D" w:rsidRPr="00715939" w:rsidRDefault="00283C1D" w:rsidP="00715939">
      <w:pPr>
        <w:pStyle w:val="Prrafodelista"/>
        <w:tabs>
          <w:tab w:val="left" w:pos="426"/>
        </w:tabs>
        <w:spacing w:after="0" w:line="276" w:lineRule="auto"/>
        <w:ind w:right="709"/>
        <w:jc w:val="both"/>
        <w:rPr>
          <w:rFonts w:ascii="Verdana" w:hAnsi="Verdana" w:cs="Arial"/>
          <w:sz w:val="20"/>
          <w:szCs w:val="20"/>
        </w:rPr>
      </w:pPr>
      <w:r w:rsidRPr="00715939">
        <w:rPr>
          <w:rFonts w:ascii="Verdana" w:hAnsi="Verdana" w:cs="Arial"/>
          <w:sz w:val="20"/>
          <w:szCs w:val="20"/>
        </w:rPr>
        <w:t>[…]</w:t>
      </w:r>
    </w:p>
    <w:p w14:paraId="31DF15B2" w14:textId="77777777" w:rsidR="00283C1D" w:rsidRPr="00715939" w:rsidRDefault="00283C1D" w:rsidP="00715939">
      <w:pPr>
        <w:tabs>
          <w:tab w:val="left" w:pos="426"/>
        </w:tabs>
        <w:spacing w:after="0" w:line="276" w:lineRule="auto"/>
        <w:ind w:left="360" w:right="709"/>
        <w:jc w:val="both"/>
        <w:rPr>
          <w:rFonts w:ascii="Verdana" w:hAnsi="Verdana" w:cs="Arial"/>
          <w:sz w:val="20"/>
          <w:szCs w:val="20"/>
        </w:rPr>
      </w:pPr>
      <w:r w:rsidRPr="00715939">
        <w:rPr>
          <w:rFonts w:ascii="Verdana" w:hAnsi="Verdana" w:cs="Arial"/>
          <w:sz w:val="20"/>
          <w:szCs w:val="20"/>
        </w:rPr>
        <w:t xml:space="preserve"> </w:t>
      </w:r>
    </w:p>
    <w:p w14:paraId="56500EA0" w14:textId="14F1924E" w:rsidR="00283C1D" w:rsidRPr="00715939" w:rsidRDefault="00283C1D" w:rsidP="00715939">
      <w:pPr>
        <w:pStyle w:val="Prrafodelista"/>
        <w:tabs>
          <w:tab w:val="left" w:pos="426"/>
        </w:tabs>
        <w:spacing w:after="0" w:line="276" w:lineRule="auto"/>
        <w:ind w:right="709"/>
        <w:jc w:val="both"/>
        <w:rPr>
          <w:rFonts w:ascii="Verdana" w:hAnsi="Verdana" w:cs="Arial"/>
          <w:sz w:val="20"/>
          <w:szCs w:val="20"/>
        </w:rPr>
      </w:pPr>
      <w:r w:rsidRPr="00715939">
        <w:rPr>
          <w:rFonts w:ascii="Verdana" w:hAnsi="Verdana" w:cs="Arial"/>
          <w:sz w:val="20"/>
          <w:szCs w:val="20"/>
        </w:rPr>
        <w:t>En la legislación colombiana el mandato no es esencialmente representativo. Dentro de su formación jurídica caben el mandatario ostensible y el secreto; el testaferro; la interposición en todas sus formas lícitas, y aún el acto jurídico del mandatario como único interesado, siempre que el mandante tenga la voluntad de obligarse. Es posible el mandato sin representación”</w:t>
      </w:r>
      <w:r w:rsidRPr="00715939">
        <w:rPr>
          <w:rStyle w:val="Refdenotaalpie"/>
          <w:rFonts w:ascii="Verdana" w:hAnsi="Verdana" w:cs="Arial"/>
          <w:sz w:val="20"/>
          <w:szCs w:val="20"/>
        </w:rPr>
        <w:footnoteReference w:id="3"/>
      </w:r>
      <w:r w:rsidRPr="00715939">
        <w:rPr>
          <w:rFonts w:ascii="Verdana" w:hAnsi="Verdana" w:cs="Arial"/>
          <w:sz w:val="20"/>
          <w:szCs w:val="20"/>
        </w:rPr>
        <w:t>.</w:t>
      </w:r>
    </w:p>
    <w:p w14:paraId="584DFC78" w14:textId="77777777" w:rsidR="00283C1D" w:rsidRPr="00715939" w:rsidRDefault="00283C1D" w:rsidP="00715939">
      <w:pPr>
        <w:pStyle w:val="Prrafodelista"/>
        <w:tabs>
          <w:tab w:val="left" w:pos="426"/>
        </w:tabs>
        <w:spacing w:after="0" w:line="276" w:lineRule="auto"/>
        <w:rPr>
          <w:rFonts w:ascii="Verdana" w:hAnsi="Verdana" w:cs="Arial"/>
        </w:rPr>
      </w:pPr>
    </w:p>
    <w:p w14:paraId="5CAECF5A" w14:textId="07DD72EE" w:rsidR="006138DE" w:rsidRPr="00715939" w:rsidRDefault="00D4742F" w:rsidP="00715939">
      <w:pPr>
        <w:spacing w:after="120" w:line="276" w:lineRule="auto"/>
        <w:jc w:val="both"/>
        <w:rPr>
          <w:rFonts w:ascii="Verdana" w:eastAsia="Calibri" w:hAnsi="Verdana" w:cs="Arial"/>
          <w:lang w:val="es-ES" w:eastAsia="es-ES"/>
        </w:rPr>
      </w:pPr>
      <w:r>
        <w:rPr>
          <w:rFonts w:ascii="Verdana" w:eastAsia="Calibri" w:hAnsi="Verdana" w:cs="Arial"/>
          <w:lang w:val="es-ES" w:eastAsia="es-ES"/>
        </w:rPr>
        <w:t xml:space="preserve">    </w:t>
      </w:r>
      <w:r w:rsidR="00715939">
        <w:rPr>
          <w:rFonts w:ascii="Verdana" w:eastAsia="Calibri" w:hAnsi="Verdana" w:cs="Arial"/>
          <w:lang w:val="es-ES" w:eastAsia="es-ES"/>
        </w:rPr>
        <w:t>Ahora bien, en cuanto al segundo problema jurídico es menester precisar que, d</w:t>
      </w:r>
      <w:r w:rsidR="006138DE" w:rsidRPr="00715939">
        <w:rPr>
          <w:rFonts w:ascii="Verdana" w:eastAsia="Calibri" w:hAnsi="Verdana" w:cs="Arial"/>
          <w:lang w:val="es-ES" w:eastAsia="es-ES"/>
        </w:rPr>
        <w:t xml:space="preserve">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ibidem. </w:t>
      </w:r>
      <w:proofErr w:type="spellStart"/>
      <w:r w:rsidR="006138DE" w:rsidRPr="00715939">
        <w:rPr>
          <w:rFonts w:ascii="Verdana" w:eastAsia="Calibri" w:hAnsi="Verdana" w:cs="Arial"/>
          <w:lang w:val="es-ES" w:eastAsia="es-ES"/>
        </w:rPr>
        <w:t>ii</w:t>
      </w:r>
      <w:proofErr w:type="spellEnd"/>
      <w:r w:rsidR="006138DE" w:rsidRPr="00715939">
        <w:rPr>
          <w:rFonts w:ascii="Verdana" w:eastAsia="Calibri" w:hAnsi="Verdana" w:cs="Arial"/>
          <w:lang w:val="es-ES" w:eastAsia="es-ES"/>
        </w:rPr>
        <w:t xml:space="preserve">) En algunas disposiciones también se establecen otras potestades exorbitantes, como la liquidación unilateral y la declaratoria unilateral del siniestro –artículos 7 y 11 de la Ley 1150 de 2007. Dentro de las potestades unilaterales también se encuentran </w:t>
      </w:r>
      <w:proofErr w:type="spellStart"/>
      <w:r w:rsidR="006138DE" w:rsidRPr="00715939">
        <w:rPr>
          <w:rFonts w:ascii="Verdana" w:eastAsia="Calibri" w:hAnsi="Verdana" w:cs="Arial"/>
          <w:lang w:val="es-ES" w:eastAsia="es-ES"/>
        </w:rPr>
        <w:t>iii</w:t>
      </w:r>
      <w:proofErr w:type="spellEnd"/>
      <w:r w:rsidR="006138DE" w:rsidRPr="00715939">
        <w:rPr>
          <w:rFonts w:ascii="Verdana" w:eastAsia="Calibri" w:hAnsi="Verdana" w:cs="Arial"/>
          <w:lang w:val="es-ES" w:eastAsia="es-ES"/>
        </w:rPr>
        <w:t xml:space="preserve">) las cláusulas excepcionales de imposición unilateral de las cláusulas penales y de multas –artículo 17 de la Ley 1150 de 2007–, aclarando que su exorbitancia se refiere a </w:t>
      </w:r>
      <w:r w:rsidR="006138DE" w:rsidRPr="00715939">
        <w:rPr>
          <w:rFonts w:ascii="Verdana" w:eastAsia="Calibri" w:hAnsi="Verdana" w:cs="Arial"/>
          <w:lang w:val="es-ES" w:eastAsia="es-ES"/>
        </w:rPr>
        <w:lastRenderedPageBreak/>
        <w:t>su imposición unilateral, no a su pacto, que es posible en virtud de las normas civiles y comerciales.</w:t>
      </w:r>
    </w:p>
    <w:p w14:paraId="3955A974" w14:textId="77777777" w:rsidR="006138DE" w:rsidRPr="00715939" w:rsidRDefault="006138DE" w:rsidP="00D4742F">
      <w:pPr>
        <w:spacing w:after="120" w:line="276" w:lineRule="auto"/>
        <w:ind w:firstLine="708"/>
        <w:jc w:val="both"/>
        <w:rPr>
          <w:rFonts w:ascii="Verdana" w:eastAsia="Calibri" w:hAnsi="Verdana" w:cs="Arial"/>
          <w:szCs w:val="24"/>
          <w:lang w:val="es-ES_tradnl" w:eastAsia="es-ES_tradnl"/>
        </w:rPr>
      </w:pPr>
      <w:r w:rsidRPr="00715939">
        <w:rPr>
          <w:rFonts w:ascii="Verdana" w:eastAsia="Calibri" w:hAnsi="Verdana" w:cs="Arial"/>
          <w:szCs w:val="24"/>
          <w:lang w:val="es-ES_tradnl" w:eastAsia="es-ES_tradnl"/>
        </w:rPr>
        <w:t>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entidades sometidas al Estatuto General de Contratación de la Administración Pública podrán declarar el incumplimiento […]. Para tal efecto observarán […] el procedimiento que en tal enunciado normativo se regula.</w:t>
      </w:r>
    </w:p>
    <w:p w14:paraId="2652A75A" w14:textId="77777777" w:rsidR="006138DE" w:rsidRPr="00715939" w:rsidRDefault="006138DE" w:rsidP="00D4742F">
      <w:pPr>
        <w:spacing w:after="120" w:line="276" w:lineRule="auto"/>
        <w:ind w:firstLine="708"/>
        <w:jc w:val="both"/>
        <w:rPr>
          <w:rFonts w:ascii="Verdana" w:eastAsia="Calibri" w:hAnsi="Verdana" w:cs="Arial"/>
          <w:lang w:eastAsia="es-ES"/>
        </w:rPr>
      </w:pPr>
      <w:r w:rsidRPr="00715939">
        <w:rPr>
          <w:rFonts w:ascii="Verdana" w:eastAsia="Calibri" w:hAnsi="Verdana" w:cs="Arial"/>
          <w:lang w:eastAsia="es-ES"/>
        </w:rPr>
        <w:t>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w:t>
      </w:r>
      <w:r w:rsidRPr="00715939">
        <w:rPr>
          <w:rStyle w:val="Refdenotaalpie"/>
          <w:rFonts w:ascii="Verdana" w:eastAsia="Calibri" w:hAnsi="Verdana" w:cs="Arial"/>
          <w:lang w:eastAsia="es-ES"/>
        </w:rPr>
        <w:footnoteReference w:id="4"/>
      </w:r>
      <w:r w:rsidRPr="00715939">
        <w:rPr>
          <w:rFonts w:ascii="Verdana" w:eastAsia="Calibri" w:hAnsi="Verdana" w:cs="Arial"/>
          <w:lang w:eastAsia="es-ES"/>
        </w:rPr>
        <w:t xml:space="preserve"> A la misma conclusión se llega si se tiene en consideración la necesidad de respetar el debido proceso en “todas las actuaciones administrativas” como lo ordena el artículo 29 superior. </w:t>
      </w:r>
    </w:p>
    <w:p w14:paraId="4BEAE3DD" w14:textId="77777777" w:rsidR="006138DE" w:rsidRPr="00715939" w:rsidRDefault="006138DE" w:rsidP="00D4742F">
      <w:pPr>
        <w:spacing w:after="120" w:line="276" w:lineRule="auto"/>
        <w:ind w:firstLine="708"/>
        <w:jc w:val="both"/>
        <w:rPr>
          <w:rFonts w:ascii="Verdana" w:eastAsia="Calibri" w:hAnsi="Verdana" w:cs="Arial"/>
          <w:lang w:val="es-ES" w:eastAsia="es-ES"/>
        </w:rPr>
      </w:pPr>
      <w:r w:rsidRPr="00715939">
        <w:rPr>
          <w:rFonts w:ascii="Verdana" w:eastAsia="Calibri" w:hAnsi="Verdana" w:cs="Arial"/>
          <w:lang w:val="es-ES" w:eastAsia="es-ES"/>
        </w:rPr>
        <w:t xml:space="preserve">De conformidad con lo anterior, el artículo 86 de la Ley 1474 de 2011 establece las etapas del procedimiento que se deben seguir, las cuales se sintetizan, de forma esquemática, así:  i) citación a audiencia. Es necesario remitir una citación a audiencia al contratista y al garante –cuando proceda–, cuyo contenido de señalará más adelante. </w:t>
      </w:r>
      <w:proofErr w:type="spellStart"/>
      <w:r w:rsidRPr="00715939">
        <w:rPr>
          <w:rFonts w:ascii="Verdana" w:eastAsia="Calibri" w:hAnsi="Verdana" w:cs="Arial"/>
          <w:lang w:val="es-ES" w:eastAsia="es-ES"/>
        </w:rPr>
        <w:t>ii</w:t>
      </w:r>
      <w:proofErr w:type="spellEnd"/>
      <w:r w:rsidRPr="00715939">
        <w:rPr>
          <w:rFonts w:ascii="Verdana" w:eastAsia="Calibri" w:hAnsi="Verdana" w:cs="Arial"/>
          <w:lang w:val="es-ES" w:eastAsia="es-ES"/>
        </w:rPr>
        <w:t xml:space="preserve">) Audiencia. En la diligencia intervendrá el jefe de la entidad o su delegado y, posteriormente, se le concederá el uso de la palabra al representante legal del contratista o a quien lo represente, así como al garante, en caso de ser necesario, para que estos presenten sus descargos, aporten y controviertan pruebas y rindan las explicaciones del caso. Finalmente, </w:t>
      </w:r>
      <w:proofErr w:type="spellStart"/>
      <w:r w:rsidRPr="00715939">
        <w:rPr>
          <w:rFonts w:ascii="Verdana" w:eastAsia="Calibri" w:hAnsi="Verdana" w:cs="Arial"/>
          <w:lang w:val="es-ES" w:eastAsia="es-ES"/>
        </w:rPr>
        <w:t>iii</w:t>
      </w:r>
      <w:proofErr w:type="spellEnd"/>
      <w:r w:rsidRPr="00715939">
        <w:rPr>
          <w:rFonts w:ascii="Verdana" w:eastAsia="Calibri" w:hAnsi="Verdana" w:cs="Arial"/>
          <w:lang w:val="es-ES" w:eastAsia="es-ES"/>
        </w:rPr>
        <w:t xml:space="preserve">) Decisión. Debe estar contenida en resolución motivada donde se consigne, por un lado, lo ocurrido en el desarrollo de la diligencia y, por el otro, lo relativo a la imposición o no de sanciones o la declaratoria de incumplimiento del contrato estatal. Contra la decisión únicamente procede el recurso de reposición que se interpondrá, sustentará y </w:t>
      </w:r>
      <w:r w:rsidRPr="00715939">
        <w:rPr>
          <w:rFonts w:ascii="Verdana" w:eastAsia="Calibri" w:hAnsi="Verdana" w:cs="Arial"/>
          <w:lang w:val="es-ES" w:eastAsia="es-ES"/>
        </w:rPr>
        <w:lastRenderedPageBreak/>
        <w:t>decidirá en la misma diligencia. Ambas decisiones se entenderán notificadas en audiencia. Lo anterior, por supuesto, sin perjuicio del control judicial que llegue a efectuarse.</w:t>
      </w:r>
    </w:p>
    <w:p w14:paraId="0D3469A8" w14:textId="77777777" w:rsidR="006138DE" w:rsidRPr="00715939" w:rsidRDefault="006138DE" w:rsidP="00D4742F">
      <w:pPr>
        <w:spacing w:after="0" w:line="276" w:lineRule="auto"/>
        <w:ind w:firstLine="708"/>
        <w:jc w:val="both"/>
        <w:rPr>
          <w:rFonts w:ascii="Verdana" w:eastAsia="Calibri" w:hAnsi="Verdana" w:cs="Arial"/>
          <w:szCs w:val="24"/>
          <w:lang w:val="es-ES_tradnl" w:eastAsia="es-ES_tradnl"/>
        </w:rPr>
      </w:pPr>
      <w:r w:rsidRPr="00715939">
        <w:rPr>
          <w:rFonts w:ascii="Verdana" w:eastAsia="Calibri" w:hAnsi="Verdana" w:cs="Arial"/>
          <w:szCs w:val="24"/>
          <w:lang w:val="es-ES_tradnl" w:eastAsia="es-ES_tradnl"/>
        </w:rPr>
        <w:t>Como precisión previa, vale la pena aclarar que el artículo 86 de la Ley 1474 de 2011 regula un procedimiento administrativo sancionatorio dirigido a sujetos específicos: las entidades sometidas al Estatuto General de Contratación de la Administración Pública</w:t>
      </w:r>
      <w:r w:rsidRPr="00715939">
        <w:rPr>
          <w:rStyle w:val="Refdenotaalpie"/>
          <w:rFonts w:ascii="Verdana" w:eastAsia="Calibri" w:hAnsi="Verdana" w:cs="Arial"/>
          <w:szCs w:val="24"/>
          <w:lang w:val="es-ES_tradnl" w:eastAsia="es-ES_tradnl"/>
        </w:rPr>
        <w:footnoteReference w:id="5"/>
      </w:r>
      <w:r w:rsidRPr="00715939">
        <w:rPr>
          <w:rFonts w:ascii="Verdana" w:eastAsia="Calibri" w:hAnsi="Verdana" w:cs="Arial"/>
          <w:szCs w:val="24"/>
          <w:lang w:val="es-ES_tradnl" w:eastAsia="es-ES_tradnl"/>
        </w:rPr>
        <w:t xml:space="preserve">. De ahí que las entidades de </w:t>
      </w:r>
      <w:r w:rsidRPr="00715939">
        <w:rPr>
          <w:rFonts w:ascii="Verdana" w:eastAsia="Calibri" w:hAnsi="Verdana" w:cs="Arial"/>
          <w:i/>
          <w:iCs/>
          <w:szCs w:val="24"/>
          <w:lang w:val="es-ES_tradnl" w:eastAsia="es-ES_tradnl"/>
        </w:rPr>
        <w:t>régimen especial</w:t>
      </w:r>
      <w:r w:rsidRPr="00715939">
        <w:rPr>
          <w:rStyle w:val="Refdenotaalpie"/>
          <w:rFonts w:ascii="Verdana" w:eastAsia="Calibri" w:hAnsi="Verdana" w:cs="Arial"/>
          <w:i/>
          <w:iCs/>
          <w:szCs w:val="24"/>
          <w:lang w:val="es-ES_tradnl" w:eastAsia="es-ES_tradnl"/>
        </w:rPr>
        <w:footnoteReference w:id="6"/>
      </w:r>
      <w:r w:rsidRPr="00715939">
        <w:rPr>
          <w:rFonts w:ascii="Verdana" w:eastAsia="Calibri" w:hAnsi="Verdana" w:cs="Arial"/>
          <w:szCs w:val="24"/>
          <w:lang w:val="es-ES_tradnl" w:eastAsia="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 La norma indicada desarrolla el procedimiento de la siguiente manera:</w:t>
      </w:r>
    </w:p>
    <w:p w14:paraId="2EC619BD" w14:textId="77777777" w:rsidR="006138DE" w:rsidRPr="00715939" w:rsidRDefault="006138DE" w:rsidP="00715939">
      <w:pPr>
        <w:pStyle w:val="Prrafodelista"/>
        <w:spacing w:after="0" w:line="276" w:lineRule="auto"/>
        <w:jc w:val="both"/>
        <w:rPr>
          <w:rFonts w:ascii="Verdana" w:eastAsia="Calibri" w:hAnsi="Verdana" w:cs="Arial"/>
          <w:szCs w:val="24"/>
          <w:lang w:val="es-ES_tradnl" w:eastAsia="es-ES_tradnl"/>
        </w:rPr>
      </w:pPr>
    </w:p>
    <w:p w14:paraId="00D63AFC"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 w:eastAsia="es-ES"/>
        </w:rPr>
      </w:pPr>
      <w:r w:rsidRPr="00715939">
        <w:rPr>
          <w:rFonts w:ascii="Verdana" w:eastAsia="Calibri" w:hAnsi="Verdana" w:cs="Arial"/>
          <w:sz w:val="20"/>
          <w:szCs w:val="20"/>
          <w:lang w:val="es-ES" w:eastAsia="es-ES"/>
        </w:rPr>
        <w:t xml:space="preserve">“Artículo 86. Imposición de multas, sanciones y declaratorias de incumplimiento. Las entidades sometidas al Estatuto General de Contratación de la Administración Pública podrán declarar el incumplimiento, cuantificando los perjuicios </w:t>
      </w:r>
      <w:proofErr w:type="gramStart"/>
      <w:r w:rsidRPr="00715939">
        <w:rPr>
          <w:rFonts w:ascii="Verdana" w:eastAsia="Calibri" w:hAnsi="Verdana" w:cs="Arial"/>
          <w:sz w:val="20"/>
          <w:szCs w:val="20"/>
          <w:lang w:val="es-ES" w:eastAsia="es-ES"/>
        </w:rPr>
        <w:t>del mismo</w:t>
      </w:r>
      <w:proofErr w:type="gramEnd"/>
      <w:r w:rsidRPr="00715939">
        <w:rPr>
          <w:rFonts w:ascii="Verdana" w:eastAsia="Calibri" w:hAnsi="Verdana" w:cs="Arial"/>
          <w:sz w:val="20"/>
          <w:szCs w:val="20"/>
          <w:lang w:val="es-ES" w:eastAsia="es-ES"/>
        </w:rPr>
        <w:t>, imponer las multas y sanciones pactadas en el contrato, y hacer efectiva la cláusula penal. Para tal efecto observarán el siguiente procedimiento:</w:t>
      </w:r>
    </w:p>
    <w:p w14:paraId="35A1886D"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p>
    <w:p w14:paraId="10FB7DE4"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 w:eastAsia="es-ES"/>
        </w:rPr>
      </w:pPr>
      <w:r w:rsidRPr="00715939">
        <w:rPr>
          <w:rFonts w:ascii="Verdana" w:eastAsia="Calibri" w:hAnsi="Verdana" w:cs="Arial"/>
          <w:sz w:val="20"/>
          <w:szCs w:val="20"/>
          <w:lang w:val="es-ES" w:eastAsia="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1B194CED"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p>
    <w:p w14:paraId="34A8E34F"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r w:rsidRPr="00715939">
        <w:rPr>
          <w:rFonts w:ascii="Verdana" w:eastAsia="Calibri" w:hAnsi="Verdana" w:cs="Arial"/>
          <w:sz w:val="20"/>
          <w:szCs w:val="20"/>
          <w:lang w:val="es-ES_tradnl" w:eastAsia="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4E2524EA"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p>
    <w:p w14:paraId="02060F56"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 w:eastAsia="es-ES"/>
        </w:rPr>
      </w:pPr>
      <w:r w:rsidRPr="00715939">
        <w:rPr>
          <w:rFonts w:ascii="Verdana" w:eastAsia="Calibri" w:hAnsi="Verdana" w:cs="Arial"/>
          <w:sz w:val="20"/>
          <w:szCs w:val="20"/>
          <w:lang w:val="es-ES" w:eastAsia="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D87000D"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p>
    <w:p w14:paraId="7F19DA33" w14:textId="77777777" w:rsidR="006138DE" w:rsidRPr="00715939" w:rsidRDefault="006138DE" w:rsidP="00715939">
      <w:pPr>
        <w:pStyle w:val="Prrafodelista"/>
        <w:spacing w:after="0" w:line="276" w:lineRule="auto"/>
        <w:ind w:right="709"/>
        <w:jc w:val="both"/>
        <w:rPr>
          <w:rFonts w:ascii="Verdana" w:eastAsia="Calibri" w:hAnsi="Verdana" w:cs="Arial"/>
          <w:sz w:val="20"/>
          <w:szCs w:val="20"/>
          <w:lang w:val="es-ES_tradnl" w:eastAsia="es-ES_tradnl"/>
        </w:rPr>
      </w:pPr>
      <w:r w:rsidRPr="00715939">
        <w:rPr>
          <w:rFonts w:ascii="Verdana" w:eastAsia="Calibri" w:hAnsi="Verdana" w:cs="Arial"/>
          <w:sz w:val="20"/>
          <w:szCs w:val="20"/>
          <w:lang w:val="es-ES_tradnl" w:eastAsia="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1DD4C174" w14:textId="77777777" w:rsidR="006138DE" w:rsidRPr="00715939" w:rsidRDefault="006138DE" w:rsidP="00715939">
      <w:pPr>
        <w:spacing w:after="0" w:line="276" w:lineRule="auto"/>
        <w:jc w:val="both"/>
        <w:rPr>
          <w:rFonts w:ascii="Verdana" w:eastAsia="Calibri" w:hAnsi="Verdana" w:cs="Arial"/>
          <w:szCs w:val="24"/>
          <w:lang w:val="es-ES_tradnl" w:eastAsia="es-ES_tradnl"/>
        </w:rPr>
      </w:pPr>
    </w:p>
    <w:p w14:paraId="060E3A6A" w14:textId="77777777" w:rsidR="006138DE" w:rsidRPr="00715939" w:rsidRDefault="006138DE" w:rsidP="00057687">
      <w:pPr>
        <w:spacing w:after="120" w:line="276" w:lineRule="auto"/>
        <w:ind w:firstLine="708"/>
        <w:jc w:val="both"/>
        <w:rPr>
          <w:rFonts w:ascii="Verdana" w:eastAsia="Calibri" w:hAnsi="Verdana" w:cs="Arial"/>
          <w:lang w:val="es-ES" w:eastAsia="es-ES"/>
        </w:rPr>
      </w:pPr>
      <w:r w:rsidRPr="00715939">
        <w:rPr>
          <w:rFonts w:ascii="Verdana" w:eastAsia="Calibri" w:hAnsi="Verdana" w:cs="Arial"/>
          <w:lang w:val="es-ES" w:eastAsia="es-ES"/>
        </w:rPr>
        <w:t xml:space="preserve">Como se observa, la citación a la audiencia debe cumplir mínimamente los siguientes aspectos: i) señalar los hechos que soportan la actuación, en particular la descripción detallada de cuáles son las actuaciones u omisiones del contratista que materializan el supuesto incumplimiento de las obligaciones. Además, se deben </w:t>
      </w:r>
      <w:proofErr w:type="spellStart"/>
      <w:r w:rsidRPr="00715939">
        <w:rPr>
          <w:rFonts w:ascii="Verdana" w:eastAsia="Calibri" w:hAnsi="Verdana" w:cs="Arial"/>
          <w:lang w:val="es-ES" w:eastAsia="es-ES"/>
        </w:rPr>
        <w:t>ii</w:t>
      </w:r>
      <w:proofErr w:type="spellEnd"/>
      <w:r w:rsidRPr="00715939">
        <w:rPr>
          <w:rFonts w:ascii="Verdana" w:eastAsia="Calibri" w:hAnsi="Verdana" w:cs="Arial"/>
          <w:lang w:val="es-ES" w:eastAsia="es-ES"/>
        </w:rPr>
        <w:t xml:space="preserve">) adjuntar los informes de supervisión o de interventoría que soportan la actuación, donde la entidad fundamenta su decisión de iniciar el procedimiento sancionatorio. Asimismo, </w:t>
      </w:r>
      <w:proofErr w:type="spellStart"/>
      <w:r w:rsidRPr="00715939">
        <w:rPr>
          <w:rFonts w:ascii="Verdana" w:eastAsia="Calibri" w:hAnsi="Verdana" w:cs="Arial"/>
          <w:lang w:val="es-ES" w:eastAsia="es-ES"/>
        </w:rPr>
        <w:t>iii</w:t>
      </w:r>
      <w:proofErr w:type="spellEnd"/>
      <w:r w:rsidRPr="00715939">
        <w:rPr>
          <w:rFonts w:ascii="Verdana" w:eastAsia="Calibri" w:hAnsi="Verdana" w:cs="Arial"/>
          <w:lang w:val="es-ES" w:eastAsia="es-ES"/>
        </w:rPr>
        <w:t xml:space="preserve">) lo anterior debe acompañarse de las pruebas adicionales con que cuente la entidad y que sirven para acreditar el </w:t>
      </w:r>
      <w:r w:rsidRPr="00715939">
        <w:rPr>
          <w:rFonts w:ascii="Verdana" w:eastAsia="Calibri" w:hAnsi="Verdana" w:cs="Arial"/>
          <w:lang w:val="es-ES" w:eastAsia="es-ES"/>
        </w:rPr>
        <w:lastRenderedPageBreak/>
        <w:t xml:space="preserve">incumplimiento. </w:t>
      </w:r>
      <w:proofErr w:type="spellStart"/>
      <w:r w:rsidRPr="00715939">
        <w:rPr>
          <w:rFonts w:ascii="Verdana" w:eastAsia="Calibri" w:hAnsi="Verdana" w:cs="Arial"/>
          <w:lang w:val="es-ES" w:eastAsia="es-ES"/>
        </w:rPr>
        <w:t>iv</w:t>
      </w:r>
      <w:proofErr w:type="spellEnd"/>
      <w:r w:rsidRPr="00715939">
        <w:rPr>
          <w:rFonts w:ascii="Verdana" w:eastAsia="Calibri" w:hAnsi="Verdana" w:cs="Arial"/>
          <w:lang w:val="es-ES" w:eastAsia="es-ES"/>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715939">
        <w:rPr>
          <w:rFonts w:ascii="Verdana" w:eastAsia="Calibri" w:hAnsi="Verdana" w:cs="Arial"/>
          <w:lang w:val="es-ES" w:eastAsia="es-ES"/>
        </w:rPr>
        <w:t>vii</w:t>
      </w:r>
      <w:proofErr w:type="spellEnd"/>
      <w:r w:rsidRPr="00715939">
        <w:rPr>
          <w:rFonts w:ascii="Verdana" w:eastAsia="Calibri" w:hAnsi="Verdana" w:cs="Arial"/>
          <w:lang w:val="es-ES" w:eastAsia="es-ES"/>
        </w:rPr>
        <w:t>) deben indicar el lugar, fecha y hora para la realización de la audiencia, sin perjuicio de que esta se pueda efectuar por medios electrónicos</w:t>
      </w:r>
      <w:r w:rsidRPr="00715939">
        <w:rPr>
          <w:rStyle w:val="Refdenotaalpie"/>
          <w:rFonts w:ascii="Verdana" w:eastAsia="Calibri" w:hAnsi="Verdana" w:cs="Arial"/>
          <w:lang w:val="es-ES" w:eastAsia="es-ES"/>
        </w:rPr>
        <w:footnoteReference w:id="7"/>
      </w:r>
      <w:r w:rsidRPr="00715939">
        <w:rPr>
          <w:rFonts w:ascii="Verdana" w:eastAsia="Calibri" w:hAnsi="Verdana" w:cs="Arial"/>
          <w:lang w:val="es-ES" w:eastAsia="es-ES"/>
        </w:rPr>
        <w:t>.</w:t>
      </w:r>
    </w:p>
    <w:p w14:paraId="6AE39B9E" w14:textId="77777777" w:rsidR="006138DE" w:rsidRPr="00715939" w:rsidRDefault="006138DE" w:rsidP="00057687">
      <w:pPr>
        <w:spacing w:after="0" w:line="276" w:lineRule="auto"/>
        <w:ind w:firstLine="708"/>
        <w:jc w:val="both"/>
        <w:rPr>
          <w:rFonts w:ascii="Verdana" w:eastAsia="Calibri" w:hAnsi="Verdana" w:cs="Arial"/>
          <w:lang w:val="es-ES" w:eastAsia="es-ES"/>
        </w:rPr>
      </w:pPr>
      <w:r w:rsidRPr="00715939">
        <w:rPr>
          <w:rFonts w:ascii="Verdana" w:eastAsia="Calibri" w:hAnsi="Verdana" w:cs="Arial"/>
          <w:lang w:val="es-ES" w:eastAsia="es-ES"/>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el garante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715939">
        <w:rPr>
          <w:rStyle w:val="Refdenotaalpie"/>
          <w:rFonts w:ascii="Verdana" w:eastAsia="Calibri" w:hAnsi="Verdana" w:cs="Arial"/>
          <w:lang w:val="es-ES" w:eastAsia="es-ES"/>
        </w:rPr>
        <w:footnoteReference w:id="8"/>
      </w:r>
      <w:r w:rsidRPr="00715939">
        <w:rPr>
          <w:rFonts w:ascii="Verdana" w:eastAsia="Calibri" w:hAnsi="Verdana" w:cs="Arial"/>
          <w:lang w:val="es-ES" w:eastAsia="es-ES"/>
        </w:rPr>
        <w:t>.</w:t>
      </w:r>
    </w:p>
    <w:p w14:paraId="5EBB90CC" w14:textId="77777777" w:rsidR="006138DE" w:rsidRDefault="006138DE" w:rsidP="00715939">
      <w:pPr>
        <w:spacing w:line="276" w:lineRule="auto"/>
        <w:ind w:left="720"/>
        <w:contextualSpacing/>
        <w:jc w:val="both"/>
        <w:textAlignment w:val="baseline"/>
        <w:rPr>
          <w:rFonts w:ascii="Verdana" w:eastAsia="Aptos" w:hAnsi="Verdana" w:cs="Arial"/>
          <w:lang w:val="es-ES_tradnl" w:eastAsia="es-MX"/>
        </w:rPr>
      </w:pPr>
    </w:p>
    <w:p w14:paraId="67128780" w14:textId="164D78D6" w:rsidR="00057687" w:rsidRDefault="00057687" w:rsidP="00057687">
      <w:pPr>
        <w:spacing w:line="276" w:lineRule="auto"/>
        <w:ind w:firstLine="708"/>
        <w:contextualSpacing/>
        <w:jc w:val="both"/>
        <w:textAlignment w:val="baseline"/>
        <w:rPr>
          <w:rFonts w:ascii="Verdana" w:eastAsia="Aptos" w:hAnsi="Verdana" w:cs="Arial"/>
          <w:lang w:eastAsia="es-MX"/>
        </w:rPr>
      </w:pPr>
      <w:r w:rsidRPr="00057687">
        <w:rPr>
          <w:rFonts w:ascii="Verdana" w:eastAsia="Aptos" w:hAnsi="Verdana" w:cs="Arial"/>
          <w:lang w:eastAsia="es-MX"/>
        </w:rPr>
        <w:t xml:space="preserve">A efectos de responder el segundo problema planteado resulta importante distinguir la terminación del contrato de la </w:t>
      </w:r>
      <w:r w:rsidRPr="00057687">
        <w:rPr>
          <w:rFonts w:ascii="Verdana" w:eastAsia="Aptos" w:hAnsi="Verdana" w:cs="Arial"/>
          <w:i/>
          <w:iCs/>
          <w:lang w:eastAsia="es-MX"/>
        </w:rPr>
        <w:t>liquidación.</w:t>
      </w:r>
      <w:r w:rsidRPr="00057687">
        <w:rPr>
          <w:rFonts w:ascii="Verdana" w:eastAsia="Aptos" w:hAnsi="Verdana" w:cs="Arial"/>
          <w:lang w:eastAsia="es-MX"/>
        </w:rPr>
        <w:t xml:space="preserve"> Esto comoquiera que, mientras que la primera expresión se asocia a la finalización del plazo de </w:t>
      </w:r>
      <w:r w:rsidRPr="00057687">
        <w:rPr>
          <w:rFonts w:ascii="Verdana" w:eastAsia="Aptos" w:hAnsi="Verdana" w:cs="Arial"/>
          <w:lang w:eastAsia="es-MX"/>
        </w:rPr>
        <w:lastRenderedPageBreak/>
        <w:t xml:space="preserve">ejecución o aquel durante el cual el contratista ejecuta la prestación a su cargo, </w:t>
      </w:r>
      <w:proofErr w:type="spellStart"/>
      <w:r w:rsidRPr="00057687">
        <w:rPr>
          <w:rFonts w:ascii="Verdana" w:eastAsia="Aptos" w:hAnsi="Verdana" w:cs="Arial"/>
          <w:lang w:eastAsia="es-MX"/>
        </w:rPr>
        <w:t>l a</w:t>
      </w:r>
      <w:proofErr w:type="spellEnd"/>
      <w:r w:rsidRPr="00057687">
        <w:rPr>
          <w:rFonts w:ascii="Verdana" w:eastAsia="Aptos" w:hAnsi="Verdana" w:cs="Arial"/>
          <w:lang w:eastAsia="es-MX"/>
        </w:rPr>
        <w:t xml:space="preserve"> fase de liquidación de los contratos estatales es el momento en el cual las partes realizan el balance de la ejecución del acuerdo de voluntades. Dicho balance, según el artículo 60 de la Ley 80 de 1993 modificado por el artículo 217</w:t>
      </w:r>
      <w:r w:rsidR="00BA70E3">
        <w:rPr>
          <w:rFonts w:ascii="Verdana" w:eastAsia="Aptos" w:hAnsi="Verdana" w:cs="Arial"/>
          <w:lang w:eastAsia="es-MX"/>
        </w:rPr>
        <w:t xml:space="preserve"> </w:t>
      </w:r>
      <w:r w:rsidR="00001FFC" w:rsidRPr="00001FFC">
        <w:rPr>
          <w:rFonts w:ascii="Verdana" w:eastAsia="Aptos" w:hAnsi="Verdana" w:cs="Arial"/>
          <w:lang w:eastAsia="es-MX"/>
        </w:rPr>
        <w:t>del Decreto 19 de 2012, tiene como objetivo que tanto el contratante como el contratista se declaren a paz y salvo, pudiendo utilizar los instrumentos de conciliación y la transacción, entro otros. En efecto, el artículo 60 de la Ley 80 de 1993 dispone:</w:t>
      </w:r>
    </w:p>
    <w:p w14:paraId="062ECDFF"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02BDAC8E" w14:textId="0DFB3914"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r>
        <w:rPr>
          <w:rFonts w:ascii="Verdana" w:eastAsia="Aptos" w:hAnsi="Verdana" w:cs="Arial"/>
          <w:sz w:val="20"/>
          <w:szCs w:val="20"/>
          <w:lang w:eastAsia="es-MX"/>
        </w:rPr>
        <w:t>“</w:t>
      </w:r>
      <w:r w:rsidRPr="00001FFC">
        <w:rPr>
          <w:rFonts w:ascii="Verdana" w:eastAsia="Aptos" w:hAnsi="Verdana" w:cs="Arial"/>
          <w:sz w:val="20"/>
          <w:szCs w:val="20"/>
          <w:lang w:eastAsia="es-MX"/>
        </w:rPr>
        <w:t>Los contratos de tracto sucesivo</w:t>
      </w:r>
      <w:r w:rsidRPr="00715939">
        <w:rPr>
          <w:rStyle w:val="Refdenotaalpie"/>
          <w:rFonts w:ascii="Verdana" w:eastAsia="Calibri" w:hAnsi="Verdana" w:cs="Arial"/>
          <w:lang w:val="es-ES" w:eastAsia="es-ES"/>
        </w:rPr>
        <w:footnoteReference w:id="9"/>
      </w:r>
      <w:r w:rsidRPr="00001FFC">
        <w:rPr>
          <w:rFonts w:ascii="Verdana" w:eastAsia="Aptos" w:hAnsi="Verdana" w:cs="Arial"/>
          <w:sz w:val="20"/>
          <w:szCs w:val="20"/>
          <w:lang w:eastAsia="es-MX"/>
        </w:rPr>
        <w:t xml:space="preserve">, aquellos cuya ejecución o cumplimiento se prolongue en el tiempo y los demás que lo requieran, serán objeto de liquidación. </w:t>
      </w:r>
    </w:p>
    <w:p w14:paraId="503F49A4"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p>
    <w:p w14:paraId="3CA0EC96"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r w:rsidRPr="00001FFC">
        <w:rPr>
          <w:rFonts w:ascii="Verdana" w:eastAsia="Aptos" w:hAnsi="Verdana" w:cs="Arial"/>
          <w:sz w:val="20"/>
          <w:szCs w:val="20"/>
          <w:lang w:eastAsia="es-MX"/>
        </w:rPr>
        <w:t xml:space="preserve">También en esta etapa las partes acordarán los ajustes, revisiones y reconocimientos a que haya lugar. </w:t>
      </w:r>
    </w:p>
    <w:p w14:paraId="32021E4B"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p>
    <w:p w14:paraId="3ABC95AB"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r w:rsidRPr="00001FFC">
        <w:rPr>
          <w:rFonts w:ascii="Verdana" w:eastAsia="Aptos" w:hAnsi="Verdana" w:cs="Arial"/>
          <w:sz w:val="20"/>
          <w:szCs w:val="20"/>
          <w:lang w:eastAsia="es-MX"/>
        </w:rPr>
        <w:t xml:space="preserve">En el acta de liquidación constarán los acuerdos, conciliaciones y transacciones a que llegaren las partes para poner fin a las divergencias presentadas y poder declararse a paz y salvo. </w:t>
      </w:r>
    </w:p>
    <w:p w14:paraId="2E090583"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p>
    <w:p w14:paraId="4CD01939"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r w:rsidRPr="00001FFC">
        <w:rPr>
          <w:rFonts w:ascii="Verdana" w:eastAsia="Aptos" w:hAnsi="Verdana" w:cs="Arial"/>
          <w:sz w:val="20"/>
          <w:szCs w:val="20"/>
          <w:lang w:eastAsia="es-MX"/>
        </w:rPr>
        <w:t xml:space="preserve">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 </w:t>
      </w:r>
    </w:p>
    <w:p w14:paraId="3A945F22" w14:textId="77777777" w:rsidR="00001FFC" w:rsidRDefault="00001FFC" w:rsidP="00001FFC">
      <w:pPr>
        <w:spacing w:line="276" w:lineRule="auto"/>
        <w:ind w:left="708"/>
        <w:contextualSpacing/>
        <w:jc w:val="both"/>
        <w:textAlignment w:val="baseline"/>
        <w:rPr>
          <w:rFonts w:ascii="Verdana" w:eastAsia="Aptos" w:hAnsi="Verdana" w:cs="Arial"/>
          <w:sz w:val="20"/>
          <w:szCs w:val="20"/>
          <w:lang w:eastAsia="es-MX"/>
        </w:rPr>
      </w:pPr>
    </w:p>
    <w:p w14:paraId="659DCA21" w14:textId="66648D7A" w:rsidR="00001FFC" w:rsidRPr="00001FFC" w:rsidRDefault="00001FFC" w:rsidP="00001FFC">
      <w:pPr>
        <w:spacing w:line="276" w:lineRule="auto"/>
        <w:ind w:left="708"/>
        <w:contextualSpacing/>
        <w:jc w:val="both"/>
        <w:textAlignment w:val="baseline"/>
        <w:rPr>
          <w:rFonts w:ascii="Verdana" w:eastAsia="Aptos" w:hAnsi="Verdana" w:cs="Arial"/>
          <w:sz w:val="20"/>
          <w:szCs w:val="20"/>
          <w:lang w:eastAsia="es-MX"/>
        </w:rPr>
      </w:pPr>
      <w:r w:rsidRPr="00001FFC">
        <w:rPr>
          <w:rFonts w:ascii="Verdana" w:eastAsia="Aptos" w:hAnsi="Verdana" w:cs="Arial"/>
          <w:sz w:val="20"/>
          <w:szCs w:val="20"/>
          <w:lang w:eastAsia="es-MX"/>
        </w:rPr>
        <w:t>La liquidación a que se refiere el presente artículo no será obligatoria en los contratos de prestación de servicios profesionales y de apoyo a la gestión”.</w:t>
      </w:r>
    </w:p>
    <w:p w14:paraId="63A10B67" w14:textId="77777777" w:rsidR="00BA70E3" w:rsidRPr="00715939" w:rsidRDefault="00BA70E3" w:rsidP="00057687">
      <w:pPr>
        <w:spacing w:line="276" w:lineRule="auto"/>
        <w:ind w:firstLine="708"/>
        <w:contextualSpacing/>
        <w:jc w:val="both"/>
        <w:textAlignment w:val="baseline"/>
        <w:rPr>
          <w:rFonts w:ascii="Verdana" w:eastAsia="Aptos" w:hAnsi="Verdana" w:cs="Arial"/>
          <w:lang w:val="es-ES_tradnl" w:eastAsia="es-MX"/>
        </w:rPr>
      </w:pPr>
    </w:p>
    <w:p w14:paraId="0BBCD72D" w14:textId="4E713BAF"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lastRenderedPageBreak/>
        <w:t>De acuerdo con lo anterior, la liquidación del contrato estatal implica una actuación a la terminación normal</w:t>
      </w:r>
      <w:r w:rsidRPr="00715939">
        <w:rPr>
          <w:rStyle w:val="Refdenotaalpie"/>
          <w:rFonts w:ascii="Verdana" w:eastAsia="Calibri" w:hAnsi="Verdana" w:cs="Arial"/>
          <w:lang w:val="es-ES" w:eastAsia="es-ES"/>
        </w:rPr>
        <w:footnoteReference w:id="10"/>
      </w:r>
      <w:r w:rsidRPr="00001FFC">
        <w:rPr>
          <w:rFonts w:ascii="Verdana" w:eastAsia="Aptos" w:hAnsi="Verdana" w:cs="Arial"/>
          <w:lang w:eastAsia="es-MX"/>
        </w:rPr>
        <w:t xml:space="preserve"> o anormal</w:t>
      </w:r>
      <w:r w:rsidRPr="00715939">
        <w:rPr>
          <w:rStyle w:val="Refdenotaalpie"/>
          <w:rFonts w:ascii="Verdana" w:eastAsia="Calibri" w:hAnsi="Verdana" w:cs="Arial"/>
          <w:lang w:val="es-ES" w:eastAsia="es-ES"/>
        </w:rPr>
        <w:footnoteReference w:id="11"/>
      </w:r>
      <w:r w:rsidRPr="00001FFC">
        <w:rPr>
          <w:rFonts w:ascii="Verdana" w:eastAsia="Aptos" w:hAnsi="Verdana" w:cs="Arial"/>
          <w:lang w:eastAsia="es-MX"/>
        </w:rPr>
        <w:t xml:space="preserve"> del acuerdo. Según la Sección Tercera del Consejo de Estado, la liquidación es la actuación “mediante la cual lo que se busca es determinar si existen prestaciones, obligaciones o derechos a cargo o en favor de cada una de las partes, para de ésta forma realizar un balance final o un corte definitivo de las cuentas derivadas de la relación negocial, definiéndose en últimas quién le debe a quién y cuánto, bien por las partes de</w:t>
      </w:r>
      <w:r>
        <w:rPr>
          <w:rFonts w:ascii="Verdana" w:eastAsia="Aptos" w:hAnsi="Verdana" w:cs="Arial"/>
          <w:lang w:eastAsia="es-MX"/>
        </w:rPr>
        <w:t xml:space="preserve"> </w:t>
      </w:r>
      <w:r w:rsidRPr="00001FFC">
        <w:rPr>
          <w:rFonts w:ascii="Verdana" w:eastAsia="Aptos" w:hAnsi="Verdana" w:cs="Arial"/>
          <w:lang w:eastAsia="es-MX"/>
        </w:rPr>
        <w:t xml:space="preserve">común acuerdo, por la administración unilateralmente o en su caso por el juez, es decir para dar así finiquito y paz y salvo a la relación negocial” </w:t>
      </w:r>
      <w:r w:rsidRPr="00715939">
        <w:rPr>
          <w:rStyle w:val="Refdenotaalpie"/>
          <w:rFonts w:ascii="Verdana" w:eastAsia="Calibri" w:hAnsi="Verdana" w:cs="Arial"/>
          <w:lang w:val="es-ES" w:eastAsia="es-ES"/>
        </w:rPr>
        <w:footnoteReference w:id="12"/>
      </w:r>
      <w:r w:rsidRPr="00001FFC">
        <w:rPr>
          <w:rFonts w:ascii="Verdana" w:eastAsia="Aptos" w:hAnsi="Verdana" w:cs="Arial"/>
          <w:lang w:eastAsia="es-MX"/>
        </w:rPr>
        <w:t xml:space="preserve"> </w:t>
      </w:r>
    </w:p>
    <w:p w14:paraId="60EA671B"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7A578583" w14:textId="072FB5C3"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Del mencionado artículo, como se observó, se evidencia que los contratos de prestación de servicios profesionales y de apoyo a la gestión están exceptuados del deber de liquidación, pero las Entidades Estatales en el marco de su autonomía y de considerarlo necesario, pueden pactar la liquidación de dichos contratos, ya que la norma los exceptúa, pero no lo prohíbe. En ese sentido,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w:t>
      </w:r>
      <w:r w:rsidRPr="00715939">
        <w:rPr>
          <w:rStyle w:val="Refdenotaalpie"/>
          <w:rFonts w:ascii="Verdana" w:eastAsia="Calibri" w:hAnsi="Verdana" w:cs="Arial"/>
          <w:lang w:val="es-ES" w:eastAsia="es-ES"/>
        </w:rPr>
        <w:footnoteReference w:id="13"/>
      </w:r>
      <w:r w:rsidRPr="00001FFC">
        <w:rPr>
          <w:rFonts w:ascii="Verdana" w:eastAsia="Aptos" w:hAnsi="Verdana" w:cs="Arial"/>
          <w:lang w:eastAsia="es-MX"/>
        </w:rPr>
        <w:t xml:space="preserve">  y, por otro, que las partes consideren </w:t>
      </w:r>
      <w:r w:rsidRPr="00001FFC">
        <w:rPr>
          <w:rFonts w:ascii="Verdana" w:eastAsia="Aptos" w:hAnsi="Verdana" w:cs="Arial"/>
          <w:lang w:eastAsia="es-MX"/>
        </w:rPr>
        <w:lastRenderedPageBreak/>
        <w:t>necesaria la liquidación al finalizar el contrato</w:t>
      </w:r>
      <w:r>
        <w:rPr>
          <w:rFonts w:ascii="Verdana" w:eastAsia="Aptos" w:hAnsi="Verdana" w:cs="Arial"/>
          <w:lang w:eastAsia="es-MX"/>
        </w:rPr>
        <w:t xml:space="preserve"> </w:t>
      </w:r>
      <w:r w:rsidRPr="00001FFC">
        <w:rPr>
          <w:rFonts w:ascii="Verdana" w:eastAsia="Aptos" w:hAnsi="Verdana" w:cs="Arial"/>
          <w:lang w:eastAsia="es-MX"/>
        </w:rPr>
        <w:t xml:space="preserve">en su ejecución que lo dilaten o prorroguen y; c) los demás que lo requieran, con fundamento en su naturaleza, objeto y plazo, así como su importancia o relevancia o por la eventualidad de discrepancias y controversias en torno a su ejecución. De esta forma, se aclara, </w:t>
      </w:r>
      <w:proofErr w:type="gramStart"/>
      <w:r w:rsidRPr="00001FFC">
        <w:rPr>
          <w:rFonts w:ascii="Verdana" w:eastAsia="Aptos" w:hAnsi="Verdana" w:cs="Arial"/>
          <w:lang w:eastAsia="es-MX"/>
        </w:rPr>
        <w:t>que</w:t>
      </w:r>
      <w:proofErr w:type="gramEnd"/>
      <w:r w:rsidRPr="00001FFC">
        <w:rPr>
          <w:rFonts w:ascii="Verdana" w:eastAsia="Aptos" w:hAnsi="Verdana" w:cs="Arial"/>
          <w:lang w:eastAsia="es-MX"/>
        </w:rPr>
        <w:t xml:space="preserve"> si cumplen con las condiciones antes señaladas, la entidad contratante deberá determinar sobre el caso particular y concreto, si procede la liquidación y la forma en la que la hará.</w:t>
      </w:r>
    </w:p>
    <w:p w14:paraId="45974402"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7179E7D8" w14:textId="371114FF"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 xml:space="preserve">En ese sentido, respecto del procedimiento para liquidar los contratos estatales, se tiene que las Entidades Estatales en ejercicio de su autonomía de la voluntad y de conformidad con los criterios de la naturaleza, objeto y plazo del contrato, pueden definir en el pliego de condiciones o en el contrato el plazo para efectuar la liquidación de mutuo acuerdo. Pero, en ausencia de pacto contractual, el artículo 11 ibidem prevé un término supletivo de cuatro (4) meses contados desde: i) el vencimiento del plazo previsto para la ejecución del contrato; </w:t>
      </w:r>
      <w:proofErr w:type="spellStart"/>
      <w:r w:rsidRPr="00001FFC">
        <w:rPr>
          <w:rFonts w:ascii="Verdana" w:eastAsia="Aptos" w:hAnsi="Verdana" w:cs="Arial"/>
          <w:lang w:eastAsia="es-MX"/>
        </w:rPr>
        <w:t>ii</w:t>
      </w:r>
      <w:proofErr w:type="spellEnd"/>
      <w:r w:rsidRPr="00001FFC">
        <w:rPr>
          <w:rFonts w:ascii="Verdana" w:eastAsia="Aptos" w:hAnsi="Verdana" w:cs="Arial"/>
          <w:lang w:eastAsia="es-MX"/>
        </w:rPr>
        <w:t xml:space="preserve">) la expedición del acto administrativo que ordene la terminación del contrato; o, </w:t>
      </w:r>
      <w:proofErr w:type="spellStart"/>
      <w:r w:rsidRPr="00001FFC">
        <w:rPr>
          <w:rFonts w:ascii="Verdana" w:eastAsia="Aptos" w:hAnsi="Verdana" w:cs="Arial"/>
          <w:lang w:eastAsia="es-MX"/>
        </w:rPr>
        <w:t>iii</w:t>
      </w:r>
      <w:proofErr w:type="spellEnd"/>
      <w:r w:rsidRPr="00001FFC">
        <w:rPr>
          <w:rFonts w:ascii="Verdana" w:eastAsia="Aptos" w:hAnsi="Verdana" w:cs="Arial"/>
          <w:lang w:eastAsia="es-MX"/>
        </w:rPr>
        <w:t>) la fecha del acuerdo que disponga la terminación del contrato.</w:t>
      </w:r>
    </w:p>
    <w:p w14:paraId="3982AA93"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17390A9B" w14:textId="5CAA60E3"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 xml:space="preserve">En suma, el artículo 11 de la Ley 1150 de 2007 señala que la liquidación de mutuo acuerdo se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 </w:t>
      </w:r>
      <w:r w:rsidRPr="00715939">
        <w:rPr>
          <w:rStyle w:val="Refdenotaalpie"/>
          <w:rFonts w:ascii="Verdana" w:eastAsia="Calibri" w:hAnsi="Verdana" w:cs="Arial"/>
          <w:lang w:val="es-ES" w:eastAsia="es-ES"/>
        </w:rPr>
        <w:footnoteReference w:id="14"/>
      </w:r>
      <w:r w:rsidRPr="00001FFC">
        <w:rPr>
          <w:rFonts w:ascii="Verdana" w:eastAsia="Aptos" w:hAnsi="Verdana" w:cs="Arial"/>
          <w:lang w:eastAsia="es-MX"/>
        </w:rPr>
        <w:t xml:space="preserve"> . A partir de tales características, debe determinarse la equivalencia de un documento con un pliego de condiciones, la cual se puede ejemplificar claramente con la invitación a participar en los procesos de mínima </w:t>
      </w:r>
      <w:r w:rsidRPr="00001FFC">
        <w:rPr>
          <w:rFonts w:ascii="Verdana" w:eastAsia="Aptos" w:hAnsi="Verdana" w:cs="Arial"/>
          <w:lang w:eastAsia="es-MX"/>
        </w:rPr>
        <w:lastRenderedPageBreak/>
        <w:t>cuantía</w:t>
      </w:r>
      <w:r w:rsidRPr="00715939">
        <w:rPr>
          <w:rStyle w:val="Refdenotaalpie"/>
          <w:rFonts w:ascii="Verdana" w:eastAsia="Calibri" w:hAnsi="Verdana" w:cs="Arial"/>
          <w:lang w:val="es-ES" w:eastAsia="es-ES"/>
        </w:rPr>
        <w:footnoteReference w:id="15"/>
      </w:r>
      <w:r w:rsidRPr="00001FFC">
        <w:rPr>
          <w:rFonts w:ascii="Verdana" w:eastAsia="Aptos" w:hAnsi="Verdana" w:cs="Arial"/>
          <w:lang w:eastAsia="es-MX"/>
        </w:rPr>
        <w:t>, documento dentro del cual la entidad contratante debe fijar las reglas aplicables al procedimiento de selección, cumpliendo con la función del pliego de</w:t>
      </w:r>
      <w:r>
        <w:rPr>
          <w:rFonts w:ascii="Verdana" w:eastAsia="Aptos" w:hAnsi="Verdana" w:cs="Arial"/>
          <w:lang w:eastAsia="es-MX"/>
        </w:rPr>
        <w:t xml:space="preserve"> </w:t>
      </w:r>
      <w:r w:rsidRPr="00001FFC">
        <w:rPr>
          <w:rFonts w:ascii="Verdana" w:eastAsia="Aptos" w:hAnsi="Verdana" w:cs="Arial"/>
          <w:lang w:eastAsia="es-MX"/>
        </w:rPr>
        <w:t>condiciones. En tal sentido, es un documento “equivalente” del mismo en los términos del artículo 11 ibidem, dentro del cual es viable establecer el plazo para la liquidación de mutuo acuerdo.</w:t>
      </w:r>
    </w:p>
    <w:p w14:paraId="72E41CDF" w14:textId="77777777" w:rsidR="00001FFC" w:rsidRDefault="00001FFC" w:rsidP="00057687">
      <w:pPr>
        <w:spacing w:line="276" w:lineRule="auto"/>
        <w:ind w:firstLine="708"/>
        <w:contextualSpacing/>
        <w:jc w:val="both"/>
        <w:textAlignment w:val="baseline"/>
        <w:rPr>
          <w:rFonts w:ascii="Verdana" w:eastAsia="Aptos" w:hAnsi="Verdana" w:cs="Arial"/>
          <w:lang w:val="es-ES_tradnl" w:eastAsia="es-MX"/>
        </w:rPr>
      </w:pPr>
    </w:p>
    <w:p w14:paraId="3D04A630" w14:textId="22D7D1B6"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De otra parte, cuando el artículo 11 de la Ley 1150 de 2007 hace referencia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sidRPr="00715939">
        <w:rPr>
          <w:rStyle w:val="Refdenotaalpie"/>
          <w:rFonts w:ascii="Verdana" w:eastAsia="Calibri" w:hAnsi="Verdana" w:cs="Arial"/>
          <w:lang w:val="es-ES" w:eastAsia="es-ES"/>
        </w:rPr>
        <w:footnoteReference w:id="16"/>
      </w:r>
      <w:r w:rsidRPr="00001FFC">
        <w:rPr>
          <w:rFonts w:ascii="Verdana" w:eastAsia="Aptos" w:hAnsi="Verdana" w:cs="Arial"/>
          <w:lang w:eastAsia="es-MX"/>
        </w:rPr>
        <w:t>. Esto significa que para que un documento en el que se fije el plazo para la liquidación de común acuerdo sea válido, requiere de la confluencia de los mencionados elementos.</w:t>
      </w:r>
    </w:p>
    <w:p w14:paraId="6C8B44EC"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6F3CC005" w14:textId="7E9F4393"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Ahora bien, el término de cuatro (4) meses previstos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715939">
        <w:rPr>
          <w:rStyle w:val="Refdenotaalpie"/>
          <w:rFonts w:ascii="Verdana" w:eastAsia="Calibri" w:hAnsi="Verdana" w:cs="Arial"/>
          <w:lang w:val="es-ES" w:eastAsia="es-ES"/>
        </w:rPr>
        <w:footnoteReference w:id="17"/>
      </w:r>
      <w:r w:rsidRPr="00001FFC">
        <w:rPr>
          <w:rFonts w:ascii="Verdana" w:eastAsia="Aptos" w:hAnsi="Verdana" w:cs="Arial"/>
          <w:lang w:eastAsia="es-MX"/>
        </w:rPr>
        <w:t xml:space="preserve">, lo cual implica que las mismas se desarrollen en procura de la economía y la celeridad </w:t>
      </w:r>
      <w:r w:rsidRPr="00715939">
        <w:rPr>
          <w:rStyle w:val="Refdenotaalpie"/>
          <w:rFonts w:ascii="Verdana" w:eastAsia="Calibri" w:hAnsi="Verdana" w:cs="Arial"/>
          <w:lang w:val="es-ES" w:eastAsia="es-ES"/>
        </w:rPr>
        <w:footnoteReference w:id="18"/>
      </w:r>
      <w:r w:rsidRPr="00001FFC">
        <w:rPr>
          <w:rFonts w:ascii="Verdana" w:eastAsia="Aptos" w:hAnsi="Verdana" w:cs="Arial"/>
          <w:lang w:eastAsia="es-MX"/>
        </w:rPr>
        <w:t>.</w:t>
      </w:r>
    </w:p>
    <w:p w14:paraId="504C86B5" w14:textId="689AFD9A" w:rsidR="00001FFC" w:rsidRDefault="00001FFC" w:rsidP="00057687">
      <w:pPr>
        <w:spacing w:line="276" w:lineRule="auto"/>
        <w:ind w:firstLine="708"/>
        <w:contextualSpacing/>
        <w:jc w:val="both"/>
        <w:textAlignment w:val="baseline"/>
        <w:rPr>
          <w:rFonts w:ascii="Verdana" w:eastAsia="Aptos" w:hAnsi="Verdana" w:cs="Arial"/>
          <w:lang w:eastAsia="es-MX"/>
        </w:rPr>
      </w:pPr>
      <w:r w:rsidRPr="00001FFC">
        <w:rPr>
          <w:rFonts w:ascii="Verdana" w:eastAsia="Aptos" w:hAnsi="Verdana" w:cs="Arial"/>
          <w:lang w:eastAsia="es-MX"/>
        </w:rPr>
        <w:t>Lo anterior significa que, en ejercicio de la facultad que les asiste para fijar el plazo para la liquidación bilateral, las partes deben actuar en garantía de estos principios, por lo que el término que se acuerde debe ser fijado de manera razonable. Durante este término, el contratista puede solicitar que se adelante el trámite de liquidación. Sin embargo, es responsabilidad de la Entidad Estatal convocarlo para adelantar la liquidación de común acuerdo o notificarlo para que se presente a realizarla</w:t>
      </w:r>
      <w:r w:rsidRPr="00715939">
        <w:rPr>
          <w:rStyle w:val="Refdenotaalpie"/>
          <w:rFonts w:ascii="Verdana" w:eastAsia="Calibri" w:hAnsi="Verdana" w:cs="Arial"/>
          <w:lang w:val="es-ES" w:eastAsia="es-ES"/>
        </w:rPr>
        <w:footnoteReference w:id="19"/>
      </w:r>
      <w:r w:rsidRPr="00001FFC">
        <w:rPr>
          <w:rFonts w:ascii="Verdana" w:eastAsia="Aptos" w:hAnsi="Verdana" w:cs="Arial"/>
          <w:lang w:eastAsia="es-MX"/>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715939">
        <w:rPr>
          <w:rStyle w:val="Refdenotaalpie"/>
          <w:rFonts w:ascii="Verdana" w:eastAsia="Calibri" w:hAnsi="Verdana" w:cs="Arial"/>
          <w:lang w:val="es-ES" w:eastAsia="es-ES"/>
        </w:rPr>
        <w:footnoteReference w:id="20"/>
      </w:r>
      <w:r w:rsidRPr="00001FFC">
        <w:rPr>
          <w:rFonts w:ascii="Verdana" w:eastAsia="Aptos" w:hAnsi="Verdana" w:cs="Arial"/>
          <w:lang w:eastAsia="es-MX"/>
        </w:rPr>
        <w:t xml:space="preserve">, y el documento </w:t>
      </w:r>
      <w:r w:rsidRPr="00001FFC">
        <w:rPr>
          <w:rFonts w:ascii="Verdana" w:eastAsia="Aptos" w:hAnsi="Verdana" w:cs="Arial"/>
          <w:lang w:eastAsia="es-MX"/>
        </w:rPr>
        <w:lastRenderedPageBreak/>
        <w:t>que la contiene presta mérito ejecutivo, siempre que se satisfagan los elementos para considerarlo como tal. Si no es posible efectuar la liquidación de manera</w:t>
      </w:r>
      <w:r>
        <w:rPr>
          <w:rFonts w:ascii="Verdana" w:eastAsia="Aptos" w:hAnsi="Verdana" w:cs="Arial"/>
          <w:lang w:eastAsia="es-MX"/>
        </w:rPr>
        <w:t xml:space="preserve"> </w:t>
      </w:r>
      <w:r w:rsidRPr="00001FFC">
        <w:rPr>
          <w:rFonts w:ascii="Verdana" w:eastAsia="Aptos" w:hAnsi="Verdana" w:cs="Arial"/>
          <w:lang w:eastAsia="es-MX"/>
        </w:rPr>
        <w:t>bilateral, el ordenamiento jurídico prevé una facultad, de carácter subsidiario, para que la Entidad Estatal realice la liquidación unilateralmente. En lo que respecta al tercer problema jurídico resulta importante resaltar que 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p>
    <w:p w14:paraId="0E48BFE9" w14:textId="77777777" w:rsidR="00001FFC" w:rsidRDefault="00001FFC" w:rsidP="00057687">
      <w:pPr>
        <w:spacing w:line="276" w:lineRule="auto"/>
        <w:ind w:firstLine="708"/>
        <w:contextualSpacing/>
        <w:jc w:val="both"/>
        <w:textAlignment w:val="baseline"/>
        <w:rPr>
          <w:rFonts w:ascii="Verdana" w:eastAsia="Aptos" w:hAnsi="Verdana" w:cs="Arial"/>
          <w:lang w:eastAsia="es-MX"/>
        </w:rPr>
      </w:pPr>
    </w:p>
    <w:p w14:paraId="7D42CDC7" w14:textId="0A2231B5" w:rsidR="00001FFC" w:rsidRDefault="00284315" w:rsidP="00057687">
      <w:pPr>
        <w:spacing w:line="276" w:lineRule="auto"/>
        <w:ind w:firstLine="708"/>
        <w:contextualSpacing/>
        <w:jc w:val="both"/>
        <w:textAlignment w:val="baseline"/>
        <w:rPr>
          <w:rFonts w:ascii="Verdana" w:eastAsia="Aptos" w:hAnsi="Verdana" w:cs="Arial"/>
          <w:lang w:val="es-ES_tradnl" w:eastAsia="es-MX"/>
        </w:rPr>
      </w:pPr>
      <w:r w:rsidRPr="00284315">
        <w:rPr>
          <w:rFonts w:ascii="Verdana" w:eastAsia="Aptos" w:hAnsi="Verdana" w:cs="Arial"/>
          <w:lang w:eastAsia="es-MX"/>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00001FFC" w:rsidRPr="00715939">
        <w:rPr>
          <w:rStyle w:val="Refdenotaalpie"/>
          <w:rFonts w:ascii="Verdana" w:eastAsia="Calibri" w:hAnsi="Verdana" w:cs="Arial"/>
          <w:lang w:val="es-ES" w:eastAsia="es-ES"/>
        </w:rPr>
        <w:footnoteReference w:id="21"/>
      </w:r>
      <w:r w:rsidR="00001FFC" w:rsidRPr="00001FFC">
        <w:rPr>
          <w:rFonts w:ascii="Verdana" w:eastAsia="Aptos" w:hAnsi="Verdana" w:cs="Arial"/>
          <w:lang w:eastAsia="es-MX"/>
        </w:rPr>
        <w:t>”.</w:t>
      </w:r>
    </w:p>
    <w:p w14:paraId="56DCEB92" w14:textId="77777777" w:rsidR="00001FFC" w:rsidRDefault="00001FFC" w:rsidP="00057687">
      <w:pPr>
        <w:spacing w:line="276" w:lineRule="auto"/>
        <w:ind w:firstLine="708"/>
        <w:contextualSpacing/>
        <w:jc w:val="both"/>
        <w:textAlignment w:val="baseline"/>
        <w:rPr>
          <w:rFonts w:ascii="Verdana" w:eastAsia="Aptos" w:hAnsi="Verdana" w:cs="Arial"/>
          <w:lang w:val="es-ES_tradnl" w:eastAsia="es-MX"/>
        </w:rPr>
      </w:pPr>
    </w:p>
    <w:p w14:paraId="3741A25B" w14:textId="1A427342" w:rsidR="00A62BCB" w:rsidRDefault="00A62BCB" w:rsidP="00057687">
      <w:pPr>
        <w:spacing w:line="276" w:lineRule="auto"/>
        <w:ind w:firstLine="708"/>
        <w:contextualSpacing/>
        <w:jc w:val="both"/>
        <w:textAlignment w:val="baseline"/>
        <w:rPr>
          <w:rFonts w:ascii="Verdana" w:eastAsia="Calibri" w:hAnsi="Verdana" w:cs="Arial"/>
          <w:lang w:val="es-ES" w:eastAsia="es-ES"/>
        </w:rPr>
      </w:pPr>
      <w:r w:rsidRPr="00A62BCB">
        <w:rPr>
          <w:rFonts w:ascii="Verdana" w:eastAsia="Aptos" w:hAnsi="Verdana" w:cs="Arial"/>
          <w:lang w:eastAsia="es-MX"/>
        </w:rPr>
        <w:lastRenderedPageBreak/>
        <w:t>De otra parte, la Ley 1712 de 2014 –ley estatutaria que regula la transparencia y el derecho de acceso a la información y a los documentos</w:t>
      </w:r>
      <w:r>
        <w:rPr>
          <w:rFonts w:ascii="Verdana" w:eastAsia="Aptos" w:hAnsi="Verdana" w:cs="Arial"/>
          <w:lang w:eastAsia="es-MX"/>
        </w:rPr>
        <w:t xml:space="preserve"> </w:t>
      </w:r>
      <w:r w:rsidRPr="00A62BCB">
        <w:rPr>
          <w:rFonts w:ascii="Verdana" w:eastAsia="Aptos" w:hAnsi="Verdana" w:cs="Arial"/>
          <w:lang w:eastAsia="es-MX"/>
        </w:rPr>
        <w:t>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62BCB">
        <w:rPr>
          <w:rStyle w:val="Refdenotaalpie"/>
          <w:rFonts w:ascii="Verdana" w:eastAsia="Calibri" w:hAnsi="Verdana" w:cs="Arial"/>
          <w:lang w:val="es-ES" w:eastAsia="es-ES"/>
        </w:rPr>
        <w:t xml:space="preserve"> </w:t>
      </w:r>
      <w:r w:rsidRPr="00715939">
        <w:rPr>
          <w:rStyle w:val="Refdenotaalpie"/>
          <w:rFonts w:ascii="Verdana" w:eastAsia="Calibri" w:hAnsi="Verdana" w:cs="Arial"/>
          <w:lang w:val="es-ES" w:eastAsia="es-ES"/>
        </w:rPr>
        <w:footnoteReference w:id="22"/>
      </w:r>
    </w:p>
    <w:p w14:paraId="2066F4B2" w14:textId="77777777" w:rsidR="00A62BCB" w:rsidRDefault="00A62BCB" w:rsidP="00057687">
      <w:pPr>
        <w:spacing w:line="276" w:lineRule="auto"/>
        <w:ind w:firstLine="708"/>
        <w:contextualSpacing/>
        <w:jc w:val="both"/>
        <w:textAlignment w:val="baseline"/>
        <w:rPr>
          <w:rFonts w:ascii="Verdana" w:eastAsia="Calibri" w:hAnsi="Verdana" w:cs="Arial"/>
          <w:lang w:val="es-ES" w:eastAsia="es-ES"/>
        </w:rPr>
      </w:pPr>
    </w:p>
    <w:p w14:paraId="515736B4" w14:textId="41DC782D" w:rsidR="00A62BCB" w:rsidRDefault="00A62BCB" w:rsidP="00057687">
      <w:pPr>
        <w:spacing w:line="276" w:lineRule="auto"/>
        <w:ind w:firstLine="708"/>
        <w:contextualSpacing/>
        <w:jc w:val="both"/>
        <w:textAlignment w:val="baseline"/>
        <w:rPr>
          <w:rFonts w:ascii="Verdana" w:eastAsia="Aptos" w:hAnsi="Verdana" w:cs="Arial"/>
          <w:lang w:eastAsia="es-MX"/>
        </w:rPr>
      </w:pPr>
      <w:r w:rsidRPr="00A62BCB">
        <w:rPr>
          <w:rFonts w:ascii="Verdana" w:eastAsia="Aptos" w:hAnsi="Verdana" w:cs="Arial"/>
          <w:lang w:eastAsia="es-MX"/>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715939">
        <w:rPr>
          <w:rStyle w:val="Refdenotaalpie"/>
          <w:rFonts w:ascii="Verdana" w:eastAsia="Calibri" w:hAnsi="Verdana" w:cs="Arial"/>
          <w:lang w:val="es-ES" w:eastAsia="es-ES"/>
        </w:rPr>
        <w:footnoteReference w:id="23"/>
      </w:r>
      <w:r w:rsidRPr="00A62BCB">
        <w:rPr>
          <w:rFonts w:ascii="Verdana" w:eastAsia="Aptos" w:hAnsi="Verdana" w:cs="Arial"/>
          <w:lang w:eastAsia="es-MX"/>
        </w:rPr>
        <w:t xml:space="preserve"> , deben publicar la información relativa a su contratación. Esta obligación fue desarrollada por el Decreto Único Reglamentario 1082 de 2015</w:t>
      </w:r>
      <w:r w:rsidRPr="00715939">
        <w:rPr>
          <w:rStyle w:val="Refdenotaalpie"/>
          <w:rFonts w:ascii="Verdana" w:eastAsia="Calibri" w:hAnsi="Verdana" w:cs="Arial"/>
          <w:lang w:val="es-ES" w:eastAsia="es-ES"/>
        </w:rPr>
        <w:footnoteReference w:id="24"/>
      </w:r>
      <w:r w:rsidRPr="00A62BCB">
        <w:rPr>
          <w:rFonts w:ascii="Verdana" w:eastAsia="Aptos" w:hAnsi="Verdana" w:cs="Arial"/>
          <w:lang w:eastAsia="es-MX"/>
        </w:rPr>
        <w:t>, el cual dispuso que la publicación de la información contractual de los sujetos obligados, que contratan con cargo a recursos públicos, debe hacerse en el SECOP.</w:t>
      </w:r>
    </w:p>
    <w:p w14:paraId="6ADAD5C1" w14:textId="77777777" w:rsidR="00A62BCB" w:rsidRDefault="00A62BCB" w:rsidP="00057687">
      <w:pPr>
        <w:spacing w:line="276" w:lineRule="auto"/>
        <w:ind w:firstLine="708"/>
        <w:contextualSpacing/>
        <w:jc w:val="both"/>
        <w:textAlignment w:val="baseline"/>
        <w:rPr>
          <w:rFonts w:ascii="Verdana" w:eastAsia="Aptos" w:hAnsi="Verdana" w:cs="Arial"/>
          <w:lang w:eastAsia="es-MX"/>
        </w:rPr>
      </w:pPr>
    </w:p>
    <w:p w14:paraId="77B71682" w14:textId="77777777" w:rsidR="00A62BCB" w:rsidRDefault="00A62BCB" w:rsidP="00057687">
      <w:pPr>
        <w:spacing w:line="276" w:lineRule="auto"/>
        <w:ind w:firstLine="708"/>
        <w:contextualSpacing/>
        <w:jc w:val="both"/>
        <w:textAlignment w:val="baseline"/>
        <w:rPr>
          <w:rFonts w:ascii="Verdana" w:eastAsia="Aptos" w:hAnsi="Verdana" w:cs="Arial"/>
          <w:lang w:eastAsia="es-MX"/>
        </w:rPr>
      </w:pPr>
      <w:r w:rsidRPr="00A62BCB">
        <w:rPr>
          <w:rFonts w:ascii="Verdana" w:eastAsia="Aptos" w:hAnsi="Verdana" w:cs="Arial"/>
          <w:lang w:eastAsia="es-MX"/>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w:t>
      </w:r>
      <w:r w:rsidRPr="00A62BCB">
        <w:rPr>
          <w:rFonts w:ascii="Verdana" w:eastAsia="Aptos" w:hAnsi="Verdana" w:cs="Arial"/>
          <w:lang w:eastAsia="es-MX"/>
        </w:rPr>
        <w:lastRenderedPageBreak/>
        <w:t>particular, conocer la existencia de información pública, acceder a la misma y difundirla o publicarla, según su interés</w:t>
      </w:r>
      <w:r w:rsidRPr="00715939">
        <w:rPr>
          <w:rStyle w:val="Refdenotaalpie"/>
          <w:rFonts w:ascii="Verdana" w:eastAsia="Calibri" w:hAnsi="Verdana" w:cs="Arial"/>
          <w:lang w:val="es-ES" w:eastAsia="es-ES"/>
        </w:rPr>
        <w:footnoteReference w:id="25"/>
      </w:r>
      <w:r w:rsidRPr="00A62BCB">
        <w:rPr>
          <w:rFonts w:ascii="Verdana" w:eastAsia="Aptos" w:hAnsi="Verdana" w:cs="Arial"/>
          <w:lang w:eastAsia="es-MX"/>
        </w:rPr>
        <w:t>. En ese contexto, las Entidades Estatales, conforme al artículo 2.2.1.1.1.7.1 del Decreto 1082 de 2015, tienen la</w:t>
      </w:r>
      <w:r>
        <w:rPr>
          <w:rFonts w:ascii="Verdana" w:eastAsia="Aptos" w:hAnsi="Verdana" w:cs="Arial"/>
          <w:lang w:eastAsia="es-MX"/>
        </w:rPr>
        <w:t xml:space="preserve"> </w:t>
      </w:r>
      <w:r w:rsidRPr="00A62BCB">
        <w:rPr>
          <w:rFonts w:ascii="Verdana" w:eastAsia="Aptos" w:hAnsi="Verdana" w:cs="Arial"/>
          <w:lang w:eastAsia="es-MX"/>
        </w:rPr>
        <w:t xml:space="preserve">obligación de publicar en el SECOP “[…] los Documentos del Proceso y los actos administrativos del Proceso de Contratación, dentro de los tres (3) días siguientes a su expedición […]”. </w:t>
      </w:r>
    </w:p>
    <w:p w14:paraId="58532EF0" w14:textId="77777777" w:rsidR="00A62BCB" w:rsidRDefault="00A62BCB" w:rsidP="00057687">
      <w:pPr>
        <w:spacing w:line="276" w:lineRule="auto"/>
        <w:ind w:firstLine="708"/>
        <w:contextualSpacing/>
        <w:jc w:val="both"/>
        <w:textAlignment w:val="baseline"/>
        <w:rPr>
          <w:rFonts w:ascii="Verdana" w:eastAsia="Aptos" w:hAnsi="Verdana" w:cs="Arial"/>
          <w:lang w:eastAsia="es-MX"/>
        </w:rPr>
      </w:pPr>
    </w:p>
    <w:p w14:paraId="69DD0FF3" w14:textId="77777777" w:rsidR="002636AB" w:rsidRDefault="00A62BCB" w:rsidP="00057687">
      <w:pPr>
        <w:spacing w:line="276" w:lineRule="auto"/>
        <w:ind w:firstLine="708"/>
        <w:contextualSpacing/>
        <w:jc w:val="both"/>
        <w:textAlignment w:val="baseline"/>
      </w:pPr>
      <w:r w:rsidRPr="00A62BCB">
        <w:rPr>
          <w:rFonts w:ascii="Verdana" w:eastAsia="Aptos" w:hAnsi="Verdana" w:cs="Arial"/>
          <w:lang w:eastAsia="es-MX"/>
        </w:rPr>
        <w:t xml:space="preserve">La expresión </w:t>
      </w:r>
      <w:r w:rsidRPr="00A62BCB">
        <w:rPr>
          <w:rFonts w:ascii="Verdana" w:eastAsia="Aptos" w:hAnsi="Verdana" w:cs="Arial"/>
          <w:i/>
          <w:iCs/>
          <w:lang w:eastAsia="es-MX"/>
        </w:rPr>
        <w:t>Documentos del Proceso</w:t>
      </w:r>
      <w:r w:rsidRPr="00A62BCB">
        <w:rPr>
          <w:rFonts w:ascii="Verdana" w:eastAsia="Aptos" w:hAnsi="Verdana" w:cs="Arial"/>
          <w:lang w:eastAsia="es-MX"/>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w:t>
      </w:r>
      <w:r w:rsidRPr="002636AB">
        <w:rPr>
          <w:rFonts w:ascii="Verdana" w:eastAsia="Aptos" w:hAnsi="Verdana" w:cs="Arial"/>
          <w:i/>
          <w:iCs/>
          <w:lang w:eastAsia="es-MX"/>
        </w:rPr>
        <w:t>cualquier otro documento expedido por la Entidad Estatal durante el Proceso de Contratación</w:t>
      </w:r>
      <w:r w:rsidRPr="00A62BCB">
        <w:rPr>
          <w:rFonts w:ascii="Verdana" w:eastAsia="Aptos" w:hAnsi="Verdana" w:cs="Arial"/>
          <w:lang w:eastAsia="es-MX"/>
        </w:rPr>
        <w:t>”. [Énfasis fuera de texto]</w:t>
      </w:r>
      <w:r w:rsidRPr="00A62BCB">
        <w:t xml:space="preserve"> </w:t>
      </w:r>
    </w:p>
    <w:p w14:paraId="39CAFCAD" w14:textId="77777777" w:rsidR="00A62BCB" w:rsidRDefault="00A62BCB" w:rsidP="002636AB">
      <w:pPr>
        <w:spacing w:line="276" w:lineRule="auto"/>
        <w:contextualSpacing/>
        <w:jc w:val="both"/>
        <w:textAlignment w:val="baseline"/>
        <w:rPr>
          <w:rFonts w:ascii="Verdana" w:eastAsia="Aptos" w:hAnsi="Verdana" w:cs="Arial"/>
          <w:lang w:val="es-ES_tradnl" w:eastAsia="es-MX"/>
        </w:rPr>
      </w:pPr>
    </w:p>
    <w:p w14:paraId="7F545209" w14:textId="7B3BF632" w:rsidR="003A3386" w:rsidRDefault="003A3386" w:rsidP="003A3386">
      <w:pPr>
        <w:spacing w:line="276" w:lineRule="auto"/>
        <w:ind w:firstLine="708"/>
        <w:contextualSpacing/>
        <w:jc w:val="both"/>
        <w:textAlignment w:val="baseline"/>
        <w:rPr>
          <w:rFonts w:ascii="Verdana" w:eastAsia="Aptos" w:hAnsi="Verdana" w:cs="Arial"/>
          <w:lang w:eastAsia="es-MX"/>
        </w:rPr>
      </w:pPr>
      <w:r w:rsidRPr="003A3386">
        <w:rPr>
          <w:rFonts w:ascii="Verdana" w:eastAsia="Aptos" w:hAnsi="Verdana" w:cs="Arial"/>
          <w:lang w:eastAsia="es-MX"/>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A3386">
        <w:rPr>
          <w:rFonts w:ascii="Verdana" w:eastAsia="Aptos" w:hAnsi="Verdana" w:cs="Arial"/>
          <w:i/>
          <w:iCs/>
          <w:lang w:eastAsia="es-MX"/>
        </w:rPr>
        <w:t>Ibidem</w:t>
      </w:r>
      <w:r w:rsidRPr="003A3386">
        <w:rPr>
          <w:rFonts w:ascii="Verdana" w:eastAsia="Aptos" w:hAnsi="Verdana" w:cs="Arial"/>
          <w:lang w:eastAsia="es-MX"/>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4249D229" w14:textId="77777777" w:rsidR="003A3386" w:rsidRDefault="003A3386" w:rsidP="002636AB">
      <w:pPr>
        <w:spacing w:line="276" w:lineRule="auto"/>
        <w:contextualSpacing/>
        <w:jc w:val="both"/>
        <w:textAlignment w:val="baseline"/>
        <w:rPr>
          <w:rFonts w:ascii="Verdana" w:eastAsia="Aptos" w:hAnsi="Verdana" w:cs="Arial"/>
          <w:lang w:val="es-ES_tradnl" w:eastAsia="es-MX"/>
        </w:rPr>
      </w:pPr>
    </w:p>
    <w:p w14:paraId="7570B369" w14:textId="6CA554B2" w:rsidR="00613F91" w:rsidRDefault="00613F91" w:rsidP="00613F91">
      <w:pPr>
        <w:spacing w:line="276" w:lineRule="auto"/>
        <w:ind w:firstLine="708"/>
        <w:contextualSpacing/>
        <w:jc w:val="both"/>
        <w:textAlignment w:val="baseline"/>
        <w:rPr>
          <w:rFonts w:ascii="Verdana" w:eastAsia="Aptos" w:hAnsi="Verdana" w:cs="Arial"/>
          <w:lang w:eastAsia="es-MX"/>
        </w:rPr>
      </w:pPr>
      <w:r w:rsidRPr="00613F91">
        <w:rPr>
          <w:rFonts w:ascii="Verdana" w:eastAsia="Aptos" w:hAnsi="Verdana" w:cs="Arial"/>
          <w:lang w:eastAsia="es-MX"/>
        </w:rPr>
        <w:t xml:space="preserve">En ese sentido, la interpretación sistemática de los preceptos del Decreto 1082 de 2015, de acuerdo con el principio de publicidad, inicialmente, indica que las Entidades Estatales tienen la obligación de publicar todos los documentos </w:t>
      </w:r>
      <w:r w:rsidRPr="00613F91">
        <w:rPr>
          <w:rFonts w:ascii="Verdana" w:eastAsia="Aptos" w:hAnsi="Verdana" w:cs="Arial"/>
          <w:lang w:eastAsia="es-MX"/>
        </w:rPr>
        <w:lastRenderedPageBreak/>
        <w:t>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66BC3998" w14:textId="77777777" w:rsidR="00613F91" w:rsidRDefault="00613F91" w:rsidP="00613F91">
      <w:pPr>
        <w:spacing w:line="276" w:lineRule="auto"/>
        <w:ind w:firstLine="708"/>
        <w:contextualSpacing/>
        <w:jc w:val="both"/>
        <w:textAlignment w:val="baseline"/>
        <w:rPr>
          <w:rFonts w:ascii="Verdana" w:eastAsia="Aptos" w:hAnsi="Verdana" w:cs="Arial"/>
          <w:lang w:eastAsia="es-MX"/>
        </w:rPr>
      </w:pPr>
    </w:p>
    <w:p w14:paraId="6811EBA1" w14:textId="0D89CA9A" w:rsidR="00613F91" w:rsidRDefault="00613F91" w:rsidP="00613F91">
      <w:pPr>
        <w:spacing w:line="276" w:lineRule="auto"/>
        <w:ind w:firstLine="708"/>
        <w:contextualSpacing/>
        <w:jc w:val="both"/>
        <w:textAlignment w:val="baseline"/>
        <w:rPr>
          <w:rFonts w:ascii="Verdana" w:eastAsia="Aptos" w:hAnsi="Verdana" w:cs="Arial"/>
          <w:lang w:eastAsia="es-MX"/>
        </w:rPr>
      </w:pPr>
      <w:r w:rsidRPr="00613F91">
        <w:rPr>
          <w:rFonts w:ascii="Verdana" w:eastAsia="Aptos" w:hAnsi="Verdana" w:cs="Arial"/>
          <w:lang w:eastAsia="es-MX"/>
        </w:rPr>
        <w:t>Por último, atendiendo al objeto de la consulta, debe señalarse que la Ley 80 de 1993 establece en sus artículos 4, 5, 12, 14 y 26, entre otros aspectos, la</w:t>
      </w:r>
      <w:r>
        <w:rPr>
          <w:rFonts w:ascii="Verdana" w:eastAsia="Aptos" w:hAnsi="Verdana" w:cs="Arial"/>
          <w:lang w:eastAsia="es-MX"/>
        </w:rPr>
        <w:t xml:space="preserve"> </w:t>
      </w:r>
      <w:r w:rsidRPr="00613F91">
        <w:rPr>
          <w:rFonts w:ascii="Verdana" w:eastAsia="Aptos" w:hAnsi="Verdana" w:cs="Arial"/>
          <w:lang w:eastAsia="es-MX"/>
        </w:rPr>
        <w:t>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r>
        <w:rPr>
          <w:rFonts w:ascii="Verdana" w:eastAsia="Aptos" w:hAnsi="Verdana" w:cs="Arial"/>
          <w:lang w:eastAsia="es-MX"/>
        </w:rPr>
        <w:t>.</w:t>
      </w:r>
    </w:p>
    <w:p w14:paraId="0AC1AE60" w14:textId="77777777" w:rsidR="009F5FB8" w:rsidRPr="00715939" w:rsidRDefault="009F5FB8" w:rsidP="00715939">
      <w:pPr>
        <w:spacing w:after="0" w:line="276" w:lineRule="auto"/>
        <w:jc w:val="both"/>
        <w:rPr>
          <w:rFonts w:ascii="Verdana" w:eastAsia="Calibri" w:hAnsi="Verdana" w:cs="Arial"/>
        </w:rPr>
      </w:pPr>
    </w:p>
    <w:p w14:paraId="51691684" w14:textId="77777777" w:rsidR="00AB64A5" w:rsidRPr="00715939" w:rsidRDefault="00AB64A5" w:rsidP="0071593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5939">
        <w:rPr>
          <w:rFonts w:ascii="Verdana" w:eastAsia="Century Gothic" w:hAnsi="Verdana" w:cs="Century Gothic"/>
          <w:b/>
          <w:bCs/>
        </w:rPr>
        <w:t>Referencias normativas, jurisprudenciales y otras fuentes:</w:t>
      </w:r>
    </w:p>
    <w:p w14:paraId="4791A111" w14:textId="77777777" w:rsidR="00AB64A5" w:rsidRPr="00715939" w:rsidRDefault="00AB64A5" w:rsidP="0071593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4A5" w:rsidRPr="00715939" w14:paraId="713E4602" w14:textId="77777777" w:rsidTr="007B0B27">
        <w:trPr>
          <w:trHeight w:val="870"/>
        </w:trPr>
        <w:tc>
          <w:tcPr>
            <w:tcW w:w="8647" w:type="dxa"/>
          </w:tcPr>
          <w:p w14:paraId="53701476" w14:textId="77777777" w:rsidR="00715939" w:rsidRPr="00715939" w:rsidRDefault="00715939" w:rsidP="00715939">
            <w:pPr>
              <w:pStyle w:val="Prrafodelista"/>
              <w:numPr>
                <w:ilvl w:val="0"/>
                <w:numId w:val="33"/>
              </w:numPr>
              <w:spacing w:line="276" w:lineRule="auto"/>
              <w:jc w:val="both"/>
              <w:rPr>
                <w:rFonts w:ascii="Verdana" w:eastAsia="Calibri" w:hAnsi="Verdana" w:cs="Arial"/>
              </w:rPr>
            </w:pPr>
            <w:r w:rsidRPr="00715939">
              <w:rPr>
                <w:rFonts w:ascii="Verdana" w:eastAsia="Calibri" w:hAnsi="Verdana" w:cs="Arial"/>
              </w:rPr>
              <w:t>Código de Comercio</w:t>
            </w:r>
          </w:p>
          <w:p w14:paraId="0DCDE6B6" w14:textId="77777777" w:rsidR="00715939" w:rsidRPr="00715939" w:rsidRDefault="00715939" w:rsidP="00715939">
            <w:pPr>
              <w:pStyle w:val="Prrafodelista"/>
              <w:numPr>
                <w:ilvl w:val="0"/>
                <w:numId w:val="33"/>
              </w:numPr>
              <w:spacing w:line="276" w:lineRule="auto"/>
              <w:jc w:val="both"/>
              <w:rPr>
                <w:rFonts w:ascii="Verdana" w:eastAsia="Calibri" w:hAnsi="Verdana" w:cs="Arial"/>
              </w:rPr>
            </w:pPr>
            <w:r w:rsidRPr="00715939">
              <w:rPr>
                <w:rFonts w:ascii="Verdana" w:eastAsia="Calibri" w:hAnsi="Verdana" w:cs="Arial"/>
              </w:rPr>
              <w:t xml:space="preserve">Código Civil </w:t>
            </w:r>
          </w:p>
          <w:p w14:paraId="2D1F2124" w14:textId="71F4C3C0" w:rsidR="00715939" w:rsidRPr="00715939" w:rsidRDefault="00715939" w:rsidP="00715939">
            <w:pPr>
              <w:pStyle w:val="Prrafodelista"/>
              <w:numPr>
                <w:ilvl w:val="0"/>
                <w:numId w:val="33"/>
              </w:numPr>
              <w:spacing w:line="276" w:lineRule="auto"/>
              <w:jc w:val="both"/>
              <w:rPr>
                <w:rFonts w:ascii="Verdana" w:eastAsia="Calibri" w:hAnsi="Verdana" w:cs="Arial"/>
              </w:rPr>
            </w:pPr>
            <w:r w:rsidRPr="00715939">
              <w:rPr>
                <w:rFonts w:ascii="Verdana" w:eastAsia="Calibri" w:hAnsi="Verdana" w:cs="Arial"/>
              </w:rPr>
              <w:t>Artículo 13 de la Ley 80 de 1993</w:t>
            </w:r>
          </w:p>
          <w:p w14:paraId="6FD2CDD6" w14:textId="0C3A44B0" w:rsidR="00715939" w:rsidRDefault="00715939" w:rsidP="00715939">
            <w:pPr>
              <w:pStyle w:val="Prrafodelista"/>
              <w:numPr>
                <w:ilvl w:val="0"/>
                <w:numId w:val="33"/>
              </w:numPr>
              <w:spacing w:line="276" w:lineRule="auto"/>
              <w:jc w:val="both"/>
              <w:rPr>
                <w:rFonts w:ascii="Verdana" w:eastAsia="Calibri" w:hAnsi="Verdana" w:cs="Arial"/>
              </w:rPr>
            </w:pPr>
            <w:r w:rsidRPr="00715939">
              <w:rPr>
                <w:rFonts w:ascii="Verdana" w:eastAsia="Calibri" w:hAnsi="Verdana" w:cs="Arial"/>
              </w:rPr>
              <w:t>Artículos 7 y 11 de la Ley 1150 de 2007</w:t>
            </w:r>
          </w:p>
          <w:p w14:paraId="7A3518A0" w14:textId="644CC29C" w:rsidR="00715939" w:rsidRPr="00715939" w:rsidRDefault="00715939" w:rsidP="00715939">
            <w:pPr>
              <w:pStyle w:val="Prrafodelista"/>
              <w:numPr>
                <w:ilvl w:val="0"/>
                <w:numId w:val="33"/>
              </w:numPr>
              <w:spacing w:line="276" w:lineRule="auto"/>
              <w:jc w:val="both"/>
              <w:rPr>
                <w:rFonts w:ascii="Verdana" w:eastAsia="Calibri" w:hAnsi="Verdana" w:cs="Arial"/>
              </w:rPr>
            </w:pPr>
            <w:r w:rsidRPr="00715939">
              <w:rPr>
                <w:rFonts w:ascii="Verdana" w:eastAsia="Calibri" w:hAnsi="Verdana" w:cs="Arial"/>
              </w:rPr>
              <w:t>Artículo 86 de la Ley 1474 de 2011</w:t>
            </w:r>
          </w:p>
          <w:p w14:paraId="6CE5A0F2" w14:textId="77777777" w:rsidR="00715939" w:rsidRPr="005F6D0C" w:rsidRDefault="00715939" w:rsidP="00715939">
            <w:pPr>
              <w:pStyle w:val="Prrafodelista"/>
              <w:widowControl w:val="0"/>
              <w:numPr>
                <w:ilvl w:val="0"/>
                <w:numId w:val="33"/>
              </w:numPr>
              <w:tabs>
                <w:tab w:val="left" w:pos="8419"/>
              </w:tabs>
              <w:autoSpaceDE w:val="0"/>
              <w:autoSpaceDN w:val="0"/>
              <w:spacing w:after="160" w:line="276" w:lineRule="auto"/>
              <w:contextualSpacing w:val="0"/>
              <w:jc w:val="both"/>
              <w:rPr>
                <w:rFonts w:ascii="Verdana" w:hAnsi="Verdana" w:cs="Arial"/>
              </w:rPr>
            </w:pPr>
            <w:hyperlink r:id="rId13" w:history="1">
              <w:r w:rsidRPr="005F6D0C">
                <w:rPr>
                  <w:rStyle w:val="Hipervnculo"/>
                  <w:rFonts w:ascii="Verdana" w:hAnsi="Verdana" w:cs="Arial"/>
                </w:rPr>
                <w:t>https://relatoria.colombiacompra.gov.co/providencias-consejo-de-estado/</w:t>
              </w:r>
            </w:hyperlink>
            <w:r w:rsidRPr="005F6D0C">
              <w:rPr>
                <w:rFonts w:ascii="Verdana" w:hAnsi="Verdana" w:cs="Arial"/>
              </w:rPr>
              <w:t xml:space="preserve"> </w:t>
            </w:r>
          </w:p>
          <w:p w14:paraId="0C45EA68" w14:textId="405C4253" w:rsidR="00AB64A5" w:rsidRPr="00715939" w:rsidRDefault="00715939" w:rsidP="00715939">
            <w:pPr>
              <w:pStyle w:val="Prrafodelista"/>
              <w:widowControl w:val="0"/>
              <w:numPr>
                <w:ilvl w:val="0"/>
                <w:numId w:val="33"/>
              </w:numPr>
              <w:autoSpaceDE w:val="0"/>
              <w:autoSpaceDN w:val="0"/>
              <w:spacing w:after="120" w:line="276" w:lineRule="auto"/>
              <w:contextualSpacing w:val="0"/>
              <w:jc w:val="both"/>
              <w:rPr>
                <w:rFonts w:ascii="Verdana" w:hAnsi="Verdana" w:cs="Arial"/>
              </w:rPr>
            </w:pPr>
            <w:r w:rsidRPr="005F6D0C">
              <w:rPr>
                <w:rFonts w:ascii="Verdana" w:hAnsi="Verdana" w:cs="Arial"/>
              </w:rPr>
              <w:t>Guías y manuales expedidos por la ANCP-CCE. Disponible en</w:t>
            </w:r>
            <w:r w:rsidRPr="005F6D0C">
              <w:rPr>
                <w:rFonts w:ascii="Verdana" w:hAnsi="Verdana" w:cs="Arial"/>
                <w:color w:val="7030A0"/>
              </w:rPr>
              <w:t>:</w:t>
            </w:r>
            <w:r w:rsidRPr="005F6D0C">
              <w:rPr>
                <w:rFonts w:ascii="Verdana" w:hAnsi="Verdana"/>
                <w:color w:val="7030A0"/>
              </w:rPr>
              <w:t xml:space="preserve"> </w:t>
            </w:r>
            <w:hyperlink r:id="rId14" w:history="1">
              <w:r w:rsidRPr="005F6D0C">
                <w:rPr>
                  <w:rStyle w:val="Hipervnculo"/>
                  <w:rFonts w:ascii="Verdana" w:hAnsi="Verdana" w:cs="Arial"/>
                </w:rPr>
                <w:t>https://www.colombiacompra.gov.co/manuales-guias-y-pliegos-tipo/manuales-y-guias</w:t>
              </w:r>
            </w:hyperlink>
            <w:r w:rsidR="005A5AFA" w:rsidRPr="00715939">
              <w:rPr>
                <w:rFonts w:ascii="Verdana" w:eastAsia="Verdana" w:hAnsi="Verdana" w:cs="Verdana"/>
                <w:lang w:val="es-ES"/>
              </w:rPr>
              <w:t xml:space="preserve"> </w:t>
            </w:r>
          </w:p>
        </w:tc>
      </w:tr>
    </w:tbl>
    <w:p w14:paraId="7D10BDB3" w14:textId="77777777" w:rsidR="00AB64A5" w:rsidRPr="00715939" w:rsidRDefault="00AB64A5" w:rsidP="00715939">
      <w:pPr>
        <w:widowControl w:val="0"/>
        <w:autoSpaceDE w:val="0"/>
        <w:autoSpaceDN w:val="0"/>
        <w:spacing w:after="0" w:line="276" w:lineRule="auto"/>
        <w:jc w:val="both"/>
        <w:rPr>
          <w:rFonts w:ascii="Verdana" w:hAnsi="Verdana" w:cs="Arial"/>
        </w:rPr>
      </w:pPr>
    </w:p>
    <w:p w14:paraId="064A695A" w14:textId="77777777" w:rsidR="00AB64A5" w:rsidRPr="00715939" w:rsidRDefault="00AB64A5" w:rsidP="0071593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5939">
        <w:rPr>
          <w:rFonts w:ascii="Verdana" w:eastAsia="Century Gothic" w:hAnsi="Verdana" w:cs="Century Gothic"/>
          <w:b/>
          <w:bCs/>
        </w:rPr>
        <w:t>Doctrina de la Agencia Nacional de Contratación Pública:</w:t>
      </w:r>
    </w:p>
    <w:p w14:paraId="6FB855C5" w14:textId="77777777" w:rsidR="00AB64A5" w:rsidRPr="00715939" w:rsidRDefault="00AB64A5" w:rsidP="00715939">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4031916B" w14:textId="77777777" w:rsidR="006138DE" w:rsidRPr="00715939" w:rsidRDefault="006138DE" w:rsidP="00715939">
      <w:pPr>
        <w:spacing w:line="276" w:lineRule="auto"/>
        <w:jc w:val="both"/>
        <w:rPr>
          <w:rFonts w:ascii="Verdana" w:eastAsia="Aptos" w:hAnsi="Verdana" w:cs="Arial"/>
          <w:bCs/>
        </w:rPr>
      </w:pPr>
      <w:r w:rsidRPr="00715939">
        <w:rPr>
          <w:rFonts w:ascii="Verdana" w:eastAsia="Aptos" w:hAnsi="Verdana" w:cs="Arial"/>
          <w:bCs/>
        </w:rPr>
        <w:t xml:space="preserve">La Agencia Nacional de Contratación Pública – Colombia Compra Eficiente, estudió la potestad sancionatoria de las entidades estatales y el procedimiento </w:t>
      </w:r>
      <w:r w:rsidRPr="00715939">
        <w:rPr>
          <w:rFonts w:ascii="Verdana" w:eastAsia="Aptos" w:hAnsi="Verdana" w:cs="Arial"/>
          <w:bCs/>
        </w:rPr>
        <w:lastRenderedPageBreak/>
        <w:t xml:space="preserve">administrativo que deben efectuar para declarar el incumplimiento y aplicar las sanciones correspondientes, destacando la necesidad de garantizar el debido proceso,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w:t>
      </w:r>
      <w:hyperlink r:id="rId15" w:tgtFrame="_blank" w:history="1">
        <w:r w:rsidRPr="00715939">
          <w:rPr>
            <w:rFonts w:ascii="Verdana" w:eastAsia="Aptos" w:hAnsi="Verdana" w:cs="Arial"/>
            <w:bCs/>
          </w:rPr>
          <w:t>C-085 del 29 de abril  de 2022</w:t>
        </w:r>
      </w:hyperlink>
      <w:r w:rsidRPr="00715939">
        <w:rPr>
          <w:rFonts w:ascii="Verdana" w:eastAsia="Aptos" w:hAnsi="Verdana" w:cs="Arial"/>
          <w:bCs/>
        </w:rPr>
        <w:t xml:space="preserve"> </w:t>
      </w:r>
      <w:hyperlink r:id="rId16" w:tgtFrame="_blank" w:history="1">
        <w:r w:rsidRPr="00715939">
          <w:rPr>
            <w:rFonts w:ascii="Verdana" w:eastAsia="Aptos" w:hAnsi="Verdana" w:cs="Arial"/>
            <w:bCs/>
          </w:rPr>
          <w:t>C-125 del 23 de marzo de 2022,</w:t>
        </w:r>
      </w:hyperlink>
      <w:r w:rsidRPr="00715939">
        <w:rPr>
          <w:rFonts w:ascii="Verdana" w:eastAsia="Aptos" w:hAnsi="Verdana" w:cs="Arial"/>
          <w:bCs/>
        </w:rPr>
        <w:t xml:space="preserve"> </w:t>
      </w:r>
      <w:hyperlink r:id="rId17" w:tgtFrame="_blank" w:history="1">
        <w:r w:rsidRPr="00715939">
          <w:rPr>
            <w:rFonts w:ascii="Verdana" w:eastAsia="Aptos" w:hAnsi="Verdana" w:cs="Arial"/>
            <w:bCs/>
          </w:rPr>
          <w:t>C-195 del 12 de abril de 2022,</w:t>
        </w:r>
      </w:hyperlink>
      <w:r w:rsidRPr="00715939">
        <w:rPr>
          <w:rFonts w:ascii="Verdana" w:eastAsia="Aptos" w:hAnsi="Verdana" w:cs="Arial"/>
          <w:bCs/>
        </w:rPr>
        <w:t xml:space="preserve"> </w:t>
      </w:r>
      <w:hyperlink r:id="rId18" w:tgtFrame="_blank" w:history="1">
        <w:r w:rsidRPr="00715939">
          <w:rPr>
            <w:rFonts w:ascii="Verdana" w:eastAsia="Aptos" w:hAnsi="Verdana" w:cs="Arial"/>
            <w:bCs/>
          </w:rPr>
          <w:t>C-208 del 26 de abril de 2022,</w:t>
        </w:r>
      </w:hyperlink>
      <w:r w:rsidRPr="00715939">
        <w:rPr>
          <w:rFonts w:ascii="Verdana" w:eastAsia="Aptos" w:hAnsi="Verdana" w:cs="Arial"/>
          <w:bCs/>
        </w:rPr>
        <w:t xml:space="preserve"> </w:t>
      </w:r>
      <w:hyperlink r:id="rId19" w:tgtFrame="_blank" w:history="1">
        <w:r w:rsidRPr="00715939">
          <w:rPr>
            <w:rFonts w:ascii="Verdana" w:eastAsia="Aptos" w:hAnsi="Verdana" w:cs="Arial"/>
            <w:bCs/>
          </w:rPr>
          <w:t>C-238 del 27 de abril de 2022,</w:t>
        </w:r>
      </w:hyperlink>
      <w:r w:rsidRPr="00715939">
        <w:rPr>
          <w:rFonts w:ascii="Verdana" w:eastAsia="Aptos" w:hAnsi="Verdana" w:cs="Arial"/>
          <w:bCs/>
        </w:rPr>
        <w:t xml:space="preserve"> </w:t>
      </w:r>
      <w:bookmarkStart w:id="4" w:name="_Hlk143178132"/>
      <w:r w:rsidRPr="00715939">
        <w:rPr>
          <w:rFonts w:ascii="Verdana" w:eastAsia="Aptos" w:hAnsi="Verdana" w:cs="Arial"/>
          <w:bCs/>
        </w:rPr>
        <w:fldChar w:fldCharType="begin"/>
      </w:r>
      <w:r w:rsidRPr="00715939">
        <w:rPr>
          <w:rFonts w:ascii="Verdana" w:eastAsia="Aptos" w:hAnsi="Verdana" w:cs="Arial"/>
          <w:bCs/>
        </w:rPr>
        <w:instrText>HYPERLINK "https://relatoria.colombiacompra.gov.co/ficha/C-866%20de%202022" \t "_blank"</w:instrText>
      </w:r>
      <w:r w:rsidRPr="00715939">
        <w:rPr>
          <w:rFonts w:ascii="Verdana" w:eastAsia="Aptos" w:hAnsi="Verdana" w:cs="Arial"/>
          <w:bCs/>
        </w:rPr>
      </w:r>
      <w:r w:rsidRPr="00715939">
        <w:rPr>
          <w:rFonts w:ascii="Verdana" w:eastAsia="Aptos" w:hAnsi="Verdana" w:cs="Arial"/>
          <w:bCs/>
        </w:rPr>
        <w:fldChar w:fldCharType="separate"/>
      </w:r>
      <w:r w:rsidRPr="00715939">
        <w:rPr>
          <w:rFonts w:ascii="Verdana" w:eastAsia="Aptos" w:hAnsi="Verdana" w:cs="Arial"/>
          <w:bCs/>
        </w:rPr>
        <w:t>C-866 del 20 de diciembre de 2022</w:t>
      </w:r>
      <w:r w:rsidRPr="00715939">
        <w:rPr>
          <w:rFonts w:ascii="Verdana" w:eastAsia="Aptos" w:hAnsi="Verdana" w:cs="Arial"/>
          <w:bCs/>
        </w:rPr>
        <w:fldChar w:fldCharType="end"/>
      </w:r>
      <w:r w:rsidRPr="00715939">
        <w:rPr>
          <w:rFonts w:ascii="Verdana" w:eastAsia="Aptos" w:hAnsi="Verdana" w:cs="Arial"/>
          <w:bCs/>
        </w:rPr>
        <w:t xml:space="preserve">, </w:t>
      </w:r>
      <w:hyperlink r:id="rId20" w:tgtFrame="_blank" w:history="1">
        <w:r w:rsidRPr="00715939">
          <w:rPr>
            <w:rFonts w:ascii="Verdana" w:eastAsia="Aptos" w:hAnsi="Verdana" w:cs="Arial"/>
            <w:bCs/>
          </w:rPr>
          <w:t>C-034 de 09 de marzo de 2023</w:t>
        </w:r>
      </w:hyperlink>
      <w:r w:rsidRPr="00715939">
        <w:rPr>
          <w:rFonts w:ascii="Verdana" w:eastAsia="Aptos" w:hAnsi="Verdana" w:cs="Arial"/>
          <w:bCs/>
        </w:rPr>
        <w:t xml:space="preserve"> y C-140 del 13 de junio de 2023</w:t>
      </w:r>
      <w:bookmarkEnd w:id="4"/>
      <w:r w:rsidRPr="00715939">
        <w:rPr>
          <w:rFonts w:ascii="Verdana" w:eastAsia="Aptos" w:hAnsi="Verdana" w:cs="Arial"/>
          <w:bCs/>
        </w:rPr>
        <w:t>, entre otros.</w:t>
      </w:r>
    </w:p>
    <w:p w14:paraId="6C8EA643" w14:textId="2CE2F382" w:rsidR="006138DE" w:rsidRPr="00715939" w:rsidRDefault="00283C1D" w:rsidP="00715939">
      <w:pPr>
        <w:spacing w:line="276" w:lineRule="auto"/>
        <w:jc w:val="both"/>
        <w:rPr>
          <w:rFonts w:ascii="Verdana" w:eastAsia="Aptos" w:hAnsi="Verdana" w:cs="Arial"/>
          <w:bCs/>
        </w:rPr>
      </w:pPr>
      <w:r w:rsidRPr="00715939">
        <w:rPr>
          <w:rFonts w:ascii="Verdana" w:eastAsia="Aptos" w:hAnsi="Verdana" w:cs="Arial"/>
          <w:bCs/>
        </w:rPr>
        <w:t>Sobre el Sistema Electrónico para la Contratación Pública – SECOP, esta Subdirección se ha referido en los Conceptos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w:t>
      </w:r>
      <w:r w:rsidR="006138DE" w:rsidRPr="00715939">
        <w:rPr>
          <w:rFonts w:ascii="Verdana" w:eastAsia="Aptos" w:hAnsi="Verdana" w:cs="Arial"/>
          <w:bCs/>
        </w:rPr>
        <w:t xml:space="preserve">, </w:t>
      </w:r>
      <w:r w:rsidRPr="00715939">
        <w:rPr>
          <w:rFonts w:ascii="Verdana" w:eastAsia="Aptos" w:hAnsi="Verdana" w:cs="Arial"/>
          <w:bCs/>
        </w:rPr>
        <w:t>entre otros.</w:t>
      </w:r>
      <w:r w:rsidR="006138DE" w:rsidRPr="00715939">
        <w:rPr>
          <w:rFonts w:ascii="Verdana" w:eastAsia="Aptos" w:hAnsi="Verdana" w:cs="Arial"/>
          <w:bCs/>
        </w:rPr>
        <w:t xml:space="preserve"> </w:t>
      </w:r>
    </w:p>
    <w:p w14:paraId="0EBFFD6B" w14:textId="1F913D5D" w:rsidR="006138DE" w:rsidRPr="00715939" w:rsidRDefault="006138DE" w:rsidP="00715939">
      <w:pPr>
        <w:spacing w:line="276" w:lineRule="auto"/>
        <w:jc w:val="both"/>
        <w:rPr>
          <w:rFonts w:ascii="Verdana" w:eastAsia="Aptos" w:hAnsi="Verdana" w:cs="Arial"/>
          <w:bCs/>
        </w:rPr>
      </w:pPr>
      <w:r w:rsidRPr="00715939">
        <w:rPr>
          <w:rFonts w:ascii="Verdana" w:eastAsia="Aptos" w:hAnsi="Verdana" w:cs="Arial"/>
          <w:bCs/>
        </w:rPr>
        <w:t xml:space="preserve">Ahora, </w:t>
      </w:r>
      <w:r w:rsidR="00715939">
        <w:rPr>
          <w:rFonts w:ascii="Verdana" w:eastAsia="Aptos" w:hAnsi="Verdana" w:cs="Arial"/>
          <w:bCs/>
        </w:rPr>
        <w:t xml:space="preserve">en todo lo relacionado en </w:t>
      </w:r>
      <w:r w:rsidRPr="00715939">
        <w:rPr>
          <w:rFonts w:ascii="Verdana" w:eastAsia="Aptos" w:hAnsi="Verdana" w:cs="Arial"/>
          <w:bCs/>
        </w:rPr>
        <w:t xml:space="preserve">contratos de mandato </w:t>
      </w:r>
      <w:r w:rsidR="00715939">
        <w:rPr>
          <w:rFonts w:ascii="Verdana" w:eastAsia="Aptos" w:hAnsi="Verdana" w:cs="Arial"/>
          <w:bCs/>
        </w:rPr>
        <w:t>esta</w:t>
      </w:r>
      <w:r w:rsidRPr="00715939">
        <w:rPr>
          <w:rFonts w:ascii="Verdana" w:eastAsia="Aptos" w:hAnsi="Verdana" w:cs="Arial"/>
          <w:bCs/>
        </w:rPr>
        <w:t xml:space="preserve"> Agencia se ha pronunciado en el radicado No. 4201912000005014 y Concepto C – 966 de 2022, entre otros. </w:t>
      </w:r>
    </w:p>
    <w:p w14:paraId="76831F0F" w14:textId="74E3FD5F" w:rsidR="009F5FB8" w:rsidRPr="00715939" w:rsidRDefault="009F5FB8" w:rsidP="00715939">
      <w:pPr>
        <w:spacing w:after="0" w:line="276" w:lineRule="auto"/>
        <w:jc w:val="both"/>
        <w:rPr>
          <w:rFonts w:ascii="Verdana" w:eastAsia="Calibri" w:hAnsi="Verdana" w:cs="Arial"/>
          <w:shd w:val="clear" w:color="auto" w:fill="FFFFFF"/>
          <w:lang w:val="es-ES"/>
        </w:rPr>
      </w:pPr>
      <w:r w:rsidRPr="00715939">
        <w:rPr>
          <w:rFonts w:ascii="Verdana" w:eastAsia="Calibri" w:hAnsi="Verdana" w:cs="Arial"/>
          <w:shd w:val="clear" w:color="auto" w:fill="FFFFFF"/>
          <w:lang w:val="es-ES"/>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03479624" w14:textId="77777777" w:rsidR="00AB64A5" w:rsidRPr="00715939" w:rsidRDefault="00AB64A5" w:rsidP="0071593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6671EC" w14:textId="5E6D6634" w:rsidR="009F5FB8" w:rsidRPr="00715939" w:rsidRDefault="009F5FB8" w:rsidP="00715939">
      <w:pPr>
        <w:widowControl w:val="0"/>
        <w:autoSpaceDE w:val="0"/>
        <w:autoSpaceDN w:val="0"/>
        <w:spacing w:after="0" w:line="276" w:lineRule="auto"/>
        <w:jc w:val="both"/>
        <w:rPr>
          <w:rFonts w:ascii="Verdana" w:hAnsi="Verdana" w:cs="Arial"/>
          <w:shd w:val="clear" w:color="auto" w:fill="FFFFFF"/>
          <w:lang w:val="es-ES"/>
        </w:rPr>
      </w:pPr>
      <w:r w:rsidRPr="00715939">
        <w:rPr>
          <w:rFonts w:ascii="Verdana"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21" w:tgtFrame="_blank" w:tooltip="Dirección URL original: https://www.colombiacompra.gov.co/sala-de-prensa/boletin-digital/boletin-de-relatoria-2024-iv. Haga clic o pulse si confía en este vínculo." w:history="1">
        <w:r w:rsidRPr="00715939">
          <w:rPr>
            <w:rStyle w:val="Hipervnculo"/>
            <w:rFonts w:ascii="Verdana" w:hAnsi="Verdana" w:cs="Arial"/>
            <w:color w:val="auto"/>
            <w:shd w:val="clear" w:color="auto" w:fill="FFFFFF"/>
          </w:rPr>
          <w:t>BOLETÍN DE RELATORÍA 2024 – IV | Colombia Compra Eficiente | Agencia Nacional de Contratación Pública</w:t>
        </w:r>
      </w:hyperlink>
    </w:p>
    <w:p w14:paraId="15129E5B" w14:textId="77777777" w:rsidR="009F5FB8" w:rsidRPr="00715939" w:rsidRDefault="009F5FB8" w:rsidP="0071593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8400B5C" w14:textId="77777777" w:rsidR="00AB64A5" w:rsidRPr="00715939" w:rsidRDefault="00AB64A5" w:rsidP="00715939">
      <w:pPr>
        <w:spacing w:after="0" w:line="276" w:lineRule="auto"/>
        <w:jc w:val="both"/>
        <w:rPr>
          <w:rFonts w:ascii="Verdana" w:hAnsi="Verdana"/>
        </w:rPr>
      </w:pPr>
      <w:r w:rsidRPr="00715939">
        <w:rPr>
          <w:rFonts w:ascii="Verdana" w:hAnsi="Verdana"/>
        </w:rPr>
        <w:lastRenderedPageBreak/>
        <w:t xml:space="preserve">Por último, lo invitamos a seguirnos en las redes sociales en las cuales se difunde información institucional: </w:t>
      </w:r>
    </w:p>
    <w:p w14:paraId="4C00BD62" w14:textId="77777777" w:rsidR="00AB64A5" w:rsidRPr="00715939" w:rsidRDefault="00AB64A5" w:rsidP="00715939">
      <w:pPr>
        <w:spacing w:after="0" w:line="276" w:lineRule="auto"/>
        <w:jc w:val="both"/>
        <w:rPr>
          <w:rFonts w:ascii="Verdana" w:hAnsi="Verdana"/>
        </w:rPr>
      </w:pPr>
    </w:p>
    <w:p w14:paraId="536E4745" w14:textId="77777777" w:rsidR="00AB64A5" w:rsidRPr="00715939" w:rsidRDefault="00AB64A5" w:rsidP="00715939">
      <w:pPr>
        <w:spacing w:after="0" w:line="276" w:lineRule="auto"/>
        <w:jc w:val="both"/>
        <w:rPr>
          <w:rFonts w:ascii="Verdana" w:hAnsi="Verdana"/>
        </w:rPr>
      </w:pPr>
      <w:r w:rsidRPr="00715939">
        <w:rPr>
          <w:rFonts w:ascii="Verdana" w:hAnsi="Verdana"/>
        </w:rPr>
        <w:t xml:space="preserve">Twitter: </w:t>
      </w:r>
      <w:r w:rsidRPr="00715939">
        <w:rPr>
          <w:rStyle w:val="Hipervnculo"/>
          <w:rFonts w:ascii="Verdana" w:hAnsi="Verdana"/>
          <w:color w:val="156082" w:themeColor="accent1"/>
        </w:rPr>
        <w:t>@colombiacompra</w:t>
      </w:r>
      <w:r w:rsidRPr="00715939">
        <w:rPr>
          <w:rFonts w:ascii="Verdana" w:hAnsi="Verdana"/>
          <w:color w:val="156082" w:themeColor="accent1"/>
        </w:rPr>
        <w:t xml:space="preserve"> </w:t>
      </w:r>
    </w:p>
    <w:p w14:paraId="48B106C5" w14:textId="77777777" w:rsidR="00AB64A5" w:rsidRPr="00715939" w:rsidRDefault="00AB64A5" w:rsidP="00715939">
      <w:pPr>
        <w:spacing w:after="0" w:line="276" w:lineRule="auto"/>
        <w:jc w:val="both"/>
        <w:rPr>
          <w:rFonts w:ascii="Verdana" w:hAnsi="Verdana"/>
        </w:rPr>
      </w:pPr>
      <w:r w:rsidRPr="00715939">
        <w:rPr>
          <w:rFonts w:ascii="Verdana" w:hAnsi="Verdana"/>
        </w:rPr>
        <w:t xml:space="preserve">Facebook: </w:t>
      </w:r>
      <w:proofErr w:type="spellStart"/>
      <w:r w:rsidRPr="00715939">
        <w:rPr>
          <w:rStyle w:val="Hipervnculo"/>
          <w:rFonts w:ascii="Verdana" w:hAnsi="Verdana"/>
          <w:color w:val="156082" w:themeColor="accent1"/>
        </w:rPr>
        <w:t>ColombiaCompraEficiente</w:t>
      </w:r>
      <w:proofErr w:type="spellEnd"/>
    </w:p>
    <w:p w14:paraId="4A5D9233" w14:textId="77777777" w:rsidR="00AB64A5" w:rsidRPr="00715939" w:rsidRDefault="00AB64A5" w:rsidP="00715939">
      <w:pPr>
        <w:spacing w:after="0" w:line="276" w:lineRule="auto"/>
        <w:jc w:val="both"/>
        <w:rPr>
          <w:rFonts w:ascii="Verdana" w:hAnsi="Verdana"/>
        </w:rPr>
      </w:pPr>
      <w:r w:rsidRPr="00715939">
        <w:rPr>
          <w:rFonts w:ascii="Verdana" w:hAnsi="Verdana"/>
        </w:rPr>
        <w:t xml:space="preserve">LinkedIn: </w:t>
      </w:r>
      <w:r w:rsidRPr="00715939">
        <w:rPr>
          <w:rStyle w:val="Hipervnculo"/>
          <w:rFonts w:ascii="Verdana" w:hAnsi="Verdana"/>
          <w:color w:val="156082" w:themeColor="accent1"/>
        </w:rPr>
        <w:t>Agencia Nacional de Contratación Pública - Colombia Compra Eficiente</w:t>
      </w:r>
      <w:r w:rsidRPr="00715939">
        <w:rPr>
          <w:rFonts w:ascii="Verdana" w:hAnsi="Verdana"/>
          <w:color w:val="156082" w:themeColor="accent1"/>
        </w:rPr>
        <w:t xml:space="preserve"> </w:t>
      </w:r>
      <w:r w:rsidRPr="00715939">
        <w:rPr>
          <w:rFonts w:ascii="Verdana" w:hAnsi="Verdana"/>
        </w:rPr>
        <w:t xml:space="preserve">Instagram: </w:t>
      </w:r>
      <w:r w:rsidRPr="00715939">
        <w:rPr>
          <w:rStyle w:val="Hipervnculo"/>
          <w:rFonts w:ascii="Verdana" w:hAnsi="Verdana"/>
          <w:color w:val="156082" w:themeColor="accent1"/>
        </w:rPr>
        <w:t>@colombiacompraeficiente_cce</w:t>
      </w:r>
    </w:p>
    <w:p w14:paraId="02BE982E" w14:textId="77777777" w:rsidR="00AB64A5" w:rsidRPr="00715939" w:rsidRDefault="00AB64A5" w:rsidP="00715939">
      <w:pPr>
        <w:widowControl w:val="0"/>
        <w:autoSpaceDE w:val="0"/>
        <w:autoSpaceDN w:val="0"/>
        <w:spacing w:after="0" w:line="276" w:lineRule="auto"/>
        <w:jc w:val="both"/>
        <w:rPr>
          <w:rFonts w:ascii="Verdana" w:hAnsi="Verdana" w:cs="Arial"/>
        </w:rPr>
      </w:pPr>
    </w:p>
    <w:p w14:paraId="64E0D488" w14:textId="77777777" w:rsidR="00AB64A5" w:rsidRPr="00715939" w:rsidRDefault="00AB64A5" w:rsidP="00715939">
      <w:pPr>
        <w:widowControl w:val="0"/>
        <w:autoSpaceDE w:val="0"/>
        <w:autoSpaceDN w:val="0"/>
        <w:spacing w:after="0" w:line="276" w:lineRule="auto"/>
        <w:jc w:val="both"/>
        <w:rPr>
          <w:rFonts w:ascii="Verdana" w:hAnsi="Verdana" w:cs="Arial"/>
          <w:lang w:val="es-ES_tradnl"/>
        </w:rPr>
      </w:pPr>
      <w:r w:rsidRPr="00715939">
        <w:rPr>
          <w:rFonts w:ascii="Verdana" w:hAnsi="Verdana" w:cs="Arial"/>
        </w:rPr>
        <w:t xml:space="preserve">Este concepto tiene el alcance previsto en el artículo 28 del Código de Procedimiento Administrativo y de lo Contencioso Administrativo </w:t>
      </w:r>
      <w:r w:rsidRPr="00715939">
        <w:rPr>
          <w:rFonts w:ascii="Verdana" w:hAnsi="Verdana" w:cs="Arial"/>
          <w:lang w:val="es-ES_tradnl"/>
        </w:rPr>
        <w:t>y las expresiones aquí utilizadas con mayúscula inicial deben ser entendidas con el significado que les otorga el artículo 2.2.1.1.1.3.1. del Decreto 1082 de 2015.</w:t>
      </w:r>
    </w:p>
    <w:p w14:paraId="20464B9D" w14:textId="77777777" w:rsidR="00AB64A5" w:rsidRPr="00715939" w:rsidRDefault="00AB64A5" w:rsidP="00715939">
      <w:pPr>
        <w:widowControl w:val="0"/>
        <w:autoSpaceDE w:val="0"/>
        <w:autoSpaceDN w:val="0"/>
        <w:spacing w:after="0" w:line="276" w:lineRule="auto"/>
        <w:jc w:val="both"/>
        <w:rPr>
          <w:rFonts w:ascii="Verdana" w:hAnsi="Verdana" w:cs="Arial"/>
        </w:rPr>
      </w:pPr>
    </w:p>
    <w:p w14:paraId="43CF8739" w14:textId="77777777" w:rsidR="00AB64A5" w:rsidRPr="00715939" w:rsidRDefault="00AB64A5" w:rsidP="00715939">
      <w:pPr>
        <w:spacing w:after="0" w:line="276" w:lineRule="auto"/>
        <w:rPr>
          <w:rFonts w:ascii="Verdana" w:hAnsi="Verdana" w:cs="Arial"/>
          <w:lang w:eastAsia="es-CO"/>
        </w:rPr>
      </w:pPr>
      <w:r w:rsidRPr="00715939">
        <w:rPr>
          <w:rFonts w:ascii="Verdana" w:eastAsia="Times New Roman" w:hAnsi="Verdana" w:cs="Arial"/>
          <w:lang w:eastAsia="es-CO"/>
        </w:rPr>
        <w:t>Atentamente,</w:t>
      </w:r>
      <w:r w:rsidRPr="00715939">
        <w:rPr>
          <w:rFonts w:ascii="Verdana" w:hAnsi="Verdana" w:cs="Arial"/>
          <w:lang w:eastAsia="es-CO"/>
        </w:rPr>
        <w:t xml:space="preserve"> </w:t>
      </w:r>
    </w:p>
    <w:p w14:paraId="0B837099" w14:textId="282DF907" w:rsidR="00AB64A5" w:rsidRPr="00715939" w:rsidRDefault="0068640D" w:rsidP="0071593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6B74342" wp14:editId="3F9BF9E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64A5" w:rsidRPr="00715939" w14:paraId="1CCF7B2A" w14:textId="77777777" w:rsidTr="005A5AFA">
        <w:trPr>
          <w:trHeight w:val="315"/>
        </w:trPr>
        <w:tc>
          <w:tcPr>
            <w:tcW w:w="893" w:type="dxa"/>
            <w:vAlign w:val="center"/>
            <w:hideMark/>
          </w:tcPr>
          <w:p w14:paraId="4C835DB8" w14:textId="77777777" w:rsidR="00AB64A5" w:rsidRPr="00715939" w:rsidRDefault="00AB64A5" w:rsidP="00715939">
            <w:pPr>
              <w:spacing w:line="276" w:lineRule="auto"/>
              <w:contextualSpacing/>
              <w:rPr>
                <w:rFonts w:ascii="Verdana" w:hAnsi="Verdana" w:cs="Arial"/>
                <w:sz w:val="16"/>
                <w:szCs w:val="16"/>
                <w:lang w:val="es-ES" w:eastAsia="es-ES"/>
              </w:rPr>
            </w:pPr>
            <w:r w:rsidRPr="00715939">
              <w:rPr>
                <w:rFonts w:ascii="Verdana" w:hAnsi="Verdana" w:cs="Arial"/>
                <w:sz w:val="16"/>
                <w:szCs w:val="16"/>
                <w:lang w:val="es-ES" w:eastAsia="es-ES"/>
              </w:rPr>
              <w:t>Elaboró:</w:t>
            </w:r>
          </w:p>
        </w:tc>
        <w:tc>
          <w:tcPr>
            <w:tcW w:w="5628" w:type="dxa"/>
            <w:tcBorders>
              <w:top w:val="nil"/>
              <w:left w:val="nil"/>
              <w:right w:val="nil"/>
            </w:tcBorders>
            <w:vAlign w:val="center"/>
            <w:hideMark/>
          </w:tcPr>
          <w:p w14:paraId="66AF4843" w14:textId="4CD374F1" w:rsidR="00AB64A5" w:rsidRPr="00715939" w:rsidRDefault="00CD02EB" w:rsidP="00715939">
            <w:pPr>
              <w:spacing w:line="276" w:lineRule="auto"/>
              <w:contextualSpacing/>
              <w:rPr>
                <w:rStyle w:val="normaltextrun"/>
                <w:rFonts w:ascii="Verdana" w:hAnsi="Verdana"/>
                <w:sz w:val="16"/>
                <w:szCs w:val="16"/>
              </w:rPr>
            </w:pPr>
            <w:r>
              <w:rPr>
                <w:rStyle w:val="normaltextrun"/>
                <w:rFonts w:ascii="Verdana" w:hAnsi="Verdana"/>
                <w:sz w:val="16"/>
                <w:szCs w:val="16"/>
              </w:rPr>
              <w:t>D</w:t>
            </w:r>
            <w:r>
              <w:rPr>
                <w:rStyle w:val="normaltextrun"/>
                <w:sz w:val="16"/>
                <w:szCs w:val="16"/>
              </w:rPr>
              <w:t xml:space="preserve">iana </w:t>
            </w:r>
            <w:r w:rsidR="005A5AFA" w:rsidRPr="00715939">
              <w:rPr>
                <w:rStyle w:val="normaltextrun"/>
                <w:rFonts w:ascii="Verdana" w:hAnsi="Verdana"/>
                <w:sz w:val="16"/>
                <w:szCs w:val="16"/>
              </w:rPr>
              <w:t xml:space="preserve">Carolina Blanco Rodriguez </w:t>
            </w:r>
          </w:p>
          <w:p w14:paraId="05D16EFD" w14:textId="77777777" w:rsidR="00AB64A5" w:rsidRPr="00715939" w:rsidRDefault="00AB64A5" w:rsidP="00715939">
            <w:pPr>
              <w:spacing w:line="276" w:lineRule="auto"/>
              <w:contextualSpacing/>
              <w:rPr>
                <w:rStyle w:val="normaltextrun"/>
                <w:rFonts w:ascii="Verdana" w:hAnsi="Verdana"/>
                <w:sz w:val="16"/>
                <w:szCs w:val="16"/>
              </w:rPr>
            </w:pPr>
            <w:r w:rsidRPr="00715939">
              <w:rPr>
                <w:rStyle w:val="normaltextrun"/>
                <w:rFonts w:ascii="Verdana" w:hAnsi="Verdana"/>
                <w:sz w:val="16"/>
                <w:szCs w:val="16"/>
              </w:rPr>
              <w:t>Contratista de la Subdirección de Gestión Contractual</w:t>
            </w:r>
          </w:p>
          <w:p w14:paraId="6D742C2C" w14:textId="33389542" w:rsidR="009F5FB8" w:rsidRPr="00715939" w:rsidRDefault="009F5FB8" w:rsidP="00715939">
            <w:pPr>
              <w:spacing w:line="276" w:lineRule="auto"/>
              <w:contextualSpacing/>
              <w:rPr>
                <w:rStyle w:val="normaltextrun"/>
                <w:rFonts w:ascii="Verdana" w:hAnsi="Verdana"/>
              </w:rPr>
            </w:pPr>
          </w:p>
        </w:tc>
      </w:tr>
      <w:tr w:rsidR="00AB64A5" w:rsidRPr="00715939" w14:paraId="25DEECD8" w14:textId="77777777" w:rsidTr="005A5AFA">
        <w:trPr>
          <w:trHeight w:val="330"/>
        </w:trPr>
        <w:tc>
          <w:tcPr>
            <w:tcW w:w="893" w:type="dxa"/>
            <w:vAlign w:val="center"/>
            <w:hideMark/>
          </w:tcPr>
          <w:p w14:paraId="5EB4B261" w14:textId="77777777" w:rsidR="00AB64A5" w:rsidRPr="00715939" w:rsidRDefault="00AB64A5" w:rsidP="00715939">
            <w:pPr>
              <w:spacing w:line="276" w:lineRule="auto"/>
              <w:contextualSpacing/>
              <w:rPr>
                <w:rFonts w:ascii="Verdana" w:hAnsi="Verdana" w:cs="Arial"/>
                <w:sz w:val="16"/>
                <w:szCs w:val="16"/>
                <w:lang w:val="es-ES" w:eastAsia="es-ES"/>
              </w:rPr>
            </w:pPr>
            <w:r w:rsidRPr="00715939">
              <w:rPr>
                <w:rFonts w:ascii="Verdana" w:hAnsi="Verdana" w:cs="Arial"/>
                <w:sz w:val="16"/>
                <w:szCs w:val="16"/>
                <w:lang w:val="es-ES" w:eastAsia="es-ES"/>
              </w:rPr>
              <w:t>Revisó:</w:t>
            </w:r>
          </w:p>
        </w:tc>
        <w:tc>
          <w:tcPr>
            <w:tcW w:w="5628" w:type="dxa"/>
            <w:vAlign w:val="center"/>
            <w:hideMark/>
          </w:tcPr>
          <w:p w14:paraId="1CC2C6C4" w14:textId="5021E224" w:rsidR="00553F39" w:rsidRPr="00715939" w:rsidRDefault="00715939" w:rsidP="00715939">
            <w:pPr>
              <w:spacing w:line="276" w:lineRule="auto"/>
              <w:contextualSpacing/>
              <w:rPr>
                <w:rStyle w:val="normaltextrun"/>
                <w:rFonts w:ascii="Verdana" w:hAnsi="Verdana"/>
                <w:sz w:val="16"/>
                <w:szCs w:val="16"/>
              </w:rPr>
            </w:pPr>
            <w:r>
              <w:rPr>
                <w:rStyle w:val="normaltextrun"/>
                <w:rFonts w:ascii="Verdana" w:hAnsi="Verdana"/>
                <w:sz w:val="16"/>
                <w:szCs w:val="16"/>
              </w:rPr>
              <w:t>A</w:t>
            </w:r>
            <w:r w:rsidRPr="00715939">
              <w:rPr>
                <w:rStyle w:val="normaltextrun"/>
                <w:rFonts w:ascii="Verdana" w:hAnsi="Verdana"/>
                <w:sz w:val="16"/>
                <w:szCs w:val="16"/>
              </w:rPr>
              <w:t xml:space="preserve">lejandro Sarmiento </w:t>
            </w:r>
          </w:p>
          <w:p w14:paraId="164666B5" w14:textId="547C9BA3" w:rsidR="00AB64A5" w:rsidRPr="00715939" w:rsidRDefault="00715939" w:rsidP="00715939">
            <w:pPr>
              <w:pStyle w:val="paragraph"/>
              <w:spacing w:before="0" w:beforeAutospacing="0" w:after="0" w:afterAutospacing="0" w:line="276" w:lineRule="auto"/>
              <w:contextualSpacing/>
              <w:textAlignment w:val="baseline"/>
              <w:rPr>
                <w:rStyle w:val="normaltextrun"/>
                <w:rFonts w:ascii="Verdana" w:eastAsiaTheme="minorHAnsi" w:hAnsi="Verdana" w:cstheme="minorBidi"/>
                <w:sz w:val="16"/>
                <w:szCs w:val="16"/>
                <w:lang w:eastAsia="en-US"/>
              </w:rPr>
            </w:pPr>
            <w:r>
              <w:rPr>
                <w:rStyle w:val="normaltextrun"/>
                <w:rFonts w:ascii="Verdana" w:eastAsiaTheme="minorHAnsi" w:hAnsi="Verdana" w:cstheme="minorBidi"/>
                <w:sz w:val="16"/>
                <w:szCs w:val="16"/>
                <w:lang w:eastAsia="en-US"/>
              </w:rPr>
              <w:t>G</w:t>
            </w:r>
            <w:r w:rsidRPr="00715939">
              <w:rPr>
                <w:rStyle w:val="normaltextrun"/>
                <w:rFonts w:ascii="Verdana" w:eastAsiaTheme="minorHAnsi" w:hAnsi="Verdana" w:cstheme="minorBidi"/>
                <w:sz w:val="16"/>
                <w:szCs w:val="16"/>
                <w:lang w:eastAsia="en-US"/>
              </w:rPr>
              <w:t xml:space="preserve">estor T1-15 </w:t>
            </w:r>
            <w:r w:rsidR="00553F39" w:rsidRPr="00715939">
              <w:rPr>
                <w:rStyle w:val="normaltextrun"/>
                <w:rFonts w:ascii="Verdana" w:eastAsiaTheme="minorHAnsi" w:hAnsi="Verdana" w:cstheme="minorBidi"/>
                <w:sz w:val="16"/>
                <w:szCs w:val="16"/>
                <w:lang w:eastAsia="en-US"/>
              </w:rPr>
              <w:t>de la Subdirección de Gestión Contractual</w:t>
            </w:r>
          </w:p>
        </w:tc>
      </w:tr>
      <w:tr w:rsidR="00AB64A5" w:rsidRPr="00715939" w14:paraId="082B5310" w14:textId="77777777" w:rsidTr="007159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893" w:type="dxa"/>
            <w:tcBorders>
              <w:top w:val="nil"/>
              <w:left w:val="nil"/>
              <w:bottom w:val="nil"/>
              <w:right w:val="nil"/>
            </w:tcBorders>
            <w:vAlign w:val="center"/>
          </w:tcPr>
          <w:p w14:paraId="7430F20F" w14:textId="77777777" w:rsidR="00AB64A5" w:rsidRPr="00715939" w:rsidRDefault="00AB64A5" w:rsidP="00715939">
            <w:pPr>
              <w:spacing w:line="276" w:lineRule="auto"/>
              <w:contextualSpacing/>
              <w:rPr>
                <w:rFonts w:ascii="Verdana" w:hAnsi="Verdana" w:cs="Arial"/>
                <w:sz w:val="16"/>
                <w:szCs w:val="16"/>
                <w:lang w:val="es-ES" w:eastAsia="es-ES"/>
              </w:rPr>
            </w:pPr>
            <w:r w:rsidRPr="00715939">
              <w:rPr>
                <w:rFonts w:ascii="Verdana" w:hAnsi="Verdana" w:cs="Arial"/>
                <w:sz w:val="16"/>
                <w:szCs w:val="16"/>
                <w:lang w:val="es-ES" w:eastAsia="es-ES"/>
              </w:rPr>
              <w:t>Aprobó:</w:t>
            </w:r>
          </w:p>
        </w:tc>
        <w:tc>
          <w:tcPr>
            <w:tcW w:w="5628" w:type="dxa"/>
            <w:tcBorders>
              <w:top w:val="nil"/>
              <w:left w:val="nil"/>
              <w:bottom w:val="nil"/>
              <w:right w:val="nil"/>
            </w:tcBorders>
            <w:vAlign w:val="center"/>
          </w:tcPr>
          <w:p w14:paraId="14C31041" w14:textId="77777777" w:rsidR="00AB64A5" w:rsidRPr="00715939" w:rsidRDefault="00AB64A5" w:rsidP="00715939">
            <w:pPr>
              <w:spacing w:line="276" w:lineRule="auto"/>
              <w:contextualSpacing/>
              <w:rPr>
                <w:rStyle w:val="normaltextrun"/>
                <w:rFonts w:ascii="Verdana" w:hAnsi="Verdana"/>
                <w:sz w:val="16"/>
                <w:szCs w:val="16"/>
              </w:rPr>
            </w:pPr>
            <w:r w:rsidRPr="00715939">
              <w:rPr>
                <w:rStyle w:val="normaltextrun"/>
                <w:rFonts w:ascii="Verdana" w:hAnsi="Verdana"/>
                <w:sz w:val="16"/>
                <w:szCs w:val="16"/>
              </w:rPr>
              <w:t xml:space="preserve">Carolina Quintero </w:t>
            </w:r>
            <w:proofErr w:type="spellStart"/>
            <w:r w:rsidRPr="00715939">
              <w:rPr>
                <w:rStyle w:val="normaltextrun"/>
                <w:rFonts w:ascii="Verdana" w:hAnsi="Verdana"/>
                <w:sz w:val="16"/>
                <w:szCs w:val="16"/>
              </w:rPr>
              <w:t>Gacharná</w:t>
            </w:r>
            <w:proofErr w:type="spellEnd"/>
          </w:p>
          <w:p w14:paraId="1A53492F" w14:textId="77777777" w:rsidR="00AB64A5" w:rsidRPr="00715939" w:rsidRDefault="00AB64A5" w:rsidP="00715939">
            <w:pPr>
              <w:spacing w:line="276" w:lineRule="auto"/>
              <w:contextualSpacing/>
              <w:rPr>
                <w:rStyle w:val="normaltextrun"/>
                <w:rFonts w:ascii="Verdana" w:hAnsi="Verdana"/>
                <w:sz w:val="16"/>
                <w:szCs w:val="16"/>
              </w:rPr>
            </w:pPr>
            <w:r w:rsidRPr="00715939">
              <w:rPr>
                <w:rStyle w:val="normaltextrun"/>
                <w:rFonts w:ascii="Verdana" w:hAnsi="Verdana"/>
                <w:sz w:val="16"/>
                <w:szCs w:val="16"/>
              </w:rPr>
              <w:t>Subdirectora de Gestión Contractual ANCP – CCE</w:t>
            </w:r>
          </w:p>
        </w:tc>
      </w:tr>
    </w:tbl>
    <w:p w14:paraId="011E4F21" w14:textId="77777777" w:rsidR="00AB64A5" w:rsidRPr="00715939" w:rsidRDefault="00AB64A5" w:rsidP="00715939">
      <w:pPr>
        <w:spacing w:after="0" w:line="276" w:lineRule="auto"/>
        <w:rPr>
          <w:rFonts w:ascii="Verdana" w:eastAsia="Times New Roman" w:hAnsi="Verdana" w:cs="Arial"/>
          <w:lang w:eastAsia="es-ES"/>
        </w:rPr>
      </w:pPr>
    </w:p>
    <w:p w14:paraId="02CE4EF4" w14:textId="77777777" w:rsidR="00AB64A5" w:rsidRPr="00715939" w:rsidRDefault="00AB64A5" w:rsidP="00715939">
      <w:pPr>
        <w:spacing w:line="276" w:lineRule="auto"/>
        <w:rPr>
          <w:rFonts w:ascii="Verdana" w:hAnsi="Verdana"/>
        </w:rPr>
      </w:pPr>
    </w:p>
    <w:p w14:paraId="7644495A" w14:textId="77777777" w:rsidR="00AB64A5" w:rsidRPr="00715939" w:rsidRDefault="00AB64A5" w:rsidP="00715939">
      <w:pPr>
        <w:spacing w:after="0" w:line="276" w:lineRule="auto"/>
        <w:rPr>
          <w:rFonts w:ascii="Verdana" w:hAnsi="Verdana"/>
        </w:rPr>
      </w:pPr>
      <w:r w:rsidRPr="00715939">
        <w:rPr>
          <w:rFonts w:ascii="Verdana" w:hAnsi="Verdana"/>
        </w:rPr>
        <w:tab/>
      </w:r>
    </w:p>
    <w:bookmarkEnd w:id="1"/>
    <w:p w14:paraId="34BF06D8" w14:textId="77777777" w:rsidR="00AB64A5" w:rsidRPr="00715939" w:rsidRDefault="00AB64A5" w:rsidP="00715939">
      <w:pPr>
        <w:spacing w:after="0" w:line="276" w:lineRule="auto"/>
        <w:rPr>
          <w:rFonts w:ascii="Verdana" w:hAnsi="Verdana"/>
        </w:rPr>
      </w:pPr>
    </w:p>
    <w:p w14:paraId="1F766B8E" w14:textId="77777777" w:rsidR="00AB64A5" w:rsidRPr="00715939" w:rsidRDefault="00AB64A5" w:rsidP="00715939">
      <w:pPr>
        <w:spacing w:after="0" w:line="276" w:lineRule="auto"/>
        <w:rPr>
          <w:rFonts w:ascii="Verdana" w:hAnsi="Verdana"/>
        </w:rPr>
      </w:pPr>
    </w:p>
    <w:bookmarkEnd w:id="0"/>
    <w:p w14:paraId="1D08ED52" w14:textId="77777777" w:rsidR="00AB64A5" w:rsidRPr="00715939" w:rsidRDefault="00AB64A5" w:rsidP="00715939">
      <w:pPr>
        <w:spacing w:after="0" w:line="276" w:lineRule="auto"/>
        <w:rPr>
          <w:rFonts w:ascii="Verdana" w:hAnsi="Verdana"/>
        </w:rPr>
      </w:pPr>
    </w:p>
    <w:p w14:paraId="5CDCF197" w14:textId="77777777" w:rsidR="009C4900" w:rsidRPr="00715939" w:rsidRDefault="009C4900" w:rsidP="00715939">
      <w:pPr>
        <w:spacing w:line="276" w:lineRule="auto"/>
        <w:rPr>
          <w:rFonts w:ascii="Verdana" w:hAnsi="Verdana"/>
        </w:rPr>
      </w:pPr>
    </w:p>
    <w:sectPr w:rsidR="009C4900" w:rsidRPr="00715939" w:rsidSect="00AB64A5">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9CAD7" w14:textId="77777777" w:rsidR="005023F0" w:rsidRDefault="005023F0" w:rsidP="00AB64A5">
      <w:pPr>
        <w:spacing w:after="0" w:line="240" w:lineRule="auto"/>
      </w:pPr>
      <w:r>
        <w:separator/>
      </w:r>
    </w:p>
  </w:endnote>
  <w:endnote w:type="continuationSeparator" w:id="0">
    <w:p w14:paraId="02CF7D4B" w14:textId="77777777" w:rsidR="005023F0" w:rsidRDefault="005023F0"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4DDA3" w14:textId="77777777" w:rsidR="005023F0" w:rsidRDefault="005023F0" w:rsidP="00AB64A5">
      <w:pPr>
        <w:spacing w:after="0" w:line="240" w:lineRule="auto"/>
      </w:pPr>
      <w:r>
        <w:separator/>
      </w:r>
    </w:p>
  </w:footnote>
  <w:footnote w:type="continuationSeparator" w:id="0">
    <w:p w14:paraId="2CF25E1B" w14:textId="77777777" w:rsidR="005023F0" w:rsidRDefault="005023F0" w:rsidP="00AB64A5">
      <w:pPr>
        <w:spacing w:after="0" w:line="240" w:lineRule="auto"/>
      </w:pPr>
      <w:r>
        <w:continuationSeparator/>
      </w:r>
    </w:p>
  </w:footnote>
  <w:footnote w:id="1">
    <w:p w14:paraId="42DB7A75" w14:textId="1E240B99" w:rsidR="00283C1D" w:rsidRPr="00C44F18" w:rsidRDefault="00283C1D" w:rsidP="00283C1D">
      <w:pPr>
        <w:pStyle w:val="Textonotapie"/>
        <w:ind w:firstLine="708"/>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w:t>
      </w:r>
      <w:r w:rsidR="00715939">
        <w:rPr>
          <w:rFonts w:ascii="Arial" w:hAnsi="Arial" w:cs="Arial"/>
          <w:sz w:val="16"/>
          <w:szCs w:val="16"/>
        </w:rPr>
        <w:t>“</w:t>
      </w:r>
      <w:r w:rsidRPr="00C44F18">
        <w:rPr>
          <w:rFonts w:ascii="Arial" w:hAnsi="Arial" w:cs="Arial"/>
          <w:sz w:val="16"/>
          <w:szCs w:val="16"/>
        </w:rPr>
        <w:t>Art. 1505. Lo que una persona ejecuta a nombre de otra, estando facultada por ella o por la ley para representarla, produce respecto del representado iguales efectos que si hubiese contratado él mismo</w:t>
      </w:r>
      <w:r w:rsidR="00715939">
        <w:rPr>
          <w:rFonts w:ascii="Arial" w:hAnsi="Arial" w:cs="Arial"/>
          <w:sz w:val="16"/>
          <w:szCs w:val="16"/>
        </w:rPr>
        <w:t>”</w:t>
      </w:r>
      <w:r w:rsidRPr="00C44F18">
        <w:rPr>
          <w:rFonts w:ascii="Arial" w:hAnsi="Arial" w:cs="Arial"/>
          <w:sz w:val="16"/>
          <w:szCs w:val="16"/>
        </w:rPr>
        <w:t>.</w:t>
      </w:r>
    </w:p>
    <w:p w14:paraId="78F5C5CC" w14:textId="77777777" w:rsidR="00283C1D" w:rsidRPr="00C44F18" w:rsidRDefault="00283C1D" w:rsidP="00283C1D">
      <w:pPr>
        <w:pStyle w:val="Textonotapie"/>
        <w:ind w:firstLine="708"/>
        <w:jc w:val="both"/>
        <w:rPr>
          <w:rFonts w:ascii="Arial" w:hAnsi="Arial" w:cs="Arial"/>
          <w:sz w:val="16"/>
          <w:szCs w:val="16"/>
        </w:rPr>
      </w:pPr>
    </w:p>
  </w:footnote>
  <w:footnote w:id="2">
    <w:p w14:paraId="07B22783" w14:textId="1BE8E4A7" w:rsidR="00283C1D" w:rsidRPr="00C44F18" w:rsidRDefault="00283C1D" w:rsidP="00283C1D">
      <w:pPr>
        <w:spacing w:after="120" w:line="240" w:lineRule="auto"/>
        <w:ind w:firstLine="709"/>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Código Civil </w:t>
      </w:r>
      <w:r w:rsidR="00715939">
        <w:rPr>
          <w:rFonts w:ascii="Arial" w:hAnsi="Arial" w:cs="Arial"/>
          <w:sz w:val="16"/>
          <w:szCs w:val="16"/>
        </w:rPr>
        <w:t>“</w:t>
      </w:r>
      <w:r w:rsidRPr="00C44F18">
        <w:rPr>
          <w:rFonts w:ascii="Arial" w:hAnsi="Arial" w:cs="Arial"/>
          <w:sz w:val="16"/>
          <w:szCs w:val="16"/>
        </w:rPr>
        <w:t>Artículo 2142. El mandato es un contrato en que una persona confía la gestión de uno o más negocios a otra, que se hace cargo de ellos por cuenta y riesgo de la primera.</w:t>
      </w:r>
    </w:p>
    <w:p w14:paraId="58A27E91" w14:textId="49B265C1" w:rsidR="00283C1D" w:rsidRPr="00C44F18" w:rsidRDefault="00715939" w:rsidP="00283C1D">
      <w:pPr>
        <w:spacing w:after="0" w:line="240" w:lineRule="auto"/>
        <w:ind w:firstLine="424"/>
        <w:jc w:val="both"/>
        <w:rPr>
          <w:rFonts w:ascii="Arial" w:hAnsi="Arial" w:cs="Arial"/>
          <w:sz w:val="16"/>
          <w:szCs w:val="16"/>
        </w:rPr>
      </w:pPr>
      <w:r>
        <w:rPr>
          <w:rFonts w:ascii="Arial" w:hAnsi="Arial" w:cs="Arial"/>
          <w:sz w:val="16"/>
          <w:szCs w:val="16"/>
        </w:rPr>
        <w:t>“</w:t>
      </w:r>
      <w:r w:rsidR="00283C1D" w:rsidRPr="00C44F18">
        <w:rPr>
          <w:rFonts w:ascii="Arial" w:hAnsi="Arial" w:cs="Arial"/>
          <w:sz w:val="16"/>
          <w:szCs w:val="16"/>
        </w:rPr>
        <w:t>La persona que concede el encargo se llama comitente o mandante, y la que lo acepta apoderado, procurador, y en general mandatario</w:t>
      </w:r>
      <w:r>
        <w:rPr>
          <w:rFonts w:ascii="Arial" w:hAnsi="Arial" w:cs="Arial"/>
          <w:sz w:val="16"/>
          <w:szCs w:val="16"/>
        </w:rPr>
        <w:t>”</w:t>
      </w:r>
      <w:r w:rsidR="00283C1D" w:rsidRPr="00C44F18">
        <w:rPr>
          <w:rFonts w:ascii="Arial" w:hAnsi="Arial" w:cs="Arial"/>
          <w:sz w:val="16"/>
          <w:szCs w:val="16"/>
        </w:rPr>
        <w:t>.</w:t>
      </w:r>
    </w:p>
  </w:footnote>
  <w:footnote w:id="3">
    <w:p w14:paraId="6CDE606F" w14:textId="77777777" w:rsidR="00283C1D" w:rsidRPr="00715939" w:rsidRDefault="00283C1D" w:rsidP="00283C1D">
      <w:pPr>
        <w:pStyle w:val="Textonotapie"/>
        <w:ind w:firstLine="708"/>
        <w:jc w:val="both"/>
        <w:rPr>
          <w:rFonts w:ascii="Arial" w:hAnsi="Arial" w:cs="Arial"/>
          <w:sz w:val="16"/>
          <w:szCs w:val="16"/>
        </w:rPr>
      </w:pPr>
      <w:r w:rsidRPr="00715939">
        <w:rPr>
          <w:rStyle w:val="Refdenotaalpie"/>
          <w:rFonts w:ascii="Arial" w:hAnsi="Arial" w:cs="Arial"/>
          <w:sz w:val="16"/>
          <w:szCs w:val="16"/>
        </w:rPr>
        <w:footnoteRef/>
      </w:r>
      <w:r w:rsidRPr="00715939">
        <w:rPr>
          <w:rFonts w:ascii="Arial" w:hAnsi="Arial" w:cs="Arial"/>
          <w:sz w:val="16"/>
          <w:szCs w:val="16"/>
        </w:rPr>
        <w:t xml:space="preserve"> Corte Suprema de Justicia. Sala de Casación Civil. Sentencia de 17 de junio de 1937, reiterada en sentencias de 28 de marzo de 1939 y 18 de agosto de 1958. </w:t>
      </w:r>
    </w:p>
  </w:footnote>
  <w:footnote w:id="4">
    <w:p w14:paraId="38D5F58F" w14:textId="77777777" w:rsidR="006138DE" w:rsidRPr="0084733A" w:rsidRDefault="006138DE" w:rsidP="006138DE">
      <w:pPr>
        <w:pStyle w:val="Textonotapie"/>
        <w:rPr>
          <w:lang w:val="es-CO"/>
        </w:rPr>
      </w:pPr>
      <w:r>
        <w:rPr>
          <w:rStyle w:val="Refdenotaalpie"/>
        </w:rPr>
        <w:footnoteRef/>
      </w:r>
      <w:r>
        <w:t xml:space="preserve"> </w:t>
      </w:r>
      <w:r w:rsidRPr="00715939">
        <w:rPr>
          <w:rFonts w:ascii="Verdana" w:hAnsi="Verdana" w:cs="Arial"/>
          <w:sz w:val="16"/>
          <w:szCs w:val="16"/>
        </w:rPr>
        <w:t>Corte Constitucional. Sentencia C-317 de 2012. M.P. María Victoria Calle Correa.</w:t>
      </w:r>
    </w:p>
  </w:footnote>
  <w:footnote w:id="5">
    <w:p w14:paraId="033A3DDA" w14:textId="77777777" w:rsidR="006138DE" w:rsidRPr="00715939" w:rsidRDefault="006138DE" w:rsidP="006138DE">
      <w:pPr>
        <w:pStyle w:val="Textonotapie"/>
        <w:jc w:val="both"/>
        <w:rPr>
          <w:rFonts w:ascii="Verdana" w:hAnsi="Verdana"/>
          <w:sz w:val="16"/>
          <w:szCs w:val="16"/>
          <w:lang w:val="es-CO"/>
        </w:rPr>
      </w:pPr>
      <w:r w:rsidRPr="00715939">
        <w:rPr>
          <w:rStyle w:val="Refdenotaalpie"/>
          <w:rFonts w:ascii="Verdana" w:hAnsi="Verdana"/>
          <w:sz w:val="16"/>
          <w:szCs w:val="16"/>
        </w:rPr>
        <w:footnoteRef/>
      </w:r>
      <w:r w:rsidRPr="00715939">
        <w:rPr>
          <w:rFonts w:ascii="Verdana" w:hAnsi="Verdana"/>
          <w:sz w:val="16"/>
          <w:szCs w:val="16"/>
        </w:rPr>
        <w:t xml:space="preserve"> </w:t>
      </w:r>
      <w:r w:rsidRPr="00715939">
        <w:rPr>
          <w:rFonts w:ascii="Verdana" w:hAnsi="Verdana" w:cs="Arial"/>
          <w:sz w:val="16"/>
          <w:szCs w:val="16"/>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footnote>
  <w:footnote w:id="6">
    <w:p w14:paraId="6C6391EF" w14:textId="77777777" w:rsidR="006138DE" w:rsidRPr="0084733A" w:rsidRDefault="006138DE" w:rsidP="006138DE">
      <w:pPr>
        <w:pStyle w:val="Textonotapie"/>
        <w:jc w:val="both"/>
        <w:rPr>
          <w:lang w:val="es-CO"/>
        </w:rPr>
      </w:pPr>
      <w:r w:rsidRPr="00715939">
        <w:rPr>
          <w:rStyle w:val="Refdenotaalpie"/>
          <w:rFonts w:ascii="Verdana" w:hAnsi="Verdana"/>
          <w:sz w:val="16"/>
          <w:szCs w:val="16"/>
        </w:rPr>
        <w:footnoteRef/>
      </w:r>
      <w:r w:rsidRPr="00715939">
        <w:rPr>
          <w:rFonts w:ascii="Verdana" w:hAnsi="Verdana"/>
          <w:sz w:val="16"/>
          <w:szCs w:val="16"/>
        </w:rPr>
        <w:t xml:space="preserve"> </w:t>
      </w:r>
      <w:r w:rsidRPr="00715939">
        <w:rPr>
          <w:rFonts w:ascii="Verdana" w:hAnsi="Verdana" w:cs="Arial"/>
          <w:sz w:val="16"/>
          <w:szCs w:val="16"/>
        </w:rPr>
        <w:t>Se entiende por entidades de régimen especial aquellas que tienen un régimen contractual distinto al Estatuto General de Contratación de la Administración Pública, y que por regla general se rigen por el derecho privado</w:t>
      </w:r>
    </w:p>
  </w:footnote>
  <w:footnote w:id="7">
    <w:p w14:paraId="42E27171" w14:textId="77777777" w:rsidR="006138DE" w:rsidRPr="006138DE" w:rsidRDefault="006138DE" w:rsidP="006138DE">
      <w:pPr>
        <w:pStyle w:val="Textonotapie"/>
        <w:ind w:firstLine="709"/>
        <w:jc w:val="both"/>
        <w:rPr>
          <w:rFonts w:ascii="Verdana" w:hAnsi="Verdana" w:cs="Arial"/>
          <w:sz w:val="16"/>
          <w:szCs w:val="16"/>
        </w:rPr>
      </w:pPr>
      <w:r w:rsidRPr="006138DE">
        <w:rPr>
          <w:rStyle w:val="Refdenotaalpie"/>
          <w:rFonts w:ascii="Verdana" w:hAnsi="Verdana"/>
          <w:sz w:val="16"/>
          <w:szCs w:val="16"/>
        </w:rPr>
        <w:footnoteRef/>
      </w:r>
      <w:r w:rsidRPr="006138DE">
        <w:rPr>
          <w:rFonts w:ascii="Verdana" w:hAnsi="Verdana"/>
          <w:sz w:val="16"/>
          <w:szCs w:val="16"/>
        </w:rPr>
        <w:t xml:space="preserve"> </w:t>
      </w:r>
      <w:r w:rsidRPr="006138DE">
        <w:rPr>
          <w:rFonts w:ascii="Verdana" w:hAnsi="Verdana" w:cs="Arial"/>
          <w:sz w:val="16"/>
          <w:szCs w:val="16"/>
        </w:rPr>
        <w:t>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426D0F3" w14:textId="77777777" w:rsidR="006138DE" w:rsidRPr="006138DE" w:rsidRDefault="006138DE" w:rsidP="006138DE">
      <w:pPr>
        <w:pStyle w:val="Textonotapie"/>
        <w:ind w:firstLine="709"/>
        <w:jc w:val="both"/>
        <w:rPr>
          <w:rFonts w:ascii="Verdana" w:hAnsi="Verdana" w:cs="Arial"/>
          <w:sz w:val="16"/>
          <w:szCs w:val="16"/>
        </w:rPr>
      </w:pPr>
      <w:r w:rsidRPr="006138DE">
        <w:rPr>
          <w:rFonts w:ascii="Verdana" w:hAnsi="Verdana" w:cs="Arial"/>
          <w:sz w:val="16"/>
          <w:szCs w:val="16"/>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02AA609" w14:textId="77777777" w:rsidR="006138DE" w:rsidRPr="006138DE" w:rsidRDefault="006138DE" w:rsidP="006138DE">
      <w:pPr>
        <w:pStyle w:val="Textonotapie"/>
        <w:ind w:firstLine="709"/>
        <w:jc w:val="both"/>
        <w:rPr>
          <w:rFonts w:ascii="Verdana" w:hAnsi="Verdana" w:cs="Arial"/>
          <w:sz w:val="16"/>
          <w:szCs w:val="16"/>
        </w:rPr>
      </w:pPr>
      <w:r w:rsidRPr="006138DE">
        <w:rPr>
          <w:rFonts w:ascii="Verdana" w:hAnsi="Verdana" w:cs="Arial"/>
          <w:sz w:val="16"/>
          <w:szCs w:val="16"/>
        </w:rPr>
        <w:t>La entidad estatal debe elegir y garantizar los medios electrónicos y de comunicación que utilizará, así como los mecanismos para el registro de la Información generada.</w:t>
      </w:r>
    </w:p>
    <w:p w14:paraId="5F30841B" w14:textId="77777777" w:rsidR="006138DE" w:rsidRPr="006138DE" w:rsidRDefault="006138DE" w:rsidP="006138DE">
      <w:pPr>
        <w:pStyle w:val="Textonotapie"/>
        <w:ind w:firstLine="709"/>
        <w:jc w:val="both"/>
        <w:rPr>
          <w:rFonts w:ascii="Verdana" w:hAnsi="Verdana"/>
          <w:sz w:val="16"/>
          <w:szCs w:val="16"/>
          <w:lang w:val="es-CO"/>
        </w:rPr>
      </w:pPr>
      <w:r w:rsidRPr="006138DE">
        <w:rPr>
          <w:rFonts w:ascii="Verdana" w:hAnsi="Verdana" w:cs="Arial"/>
          <w:sz w:val="16"/>
          <w:szCs w:val="16"/>
        </w:rPr>
        <w:t>Sin perjuicio de lo anterior, el ordenador del gasto o funcionario competente podrá decretar la suspensión de términos, inclusive los iniciados con anterioridad a la vigencia de este Decreto”.</w:t>
      </w:r>
    </w:p>
  </w:footnote>
  <w:footnote w:id="8">
    <w:p w14:paraId="6348DBAB" w14:textId="1AFBCC45" w:rsidR="006138DE" w:rsidRPr="0055156D" w:rsidRDefault="006138DE" w:rsidP="006138DE">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Pr="006138DE">
        <w:rPr>
          <w:rFonts w:ascii="Verdana" w:hAnsi="Verdana" w:cs="Arial"/>
          <w:sz w:val="16"/>
          <w:szCs w:val="16"/>
        </w:rPr>
        <w:t xml:space="preserve">En este sentido, Suárez Tamayo indica: </w:t>
      </w:r>
      <w:r w:rsidR="00715939">
        <w:rPr>
          <w:rFonts w:ascii="Verdana" w:hAnsi="Verdana" w:cs="Arial"/>
          <w:sz w:val="16"/>
          <w:szCs w:val="16"/>
        </w:rPr>
        <w:t>“</w:t>
      </w:r>
      <w:r w:rsidRPr="006138DE">
        <w:rPr>
          <w:rFonts w:ascii="Verdana" w:hAnsi="Verdana" w:cs="Arial"/>
          <w:sz w:val="16"/>
          <w:szCs w:val="16"/>
        </w:rPr>
        <w:t>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w:t>
      </w:r>
      <w:r w:rsidR="00715939">
        <w:rPr>
          <w:rFonts w:ascii="Verdana" w:hAnsi="Verdana" w:cs="Arial"/>
          <w:sz w:val="16"/>
          <w:szCs w:val="16"/>
        </w:rPr>
        <w:t>”</w:t>
      </w:r>
      <w:r w:rsidRPr="006138DE">
        <w:rPr>
          <w:rFonts w:ascii="Verdana" w:hAnsi="Verdana" w:cs="Arial"/>
          <w:sz w:val="16"/>
          <w:szCs w:val="16"/>
        </w:rPr>
        <w:t>. (SUÁREZ TAMAYO, David. Cláusula de multas y penal pecuniaria. Medellín: Centro de Estudios de Derecho Administrativo –CEDA– y Librería Jurídica Sánchez, 2014. p. 165).</w:t>
      </w:r>
    </w:p>
  </w:footnote>
  <w:footnote w:id="9">
    <w:p w14:paraId="464DB426" w14:textId="3159E2C9"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Pr="00001FFC">
        <w:rPr>
          <w:rFonts w:ascii="Verdana" w:hAnsi="Verdana" w:cs="Arial"/>
          <w:sz w:val="16"/>
          <w:szCs w:val="16"/>
          <w:lang w:val="es-CO"/>
        </w:rPr>
        <w:t>Es decir, aquellos de ejecución sucesiva o de cumplimiento escalonado de obligaciones que no pueden ser cumplidas en el mismo instante en que el acuerdo nace a la vida jurídica, bien por su naturaleza o por la voluntad de las partes, como sucede con los contratos de arrendamiento o los de concesión</w:t>
      </w:r>
    </w:p>
  </w:footnote>
  <w:footnote w:id="10">
    <w:p w14:paraId="7A1BEF82" w14:textId="0DE13324" w:rsidR="00001FFC" w:rsidRDefault="00001FFC" w:rsidP="00001FFC">
      <w:pPr>
        <w:pStyle w:val="Textonotapie"/>
        <w:jc w:val="both"/>
        <w:rPr>
          <w:rFonts w:ascii="Verdana" w:hAnsi="Verdana" w:cs="Arial"/>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Vencimiento del plazo de ejecución, cumplimiento del objeto o el acaecimiento de la condición resolutoria expresa, pactada por las partes</w:t>
      </w:r>
    </w:p>
    <w:p w14:paraId="53F1B574" w14:textId="77777777" w:rsidR="00A11ADE" w:rsidRPr="0055156D" w:rsidRDefault="00A11ADE" w:rsidP="00001FFC">
      <w:pPr>
        <w:pStyle w:val="Textonotapie"/>
        <w:jc w:val="both"/>
        <w:rPr>
          <w:lang w:val="es-CO"/>
        </w:rPr>
      </w:pPr>
    </w:p>
  </w:footnote>
  <w:footnote w:id="11">
    <w:p w14:paraId="265EB7D2" w14:textId="414E9D4A" w:rsidR="00001FFC" w:rsidRDefault="00001FFC" w:rsidP="00001FFC">
      <w:pPr>
        <w:pStyle w:val="Textonotapie"/>
        <w:jc w:val="both"/>
        <w:rPr>
          <w:rFonts w:ascii="Verdana" w:hAnsi="Verdana" w:cs="Arial"/>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cs="Arial"/>
          <w:sz w:val="16"/>
          <w:szCs w:val="16"/>
          <w:lang w:val="es-CO"/>
        </w:rPr>
        <w:t>Declaratoria de caducidad, terminación unilateral, mutuo acuerdo, renuncia del contratista (cuando hay una modificación unilateral altere en un 20 % o más el valor inicial del contrato o cuando sobreviene una inhabilidad o incompatibilidad y no se pueda ceder el contrato) o evento de fuerza mayor.</w:t>
      </w:r>
    </w:p>
    <w:p w14:paraId="03B7EFCD" w14:textId="77777777" w:rsidR="00A11ADE" w:rsidRPr="0055156D" w:rsidRDefault="00A11ADE" w:rsidP="00001FFC">
      <w:pPr>
        <w:pStyle w:val="Textonotapie"/>
        <w:jc w:val="both"/>
        <w:rPr>
          <w:lang w:val="es-CO"/>
        </w:rPr>
      </w:pPr>
    </w:p>
  </w:footnote>
  <w:footnote w:id="12">
    <w:p w14:paraId="4390205F" w14:textId="6DDB3F61"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Consejo de Estado. Sección tercera. Sentencia del 10 de noviembre de 2016. Exp. 56.179. C.P. Jaime Orlando Santofimio Gamboa.</w:t>
      </w:r>
    </w:p>
  </w:footnote>
  <w:footnote w:id="13">
    <w:p w14:paraId="6B6ED9F2" w14:textId="0B4DD615"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14">
    <w:p w14:paraId="055B6CFC" w14:textId="5B3A5C0A"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CONSEJO DE ESTADO, Sección Tercera, Subsección C, Sentencia del 24 de julio de 2013, radicado No. 25.642, Consejero Ponente Enrique Gil Botero.</w:t>
      </w:r>
    </w:p>
  </w:footnote>
  <w:footnote w:id="15">
    <w:p w14:paraId="4CFFD184" w14:textId="5B04F947"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 xml:space="preserve">Decreto 1082 de 2015 </w:t>
      </w:r>
      <w:r w:rsidR="00A11ADE" w:rsidRPr="00A11ADE">
        <w:rPr>
          <w:rFonts w:ascii="Verdana" w:hAnsi="Verdana"/>
          <w:b/>
          <w:bCs/>
          <w:sz w:val="16"/>
          <w:szCs w:val="16"/>
          <w:lang w:val="es-CO"/>
        </w:rPr>
        <w:t>“Artículo 2.2.1.2.1.5.2</w:t>
      </w:r>
      <w:r w:rsidR="00A11ADE" w:rsidRPr="00A11ADE">
        <w:rPr>
          <w:rFonts w:ascii="Verdana" w:hAnsi="Verdana"/>
          <w:sz w:val="16"/>
          <w:szCs w:val="16"/>
          <w:lang w:val="es-CO"/>
        </w:rPr>
        <w:t>. Procedimiento para la contratación de mínima cuantía. Las siguientes reglas son aplicables a la contratación cuyo valor no excede del 10% de la menor cuantía de la Entidad Estatal, independientemente de su objeto: “1.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footnote>
  <w:footnote w:id="16">
    <w:p w14:paraId="3D45338F" w14:textId="088E582E" w:rsidR="00001FFC" w:rsidRDefault="00001FFC" w:rsidP="00001FFC">
      <w:pPr>
        <w:pStyle w:val="Textonotapie"/>
        <w:jc w:val="both"/>
        <w:rPr>
          <w:rFonts w:ascii="Verdana" w:hAnsi="Verdana"/>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A11ADE" w:rsidRPr="00A11ADE">
        <w:rPr>
          <w:rFonts w:ascii="Verdana" w:hAnsi="Verdana"/>
          <w:sz w:val="16"/>
          <w:szCs w:val="16"/>
          <w:lang w:val="es-CO"/>
        </w:rPr>
        <w:t xml:space="preserve">Ley 80 de 1993 </w:t>
      </w:r>
      <w:r w:rsidR="00A11ADE" w:rsidRPr="00A11ADE">
        <w:rPr>
          <w:rFonts w:ascii="Verdana" w:hAnsi="Verdana"/>
          <w:b/>
          <w:bCs/>
          <w:sz w:val="16"/>
          <w:szCs w:val="16"/>
          <w:lang w:val="es-CO"/>
        </w:rPr>
        <w:t xml:space="preserve">“Articulo </w:t>
      </w:r>
      <w:r w:rsidR="00A11ADE" w:rsidRPr="005F7711">
        <w:rPr>
          <w:rFonts w:ascii="Verdana" w:hAnsi="Verdana"/>
          <w:b/>
          <w:bCs/>
          <w:sz w:val="16"/>
          <w:szCs w:val="16"/>
          <w:lang w:val="es-CO"/>
        </w:rPr>
        <w:t>39. De la forma del contrato estatal.</w:t>
      </w:r>
      <w:r w:rsidR="00A11ADE" w:rsidRPr="00A11ADE">
        <w:rPr>
          <w:rFonts w:ascii="Verdana" w:hAnsi="Verdana"/>
          <w:sz w:val="16"/>
          <w:szCs w:val="16"/>
          <w:lang w:val="es-CO"/>
        </w:rPr>
        <w:t xml:space="preserve">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w:t>
      </w:r>
    </w:p>
    <w:p w14:paraId="20DEAEDC" w14:textId="77777777" w:rsidR="00550E28" w:rsidRDefault="00A11ADE" w:rsidP="00550E28">
      <w:pPr>
        <w:pStyle w:val="Textonotapie"/>
        <w:ind w:left="708"/>
        <w:jc w:val="both"/>
        <w:rPr>
          <w:rFonts w:ascii="Verdana" w:hAnsi="Verdana"/>
          <w:sz w:val="16"/>
          <w:szCs w:val="16"/>
          <w:lang w:val="es-CO"/>
        </w:rPr>
      </w:pPr>
      <w:r w:rsidRPr="00A11ADE">
        <w:rPr>
          <w:rFonts w:ascii="Verdana" w:hAnsi="Verdana"/>
          <w:sz w:val="16"/>
          <w:szCs w:val="16"/>
          <w:lang w:val="es-CO"/>
        </w:rPr>
        <w:t xml:space="preserve">[…] </w:t>
      </w:r>
      <w:r w:rsidRPr="00550E28">
        <w:rPr>
          <w:rFonts w:ascii="Verdana" w:hAnsi="Verdana"/>
          <w:b/>
          <w:bCs/>
          <w:sz w:val="16"/>
          <w:szCs w:val="16"/>
          <w:lang w:val="es-CO"/>
        </w:rPr>
        <w:t>“Articulo 40.</w:t>
      </w:r>
      <w:r w:rsidRPr="00A11ADE">
        <w:rPr>
          <w:rFonts w:ascii="Verdana" w:hAnsi="Verdana"/>
          <w:sz w:val="16"/>
          <w:szCs w:val="16"/>
          <w:lang w:val="es-CO"/>
        </w:rPr>
        <w:t xml:space="preserve"> </w:t>
      </w:r>
      <w:r w:rsidRPr="00886653">
        <w:rPr>
          <w:rFonts w:ascii="Verdana" w:hAnsi="Verdana"/>
          <w:b/>
          <w:bCs/>
          <w:sz w:val="16"/>
          <w:szCs w:val="16"/>
          <w:lang w:val="es-CO"/>
        </w:rPr>
        <w:t>Del contenido del contrato estatal.</w:t>
      </w:r>
      <w:r w:rsidRPr="00A11ADE">
        <w:rPr>
          <w:rFonts w:ascii="Verdana" w:hAnsi="Verdana"/>
          <w:sz w:val="16"/>
          <w:szCs w:val="16"/>
          <w:lang w:val="es-CO"/>
        </w:rPr>
        <w:t xml:space="preserve"> Las estipulaciones de los contratos serán las que de acuerdo con las normas civiles, comerciales y las previstas en esta ley, correspondan a su esencia y naturaleza.</w:t>
      </w:r>
    </w:p>
    <w:p w14:paraId="4D819ACA" w14:textId="77777777" w:rsidR="00F06CB9" w:rsidRDefault="00A11ADE" w:rsidP="00550E28">
      <w:pPr>
        <w:pStyle w:val="Textonotapie"/>
        <w:ind w:left="708"/>
        <w:jc w:val="both"/>
        <w:rPr>
          <w:rFonts w:ascii="Verdana" w:hAnsi="Verdana"/>
          <w:sz w:val="16"/>
          <w:szCs w:val="16"/>
          <w:lang w:val="es-CO"/>
        </w:rPr>
      </w:pPr>
      <w:r w:rsidRPr="00A11ADE">
        <w:rPr>
          <w:rFonts w:ascii="Verdana" w:hAnsi="Verdana"/>
          <w:sz w:val="16"/>
          <w:szCs w:val="16"/>
          <w:lang w:val="es-CO"/>
        </w:rPr>
        <w:t xml:space="preserve"> “Las entidades podrán celebrar los contratos y acuerdos que permitan la autonomía de la voluntad y requieran el cumplimiento de los fines estatales. […]</w:t>
      </w:r>
    </w:p>
    <w:p w14:paraId="7717A2AE" w14:textId="3228423B" w:rsidR="00A11ADE" w:rsidRPr="0055156D" w:rsidRDefault="00A11ADE" w:rsidP="00550E28">
      <w:pPr>
        <w:pStyle w:val="Textonotapie"/>
        <w:ind w:left="708"/>
        <w:jc w:val="both"/>
        <w:rPr>
          <w:lang w:val="es-CO"/>
        </w:rPr>
      </w:pPr>
      <w:r w:rsidRPr="00A11ADE">
        <w:rPr>
          <w:rFonts w:ascii="Verdana" w:hAnsi="Verdana"/>
          <w:sz w:val="16"/>
          <w:szCs w:val="16"/>
          <w:lang w:val="es-CO"/>
        </w:rPr>
        <w:t xml:space="preserve"> </w:t>
      </w:r>
      <w:r w:rsidRPr="00F06CB9">
        <w:rPr>
          <w:rFonts w:ascii="Verdana" w:hAnsi="Verdana"/>
          <w:b/>
          <w:bCs/>
          <w:sz w:val="16"/>
          <w:szCs w:val="16"/>
          <w:lang w:val="es-CO"/>
        </w:rPr>
        <w:t>“Artículo 41</w:t>
      </w:r>
      <w:r w:rsidRPr="00A11ADE">
        <w:rPr>
          <w:rFonts w:ascii="Verdana" w:hAnsi="Verdana"/>
          <w:sz w:val="16"/>
          <w:szCs w:val="16"/>
          <w:lang w:val="es-CO"/>
        </w:rPr>
        <w:t xml:space="preserve">. </w:t>
      </w:r>
      <w:r w:rsidRPr="00886653">
        <w:rPr>
          <w:rFonts w:ascii="Verdana" w:hAnsi="Verdana"/>
          <w:b/>
          <w:bCs/>
          <w:sz w:val="16"/>
          <w:szCs w:val="16"/>
          <w:lang w:val="es-CO"/>
        </w:rPr>
        <w:t>Del perfeccionamiento del contrato.</w:t>
      </w:r>
      <w:r w:rsidRPr="00A11ADE">
        <w:rPr>
          <w:rFonts w:ascii="Verdana" w:hAnsi="Verdana"/>
          <w:sz w:val="16"/>
          <w:szCs w:val="16"/>
          <w:lang w:val="es-CO"/>
        </w:rPr>
        <w:t xml:space="preserve"> Los contratos del Estado se perfeccionan cuando se logre acuerdo sobre el objeto y la contraprestación y éste se eleve a escrito [ …]”.</w:t>
      </w:r>
    </w:p>
  </w:footnote>
  <w:footnote w:id="17">
    <w:p w14:paraId="07104D75" w14:textId="297EF9BF"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5A7C58" w:rsidRPr="005A7C58">
        <w:rPr>
          <w:rFonts w:ascii="Verdana" w:hAnsi="Verdana"/>
          <w:sz w:val="16"/>
          <w:szCs w:val="16"/>
          <w:lang w:val="es-CO"/>
        </w:rPr>
        <w:t xml:space="preserve">Ley 80 de 1993 </w:t>
      </w:r>
      <w:r w:rsidR="005A7C58" w:rsidRPr="005A7C58">
        <w:rPr>
          <w:rFonts w:ascii="Verdana" w:hAnsi="Verdana"/>
          <w:b/>
          <w:bCs/>
          <w:sz w:val="16"/>
          <w:szCs w:val="16"/>
          <w:lang w:val="es-CO"/>
        </w:rPr>
        <w:t>“Artículo 77. De la normatividad aplicable en las actuaciones administrativas</w:t>
      </w:r>
      <w:r w:rsidR="005A7C58" w:rsidRPr="005A7C58">
        <w:rPr>
          <w:rFonts w:ascii="Verdana" w:hAnsi="Verdana"/>
          <w:sz w:val="16"/>
          <w:szCs w:val="16"/>
          <w:lang w:val="es-CO"/>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8">
    <w:p w14:paraId="3045AE0C" w14:textId="77777777" w:rsidR="0000412F" w:rsidRDefault="00001FFC" w:rsidP="00001FFC">
      <w:pPr>
        <w:pStyle w:val="Textonotapie"/>
        <w:jc w:val="both"/>
        <w:rPr>
          <w:rFonts w:ascii="Verdana" w:hAnsi="Verdana"/>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6E38BB" w:rsidRPr="006E38BB">
        <w:rPr>
          <w:rFonts w:ascii="Verdana" w:hAnsi="Verdana"/>
          <w:sz w:val="16"/>
          <w:szCs w:val="16"/>
          <w:lang w:val="es-CO"/>
        </w:rPr>
        <w:t xml:space="preserve">Ley 80 de 1993 </w:t>
      </w:r>
      <w:r w:rsidR="006E38BB" w:rsidRPr="006E38BB">
        <w:rPr>
          <w:rFonts w:ascii="Verdana" w:hAnsi="Verdana"/>
          <w:b/>
          <w:bCs/>
          <w:sz w:val="16"/>
          <w:szCs w:val="16"/>
          <w:lang w:val="es-CO"/>
        </w:rPr>
        <w:t>“Artículo 25. Del principio de economía</w:t>
      </w:r>
      <w:r w:rsidR="006E38BB" w:rsidRPr="006E38BB">
        <w:rPr>
          <w:rFonts w:ascii="Verdana" w:hAnsi="Verdana"/>
          <w:sz w:val="16"/>
          <w:szCs w:val="16"/>
          <w:lang w:val="es-CO"/>
        </w:rPr>
        <w:t xml:space="preserve">. En virtud de este principio: […] </w:t>
      </w:r>
    </w:p>
    <w:p w14:paraId="449B54B1" w14:textId="77777777" w:rsidR="0000412F" w:rsidRDefault="006E38BB" w:rsidP="00001FFC">
      <w:pPr>
        <w:pStyle w:val="Textonotapie"/>
        <w:jc w:val="both"/>
        <w:rPr>
          <w:rFonts w:ascii="Verdana" w:hAnsi="Verdana"/>
          <w:sz w:val="16"/>
          <w:szCs w:val="16"/>
          <w:lang w:val="es-CO"/>
        </w:rPr>
      </w:pPr>
      <w:r w:rsidRPr="006E38BB">
        <w:rPr>
          <w:rFonts w:ascii="Verdana" w:hAnsi="Verdana"/>
          <w:sz w:val="16"/>
          <w:szCs w:val="16"/>
          <w:lang w:val="es-CO"/>
        </w:rPr>
        <w:t xml:space="preserve">“4o. Los trámites se adelantarán con austeridad de tiempo, medios y gastos y se impedirán las dilaciones y los retardos en la ejecución del contrato. </w:t>
      </w:r>
    </w:p>
    <w:p w14:paraId="7CD7D1F9" w14:textId="7C32D17B" w:rsidR="00001FFC" w:rsidRPr="0055156D" w:rsidRDefault="006E38BB" w:rsidP="00001FFC">
      <w:pPr>
        <w:pStyle w:val="Textonotapie"/>
        <w:jc w:val="both"/>
        <w:rPr>
          <w:lang w:val="es-CO"/>
        </w:rPr>
      </w:pPr>
      <w:r w:rsidRPr="006E38BB">
        <w:rPr>
          <w:rFonts w:ascii="Verdana" w:hAnsi="Verdana"/>
          <w:sz w:val="16"/>
          <w:szCs w:val="16"/>
          <w:lang w:val="es-CO"/>
        </w:rPr>
        <w:t>“5o. Se adoptarán procedimientos que garanticen la pronta solución de las diferencias y controversias que con motivo de la celebración y ejecución del contrato se presenten […]”.</w:t>
      </w:r>
    </w:p>
  </w:footnote>
  <w:footnote w:id="19">
    <w:p w14:paraId="795CA0D6" w14:textId="26A2B24E" w:rsidR="00001FFC" w:rsidRPr="0000412F" w:rsidRDefault="00001FFC" w:rsidP="00001FFC">
      <w:pPr>
        <w:pStyle w:val="Textonotapie"/>
        <w:jc w:val="both"/>
        <w:rPr>
          <w:color w:val="0070C0"/>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 xml:space="preserve">COLOMBIA COMPRA EFICIENTE. Guía para la Liquidación de los Procesos de Contratación. página 5, disponible en: </w:t>
      </w:r>
      <w:r w:rsidR="0000412F" w:rsidRPr="0000412F">
        <w:rPr>
          <w:rFonts w:ascii="Verdana" w:hAnsi="Verdana"/>
          <w:color w:val="0070C0"/>
          <w:sz w:val="16"/>
          <w:szCs w:val="16"/>
          <w:lang w:val="es-CO"/>
        </w:rPr>
        <w:t xml:space="preserve">https://www.colombiacompra.gov.co/sites/cce_public/files/cce_documents/cce_guia_liquidacion_procesos.p df </w:t>
      </w:r>
    </w:p>
  </w:footnote>
  <w:footnote w:id="20">
    <w:p w14:paraId="791DA780" w14:textId="398E80FC" w:rsidR="00001FFC" w:rsidRPr="0055156D" w:rsidRDefault="00001FFC" w:rsidP="00001FFC">
      <w:pPr>
        <w:pStyle w:val="Textonotapie"/>
        <w:jc w:val="both"/>
        <w:rPr>
          <w:lang w:val="es-CO"/>
        </w:rPr>
      </w:pPr>
      <w:r w:rsidRPr="006138DE">
        <w:rPr>
          <w:rStyle w:val="Refdenotaalpie"/>
          <w:rFonts w:ascii="Verdana" w:hAnsi="Verdana"/>
          <w:sz w:val="16"/>
          <w:szCs w:val="16"/>
        </w:rPr>
        <w:footnoteRef/>
      </w:r>
      <w:r w:rsidR="0000412F" w:rsidRPr="0000412F">
        <w:rPr>
          <w:rFonts w:ascii="Verdana" w:hAnsi="Verdana"/>
          <w:sz w:val="16"/>
          <w:szCs w:val="16"/>
          <w:lang w:val="es-CO"/>
        </w:rPr>
        <w:t>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21">
    <w:p w14:paraId="2138063C" w14:textId="77777777" w:rsidR="0000412F" w:rsidRDefault="00001FFC" w:rsidP="00001FFC">
      <w:pPr>
        <w:pStyle w:val="Textonotapie"/>
        <w:jc w:val="both"/>
        <w:rPr>
          <w:rFonts w:ascii="Verdana" w:hAnsi="Verdana"/>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 xml:space="preserve">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 </w:t>
      </w:r>
    </w:p>
    <w:p w14:paraId="0668AFDB" w14:textId="792F28AA" w:rsidR="0000412F" w:rsidRDefault="0000412F" w:rsidP="0000412F">
      <w:pPr>
        <w:pStyle w:val="Textonotapie"/>
        <w:ind w:firstLine="708"/>
        <w:jc w:val="both"/>
        <w:rPr>
          <w:rFonts w:ascii="Verdana" w:hAnsi="Verdana"/>
          <w:sz w:val="16"/>
          <w:szCs w:val="16"/>
          <w:lang w:val="es-CO"/>
        </w:rPr>
      </w:pPr>
      <w:r w:rsidRPr="0000412F">
        <w:rPr>
          <w:rFonts w:ascii="Verdana" w:hAnsi="Verdana"/>
          <w:sz w:val="16"/>
          <w:szCs w:val="16"/>
          <w:lang w:val="es-CO"/>
        </w:rPr>
        <w:t xml:space="preserve">Lo anterior, sin perjuicio de las publicaciones previstas en el numeral 3 del artículo 30 de la Ley 80 de 1993. </w:t>
      </w:r>
    </w:p>
    <w:p w14:paraId="167848CB" w14:textId="77777777" w:rsidR="0000412F" w:rsidRDefault="0000412F" w:rsidP="0000412F">
      <w:pPr>
        <w:pStyle w:val="Textonotapie"/>
        <w:ind w:firstLine="708"/>
        <w:jc w:val="both"/>
        <w:rPr>
          <w:rFonts w:ascii="Verdana" w:hAnsi="Verdana"/>
          <w:sz w:val="16"/>
          <w:szCs w:val="16"/>
          <w:lang w:val="es-CO"/>
        </w:rPr>
      </w:pPr>
      <w:r w:rsidRPr="0000412F">
        <w:rPr>
          <w:rFonts w:ascii="Verdana" w:hAnsi="Verdana"/>
          <w:sz w:val="16"/>
          <w:szCs w:val="16"/>
          <w:lang w:val="es-CO"/>
        </w:rPr>
        <w:t xml:space="preserve">Con el fin de materializar los objetivos a que se refiere el inciso anterior, el Gobierno Nacional desarrollará el Sistema Electrónico para la Contratación Pública, Secop, el cual: […] </w:t>
      </w:r>
    </w:p>
    <w:p w14:paraId="0B5BE5F4" w14:textId="7D53E4AA" w:rsidR="00001FFC" w:rsidRPr="0055156D" w:rsidRDefault="0000412F" w:rsidP="0000412F">
      <w:pPr>
        <w:pStyle w:val="Textonotapie"/>
        <w:ind w:firstLine="708"/>
        <w:jc w:val="both"/>
        <w:rPr>
          <w:lang w:val="es-CO"/>
        </w:rPr>
      </w:pPr>
      <w:r w:rsidRPr="0000412F">
        <w:rPr>
          <w:rFonts w:ascii="Verdana" w:hAnsi="Verdana"/>
          <w:sz w:val="16"/>
          <w:szCs w:val="16"/>
          <w:lang w:val="es-CO"/>
        </w:rPr>
        <w:t>c) Contará con la información oficial de la contratación realizada con dineros públicos, para lo cual establecerá los patrones a que haya lugar y se encargará de su difusión a través de canales electrónico ”.</w:t>
      </w:r>
    </w:p>
  </w:footnote>
  <w:footnote w:id="22">
    <w:p w14:paraId="56A1DA59" w14:textId="73C56A3B" w:rsidR="00A62BCB" w:rsidRPr="0055156D" w:rsidRDefault="00A62BCB" w:rsidP="00A62BCB">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Ley 1712 de 2014: “Artículo 2. Toda información en posesión, bajo control o custodia de un sujeto obligado es pública y no podrá ser reservada o limitada sino por disposición constitucional o legal, de conformidad con la presente ley”.</w:t>
      </w:r>
    </w:p>
  </w:footnote>
  <w:footnote w:id="23">
    <w:p w14:paraId="42506FA3" w14:textId="6178731A" w:rsidR="00A62BCB" w:rsidRDefault="00A62BCB" w:rsidP="00A62BCB">
      <w:pPr>
        <w:pStyle w:val="Textonotapie"/>
        <w:jc w:val="both"/>
        <w:rPr>
          <w:rFonts w:ascii="Verdana" w:hAnsi="Verdana"/>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41B4CA91" w14:textId="77777777" w:rsidR="0000412F" w:rsidRPr="0055156D" w:rsidRDefault="0000412F" w:rsidP="00A62BCB">
      <w:pPr>
        <w:pStyle w:val="Textonotapie"/>
        <w:jc w:val="both"/>
        <w:rPr>
          <w:lang w:val="es-CO"/>
        </w:rPr>
      </w:pPr>
    </w:p>
  </w:footnote>
  <w:footnote w:id="24">
    <w:p w14:paraId="13A7ADDA" w14:textId="77777777" w:rsidR="0000412F" w:rsidRDefault="00A62BCB" w:rsidP="00A62BCB">
      <w:pPr>
        <w:pStyle w:val="Textonotapie"/>
        <w:jc w:val="both"/>
        <w:rPr>
          <w:rFonts w:ascii="Verdana" w:hAnsi="Verdana"/>
          <w:sz w:val="16"/>
          <w:szCs w:val="16"/>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 </w:t>
      </w:r>
    </w:p>
    <w:p w14:paraId="41FB270C" w14:textId="1A5A4221" w:rsidR="00A62BCB" w:rsidRPr="0055156D" w:rsidRDefault="0000412F" w:rsidP="0000412F">
      <w:pPr>
        <w:pStyle w:val="Textonotapie"/>
        <w:ind w:firstLine="708"/>
        <w:jc w:val="both"/>
        <w:rPr>
          <w:lang w:val="es-CO"/>
        </w:rPr>
      </w:pPr>
      <w:r w:rsidRPr="0000412F">
        <w:rPr>
          <w:rFonts w:ascii="Verdana" w:hAnsi="Verdana"/>
          <w:sz w:val="16"/>
          <w:szCs w:val="16"/>
          <w:lang w:val="es-CO"/>
        </w:rPr>
        <w:t>Los sujetos obligados que contratan con recursos públicos y recursos privados, deben publicar la información de su gestión contractual con cargo a recursos públicos en el Sistema Electrónico para la Contratación Pública [SECOP]”.</w:t>
      </w:r>
    </w:p>
  </w:footnote>
  <w:footnote w:id="25">
    <w:p w14:paraId="5DAAB4A5" w14:textId="2C8295F5" w:rsidR="00A62BCB" w:rsidRPr="0055156D" w:rsidRDefault="00A62BCB" w:rsidP="00A62BCB">
      <w:pPr>
        <w:pStyle w:val="Textonotapie"/>
        <w:jc w:val="both"/>
        <w:rPr>
          <w:lang w:val="es-CO"/>
        </w:rPr>
      </w:pPr>
      <w:r w:rsidRPr="006138DE">
        <w:rPr>
          <w:rStyle w:val="Refdenotaalpie"/>
          <w:rFonts w:ascii="Verdana" w:hAnsi="Verdana"/>
          <w:sz w:val="16"/>
          <w:szCs w:val="16"/>
        </w:rPr>
        <w:footnoteRef/>
      </w:r>
      <w:r w:rsidRPr="006138DE">
        <w:rPr>
          <w:rFonts w:ascii="Verdana" w:hAnsi="Verdana"/>
          <w:sz w:val="16"/>
          <w:szCs w:val="16"/>
        </w:rPr>
        <w:t xml:space="preserve"> </w:t>
      </w:r>
      <w:r w:rsidR="0000412F" w:rsidRPr="0000412F">
        <w:rPr>
          <w:rFonts w:ascii="Verdana" w:hAnsi="Verdana"/>
          <w:sz w:val="16"/>
          <w:szCs w:val="16"/>
          <w:lang w:val="es-CO"/>
        </w:rPr>
        <w:t>Corte Constitucional. Sentencia C‒274 de 9 de mayo de 2013. M.P. María Victoria Calle Correa.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10210" w:hanging="360"/>
      </w:pPr>
      <w:rPr>
        <w:b/>
        <w:color w:val="000000" w:themeColor="text1"/>
      </w:rPr>
    </w:lvl>
    <w:lvl w:ilvl="1">
      <w:start w:val="2"/>
      <w:numFmt w:val="decimal"/>
      <w:isLgl/>
      <w:lvlText w:val="%1.%2"/>
      <w:lvlJc w:val="left"/>
      <w:pPr>
        <w:ind w:left="9850" w:hanging="360"/>
      </w:pPr>
    </w:lvl>
    <w:lvl w:ilvl="2">
      <w:start w:val="1"/>
      <w:numFmt w:val="decimal"/>
      <w:isLgl/>
      <w:lvlText w:val="%1.%2.%3"/>
      <w:lvlJc w:val="left"/>
      <w:pPr>
        <w:ind w:left="10570" w:hanging="720"/>
      </w:pPr>
    </w:lvl>
    <w:lvl w:ilvl="3">
      <w:start w:val="1"/>
      <w:numFmt w:val="decimal"/>
      <w:isLgl/>
      <w:lvlText w:val="%1.%2.%3.%4"/>
      <w:lvlJc w:val="left"/>
      <w:pPr>
        <w:ind w:left="10570" w:hanging="720"/>
      </w:pPr>
    </w:lvl>
    <w:lvl w:ilvl="4">
      <w:start w:val="1"/>
      <w:numFmt w:val="decimal"/>
      <w:isLgl/>
      <w:lvlText w:val="%1.%2.%3.%4.%5"/>
      <w:lvlJc w:val="left"/>
      <w:pPr>
        <w:ind w:left="10930" w:hanging="1080"/>
      </w:pPr>
    </w:lvl>
    <w:lvl w:ilvl="5">
      <w:start w:val="1"/>
      <w:numFmt w:val="decimal"/>
      <w:isLgl/>
      <w:lvlText w:val="%1.%2.%3.%4.%5.%6"/>
      <w:lvlJc w:val="left"/>
      <w:pPr>
        <w:ind w:left="10930" w:hanging="1080"/>
      </w:pPr>
    </w:lvl>
    <w:lvl w:ilvl="6">
      <w:start w:val="1"/>
      <w:numFmt w:val="decimal"/>
      <w:isLgl/>
      <w:lvlText w:val="%1.%2.%3.%4.%5.%6.%7"/>
      <w:lvlJc w:val="left"/>
      <w:pPr>
        <w:ind w:left="11290" w:hanging="1440"/>
      </w:pPr>
    </w:lvl>
    <w:lvl w:ilvl="7">
      <w:start w:val="1"/>
      <w:numFmt w:val="decimal"/>
      <w:isLgl/>
      <w:lvlText w:val="%1.%2.%3.%4.%5.%6.%7.%8"/>
      <w:lvlJc w:val="left"/>
      <w:pPr>
        <w:ind w:left="11290" w:hanging="1440"/>
      </w:pPr>
    </w:lvl>
    <w:lvl w:ilvl="8">
      <w:start w:val="1"/>
      <w:numFmt w:val="decimal"/>
      <w:isLgl/>
      <w:lvlText w:val="%1.%2.%3.%4.%5.%6.%7.%8.%9"/>
      <w:lvlJc w:val="left"/>
      <w:pPr>
        <w:ind w:left="11650"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87E4E75"/>
    <w:multiLevelType w:val="hybridMultilevel"/>
    <w:tmpl w:val="3DF0A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0BE2CF8"/>
    <w:multiLevelType w:val="hybridMultilevel"/>
    <w:tmpl w:val="B62A076E"/>
    <w:lvl w:ilvl="0" w:tplc="0DF2508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D5069"/>
    <w:multiLevelType w:val="hybridMultilevel"/>
    <w:tmpl w:val="97CCDFF2"/>
    <w:lvl w:ilvl="0" w:tplc="43D0CF70">
      <w:start w:val="1"/>
      <w:numFmt w:val="upperRoman"/>
      <w:lvlText w:val="%1."/>
      <w:lvlJc w:val="left"/>
      <w:pPr>
        <w:ind w:left="1080" w:hanging="72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6"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18"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0"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C6D0E2E"/>
    <w:multiLevelType w:val="hybridMultilevel"/>
    <w:tmpl w:val="5C24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4C52BE1"/>
    <w:multiLevelType w:val="hybridMultilevel"/>
    <w:tmpl w:val="0EC87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70F65EA"/>
    <w:multiLevelType w:val="hybridMultilevel"/>
    <w:tmpl w:val="205A6FC4"/>
    <w:lvl w:ilvl="0" w:tplc="4B8EDD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9081512"/>
    <w:multiLevelType w:val="hybridMultilevel"/>
    <w:tmpl w:val="BFF23E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0E13D05"/>
    <w:multiLevelType w:val="hybridMultilevel"/>
    <w:tmpl w:val="BE042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4426339"/>
    <w:multiLevelType w:val="hybridMultilevel"/>
    <w:tmpl w:val="569893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BCD33FF"/>
    <w:multiLevelType w:val="hybridMultilevel"/>
    <w:tmpl w:val="907211E6"/>
    <w:lvl w:ilvl="0" w:tplc="240A0001">
      <w:start w:val="1"/>
      <w:numFmt w:val="bullet"/>
      <w:lvlText w:val=""/>
      <w:lvlJc w:val="left"/>
      <w:pPr>
        <w:ind w:left="720" w:hanging="360"/>
      </w:pPr>
      <w:rPr>
        <w:rFonts w:ascii="Symbol" w:hAnsi="Symbol" w:hint="default"/>
      </w:rPr>
    </w:lvl>
    <w:lvl w:ilvl="1" w:tplc="8F6A3E4E">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010639">
    <w:abstractNumId w:val="0"/>
  </w:num>
  <w:num w:numId="2" w16cid:durableId="271860312">
    <w:abstractNumId w:val="28"/>
  </w:num>
  <w:num w:numId="3" w16cid:durableId="1595672007">
    <w:abstractNumId w:val="21"/>
  </w:num>
  <w:num w:numId="4" w16cid:durableId="1944533281">
    <w:abstractNumId w:val="13"/>
  </w:num>
  <w:num w:numId="5" w16cid:durableId="2081175712">
    <w:abstractNumId w:val="6"/>
  </w:num>
  <w:num w:numId="6" w16cid:durableId="1584220838">
    <w:abstractNumId w:val="1"/>
  </w:num>
  <w:num w:numId="7" w16cid:durableId="1890258578">
    <w:abstractNumId w:val="18"/>
  </w:num>
  <w:num w:numId="8" w16cid:durableId="1250309436">
    <w:abstractNumId w:val="30"/>
  </w:num>
  <w:num w:numId="9" w16cid:durableId="170149205">
    <w:abstractNumId w:val="3"/>
  </w:num>
  <w:num w:numId="10" w16cid:durableId="121771703">
    <w:abstractNumId w:val="17"/>
  </w:num>
  <w:num w:numId="11" w16cid:durableId="679089576">
    <w:abstractNumId w:val="14"/>
  </w:num>
  <w:num w:numId="12" w16cid:durableId="1597637299">
    <w:abstractNumId w:val="15"/>
  </w:num>
  <w:num w:numId="13" w16cid:durableId="1197356270">
    <w:abstractNumId w:val="19"/>
  </w:num>
  <w:num w:numId="14" w16cid:durableId="1422145251">
    <w:abstractNumId w:val="29"/>
  </w:num>
  <w:num w:numId="15" w16cid:durableId="868641893">
    <w:abstractNumId w:val="26"/>
  </w:num>
  <w:num w:numId="16" w16cid:durableId="202593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12"/>
  </w:num>
  <w:num w:numId="18" w16cid:durableId="1933977330">
    <w:abstractNumId w:val="7"/>
  </w:num>
  <w:num w:numId="19" w16cid:durableId="597564065">
    <w:abstractNumId w:val="16"/>
  </w:num>
  <w:num w:numId="20" w16cid:durableId="1058745687">
    <w:abstractNumId w:val="9"/>
  </w:num>
  <w:num w:numId="21" w16cid:durableId="1228223862">
    <w:abstractNumId w:val="8"/>
  </w:num>
  <w:num w:numId="22" w16cid:durableId="606429298">
    <w:abstractNumId w:val="20"/>
  </w:num>
  <w:num w:numId="23" w16cid:durableId="19822139">
    <w:abstractNumId w:val="2"/>
  </w:num>
  <w:num w:numId="24" w16cid:durableId="66534376">
    <w:abstractNumId w:val="27"/>
  </w:num>
  <w:num w:numId="25" w16cid:durableId="1721511704">
    <w:abstractNumId w:val="22"/>
  </w:num>
  <w:num w:numId="26" w16cid:durableId="1912307450">
    <w:abstractNumId w:val="4"/>
  </w:num>
  <w:num w:numId="27" w16cid:durableId="1147167869">
    <w:abstractNumId w:val="25"/>
  </w:num>
  <w:num w:numId="28" w16cid:durableId="697320800">
    <w:abstractNumId w:val="31"/>
  </w:num>
  <w:num w:numId="29" w16cid:durableId="704909323">
    <w:abstractNumId w:val="11"/>
  </w:num>
  <w:num w:numId="30" w16cid:durableId="1347101994">
    <w:abstractNumId w:val="10"/>
  </w:num>
  <w:num w:numId="31" w16cid:durableId="1075250423">
    <w:abstractNumId w:val="24"/>
  </w:num>
  <w:num w:numId="32" w16cid:durableId="557866738">
    <w:abstractNumId w:val="32"/>
  </w:num>
  <w:num w:numId="33" w16cid:durableId="1170947355">
    <w:abstractNumId w:val="23"/>
  </w:num>
  <w:num w:numId="34" w16cid:durableId="2139764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01FFC"/>
    <w:rsid w:val="0000412F"/>
    <w:rsid w:val="00057687"/>
    <w:rsid w:val="00092DB6"/>
    <w:rsid w:val="000E2148"/>
    <w:rsid w:val="000E351F"/>
    <w:rsid w:val="000E561E"/>
    <w:rsid w:val="000E7508"/>
    <w:rsid w:val="00127C91"/>
    <w:rsid w:val="001E1251"/>
    <w:rsid w:val="001F7599"/>
    <w:rsid w:val="00207A26"/>
    <w:rsid w:val="002630EB"/>
    <w:rsid w:val="002636AB"/>
    <w:rsid w:val="00283C1D"/>
    <w:rsid w:val="00284315"/>
    <w:rsid w:val="002A19B3"/>
    <w:rsid w:val="002A7290"/>
    <w:rsid w:val="002B25CB"/>
    <w:rsid w:val="002D2553"/>
    <w:rsid w:val="00312E96"/>
    <w:rsid w:val="00351671"/>
    <w:rsid w:val="00380B86"/>
    <w:rsid w:val="003A3386"/>
    <w:rsid w:val="003C0836"/>
    <w:rsid w:val="003D5856"/>
    <w:rsid w:val="003E448D"/>
    <w:rsid w:val="00412DE6"/>
    <w:rsid w:val="00455230"/>
    <w:rsid w:val="00470E48"/>
    <w:rsid w:val="005023F0"/>
    <w:rsid w:val="00550E28"/>
    <w:rsid w:val="00553F39"/>
    <w:rsid w:val="00555176"/>
    <w:rsid w:val="005A5AFA"/>
    <w:rsid w:val="005A7C58"/>
    <w:rsid w:val="005C572E"/>
    <w:rsid w:val="005D26E5"/>
    <w:rsid w:val="005F7711"/>
    <w:rsid w:val="006138DE"/>
    <w:rsid w:val="00613F91"/>
    <w:rsid w:val="00620BE1"/>
    <w:rsid w:val="006649D6"/>
    <w:rsid w:val="0068640D"/>
    <w:rsid w:val="006D24E7"/>
    <w:rsid w:val="006E38BB"/>
    <w:rsid w:val="006F77A6"/>
    <w:rsid w:val="00715939"/>
    <w:rsid w:val="00763F15"/>
    <w:rsid w:val="007703B9"/>
    <w:rsid w:val="007D3177"/>
    <w:rsid w:val="007E0D51"/>
    <w:rsid w:val="007F56B2"/>
    <w:rsid w:val="00886653"/>
    <w:rsid w:val="00893CDE"/>
    <w:rsid w:val="008A3960"/>
    <w:rsid w:val="008B68D4"/>
    <w:rsid w:val="00900AD7"/>
    <w:rsid w:val="0090156A"/>
    <w:rsid w:val="00935C58"/>
    <w:rsid w:val="00982E6E"/>
    <w:rsid w:val="009C0230"/>
    <w:rsid w:val="009C4900"/>
    <w:rsid w:val="009F5FB8"/>
    <w:rsid w:val="00A11ADE"/>
    <w:rsid w:val="00A33752"/>
    <w:rsid w:val="00A62278"/>
    <w:rsid w:val="00A62BCB"/>
    <w:rsid w:val="00A97EC1"/>
    <w:rsid w:val="00AB4464"/>
    <w:rsid w:val="00AB4D03"/>
    <w:rsid w:val="00AB64A5"/>
    <w:rsid w:val="00AC7286"/>
    <w:rsid w:val="00AC79D3"/>
    <w:rsid w:val="00AE18F1"/>
    <w:rsid w:val="00B439C1"/>
    <w:rsid w:val="00B50562"/>
    <w:rsid w:val="00B82703"/>
    <w:rsid w:val="00BA6ECF"/>
    <w:rsid w:val="00BA70E3"/>
    <w:rsid w:val="00C00C41"/>
    <w:rsid w:val="00C01E35"/>
    <w:rsid w:val="00CC1D5B"/>
    <w:rsid w:val="00CD02EB"/>
    <w:rsid w:val="00CD258B"/>
    <w:rsid w:val="00D04228"/>
    <w:rsid w:val="00D4742F"/>
    <w:rsid w:val="00E100F3"/>
    <w:rsid w:val="00E51C9B"/>
    <w:rsid w:val="00E5732A"/>
    <w:rsid w:val="00EE1A77"/>
    <w:rsid w:val="00F02EBB"/>
    <w:rsid w:val="00F06CB9"/>
    <w:rsid w:val="00FB64CA"/>
    <w:rsid w:val="00FC3EC1"/>
    <w:rsid w:val="00FE22EE"/>
    <w:rsid w:val="00FE6C59"/>
    <w:rsid w:val="00FF55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0BE1"/>
    <w:rPr>
      <w:vertAlign w:val="superscript"/>
    </w:rPr>
  </w:style>
  <w:style w:type="paragraph" w:customStyle="1" w:styleId="Appelnotedebasde">
    <w:name w:val="Appel note de bas de..."/>
    <w:basedOn w:val="Normal"/>
    <w:link w:val="Refdenotaalpie"/>
    <w:uiPriority w:val="99"/>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 w:type="paragraph" w:styleId="NormalWeb">
    <w:name w:val="Normal (Web)"/>
    <w:basedOn w:val="Normal"/>
    <w:link w:val="NormalWebCar"/>
    <w:uiPriority w:val="99"/>
    <w:unhideWhenUsed/>
    <w:rsid w:val="006649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649D6"/>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785658185">
      <w:bodyDiv w:val="1"/>
      <w:marLeft w:val="0"/>
      <w:marRight w:val="0"/>
      <w:marTop w:val="0"/>
      <w:marBottom w:val="0"/>
      <w:divBdr>
        <w:top w:val="none" w:sz="0" w:space="0" w:color="auto"/>
        <w:left w:val="none" w:sz="0" w:space="0" w:color="auto"/>
        <w:bottom w:val="none" w:sz="0" w:space="0" w:color="auto"/>
        <w:right w:val="none" w:sz="0" w:space="0" w:color="auto"/>
      </w:divBdr>
    </w:div>
    <w:div w:id="1069033330">
      <w:bodyDiv w:val="1"/>
      <w:marLeft w:val="0"/>
      <w:marRight w:val="0"/>
      <w:marTop w:val="0"/>
      <w:marBottom w:val="0"/>
      <w:divBdr>
        <w:top w:val="none" w:sz="0" w:space="0" w:color="auto"/>
        <w:left w:val="none" w:sz="0" w:space="0" w:color="auto"/>
        <w:bottom w:val="none" w:sz="0" w:space="0" w:color="auto"/>
        <w:right w:val="none" w:sz="0" w:space="0" w:color="auto"/>
      </w:divBdr>
    </w:div>
    <w:div w:id="1359508358">
      <w:bodyDiv w:val="1"/>
      <w:marLeft w:val="0"/>
      <w:marRight w:val="0"/>
      <w:marTop w:val="0"/>
      <w:marBottom w:val="0"/>
      <w:divBdr>
        <w:top w:val="none" w:sz="0" w:space="0" w:color="auto"/>
        <w:left w:val="none" w:sz="0" w:space="0" w:color="auto"/>
        <w:bottom w:val="none" w:sz="0" w:space="0" w:color="auto"/>
        <w:right w:val="none" w:sz="0" w:space="0" w:color="auto"/>
      </w:divBdr>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 w:id="153283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relatoria.colombiacompra.gov.co/ficha/C-208%20de%20202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7" Type="http://schemas.openxmlformats.org/officeDocument/2006/relationships/settings" Target="settings.xml"/><Relationship Id="rId12" Type="http://schemas.openxmlformats.org/officeDocument/2006/relationships/hyperlink" Target="mailto:cris.dani13@hotmail.com" TargetMode="External"/><Relationship Id="rId17" Type="http://schemas.openxmlformats.org/officeDocument/2006/relationships/hyperlink" Target="https://relatoria.colombiacompra.gov.co/ficha/C-195%20de%20202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ficha/C-125%20de%202022" TargetMode="External"/><Relationship Id="rId20" Type="http://schemas.openxmlformats.org/officeDocument/2006/relationships/hyperlink" Target="https://relatoria.colombiacompra.gov.co/ficha/C-034%20de%2020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ficha/C-085%20de%202022"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ficha/C%20-%20238%20de%2020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B3F15-43C4-4604-9965-2F3E4D1CBDC5}">
  <ds:schemaRefs>
    <ds:schemaRef ds:uri="http://schemas.openxmlformats.org/officeDocument/2006/bibliography"/>
  </ds:schemaRefs>
</ds:datastoreItem>
</file>

<file path=customXml/itemProps2.xml><?xml version="1.0" encoding="utf-8"?>
<ds:datastoreItem xmlns:ds="http://schemas.openxmlformats.org/officeDocument/2006/customXml" ds:itemID="{6CAE1CFF-E2DE-4552-9569-A816A3402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6C22D-9527-47CC-A68E-11E5BF57F1F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DBEFA69-5A1F-43DF-9F04-68884DCA40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25</Pages>
  <Words>7484</Words>
  <Characters>41164</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Andreina Cerpa Muñoz</cp:lastModifiedBy>
  <cp:revision>27</cp:revision>
  <dcterms:created xsi:type="dcterms:W3CDTF">2024-10-23T01:38:00Z</dcterms:created>
  <dcterms:modified xsi:type="dcterms:W3CDTF">2025-10-10T20:11:00Z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