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8CE" w:rsidRPr="009938CE" w:rsidRDefault="009938CE" w:rsidP="009938CE">
      <w:pPr>
        <w:spacing w:after="0" w:line="240" w:lineRule="auto"/>
        <w:rPr>
          <w:rFonts w:ascii="Times New Roman" w:eastAsia="Calibri" w:hAnsi="Times New Roman" w:cs="Times New Roman"/>
          <w:lang w:val="es-ES"/>
        </w:rPr>
      </w:pPr>
    </w:p>
    <w:p w:rsidR="009938CE" w:rsidRPr="009938CE" w:rsidRDefault="009938CE" w:rsidP="00D95038">
      <w:pPr>
        <w:spacing w:after="0" w:line="240" w:lineRule="auto"/>
        <w:jc w:val="right"/>
        <w:rPr>
          <w:rFonts w:ascii="Arial" w:eastAsia="Times New Roman" w:hAnsi="Arial" w:cs="Arial"/>
          <w:b/>
          <w:color w:val="000000"/>
          <w:sz w:val="16"/>
          <w:szCs w:val="16"/>
          <w:lang w:val="es-ES" w:eastAsia="es-ES"/>
        </w:rPr>
      </w:pPr>
      <w:bookmarkStart w:id="0" w:name="_Hlk28946138"/>
      <w:bookmarkStart w:id="1" w:name="_Hlk29548183"/>
      <w:r w:rsidRPr="009938CE">
        <w:rPr>
          <w:rFonts w:ascii="Arial" w:eastAsia="Times New Roman" w:hAnsi="Arial" w:cs="Arial"/>
          <w:b/>
          <w:color w:val="000000"/>
          <w:sz w:val="16"/>
          <w:szCs w:val="16"/>
          <w:lang w:val="es-ES" w:eastAsia="es-ES"/>
        </w:rPr>
        <w:tab/>
        <w:t>CCE-DES-FM-17</w:t>
      </w:r>
    </w:p>
    <w:p w:rsidR="009938CE" w:rsidRPr="00A70E75" w:rsidRDefault="009938CE" w:rsidP="009938CE">
      <w:pPr>
        <w:spacing w:after="0" w:line="240" w:lineRule="auto"/>
        <w:jc w:val="both"/>
        <w:rPr>
          <w:rFonts w:ascii="Arial" w:eastAsia="Calibri" w:hAnsi="Arial" w:cs="Arial"/>
          <w:b/>
          <w:bCs/>
          <w:color w:val="000000"/>
          <w:lang w:val="es-ES"/>
        </w:rPr>
      </w:pPr>
      <w:r w:rsidRPr="00A70E75">
        <w:rPr>
          <w:rFonts w:ascii="Arial" w:eastAsia="Calibri" w:hAnsi="Arial" w:cs="Arial"/>
          <w:b/>
          <w:bCs/>
          <w:color w:val="000000"/>
          <w:lang w:val="es-ES"/>
        </w:rPr>
        <w:t xml:space="preserve">CONTRATACIÓN ESTATAL – Políticas horizontales </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9938CE" w:rsidRPr="009938CE" w:rsidRDefault="009938CE" w:rsidP="009938CE">
      <w:pPr>
        <w:spacing w:after="0" w:line="240" w:lineRule="auto"/>
        <w:jc w:val="both"/>
        <w:rPr>
          <w:rFonts w:ascii="Arial" w:eastAsia="Calibri" w:hAnsi="Arial" w:cs="Arial"/>
          <w:bCs/>
          <w:color w:val="000000"/>
          <w:sz w:val="20"/>
          <w:szCs w:val="20"/>
          <w:lang w:val="es-ES"/>
        </w:rPr>
      </w:pPr>
      <w:r w:rsidRPr="009938CE">
        <w:rPr>
          <w:rFonts w:ascii="Arial" w:eastAsia="Calibri" w:hAnsi="Arial" w:cs="Arial"/>
          <w:bCs/>
          <w:color w:val="000000"/>
          <w:sz w:val="20"/>
          <w:szCs w:val="20"/>
          <w:lang w:val="es-ES"/>
        </w:rPr>
        <w:t>La contratación pública puede ser utilizada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9938CE" w:rsidRPr="009938CE" w:rsidRDefault="009938CE" w:rsidP="009938CE">
      <w:pPr>
        <w:spacing w:after="0" w:line="240" w:lineRule="auto"/>
        <w:jc w:val="both"/>
        <w:rPr>
          <w:rFonts w:ascii="Arial" w:eastAsia="Calibri" w:hAnsi="Arial" w:cs="Arial"/>
          <w:bCs/>
          <w:color w:val="000000"/>
          <w:sz w:val="20"/>
          <w:szCs w:val="20"/>
          <w:lang w:val="es-ES"/>
        </w:rPr>
      </w:pPr>
      <w:r w:rsidRPr="009938CE">
        <w:rPr>
          <w:rFonts w:ascii="Arial" w:eastAsia="Calibri" w:hAnsi="Arial" w:cs="Arial"/>
          <w:bCs/>
          <w:color w:val="000000"/>
          <w:sz w:val="20"/>
          <w:szCs w:val="20"/>
          <w:lang w:val="es-ES"/>
        </w:rPr>
        <w:t>Estas finalidades reciben diferentes nombres en los diversos contextos en los que son utilizadas, algunos recurren al nombre de políticas secundarias, finalidades paralelas, o políticas colaterales u horizontales en materia de contratación. El concepto de política o finalidad horizontal o colateral pretende subrayar que se trata de políticas no subordinadas o inferiores, sino que acompañan la finalidad principal de la contratación estatal, que es, de conformidad con el artículo 3º de la Ley 80 de 1993, «el cumplimiento de los fines estatales, la continua y eficiente prestación de los servicios públicos y la efectividad de los derechos e intereses de los administrados que colaboran con ellas en la consecución de dichos fines».</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9938CE" w:rsidRPr="00A70E75" w:rsidRDefault="009938CE" w:rsidP="009938CE">
      <w:pPr>
        <w:spacing w:after="0" w:line="240" w:lineRule="auto"/>
        <w:jc w:val="both"/>
        <w:rPr>
          <w:rFonts w:ascii="Arial" w:eastAsia="Calibri" w:hAnsi="Arial" w:cs="Arial"/>
          <w:b/>
          <w:bCs/>
          <w:color w:val="000000"/>
          <w:lang w:val="es-ES"/>
        </w:rPr>
      </w:pPr>
      <w:r w:rsidRPr="00A70E75">
        <w:rPr>
          <w:rFonts w:ascii="Arial" w:eastAsia="Calibri" w:hAnsi="Arial" w:cs="Arial"/>
          <w:b/>
          <w:bCs/>
          <w:color w:val="000000"/>
          <w:lang w:val="es-ES"/>
        </w:rPr>
        <w:t xml:space="preserve">CONTRATACIÓN ESTATAL – Políticas horizontales – Incentivos contractuales </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9938CE" w:rsidRPr="009938CE" w:rsidRDefault="009938CE" w:rsidP="009938CE">
      <w:pPr>
        <w:spacing w:after="0" w:line="240" w:lineRule="auto"/>
        <w:jc w:val="both"/>
        <w:rPr>
          <w:rFonts w:ascii="Arial" w:eastAsia="Calibri" w:hAnsi="Arial" w:cs="Arial"/>
          <w:bCs/>
          <w:color w:val="000000"/>
          <w:sz w:val="20"/>
          <w:szCs w:val="20"/>
          <w:lang w:val="es-ES"/>
        </w:rPr>
      </w:pPr>
      <w:r w:rsidRPr="009938CE">
        <w:rPr>
          <w:rFonts w:ascii="Arial" w:eastAsia="Calibri" w:hAnsi="Arial" w:cs="Arial"/>
          <w:bCs/>
          <w:color w:val="000000"/>
          <w:sz w:val="20"/>
          <w:szCs w:val="20"/>
          <w:lang w:val="es-ES"/>
        </w:rPr>
        <w:t xml:space="preserve">La política horizontal […]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 como es el caso, se reitera, de los criterios de desempate, puntaje adicional, o convocatorias reservadas.  </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9938CE" w:rsidRPr="00A70E75" w:rsidRDefault="009938CE" w:rsidP="009938CE">
      <w:pPr>
        <w:spacing w:after="0" w:line="240" w:lineRule="auto"/>
        <w:jc w:val="both"/>
        <w:rPr>
          <w:rFonts w:ascii="Arial" w:eastAsia="Calibri" w:hAnsi="Arial" w:cs="Arial"/>
          <w:b/>
          <w:bCs/>
          <w:color w:val="000000"/>
          <w:lang w:val="es-ES"/>
        </w:rPr>
      </w:pPr>
      <w:r w:rsidRPr="00A70E75">
        <w:rPr>
          <w:rFonts w:ascii="Arial" w:eastAsia="Calibri" w:hAnsi="Arial" w:cs="Arial"/>
          <w:b/>
          <w:bCs/>
          <w:color w:val="000000"/>
          <w:lang w:val="es-ES"/>
        </w:rPr>
        <w:t>INCENTIVOS CONTRACTUALES – Empleabilidad de adultos mayores – Política horizontal – Criterio de desempate – Ley 2040 de 2020</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9938CE" w:rsidRPr="009938CE" w:rsidRDefault="009938CE" w:rsidP="009938CE">
      <w:pPr>
        <w:spacing w:after="0" w:line="240" w:lineRule="auto"/>
        <w:jc w:val="both"/>
        <w:rPr>
          <w:rFonts w:ascii="Arial" w:eastAsia="Calibri" w:hAnsi="Arial" w:cs="Arial"/>
          <w:bCs/>
          <w:color w:val="000000"/>
          <w:sz w:val="20"/>
          <w:szCs w:val="20"/>
          <w:lang w:val="es-ES"/>
        </w:rPr>
      </w:pPr>
      <w:r w:rsidRPr="009938CE">
        <w:rPr>
          <w:rFonts w:ascii="Arial" w:eastAsia="Calibri" w:hAnsi="Arial" w:cs="Arial"/>
          <w:bCs/>
          <w:color w:val="000000"/>
          <w:sz w:val="20"/>
          <w:szCs w:val="20"/>
          <w:lang w:val="es-ES"/>
        </w:rPr>
        <w:t xml:space="preserve">Con base en las explicaciones anteriores es posible entender de manera más sencilla el contenido de la Ley 2040 de 2020 «por medio de la cual se adoptan medidas para 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9938CE" w:rsidRPr="009938CE" w:rsidRDefault="009938CE" w:rsidP="009938CE">
      <w:pPr>
        <w:spacing w:after="0" w:line="240" w:lineRule="auto"/>
        <w:jc w:val="both"/>
        <w:rPr>
          <w:rFonts w:ascii="Arial" w:eastAsia="Calibri" w:hAnsi="Arial" w:cs="Arial"/>
          <w:bCs/>
          <w:color w:val="000000"/>
          <w:sz w:val="20"/>
          <w:szCs w:val="20"/>
          <w:lang w:val="es-ES"/>
        </w:rPr>
      </w:pPr>
      <w:r w:rsidRPr="009938CE">
        <w:rPr>
          <w:rFonts w:ascii="Arial" w:eastAsia="Calibri" w:hAnsi="Arial" w:cs="Arial"/>
          <w:bCs/>
          <w:color w:val="000000"/>
          <w:sz w:val="20"/>
          <w:szCs w:val="20"/>
          <w:lang w:val="es-ES"/>
        </w:rPr>
        <w:t xml:space="preserve">Para ello, la Ley 2040 de 2020 adopta una serie de instrumentos diversos, entre las cuales se cuentan una reducción del impuesto sobre la renta por contratación de adultos mayores –artículo 2–, la creación del sello amigable «adulto mayor» para identificar a las empresas que vinculen a adultos mayores que no cuentan con pensión –artículo 7–, la creación de la «Ruta para el emprendimiento del adulto mayor» para que los adultos mayores puedan poner en marcha su propia empresa –artículo 10–. </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D95038" w:rsidRDefault="009938CE" w:rsidP="009938CE">
      <w:pPr>
        <w:spacing w:after="0" w:line="240" w:lineRule="auto"/>
        <w:jc w:val="both"/>
        <w:rPr>
          <w:rFonts w:ascii="Arial" w:eastAsia="Calibri" w:hAnsi="Arial" w:cs="Arial"/>
          <w:bCs/>
          <w:color w:val="000000"/>
          <w:sz w:val="20"/>
          <w:szCs w:val="20"/>
          <w:lang w:val="es-ES"/>
        </w:rPr>
      </w:pPr>
      <w:r w:rsidRPr="009938CE">
        <w:rPr>
          <w:rFonts w:ascii="Arial" w:eastAsia="Calibri" w:hAnsi="Arial" w:cs="Arial"/>
          <w:bCs/>
          <w:color w:val="000000"/>
          <w:sz w:val="20"/>
          <w:szCs w:val="20"/>
          <w:lang w:val="es-ES"/>
        </w:rPr>
        <w:t>Todos estos son mecanismos que la ley instrumenta para cumplir su finalidad: incrementar la empleabilidad de los adultos mayores, lo que a la postre, se espera, se traducirá en mayor empleo para este sector vulnerable de la población.</w:t>
      </w:r>
    </w:p>
    <w:p w:rsidR="00D95038" w:rsidRPr="009938CE" w:rsidRDefault="00D95038" w:rsidP="009938CE">
      <w:pPr>
        <w:spacing w:after="0" w:line="240" w:lineRule="auto"/>
        <w:jc w:val="both"/>
        <w:rPr>
          <w:rFonts w:ascii="Arial" w:eastAsia="Calibri" w:hAnsi="Arial" w:cs="Arial"/>
          <w:bCs/>
          <w:color w:val="000000"/>
          <w:sz w:val="20"/>
          <w:szCs w:val="20"/>
          <w:lang w:val="es-ES"/>
        </w:rPr>
      </w:pPr>
    </w:p>
    <w:p w:rsidR="009938CE" w:rsidRPr="00A70E75" w:rsidRDefault="009938CE" w:rsidP="009938CE">
      <w:pPr>
        <w:spacing w:after="0" w:line="240" w:lineRule="auto"/>
        <w:jc w:val="both"/>
        <w:rPr>
          <w:rFonts w:ascii="Arial" w:eastAsia="Calibri" w:hAnsi="Arial" w:cs="Arial"/>
          <w:b/>
          <w:bCs/>
          <w:color w:val="000000"/>
          <w:lang w:val="es-ES"/>
        </w:rPr>
      </w:pPr>
      <w:r w:rsidRPr="00A70E75">
        <w:rPr>
          <w:rFonts w:ascii="Arial" w:eastAsia="Calibri" w:hAnsi="Arial" w:cs="Arial"/>
          <w:b/>
          <w:bCs/>
          <w:color w:val="000000"/>
          <w:lang w:val="es-ES"/>
        </w:rPr>
        <w:t>INCENTIVOS CONTRACTUALES – Empleabilidad de adultos mayores – Criterio de desempate – Necesidad del reglamento</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9938CE" w:rsidRPr="009938CE" w:rsidRDefault="009938CE" w:rsidP="009938CE">
      <w:pPr>
        <w:spacing w:after="0" w:line="240" w:lineRule="auto"/>
        <w:jc w:val="both"/>
        <w:rPr>
          <w:rFonts w:ascii="Arial" w:eastAsia="Times New Roman" w:hAnsi="Arial" w:cs="Arial"/>
          <w:color w:val="000000"/>
          <w:sz w:val="24"/>
          <w:szCs w:val="24"/>
          <w:lang w:val="es-ES"/>
        </w:rPr>
      </w:pPr>
      <w:r w:rsidRPr="009938CE">
        <w:rPr>
          <w:rFonts w:ascii="Arial" w:eastAsia="Calibri" w:hAnsi="Arial" w:cs="Arial"/>
          <w:bCs/>
          <w:color w:val="000000"/>
          <w:sz w:val="20"/>
          <w:szCs w:val="20"/>
          <w:lang w:val="es-ES"/>
        </w:rPr>
        <w:t xml:space="preserve">Para esta Subdirección, con base en la diferencia entre política horizontal e incentivo en materia de contratación, es posible afirmar que el criterio de desempate creado no es nada distinto que una de </w:t>
      </w:r>
      <w:r w:rsidRPr="009938CE">
        <w:rPr>
          <w:rFonts w:ascii="Arial" w:eastAsia="Calibri" w:hAnsi="Arial" w:cs="Arial"/>
          <w:bCs/>
          <w:color w:val="000000"/>
          <w:sz w:val="20"/>
          <w:szCs w:val="20"/>
          <w:lang w:val="es-ES"/>
        </w:rPr>
        <w:lastRenderedPageBreak/>
        <w:t>las «estrategias para la promoción del empleo de personas mayores» que, según el tenor literal del artículo 4, debe ser objeto de reglamentación por el Gobierno Nacional en un término no mayor a 6 meses. Ello, además, coincide con la necesaria claridad que debe introducir el reglamento en relación con la articulación y compatibilización del «nuevo criterio de desempate» con los preexistentes en el ordenamiento jurídico. En ese orden de ideas, debe esperarse la reglamentación del Gobierno Nacional sobre la materia para aplicar el nuevo criterio de desempate en los procesos de selección de contratistas de las entidades estatales, pues así lo ordena el artículo 4 de la Ley 2040 de 2020.</w:t>
      </w:r>
    </w:p>
    <w:p w:rsidR="009938CE" w:rsidRPr="009938CE" w:rsidRDefault="009938CE" w:rsidP="009938CE">
      <w:pPr>
        <w:spacing w:after="0" w:line="240" w:lineRule="auto"/>
        <w:rPr>
          <w:rFonts w:ascii="Arial" w:eastAsia="Times New Roman" w:hAnsi="Arial" w:cs="Arial"/>
          <w:color w:val="000000"/>
          <w:sz w:val="24"/>
          <w:szCs w:val="24"/>
          <w:lang w:val="es-ES"/>
        </w:rPr>
      </w:pPr>
    </w:p>
    <w:p w:rsidR="009938CE" w:rsidRPr="009938CE" w:rsidRDefault="009938CE" w:rsidP="009938CE">
      <w:pPr>
        <w:spacing w:after="0" w:line="240" w:lineRule="auto"/>
        <w:rPr>
          <w:rFonts w:ascii="Arial" w:eastAsia="Times New Roman" w:hAnsi="Arial" w:cs="Arial"/>
          <w:color w:val="000000"/>
          <w:sz w:val="24"/>
          <w:szCs w:val="24"/>
          <w:lang w:val="es-ES"/>
        </w:rPr>
      </w:pPr>
    </w:p>
    <w:p w:rsidR="009938CE" w:rsidRPr="00282E83" w:rsidRDefault="009938CE" w:rsidP="00282E83">
      <w:pPr>
        <w:spacing w:after="0" w:line="240" w:lineRule="auto"/>
        <w:rPr>
          <w:rFonts w:ascii="Arial" w:eastAsia="Times New Roman" w:hAnsi="Arial" w:cs="Arial"/>
          <w:b/>
          <w:bCs/>
          <w:color w:val="000000"/>
          <w:lang w:val="es-ES"/>
        </w:rPr>
      </w:pPr>
      <w:r w:rsidRPr="00A70E75">
        <w:rPr>
          <w:rFonts w:ascii="Arial" w:eastAsia="Times New Roman" w:hAnsi="Arial" w:cs="Arial"/>
          <w:color w:val="000000"/>
          <w:lang w:val="es-ES"/>
        </w:rPr>
        <w:t xml:space="preserve">Bogotá D.C., </w:t>
      </w:r>
      <w:r w:rsidR="00282E83" w:rsidRPr="00282E83">
        <w:rPr>
          <w:rFonts w:ascii="Arial" w:eastAsia="Times New Roman" w:hAnsi="Arial" w:cs="Arial"/>
          <w:b/>
          <w:color w:val="000000"/>
        </w:rPr>
        <w:t>27/08/2020 Hora 19:41:10s</w:t>
      </w:r>
    </w:p>
    <w:p w:rsidR="009938CE" w:rsidRPr="00A70E75" w:rsidRDefault="009938CE" w:rsidP="009938CE">
      <w:pPr>
        <w:spacing w:after="0" w:line="240" w:lineRule="auto"/>
        <w:jc w:val="right"/>
        <w:rPr>
          <w:rFonts w:ascii="Arial" w:eastAsia="Calibri" w:hAnsi="Arial" w:cs="Arial"/>
          <w:color w:val="000000"/>
          <w:lang w:val="es-ES"/>
        </w:rPr>
      </w:pPr>
      <w:r w:rsidRPr="00A70E75">
        <w:rPr>
          <w:rFonts w:ascii="Arial" w:eastAsia="Times New Roman" w:hAnsi="Arial" w:cs="Arial"/>
          <w:b/>
          <w:bCs/>
          <w:color w:val="000000"/>
          <w:lang w:val="es-ES"/>
        </w:rPr>
        <w:t xml:space="preserve">N° Radicado: </w:t>
      </w:r>
      <w:r w:rsidR="00282E83" w:rsidRPr="00282E83">
        <w:rPr>
          <w:rFonts w:ascii="Arial" w:eastAsia="Times New Roman" w:hAnsi="Arial" w:cs="Arial"/>
          <w:b/>
          <w:bCs/>
          <w:color w:val="000000"/>
        </w:rPr>
        <w:t>2202013000008045</w:t>
      </w:r>
    </w:p>
    <w:p w:rsidR="009938CE" w:rsidRPr="00A70E75" w:rsidRDefault="009938CE" w:rsidP="009938CE">
      <w:pPr>
        <w:spacing w:after="0" w:line="240" w:lineRule="auto"/>
        <w:rPr>
          <w:rFonts w:ascii="Arial" w:eastAsia="Calibri" w:hAnsi="Arial" w:cs="Arial"/>
          <w:color w:val="000000"/>
          <w:lang w:val="es-ES"/>
        </w:rPr>
      </w:pPr>
    </w:p>
    <w:p w:rsidR="009938CE" w:rsidRPr="00A70E75" w:rsidRDefault="009938CE" w:rsidP="009938CE">
      <w:pPr>
        <w:spacing w:after="0" w:line="240" w:lineRule="auto"/>
        <w:rPr>
          <w:rFonts w:ascii="Arial" w:eastAsia="Calibri" w:hAnsi="Arial" w:cs="Arial"/>
          <w:color w:val="000000"/>
          <w:lang w:val="es-ES"/>
        </w:rPr>
      </w:pPr>
      <w:r w:rsidRPr="00A70E75">
        <w:rPr>
          <w:rFonts w:ascii="Arial" w:eastAsia="Calibri" w:hAnsi="Arial" w:cs="Arial"/>
          <w:color w:val="000000"/>
          <w:lang w:val="es-ES"/>
        </w:rPr>
        <w:t>Señora</w:t>
      </w:r>
    </w:p>
    <w:p w:rsidR="009938CE" w:rsidRPr="00A70E75" w:rsidRDefault="009938CE" w:rsidP="009938CE">
      <w:pPr>
        <w:spacing w:after="0" w:line="240" w:lineRule="auto"/>
        <w:rPr>
          <w:rFonts w:ascii="Arial" w:eastAsia="Calibri" w:hAnsi="Arial" w:cs="Arial"/>
          <w:b/>
          <w:color w:val="000000"/>
          <w:lang w:val="es-ES"/>
        </w:rPr>
      </w:pPr>
      <w:r w:rsidRPr="00A70E75">
        <w:rPr>
          <w:rFonts w:ascii="Arial" w:eastAsia="Calibri" w:hAnsi="Arial" w:cs="Arial"/>
          <w:b/>
          <w:color w:val="000000"/>
          <w:lang w:val="es-ES"/>
        </w:rPr>
        <w:t>Claudia Janeth Cuellar</w:t>
      </w:r>
      <w:bookmarkStart w:id="2" w:name="_GoBack"/>
      <w:bookmarkEnd w:id="2"/>
    </w:p>
    <w:p w:rsidR="009938CE" w:rsidRPr="00A70E75" w:rsidRDefault="009938CE" w:rsidP="009938CE">
      <w:pPr>
        <w:spacing w:after="0" w:line="240" w:lineRule="auto"/>
        <w:rPr>
          <w:rFonts w:ascii="Arial" w:eastAsia="Calibri" w:hAnsi="Arial" w:cs="Arial"/>
          <w:color w:val="000000"/>
          <w:lang w:val="es-ES"/>
        </w:rPr>
      </w:pPr>
      <w:r w:rsidRPr="00A70E75">
        <w:rPr>
          <w:rFonts w:ascii="Arial" w:eastAsia="Calibri" w:hAnsi="Arial" w:cs="Arial"/>
          <w:color w:val="000000"/>
          <w:lang w:val="es-ES"/>
        </w:rPr>
        <w:t xml:space="preserve">Bogotá, Cundinamarca </w:t>
      </w:r>
    </w:p>
    <w:p w:rsidR="009938CE" w:rsidRPr="009938CE" w:rsidRDefault="009938CE" w:rsidP="009938CE">
      <w:pPr>
        <w:spacing w:after="0" w:line="240" w:lineRule="auto"/>
        <w:rPr>
          <w:rFonts w:ascii="Arial" w:eastAsia="Calibri" w:hAnsi="Arial" w:cs="Arial"/>
          <w:color w:val="000000"/>
          <w:sz w:val="24"/>
          <w:szCs w:val="24"/>
          <w:lang w:val="es-ES"/>
        </w:rPr>
      </w:pPr>
    </w:p>
    <w:p w:rsidR="009938CE" w:rsidRPr="009938CE" w:rsidRDefault="009938CE" w:rsidP="009938CE">
      <w:pPr>
        <w:spacing w:after="0" w:line="240" w:lineRule="auto"/>
        <w:rPr>
          <w:rFonts w:ascii="Arial" w:eastAsia="Calibri" w:hAnsi="Arial" w:cs="Arial"/>
          <w:color w:val="000000"/>
          <w:sz w:val="24"/>
          <w:szCs w:val="24"/>
          <w:lang w:val="es-ES"/>
        </w:rPr>
      </w:pPr>
    </w:p>
    <w:p w:rsidR="009938CE" w:rsidRPr="009938CE" w:rsidRDefault="009938CE" w:rsidP="009938CE">
      <w:pPr>
        <w:spacing w:after="0" w:line="240" w:lineRule="auto"/>
        <w:ind w:firstLine="2694"/>
        <w:rPr>
          <w:rFonts w:ascii="Arial" w:eastAsia="Calibri" w:hAnsi="Arial" w:cs="Arial"/>
          <w:b/>
          <w:color w:val="000000"/>
          <w:sz w:val="24"/>
          <w:szCs w:val="24"/>
          <w:lang w:val="es-ES"/>
        </w:rPr>
      </w:pPr>
      <w:r w:rsidRPr="009938CE">
        <w:rPr>
          <w:rFonts w:ascii="Arial" w:eastAsia="Calibri" w:hAnsi="Arial" w:cs="Arial"/>
          <w:b/>
          <w:color w:val="000000"/>
          <w:sz w:val="24"/>
          <w:szCs w:val="24"/>
          <w:lang w:val="es-ES"/>
        </w:rPr>
        <w:t xml:space="preserve">Concepto C ─ </w:t>
      </w:r>
      <w:r w:rsidR="00E97D58">
        <w:rPr>
          <w:rFonts w:ascii="Arial" w:eastAsia="Calibri" w:hAnsi="Arial" w:cs="Arial"/>
          <w:b/>
          <w:color w:val="000000"/>
          <w:sz w:val="24"/>
          <w:szCs w:val="24"/>
          <w:lang w:val="es-ES"/>
        </w:rPr>
        <w:t>572</w:t>
      </w:r>
      <w:r w:rsidRPr="009938CE">
        <w:rPr>
          <w:rFonts w:ascii="Arial" w:eastAsia="Calibri" w:hAnsi="Arial" w:cs="Arial"/>
          <w:b/>
          <w:color w:val="000000"/>
          <w:sz w:val="24"/>
          <w:szCs w:val="24"/>
          <w:lang w:val="es-ES"/>
        </w:rPr>
        <w:t xml:space="preserve"> de 2020</w:t>
      </w:r>
    </w:p>
    <w:p w:rsidR="009938CE" w:rsidRPr="009938CE" w:rsidRDefault="009938CE" w:rsidP="009938CE">
      <w:pPr>
        <w:spacing w:after="0" w:line="240" w:lineRule="auto"/>
        <w:rPr>
          <w:rFonts w:ascii="Arial" w:eastAsia="Calibri" w:hAnsi="Arial" w:cs="Arial"/>
          <w:color w:val="000000"/>
          <w:sz w:val="24"/>
          <w:szCs w:val="24"/>
          <w:lang w:val="es-ES"/>
        </w:rPr>
      </w:pPr>
    </w:p>
    <w:p w:rsidR="009938CE" w:rsidRPr="009938CE" w:rsidRDefault="009938CE" w:rsidP="009938CE">
      <w:pPr>
        <w:spacing w:after="0" w:line="240" w:lineRule="auto"/>
        <w:rPr>
          <w:rFonts w:ascii="Arial" w:eastAsia="Calibri" w:hAnsi="Arial" w:cs="Arial"/>
          <w:color w:val="000000"/>
          <w:sz w:val="24"/>
          <w:szCs w:val="24"/>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938CE" w:rsidRPr="009938CE" w:rsidTr="003B4E66">
        <w:tc>
          <w:tcPr>
            <w:tcW w:w="2689" w:type="dxa"/>
            <w:hideMark/>
          </w:tcPr>
          <w:p w:rsidR="009938CE" w:rsidRPr="009938CE" w:rsidRDefault="009938CE" w:rsidP="009938CE">
            <w:pPr>
              <w:rPr>
                <w:rFonts w:ascii="Arial" w:eastAsia="Calibri" w:hAnsi="Arial" w:cs="Arial"/>
                <w:color w:val="000000"/>
                <w:szCs w:val="24"/>
                <w:lang w:val="es-ES"/>
              </w:rPr>
            </w:pPr>
            <w:r w:rsidRPr="009938CE">
              <w:rPr>
                <w:rFonts w:ascii="Arial" w:eastAsia="Calibri" w:hAnsi="Arial" w:cs="Arial"/>
                <w:b/>
                <w:color w:val="000000"/>
                <w:szCs w:val="24"/>
                <w:lang w:val="es-ES"/>
              </w:rPr>
              <w:t>Temas:</w:t>
            </w:r>
            <w:r w:rsidRPr="009938CE">
              <w:rPr>
                <w:rFonts w:ascii="Arial" w:eastAsia="Calibri" w:hAnsi="Arial" w:cs="Arial"/>
                <w:color w:val="000000"/>
                <w:szCs w:val="24"/>
                <w:lang w:val="es-ES"/>
              </w:rPr>
              <w:t xml:space="preserve">           </w:t>
            </w:r>
          </w:p>
          <w:p w:rsidR="009938CE" w:rsidRPr="009938CE" w:rsidRDefault="009938CE" w:rsidP="009938CE">
            <w:pPr>
              <w:rPr>
                <w:rFonts w:ascii="Arial" w:eastAsia="Calibri" w:hAnsi="Arial" w:cs="Arial"/>
                <w:color w:val="000000"/>
                <w:szCs w:val="24"/>
                <w:lang w:val="es-ES"/>
              </w:rPr>
            </w:pPr>
            <w:r w:rsidRPr="009938CE">
              <w:rPr>
                <w:rFonts w:ascii="Arial" w:eastAsia="Calibri" w:hAnsi="Arial" w:cs="Arial"/>
                <w:color w:val="000000"/>
                <w:szCs w:val="24"/>
                <w:lang w:val="es-ES"/>
              </w:rPr>
              <w:t xml:space="preserve">                           </w:t>
            </w:r>
          </w:p>
        </w:tc>
        <w:tc>
          <w:tcPr>
            <w:tcW w:w="6237" w:type="dxa"/>
            <w:hideMark/>
          </w:tcPr>
          <w:p w:rsidR="009938CE" w:rsidRPr="009938CE" w:rsidRDefault="009938CE" w:rsidP="009938CE">
            <w:pPr>
              <w:jc w:val="both"/>
              <w:rPr>
                <w:rFonts w:ascii="Arial" w:eastAsia="Calibri" w:hAnsi="Arial" w:cs="Arial"/>
                <w:color w:val="000000"/>
                <w:szCs w:val="24"/>
                <w:lang w:val="es-ES"/>
              </w:rPr>
            </w:pPr>
            <w:r w:rsidRPr="009938CE">
              <w:rPr>
                <w:rFonts w:ascii="Arial" w:eastAsia="Calibri" w:hAnsi="Arial" w:cs="Arial"/>
                <w:color w:val="000000"/>
                <w:szCs w:val="24"/>
                <w:lang w:val="es-ES"/>
              </w:rPr>
              <w:t>CONTRATACIÓN ESTATAL – Políticas horizontales / CONTRATACIÓN ESTATAL – Políticas horizontales – Incentivos contractuales / INCENTIVOS CONTRACTUALES – Empleabilidad de adultos mayores – Política horizontal – Criterio de desempate – Ley 2040 de 2020 / INCENTIVOS CONTRACTUALES – Empleabilidad de adultos mayores – Criterio de desempate – Necesidad del reglamento</w:t>
            </w:r>
          </w:p>
          <w:p w:rsidR="009938CE" w:rsidRPr="009938CE" w:rsidRDefault="009938CE" w:rsidP="009938CE">
            <w:pPr>
              <w:jc w:val="both"/>
              <w:rPr>
                <w:rFonts w:ascii="Arial" w:eastAsia="Calibri" w:hAnsi="Arial" w:cs="Arial"/>
                <w:color w:val="000000"/>
                <w:szCs w:val="24"/>
                <w:lang w:val="es-ES"/>
              </w:rPr>
            </w:pPr>
          </w:p>
          <w:p w:rsidR="009938CE" w:rsidRPr="009938CE" w:rsidRDefault="009938CE" w:rsidP="009938CE">
            <w:pPr>
              <w:jc w:val="both"/>
              <w:rPr>
                <w:rFonts w:ascii="Arial" w:eastAsia="Calibri" w:hAnsi="Arial" w:cs="Arial"/>
                <w:color w:val="000000"/>
                <w:szCs w:val="24"/>
                <w:lang w:val="es-ES"/>
              </w:rPr>
            </w:pPr>
          </w:p>
        </w:tc>
      </w:tr>
      <w:tr w:rsidR="009938CE" w:rsidRPr="009938CE" w:rsidTr="003B4E66">
        <w:trPr>
          <w:trHeight w:val="95"/>
        </w:trPr>
        <w:tc>
          <w:tcPr>
            <w:tcW w:w="2689" w:type="dxa"/>
          </w:tcPr>
          <w:p w:rsidR="009938CE" w:rsidRPr="009938CE" w:rsidRDefault="009938CE" w:rsidP="009938CE">
            <w:pPr>
              <w:spacing w:before="60"/>
              <w:rPr>
                <w:rFonts w:ascii="Arial" w:eastAsia="Calibri" w:hAnsi="Arial" w:cs="Arial"/>
                <w:b/>
                <w:color w:val="000000"/>
                <w:szCs w:val="24"/>
                <w:lang w:val="es-ES"/>
              </w:rPr>
            </w:pPr>
            <w:r w:rsidRPr="009938CE">
              <w:rPr>
                <w:rFonts w:ascii="Arial" w:eastAsia="Calibri" w:hAnsi="Arial" w:cs="Arial"/>
                <w:b/>
                <w:color w:val="000000"/>
                <w:szCs w:val="24"/>
                <w:lang w:val="es-ES"/>
              </w:rPr>
              <w:t>Radicación:</w:t>
            </w:r>
            <w:r w:rsidRPr="009938CE">
              <w:rPr>
                <w:rFonts w:ascii="Arial" w:eastAsia="Calibri" w:hAnsi="Arial" w:cs="Arial"/>
                <w:color w:val="000000"/>
                <w:szCs w:val="24"/>
                <w:lang w:val="es-ES"/>
              </w:rPr>
              <w:t xml:space="preserve">                              </w:t>
            </w:r>
          </w:p>
        </w:tc>
        <w:tc>
          <w:tcPr>
            <w:tcW w:w="6237" w:type="dxa"/>
          </w:tcPr>
          <w:p w:rsidR="009938CE" w:rsidRPr="009938CE" w:rsidRDefault="009938CE" w:rsidP="009938CE">
            <w:pPr>
              <w:spacing w:before="60"/>
              <w:jc w:val="both"/>
              <w:rPr>
                <w:rFonts w:ascii="Arial" w:eastAsia="Calibri" w:hAnsi="Arial" w:cs="Arial"/>
                <w:color w:val="000000"/>
                <w:szCs w:val="24"/>
                <w:lang w:val="es-ES"/>
              </w:rPr>
            </w:pPr>
            <w:r w:rsidRPr="009938CE">
              <w:rPr>
                <w:rFonts w:ascii="Arial" w:eastAsia="Calibri" w:hAnsi="Arial" w:cs="Arial"/>
                <w:color w:val="000000"/>
                <w:szCs w:val="24"/>
                <w:lang w:val="es-ES"/>
              </w:rPr>
              <w:t xml:space="preserve">Respuesta a consulta # </w:t>
            </w:r>
            <w:r w:rsidR="00F06B0C">
              <w:rPr>
                <w:rFonts w:ascii="Arial" w:eastAsia="Calibri" w:hAnsi="Arial" w:cs="Arial"/>
                <w:color w:val="000000"/>
                <w:szCs w:val="24"/>
              </w:rPr>
              <w:t>4202015</w:t>
            </w:r>
            <w:r w:rsidR="00E52B77">
              <w:rPr>
                <w:rFonts w:ascii="Arial" w:eastAsia="Calibri" w:hAnsi="Arial" w:cs="Arial"/>
                <w:color w:val="000000"/>
                <w:szCs w:val="24"/>
              </w:rPr>
              <w:t>0000072</w:t>
            </w:r>
            <w:r w:rsidRPr="009938CE">
              <w:rPr>
                <w:rFonts w:ascii="Arial" w:eastAsia="Calibri" w:hAnsi="Arial" w:cs="Arial"/>
                <w:color w:val="000000"/>
                <w:szCs w:val="24"/>
              </w:rPr>
              <w:t>17</w:t>
            </w:r>
          </w:p>
        </w:tc>
      </w:tr>
    </w:tbl>
    <w:p w:rsidR="009938CE" w:rsidRPr="009938CE" w:rsidRDefault="009938CE" w:rsidP="009938CE">
      <w:pPr>
        <w:spacing w:before="60" w:after="0" w:line="240" w:lineRule="auto"/>
        <w:jc w:val="both"/>
        <w:rPr>
          <w:rFonts w:ascii="Arial" w:eastAsia="Calibri" w:hAnsi="Arial" w:cs="Arial"/>
          <w:color w:val="000000"/>
          <w:sz w:val="24"/>
          <w:szCs w:val="24"/>
          <w:lang w:val="es-ES"/>
        </w:rPr>
      </w:pPr>
    </w:p>
    <w:p w:rsidR="009938CE" w:rsidRPr="00A70E75" w:rsidRDefault="009938CE" w:rsidP="009938CE">
      <w:pPr>
        <w:spacing w:after="0" w:line="240" w:lineRule="auto"/>
        <w:rPr>
          <w:rFonts w:ascii="Arial" w:eastAsia="Calibri" w:hAnsi="Arial" w:cs="Arial"/>
          <w:color w:val="000000"/>
          <w:lang w:val="es-ES"/>
        </w:rPr>
      </w:pPr>
      <w:r w:rsidRPr="00A70E75">
        <w:rPr>
          <w:rFonts w:ascii="Arial" w:eastAsia="Calibri" w:hAnsi="Arial" w:cs="Arial"/>
          <w:color w:val="000000"/>
          <w:lang w:val="es-ES"/>
        </w:rPr>
        <w:t>Estimad</w:t>
      </w:r>
      <w:r w:rsidR="005453F6" w:rsidRPr="00A70E75">
        <w:rPr>
          <w:rFonts w:ascii="Arial" w:eastAsia="Calibri" w:hAnsi="Arial" w:cs="Arial"/>
          <w:color w:val="000000"/>
          <w:lang w:val="es-ES"/>
        </w:rPr>
        <w:t>a</w:t>
      </w:r>
      <w:r w:rsidRPr="00A70E75">
        <w:rPr>
          <w:rFonts w:ascii="Arial" w:eastAsia="Calibri" w:hAnsi="Arial" w:cs="Arial"/>
          <w:color w:val="000000"/>
          <w:lang w:val="es-ES"/>
        </w:rPr>
        <w:t xml:space="preserve"> señor</w:t>
      </w:r>
      <w:r w:rsidR="005453F6" w:rsidRPr="00A70E75">
        <w:rPr>
          <w:rFonts w:ascii="Arial" w:eastAsia="Calibri" w:hAnsi="Arial" w:cs="Arial"/>
          <w:color w:val="000000"/>
          <w:lang w:val="es-ES"/>
        </w:rPr>
        <w:t>a</w:t>
      </w:r>
      <w:r w:rsidRPr="00A70E75">
        <w:rPr>
          <w:rFonts w:ascii="Arial" w:eastAsia="Calibri" w:hAnsi="Arial" w:cs="Arial"/>
          <w:color w:val="000000"/>
          <w:lang w:val="es-ES"/>
        </w:rPr>
        <w:t xml:space="preserve"> </w:t>
      </w:r>
      <w:r w:rsidR="005453F6" w:rsidRPr="00A70E75">
        <w:rPr>
          <w:rFonts w:ascii="Arial" w:eastAsia="Calibri" w:hAnsi="Arial" w:cs="Arial"/>
          <w:color w:val="000000"/>
          <w:lang w:val="es-ES"/>
        </w:rPr>
        <w:t>Cuella</w:t>
      </w:r>
      <w:r w:rsidR="00EF1F0E" w:rsidRPr="00A70E75">
        <w:rPr>
          <w:rFonts w:ascii="Arial" w:eastAsia="Calibri" w:hAnsi="Arial" w:cs="Arial"/>
          <w:color w:val="000000"/>
          <w:lang w:val="es-ES"/>
        </w:rPr>
        <w:t>r</w:t>
      </w:r>
      <w:r w:rsidRPr="00A70E75">
        <w:rPr>
          <w:rFonts w:ascii="Arial" w:eastAsia="Calibri" w:hAnsi="Arial" w:cs="Arial"/>
          <w:color w:val="000000"/>
          <w:lang w:val="es-ES"/>
        </w:rPr>
        <w:t>:</w:t>
      </w:r>
    </w:p>
    <w:p w:rsidR="009938CE" w:rsidRPr="00A70E75" w:rsidRDefault="009938CE" w:rsidP="009938CE">
      <w:pPr>
        <w:spacing w:after="0" w:line="240" w:lineRule="auto"/>
        <w:rPr>
          <w:rFonts w:ascii="Arial" w:eastAsia="Calibri" w:hAnsi="Arial" w:cs="Arial"/>
          <w:color w:val="000000"/>
          <w:lang w:val="es-ES"/>
        </w:rPr>
      </w:pPr>
    </w:p>
    <w:p w:rsidR="009938CE" w:rsidRPr="00A70E75" w:rsidRDefault="009938CE" w:rsidP="009938CE">
      <w:pPr>
        <w:spacing w:after="0" w:line="276" w:lineRule="auto"/>
        <w:jc w:val="both"/>
        <w:rPr>
          <w:rFonts w:ascii="Arial" w:eastAsia="Calibri" w:hAnsi="Arial" w:cs="Arial"/>
          <w:color w:val="000000"/>
          <w:lang w:val="es-ES"/>
        </w:rPr>
      </w:pPr>
      <w:r w:rsidRPr="00A70E75">
        <w:rPr>
          <w:rFonts w:ascii="Arial" w:eastAsia="Calibri" w:hAnsi="Arial" w:cs="Arial"/>
          <w:color w:val="000000"/>
          <w:lang w:val="es-ES"/>
        </w:rPr>
        <w:t xml:space="preserve">En ejercicio de la competencia otorgada por los artículos 11, numeral 8º, y 3º, numeral 5º, del Decreto Ley 4170 de 2011, la Agencia Nacional de Contratación Pública – Colombia Compra Eficiente responde su consulta del 21 de agosto de 2020. </w:t>
      </w:r>
    </w:p>
    <w:p w:rsidR="00EF1F0E" w:rsidRPr="00A70E75" w:rsidRDefault="00EF1F0E" w:rsidP="009938CE">
      <w:pPr>
        <w:spacing w:after="0" w:line="276" w:lineRule="auto"/>
        <w:jc w:val="both"/>
        <w:rPr>
          <w:rFonts w:ascii="Arial" w:eastAsia="Calibri" w:hAnsi="Arial" w:cs="Arial"/>
          <w:color w:val="000000"/>
          <w:lang w:val="es-ES"/>
        </w:rPr>
      </w:pPr>
    </w:p>
    <w:p w:rsidR="009938CE" w:rsidRPr="00A70E75" w:rsidRDefault="009938CE" w:rsidP="009938CE">
      <w:pPr>
        <w:numPr>
          <w:ilvl w:val="0"/>
          <w:numId w:val="1"/>
        </w:numPr>
        <w:tabs>
          <w:tab w:val="left" w:pos="284"/>
        </w:tabs>
        <w:spacing w:after="0" w:line="276" w:lineRule="auto"/>
        <w:ind w:left="0" w:firstLine="0"/>
        <w:contextualSpacing/>
        <w:jc w:val="both"/>
        <w:rPr>
          <w:rFonts w:ascii="Arial" w:eastAsia="Calibri" w:hAnsi="Arial" w:cs="Arial"/>
          <w:b/>
          <w:color w:val="000000"/>
          <w:lang w:val="es-ES"/>
        </w:rPr>
      </w:pPr>
      <w:r w:rsidRPr="00A70E75">
        <w:rPr>
          <w:rFonts w:ascii="Arial" w:eastAsia="Calibri" w:hAnsi="Arial" w:cs="Arial"/>
          <w:b/>
          <w:color w:val="000000"/>
          <w:lang w:val="es-ES"/>
        </w:rPr>
        <w:t xml:space="preserve">Problemas planteados </w:t>
      </w:r>
    </w:p>
    <w:p w:rsidR="009938CE" w:rsidRPr="00A70E75" w:rsidRDefault="009938CE" w:rsidP="009938CE">
      <w:pPr>
        <w:tabs>
          <w:tab w:val="left" w:pos="426"/>
        </w:tabs>
        <w:spacing w:after="0" w:line="276" w:lineRule="auto"/>
        <w:jc w:val="both"/>
        <w:rPr>
          <w:rFonts w:ascii="Arial" w:eastAsia="Calibri" w:hAnsi="Arial" w:cs="Arial"/>
          <w:b/>
          <w:color w:val="000000"/>
          <w:lang w:val="es-ES"/>
        </w:rPr>
      </w:pPr>
    </w:p>
    <w:p w:rsidR="009938CE" w:rsidRPr="00A70E75" w:rsidRDefault="009938CE" w:rsidP="009938CE">
      <w:pPr>
        <w:tabs>
          <w:tab w:val="left" w:pos="426"/>
        </w:tabs>
        <w:spacing w:after="0" w:line="276" w:lineRule="auto"/>
        <w:jc w:val="both"/>
        <w:rPr>
          <w:rFonts w:ascii="Arial" w:eastAsia="Calibri" w:hAnsi="Arial" w:cs="Arial"/>
          <w:color w:val="000000"/>
          <w:lang w:val="es-ES"/>
        </w:rPr>
      </w:pPr>
      <w:r w:rsidRPr="00A70E75">
        <w:rPr>
          <w:rFonts w:ascii="Arial" w:eastAsia="Calibri" w:hAnsi="Arial" w:cs="Arial"/>
          <w:color w:val="000000"/>
        </w:rPr>
        <w:t xml:space="preserve">Usted formula la siguiente pregunta: </w:t>
      </w:r>
      <w:r w:rsidRPr="00A70E75">
        <w:rPr>
          <w:rFonts w:ascii="Arial" w:eastAsia="Calibri" w:hAnsi="Arial" w:cs="Arial"/>
          <w:color w:val="000000"/>
          <w:lang w:val="es-ES"/>
        </w:rPr>
        <w:t>i)</w:t>
      </w:r>
      <w:r w:rsidRPr="00A70E75">
        <w:rPr>
          <w:rFonts w:ascii="Arial" w:eastAsia="Calibri" w:hAnsi="Arial" w:cs="Arial"/>
          <w:color w:val="000000"/>
        </w:rPr>
        <w:t xml:space="preserve"> ¿</w:t>
      </w:r>
      <w:r w:rsidRPr="00A70E75">
        <w:rPr>
          <w:rFonts w:ascii="Arial" w:eastAsia="Calibri" w:hAnsi="Arial" w:cs="Arial"/>
          <w:color w:val="000000"/>
          <w:lang w:val="es-ES"/>
        </w:rPr>
        <w:t>es posible hacer uso en la actualidad del criterio de desempate de que trata el artículo 3 de la Ley 2040 de 2020 o, por el contrario, resulta necesario esperar hasta su reglamentación por parte del Gobierno Nacional?</w:t>
      </w:r>
    </w:p>
    <w:p w:rsidR="009938CE" w:rsidRPr="00A70E75" w:rsidRDefault="009938CE" w:rsidP="009938CE">
      <w:pPr>
        <w:tabs>
          <w:tab w:val="left" w:pos="426"/>
        </w:tabs>
        <w:spacing w:after="0" w:line="276" w:lineRule="auto"/>
        <w:jc w:val="both"/>
        <w:rPr>
          <w:rFonts w:ascii="Arial" w:eastAsia="Calibri" w:hAnsi="Arial" w:cs="Arial"/>
          <w:color w:val="000000"/>
          <w:lang w:val="es-ES"/>
        </w:rPr>
      </w:pPr>
    </w:p>
    <w:p w:rsidR="009938CE" w:rsidRPr="00A70E75" w:rsidRDefault="009938CE" w:rsidP="009938CE">
      <w:pPr>
        <w:numPr>
          <w:ilvl w:val="0"/>
          <w:numId w:val="1"/>
        </w:numPr>
        <w:tabs>
          <w:tab w:val="left" w:pos="426"/>
        </w:tabs>
        <w:spacing w:after="0" w:line="276" w:lineRule="auto"/>
        <w:ind w:left="284" w:hanging="284"/>
        <w:contextualSpacing/>
        <w:jc w:val="both"/>
        <w:rPr>
          <w:rFonts w:ascii="Arial" w:eastAsia="Calibri" w:hAnsi="Arial" w:cs="Arial"/>
          <w:b/>
          <w:color w:val="000000"/>
          <w:lang w:val="es-ES"/>
        </w:rPr>
      </w:pPr>
      <w:r w:rsidRPr="00A70E75">
        <w:rPr>
          <w:rFonts w:ascii="Arial" w:eastAsia="Calibri" w:hAnsi="Arial" w:cs="Arial"/>
          <w:b/>
          <w:color w:val="000000"/>
          <w:lang w:val="es-ES"/>
        </w:rPr>
        <w:t>Consideraciones</w:t>
      </w:r>
    </w:p>
    <w:p w:rsidR="009938CE" w:rsidRPr="00A70E75" w:rsidRDefault="009938CE" w:rsidP="009938CE">
      <w:pPr>
        <w:tabs>
          <w:tab w:val="left" w:pos="426"/>
        </w:tabs>
        <w:spacing w:after="0" w:line="276" w:lineRule="auto"/>
        <w:jc w:val="both"/>
        <w:rPr>
          <w:rFonts w:ascii="Arial" w:eastAsia="Calibri" w:hAnsi="Arial" w:cs="Arial"/>
          <w:b/>
          <w:color w:val="000000"/>
          <w:lang w:val="es-ES"/>
        </w:rPr>
      </w:pPr>
    </w:p>
    <w:p w:rsidR="009938CE" w:rsidRPr="00A70E75" w:rsidRDefault="009938CE" w:rsidP="009938CE">
      <w:pPr>
        <w:tabs>
          <w:tab w:val="left" w:pos="426"/>
        </w:tabs>
        <w:spacing w:after="120" w:line="276" w:lineRule="auto"/>
        <w:jc w:val="both"/>
        <w:rPr>
          <w:rFonts w:ascii="Arial" w:eastAsia="Calibri" w:hAnsi="Arial" w:cs="Arial"/>
          <w:color w:val="000000"/>
          <w:lang w:val="es-ES"/>
        </w:rPr>
      </w:pPr>
      <w:r w:rsidRPr="00A70E75">
        <w:rPr>
          <w:rFonts w:ascii="Arial" w:eastAsia="Calibri" w:hAnsi="Arial" w:cs="Arial"/>
          <w:color w:val="000000"/>
          <w:lang w:val="es-ES"/>
        </w:rPr>
        <w:t>Para resolver el interrogante planteado en la consulta, hay que analizar las políticas horizontales en la contratación pública, los incentivos contractuales, los tipos de incentivos reconocidos por el ordenamiento y la nueva opción establecida en el artículo 3 de la Ley 2040 de 2020, que crea un incentivo y criterio de desempate en virtud del cual se preferirá al proponente que demuestre la vinculación del mayor porcentaje de personas mayores que no sean beneficiarios de la pensión de vejez, familiar o de sobrevivencia, y que hayan cumplido el requisito de edad de pensión establecido en la ley.</w:t>
      </w:r>
    </w:p>
    <w:p w:rsidR="009938CE" w:rsidRPr="00A70E75" w:rsidRDefault="009938CE" w:rsidP="009938CE">
      <w:pPr>
        <w:spacing w:after="120" w:line="276" w:lineRule="auto"/>
        <w:ind w:firstLine="708"/>
        <w:jc w:val="both"/>
        <w:rPr>
          <w:rFonts w:ascii="Arial" w:eastAsia="Calibri" w:hAnsi="Arial" w:cs="Arial"/>
          <w:color w:val="000000"/>
          <w:lang w:val="es-ES"/>
        </w:rPr>
      </w:pPr>
      <w:r w:rsidRPr="00A70E75">
        <w:rPr>
          <w:rFonts w:ascii="Arial" w:eastAsia="Calibri" w:hAnsi="Arial" w:cs="Arial"/>
          <w:color w:val="000000"/>
          <w:lang w:val="es-ES"/>
        </w:rPr>
        <w:t xml:space="preserve">La Agencia Nacional de Contratación Pública – Colombia Compra Eficiente se ha pronunciado sobre la promoción y el fomento de la industria nacional, como uno de los incentivos en materia contractual, en los conceptos C–043 de 15 del enero de 2020, C–029 de 12 del febrero de 2020, C–073 del 28 de febrero de 2020, C–123 del 5 de marzo de 2020, C–114 del 6 de marzo de 2020, C–178 del 16 de marzo de 2020, C–119 del 18 de marzo de 2020, y C–460 de 2020 del 14 de julio de 2020. </w:t>
      </w:r>
    </w:p>
    <w:p w:rsidR="009938CE" w:rsidRPr="00A70E75" w:rsidRDefault="009938CE" w:rsidP="009938CE">
      <w:pPr>
        <w:spacing w:after="120" w:line="276" w:lineRule="auto"/>
        <w:ind w:firstLine="708"/>
        <w:jc w:val="both"/>
        <w:rPr>
          <w:rFonts w:ascii="Arial" w:eastAsia="Calibri" w:hAnsi="Arial" w:cs="Arial"/>
          <w:lang w:val="es-ES"/>
        </w:rPr>
      </w:pPr>
      <w:r w:rsidRPr="00A70E75">
        <w:rPr>
          <w:rFonts w:ascii="Arial" w:eastAsia="Calibri" w:hAnsi="Arial" w:cs="Arial"/>
          <w:color w:val="000000"/>
          <w:lang w:val="es-ES"/>
        </w:rPr>
        <w:t xml:space="preserve">Asimismo, </w:t>
      </w:r>
      <w:r w:rsidRPr="00A70E75">
        <w:rPr>
          <w:rFonts w:ascii="Arial" w:eastAsia="Calibri" w:hAnsi="Arial" w:cs="Arial"/>
          <w:bCs/>
          <w:lang w:val="es-ES"/>
        </w:rPr>
        <w:t xml:space="preserve">en el concepto con radicado No. 4201912000004631 del 31 de julio de 2019, reiterado y desarrollado en los conceptos No. </w:t>
      </w:r>
      <w:r w:rsidRPr="00A70E75">
        <w:rPr>
          <w:rFonts w:ascii="Arial" w:eastAsia="Calibri" w:hAnsi="Arial" w:cs="Arial"/>
          <w:lang w:val="es-ES"/>
        </w:rPr>
        <w:t xml:space="preserve">4201913000005084 del 23 de julio de 2019, 4201913000004446 del 13 de agosto de 2019, 4201912000005689 del 16 de septiembre de 2019, </w:t>
      </w:r>
      <w:r w:rsidRPr="00A70E75">
        <w:rPr>
          <w:rFonts w:ascii="Arial" w:eastAsia="Times New Roman" w:hAnsi="Arial" w:cs="Arial"/>
          <w:lang w:val="es-ES"/>
        </w:rPr>
        <w:t>4201913000006373 del 18 de septiembre de 2019,</w:t>
      </w:r>
      <w:r w:rsidRPr="00A70E75">
        <w:rPr>
          <w:rFonts w:ascii="Arial" w:eastAsia="Calibri" w:hAnsi="Arial" w:cs="Arial"/>
          <w:lang w:val="es-ES"/>
        </w:rPr>
        <w:t xml:space="preserve"> 4201913000006154 del 10 de octubre de 2019, 4201912000006258 del 3 de octubre de 2019, </w:t>
      </w:r>
      <w:r w:rsidRPr="00A70E75">
        <w:rPr>
          <w:rFonts w:ascii="Arial" w:eastAsia="Times New Roman" w:hAnsi="Arial" w:cs="Arial"/>
          <w:lang w:val="es-ES"/>
        </w:rPr>
        <w:t>4201912000007756 del 16 de noviembre de 2019,</w:t>
      </w:r>
      <w:r w:rsidRPr="00A70E75">
        <w:rPr>
          <w:rFonts w:ascii="Arial" w:eastAsia="Calibri" w:hAnsi="Arial" w:cs="Arial"/>
          <w:lang w:val="es-ES"/>
        </w:rPr>
        <w:t xml:space="preserve"> 4201913000007151 del 2 de diciembre de 2019, C–019 del 14 de enero de 2020, C–030 del 28 de enero de 2020, C–026 del 11 de febrero de 2020, C–063 del 24 de febrero de 2020, C–119 del 18 de marzo de 2020, C–137 del 26 de marzo de 2020 y C–196 del 8 de abril de 2020, estudió los requisitos para acreditar la vinculación de personas en condición de discapacidad en la planta de personal, con la finalidad de obtener el incentivo previsto en el Decreto 392 de 2018.</w:t>
      </w:r>
    </w:p>
    <w:p w:rsidR="009938CE" w:rsidRPr="00A70E75" w:rsidRDefault="009938CE" w:rsidP="009938CE">
      <w:pPr>
        <w:spacing w:after="0" w:line="276" w:lineRule="auto"/>
        <w:ind w:firstLine="709"/>
        <w:jc w:val="both"/>
        <w:rPr>
          <w:rFonts w:ascii="Arial" w:eastAsia="Calibri" w:hAnsi="Arial" w:cs="Arial"/>
          <w:color w:val="000000"/>
          <w:lang w:val="es-ES"/>
        </w:rPr>
      </w:pPr>
      <w:r w:rsidRPr="00A70E75">
        <w:rPr>
          <w:rFonts w:ascii="Arial" w:eastAsia="Calibri" w:hAnsi="Arial" w:cs="Arial"/>
          <w:color w:val="000000"/>
          <w:lang w:val="es-ES"/>
        </w:rPr>
        <w:t xml:space="preserve">Por último, esta Agencia ha estudiado los incentivos en materia de Mipymes en los conceptos del 5 y el 20 de agosto de 2019 –radicados Nos. 2201913000005596 y 2201913000006007–, y recientemente en los conceptos CU–021 del 21 de febrero de 2020, C–050 del 25 de febrero de 2020, C–058 del 25 de febrero de 2018, , C–092 del 4 de marzo de 2020, C–083 del 11 de marzo de 2020, C–045 del 17 de marzo de 2020, C–197 del 26 de marzo de 2020, C–258 del 17 de abril de 2020, C–214 del 21 de abril de 2020, C–302 del 12 de junio de 2020 y C–482 del 27 de julio de 2020. </w:t>
      </w:r>
    </w:p>
    <w:p w:rsidR="009938CE" w:rsidRPr="00A70E75" w:rsidRDefault="009938CE" w:rsidP="009938CE">
      <w:pPr>
        <w:tabs>
          <w:tab w:val="left" w:pos="426"/>
        </w:tabs>
        <w:spacing w:after="0" w:line="276" w:lineRule="auto"/>
        <w:jc w:val="both"/>
        <w:rPr>
          <w:rFonts w:ascii="Arial" w:eastAsia="Calibri" w:hAnsi="Arial" w:cs="Arial"/>
          <w:b/>
          <w:color w:val="000000"/>
          <w:lang w:val="es-ES"/>
        </w:rPr>
      </w:pPr>
    </w:p>
    <w:p w:rsidR="009938CE" w:rsidRPr="00A70E75" w:rsidRDefault="009938CE" w:rsidP="009938CE">
      <w:pPr>
        <w:tabs>
          <w:tab w:val="left" w:pos="426"/>
        </w:tabs>
        <w:spacing w:after="0" w:line="276" w:lineRule="auto"/>
        <w:jc w:val="both"/>
        <w:rPr>
          <w:rFonts w:ascii="Arial" w:eastAsia="Calibri" w:hAnsi="Arial" w:cs="Arial"/>
          <w:b/>
          <w:color w:val="000000"/>
          <w:lang w:val="es-ES"/>
        </w:rPr>
      </w:pPr>
      <w:r w:rsidRPr="00A70E75">
        <w:rPr>
          <w:rFonts w:ascii="Arial" w:eastAsia="Calibri" w:hAnsi="Arial" w:cs="Arial"/>
          <w:b/>
          <w:color w:val="000000"/>
          <w:lang w:val="es-ES"/>
        </w:rPr>
        <w:t>2.1. Políticas horizontales e incentivos contractuales</w:t>
      </w:r>
    </w:p>
    <w:p w:rsidR="009938CE" w:rsidRPr="00A70E75" w:rsidRDefault="009938CE" w:rsidP="009938CE">
      <w:pPr>
        <w:tabs>
          <w:tab w:val="left" w:pos="426"/>
        </w:tabs>
        <w:spacing w:after="0" w:line="276" w:lineRule="auto"/>
        <w:jc w:val="both"/>
        <w:rPr>
          <w:rFonts w:ascii="Arial" w:eastAsia="Calibri" w:hAnsi="Arial" w:cs="Arial"/>
          <w:b/>
          <w:color w:val="000000"/>
          <w:lang w:val="es-ES"/>
        </w:rPr>
      </w:pPr>
    </w:p>
    <w:p w:rsidR="009938CE" w:rsidRPr="00A70E75" w:rsidRDefault="009938CE" w:rsidP="009938CE">
      <w:pPr>
        <w:tabs>
          <w:tab w:val="left" w:pos="426"/>
        </w:tabs>
        <w:spacing w:after="120" w:line="276" w:lineRule="auto"/>
        <w:jc w:val="both"/>
        <w:rPr>
          <w:rFonts w:ascii="Arial" w:eastAsia="Calibri" w:hAnsi="Arial" w:cs="Arial"/>
          <w:color w:val="000000"/>
          <w:lang w:val="es-ES"/>
        </w:rPr>
      </w:pPr>
      <w:r w:rsidRPr="00A70E75">
        <w:rPr>
          <w:rFonts w:ascii="Arial" w:eastAsia="Calibri" w:hAnsi="Arial" w:cs="Arial"/>
          <w:color w:val="000000"/>
          <w:lang w:val="es-ES"/>
        </w:rPr>
        <w:t xml:space="preserve">La contratación pública puede utilizarse como un mecanismo para promover condiciones de trabajo equitativas, el desarrollo económico, oportunidades económicas para los </w:t>
      </w:r>
      <w:r w:rsidRPr="00A70E75">
        <w:rPr>
          <w:rFonts w:ascii="Arial" w:eastAsia="Calibri" w:hAnsi="Arial" w:cs="Arial"/>
          <w:color w:val="000000"/>
          <w:lang w:val="es-ES"/>
        </w:rPr>
        <w:lastRenderedPageBreak/>
        <w:t>sectores de la población o las regiones más vulnerables dentro del territorio nacional y para promover la adquisición, de acuerdo con criterios de sostenibilidad ambiental</w:t>
      </w:r>
      <w:r w:rsidRPr="00A70E75">
        <w:rPr>
          <w:rFonts w:ascii="Arial" w:eastAsia="Calibri" w:hAnsi="Arial" w:cs="Arial"/>
          <w:color w:val="000000"/>
          <w:vertAlign w:val="superscript"/>
          <w:lang w:val="es-ES"/>
        </w:rPr>
        <w:footnoteReference w:id="1"/>
      </w:r>
      <w:r w:rsidRPr="00A70E75">
        <w:rPr>
          <w:rFonts w:ascii="Arial" w:eastAsia="Calibri" w:hAnsi="Arial" w:cs="Arial"/>
          <w:color w:val="000000"/>
          <w:lang w:val="es-ES"/>
        </w:rPr>
        <w:t>.</w:t>
      </w:r>
    </w:p>
    <w:p w:rsidR="009938CE" w:rsidRPr="00A70E75" w:rsidRDefault="009938CE" w:rsidP="009938CE">
      <w:pPr>
        <w:tabs>
          <w:tab w:val="left" w:pos="426"/>
        </w:tabs>
        <w:spacing w:after="120" w:line="276" w:lineRule="auto"/>
        <w:ind w:firstLine="709"/>
        <w:jc w:val="both"/>
        <w:rPr>
          <w:rFonts w:ascii="Arial" w:eastAsia="Calibri" w:hAnsi="Arial" w:cs="Arial"/>
          <w:color w:val="000000"/>
          <w:lang w:val="es-ES"/>
        </w:rPr>
      </w:pPr>
      <w:r w:rsidRPr="00A70E75">
        <w:rPr>
          <w:rFonts w:ascii="Arial" w:eastAsia="Calibri" w:hAnsi="Arial" w:cs="Arial"/>
          <w:color w:val="000000"/>
          <w:lang w:val="es-ES"/>
        </w:rPr>
        <w:t>Estas finalidades reciben diferentes nombres en los diversos contextos en los que s utilizan, algunos recurren al nombre de políticas secundarias, finalidades paralelas, o políticas colaterales u horizontales en materia de contratación</w:t>
      </w:r>
      <w:r w:rsidRPr="00A70E75">
        <w:rPr>
          <w:rFonts w:ascii="Arial" w:eastAsia="Calibri" w:hAnsi="Arial" w:cs="Arial"/>
          <w:color w:val="000000"/>
          <w:vertAlign w:val="superscript"/>
          <w:lang w:val="es-ES"/>
        </w:rPr>
        <w:footnoteReference w:id="2"/>
      </w:r>
      <w:r w:rsidRPr="00A70E75">
        <w:rPr>
          <w:rFonts w:ascii="Arial" w:eastAsia="Calibri" w:hAnsi="Arial" w:cs="Arial"/>
          <w:color w:val="000000"/>
          <w:lang w:val="es-ES"/>
        </w:rPr>
        <w:t xml:space="preserve">. El concepto de política o finalidad horizontal o colateral pretende subrayar que se trata de políticas no subordinadas o inferiores, sino que acompañan la finalidad principal de la contratación estatal, que es, de conformidad con el artículo 3º de la Ley 80 de 1993, «el cumplimiento de los fines estatales, la continua y eficiente prestación de los servicios públicos y la efectividad de los derechos e intereses de los administrados que colaboran con ellas en la consecución de dichos fines». </w:t>
      </w:r>
    </w:p>
    <w:p w:rsidR="009938CE" w:rsidRPr="00A70E75" w:rsidRDefault="009938CE" w:rsidP="009938CE">
      <w:pPr>
        <w:tabs>
          <w:tab w:val="left" w:pos="426"/>
        </w:tabs>
        <w:spacing w:after="120" w:line="276" w:lineRule="auto"/>
        <w:ind w:firstLine="709"/>
        <w:jc w:val="both"/>
        <w:rPr>
          <w:rFonts w:ascii="Arial" w:eastAsia="Calibri" w:hAnsi="Arial" w:cs="Arial"/>
          <w:color w:val="000000"/>
          <w:lang w:val="es-ES"/>
        </w:rPr>
      </w:pPr>
      <w:r w:rsidRPr="00A70E75">
        <w:rPr>
          <w:rFonts w:ascii="Arial" w:eastAsia="Calibri" w:hAnsi="Arial" w:cs="Arial"/>
          <w:color w:val="000000"/>
          <w:lang w:val="es-ES"/>
        </w:rPr>
        <w:t>Existen diversos tipos de políticas o medidas, algunas buscan, simplemente, que se cumplan los parámetros mínimos legales, y otras buscan incentivar ciertos comportamientos para generar beneficios sociales, económicos o ambientales. De igual manera, estas políticas pueden concretarse a través de diferentes medios, por ejemplo: establecer reservas de ciertos contratos para cierto grupo de la población, otorgar puntos adicionales como criterio de ponderación, establecer obligaciones contractuales aplicables a quien sea que resulte adjudicatario, o como criterio de desempate, entre otras</w:t>
      </w:r>
      <w:r w:rsidRPr="00A70E75">
        <w:rPr>
          <w:rFonts w:ascii="Arial" w:eastAsia="Calibri" w:hAnsi="Arial" w:cs="Arial"/>
          <w:color w:val="000000"/>
          <w:vertAlign w:val="superscript"/>
          <w:lang w:val="es-ES"/>
        </w:rPr>
        <w:footnoteReference w:id="3"/>
      </w:r>
      <w:r w:rsidRPr="00A70E75">
        <w:rPr>
          <w:rFonts w:ascii="Arial" w:eastAsia="Calibri" w:hAnsi="Arial" w:cs="Arial"/>
          <w:color w:val="000000"/>
          <w:lang w:val="es-ES"/>
        </w:rPr>
        <w:t xml:space="preserve">. </w:t>
      </w:r>
    </w:p>
    <w:p w:rsidR="009938CE" w:rsidRPr="00A70E75" w:rsidRDefault="009938CE" w:rsidP="009938CE">
      <w:pPr>
        <w:tabs>
          <w:tab w:val="left" w:pos="709"/>
        </w:tabs>
        <w:spacing w:after="120" w:line="276" w:lineRule="auto"/>
        <w:jc w:val="both"/>
        <w:rPr>
          <w:rFonts w:ascii="Arial" w:eastAsia="Calibri" w:hAnsi="Arial" w:cs="Arial"/>
          <w:color w:val="000000"/>
          <w:lang w:val="es-ES"/>
        </w:rPr>
      </w:pPr>
      <w:r w:rsidRPr="00A70E75">
        <w:rPr>
          <w:rFonts w:ascii="Arial" w:eastAsia="Calibri" w:hAnsi="Arial" w:cs="Arial"/>
          <w:color w:val="000000"/>
          <w:lang w:val="es-ES"/>
        </w:rPr>
        <w:tab/>
        <w:t>Para la cabal comprensión, es necesario distinguir entre «política horizontal» e «incentivo contractual». La política horizontal, como se dijo,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w:t>
      </w:r>
      <w:r w:rsidRPr="00A70E75">
        <w:rPr>
          <w:rFonts w:ascii="Arial" w:eastAsia="Calibri" w:hAnsi="Arial" w:cs="Arial"/>
          <w:color w:val="000000"/>
          <w:vertAlign w:val="superscript"/>
          <w:lang w:val="es-ES"/>
        </w:rPr>
        <w:footnoteReference w:id="4"/>
      </w:r>
      <w:r w:rsidRPr="00A70E75">
        <w:rPr>
          <w:rFonts w:ascii="Arial" w:eastAsia="Calibri" w:hAnsi="Arial" w:cs="Arial"/>
          <w:color w:val="000000"/>
          <w:lang w:val="es-ES"/>
        </w:rPr>
        <w:t xml:space="preserve">, como es el caso, se reitera, de los criterios de desempate, puntaje adicional o convocatorias reservadas.  </w:t>
      </w:r>
    </w:p>
    <w:p w:rsidR="009938CE" w:rsidRPr="00A70E75" w:rsidRDefault="009938CE" w:rsidP="009938CE">
      <w:pPr>
        <w:tabs>
          <w:tab w:val="left" w:pos="709"/>
        </w:tabs>
        <w:spacing w:after="0" w:line="276" w:lineRule="auto"/>
        <w:jc w:val="both"/>
        <w:rPr>
          <w:rFonts w:ascii="Arial" w:eastAsia="Calibri" w:hAnsi="Arial" w:cs="Arial"/>
          <w:color w:val="000000"/>
          <w:lang w:val="es-ES"/>
        </w:rPr>
      </w:pPr>
      <w:r w:rsidRPr="00A70E75">
        <w:rPr>
          <w:rFonts w:ascii="Arial" w:eastAsia="Calibri" w:hAnsi="Arial" w:cs="Arial"/>
          <w:color w:val="000000"/>
          <w:lang w:val="es-ES"/>
        </w:rPr>
        <w:tab/>
        <w:t xml:space="preserve">Sobre este punto, interesa decir que la adopción de medidas tendientes a satisfacer necesidades adicionales, o políticas horizontales, no puede contrariar las disposiciones normativas que admiten su implementación. Por esa razón: </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lastRenderedPageBreak/>
        <w:t>[…] Es indispensable garantizar la consagración de premisas que irradien las nociones propias de los principios de igualdad, transparencia, economía y moralidad en todas las decisiones discrecionales que la Administración llegue a adoptar por medio de las facultades que le han sido otorgadas por el legislador para avalar la satisfacción de su intención primaria</w:t>
      </w:r>
      <w:r w:rsidRPr="009938CE">
        <w:rPr>
          <w:rFonts w:ascii="Arial" w:eastAsia="Calibri" w:hAnsi="Arial" w:cs="Arial"/>
          <w:color w:val="000000"/>
          <w:sz w:val="21"/>
          <w:szCs w:val="21"/>
          <w:vertAlign w:val="superscript"/>
          <w:lang w:val="es-ES"/>
        </w:rPr>
        <w:footnoteReference w:id="5"/>
      </w:r>
      <w:r w:rsidRPr="009938CE">
        <w:rPr>
          <w:rFonts w:ascii="Arial" w:eastAsia="Calibri" w:hAnsi="Arial" w:cs="Arial"/>
          <w:color w:val="000000"/>
          <w:sz w:val="21"/>
          <w:szCs w:val="21"/>
          <w:lang w:val="es-ES"/>
        </w:rPr>
        <w:t>.</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A70E75" w:rsidRDefault="009938CE" w:rsidP="009938CE">
      <w:pPr>
        <w:tabs>
          <w:tab w:val="left" w:pos="709"/>
        </w:tabs>
        <w:spacing w:after="120" w:line="276" w:lineRule="auto"/>
        <w:jc w:val="both"/>
        <w:rPr>
          <w:rFonts w:ascii="Arial" w:eastAsia="Calibri" w:hAnsi="Arial" w:cs="Arial"/>
          <w:color w:val="000000"/>
          <w:lang w:val="es-ES"/>
        </w:rPr>
      </w:pPr>
      <w:r w:rsidRPr="009938CE">
        <w:rPr>
          <w:rFonts w:ascii="Arial" w:eastAsia="Calibri" w:hAnsi="Arial" w:cs="Arial"/>
          <w:color w:val="000000"/>
          <w:sz w:val="24"/>
          <w:szCs w:val="24"/>
          <w:lang w:val="es-ES"/>
        </w:rPr>
        <w:tab/>
      </w:r>
      <w:r w:rsidRPr="00A70E75">
        <w:rPr>
          <w:rFonts w:ascii="Arial" w:eastAsia="Calibri" w:hAnsi="Arial" w:cs="Arial"/>
          <w:color w:val="000000"/>
          <w:lang w:val="es-ES"/>
        </w:rPr>
        <w:t xml:space="preserve">En otras palabras, no puede haber contradicción entre la satisfacción de la intención primaria, los principios de la función administrativa, y la búsqueda de beneficios sociales, económicos o sociales para ciertos sectores de la población. </w:t>
      </w:r>
    </w:p>
    <w:p w:rsidR="009938CE" w:rsidRPr="00A70E75" w:rsidRDefault="009938CE" w:rsidP="009938CE">
      <w:pPr>
        <w:tabs>
          <w:tab w:val="left" w:pos="709"/>
        </w:tabs>
        <w:spacing w:after="120" w:line="276" w:lineRule="auto"/>
        <w:jc w:val="both"/>
        <w:rPr>
          <w:rFonts w:ascii="Arial" w:eastAsia="Calibri" w:hAnsi="Arial" w:cs="Arial"/>
          <w:color w:val="000000"/>
          <w:lang w:val="es-ES"/>
        </w:rPr>
      </w:pPr>
      <w:r w:rsidRPr="00A70E75">
        <w:rPr>
          <w:rFonts w:ascii="Arial" w:eastAsia="Calibri" w:hAnsi="Arial" w:cs="Arial"/>
          <w:color w:val="000000"/>
          <w:lang w:val="es-ES"/>
        </w:rPr>
        <w:tab/>
        <w:t xml:space="preserve">A continuación se expondrán, brevemente, algunos casos de «políticas horizontales», así como los incentivos utilizados para materializarlas en el ordenamiento colombiano, que preexisten la expedición de la Ley 2040 de 2020. </w:t>
      </w:r>
    </w:p>
    <w:p w:rsidR="009938CE" w:rsidRPr="00A70E75" w:rsidRDefault="009938CE" w:rsidP="009938CE">
      <w:pPr>
        <w:spacing w:after="0" w:line="276" w:lineRule="auto"/>
        <w:ind w:firstLine="709"/>
        <w:jc w:val="both"/>
        <w:rPr>
          <w:rFonts w:ascii="Arial" w:eastAsia="Times New Roman" w:hAnsi="Arial" w:cs="Arial"/>
          <w:color w:val="000000"/>
          <w:lang w:val="es-ES"/>
        </w:rPr>
      </w:pPr>
      <w:r w:rsidRPr="00A70E75">
        <w:rPr>
          <w:rFonts w:ascii="Arial" w:eastAsia="Times New Roman" w:hAnsi="Arial" w:cs="Arial"/>
          <w:color w:val="000000"/>
          <w:lang w:val="es-ES"/>
        </w:rPr>
        <w:t xml:space="preserve">Respecto de la promoción de la industria nacional, el artículo 1 de la Ley 816 de 2003 establece la obligatoriedad, para las entidades de la Administración pública, de adoptar criterios objetivos que permitan apoyar a la industria nacional. Este artículo dispone: </w:t>
      </w:r>
    </w:p>
    <w:p w:rsidR="009938CE" w:rsidRPr="009938CE" w:rsidRDefault="009938CE" w:rsidP="009938CE">
      <w:pPr>
        <w:spacing w:after="0" w:line="240" w:lineRule="auto"/>
        <w:ind w:left="709" w:right="709"/>
        <w:jc w:val="both"/>
        <w:rPr>
          <w:rFonts w:ascii="Arial" w:eastAsia="Times New Roman" w:hAnsi="Arial" w:cs="Arial"/>
          <w:color w:val="000000"/>
          <w:sz w:val="21"/>
          <w:szCs w:val="21"/>
          <w:lang w:val="es-ES"/>
        </w:rPr>
      </w:pPr>
    </w:p>
    <w:p w:rsidR="009938CE" w:rsidRPr="009938CE" w:rsidRDefault="009938CE" w:rsidP="009938CE">
      <w:pPr>
        <w:spacing w:after="0" w:line="240" w:lineRule="auto"/>
        <w:ind w:left="709" w:right="709"/>
        <w:jc w:val="both"/>
        <w:rPr>
          <w:rFonts w:ascii="Arial" w:eastAsia="Times New Roman" w:hAnsi="Arial" w:cs="Arial"/>
          <w:color w:val="000000"/>
          <w:sz w:val="24"/>
          <w:szCs w:val="24"/>
          <w:lang w:val="es-ES"/>
        </w:rPr>
      </w:pPr>
      <w:r w:rsidRPr="009938CE">
        <w:rPr>
          <w:rFonts w:ascii="Arial" w:eastAsia="Times New Roman" w:hAnsi="Arial" w:cs="Arial"/>
          <w:color w:val="000000"/>
          <w:sz w:val="21"/>
          <w:szCs w:val="21"/>
          <w:lang w:val="es-ES"/>
        </w:rPr>
        <w:t>Artículo 1. 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9938CE">
        <w:rPr>
          <w:rFonts w:ascii="Arial" w:eastAsia="Times New Roman" w:hAnsi="Arial" w:cs="Arial"/>
          <w:iCs/>
          <w:color w:val="000000"/>
          <w:sz w:val="21"/>
          <w:szCs w:val="21"/>
          <w:lang w:val="es-ES"/>
        </w:rPr>
        <w:t> </w:t>
      </w:r>
      <w:r w:rsidRPr="009938CE">
        <w:rPr>
          <w:rFonts w:ascii="Arial" w:eastAsia="Times New Roman" w:hAnsi="Arial" w:cs="Arial"/>
          <w:color w:val="000000"/>
          <w:sz w:val="21"/>
          <w:szCs w:val="21"/>
          <w:lang w:val="es-ES"/>
        </w:rPr>
        <w:t>no obligue a solicitar más de una propuesta, adoptarán criterios objetivos que permitan apoyar a la industria nacional</w:t>
      </w:r>
      <w:r w:rsidRPr="009938CE">
        <w:rPr>
          <w:rFonts w:ascii="Arial" w:eastAsia="Times New Roman" w:hAnsi="Arial" w:cs="Arial"/>
          <w:color w:val="000000"/>
          <w:sz w:val="24"/>
          <w:szCs w:val="24"/>
          <w:lang w:val="es-ES"/>
        </w:rPr>
        <w:t xml:space="preserve">. </w:t>
      </w:r>
    </w:p>
    <w:p w:rsidR="009938CE" w:rsidRPr="009938CE" w:rsidRDefault="009938CE" w:rsidP="009938CE">
      <w:pPr>
        <w:spacing w:after="0" w:line="276" w:lineRule="auto"/>
        <w:ind w:right="709"/>
        <w:jc w:val="both"/>
        <w:rPr>
          <w:rFonts w:ascii="Arial" w:eastAsia="Times New Roman" w:hAnsi="Arial" w:cs="Arial"/>
          <w:color w:val="000000"/>
          <w:sz w:val="24"/>
          <w:szCs w:val="24"/>
          <w:lang w:val="es-ES"/>
        </w:rPr>
      </w:pPr>
    </w:p>
    <w:p w:rsidR="009938CE" w:rsidRPr="00A70E75" w:rsidRDefault="009938CE" w:rsidP="009938CE">
      <w:pPr>
        <w:spacing w:after="0" w:line="276" w:lineRule="auto"/>
        <w:ind w:firstLine="709"/>
        <w:jc w:val="both"/>
        <w:rPr>
          <w:rFonts w:ascii="Arial" w:eastAsia="Times New Roman" w:hAnsi="Arial" w:cs="Arial"/>
          <w:color w:val="000000"/>
          <w:lang w:val="es-ES"/>
        </w:rPr>
      </w:pPr>
      <w:r w:rsidRPr="00A70E75">
        <w:rPr>
          <w:rFonts w:ascii="Arial" w:eastAsia="Times New Roman" w:hAnsi="Arial" w:cs="Arial"/>
          <w:color w:val="000000"/>
          <w:lang w:val="es-ES"/>
        </w:rPr>
        <w:t xml:space="preserve">Además, el artículo 2 de la misma ley, de forma expresa, determina el puntaje que las entidades deben incluir dentro de los criterios de calificación de las propuestas para promover la industria colombiana: </w:t>
      </w:r>
    </w:p>
    <w:p w:rsidR="009938CE" w:rsidRPr="009938CE" w:rsidRDefault="009938CE" w:rsidP="009938CE">
      <w:pPr>
        <w:spacing w:after="0" w:line="240" w:lineRule="auto"/>
        <w:jc w:val="both"/>
        <w:rPr>
          <w:rFonts w:ascii="Arial" w:eastAsia="Times New Roman" w:hAnsi="Arial" w:cs="Arial"/>
          <w:color w:val="000000"/>
          <w:sz w:val="24"/>
          <w:szCs w:val="24"/>
          <w:lang w:val="es-ES"/>
        </w:rPr>
      </w:pPr>
    </w:p>
    <w:p w:rsidR="009938CE" w:rsidRPr="009938CE" w:rsidRDefault="009938CE" w:rsidP="009938CE">
      <w:pPr>
        <w:spacing w:after="0" w:line="240" w:lineRule="auto"/>
        <w:ind w:left="709" w:right="709"/>
        <w:jc w:val="both"/>
        <w:rPr>
          <w:rFonts w:ascii="Arial" w:eastAsia="Times New Roman" w:hAnsi="Arial" w:cs="Arial"/>
          <w:color w:val="000000"/>
          <w:sz w:val="21"/>
          <w:szCs w:val="21"/>
          <w:lang w:val="es-ES"/>
        </w:rPr>
      </w:pPr>
      <w:r w:rsidRPr="009938CE">
        <w:rPr>
          <w:rFonts w:ascii="Arial" w:eastAsia="Times New Roman" w:hAnsi="Arial" w:cs="Arial"/>
          <w:color w:val="000000"/>
          <w:sz w:val="21"/>
          <w:szCs w:val="21"/>
          <w:lang w:val="es-ES"/>
        </w:rPr>
        <w:t xml:space="preserve">Artículo 2. Las entidades de que trata el artículo 1º asignarán, dentro de los criterios de calificación de las propuestas, un puntaje comprendido entre el diez </w:t>
      </w:r>
      <w:r w:rsidRPr="009938CE">
        <w:rPr>
          <w:rFonts w:ascii="Arial" w:eastAsia="Times New Roman" w:hAnsi="Arial" w:cs="Arial"/>
          <w:color w:val="000000"/>
          <w:sz w:val="24"/>
          <w:szCs w:val="24"/>
          <w:lang w:val="es-ES"/>
        </w:rPr>
        <w:t>[</w:t>
      </w:r>
      <w:r w:rsidRPr="009938CE">
        <w:rPr>
          <w:rFonts w:ascii="Arial" w:eastAsia="Times New Roman" w:hAnsi="Arial" w:cs="Arial"/>
          <w:color w:val="000000"/>
          <w:sz w:val="21"/>
          <w:szCs w:val="21"/>
          <w:lang w:val="es-ES"/>
        </w:rPr>
        <w:t>10</w:t>
      </w:r>
      <w:r w:rsidRPr="009938CE">
        <w:rPr>
          <w:rFonts w:ascii="Arial" w:eastAsia="Times New Roman" w:hAnsi="Arial" w:cs="Arial"/>
          <w:color w:val="000000"/>
          <w:sz w:val="24"/>
          <w:szCs w:val="24"/>
          <w:lang w:val="es-ES"/>
        </w:rPr>
        <w:t>]</w:t>
      </w:r>
      <w:r w:rsidRPr="009938CE">
        <w:rPr>
          <w:rFonts w:ascii="Arial" w:eastAsia="Times New Roman" w:hAnsi="Arial" w:cs="Arial"/>
          <w:color w:val="000000"/>
          <w:sz w:val="21"/>
          <w:szCs w:val="21"/>
          <w:lang w:val="es-ES"/>
        </w:rPr>
        <w:t xml:space="preserve"> y el veinte por ciento </w:t>
      </w:r>
      <w:r w:rsidRPr="009938CE">
        <w:rPr>
          <w:rFonts w:ascii="Arial" w:eastAsia="Times New Roman" w:hAnsi="Arial" w:cs="Arial"/>
          <w:color w:val="000000"/>
          <w:sz w:val="24"/>
          <w:szCs w:val="24"/>
          <w:lang w:val="es-ES"/>
        </w:rPr>
        <w:t>[</w:t>
      </w:r>
      <w:r w:rsidRPr="009938CE">
        <w:rPr>
          <w:rFonts w:ascii="Arial" w:eastAsia="Times New Roman" w:hAnsi="Arial" w:cs="Arial"/>
          <w:color w:val="000000"/>
          <w:sz w:val="21"/>
          <w:szCs w:val="21"/>
          <w:lang w:val="es-ES"/>
        </w:rPr>
        <w:t>20%</w:t>
      </w:r>
      <w:r w:rsidRPr="009938CE">
        <w:rPr>
          <w:rFonts w:ascii="Arial" w:eastAsia="Times New Roman" w:hAnsi="Arial" w:cs="Arial"/>
          <w:color w:val="000000"/>
          <w:sz w:val="24"/>
          <w:szCs w:val="24"/>
          <w:lang w:val="es-ES"/>
        </w:rPr>
        <w:t>]</w:t>
      </w:r>
      <w:r w:rsidRPr="009938CE">
        <w:rPr>
          <w:rFonts w:ascii="Arial" w:eastAsia="Times New Roman" w:hAnsi="Arial" w:cs="Arial"/>
          <w:color w:val="000000"/>
          <w:sz w:val="21"/>
          <w:szCs w:val="21"/>
          <w:lang w:val="es-ES"/>
        </w:rPr>
        <w:t>, para estimular la industria colombiana cuando los proponentes oferten bienes o servicios nacionales.</w:t>
      </w:r>
    </w:p>
    <w:p w:rsidR="009938CE" w:rsidRPr="009938CE" w:rsidRDefault="009938CE" w:rsidP="009938CE">
      <w:pPr>
        <w:spacing w:after="0" w:line="240" w:lineRule="auto"/>
        <w:ind w:left="709" w:right="709"/>
        <w:jc w:val="both"/>
        <w:rPr>
          <w:rFonts w:ascii="Arial" w:eastAsia="Times New Roman" w:hAnsi="Arial" w:cs="Arial"/>
          <w:color w:val="000000"/>
          <w:sz w:val="21"/>
          <w:szCs w:val="21"/>
          <w:lang w:val="es-ES"/>
        </w:rPr>
      </w:pPr>
    </w:p>
    <w:p w:rsidR="009938CE" w:rsidRPr="009938CE" w:rsidRDefault="009938CE" w:rsidP="009938CE">
      <w:pPr>
        <w:spacing w:after="0" w:line="240" w:lineRule="auto"/>
        <w:ind w:left="709" w:right="709"/>
        <w:jc w:val="both"/>
        <w:rPr>
          <w:rFonts w:ascii="Arial" w:eastAsia="Times New Roman" w:hAnsi="Arial" w:cs="Arial"/>
          <w:color w:val="000000"/>
          <w:sz w:val="24"/>
          <w:szCs w:val="24"/>
          <w:lang w:val="es-ES"/>
        </w:rPr>
      </w:pPr>
      <w:r w:rsidRPr="009938CE">
        <w:rPr>
          <w:rFonts w:ascii="Arial" w:eastAsia="Times New Roman" w:hAnsi="Arial" w:cs="Arial"/>
          <w:color w:val="000000"/>
          <w:sz w:val="21"/>
          <w:szCs w:val="21"/>
          <w:lang w:val="es-ES"/>
        </w:rPr>
        <w:t xml:space="preserve">Tratándose de bienes o servicios extranjeros, la entidad contratante establecerá un puntaje comprendido entre el cinco </w:t>
      </w:r>
      <w:r w:rsidRPr="009938CE">
        <w:rPr>
          <w:rFonts w:ascii="Arial" w:eastAsia="Times New Roman" w:hAnsi="Arial" w:cs="Arial"/>
          <w:color w:val="000000"/>
          <w:sz w:val="24"/>
          <w:szCs w:val="24"/>
          <w:lang w:val="es-ES"/>
        </w:rPr>
        <w:t>[</w:t>
      </w:r>
      <w:r w:rsidRPr="009938CE">
        <w:rPr>
          <w:rFonts w:ascii="Arial" w:eastAsia="Times New Roman" w:hAnsi="Arial" w:cs="Arial"/>
          <w:color w:val="000000"/>
          <w:sz w:val="21"/>
          <w:szCs w:val="21"/>
          <w:lang w:val="es-ES"/>
        </w:rPr>
        <w:t>5</w:t>
      </w:r>
      <w:r w:rsidRPr="009938CE">
        <w:rPr>
          <w:rFonts w:ascii="Arial" w:eastAsia="Times New Roman" w:hAnsi="Arial" w:cs="Arial"/>
          <w:color w:val="000000"/>
          <w:sz w:val="24"/>
          <w:szCs w:val="24"/>
          <w:lang w:val="es-ES"/>
        </w:rPr>
        <w:t>]</w:t>
      </w:r>
      <w:r w:rsidRPr="009938CE">
        <w:rPr>
          <w:rFonts w:ascii="Arial" w:eastAsia="Times New Roman" w:hAnsi="Arial" w:cs="Arial"/>
          <w:color w:val="000000"/>
          <w:sz w:val="21"/>
          <w:szCs w:val="21"/>
          <w:lang w:val="es-ES"/>
        </w:rPr>
        <w:t xml:space="preserve"> y el quince por ciento </w:t>
      </w:r>
      <w:r w:rsidRPr="009938CE">
        <w:rPr>
          <w:rFonts w:ascii="Arial" w:eastAsia="Times New Roman" w:hAnsi="Arial" w:cs="Arial"/>
          <w:color w:val="000000"/>
          <w:sz w:val="24"/>
          <w:szCs w:val="24"/>
          <w:lang w:val="es-ES"/>
        </w:rPr>
        <w:t>[</w:t>
      </w:r>
      <w:r w:rsidRPr="009938CE">
        <w:rPr>
          <w:rFonts w:ascii="Arial" w:eastAsia="Times New Roman" w:hAnsi="Arial" w:cs="Arial"/>
          <w:color w:val="000000"/>
          <w:sz w:val="21"/>
          <w:szCs w:val="21"/>
          <w:lang w:val="es-ES"/>
        </w:rPr>
        <w:t>15%</w:t>
      </w:r>
      <w:r w:rsidRPr="009938CE">
        <w:rPr>
          <w:rFonts w:ascii="Arial" w:eastAsia="Times New Roman" w:hAnsi="Arial" w:cs="Arial"/>
          <w:color w:val="000000"/>
          <w:sz w:val="24"/>
          <w:szCs w:val="24"/>
          <w:lang w:val="es-ES"/>
        </w:rPr>
        <w:t>]</w:t>
      </w:r>
      <w:r w:rsidRPr="009938CE">
        <w:rPr>
          <w:rFonts w:ascii="Arial" w:eastAsia="Times New Roman" w:hAnsi="Arial" w:cs="Arial"/>
          <w:color w:val="000000"/>
          <w:sz w:val="21"/>
          <w:szCs w:val="21"/>
          <w:lang w:val="es-ES"/>
        </w:rPr>
        <w:t>, para incentivar la incorporación de componente colombiano de bienes y servicios profesionales, técnicos y operativos</w:t>
      </w:r>
      <w:r w:rsidRPr="009938CE">
        <w:rPr>
          <w:rFonts w:ascii="Arial" w:eastAsia="Times New Roman" w:hAnsi="Arial" w:cs="Arial"/>
          <w:color w:val="000000"/>
          <w:sz w:val="24"/>
          <w:szCs w:val="24"/>
          <w:lang w:val="es-ES"/>
        </w:rPr>
        <w:t>.</w:t>
      </w:r>
    </w:p>
    <w:p w:rsidR="009938CE" w:rsidRPr="009938CE" w:rsidRDefault="009938CE" w:rsidP="009938CE">
      <w:pPr>
        <w:spacing w:after="0" w:line="240" w:lineRule="auto"/>
        <w:jc w:val="both"/>
        <w:rPr>
          <w:rFonts w:ascii="Arial" w:eastAsia="Times New Roman" w:hAnsi="Arial" w:cs="Arial"/>
          <w:color w:val="000000"/>
          <w:sz w:val="24"/>
          <w:szCs w:val="24"/>
          <w:lang w:val="es-ES"/>
        </w:rPr>
      </w:pPr>
    </w:p>
    <w:p w:rsidR="009938CE" w:rsidRPr="00A70E75" w:rsidRDefault="009938CE" w:rsidP="009938CE">
      <w:pPr>
        <w:spacing w:after="120" w:line="276" w:lineRule="auto"/>
        <w:ind w:firstLine="709"/>
        <w:jc w:val="both"/>
        <w:rPr>
          <w:rFonts w:ascii="Arial" w:eastAsia="Times New Roman" w:hAnsi="Arial" w:cs="Arial"/>
          <w:color w:val="000000"/>
          <w:lang w:val="es-ES"/>
        </w:rPr>
      </w:pPr>
      <w:r w:rsidRPr="00A70E75">
        <w:rPr>
          <w:rFonts w:ascii="Arial" w:eastAsia="Times New Roman" w:hAnsi="Arial" w:cs="Arial"/>
          <w:color w:val="000000"/>
          <w:lang w:val="es-ES"/>
        </w:rPr>
        <w:t xml:space="preserve">De esta manera, la norma establece dos supuestos para asignar puntaje. Por un lado, se encuentran los proponentes que oferten bienes o servicios nacionales y los proponentes que tienen trato nacional producto de los acuerdos comerciales suscritos por </w:t>
      </w:r>
      <w:r w:rsidRPr="00A70E75">
        <w:rPr>
          <w:rFonts w:ascii="Arial" w:eastAsia="Times New Roman" w:hAnsi="Arial" w:cs="Arial"/>
          <w:color w:val="000000"/>
          <w:lang w:val="es-ES"/>
        </w:rPr>
        <w:lastRenderedPageBreak/>
        <w:t>Colombia con otros Estados</w:t>
      </w:r>
      <w:r w:rsidRPr="00A70E75">
        <w:rPr>
          <w:rFonts w:ascii="Arial" w:eastAsia="Times New Roman" w:hAnsi="Arial" w:cs="Arial"/>
          <w:color w:val="000000"/>
          <w:vertAlign w:val="superscript"/>
          <w:lang w:val="es-ES"/>
        </w:rPr>
        <w:footnoteReference w:id="6"/>
      </w:r>
      <w:r w:rsidRPr="00A70E75">
        <w:rPr>
          <w:rFonts w:ascii="Arial" w:eastAsia="Times New Roman" w:hAnsi="Arial" w:cs="Arial"/>
          <w:color w:val="000000"/>
          <w:lang w:val="es-ES"/>
        </w:rPr>
        <w:t xml:space="preserve">. Por otro lado están los proponentes extranjeros que no tengan trato nacional y oferten la incorporación de componente colombiano de bienes o servicios. </w:t>
      </w:r>
    </w:p>
    <w:p w:rsidR="009938CE" w:rsidRPr="00A70E75" w:rsidRDefault="009938CE" w:rsidP="009938CE">
      <w:pPr>
        <w:spacing w:after="120" w:line="276" w:lineRule="auto"/>
        <w:ind w:firstLine="709"/>
        <w:jc w:val="both"/>
        <w:rPr>
          <w:rFonts w:ascii="Arial" w:eastAsia="Times New Roman" w:hAnsi="Arial" w:cs="Arial"/>
          <w:color w:val="000000"/>
          <w:lang w:val="es-ES"/>
        </w:rPr>
      </w:pPr>
      <w:r w:rsidRPr="00A70E75">
        <w:rPr>
          <w:rFonts w:ascii="Arial" w:eastAsia="Times New Roman" w:hAnsi="Arial" w:cs="Arial"/>
          <w:color w:val="000000"/>
          <w:lang w:val="es-ES"/>
        </w:rPr>
        <w:t>Asimismo, el Decreto 1082 de 2015 definió los «Servicios Nacionales» como aquellos prestados por personas naturales colombianas o residentes en Colombia, o por personas jurídicas constituidas en Colombia conforme a lo previsto en las disposiciones de la legislación colombiana</w:t>
      </w:r>
      <w:r w:rsidRPr="00A70E75">
        <w:rPr>
          <w:rFonts w:ascii="Arial" w:eastAsia="Times New Roman" w:hAnsi="Arial" w:cs="Arial"/>
          <w:color w:val="000000"/>
          <w:vertAlign w:val="superscript"/>
          <w:lang w:val="es-ES"/>
        </w:rPr>
        <w:footnoteReference w:id="7"/>
      </w:r>
      <w:r w:rsidRPr="00A70E75">
        <w:rPr>
          <w:rFonts w:ascii="Arial" w:eastAsia="Times New Roman" w:hAnsi="Arial" w:cs="Arial"/>
          <w:color w:val="000000"/>
          <w:lang w:val="es-ES"/>
        </w:rPr>
        <w:t xml:space="preserve">. </w:t>
      </w:r>
    </w:p>
    <w:p w:rsidR="009938CE" w:rsidRPr="00A70E75" w:rsidRDefault="009938CE" w:rsidP="009938CE">
      <w:pPr>
        <w:spacing w:after="0" w:line="276" w:lineRule="auto"/>
        <w:ind w:firstLine="709"/>
        <w:jc w:val="both"/>
        <w:rPr>
          <w:rFonts w:ascii="Arial" w:eastAsia="Times New Roman" w:hAnsi="Arial" w:cs="Arial"/>
          <w:lang w:val="es-ES"/>
        </w:rPr>
      </w:pPr>
      <w:r w:rsidRPr="00A70E75">
        <w:rPr>
          <w:rFonts w:ascii="Arial" w:eastAsia="Times New Roman" w:hAnsi="Arial" w:cs="Arial"/>
          <w:color w:val="000000"/>
          <w:lang w:val="es-ES"/>
        </w:rPr>
        <w:t xml:space="preserve">De otra parte, </w:t>
      </w:r>
      <w:r w:rsidRPr="00A70E75">
        <w:rPr>
          <w:rFonts w:ascii="Arial" w:eastAsia="Times New Roman" w:hAnsi="Arial" w:cs="Arial"/>
          <w:lang w:val="es-ES"/>
        </w:rPr>
        <w:t>la Ley 1618 de 2013 estableció disposiciones para garantizar el ejercicio de los derechos de personas en condición de discapacidad</w:t>
      </w:r>
      <w:r w:rsidRPr="00A70E75">
        <w:rPr>
          <w:rFonts w:ascii="Arial" w:eastAsia="Times New Roman" w:hAnsi="Arial" w:cs="Arial"/>
          <w:vertAlign w:val="superscript"/>
          <w:lang w:val="es-ES"/>
        </w:rPr>
        <w:footnoteReference w:id="8"/>
      </w:r>
      <w:r w:rsidRPr="00A70E75">
        <w:rPr>
          <w:rFonts w:ascii="Arial" w:eastAsia="Times New Roman" w:hAnsi="Arial" w:cs="Arial"/>
          <w:lang w:val="es-ES"/>
        </w:rPr>
        <w:t xml:space="preserve">. El artículo 13 </w:t>
      </w:r>
      <w:r w:rsidRPr="00A70E75">
        <w:rPr>
          <w:rFonts w:ascii="Arial" w:eastAsia="Times New Roman" w:hAnsi="Arial" w:cs="Arial"/>
          <w:i/>
          <w:iCs/>
          <w:lang w:val="es-ES"/>
        </w:rPr>
        <w:t xml:space="preserve">ibídem </w:t>
      </w:r>
      <w:r w:rsidRPr="00A70E75">
        <w:rPr>
          <w:rFonts w:ascii="Arial" w:eastAsia="Times New Roman" w:hAnsi="Arial" w:cs="Arial"/>
          <w:lang w:val="es-ES"/>
        </w:rPr>
        <w:t>ordenó al Gobierno Nacional expedir un reglamento que determinara la metodología mediante la cual se otorgaría el puntaje adicional a las empresas que en su planta de personal cuenten con personal en situación de discapacidad:</w:t>
      </w:r>
    </w:p>
    <w:p w:rsidR="009938CE" w:rsidRPr="009938CE" w:rsidRDefault="009938CE" w:rsidP="009938CE">
      <w:pPr>
        <w:spacing w:after="0" w:line="240" w:lineRule="auto"/>
        <w:jc w:val="both"/>
        <w:rPr>
          <w:rFonts w:ascii="Arial" w:eastAsia="Times New Roman" w:hAnsi="Arial" w:cs="Arial"/>
          <w:sz w:val="24"/>
          <w:szCs w:val="24"/>
          <w:lang w:val="es-ES"/>
        </w:rPr>
      </w:pPr>
    </w:p>
    <w:p w:rsidR="009938CE" w:rsidRPr="009938CE" w:rsidRDefault="009938CE" w:rsidP="009938CE">
      <w:pPr>
        <w:spacing w:after="0" w:line="240" w:lineRule="auto"/>
        <w:ind w:left="709" w:right="709"/>
        <w:jc w:val="both"/>
        <w:rPr>
          <w:rFonts w:ascii="Arial" w:eastAsia="Times New Roman" w:hAnsi="Arial" w:cs="Arial"/>
          <w:sz w:val="21"/>
          <w:szCs w:val="21"/>
          <w:lang w:val="es-ES"/>
        </w:rPr>
      </w:pPr>
      <w:r w:rsidRPr="009938CE">
        <w:rPr>
          <w:rFonts w:ascii="Arial" w:eastAsia="Times New Roman" w:hAnsi="Arial" w:cs="Arial"/>
          <w:sz w:val="21"/>
          <w:szCs w:val="21"/>
          <w:lang w:val="es-ES"/>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rsidR="009938CE" w:rsidRPr="009938CE" w:rsidRDefault="009938CE" w:rsidP="009938CE">
      <w:pPr>
        <w:spacing w:after="0" w:line="240" w:lineRule="auto"/>
        <w:ind w:left="709" w:right="709"/>
        <w:jc w:val="both"/>
        <w:rPr>
          <w:rFonts w:ascii="Arial" w:eastAsia="Times New Roman" w:hAnsi="Arial" w:cs="Arial"/>
          <w:sz w:val="21"/>
          <w:szCs w:val="21"/>
          <w:lang w:val="es-ES"/>
        </w:rPr>
      </w:pPr>
    </w:p>
    <w:p w:rsidR="009938CE" w:rsidRPr="009938CE" w:rsidRDefault="009938CE" w:rsidP="009938CE">
      <w:pPr>
        <w:spacing w:after="0" w:line="240" w:lineRule="auto"/>
        <w:ind w:left="709" w:right="709"/>
        <w:jc w:val="both"/>
        <w:rPr>
          <w:rFonts w:ascii="Arial" w:eastAsia="Times New Roman" w:hAnsi="Arial" w:cs="Arial"/>
          <w:sz w:val="21"/>
          <w:szCs w:val="21"/>
          <w:lang w:val="es-ES"/>
        </w:rPr>
      </w:pPr>
      <w:r w:rsidRPr="009938CE">
        <w:rPr>
          <w:rFonts w:ascii="Arial" w:eastAsia="Times New Roman" w:hAnsi="Arial" w:cs="Arial"/>
          <w:sz w:val="21"/>
          <w:szCs w:val="21"/>
          <w:lang w:val="es-ES"/>
        </w:rPr>
        <w:t xml:space="preserve">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w:t>
      </w:r>
      <w:r w:rsidRPr="009938CE">
        <w:rPr>
          <w:rFonts w:ascii="Arial" w:eastAsia="Times New Roman" w:hAnsi="Arial" w:cs="Arial"/>
          <w:sz w:val="21"/>
          <w:szCs w:val="21"/>
          <w:lang w:val="es-ES"/>
        </w:rPr>
        <w:lastRenderedPageBreak/>
        <w:t>discapacidad contratadas con todas las exigencias y garantías legalmente establecidas, y para las empresas de personas con discapacidad, familiares y tutores.</w:t>
      </w:r>
    </w:p>
    <w:p w:rsidR="009938CE" w:rsidRPr="009938CE" w:rsidRDefault="009938CE" w:rsidP="009938CE">
      <w:pPr>
        <w:spacing w:after="0" w:line="240" w:lineRule="auto"/>
        <w:ind w:left="709" w:right="709"/>
        <w:jc w:val="both"/>
        <w:rPr>
          <w:rFonts w:ascii="Arial" w:eastAsia="Times New Roman" w:hAnsi="Arial" w:cs="Arial"/>
          <w:sz w:val="21"/>
          <w:szCs w:val="21"/>
          <w:lang w:val="es-ES"/>
        </w:rPr>
      </w:pPr>
      <w:r w:rsidRPr="009938CE">
        <w:rPr>
          <w:rFonts w:ascii="Arial" w:eastAsia="Times New Roman" w:hAnsi="Arial" w:cs="Arial"/>
          <w:sz w:val="21"/>
          <w:szCs w:val="21"/>
          <w:lang w:val="es-ES"/>
        </w:rPr>
        <w:t>[…]</w:t>
      </w:r>
    </w:p>
    <w:p w:rsidR="009938CE" w:rsidRPr="009938CE" w:rsidRDefault="009938CE" w:rsidP="009938CE">
      <w:pPr>
        <w:spacing w:after="0" w:line="240" w:lineRule="auto"/>
        <w:ind w:left="709" w:right="709"/>
        <w:jc w:val="both"/>
        <w:rPr>
          <w:rFonts w:ascii="Arial" w:eastAsia="Times New Roman" w:hAnsi="Arial" w:cs="Arial"/>
          <w:sz w:val="21"/>
          <w:szCs w:val="21"/>
          <w:lang w:val="es-ES"/>
        </w:rPr>
      </w:pPr>
    </w:p>
    <w:p w:rsidR="009938CE" w:rsidRPr="009938CE" w:rsidRDefault="009938CE" w:rsidP="009938CE">
      <w:pPr>
        <w:spacing w:after="0" w:line="240" w:lineRule="auto"/>
        <w:ind w:left="708" w:right="709"/>
        <w:jc w:val="both"/>
        <w:rPr>
          <w:rFonts w:ascii="Arial" w:eastAsia="Times New Roman" w:hAnsi="Arial" w:cs="Arial"/>
          <w:sz w:val="21"/>
          <w:szCs w:val="21"/>
          <w:lang w:val="es-ES"/>
        </w:rPr>
      </w:pPr>
      <w:r w:rsidRPr="009938CE">
        <w:rPr>
          <w:rFonts w:ascii="Arial" w:eastAsia="Times New Roman" w:hAnsi="Arial" w:cs="Arial"/>
          <w:sz w:val="21"/>
          <w:szCs w:val="21"/>
          <w:lang w:val="es-ES"/>
        </w:rPr>
        <w:t>8. Los gobiernos nacional, departamentales, distritales y municipales, deberán fijar mediante decreto reglamentario, en los procesos de selección de los contratistas y proveedores, un sistema de preferencias a favor de las personas con discapacidad.</w:t>
      </w:r>
    </w:p>
    <w:p w:rsidR="009938CE" w:rsidRPr="009938CE" w:rsidRDefault="009938CE" w:rsidP="009938CE">
      <w:pPr>
        <w:spacing w:after="0" w:line="240" w:lineRule="auto"/>
        <w:ind w:left="708" w:right="709"/>
        <w:jc w:val="both"/>
        <w:rPr>
          <w:rFonts w:ascii="Arial" w:eastAsia="Times New Roman" w:hAnsi="Arial" w:cs="Arial"/>
          <w:sz w:val="21"/>
          <w:szCs w:val="21"/>
          <w:lang w:val="es-ES"/>
        </w:rPr>
      </w:pPr>
    </w:p>
    <w:p w:rsidR="009938CE" w:rsidRPr="00A70E75" w:rsidRDefault="009938CE" w:rsidP="009938CE">
      <w:pPr>
        <w:spacing w:after="120" w:line="276" w:lineRule="auto"/>
        <w:ind w:firstLine="708"/>
        <w:jc w:val="both"/>
        <w:rPr>
          <w:rFonts w:ascii="Arial" w:eastAsia="Times New Roman" w:hAnsi="Arial" w:cs="Arial"/>
          <w:lang w:val="es-ES"/>
        </w:rPr>
      </w:pPr>
      <w:r w:rsidRPr="00A70E75">
        <w:rPr>
          <w:rFonts w:ascii="Arial" w:eastAsia="Times New Roman" w:hAnsi="Arial" w:cs="Arial"/>
          <w:lang w:val="es-ES"/>
        </w:rPr>
        <w:t xml:space="preserve">Como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compilado en el Decreto 1082 de 2015, obliga a las entidades a otorgar un puntaje adicional en los procesos de selección de contratistas del Estado, en las modalidades de licitación pública y concurso de méritos, a quienes acrediten que al menos el diez por ciento (10%) de su nómina la integran personas en situación de discapacidad. </w:t>
      </w:r>
    </w:p>
    <w:p w:rsidR="009938CE" w:rsidRPr="00A70E75" w:rsidRDefault="009938CE" w:rsidP="009938CE">
      <w:pPr>
        <w:spacing w:after="120" w:line="276" w:lineRule="auto"/>
        <w:ind w:firstLine="709"/>
        <w:jc w:val="both"/>
        <w:rPr>
          <w:rFonts w:ascii="Arial" w:eastAsia="Times New Roman" w:hAnsi="Arial" w:cs="Arial"/>
          <w:color w:val="000000"/>
          <w:lang w:val="es-ES"/>
        </w:rPr>
      </w:pPr>
      <w:r w:rsidRPr="00A70E75">
        <w:rPr>
          <w:rFonts w:ascii="Arial" w:eastAsia="Times New Roman" w:hAnsi="Arial" w:cs="Arial"/>
          <w:color w:val="000000"/>
          <w:lang w:val="es-ES"/>
        </w:rPr>
        <w:t>Finalmente, el articulo 12 la Ley 1150 de 2007, modificado por el artículo 32 de la Ley 1450 de 2011, estableció las convocatorias limitadas a Mipymes en contratación pública, en los siguientes términos:</w:t>
      </w:r>
    </w:p>
    <w:p w:rsidR="009938CE" w:rsidRPr="009938CE" w:rsidRDefault="009938CE" w:rsidP="009938CE">
      <w:pPr>
        <w:spacing w:after="0" w:line="240" w:lineRule="auto"/>
        <w:jc w:val="both"/>
        <w:rPr>
          <w:rFonts w:ascii="Arial" w:eastAsia="Times New Roman" w:hAnsi="Arial" w:cs="Arial"/>
          <w:color w:val="000000"/>
          <w:sz w:val="24"/>
          <w:szCs w:val="24"/>
          <w:lang w:val="es-ES"/>
        </w:rPr>
      </w:pPr>
    </w:p>
    <w:p w:rsidR="009938CE" w:rsidRPr="009938CE" w:rsidRDefault="009938CE" w:rsidP="009938CE">
      <w:pPr>
        <w:spacing w:after="0" w:line="240" w:lineRule="auto"/>
        <w:ind w:left="709" w:right="709"/>
        <w:jc w:val="both"/>
        <w:rPr>
          <w:rFonts w:ascii="Arial" w:eastAsia="Times New Roman" w:hAnsi="Arial" w:cs="Arial"/>
          <w:color w:val="000000"/>
          <w:sz w:val="21"/>
          <w:szCs w:val="21"/>
          <w:lang w:val="es-ES"/>
        </w:rPr>
      </w:pPr>
      <w:r w:rsidRPr="009938CE">
        <w:rPr>
          <w:rFonts w:ascii="Arial" w:eastAsia="Times New Roman" w:hAnsi="Arial" w:cs="Arial"/>
          <w:color w:val="000000"/>
          <w:sz w:val="21"/>
          <w:szCs w:val="21"/>
          <w:lang w:val="es-ES"/>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9938CE">
        <w:rPr>
          <w:rFonts w:ascii="Arial" w:eastAsia="Times New Roman" w:hAnsi="Arial" w:cs="Arial"/>
          <w:i/>
          <w:iCs/>
          <w:color w:val="000000"/>
          <w:sz w:val="21"/>
          <w:szCs w:val="21"/>
          <w:lang w:val="es-ES"/>
        </w:rPr>
        <w:t xml:space="preserve">las entidades estatales adopten en beneficio de las Mipymes, convocatorias limitadas a estas en las que, previo a la Resolución de apertura del proceso respectivo, se haya manifestado el interés del número plural de Mipymes que haya sido determinado en el reglamento </w:t>
      </w:r>
      <w:r w:rsidRPr="009938CE">
        <w:rPr>
          <w:rFonts w:ascii="Arial" w:eastAsia="Times New Roman" w:hAnsi="Arial" w:cs="Arial"/>
          <w:color w:val="000000"/>
          <w:sz w:val="21"/>
          <w:szCs w:val="21"/>
          <w:lang w:val="es-ES"/>
        </w:rPr>
        <w:t>[…] (Cursivas fuera de texto).</w:t>
      </w:r>
    </w:p>
    <w:p w:rsidR="009938CE" w:rsidRPr="009938CE" w:rsidRDefault="009938CE" w:rsidP="009938CE">
      <w:pPr>
        <w:spacing w:after="0" w:line="240" w:lineRule="auto"/>
        <w:ind w:left="709" w:right="709"/>
        <w:jc w:val="both"/>
        <w:rPr>
          <w:rFonts w:ascii="Arial" w:eastAsia="Times New Roman" w:hAnsi="Arial" w:cs="Arial"/>
          <w:color w:val="000000"/>
          <w:sz w:val="24"/>
          <w:szCs w:val="24"/>
          <w:lang w:val="es-ES"/>
        </w:rPr>
      </w:pPr>
    </w:p>
    <w:p w:rsidR="009938CE" w:rsidRPr="00A70E75" w:rsidRDefault="009938CE" w:rsidP="009938CE">
      <w:pPr>
        <w:spacing w:after="0" w:line="276" w:lineRule="auto"/>
        <w:ind w:firstLine="709"/>
        <w:jc w:val="both"/>
        <w:rPr>
          <w:rFonts w:ascii="Arial" w:eastAsia="Times New Roman" w:hAnsi="Arial" w:cs="Arial"/>
          <w:color w:val="000000"/>
          <w:lang w:val="es-ES"/>
        </w:rPr>
      </w:pPr>
      <w:r w:rsidRPr="00A70E75">
        <w:rPr>
          <w:rFonts w:ascii="Arial" w:eastAsia="Times New Roman" w:hAnsi="Arial" w:cs="Arial"/>
          <w:color w:val="000000"/>
          <w:lang w:val="es-ES"/>
        </w:rPr>
        <w:t>El Decreto 1082 de 2015 reglamentó la norma transcrita, adoptando medidas para incentivar a las Mipymes en la contratación pública. Dentro de estas medidas se destacan las «convocatorias limitadas a Mipymes» y la «limitación territorial» a Mipymes, contenidas, respectivamente, en los artículos 2.2.1.2.4.2.2. y 2.2.1.2.4.2.3. Este último dice lo siguiente:</w:t>
      </w:r>
    </w:p>
    <w:p w:rsidR="009938CE" w:rsidRPr="009938CE" w:rsidRDefault="009938CE" w:rsidP="009938CE">
      <w:pPr>
        <w:spacing w:after="0" w:line="240" w:lineRule="auto"/>
        <w:ind w:firstLine="709"/>
        <w:jc w:val="both"/>
        <w:rPr>
          <w:rFonts w:ascii="Arial" w:eastAsia="Times New Roman" w:hAnsi="Arial" w:cs="Arial"/>
          <w:color w:val="000000"/>
          <w:sz w:val="24"/>
          <w:szCs w:val="24"/>
          <w:lang w:val="es-ES"/>
        </w:rPr>
      </w:pPr>
    </w:p>
    <w:p w:rsidR="009938CE" w:rsidRPr="009938CE" w:rsidRDefault="009938CE" w:rsidP="009938CE">
      <w:pPr>
        <w:spacing w:after="0" w:line="240" w:lineRule="auto"/>
        <w:ind w:left="709" w:right="760"/>
        <w:jc w:val="both"/>
        <w:rPr>
          <w:rFonts w:ascii="Arial" w:eastAsia="Times New Roman" w:hAnsi="Arial" w:cs="Arial"/>
          <w:color w:val="000000"/>
          <w:sz w:val="21"/>
          <w:szCs w:val="21"/>
          <w:lang w:val="es-ES"/>
        </w:rPr>
      </w:pPr>
      <w:r w:rsidRPr="009938CE">
        <w:rPr>
          <w:rFonts w:ascii="Arial" w:eastAsia="Times New Roman" w:hAnsi="Arial" w:cs="Arial"/>
          <w:color w:val="000000"/>
          <w:sz w:val="21"/>
          <w:szCs w:val="21"/>
          <w:lang w:val="es-ES"/>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w:t>
      </w:r>
    </w:p>
    <w:p w:rsidR="009938CE" w:rsidRPr="009938CE" w:rsidRDefault="009938CE" w:rsidP="009938CE">
      <w:pPr>
        <w:spacing w:after="0" w:line="240" w:lineRule="auto"/>
        <w:ind w:left="709" w:right="760"/>
        <w:jc w:val="both"/>
        <w:rPr>
          <w:rFonts w:ascii="Arial" w:eastAsia="Times New Roman" w:hAnsi="Arial" w:cs="Arial"/>
          <w:color w:val="000000"/>
          <w:sz w:val="21"/>
          <w:szCs w:val="21"/>
          <w:lang w:val="es-ES"/>
        </w:rPr>
      </w:pPr>
    </w:p>
    <w:p w:rsidR="009938CE" w:rsidRPr="00A70E75" w:rsidRDefault="009938CE" w:rsidP="009938CE">
      <w:pPr>
        <w:spacing w:after="0" w:line="240" w:lineRule="auto"/>
        <w:ind w:right="760"/>
        <w:jc w:val="both"/>
        <w:rPr>
          <w:rFonts w:ascii="Arial" w:eastAsia="Times New Roman" w:hAnsi="Arial" w:cs="Arial"/>
          <w:color w:val="000000"/>
          <w:lang w:val="es-ES"/>
        </w:rPr>
      </w:pPr>
      <w:r w:rsidRPr="00A70E75">
        <w:rPr>
          <w:rFonts w:ascii="Arial" w:eastAsia="Times New Roman" w:hAnsi="Arial" w:cs="Arial"/>
          <w:color w:val="000000"/>
          <w:lang w:val="es-ES"/>
        </w:rPr>
        <w:t>El artículo 2.2.1.2.4.2.2., por su parte, dispone que:</w:t>
      </w:r>
    </w:p>
    <w:p w:rsidR="009938CE" w:rsidRPr="009938CE" w:rsidRDefault="009938CE" w:rsidP="009938CE">
      <w:pPr>
        <w:spacing w:after="0" w:line="240" w:lineRule="auto"/>
        <w:ind w:left="709" w:right="760"/>
        <w:jc w:val="both"/>
        <w:rPr>
          <w:rFonts w:ascii="Arial" w:eastAsia="Times New Roman" w:hAnsi="Arial" w:cs="Arial"/>
          <w:color w:val="000000"/>
          <w:sz w:val="21"/>
          <w:szCs w:val="21"/>
          <w:lang w:val="es-ES"/>
        </w:rPr>
      </w:pPr>
    </w:p>
    <w:p w:rsidR="009938CE" w:rsidRPr="009938CE" w:rsidRDefault="009938CE" w:rsidP="009938CE">
      <w:pPr>
        <w:spacing w:after="0" w:line="240" w:lineRule="auto"/>
        <w:ind w:left="709" w:right="760"/>
        <w:jc w:val="both"/>
        <w:rPr>
          <w:rFonts w:ascii="Arial" w:eastAsia="Times New Roman" w:hAnsi="Arial" w:cs="Arial"/>
          <w:color w:val="000000"/>
          <w:sz w:val="21"/>
          <w:szCs w:val="21"/>
          <w:lang w:val="es-ES"/>
        </w:rPr>
      </w:pPr>
      <w:r w:rsidRPr="009938CE">
        <w:rPr>
          <w:rFonts w:ascii="Arial" w:eastAsia="Times New Roman" w:hAnsi="Arial" w:cs="Arial"/>
          <w:color w:val="000000"/>
          <w:sz w:val="21"/>
          <w:szCs w:val="21"/>
          <w:lang w:val="es-ES"/>
        </w:rPr>
        <w:t>La Entidad Estatal debe limitar a las Mipyme nacionales con mínimo un (1) año de existencia la convocatoria del Proceso de Contratación en la modalidad de licitación pública, selección abreviada y concurso de méritos cuando:</w:t>
      </w:r>
    </w:p>
    <w:p w:rsidR="009938CE" w:rsidRPr="009938CE" w:rsidRDefault="009938CE" w:rsidP="009938CE">
      <w:pPr>
        <w:spacing w:after="0" w:line="240" w:lineRule="auto"/>
        <w:ind w:left="709" w:right="760"/>
        <w:jc w:val="both"/>
        <w:rPr>
          <w:rFonts w:ascii="Arial" w:eastAsia="Times New Roman" w:hAnsi="Arial" w:cs="Arial"/>
          <w:color w:val="000000"/>
          <w:sz w:val="21"/>
          <w:szCs w:val="21"/>
          <w:lang w:val="es-ES"/>
        </w:rPr>
      </w:pPr>
    </w:p>
    <w:p w:rsidR="009938CE" w:rsidRPr="009938CE" w:rsidRDefault="009938CE" w:rsidP="009938CE">
      <w:pPr>
        <w:spacing w:after="0" w:line="240" w:lineRule="auto"/>
        <w:ind w:left="709" w:right="760"/>
        <w:contextualSpacing/>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rsidR="009938CE" w:rsidRPr="009938CE" w:rsidRDefault="009938CE" w:rsidP="009938CE">
      <w:pPr>
        <w:spacing w:after="0" w:line="240" w:lineRule="auto"/>
        <w:ind w:left="709" w:right="760"/>
        <w:contextualSpacing/>
        <w:jc w:val="both"/>
        <w:rPr>
          <w:rFonts w:ascii="Arial" w:eastAsia="Calibri" w:hAnsi="Arial" w:cs="Arial"/>
          <w:color w:val="000000"/>
          <w:sz w:val="21"/>
          <w:szCs w:val="21"/>
          <w:lang w:val="es-ES"/>
        </w:rPr>
      </w:pPr>
    </w:p>
    <w:p w:rsidR="009938CE" w:rsidRPr="009938CE" w:rsidRDefault="009938CE" w:rsidP="009938CE">
      <w:pPr>
        <w:spacing w:after="0" w:line="240" w:lineRule="auto"/>
        <w:ind w:left="709" w:right="760"/>
        <w:contextualSpacing/>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2. La Entidad Estatal ha recibido solicitudes de por lo menos tres (3) Mipyme nacionales para limitar la convocatoria a Mipyme nacionales. La Entidad Estatal debe recibir estas solicitudes por lo menos un (1) día hábil antes de la apertura del Proceso de Contratación.</w:t>
      </w:r>
    </w:p>
    <w:p w:rsidR="009938CE" w:rsidRPr="009938CE" w:rsidRDefault="009938CE" w:rsidP="009938CE">
      <w:pPr>
        <w:spacing w:after="0" w:line="240" w:lineRule="auto"/>
        <w:jc w:val="both"/>
        <w:rPr>
          <w:rFonts w:ascii="Arial" w:eastAsia="Times New Roman" w:hAnsi="Arial" w:cs="Arial"/>
          <w:color w:val="000000"/>
          <w:sz w:val="20"/>
          <w:szCs w:val="20"/>
          <w:lang w:val="es-ES"/>
        </w:rPr>
      </w:pPr>
    </w:p>
    <w:p w:rsidR="009938CE" w:rsidRPr="00A70E75" w:rsidRDefault="009938CE" w:rsidP="009938CE">
      <w:pPr>
        <w:spacing w:after="120" w:line="276" w:lineRule="auto"/>
        <w:ind w:firstLine="709"/>
        <w:jc w:val="both"/>
        <w:rPr>
          <w:rFonts w:ascii="Arial" w:eastAsia="Times New Roman" w:hAnsi="Arial" w:cs="Arial"/>
          <w:color w:val="000000"/>
          <w:lang w:val="es-ES"/>
        </w:rPr>
      </w:pPr>
      <w:r w:rsidRPr="00A70E75">
        <w:rPr>
          <w:rFonts w:ascii="Arial" w:eastAsia="Times New Roman" w:hAnsi="Arial" w:cs="Arial"/>
          <w:color w:val="000000"/>
          <w:lang w:val="es-ES"/>
        </w:rPr>
        <w:t xml:space="preserve">Puede decirse, entonces, que el Decreto 1082 de 2015 regula la limitación de convocatorias a Mipymes en dos normas distintas, las cuales, sin embargo, deben leerse conjunta y armónicamente. Por un lado, una disposición prevé los requisitos generales para que la entidad limite sus convocatorias a Mipymes nacionales, y por el otro se establece la posibilidad de regular la convocatoria a Mipymes nacionales domiciliadas en los departamentos o municipios donde se ejecutará el contrato. </w:t>
      </w:r>
    </w:p>
    <w:p w:rsidR="009938CE" w:rsidRPr="00A70E75" w:rsidRDefault="009938CE" w:rsidP="009938CE">
      <w:pPr>
        <w:spacing w:after="0" w:line="276" w:lineRule="auto"/>
        <w:ind w:firstLine="709"/>
        <w:jc w:val="both"/>
        <w:rPr>
          <w:rFonts w:ascii="Arial" w:eastAsia="Calibri" w:hAnsi="Arial" w:cs="Arial"/>
          <w:color w:val="000000"/>
          <w:lang w:val="es-ES"/>
        </w:rPr>
      </w:pPr>
      <w:r w:rsidRPr="00A70E75">
        <w:rPr>
          <w:rFonts w:ascii="Arial" w:eastAsia="Times New Roman" w:hAnsi="Arial" w:cs="Arial"/>
          <w:color w:val="000000"/>
          <w:lang w:val="es-ES"/>
        </w:rPr>
        <w:t>En los ejemplos señalados, a modo enunciativo, las políticas se han materializado otorgando puntos adicionales o mediante la modalidad de contratación reservada o limitada –para el caso de las Mipymes–. No obstante, los incentivos contractuales o precontractuales no se agotan allí. En</w:t>
      </w:r>
      <w:r w:rsidRPr="00A70E75">
        <w:rPr>
          <w:rFonts w:ascii="Arial" w:eastAsia="Calibri" w:hAnsi="Arial" w:cs="Arial"/>
          <w:color w:val="000000"/>
          <w:lang w:val="es-ES"/>
        </w:rPr>
        <w:t xml:space="preserve"> adición a esos incentivos, el ordenamiento prevé uno adicional: los criterios de desempate. En este sentido, el artículo 2.2.1.1.2.2.9. del Decreto 1082 de 2015 dispone: </w:t>
      </w:r>
    </w:p>
    <w:p w:rsidR="009938CE" w:rsidRPr="009938CE" w:rsidRDefault="009938CE" w:rsidP="009938CE">
      <w:pPr>
        <w:spacing w:after="0" w:line="276" w:lineRule="auto"/>
        <w:ind w:firstLine="709"/>
        <w:jc w:val="both"/>
        <w:rPr>
          <w:rFonts w:ascii="Arial" w:eastAsia="Calibri" w:hAnsi="Arial" w:cs="Arial"/>
          <w:color w:val="000000"/>
          <w:sz w:val="24"/>
          <w:szCs w:val="24"/>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Si persiste el empate, la Entidad Estatal debe utilizar las siguientes reglas de forma sucesiva y excluyente para seleccionar el oferente favorecido, respetando los compromisos adquiridos por Acuerdos Comerciales:</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1.    Preferir la oferta de bienes o servicios nacionales frente a la oferta de bienes o servicios extranjeros.</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2.    Preferir las ofertas presentada por una Mipyme nacional.</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lastRenderedPageBreak/>
        <w:t>3.    Preferir la oferta presentada por un consorcio, unión temporal o promesa de sociedad futura siempre que: (a) esté conformado por al menos una Mipyme nacional que tenga una participación de por lo menos el veinticinco por ciento (25%); (b) la Mipyme aporte mínimo el veinticinco por ciento (25%) de la experiencia acreditada en la oferta; y (c) ni la Mipyme, ni sus accionistas, socios o representantes legales sean empleados, socios o accionistas de los miembros del consorcio, unión temporal o promesa de sociedad futura.</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4.    Preferir la propuesta presentada por el oferente que acredite en las condiciones establecidas en la ley que por lo menos el diez por ciento (10%) de su nómina está en condición de discapacidad a la que se refiere la </w:t>
      </w:r>
      <w:r w:rsidRPr="009938CE">
        <w:rPr>
          <w:rFonts w:ascii="Arial" w:eastAsia="Calibri" w:hAnsi="Arial" w:cs="Arial"/>
          <w:sz w:val="21"/>
          <w:szCs w:val="21"/>
          <w:lang w:val="es-ES"/>
        </w:rPr>
        <w:t>Ley 361 de 1997</w:t>
      </w:r>
      <w:r w:rsidRPr="009938CE">
        <w:rPr>
          <w:rFonts w:ascii="Arial" w:eastAsia="Calibri" w:hAnsi="Arial" w:cs="Arial"/>
          <w:color w:val="000000"/>
          <w:sz w:val="21"/>
          <w:szCs w:val="21"/>
          <w:lang w:val="es-ES"/>
        </w:rPr>
        <w:t>.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5.    Utilizar un método aleatorio para seleccionar el oferente, método que deberá haber sido previsto en los pliegos de condiciones del Proceso de Contratación.</w:t>
      </w:r>
    </w:p>
    <w:p w:rsidR="009938CE" w:rsidRPr="009938CE" w:rsidRDefault="009938CE" w:rsidP="009938CE">
      <w:pPr>
        <w:spacing w:after="0" w:line="276" w:lineRule="auto"/>
        <w:ind w:firstLine="709"/>
        <w:jc w:val="both"/>
        <w:rPr>
          <w:rFonts w:ascii="Arial" w:eastAsia="Times New Roman" w:hAnsi="Arial" w:cs="Arial"/>
          <w:color w:val="000000"/>
          <w:sz w:val="24"/>
          <w:szCs w:val="24"/>
          <w:lang w:val="es-ES"/>
        </w:rPr>
      </w:pPr>
    </w:p>
    <w:p w:rsidR="009938CE" w:rsidRPr="00A70E75" w:rsidRDefault="009938CE" w:rsidP="009938CE">
      <w:pPr>
        <w:spacing w:after="0" w:line="276" w:lineRule="auto"/>
        <w:jc w:val="both"/>
        <w:rPr>
          <w:rFonts w:ascii="Arial" w:eastAsia="Times New Roman" w:hAnsi="Arial" w:cs="Arial"/>
          <w:b/>
          <w:color w:val="000000"/>
          <w:lang w:val="es-ES"/>
        </w:rPr>
      </w:pPr>
      <w:r w:rsidRPr="00A70E75">
        <w:rPr>
          <w:rFonts w:ascii="Arial" w:eastAsia="Times New Roman" w:hAnsi="Arial" w:cs="Arial"/>
          <w:b/>
          <w:color w:val="000000"/>
          <w:lang w:val="es-ES"/>
        </w:rPr>
        <w:t>2.2. Criterio de desempate creado por el artículo 3º de la Ley 2040 de 2020: incentivo contractual y política horizontal</w:t>
      </w:r>
    </w:p>
    <w:p w:rsidR="009938CE" w:rsidRPr="00A70E75" w:rsidRDefault="009938CE" w:rsidP="009938CE">
      <w:pPr>
        <w:spacing w:after="0" w:line="276" w:lineRule="auto"/>
        <w:jc w:val="both"/>
        <w:rPr>
          <w:rFonts w:ascii="Arial" w:eastAsia="Times New Roman" w:hAnsi="Arial" w:cs="Arial"/>
          <w:color w:val="000000"/>
          <w:lang w:val="es-ES"/>
        </w:rPr>
      </w:pPr>
    </w:p>
    <w:p w:rsidR="009938CE" w:rsidRPr="00A70E75" w:rsidRDefault="009938CE" w:rsidP="009938CE">
      <w:pPr>
        <w:spacing w:after="120" w:line="276" w:lineRule="auto"/>
        <w:jc w:val="both"/>
        <w:rPr>
          <w:rFonts w:ascii="Arial" w:eastAsia="Times New Roman" w:hAnsi="Arial" w:cs="Arial"/>
          <w:color w:val="000000"/>
          <w:lang w:val="es-ES"/>
        </w:rPr>
      </w:pPr>
      <w:r w:rsidRPr="00A70E75">
        <w:rPr>
          <w:rFonts w:ascii="Arial" w:eastAsia="Times New Roman" w:hAnsi="Arial" w:cs="Arial"/>
          <w:color w:val="000000"/>
          <w:lang w:val="es-ES"/>
        </w:rPr>
        <w:t xml:space="preserve">Con base en las explicaciones anteriores es posible entender, de manera más sencilla, el contenido de la Ley 2040 de 2020, «por medio de la cual se adoptan medidas para 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rsidR="009938CE" w:rsidRPr="00A70E75" w:rsidRDefault="009938CE" w:rsidP="009938CE">
      <w:pPr>
        <w:spacing w:after="120" w:line="276" w:lineRule="auto"/>
        <w:jc w:val="both"/>
        <w:rPr>
          <w:rFonts w:ascii="Arial" w:eastAsia="Times New Roman" w:hAnsi="Arial" w:cs="Arial"/>
          <w:color w:val="000000"/>
          <w:lang w:val="es-ES"/>
        </w:rPr>
      </w:pPr>
      <w:r w:rsidRPr="00A70E75">
        <w:rPr>
          <w:rFonts w:ascii="Arial" w:eastAsia="Times New Roman" w:hAnsi="Arial" w:cs="Arial"/>
          <w:color w:val="000000"/>
          <w:lang w:val="es-ES"/>
        </w:rPr>
        <w:tab/>
        <w:t xml:space="preserve">La Ley adopta instrumentos diversos, entre los cuales se cuentan una reducción del impuesto sobre la renta por contratación de adultos mayores –artículo 2–, la creación del sello amigable «adulto mayor» para identificar a las empresas que vinculen a adultos mayores que no cuentan con pensión –artículo 7–, y la creación de la «Ruta para el emprendimiento del adulto mayor» para que los adultos mayores puedan poner en marcha su propia empresa –artículo 10–. Todos estos son mecanismos para cumplir su finalidad: incrementar la empleabilidad de los adultos mayores, lo que a la postre, se espera, se traducirá en mayor empleo para este sector vulnerable de la población. </w:t>
      </w:r>
    </w:p>
    <w:p w:rsidR="009938CE" w:rsidRPr="00A70E75" w:rsidRDefault="009938CE" w:rsidP="009938CE">
      <w:pPr>
        <w:spacing w:after="0" w:line="276" w:lineRule="auto"/>
        <w:jc w:val="both"/>
        <w:rPr>
          <w:rFonts w:ascii="Arial" w:eastAsia="Times New Roman" w:hAnsi="Arial" w:cs="Arial"/>
          <w:color w:val="000000"/>
          <w:lang w:val="es-ES"/>
        </w:rPr>
      </w:pPr>
      <w:r w:rsidRPr="00A70E75">
        <w:rPr>
          <w:rFonts w:ascii="Arial" w:eastAsia="Times New Roman" w:hAnsi="Arial" w:cs="Arial"/>
          <w:color w:val="000000"/>
          <w:lang w:val="es-ES"/>
        </w:rPr>
        <w:tab/>
        <w:t xml:space="preserve">La Ley 2040 de 2020, además de las estrategias referidas, contiene un mecanismo que forma parte del Estatuto General de Contratación de la Administración Pública. Se hace referencia al artículo 3 de dicha ley, que adiciona un parágrafo al artículo 12 de la Ley 1150 de 2007: </w:t>
      </w:r>
    </w:p>
    <w:p w:rsidR="009938CE" w:rsidRPr="009938CE" w:rsidRDefault="009938CE" w:rsidP="009938CE">
      <w:pPr>
        <w:tabs>
          <w:tab w:val="left" w:pos="709"/>
        </w:tabs>
        <w:spacing w:after="0" w:line="276" w:lineRule="auto"/>
        <w:jc w:val="both"/>
        <w:rPr>
          <w:rFonts w:ascii="Arial" w:eastAsia="Times New Roman" w:hAnsi="Arial" w:cs="Arial"/>
          <w:color w:val="000000"/>
          <w:sz w:val="24"/>
          <w:szCs w:val="24"/>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 xml:space="preserve">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 </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 xml:space="preserve">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la misma. </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 xml:space="preserve">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 </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rsidR="009938CE" w:rsidRPr="009938CE" w:rsidRDefault="009938CE" w:rsidP="009938CE">
      <w:pPr>
        <w:tabs>
          <w:tab w:val="left" w:pos="426"/>
        </w:tabs>
        <w:spacing w:after="0" w:line="276" w:lineRule="auto"/>
        <w:jc w:val="both"/>
        <w:rPr>
          <w:rFonts w:ascii="Arial" w:eastAsia="Calibri" w:hAnsi="Arial" w:cs="Arial"/>
          <w:color w:val="000000"/>
          <w:sz w:val="24"/>
          <w:szCs w:val="24"/>
          <w:lang w:val="es-ES"/>
        </w:rPr>
      </w:pPr>
    </w:p>
    <w:p w:rsidR="009938CE" w:rsidRPr="00A70E75" w:rsidRDefault="009938CE" w:rsidP="009938CE">
      <w:pPr>
        <w:spacing w:after="120" w:line="276" w:lineRule="auto"/>
        <w:ind w:firstLine="709"/>
        <w:jc w:val="both"/>
        <w:rPr>
          <w:rFonts w:ascii="Arial" w:eastAsia="Calibri" w:hAnsi="Arial" w:cs="Arial"/>
          <w:color w:val="000000"/>
          <w:lang w:val="es-ES"/>
        </w:rPr>
      </w:pPr>
      <w:r w:rsidRPr="00A70E75">
        <w:rPr>
          <w:rFonts w:ascii="Arial" w:eastAsia="Calibri" w:hAnsi="Arial" w:cs="Arial"/>
          <w:color w:val="000000"/>
          <w:lang w:val="es-ES"/>
        </w:rPr>
        <w:t xml:space="preserve">La política horizontal perseguida es maximizar el número de personas vinculadas laboralmente a empresas contratistas del Estado que hayan cumplido con el requisito de edad y no cuenten con una pensión de vejez, familiar o de sobrevivencia. </w:t>
      </w:r>
    </w:p>
    <w:p w:rsidR="009938CE" w:rsidRPr="00A70E75" w:rsidRDefault="009938CE" w:rsidP="009938CE">
      <w:pPr>
        <w:spacing w:after="120" w:line="276" w:lineRule="auto"/>
        <w:ind w:firstLine="709"/>
        <w:jc w:val="both"/>
        <w:rPr>
          <w:rFonts w:ascii="Arial" w:eastAsia="Calibri" w:hAnsi="Arial" w:cs="Arial"/>
          <w:color w:val="000000"/>
          <w:lang w:val="es-ES"/>
        </w:rPr>
      </w:pPr>
      <w:r w:rsidRPr="00A70E75">
        <w:rPr>
          <w:rFonts w:ascii="Arial" w:eastAsia="Calibri" w:hAnsi="Arial" w:cs="Arial"/>
          <w:color w:val="000000"/>
          <w:lang w:val="es-ES"/>
        </w:rPr>
        <w:t xml:space="preserve">De otra parte, el incentivo, en el esquema de la contratación estatal, es la creación de un criterio de desempate para favorecer a la empresa que tenga un porcentaje mayor –no un número mayor– de adultos mayores contratados que no cuenten con una pensión de vejez, familiar o de sobrevivencia. La norma procura que los potenciales contratistas del Estado incrementen el porcentaje de adultos mayores vinculados a su planta de personal, con el fin de ser beneficiarios de este criterio de desempate en un eventual procedimiento de selección. Es importante reseñar que solamente se podrá tener en cuenta al personal con vinculación mayor o igual a un año, o que esté vinculado desde la constitución del proponente, para aquellos cuya constitución es inferior al año. </w:t>
      </w:r>
    </w:p>
    <w:p w:rsidR="009938CE" w:rsidRPr="00A70E75" w:rsidRDefault="009938CE" w:rsidP="009938CE">
      <w:pPr>
        <w:spacing w:after="120" w:line="276" w:lineRule="auto"/>
        <w:ind w:firstLine="709"/>
        <w:jc w:val="both"/>
        <w:rPr>
          <w:rFonts w:ascii="Arial" w:eastAsia="Calibri" w:hAnsi="Arial" w:cs="Arial"/>
          <w:color w:val="000000"/>
          <w:lang w:val="es-ES"/>
        </w:rPr>
      </w:pPr>
      <w:r w:rsidRPr="00A70E75">
        <w:rPr>
          <w:rFonts w:ascii="Arial" w:eastAsia="Calibri" w:hAnsi="Arial" w:cs="Arial"/>
          <w:color w:val="000000"/>
          <w:lang w:val="es-ES"/>
        </w:rPr>
        <w:t xml:space="preserve">Adicionalmente, el inciso 3 de la misma disposición establece que el contratista que haya obtenido un contrato estatal, sirviéndose de este criterio de desempate, debe mantener el mismo porcentaje de personal vinculado en esta condición, en su planta de personal, durante el plazo de ejecución del contrato. Es decir, el criterio de desempate se convierte en una obligación contractual por mandato de la ley –otra forma de materializar políticas horizontales– en caso de que la adjudicación del contrato se hubiera obtenido con </w:t>
      </w:r>
      <w:r w:rsidRPr="00A70E75">
        <w:rPr>
          <w:rFonts w:ascii="Arial" w:eastAsia="Calibri" w:hAnsi="Arial" w:cs="Arial"/>
          <w:color w:val="000000"/>
          <w:lang w:val="es-ES"/>
        </w:rPr>
        <w:lastRenderedPageBreak/>
        <w:t xml:space="preserve">base en este criterio. El mismo inciso establece una sanción para quienes incumplan la obligación durante la etapa de ejecución: no podrán hacer uso de este beneficio durante el término de 5 años.  </w:t>
      </w:r>
    </w:p>
    <w:p w:rsidR="009938CE" w:rsidRPr="00A70E75" w:rsidRDefault="009938CE" w:rsidP="009938CE">
      <w:pPr>
        <w:spacing w:after="120" w:line="276" w:lineRule="auto"/>
        <w:ind w:firstLine="709"/>
        <w:jc w:val="both"/>
        <w:rPr>
          <w:rFonts w:ascii="Arial" w:eastAsia="Calibri" w:hAnsi="Arial" w:cs="Arial"/>
          <w:color w:val="000000"/>
          <w:lang w:val="es-ES"/>
        </w:rPr>
      </w:pPr>
      <w:r w:rsidRPr="00A70E75">
        <w:rPr>
          <w:rFonts w:ascii="Arial" w:eastAsia="Calibri" w:hAnsi="Arial" w:cs="Arial"/>
          <w:color w:val="000000"/>
          <w:lang w:val="es-ES"/>
        </w:rPr>
        <w:t xml:space="preserve">En relación con la acreditación del criterio de desempate, el inciso 4 establece que se debe demostrar el porcentaje de adultos mayores contratados con una certificación, expedida bajo la gravedad de juramento, del total de trabajadores que cumplan con lo señalado en la norma y que se encuentren vinculados a la planta de personal del oferente a la fecha de cierre del proceso de selección. Esta certificación debe ser expedida, según el caso, por la persona natural, el representante legal de la persona jurídica o su revisor fiscal. </w:t>
      </w:r>
    </w:p>
    <w:p w:rsidR="009938CE" w:rsidRPr="00A70E75" w:rsidRDefault="009938CE" w:rsidP="009938CE">
      <w:pPr>
        <w:spacing w:after="120" w:line="276" w:lineRule="auto"/>
        <w:ind w:firstLine="709"/>
        <w:jc w:val="both"/>
        <w:rPr>
          <w:rFonts w:ascii="Arial" w:eastAsia="Calibri" w:hAnsi="Arial" w:cs="Arial"/>
          <w:color w:val="000000"/>
          <w:lang w:val="es-ES"/>
        </w:rPr>
      </w:pPr>
      <w:r w:rsidRPr="00A70E75">
        <w:rPr>
          <w:rFonts w:ascii="Arial" w:eastAsia="Calibri" w:hAnsi="Arial" w:cs="Arial"/>
          <w:color w:val="000000"/>
          <w:lang w:val="es-ES"/>
        </w:rPr>
        <w:t xml:space="preserve">Es posible afirmar que, desde el punto de vista del mecanismo, el legislador optó por concretar la política horizontal a través de un criterio de desempate. Ello plantea, como se indica en la consulta, algunas dificultades prácticas, pues se trata de un criterio adicional a los establecidos en el artículo 2.2.1.1.2.2.9. del Decreto 1082 de 2015. Este artículo encuentra soporte en otras normas del ordenamiento y reglamenta estos criterios de desempate, de modo que allí se organizan y jerarquizan los criterios que favorecen los bienes y servicios nacionales, las Mipymes y los oferentes que hayan vinculado personas en condición de discapacidad, en cierto porcentaje, en su planta de personal.  </w:t>
      </w:r>
    </w:p>
    <w:p w:rsidR="009938CE" w:rsidRPr="00A70E75" w:rsidRDefault="009938CE" w:rsidP="009938CE">
      <w:pPr>
        <w:spacing w:after="120" w:line="276" w:lineRule="auto"/>
        <w:ind w:firstLine="709"/>
        <w:jc w:val="both"/>
        <w:rPr>
          <w:rFonts w:ascii="Arial" w:eastAsia="Calibri" w:hAnsi="Arial" w:cs="Arial"/>
          <w:color w:val="000000"/>
          <w:lang w:val="es-ES"/>
        </w:rPr>
      </w:pPr>
      <w:r w:rsidRPr="00A70E75">
        <w:rPr>
          <w:rFonts w:ascii="Arial" w:eastAsia="Calibri" w:hAnsi="Arial" w:cs="Arial"/>
          <w:color w:val="000000"/>
          <w:lang w:val="es-ES"/>
        </w:rPr>
        <w:t xml:space="preserve">La dificultad práctica, frente a la nueva ley, radica en que, exclusivamente con base en el ordenamiento vigente, no es posible determinar con certeza cómo debe articularse el criterio de desempate de la Ley 2040 de 2020 con los que preexisten en el ordenamiento. </w:t>
      </w:r>
    </w:p>
    <w:p w:rsidR="009938CE" w:rsidRPr="00A70E75" w:rsidRDefault="009938CE" w:rsidP="009938CE">
      <w:pPr>
        <w:spacing w:after="120" w:line="276" w:lineRule="auto"/>
        <w:ind w:firstLine="709"/>
        <w:jc w:val="both"/>
        <w:rPr>
          <w:rFonts w:ascii="Arial" w:eastAsia="Calibri" w:hAnsi="Arial" w:cs="Arial"/>
          <w:color w:val="000000"/>
          <w:lang w:val="es-ES"/>
        </w:rPr>
      </w:pPr>
      <w:r w:rsidRPr="00A70E75">
        <w:rPr>
          <w:rFonts w:ascii="Arial" w:eastAsia="Calibri" w:hAnsi="Arial" w:cs="Arial"/>
          <w:color w:val="000000"/>
          <w:lang w:val="es-ES"/>
        </w:rPr>
        <w:t xml:space="preserve">En relación con este aspecto, el nuevo parágrafo 4 del artículo 12 de la Ley 1150 de 2007 simplemente ordena que «se preferirá», lo cual, bajo una interpretación literal y aislada del parágrafo podría llevar a pensar que se ubica en el primer lugar, por tratarse de una ley posterior. Pero otra interpretación podría ser, como se ha sugerido en consultas dirigidas a esta Subdirección, que el criterio debe ubicarse en el cuarto lugar de preferencia en el orden que indica el artículo 2.2.1.1.2.2.9. del Decreto 1082 de 2015, quizás bajo la idea de que se trata del «nuevo criterio». </w:t>
      </w:r>
    </w:p>
    <w:p w:rsidR="009938CE" w:rsidRPr="00A70E75" w:rsidRDefault="009938CE" w:rsidP="009938CE">
      <w:pPr>
        <w:spacing w:after="120" w:line="276" w:lineRule="auto"/>
        <w:ind w:firstLine="709"/>
        <w:jc w:val="both"/>
        <w:rPr>
          <w:rFonts w:ascii="Arial" w:eastAsia="Calibri" w:hAnsi="Arial" w:cs="Arial"/>
          <w:color w:val="000000"/>
          <w:lang w:val="es-ES"/>
        </w:rPr>
      </w:pPr>
      <w:r w:rsidRPr="00A70E75">
        <w:rPr>
          <w:rFonts w:ascii="Arial" w:eastAsia="Calibri" w:hAnsi="Arial" w:cs="Arial"/>
          <w:color w:val="000000"/>
          <w:lang w:val="es-ES"/>
        </w:rPr>
        <w:t>En este asunto debe tenerse en cuenta que las normas jurídicas, por regla general, producen efectos a partir de su promulgación o publicación. De allí se derivan principios tales como la irretroactividad de la ley y su efecto general inmediato</w:t>
      </w:r>
      <w:r w:rsidRPr="00A70E75">
        <w:rPr>
          <w:rFonts w:ascii="Arial" w:eastAsia="Calibri" w:hAnsi="Arial" w:cs="Arial"/>
          <w:color w:val="000000"/>
          <w:vertAlign w:val="superscript"/>
          <w:lang w:val="es-ES"/>
        </w:rPr>
        <w:footnoteReference w:id="9"/>
      </w:r>
      <w:r w:rsidRPr="00A70E75">
        <w:rPr>
          <w:rFonts w:ascii="Arial" w:eastAsia="Calibri" w:hAnsi="Arial" w:cs="Arial"/>
          <w:color w:val="000000"/>
          <w:lang w:val="es-ES"/>
        </w:rPr>
        <w:t>. La Ley 2040 de 2020, en principio, no parece ser la excepción, pues el artículo 12 dispone: «</w:t>
      </w:r>
      <w:r w:rsidRPr="00A70E75">
        <w:rPr>
          <w:rFonts w:ascii="Arial" w:eastAsia="Calibri" w:hAnsi="Arial" w:cs="Arial"/>
          <w:color w:val="000000"/>
        </w:rPr>
        <w:t>La presente ley rige a partir del momento de su promulgación y deroga las disposiciones que le sean contrarias</w:t>
      </w:r>
      <w:r w:rsidRPr="00A70E75">
        <w:rPr>
          <w:rFonts w:ascii="Arial" w:eastAsia="Calibri" w:hAnsi="Arial" w:cs="Arial"/>
          <w:color w:val="000000"/>
          <w:lang w:val="es-ES"/>
        </w:rPr>
        <w:t>».</w:t>
      </w:r>
    </w:p>
    <w:p w:rsidR="009938CE" w:rsidRPr="00A70E75" w:rsidRDefault="009938CE" w:rsidP="009938CE">
      <w:pPr>
        <w:spacing w:after="120" w:line="276" w:lineRule="auto"/>
        <w:ind w:firstLine="709"/>
        <w:jc w:val="both"/>
        <w:rPr>
          <w:rFonts w:ascii="Arial" w:eastAsia="Calibri" w:hAnsi="Arial" w:cs="Arial"/>
          <w:color w:val="000000"/>
          <w:lang w:val="es-ES"/>
        </w:rPr>
      </w:pPr>
      <w:r w:rsidRPr="00A70E75">
        <w:rPr>
          <w:rFonts w:ascii="Arial" w:eastAsia="Calibri" w:hAnsi="Arial" w:cs="Arial"/>
          <w:color w:val="000000"/>
          <w:lang w:val="es-ES"/>
        </w:rPr>
        <w:t xml:space="preserve">Sin embargo, las leyes pueden modular sus efectos en el tiempo y establecer para el inicio de su entrada en vigor un plazo o una condición. Ejemplo de una ley que establece </w:t>
      </w:r>
      <w:r w:rsidRPr="00A70E75">
        <w:rPr>
          <w:rFonts w:ascii="Arial" w:eastAsia="Calibri" w:hAnsi="Arial" w:cs="Arial"/>
          <w:color w:val="000000"/>
          <w:lang w:val="es-ES"/>
        </w:rPr>
        <w:lastRenderedPageBreak/>
        <w:t xml:space="preserve">un plazo es la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rsidR="009938CE" w:rsidRPr="00A70E75" w:rsidRDefault="009938CE" w:rsidP="009938CE">
      <w:pPr>
        <w:spacing w:after="120" w:line="276" w:lineRule="auto"/>
        <w:ind w:firstLine="709"/>
        <w:jc w:val="both"/>
        <w:rPr>
          <w:rFonts w:ascii="Arial" w:eastAsia="Calibri" w:hAnsi="Arial" w:cs="Arial"/>
          <w:color w:val="000000"/>
          <w:lang w:val="es-ES"/>
        </w:rPr>
      </w:pPr>
      <w:r w:rsidRPr="00A70E75">
        <w:rPr>
          <w:rFonts w:ascii="Arial" w:eastAsia="Calibri" w:hAnsi="Arial" w:cs="Arial"/>
          <w:color w:val="000000"/>
          <w:lang w:val="es-ES"/>
        </w:rPr>
        <w:t>Pero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podrá hacer uso de la selección abreviada como modalidad de selección». La ley creó una modalidad de selección, la selección abreviada, sin embargo, esas normas no podían aplicarse hasta que no se cumpliera la condición: expedir el Reglamento. Visto lo anterior, los efectos en el tiempo en ocasiones no son claros. En estos casos le corresponde al interprete definir el tema.</w:t>
      </w:r>
    </w:p>
    <w:p w:rsidR="009938CE" w:rsidRPr="00A70E75" w:rsidRDefault="009938CE" w:rsidP="009938CE">
      <w:pPr>
        <w:shd w:val="clear" w:color="auto" w:fill="FFFFFF"/>
        <w:spacing w:after="150" w:line="276" w:lineRule="auto"/>
        <w:ind w:right="49" w:firstLine="708"/>
        <w:jc w:val="both"/>
        <w:rPr>
          <w:rFonts w:ascii="Arial" w:eastAsia="Calibri" w:hAnsi="Arial" w:cs="Arial"/>
          <w:color w:val="000000"/>
          <w:lang w:val="es-ES"/>
        </w:rPr>
      </w:pPr>
      <w:r w:rsidRPr="00A70E75">
        <w:rPr>
          <w:rFonts w:ascii="Arial" w:eastAsia="Calibri" w:hAnsi="Arial" w:cs="Arial"/>
          <w:color w:val="000000"/>
          <w:lang w:val="es-ES"/>
        </w:rPr>
        <w:t>En este caso, debe estudiarse si la Ley 2040 de 2020 tiene una condición para empezar a regir, concretamente su criterio de desempate. Hay dos argumentos que dan cuenta de tal condición: el primero puede encontrarse en los antecedentes legislativos. En ellos</w:t>
      </w:r>
      <w:r w:rsidRPr="00A70E75">
        <w:rPr>
          <w:rFonts w:ascii="Arial" w:eastAsia="Calibri" w:hAnsi="Arial" w:cs="Arial"/>
          <w:color w:val="000000"/>
          <w:vertAlign w:val="superscript"/>
          <w:lang w:val="es-ES"/>
        </w:rPr>
        <w:footnoteReference w:id="10"/>
      </w:r>
      <w:r w:rsidRPr="00A70E75">
        <w:rPr>
          <w:rFonts w:ascii="Arial" w:eastAsia="Calibri" w:hAnsi="Arial" w:cs="Arial"/>
          <w:color w:val="000000"/>
          <w:lang w:val="es-ES"/>
        </w:rPr>
        <w:t xml:space="preserve"> se explica que el proyecto de Ley tenía como objeto incentivar la contratación de adultos mayores a través de varias medidas, y se destaca la «[r]eglamentación a cargo del gobierno en materia de estrategias de promoción del empleo de adultos mayores en el sector público, tipos de oficios y actividades que pueden realizar, derechos y obligaciones especiales de los empleadores que se acojan a la ley, procedimientos de verificación de los requisitos por parte de los empleadores»</w:t>
      </w:r>
      <w:r w:rsidRPr="00A70E75">
        <w:rPr>
          <w:rFonts w:ascii="Arial" w:eastAsia="Calibri" w:hAnsi="Arial" w:cs="Arial"/>
          <w:color w:val="000000"/>
          <w:vertAlign w:val="superscript"/>
          <w:lang w:val="es-ES"/>
        </w:rPr>
        <w:footnoteReference w:id="11"/>
      </w:r>
      <w:r w:rsidRPr="00A70E75">
        <w:rPr>
          <w:rFonts w:ascii="Arial" w:eastAsia="Calibri" w:hAnsi="Arial" w:cs="Arial"/>
          <w:color w:val="000000"/>
          <w:lang w:val="es-ES"/>
        </w:rPr>
        <w:t>.</w:t>
      </w:r>
      <w:r w:rsidRPr="00A70E75">
        <w:rPr>
          <w:rFonts w:ascii="Verdana" w:eastAsia="Calibri" w:hAnsi="Verdana" w:cs="Arial"/>
          <w:color w:val="000000"/>
          <w:lang w:val="es-ES"/>
        </w:rPr>
        <w:t xml:space="preserve"> </w:t>
      </w:r>
      <w:r w:rsidRPr="00A70E75">
        <w:rPr>
          <w:rFonts w:ascii="Arial" w:eastAsia="Calibri" w:hAnsi="Arial" w:cs="Arial"/>
          <w:color w:val="000000"/>
          <w:lang w:val="es-ES"/>
        </w:rPr>
        <w:t xml:space="preserve"> </w:t>
      </w:r>
    </w:p>
    <w:p w:rsidR="009938CE" w:rsidRPr="00A70E75" w:rsidRDefault="009938CE" w:rsidP="009938CE">
      <w:pPr>
        <w:spacing w:after="120" w:line="276" w:lineRule="auto"/>
        <w:ind w:firstLine="709"/>
        <w:jc w:val="both"/>
        <w:rPr>
          <w:rFonts w:ascii="Arial" w:eastAsia="Calibri" w:hAnsi="Arial" w:cs="Arial"/>
          <w:color w:val="000000"/>
          <w:lang w:val="es-ES"/>
        </w:rPr>
      </w:pPr>
      <w:r w:rsidRPr="00A70E75">
        <w:rPr>
          <w:rFonts w:ascii="Arial" w:eastAsia="Calibri" w:hAnsi="Arial" w:cs="Arial"/>
          <w:color w:val="000000"/>
          <w:lang w:val="es-ES"/>
        </w:rPr>
        <w:t xml:space="preserve">El legislador consideró necesaria la reglamentación para determinar los derechos y obligaciones especiales de los empleadores que se acojan a la Ley. El derecho a ser adjudicatario en caso de empate es uno de esos derechos especiales, luego, no hay duda de la intención del legislador, atendiendo a los antecedentes de la Ley, para que el criterio de desempate estuviera sometido en su vigencia a la condición de la expedición de la reglamentación. </w:t>
      </w:r>
    </w:p>
    <w:p w:rsidR="009938CE" w:rsidRPr="00A70E75" w:rsidRDefault="009938CE" w:rsidP="009938CE">
      <w:pPr>
        <w:shd w:val="clear" w:color="auto" w:fill="FFFFFF"/>
        <w:spacing w:after="150" w:line="276" w:lineRule="auto"/>
        <w:ind w:right="49" w:firstLine="708"/>
        <w:jc w:val="both"/>
        <w:rPr>
          <w:rFonts w:ascii="Arial" w:eastAsia="Calibri" w:hAnsi="Arial" w:cs="Arial"/>
          <w:color w:val="000000"/>
          <w:lang w:val="es-ES"/>
        </w:rPr>
      </w:pPr>
      <w:r w:rsidRPr="00A70E75">
        <w:rPr>
          <w:rFonts w:ascii="Arial" w:eastAsia="Calibri" w:hAnsi="Arial" w:cs="Arial"/>
          <w:color w:val="000000"/>
          <w:lang w:val="es-ES"/>
        </w:rPr>
        <w:t>El segundo argumento procede de la misma Ley. El artículo 4 de la Ley 2040 de 2020</w:t>
      </w:r>
      <w:r w:rsidRPr="00A70E75">
        <w:rPr>
          <w:rFonts w:ascii="Arial" w:eastAsia="Calibri" w:hAnsi="Arial" w:cs="Arial"/>
          <w:color w:val="000000"/>
          <w:vertAlign w:val="superscript"/>
          <w:lang w:val="es-ES"/>
        </w:rPr>
        <w:footnoteReference w:id="12"/>
      </w:r>
      <w:r w:rsidRPr="00A70E75">
        <w:rPr>
          <w:rFonts w:ascii="Arial" w:eastAsia="Calibri" w:hAnsi="Arial" w:cs="Arial"/>
          <w:color w:val="000000"/>
          <w:lang w:val="es-ES"/>
        </w:rPr>
        <w:t xml:space="preserve"> establece que el Gobierno Nacional, en consulta con el Consejo Nacional del Adulto </w:t>
      </w:r>
      <w:r w:rsidRPr="00A70E75">
        <w:rPr>
          <w:rFonts w:ascii="Arial" w:eastAsia="Calibri" w:hAnsi="Arial" w:cs="Arial"/>
          <w:color w:val="000000"/>
          <w:lang w:val="es-ES"/>
        </w:rPr>
        <w:lastRenderedPageBreak/>
        <w:t xml:space="preserve">Mayor, debe reglamentar esta ley, entre otros aspectos, en relación con las «(i) estrategias para la promoción del empleo de personas mayores que no sean beneficiarios de la pensión de vejez, familiar o de sobrevivencia y que hayan cumplido el requisito de edad de pensión establecido en la Ley en el sector público; ii) tipos de actividades y oficios que pueden asignárseles a los adultos mayores trabajadores cobijados por esta ley; iii) Derechos y obligaciones especiales de las empresas empleadoras que se acojan a esta ley». </w:t>
      </w:r>
    </w:p>
    <w:p w:rsidR="009938CE" w:rsidRPr="00A70E75" w:rsidRDefault="009938CE" w:rsidP="009938CE">
      <w:pPr>
        <w:spacing w:after="120" w:line="276" w:lineRule="auto"/>
        <w:ind w:firstLine="709"/>
        <w:jc w:val="both"/>
        <w:rPr>
          <w:rFonts w:ascii="Arial" w:eastAsia="Calibri" w:hAnsi="Arial" w:cs="Arial"/>
          <w:color w:val="000000"/>
          <w:lang w:val="es-ES"/>
        </w:rPr>
      </w:pPr>
      <w:r w:rsidRPr="00A70E75">
        <w:rPr>
          <w:rFonts w:ascii="Arial" w:eastAsia="Calibri" w:hAnsi="Arial" w:cs="Arial"/>
          <w:color w:val="000000"/>
          <w:lang w:val="es-ES"/>
        </w:rPr>
        <w:t>El criterio de desempate creado es una «estrategias para la promoción del empleo de personas mayores», y requiere reglamentación previa para establecer qué tipo de actividades y oficios pueden desempeñar los adultos mayores, y otorga un derecho especial para las empresas que se acogen a esa Ley, por lo que, según el literal del artículo 4, debe ser objeto de reglamentación por el Gobierno Nacional en un término no mayor a 6 meses.</w:t>
      </w:r>
    </w:p>
    <w:p w:rsidR="009938CE" w:rsidRPr="00A70E75" w:rsidRDefault="009938CE" w:rsidP="009938CE">
      <w:pPr>
        <w:spacing w:after="0" w:line="276" w:lineRule="auto"/>
        <w:ind w:firstLine="709"/>
        <w:jc w:val="both"/>
        <w:rPr>
          <w:rFonts w:ascii="Arial" w:eastAsia="Calibri" w:hAnsi="Arial" w:cs="Arial"/>
          <w:color w:val="000000"/>
          <w:lang w:val="es-ES"/>
        </w:rPr>
      </w:pPr>
      <w:r w:rsidRPr="00A70E75">
        <w:rPr>
          <w:rFonts w:ascii="Arial" w:eastAsia="Calibri" w:hAnsi="Arial" w:cs="Arial"/>
          <w:color w:val="000000"/>
          <w:lang w:val="es-ES"/>
        </w:rPr>
        <w:t xml:space="preserve">Sobre este asunto, es preciso llamar la atención sobre la jurisprudencia. Sobre ello, el Consejo de Estado ha dicho: </w:t>
      </w:r>
    </w:p>
    <w:p w:rsidR="009938CE" w:rsidRPr="009938CE" w:rsidRDefault="009938CE" w:rsidP="009938CE">
      <w:pPr>
        <w:shd w:val="clear" w:color="auto" w:fill="FFFFFF"/>
        <w:spacing w:after="0" w:line="240" w:lineRule="auto"/>
        <w:ind w:left="709" w:right="760"/>
        <w:jc w:val="both"/>
        <w:rPr>
          <w:rFonts w:ascii="Arial" w:eastAsia="Calibri" w:hAnsi="Arial" w:cs="Arial"/>
          <w:color w:val="000000"/>
          <w:sz w:val="21"/>
          <w:szCs w:val="21"/>
          <w:lang w:val="es-ES"/>
        </w:rPr>
      </w:pPr>
    </w:p>
    <w:p w:rsidR="009938CE" w:rsidRPr="009938CE" w:rsidRDefault="009938CE" w:rsidP="009938CE">
      <w:pPr>
        <w:shd w:val="clear" w:color="auto" w:fill="FFFFFF"/>
        <w:spacing w:after="0" w:line="240" w:lineRule="auto"/>
        <w:ind w:left="709" w:right="760"/>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Además,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9938CE">
        <w:rPr>
          <w:rFonts w:ascii="Arial" w:eastAsia="Calibri" w:hAnsi="Arial" w:cs="Arial"/>
          <w:color w:val="000000"/>
          <w:sz w:val="21"/>
          <w:szCs w:val="21"/>
          <w:vertAlign w:val="superscript"/>
          <w:lang w:val="es-ES"/>
        </w:rPr>
        <w:footnoteReference w:id="13"/>
      </w:r>
      <w:r w:rsidRPr="009938CE">
        <w:rPr>
          <w:rFonts w:ascii="Arial" w:eastAsia="Calibri" w:hAnsi="Arial" w:cs="Arial"/>
          <w:color w:val="000000"/>
          <w:sz w:val="21"/>
          <w:szCs w:val="21"/>
          <w:lang w:val="es-ES"/>
        </w:rPr>
        <w:t>.</w:t>
      </w:r>
    </w:p>
    <w:p w:rsidR="009938CE" w:rsidRPr="009938CE" w:rsidRDefault="009938CE" w:rsidP="009938CE">
      <w:pPr>
        <w:shd w:val="clear" w:color="auto" w:fill="FFFFFF"/>
        <w:spacing w:after="0" w:line="240" w:lineRule="auto"/>
        <w:ind w:left="709" w:right="760"/>
        <w:jc w:val="both"/>
        <w:rPr>
          <w:rFonts w:ascii="Arial" w:eastAsia="Calibri" w:hAnsi="Arial" w:cs="Arial"/>
          <w:color w:val="000000"/>
          <w:sz w:val="21"/>
          <w:szCs w:val="21"/>
          <w:lang w:val="es-ES"/>
        </w:rPr>
      </w:pPr>
    </w:p>
    <w:p w:rsidR="009938CE" w:rsidRPr="00A70E75" w:rsidRDefault="009938CE" w:rsidP="009938CE">
      <w:pPr>
        <w:shd w:val="clear" w:color="auto" w:fill="FFFFFF"/>
        <w:spacing w:after="120" w:line="276" w:lineRule="auto"/>
        <w:ind w:right="51" w:firstLine="709"/>
        <w:jc w:val="both"/>
        <w:rPr>
          <w:rFonts w:ascii="Arial" w:eastAsia="Calibri" w:hAnsi="Arial" w:cs="Arial"/>
          <w:color w:val="000000"/>
          <w:lang w:val="es-ES"/>
        </w:rPr>
      </w:pPr>
      <w:r w:rsidRPr="00A70E75">
        <w:rPr>
          <w:rFonts w:ascii="Arial" w:eastAsia="Calibri" w:hAnsi="Arial" w:cs="Arial"/>
          <w:color w:val="000000"/>
          <w:lang w:val="es-ES"/>
        </w:rPr>
        <w:t xml:space="preserve">La referencia hecha en una Ley a que el Gobierno Nacional reglamentará la materia es un reconocimiento de que el reglamento puede ser indispensable para el cumplimiento de esta. Claro está que tal reconocimiento, por parte del legislador, no siempre implica que la ley se encuentre sometida a condición para entrar a regir; pero cuando ello se analiza con otros elementos que obran en este sentido, como los antecedentes legislativos, sí es posible utilizar la referencia al reglamento como una prueba de que la Ley moduló sus efectos en el tiempo y se encuentra sometida a condición. </w:t>
      </w:r>
    </w:p>
    <w:p w:rsidR="009938CE" w:rsidRPr="00A70E75" w:rsidRDefault="009938CE" w:rsidP="009938CE">
      <w:pPr>
        <w:spacing w:after="120" w:line="276" w:lineRule="auto"/>
        <w:ind w:firstLine="709"/>
        <w:jc w:val="both"/>
        <w:rPr>
          <w:rFonts w:ascii="Arial" w:eastAsia="Calibri" w:hAnsi="Arial" w:cs="Arial"/>
          <w:color w:val="000000"/>
          <w:lang w:val="es-ES"/>
        </w:rPr>
      </w:pPr>
      <w:r w:rsidRPr="00A70E75">
        <w:rPr>
          <w:rFonts w:ascii="Arial" w:eastAsia="Calibri" w:hAnsi="Arial" w:cs="Arial"/>
          <w:color w:val="000000"/>
          <w:lang w:val="es-ES"/>
        </w:rPr>
        <w:lastRenderedPageBreak/>
        <w:t xml:space="preserve">En ese orden de ideas, es posible afirmar que el legislador reconoce, en el artículo 4, la necesidad de un reglamento para el efectivo cumplimiento de la ley 2040 de 2020, lo que demuestra, para el caso concreto, una vigencia sometida a condición para el criterio de desempate de que trata el artículo 3. Es decir, nos encontramos frente a un caso donde la norma sometió su vigencia a la expedición de un reglamento, pues así se infiere de su contenido y antecedentes legislativos. Esta conclusión se ajusta a la necesidad de claridad que debe introducir el reglamento, en relación con la articulación y compatibilización del «nuevo criterio de desempate» con los preexistentes en el ordenamiento jurídico. </w:t>
      </w:r>
    </w:p>
    <w:p w:rsidR="009938CE" w:rsidRPr="009938CE" w:rsidRDefault="009938CE" w:rsidP="009938CE">
      <w:pPr>
        <w:spacing w:after="0" w:line="276" w:lineRule="auto"/>
        <w:ind w:firstLine="709"/>
        <w:jc w:val="both"/>
        <w:rPr>
          <w:rFonts w:ascii="Arial" w:eastAsia="Calibri" w:hAnsi="Arial" w:cs="Arial"/>
          <w:color w:val="000000"/>
          <w:sz w:val="24"/>
          <w:szCs w:val="24"/>
          <w:lang w:val="es-ES"/>
        </w:rPr>
      </w:pPr>
    </w:p>
    <w:p w:rsidR="009938CE" w:rsidRPr="009938CE" w:rsidRDefault="009938CE" w:rsidP="009938CE">
      <w:pPr>
        <w:numPr>
          <w:ilvl w:val="0"/>
          <w:numId w:val="1"/>
        </w:numPr>
        <w:tabs>
          <w:tab w:val="left" w:pos="284"/>
        </w:tabs>
        <w:spacing w:after="0" w:line="276" w:lineRule="auto"/>
        <w:ind w:left="0" w:firstLine="0"/>
        <w:contextualSpacing/>
        <w:rPr>
          <w:rFonts w:ascii="Arial" w:eastAsia="Calibri" w:hAnsi="Arial" w:cs="Arial"/>
          <w:b/>
          <w:bCs/>
          <w:color w:val="000000"/>
          <w:sz w:val="24"/>
          <w:szCs w:val="24"/>
          <w:lang w:val="es-ES"/>
        </w:rPr>
      </w:pPr>
      <w:r w:rsidRPr="009938CE">
        <w:rPr>
          <w:rFonts w:ascii="Arial" w:eastAsia="Calibri" w:hAnsi="Arial" w:cs="Arial"/>
          <w:b/>
          <w:bCs/>
          <w:color w:val="000000"/>
          <w:sz w:val="24"/>
          <w:szCs w:val="24"/>
          <w:lang w:val="es-ES"/>
        </w:rPr>
        <w:t xml:space="preserve">Respuesta </w:t>
      </w:r>
    </w:p>
    <w:p w:rsidR="009938CE" w:rsidRPr="009938CE" w:rsidRDefault="009938CE" w:rsidP="009938CE">
      <w:pPr>
        <w:spacing w:after="0" w:line="240" w:lineRule="auto"/>
        <w:ind w:left="709" w:right="709"/>
        <w:jc w:val="both"/>
        <w:rPr>
          <w:rFonts w:ascii="Arial" w:eastAsia="Calibri" w:hAnsi="Arial" w:cs="Arial"/>
          <w:color w:val="000000"/>
          <w:sz w:val="21"/>
          <w:szCs w:val="21"/>
          <w:lang w:val="es-ES"/>
        </w:rPr>
      </w:pPr>
    </w:p>
    <w:p w:rsidR="009938CE" w:rsidRPr="009938CE" w:rsidRDefault="009938CE" w:rsidP="009938CE">
      <w:pPr>
        <w:spacing w:after="0" w:line="240" w:lineRule="auto"/>
        <w:ind w:left="709" w:right="709"/>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i)</w:t>
      </w:r>
      <w:r w:rsidRPr="009938CE">
        <w:rPr>
          <w:rFonts w:ascii="Arial" w:eastAsia="Calibri" w:hAnsi="Arial" w:cs="Arial"/>
          <w:color w:val="000000"/>
          <w:sz w:val="21"/>
          <w:szCs w:val="21"/>
        </w:rPr>
        <w:t xml:space="preserve"> ¿</w:t>
      </w:r>
      <w:r w:rsidRPr="009938CE">
        <w:rPr>
          <w:rFonts w:ascii="Arial" w:eastAsia="Calibri" w:hAnsi="Arial" w:cs="Arial"/>
          <w:color w:val="000000"/>
          <w:sz w:val="21"/>
          <w:szCs w:val="21"/>
          <w:lang w:val="es-ES"/>
        </w:rPr>
        <w:t>es posible hacer uso en la actualidad del criterio de desempate de que trata el artículo 3 de la Ley 2040 de 2020 o, por el contrario, resulta necesario esperar hasta su reglamentación por parte del Gobierno Nacional?</w:t>
      </w:r>
    </w:p>
    <w:p w:rsidR="009938CE" w:rsidRPr="009938CE" w:rsidRDefault="009938CE" w:rsidP="009938CE">
      <w:pPr>
        <w:spacing w:after="0" w:line="240" w:lineRule="auto"/>
        <w:ind w:left="709" w:right="709"/>
        <w:jc w:val="both"/>
        <w:rPr>
          <w:rFonts w:ascii="Arial" w:eastAsia="Calibri" w:hAnsi="Arial" w:cs="Arial"/>
          <w:color w:val="000000"/>
          <w:sz w:val="21"/>
          <w:szCs w:val="21"/>
          <w:lang w:val="es-ES"/>
        </w:rPr>
      </w:pPr>
    </w:p>
    <w:p w:rsidR="009938CE" w:rsidRPr="00A70E75" w:rsidRDefault="009938CE" w:rsidP="009938CE">
      <w:pPr>
        <w:spacing w:after="0" w:line="276" w:lineRule="auto"/>
        <w:jc w:val="both"/>
        <w:rPr>
          <w:rFonts w:ascii="Arial" w:eastAsia="Calibri" w:hAnsi="Arial" w:cs="Arial"/>
          <w:color w:val="000000"/>
          <w:lang w:val="es-ES"/>
        </w:rPr>
      </w:pPr>
      <w:r w:rsidRPr="00A70E75">
        <w:rPr>
          <w:rFonts w:ascii="Arial" w:eastAsia="Calibri" w:hAnsi="Arial" w:cs="Arial"/>
          <w:color w:val="000000"/>
          <w:lang w:val="es-ES"/>
        </w:rPr>
        <w:t>El artículo 4 de la Ley 2040 de 2020 expresa la necesidad de contar con un reglamento para cumplir sus disposiciones, sometiendo su vigencia a condición, concretamente para el criterio de desempate de que trata el artículo 3, como se infiere de su contenido y de los antecedentes legislativos.</w:t>
      </w:r>
    </w:p>
    <w:p w:rsidR="009938CE" w:rsidRPr="00A70E75" w:rsidRDefault="009938CE" w:rsidP="009938CE">
      <w:pPr>
        <w:spacing w:before="120" w:after="0" w:line="276" w:lineRule="auto"/>
        <w:jc w:val="both"/>
        <w:rPr>
          <w:rFonts w:ascii="Arial" w:eastAsia="Calibri" w:hAnsi="Arial" w:cs="Arial"/>
          <w:color w:val="000000"/>
          <w:lang w:val="es-ES"/>
        </w:rPr>
      </w:pPr>
      <w:r w:rsidRPr="00A70E75">
        <w:rPr>
          <w:rFonts w:ascii="Arial" w:eastAsia="Calibri" w:hAnsi="Arial" w:cs="Arial"/>
          <w:color w:val="000000"/>
          <w:lang w:val="es-ES"/>
        </w:rPr>
        <w:t>Este concepto tiene el alcance previsto en el artículo 28 del Código de Procedimiento Administrativo y de lo Contencioso Administrativo.</w:t>
      </w:r>
    </w:p>
    <w:p w:rsidR="009938CE" w:rsidRPr="009938CE" w:rsidRDefault="009938CE" w:rsidP="009938CE">
      <w:pPr>
        <w:spacing w:after="0" w:line="240" w:lineRule="auto"/>
        <w:ind w:firstLine="709"/>
        <w:jc w:val="both"/>
        <w:rPr>
          <w:rFonts w:ascii="Arial" w:eastAsia="Calibri" w:hAnsi="Arial" w:cs="Arial"/>
          <w:color w:val="000000"/>
          <w:sz w:val="24"/>
          <w:szCs w:val="24"/>
          <w:lang w:val="es-ES"/>
        </w:rPr>
      </w:pPr>
    </w:p>
    <w:p w:rsidR="009938CE" w:rsidRPr="009938CE" w:rsidRDefault="009938CE" w:rsidP="009938CE">
      <w:pPr>
        <w:spacing w:after="0" w:line="240" w:lineRule="auto"/>
        <w:jc w:val="both"/>
        <w:rPr>
          <w:rFonts w:ascii="Arial" w:eastAsia="Times New Roman" w:hAnsi="Arial" w:cs="Arial"/>
          <w:color w:val="000000"/>
          <w:sz w:val="24"/>
          <w:szCs w:val="24"/>
          <w:lang w:val="es-ES" w:eastAsia="es-CO"/>
        </w:rPr>
      </w:pPr>
      <w:r w:rsidRPr="009938CE">
        <w:rPr>
          <w:rFonts w:ascii="Arial" w:eastAsia="Times New Roman" w:hAnsi="Arial" w:cs="Arial"/>
          <w:color w:val="000000"/>
          <w:sz w:val="24"/>
          <w:szCs w:val="24"/>
          <w:lang w:val="es-ES" w:eastAsia="es-CO"/>
        </w:rPr>
        <w:t>Atentamente,</w:t>
      </w:r>
    </w:p>
    <w:bookmarkEnd w:id="0"/>
    <w:bookmarkEnd w:id="1"/>
    <w:p w:rsidR="009938CE" w:rsidRPr="009938CE" w:rsidRDefault="00130781" w:rsidP="009938CE">
      <w:pPr>
        <w:spacing w:after="0" w:line="240" w:lineRule="auto"/>
        <w:jc w:val="center"/>
        <w:rPr>
          <w:rFonts w:ascii="Times New Roman" w:eastAsia="Times New Roman" w:hAnsi="Times New Roman" w:cs="Times New Roman"/>
          <w:sz w:val="24"/>
          <w:szCs w:val="24"/>
          <w:lang w:val="es-ES"/>
        </w:rPr>
      </w:pPr>
      <w:r>
        <w:rPr>
          <w:noProof/>
          <w:lang w:eastAsia="es-CO"/>
        </w:rPr>
        <w:drawing>
          <wp:inline distT="0" distB="0" distL="0" distR="0" wp14:anchorId="078E28EE" wp14:editId="73C4E303">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rsidR="009938CE" w:rsidRPr="009938CE" w:rsidRDefault="009938CE" w:rsidP="009938CE">
      <w:pPr>
        <w:spacing w:after="0" w:line="240" w:lineRule="auto"/>
        <w:jc w:val="center"/>
        <w:rPr>
          <w:rFonts w:ascii="Times New Roman" w:eastAsia="Times New Roman" w:hAnsi="Times New Roman" w:cs="Times New Roman"/>
          <w:sz w:val="24"/>
          <w:szCs w:val="24"/>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938CE" w:rsidRPr="009938CE" w:rsidTr="009938CE">
        <w:trPr>
          <w:trHeight w:val="315"/>
        </w:trPr>
        <w:tc>
          <w:tcPr>
            <w:tcW w:w="812" w:type="dxa"/>
            <w:vAlign w:val="center"/>
            <w:hideMark/>
          </w:tcPr>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t>Elaboró:</w:t>
            </w:r>
          </w:p>
        </w:tc>
        <w:tc>
          <w:tcPr>
            <w:tcW w:w="4413" w:type="dxa"/>
            <w:tcBorders>
              <w:top w:val="nil"/>
              <w:left w:val="nil"/>
              <w:bottom w:val="dotted" w:sz="4" w:space="0" w:color="7F7F7F"/>
              <w:right w:val="nil"/>
            </w:tcBorders>
            <w:vAlign w:val="center"/>
            <w:hideMark/>
          </w:tcPr>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t xml:space="preserve">Sebastián Barreto Cifuentes </w:t>
            </w:r>
          </w:p>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t>Contratista Dirección y Subdirección de Gestión Contractual</w:t>
            </w:r>
          </w:p>
        </w:tc>
      </w:tr>
      <w:tr w:rsidR="009938CE" w:rsidRPr="009938CE" w:rsidTr="009938CE">
        <w:trPr>
          <w:trHeight w:val="330"/>
        </w:trPr>
        <w:tc>
          <w:tcPr>
            <w:tcW w:w="812" w:type="dxa"/>
            <w:vAlign w:val="center"/>
            <w:hideMark/>
          </w:tcPr>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t>Revisó:</w:t>
            </w:r>
          </w:p>
        </w:tc>
        <w:tc>
          <w:tcPr>
            <w:tcW w:w="4413" w:type="dxa"/>
            <w:tcBorders>
              <w:top w:val="dotted" w:sz="4" w:space="0" w:color="7F7F7F"/>
              <w:left w:val="nil"/>
              <w:bottom w:val="dotted" w:sz="4" w:space="0" w:color="7F7F7F"/>
              <w:right w:val="nil"/>
            </w:tcBorders>
            <w:vAlign w:val="center"/>
            <w:hideMark/>
          </w:tcPr>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t>Fabián Gonzalo Marín Cortés</w:t>
            </w:r>
          </w:p>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t>Subdirector de Gestión Contractual</w:t>
            </w:r>
          </w:p>
        </w:tc>
      </w:tr>
      <w:tr w:rsidR="009938CE" w:rsidRPr="009938CE" w:rsidTr="009938CE">
        <w:trPr>
          <w:trHeight w:val="300"/>
        </w:trPr>
        <w:tc>
          <w:tcPr>
            <w:tcW w:w="812" w:type="dxa"/>
            <w:vAlign w:val="center"/>
            <w:hideMark/>
          </w:tcPr>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t>Aprobó:</w:t>
            </w:r>
          </w:p>
        </w:tc>
        <w:tc>
          <w:tcPr>
            <w:tcW w:w="4413" w:type="dxa"/>
            <w:tcBorders>
              <w:top w:val="dotted" w:sz="4" w:space="0" w:color="7F7F7F"/>
              <w:left w:val="nil"/>
              <w:bottom w:val="dotted" w:sz="4" w:space="0" w:color="7F7F7F"/>
              <w:right w:val="nil"/>
            </w:tcBorders>
            <w:vAlign w:val="center"/>
            <w:hideMark/>
          </w:tcPr>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t>Fabián Gonzalo Marín Cortés</w:t>
            </w:r>
          </w:p>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t>Subdirector de Gestión Contractual</w:t>
            </w:r>
          </w:p>
        </w:tc>
      </w:tr>
    </w:tbl>
    <w:p w:rsidR="009938CE" w:rsidRPr="009938CE" w:rsidRDefault="009938CE" w:rsidP="009938CE">
      <w:pPr>
        <w:spacing w:after="0" w:line="240" w:lineRule="auto"/>
        <w:rPr>
          <w:rFonts w:ascii="Calibri" w:eastAsia="Calibri" w:hAnsi="Calibri" w:cs="Times New Roman"/>
          <w:sz w:val="24"/>
          <w:szCs w:val="24"/>
          <w:lang w:val="es-ES"/>
        </w:rPr>
      </w:pPr>
    </w:p>
    <w:p w:rsidR="009938CE" w:rsidRPr="009938CE" w:rsidRDefault="009938CE" w:rsidP="009938CE">
      <w:pPr>
        <w:spacing w:after="0" w:line="240" w:lineRule="auto"/>
        <w:rPr>
          <w:rFonts w:ascii="Calibri" w:eastAsia="Calibri" w:hAnsi="Calibri" w:cs="Times New Roman"/>
          <w:sz w:val="24"/>
          <w:szCs w:val="24"/>
          <w:lang w:val="es-ES"/>
        </w:rPr>
      </w:pPr>
    </w:p>
    <w:p w:rsidR="009938CE" w:rsidRPr="009938CE" w:rsidRDefault="009938CE" w:rsidP="009938CE">
      <w:pPr>
        <w:spacing w:after="0" w:line="240" w:lineRule="auto"/>
        <w:rPr>
          <w:rFonts w:ascii="Calibri" w:eastAsia="Calibri" w:hAnsi="Calibri" w:cs="Times New Roman"/>
          <w:sz w:val="24"/>
          <w:szCs w:val="24"/>
        </w:rPr>
      </w:pPr>
    </w:p>
    <w:p w:rsidR="00C00D1F" w:rsidRPr="009938CE" w:rsidRDefault="00C00D1F" w:rsidP="009938CE"/>
    <w:sectPr w:rsidR="00C00D1F" w:rsidRPr="009938CE" w:rsidSect="009938CE">
      <w:headerReference w:type="default" r:id="rId8"/>
      <w:footerReference w:type="default" r:id="rId9"/>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9EF" w:rsidRDefault="00E169EF" w:rsidP="00E44FED">
      <w:pPr>
        <w:spacing w:after="0" w:line="240" w:lineRule="auto"/>
      </w:pPr>
      <w:r>
        <w:separator/>
      </w:r>
    </w:p>
  </w:endnote>
  <w:endnote w:type="continuationSeparator" w:id="0">
    <w:p w:rsidR="00E169EF" w:rsidRDefault="00E169EF" w:rsidP="00E44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CE6" w:rsidRDefault="00E169EF" w:rsidP="007115CD">
    <w:pPr>
      <w:pStyle w:val="Sinespaciado"/>
      <w:jc w:val="right"/>
      <w:rPr>
        <w:rFonts w:ascii="Arial" w:hAnsi="Arial" w:cs="Arial"/>
        <w:sz w:val="18"/>
        <w:szCs w:val="18"/>
      </w:rPr>
    </w:pPr>
  </w:p>
  <w:p w:rsidR="007D4CE6" w:rsidRPr="004048F6" w:rsidRDefault="00AF5A12" w:rsidP="007115CD">
    <w:pPr>
      <w:pStyle w:val="Piedepgina"/>
      <w:jc w:val="right"/>
      <w:rPr>
        <w:rFonts w:ascii="Arial" w:hAnsi="Arial" w:cs="Arial"/>
        <w:color w:val="7F7F7F"/>
        <w:sz w:val="16"/>
        <w:szCs w:val="16"/>
      </w:rPr>
    </w:pPr>
    <w:r w:rsidRPr="004048F6">
      <w:rPr>
        <w:rFonts w:ascii="Arial" w:hAnsi="Arial" w:cs="Arial"/>
        <w:bCs/>
        <w:color w:val="7F7F7F"/>
        <w:sz w:val="16"/>
        <w:szCs w:val="16"/>
      </w:rPr>
      <w:t xml:space="preserve">Página </w:t>
    </w:r>
    <w:r w:rsidRPr="004048F6">
      <w:rPr>
        <w:rFonts w:ascii="Arial" w:hAnsi="Arial" w:cs="Arial"/>
        <w:b/>
        <w:bCs/>
        <w:color w:val="7F7F7F"/>
        <w:sz w:val="16"/>
        <w:szCs w:val="16"/>
      </w:rPr>
      <w:fldChar w:fldCharType="begin"/>
    </w:r>
    <w:r w:rsidRPr="004048F6">
      <w:rPr>
        <w:rFonts w:ascii="Arial" w:hAnsi="Arial" w:cs="Arial"/>
        <w:b/>
        <w:bCs/>
        <w:color w:val="7F7F7F"/>
        <w:sz w:val="16"/>
        <w:szCs w:val="16"/>
      </w:rPr>
      <w:instrText>PAGE  \* Arabic  \* MERGEFORMAT</w:instrText>
    </w:r>
    <w:r w:rsidRPr="004048F6">
      <w:rPr>
        <w:rFonts w:ascii="Arial" w:hAnsi="Arial" w:cs="Arial"/>
        <w:b/>
        <w:bCs/>
        <w:color w:val="7F7F7F"/>
        <w:sz w:val="16"/>
        <w:szCs w:val="16"/>
      </w:rPr>
      <w:fldChar w:fldCharType="separate"/>
    </w:r>
    <w:r w:rsidR="00282E83">
      <w:rPr>
        <w:rFonts w:ascii="Arial" w:hAnsi="Arial" w:cs="Arial"/>
        <w:b/>
        <w:bCs/>
        <w:noProof/>
        <w:color w:val="7F7F7F"/>
        <w:sz w:val="16"/>
        <w:szCs w:val="16"/>
      </w:rPr>
      <w:t>14</w:t>
    </w:r>
    <w:r w:rsidRPr="004048F6">
      <w:rPr>
        <w:rFonts w:ascii="Arial" w:hAnsi="Arial" w:cs="Arial"/>
        <w:b/>
        <w:bCs/>
        <w:color w:val="7F7F7F"/>
        <w:sz w:val="16"/>
        <w:szCs w:val="16"/>
      </w:rPr>
      <w:fldChar w:fldCharType="end"/>
    </w:r>
    <w:r w:rsidRPr="004048F6">
      <w:rPr>
        <w:rFonts w:ascii="Arial" w:hAnsi="Arial" w:cs="Arial"/>
        <w:color w:val="7F7F7F"/>
        <w:sz w:val="16"/>
        <w:szCs w:val="16"/>
      </w:rPr>
      <w:t xml:space="preserve"> de </w:t>
    </w:r>
    <w:r w:rsidRPr="004048F6">
      <w:rPr>
        <w:rFonts w:ascii="Arial" w:hAnsi="Arial" w:cs="Arial"/>
        <w:b/>
        <w:bCs/>
        <w:color w:val="7F7F7F"/>
        <w:sz w:val="16"/>
        <w:szCs w:val="16"/>
      </w:rPr>
      <w:fldChar w:fldCharType="begin"/>
    </w:r>
    <w:r w:rsidRPr="004048F6">
      <w:rPr>
        <w:rFonts w:ascii="Arial" w:hAnsi="Arial" w:cs="Arial"/>
        <w:b/>
        <w:bCs/>
        <w:color w:val="7F7F7F"/>
        <w:sz w:val="16"/>
        <w:szCs w:val="16"/>
      </w:rPr>
      <w:instrText>NUMPAGES  \* Arabic  \* MERGEFORMAT</w:instrText>
    </w:r>
    <w:r w:rsidRPr="004048F6">
      <w:rPr>
        <w:rFonts w:ascii="Arial" w:hAnsi="Arial" w:cs="Arial"/>
        <w:b/>
        <w:bCs/>
        <w:color w:val="7F7F7F"/>
        <w:sz w:val="16"/>
        <w:szCs w:val="16"/>
      </w:rPr>
      <w:fldChar w:fldCharType="separate"/>
    </w:r>
    <w:r w:rsidR="00282E83">
      <w:rPr>
        <w:rFonts w:ascii="Arial" w:hAnsi="Arial" w:cs="Arial"/>
        <w:b/>
        <w:bCs/>
        <w:noProof/>
        <w:color w:val="7F7F7F"/>
        <w:sz w:val="16"/>
        <w:szCs w:val="16"/>
      </w:rPr>
      <w:t>14</w:t>
    </w:r>
    <w:r w:rsidRPr="004048F6">
      <w:rPr>
        <w:rFonts w:ascii="Arial" w:hAnsi="Arial" w:cs="Arial"/>
        <w:b/>
        <w:bCs/>
        <w:color w:val="7F7F7F"/>
        <w:sz w:val="16"/>
        <w:szCs w:val="16"/>
      </w:rPr>
      <w:fldChar w:fldCharType="end"/>
    </w:r>
  </w:p>
  <w:p w:rsidR="007D4CE6" w:rsidRDefault="00AF5A12" w:rsidP="007115CD">
    <w:pPr>
      <w:pStyle w:val="Piedepgina"/>
      <w:jc w:val="center"/>
      <w:rPr>
        <w:lang w:val="es-ES"/>
      </w:rPr>
    </w:pPr>
    <w:r>
      <w:rPr>
        <w:noProof/>
        <w:lang w:eastAsia="es-CO"/>
      </w:rPr>
      <w:drawing>
        <wp:inline distT="0" distB="0" distL="0" distR="0" wp14:anchorId="5C472558" wp14:editId="307083A7">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rsidR="007D4CE6" w:rsidRPr="00E756AC" w:rsidRDefault="00E169EF" w:rsidP="007115CD">
    <w:pPr>
      <w:pStyle w:val="Piedepgina"/>
      <w:jc w:val="center"/>
      <w:rPr>
        <w:sz w:val="18"/>
        <w:szCs w:val="18"/>
        <w:lang w:val="es-ES"/>
      </w:rPr>
    </w:pPr>
  </w:p>
  <w:p w:rsidR="007D4CE6" w:rsidRPr="00E756AC" w:rsidRDefault="00E169EF" w:rsidP="007115CD">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9EF" w:rsidRDefault="00E169EF" w:rsidP="00E44FED">
      <w:pPr>
        <w:spacing w:after="0" w:line="240" w:lineRule="auto"/>
      </w:pPr>
      <w:r>
        <w:separator/>
      </w:r>
    </w:p>
  </w:footnote>
  <w:footnote w:type="continuationSeparator" w:id="0">
    <w:p w:rsidR="00E169EF" w:rsidRDefault="00E169EF" w:rsidP="00E44FED">
      <w:pPr>
        <w:spacing w:after="0" w:line="240" w:lineRule="auto"/>
      </w:pPr>
      <w:r>
        <w:continuationSeparator/>
      </w:r>
    </w:p>
  </w:footnote>
  <w:footnote w:id="1">
    <w:p w:rsidR="009938CE" w:rsidRPr="00002995" w:rsidRDefault="009938CE" w:rsidP="009938CE">
      <w:pPr>
        <w:pStyle w:val="Textonotapie"/>
        <w:ind w:firstLine="708"/>
        <w:jc w:val="both"/>
        <w:rPr>
          <w:rFonts w:ascii="Arial" w:hAnsi="Arial" w:cs="Arial"/>
          <w:sz w:val="19"/>
          <w:szCs w:val="19"/>
          <w:lang w:val="en-US"/>
        </w:rPr>
      </w:pPr>
      <w:r w:rsidRPr="00002995">
        <w:rPr>
          <w:rStyle w:val="Refdenotaalpie"/>
          <w:rFonts w:ascii="Arial" w:hAnsi="Arial" w:cs="Arial"/>
          <w:sz w:val="19"/>
          <w:szCs w:val="19"/>
        </w:rPr>
        <w:footnoteRef/>
      </w:r>
      <w:r w:rsidRPr="00002995">
        <w:rPr>
          <w:rFonts w:ascii="Arial" w:hAnsi="Arial" w:cs="Arial"/>
          <w:sz w:val="19"/>
          <w:szCs w:val="19"/>
          <w:lang w:val="en-US"/>
        </w:rPr>
        <w:t xml:space="preserve"> EUROPEAN COMMISSION. Buying Green – A handbook on green procurement, 2016, disponible en: https://ec.europa.eu/environment/gpp/pdf/Buying-Green-Handbook-3rd-Edition.pdf  </w:t>
      </w:r>
    </w:p>
    <w:p w:rsidR="009938CE" w:rsidRPr="00002995" w:rsidRDefault="009938CE" w:rsidP="009938CE">
      <w:pPr>
        <w:pStyle w:val="Textonotapie"/>
        <w:ind w:firstLine="708"/>
        <w:jc w:val="both"/>
        <w:rPr>
          <w:rFonts w:ascii="Arial" w:hAnsi="Arial" w:cs="Arial"/>
          <w:sz w:val="19"/>
          <w:szCs w:val="19"/>
          <w:lang w:val="en-US"/>
        </w:rPr>
      </w:pPr>
    </w:p>
  </w:footnote>
  <w:footnote w:id="2">
    <w:p w:rsidR="009938CE" w:rsidRPr="00002995" w:rsidRDefault="009938CE" w:rsidP="009938CE">
      <w:pPr>
        <w:pStyle w:val="Textonotapie"/>
        <w:ind w:firstLine="708"/>
        <w:jc w:val="both"/>
        <w:rPr>
          <w:rFonts w:ascii="Arial" w:hAnsi="Arial" w:cs="Arial"/>
          <w:sz w:val="19"/>
          <w:szCs w:val="19"/>
          <w:lang w:val="es-CO"/>
        </w:rPr>
      </w:pPr>
      <w:r w:rsidRPr="00002995">
        <w:rPr>
          <w:rStyle w:val="Refdenotaalpie"/>
          <w:rFonts w:ascii="Arial" w:hAnsi="Arial" w:cs="Arial"/>
          <w:sz w:val="19"/>
          <w:szCs w:val="19"/>
        </w:rPr>
        <w:footnoteRef/>
      </w:r>
      <w:r w:rsidRPr="00002995">
        <w:rPr>
          <w:rFonts w:ascii="Arial" w:hAnsi="Arial" w:cs="Arial"/>
          <w:sz w:val="19"/>
          <w:szCs w:val="19"/>
          <w:lang w:val="es-ES"/>
        </w:rPr>
        <w:t xml:space="preserve"> ARROWSMITH, SUE. </w:t>
      </w:r>
      <w:r w:rsidRPr="00002995">
        <w:rPr>
          <w:rFonts w:ascii="Arial" w:hAnsi="Arial" w:cs="Arial"/>
          <w:sz w:val="19"/>
          <w:szCs w:val="19"/>
          <w:lang w:val="es-CO"/>
        </w:rPr>
        <w:t>Políticas horizontales en la contratación pública: una taxonomía, Revista Digital de Derecho Administrativo. Bogotá: Universidad Externado de Colombia, 2019, pp. 224-226.</w:t>
      </w:r>
    </w:p>
    <w:p w:rsidR="009938CE" w:rsidRPr="00002995" w:rsidRDefault="009938CE" w:rsidP="009938CE">
      <w:pPr>
        <w:pStyle w:val="Textonotapie"/>
        <w:ind w:firstLine="708"/>
        <w:jc w:val="both"/>
        <w:rPr>
          <w:rFonts w:ascii="Arial" w:hAnsi="Arial" w:cs="Arial"/>
          <w:sz w:val="19"/>
          <w:szCs w:val="19"/>
          <w:lang w:val="es-CO"/>
        </w:rPr>
      </w:pPr>
    </w:p>
  </w:footnote>
  <w:footnote w:id="3">
    <w:p w:rsidR="009938CE" w:rsidRPr="00002995" w:rsidRDefault="009938CE" w:rsidP="009938CE">
      <w:pPr>
        <w:pStyle w:val="Textonotapie"/>
        <w:ind w:firstLine="708"/>
        <w:jc w:val="both"/>
        <w:rPr>
          <w:rFonts w:ascii="Arial" w:hAnsi="Arial" w:cs="Arial"/>
          <w:sz w:val="19"/>
          <w:szCs w:val="19"/>
          <w:lang w:val="es-CO"/>
        </w:rPr>
      </w:pPr>
      <w:r w:rsidRPr="00002995">
        <w:rPr>
          <w:rStyle w:val="Refdenotaalpie"/>
          <w:rFonts w:ascii="Arial" w:hAnsi="Arial" w:cs="Arial"/>
          <w:sz w:val="19"/>
          <w:szCs w:val="19"/>
        </w:rPr>
        <w:footnoteRef/>
      </w:r>
      <w:r w:rsidRPr="00002995">
        <w:rPr>
          <w:rFonts w:ascii="Arial" w:hAnsi="Arial" w:cs="Arial"/>
          <w:sz w:val="19"/>
          <w:szCs w:val="19"/>
        </w:rPr>
        <w:t xml:space="preserve"> </w:t>
      </w:r>
      <w:r w:rsidRPr="00002995">
        <w:rPr>
          <w:rFonts w:ascii="Arial" w:hAnsi="Arial" w:cs="Arial"/>
          <w:sz w:val="19"/>
          <w:szCs w:val="19"/>
          <w:lang w:val="es-CO"/>
        </w:rPr>
        <w:t xml:space="preserve">Ibídem, p. 227. </w:t>
      </w:r>
    </w:p>
    <w:p w:rsidR="009938CE" w:rsidRPr="00002995" w:rsidRDefault="009938CE" w:rsidP="009938CE">
      <w:pPr>
        <w:pStyle w:val="Textonotapie"/>
        <w:ind w:firstLine="708"/>
        <w:jc w:val="both"/>
        <w:rPr>
          <w:rFonts w:ascii="Arial" w:hAnsi="Arial" w:cs="Arial"/>
          <w:sz w:val="19"/>
          <w:szCs w:val="19"/>
          <w:lang w:val="es-CO"/>
        </w:rPr>
      </w:pPr>
    </w:p>
  </w:footnote>
  <w:footnote w:id="4">
    <w:p w:rsidR="009938CE" w:rsidRPr="00002995" w:rsidRDefault="009938CE" w:rsidP="009938CE">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w:t>
      </w:r>
      <w:r w:rsidRPr="00002995">
        <w:rPr>
          <w:rFonts w:ascii="Arial" w:hAnsi="Arial" w:cs="Arial"/>
          <w:sz w:val="19"/>
          <w:szCs w:val="19"/>
          <w:lang w:val="es-CO"/>
        </w:rPr>
        <w:t xml:space="preserve">CONSEJO DE ESTADO, SALA DE CONSULTA Y SERVICIO CIVIL. Concepto del 8 de marzo de 2017, rad. </w:t>
      </w:r>
      <w:r w:rsidRPr="00002995">
        <w:rPr>
          <w:rFonts w:ascii="Arial" w:hAnsi="Arial" w:cs="Arial"/>
          <w:sz w:val="19"/>
          <w:szCs w:val="19"/>
        </w:rPr>
        <w:t xml:space="preserve">11001-03-06-000-2016-00102-00(2298). CP. Édgar González López. </w:t>
      </w:r>
    </w:p>
    <w:p w:rsidR="009938CE" w:rsidRPr="00002995" w:rsidRDefault="009938CE" w:rsidP="009938CE">
      <w:pPr>
        <w:pStyle w:val="Textonotapie"/>
        <w:ind w:firstLine="708"/>
        <w:jc w:val="both"/>
        <w:rPr>
          <w:rFonts w:ascii="Arial" w:hAnsi="Arial" w:cs="Arial"/>
          <w:sz w:val="19"/>
          <w:szCs w:val="19"/>
          <w:lang w:val="es-CO"/>
        </w:rPr>
      </w:pPr>
    </w:p>
  </w:footnote>
  <w:footnote w:id="5">
    <w:p w:rsidR="009938CE" w:rsidRPr="00002995" w:rsidRDefault="009938CE" w:rsidP="009938CE">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DUQUE BOTERO, Juan David. Contratación pública estratégica, socialmente responsable y competitiva. Bogotá: Tirant Lo Blanch, 2018. p. 52. </w:t>
      </w:r>
    </w:p>
  </w:footnote>
  <w:footnote w:id="6">
    <w:p w:rsidR="009938CE" w:rsidRPr="009938CE" w:rsidRDefault="009938CE" w:rsidP="009938CE">
      <w:pPr>
        <w:pStyle w:val="Textonotapie"/>
        <w:ind w:firstLine="708"/>
        <w:jc w:val="both"/>
        <w:rPr>
          <w:rFonts w:ascii="Arial" w:hAnsi="Arial" w:cs="Arial"/>
          <w:color w:val="000000"/>
          <w:sz w:val="19"/>
          <w:szCs w:val="19"/>
        </w:rPr>
      </w:pPr>
      <w:r w:rsidRPr="009938CE">
        <w:rPr>
          <w:rStyle w:val="Refdenotaalpie"/>
          <w:rFonts w:ascii="Arial" w:hAnsi="Arial" w:cs="Arial"/>
          <w:color w:val="000000"/>
          <w:sz w:val="19"/>
          <w:szCs w:val="19"/>
        </w:rPr>
        <w:footnoteRef/>
      </w:r>
      <w:r w:rsidRPr="009938CE">
        <w:rPr>
          <w:rFonts w:ascii="Arial" w:hAnsi="Arial" w:cs="Arial"/>
          <w:color w:val="000000"/>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rsidR="009938CE" w:rsidRPr="009938CE" w:rsidRDefault="009938CE" w:rsidP="009938CE">
      <w:pPr>
        <w:pStyle w:val="Textonotapie"/>
        <w:ind w:firstLine="708"/>
        <w:jc w:val="both"/>
        <w:rPr>
          <w:rFonts w:ascii="Arial" w:hAnsi="Arial" w:cs="Arial"/>
          <w:color w:val="000000"/>
          <w:sz w:val="19"/>
          <w:szCs w:val="19"/>
        </w:rPr>
      </w:pPr>
      <w:r w:rsidRPr="009938CE">
        <w:rPr>
          <w:rFonts w:ascii="Arial" w:hAnsi="Arial" w:cs="Arial"/>
          <w:color w:val="000000"/>
          <w:sz w:val="19"/>
          <w:szCs w:val="19"/>
        </w:rPr>
        <w:t>»[…]</w:t>
      </w:r>
    </w:p>
    <w:p w:rsidR="009938CE" w:rsidRPr="009938CE" w:rsidRDefault="009938CE" w:rsidP="009938CE">
      <w:pPr>
        <w:pStyle w:val="Textonotapie"/>
        <w:ind w:firstLine="708"/>
        <w:jc w:val="both"/>
        <w:rPr>
          <w:rFonts w:ascii="Arial" w:hAnsi="Arial" w:cs="Arial"/>
          <w:color w:val="000000"/>
          <w:sz w:val="19"/>
          <w:szCs w:val="19"/>
        </w:rPr>
      </w:pPr>
      <w:r w:rsidRPr="009938CE">
        <w:rPr>
          <w:rFonts w:ascii="Arial" w:hAnsi="Arial" w:cs="Arial"/>
          <w:color w:val="000000"/>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rsidR="009938CE" w:rsidRPr="009938CE" w:rsidRDefault="009938CE" w:rsidP="009938CE">
      <w:pPr>
        <w:pStyle w:val="Textonotapie"/>
        <w:ind w:firstLine="708"/>
        <w:jc w:val="both"/>
        <w:rPr>
          <w:rFonts w:ascii="Arial" w:hAnsi="Arial" w:cs="Arial"/>
          <w:color w:val="000000"/>
          <w:sz w:val="19"/>
          <w:szCs w:val="19"/>
          <w:lang w:val="es-ES"/>
        </w:rPr>
      </w:pPr>
    </w:p>
  </w:footnote>
  <w:footnote w:id="7">
    <w:p w:rsidR="009938CE" w:rsidRPr="009938CE" w:rsidRDefault="009938CE" w:rsidP="009938CE">
      <w:pPr>
        <w:pStyle w:val="Textonotapie"/>
        <w:ind w:firstLine="708"/>
        <w:jc w:val="both"/>
        <w:rPr>
          <w:rFonts w:ascii="Arial" w:hAnsi="Arial" w:cs="Arial"/>
          <w:color w:val="000000"/>
          <w:sz w:val="19"/>
          <w:szCs w:val="19"/>
        </w:rPr>
      </w:pPr>
      <w:r w:rsidRPr="009938CE">
        <w:rPr>
          <w:rStyle w:val="Refdenotaalpie"/>
          <w:rFonts w:ascii="Arial" w:hAnsi="Arial" w:cs="Arial"/>
          <w:color w:val="000000"/>
          <w:sz w:val="19"/>
          <w:szCs w:val="19"/>
        </w:rPr>
        <w:footnoteRef/>
      </w:r>
      <w:r w:rsidRPr="009938CE">
        <w:rPr>
          <w:rFonts w:ascii="Arial" w:hAnsi="Arial" w:cs="Arial"/>
          <w:color w:val="000000"/>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rsidR="009938CE" w:rsidRPr="009938CE" w:rsidRDefault="009938CE" w:rsidP="009938CE">
      <w:pPr>
        <w:pStyle w:val="Textonotapie"/>
        <w:ind w:firstLine="708"/>
        <w:jc w:val="both"/>
        <w:rPr>
          <w:rFonts w:ascii="Arial" w:hAnsi="Arial" w:cs="Arial"/>
          <w:color w:val="000000"/>
          <w:sz w:val="19"/>
          <w:szCs w:val="19"/>
        </w:rPr>
      </w:pPr>
      <w:r w:rsidRPr="009938CE">
        <w:rPr>
          <w:rFonts w:ascii="Arial" w:hAnsi="Arial" w:cs="Arial"/>
          <w:color w:val="000000"/>
          <w:sz w:val="19"/>
          <w:szCs w:val="19"/>
        </w:rPr>
        <w:t>[…]</w:t>
      </w:r>
    </w:p>
    <w:p w:rsidR="009938CE" w:rsidRPr="009938CE" w:rsidRDefault="009938CE" w:rsidP="009938CE">
      <w:pPr>
        <w:pStyle w:val="Textonotapie"/>
        <w:ind w:firstLine="708"/>
        <w:jc w:val="both"/>
        <w:rPr>
          <w:rFonts w:ascii="Arial" w:hAnsi="Arial" w:cs="Arial"/>
          <w:color w:val="000000"/>
          <w:sz w:val="19"/>
          <w:szCs w:val="19"/>
        </w:rPr>
      </w:pPr>
      <w:r w:rsidRPr="009938CE">
        <w:rPr>
          <w:rFonts w:ascii="Arial" w:hAnsi="Arial" w:cs="Arial"/>
          <w:color w:val="000000"/>
          <w:sz w:val="19"/>
          <w:szCs w:val="19"/>
        </w:rPr>
        <w:t>»Servicios Nacionales: Servicios prestados por personas naturales colombianas o residentes en Colombia o por personas jurídicas constituidas de conformidad con la legislación colombiana».</w:t>
      </w:r>
    </w:p>
    <w:p w:rsidR="009938CE" w:rsidRPr="009938CE" w:rsidRDefault="009938CE" w:rsidP="009938CE">
      <w:pPr>
        <w:pStyle w:val="Textonotapie"/>
        <w:ind w:firstLine="708"/>
        <w:jc w:val="both"/>
        <w:rPr>
          <w:rFonts w:ascii="Arial" w:hAnsi="Arial" w:cs="Arial"/>
          <w:color w:val="000000"/>
          <w:sz w:val="19"/>
          <w:szCs w:val="19"/>
        </w:rPr>
      </w:pPr>
    </w:p>
  </w:footnote>
  <w:footnote w:id="8">
    <w:p w:rsidR="009938CE" w:rsidRPr="00002995" w:rsidRDefault="009938CE" w:rsidP="009938CE">
      <w:pPr>
        <w:pStyle w:val="Textonotapie"/>
        <w:ind w:firstLine="708"/>
        <w:jc w:val="both"/>
        <w:rPr>
          <w:rFonts w:ascii="Arial" w:hAnsi="Arial" w:cs="Arial"/>
          <w:sz w:val="19"/>
          <w:szCs w:val="19"/>
          <w:lang w:val="es-ES"/>
        </w:rPr>
      </w:pPr>
      <w:r w:rsidRPr="00002995">
        <w:rPr>
          <w:rStyle w:val="Refdenotaalpie"/>
          <w:rFonts w:ascii="Arial" w:hAnsi="Arial" w:cs="Arial"/>
          <w:sz w:val="19"/>
          <w:szCs w:val="19"/>
        </w:rPr>
        <w:footnoteRef/>
      </w:r>
      <w:r w:rsidRPr="00002995">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9">
    <w:p w:rsidR="009938CE" w:rsidRPr="00002995" w:rsidRDefault="009938CE" w:rsidP="009938CE">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En ese sentido, ver CORTE CONSTITUCIONAL. Sentencia C-619 del 14 de junio de 2001. M.P. Marco Gerardo Monry Cabra. </w:t>
      </w:r>
    </w:p>
    <w:p w:rsidR="009938CE" w:rsidRPr="00002995" w:rsidRDefault="009938CE" w:rsidP="009938CE">
      <w:pPr>
        <w:pStyle w:val="Textonotapie"/>
        <w:ind w:firstLine="708"/>
        <w:jc w:val="both"/>
        <w:rPr>
          <w:rFonts w:ascii="Arial" w:hAnsi="Arial" w:cs="Arial"/>
          <w:sz w:val="19"/>
          <w:szCs w:val="19"/>
        </w:rPr>
      </w:pPr>
    </w:p>
  </w:footnote>
  <w:footnote w:id="10">
    <w:p w:rsidR="009938CE" w:rsidRPr="00002995" w:rsidRDefault="009938CE" w:rsidP="009938CE">
      <w:pPr>
        <w:pStyle w:val="Textonotapie"/>
        <w:ind w:firstLine="708"/>
        <w:jc w:val="both"/>
        <w:rPr>
          <w:rFonts w:ascii="Arial" w:hAnsi="Arial" w:cs="Arial"/>
          <w:sz w:val="19"/>
          <w:szCs w:val="19"/>
          <w:lang w:val="es-ES"/>
        </w:rPr>
      </w:pPr>
      <w:r w:rsidRPr="00002995">
        <w:rPr>
          <w:rStyle w:val="Refdenotaalpie"/>
          <w:rFonts w:ascii="Arial" w:hAnsi="Arial" w:cs="Arial"/>
          <w:sz w:val="19"/>
          <w:szCs w:val="19"/>
        </w:rPr>
        <w:footnoteRef/>
      </w:r>
      <w:r w:rsidRPr="00002995">
        <w:rPr>
          <w:rFonts w:ascii="Arial" w:hAnsi="Arial" w:cs="Arial"/>
          <w:sz w:val="19"/>
          <w:szCs w:val="19"/>
        </w:rPr>
        <w:t xml:space="preserve"> Gacetas del Congreso 948 de 2018, 192 de 2019, 900 de 2019, y 314 de 2020. </w:t>
      </w:r>
    </w:p>
  </w:footnote>
  <w:footnote w:id="11">
    <w:p w:rsidR="009938CE" w:rsidRDefault="009938CE" w:rsidP="009938CE">
      <w:pPr>
        <w:pStyle w:val="Textonotapie"/>
        <w:ind w:firstLine="708"/>
        <w:jc w:val="both"/>
        <w:rPr>
          <w:rFonts w:ascii="Arial" w:hAnsi="Arial" w:cs="Arial"/>
          <w:sz w:val="19"/>
          <w:szCs w:val="19"/>
        </w:rPr>
      </w:pPr>
    </w:p>
    <w:p w:rsidR="009938CE" w:rsidRPr="00002995" w:rsidRDefault="009938CE" w:rsidP="009938CE">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Gaceta del Congreso</w:t>
      </w:r>
      <w:r>
        <w:rPr>
          <w:rFonts w:ascii="Arial" w:hAnsi="Arial" w:cs="Arial"/>
          <w:sz w:val="19"/>
          <w:szCs w:val="19"/>
        </w:rPr>
        <w:t>.</w:t>
      </w:r>
      <w:r w:rsidRPr="00002995">
        <w:rPr>
          <w:rFonts w:ascii="Arial" w:hAnsi="Arial" w:cs="Arial"/>
          <w:sz w:val="19"/>
          <w:szCs w:val="19"/>
        </w:rPr>
        <w:t xml:space="preserve"> 314</w:t>
      </w:r>
      <w:r>
        <w:rPr>
          <w:rFonts w:ascii="Arial" w:hAnsi="Arial" w:cs="Arial"/>
          <w:sz w:val="19"/>
          <w:szCs w:val="19"/>
        </w:rPr>
        <w:t xml:space="preserve"> del</w:t>
      </w:r>
      <w:r w:rsidRPr="00002995">
        <w:rPr>
          <w:rFonts w:ascii="Arial" w:hAnsi="Arial" w:cs="Arial"/>
          <w:sz w:val="19"/>
          <w:szCs w:val="19"/>
        </w:rPr>
        <w:t xml:space="preserve"> </w:t>
      </w:r>
      <w:r>
        <w:rPr>
          <w:rFonts w:ascii="Arial" w:hAnsi="Arial" w:cs="Arial"/>
          <w:sz w:val="19"/>
          <w:szCs w:val="19"/>
        </w:rPr>
        <w:t>m</w:t>
      </w:r>
      <w:r w:rsidRPr="00002995">
        <w:rPr>
          <w:rFonts w:ascii="Arial" w:hAnsi="Arial" w:cs="Arial"/>
          <w:sz w:val="19"/>
          <w:szCs w:val="19"/>
        </w:rPr>
        <w:t>iércoles 10 de junio de 2020</w:t>
      </w:r>
      <w:r>
        <w:rPr>
          <w:rFonts w:ascii="Arial" w:hAnsi="Arial" w:cs="Arial"/>
          <w:sz w:val="19"/>
          <w:szCs w:val="19"/>
        </w:rPr>
        <w:t>,</w:t>
      </w:r>
      <w:r w:rsidRPr="00002995">
        <w:rPr>
          <w:rFonts w:ascii="Arial" w:hAnsi="Arial" w:cs="Arial"/>
          <w:sz w:val="19"/>
          <w:szCs w:val="19"/>
        </w:rPr>
        <w:t xml:space="preserve"> Página 7.</w:t>
      </w:r>
    </w:p>
    <w:p w:rsidR="009938CE" w:rsidRPr="00002995" w:rsidRDefault="009938CE" w:rsidP="009938CE">
      <w:pPr>
        <w:pStyle w:val="Textonotapie"/>
        <w:ind w:firstLine="708"/>
        <w:jc w:val="both"/>
        <w:rPr>
          <w:rFonts w:ascii="Arial" w:hAnsi="Arial" w:cs="Arial"/>
          <w:sz w:val="19"/>
          <w:szCs w:val="19"/>
          <w:lang w:val="es-ES"/>
        </w:rPr>
      </w:pPr>
    </w:p>
  </w:footnote>
  <w:footnote w:id="12">
    <w:p w:rsidR="009938CE" w:rsidRPr="00002995" w:rsidRDefault="009938CE" w:rsidP="009938CE">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El artículo 4 de la Ley 2040 de 2020 señala lo siguiente: «Reglamentación y verificación. El Gobierno nacional, en consulta con el Consejo Nacional del Adulto Mayor, deberá reglamentar presente ley en un término no mayor a seis (6) meses contados a partir de la expedición de la presente ley, por lo menos en los siguientes aspectos: i) Estrategias para la promoción del empleo de personas mayores que no sean beneficiarios de la pensión de vejez, familiar o de sobrevivencia y que hayan cumplido el requisito de edad de pensión establecido en la Ley en el sector público; ii) tipos de actividades y oficios que pueden asignárseles a los adultos mayores trabajadores cobijados por esta ley; iii) Derechos y obligaciones especiales de las empresas empleadoras que se acojan a esta ley; iv) Procedimiento de verificación del cumplimiento de requisitos por parte de las empresas empleadoras. </w:t>
      </w:r>
    </w:p>
    <w:p w:rsidR="009938CE" w:rsidRPr="00002995" w:rsidRDefault="009938CE" w:rsidP="009938CE">
      <w:pPr>
        <w:pStyle w:val="Textonotapie"/>
        <w:ind w:firstLine="708"/>
        <w:jc w:val="both"/>
        <w:rPr>
          <w:rFonts w:ascii="Arial" w:hAnsi="Arial" w:cs="Arial"/>
          <w:sz w:val="19"/>
          <w:szCs w:val="19"/>
        </w:rPr>
      </w:pPr>
      <w:r w:rsidRPr="00002995">
        <w:rPr>
          <w:rFonts w:ascii="Arial" w:hAnsi="Arial" w:cs="Arial"/>
          <w:sz w:val="19"/>
          <w:szCs w:val="19"/>
        </w:rPr>
        <w:t xml:space="preserve">»Parágrafo 1. Será responsabilidad de las empresas certificar ante el Ministerio del Trabajo el cumplimiento de los requisitos para acceder a los beneficios contemplados por esta ley. </w:t>
      </w:r>
    </w:p>
    <w:p w:rsidR="009938CE" w:rsidRPr="00002995" w:rsidRDefault="009938CE" w:rsidP="009938CE">
      <w:pPr>
        <w:pStyle w:val="Textonotapie"/>
        <w:ind w:firstLine="708"/>
        <w:jc w:val="both"/>
        <w:rPr>
          <w:rFonts w:ascii="Arial" w:hAnsi="Arial" w:cs="Arial"/>
          <w:sz w:val="19"/>
          <w:szCs w:val="19"/>
        </w:rPr>
      </w:pPr>
      <w:r w:rsidRPr="00002995">
        <w:rPr>
          <w:rFonts w:ascii="Arial" w:hAnsi="Arial" w:cs="Arial"/>
          <w:sz w:val="19"/>
          <w:szCs w:val="19"/>
        </w:rPr>
        <w:t>»Parágrafo 2. Posterior a la reglamentación sobre los tipos de actividades y oficios que se pueden asignar a las personas que no sean beneficiarias de la pensión de vejez, familiar o de sobrevivencia y que hayan cumplido el requisito de edad de pensión establecido en la ley, se determinará cuáles de ellos se enseñan a través de programas de formación del Servicio Nacional de Aprendizaje -SENA- y se dispondrá un número exclusivo de cupos para que las personas adultas no pensionadas objeto de la presente ley puedan formarse».</w:t>
      </w:r>
    </w:p>
    <w:p w:rsidR="009938CE" w:rsidRPr="00002995" w:rsidRDefault="009938CE" w:rsidP="009938CE">
      <w:pPr>
        <w:pStyle w:val="Textonotapie"/>
        <w:ind w:firstLine="708"/>
        <w:jc w:val="both"/>
        <w:rPr>
          <w:rFonts w:ascii="Arial" w:hAnsi="Arial" w:cs="Arial"/>
          <w:sz w:val="19"/>
          <w:szCs w:val="19"/>
          <w:lang w:val="es-CO"/>
        </w:rPr>
      </w:pPr>
    </w:p>
  </w:footnote>
  <w:footnote w:id="13">
    <w:p w:rsidR="009938CE" w:rsidRPr="00002995" w:rsidRDefault="009938CE" w:rsidP="009938CE">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CONSEJO DE ESTADO. Sección Tercera. Auto de 1 de abril de 2009. Exp. 36476. M.P. Ruth Stella Correa Palacio.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CE6" w:rsidRDefault="00AF5A12">
    <w:pPr>
      <w:pStyle w:val="Encabezado"/>
    </w:pPr>
    <w:r>
      <w:rPr>
        <w:noProof/>
        <w:lang w:eastAsia="es-CO"/>
      </w:rPr>
      <w:drawing>
        <wp:anchor distT="0" distB="0" distL="114300" distR="114300" simplePos="0" relativeHeight="251659264" behindDoc="1" locked="0" layoutInCell="1" allowOverlap="1" wp14:anchorId="5EAEFE58" wp14:editId="7A60526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6DEB6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FED"/>
    <w:rsid w:val="00086814"/>
    <w:rsid w:val="000E7CB3"/>
    <w:rsid w:val="000F65D4"/>
    <w:rsid w:val="00130781"/>
    <w:rsid w:val="001A3B28"/>
    <w:rsid w:val="00282E83"/>
    <w:rsid w:val="00284077"/>
    <w:rsid w:val="004048F6"/>
    <w:rsid w:val="005453F6"/>
    <w:rsid w:val="00605ED8"/>
    <w:rsid w:val="00643050"/>
    <w:rsid w:val="006E0363"/>
    <w:rsid w:val="006F3CE0"/>
    <w:rsid w:val="009938CE"/>
    <w:rsid w:val="009E4B86"/>
    <w:rsid w:val="00A70E75"/>
    <w:rsid w:val="00AF5A12"/>
    <w:rsid w:val="00C00D1F"/>
    <w:rsid w:val="00D95038"/>
    <w:rsid w:val="00E169EF"/>
    <w:rsid w:val="00E44FED"/>
    <w:rsid w:val="00E52B77"/>
    <w:rsid w:val="00E97D58"/>
    <w:rsid w:val="00EA0074"/>
    <w:rsid w:val="00ED6179"/>
    <w:rsid w:val="00EF03EC"/>
    <w:rsid w:val="00EF1F0E"/>
    <w:rsid w:val="00F06B0C"/>
    <w:rsid w:val="00F1495A"/>
    <w:rsid w:val="00FD1E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76A24"/>
  <w15:chartTrackingRefBased/>
  <w15:docId w15:val="{562C32AA-256D-4AF1-A702-8F69EBDA1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semiHidden/>
    <w:unhideWhenUsed/>
    <w:rsid w:val="00E44F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E44FED"/>
  </w:style>
  <w:style w:type="paragraph" w:styleId="Encabezado">
    <w:name w:val="header"/>
    <w:basedOn w:val="Normal"/>
    <w:link w:val="EncabezadoCar"/>
    <w:uiPriority w:val="99"/>
    <w:semiHidden/>
    <w:unhideWhenUsed/>
    <w:rsid w:val="00E44F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E44FED"/>
  </w:style>
  <w:style w:type="paragraph" w:styleId="Sinespaciado">
    <w:name w:val="No Spacing"/>
    <w:uiPriority w:val="1"/>
    <w:qFormat/>
    <w:rsid w:val="00E44FED"/>
    <w:pPr>
      <w:spacing w:after="0" w:line="240" w:lineRule="auto"/>
    </w:pPr>
  </w:style>
  <w:style w:type="table" w:styleId="Tablaconcuadrcula">
    <w:name w:val="Table Grid"/>
    <w:basedOn w:val="Tablanormal"/>
    <w:uiPriority w:val="39"/>
    <w:rsid w:val="00E44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E44FE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E44FED"/>
    <w:pPr>
      <w:spacing w:after="0" w:line="240" w:lineRule="auto"/>
    </w:pPr>
    <w:rPr>
      <w:sz w:val="20"/>
      <w:szCs w:val="20"/>
      <w:lang w:val="es-MX"/>
    </w:rPr>
  </w:style>
  <w:style w:type="character" w:customStyle="1" w:styleId="TextonotapieCar1">
    <w:name w:val="Texto nota pie Car1"/>
    <w:basedOn w:val="Fuentedeprrafopredeter"/>
    <w:uiPriority w:val="99"/>
    <w:semiHidden/>
    <w:rsid w:val="00E44FED"/>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E44F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92AFF5D-B16C-4452-8650-09F8F4C720A6}"/>
</file>

<file path=customXml/itemProps2.xml><?xml version="1.0" encoding="utf-8"?>
<ds:datastoreItem xmlns:ds="http://schemas.openxmlformats.org/officeDocument/2006/customXml" ds:itemID="{C71A5B0F-8272-4C6E-80AA-5A36122D5EC8}"/>
</file>

<file path=customXml/itemProps3.xml><?xml version="1.0" encoding="utf-8"?>
<ds:datastoreItem xmlns:ds="http://schemas.openxmlformats.org/officeDocument/2006/customXml" ds:itemID="{A3606F54-2F88-4437-B8AC-3B743B192D61}"/>
</file>

<file path=docProps/app.xml><?xml version="1.0" encoding="utf-8"?>
<Properties xmlns="http://schemas.openxmlformats.org/officeDocument/2006/extended-properties" xmlns:vt="http://schemas.openxmlformats.org/officeDocument/2006/docPropsVTypes">
  <Template>Normal</Template>
  <TotalTime>30</TotalTime>
  <Pages>14</Pages>
  <Words>5395</Words>
  <Characters>29673</Characters>
  <Application>Microsoft Office Word</Application>
  <DocSecurity>0</DocSecurity>
  <Lines>247</Lines>
  <Paragraphs>69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Camilo Amado</dc:creator>
  <cp:keywords/>
  <dc:description/>
  <cp:lastModifiedBy>Juan Camilo Amado</cp:lastModifiedBy>
  <cp:revision>11</cp:revision>
  <dcterms:created xsi:type="dcterms:W3CDTF">2020-08-27T03:30:00Z</dcterms:created>
  <dcterms:modified xsi:type="dcterms:W3CDTF">2020-08-28T21:16:00Z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