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BB4C0" w14:textId="03C4B446" w:rsidR="00A1224A" w:rsidRPr="00E3373B" w:rsidRDefault="00A1224A" w:rsidP="00B95C30">
      <w:pPr>
        <w:spacing w:line="276" w:lineRule="auto"/>
        <w:jc w:val="both"/>
        <w:rPr>
          <w:rFonts w:ascii="Arial" w:hAnsi="Arial" w:cs="Arial"/>
          <w:bCs/>
          <w:sz w:val="22"/>
          <w:szCs w:val="22"/>
          <w:lang w:val="es-ES_tradnl" w:eastAsia="es-ES"/>
        </w:rPr>
      </w:pPr>
    </w:p>
    <w:p w14:paraId="73BA2DCE" w14:textId="77777777" w:rsidR="00702700" w:rsidRPr="009975B7" w:rsidRDefault="00702700" w:rsidP="00702700">
      <w:pPr>
        <w:jc w:val="both"/>
        <w:rPr>
          <w:rFonts w:ascii="Arial" w:eastAsia="Calibri" w:hAnsi="Arial" w:cs="Arial"/>
          <w:b/>
          <w:bCs/>
          <w:sz w:val="22"/>
          <w:lang w:val="es-ES"/>
        </w:rPr>
      </w:pPr>
      <w:r w:rsidRPr="009975B7">
        <w:rPr>
          <w:rFonts w:ascii="Arial" w:eastAsia="Calibri" w:hAnsi="Arial" w:cs="Arial"/>
          <w:b/>
          <w:bCs/>
          <w:sz w:val="22"/>
          <w:lang w:val="es-ES"/>
        </w:rPr>
        <w:t xml:space="preserve">CONTRATACIÓN DIRECTA </w:t>
      </w:r>
      <w:r w:rsidRPr="009975B7">
        <w:rPr>
          <w:rFonts w:ascii="Arial" w:eastAsia="Calibri" w:hAnsi="Arial" w:cs="Arial"/>
          <w:b/>
          <w:bCs/>
          <w:sz w:val="22"/>
        </w:rPr>
        <w:t>–</w:t>
      </w:r>
      <w:r w:rsidRPr="009975B7">
        <w:rPr>
          <w:rFonts w:ascii="Arial" w:eastAsia="Calibri" w:hAnsi="Arial" w:cs="Arial"/>
          <w:b/>
          <w:bCs/>
          <w:sz w:val="22"/>
          <w:lang w:val="es-ES"/>
        </w:rPr>
        <w:t xml:space="preserve"> Características</w:t>
      </w:r>
    </w:p>
    <w:p w14:paraId="487C3770" w14:textId="77777777" w:rsidR="00702700" w:rsidRPr="009975B7" w:rsidRDefault="00702700" w:rsidP="00702700">
      <w:pPr>
        <w:jc w:val="both"/>
        <w:rPr>
          <w:rFonts w:ascii="Arial" w:eastAsia="Calibri" w:hAnsi="Arial" w:cs="Arial"/>
          <w:sz w:val="20"/>
          <w:szCs w:val="20"/>
          <w:lang w:val="es-ES"/>
        </w:rPr>
      </w:pPr>
    </w:p>
    <w:p w14:paraId="45151D8C" w14:textId="165AFFBC" w:rsidR="00761973" w:rsidRPr="00761973" w:rsidRDefault="00761973" w:rsidP="00761973">
      <w:pPr>
        <w:jc w:val="both"/>
        <w:rPr>
          <w:rFonts w:ascii="Arial" w:eastAsia="Calibri" w:hAnsi="Arial" w:cs="Arial"/>
          <w:sz w:val="20"/>
          <w:szCs w:val="20"/>
          <w:lang w:val="es-ES"/>
        </w:rPr>
      </w:pPr>
      <w:r w:rsidRPr="00761973">
        <w:rPr>
          <w:rFonts w:ascii="Arial" w:eastAsia="Calibri" w:hAnsi="Arial" w:cs="Arial"/>
          <w:sz w:val="20"/>
          <w:szCs w:val="20"/>
          <w:lang w:val="es-ES"/>
        </w:rPr>
        <w:t>El artículo 2 de la Ley 1150 de 2007 actualmente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«A ese respecto es claro que las experiencias exitosas a nivel internacional demuestran que el criterio de distinción que debe gobernar un esquema contractual eficiente es el de modular las modalidades de selección en razón a las características del objeto</w:t>
      </w:r>
      <w:r w:rsidRPr="00761973">
        <w:rPr>
          <w:rFonts w:ascii="Arial" w:eastAsia="Calibri" w:hAnsi="Arial" w:cs="Arial"/>
          <w:sz w:val="20"/>
          <w:szCs w:val="20"/>
          <w:lang w:val="es-ES"/>
        </w:rPr>
        <w:t>».</w:t>
      </w:r>
    </w:p>
    <w:p w14:paraId="04017F7A" w14:textId="08372792" w:rsidR="00702700" w:rsidRDefault="00761973" w:rsidP="00761973">
      <w:pPr>
        <w:jc w:val="both"/>
        <w:rPr>
          <w:rFonts w:ascii="Arial" w:eastAsia="Calibri" w:hAnsi="Arial" w:cs="Arial"/>
          <w:sz w:val="20"/>
          <w:szCs w:val="20"/>
          <w:lang w:val="es-ES"/>
        </w:rPr>
      </w:pPr>
      <w:r w:rsidRPr="00761973">
        <w:rPr>
          <w:rFonts w:ascii="Arial" w:eastAsia="Calibri" w:hAnsi="Arial" w:cs="Arial"/>
          <w:sz w:val="20"/>
          <w:szCs w:val="20"/>
          <w:lang w:val="es-ES"/>
        </w:rPr>
        <w:t xml:space="preserve">Estas modalidades de selección se pueden dividir doctrinariamente en: i) competitivas y </w:t>
      </w:r>
      <w:proofErr w:type="spellStart"/>
      <w:r w:rsidRPr="00761973">
        <w:rPr>
          <w:rFonts w:ascii="Arial" w:eastAsia="Calibri" w:hAnsi="Arial" w:cs="Arial"/>
          <w:sz w:val="20"/>
          <w:szCs w:val="20"/>
          <w:lang w:val="es-ES"/>
        </w:rPr>
        <w:t>ii</w:t>
      </w:r>
      <w:proofErr w:type="spellEnd"/>
      <w:r w:rsidRPr="00761973">
        <w:rPr>
          <w:rFonts w:ascii="Arial" w:eastAsia="Calibri" w:hAnsi="Arial" w:cs="Arial"/>
          <w:sz w:val="20"/>
          <w:szCs w:val="20"/>
          <w:lang w:val="es-ES"/>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761973">
        <w:rPr>
          <w:rFonts w:ascii="Arial" w:eastAsia="Calibri" w:hAnsi="Arial" w:cs="Arial"/>
          <w:sz w:val="20"/>
          <w:szCs w:val="20"/>
          <w:lang w:val="es-ES"/>
        </w:rPr>
        <w:t>».</w:t>
      </w:r>
    </w:p>
    <w:p w14:paraId="3C643E72" w14:textId="77777777" w:rsidR="00761973" w:rsidRPr="009975B7" w:rsidRDefault="00761973" w:rsidP="00761973">
      <w:pPr>
        <w:jc w:val="both"/>
        <w:rPr>
          <w:rFonts w:ascii="Arial" w:eastAsia="Calibri" w:hAnsi="Arial" w:cs="Arial"/>
          <w:sz w:val="20"/>
          <w:szCs w:val="20"/>
          <w:lang w:val="es-ES"/>
        </w:rPr>
      </w:pPr>
    </w:p>
    <w:p w14:paraId="7778238D" w14:textId="77777777" w:rsidR="00702700" w:rsidRPr="009975B7" w:rsidRDefault="00702700" w:rsidP="00702700">
      <w:pPr>
        <w:jc w:val="both"/>
        <w:rPr>
          <w:rFonts w:ascii="Arial" w:eastAsia="Calibri" w:hAnsi="Arial" w:cs="Arial"/>
          <w:b/>
          <w:bCs/>
          <w:sz w:val="22"/>
          <w:lang w:val="es-ES"/>
        </w:rPr>
      </w:pPr>
      <w:r w:rsidRPr="009975B7">
        <w:rPr>
          <w:rFonts w:ascii="Arial" w:eastAsia="Calibri" w:hAnsi="Arial" w:cs="Arial"/>
          <w:b/>
          <w:bCs/>
          <w:sz w:val="22"/>
          <w:lang w:val="es-ES"/>
        </w:rPr>
        <w:t xml:space="preserve">PRINCIPIO DE PLANEACIÓN </w:t>
      </w:r>
      <w:r w:rsidRPr="009975B7">
        <w:rPr>
          <w:rFonts w:ascii="Arial" w:eastAsia="Calibri" w:hAnsi="Arial" w:cs="Arial"/>
          <w:b/>
          <w:bCs/>
          <w:sz w:val="22"/>
        </w:rPr>
        <w:t>–</w:t>
      </w:r>
      <w:r w:rsidRPr="009975B7">
        <w:rPr>
          <w:rFonts w:ascii="Arial" w:eastAsia="Calibri" w:hAnsi="Arial" w:cs="Arial"/>
          <w:b/>
          <w:bCs/>
          <w:sz w:val="22"/>
          <w:lang w:val="es-ES"/>
        </w:rPr>
        <w:t xml:space="preserve"> Estudios previos </w:t>
      </w:r>
      <w:r w:rsidRPr="009975B7">
        <w:rPr>
          <w:rFonts w:ascii="Arial" w:eastAsia="Calibri" w:hAnsi="Arial" w:cs="Arial"/>
          <w:b/>
          <w:bCs/>
          <w:sz w:val="22"/>
        </w:rPr>
        <w:t>–</w:t>
      </w:r>
      <w:r w:rsidRPr="009975B7">
        <w:rPr>
          <w:rFonts w:ascii="Arial" w:eastAsia="Calibri" w:hAnsi="Arial" w:cs="Arial"/>
          <w:b/>
          <w:bCs/>
          <w:sz w:val="22"/>
          <w:lang w:val="es-ES"/>
        </w:rPr>
        <w:t xml:space="preserve"> Contratación directa</w:t>
      </w:r>
    </w:p>
    <w:p w14:paraId="56F8C95D" w14:textId="77777777" w:rsidR="00702700" w:rsidRPr="009975B7" w:rsidRDefault="00702700" w:rsidP="00702700">
      <w:pPr>
        <w:jc w:val="both"/>
        <w:rPr>
          <w:rFonts w:ascii="Arial" w:eastAsia="Calibri" w:hAnsi="Arial" w:cs="Arial"/>
          <w:sz w:val="20"/>
          <w:szCs w:val="20"/>
          <w:lang w:val="es-ES"/>
        </w:rPr>
      </w:pPr>
    </w:p>
    <w:p w14:paraId="782E1386" w14:textId="7003AF10" w:rsidR="00E3373B" w:rsidRPr="009975B7" w:rsidRDefault="00761973" w:rsidP="00761973">
      <w:pPr>
        <w:jc w:val="both"/>
        <w:rPr>
          <w:rFonts w:ascii="Arial" w:eastAsia="Calibri" w:hAnsi="Arial" w:cs="Arial"/>
          <w:sz w:val="20"/>
          <w:szCs w:val="20"/>
          <w:lang w:val="es-ES"/>
        </w:rPr>
      </w:pPr>
      <w:r w:rsidRPr="00761973">
        <w:rPr>
          <w:rFonts w:ascii="Arial" w:eastAsia="Calibri" w:hAnsi="Arial" w:cs="Arial"/>
          <w:sz w:val="20"/>
          <w:szCs w:val="20"/>
          <w:lang w:val="es-ES"/>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w:t>
      </w:r>
      <w:proofErr w:type="spellStart"/>
      <w:r w:rsidRPr="00761973">
        <w:rPr>
          <w:rFonts w:ascii="Arial" w:eastAsia="Calibri" w:hAnsi="Arial" w:cs="Arial"/>
          <w:sz w:val="20"/>
          <w:szCs w:val="20"/>
          <w:lang w:val="es-ES"/>
        </w:rPr>
        <w:t>estatales.El</w:t>
      </w:r>
      <w:proofErr w:type="spellEnd"/>
      <w:r w:rsidRPr="00761973">
        <w:rPr>
          <w:rFonts w:ascii="Arial" w:eastAsia="Calibri" w:hAnsi="Arial" w:cs="Arial"/>
          <w:sz w:val="20"/>
          <w:szCs w:val="20"/>
          <w:lang w:val="es-ES"/>
        </w:rPr>
        <w:t xml:space="preserve">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46188739" w14:textId="77777777" w:rsidR="00E3373B" w:rsidRPr="009975B7" w:rsidRDefault="00E3373B" w:rsidP="00702700">
      <w:pPr>
        <w:jc w:val="both"/>
        <w:rPr>
          <w:rFonts w:ascii="Arial" w:eastAsia="Calibri" w:hAnsi="Arial" w:cs="Arial"/>
          <w:sz w:val="20"/>
          <w:szCs w:val="20"/>
          <w:lang w:val="es-ES"/>
        </w:rPr>
      </w:pPr>
    </w:p>
    <w:p w14:paraId="24BAFAF7" w14:textId="77777777" w:rsidR="00E3373B" w:rsidRPr="009975B7" w:rsidRDefault="00E3373B" w:rsidP="00E3373B">
      <w:pPr>
        <w:jc w:val="both"/>
        <w:rPr>
          <w:rFonts w:ascii="Arial" w:eastAsia="Calibri" w:hAnsi="Arial" w:cs="Arial"/>
          <w:b/>
          <w:bCs/>
          <w:sz w:val="22"/>
          <w:lang w:val="es-ES"/>
        </w:rPr>
      </w:pPr>
      <w:r w:rsidRPr="009975B7">
        <w:rPr>
          <w:rFonts w:ascii="Arial" w:eastAsia="Calibri" w:hAnsi="Arial" w:cs="Arial"/>
          <w:b/>
          <w:bCs/>
          <w:sz w:val="22"/>
          <w:lang w:val="es-ES"/>
        </w:rPr>
        <w:t xml:space="preserve">PRINCIPIOS DE LA CONTRATACIÓN PÚBLICA </w:t>
      </w:r>
      <w:r w:rsidRPr="009975B7">
        <w:rPr>
          <w:rFonts w:ascii="Arial" w:eastAsia="Calibri" w:hAnsi="Arial" w:cs="Arial"/>
          <w:b/>
          <w:bCs/>
          <w:sz w:val="22"/>
        </w:rPr>
        <w:t>–</w:t>
      </w:r>
      <w:r w:rsidRPr="009975B7">
        <w:rPr>
          <w:rFonts w:ascii="Arial" w:eastAsia="Calibri" w:hAnsi="Arial" w:cs="Arial"/>
          <w:b/>
          <w:bCs/>
          <w:sz w:val="22"/>
          <w:lang w:val="es-ES"/>
        </w:rPr>
        <w:t xml:space="preserve"> Contratación directa </w:t>
      </w:r>
      <w:r w:rsidRPr="009975B7">
        <w:rPr>
          <w:rFonts w:ascii="Arial" w:eastAsia="Calibri" w:hAnsi="Arial" w:cs="Arial"/>
          <w:b/>
          <w:bCs/>
          <w:sz w:val="22"/>
        </w:rPr>
        <w:t>–</w:t>
      </w:r>
      <w:r w:rsidRPr="009975B7">
        <w:rPr>
          <w:rFonts w:ascii="Arial" w:eastAsia="Calibri" w:hAnsi="Arial" w:cs="Arial"/>
          <w:b/>
          <w:bCs/>
          <w:sz w:val="22"/>
          <w:lang w:val="es-ES"/>
        </w:rPr>
        <w:t xml:space="preserve"> Transparencia </w:t>
      </w:r>
      <w:r w:rsidRPr="009975B7">
        <w:rPr>
          <w:rFonts w:ascii="Arial" w:eastAsia="Calibri" w:hAnsi="Arial" w:cs="Arial"/>
          <w:b/>
          <w:bCs/>
          <w:sz w:val="22"/>
        </w:rPr>
        <w:t>–</w:t>
      </w:r>
      <w:r w:rsidRPr="009975B7">
        <w:rPr>
          <w:rFonts w:ascii="Arial" w:eastAsia="Calibri" w:hAnsi="Arial" w:cs="Arial"/>
          <w:b/>
          <w:bCs/>
          <w:sz w:val="22"/>
          <w:lang w:val="es-ES"/>
        </w:rPr>
        <w:t xml:space="preserve"> Selección objetiva </w:t>
      </w:r>
      <w:r w:rsidRPr="009975B7">
        <w:rPr>
          <w:rFonts w:ascii="Arial" w:eastAsia="Calibri" w:hAnsi="Arial" w:cs="Arial"/>
          <w:b/>
          <w:bCs/>
          <w:sz w:val="22"/>
        </w:rPr>
        <w:t>– Aplicación</w:t>
      </w:r>
    </w:p>
    <w:p w14:paraId="343A8D67" w14:textId="77777777" w:rsidR="00E3373B" w:rsidRPr="009975B7" w:rsidRDefault="00E3373B" w:rsidP="00E3373B">
      <w:pPr>
        <w:jc w:val="both"/>
        <w:rPr>
          <w:rFonts w:ascii="Arial" w:eastAsia="Calibri" w:hAnsi="Arial" w:cs="Arial"/>
          <w:b/>
          <w:bCs/>
          <w:sz w:val="22"/>
          <w:lang w:val="es-ES"/>
        </w:rPr>
      </w:pPr>
    </w:p>
    <w:p w14:paraId="7DA1C2A1" w14:textId="6101993A" w:rsidR="00E3373B" w:rsidRPr="009975B7" w:rsidRDefault="00761973" w:rsidP="00761973">
      <w:pPr>
        <w:jc w:val="both"/>
        <w:rPr>
          <w:rFonts w:ascii="Arial" w:eastAsia="Calibri" w:hAnsi="Arial" w:cs="Arial"/>
          <w:sz w:val="20"/>
          <w:szCs w:val="20"/>
          <w:lang w:val="es-ES_tradnl"/>
        </w:rPr>
      </w:pPr>
      <w:r w:rsidRPr="00761973">
        <w:rPr>
          <w:rFonts w:ascii="Arial" w:eastAsia="Calibri" w:hAnsi="Arial" w:cs="Arial"/>
          <w:sz w:val="20"/>
          <w:szCs w:val="20"/>
          <w:lang w:val="es-ES"/>
        </w:rPr>
        <w:t>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Así, una debida planeación debe conducir a una escogencia diligente de la mejor oferta, para beneficiar los intereses y fines públicos inmersos en la contratación de las entidades estatales, buscando siempre la correcta ejecución del contrato. De las normas citadas en el numeral anterior, se resalta que, en virtud del principio de economía, para iniciar un proceso de contratación, inclusive de contratación directa, se requieren unos estudios previos. Con ellos, se estructuran, concretan y viabilizan los aspectos esenciales del futuro contrato, dentro de los cuales se encuentran su objeto y valor estimado, entre otros elementos.</w:t>
      </w:r>
    </w:p>
    <w:p w14:paraId="6984BFB2" w14:textId="77777777" w:rsidR="00E3373B" w:rsidRPr="009975B7" w:rsidRDefault="00E3373B" w:rsidP="00702700">
      <w:pPr>
        <w:jc w:val="both"/>
        <w:rPr>
          <w:rFonts w:ascii="Arial" w:eastAsia="Calibri" w:hAnsi="Arial" w:cs="Arial"/>
          <w:sz w:val="20"/>
          <w:szCs w:val="20"/>
          <w:lang w:val="es-ES"/>
        </w:rPr>
      </w:pPr>
    </w:p>
    <w:p w14:paraId="70B891B1" w14:textId="77777777" w:rsidR="00702700" w:rsidRPr="009975B7" w:rsidRDefault="00702700" w:rsidP="00B95C30">
      <w:pPr>
        <w:spacing w:line="276" w:lineRule="auto"/>
        <w:jc w:val="both"/>
        <w:rPr>
          <w:rFonts w:ascii="Arial" w:hAnsi="Arial" w:cs="Arial"/>
          <w:noProof/>
          <w:sz w:val="22"/>
          <w:lang w:val="es-ES_tradnl"/>
        </w:rPr>
      </w:pPr>
    </w:p>
    <w:p w14:paraId="0B4FBD9D" w14:textId="6DCEF05E" w:rsidR="00761973" w:rsidRDefault="00761973" w:rsidP="00761973">
      <w:pPr>
        <w:spacing w:line="276" w:lineRule="auto"/>
        <w:contextualSpacing/>
        <w:jc w:val="right"/>
        <w:rPr>
          <w:rFonts w:ascii="Arial" w:hAnsi="Arial" w:cs="Arial"/>
          <w:noProof/>
          <w:sz w:val="22"/>
          <w:lang w:val="es-ES_tradnl"/>
        </w:rPr>
      </w:pPr>
      <w:bookmarkStart w:id="0" w:name="_Hlk114069188"/>
      <w:r w:rsidRPr="00761973">
        <w:rPr>
          <w:rFonts w:ascii="Arial" w:hAnsi="Arial" w:cs="Arial"/>
          <w:noProof/>
          <w:sz w:val="22"/>
          <w:lang w:val="es-ES_tradnl"/>
        </w:rPr>
        <w:lastRenderedPageBreak/>
        <w:drawing>
          <wp:inline distT="0" distB="0" distL="0" distR="0" wp14:anchorId="36E847C6" wp14:editId="1A71A98F">
            <wp:extent cx="2452257" cy="638175"/>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58766" cy="639869"/>
                    </a:xfrm>
                    <a:prstGeom prst="rect">
                      <a:avLst/>
                    </a:prstGeom>
                  </pic:spPr>
                </pic:pic>
              </a:graphicData>
            </a:graphic>
          </wp:inline>
        </w:drawing>
      </w:r>
    </w:p>
    <w:p w14:paraId="7DD48F49" w14:textId="1BA0AFE2" w:rsidR="00B95C30" w:rsidRPr="009975B7" w:rsidRDefault="00B95C30" w:rsidP="009F6DAE">
      <w:pPr>
        <w:spacing w:line="276" w:lineRule="auto"/>
        <w:contextualSpacing/>
        <w:jc w:val="both"/>
        <w:rPr>
          <w:rFonts w:ascii="Arial" w:eastAsia="Calibri" w:hAnsi="Arial" w:cs="Arial"/>
          <w:noProof/>
          <w:sz w:val="20"/>
          <w:lang w:val="es-ES_tradnl"/>
        </w:rPr>
      </w:pPr>
      <w:r w:rsidRPr="009975B7">
        <w:rPr>
          <w:rFonts w:ascii="Arial" w:hAnsi="Arial" w:cs="Arial"/>
          <w:noProof/>
          <w:sz w:val="22"/>
          <w:lang w:val="es-ES_tradnl"/>
        </w:rPr>
        <w:t xml:space="preserve">Bogotá D.C., </w:t>
      </w:r>
      <w:r w:rsidR="00761973">
        <w:rPr>
          <w:rFonts w:ascii="Arial" w:hAnsi="Arial" w:cs="Arial"/>
          <w:noProof/>
          <w:sz w:val="22"/>
          <w:lang w:val="es-ES_tradnl"/>
        </w:rPr>
        <w:t>14 de septiembre de 2022</w:t>
      </w:r>
    </w:p>
    <w:p w14:paraId="6A8A869B" w14:textId="30C28F20" w:rsidR="00B95C30" w:rsidRPr="009975B7" w:rsidRDefault="00B95C30" w:rsidP="009F6DAE">
      <w:pPr>
        <w:contextualSpacing/>
        <w:jc w:val="both"/>
        <w:rPr>
          <w:rFonts w:ascii="Arial" w:hAnsi="Arial" w:cs="Arial"/>
          <w:bCs/>
          <w:sz w:val="22"/>
          <w:lang w:val="es-ES_tradnl"/>
        </w:rPr>
      </w:pPr>
    </w:p>
    <w:p w14:paraId="32F9970B" w14:textId="77777777" w:rsidR="00A25F2F" w:rsidRPr="009975B7" w:rsidRDefault="00A25F2F" w:rsidP="009F6DAE">
      <w:pPr>
        <w:contextualSpacing/>
        <w:jc w:val="both"/>
        <w:rPr>
          <w:rFonts w:ascii="Arial" w:hAnsi="Arial" w:cs="Arial"/>
          <w:bCs/>
          <w:sz w:val="22"/>
          <w:lang w:val="es-ES_tradnl"/>
        </w:rPr>
      </w:pPr>
    </w:p>
    <w:p w14:paraId="5F5AE9EF" w14:textId="412128FE" w:rsidR="00B95C30" w:rsidRPr="009975B7" w:rsidRDefault="00BE4FBF" w:rsidP="009F6DAE">
      <w:pPr>
        <w:contextualSpacing/>
        <w:jc w:val="both"/>
        <w:rPr>
          <w:rFonts w:ascii="Arial" w:eastAsia="Calibri" w:hAnsi="Arial" w:cs="Arial"/>
          <w:sz w:val="22"/>
          <w:lang w:val="es-ES_tradnl"/>
        </w:rPr>
      </w:pPr>
      <w:r w:rsidRPr="009975B7">
        <w:rPr>
          <w:rFonts w:ascii="Arial" w:eastAsia="Calibri" w:hAnsi="Arial" w:cs="Arial"/>
          <w:sz w:val="22"/>
          <w:lang w:val="es-ES_tradnl"/>
        </w:rPr>
        <w:t>Señor</w:t>
      </w:r>
      <w:r w:rsidR="00021138" w:rsidRPr="009975B7">
        <w:rPr>
          <w:rFonts w:ascii="Arial" w:eastAsia="Calibri" w:hAnsi="Arial" w:cs="Arial"/>
          <w:sz w:val="22"/>
          <w:lang w:val="es-ES_tradnl"/>
        </w:rPr>
        <w:t>a</w:t>
      </w:r>
    </w:p>
    <w:p w14:paraId="3DCD58CE" w14:textId="77E5A686" w:rsidR="00B95C30" w:rsidRPr="009975B7" w:rsidRDefault="00393DBD" w:rsidP="009F6DAE">
      <w:pPr>
        <w:contextualSpacing/>
        <w:jc w:val="both"/>
        <w:rPr>
          <w:rFonts w:ascii="Arial" w:eastAsia="Calibri" w:hAnsi="Arial" w:cs="Arial"/>
          <w:b/>
          <w:sz w:val="22"/>
          <w:lang w:val="es-ES_tradnl"/>
        </w:rPr>
      </w:pPr>
      <w:r w:rsidRPr="009975B7">
        <w:rPr>
          <w:rFonts w:ascii="Arial" w:eastAsia="Calibri" w:hAnsi="Arial" w:cs="Arial"/>
          <w:b/>
          <w:sz w:val="22"/>
          <w:lang w:val="es-ES_tradnl"/>
        </w:rPr>
        <w:t>Daniela Amaya Caro</w:t>
      </w:r>
    </w:p>
    <w:p w14:paraId="09D4AEA8" w14:textId="0D8F5F3F" w:rsidR="00B95C30" w:rsidRPr="009975B7" w:rsidRDefault="00C931F7" w:rsidP="009F6DAE">
      <w:pPr>
        <w:contextualSpacing/>
        <w:jc w:val="both"/>
        <w:rPr>
          <w:rFonts w:ascii="Arial" w:eastAsia="Calibri" w:hAnsi="Arial" w:cs="Arial"/>
          <w:noProof/>
          <w:sz w:val="20"/>
          <w:lang w:val="es-ES_tradnl"/>
        </w:rPr>
      </w:pPr>
      <w:r w:rsidRPr="009975B7">
        <w:rPr>
          <w:rFonts w:ascii="Arial" w:hAnsi="Arial" w:cs="Arial"/>
          <w:noProof/>
          <w:sz w:val="22"/>
          <w:lang w:val="es-ES_tradnl"/>
        </w:rPr>
        <w:t xml:space="preserve">Chinchina, Caldas </w:t>
      </w:r>
    </w:p>
    <w:p w14:paraId="490C0C2D" w14:textId="6E3BE8CC" w:rsidR="00A25F2F" w:rsidRPr="009975B7" w:rsidRDefault="00A25F2F" w:rsidP="009F6DAE">
      <w:pPr>
        <w:contextualSpacing/>
        <w:jc w:val="both"/>
        <w:rPr>
          <w:rFonts w:ascii="Arial" w:eastAsia="Calibri" w:hAnsi="Arial" w:cs="Arial"/>
          <w:sz w:val="22"/>
          <w:lang w:val="es-ES_tradnl"/>
        </w:rPr>
      </w:pPr>
    </w:p>
    <w:p w14:paraId="0B5EBAC5" w14:textId="77777777" w:rsidR="00A25F2F" w:rsidRPr="009975B7" w:rsidRDefault="00A25F2F" w:rsidP="009F6DAE">
      <w:pPr>
        <w:contextualSpacing/>
        <w:jc w:val="both"/>
        <w:rPr>
          <w:rFonts w:ascii="Arial" w:eastAsia="Calibri" w:hAnsi="Arial" w:cs="Arial"/>
          <w:sz w:val="22"/>
          <w:lang w:val="es-ES_tradnl"/>
        </w:rPr>
      </w:pPr>
    </w:p>
    <w:p w14:paraId="12E66182" w14:textId="22F158A7" w:rsidR="00B95C30" w:rsidRPr="009975B7" w:rsidRDefault="00A25F2F" w:rsidP="009F6DAE">
      <w:pPr>
        <w:contextualSpacing/>
        <w:rPr>
          <w:rFonts w:ascii="Arial" w:eastAsia="Calibri" w:hAnsi="Arial" w:cs="Arial"/>
          <w:b/>
          <w:bCs/>
          <w:sz w:val="22"/>
          <w:lang w:val="es-ES_tradnl"/>
        </w:rPr>
      </w:pPr>
      <w:r w:rsidRPr="009975B7">
        <w:rPr>
          <w:rFonts w:ascii="Arial" w:eastAsia="Calibri" w:hAnsi="Arial" w:cs="Arial"/>
          <w:b/>
          <w:bCs/>
          <w:sz w:val="22"/>
          <w:lang w:val="es-ES_tradnl"/>
        </w:rPr>
        <w:t xml:space="preserve">                                            </w:t>
      </w:r>
      <w:r w:rsidR="00B95C30" w:rsidRPr="009975B7">
        <w:rPr>
          <w:rFonts w:ascii="Arial" w:eastAsia="Calibri" w:hAnsi="Arial" w:cs="Arial"/>
          <w:b/>
          <w:bCs/>
          <w:sz w:val="22"/>
          <w:lang w:val="es-ES_tradnl"/>
        </w:rPr>
        <w:t xml:space="preserve">Concepto C ‒ </w:t>
      </w:r>
      <w:r w:rsidR="00C931F7" w:rsidRPr="009975B7">
        <w:rPr>
          <w:rFonts w:ascii="Arial" w:eastAsia="Calibri" w:hAnsi="Arial" w:cs="Arial"/>
          <w:b/>
          <w:bCs/>
          <w:sz w:val="22"/>
          <w:lang w:val="es-ES_tradnl"/>
        </w:rPr>
        <w:t>572</w:t>
      </w:r>
      <w:r w:rsidR="0031184C" w:rsidRPr="009975B7">
        <w:rPr>
          <w:rFonts w:ascii="Arial" w:eastAsia="Calibri" w:hAnsi="Arial" w:cs="Arial"/>
          <w:b/>
          <w:bCs/>
          <w:sz w:val="22"/>
          <w:lang w:val="es-ES_tradnl"/>
        </w:rPr>
        <w:t xml:space="preserve"> de 202</w:t>
      </w:r>
      <w:r w:rsidR="00C931F7" w:rsidRPr="009975B7">
        <w:rPr>
          <w:rFonts w:ascii="Arial" w:eastAsia="Calibri" w:hAnsi="Arial" w:cs="Arial"/>
          <w:b/>
          <w:bCs/>
          <w:sz w:val="22"/>
          <w:lang w:val="es-ES_tradnl"/>
        </w:rPr>
        <w:t>2</w:t>
      </w:r>
    </w:p>
    <w:p w14:paraId="1BD594F9" w14:textId="77777777" w:rsidR="00B95C30" w:rsidRPr="009975B7" w:rsidRDefault="00B95C30" w:rsidP="009F6DAE">
      <w:pPr>
        <w:contextualSpacing/>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3373B" w:rsidRPr="009975B7" w14:paraId="19DFC051" w14:textId="77777777" w:rsidTr="008F4163">
        <w:tc>
          <w:tcPr>
            <w:tcW w:w="2689" w:type="dxa"/>
          </w:tcPr>
          <w:p w14:paraId="6BC0D1AC" w14:textId="4DD173D5" w:rsidR="00B95C30" w:rsidRPr="009975B7" w:rsidRDefault="00B95C30" w:rsidP="009F6DAE">
            <w:pPr>
              <w:contextualSpacing/>
              <w:jc w:val="both"/>
              <w:rPr>
                <w:rFonts w:ascii="Arial" w:eastAsia="Calibri" w:hAnsi="Arial" w:cs="Arial"/>
                <w:sz w:val="22"/>
                <w:lang w:val="es-ES_tradnl"/>
              </w:rPr>
            </w:pPr>
            <w:r w:rsidRPr="009975B7">
              <w:rPr>
                <w:rFonts w:ascii="Arial" w:eastAsia="Calibri" w:hAnsi="Arial" w:cs="Arial"/>
                <w:b/>
                <w:sz w:val="22"/>
                <w:lang w:val="es-ES_tradnl"/>
              </w:rPr>
              <w:t>Temas:</w:t>
            </w:r>
            <w:r w:rsidRPr="009975B7">
              <w:rPr>
                <w:rFonts w:ascii="Arial" w:eastAsia="Calibri" w:hAnsi="Arial" w:cs="Arial"/>
                <w:sz w:val="22"/>
                <w:lang w:val="es-ES_tradnl"/>
              </w:rPr>
              <w:t xml:space="preserve">                                  </w:t>
            </w:r>
          </w:p>
        </w:tc>
        <w:tc>
          <w:tcPr>
            <w:tcW w:w="6237" w:type="dxa"/>
          </w:tcPr>
          <w:p w14:paraId="3B1EB431" w14:textId="7B2DB5F6" w:rsidR="00B95C30" w:rsidRPr="009975B7" w:rsidRDefault="00E3373B" w:rsidP="009F6DAE">
            <w:pPr>
              <w:spacing w:line="276" w:lineRule="auto"/>
              <w:contextualSpacing/>
              <w:jc w:val="both"/>
              <w:rPr>
                <w:rFonts w:ascii="Arial" w:hAnsi="Arial" w:cs="Arial"/>
                <w:sz w:val="22"/>
                <w:szCs w:val="22"/>
                <w:lang w:val="es-ES_tradnl"/>
              </w:rPr>
            </w:pPr>
            <w:r w:rsidRPr="009975B7">
              <w:rPr>
                <w:rFonts w:ascii="Arial" w:hAnsi="Arial" w:cs="Arial"/>
                <w:sz w:val="22"/>
                <w:szCs w:val="22"/>
              </w:rPr>
              <w:t>CONTRATACIÓN DIRECTA – Características/ PRINCIPIO DE PLANEACIÓN – Estudios previos – Contratación directa</w:t>
            </w:r>
            <w:r w:rsidR="00DD7FAD" w:rsidRPr="009975B7">
              <w:rPr>
                <w:rFonts w:ascii="Arial" w:hAnsi="Arial" w:cs="Arial"/>
                <w:sz w:val="22"/>
                <w:szCs w:val="22"/>
                <w:lang w:val="es-ES_tradnl"/>
              </w:rPr>
              <w:t xml:space="preserve">/ </w:t>
            </w:r>
            <w:r w:rsidRPr="009975B7">
              <w:rPr>
                <w:rFonts w:ascii="Arial" w:hAnsi="Arial" w:cs="Arial"/>
                <w:sz w:val="22"/>
                <w:szCs w:val="22"/>
                <w:lang w:val="es-ES_tradnl"/>
              </w:rPr>
              <w:t>PRINCIPIOS DE LA CONTRATACIÓN PÚBLICA – Contratación directa – Transparencia – Selección objetiva – Aplicación</w:t>
            </w:r>
            <w:r w:rsidR="00A510FC" w:rsidRPr="009975B7">
              <w:rPr>
                <w:rFonts w:ascii="Arial" w:hAnsi="Arial" w:cs="Arial"/>
                <w:sz w:val="22"/>
                <w:szCs w:val="22"/>
                <w:lang w:val="es-ES_tradnl"/>
              </w:rPr>
              <w:t xml:space="preserve">. </w:t>
            </w:r>
          </w:p>
          <w:p w14:paraId="5F389CAF" w14:textId="0FF813DD" w:rsidR="009F6DAE" w:rsidRPr="009975B7" w:rsidRDefault="009F6DAE" w:rsidP="009F6DAE">
            <w:pPr>
              <w:spacing w:line="276" w:lineRule="auto"/>
              <w:contextualSpacing/>
              <w:jc w:val="both"/>
              <w:rPr>
                <w:rFonts w:ascii="Arial" w:eastAsia="Calibri" w:hAnsi="Arial" w:cs="Arial"/>
                <w:sz w:val="22"/>
                <w:lang w:val="es-ES_tradnl"/>
              </w:rPr>
            </w:pPr>
          </w:p>
        </w:tc>
      </w:tr>
      <w:tr w:rsidR="00B95C30" w:rsidRPr="009975B7" w14:paraId="27CD52AB" w14:textId="77777777" w:rsidTr="008F4163">
        <w:tc>
          <w:tcPr>
            <w:tcW w:w="2689" w:type="dxa"/>
          </w:tcPr>
          <w:p w14:paraId="37E195A1" w14:textId="1BA218D5" w:rsidR="00B95C30" w:rsidRPr="009975B7" w:rsidRDefault="00B95C30" w:rsidP="009F6DAE">
            <w:pPr>
              <w:contextualSpacing/>
              <w:jc w:val="both"/>
              <w:rPr>
                <w:rFonts w:ascii="Arial" w:eastAsia="Calibri" w:hAnsi="Arial" w:cs="Arial"/>
                <w:b/>
                <w:sz w:val="22"/>
                <w:lang w:val="es-ES_tradnl"/>
              </w:rPr>
            </w:pPr>
            <w:r w:rsidRPr="009975B7">
              <w:rPr>
                <w:rFonts w:ascii="Arial" w:eastAsia="Calibri" w:hAnsi="Arial" w:cs="Arial"/>
                <w:b/>
                <w:sz w:val="22"/>
                <w:lang w:val="es-ES_tradnl"/>
              </w:rPr>
              <w:t>Radicación:</w:t>
            </w:r>
            <w:r w:rsidRPr="009975B7">
              <w:rPr>
                <w:rFonts w:ascii="Arial" w:eastAsia="Calibri" w:hAnsi="Arial" w:cs="Arial"/>
                <w:sz w:val="22"/>
                <w:lang w:val="es-ES_tradnl"/>
              </w:rPr>
              <w:t xml:space="preserve">                              </w:t>
            </w:r>
          </w:p>
        </w:tc>
        <w:tc>
          <w:tcPr>
            <w:tcW w:w="6237" w:type="dxa"/>
          </w:tcPr>
          <w:p w14:paraId="09088B1B" w14:textId="3AE3DE5E" w:rsidR="00B95C30" w:rsidRPr="009975B7" w:rsidRDefault="00B95C30" w:rsidP="009F6DAE">
            <w:pPr>
              <w:contextualSpacing/>
              <w:jc w:val="both"/>
              <w:rPr>
                <w:rFonts w:ascii="Arial" w:eastAsia="Calibri" w:hAnsi="Arial" w:cs="Arial"/>
                <w:sz w:val="22"/>
                <w:lang w:val="es-ES_tradnl"/>
              </w:rPr>
            </w:pPr>
            <w:r w:rsidRPr="009975B7">
              <w:rPr>
                <w:rFonts w:ascii="Arial" w:eastAsia="Calibri" w:hAnsi="Arial" w:cs="Arial"/>
                <w:sz w:val="22"/>
                <w:lang w:val="es-ES_tradnl"/>
              </w:rPr>
              <w:t xml:space="preserve">Respuesta a consulta # </w:t>
            </w:r>
            <w:r w:rsidR="00F05715" w:rsidRPr="009975B7">
              <w:rPr>
                <w:rFonts w:ascii="Arial" w:eastAsia="Calibri" w:hAnsi="Arial" w:cs="Arial"/>
                <w:sz w:val="22"/>
                <w:lang w:val="es-ES_tradnl"/>
              </w:rPr>
              <w:t>P20220802007580</w:t>
            </w:r>
          </w:p>
        </w:tc>
      </w:tr>
    </w:tbl>
    <w:p w14:paraId="6DC1C99D" w14:textId="77777777" w:rsidR="00B90BD4" w:rsidRPr="009975B7" w:rsidRDefault="00B90BD4" w:rsidP="009F6DAE">
      <w:pPr>
        <w:spacing w:line="276" w:lineRule="auto"/>
        <w:contextualSpacing/>
        <w:jc w:val="both"/>
        <w:rPr>
          <w:rFonts w:ascii="Arial" w:eastAsia="Calibri" w:hAnsi="Arial" w:cs="Arial"/>
          <w:sz w:val="22"/>
          <w:lang w:val="es-ES_tradnl"/>
        </w:rPr>
      </w:pPr>
    </w:p>
    <w:p w14:paraId="1475E570" w14:textId="6A29811F" w:rsidR="00B90BD4" w:rsidRPr="009975B7" w:rsidRDefault="00B90BD4" w:rsidP="009F6DAE">
      <w:pPr>
        <w:spacing w:line="276" w:lineRule="auto"/>
        <w:contextualSpacing/>
        <w:jc w:val="both"/>
        <w:rPr>
          <w:rFonts w:ascii="Arial" w:eastAsia="Calibri" w:hAnsi="Arial" w:cs="Arial"/>
          <w:sz w:val="22"/>
          <w:lang w:val="es-ES_tradnl"/>
        </w:rPr>
      </w:pPr>
    </w:p>
    <w:p w14:paraId="1CF4AEA0" w14:textId="2C8A2FD5" w:rsidR="003C3339" w:rsidRPr="009975B7" w:rsidRDefault="003C3339" w:rsidP="009F6DAE">
      <w:pPr>
        <w:spacing w:line="276" w:lineRule="auto"/>
        <w:contextualSpacing/>
        <w:jc w:val="both"/>
        <w:rPr>
          <w:rFonts w:ascii="Arial" w:eastAsia="Calibri" w:hAnsi="Arial" w:cs="Arial"/>
          <w:sz w:val="22"/>
          <w:lang w:val="es-ES_tradnl"/>
        </w:rPr>
      </w:pPr>
      <w:r w:rsidRPr="009975B7">
        <w:rPr>
          <w:rFonts w:ascii="Arial" w:eastAsia="Calibri" w:hAnsi="Arial" w:cs="Arial"/>
          <w:sz w:val="22"/>
          <w:lang w:val="es-ES_tradnl"/>
        </w:rPr>
        <w:t>Estimad</w:t>
      </w:r>
      <w:r w:rsidR="00021138" w:rsidRPr="009975B7">
        <w:rPr>
          <w:rFonts w:ascii="Arial" w:eastAsia="Calibri" w:hAnsi="Arial" w:cs="Arial"/>
          <w:sz w:val="22"/>
          <w:lang w:val="es-ES_tradnl"/>
        </w:rPr>
        <w:t>a</w:t>
      </w:r>
      <w:r w:rsidRPr="009975B7">
        <w:rPr>
          <w:rFonts w:ascii="Arial" w:eastAsia="Calibri" w:hAnsi="Arial" w:cs="Arial"/>
          <w:sz w:val="22"/>
          <w:lang w:val="es-ES_tradnl"/>
        </w:rPr>
        <w:t xml:space="preserve"> </w:t>
      </w:r>
      <w:r w:rsidR="0063732C" w:rsidRPr="009975B7">
        <w:rPr>
          <w:rFonts w:ascii="Arial" w:eastAsia="Calibri" w:hAnsi="Arial" w:cs="Arial"/>
          <w:sz w:val="22"/>
          <w:lang w:val="es-ES_tradnl"/>
        </w:rPr>
        <w:t>señor</w:t>
      </w:r>
      <w:r w:rsidR="00021138" w:rsidRPr="009975B7">
        <w:rPr>
          <w:rFonts w:ascii="Arial" w:eastAsia="Calibri" w:hAnsi="Arial" w:cs="Arial"/>
          <w:sz w:val="22"/>
          <w:lang w:val="es-ES_tradnl"/>
        </w:rPr>
        <w:t>a</w:t>
      </w:r>
      <w:r w:rsidR="00BE4FBF" w:rsidRPr="009975B7">
        <w:rPr>
          <w:rFonts w:ascii="Arial" w:eastAsia="Calibri" w:hAnsi="Arial" w:cs="Arial"/>
          <w:sz w:val="22"/>
          <w:lang w:val="es-ES_tradnl"/>
        </w:rPr>
        <w:t xml:space="preserve"> </w:t>
      </w:r>
      <w:r w:rsidR="00021138" w:rsidRPr="009975B7">
        <w:rPr>
          <w:rFonts w:ascii="Arial" w:eastAsia="Calibri" w:hAnsi="Arial" w:cs="Arial"/>
          <w:sz w:val="22"/>
          <w:lang w:val="es-ES_tradnl"/>
        </w:rPr>
        <w:t>Amaya Caro</w:t>
      </w:r>
      <w:r w:rsidRPr="009975B7">
        <w:rPr>
          <w:rFonts w:ascii="Arial" w:eastAsia="Calibri" w:hAnsi="Arial" w:cs="Arial"/>
          <w:sz w:val="22"/>
          <w:lang w:val="es-ES_tradnl"/>
        </w:rPr>
        <w:t>:</w:t>
      </w:r>
    </w:p>
    <w:p w14:paraId="1EAE5543" w14:textId="77777777" w:rsidR="00DD5B04" w:rsidRPr="009975B7" w:rsidRDefault="00DD5B04" w:rsidP="009F6DAE">
      <w:pPr>
        <w:spacing w:line="276" w:lineRule="auto"/>
        <w:contextualSpacing/>
        <w:jc w:val="both"/>
        <w:rPr>
          <w:rFonts w:ascii="Arial" w:eastAsia="Calibri" w:hAnsi="Arial" w:cs="Arial"/>
          <w:sz w:val="22"/>
          <w:lang w:val="es-ES_tradnl"/>
        </w:rPr>
      </w:pPr>
    </w:p>
    <w:p w14:paraId="2109B2D3" w14:textId="064D0C8F" w:rsidR="00DD5B04" w:rsidRPr="009975B7" w:rsidRDefault="00DD5B04" w:rsidP="009F6DAE">
      <w:pPr>
        <w:spacing w:line="276" w:lineRule="auto"/>
        <w:jc w:val="both"/>
        <w:rPr>
          <w:rFonts w:ascii="Arial" w:eastAsia="Calibri" w:hAnsi="Arial" w:cs="Arial"/>
          <w:sz w:val="22"/>
          <w:lang w:val="es-ES_tradnl"/>
        </w:rPr>
      </w:pPr>
      <w:r w:rsidRPr="009975B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9975B7">
        <w:rPr>
          <w:rFonts w:ascii="Arial" w:eastAsia="Calibri" w:hAnsi="Arial" w:cs="Arial"/>
          <w:sz w:val="22"/>
          <w:lang w:val="es-ES_tradnl"/>
        </w:rPr>
        <w:t xml:space="preserve"> </w:t>
      </w:r>
      <w:r w:rsidRPr="009975B7">
        <w:rPr>
          <w:rFonts w:ascii="Arial" w:eastAsia="Calibri" w:hAnsi="Arial" w:cs="Arial"/>
          <w:sz w:val="22"/>
          <w:lang w:val="es-ES_tradnl"/>
        </w:rPr>
        <w:t xml:space="preserve">responde su consulta del </w:t>
      </w:r>
      <w:r w:rsidR="00537D47">
        <w:rPr>
          <w:rFonts w:ascii="Arial" w:eastAsia="Calibri" w:hAnsi="Arial" w:cs="Arial"/>
          <w:sz w:val="22"/>
          <w:lang w:val="es-ES_tradnl"/>
        </w:rPr>
        <w:t>02 de agosto de 2022</w:t>
      </w:r>
      <w:r w:rsidR="008C3C57" w:rsidRPr="009975B7">
        <w:rPr>
          <w:rFonts w:ascii="Arial" w:eastAsia="Calibri" w:hAnsi="Arial" w:cs="Arial"/>
          <w:sz w:val="22"/>
          <w:lang w:val="es-ES_tradnl"/>
        </w:rPr>
        <w:t>.</w:t>
      </w:r>
    </w:p>
    <w:p w14:paraId="0C1E0712" w14:textId="77777777" w:rsidR="00DD5B04" w:rsidRPr="009975B7" w:rsidRDefault="00DD5B04" w:rsidP="009F6DAE">
      <w:pPr>
        <w:spacing w:line="276" w:lineRule="auto"/>
        <w:jc w:val="both"/>
        <w:rPr>
          <w:rFonts w:ascii="Arial" w:eastAsia="Calibri" w:hAnsi="Arial" w:cs="Arial"/>
          <w:b/>
          <w:sz w:val="22"/>
          <w:lang w:val="es-ES_tradnl"/>
        </w:rPr>
      </w:pPr>
    </w:p>
    <w:p w14:paraId="7701FCC7" w14:textId="77777777" w:rsidR="00DD5B04" w:rsidRPr="009975B7" w:rsidRDefault="00DD5B04" w:rsidP="009F6DA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9975B7">
        <w:rPr>
          <w:rFonts w:ascii="Arial" w:eastAsia="Calibri" w:hAnsi="Arial" w:cs="Arial"/>
          <w:b/>
          <w:sz w:val="22"/>
          <w:lang w:val="es-ES_tradnl"/>
        </w:rPr>
        <w:t xml:space="preserve">Problema planteado </w:t>
      </w:r>
    </w:p>
    <w:p w14:paraId="224B43D3" w14:textId="77777777" w:rsidR="00DD5B04" w:rsidRPr="009975B7" w:rsidRDefault="00DD5B04" w:rsidP="009F6DAE">
      <w:pPr>
        <w:tabs>
          <w:tab w:val="left" w:pos="426"/>
        </w:tabs>
        <w:spacing w:line="276" w:lineRule="auto"/>
        <w:contextualSpacing/>
        <w:jc w:val="both"/>
        <w:rPr>
          <w:rFonts w:ascii="Arial" w:eastAsia="Calibri" w:hAnsi="Arial" w:cs="Arial"/>
          <w:b/>
          <w:sz w:val="22"/>
          <w:szCs w:val="22"/>
          <w:lang w:val="es-ES_tradnl"/>
        </w:rPr>
      </w:pPr>
    </w:p>
    <w:p w14:paraId="46C94F72" w14:textId="7B7971A4" w:rsidR="009F6DAE" w:rsidRPr="009975B7" w:rsidRDefault="009F6DAE" w:rsidP="0044297A">
      <w:pPr>
        <w:spacing w:line="276" w:lineRule="auto"/>
        <w:contextualSpacing/>
        <w:jc w:val="both"/>
        <w:rPr>
          <w:rFonts w:ascii="Arial" w:hAnsi="Arial" w:cs="Arial"/>
          <w:sz w:val="22"/>
          <w:szCs w:val="22"/>
        </w:rPr>
      </w:pPr>
      <w:r w:rsidRPr="009975B7">
        <w:rPr>
          <w:rFonts w:ascii="Arial" w:hAnsi="Arial" w:cs="Arial"/>
          <w:sz w:val="22"/>
          <w:szCs w:val="22"/>
        </w:rPr>
        <w:t xml:space="preserve">Respecto de la modalidad de selección de la contratación directa, usted plantea el siguiente interrogante: </w:t>
      </w:r>
    </w:p>
    <w:p w14:paraId="7D098F8B" w14:textId="77777777" w:rsidR="009F6DAE" w:rsidRPr="009975B7" w:rsidRDefault="009F6DAE" w:rsidP="0044297A">
      <w:pPr>
        <w:spacing w:line="276" w:lineRule="auto"/>
        <w:contextualSpacing/>
        <w:jc w:val="both"/>
        <w:rPr>
          <w:rFonts w:ascii="Arial" w:hAnsi="Arial" w:cs="Arial"/>
          <w:sz w:val="22"/>
          <w:szCs w:val="22"/>
        </w:rPr>
      </w:pPr>
    </w:p>
    <w:p w14:paraId="4BDE4CAE" w14:textId="10C05337" w:rsidR="00B83FEE" w:rsidRPr="009975B7" w:rsidRDefault="009F6DAE" w:rsidP="0044297A">
      <w:pPr>
        <w:ind w:left="709" w:right="709"/>
        <w:jc w:val="both"/>
        <w:rPr>
          <w:rFonts w:ascii="Arial" w:hAnsi="Arial" w:cs="Arial"/>
          <w:sz w:val="21"/>
          <w:szCs w:val="21"/>
        </w:rPr>
      </w:pPr>
      <w:r w:rsidRPr="009975B7">
        <w:rPr>
          <w:rFonts w:ascii="Arial" w:eastAsia="Arial" w:hAnsi="Arial" w:cs="Arial"/>
          <w:sz w:val="21"/>
          <w:szCs w:val="21"/>
          <w:lang w:val="es-MX"/>
        </w:rPr>
        <w:t>«</w:t>
      </w:r>
      <w:r w:rsidR="00B83FEE" w:rsidRPr="009975B7">
        <w:rPr>
          <w:rFonts w:ascii="Arial" w:hAnsi="Arial" w:cs="Arial"/>
          <w:sz w:val="21"/>
          <w:szCs w:val="21"/>
        </w:rPr>
        <w:t>[…] El análisis del sector de una contratación directa (prestación de servicios de apoyo a la gestión, profesionales o artísticos) puede ir incluida en el documento de los estudios previos, o la misma debe ser en un documento aparte, en caso de ser incluida dentro de los estudios previos la misma que requisitos debe llevar</w:t>
      </w:r>
      <w:r w:rsidRPr="009975B7">
        <w:rPr>
          <w:rFonts w:ascii="Arial" w:eastAsia="Arial" w:hAnsi="Arial" w:cs="Arial"/>
          <w:sz w:val="21"/>
          <w:szCs w:val="21"/>
          <w:lang w:val="es-MX"/>
        </w:rPr>
        <w:t>».</w:t>
      </w:r>
    </w:p>
    <w:p w14:paraId="39A69248" w14:textId="77777777" w:rsidR="006D4AB2" w:rsidRPr="009975B7" w:rsidRDefault="006D4AB2" w:rsidP="001131C3">
      <w:pPr>
        <w:ind w:right="709"/>
        <w:contextualSpacing/>
        <w:jc w:val="both"/>
        <w:rPr>
          <w:rFonts w:ascii="Arial" w:hAnsi="Arial" w:cs="Arial"/>
          <w:sz w:val="22"/>
          <w:szCs w:val="22"/>
          <w:lang w:val="es-ES_tradnl"/>
        </w:rPr>
      </w:pPr>
    </w:p>
    <w:p w14:paraId="124D2DCA" w14:textId="77777777" w:rsidR="00DD5B04" w:rsidRPr="009975B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9975B7">
        <w:rPr>
          <w:rFonts w:ascii="Arial" w:eastAsia="Calibri" w:hAnsi="Arial" w:cs="Arial"/>
          <w:b/>
          <w:sz w:val="22"/>
          <w:lang w:val="es-ES_tradnl"/>
        </w:rPr>
        <w:t>Consideraciones</w:t>
      </w:r>
    </w:p>
    <w:p w14:paraId="7D050D2E" w14:textId="77777777" w:rsidR="00435703" w:rsidRPr="009975B7" w:rsidRDefault="00435703" w:rsidP="00DF76A2">
      <w:pPr>
        <w:spacing w:line="276" w:lineRule="auto"/>
        <w:contextualSpacing/>
        <w:jc w:val="both"/>
        <w:rPr>
          <w:rFonts w:ascii="Arial" w:eastAsia="Calibri" w:hAnsi="Arial" w:cs="Arial"/>
          <w:sz w:val="22"/>
          <w:szCs w:val="22"/>
          <w:lang w:val="es-ES_tradnl"/>
        </w:rPr>
      </w:pPr>
    </w:p>
    <w:p w14:paraId="32122D81" w14:textId="5D7A35D4" w:rsidR="009F6DAE" w:rsidRPr="009975B7" w:rsidRDefault="009F6DAE" w:rsidP="0044297A">
      <w:pPr>
        <w:spacing w:after="120" w:line="276" w:lineRule="auto"/>
        <w:jc w:val="both"/>
        <w:rPr>
          <w:rFonts w:ascii="Arial" w:hAnsi="Arial" w:cs="Arial"/>
          <w:sz w:val="22"/>
          <w:szCs w:val="22"/>
        </w:rPr>
      </w:pPr>
      <w:r w:rsidRPr="009975B7">
        <w:rPr>
          <w:rFonts w:ascii="Arial" w:hAnsi="Arial" w:cs="Arial"/>
          <w:sz w:val="22"/>
          <w:szCs w:val="22"/>
        </w:rPr>
        <w:t xml:space="preserve">Con el fin de resolver </w:t>
      </w:r>
      <w:r w:rsidR="008B1608" w:rsidRPr="009975B7">
        <w:rPr>
          <w:rFonts w:ascii="Arial" w:hAnsi="Arial" w:cs="Arial"/>
          <w:sz w:val="22"/>
          <w:szCs w:val="22"/>
        </w:rPr>
        <w:t xml:space="preserve">el interrogante planteado, a continuación, la Agencia analizará los siguientes temas: </w:t>
      </w:r>
      <w:r w:rsidR="008B1608" w:rsidRPr="009975B7">
        <w:rPr>
          <w:rFonts w:ascii="Arial" w:eastAsia="Arial" w:hAnsi="Arial" w:cs="Arial"/>
          <w:sz w:val="22"/>
          <w:szCs w:val="22"/>
          <w:lang w:val="es-MX"/>
        </w:rPr>
        <w:t xml:space="preserve">i) generalidades sobre la contratación directa como modalidad para la </w:t>
      </w:r>
      <w:r w:rsidR="008B1608" w:rsidRPr="009975B7">
        <w:rPr>
          <w:rFonts w:ascii="Arial" w:eastAsia="Arial" w:hAnsi="Arial" w:cs="Arial"/>
          <w:sz w:val="22"/>
          <w:szCs w:val="22"/>
          <w:lang w:val="es-MX"/>
        </w:rPr>
        <w:lastRenderedPageBreak/>
        <w:t xml:space="preserve">selección objetiva del contratista; </w:t>
      </w:r>
      <w:proofErr w:type="spellStart"/>
      <w:r w:rsidR="008B1608" w:rsidRPr="009975B7">
        <w:rPr>
          <w:rFonts w:ascii="Arial" w:eastAsia="Arial" w:hAnsi="Arial" w:cs="Arial"/>
          <w:sz w:val="22"/>
          <w:szCs w:val="22"/>
          <w:lang w:val="es-MX"/>
        </w:rPr>
        <w:t>ii</w:t>
      </w:r>
      <w:proofErr w:type="spellEnd"/>
      <w:r w:rsidR="008B1608" w:rsidRPr="009975B7">
        <w:rPr>
          <w:rFonts w:ascii="Arial" w:eastAsia="Arial" w:hAnsi="Arial" w:cs="Arial"/>
          <w:sz w:val="22"/>
          <w:szCs w:val="22"/>
          <w:lang w:val="es-MX"/>
        </w:rPr>
        <w:t xml:space="preserve">) </w:t>
      </w:r>
      <w:r w:rsidR="00427951" w:rsidRPr="009975B7">
        <w:rPr>
          <w:rFonts w:ascii="Arial" w:eastAsia="Calibri" w:hAnsi="Arial" w:cs="Arial"/>
          <w:sz w:val="22"/>
          <w:lang w:val="es-ES_tradnl"/>
        </w:rPr>
        <w:t xml:space="preserve">estudios previos y del sector en el Estatuto General de Contratación de la Administración Pública </w:t>
      </w:r>
      <w:r w:rsidR="008B1608" w:rsidRPr="009975B7">
        <w:rPr>
          <w:rFonts w:ascii="Arial" w:eastAsia="Arial" w:hAnsi="Arial" w:cs="Arial"/>
          <w:sz w:val="22"/>
          <w:szCs w:val="22"/>
          <w:lang w:val="es-MX"/>
        </w:rPr>
        <w:t xml:space="preserve">y; </w:t>
      </w:r>
      <w:proofErr w:type="spellStart"/>
      <w:r w:rsidR="008B1608" w:rsidRPr="009975B7">
        <w:rPr>
          <w:rFonts w:ascii="Arial" w:eastAsia="Arial" w:hAnsi="Arial" w:cs="Arial"/>
          <w:sz w:val="22"/>
          <w:szCs w:val="22"/>
          <w:lang w:val="es-MX"/>
        </w:rPr>
        <w:t>iii</w:t>
      </w:r>
      <w:proofErr w:type="spellEnd"/>
      <w:r w:rsidR="008B1608" w:rsidRPr="009975B7">
        <w:rPr>
          <w:rFonts w:ascii="Arial" w:eastAsia="Arial" w:hAnsi="Arial" w:cs="Arial"/>
          <w:sz w:val="22"/>
          <w:szCs w:val="22"/>
          <w:lang w:val="es-MX"/>
        </w:rPr>
        <w:t xml:space="preserve">) </w:t>
      </w:r>
      <w:r w:rsidR="00B20FFF" w:rsidRPr="009975B7">
        <w:rPr>
          <w:rFonts w:ascii="Arial" w:eastAsia="Calibri" w:hAnsi="Arial" w:cs="Arial"/>
          <w:sz w:val="22"/>
          <w:lang w:val="es-ES_tradnl"/>
        </w:rPr>
        <w:t>principio de planeación y los estudios previos en el Estatuto General de Contratación de la Administración Pública aplicado a la contratación estatal</w:t>
      </w:r>
      <w:r w:rsidR="008B1608" w:rsidRPr="009975B7">
        <w:rPr>
          <w:rFonts w:ascii="Arial" w:eastAsia="Arial" w:hAnsi="Arial" w:cs="Arial"/>
          <w:sz w:val="22"/>
          <w:szCs w:val="22"/>
          <w:lang w:val="es-MX"/>
        </w:rPr>
        <w:t>.</w:t>
      </w:r>
    </w:p>
    <w:p w14:paraId="1144E6B3" w14:textId="30FF5288" w:rsidR="00C8331F" w:rsidRPr="009975B7" w:rsidRDefault="009E59ED" w:rsidP="0044297A">
      <w:pPr>
        <w:spacing w:line="276" w:lineRule="auto"/>
        <w:ind w:firstLine="709"/>
        <w:jc w:val="both"/>
        <w:rPr>
          <w:rFonts w:ascii="Arial" w:eastAsia="Calibri" w:hAnsi="Arial" w:cs="Arial"/>
          <w:sz w:val="22"/>
          <w:szCs w:val="22"/>
          <w:lang w:val="es-ES_tradnl"/>
        </w:rPr>
      </w:pPr>
      <w:r w:rsidRPr="009975B7">
        <w:rPr>
          <w:rFonts w:ascii="Arial" w:hAnsi="Arial" w:cs="Arial"/>
          <w:sz w:val="22"/>
          <w:szCs w:val="22"/>
        </w:rPr>
        <w:t xml:space="preserve">La Agencia Nacional de Contratación Pública – Colombia Compra Eficiente </w:t>
      </w:r>
      <w:r w:rsidR="00A63152" w:rsidRPr="009975B7">
        <w:rPr>
          <w:rFonts w:ascii="Arial" w:eastAsia="Arial" w:hAnsi="Arial" w:cs="Arial"/>
          <w:lang w:val="es-MX"/>
        </w:rPr>
        <w:t>se ha referido a la contratación directa como modalidad de selección de contratistas y a la aplicación de los principios generales de la contratación pública, entre otros, en los Conceptos C-418 del 18 de agosto de 2021, C-561 del 8 de octubre de 2021 y C-687 de 2021</w:t>
      </w:r>
      <w:r w:rsidR="001E05B3" w:rsidRPr="009975B7">
        <w:rPr>
          <w:rFonts w:ascii="Arial" w:eastAsia="Arial" w:hAnsi="Arial" w:cs="Arial"/>
          <w:lang w:val="es-MX"/>
        </w:rPr>
        <w:t xml:space="preserve">, </w:t>
      </w:r>
      <w:r w:rsidR="00E16242" w:rsidRPr="009975B7">
        <w:rPr>
          <w:rFonts w:ascii="Arial" w:eastAsia="Arial" w:hAnsi="Arial" w:cs="Arial"/>
          <w:lang w:val="es-MX"/>
        </w:rPr>
        <w:t xml:space="preserve">C-181 del 6 de abril de 2022 y C-250 del </w:t>
      </w:r>
      <w:r w:rsidR="00460E7E" w:rsidRPr="009975B7">
        <w:rPr>
          <w:rFonts w:ascii="Arial" w:eastAsia="Arial" w:hAnsi="Arial" w:cs="Arial"/>
          <w:lang w:val="es-MX"/>
        </w:rPr>
        <w:t>4 de mayo de 2022</w:t>
      </w:r>
      <w:r w:rsidR="00A63152" w:rsidRPr="009975B7">
        <w:rPr>
          <w:rFonts w:ascii="Arial" w:eastAsia="Arial" w:hAnsi="Arial" w:cs="Arial"/>
          <w:lang w:val="es-MX"/>
        </w:rPr>
        <w:t xml:space="preserve">. Así mismo, esta Agencia </w:t>
      </w:r>
      <w:r w:rsidR="008B1608" w:rsidRPr="009975B7">
        <w:rPr>
          <w:rFonts w:ascii="Arial" w:hAnsi="Arial" w:cs="Arial"/>
          <w:sz w:val="22"/>
          <w:szCs w:val="22"/>
        </w:rPr>
        <w:t xml:space="preserve">se ha pronunciado </w:t>
      </w:r>
      <w:r w:rsidRPr="009975B7">
        <w:rPr>
          <w:rFonts w:ascii="Arial" w:eastAsia="Calibri" w:hAnsi="Arial" w:cs="Arial"/>
          <w:sz w:val="22"/>
          <w:szCs w:val="22"/>
        </w:rPr>
        <w:t>e</w:t>
      </w:r>
      <w:r w:rsidRPr="009975B7">
        <w:rPr>
          <w:rFonts w:ascii="Arial" w:hAnsi="Arial" w:cs="Arial"/>
          <w:sz w:val="22"/>
          <w:szCs w:val="22"/>
        </w:rPr>
        <w:t xml:space="preserve">n los </w:t>
      </w:r>
      <w:r w:rsidR="002B2E69" w:rsidRPr="009975B7">
        <w:rPr>
          <w:rFonts w:ascii="Arial" w:hAnsi="Arial" w:cs="Arial"/>
          <w:sz w:val="22"/>
          <w:szCs w:val="22"/>
        </w:rPr>
        <w:t>conceptos</w:t>
      </w:r>
      <w:r w:rsidR="002B2E69" w:rsidRPr="009975B7">
        <w:rPr>
          <w:rFonts w:ascii="Arial" w:eastAsia="Calibri" w:hAnsi="Arial" w:cs="Arial"/>
          <w:sz w:val="22"/>
          <w:szCs w:val="22"/>
          <w:lang w:val="es-ES_tradnl"/>
        </w:rPr>
        <w:t xml:space="preserve"> C</w:t>
      </w:r>
      <w:r w:rsidR="008B1608" w:rsidRPr="009975B7">
        <w:rPr>
          <w:rFonts w:ascii="Arial" w:eastAsia="Calibri" w:hAnsi="Arial" w:cs="Arial"/>
          <w:sz w:val="22"/>
          <w:szCs w:val="22"/>
          <w:lang w:val="es-ES_tradnl"/>
        </w:rPr>
        <w:t>-</w:t>
      </w:r>
      <w:r w:rsidR="00696353" w:rsidRPr="009975B7">
        <w:rPr>
          <w:rFonts w:ascii="Arial" w:eastAsia="Calibri" w:hAnsi="Arial" w:cs="Arial"/>
          <w:sz w:val="22"/>
          <w:szCs w:val="22"/>
          <w:lang w:val="es-ES_tradnl"/>
        </w:rPr>
        <w:t>148 de 2021</w:t>
      </w:r>
      <w:r w:rsidR="005256F6" w:rsidRPr="009975B7">
        <w:rPr>
          <w:rFonts w:ascii="Arial" w:eastAsia="Calibri" w:hAnsi="Arial" w:cs="Arial"/>
          <w:sz w:val="22"/>
          <w:szCs w:val="22"/>
          <w:lang w:val="es-ES_tradnl"/>
        </w:rPr>
        <w:t>, C-215 del</w:t>
      </w:r>
      <w:r w:rsidR="00073296" w:rsidRPr="009975B7">
        <w:rPr>
          <w:rFonts w:ascii="Arial" w:eastAsia="Calibri" w:hAnsi="Arial" w:cs="Arial"/>
          <w:sz w:val="22"/>
          <w:szCs w:val="22"/>
          <w:lang w:val="es-ES_tradnl"/>
        </w:rPr>
        <w:t xml:space="preserve"> 12 de mayo de 2021</w:t>
      </w:r>
      <w:r w:rsidR="00A7347E" w:rsidRPr="009975B7">
        <w:rPr>
          <w:rFonts w:ascii="Arial" w:eastAsia="Calibri" w:hAnsi="Arial" w:cs="Arial"/>
          <w:sz w:val="22"/>
          <w:szCs w:val="22"/>
          <w:lang w:val="es-ES_tradnl"/>
        </w:rPr>
        <w:t xml:space="preserve">, </w:t>
      </w:r>
      <w:r w:rsidR="00847C04" w:rsidRPr="009975B7">
        <w:rPr>
          <w:rFonts w:ascii="Arial" w:eastAsia="Calibri" w:hAnsi="Arial" w:cs="Arial"/>
          <w:sz w:val="22"/>
          <w:szCs w:val="22"/>
          <w:lang w:val="es-ES_tradnl"/>
        </w:rPr>
        <w:t xml:space="preserve">C-418 del </w:t>
      </w:r>
      <w:r w:rsidR="00222C75" w:rsidRPr="009975B7">
        <w:rPr>
          <w:rFonts w:ascii="Arial" w:eastAsia="Calibri" w:hAnsi="Arial" w:cs="Arial"/>
          <w:sz w:val="22"/>
          <w:szCs w:val="22"/>
          <w:lang w:val="es-ES_tradnl"/>
        </w:rPr>
        <w:t xml:space="preserve">18 de agosto de 2021, </w:t>
      </w:r>
      <w:r w:rsidR="00333624" w:rsidRPr="009975B7">
        <w:rPr>
          <w:rFonts w:ascii="Arial" w:eastAsia="Calibri" w:hAnsi="Arial" w:cs="Arial"/>
          <w:sz w:val="22"/>
          <w:szCs w:val="22"/>
          <w:lang w:val="es-ES_tradnl"/>
        </w:rPr>
        <w:t xml:space="preserve">C-603 del 02 de noviembre de 2021, </w:t>
      </w:r>
      <w:r w:rsidR="00A7347E" w:rsidRPr="009975B7">
        <w:rPr>
          <w:rFonts w:ascii="Arial" w:eastAsia="Calibri" w:hAnsi="Arial" w:cs="Arial"/>
          <w:sz w:val="22"/>
          <w:szCs w:val="22"/>
          <w:lang w:val="es-ES_tradnl"/>
        </w:rPr>
        <w:t xml:space="preserve">C-742 del </w:t>
      </w:r>
      <w:r w:rsidR="003F1988" w:rsidRPr="009975B7">
        <w:rPr>
          <w:rFonts w:ascii="Arial" w:eastAsia="Calibri" w:hAnsi="Arial" w:cs="Arial"/>
          <w:sz w:val="22"/>
          <w:szCs w:val="22"/>
          <w:lang w:val="es-ES_tradnl"/>
        </w:rPr>
        <w:t>27 de diciembre de 2021</w:t>
      </w:r>
      <w:r w:rsidR="0040163B" w:rsidRPr="009975B7">
        <w:rPr>
          <w:rFonts w:ascii="Arial" w:eastAsia="Calibri" w:hAnsi="Arial" w:cs="Arial"/>
          <w:sz w:val="22"/>
          <w:szCs w:val="22"/>
          <w:lang w:val="es-ES_tradnl"/>
        </w:rPr>
        <w:t>, C</w:t>
      </w:r>
      <w:r w:rsidR="006D2A79" w:rsidRPr="009975B7">
        <w:rPr>
          <w:rFonts w:ascii="Arial" w:eastAsia="Calibri" w:hAnsi="Arial" w:cs="Arial"/>
          <w:sz w:val="22"/>
          <w:szCs w:val="22"/>
          <w:lang w:val="es-ES_tradnl"/>
        </w:rPr>
        <w:t>-</w:t>
      </w:r>
      <w:r w:rsidR="0040163B" w:rsidRPr="009975B7">
        <w:rPr>
          <w:rFonts w:ascii="Arial" w:eastAsia="Calibri" w:hAnsi="Arial" w:cs="Arial"/>
          <w:sz w:val="22"/>
          <w:szCs w:val="22"/>
          <w:lang w:val="es-ES_tradnl"/>
        </w:rPr>
        <w:t xml:space="preserve">017 del </w:t>
      </w:r>
      <w:r w:rsidR="001D43E7" w:rsidRPr="009975B7">
        <w:rPr>
          <w:rFonts w:ascii="Arial" w:eastAsia="Calibri" w:hAnsi="Arial" w:cs="Arial"/>
          <w:sz w:val="22"/>
          <w:szCs w:val="22"/>
          <w:lang w:val="es-ES_tradnl"/>
        </w:rPr>
        <w:t>22 de febrero de 2022</w:t>
      </w:r>
      <w:r w:rsidR="00C55CBD" w:rsidRPr="009975B7">
        <w:rPr>
          <w:rFonts w:ascii="Arial" w:eastAsia="Calibri" w:hAnsi="Arial" w:cs="Arial"/>
          <w:sz w:val="22"/>
          <w:szCs w:val="22"/>
          <w:lang w:val="es-ES_tradnl"/>
        </w:rPr>
        <w:t xml:space="preserve">, C-043 del </w:t>
      </w:r>
      <w:r w:rsidR="0039124E" w:rsidRPr="009975B7">
        <w:rPr>
          <w:rFonts w:ascii="Arial" w:eastAsia="Calibri" w:hAnsi="Arial" w:cs="Arial"/>
          <w:sz w:val="22"/>
          <w:szCs w:val="22"/>
          <w:lang w:val="es-ES_tradnl"/>
        </w:rPr>
        <w:t xml:space="preserve">01 de marzo del 2022, </w:t>
      </w:r>
      <w:r w:rsidR="000E72CF" w:rsidRPr="009975B7">
        <w:rPr>
          <w:rFonts w:ascii="Arial" w:eastAsia="Calibri" w:hAnsi="Arial" w:cs="Arial"/>
          <w:sz w:val="22"/>
          <w:szCs w:val="22"/>
          <w:lang w:val="es-ES_tradnl"/>
        </w:rPr>
        <w:t xml:space="preserve">C- 069 del 30 </w:t>
      </w:r>
      <w:r w:rsidR="004415AA" w:rsidRPr="009975B7">
        <w:rPr>
          <w:rFonts w:ascii="Arial" w:eastAsia="Calibri" w:hAnsi="Arial" w:cs="Arial"/>
          <w:sz w:val="22"/>
          <w:szCs w:val="22"/>
          <w:lang w:val="es-ES_tradnl"/>
        </w:rPr>
        <w:t>marzo de 2022</w:t>
      </w:r>
      <w:r w:rsidR="003E2D55" w:rsidRPr="009975B7">
        <w:rPr>
          <w:rFonts w:ascii="Arial" w:eastAsia="Calibri" w:hAnsi="Arial" w:cs="Arial"/>
          <w:sz w:val="22"/>
          <w:szCs w:val="22"/>
          <w:lang w:val="es-ES_tradnl"/>
        </w:rPr>
        <w:t xml:space="preserve"> </w:t>
      </w:r>
      <w:r w:rsidR="0015571E" w:rsidRPr="009975B7">
        <w:rPr>
          <w:rFonts w:ascii="Arial" w:eastAsia="Calibri" w:hAnsi="Arial" w:cs="Arial"/>
          <w:sz w:val="22"/>
          <w:szCs w:val="22"/>
          <w:lang w:val="es-ES_tradnl"/>
        </w:rPr>
        <w:t>sobre la regulación de los estudios previos y del sector en el Estatuto General de Contratación</w:t>
      </w:r>
      <w:r w:rsidR="0015571E" w:rsidRPr="009975B7">
        <w:rPr>
          <w:rFonts w:ascii="Arial" w:eastAsia="Calibri" w:hAnsi="Arial" w:cs="Arial"/>
          <w:sz w:val="22"/>
          <w:lang w:val="es-ES_tradnl"/>
        </w:rPr>
        <w:t xml:space="preserve"> de la Administración Pública. Igualmente, se reiteran los Conceptos C-387 del 23 de junio de 2020 –radicado No. 2202013000005289–, </w:t>
      </w:r>
      <w:r w:rsidR="0015571E" w:rsidRPr="009975B7">
        <w:rPr>
          <w:rFonts w:ascii="Arial" w:eastAsia="Calibri" w:hAnsi="Arial" w:cs="Arial"/>
          <w:sz w:val="22"/>
        </w:rPr>
        <w:t xml:space="preserve">C-415 del 7 de julio </w:t>
      </w:r>
      <w:r w:rsidR="0015571E" w:rsidRPr="009975B7">
        <w:rPr>
          <w:rFonts w:ascii="Arial" w:eastAsia="Calibri" w:hAnsi="Arial" w:cs="Arial"/>
          <w:sz w:val="22"/>
          <w:lang w:val="es-ES_tradnl"/>
        </w:rPr>
        <w:t xml:space="preserve">–radicado No. </w:t>
      </w:r>
      <w:r w:rsidR="0015571E" w:rsidRPr="009975B7">
        <w:rPr>
          <w:rFonts w:ascii="Arial" w:hAnsi="Arial" w:cs="Arial"/>
          <w:sz w:val="22"/>
        </w:rPr>
        <w:t>2202013000005931–</w:t>
      </w:r>
      <w:r w:rsidR="0015571E" w:rsidRPr="009975B7">
        <w:rPr>
          <w:rFonts w:ascii="Arial" w:eastAsia="Calibri" w:hAnsi="Arial" w:cs="Arial"/>
          <w:sz w:val="22"/>
        </w:rPr>
        <w:t>, C-443 del 7 de julio de 2020 –</w:t>
      </w:r>
      <w:r w:rsidR="0015571E" w:rsidRPr="009975B7">
        <w:rPr>
          <w:rFonts w:ascii="Arial" w:eastAsia="Calibri" w:hAnsi="Arial" w:cs="Arial"/>
          <w:sz w:val="22"/>
          <w:lang w:val="es-ES_tradnl"/>
        </w:rPr>
        <w:t>radicado No.</w:t>
      </w:r>
      <w:r w:rsidR="0015571E" w:rsidRPr="009975B7">
        <w:rPr>
          <w:rFonts w:ascii="Arial" w:hAnsi="Arial" w:cs="Arial"/>
          <w:sz w:val="22"/>
        </w:rPr>
        <w:t xml:space="preserve"> 2202013000005933– y C-387 del 23 de junio de 2020 –radicado No. </w:t>
      </w:r>
      <w:r w:rsidR="0015571E" w:rsidRPr="009975B7">
        <w:rPr>
          <w:rStyle w:val="normaltextrun"/>
          <w:rFonts w:ascii="Arial" w:eastAsiaTheme="minorEastAsia" w:hAnsi="Arial" w:cs="Arial"/>
          <w:sz w:val="22"/>
          <w:shd w:val="clear" w:color="auto" w:fill="FFFFFF"/>
        </w:rPr>
        <w:t xml:space="preserve">4202013000004275–, </w:t>
      </w:r>
      <w:r w:rsidR="001A74C1" w:rsidRPr="009975B7">
        <w:rPr>
          <w:rFonts w:ascii="Arial" w:eastAsia="Calibri" w:hAnsi="Arial" w:cs="Arial"/>
          <w:sz w:val="22"/>
          <w:lang w:val="es-ES_tradnl"/>
        </w:rPr>
        <w:t xml:space="preserve">2202013000000037 del 7 de enero de 2020 y C-223 del 29 de abril de 2020 y </w:t>
      </w:r>
      <w:r w:rsidR="001A74C1" w:rsidRPr="009975B7">
        <w:rPr>
          <w:rFonts w:ascii="Arial" w:eastAsia="Calibri" w:hAnsi="Arial" w:cs="Arial"/>
          <w:sz w:val="22"/>
          <w:szCs w:val="22"/>
          <w:lang w:val="es-ES_tradnl"/>
        </w:rPr>
        <w:t xml:space="preserve">C-671 de 2020 de 23 de noviembre de 2020 </w:t>
      </w:r>
      <w:r w:rsidR="001A74C1" w:rsidRPr="009975B7">
        <w:rPr>
          <w:rFonts w:ascii="Arial" w:eastAsia="Calibri" w:hAnsi="Arial" w:cs="Arial"/>
          <w:sz w:val="22"/>
          <w:lang w:val="es-ES_tradnl"/>
        </w:rPr>
        <w:t>sobre la regulación de los estudios del sector en el Estatuto General de Contratación de la Administración Pública</w:t>
      </w:r>
      <w:r w:rsidR="001A74C1" w:rsidRPr="009975B7">
        <w:rPr>
          <w:rFonts w:ascii="Arial" w:eastAsia="Calibri" w:hAnsi="Arial" w:cs="Arial"/>
          <w:sz w:val="22"/>
          <w:szCs w:val="22"/>
          <w:lang w:val="es-ES_tradnl"/>
        </w:rPr>
        <w:t>.</w:t>
      </w:r>
      <w:r w:rsidR="00131486" w:rsidRPr="009975B7">
        <w:rPr>
          <w:rFonts w:ascii="Arial" w:eastAsia="Calibri" w:hAnsi="Arial" w:cs="Arial"/>
          <w:sz w:val="22"/>
          <w:szCs w:val="22"/>
          <w:lang w:val="es-ES_tradnl"/>
        </w:rPr>
        <w:t xml:space="preserve"> </w:t>
      </w:r>
      <w:r w:rsidR="004060DC" w:rsidRPr="009975B7">
        <w:rPr>
          <w:rFonts w:ascii="Arial" w:eastAsia="Calibri" w:hAnsi="Arial" w:cs="Arial"/>
          <w:sz w:val="22"/>
          <w:szCs w:val="22"/>
          <w:lang w:val="es-ES_tradnl"/>
        </w:rPr>
        <w:t xml:space="preserve">Algunas de las consideraciones </w:t>
      </w:r>
      <w:r w:rsidR="00CC5E38" w:rsidRPr="009975B7">
        <w:rPr>
          <w:rFonts w:ascii="Arial" w:eastAsia="Calibri" w:hAnsi="Arial" w:cs="Arial"/>
          <w:sz w:val="22"/>
          <w:szCs w:val="22"/>
          <w:lang w:val="es-ES_tradnl"/>
        </w:rPr>
        <w:t>de estos</w:t>
      </w:r>
      <w:r w:rsidR="004060DC" w:rsidRPr="009975B7">
        <w:rPr>
          <w:rFonts w:ascii="Arial" w:eastAsia="Calibri" w:hAnsi="Arial" w:cs="Arial"/>
          <w:sz w:val="22"/>
          <w:szCs w:val="22"/>
          <w:lang w:val="es-ES_tradnl"/>
        </w:rPr>
        <w:t xml:space="preserve"> conceptos se </w:t>
      </w:r>
      <w:r w:rsidR="00CC5E38" w:rsidRPr="009975B7">
        <w:rPr>
          <w:rFonts w:ascii="Arial" w:eastAsia="Calibri" w:hAnsi="Arial" w:cs="Arial"/>
          <w:sz w:val="22"/>
          <w:szCs w:val="22"/>
          <w:lang w:val="es-ES_tradnl"/>
        </w:rPr>
        <w:t>reiteran</w:t>
      </w:r>
      <w:r w:rsidR="00460E7E" w:rsidRPr="009975B7">
        <w:rPr>
          <w:rFonts w:ascii="Arial" w:eastAsia="Calibri" w:hAnsi="Arial" w:cs="Arial"/>
          <w:sz w:val="22"/>
          <w:szCs w:val="22"/>
          <w:lang w:val="es-ES_tradnl"/>
        </w:rPr>
        <w:t xml:space="preserve"> y se complementan en lo pertinente</w:t>
      </w:r>
      <w:r w:rsidR="004060DC" w:rsidRPr="009975B7">
        <w:rPr>
          <w:rFonts w:ascii="Arial" w:eastAsia="Calibri" w:hAnsi="Arial" w:cs="Arial"/>
          <w:sz w:val="22"/>
          <w:szCs w:val="22"/>
          <w:lang w:val="es-ES_tradnl"/>
        </w:rPr>
        <w:t xml:space="preserve"> a continuación.</w:t>
      </w:r>
    </w:p>
    <w:p w14:paraId="6C144D3A" w14:textId="77777777" w:rsidR="00592379" w:rsidRPr="009975B7" w:rsidRDefault="00592379" w:rsidP="0078356A">
      <w:pPr>
        <w:spacing w:line="276" w:lineRule="auto"/>
        <w:ind w:firstLine="709"/>
        <w:contextualSpacing/>
        <w:jc w:val="both"/>
        <w:rPr>
          <w:rFonts w:ascii="Arial" w:eastAsia="Calibri" w:hAnsi="Arial" w:cs="Arial"/>
          <w:sz w:val="22"/>
          <w:szCs w:val="22"/>
          <w:lang w:val="es-ES_tradnl"/>
        </w:rPr>
      </w:pPr>
    </w:p>
    <w:p w14:paraId="165B34AD" w14:textId="2131C5D9" w:rsidR="00B22EC0" w:rsidRPr="009975B7" w:rsidRDefault="00B22EC0" w:rsidP="00B22EC0">
      <w:pPr>
        <w:spacing w:line="276" w:lineRule="auto"/>
        <w:contextualSpacing/>
        <w:jc w:val="both"/>
        <w:rPr>
          <w:rFonts w:ascii="Arial" w:eastAsia="Arial" w:hAnsi="Arial" w:cs="Arial"/>
          <w:b/>
          <w:sz w:val="22"/>
          <w:szCs w:val="22"/>
          <w:lang w:eastAsia="en-US"/>
        </w:rPr>
      </w:pPr>
      <w:r w:rsidRPr="009975B7">
        <w:rPr>
          <w:rFonts w:ascii="Arial" w:eastAsia="Arial" w:hAnsi="Arial" w:cs="Arial"/>
          <w:b/>
          <w:sz w:val="22"/>
          <w:szCs w:val="22"/>
          <w:lang w:val="es-MX"/>
        </w:rPr>
        <w:t xml:space="preserve">2.1. </w:t>
      </w:r>
      <w:r w:rsidRPr="009975B7">
        <w:rPr>
          <w:rFonts w:ascii="Arial" w:eastAsia="Arial" w:hAnsi="Arial" w:cs="Arial"/>
          <w:b/>
          <w:sz w:val="22"/>
          <w:szCs w:val="22"/>
          <w:lang w:eastAsia="en-US"/>
        </w:rPr>
        <w:t xml:space="preserve">Generalidades sobre la modalidad de selección de contratación directa </w:t>
      </w:r>
    </w:p>
    <w:p w14:paraId="44008227" w14:textId="77777777" w:rsidR="00B22EC0" w:rsidRPr="009975B7" w:rsidRDefault="00B22EC0" w:rsidP="00B22EC0">
      <w:pPr>
        <w:tabs>
          <w:tab w:val="left" w:pos="426"/>
        </w:tabs>
        <w:spacing w:line="276" w:lineRule="auto"/>
        <w:contextualSpacing/>
        <w:jc w:val="both"/>
        <w:rPr>
          <w:rFonts w:ascii="Arial" w:eastAsia="Arial" w:hAnsi="Arial" w:cs="Arial"/>
          <w:sz w:val="22"/>
          <w:szCs w:val="22"/>
          <w:lang w:val="es-MX"/>
        </w:rPr>
      </w:pPr>
    </w:p>
    <w:p w14:paraId="628DD993" w14:textId="77777777" w:rsidR="00B22EC0" w:rsidRPr="009975B7" w:rsidRDefault="00B22EC0" w:rsidP="00B22EC0">
      <w:pPr>
        <w:spacing w:after="120" w:line="276" w:lineRule="auto"/>
        <w:jc w:val="both"/>
        <w:rPr>
          <w:rFonts w:ascii="Arial" w:eastAsia="Calibri" w:hAnsi="Arial" w:cs="Arial"/>
          <w:sz w:val="22"/>
          <w:szCs w:val="22"/>
          <w:lang w:val="es-ES" w:eastAsia="es-MX"/>
        </w:rPr>
      </w:pPr>
      <w:r w:rsidRPr="009975B7">
        <w:rPr>
          <w:rFonts w:ascii="Arial" w:eastAsia="Calibri" w:hAnsi="Arial" w:cs="Arial"/>
          <w:sz w:val="22"/>
          <w:szCs w:val="22"/>
          <w:lang w:eastAsia="es-MX"/>
        </w:rPr>
        <w:t>El artículo 2 de la Ley 1150 de 2007 actualmente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«A ese respecto es claro que las experiencias exitosas a nivel internacional demuestran que el criterio de distinción que debe gobernar un esquema contractual eficiente es el de modular las modalidades de selección en razón a las características del objeto»</w:t>
      </w:r>
      <w:r w:rsidRPr="009975B7">
        <w:rPr>
          <w:rFonts w:ascii="Arial" w:eastAsia="Calibri" w:hAnsi="Arial" w:cs="Arial"/>
          <w:sz w:val="22"/>
          <w:szCs w:val="22"/>
          <w:vertAlign w:val="superscript"/>
          <w:lang w:eastAsia="es-MX"/>
        </w:rPr>
        <w:footnoteReference w:id="2"/>
      </w:r>
      <w:r w:rsidRPr="009975B7">
        <w:rPr>
          <w:rFonts w:ascii="Arial" w:eastAsia="Calibri" w:hAnsi="Arial" w:cs="Arial"/>
          <w:sz w:val="22"/>
          <w:szCs w:val="22"/>
          <w:lang w:eastAsia="es-MX"/>
        </w:rPr>
        <w:t>.</w:t>
      </w:r>
    </w:p>
    <w:p w14:paraId="76E0BA36" w14:textId="77777777" w:rsidR="00B22EC0" w:rsidRPr="009975B7" w:rsidRDefault="00B22EC0" w:rsidP="00B22EC0">
      <w:pPr>
        <w:spacing w:after="120" w:line="276" w:lineRule="auto"/>
        <w:ind w:firstLine="709"/>
        <w:jc w:val="both"/>
        <w:rPr>
          <w:rFonts w:ascii="Arial" w:eastAsia="Arial" w:hAnsi="Arial" w:cs="Arial"/>
          <w:sz w:val="22"/>
          <w:szCs w:val="22"/>
          <w:lang w:eastAsia="en-US"/>
        </w:rPr>
      </w:pPr>
      <w:r w:rsidRPr="009975B7">
        <w:rPr>
          <w:rFonts w:ascii="Arial" w:eastAsia="Arial" w:hAnsi="Arial" w:cs="Arial"/>
          <w:sz w:val="22"/>
          <w:szCs w:val="22"/>
          <w:lang w:eastAsia="en-US"/>
        </w:rPr>
        <w:t xml:space="preserve">Estas modalidades de selección se pueden dividir doctrinariamente en: i) competitivas y </w:t>
      </w:r>
      <w:proofErr w:type="spellStart"/>
      <w:r w:rsidRPr="009975B7">
        <w:rPr>
          <w:rFonts w:ascii="Arial" w:eastAsia="Arial" w:hAnsi="Arial" w:cs="Arial"/>
          <w:sz w:val="22"/>
          <w:szCs w:val="22"/>
          <w:lang w:eastAsia="en-US"/>
        </w:rPr>
        <w:t>ii</w:t>
      </w:r>
      <w:proofErr w:type="spellEnd"/>
      <w:r w:rsidRPr="009975B7">
        <w:rPr>
          <w:rFonts w:ascii="Arial" w:eastAsia="Arial" w:hAnsi="Arial" w:cs="Arial"/>
          <w:sz w:val="22"/>
          <w:szCs w:val="22"/>
          <w:lang w:eastAsia="en-US"/>
        </w:rPr>
        <w:t xml:space="preserve">) no competitivas. La Guía de competencia en las compras públicas de la Agencia Nacional de Contratación Pública – Colombia Compra Eficiente señala que: «[…] </w:t>
      </w:r>
      <w:r w:rsidRPr="009975B7">
        <w:rPr>
          <w:rFonts w:ascii="Arial" w:eastAsia="Arial" w:hAnsi="Arial" w:cs="Arial"/>
          <w:sz w:val="22"/>
          <w:szCs w:val="22"/>
          <w:lang w:eastAsia="en-US"/>
        </w:rPr>
        <w:lastRenderedPageBreak/>
        <w:t>la competencia, entendida como rivalidad efectiva entre empresas de un mismo mercado, incentiva la reducción de precios, el aumento de la calidad, la lucha contra la corrupción y la innovación por parte del sector privado»</w:t>
      </w:r>
      <w:r w:rsidRPr="009975B7">
        <w:rPr>
          <w:rFonts w:ascii="Arial" w:eastAsia="Calibri" w:hAnsi="Arial" w:cs="Arial"/>
          <w:sz w:val="22"/>
          <w:szCs w:val="22"/>
          <w:vertAlign w:val="superscript"/>
          <w:lang w:eastAsia="es-MX"/>
        </w:rPr>
        <w:footnoteReference w:id="3"/>
      </w:r>
      <w:r w:rsidRPr="009975B7">
        <w:rPr>
          <w:rFonts w:ascii="Arial" w:eastAsia="Calibri" w:hAnsi="Arial" w:cs="Arial"/>
          <w:sz w:val="22"/>
          <w:szCs w:val="22"/>
          <w:lang w:eastAsia="es-MX"/>
        </w:rPr>
        <w:t>.</w:t>
      </w:r>
      <w:r w:rsidRPr="009975B7">
        <w:rPr>
          <w:rFonts w:ascii="Arial" w:eastAsia="Arial" w:hAnsi="Arial" w:cs="Arial"/>
          <w:sz w:val="22"/>
          <w:szCs w:val="22"/>
          <w:lang w:eastAsia="en-US"/>
        </w:rPr>
        <w:t xml:space="preserve"> </w:t>
      </w:r>
    </w:p>
    <w:p w14:paraId="26549358" w14:textId="77777777" w:rsidR="00B22EC0" w:rsidRPr="009975B7" w:rsidRDefault="00B22EC0" w:rsidP="00B22EC0">
      <w:pPr>
        <w:spacing w:after="120" w:line="276" w:lineRule="auto"/>
        <w:ind w:firstLine="709"/>
        <w:jc w:val="both"/>
        <w:rPr>
          <w:rFonts w:ascii="Arial" w:eastAsia="Arial" w:hAnsi="Arial" w:cs="Arial"/>
          <w:sz w:val="22"/>
          <w:szCs w:val="22"/>
          <w:lang w:eastAsia="en-US"/>
        </w:rPr>
      </w:pPr>
      <w:r w:rsidRPr="009975B7">
        <w:rPr>
          <w:rFonts w:ascii="Arial" w:eastAsia="Arial" w:hAnsi="Arial" w:cs="Arial"/>
          <w:sz w:val="22"/>
          <w:szCs w:val="22"/>
          <w:lang w:eastAsia="en-US"/>
        </w:rPr>
        <w:t xml:space="preserve">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15A555D6" w14:textId="77777777" w:rsidR="00B22EC0" w:rsidRPr="009975B7" w:rsidRDefault="00B22EC0" w:rsidP="00B22EC0">
      <w:pPr>
        <w:spacing w:after="120" w:line="276" w:lineRule="auto"/>
        <w:ind w:firstLine="709"/>
        <w:jc w:val="both"/>
        <w:rPr>
          <w:rFonts w:ascii="Arial" w:eastAsia="Arial" w:hAnsi="Arial" w:cs="Arial"/>
          <w:sz w:val="22"/>
          <w:szCs w:val="22"/>
          <w:lang w:eastAsia="en-US"/>
        </w:rPr>
      </w:pPr>
      <w:r w:rsidRPr="009975B7">
        <w:rPr>
          <w:rFonts w:ascii="Arial" w:eastAsia="Arial" w:hAnsi="Arial" w:cs="Arial"/>
          <w:sz w:val="22"/>
          <w:szCs w:val="22"/>
          <w:lang w:eastAsia="en-US"/>
        </w:rPr>
        <w:t>Lo contrario es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02DAB56F" w14:textId="77777777" w:rsidR="00B22EC0" w:rsidRPr="009975B7" w:rsidRDefault="00B22EC0" w:rsidP="00B22EC0">
      <w:pPr>
        <w:spacing w:after="120" w:line="276" w:lineRule="auto"/>
        <w:ind w:firstLine="708"/>
        <w:jc w:val="both"/>
        <w:rPr>
          <w:rFonts w:ascii="Arial" w:eastAsia="Arial" w:hAnsi="Arial" w:cs="Arial"/>
          <w:sz w:val="22"/>
          <w:szCs w:val="22"/>
          <w:lang w:eastAsia="en-US"/>
        </w:rPr>
      </w:pPr>
      <w:r w:rsidRPr="009975B7">
        <w:rPr>
          <w:rFonts w:ascii="Arial" w:eastAsia="Arial" w:hAnsi="Arial" w:cs="Arial"/>
          <w:sz w:val="22"/>
          <w:szCs w:val="22"/>
          <w:lang w:eastAsia="en-US"/>
        </w:rPr>
        <w:t xml:space="preserve">Lo anterior se complementa con lo expuesto por la Corte Constitucional, en Sentencia C-713 de 2009, donde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1B6F09C4" w14:textId="77777777" w:rsidR="00B22EC0" w:rsidRPr="009975B7" w:rsidRDefault="00B22EC0" w:rsidP="00B22EC0">
      <w:pPr>
        <w:spacing w:after="120" w:line="276" w:lineRule="auto"/>
        <w:ind w:firstLine="708"/>
        <w:jc w:val="both"/>
        <w:rPr>
          <w:rFonts w:ascii="Arial" w:eastAsia="Arial" w:hAnsi="Arial" w:cs="Arial"/>
          <w:sz w:val="22"/>
          <w:szCs w:val="22"/>
          <w:lang w:eastAsia="en-US"/>
        </w:rPr>
      </w:pPr>
      <w:r w:rsidRPr="009975B7">
        <w:rPr>
          <w:rFonts w:ascii="Arial" w:eastAsia="Arial" w:hAnsi="Arial" w:cs="Arial"/>
          <w:sz w:val="22"/>
          <w:szCs w:val="22"/>
          <w:lang w:eastAsia="en-US"/>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existencia de las inhabilidades e incompatibilidades que también aplican en los supuestos de contratación directa</w:t>
      </w:r>
      <w:r w:rsidRPr="009975B7">
        <w:rPr>
          <w:rFonts w:ascii="Arial" w:eastAsia="Arial" w:hAnsi="Arial" w:cs="Arial"/>
          <w:sz w:val="22"/>
          <w:szCs w:val="22"/>
          <w:vertAlign w:val="superscript"/>
          <w:lang w:eastAsia="en-US"/>
        </w:rPr>
        <w:footnoteReference w:id="4"/>
      </w:r>
      <w:r w:rsidRPr="009975B7">
        <w:rPr>
          <w:rFonts w:ascii="Arial" w:eastAsia="Arial" w:hAnsi="Arial" w:cs="Arial"/>
          <w:sz w:val="22"/>
          <w:szCs w:val="22"/>
          <w:lang w:eastAsia="en-US"/>
        </w:rPr>
        <w:t>.</w:t>
      </w:r>
    </w:p>
    <w:p w14:paraId="0DD65EA7" w14:textId="5F8DE712" w:rsidR="00B22EC0" w:rsidRPr="009975B7" w:rsidRDefault="00B22EC0" w:rsidP="00B22EC0">
      <w:pPr>
        <w:spacing w:after="120" w:line="276" w:lineRule="auto"/>
        <w:ind w:firstLine="708"/>
        <w:jc w:val="both"/>
        <w:rPr>
          <w:rFonts w:ascii="Arial" w:eastAsia="Calibri" w:hAnsi="Arial" w:cs="Arial"/>
          <w:sz w:val="22"/>
          <w:szCs w:val="22"/>
          <w:lang w:eastAsia="es-MX"/>
        </w:rPr>
      </w:pPr>
      <w:bookmarkStart w:id="1" w:name="_Hlk102550058"/>
      <w:r w:rsidRPr="009975B7">
        <w:rPr>
          <w:rFonts w:ascii="Arial" w:eastAsia="Arial" w:hAnsi="Arial" w:cs="Arial"/>
          <w:sz w:val="22"/>
          <w:szCs w:val="22"/>
          <w:lang w:eastAsia="en-US"/>
        </w:rPr>
        <w:t xml:space="preserve">En relación con la contratación directa, es importante señalar que </w:t>
      </w:r>
      <w:r w:rsidRPr="009975B7">
        <w:rPr>
          <w:rFonts w:ascii="Arial" w:eastAsia="Calibri" w:hAnsi="Arial" w:cs="Arial"/>
          <w:sz w:val="22"/>
          <w:szCs w:val="22"/>
          <w:lang w:eastAsia="es-MX"/>
        </w:rPr>
        <w:t xml:space="preserve">es una excepción al principio de libre concurrencia y competencia, que se aplica en los procesos de contratación, para que cualquier persona interesada en satisfacer la necesidad de una entidad pueda presentar una oferta. </w:t>
      </w:r>
      <w:bookmarkStart w:id="2" w:name="_Hlk101520178"/>
      <w:bookmarkStart w:id="3" w:name="_Hlk101520187"/>
      <w:r w:rsidRPr="009975B7">
        <w:rPr>
          <w:rFonts w:ascii="Arial" w:eastAsia="Calibri" w:hAnsi="Arial" w:cs="Arial"/>
          <w:sz w:val="22"/>
          <w:szCs w:val="22"/>
          <w:lang w:eastAsia="es-MX"/>
        </w:rPr>
        <w:t>Siendo una excepción a los mencionados principios que rigen la contratación estatal, e</w:t>
      </w:r>
      <w:r w:rsidRPr="009975B7">
        <w:rPr>
          <w:rFonts w:ascii="Arial" w:eastAsia="Arial" w:hAnsi="Arial" w:cs="Arial"/>
          <w:sz w:val="22"/>
          <w:szCs w:val="22"/>
          <w:lang w:eastAsia="en-US"/>
        </w:rPr>
        <w:t xml:space="preserve">sta modalidad de contratación es de aplicación restrictiva, </w:t>
      </w:r>
      <w:r w:rsidR="000264F9" w:rsidRPr="009975B7">
        <w:rPr>
          <w:rFonts w:ascii="Arial" w:eastAsia="Arial" w:hAnsi="Arial" w:cs="Arial"/>
          <w:sz w:val="22"/>
          <w:szCs w:val="22"/>
          <w:lang w:eastAsia="en-US"/>
        </w:rPr>
        <w:t>es</w:t>
      </w:r>
      <w:r w:rsidR="005D2F88" w:rsidRPr="009975B7">
        <w:rPr>
          <w:rFonts w:ascii="Arial" w:eastAsia="Arial" w:hAnsi="Arial" w:cs="Arial"/>
          <w:sz w:val="22"/>
          <w:szCs w:val="22"/>
          <w:lang w:eastAsia="en-US"/>
        </w:rPr>
        <w:t xml:space="preserve"> decir, </w:t>
      </w:r>
      <w:r w:rsidRPr="009975B7">
        <w:rPr>
          <w:rFonts w:ascii="Arial" w:eastAsia="Arial" w:hAnsi="Arial" w:cs="Arial"/>
          <w:sz w:val="22"/>
          <w:szCs w:val="22"/>
          <w:lang w:eastAsia="en-US"/>
        </w:rPr>
        <w:t xml:space="preserve">solo procede por las causales señaladas expresamente en la ley. Principalmente, las causales de la contratación directa se encuentran contenidas en el numeral 4 del artículo 2 de la Ley 1150 de 2007; no obstante, también se pueden encontrar en otras leyes eventos en los que se autorice la contratación bajo esta modalidad. </w:t>
      </w:r>
      <w:bookmarkEnd w:id="2"/>
      <w:r w:rsidRPr="009975B7">
        <w:rPr>
          <w:rFonts w:ascii="Arial" w:eastAsia="Calibri" w:hAnsi="Arial" w:cs="Arial"/>
          <w:sz w:val="22"/>
          <w:szCs w:val="22"/>
          <w:lang w:eastAsia="es-MX"/>
        </w:rPr>
        <w:t xml:space="preserve">En tal sentido, su aplicación no </w:t>
      </w:r>
      <w:r w:rsidRPr="009975B7">
        <w:rPr>
          <w:rFonts w:ascii="Arial" w:eastAsia="Calibri" w:hAnsi="Arial" w:cs="Arial"/>
          <w:sz w:val="22"/>
          <w:szCs w:val="22"/>
          <w:lang w:eastAsia="es-MX"/>
        </w:rPr>
        <w:lastRenderedPageBreak/>
        <w:t>puede efectuarse por fuera del contenido normativo, ni operar más allá de lo que la misma norma dispone, dentro del contexto del ordenamiento jurídico de la contratación estatal.</w:t>
      </w:r>
    </w:p>
    <w:p w14:paraId="73F9EADB" w14:textId="77777777" w:rsidR="00B22EC0" w:rsidRPr="009975B7" w:rsidRDefault="00B22EC0" w:rsidP="00B22EC0">
      <w:pPr>
        <w:spacing w:after="120" w:line="276" w:lineRule="auto"/>
        <w:ind w:firstLine="708"/>
        <w:jc w:val="both"/>
        <w:rPr>
          <w:rFonts w:ascii="Arial" w:hAnsi="Arial" w:cs="Arial"/>
          <w:sz w:val="22"/>
          <w:szCs w:val="22"/>
          <w:lang w:eastAsia="en-US"/>
        </w:rPr>
      </w:pPr>
      <w:bookmarkStart w:id="4" w:name="_Hlk101520248"/>
      <w:bookmarkEnd w:id="1"/>
      <w:bookmarkEnd w:id="3"/>
      <w:r w:rsidRPr="009975B7">
        <w:rPr>
          <w:rFonts w:ascii="Arial" w:eastAsia="Arial" w:hAnsi="Arial" w:cs="Arial"/>
          <w:sz w:val="22"/>
          <w:szCs w:val="22"/>
          <w:lang w:eastAsia="en-US"/>
        </w:rPr>
        <w:t xml:space="preserve">Según el numeral 4 del artículo 2 de la Ley 1150 de 2007, las causales para acudir a la modalidad de selección de contratación directa son: i) la urgencia manifiesta. </w:t>
      </w:r>
      <w:proofErr w:type="spellStart"/>
      <w:r w:rsidRPr="009975B7">
        <w:rPr>
          <w:rFonts w:ascii="Arial" w:eastAsia="Arial" w:hAnsi="Arial" w:cs="Arial"/>
          <w:sz w:val="22"/>
          <w:szCs w:val="22"/>
          <w:lang w:eastAsia="en-US"/>
        </w:rPr>
        <w:t>ii</w:t>
      </w:r>
      <w:proofErr w:type="spellEnd"/>
      <w:r w:rsidRPr="009975B7">
        <w:rPr>
          <w:rFonts w:ascii="Arial" w:eastAsia="Arial" w:hAnsi="Arial" w:cs="Arial"/>
          <w:sz w:val="22"/>
          <w:szCs w:val="22"/>
          <w:lang w:eastAsia="en-US"/>
        </w:rPr>
        <w:t xml:space="preserve">) La contratación entre entidades estatales. </w:t>
      </w:r>
      <w:proofErr w:type="spellStart"/>
      <w:r w:rsidRPr="009975B7">
        <w:rPr>
          <w:rFonts w:ascii="Arial" w:eastAsia="Arial" w:hAnsi="Arial" w:cs="Arial"/>
          <w:sz w:val="22"/>
          <w:szCs w:val="22"/>
          <w:lang w:eastAsia="en-US"/>
        </w:rPr>
        <w:t>iii</w:t>
      </w:r>
      <w:proofErr w:type="spellEnd"/>
      <w:r w:rsidRPr="009975B7">
        <w:rPr>
          <w:rFonts w:ascii="Arial" w:eastAsia="Arial" w:hAnsi="Arial" w:cs="Arial"/>
          <w:sz w:val="22"/>
          <w:szCs w:val="22"/>
          <w:lang w:eastAsia="en-US"/>
        </w:rPr>
        <w:t>) Cuando no exista pluralidad de oferentes</w:t>
      </w:r>
      <w:r w:rsidRPr="009975B7">
        <w:rPr>
          <w:rFonts w:ascii="Arial" w:eastAsia="Arial" w:hAnsi="Arial" w:cs="Arial"/>
          <w:sz w:val="22"/>
          <w:szCs w:val="22"/>
          <w:vertAlign w:val="superscript"/>
          <w:lang w:eastAsia="en-US"/>
        </w:rPr>
        <w:footnoteReference w:id="5"/>
      </w:r>
      <w:r w:rsidRPr="009975B7">
        <w:rPr>
          <w:rFonts w:ascii="Arial" w:eastAsia="Arial" w:hAnsi="Arial" w:cs="Arial"/>
          <w:sz w:val="22"/>
          <w:szCs w:val="22"/>
          <w:lang w:eastAsia="en-US"/>
        </w:rPr>
        <w:t xml:space="preserve">. </w:t>
      </w:r>
      <w:proofErr w:type="spellStart"/>
      <w:r w:rsidRPr="009975B7">
        <w:rPr>
          <w:rFonts w:ascii="Arial" w:eastAsia="Arial" w:hAnsi="Arial" w:cs="Arial"/>
          <w:sz w:val="22"/>
          <w:szCs w:val="22"/>
          <w:lang w:eastAsia="en-US"/>
        </w:rPr>
        <w:t>iv</w:t>
      </w:r>
      <w:proofErr w:type="spellEnd"/>
      <w:r w:rsidRPr="009975B7">
        <w:rPr>
          <w:rFonts w:ascii="Arial" w:eastAsia="Arial" w:hAnsi="Arial" w:cs="Arial"/>
          <w:sz w:val="22"/>
          <w:szCs w:val="22"/>
          <w:lang w:eastAsia="en-US"/>
        </w:rPr>
        <w:t>) Contratos de prestación de servicios profesionales y de apoyo a la gestión</w:t>
      </w:r>
      <w:r w:rsidRPr="009975B7">
        <w:rPr>
          <w:rFonts w:ascii="Arial" w:eastAsia="Arial" w:hAnsi="Arial" w:cs="Arial"/>
          <w:sz w:val="22"/>
          <w:szCs w:val="22"/>
          <w:vertAlign w:val="superscript"/>
          <w:lang w:eastAsia="en-US"/>
        </w:rPr>
        <w:footnoteReference w:id="6"/>
      </w:r>
      <w:r w:rsidRPr="009975B7">
        <w:rPr>
          <w:rFonts w:ascii="Arial" w:eastAsia="Arial" w:hAnsi="Arial" w:cs="Arial"/>
          <w:sz w:val="22"/>
          <w:szCs w:val="22"/>
          <w:lang w:eastAsia="en-US"/>
        </w:rPr>
        <w:t xml:space="preserve">. v) Contratos para la ejecución de contratos artísticos que sólo pueden encomendarse a determinadas personas naturales. vi) Adquisición y arrendamiento de bienes inmuebles. </w:t>
      </w:r>
      <w:proofErr w:type="spellStart"/>
      <w:r w:rsidRPr="009975B7">
        <w:rPr>
          <w:rFonts w:ascii="Arial" w:eastAsia="Arial" w:hAnsi="Arial" w:cs="Arial"/>
          <w:sz w:val="22"/>
          <w:szCs w:val="22"/>
          <w:lang w:eastAsia="en-US"/>
        </w:rPr>
        <w:t>vii</w:t>
      </w:r>
      <w:proofErr w:type="spellEnd"/>
      <w:r w:rsidRPr="009975B7">
        <w:rPr>
          <w:rFonts w:ascii="Arial" w:eastAsia="Arial" w:hAnsi="Arial" w:cs="Arial"/>
          <w:sz w:val="22"/>
          <w:szCs w:val="22"/>
          <w:lang w:eastAsia="en-US"/>
        </w:rPr>
        <w:t xml:space="preserve">) Contratos de empréstitos. </w:t>
      </w:r>
      <w:proofErr w:type="spellStart"/>
      <w:r w:rsidRPr="009975B7">
        <w:rPr>
          <w:rFonts w:ascii="Arial" w:eastAsia="Arial" w:hAnsi="Arial" w:cs="Arial"/>
          <w:sz w:val="22"/>
          <w:szCs w:val="22"/>
          <w:lang w:eastAsia="en-US"/>
        </w:rPr>
        <w:t>viii</w:t>
      </w:r>
      <w:proofErr w:type="spellEnd"/>
      <w:r w:rsidRPr="009975B7">
        <w:rPr>
          <w:rFonts w:ascii="Arial" w:eastAsia="Arial" w:hAnsi="Arial" w:cs="Arial"/>
          <w:sz w:val="22"/>
          <w:szCs w:val="22"/>
          <w:lang w:eastAsia="en-US"/>
        </w:rPr>
        <w:t xml:space="preserve">) Contratación de bienes y servicios del sector defensa que requieran reserva. </w:t>
      </w:r>
      <w:proofErr w:type="spellStart"/>
      <w:r w:rsidRPr="009975B7">
        <w:rPr>
          <w:rFonts w:ascii="Arial" w:eastAsia="Arial" w:hAnsi="Arial" w:cs="Arial"/>
          <w:sz w:val="22"/>
          <w:szCs w:val="22"/>
          <w:lang w:eastAsia="en-US"/>
        </w:rPr>
        <w:t>ix</w:t>
      </w:r>
      <w:proofErr w:type="spellEnd"/>
      <w:r w:rsidRPr="009975B7">
        <w:rPr>
          <w:rFonts w:ascii="Arial" w:eastAsia="Arial" w:hAnsi="Arial" w:cs="Arial"/>
          <w:sz w:val="22"/>
          <w:szCs w:val="22"/>
          <w:lang w:eastAsia="en-US"/>
        </w:rPr>
        <w:t xml:space="preserve">) Contratos para el desarrollo de actividades científicas y tecnológicas. x) Contratos de encargo fiduciario que celebren las entidades territoriales cuando inicien el acuerdo de reestructuración de pasivos. xi) La contratación de bienes y servicios de la Dirección Nacional de Inteligencia (DNI), que requieran reserva para su adquisición. </w:t>
      </w:r>
      <w:proofErr w:type="spellStart"/>
      <w:r w:rsidRPr="009975B7">
        <w:rPr>
          <w:rFonts w:ascii="Arial" w:eastAsia="Arial" w:hAnsi="Arial" w:cs="Arial"/>
          <w:sz w:val="22"/>
          <w:szCs w:val="22"/>
          <w:lang w:eastAsia="en-US"/>
        </w:rPr>
        <w:t>xii</w:t>
      </w:r>
      <w:proofErr w:type="spellEnd"/>
      <w:r w:rsidRPr="009975B7">
        <w:rPr>
          <w:rFonts w:ascii="Arial" w:eastAsia="Arial" w:hAnsi="Arial" w:cs="Arial"/>
          <w:sz w:val="22"/>
          <w:szCs w:val="22"/>
          <w:lang w:eastAsia="en-US"/>
        </w:rPr>
        <w:t xml:space="preserve">) La selección de peritos expertos o asesores técnicos para presentar o contradecir el dictamen pericial en procesos judiciales. </w:t>
      </w:r>
      <w:proofErr w:type="spellStart"/>
      <w:r w:rsidRPr="009975B7">
        <w:rPr>
          <w:rFonts w:ascii="Arial" w:eastAsia="Arial" w:hAnsi="Arial" w:cs="Arial"/>
          <w:sz w:val="22"/>
          <w:szCs w:val="22"/>
          <w:lang w:eastAsia="en-US"/>
        </w:rPr>
        <w:t>xiii</w:t>
      </w:r>
      <w:proofErr w:type="spellEnd"/>
      <w:r w:rsidRPr="009975B7">
        <w:rPr>
          <w:rFonts w:ascii="Arial" w:eastAsia="Arial" w:hAnsi="Arial" w:cs="Arial"/>
          <w:sz w:val="22"/>
          <w:szCs w:val="22"/>
          <w:lang w:eastAsia="en-US"/>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Pr="009975B7">
        <w:rPr>
          <w:rFonts w:ascii="Arial" w:eastAsia="Arial" w:hAnsi="Arial" w:cs="Arial"/>
          <w:sz w:val="22"/>
          <w:szCs w:val="22"/>
          <w:lang w:eastAsia="en-US"/>
        </w:rPr>
        <w:t>xiv</w:t>
      </w:r>
      <w:proofErr w:type="spellEnd"/>
      <w:r w:rsidRPr="009975B7">
        <w:rPr>
          <w:rFonts w:ascii="Arial" w:eastAsia="Arial" w:hAnsi="Arial" w:cs="Arial"/>
          <w:sz w:val="22"/>
          <w:szCs w:val="22"/>
          <w:lang w:eastAsia="en-US"/>
        </w:rPr>
        <w:t xml:space="preserve">)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w:t>
      </w:r>
      <w:proofErr w:type="spellStart"/>
      <w:r w:rsidRPr="009975B7">
        <w:rPr>
          <w:rFonts w:ascii="Arial" w:eastAsia="Arial" w:hAnsi="Arial" w:cs="Arial"/>
          <w:sz w:val="22"/>
          <w:szCs w:val="22"/>
          <w:lang w:eastAsia="en-US"/>
        </w:rPr>
        <w:t>xv</w:t>
      </w:r>
      <w:proofErr w:type="spellEnd"/>
      <w:r w:rsidRPr="009975B7">
        <w:rPr>
          <w:rFonts w:ascii="Arial" w:eastAsia="Arial" w:hAnsi="Arial" w:cs="Arial"/>
          <w:sz w:val="22"/>
          <w:szCs w:val="22"/>
          <w:lang w:eastAsia="en-US"/>
        </w:rPr>
        <w: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9975B7">
        <w:rPr>
          <w:rFonts w:ascii="Arial" w:eastAsia="Arial" w:hAnsi="Arial" w:cs="Arial"/>
          <w:sz w:val="22"/>
          <w:szCs w:val="22"/>
          <w:vertAlign w:val="superscript"/>
          <w:lang w:eastAsia="en-US"/>
        </w:rPr>
        <w:footnoteReference w:id="7"/>
      </w:r>
      <w:r w:rsidRPr="009975B7">
        <w:rPr>
          <w:rFonts w:ascii="Arial" w:eastAsia="Arial" w:hAnsi="Arial" w:cs="Arial"/>
          <w:sz w:val="22"/>
          <w:szCs w:val="22"/>
          <w:lang w:eastAsia="en-US"/>
        </w:rPr>
        <w:t xml:space="preserve">. Sin perjuicio del listado consagrado en el citado artículo 2 de la Ley 1150 </w:t>
      </w:r>
      <w:r w:rsidRPr="009975B7">
        <w:rPr>
          <w:rFonts w:ascii="Arial" w:eastAsia="Arial" w:hAnsi="Arial" w:cs="Arial"/>
          <w:sz w:val="22"/>
          <w:szCs w:val="22"/>
          <w:lang w:eastAsia="en-US"/>
        </w:rPr>
        <w:lastRenderedPageBreak/>
        <w:t xml:space="preserve">de 2007, como se mencionó anteriormente, el legislador puede establecer otras causales en leyes especiales, en las cuales opera la contratación directa.  </w:t>
      </w:r>
    </w:p>
    <w:bookmarkEnd w:id="4"/>
    <w:p w14:paraId="55B3CA9E" w14:textId="77777777" w:rsidR="00B22EC0" w:rsidRPr="009975B7" w:rsidRDefault="00B22EC0" w:rsidP="00B22EC0">
      <w:pPr>
        <w:spacing w:after="120" w:line="276" w:lineRule="auto"/>
        <w:ind w:firstLine="708"/>
        <w:jc w:val="both"/>
        <w:rPr>
          <w:rFonts w:ascii="Arial" w:eastAsia="Arial" w:hAnsi="Arial" w:cs="Arial"/>
          <w:sz w:val="22"/>
          <w:szCs w:val="22"/>
          <w:lang w:eastAsia="en-US"/>
        </w:rPr>
      </w:pPr>
      <w:r w:rsidRPr="009975B7">
        <w:rPr>
          <w:rFonts w:ascii="Arial" w:eastAsia="Arial" w:hAnsi="Arial" w:cs="Arial"/>
          <w:sz w:val="22"/>
          <w:szCs w:val="22"/>
          <w:lang w:eastAsia="en-US"/>
        </w:rPr>
        <w:t>En la contratación directa no es necesario que la entidad reciba más de una oferta, la cual proviene de la persona que la entidad escoge directamente y, por ende, invita a ofertar el bien o servicio que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6D71015D" w14:textId="77777777" w:rsidR="00B22EC0" w:rsidRPr="009975B7" w:rsidRDefault="00B22EC0" w:rsidP="00B22EC0">
      <w:pPr>
        <w:spacing w:line="276" w:lineRule="auto"/>
        <w:ind w:firstLine="709"/>
        <w:contextualSpacing/>
        <w:jc w:val="both"/>
        <w:rPr>
          <w:rFonts w:ascii="Arial" w:eastAsia="Arial" w:hAnsi="Arial" w:cs="Arial"/>
          <w:sz w:val="22"/>
          <w:szCs w:val="22"/>
          <w:lang w:eastAsia="en-US"/>
        </w:rPr>
      </w:pPr>
      <w:r w:rsidRPr="009975B7">
        <w:rPr>
          <w:rFonts w:ascii="Arial" w:eastAsia="Arial" w:hAnsi="Arial" w:cs="Arial"/>
          <w:sz w:val="22"/>
          <w:szCs w:val="22"/>
          <w:lang w:eastAsia="en-US"/>
        </w:rPr>
        <w:t>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w:t>
      </w:r>
    </w:p>
    <w:p w14:paraId="234E3131" w14:textId="77777777" w:rsidR="00B22EC0" w:rsidRPr="009975B7" w:rsidRDefault="00B22EC0" w:rsidP="00B22EC0">
      <w:pPr>
        <w:spacing w:line="276" w:lineRule="auto"/>
        <w:ind w:firstLine="708"/>
        <w:contextualSpacing/>
        <w:jc w:val="both"/>
        <w:rPr>
          <w:rFonts w:ascii="Arial" w:eastAsia="Arial" w:hAnsi="Arial" w:cs="Arial"/>
          <w:sz w:val="22"/>
          <w:szCs w:val="22"/>
          <w:lang w:eastAsia="en-US"/>
        </w:rPr>
      </w:pPr>
      <w:r w:rsidRPr="009975B7">
        <w:rPr>
          <w:rFonts w:ascii="Arial" w:eastAsia="Arial" w:hAnsi="Arial" w:cs="Arial"/>
          <w:sz w:val="22"/>
          <w:szCs w:val="22"/>
          <w:lang w:eastAsia="en-US"/>
        </w:rPr>
        <w:t xml:space="preserve"> </w:t>
      </w:r>
    </w:p>
    <w:p w14:paraId="09C1E791" w14:textId="77777777" w:rsidR="00B22EC0" w:rsidRPr="009975B7" w:rsidRDefault="00B22EC0" w:rsidP="00B22EC0">
      <w:pPr>
        <w:ind w:left="709" w:right="709"/>
        <w:contextualSpacing/>
        <w:jc w:val="both"/>
        <w:rPr>
          <w:rFonts w:ascii="Arial" w:eastAsia="Arial" w:hAnsi="Arial" w:cs="Arial"/>
          <w:sz w:val="21"/>
          <w:szCs w:val="21"/>
          <w:lang w:eastAsia="en-US"/>
        </w:rPr>
      </w:pPr>
      <w:r w:rsidRPr="009975B7">
        <w:rPr>
          <w:rFonts w:ascii="Arial" w:eastAsia="Arial" w:hAnsi="Arial" w:cs="Arial"/>
          <w:sz w:val="21"/>
          <w:szCs w:val="21"/>
          <w:lang w:eastAsia="en-US"/>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9975B7">
        <w:rPr>
          <w:rFonts w:ascii="Arial" w:eastAsia="Arial" w:hAnsi="Arial" w:cs="Arial"/>
          <w:sz w:val="21"/>
          <w:szCs w:val="21"/>
          <w:lang w:eastAsia="en-US"/>
        </w:rPr>
        <w:t>en razón del</w:t>
      </w:r>
      <w:proofErr w:type="gramEnd"/>
      <w:r w:rsidRPr="009975B7">
        <w:rPr>
          <w:rFonts w:ascii="Arial" w:eastAsia="Arial" w:hAnsi="Arial" w:cs="Arial"/>
          <w:sz w:val="21"/>
          <w:szCs w:val="21"/>
          <w:lang w:eastAsia="en-US"/>
        </w:rPr>
        <w:t xml:space="preserve"> objeto del contrato o del órgano que contrata</w:t>
      </w:r>
      <w:r w:rsidRPr="009975B7">
        <w:rPr>
          <w:rFonts w:ascii="Arial" w:eastAsia="Arial" w:hAnsi="Arial" w:cs="Arial"/>
          <w:sz w:val="21"/>
          <w:szCs w:val="21"/>
          <w:vertAlign w:val="superscript"/>
          <w:lang w:eastAsia="en-US"/>
        </w:rPr>
        <w:footnoteReference w:id="8"/>
      </w:r>
      <w:r w:rsidRPr="009975B7">
        <w:rPr>
          <w:rFonts w:ascii="Arial" w:eastAsia="Arial" w:hAnsi="Arial" w:cs="Arial"/>
          <w:sz w:val="21"/>
          <w:szCs w:val="21"/>
          <w:lang w:eastAsia="en-US"/>
        </w:rPr>
        <w:t>.</w:t>
      </w:r>
    </w:p>
    <w:p w14:paraId="6EDD5314" w14:textId="77777777" w:rsidR="00B22EC0" w:rsidRPr="009975B7" w:rsidRDefault="00B22EC0" w:rsidP="00B22EC0">
      <w:pPr>
        <w:ind w:left="709" w:right="709"/>
        <w:contextualSpacing/>
        <w:jc w:val="both"/>
        <w:rPr>
          <w:rFonts w:ascii="Arial" w:eastAsia="Calibri" w:hAnsi="Arial" w:cs="Arial"/>
          <w:sz w:val="21"/>
          <w:szCs w:val="21"/>
          <w:lang w:eastAsia="en-US"/>
        </w:rPr>
      </w:pPr>
    </w:p>
    <w:p w14:paraId="3BC92951" w14:textId="77777777" w:rsidR="00B22EC0" w:rsidRPr="009975B7" w:rsidRDefault="00B22EC0" w:rsidP="00B22EC0">
      <w:pPr>
        <w:spacing w:after="120" w:line="276" w:lineRule="auto"/>
        <w:ind w:firstLine="708"/>
        <w:jc w:val="both"/>
        <w:rPr>
          <w:rFonts w:ascii="Arial" w:eastAsia="Calibri" w:hAnsi="Arial" w:cs="Arial"/>
          <w:sz w:val="22"/>
          <w:szCs w:val="22"/>
          <w:lang w:eastAsia="en-US"/>
        </w:rPr>
      </w:pPr>
      <w:r w:rsidRPr="009975B7">
        <w:rPr>
          <w:rFonts w:ascii="Arial" w:eastAsia="Arial" w:hAnsi="Arial" w:cs="Arial"/>
          <w:sz w:val="22"/>
          <w:szCs w:val="22"/>
          <w:lang w:eastAsia="en-US"/>
        </w:rPr>
        <w:t>Por consiguiente, en la contratación directa la entidad no establece puntaje para ponderar ofertas, porque se presenta una sola, que corresponde a la de la persona a quien la entidad invitó y seleccionó en forma directa.</w:t>
      </w:r>
    </w:p>
    <w:p w14:paraId="2F42D66D" w14:textId="77777777" w:rsidR="00B22EC0" w:rsidRPr="009975B7" w:rsidRDefault="00B22EC0" w:rsidP="00B22EC0">
      <w:pPr>
        <w:spacing w:after="120" w:line="276" w:lineRule="auto"/>
        <w:ind w:firstLine="720"/>
        <w:jc w:val="both"/>
        <w:rPr>
          <w:rFonts w:ascii="Arial" w:eastAsia="Calibri" w:hAnsi="Arial" w:cs="Arial"/>
          <w:sz w:val="22"/>
          <w:szCs w:val="22"/>
          <w:lang w:eastAsia="en-US"/>
        </w:rPr>
      </w:pPr>
      <w:bookmarkStart w:id="5" w:name="_Hlk102550143"/>
      <w:r w:rsidRPr="009975B7">
        <w:rPr>
          <w:rFonts w:ascii="Arial" w:eastAsia="Arial" w:hAnsi="Arial" w:cs="Arial"/>
          <w:sz w:val="22"/>
          <w:szCs w:val="22"/>
          <w:lang w:eastAsia="en-US"/>
        </w:rPr>
        <w:t xml:space="preserve">Como se enunció anteriormente, la realización del procedimiento administrativo de selección de contratación directa de manera alguna exime a la entidad de aplicar los principios que irradian a la contratación con el Estado; aunque, a lo sumo, dichos principios quizás se morigeran o modulan frente a la naturaleza y finalidades especiales de tal procedimiento de selección, pero en ningún momento se anulan o excepcionan. </w:t>
      </w:r>
    </w:p>
    <w:p w14:paraId="3228F0CF" w14:textId="77777777" w:rsidR="00B22EC0" w:rsidRPr="009975B7" w:rsidRDefault="00B22EC0" w:rsidP="00B22EC0">
      <w:pPr>
        <w:spacing w:after="120" w:line="276" w:lineRule="auto"/>
        <w:ind w:firstLine="720"/>
        <w:jc w:val="both"/>
        <w:rPr>
          <w:rFonts w:ascii="Arial" w:eastAsia="Arial" w:hAnsi="Arial" w:cs="Arial"/>
          <w:sz w:val="22"/>
          <w:szCs w:val="22"/>
          <w:lang w:eastAsia="en-US"/>
        </w:rPr>
      </w:pPr>
      <w:r w:rsidRPr="009975B7">
        <w:rPr>
          <w:rFonts w:ascii="Arial" w:eastAsia="Arial" w:hAnsi="Arial" w:cs="Arial"/>
          <w:sz w:val="22"/>
          <w:szCs w:val="22"/>
          <w:lang w:eastAsia="en-US"/>
        </w:rPr>
        <w:t xml:space="preserve">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w:t>
      </w:r>
      <w:r w:rsidRPr="009975B7">
        <w:rPr>
          <w:rFonts w:ascii="Arial" w:eastAsia="Arial" w:hAnsi="Arial" w:cs="Arial"/>
          <w:sz w:val="22"/>
          <w:szCs w:val="22"/>
          <w:lang w:eastAsia="en-US"/>
        </w:rPr>
        <w:lastRenderedPageBreak/>
        <w:t>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que, en el procedimiento aplicable a cada una de las modalidades de selección de contratistas, «deberá[n] observarse los principios de transparencia, economía, responsabilidad»</w:t>
      </w:r>
      <w:bookmarkEnd w:id="5"/>
      <w:r w:rsidRPr="009975B7">
        <w:rPr>
          <w:rFonts w:ascii="Arial" w:eastAsia="Arial" w:hAnsi="Arial" w:cs="Arial"/>
          <w:sz w:val="22"/>
          <w:szCs w:val="22"/>
          <w:vertAlign w:val="superscript"/>
          <w:lang w:eastAsia="en-US"/>
        </w:rPr>
        <w:footnoteReference w:id="9"/>
      </w:r>
      <w:r w:rsidRPr="009975B7">
        <w:rPr>
          <w:rFonts w:ascii="Arial" w:eastAsia="Arial" w:hAnsi="Arial" w:cs="Arial"/>
          <w:sz w:val="22"/>
          <w:szCs w:val="22"/>
          <w:lang w:eastAsia="en-US"/>
        </w:rPr>
        <w:t>.</w:t>
      </w:r>
    </w:p>
    <w:p w14:paraId="67AB0D8A" w14:textId="77777777" w:rsidR="00B22EC0" w:rsidRPr="009975B7" w:rsidRDefault="00B22EC0" w:rsidP="00B22EC0">
      <w:pPr>
        <w:spacing w:line="276" w:lineRule="auto"/>
        <w:ind w:firstLine="720"/>
        <w:contextualSpacing/>
        <w:jc w:val="both"/>
        <w:rPr>
          <w:rFonts w:ascii="Arial" w:eastAsia="Arial" w:hAnsi="Arial" w:cs="Arial"/>
          <w:sz w:val="22"/>
          <w:szCs w:val="22"/>
          <w:lang w:eastAsia="en-US"/>
        </w:rPr>
      </w:pPr>
      <w:r w:rsidRPr="009975B7">
        <w:rPr>
          <w:rFonts w:ascii="Arial" w:eastAsia="Arial" w:hAnsi="Arial" w:cs="Arial"/>
          <w:sz w:val="22"/>
          <w:szCs w:val="22"/>
          <w:lang w:eastAsia="en-US"/>
        </w:rPr>
        <w:t xml:space="preserve">Teniendo en cuenta que en el proceso de contratación directa las entidades estatales deben garantizar la efectividad de los principios rectores de la contratación pública, a continuación, se hará mención del principio de planeación y de selección objetiva aplicable en esta modalidad. </w:t>
      </w:r>
    </w:p>
    <w:p w14:paraId="331D0ECA" w14:textId="283346E5" w:rsidR="003C4317" w:rsidRPr="009975B7" w:rsidRDefault="003C4317" w:rsidP="009356F4">
      <w:pPr>
        <w:spacing w:line="276" w:lineRule="auto"/>
        <w:jc w:val="both"/>
        <w:rPr>
          <w:rFonts w:ascii="Arial" w:eastAsia="Calibri" w:hAnsi="Arial" w:cs="Arial"/>
          <w:sz w:val="22"/>
          <w:szCs w:val="22"/>
          <w:lang w:val="es-ES_tradnl"/>
        </w:rPr>
      </w:pPr>
    </w:p>
    <w:p w14:paraId="78B00FC1" w14:textId="74A3A86C" w:rsidR="004777DF" w:rsidRPr="009975B7" w:rsidRDefault="008A6AA1" w:rsidP="00886B09">
      <w:pPr>
        <w:spacing w:line="276" w:lineRule="auto"/>
        <w:jc w:val="both"/>
        <w:rPr>
          <w:rFonts w:ascii="Arial" w:eastAsia="Calibri" w:hAnsi="Arial" w:cs="Arial"/>
          <w:b/>
          <w:bCs/>
          <w:sz w:val="22"/>
          <w:lang w:val="es-ES_tradnl"/>
        </w:rPr>
      </w:pPr>
      <w:r w:rsidRPr="009975B7">
        <w:rPr>
          <w:rFonts w:ascii="Arial" w:eastAsia="Calibri" w:hAnsi="Arial" w:cs="Arial"/>
          <w:b/>
          <w:bCs/>
          <w:sz w:val="22"/>
          <w:szCs w:val="22"/>
          <w:lang w:val="es-ES_tradnl"/>
        </w:rPr>
        <w:t>2.</w:t>
      </w:r>
      <w:r w:rsidR="00310E2A" w:rsidRPr="009975B7">
        <w:rPr>
          <w:rFonts w:ascii="Arial" w:eastAsia="Calibri" w:hAnsi="Arial" w:cs="Arial"/>
          <w:b/>
          <w:bCs/>
          <w:sz w:val="22"/>
          <w:szCs w:val="22"/>
          <w:lang w:val="es-ES_tradnl"/>
        </w:rPr>
        <w:t>2</w:t>
      </w:r>
      <w:r w:rsidRPr="009975B7">
        <w:rPr>
          <w:rFonts w:ascii="Arial" w:eastAsia="Calibri" w:hAnsi="Arial" w:cs="Arial"/>
          <w:b/>
          <w:bCs/>
          <w:sz w:val="22"/>
          <w:szCs w:val="22"/>
          <w:lang w:val="es-ES_tradnl"/>
        </w:rPr>
        <w:t xml:space="preserve">. </w:t>
      </w:r>
      <w:bookmarkStart w:id="6" w:name="_Hlk112077762"/>
      <w:r w:rsidR="001A74C1" w:rsidRPr="009975B7">
        <w:rPr>
          <w:rFonts w:ascii="Arial" w:eastAsia="Calibri" w:hAnsi="Arial" w:cs="Arial"/>
          <w:b/>
          <w:bCs/>
          <w:sz w:val="22"/>
          <w:lang w:val="es-ES_tradnl"/>
        </w:rPr>
        <w:t xml:space="preserve">Estudios previos y del sector en el Estatuto General de Contratación de la Administración Pública   </w:t>
      </w:r>
    </w:p>
    <w:p w14:paraId="11B3B0F8" w14:textId="77777777" w:rsidR="001A74C1" w:rsidRPr="009975B7" w:rsidRDefault="001A74C1" w:rsidP="00886B09">
      <w:pPr>
        <w:spacing w:line="276" w:lineRule="auto"/>
        <w:jc w:val="both"/>
        <w:rPr>
          <w:rFonts w:ascii="Arial" w:eastAsia="Calibri" w:hAnsi="Arial" w:cs="Arial"/>
          <w:b/>
          <w:bCs/>
          <w:sz w:val="22"/>
          <w:lang w:val="es-ES_tradnl"/>
        </w:rPr>
      </w:pPr>
    </w:p>
    <w:p w14:paraId="4568E54D" w14:textId="77777777" w:rsidR="001A74C1" w:rsidRPr="009975B7" w:rsidRDefault="001A74C1" w:rsidP="001A74C1">
      <w:pPr>
        <w:spacing w:line="276" w:lineRule="auto"/>
        <w:jc w:val="both"/>
      </w:pPr>
      <w:bookmarkStart w:id="7" w:name="_Hlk54011258"/>
      <w:r w:rsidRPr="009975B7">
        <w:rPr>
          <w:rFonts w:ascii="Arial" w:eastAsia="Calibri" w:hAnsi="Arial" w:cs="Arial"/>
          <w:bCs/>
          <w:sz w:val="22"/>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7"/>
      <w:r w:rsidRPr="009975B7">
        <w:rPr>
          <w:rFonts w:ascii="Arial" w:eastAsia="Calibri" w:hAnsi="Arial" w:cs="Arial"/>
          <w:bCs/>
          <w:sz w:val="21"/>
          <w:szCs w:val="21"/>
          <w:lang w:val="es-ES_tradnl"/>
        </w:rPr>
        <w:t>.</w:t>
      </w:r>
    </w:p>
    <w:p w14:paraId="64319808" w14:textId="77777777" w:rsidR="001A74C1" w:rsidRPr="009975B7" w:rsidRDefault="001A74C1" w:rsidP="0044297A">
      <w:pPr>
        <w:pStyle w:val="Sinespaciado"/>
        <w:spacing w:before="120" w:line="276" w:lineRule="auto"/>
        <w:ind w:firstLine="709"/>
        <w:jc w:val="both"/>
        <w:rPr>
          <w:rFonts w:ascii="Arial" w:hAnsi="Arial" w:cs="Arial"/>
          <w:bCs/>
          <w:sz w:val="22"/>
          <w:lang w:val="es-ES"/>
        </w:rPr>
      </w:pPr>
      <w:r w:rsidRPr="009975B7">
        <w:rPr>
          <w:rFonts w:ascii="Arial" w:hAnsi="Arial" w:cs="Arial"/>
          <w:bCs/>
          <w:sz w:val="22"/>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DA25BAC" w14:textId="77777777" w:rsidR="001A74C1" w:rsidRPr="009975B7" w:rsidRDefault="001A74C1" w:rsidP="0044297A">
      <w:pPr>
        <w:pStyle w:val="Sinespaciado"/>
        <w:ind w:firstLine="708"/>
        <w:jc w:val="both"/>
        <w:rPr>
          <w:rFonts w:ascii="Arial" w:hAnsi="Arial" w:cs="Arial"/>
          <w:bCs/>
          <w:sz w:val="22"/>
          <w:lang w:val="es-ES"/>
        </w:rPr>
      </w:pPr>
    </w:p>
    <w:p w14:paraId="38A3BD7C" w14:textId="77777777" w:rsidR="001A74C1" w:rsidRPr="009975B7" w:rsidRDefault="001A74C1" w:rsidP="0044297A">
      <w:pPr>
        <w:pStyle w:val="Sinespaciado"/>
        <w:ind w:left="709" w:right="709"/>
        <w:contextualSpacing/>
        <w:jc w:val="both"/>
        <w:rPr>
          <w:rFonts w:ascii="Arial" w:hAnsi="Arial" w:cs="Arial"/>
          <w:sz w:val="21"/>
          <w:szCs w:val="21"/>
        </w:rPr>
      </w:pPr>
      <w:r w:rsidRPr="009975B7">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7EE10D60" w14:textId="77777777" w:rsidR="006E0A7A" w:rsidRPr="009975B7" w:rsidRDefault="006E0A7A" w:rsidP="006E0A7A">
      <w:pPr>
        <w:pStyle w:val="Sinespaciado"/>
        <w:ind w:left="709" w:right="709"/>
        <w:contextualSpacing/>
        <w:jc w:val="both"/>
        <w:rPr>
          <w:rFonts w:ascii="Arial" w:hAnsi="Arial" w:cs="Arial"/>
          <w:sz w:val="21"/>
          <w:szCs w:val="21"/>
        </w:rPr>
      </w:pPr>
    </w:p>
    <w:p w14:paraId="7CA91C61" w14:textId="6EFD1A26" w:rsidR="001A74C1" w:rsidRPr="009975B7" w:rsidRDefault="001A74C1" w:rsidP="0044297A">
      <w:pPr>
        <w:pStyle w:val="Sinespaciado"/>
        <w:ind w:left="709" w:right="709"/>
        <w:contextualSpacing/>
        <w:jc w:val="both"/>
        <w:rPr>
          <w:rFonts w:ascii="Arial" w:hAnsi="Arial" w:cs="Arial"/>
          <w:sz w:val="21"/>
          <w:szCs w:val="21"/>
        </w:rPr>
      </w:pPr>
      <w:r w:rsidRPr="009975B7">
        <w:rPr>
          <w:rFonts w:ascii="Arial" w:hAnsi="Arial" w:cs="Arial"/>
          <w:sz w:val="21"/>
          <w:szCs w:val="21"/>
        </w:rPr>
        <w:t>[…]</w:t>
      </w:r>
    </w:p>
    <w:p w14:paraId="31651D42" w14:textId="77777777" w:rsidR="006E0A7A" w:rsidRPr="009975B7" w:rsidRDefault="006E0A7A" w:rsidP="006E0A7A">
      <w:pPr>
        <w:pStyle w:val="Sinespaciado"/>
        <w:ind w:left="709" w:right="709"/>
        <w:contextualSpacing/>
        <w:jc w:val="both"/>
        <w:rPr>
          <w:rFonts w:ascii="Arial" w:hAnsi="Arial" w:cs="Arial"/>
          <w:sz w:val="21"/>
          <w:szCs w:val="21"/>
        </w:rPr>
      </w:pPr>
    </w:p>
    <w:p w14:paraId="7EB2A960" w14:textId="48CB1157" w:rsidR="001A74C1" w:rsidRPr="009975B7" w:rsidRDefault="001A74C1" w:rsidP="0044297A">
      <w:pPr>
        <w:pStyle w:val="Sinespaciado"/>
        <w:ind w:left="709" w:right="709"/>
        <w:contextualSpacing/>
        <w:jc w:val="both"/>
        <w:rPr>
          <w:rFonts w:ascii="Arial" w:hAnsi="Arial" w:cs="Arial"/>
          <w:sz w:val="21"/>
          <w:szCs w:val="21"/>
        </w:rPr>
      </w:pPr>
      <w:r w:rsidRPr="009975B7">
        <w:rPr>
          <w:rFonts w:ascii="Arial" w:hAnsi="Arial" w:cs="Arial"/>
          <w:sz w:val="21"/>
          <w:szCs w:val="21"/>
        </w:rPr>
        <w:lastRenderedPageBreak/>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8A01C89" w14:textId="77777777" w:rsidR="006E0A7A" w:rsidRPr="009975B7" w:rsidRDefault="006E0A7A" w:rsidP="006E0A7A">
      <w:pPr>
        <w:pStyle w:val="Sinespaciado"/>
        <w:ind w:left="709" w:right="709"/>
        <w:contextualSpacing/>
        <w:jc w:val="both"/>
        <w:rPr>
          <w:rFonts w:ascii="Arial" w:hAnsi="Arial" w:cs="Arial"/>
          <w:sz w:val="21"/>
          <w:szCs w:val="21"/>
        </w:rPr>
      </w:pPr>
    </w:p>
    <w:p w14:paraId="2718B6B2" w14:textId="7F83A6BA" w:rsidR="001A74C1" w:rsidRPr="009975B7" w:rsidRDefault="001A74C1" w:rsidP="0044297A">
      <w:pPr>
        <w:pStyle w:val="Sinespaciado"/>
        <w:ind w:left="709" w:right="709"/>
        <w:contextualSpacing/>
        <w:jc w:val="both"/>
        <w:rPr>
          <w:rFonts w:ascii="Arial" w:hAnsi="Arial" w:cs="Arial"/>
          <w:sz w:val="21"/>
          <w:szCs w:val="21"/>
        </w:rPr>
      </w:pPr>
      <w:r w:rsidRPr="009975B7">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3950F2BC" w14:textId="77777777" w:rsidR="006E0A7A" w:rsidRPr="009975B7" w:rsidRDefault="006E0A7A" w:rsidP="006E0A7A">
      <w:pPr>
        <w:ind w:left="709" w:right="709"/>
        <w:contextualSpacing/>
        <w:jc w:val="both"/>
        <w:rPr>
          <w:rFonts w:ascii="Arial" w:hAnsi="Arial" w:cs="Arial"/>
          <w:sz w:val="21"/>
          <w:szCs w:val="21"/>
        </w:rPr>
      </w:pPr>
    </w:p>
    <w:p w14:paraId="7A259703" w14:textId="35167345" w:rsidR="001A74C1" w:rsidRPr="009975B7" w:rsidRDefault="001A74C1" w:rsidP="0044297A">
      <w:pPr>
        <w:ind w:left="709" w:right="709"/>
        <w:contextualSpacing/>
        <w:jc w:val="both"/>
        <w:rPr>
          <w:rFonts w:ascii="Arial" w:hAnsi="Arial" w:cs="Arial"/>
          <w:sz w:val="21"/>
          <w:szCs w:val="21"/>
        </w:rPr>
      </w:pPr>
      <w:r w:rsidRPr="009975B7">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2FD5D87" w14:textId="77777777" w:rsidR="006E0A7A" w:rsidRPr="009975B7" w:rsidRDefault="006E0A7A" w:rsidP="006E0A7A">
      <w:pPr>
        <w:ind w:left="709" w:right="709"/>
        <w:contextualSpacing/>
        <w:jc w:val="both"/>
        <w:rPr>
          <w:rFonts w:ascii="Arial" w:hAnsi="Arial" w:cs="Arial"/>
          <w:sz w:val="21"/>
          <w:szCs w:val="21"/>
        </w:rPr>
      </w:pPr>
    </w:p>
    <w:p w14:paraId="0F1F51D1" w14:textId="25D68D74" w:rsidR="001A74C1" w:rsidRPr="009975B7" w:rsidRDefault="001A74C1" w:rsidP="0044297A">
      <w:pPr>
        <w:ind w:left="709" w:right="709"/>
        <w:contextualSpacing/>
        <w:jc w:val="both"/>
        <w:rPr>
          <w:rFonts w:ascii="Arial" w:hAnsi="Arial" w:cs="Arial"/>
          <w:sz w:val="21"/>
          <w:szCs w:val="21"/>
        </w:rPr>
      </w:pPr>
      <w:r w:rsidRPr="009975B7">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w:t>
      </w:r>
      <w:r w:rsidR="00E250AD" w:rsidRPr="009975B7">
        <w:rPr>
          <w:rFonts w:ascii="Arial" w:hAnsi="Arial" w:cs="Arial"/>
          <w:sz w:val="21"/>
          <w:szCs w:val="21"/>
        </w:rPr>
        <w:t xml:space="preserve"> </w:t>
      </w:r>
      <w:r w:rsidRPr="009975B7">
        <w:rPr>
          <w:rFonts w:ascii="Arial" w:hAnsi="Arial" w:cs="Arial"/>
          <w:sz w:val="21"/>
          <w:szCs w:val="21"/>
        </w:rPr>
        <w:t>[…].</w:t>
      </w:r>
    </w:p>
    <w:bookmarkEnd w:id="6"/>
    <w:p w14:paraId="3F927EFD" w14:textId="77777777" w:rsidR="001A74C1" w:rsidRPr="009975B7" w:rsidRDefault="001A74C1" w:rsidP="001A74C1">
      <w:pPr>
        <w:spacing w:line="276" w:lineRule="auto"/>
        <w:ind w:left="709" w:right="709"/>
        <w:contextualSpacing/>
        <w:jc w:val="both"/>
        <w:rPr>
          <w:rFonts w:ascii="Arial" w:hAnsi="Arial" w:cs="Arial"/>
          <w:sz w:val="22"/>
        </w:rPr>
      </w:pPr>
    </w:p>
    <w:p w14:paraId="1A54E861" w14:textId="33EDDF79" w:rsidR="001A74C1" w:rsidRPr="009975B7" w:rsidRDefault="001A74C1">
      <w:pPr>
        <w:spacing w:line="276" w:lineRule="auto"/>
        <w:ind w:firstLine="709"/>
        <w:contextualSpacing/>
        <w:jc w:val="both"/>
        <w:rPr>
          <w:rFonts w:ascii="Arial" w:hAnsi="Arial" w:cs="Arial"/>
          <w:sz w:val="22"/>
        </w:rPr>
      </w:pPr>
      <w:bookmarkStart w:id="8" w:name="_Hlk112078882"/>
      <w:r w:rsidRPr="009975B7">
        <w:rPr>
          <w:rFonts w:ascii="Arial" w:hAnsi="Arial" w:cs="Arial"/>
          <w:sz w:val="22"/>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9975B7">
        <w:rPr>
          <w:rFonts w:ascii="Arial" w:hAnsi="Arial" w:cs="Arial"/>
          <w:sz w:val="22"/>
          <w:vertAlign w:val="superscript"/>
        </w:rPr>
        <w:footnoteReference w:id="10"/>
      </w:r>
      <w:r w:rsidRPr="009975B7">
        <w:rPr>
          <w:rFonts w:ascii="Arial" w:hAnsi="Arial" w:cs="Arial"/>
          <w:sz w:val="22"/>
        </w:rPr>
        <w:t>.</w:t>
      </w:r>
      <w:r w:rsidR="00C977E0" w:rsidRPr="009975B7">
        <w:rPr>
          <w:rFonts w:ascii="Arial" w:hAnsi="Arial" w:cs="Arial"/>
          <w:sz w:val="22"/>
        </w:rPr>
        <w:t xml:space="preserve"> En congruencia con el artículo 25</w:t>
      </w:r>
      <w:r w:rsidRPr="009975B7">
        <w:rPr>
          <w:rFonts w:ascii="Arial" w:hAnsi="Arial" w:cs="Arial"/>
          <w:sz w:val="22"/>
        </w:rPr>
        <w:t xml:space="preserve"> de la Ley 80 de 1993, el Decreto Único Reglamentario del Sector Administrativo de Planeación Nacional –Decreto 1082 de 2015–, </w:t>
      </w:r>
      <w:r w:rsidR="00DB6E6D" w:rsidRPr="009975B7">
        <w:rPr>
          <w:rFonts w:ascii="Arial" w:hAnsi="Arial" w:cs="Arial"/>
          <w:sz w:val="22"/>
        </w:rPr>
        <w:t xml:space="preserve">dispone </w:t>
      </w:r>
      <w:r w:rsidRPr="009975B7">
        <w:rPr>
          <w:rFonts w:ascii="Arial" w:hAnsi="Arial" w:cs="Arial"/>
          <w:sz w:val="22"/>
        </w:rPr>
        <w:t>en el artículo 2.2.1.1.2.1.1 el contenido mínimo de los estudios y documentos previos:</w:t>
      </w:r>
    </w:p>
    <w:p w14:paraId="466391C0" w14:textId="77777777" w:rsidR="001A74C1" w:rsidRPr="009975B7" w:rsidRDefault="001A74C1" w:rsidP="0078356A">
      <w:pPr>
        <w:pStyle w:val="Textoindependiente"/>
        <w:spacing w:after="0"/>
        <w:ind w:left="709" w:right="709"/>
        <w:contextualSpacing/>
      </w:pPr>
    </w:p>
    <w:p w14:paraId="21E599FF" w14:textId="4778B6BB" w:rsidR="009E12BD" w:rsidRPr="009975B7" w:rsidRDefault="001A74C1" w:rsidP="006F1588">
      <w:pPr>
        <w:ind w:left="709" w:right="709"/>
        <w:contextualSpacing/>
        <w:jc w:val="both"/>
        <w:rPr>
          <w:rFonts w:ascii="Arial" w:hAnsi="Arial" w:cs="Arial"/>
          <w:sz w:val="21"/>
          <w:szCs w:val="21"/>
        </w:rPr>
      </w:pPr>
      <w:r w:rsidRPr="009975B7">
        <w:rPr>
          <w:rFonts w:ascii="Arial" w:hAnsi="Arial" w:cs="Arial"/>
          <w:sz w:val="21"/>
          <w:szCs w:val="21"/>
        </w:rPr>
        <w:t xml:space="preserve">Artículo 2.2.1.1.2.1.1. </w:t>
      </w:r>
      <w:r w:rsidR="009E12BD" w:rsidRPr="009975B7">
        <w:rPr>
          <w:rFonts w:ascii="Arial" w:hAnsi="Arial" w:cs="Arial"/>
          <w:sz w:val="21"/>
          <w:szCs w:val="21"/>
        </w:rPr>
        <w:t xml:space="preserve">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7D070124" w14:textId="77777777" w:rsidR="006F1588" w:rsidRPr="009975B7" w:rsidRDefault="006F1588" w:rsidP="0044297A">
      <w:pPr>
        <w:ind w:left="709" w:right="709"/>
        <w:contextualSpacing/>
        <w:jc w:val="both"/>
        <w:rPr>
          <w:rFonts w:ascii="Arial" w:hAnsi="Arial" w:cs="Arial"/>
          <w:sz w:val="21"/>
          <w:szCs w:val="21"/>
        </w:rPr>
      </w:pPr>
    </w:p>
    <w:p w14:paraId="52F63CA7" w14:textId="4A4378DE"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lastRenderedPageBreak/>
        <w:t>1. La descripción de la necesidad que la Entidad Estatal pretende satisfacer con el Proceso de Contratación. ​</w:t>
      </w:r>
    </w:p>
    <w:p w14:paraId="05DF0B5D" w14:textId="77777777" w:rsidR="006F1588" w:rsidRPr="009975B7" w:rsidRDefault="006F1588" w:rsidP="006F1588">
      <w:pPr>
        <w:ind w:left="709" w:right="709"/>
        <w:contextualSpacing/>
        <w:jc w:val="both"/>
        <w:rPr>
          <w:rFonts w:ascii="Arial" w:hAnsi="Arial" w:cs="Arial"/>
          <w:sz w:val="21"/>
          <w:szCs w:val="21"/>
        </w:rPr>
      </w:pPr>
    </w:p>
    <w:p w14:paraId="4A228782" w14:textId="7981DBED"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42A02010" w14:textId="77777777" w:rsidR="006F1588" w:rsidRPr="009975B7" w:rsidRDefault="006F1588" w:rsidP="006F1588">
      <w:pPr>
        <w:ind w:left="709" w:right="709"/>
        <w:contextualSpacing/>
        <w:jc w:val="both"/>
        <w:rPr>
          <w:rFonts w:ascii="Arial" w:hAnsi="Arial" w:cs="Arial"/>
          <w:sz w:val="21"/>
          <w:szCs w:val="21"/>
        </w:rPr>
      </w:pPr>
    </w:p>
    <w:p w14:paraId="2CCECDE3" w14:textId="2FB4B568"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3. La modalidad de selección del contratista y su justificación, incluyendo los fundamentos jurídicos. </w:t>
      </w:r>
    </w:p>
    <w:p w14:paraId="157E437D" w14:textId="77777777" w:rsidR="006F1588" w:rsidRPr="009975B7" w:rsidRDefault="006F1588" w:rsidP="006F1588">
      <w:pPr>
        <w:ind w:left="709" w:right="709"/>
        <w:contextualSpacing/>
        <w:jc w:val="both"/>
        <w:rPr>
          <w:rFonts w:ascii="Arial" w:hAnsi="Arial" w:cs="Arial"/>
          <w:sz w:val="21"/>
          <w:szCs w:val="21"/>
        </w:rPr>
      </w:pPr>
    </w:p>
    <w:p w14:paraId="3AD18ACA" w14:textId="3FAAC617"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4. El valor estimado del contrato y la justificación </w:t>
      </w:r>
      <w:proofErr w:type="gramStart"/>
      <w:r w:rsidRPr="009975B7">
        <w:rPr>
          <w:rFonts w:ascii="Arial" w:hAnsi="Arial" w:cs="Arial"/>
          <w:sz w:val="21"/>
          <w:szCs w:val="21"/>
        </w:rPr>
        <w:t>del mismo</w:t>
      </w:r>
      <w:proofErr w:type="gramEnd"/>
      <w:r w:rsidRPr="009975B7">
        <w:rPr>
          <w:rFonts w:ascii="Arial" w:hAnsi="Arial" w:cs="Arial"/>
          <w:sz w:val="21"/>
          <w:szCs w:val="21"/>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C5523E8" w14:textId="77777777" w:rsidR="006F1588" w:rsidRPr="009975B7" w:rsidRDefault="006F1588" w:rsidP="006F1588">
      <w:pPr>
        <w:ind w:left="709" w:right="709"/>
        <w:contextualSpacing/>
        <w:jc w:val="both"/>
        <w:rPr>
          <w:rFonts w:ascii="Arial" w:hAnsi="Arial" w:cs="Arial"/>
          <w:sz w:val="21"/>
          <w:szCs w:val="21"/>
        </w:rPr>
      </w:pPr>
    </w:p>
    <w:p w14:paraId="37D7F858" w14:textId="64EF5322"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5. Los criterios para seleccionar la oferta más favorable. </w:t>
      </w:r>
    </w:p>
    <w:p w14:paraId="1AE92C67" w14:textId="77777777" w:rsidR="006F1588" w:rsidRPr="009975B7" w:rsidRDefault="006F1588" w:rsidP="006F1588">
      <w:pPr>
        <w:ind w:left="709" w:right="709"/>
        <w:contextualSpacing/>
        <w:jc w:val="both"/>
        <w:rPr>
          <w:rFonts w:ascii="Arial" w:hAnsi="Arial" w:cs="Arial"/>
          <w:sz w:val="21"/>
          <w:szCs w:val="21"/>
        </w:rPr>
      </w:pPr>
    </w:p>
    <w:p w14:paraId="245E8B56" w14:textId="1B475734"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6. El análisis de Riesgo y la forma de mitigarlo. </w:t>
      </w:r>
    </w:p>
    <w:p w14:paraId="1FEE8708" w14:textId="77777777" w:rsidR="006F1588" w:rsidRPr="009975B7" w:rsidRDefault="006F1588" w:rsidP="006F1588">
      <w:pPr>
        <w:ind w:left="709" w:right="709"/>
        <w:contextualSpacing/>
        <w:jc w:val="both"/>
        <w:rPr>
          <w:rFonts w:ascii="Arial" w:hAnsi="Arial" w:cs="Arial"/>
          <w:sz w:val="21"/>
          <w:szCs w:val="21"/>
        </w:rPr>
      </w:pPr>
    </w:p>
    <w:p w14:paraId="54BC4A06" w14:textId="38BF5A0D"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7. Las garantías que la Entidad Estatal contempla exigir en el proceso de contratación. </w:t>
      </w:r>
    </w:p>
    <w:p w14:paraId="14197CCD" w14:textId="77777777" w:rsidR="006F1588" w:rsidRPr="009975B7" w:rsidRDefault="006F1588" w:rsidP="006F1588">
      <w:pPr>
        <w:ind w:left="709" w:right="709"/>
        <w:contextualSpacing/>
        <w:jc w:val="both"/>
        <w:rPr>
          <w:rFonts w:ascii="Arial" w:hAnsi="Arial" w:cs="Arial"/>
          <w:sz w:val="21"/>
          <w:szCs w:val="21"/>
        </w:rPr>
      </w:pPr>
    </w:p>
    <w:p w14:paraId="3D518578" w14:textId="01F7A249" w:rsidR="009E12BD"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 xml:space="preserve">8. La indicación de si el proceso de contratación está cobijado por un acuerdo comercial. </w:t>
      </w:r>
    </w:p>
    <w:p w14:paraId="134D8B79" w14:textId="77777777" w:rsidR="006F1588" w:rsidRPr="009975B7" w:rsidRDefault="006F1588" w:rsidP="006F1588">
      <w:pPr>
        <w:ind w:left="709" w:right="709"/>
        <w:contextualSpacing/>
        <w:jc w:val="both"/>
        <w:rPr>
          <w:rFonts w:ascii="Arial" w:hAnsi="Arial" w:cs="Arial"/>
          <w:sz w:val="21"/>
          <w:szCs w:val="21"/>
        </w:rPr>
      </w:pPr>
    </w:p>
    <w:p w14:paraId="7A1984E7" w14:textId="2A40CEE2" w:rsidR="001A74C1" w:rsidRPr="009975B7" w:rsidRDefault="009E12BD" w:rsidP="0044297A">
      <w:pPr>
        <w:ind w:left="709" w:right="709"/>
        <w:contextualSpacing/>
        <w:jc w:val="both"/>
        <w:rPr>
          <w:rFonts w:ascii="Arial" w:hAnsi="Arial" w:cs="Arial"/>
          <w:sz w:val="21"/>
          <w:szCs w:val="21"/>
        </w:rPr>
      </w:pPr>
      <w:r w:rsidRPr="009975B7">
        <w:rPr>
          <w:rFonts w:ascii="Arial" w:hAnsi="Arial" w:cs="Arial"/>
          <w:sz w:val="21"/>
          <w:szCs w:val="21"/>
        </w:rPr>
        <w:t>El presente artículo no es aplicable a la contratación por mínima cuantía</w:t>
      </w:r>
      <w:r w:rsidR="001A74C1" w:rsidRPr="009975B7">
        <w:rPr>
          <w:rFonts w:ascii="Arial" w:hAnsi="Arial" w:cs="Arial"/>
          <w:sz w:val="21"/>
          <w:szCs w:val="21"/>
        </w:rPr>
        <w:t>.</w:t>
      </w:r>
    </w:p>
    <w:p w14:paraId="400C9AE3" w14:textId="77777777" w:rsidR="001A74C1" w:rsidRPr="009975B7" w:rsidRDefault="001A74C1" w:rsidP="0078356A">
      <w:pPr>
        <w:pStyle w:val="Prrafodelista"/>
        <w:widowControl w:val="0"/>
        <w:tabs>
          <w:tab w:val="left" w:pos="1305"/>
        </w:tabs>
        <w:autoSpaceDE w:val="0"/>
        <w:autoSpaceDN w:val="0"/>
        <w:spacing w:line="276" w:lineRule="auto"/>
        <w:ind w:left="828" w:right="822"/>
        <w:contextualSpacing w:val="0"/>
        <w:rPr>
          <w:rFonts w:ascii="Arial" w:hAnsi="Arial" w:cs="Arial"/>
          <w:sz w:val="22"/>
        </w:rPr>
      </w:pPr>
    </w:p>
    <w:p w14:paraId="3E9ED1CE" w14:textId="77777777" w:rsidR="001A74C1" w:rsidRPr="009975B7" w:rsidRDefault="001A74C1" w:rsidP="001A74C1">
      <w:pPr>
        <w:spacing w:after="120" w:line="276" w:lineRule="auto"/>
        <w:ind w:firstLine="709"/>
        <w:jc w:val="both"/>
        <w:rPr>
          <w:rFonts w:ascii="Arial" w:hAnsi="Arial" w:cs="Arial"/>
          <w:sz w:val="22"/>
        </w:rPr>
      </w:pPr>
      <w:bookmarkStart w:id="9" w:name="_Hlk54011351"/>
      <w:r w:rsidRPr="009975B7">
        <w:rPr>
          <w:rFonts w:ascii="Arial" w:hAnsi="Arial" w:cs="Arial"/>
          <w:sz w:val="22"/>
        </w:rPr>
        <w:t xml:space="preserve">De esta manera, antes de iniciar un procedimiento de selección, la entidad estatal podrá determinar con los estudios previos: i) la verdadera necesidad de la celebración del contrato; </w:t>
      </w:r>
      <w:proofErr w:type="spellStart"/>
      <w:r w:rsidRPr="009975B7">
        <w:rPr>
          <w:rFonts w:ascii="Arial" w:hAnsi="Arial" w:cs="Arial"/>
          <w:sz w:val="22"/>
        </w:rPr>
        <w:t>ii</w:t>
      </w:r>
      <w:proofErr w:type="spellEnd"/>
      <w:r w:rsidRPr="009975B7">
        <w:rPr>
          <w:rFonts w:ascii="Arial" w:hAnsi="Arial" w:cs="Arial"/>
          <w:sz w:val="22"/>
        </w:rPr>
        <w:t xml:space="preserve">) las modalidades existentes para satisfacer esa necesidad y las razones que justifiquen la modalidad o tipo contractual que se escoja; </w:t>
      </w:r>
      <w:proofErr w:type="spellStart"/>
      <w:r w:rsidRPr="009975B7">
        <w:rPr>
          <w:rFonts w:ascii="Arial" w:hAnsi="Arial" w:cs="Arial"/>
          <w:sz w:val="22"/>
        </w:rPr>
        <w:t>iii</w:t>
      </w:r>
      <w:proofErr w:type="spellEnd"/>
      <w:r w:rsidRPr="009975B7">
        <w:rPr>
          <w:rFonts w:ascii="Arial" w:hAnsi="Arial" w:cs="Arial"/>
          <w:sz w:val="22"/>
        </w:rPr>
        <w:t xml:space="preserve">) las calidades, especificaciones, cantidades y demás características que puedan o deban reunir los bienes, las obras, los servicios, etcétera, cuya contratación, se haya determinado necesaria, </w:t>
      </w:r>
      <w:proofErr w:type="spellStart"/>
      <w:r w:rsidRPr="009975B7">
        <w:rPr>
          <w:rFonts w:ascii="Arial" w:hAnsi="Arial" w:cs="Arial"/>
          <w:sz w:val="22"/>
        </w:rPr>
        <w:t>iv</w:t>
      </w:r>
      <w:proofErr w:type="spellEnd"/>
      <w:r w:rsidRPr="009975B7">
        <w:rPr>
          <w:rFonts w:ascii="Arial" w:hAnsi="Arial" w:cs="Arial"/>
          <w:sz w:val="22"/>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9975B7">
        <w:rPr>
          <w:rFonts w:ascii="Arial" w:hAnsi="Arial" w:cs="Arial"/>
          <w:sz w:val="22"/>
        </w:rPr>
        <w:t>vii</w:t>
      </w:r>
      <w:proofErr w:type="spellEnd"/>
      <w:r w:rsidRPr="009975B7">
        <w:rPr>
          <w:rFonts w:ascii="Arial" w:hAnsi="Arial" w:cs="Arial"/>
          <w:sz w:val="22"/>
        </w:rPr>
        <w:t xml:space="preserve">) los procedimientos, trámites y </w:t>
      </w:r>
      <w:r w:rsidRPr="009975B7">
        <w:rPr>
          <w:rFonts w:ascii="Arial" w:hAnsi="Arial" w:cs="Arial"/>
          <w:sz w:val="22"/>
        </w:rPr>
        <w:lastRenderedPageBreak/>
        <w:t>requisitos que deban satisfacerse, reunirse u obtenerse para llevar a cabo la selección del respectivo contratista y la celebración del contrato que se pretenda celebrar</w:t>
      </w:r>
      <w:bookmarkEnd w:id="8"/>
      <w:r w:rsidRPr="009975B7">
        <w:rPr>
          <w:rStyle w:val="Refdenotaalpie"/>
          <w:rFonts w:ascii="Arial" w:hAnsi="Arial" w:cs="Arial"/>
          <w:sz w:val="22"/>
        </w:rPr>
        <w:footnoteReference w:id="11"/>
      </w:r>
      <w:r w:rsidRPr="009975B7">
        <w:rPr>
          <w:rFonts w:ascii="Arial" w:hAnsi="Arial" w:cs="Arial"/>
          <w:sz w:val="22"/>
        </w:rPr>
        <w:t>.</w:t>
      </w:r>
    </w:p>
    <w:bookmarkEnd w:id="9"/>
    <w:p w14:paraId="6DE38F6B" w14:textId="77777777" w:rsidR="001A74C1" w:rsidRPr="009975B7" w:rsidRDefault="001A74C1" w:rsidP="001A74C1">
      <w:pPr>
        <w:spacing w:after="120" w:line="276" w:lineRule="auto"/>
        <w:ind w:firstLine="709"/>
        <w:jc w:val="both"/>
        <w:rPr>
          <w:rFonts w:ascii="Arial" w:hAnsi="Arial" w:cs="Arial"/>
          <w:sz w:val="22"/>
        </w:rPr>
      </w:pPr>
      <w:r w:rsidRPr="009975B7">
        <w:rPr>
          <w:rFonts w:ascii="Arial" w:hAnsi="Arial" w:cs="Arial"/>
          <w:sz w:val="22"/>
        </w:rPr>
        <w:t xml:space="preserve">Cuando las entidades cumplen con los elementos mínimos establecidos en la norma y aquellos adicionales que identifiquen en la etapa de planeación de los </w:t>
      </w:r>
      <w:r w:rsidRPr="009975B7">
        <w:rPr>
          <w:rFonts w:ascii="Arial" w:eastAsia="Calibri" w:hAnsi="Arial" w:cs="Arial"/>
          <w:bCs/>
          <w:sz w:val="22"/>
          <w:lang w:val="es-ES_tradnl"/>
        </w:rPr>
        <w:t xml:space="preserve">procedimientos de contratación, permiten que los contratos resultantes cuenten con el sustento técnico, económico y jurídico que incidirá </w:t>
      </w:r>
      <w:r w:rsidRPr="009975B7">
        <w:rPr>
          <w:rFonts w:ascii="Arial" w:hAnsi="Arial" w:cs="Arial"/>
          <w:sz w:val="22"/>
        </w:rPr>
        <w:t>en una adecuada ejecución.</w:t>
      </w:r>
    </w:p>
    <w:p w14:paraId="4E01F5EE" w14:textId="77777777" w:rsidR="001A74C1" w:rsidRPr="009975B7" w:rsidRDefault="001A74C1" w:rsidP="001A74C1">
      <w:pPr>
        <w:spacing w:line="276" w:lineRule="auto"/>
        <w:ind w:right="103" w:firstLine="708"/>
        <w:jc w:val="both"/>
        <w:rPr>
          <w:rFonts w:ascii="Arial" w:hAnsi="Arial" w:cs="Arial"/>
          <w:sz w:val="22"/>
        </w:rPr>
      </w:pPr>
      <w:r w:rsidRPr="009975B7">
        <w:rPr>
          <w:rFonts w:ascii="Arial" w:hAnsi="Arial" w:cs="Arial"/>
          <w:sz w:val="22"/>
        </w:rPr>
        <w:t>Mas allá del cumplimiento de la normativa, «los estudios y documentos previos son el soporte para elaborar el proyecto de pliegos, los pliegos de condiciones, y el contrato»</w:t>
      </w:r>
      <w:r w:rsidRPr="009975B7">
        <w:rPr>
          <w:rStyle w:val="Refdenotaalpie"/>
          <w:rFonts w:ascii="Arial" w:hAnsi="Arial" w:cs="Arial"/>
          <w:sz w:val="22"/>
        </w:rPr>
        <w:footnoteReference w:id="12"/>
      </w:r>
      <w:r w:rsidRPr="009975B7">
        <w:rPr>
          <w:rFonts w:ascii="Arial" w:hAnsi="Arial" w:cs="Arial"/>
          <w:sz w:val="22"/>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3C448141" w14:textId="77777777" w:rsidR="001A74C1" w:rsidRPr="009975B7" w:rsidRDefault="001A74C1" w:rsidP="001A74C1">
      <w:pPr>
        <w:spacing w:after="120" w:line="276" w:lineRule="auto"/>
        <w:ind w:right="105" w:firstLine="709"/>
        <w:jc w:val="both"/>
        <w:rPr>
          <w:rFonts w:ascii="Arial" w:hAnsi="Arial" w:cs="Arial"/>
          <w:sz w:val="22"/>
        </w:rPr>
      </w:pPr>
      <w:bookmarkStart w:id="11" w:name="_Hlk54011438"/>
      <w:r w:rsidRPr="009975B7">
        <w:rPr>
          <w:rFonts w:ascii="Arial" w:hAnsi="Arial" w:cs="Arial"/>
          <w:sz w:val="22"/>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11"/>
      <w:r w:rsidRPr="009975B7">
        <w:rPr>
          <w:rStyle w:val="Refdenotaalpie"/>
          <w:rFonts w:ascii="Arial" w:hAnsi="Arial" w:cs="Arial"/>
          <w:sz w:val="22"/>
        </w:rPr>
        <w:footnoteReference w:id="13"/>
      </w:r>
      <w:r w:rsidRPr="009975B7">
        <w:rPr>
          <w:rFonts w:ascii="Arial" w:hAnsi="Arial" w:cs="Arial"/>
          <w:sz w:val="22"/>
        </w:rPr>
        <w:t>.</w:t>
      </w:r>
    </w:p>
    <w:p w14:paraId="2B1F73A1" w14:textId="0317F8FE" w:rsidR="001A74C1" w:rsidRPr="009975B7" w:rsidRDefault="001A74C1" w:rsidP="001A74C1">
      <w:pPr>
        <w:spacing w:after="120" w:line="276" w:lineRule="auto"/>
        <w:ind w:right="104" w:firstLine="709"/>
        <w:jc w:val="both"/>
        <w:rPr>
          <w:rFonts w:ascii="Arial" w:hAnsi="Arial" w:cs="Arial"/>
          <w:sz w:val="22"/>
        </w:rPr>
      </w:pPr>
      <w:r w:rsidRPr="009975B7">
        <w:rPr>
          <w:rFonts w:ascii="Arial" w:hAnsi="Arial" w:cs="Arial"/>
          <w:sz w:val="22"/>
        </w:rPr>
        <w:t xml:space="preserve">El numeral </w:t>
      </w:r>
      <w:r w:rsidR="001F1D0F" w:rsidRPr="009975B7">
        <w:rPr>
          <w:rFonts w:ascii="Arial" w:hAnsi="Arial" w:cs="Arial"/>
          <w:sz w:val="22"/>
        </w:rPr>
        <w:t xml:space="preserve">12 </w:t>
      </w:r>
      <w:r w:rsidRPr="009975B7">
        <w:rPr>
          <w:rFonts w:ascii="Arial" w:hAnsi="Arial" w:cs="Arial"/>
          <w:sz w:val="22"/>
        </w:rPr>
        <w:t xml:space="preserve">del artículo 25 de la Ley 80 de 1993, antes citado, establece el deber de las entidades de realizar estudios previos en dos momentos específicos: i) previo a la apertura de un proceso de selección y </w:t>
      </w:r>
      <w:proofErr w:type="spellStart"/>
      <w:r w:rsidRPr="009975B7">
        <w:rPr>
          <w:rFonts w:ascii="Arial" w:hAnsi="Arial" w:cs="Arial"/>
          <w:sz w:val="22"/>
        </w:rPr>
        <w:t>ii</w:t>
      </w:r>
      <w:proofErr w:type="spellEnd"/>
      <w:r w:rsidRPr="009975B7">
        <w:rPr>
          <w:rFonts w:ascii="Arial" w:hAnsi="Arial" w:cs="Arial"/>
          <w:sz w:val="22"/>
        </w:rPr>
        <w:t xml:space="preserve">) previo a la firma del contrato en el caso en que la modalidad de selección sea contratación directa. Por su parte, el reglamento, es decir los artículos 2.2.1.1.1.6.1 y 2.2.1.1.2.1.1 del Decreto 1082 de 2015, no imponen la obligación de </w:t>
      </w:r>
      <w:r w:rsidR="002B1CE8" w:rsidRPr="009975B7">
        <w:rPr>
          <w:rFonts w:ascii="Arial" w:hAnsi="Arial" w:cs="Arial"/>
          <w:sz w:val="22"/>
        </w:rPr>
        <w:t xml:space="preserve">realizar </w:t>
      </w:r>
      <w:r w:rsidRPr="009975B7">
        <w:rPr>
          <w:rFonts w:ascii="Arial" w:hAnsi="Arial" w:cs="Arial"/>
          <w:sz w:val="22"/>
        </w:rPr>
        <w:t>estudios y documentos previos en etapas diferentes a la de planeación del contrato.</w:t>
      </w:r>
    </w:p>
    <w:p w14:paraId="70A3B93B" w14:textId="77777777" w:rsidR="001A74C1" w:rsidRPr="009975B7" w:rsidRDefault="001A74C1" w:rsidP="001A74C1">
      <w:pPr>
        <w:spacing w:after="120" w:line="276" w:lineRule="auto"/>
        <w:ind w:firstLine="709"/>
        <w:jc w:val="both"/>
        <w:rPr>
          <w:rFonts w:ascii="Arial" w:hAnsi="Arial" w:cs="Arial"/>
          <w:sz w:val="22"/>
        </w:rPr>
      </w:pPr>
      <w:r w:rsidRPr="009975B7">
        <w:rPr>
          <w:rFonts w:ascii="Arial" w:hAnsi="Arial" w:cs="Arial"/>
          <w:sz w:val="22"/>
        </w:rPr>
        <w:lastRenderedPageBreak/>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9975B7">
        <w:rPr>
          <w:rStyle w:val="Refdenotaalpie"/>
          <w:rFonts w:ascii="Arial" w:hAnsi="Arial" w:cs="Arial"/>
          <w:sz w:val="22"/>
        </w:rPr>
        <w:footnoteReference w:id="14"/>
      </w:r>
      <w:r w:rsidRPr="009975B7">
        <w:rPr>
          <w:rFonts w:ascii="Arial" w:hAnsi="Arial" w:cs="Arial"/>
          <w:sz w:val="22"/>
        </w:rPr>
        <w:t xml:space="preserve">. De esta manera, de acuerdo con la estructura interna de cada entidad, la elaboración de los estudios previos corresponderá al funcionario responsable de la dependencia </w:t>
      </w:r>
      <w:r w:rsidRPr="009975B7">
        <w:rPr>
          <w:rFonts w:ascii="Arial" w:hAnsi="Arial" w:cs="Arial"/>
          <w:spacing w:val="2"/>
          <w:sz w:val="22"/>
        </w:rPr>
        <w:t xml:space="preserve">con </w:t>
      </w:r>
      <w:r w:rsidRPr="009975B7">
        <w:rPr>
          <w:rFonts w:ascii="Arial" w:hAnsi="Arial" w:cs="Arial"/>
          <w:sz w:val="22"/>
        </w:rPr>
        <w:t>la necesidad a</w:t>
      </w:r>
      <w:r w:rsidRPr="009975B7">
        <w:rPr>
          <w:rFonts w:ascii="Arial" w:hAnsi="Arial" w:cs="Arial"/>
          <w:spacing w:val="-4"/>
          <w:sz w:val="22"/>
        </w:rPr>
        <w:t xml:space="preserve"> </w:t>
      </w:r>
      <w:r w:rsidRPr="009975B7">
        <w:rPr>
          <w:rFonts w:ascii="Arial" w:hAnsi="Arial" w:cs="Arial"/>
          <w:sz w:val="22"/>
        </w:rPr>
        <w:t>satisfacer.</w:t>
      </w:r>
    </w:p>
    <w:p w14:paraId="54061327" w14:textId="636F3F0A" w:rsidR="001A74C1" w:rsidRPr="009975B7" w:rsidRDefault="001A74C1" w:rsidP="001A74C1">
      <w:pPr>
        <w:spacing w:line="276" w:lineRule="auto"/>
        <w:ind w:firstLine="708"/>
        <w:jc w:val="both"/>
        <w:rPr>
          <w:rFonts w:ascii="Arial" w:eastAsia="Calibri" w:hAnsi="Arial" w:cs="Arial"/>
          <w:bCs/>
          <w:sz w:val="22"/>
          <w:lang w:val="es-ES_tradnl"/>
        </w:rPr>
      </w:pPr>
      <w:r w:rsidRPr="009975B7">
        <w:rPr>
          <w:rFonts w:ascii="Arial" w:hAnsi="Arial" w:cs="Arial"/>
          <w:sz w:val="22"/>
        </w:rPr>
        <w:t>Por otra parte, los numerales 2 y 4 del artículo 2.2.1.1.2.1.1 del Decreto 1082 de 2015 exige</w:t>
      </w:r>
      <w:r w:rsidR="004D7329" w:rsidRPr="009975B7">
        <w:rPr>
          <w:rFonts w:ascii="Arial" w:hAnsi="Arial" w:cs="Arial"/>
          <w:sz w:val="22"/>
        </w:rPr>
        <w:t>n</w:t>
      </w:r>
      <w:r w:rsidRPr="009975B7">
        <w:rPr>
          <w:rFonts w:ascii="Arial" w:hAnsi="Arial" w:cs="Arial"/>
          <w:sz w:val="22"/>
        </w:rPr>
        <w:t xml:space="preserve"> que se determine el objeto a contratar con sus especificaciones y se estime el costo que implica la celebración del contrato. </w:t>
      </w:r>
      <w:r w:rsidRPr="009975B7">
        <w:rPr>
          <w:rFonts w:ascii="Arial" w:eastAsia="Calibri" w:hAnsi="Arial" w:cs="Arial"/>
          <w:bCs/>
          <w:sz w:val="22"/>
          <w:lang w:val="es-ES_tradnl"/>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w:t>
      </w:r>
      <w:r w:rsidR="002325AF" w:rsidRPr="009975B7">
        <w:rPr>
          <w:rFonts w:ascii="Arial" w:eastAsia="Calibri" w:hAnsi="Arial" w:cs="Arial"/>
          <w:bCs/>
          <w:sz w:val="22"/>
          <w:lang w:val="es-ES_tradnl"/>
        </w:rPr>
        <w:t xml:space="preserve"> mediante </w:t>
      </w:r>
      <w:r w:rsidRPr="009975B7">
        <w:rPr>
          <w:rFonts w:ascii="Arial" w:eastAsia="Calibri" w:hAnsi="Arial" w:cs="Arial"/>
          <w:bCs/>
          <w:sz w:val="22"/>
          <w:lang w:val="es-ES_tradnl"/>
        </w:rPr>
        <w:t xml:space="preserve">el proceso de contratación de bienes, obras o servicios. En este sentido, el artículo </w:t>
      </w:r>
      <w:bookmarkStart w:id="12" w:name="_Hlk36117416"/>
      <w:r w:rsidRPr="009975B7">
        <w:rPr>
          <w:rFonts w:ascii="Arial" w:eastAsia="Calibri" w:hAnsi="Arial" w:cs="Arial"/>
          <w:bCs/>
          <w:sz w:val="22"/>
          <w:lang w:val="es-ES_tradnl"/>
        </w:rPr>
        <w:t>2.2.1.1.1.6.1 del Decreto 1082 de 2015</w:t>
      </w:r>
      <w:bookmarkEnd w:id="12"/>
      <w:r w:rsidRPr="009975B7">
        <w:rPr>
          <w:rFonts w:ascii="Arial" w:eastAsia="Calibri"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819AFCA" w14:textId="77777777" w:rsidR="001A74C1" w:rsidRPr="009975B7" w:rsidRDefault="001A74C1" w:rsidP="001A74C1">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De acuerdo con la norma citada, </w:t>
      </w:r>
      <w:bookmarkStart w:id="13" w:name="_Hlk36140682"/>
      <w:r w:rsidRPr="009975B7">
        <w:rPr>
          <w:rFonts w:ascii="Arial" w:eastAsia="Calibri" w:hAnsi="Arial" w:cs="Arial"/>
          <w:bCs/>
          <w:sz w:val="22"/>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C798C15" w14:textId="77777777" w:rsidR="001A74C1" w:rsidRPr="009975B7" w:rsidRDefault="001A74C1" w:rsidP="001A74C1">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w:t>
      </w:r>
      <w:r w:rsidRPr="009975B7">
        <w:rPr>
          <w:rFonts w:ascii="Arial" w:eastAsia="Calibri" w:hAnsi="Arial" w:cs="Arial"/>
          <w:bCs/>
          <w:sz w:val="22"/>
          <w:lang w:val="es-ES_tradnl"/>
        </w:rPr>
        <w:lastRenderedPageBreak/>
        <w:t>Administración contratar el bien o servicio con el contratista. En este último punto, el análisis del sector permite sustentar la decisión de realizar un proceso de contratación desde el punto de vista de la eficiencia, eficacia y economía.</w:t>
      </w:r>
    </w:p>
    <w:p w14:paraId="3DFFE835" w14:textId="3DD2411E" w:rsidR="001A74C1" w:rsidRPr="009975B7" w:rsidRDefault="001A74C1" w:rsidP="001A74C1">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w:t>
      </w:r>
      <w:r w:rsidR="001647E7" w:rsidRPr="009975B7">
        <w:rPr>
          <w:rFonts w:ascii="Arial" w:eastAsia="Calibri" w:hAnsi="Arial" w:cs="Arial"/>
          <w:bCs/>
          <w:sz w:val="22"/>
          <w:lang w:val="es-ES_tradnl"/>
        </w:rPr>
        <w:t>Adicionalmente</w:t>
      </w:r>
      <w:r w:rsidRPr="009975B7">
        <w:rPr>
          <w:rFonts w:ascii="Arial" w:eastAsia="Calibri" w:hAnsi="Arial" w:cs="Arial"/>
          <w:bCs/>
          <w:sz w:val="22"/>
          <w:lang w:val="es-ES_tradnl"/>
        </w:rPr>
        <w:t>, podrá estudiar la demanda para determinar cómo las entidades estatales y los particulares adquieren esos bienes, obras o servicios para extraer las mejores prácticas e información para el proceso de contratación</w:t>
      </w:r>
      <w:r w:rsidR="009C0641" w:rsidRPr="009975B7">
        <w:rPr>
          <w:rFonts w:ascii="Arial" w:eastAsia="Calibri" w:hAnsi="Arial" w:cs="Arial"/>
          <w:bCs/>
          <w:sz w:val="22"/>
          <w:lang w:val="es-ES_tradnl"/>
        </w:rPr>
        <w:t xml:space="preserve"> y así estructurar de mejor manera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w:t>
      </w:r>
      <w:r w:rsidRPr="009975B7">
        <w:rPr>
          <w:rFonts w:ascii="Arial" w:eastAsia="Calibri" w:hAnsi="Arial" w:cs="Arial"/>
          <w:bCs/>
          <w:sz w:val="22"/>
          <w:lang w:val="es-ES_tradnl"/>
        </w:rPr>
        <w:t xml:space="preserve">. </w:t>
      </w:r>
    </w:p>
    <w:bookmarkEnd w:id="13"/>
    <w:p w14:paraId="1D7C0648" w14:textId="2D3C83ED" w:rsidR="001A74C1" w:rsidRPr="009975B7" w:rsidRDefault="00BD0226" w:rsidP="001A74C1">
      <w:pPr>
        <w:spacing w:before="120" w:after="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La Agencia Nacional de Contratación Pública - </w:t>
      </w:r>
      <w:r w:rsidR="001A74C1" w:rsidRPr="009975B7">
        <w:rPr>
          <w:rFonts w:ascii="Arial" w:eastAsia="Calibri" w:hAnsi="Arial" w:cs="Arial"/>
          <w:bCs/>
          <w:sz w:val="22"/>
          <w:lang w:val="es-ES_tradnl"/>
        </w:rPr>
        <w:t>Colombia Compra Eficiente dispone de una «Guía para la Elaboración de Estudios del Sector»</w:t>
      </w:r>
      <w:r w:rsidR="00C21FB4" w:rsidRPr="009975B7">
        <w:rPr>
          <w:rStyle w:val="Refdenotaalpie"/>
          <w:rFonts w:ascii="Arial" w:eastAsia="Calibri" w:hAnsi="Arial" w:cs="Arial"/>
          <w:bCs/>
          <w:sz w:val="22"/>
          <w:lang w:val="es-ES_tradnl"/>
        </w:rPr>
        <w:footnoteReference w:id="15"/>
      </w:r>
      <w:r w:rsidR="001A74C1" w:rsidRPr="009975B7">
        <w:rPr>
          <w:rFonts w:ascii="Arial" w:eastAsia="Calibri" w:hAnsi="Arial" w:cs="Arial"/>
          <w:bCs/>
          <w:sz w:val="22"/>
          <w:lang w:val="es-ES_tradn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3A09C782" w14:textId="0D079C4E" w:rsidR="001A74C1" w:rsidRPr="009975B7" w:rsidRDefault="001A74C1" w:rsidP="001A74C1">
      <w:pPr>
        <w:spacing w:line="276" w:lineRule="auto"/>
        <w:ind w:firstLine="708"/>
        <w:jc w:val="both"/>
        <w:rPr>
          <w:rFonts w:ascii="Arial" w:eastAsia="Calibri" w:hAnsi="Arial" w:cs="Arial"/>
          <w:b/>
          <w:bCs/>
          <w:sz w:val="22"/>
          <w:lang w:val="es-ES_tradnl"/>
        </w:rPr>
      </w:pPr>
      <w:r w:rsidRPr="009975B7">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w:t>
      </w:r>
      <w:r w:rsidR="00EB0B37" w:rsidRPr="009975B7">
        <w:rPr>
          <w:rFonts w:ascii="Arial" w:eastAsia="Calibri" w:hAnsi="Arial" w:cs="Arial"/>
          <w:bCs/>
          <w:sz w:val="22"/>
          <w:lang w:val="es-ES_tradnl"/>
        </w:rPr>
        <w:t xml:space="preserve">entidad estatal </w:t>
      </w:r>
      <w:r w:rsidRPr="009975B7">
        <w:rPr>
          <w:rFonts w:ascii="Arial" w:eastAsia="Calibri" w:hAnsi="Arial" w:cs="Arial"/>
          <w:bCs/>
          <w:sz w:val="22"/>
          <w:lang w:val="es-ES_tradnl"/>
        </w:rPr>
        <w:t xml:space="preserve">sustentar su decisión de hacer una contratación directa, la elección del proveedor y la forma en que se pacta el contrato desde el punto de vista de la eficiencia, eficacia y economía. La Entidad Estatal debe consignar en los </w:t>
      </w:r>
      <w:r w:rsidRPr="009975B7">
        <w:rPr>
          <w:rFonts w:ascii="Arial" w:eastAsia="Calibri" w:hAnsi="Arial" w:cs="Arial"/>
          <w:bCs/>
          <w:i/>
          <w:iCs/>
          <w:sz w:val="22"/>
          <w:lang w:val="es-ES_tradnl"/>
        </w:rPr>
        <w:t>Documentos del Proceso</w:t>
      </w:r>
      <w:r w:rsidRPr="009975B7">
        <w:rPr>
          <w:rFonts w:ascii="Arial" w:eastAsia="Calibri" w:hAnsi="Arial" w:cs="Arial"/>
          <w:bCs/>
          <w:sz w:val="22"/>
          <w:lang w:val="es-ES_tradnl"/>
        </w:rPr>
        <w:t xml:space="preserve">, bien sea en los estudios </w:t>
      </w:r>
      <w:r w:rsidRPr="009975B7">
        <w:rPr>
          <w:rFonts w:ascii="Arial" w:eastAsia="Calibri" w:hAnsi="Arial" w:cs="Arial"/>
          <w:bCs/>
          <w:sz w:val="22"/>
          <w:lang w:val="es-ES_tradnl"/>
        </w:rPr>
        <w:lastRenderedPageBreak/>
        <w:t xml:space="preserve">previos o en la información de soporte de </w:t>
      </w:r>
      <w:r w:rsidR="00083C2E" w:rsidRPr="009975B7">
        <w:rPr>
          <w:rFonts w:ascii="Arial" w:eastAsia="Calibri" w:hAnsi="Arial" w:cs="Arial"/>
          <w:bCs/>
          <w:sz w:val="22"/>
          <w:lang w:val="es-ES_tradnl"/>
        </w:rPr>
        <w:t>estos</w:t>
      </w:r>
      <w:r w:rsidRPr="009975B7">
        <w:rPr>
          <w:rFonts w:ascii="Arial" w:eastAsia="Calibri" w:hAnsi="Arial" w:cs="Arial"/>
          <w:bCs/>
          <w:sz w:val="22"/>
          <w:lang w:val="es-ES_tradnl"/>
        </w:rPr>
        <w:t xml:space="preserve">, los aspectos de que trata el artículo 2.2.1.1.1.6.1 del Decreto 1082 de 2015. </w:t>
      </w:r>
    </w:p>
    <w:p w14:paraId="00444BED" w14:textId="77777777" w:rsidR="008A062E" w:rsidRPr="009975B7" w:rsidRDefault="008A062E" w:rsidP="008A062E">
      <w:pPr>
        <w:spacing w:before="120" w:line="276" w:lineRule="auto"/>
        <w:ind w:right="113" w:firstLine="709"/>
        <w:jc w:val="both"/>
        <w:rPr>
          <w:rFonts w:ascii="Arial" w:hAnsi="Arial" w:cs="Arial"/>
          <w:sz w:val="22"/>
          <w:szCs w:val="22"/>
          <w:lang w:eastAsia="es-CO"/>
        </w:rPr>
      </w:pPr>
      <w:r w:rsidRPr="009975B7">
        <w:rPr>
          <w:rFonts w:ascii="Arial" w:hAnsi="Arial" w:cs="Arial"/>
          <w:sz w:val="22"/>
          <w:szCs w:val="22"/>
          <w:lang w:eastAsia="es-CO"/>
        </w:rPr>
        <w:t xml:space="preserve">Sin perjuicio de lo anterior, las entidades estatales son autónomas para estructurar los estudios previos, siempre y cuando se observen los aspectos que deben contener esos estudios, de conformidad con los artículos 2.2.1.1.1.6.1, 2.2.1.1.2.1.1 y 2.2.1.2.1.4.9 del Decreto 1082 de 2015. </w:t>
      </w:r>
    </w:p>
    <w:p w14:paraId="318C88B3" w14:textId="77777777" w:rsidR="008A062E" w:rsidRPr="009975B7" w:rsidRDefault="008A062E" w:rsidP="001A74C1">
      <w:pPr>
        <w:spacing w:line="276" w:lineRule="auto"/>
        <w:jc w:val="both"/>
        <w:rPr>
          <w:rFonts w:ascii="Arial" w:eastAsia="Calibri" w:hAnsi="Arial" w:cs="Arial"/>
          <w:b/>
          <w:bCs/>
          <w:sz w:val="22"/>
          <w:lang w:val="es-ES_tradnl"/>
        </w:rPr>
      </w:pPr>
    </w:p>
    <w:p w14:paraId="28D6EA1E" w14:textId="77777777" w:rsidR="007D29DA" w:rsidRPr="009975B7" w:rsidRDefault="007D29DA" w:rsidP="007D29DA">
      <w:pPr>
        <w:spacing w:line="276" w:lineRule="auto"/>
        <w:jc w:val="both"/>
        <w:rPr>
          <w:rFonts w:ascii="Arial" w:eastAsia="Calibri" w:hAnsi="Arial" w:cs="Arial"/>
          <w:b/>
          <w:bCs/>
          <w:sz w:val="22"/>
          <w:lang w:val="es-ES_tradnl"/>
        </w:rPr>
      </w:pPr>
      <w:bookmarkStart w:id="14" w:name="_Hlk36022667"/>
      <w:r w:rsidRPr="009975B7">
        <w:rPr>
          <w:rFonts w:ascii="Arial" w:eastAsia="Calibri" w:hAnsi="Arial" w:cs="Arial"/>
          <w:b/>
          <w:bCs/>
          <w:sz w:val="22"/>
          <w:lang w:val="es-ES_tradnl"/>
        </w:rPr>
        <w:t xml:space="preserve">2.3. El principio de planeación y los estudios previos en el Estatuto General de Contratación de la Administración Pública. Aplicación a la contratación directa  </w:t>
      </w:r>
      <w:bookmarkEnd w:id="14"/>
    </w:p>
    <w:p w14:paraId="57E04EBF" w14:textId="77777777" w:rsidR="007D29DA" w:rsidRPr="009975B7" w:rsidRDefault="007D29DA" w:rsidP="007D29DA">
      <w:pPr>
        <w:spacing w:line="276" w:lineRule="auto"/>
        <w:jc w:val="both"/>
        <w:rPr>
          <w:rFonts w:ascii="Arial" w:eastAsia="Calibri" w:hAnsi="Arial" w:cs="Arial"/>
          <w:b/>
          <w:bCs/>
          <w:sz w:val="22"/>
          <w:lang w:val="es-ES_tradnl"/>
        </w:rPr>
      </w:pPr>
    </w:p>
    <w:p w14:paraId="5339EB06" w14:textId="77777777" w:rsidR="007D29DA" w:rsidRPr="009975B7" w:rsidRDefault="007D29DA" w:rsidP="007D29DA">
      <w:pPr>
        <w:spacing w:after="120" w:line="276" w:lineRule="auto"/>
        <w:jc w:val="both"/>
        <w:rPr>
          <w:rFonts w:ascii="Arial" w:eastAsia="Calibri" w:hAnsi="Arial" w:cs="Arial"/>
          <w:bCs/>
          <w:sz w:val="22"/>
          <w:lang w:val="es-ES_tradnl"/>
        </w:rPr>
      </w:pPr>
      <w:r w:rsidRPr="009975B7">
        <w:rPr>
          <w:rFonts w:ascii="Arial" w:eastAsia="Calibri" w:hAnsi="Arial" w:cs="Arial"/>
          <w:bCs/>
          <w:sz w:val="22"/>
          <w:lang w:val="es-ES_tradnl"/>
        </w:rPr>
        <w:t xml:space="preserve">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6FFA25C2" w14:textId="77777777" w:rsidR="007D29DA" w:rsidRPr="009975B7" w:rsidRDefault="007D29DA" w:rsidP="007D29DA">
      <w:pPr>
        <w:spacing w:after="120" w:line="276" w:lineRule="auto"/>
        <w:ind w:firstLine="708"/>
        <w:jc w:val="both"/>
        <w:rPr>
          <w:rFonts w:ascii="Arial" w:eastAsia="Calibri" w:hAnsi="Arial" w:cs="Arial"/>
          <w:lang w:eastAsia="es-CO"/>
        </w:rPr>
      </w:pPr>
      <w:r w:rsidRPr="009975B7">
        <w:rPr>
          <w:rFonts w:ascii="Arial" w:eastAsia="Calibri" w:hAnsi="Arial" w:cs="Arial"/>
          <w:bCs/>
          <w:sz w:val="22"/>
          <w:lang w:val="es-ES_tradnl"/>
        </w:rPr>
        <w:t>Así, una debida planeación debe conducir a una escogencia diligente de la mejor oferta, para beneficiar los intereses y fines públicos inmersos en la contratación de las entidades estatales, buscando siempre la correcta ejecución del contrato</w:t>
      </w:r>
      <w:r w:rsidRPr="009975B7">
        <w:rPr>
          <w:rFonts w:ascii="Arial" w:eastAsia="Calibri" w:hAnsi="Arial" w:cs="Arial"/>
          <w:vertAlign w:val="superscript"/>
        </w:rPr>
        <w:footnoteReference w:id="16"/>
      </w:r>
      <w:r w:rsidRPr="009975B7">
        <w:rPr>
          <w:rFonts w:ascii="Arial" w:eastAsia="Calibri" w:hAnsi="Arial" w:cs="Arial"/>
          <w:bCs/>
          <w:sz w:val="22"/>
          <w:lang w:val="es-ES_tradnl"/>
        </w:rPr>
        <w:t>.</w:t>
      </w:r>
      <w:r w:rsidRPr="009975B7">
        <w:rPr>
          <w:rFonts w:ascii="Arial" w:eastAsia="Calibri" w:hAnsi="Arial" w:cs="Arial"/>
          <w:lang w:eastAsia="es-CO"/>
        </w:rPr>
        <w:t xml:space="preserve"> </w:t>
      </w:r>
    </w:p>
    <w:p w14:paraId="0FE5816B" w14:textId="77777777" w:rsidR="007D29DA" w:rsidRPr="009975B7" w:rsidRDefault="007D29DA" w:rsidP="0044297A">
      <w:pPr>
        <w:ind w:right="709"/>
        <w:contextualSpacing/>
        <w:jc w:val="both"/>
        <w:rPr>
          <w:rFonts w:ascii="Arial" w:eastAsia="Calibri" w:hAnsi="Arial" w:cs="Arial"/>
          <w:sz w:val="21"/>
          <w:szCs w:val="21"/>
        </w:rPr>
      </w:pPr>
    </w:p>
    <w:p w14:paraId="72A2AF4C" w14:textId="3C0FE4D3" w:rsidR="007D29DA" w:rsidRPr="009975B7" w:rsidRDefault="007D29DA" w:rsidP="007D29DA">
      <w:pPr>
        <w:spacing w:after="120" w:line="276" w:lineRule="auto"/>
        <w:ind w:firstLine="709"/>
        <w:jc w:val="both"/>
        <w:rPr>
          <w:rFonts w:ascii="Arial" w:eastAsia="Calibri" w:hAnsi="Arial" w:cs="Arial"/>
          <w:sz w:val="22"/>
        </w:rPr>
      </w:pPr>
      <w:r w:rsidRPr="009975B7">
        <w:rPr>
          <w:rFonts w:ascii="Arial" w:eastAsia="Calibri" w:hAnsi="Arial" w:cs="Arial"/>
          <w:sz w:val="22"/>
        </w:rPr>
        <w:t xml:space="preserve">De las normas citadas </w:t>
      </w:r>
      <w:r w:rsidR="009645AB" w:rsidRPr="009975B7">
        <w:rPr>
          <w:rFonts w:ascii="Arial" w:eastAsia="Calibri" w:hAnsi="Arial" w:cs="Arial"/>
          <w:sz w:val="22"/>
        </w:rPr>
        <w:t xml:space="preserve">en el numeral anterior, </w:t>
      </w:r>
      <w:r w:rsidRPr="009975B7">
        <w:rPr>
          <w:rFonts w:ascii="Arial" w:eastAsia="Calibri" w:hAnsi="Arial" w:cs="Arial"/>
          <w:sz w:val="22"/>
        </w:rPr>
        <w:t xml:space="preserve">se resalta que, en virtud del principio de economía, para iniciar un proceso de contratación, </w:t>
      </w:r>
      <w:r w:rsidRPr="009975B7">
        <w:rPr>
          <w:rFonts w:ascii="Arial" w:eastAsia="Calibri" w:hAnsi="Arial" w:cs="Arial"/>
          <w:i/>
          <w:iCs/>
          <w:sz w:val="22"/>
        </w:rPr>
        <w:t>inclusive de contratación directa</w:t>
      </w:r>
      <w:r w:rsidRPr="009975B7">
        <w:rPr>
          <w:rFonts w:ascii="Arial" w:eastAsia="Calibri" w:hAnsi="Arial" w:cs="Arial"/>
          <w:sz w:val="22"/>
        </w:rPr>
        <w:t>, se requieren unos estudios previos.</w:t>
      </w:r>
      <w:r w:rsidR="00CD655B" w:rsidRPr="009975B7">
        <w:rPr>
          <w:rFonts w:ascii="Arial" w:eastAsia="Calibri" w:hAnsi="Arial" w:cs="Arial"/>
          <w:sz w:val="22"/>
        </w:rPr>
        <w:t xml:space="preserve"> </w:t>
      </w:r>
      <w:r w:rsidRPr="009975B7">
        <w:rPr>
          <w:rFonts w:ascii="Arial" w:eastAsia="Calibri" w:hAnsi="Arial" w:cs="Arial"/>
          <w:sz w:val="22"/>
        </w:rPr>
        <w:t xml:space="preserve">Con ellos, se estructuran, concretan y viabilizan los aspectos esenciales del futuro contrato, dentro de los cuales se encuentran su objeto y valor estimado, entre otros elementos. </w:t>
      </w:r>
    </w:p>
    <w:p w14:paraId="118CFC9C" w14:textId="46FBB573" w:rsidR="007D29DA" w:rsidRPr="009975B7" w:rsidRDefault="007D29DA" w:rsidP="0044297A">
      <w:pPr>
        <w:spacing w:after="120" w:line="276" w:lineRule="auto"/>
        <w:ind w:firstLine="709"/>
        <w:jc w:val="both"/>
        <w:rPr>
          <w:rFonts w:ascii="Arial" w:eastAsia="Calibri" w:hAnsi="Arial" w:cs="Arial"/>
          <w:sz w:val="21"/>
          <w:szCs w:val="21"/>
        </w:rPr>
      </w:pPr>
      <w:r w:rsidRPr="009975B7">
        <w:rPr>
          <w:rFonts w:ascii="Arial" w:eastAsia="Calibri" w:hAnsi="Arial" w:cs="Arial"/>
          <w:sz w:val="22"/>
        </w:rPr>
        <w:t xml:space="preserve">Los componentes de los estudios previos que sirven de soporte para elaborar el proyecto de pliego, los pliegos de condiciones y el contrato, están previstos en el artículo 2.2.1.1.2.1.1 del Decreto 1082 de 2015. </w:t>
      </w:r>
    </w:p>
    <w:p w14:paraId="340621ED" w14:textId="4A7ECFBD" w:rsidR="007D29DA" w:rsidRPr="009975B7" w:rsidRDefault="007D29DA" w:rsidP="007D29DA">
      <w:pPr>
        <w:spacing w:after="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Para cumplir este objetivo es necesario el estudio del mercado y el análisis del sector económico y de los oferentes, actividad</w:t>
      </w:r>
      <w:r w:rsidR="00887E9D" w:rsidRPr="009975B7">
        <w:rPr>
          <w:rFonts w:ascii="Arial" w:eastAsia="Calibri" w:hAnsi="Arial" w:cs="Arial"/>
          <w:bCs/>
          <w:sz w:val="22"/>
          <w:lang w:val="es-ES_tradnl"/>
        </w:rPr>
        <w:t>es</w:t>
      </w:r>
      <w:r w:rsidRPr="009975B7">
        <w:rPr>
          <w:rFonts w:ascii="Arial" w:eastAsia="Calibri" w:hAnsi="Arial" w:cs="Arial"/>
          <w:bCs/>
          <w:sz w:val="22"/>
          <w:lang w:val="es-ES_tradnl"/>
        </w:rPr>
        <w:t xml:space="preserve"> de planeación previa</w:t>
      </w:r>
      <w:r w:rsidR="00887E9D" w:rsidRPr="009975B7">
        <w:rPr>
          <w:rFonts w:ascii="Arial" w:eastAsia="Calibri" w:hAnsi="Arial" w:cs="Arial"/>
          <w:bCs/>
          <w:sz w:val="22"/>
          <w:lang w:val="es-ES_tradnl"/>
        </w:rPr>
        <w:t>s</w:t>
      </w:r>
      <w:r w:rsidRPr="009975B7">
        <w:rPr>
          <w:rFonts w:ascii="Arial" w:eastAsia="Calibri" w:hAnsi="Arial" w:cs="Arial"/>
          <w:bCs/>
          <w:sz w:val="22"/>
          <w:lang w:val="es-ES_tradnl"/>
        </w:rPr>
        <w:t xml:space="preserve"> que sirve</w:t>
      </w:r>
      <w:r w:rsidR="00887E9D" w:rsidRPr="009975B7">
        <w:rPr>
          <w:rFonts w:ascii="Arial" w:eastAsia="Calibri" w:hAnsi="Arial" w:cs="Arial"/>
          <w:bCs/>
          <w:sz w:val="22"/>
          <w:lang w:val="es-ES_tradnl"/>
        </w:rPr>
        <w:t>n</w:t>
      </w:r>
      <w:r w:rsidRPr="009975B7">
        <w:rPr>
          <w:rFonts w:ascii="Arial" w:eastAsia="Calibri" w:hAnsi="Arial" w:cs="Arial"/>
          <w:bCs/>
          <w:sz w:val="22"/>
          <w:lang w:val="es-ES_tradnl"/>
        </w:rPr>
        <w:t xml:space="preserve"> para identificar aspectos concretos del mercado. Lo que se identifique puede afectar el proceso de selección o las condiciones del negocio a realizar a través del proceso de contratación de bienes, obras o servicios. </w:t>
      </w:r>
    </w:p>
    <w:p w14:paraId="6A504F65" w14:textId="77777777" w:rsidR="007D29DA" w:rsidRPr="009975B7" w:rsidRDefault="007D29DA" w:rsidP="007D29DA">
      <w:pPr>
        <w:spacing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En este sentido, 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w:t>
      </w:r>
    </w:p>
    <w:p w14:paraId="2602CEC7" w14:textId="77777777" w:rsidR="007D29DA" w:rsidRPr="009975B7" w:rsidRDefault="007D29DA" w:rsidP="007D29DA">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se refiere a analizar quiénes pueden ofrecer el bien o servicio que se quiere contratar, cuáles son sus condiciones, y si tienen condiciones especiales que sean relevantes para determinar los requisitos habilitantes, entre otros. </w:t>
      </w:r>
    </w:p>
    <w:p w14:paraId="54C37026" w14:textId="77777777" w:rsidR="007D29DA" w:rsidRPr="009975B7" w:rsidRDefault="007D29DA" w:rsidP="007D29DA">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 xml:space="preserve">Desde una perspectiva financiera, el análisis conlleva revisar las características financieras que se presentan dentro del mercado del bien o servicio. Por ejemplo, el índice de endeudamiento que tienen las empresas o personas naturales que ofrecen dicho bien o servicio. Con la perspectiva organizacional se pretende que la entidad estatal entienda </w:t>
      </w:r>
      <w:r w:rsidRPr="009975B7">
        <w:rPr>
          <w:rFonts w:ascii="Arial" w:eastAsia="Calibri" w:hAnsi="Arial" w:cs="Arial"/>
          <w:bCs/>
          <w:sz w:val="22"/>
          <w:lang w:val="es-ES_tradnl"/>
        </w:rPr>
        <w:lastRenderedPageBreak/>
        <w:t>cómo están organizados internamente los posibles oferentes y de qué manera realizan sus negocios y operaciones.</w:t>
      </w:r>
    </w:p>
    <w:p w14:paraId="68B2430F" w14:textId="77777777" w:rsidR="007D29DA" w:rsidRPr="009975B7" w:rsidRDefault="007D29DA" w:rsidP="007D29DA">
      <w:pPr>
        <w:spacing w:before="120" w:line="276" w:lineRule="auto"/>
        <w:ind w:firstLine="709"/>
        <w:jc w:val="both"/>
        <w:rPr>
          <w:rFonts w:ascii="Arial" w:eastAsia="Calibri" w:hAnsi="Arial" w:cs="Arial"/>
          <w:bCs/>
          <w:sz w:val="22"/>
          <w:lang w:val="es-ES_tradnl"/>
        </w:rPr>
      </w:pPr>
      <w:r w:rsidRPr="009975B7">
        <w:rPr>
          <w:rFonts w:ascii="Arial" w:eastAsia="Calibri" w:hAnsi="Arial" w:cs="Arial"/>
          <w:bCs/>
          <w:sz w:val="22"/>
          <w:lang w:val="es-ES_tradnl"/>
        </w:rPr>
        <w:t>Para negociar y adelantar un proceso de selección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Por ello, el análisis del sector permite sustentar la decisión de realizar un proceso de contratación desde el punto de vista de la eficiencia, eficacia y economía.</w:t>
      </w:r>
    </w:p>
    <w:p w14:paraId="1F29AD03" w14:textId="0EFCE9D1" w:rsidR="007D29DA" w:rsidRPr="009975B7" w:rsidRDefault="007D29DA" w:rsidP="007D29DA">
      <w:pPr>
        <w:spacing w:after="120" w:line="276" w:lineRule="auto"/>
        <w:ind w:firstLine="709"/>
        <w:jc w:val="both"/>
        <w:rPr>
          <w:rFonts w:ascii="Arial" w:eastAsia="Calibri" w:hAnsi="Arial" w:cs="Arial"/>
          <w:bCs/>
          <w:sz w:val="22"/>
          <w:lang w:val="es-ES_tradnl"/>
        </w:rPr>
      </w:pPr>
    </w:p>
    <w:p w14:paraId="1CDF185F" w14:textId="40928BDD" w:rsidR="007D29DA" w:rsidRPr="009975B7" w:rsidRDefault="007D29DA" w:rsidP="007D29DA">
      <w:pPr>
        <w:spacing w:after="120" w:line="276" w:lineRule="auto"/>
        <w:ind w:firstLine="709"/>
        <w:jc w:val="both"/>
        <w:rPr>
          <w:rFonts w:ascii="Arial" w:eastAsia="Calibri" w:hAnsi="Arial" w:cs="Arial"/>
          <w:sz w:val="22"/>
          <w:lang w:val="es-ES_tradnl"/>
        </w:rPr>
      </w:pPr>
      <w:r w:rsidRPr="009975B7">
        <w:rPr>
          <w:rFonts w:ascii="Arial" w:eastAsia="Calibri" w:hAnsi="Arial" w:cs="Arial"/>
          <w:bCs/>
          <w:sz w:val="22"/>
          <w:lang w:val="es-ES_tradnl"/>
        </w:rPr>
        <w:t xml:space="preserve">De esta manera, la </w:t>
      </w:r>
      <w:r w:rsidR="00586556" w:rsidRPr="009975B7">
        <w:rPr>
          <w:rFonts w:ascii="Arial" w:eastAsia="Calibri" w:hAnsi="Arial" w:cs="Arial"/>
          <w:bCs/>
          <w:sz w:val="22"/>
          <w:lang w:val="es-ES_tradnl"/>
        </w:rPr>
        <w:t xml:space="preserve">entidad estatal </w:t>
      </w:r>
      <w:r w:rsidRPr="009975B7">
        <w:rPr>
          <w:rFonts w:ascii="Arial" w:eastAsia="Calibri" w:hAnsi="Arial" w:cs="Arial"/>
          <w:bCs/>
          <w:sz w:val="22"/>
          <w:lang w:val="es-ES_tradnl"/>
        </w:rPr>
        <w:t xml:space="preserve">debe consignar en los </w:t>
      </w:r>
      <w:r w:rsidRPr="009975B7">
        <w:rPr>
          <w:rFonts w:ascii="Arial" w:eastAsia="Calibri" w:hAnsi="Arial" w:cs="Arial"/>
          <w:bCs/>
          <w:i/>
          <w:iCs/>
          <w:sz w:val="22"/>
          <w:lang w:val="es-ES_tradnl"/>
        </w:rPr>
        <w:t>Documentos del Proceso</w:t>
      </w:r>
      <w:r w:rsidRPr="009975B7">
        <w:rPr>
          <w:rFonts w:ascii="Arial" w:eastAsia="Calibri" w:hAnsi="Arial" w:cs="Arial"/>
          <w:bCs/>
          <w:sz w:val="22"/>
          <w:lang w:val="es-ES_tradnl"/>
        </w:rPr>
        <w:t xml:space="preserve">, bien sea en los estudios previos o en la información de soporte de </w:t>
      </w:r>
      <w:proofErr w:type="gramStart"/>
      <w:r w:rsidRPr="009975B7">
        <w:rPr>
          <w:rFonts w:ascii="Arial" w:eastAsia="Calibri" w:hAnsi="Arial" w:cs="Arial"/>
          <w:bCs/>
          <w:sz w:val="22"/>
          <w:lang w:val="es-ES_tradnl"/>
        </w:rPr>
        <w:t>los mismos</w:t>
      </w:r>
      <w:proofErr w:type="gramEnd"/>
      <w:r w:rsidRPr="009975B7">
        <w:rPr>
          <w:rFonts w:ascii="Arial" w:eastAsia="Calibri" w:hAnsi="Arial" w:cs="Arial"/>
          <w:bCs/>
          <w:sz w:val="22"/>
          <w:lang w:val="es-ES_tradnl"/>
        </w:rPr>
        <w:t xml:space="preserve">, los aspectos de que trata el artículo 2.2.1.1.1.6.1 del Decreto 1082 de 2015. </w:t>
      </w:r>
      <w:r w:rsidRPr="009975B7">
        <w:rPr>
          <w:rFonts w:ascii="Arial" w:eastAsia="Calibri" w:hAnsi="Arial" w:cs="Arial"/>
          <w:sz w:val="22"/>
          <w:lang w:val="es-ES_tradnl"/>
        </w:rPr>
        <w:t xml:space="preserve">De esta manera, en la contratación directa también deben existir unos estudios previos para fijar los criterios que justifican la escogencia del contratista. Dichos criterios tienen fundamento en el análisis del mercado, en el cual nada obsta para que la entidad identifique a varios proveedores en condiciones de cumplir el objeto del contrato. </w:t>
      </w:r>
    </w:p>
    <w:p w14:paraId="35B6A48B" w14:textId="77777777" w:rsidR="007D29DA" w:rsidRPr="009975B7" w:rsidRDefault="007D29DA" w:rsidP="007D29DA">
      <w:pPr>
        <w:spacing w:after="120" w:line="276" w:lineRule="auto"/>
        <w:ind w:firstLine="709"/>
        <w:jc w:val="both"/>
        <w:rPr>
          <w:rFonts w:ascii="Arial" w:eastAsia="Calibri" w:hAnsi="Arial" w:cs="Arial"/>
          <w:sz w:val="21"/>
          <w:szCs w:val="21"/>
          <w:lang w:val="es-ES_tradnl"/>
        </w:rPr>
      </w:pPr>
      <w:r w:rsidRPr="009975B7">
        <w:rPr>
          <w:rFonts w:ascii="Arial" w:eastAsia="Calibri" w:hAnsi="Arial" w:cs="Arial"/>
          <w:sz w:val="22"/>
          <w:lang w:val="es-ES_tradnl"/>
        </w:rPr>
        <w:t>El Consejo de Estado se pronunció sobre la relación existente entre el estudio del sector y la estimación del valor del contrato, indicando que se deben tener en cuenta las diferentes variables del mercado como los costos de la cadena de producción. Pero, independientemente de esto, la entidad debe obtener el menor precio o uno razonable. En todo caso el valor debe estar justificado para que no corresponda a sobrecostos ni a precios artificialmente bajos, y que con ello la entidad pague un valor adecuado, que no sea mayor ni menor. Esto se logra con el estudio del mercado y sus costos, el cual debe estar a disposición de los participantes del procedimiento contractual</w:t>
      </w:r>
      <w:r w:rsidRPr="009975B7">
        <w:rPr>
          <w:rFonts w:ascii="Arial" w:eastAsia="Calibri" w:hAnsi="Arial" w:cs="Arial"/>
          <w:sz w:val="22"/>
          <w:vertAlign w:val="superscript"/>
          <w:lang w:val="es-ES_tradnl"/>
        </w:rPr>
        <w:footnoteReference w:id="17"/>
      </w:r>
      <w:r w:rsidRPr="009975B7">
        <w:rPr>
          <w:rFonts w:ascii="Arial" w:eastAsia="Calibri" w:hAnsi="Arial" w:cs="Arial"/>
          <w:sz w:val="22"/>
          <w:lang w:val="es-ES_tradnl"/>
        </w:rPr>
        <w:t>.</w:t>
      </w:r>
    </w:p>
    <w:p w14:paraId="3AD32C88" w14:textId="77777777" w:rsidR="007D29DA" w:rsidRPr="009975B7" w:rsidRDefault="007D29DA" w:rsidP="007D29DA">
      <w:pPr>
        <w:spacing w:after="120" w:line="276" w:lineRule="auto"/>
        <w:ind w:firstLine="709"/>
        <w:jc w:val="both"/>
        <w:rPr>
          <w:rFonts w:ascii="Arial" w:eastAsia="Calibri" w:hAnsi="Arial" w:cs="Arial"/>
          <w:noProof/>
          <w:sz w:val="22"/>
          <w:lang w:val="es-ES_tradnl"/>
        </w:rPr>
      </w:pPr>
      <w:r w:rsidRPr="009975B7">
        <w:rPr>
          <w:rFonts w:ascii="Arial" w:eastAsia="Calibri" w:hAnsi="Arial" w:cs="Arial"/>
          <w:sz w:val="22"/>
          <w:lang w:val="es-ES_tradnl"/>
        </w:rPr>
        <w:t>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con recursos disponibles para cubrir esa diferencia, sino porque fue el valor que arrojó el estudio del mercado.</w:t>
      </w:r>
    </w:p>
    <w:p w14:paraId="5260348C" w14:textId="77777777" w:rsidR="007D29DA" w:rsidRPr="009975B7" w:rsidRDefault="007D29DA" w:rsidP="0044297A">
      <w:pPr>
        <w:spacing w:line="276" w:lineRule="auto"/>
        <w:contextualSpacing/>
        <w:jc w:val="both"/>
        <w:rPr>
          <w:rFonts w:ascii="Arial" w:eastAsia="Calibri" w:hAnsi="Arial" w:cs="Arial"/>
          <w:sz w:val="22"/>
          <w:shd w:val="clear" w:color="auto" w:fill="FFFFFF"/>
        </w:rPr>
      </w:pPr>
      <w:r w:rsidRPr="009975B7">
        <w:rPr>
          <w:rFonts w:ascii="Arial" w:eastAsia="Calibri" w:hAnsi="Arial" w:cs="Arial"/>
          <w:sz w:val="22"/>
          <w:shd w:val="clear" w:color="auto" w:fill="FFFFFF"/>
        </w:rPr>
        <w:tab/>
        <w:t xml:space="preserve">Finalmente, como se mencionó, los estudios previos deben contener las condiciones mínimas y necesarias que debe acreditar el contratista para demostrar su capacidad de cumplir el contrato. Respecto de la contratación directa, los estudios previos sustentan o exponen los argumentos relacionados con la idoneidad de la persona a contratar, y </w:t>
      </w:r>
      <w:r w:rsidRPr="009975B7">
        <w:rPr>
          <w:rFonts w:ascii="Arial" w:eastAsia="Calibri" w:hAnsi="Arial" w:cs="Arial"/>
          <w:sz w:val="22"/>
          <w:shd w:val="clear" w:color="auto" w:fill="FFFFFF"/>
        </w:rPr>
        <w:lastRenderedPageBreak/>
        <w:t xml:space="preserve">contienen las razones de que esta sea la adecuada para ejecutar el objeto contractual. El artículo 2.2.1.1.2.1.1. del Decreto 1082 de 2015, modificado por el Decreto 399 de 2021, que señala el contenido de los estudios y documentos previos, y el principio de selección objetiva que se estudió a profundidad en el numeral 2.2 de este concepto, determinan lo relacionado con el estudio del sector y el análisis del mercado para conocer las condiciones en que se debe adquirir el bien o servicio que satisface su necesidad. </w:t>
      </w:r>
    </w:p>
    <w:p w14:paraId="7D438C45" w14:textId="77777777" w:rsidR="007D29DA" w:rsidRPr="009975B7" w:rsidRDefault="007D29DA" w:rsidP="007D29DA">
      <w:pPr>
        <w:spacing w:line="276" w:lineRule="auto"/>
        <w:contextualSpacing/>
        <w:jc w:val="both"/>
        <w:rPr>
          <w:rFonts w:ascii="Arial" w:eastAsia="Calibri" w:hAnsi="Arial" w:cs="Arial"/>
          <w:b/>
          <w:bCs/>
          <w:sz w:val="22"/>
          <w:lang w:val="es-ES_tradnl"/>
        </w:rPr>
      </w:pPr>
    </w:p>
    <w:p w14:paraId="32E7AB64" w14:textId="30DFC6DF" w:rsidR="00352BE8" w:rsidRPr="009975B7" w:rsidRDefault="00352BE8" w:rsidP="00352BE8">
      <w:pPr>
        <w:contextualSpacing/>
        <w:jc w:val="both"/>
        <w:rPr>
          <w:rFonts w:ascii="Arial" w:hAnsi="Arial" w:cs="Arial"/>
          <w:b/>
          <w:bCs/>
          <w:lang w:val="es-MX"/>
        </w:rPr>
      </w:pPr>
      <w:r w:rsidRPr="009975B7">
        <w:rPr>
          <w:rFonts w:ascii="Arial" w:hAnsi="Arial" w:cs="Arial"/>
          <w:b/>
          <w:bCs/>
          <w:lang w:val="es-MX"/>
        </w:rPr>
        <w:t xml:space="preserve">Respuesta </w:t>
      </w:r>
    </w:p>
    <w:p w14:paraId="13DD1508" w14:textId="08A1E7D3" w:rsidR="002B332B" w:rsidRPr="009975B7" w:rsidRDefault="002B332B" w:rsidP="00352BE8">
      <w:pPr>
        <w:contextualSpacing/>
        <w:jc w:val="both"/>
        <w:rPr>
          <w:rFonts w:ascii="Arial" w:hAnsi="Arial" w:cs="Arial"/>
          <w:b/>
          <w:bCs/>
          <w:lang w:val="es-MX"/>
        </w:rPr>
      </w:pPr>
    </w:p>
    <w:p w14:paraId="6A6E57F5" w14:textId="77777777" w:rsidR="003222D8" w:rsidRPr="009975B7" w:rsidRDefault="003222D8" w:rsidP="003222D8">
      <w:pPr>
        <w:ind w:left="709" w:right="709"/>
        <w:contextualSpacing/>
        <w:jc w:val="both"/>
        <w:rPr>
          <w:rFonts w:ascii="Arial" w:hAnsi="Arial" w:cs="Arial"/>
          <w:sz w:val="21"/>
          <w:szCs w:val="21"/>
        </w:rPr>
      </w:pPr>
      <w:r w:rsidRPr="009975B7">
        <w:rPr>
          <w:rFonts w:ascii="Arial" w:eastAsia="Arial" w:hAnsi="Arial" w:cs="Arial"/>
          <w:sz w:val="21"/>
          <w:szCs w:val="21"/>
          <w:lang w:val="es-MX"/>
        </w:rPr>
        <w:t>«</w:t>
      </w:r>
      <w:r w:rsidRPr="009975B7">
        <w:rPr>
          <w:rFonts w:ascii="Arial" w:hAnsi="Arial" w:cs="Arial"/>
          <w:sz w:val="21"/>
          <w:szCs w:val="21"/>
        </w:rPr>
        <w:t>[…] El análisis del sector de una contratación directa (prestación de servicios de apoyo a la gestión, profesionales o artísticos) puede ir incluida en el documento de los estudios previos, o la misma debe ser en un documento aparte, en caso de ser incluida dentro de los estudios previos la misma que requisitos debe llevar</w:t>
      </w:r>
      <w:r w:rsidRPr="009975B7">
        <w:rPr>
          <w:rFonts w:ascii="Arial" w:eastAsia="Arial" w:hAnsi="Arial" w:cs="Arial"/>
          <w:sz w:val="21"/>
          <w:szCs w:val="21"/>
          <w:lang w:val="es-MX"/>
        </w:rPr>
        <w:t>».</w:t>
      </w:r>
    </w:p>
    <w:p w14:paraId="5EFD3F6B" w14:textId="77777777" w:rsidR="003222D8" w:rsidRPr="009975B7" w:rsidRDefault="003222D8" w:rsidP="00352BE8">
      <w:pPr>
        <w:contextualSpacing/>
        <w:jc w:val="both"/>
        <w:rPr>
          <w:rFonts w:ascii="Arial" w:hAnsi="Arial" w:cs="Arial"/>
          <w:b/>
          <w:bCs/>
          <w:lang w:val="es-MX"/>
        </w:rPr>
      </w:pPr>
    </w:p>
    <w:p w14:paraId="125C3895" w14:textId="0140FFFB" w:rsidR="00836162" w:rsidRPr="009975B7" w:rsidRDefault="00352BE8" w:rsidP="0044297A">
      <w:pPr>
        <w:spacing w:after="120" w:line="276" w:lineRule="auto"/>
        <w:jc w:val="both"/>
        <w:rPr>
          <w:rFonts w:ascii="Arial" w:hAnsi="Arial" w:cs="Arial"/>
          <w:sz w:val="22"/>
        </w:rPr>
      </w:pPr>
      <w:r w:rsidRPr="009975B7">
        <w:rPr>
          <w:rFonts w:ascii="Arial" w:hAnsi="Arial" w:cs="Arial"/>
          <w:sz w:val="22"/>
          <w:szCs w:val="22"/>
          <w:lang w:val="es-MX"/>
        </w:rPr>
        <w:t xml:space="preserve">De acuerdo con las consideraciones expuestas, </w:t>
      </w:r>
      <w:r w:rsidR="00836162" w:rsidRPr="009975B7">
        <w:rPr>
          <w:rFonts w:ascii="Arial" w:hAnsi="Arial" w:cs="Arial"/>
          <w:sz w:val="22"/>
          <w:szCs w:val="22"/>
          <w:lang w:val="es-MX"/>
        </w:rPr>
        <w:t xml:space="preserve">les corresponde a </w:t>
      </w:r>
      <w:r w:rsidR="00836162" w:rsidRPr="009975B7">
        <w:rPr>
          <w:rFonts w:ascii="Arial" w:hAnsi="Arial" w:cs="Arial"/>
          <w:bCs/>
          <w:sz w:val="22"/>
        </w:rPr>
        <w:t>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sidR="00ED624C" w:rsidRPr="009975B7">
        <w:rPr>
          <w:rFonts w:ascii="Arial" w:hAnsi="Arial" w:cs="Arial"/>
          <w:bCs/>
          <w:sz w:val="22"/>
        </w:rPr>
        <w:t xml:space="preserve"> En ese contexto</w:t>
      </w:r>
      <w:r w:rsidR="002078E7" w:rsidRPr="009975B7">
        <w:rPr>
          <w:rFonts w:ascii="Arial" w:hAnsi="Arial" w:cs="Arial"/>
          <w:bCs/>
          <w:sz w:val="22"/>
        </w:rPr>
        <w:t xml:space="preserve">, </w:t>
      </w:r>
      <w:r w:rsidR="00751495" w:rsidRPr="009975B7">
        <w:rPr>
          <w:rFonts w:ascii="Arial" w:hAnsi="Arial" w:cs="Arial"/>
          <w:sz w:val="22"/>
        </w:rPr>
        <w:t>el Decreto Único Reglamentario del Sector Administrativo de Planeación Nacional –Decreto 1082 de 2015–, dispone en el artículo 2.2.1.1.2.1.1 el contenido mínimo de los estudios y documentos previos.</w:t>
      </w:r>
      <w:r w:rsidR="00786FCE" w:rsidRPr="009975B7">
        <w:rPr>
          <w:rFonts w:ascii="Arial" w:hAnsi="Arial" w:cs="Arial"/>
          <w:sz w:val="22"/>
        </w:rPr>
        <w:t xml:space="preserve"> </w:t>
      </w:r>
    </w:p>
    <w:p w14:paraId="7E837FCA" w14:textId="30380AF3" w:rsidR="009C004B" w:rsidRPr="009975B7" w:rsidRDefault="00786FCE" w:rsidP="0044297A">
      <w:pPr>
        <w:spacing w:after="120" w:line="276" w:lineRule="auto"/>
        <w:ind w:firstLine="708"/>
        <w:jc w:val="both"/>
        <w:rPr>
          <w:rFonts w:ascii="Arial" w:eastAsia="Calibri" w:hAnsi="Arial" w:cs="Arial"/>
          <w:bCs/>
          <w:sz w:val="22"/>
          <w:lang w:val="es-ES_tradnl"/>
        </w:rPr>
      </w:pPr>
      <w:r w:rsidRPr="009975B7">
        <w:rPr>
          <w:rFonts w:ascii="Arial" w:hAnsi="Arial" w:cs="Arial"/>
          <w:sz w:val="22"/>
        </w:rPr>
        <w:t xml:space="preserve">Los numerales </w:t>
      </w:r>
      <w:r w:rsidR="00FB3548" w:rsidRPr="009975B7">
        <w:rPr>
          <w:rFonts w:ascii="Arial" w:hAnsi="Arial" w:cs="Arial"/>
          <w:sz w:val="22"/>
        </w:rPr>
        <w:t xml:space="preserve">2 y 4 del precitado decreto </w:t>
      </w:r>
      <w:r w:rsidR="009C004B" w:rsidRPr="009975B7">
        <w:rPr>
          <w:rFonts w:ascii="Arial" w:hAnsi="Arial" w:cs="Arial"/>
          <w:sz w:val="22"/>
        </w:rPr>
        <w:t xml:space="preserve">exigen que se determine el objeto a contratar con sus especificaciones y se estime el costo que implica la celebración del contrato. </w:t>
      </w:r>
      <w:r w:rsidR="009C004B" w:rsidRPr="009975B7">
        <w:rPr>
          <w:rFonts w:ascii="Arial" w:eastAsia="Calibri" w:hAnsi="Arial" w:cs="Arial"/>
          <w:bCs/>
          <w:sz w:val="22"/>
          <w:lang w:val="es-ES_tradnl"/>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C289CAC" w14:textId="5617E8A2" w:rsidR="00AF3320" w:rsidRPr="009975B7" w:rsidRDefault="00AF3320" w:rsidP="0044297A">
      <w:pPr>
        <w:spacing w:after="120" w:line="276" w:lineRule="auto"/>
        <w:ind w:firstLine="709"/>
        <w:jc w:val="both"/>
        <w:rPr>
          <w:rFonts w:ascii="Arial" w:eastAsia="Calibri" w:hAnsi="Arial" w:cs="Arial"/>
          <w:sz w:val="22"/>
          <w:shd w:val="clear" w:color="auto" w:fill="FFFFFF"/>
        </w:rPr>
      </w:pPr>
      <w:r w:rsidRPr="009975B7">
        <w:rPr>
          <w:rFonts w:ascii="Arial" w:eastAsia="Calibri" w:hAnsi="Arial" w:cs="Arial"/>
          <w:sz w:val="22"/>
          <w:shd w:val="clear" w:color="auto" w:fill="FFFFFF"/>
        </w:rPr>
        <w:t xml:space="preserve">Respecto de la contratación directa, los estudios previos sustentan o exponen los argumentos relacionados con la idoneidad de la persona a contratar, y contienen las razones de que esta sea la adecuada para ejecutar el objeto contractual. El artículo 2.2.1.1.2.1.1. del Decreto 1082 de 2015, modificado por el Decreto 399 de 2021, que señala el contenido de los estudios y documentos previos, y el principio de selección objetiva </w:t>
      </w:r>
      <w:r w:rsidRPr="009975B7">
        <w:rPr>
          <w:rFonts w:ascii="Arial" w:eastAsia="Calibri" w:hAnsi="Arial" w:cs="Arial"/>
          <w:sz w:val="22"/>
          <w:shd w:val="clear" w:color="auto" w:fill="FFFFFF"/>
        </w:rPr>
        <w:lastRenderedPageBreak/>
        <w:t xml:space="preserve">determinan lo relacionado con el estudio del sector y el análisis del mercado para conocer las condiciones en que se debe adquirir el bien o servicio que satisface su necesidad. </w:t>
      </w:r>
    </w:p>
    <w:p w14:paraId="368F7129" w14:textId="496F09D4" w:rsidR="00185412" w:rsidRPr="009975B7" w:rsidRDefault="00997A70" w:rsidP="0044297A">
      <w:pPr>
        <w:spacing w:after="120" w:line="276" w:lineRule="auto"/>
        <w:ind w:firstLine="708"/>
        <w:jc w:val="both"/>
        <w:rPr>
          <w:rFonts w:ascii="Arial" w:hAnsi="Arial" w:cs="Arial"/>
          <w:sz w:val="22"/>
          <w:szCs w:val="22"/>
        </w:rPr>
      </w:pPr>
      <w:r w:rsidRPr="009975B7">
        <w:rPr>
          <w:rFonts w:ascii="Arial" w:hAnsi="Arial" w:cs="Arial"/>
          <w:sz w:val="22"/>
          <w:szCs w:val="22"/>
          <w:lang w:val="es-MX"/>
        </w:rPr>
        <w:t xml:space="preserve">Así las cosas, </w:t>
      </w:r>
      <w:r w:rsidRPr="009975B7">
        <w:rPr>
          <w:rFonts w:ascii="Arial" w:hAnsi="Arial" w:cs="Arial"/>
          <w:sz w:val="22"/>
          <w:szCs w:val="22"/>
        </w:rPr>
        <w:t>l</w:t>
      </w:r>
      <w:r w:rsidR="00352BE8" w:rsidRPr="009975B7">
        <w:rPr>
          <w:rFonts w:ascii="Arial" w:hAnsi="Arial" w:cs="Arial"/>
          <w:sz w:val="22"/>
          <w:szCs w:val="22"/>
        </w:rPr>
        <w:t>a</w:t>
      </w:r>
      <w:r w:rsidRPr="009975B7">
        <w:rPr>
          <w:rFonts w:ascii="Arial" w:hAnsi="Arial" w:cs="Arial"/>
          <w:sz w:val="22"/>
          <w:szCs w:val="22"/>
        </w:rPr>
        <w:t>s</w:t>
      </w:r>
      <w:r w:rsidR="00352BE8" w:rsidRPr="009975B7">
        <w:rPr>
          <w:rFonts w:ascii="Arial" w:hAnsi="Arial" w:cs="Arial"/>
          <w:sz w:val="22"/>
          <w:szCs w:val="22"/>
        </w:rPr>
        <w:t xml:space="preserve"> </w:t>
      </w:r>
      <w:r w:rsidRPr="009975B7">
        <w:rPr>
          <w:rFonts w:ascii="Arial" w:hAnsi="Arial" w:cs="Arial"/>
          <w:sz w:val="22"/>
          <w:szCs w:val="22"/>
        </w:rPr>
        <w:t>e</w:t>
      </w:r>
      <w:r w:rsidR="00352BE8" w:rsidRPr="009975B7">
        <w:rPr>
          <w:rFonts w:ascii="Arial" w:hAnsi="Arial" w:cs="Arial"/>
          <w:sz w:val="22"/>
          <w:szCs w:val="22"/>
        </w:rPr>
        <w:t>ntidad</w:t>
      </w:r>
      <w:r w:rsidRPr="009975B7">
        <w:rPr>
          <w:rFonts w:ascii="Arial" w:hAnsi="Arial" w:cs="Arial"/>
          <w:sz w:val="22"/>
          <w:szCs w:val="22"/>
        </w:rPr>
        <w:t>es</w:t>
      </w:r>
      <w:r w:rsidR="00352BE8" w:rsidRPr="009975B7">
        <w:rPr>
          <w:rFonts w:ascii="Arial" w:hAnsi="Arial" w:cs="Arial"/>
          <w:sz w:val="22"/>
          <w:szCs w:val="22"/>
        </w:rPr>
        <w:t xml:space="preserve"> </w:t>
      </w:r>
      <w:r w:rsidRPr="009975B7">
        <w:rPr>
          <w:rFonts w:ascii="Arial" w:hAnsi="Arial" w:cs="Arial"/>
          <w:sz w:val="22"/>
          <w:szCs w:val="22"/>
        </w:rPr>
        <w:t>e</w:t>
      </w:r>
      <w:r w:rsidR="00352BE8" w:rsidRPr="009975B7">
        <w:rPr>
          <w:rFonts w:ascii="Arial" w:hAnsi="Arial" w:cs="Arial"/>
          <w:sz w:val="22"/>
          <w:szCs w:val="22"/>
        </w:rPr>
        <w:t>statal</w:t>
      </w:r>
      <w:r w:rsidRPr="009975B7">
        <w:rPr>
          <w:rFonts w:ascii="Arial" w:hAnsi="Arial" w:cs="Arial"/>
          <w:sz w:val="22"/>
          <w:szCs w:val="22"/>
        </w:rPr>
        <w:t>es</w:t>
      </w:r>
      <w:r w:rsidR="00352BE8" w:rsidRPr="009975B7">
        <w:rPr>
          <w:rFonts w:ascii="Arial" w:hAnsi="Arial" w:cs="Arial"/>
          <w:sz w:val="22"/>
          <w:szCs w:val="22"/>
        </w:rPr>
        <w:t xml:space="preserve"> debe</w:t>
      </w:r>
      <w:r w:rsidRPr="009975B7">
        <w:rPr>
          <w:rFonts w:ascii="Arial" w:hAnsi="Arial" w:cs="Arial"/>
          <w:sz w:val="22"/>
          <w:szCs w:val="22"/>
        </w:rPr>
        <w:t>n</w:t>
      </w:r>
      <w:r w:rsidR="00352BE8" w:rsidRPr="009975B7">
        <w:rPr>
          <w:rFonts w:ascii="Arial" w:hAnsi="Arial" w:cs="Arial"/>
          <w:sz w:val="22"/>
          <w:szCs w:val="22"/>
        </w:rPr>
        <w:t xml:space="preserve"> consignar en los Documentos del Proceso</w:t>
      </w:r>
      <w:r w:rsidR="00B2129F" w:rsidRPr="009975B7">
        <w:rPr>
          <w:rFonts w:ascii="Arial" w:hAnsi="Arial" w:cs="Arial"/>
          <w:sz w:val="22"/>
          <w:szCs w:val="22"/>
        </w:rPr>
        <w:t xml:space="preserve"> el respectivo análisis del sector- En este aspecto, las entidades</w:t>
      </w:r>
      <w:r w:rsidR="00A524BF" w:rsidRPr="009975B7">
        <w:rPr>
          <w:rFonts w:ascii="Arial" w:hAnsi="Arial" w:cs="Arial"/>
          <w:sz w:val="22"/>
          <w:szCs w:val="22"/>
        </w:rPr>
        <w:t xml:space="preserve"> </w:t>
      </w:r>
      <w:r w:rsidR="00744A18" w:rsidRPr="009975B7">
        <w:rPr>
          <w:rFonts w:ascii="Arial" w:hAnsi="Arial" w:cs="Arial"/>
          <w:sz w:val="22"/>
          <w:szCs w:val="22"/>
        </w:rPr>
        <w:t>cuentan con</w:t>
      </w:r>
      <w:r w:rsidR="00A524BF" w:rsidRPr="009975B7">
        <w:rPr>
          <w:rFonts w:ascii="Arial" w:hAnsi="Arial" w:cs="Arial"/>
          <w:sz w:val="22"/>
          <w:szCs w:val="22"/>
        </w:rPr>
        <w:t xml:space="preserve"> discrecionalidad </w:t>
      </w:r>
      <w:r w:rsidR="00744A18" w:rsidRPr="009975B7">
        <w:rPr>
          <w:rFonts w:ascii="Arial" w:hAnsi="Arial" w:cs="Arial"/>
          <w:sz w:val="22"/>
          <w:szCs w:val="22"/>
        </w:rPr>
        <w:t>para</w:t>
      </w:r>
      <w:r w:rsidR="00A524BF" w:rsidRPr="009975B7">
        <w:rPr>
          <w:rFonts w:ascii="Arial" w:hAnsi="Arial" w:cs="Arial"/>
          <w:sz w:val="22"/>
          <w:szCs w:val="22"/>
        </w:rPr>
        <w:t xml:space="preserve"> decidir si el análisis del sector se incluye </w:t>
      </w:r>
      <w:r w:rsidR="00391DEB" w:rsidRPr="009975B7">
        <w:rPr>
          <w:rFonts w:ascii="Arial" w:hAnsi="Arial" w:cs="Arial"/>
          <w:sz w:val="22"/>
          <w:szCs w:val="22"/>
        </w:rPr>
        <w:t>dentro del mismo documento de los estudios previos</w:t>
      </w:r>
      <w:r w:rsidR="00A524BF" w:rsidRPr="009975B7">
        <w:rPr>
          <w:rFonts w:ascii="Arial" w:hAnsi="Arial" w:cs="Arial"/>
          <w:sz w:val="22"/>
          <w:szCs w:val="22"/>
        </w:rPr>
        <w:t xml:space="preserve"> o si </w:t>
      </w:r>
      <w:r w:rsidR="00E032C2" w:rsidRPr="009975B7">
        <w:rPr>
          <w:rFonts w:ascii="Arial" w:hAnsi="Arial" w:cs="Arial"/>
          <w:sz w:val="22"/>
          <w:szCs w:val="22"/>
        </w:rPr>
        <w:t xml:space="preserve">dicho análisis queda consignado </w:t>
      </w:r>
      <w:r w:rsidR="00A524BF" w:rsidRPr="009975B7">
        <w:rPr>
          <w:rFonts w:ascii="Arial" w:hAnsi="Arial" w:cs="Arial"/>
          <w:sz w:val="22"/>
          <w:szCs w:val="22"/>
        </w:rPr>
        <w:t>en oficio aparte</w:t>
      </w:r>
      <w:r w:rsidR="00E032C2" w:rsidRPr="009975B7">
        <w:rPr>
          <w:rFonts w:ascii="Arial" w:hAnsi="Arial" w:cs="Arial"/>
          <w:sz w:val="22"/>
          <w:szCs w:val="22"/>
        </w:rPr>
        <w:t xml:space="preserve">, </w:t>
      </w:r>
      <w:r w:rsidR="00352BE8" w:rsidRPr="009975B7">
        <w:rPr>
          <w:rFonts w:ascii="Arial" w:hAnsi="Arial" w:cs="Arial"/>
          <w:sz w:val="22"/>
          <w:szCs w:val="22"/>
        </w:rPr>
        <w:t>finalmente lo importa</w:t>
      </w:r>
      <w:r w:rsidR="004C6848" w:rsidRPr="009975B7">
        <w:rPr>
          <w:rFonts w:ascii="Arial" w:hAnsi="Arial" w:cs="Arial"/>
          <w:sz w:val="22"/>
          <w:szCs w:val="22"/>
        </w:rPr>
        <w:t>nte</w:t>
      </w:r>
      <w:r w:rsidR="00352BE8" w:rsidRPr="009975B7">
        <w:rPr>
          <w:rFonts w:ascii="Arial" w:hAnsi="Arial" w:cs="Arial"/>
          <w:sz w:val="22"/>
          <w:szCs w:val="22"/>
        </w:rPr>
        <w:t xml:space="preserve"> es que </w:t>
      </w:r>
      <w:r w:rsidR="004C6848" w:rsidRPr="009975B7">
        <w:rPr>
          <w:rFonts w:ascii="Arial" w:hAnsi="Arial" w:cs="Arial"/>
          <w:sz w:val="22"/>
          <w:szCs w:val="22"/>
        </w:rPr>
        <w:t xml:space="preserve">dentro de </w:t>
      </w:r>
      <w:r w:rsidR="00352BE8" w:rsidRPr="009975B7">
        <w:rPr>
          <w:rFonts w:ascii="Arial" w:hAnsi="Arial" w:cs="Arial"/>
          <w:sz w:val="22"/>
          <w:szCs w:val="22"/>
        </w:rPr>
        <w:t>los documentos previos</w:t>
      </w:r>
      <w:r w:rsidR="004C6848" w:rsidRPr="009975B7">
        <w:rPr>
          <w:rFonts w:ascii="Arial" w:hAnsi="Arial" w:cs="Arial"/>
          <w:sz w:val="22"/>
          <w:szCs w:val="22"/>
        </w:rPr>
        <w:t xml:space="preserve"> del proceso conste</w:t>
      </w:r>
      <w:r w:rsidR="00352BE8" w:rsidRPr="009975B7">
        <w:rPr>
          <w:rFonts w:ascii="Arial" w:hAnsi="Arial" w:cs="Arial"/>
          <w:sz w:val="22"/>
          <w:szCs w:val="22"/>
        </w:rPr>
        <w:t xml:space="preserve"> el</w:t>
      </w:r>
      <w:r w:rsidR="004C6848" w:rsidRPr="009975B7">
        <w:rPr>
          <w:rFonts w:ascii="Arial" w:hAnsi="Arial" w:cs="Arial"/>
          <w:sz w:val="22"/>
          <w:szCs w:val="22"/>
        </w:rPr>
        <w:t xml:space="preserve"> respectivo</w:t>
      </w:r>
      <w:r w:rsidR="00352BE8" w:rsidRPr="009975B7">
        <w:rPr>
          <w:rFonts w:ascii="Arial" w:hAnsi="Arial" w:cs="Arial"/>
          <w:sz w:val="22"/>
          <w:szCs w:val="22"/>
        </w:rPr>
        <w:t xml:space="preserve"> análisis del sector</w:t>
      </w:r>
      <w:r w:rsidR="004C6848" w:rsidRPr="009975B7">
        <w:rPr>
          <w:rFonts w:ascii="Arial" w:hAnsi="Arial" w:cs="Arial"/>
          <w:sz w:val="22"/>
          <w:szCs w:val="22"/>
        </w:rPr>
        <w:t xml:space="preserve">. </w:t>
      </w:r>
    </w:p>
    <w:p w14:paraId="681A1BDF" w14:textId="0177A095" w:rsidR="00344C43" w:rsidRPr="009975B7" w:rsidRDefault="008F75A5" w:rsidP="0044297A">
      <w:pPr>
        <w:spacing w:before="120" w:line="276" w:lineRule="auto"/>
        <w:jc w:val="both"/>
        <w:rPr>
          <w:rFonts w:ascii="Arial" w:eastAsia="Calibri" w:hAnsi="Arial" w:cs="Arial"/>
          <w:bCs/>
          <w:sz w:val="22"/>
          <w:lang w:val="es-ES_tradnl"/>
        </w:rPr>
      </w:pPr>
      <w:r w:rsidRPr="009975B7">
        <w:rPr>
          <w:rFonts w:ascii="Arial" w:eastAsia="Calibri" w:hAnsi="Arial" w:cs="Arial"/>
          <w:bCs/>
          <w:sz w:val="22"/>
          <w:szCs w:val="22"/>
          <w:lang w:eastAsia="en-US"/>
        </w:rPr>
        <w:tab/>
      </w:r>
      <w:r w:rsidR="00CE781B" w:rsidRPr="009975B7">
        <w:rPr>
          <w:rFonts w:ascii="Arial" w:eastAsia="Calibri" w:hAnsi="Arial" w:cs="Arial"/>
          <w:bCs/>
          <w:sz w:val="22"/>
          <w:szCs w:val="22"/>
          <w:lang w:eastAsia="en-US"/>
        </w:rPr>
        <w:t>R</w:t>
      </w:r>
      <w:r w:rsidR="00387583" w:rsidRPr="009975B7">
        <w:rPr>
          <w:rFonts w:ascii="Arial" w:eastAsia="Calibri" w:hAnsi="Arial" w:cs="Arial"/>
          <w:bCs/>
          <w:sz w:val="22"/>
          <w:szCs w:val="22"/>
          <w:lang w:eastAsia="en-US"/>
        </w:rPr>
        <w:t>especto a los requisitos que debe llevar</w:t>
      </w:r>
      <w:r w:rsidR="00F27F75" w:rsidRPr="009975B7">
        <w:rPr>
          <w:rFonts w:ascii="Arial" w:eastAsia="Calibri" w:hAnsi="Arial" w:cs="Arial"/>
          <w:bCs/>
          <w:sz w:val="22"/>
          <w:szCs w:val="22"/>
          <w:lang w:eastAsia="en-US"/>
        </w:rPr>
        <w:t xml:space="preserve">, </w:t>
      </w:r>
      <w:r w:rsidR="00387583" w:rsidRPr="009975B7">
        <w:rPr>
          <w:rFonts w:ascii="Arial" w:eastAsia="Calibri" w:hAnsi="Arial" w:cs="Arial"/>
          <w:bCs/>
          <w:sz w:val="22"/>
          <w:lang w:val="es-ES_tradnl"/>
        </w:rPr>
        <w:t>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00344C43" w:rsidRPr="009975B7">
        <w:rPr>
          <w:rFonts w:ascii="Arial" w:eastAsia="Calibri" w:hAnsi="Arial" w:cs="Arial"/>
          <w:bCs/>
          <w:sz w:val="22"/>
          <w:lang w:val="es-ES_tradnl"/>
        </w:rPr>
        <w:t xml:space="preserve">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7D6CACAE" w14:textId="77777777" w:rsidR="00122946" w:rsidRPr="009975B7" w:rsidRDefault="00122946" w:rsidP="003325E4">
      <w:pPr>
        <w:tabs>
          <w:tab w:val="left" w:pos="709"/>
        </w:tabs>
        <w:spacing w:line="276" w:lineRule="auto"/>
        <w:jc w:val="both"/>
        <w:rPr>
          <w:rFonts w:ascii="Arial" w:eastAsia="Calibri" w:hAnsi="Arial" w:cs="Arial"/>
          <w:sz w:val="22"/>
          <w:szCs w:val="22"/>
          <w:lang w:val="es-ES" w:eastAsia="es-ES" w:bidi="es-ES"/>
        </w:rPr>
      </w:pPr>
    </w:p>
    <w:p w14:paraId="7B2C921D" w14:textId="65582E32" w:rsidR="00DD5B04" w:rsidRPr="009975B7" w:rsidRDefault="00DD5B04" w:rsidP="003325E4">
      <w:pPr>
        <w:widowControl w:val="0"/>
        <w:autoSpaceDE w:val="0"/>
        <w:autoSpaceDN w:val="0"/>
        <w:spacing w:after="120" w:line="276" w:lineRule="auto"/>
        <w:jc w:val="both"/>
        <w:rPr>
          <w:rFonts w:ascii="Arial" w:hAnsi="Arial" w:cs="Arial"/>
          <w:sz w:val="22"/>
          <w:lang w:val="es-ES_tradnl"/>
        </w:rPr>
      </w:pPr>
      <w:r w:rsidRPr="009975B7">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9975B7" w:rsidRDefault="00DD5B04" w:rsidP="00E2338F">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9975B7"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9975B7">
        <w:rPr>
          <w:rFonts w:ascii="Arial" w:hAnsi="Arial" w:cs="Arial"/>
          <w:sz w:val="22"/>
          <w:szCs w:val="22"/>
          <w:lang w:val="es-ES_tradnl"/>
        </w:rPr>
        <w:t>Atentamente,</w:t>
      </w:r>
    </w:p>
    <w:p w14:paraId="692FC307" w14:textId="210AA6B5" w:rsidR="00921304" w:rsidRPr="009975B7" w:rsidRDefault="00921304" w:rsidP="00DF76A2">
      <w:pPr>
        <w:pStyle w:val="NormalWeb"/>
        <w:spacing w:before="0" w:beforeAutospacing="0" w:after="0" w:afterAutospacing="0" w:line="276" w:lineRule="auto"/>
        <w:jc w:val="both"/>
        <w:rPr>
          <w:rFonts w:ascii="Arial" w:hAnsi="Arial" w:cs="Arial"/>
          <w:sz w:val="22"/>
          <w:szCs w:val="22"/>
          <w:lang w:val="es-ES_tradnl"/>
        </w:rPr>
      </w:pPr>
    </w:p>
    <w:p w14:paraId="223460F5" w14:textId="25DD8C1E" w:rsidR="00516C7C" w:rsidRPr="009975B7" w:rsidRDefault="00262B37" w:rsidP="00516C7C">
      <w:pPr>
        <w:pStyle w:val="NormalWeb"/>
        <w:spacing w:before="0" w:beforeAutospacing="0" w:after="0" w:afterAutospacing="0" w:line="276" w:lineRule="auto"/>
        <w:jc w:val="center"/>
        <w:rPr>
          <w:rFonts w:ascii="Arial" w:hAnsi="Arial" w:cs="Arial"/>
          <w:sz w:val="22"/>
          <w:szCs w:val="22"/>
          <w:lang w:val="es-ES_tradnl"/>
        </w:rPr>
      </w:pPr>
      <w:r>
        <w:rPr>
          <w:rFonts w:ascii="Arial" w:hAnsi="Arial" w:cs="Arial"/>
          <w:noProof/>
          <w:color w:val="161616" w:themeColor="background1" w:themeShade="1A"/>
        </w:rPr>
        <w:drawing>
          <wp:inline distT="0" distB="0" distL="0" distR="0" wp14:anchorId="3F55168B" wp14:editId="3E4E9C73">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4E786D78" w14:textId="77777777" w:rsidR="00516C7C" w:rsidRPr="009975B7" w:rsidRDefault="00516C7C" w:rsidP="00516C7C">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373B" w:rsidRPr="009975B7" w14:paraId="42C97B70" w14:textId="77777777" w:rsidTr="00933BCA">
        <w:trPr>
          <w:trHeight w:val="315"/>
        </w:trPr>
        <w:tc>
          <w:tcPr>
            <w:tcW w:w="812" w:type="dxa"/>
            <w:vAlign w:val="center"/>
            <w:hideMark/>
          </w:tcPr>
          <w:p w14:paraId="7D0C85F5" w14:textId="77777777" w:rsidR="00516C7C" w:rsidRPr="009975B7" w:rsidRDefault="00516C7C"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47C0163" w14:textId="77777777" w:rsidR="00516C7C" w:rsidRPr="009975B7" w:rsidRDefault="00516C7C" w:rsidP="00933BCA">
            <w:pPr>
              <w:rPr>
                <w:rFonts w:ascii="Arial" w:hAnsi="Arial" w:cs="Arial"/>
                <w:sz w:val="16"/>
                <w:szCs w:val="16"/>
                <w:lang w:val="es-ES" w:eastAsia="es-ES"/>
              </w:rPr>
            </w:pPr>
            <w:r w:rsidRPr="009975B7">
              <w:rPr>
                <w:rFonts w:ascii="Arial" w:hAnsi="Arial" w:cs="Arial"/>
                <w:sz w:val="16"/>
                <w:szCs w:val="16"/>
                <w:lang w:val="es-ES" w:eastAsia="es-ES"/>
              </w:rPr>
              <w:t>Edwin Johan Chocontá Quintero</w:t>
            </w:r>
          </w:p>
          <w:p w14:paraId="044E16B3" w14:textId="77777777" w:rsidR="00516C7C" w:rsidRPr="009975B7" w:rsidRDefault="00516C7C" w:rsidP="00933BCA">
            <w:pPr>
              <w:jc w:val="both"/>
              <w:rPr>
                <w:rFonts w:ascii="Arial" w:hAnsi="Arial" w:cs="Arial"/>
                <w:sz w:val="16"/>
                <w:szCs w:val="16"/>
                <w:lang w:val="es-ES_tradnl" w:eastAsia="es-ES"/>
              </w:rPr>
            </w:pPr>
            <w:r w:rsidRPr="009975B7">
              <w:rPr>
                <w:rFonts w:ascii="Arial" w:hAnsi="Arial" w:cs="Arial"/>
                <w:sz w:val="16"/>
                <w:szCs w:val="16"/>
                <w:lang w:val="es-ES" w:eastAsia="es-ES"/>
              </w:rPr>
              <w:t>Analista T2 – 02 de la Subdirección de Gestión Contractual</w:t>
            </w:r>
          </w:p>
        </w:tc>
      </w:tr>
      <w:tr w:rsidR="00E3373B" w:rsidRPr="009975B7" w14:paraId="01C3975F" w14:textId="77777777" w:rsidTr="00933BCA">
        <w:trPr>
          <w:trHeight w:val="330"/>
        </w:trPr>
        <w:tc>
          <w:tcPr>
            <w:tcW w:w="812" w:type="dxa"/>
            <w:vAlign w:val="center"/>
            <w:hideMark/>
          </w:tcPr>
          <w:p w14:paraId="46914A2F" w14:textId="77777777" w:rsidR="00516C7C" w:rsidRPr="009975B7" w:rsidRDefault="00516C7C"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7C663" w14:textId="7922866A" w:rsidR="00516C7C" w:rsidRPr="009975B7" w:rsidRDefault="000753FF"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Diana Lucia Saavedra Castañeda</w:t>
            </w:r>
          </w:p>
          <w:p w14:paraId="46E2B196" w14:textId="129DDA97" w:rsidR="00516C7C" w:rsidRPr="009975B7" w:rsidRDefault="000753FF"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Contratista</w:t>
            </w:r>
            <w:r w:rsidR="00516C7C" w:rsidRPr="009975B7">
              <w:rPr>
                <w:rFonts w:ascii="Arial" w:hAnsi="Arial" w:cs="Arial"/>
                <w:sz w:val="16"/>
                <w:szCs w:val="16"/>
                <w:lang w:val="es-ES_tradnl" w:eastAsia="es-ES"/>
              </w:rPr>
              <w:t xml:space="preserve"> de la Subdirección de Gestión Contractual</w:t>
            </w:r>
          </w:p>
        </w:tc>
      </w:tr>
      <w:tr w:rsidR="00516C7C" w:rsidRPr="00E3373B" w14:paraId="25F6CC51" w14:textId="77777777" w:rsidTr="00933BCA">
        <w:trPr>
          <w:trHeight w:val="300"/>
        </w:trPr>
        <w:tc>
          <w:tcPr>
            <w:tcW w:w="812" w:type="dxa"/>
            <w:vAlign w:val="center"/>
            <w:hideMark/>
          </w:tcPr>
          <w:p w14:paraId="4792BCC0" w14:textId="77777777" w:rsidR="00516C7C" w:rsidRPr="009975B7" w:rsidRDefault="00516C7C"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5FF628" w14:textId="77777777" w:rsidR="00516C7C" w:rsidRPr="009975B7" w:rsidRDefault="00516C7C"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t>Juan David Marín López</w:t>
            </w:r>
          </w:p>
          <w:p w14:paraId="7373364B" w14:textId="77777777" w:rsidR="00516C7C" w:rsidRPr="00E3373B" w:rsidRDefault="00516C7C" w:rsidP="00933BCA">
            <w:pPr>
              <w:jc w:val="both"/>
              <w:rPr>
                <w:rFonts w:ascii="Arial" w:hAnsi="Arial" w:cs="Arial"/>
                <w:sz w:val="16"/>
                <w:szCs w:val="16"/>
                <w:lang w:val="es-ES_tradnl" w:eastAsia="es-ES"/>
              </w:rPr>
            </w:pPr>
            <w:r w:rsidRPr="009975B7">
              <w:rPr>
                <w:rFonts w:ascii="Arial" w:hAnsi="Arial" w:cs="Arial"/>
                <w:sz w:val="16"/>
                <w:szCs w:val="16"/>
                <w:lang w:val="es-ES_tradnl" w:eastAsia="es-ES"/>
              </w:rPr>
              <w:lastRenderedPageBreak/>
              <w:t>Subdirector de Gestión Contractual ANCP – CCE (E)</w:t>
            </w:r>
          </w:p>
        </w:tc>
      </w:tr>
      <w:bookmarkEnd w:id="0"/>
    </w:tbl>
    <w:p w14:paraId="35B56F46" w14:textId="77777777" w:rsidR="00746E08" w:rsidRPr="00E3373B" w:rsidRDefault="00746E08" w:rsidP="00215B8E">
      <w:pPr>
        <w:jc w:val="both"/>
        <w:rPr>
          <w:rFonts w:ascii="Arial" w:hAnsi="Arial" w:cs="Arial"/>
          <w:lang w:val="es-ES_tradnl"/>
        </w:rPr>
      </w:pPr>
    </w:p>
    <w:sectPr w:rsidR="00746E08" w:rsidRPr="00E3373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57644" w14:textId="77777777" w:rsidR="0088469B" w:rsidRDefault="0088469B">
      <w:r>
        <w:separator/>
      </w:r>
    </w:p>
  </w:endnote>
  <w:endnote w:type="continuationSeparator" w:id="0">
    <w:p w14:paraId="04C6C3A4" w14:textId="77777777" w:rsidR="0088469B" w:rsidRDefault="0088469B">
      <w:r>
        <w:continuationSeparator/>
      </w:r>
    </w:p>
  </w:endnote>
  <w:endnote w:type="continuationNotice" w:id="1">
    <w:p w14:paraId="7A215CA7" w14:textId="77777777" w:rsidR="0088469B" w:rsidRDefault="00884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C0A5C">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C0A5C">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F32CB" w14:textId="77777777" w:rsidR="0088469B" w:rsidRDefault="0088469B">
      <w:r>
        <w:separator/>
      </w:r>
    </w:p>
  </w:footnote>
  <w:footnote w:type="continuationSeparator" w:id="0">
    <w:p w14:paraId="5FEA1344" w14:textId="77777777" w:rsidR="0088469B" w:rsidRDefault="0088469B">
      <w:r>
        <w:continuationSeparator/>
      </w:r>
    </w:p>
  </w:footnote>
  <w:footnote w:type="continuationNotice" w:id="1">
    <w:p w14:paraId="2A676C30" w14:textId="77777777" w:rsidR="0088469B" w:rsidRDefault="0088469B"/>
  </w:footnote>
  <w:footnote w:id="2">
    <w:p w14:paraId="523377E9" w14:textId="77777777" w:rsidR="00B22EC0" w:rsidRPr="00612976" w:rsidRDefault="00B22EC0" w:rsidP="00B22EC0">
      <w:pPr>
        <w:pStyle w:val="Textonotapie"/>
        <w:ind w:firstLine="709"/>
        <w:contextualSpacing/>
        <w:jc w:val="both"/>
        <w:rPr>
          <w:rFonts w:ascii="Arial" w:hAnsi="Arial" w:cs="Arial"/>
          <w:sz w:val="19"/>
          <w:szCs w:val="19"/>
          <w:lang w:val="es-ES"/>
        </w:rPr>
      </w:pPr>
      <w:r w:rsidRPr="00612976">
        <w:rPr>
          <w:rStyle w:val="Refdenotaalpie"/>
          <w:rFonts w:ascii="Arial" w:hAnsi="Arial" w:cs="Arial"/>
          <w:sz w:val="19"/>
          <w:szCs w:val="19"/>
        </w:rPr>
        <w:footnoteRef/>
      </w:r>
      <w:r w:rsidRPr="00612976">
        <w:rPr>
          <w:rFonts w:ascii="Arial" w:hAnsi="Arial" w:cs="Arial"/>
          <w:sz w:val="19"/>
          <w:szCs w:val="19"/>
        </w:rPr>
        <w:t xml:space="preserve"> </w:t>
      </w:r>
      <w:r w:rsidRPr="00612976">
        <w:rPr>
          <w:rFonts w:ascii="Arial" w:hAnsi="Arial" w:cs="Arial"/>
          <w:sz w:val="19"/>
          <w:szCs w:val="19"/>
          <w:lang w:val="es-ES"/>
        </w:rPr>
        <w:t xml:space="preserve">Congreso de la República, Gaceta 466 del 2 de agosto de 2005. Exposición de motivos del Proyecto de Ley 19 de 2005 – Senado. </w:t>
      </w:r>
    </w:p>
  </w:footnote>
  <w:footnote w:id="3">
    <w:p w14:paraId="1B8C12BE" w14:textId="77777777" w:rsidR="00B22EC0" w:rsidRPr="00612976" w:rsidRDefault="00B22EC0" w:rsidP="00B22EC0">
      <w:pPr>
        <w:pStyle w:val="Textonotapie"/>
        <w:ind w:firstLine="709"/>
        <w:contextualSpacing/>
        <w:jc w:val="both"/>
        <w:rPr>
          <w:rFonts w:ascii="Arial" w:hAnsi="Arial" w:cs="Arial"/>
          <w:sz w:val="19"/>
          <w:szCs w:val="19"/>
          <w:lang w:val="es-ES"/>
        </w:rPr>
      </w:pPr>
      <w:r w:rsidRPr="00612976">
        <w:rPr>
          <w:rStyle w:val="Refdenotaalpie"/>
          <w:rFonts w:ascii="Arial" w:hAnsi="Arial" w:cs="Arial"/>
          <w:sz w:val="19"/>
          <w:szCs w:val="19"/>
        </w:rPr>
        <w:footnoteRef/>
      </w:r>
      <w:r w:rsidRPr="00612976">
        <w:rPr>
          <w:rFonts w:ascii="Arial" w:hAnsi="Arial" w:cs="Arial"/>
          <w:sz w:val="19"/>
          <w:szCs w:val="19"/>
        </w:rPr>
        <w:t xml:space="preserve"> </w:t>
      </w:r>
      <w:r w:rsidRPr="00612976">
        <w:rPr>
          <w:rFonts w:ascii="Arial" w:hAnsi="Arial" w:cs="Arial"/>
          <w:sz w:val="19"/>
          <w:szCs w:val="19"/>
          <w:lang w:val="es-ES"/>
        </w:rPr>
        <w:t>Agencia Nacional de Contratación Pública – Colombia Compra Eficiente, Guía de Competencia en las Compras Públicas. La Guía puede consultarse en el siguiente enlace: https://colombiacompra.gov.co/sites/cce_public/files/cce_documents/cce_guia_competencia_0.pdf</w:t>
      </w:r>
    </w:p>
  </w:footnote>
  <w:footnote w:id="4">
    <w:p w14:paraId="67B7C87B" w14:textId="77777777" w:rsidR="00B22EC0" w:rsidRPr="00612976" w:rsidRDefault="00B22EC0" w:rsidP="00B22EC0">
      <w:pPr>
        <w:pBdr>
          <w:top w:val="nil"/>
          <w:left w:val="nil"/>
          <w:bottom w:val="nil"/>
          <w:right w:val="nil"/>
          <w:between w:val="nil"/>
        </w:pBdr>
        <w:ind w:firstLine="708"/>
        <w:contextualSpacing/>
        <w:jc w:val="both"/>
        <w:rPr>
          <w:rFonts w:ascii="Arial" w:eastAsia="Arial" w:hAnsi="Arial" w:cs="Arial"/>
          <w:color w:val="000000"/>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Corte Constitucional. Sentencia C-713 de 2009. M.P. María Victoria Calle Correa.</w:t>
      </w:r>
    </w:p>
  </w:footnote>
  <w:footnote w:id="5">
    <w:p w14:paraId="1092FF23" w14:textId="77777777" w:rsidR="00B22EC0" w:rsidRPr="00612976" w:rsidRDefault="00B22EC0" w:rsidP="00B22EC0">
      <w:pPr>
        <w:ind w:firstLine="707"/>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6">
    <w:p w14:paraId="72529D21" w14:textId="77777777" w:rsidR="00B22EC0" w:rsidRPr="00612976" w:rsidRDefault="00B22EC0" w:rsidP="00B22EC0">
      <w:pPr>
        <w:ind w:firstLine="707"/>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footnote>
  <w:footnote w:id="7">
    <w:p w14:paraId="6662FCC3" w14:textId="77777777" w:rsidR="00B22EC0" w:rsidRPr="00612976" w:rsidRDefault="00B22EC0" w:rsidP="00B22EC0">
      <w:pPr>
        <w:pBdr>
          <w:top w:val="nil"/>
          <w:left w:val="nil"/>
          <w:bottom w:val="nil"/>
          <w:right w:val="nil"/>
          <w:between w:val="nil"/>
        </w:pBdr>
        <w:ind w:firstLine="707"/>
        <w:contextualSpacing/>
        <w:jc w:val="both"/>
        <w:rPr>
          <w:rFonts w:ascii="Arial" w:hAnsi="Arial" w:cs="Arial"/>
          <w:color w:val="000000"/>
          <w:sz w:val="19"/>
          <w:szCs w:val="19"/>
        </w:rPr>
      </w:pPr>
      <w:r w:rsidRPr="00612976">
        <w:rPr>
          <w:rFonts w:ascii="Arial" w:hAnsi="Arial" w:cs="Arial"/>
          <w:sz w:val="19"/>
          <w:szCs w:val="19"/>
          <w:vertAlign w:val="superscript"/>
        </w:rPr>
        <w:footnoteRef/>
      </w:r>
      <w:r w:rsidRPr="00612976">
        <w:rPr>
          <w:rFonts w:ascii="Arial" w:hAnsi="Arial" w:cs="Arial"/>
          <w:color w:val="000000"/>
          <w:sz w:val="19"/>
          <w:szCs w:val="19"/>
        </w:rPr>
        <w:t xml:space="preserve"> Las 3 últimas causales fueron creadas por la Ley 2160 del 25 de noviembre de 2021.</w:t>
      </w:r>
    </w:p>
  </w:footnote>
  <w:footnote w:id="8">
    <w:p w14:paraId="7E87B5C1" w14:textId="77777777" w:rsidR="00B22EC0" w:rsidRPr="00612976" w:rsidRDefault="00B22EC0" w:rsidP="00B22EC0">
      <w:pPr>
        <w:pBdr>
          <w:top w:val="nil"/>
          <w:left w:val="nil"/>
          <w:bottom w:val="nil"/>
          <w:right w:val="nil"/>
          <w:between w:val="nil"/>
        </w:pBdr>
        <w:ind w:firstLine="708"/>
        <w:contextualSpacing/>
        <w:jc w:val="both"/>
        <w:rPr>
          <w:rFonts w:ascii="Arial" w:eastAsia="Arial" w:hAnsi="Arial" w:cs="Arial"/>
          <w:color w:val="000000"/>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Consejo de Estado. Sala de consulta y servicio civil. Sentencia del 20 de febrero de 2006. </w:t>
      </w:r>
      <w:proofErr w:type="spellStart"/>
      <w:r w:rsidRPr="00612976">
        <w:rPr>
          <w:rFonts w:ascii="Arial" w:eastAsia="Arial" w:hAnsi="Arial" w:cs="Arial"/>
          <w:color w:val="000000"/>
          <w:sz w:val="19"/>
          <w:szCs w:val="19"/>
        </w:rPr>
        <w:t>Exp</w:t>
      </w:r>
      <w:proofErr w:type="spellEnd"/>
      <w:r w:rsidRPr="00612976">
        <w:rPr>
          <w:rFonts w:ascii="Arial" w:eastAsia="Arial" w:hAnsi="Arial" w:cs="Arial"/>
          <w:color w:val="000000"/>
          <w:sz w:val="19"/>
          <w:szCs w:val="19"/>
        </w:rPr>
        <w:t>. 1.727. C.P. Enrique José Arboleda Perdomo.</w:t>
      </w:r>
    </w:p>
  </w:footnote>
  <w:footnote w:id="9">
    <w:p w14:paraId="3754A30D" w14:textId="77777777" w:rsidR="00B22EC0" w:rsidRPr="00612976" w:rsidRDefault="00B22EC0" w:rsidP="00B22EC0">
      <w:pPr>
        <w:pBdr>
          <w:top w:val="nil"/>
          <w:left w:val="nil"/>
          <w:bottom w:val="nil"/>
          <w:right w:val="nil"/>
          <w:between w:val="nil"/>
        </w:pBdr>
        <w:ind w:firstLine="708"/>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Agencia Nacional de Contratación Pública </w:t>
      </w:r>
      <w:r w:rsidRPr="00612976">
        <w:rPr>
          <w:rFonts w:ascii="Arial" w:eastAsia="Arial" w:hAnsi="Arial" w:cs="Arial"/>
          <w:sz w:val="19"/>
          <w:szCs w:val="19"/>
        </w:rPr>
        <w:t xml:space="preserve">– </w:t>
      </w:r>
      <w:r w:rsidRPr="00612976">
        <w:rPr>
          <w:rFonts w:ascii="Arial" w:eastAsia="Arial" w:hAnsi="Arial" w:cs="Arial"/>
          <w:color w:val="000000"/>
          <w:sz w:val="19"/>
          <w:szCs w:val="19"/>
        </w:rPr>
        <w:t>Colombia Compra Eficiente, Concepto C-561 del 8 de octubre de 2021.</w:t>
      </w:r>
    </w:p>
  </w:footnote>
  <w:footnote w:id="10">
    <w:p w14:paraId="0152C866" w14:textId="77777777" w:rsidR="001A74C1" w:rsidRPr="00A1224A" w:rsidRDefault="001A74C1" w:rsidP="001A74C1">
      <w:pPr>
        <w:spacing w:line="244" w:lineRule="auto"/>
        <w:ind w:left="120" w:firstLine="707"/>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position w:val="6"/>
          <w:sz w:val="19"/>
          <w:szCs w:val="19"/>
        </w:rPr>
        <w:t xml:space="preserve"> </w:t>
      </w:r>
      <w:r w:rsidRPr="00A1224A">
        <w:rPr>
          <w:rFonts w:ascii="Arial" w:hAnsi="Arial" w:cs="Arial"/>
          <w:sz w:val="19"/>
          <w:szCs w:val="19"/>
        </w:rPr>
        <w:t>DEIK ACOSTAMADIEDO, Carolina, Guía de Contratación Estatal: Deber de planeación y modalidades de selección, Buenos Aires, 2015, p. 59.</w:t>
      </w:r>
    </w:p>
    <w:p w14:paraId="5FDEB131" w14:textId="77777777" w:rsidR="001A74C1" w:rsidRPr="00A1224A" w:rsidRDefault="001A74C1" w:rsidP="001A74C1">
      <w:pPr>
        <w:pStyle w:val="Textonotapie"/>
        <w:rPr>
          <w:rFonts w:ascii="Arial" w:hAnsi="Arial" w:cs="Arial"/>
        </w:rPr>
      </w:pPr>
    </w:p>
  </w:footnote>
  <w:footnote w:id="11">
    <w:p w14:paraId="7D409138" w14:textId="77777777" w:rsidR="001A74C1" w:rsidRPr="00A1224A" w:rsidRDefault="001A74C1" w:rsidP="001A74C1">
      <w:pPr>
        <w:pStyle w:val="Textonotapie"/>
        <w:ind w:firstLine="709"/>
        <w:jc w:val="both"/>
        <w:rPr>
          <w:rFonts w:ascii="Arial" w:hAnsi="Arial" w:cs="Arial"/>
          <w:sz w:val="19"/>
          <w:szCs w:val="19"/>
          <w:lang w:val="pt-BR"/>
        </w:rPr>
      </w:pPr>
      <w:r w:rsidRPr="00A1224A">
        <w:rPr>
          <w:rFonts w:ascii="Arial" w:hAnsi="Arial" w:cs="Arial"/>
          <w:sz w:val="19"/>
          <w:szCs w:val="19"/>
          <w:lang w:val="pt-BR"/>
        </w:rPr>
        <w:t xml:space="preserve">   </w:t>
      </w:r>
      <w:r w:rsidRPr="00A1224A">
        <w:rPr>
          <w:rStyle w:val="Refdenotaalpie"/>
          <w:rFonts w:ascii="Arial" w:hAnsi="Arial" w:cs="Arial"/>
          <w:sz w:val="19"/>
          <w:szCs w:val="19"/>
        </w:rPr>
        <w:footnoteRef/>
      </w:r>
      <w:r w:rsidRPr="00A1224A">
        <w:rPr>
          <w:rFonts w:ascii="Arial" w:hAnsi="Arial" w:cs="Arial"/>
          <w:sz w:val="19"/>
          <w:szCs w:val="19"/>
          <w:lang w:val="pt-BR"/>
        </w:rPr>
        <w:t xml:space="preserve"> Tomado de </w:t>
      </w:r>
      <w:hyperlink r:id="rId1" w:history="1">
        <w:r w:rsidRPr="0078356A">
          <w:rPr>
            <w:rStyle w:val="Hipervnculo"/>
            <w:rFonts w:ascii="Arial" w:hAnsi="Arial" w:cs="Arial"/>
            <w:color w:val="0E63A8" w:themeColor="text2"/>
            <w:sz w:val="19"/>
            <w:szCs w:val="19"/>
            <w:lang w:val="pt-BR"/>
          </w:rPr>
          <w:t>https://sintesis.colombiacompra.gov.co/sintesis/9-etapa-precontractual-estudios-previos</w:t>
        </w:r>
      </w:hyperlink>
      <w:r w:rsidRPr="00A1224A">
        <w:rPr>
          <w:rFonts w:ascii="Arial" w:hAnsi="Arial" w:cs="Arial"/>
          <w:sz w:val="19"/>
          <w:szCs w:val="19"/>
          <w:lang w:val="pt-BR"/>
        </w:rPr>
        <w:t>.</w:t>
      </w:r>
    </w:p>
    <w:p w14:paraId="311016A4" w14:textId="77777777" w:rsidR="001A74C1" w:rsidRPr="00A1224A" w:rsidRDefault="001A74C1" w:rsidP="001A74C1">
      <w:pPr>
        <w:pStyle w:val="Textonotapie"/>
        <w:ind w:left="142" w:firstLine="709"/>
        <w:rPr>
          <w:rFonts w:ascii="Arial" w:hAnsi="Arial" w:cs="Arial"/>
          <w:sz w:val="19"/>
          <w:szCs w:val="19"/>
          <w:lang w:val="pt-BR"/>
        </w:rPr>
      </w:pPr>
    </w:p>
  </w:footnote>
  <w:footnote w:id="12">
    <w:p w14:paraId="514170D0" w14:textId="77777777" w:rsidR="001A74C1" w:rsidRPr="00A1224A" w:rsidRDefault="001A74C1" w:rsidP="001A74C1">
      <w:pPr>
        <w:pStyle w:val="Textoindependiente"/>
        <w:ind w:right="103" w:firstLine="709"/>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w:t>
      </w:r>
      <w:r w:rsidRPr="00A1224A">
        <w:rPr>
          <w:rFonts w:ascii="Arial" w:hAnsi="Arial" w:cs="Arial"/>
          <w:position w:val="6"/>
          <w:sz w:val="19"/>
          <w:szCs w:val="19"/>
        </w:rPr>
        <w:t xml:space="preserve"> </w:t>
      </w:r>
      <w:r w:rsidRPr="00A1224A">
        <w:rPr>
          <w:rFonts w:ascii="Arial" w:hAnsi="Arial" w:cs="Arial"/>
          <w:sz w:val="19"/>
          <w:szCs w:val="19"/>
        </w:rPr>
        <w:t xml:space="preserve">«Artículo </w:t>
      </w:r>
      <w:bookmarkStart w:id="10" w:name="_Hlk54173885"/>
      <w:r w:rsidRPr="00A1224A">
        <w:rPr>
          <w:rFonts w:ascii="Arial" w:hAnsi="Arial" w:cs="Arial"/>
          <w:sz w:val="19"/>
          <w:szCs w:val="19"/>
        </w:rPr>
        <w:t>2.2.1.1.2.1.1</w:t>
      </w:r>
      <w:bookmarkEnd w:id="10"/>
      <w:r w:rsidRPr="00A1224A">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5691B03B" w14:textId="77777777" w:rsidR="001A74C1" w:rsidRPr="00A1224A" w:rsidRDefault="001A74C1" w:rsidP="001A74C1">
      <w:pPr>
        <w:pStyle w:val="Textonotapie"/>
        <w:ind w:firstLine="709"/>
        <w:rPr>
          <w:rFonts w:ascii="Arial" w:hAnsi="Arial" w:cs="Arial"/>
          <w:sz w:val="19"/>
          <w:szCs w:val="19"/>
        </w:rPr>
      </w:pPr>
    </w:p>
  </w:footnote>
  <w:footnote w:id="13">
    <w:p w14:paraId="2E22AB04" w14:textId="77777777" w:rsidR="001A74C1" w:rsidRPr="00A1224A" w:rsidRDefault="001A74C1" w:rsidP="0078356A">
      <w:pPr>
        <w:pStyle w:val="Textoindependiente"/>
        <w:spacing w:before="1" w:after="0"/>
        <w:ind w:right="108" w:firstLine="709"/>
        <w:jc w:val="both"/>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Consejo de Estado, Sala de lo Contencioso Administrativo. Sección Tercera, Subsección B, 31 de agosto de 2011, </w:t>
      </w:r>
      <w:proofErr w:type="spellStart"/>
      <w:r w:rsidRPr="00A1224A">
        <w:rPr>
          <w:rFonts w:ascii="Arial" w:hAnsi="Arial" w:cs="Arial"/>
          <w:sz w:val="19"/>
          <w:szCs w:val="19"/>
        </w:rPr>
        <w:t>exp</w:t>
      </w:r>
      <w:proofErr w:type="spellEnd"/>
      <w:r w:rsidRPr="00A1224A">
        <w:rPr>
          <w:rFonts w:ascii="Arial" w:hAnsi="Arial" w:cs="Arial"/>
          <w:sz w:val="19"/>
          <w:szCs w:val="19"/>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3077B4B" w14:textId="77777777" w:rsidR="001A74C1" w:rsidRPr="00A1224A" w:rsidRDefault="001A74C1" w:rsidP="001A74C1">
      <w:pPr>
        <w:pStyle w:val="Textonotapie"/>
        <w:rPr>
          <w:rFonts w:ascii="Arial" w:hAnsi="Arial" w:cs="Arial"/>
        </w:rPr>
      </w:pPr>
    </w:p>
  </w:footnote>
  <w:footnote w:id="14">
    <w:p w14:paraId="5111A09F" w14:textId="77777777" w:rsidR="001A74C1" w:rsidRPr="00A1224A" w:rsidRDefault="001A74C1" w:rsidP="001A74C1">
      <w:pPr>
        <w:ind w:left="709"/>
        <w:rPr>
          <w:rFonts w:ascii="Arial" w:hAnsi="Arial" w:cs="Arial"/>
          <w:sz w:val="19"/>
          <w:szCs w:val="19"/>
        </w:rPr>
      </w:pPr>
      <w:r w:rsidRPr="00A1224A">
        <w:rPr>
          <w:rStyle w:val="Refdenotaalpie"/>
          <w:rFonts w:ascii="Arial" w:hAnsi="Arial" w:cs="Arial"/>
          <w:sz w:val="19"/>
          <w:szCs w:val="19"/>
        </w:rPr>
        <w:footnoteRef/>
      </w:r>
      <w:r w:rsidRPr="00A1224A">
        <w:rPr>
          <w:rFonts w:ascii="Arial" w:hAnsi="Arial" w:cs="Arial"/>
          <w:sz w:val="19"/>
          <w:szCs w:val="19"/>
        </w:rPr>
        <w:t xml:space="preserve"> </w:t>
      </w:r>
      <w:r w:rsidRPr="00A1224A">
        <w:rPr>
          <w:rFonts w:ascii="Arial" w:hAnsi="Arial" w:cs="Arial"/>
          <w:i/>
          <w:sz w:val="19"/>
          <w:szCs w:val="19"/>
        </w:rPr>
        <w:t xml:space="preserve">Ibidem, </w:t>
      </w:r>
      <w:r w:rsidRPr="00A1224A">
        <w:rPr>
          <w:rFonts w:ascii="Arial" w:hAnsi="Arial" w:cs="Arial"/>
          <w:sz w:val="19"/>
          <w:szCs w:val="19"/>
        </w:rPr>
        <w:t>p. 70.</w:t>
      </w:r>
    </w:p>
    <w:p w14:paraId="2C4BCC55" w14:textId="77777777" w:rsidR="001A74C1" w:rsidRPr="00A1224A" w:rsidRDefault="001A74C1" w:rsidP="001A74C1">
      <w:pPr>
        <w:spacing w:before="78"/>
        <w:ind w:left="828"/>
        <w:rPr>
          <w:rFonts w:ascii="Arial" w:hAnsi="Arial" w:cs="Arial"/>
          <w:sz w:val="22"/>
        </w:rPr>
      </w:pPr>
    </w:p>
  </w:footnote>
  <w:footnote w:id="15">
    <w:p w14:paraId="059DDEE9" w14:textId="4B11C6CD" w:rsidR="00C21FB4" w:rsidRPr="0044297A" w:rsidRDefault="00C21FB4" w:rsidP="0044297A">
      <w:pPr>
        <w:pStyle w:val="Textonotapie"/>
        <w:ind w:firstLine="100"/>
        <w:jc w:val="both"/>
        <w:rPr>
          <w:rFonts w:ascii="Arial" w:hAnsi="Arial" w:cs="Arial"/>
          <w:sz w:val="19"/>
          <w:szCs w:val="19"/>
          <w:lang w:val="es-ES"/>
        </w:rPr>
      </w:pPr>
      <w:r w:rsidRPr="0044297A">
        <w:rPr>
          <w:rStyle w:val="Refdenotaalpie"/>
          <w:rFonts w:ascii="Arial" w:hAnsi="Arial" w:cs="Arial"/>
          <w:sz w:val="19"/>
          <w:szCs w:val="19"/>
        </w:rPr>
        <w:footnoteRef/>
      </w:r>
      <w:r w:rsidRPr="0044297A">
        <w:rPr>
          <w:rFonts w:ascii="Arial" w:hAnsi="Arial" w:cs="Arial"/>
          <w:sz w:val="19"/>
          <w:szCs w:val="19"/>
        </w:rPr>
        <w:t xml:space="preserve"> </w:t>
      </w:r>
      <w:r w:rsidRPr="0044297A">
        <w:rPr>
          <w:rFonts w:ascii="Arial" w:hAnsi="Arial" w:cs="Arial"/>
          <w:sz w:val="19"/>
          <w:szCs w:val="19"/>
          <w:lang w:val="es-ES"/>
        </w:rPr>
        <w:t xml:space="preserve">La </w:t>
      </w:r>
      <w:r w:rsidRPr="0044297A">
        <w:rPr>
          <w:rFonts w:ascii="Arial" w:eastAsia="Calibri" w:hAnsi="Arial" w:cs="Arial"/>
          <w:bCs/>
          <w:sz w:val="19"/>
          <w:szCs w:val="19"/>
          <w:lang w:val="es-ES_tradnl"/>
        </w:rPr>
        <w:t xml:space="preserve">«Guía para la Elaboración de Estudios del Sector» </w:t>
      </w:r>
      <w:r w:rsidR="00A61A97" w:rsidRPr="0044297A">
        <w:rPr>
          <w:rFonts w:ascii="Arial" w:eastAsia="Calibri" w:hAnsi="Arial" w:cs="Arial"/>
          <w:bCs/>
          <w:sz w:val="19"/>
          <w:szCs w:val="19"/>
          <w:lang w:val="es-ES_tradnl"/>
        </w:rPr>
        <w:t xml:space="preserve">puede ser consultada en el siguiente </w:t>
      </w:r>
      <w:proofErr w:type="gramStart"/>
      <w:r w:rsidR="00A61A97" w:rsidRPr="0044297A">
        <w:rPr>
          <w:rFonts w:ascii="Arial" w:eastAsia="Calibri" w:hAnsi="Arial" w:cs="Arial"/>
          <w:bCs/>
          <w:sz w:val="19"/>
          <w:szCs w:val="19"/>
          <w:lang w:val="es-ES_tradnl"/>
        </w:rPr>
        <w:t>link</w:t>
      </w:r>
      <w:proofErr w:type="gramEnd"/>
      <w:r w:rsidR="00A61A97" w:rsidRPr="0044297A">
        <w:rPr>
          <w:rFonts w:ascii="Arial" w:eastAsia="Calibri" w:hAnsi="Arial" w:cs="Arial"/>
          <w:bCs/>
          <w:sz w:val="19"/>
          <w:szCs w:val="19"/>
          <w:lang w:val="es-ES_tradnl"/>
        </w:rPr>
        <w:t>:</w:t>
      </w:r>
      <w:r w:rsidRPr="0044297A">
        <w:rPr>
          <w:rFonts w:ascii="Arial" w:hAnsi="Arial" w:cs="Arial"/>
          <w:sz w:val="19"/>
          <w:szCs w:val="19"/>
          <w:lang w:val="es-ES"/>
        </w:rPr>
        <w:t xml:space="preserve"> https://www.colombiacompra.gov.co/sites/cce_public/files/cce_documentos/cce-eicp-gi-18._gees_v.2_2.pdf</w:t>
      </w:r>
    </w:p>
  </w:footnote>
  <w:footnote w:id="16">
    <w:p w14:paraId="419F232C" w14:textId="77777777" w:rsidR="007D29DA" w:rsidRPr="00B7163F" w:rsidRDefault="007D29DA" w:rsidP="007D29DA">
      <w:pPr>
        <w:pStyle w:val="Textoindependiente"/>
        <w:spacing w:after="0"/>
        <w:ind w:left="100" w:right="105" w:firstLine="707"/>
        <w:jc w:val="both"/>
        <w:rPr>
          <w:rFonts w:ascii="Arial" w:hAnsi="Arial" w:cs="Arial"/>
          <w:sz w:val="19"/>
          <w:szCs w:val="19"/>
        </w:rPr>
      </w:pPr>
      <w:r w:rsidRPr="00B7163F">
        <w:rPr>
          <w:rStyle w:val="Refdenotaalpie"/>
          <w:rFonts w:ascii="Arial" w:hAnsi="Arial" w:cs="Arial"/>
          <w:sz w:val="19"/>
          <w:szCs w:val="19"/>
        </w:rPr>
        <w:footnoteRef/>
      </w:r>
      <w:r w:rsidRPr="00B7163F">
        <w:rPr>
          <w:rFonts w:ascii="Arial" w:hAnsi="Arial" w:cs="Arial"/>
          <w:sz w:val="19"/>
          <w:szCs w:val="19"/>
        </w:rPr>
        <w:t xml:space="preserve"> La Corte Constitucional, en Sentencia C-300 de 2012 M.P. Jorge Ignacio Pretel </w:t>
      </w:r>
      <w:proofErr w:type="spellStart"/>
      <w:r w:rsidRPr="00B7163F">
        <w:rPr>
          <w:rFonts w:ascii="Arial" w:hAnsi="Arial" w:cs="Arial"/>
          <w:sz w:val="19"/>
          <w:szCs w:val="19"/>
        </w:rPr>
        <w:t>Chabljub</w:t>
      </w:r>
      <w:proofErr w:type="spellEnd"/>
      <w:r w:rsidRPr="00B7163F">
        <w:rPr>
          <w:rFonts w:ascii="Arial" w:hAnsi="Arial" w:cs="Arial"/>
          <w:sz w:val="19"/>
          <w:szCs w:val="19"/>
        </w:rPr>
        <w:t>,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111521A2" w14:textId="77777777" w:rsidR="007D29DA" w:rsidRPr="00B7163F" w:rsidRDefault="007D29DA" w:rsidP="007D29DA">
      <w:pPr>
        <w:pStyle w:val="Textoindependiente"/>
        <w:spacing w:after="0"/>
        <w:ind w:left="100" w:right="103" w:firstLine="608"/>
        <w:jc w:val="both"/>
        <w:rPr>
          <w:rFonts w:ascii="Arial" w:hAnsi="Arial" w:cs="Arial"/>
          <w:sz w:val="19"/>
          <w:szCs w:val="19"/>
        </w:rPr>
      </w:pPr>
      <w:proofErr w:type="gramStart"/>
      <w:r w:rsidRPr="00B7163F">
        <w:rPr>
          <w:rFonts w:ascii="Arial" w:hAnsi="Arial" w:cs="Arial"/>
          <w:sz w:val="19"/>
          <w:szCs w:val="19"/>
        </w:rPr>
        <w:t>»Este</w:t>
      </w:r>
      <w:proofErr w:type="gramEnd"/>
      <w:r w:rsidRPr="00B7163F">
        <w:rPr>
          <w:rFonts w:ascii="Arial" w:hAnsi="Arial" w:cs="Arial"/>
          <w:sz w:val="19"/>
          <w:szCs w:val="19"/>
        </w:rPr>
        <w:t xml:space="preserv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72B804BD" w14:textId="77777777" w:rsidR="007D29DA" w:rsidRPr="00B7163F" w:rsidRDefault="007D29DA" w:rsidP="007D29DA">
      <w:pPr>
        <w:pStyle w:val="Textoindependiente"/>
        <w:spacing w:after="0"/>
        <w:ind w:left="100" w:right="103" w:firstLine="608"/>
        <w:jc w:val="both"/>
        <w:rPr>
          <w:rFonts w:ascii="Arial" w:hAnsi="Arial" w:cs="Arial"/>
          <w:sz w:val="19"/>
          <w:szCs w:val="19"/>
        </w:rPr>
      </w:pPr>
      <w:r w:rsidRPr="00B7163F">
        <w:rPr>
          <w:rFonts w:ascii="Arial" w:hAnsi="Arial" w:cs="Arial"/>
          <w:sz w:val="19"/>
          <w:szCs w:val="19"/>
        </w:rPr>
        <w:t xml:space="preserve">»De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w:t>
      </w:r>
      <w:proofErr w:type="gramStart"/>
      <w:r w:rsidRPr="00B7163F">
        <w:rPr>
          <w:rFonts w:ascii="Arial" w:hAnsi="Arial" w:cs="Arial"/>
          <w:sz w:val="19"/>
          <w:szCs w:val="19"/>
        </w:rPr>
        <w:t>que</w:t>
      </w:r>
      <w:proofErr w:type="gramEnd"/>
      <w:r w:rsidRPr="00B7163F">
        <w:rPr>
          <w:rFonts w:ascii="Arial" w:hAnsi="Arial" w:cs="Arial"/>
          <w:sz w:val="19"/>
          <w:szCs w:val="19"/>
        </w:rPr>
        <w:t xml:space="preserv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189AAC0A" w14:textId="77777777" w:rsidR="007D29DA" w:rsidRPr="00B7163F" w:rsidRDefault="007D29DA" w:rsidP="007D29DA">
      <w:pPr>
        <w:pStyle w:val="Textoindependiente"/>
        <w:spacing w:after="0"/>
        <w:ind w:left="100" w:right="105"/>
        <w:jc w:val="both"/>
        <w:rPr>
          <w:rFonts w:ascii="Arial" w:hAnsi="Arial" w:cs="Arial"/>
          <w:sz w:val="19"/>
          <w:szCs w:val="19"/>
        </w:rPr>
      </w:pPr>
    </w:p>
    <w:p w14:paraId="00C6CC56" w14:textId="77777777" w:rsidR="007D29DA" w:rsidRPr="00B7163F" w:rsidRDefault="007D29DA" w:rsidP="007D29DA">
      <w:pPr>
        <w:pStyle w:val="Textonotapie"/>
        <w:jc w:val="both"/>
        <w:rPr>
          <w:rFonts w:ascii="Arial" w:hAnsi="Arial" w:cs="Arial"/>
          <w:sz w:val="19"/>
          <w:szCs w:val="19"/>
        </w:rPr>
      </w:pPr>
    </w:p>
  </w:footnote>
  <w:footnote w:id="17">
    <w:p w14:paraId="6599A468" w14:textId="77777777" w:rsidR="007D29DA" w:rsidRPr="0048098A" w:rsidRDefault="007D29DA" w:rsidP="007D29DA">
      <w:pPr>
        <w:pStyle w:val="Textonotapie"/>
        <w:ind w:firstLine="708"/>
        <w:jc w:val="both"/>
        <w:rPr>
          <w:rFonts w:ascii="Arial" w:hAnsi="Arial" w:cs="Arial"/>
          <w:sz w:val="19"/>
          <w:szCs w:val="19"/>
          <w:lang w:val="es-CO"/>
        </w:rPr>
      </w:pPr>
      <w:r w:rsidRPr="0048098A">
        <w:rPr>
          <w:rStyle w:val="Refdenotaalpie"/>
          <w:rFonts w:ascii="Arial" w:hAnsi="Arial" w:cs="Arial"/>
          <w:sz w:val="19"/>
          <w:szCs w:val="19"/>
        </w:rPr>
        <w:footnoteRef/>
      </w:r>
      <w:r w:rsidRPr="0048098A">
        <w:rPr>
          <w:rFonts w:ascii="Arial" w:hAnsi="Arial" w:cs="Arial"/>
          <w:sz w:val="19"/>
          <w:szCs w:val="19"/>
        </w:rPr>
        <w:t xml:space="preserve"> Consejo de Estado. Sección Tercera. Sentencia del 27 de abril de 2011. </w:t>
      </w:r>
      <w:proofErr w:type="spellStart"/>
      <w:r w:rsidRPr="0048098A">
        <w:rPr>
          <w:rFonts w:ascii="Arial" w:hAnsi="Arial" w:cs="Arial"/>
          <w:sz w:val="19"/>
          <w:szCs w:val="19"/>
        </w:rPr>
        <w:t>Exp</w:t>
      </w:r>
      <w:proofErr w:type="spellEnd"/>
      <w:r w:rsidRPr="0048098A">
        <w:rPr>
          <w:rFonts w:ascii="Arial" w:hAnsi="Arial" w:cs="Arial"/>
          <w:sz w:val="19"/>
          <w:szCs w:val="19"/>
        </w:rPr>
        <w:t>.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74F32D5"/>
    <w:multiLevelType w:val="hybridMultilevel"/>
    <w:tmpl w:val="B484A47A"/>
    <w:lvl w:ilvl="0" w:tplc="F2F6522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A4E379C"/>
    <w:multiLevelType w:val="hybridMultilevel"/>
    <w:tmpl w:val="9A540D78"/>
    <w:lvl w:ilvl="0" w:tplc="FD265EFA">
      <w:start w:val="1"/>
      <w:numFmt w:val="decimal"/>
      <w:pStyle w:val="clusulas"/>
      <w:lvlText w:val="CLÁUSULA %1."/>
      <w:lvlJc w:val="left"/>
      <w:pPr>
        <w:ind w:left="9150" w:hanging="360"/>
      </w:pPr>
      <w:rPr>
        <w:rFonts w:hint="default"/>
        <w:b/>
        <w:color w:val="B5B5B5" w:themeColor="background2" w:themeShade="BF"/>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6036A2"/>
    <w:multiLevelType w:val="multilevel"/>
    <w:tmpl w:val="A6185EC2"/>
    <w:lvl w:ilvl="0">
      <w:start w:val="1"/>
      <w:numFmt w:val="decimal"/>
      <w:lvlText w:val="%1."/>
      <w:lvlJc w:val="left"/>
      <w:pPr>
        <w:ind w:left="44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870" w:hanging="720"/>
      </w:pPr>
      <w:rPr>
        <w:rFonts w:ascii="Arial" w:eastAsia="Arial" w:hAnsi="Arial" w:cs="Arial" w:hint="default"/>
        <w:b/>
        <w:bCs/>
        <w:color w:val="000000" w:themeColor="text1"/>
        <w:spacing w:val="-4"/>
        <w:w w:val="100"/>
        <w:sz w:val="22"/>
        <w:szCs w:val="22"/>
        <w:lang w:val="es-ES" w:eastAsia="en-US" w:bidi="ar-SA"/>
      </w:rPr>
    </w:lvl>
    <w:lvl w:ilvl="2">
      <w:start w:val="1"/>
      <w:numFmt w:val="decimal"/>
      <w:lvlText w:val="%3."/>
      <w:lvlJc w:val="left"/>
      <w:pPr>
        <w:ind w:left="868" w:hanging="223"/>
      </w:pPr>
      <w:rPr>
        <w:rFonts w:ascii="Arial" w:eastAsia="Arial" w:hAnsi="Arial" w:cs="Arial" w:hint="default"/>
        <w:color w:val="000000" w:themeColor="text1"/>
        <w:spacing w:val="-2"/>
        <w:w w:val="100"/>
        <w:sz w:val="20"/>
        <w:szCs w:val="20"/>
        <w:lang w:val="es-ES" w:eastAsia="en-US" w:bidi="ar-SA"/>
      </w:rPr>
    </w:lvl>
    <w:lvl w:ilvl="3">
      <w:numFmt w:val="bullet"/>
      <w:lvlText w:val="•"/>
      <w:lvlJc w:val="left"/>
      <w:pPr>
        <w:ind w:left="1927" w:hanging="223"/>
      </w:pPr>
      <w:rPr>
        <w:rFonts w:hint="default"/>
        <w:lang w:val="es-ES" w:eastAsia="en-US" w:bidi="ar-SA"/>
      </w:rPr>
    </w:lvl>
    <w:lvl w:ilvl="4">
      <w:numFmt w:val="bullet"/>
      <w:lvlText w:val="•"/>
      <w:lvlJc w:val="left"/>
      <w:pPr>
        <w:ind w:left="2975" w:hanging="223"/>
      </w:pPr>
      <w:rPr>
        <w:rFonts w:hint="default"/>
        <w:lang w:val="es-ES" w:eastAsia="en-US" w:bidi="ar-SA"/>
      </w:rPr>
    </w:lvl>
    <w:lvl w:ilvl="5">
      <w:numFmt w:val="bullet"/>
      <w:lvlText w:val="•"/>
      <w:lvlJc w:val="left"/>
      <w:pPr>
        <w:ind w:left="4022" w:hanging="223"/>
      </w:pPr>
      <w:rPr>
        <w:rFonts w:hint="default"/>
        <w:lang w:val="es-ES" w:eastAsia="en-US" w:bidi="ar-SA"/>
      </w:rPr>
    </w:lvl>
    <w:lvl w:ilvl="6">
      <w:numFmt w:val="bullet"/>
      <w:lvlText w:val="•"/>
      <w:lvlJc w:val="left"/>
      <w:pPr>
        <w:ind w:left="5070" w:hanging="223"/>
      </w:pPr>
      <w:rPr>
        <w:rFonts w:hint="default"/>
        <w:lang w:val="es-ES" w:eastAsia="en-US" w:bidi="ar-SA"/>
      </w:rPr>
    </w:lvl>
    <w:lvl w:ilvl="7">
      <w:numFmt w:val="bullet"/>
      <w:lvlText w:val="•"/>
      <w:lvlJc w:val="left"/>
      <w:pPr>
        <w:ind w:left="6117" w:hanging="223"/>
      </w:pPr>
      <w:rPr>
        <w:rFonts w:hint="default"/>
        <w:lang w:val="es-ES" w:eastAsia="en-US" w:bidi="ar-SA"/>
      </w:rPr>
    </w:lvl>
    <w:lvl w:ilvl="8">
      <w:numFmt w:val="bullet"/>
      <w:lvlText w:val="•"/>
      <w:lvlJc w:val="left"/>
      <w:pPr>
        <w:ind w:left="7165" w:hanging="223"/>
      </w:pPr>
      <w:rPr>
        <w:rFonts w:hint="default"/>
        <w:lang w:val="es-ES" w:eastAsia="en-US" w:bidi="ar-SA"/>
      </w:r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68356007">
    <w:abstractNumId w:val="12"/>
  </w:num>
  <w:num w:numId="2" w16cid:durableId="431124796">
    <w:abstractNumId w:val="10"/>
  </w:num>
  <w:num w:numId="3" w16cid:durableId="1001199783">
    <w:abstractNumId w:val="16"/>
  </w:num>
  <w:num w:numId="4" w16cid:durableId="1574197991">
    <w:abstractNumId w:val="21"/>
  </w:num>
  <w:num w:numId="5" w16cid:durableId="294608418">
    <w:abstractNumId w:val="25"/>
  </w:num>
  <w:num w:numId="6" w16cid:durableId="157577297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5055605">
    <w:abstractNumId w:val="23"/>
  </w:num>
  <w:num w:numId="8" w16cid:durableId="452289110">
    <w:abstractNumId w:val="0"/>
  </w:num>
  <w:num w:numId="9" w16cid:durableId="429856392">
    <w:abstractNumId w:val="4"/>
  </w:num>
  <w:num w:numId="10" w16cid:durableId="1029648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60346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6125360">
    <w:abstractNumId w:val="11"/>
  </w:num>
  <w:num w:numId="13" w16cid:durableId="2051757823">
    <w:abstractNumId w:val="15"/>
  </w:num>
  <w:num w:numId="14" w16cid:durableId="2017614784">
    <w:abstractNumId w:val="9"/>
  </w:num>
  <w:num w:numId="15" w16cid:durableId="162249209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318917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690097">
    <w:abstractNumId w:val="27"/>
  </w:num>
  <w:num w:numId="18" w16cid:durableId="1272739090">
    <w:abstractNumId w:val="17"/>
  </w:num>
  <w:num w:numId="19" w16cid:durableId="695160315">
    <w:abstractNumId w:val="2"/>
  </w:num>
  <w:num w:numId="20" w16cid:durableId="37584413">
    <w:abstractNumId w:val="28"/>
  </w:num>
  <w:num w:numId="21" w16cid:durableId="88162059">
    <w:abstractNumId w:val="19"/>
  </w:num>
  <w:num w:numId="22" w16cid:durableId="375550676">
    <w:abstractNumId w:val="6"/>
  </w:num>
  <w:num w:numId="23" w16cid:durableId="938753512">
    <w:abstractNumId w:val="5"/>
  </w:num>
  <w:num w:numId="24" w16cid:durableId="1334844656">
    <w:abstractNumId w:val="26"/>
  </w:num>
  <w:num w:numId="25" w16cid:durableId="320890626">
    <w:abstractNumId w:val="22"/>
  </w:num>
  <w:num w:numId="26" w16cid:durableId="477381329">
    <w:abstractNumId w:val="3"/>
  </w:num>
  <w:num w:numId="27" w16cid:durableId="687870642">
    <w:abstractNumId w:val="18"/>
  </w:num>
  <w:num w:numId="28" w16cid:durableId="1548104088">
    <w:abstractNumId w:val="8"/>
  </w:num>
  <w:num w:numId="29" w16cid:durableId="1038238910">
    <w:abstractNumId w:val="20"/>
  </w:num>
  <w:num w:numId="30" w16cid:durableId="1782409268">
    <w:abstractNumId w:val="14"/>
  </w:num>
  <w:num w:numId="31" w16cid:durableId="21469708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1A5"/>
    <w:rsid w:val="0000162E"/>
    <w:rsid w:val="00001A1C"/>
    <w:rsid w:val="00001FFD"/>
    <w:rsid w:val="00002027"/>
    <w:rsid w:val="000020FE"/>
    <w:rsid w:val="00002173"/>
    <w:rsid w:val="000031A8"/>
    <w:rsid w:val="00003C5C"/>
    <w:rsid w:val="00003D39"/>
    <w:rsid w:val="000040D7"/>
    <w:rsid w:val="00004556"/>
    <w:rsid w:val="00004AAC"/>
    <w:rsid w:val="00004D14"/>
    <w:rsid w:val="000051AF"/>
    <w:rsid w:val="000051FE"/>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5E3E"/>
    <w:rsid w:val="00016081"/>
    <w:rsid w:val="000165AC"/>
    <w:rsid w:val="00016651"/>
    <w:rsid w:val="000171A2"/>
    <w:rsid w:val="00017B65"/>
    <w:rsid w:val="00020158"/>
    <w:rsid w:val="000207E0"/>
    <w:rsid w:val="000209E2"/>
    <w:rsid w:val="00020F8F"/>
    <w:rsid w:val="00021138"/>
    <w:rsid w:val="00021A95"/>
    <w:rsid w:val="0002256F"/>
    <w:rsid w:val="00023DAE"/>
    <w:rsid w:val="00024896"/>
    <w:rsid w:val="00024EE3"/>
    <w:rsid w:val="00025D0A"/>
    <w:rsid w:val="000263F0"/>
    <w:rsid w:val="00026407"/>
    <w:rsid w:val="000264F9"/>
    <w:rsid w:val="00026608"/>
    <w:rsid w:val="00026A8D"/>
    <w:rsid w:val="00027787"/>
    <w:rsid w:val="000278D2"/>
    <w:rsid w:val="000300EE"/>
    <w:rsid w:val="00031364"/>
    <w:rsid w:val="000315E1"/>
    <w:rsid w:val="00031A4F"/>
    <w:rsid w:val="0003236E"/>
    <w:rsid w:val="0003316B"/>
    <w:rsid w:val="0003339A"/>
    <w:rsid w:val="000341F2"/>
    <w:rsid w:val="00034A6A"/>
    <w:rsid w:val="00035046"/>
    <w:rsid w:val="000351F2"/>
    <w:rsid w:val="0003562A"/>
    <w:rsid w:val="00036110"/>
    <w:rsid w:val="000368A6"/>
    <w:rsid w:val="00036E03"/>
    <w:rsid w:val="00037D12"/>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235"/>
    <w:rsid w:val="000504DE"/>
    <w:rsid w:val="00050B1C"/>
    <w:rsid w:val="00051074"/>
    <w:rsid w:val="00051DC3"/>
    <w:rsid w:val="000526F0"/>
    <w:rsid w:val="0005273D"/>
    <w:rsid w:val="00052B79"/>
    <w:rsid w:val="00052E4B"/>
    <w:rsid w:val="00052EA0"/>
    <w:rsid w:val="000536A7"/>
    <w:rsid w:val="000536E3"/>
    <w:rsid w:val="00053896"/>
    <w:rsid w:val="00053A00"/>
    <w:rsid w:val="0005474D"/>
    <w:rsid w:val="00054D74"/>
    <w:rsid w:val="00055CB9"/>
    <w:rsid w:val="00056565"/>
    <w:rsid w:val="00056F66"/>
    <w:rsid w:val="0005702F"/>
    <w:rsid w:val="00061010"/>
    <w:rsid w:val="00061470"/>
    <w:rsid w:val="00061D06"/>
    <w:rsid w:val="00062CDD"/>
    <w:rsid w:val="000640AF"/>
    <w:rsid w:val="00064940"/>
    <w:rsid w:val="00064CAE"/>
    <w:rsid w:val="00064DB7"/>
    <w:rsid w:val="00064FA7"/>
    <w:rsid w:val="00065195"/>
    <w:rsid w:val="0006536C"/>
    <w:rsid w:val="00065D20"/>
    <w:rsid w:val="0006626E"/>
    <w:rsid w:val="00070AF1"/>
    <w:rsid w:val="000714DE"/>
    <w:rsid w:val="0007254F"/>
    <w:rsid w:val="00073296"/>
    <w:rsid w:val="0007357C"/>
    <w:rsid w:val="00073C30"/>
    <w:rsid w:val="00074305"/>
    <w:rsid w:val="000744D0"/>
    <w:rsid w:val="00074B2A"/>
    <w:rsid w:val="00074EEE"/>
    <w:rsid w:val="000753D5"/>
    <w:rsid w:val="000753FF"/>
    <w:rsid w:val="00075B3E"/>
    <w:rsid w:val="00076456"/>
    <w:rsid w:val="0007779B"/>
    <w:rsid w:val="000777E7"/>
    <w:rsid w:val="0007790A"/>
    <w:rsid w:val="0008017B"/>
    <w:rsid w:val="00080ACD"/>
    <w:rsid w:val="000811ED"/>
    <w:rsid w:val="00081D62"/>
    <w:rsid w:val="00082B74"/>
    <w:rsid w:val="00083099"/>
    <w:rsid w:val="00083C2E"/>
    <w:rsid w:val="00083EDC"/>
    <w:rsid w:val="0008457F"/>
    <w:rsid w:val="00084994"/>
    <w:rsid w:val="00084B97"/>
    <w:rsid w:val="0008510E"/>
    <w:rsid w:val="000856DE"/>
    <w:rsid w:val="00085F17"/>
    <w:rsid w:val="00085FB0"/>
    <w:rsid w:val="00085FB3"/>
    <w:rsid w:val="0008686B"/>
    <w:rsid w:val="00086B2A"/>
    <w:rsid w:val="00086C11"/>
    <w:rsid w:val="00086ED2"/>
    <w:rsid w:val="00090528"/>
    <w:rsid w:val="000914D6"/>
    <w:rsid w:val="00091569"/>
    <w:rsid w:val="00092CDB"/>
    <w:rsid w:val="00092DCA"/>
    <w:rsid w:val="000942EB"/>
    <w:rsid w:val="00094E86"/>
    <w:rsid w:val="00094FEC"/>
    <w:rsid w:val="00095B70"/>
    <w:rsid w:val="0009617E"/>
    <w:rsid w:val="0009628D"/>
    <w:rsid w:val="0009670F"/>
    <w:rsid w:val="000979CF"/>
    <w:rsid w:val="000A03C8"/>
    <w:rsid w:val="000A05F2"/>
    <w:rsid w:val="000A06C4"/>
    <w:rsid w:val="000A0861"/>
    <w:rsid w:val="000A0EC4"/>
    <w:rsid w:val="000A0ED1"/>
    <w:rsid w:val="000A1258"/>
    <w:rsid w:val="000A12DB"/>
    <w:rsid w:val="000A17C8"/>
    <w:rsid w:val="000A1B74"/>
    <w:rsid w:val="000A20D7"/>
    <w:rsid w:val="000A2128"/>
    <w:rsid w:val="000A2142"/>
    <w:rsid w:val="000A362F"/>
    <w:rsid w:val="000A3B49"/>
    <w:rsid w:val="000A46FE"/>
    <w:rsid w:val="000A47E6"/>
    <w:rsid w:val="000A52C0"/>
    <w:rsid w:val="000A5AAF"/>
    <w:rsid w:val="000A5F97"/>
    <w:rsid w:val="000A600A"/>
    <w:rsid w:val="000A648E"/>
    <w:rsid w:val="000A73BB"/>
    <w:rsid w:val="000A73E8"/>
    <w:rsid w:val="000A7EF4"/>
    <w:rsid w:val="000B081A"/>
    <w:rsid w:val="000B0A15"/>
    <w:rsid w:val="000B0B85"/>
    <w:rsid w:val="000B103F"/>
    <w:rsid w:val="000B1437"/>
    <w:rsid w:val="000B1470"/>
    <w:rsid w:val="000B244D"/>
    <w:rsid w:val="000B2B86"/>
    <w:rsid w:val="000B2F49"/>
    <w:rsid w:val="000B3051"/>
    <w:rsid w:val="000B419B"/>
    <w:rsid w:val="000B4E55"/>
    <w:rsid w:val="000B5781"/>
    <w:rsid w:val="000B5CB1"/>
    <w:rsid w:val="000B68EA"/>
    <w:rsid w:val="000B75F4"/>
    <w:rsid w:val="000C0185"/>
    <w:rsid w:val="000C0F81"/>
    <w:rsid w:val="000C128D"/>
    <w:rsid w:val="000C17A3"/>
    <w:rsid w:val="000C1D4B"/>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462"/>
    <w:rsid w:val="000D053D"/>
    <w:rsid w:val="000D0ED2"/>
    <w:rsid w:val="000D1CEB"/>
    <w:rsid w:val="000D2563"/>
    <w:rsid w:val="000D25BF"/>
    <w:rsid w:val="000D3582"/>
    <w:rsid w:val="000D3FDC"/>
    <w:rsid w:val="000D417B"/>
    <w:rsid w:val="000D47D4"/>
    <w:rsid w:val="000D490B"/>
    <w:rsid w:val="000D4E38"/>
    <w:rsid w:val="000D50DB"/>
    <w:rsid w:val="000D6288"/>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2CF"/>
    <w:rsid w:val="000E7E0B"/>
    <w:rsid w:val="000F0136"/>
    <w:rsid w:val="000F078A"/>
    <w:rsid w:val="000F122D"/>
    <w:rsid w:val="000F1450"/>
    <w:rsid w:val="000F14E8"/>
    <w:rsid w:val="000F1BBD"/>
    <w:rsid w:val="000F2666"/>
    <w:rsid w:val="000F290F"/>
    <w:rsid w:val="000F4403"/>
    <w:rsid w:val="000F480B"/>
    <w:rsid w:val="000F4E17"/>
    <w:rsid w:val="000F5615"/>
    <w:rsid w:val="000F61EB"/>
    <w:rsid w:val="000F6578"/>
    <w:rsid w:val="000F722C"/>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B2B"/>
    <w:rsid w:val="001124C3"/>
    <w:rsid w:val="00112774"/>
    <w:rsid w:val="00112B2E"/>
    <w:rsid w:val="00113003"/>
    <w:rsid w:val="00113062"/>
    <w:rsid w:val="001131C3"/>
    <w:rsid w:val="00113705"/>
    <w:rsid w:val="00113975"/>
    <w:rsid w:val="00113CFC"/>
    <w:rsid w:val="00113FEA"/>
    <w:rsid w:val="00114A22"/>
    <w:rsid w:val="00114E9D"/>
    <w:rsid w:val="0011507B"/>
    <w:rsid w:val="00116328"/>
    <w:rsid w:val="001163CF"/>
    <w:rsid w:val="001174C9"/>
    <w:rsid w:val="00117E69"/>
    <w:rsid w:val="00121103"/>
    <w:rsid w:val="00121A9B"/>
    <w:rsid w:val="00121BAB"/>
    <w:rsid w:val="00121E3C"/>
    <w:rsid w:val="00122946"/>
    <w:rsid w:val="00122B23"/>
    <w:rsid w:val="00122B7E"/>
    <w:rsid w:val="00123E27"/>
    <w:rsid w:val="00123FB5"/>
    <w:rsid w:val="0012400F"/>
    <w:rsid w:val="001249DC"/>
    <w:rsid w:val="0012572D"/>
    <w:rsid w:val="00125BED"/>
    <w:rsid w:val="00125C59"/>
    <w:rsid w:val="00125D4F"/>
    <w:rsid w:val="00126058"/>
    <w:rsid w:val="00127004"/>
    <w:rsid w:val="00127AF2"/>
    <w:rsid w:val="00127EDC"/>
    <w:rsid w:val="00127F42"/>
    <w:rsid w:val="00127F6D"/>
    <w:rsid w:val="00130355"/>
    <w:rsid w:val="00130365"/>
    <w:rsid w:val="001304E5"/>
    <w:rsid w:val="00131486"/>
    <w:rsid w:val="00131B5A"/>
    <w:rsid w:val="00132C30"/>
    <w:rsid w:val="00132EFD"/>
    <w:rsid w:val="00133AED"/>
    <w:rsid w:val="00134BCD"/>
    <w:rsid w:val="00134E09"/>
    <w:rsid w:val="001350AB"/>
    <w:rsid w:val="00135DB9"/>
    <w:rsid w:val="0013695C"/>
    <w:rsid w:val="00136BF7"/>
    <w:rsid w:val="00136C78"/>
    <w:rsid w:val="001378B9"/>
    <w:rsid w:val="00137DE2"/>
    <w:rsid w:val="00137E75"/>
    <w:rsid w:val="00137FFA"/>
    <w:rsid w:val="00140109"/>
    <w:rsid w:val="0014029B"/>
    <w:rsid w:val="00140464"/>
    <w:rsid w:val="00140A4F"/>
    <w:rsid w:val="001413AB"/>
    <w:rsid w:val="001416FE"/>
    <w:rsid w:val="00141DBF"/>
    <w:rsid w:val="00142BA9"/>
    <w:rsid w:val="00142EFD"/>
    <w:rsid w:val="00144335"/>
    <w:rsid w:val="0014502F"/>
    <w:rsid w:val="00145282"/>
    <w:rsid w:val="001453B0"/>
    <w:rsid w:val="001454D9"/>
    <w:rsid w:val="00145D8E"/>
    <w:rsid w:val="00146083"/>
    <w:rsid w:val="001462F7"/>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4DD"/>
    <w:rsid w:val="0015571E"/>
    <w:rsid w:val="00155D08"/>
    <w:rsid w:val="0015623B"/>
    <w:rsid w:val="00156BE5"/>
    <w:rsid w:val="00157232"/>
    <w:rsid w:val="00160401"/>
    <w:rsid w:val="00160D4E"/>
    <w:rsid w:val="00161DDA"/>
    <w:rsid w:val="00161E62"/>
    <w:rsid w:val="00161F1C"/>
    <w:rsid w:val="0016200B"/>
    <w:rsid w:val="0016204B"/>
    <w:rsid w:val="00163D7A"/>
    <w:rsid w:val="00164281"/>
    <w:rsid w:val="001647E7"/>
    <w:rsid w:val="00165703"/>
    <w:rsid w:val="00166204"/>
    <w:rsid w:val="0016685F"/>
    <w:rsid w:val="0016712F"/>
    <w:rsid w:val="00167503"/>
    <w:rsid w:val="001676A9"/>
    <w:rsid w:val="00167A15"/>
    <w:rsid w:val="00167A50"/>
    <w:rsid w:val="00167CD9"/>
    <w:rsid w:val="00167D1A"/>
    <w:rsid w:val="00167DF5"/>
    <w:rsid w:val="00170001"/>
    <w:rsid w:val="001704D7"/>
    <w:rsid w:val="00172198"/>
    <w:rsid w:val="00172612"/>
    <w:rsid w:val="00172817"/>
    <w:rsid w:val="001734E3"/>
    <w:rsid w:val="001742BF"/>
    <w:rsid w:val="001742E1"/>
    <w:rsid w:val="00175E49"/>
    <w:rsid w:val="00176354"/>
    <w:rsid w:val="0017649F"/>
    <w:rsid w:val="0017655B"/>
    <w:rsid w:val="001805C1"/>
    <w:rsid w:val="00180A2E"/>
    <w:rsid w:val="001813AF"/>
    <w:rsid w:val="001829CD"/>
    <w:rsid w:val="00182F01"/>
    <w:rsid w:val="001833C2"/>
    <w:rsid w:val="00184219"/>
    <w:rsid w:val="00184F27"/>
    <w:rsid w:val="0018519B"/>
    <w:rsid w:val="00185412"/>
    <w:rsid w:val="0018574F"/>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388B"/>
    <w:rsid w:val="00193ADE"/>
    <w:rsid w:val="00193B9A"/>
    <w:rsid w:val="001940ED"/>
    <w:rsid w:val="001946AE"/>
    <w:rsid w:val="001946D5"/>
    <w:rsid w:val="00194E7E"/>
    <w:rsid w:val="00194E8C"/>
    <w:rsid w:val="001962EC"/>
    <w:rsid w:val="001963DD"/>
    <w:rsid w:val="001965DB"/>
    <w:rsid w:val="00196D01"/>
    <w:rsid w:val="00196DC9"/>
    <w:rsid w:val="00196E95"/>
    <w:rsid w:val="001A0236"/>
    <w:rsid w:val="001A0265"/>
    <w:rsid w:val="001A0915"/>
    <w:rsid w:val="001A09BF"/>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212"/>
    <w:rsid w:val="001A74C1"/>
    <w:rsid w:val="001A7591"/>
    <w:rsid w:val="001A75B1"/>
    <w:rsid w:val="001A7B06"/>
    <w:rsid w:val="001B0366"/>
    <w:rsid w:val="001B0444"/>
    <w:rsid w:val="001B096B"/>
    <w:rsid w:val="001B0F9F"/>
    <w:rsid w:val="001B123C"/>
    <w:rsid w:val="001B1A0D"/>
    <w:rsid w:val="001B1BF1"/>
    <w:rsid w:val="001B2456"/>
    <w:rsid w:val="001B449C"/>
    <w:rsid w:val="001B4AA2"/>
    <w:rsid w:val="001B4ADE"/>
    <w:rsid w:val="001B5530"/>
    <w:rsid w:val="001B5EF8"/>
    <w:rsid w:val="001B5F4C"/>
    <w:rsid w:val="001B71E8"/>
    <w:rsid w:val="001C07C6"/>
    <w:rsid w:val="001C19CD"/>
    <w:rsid w:val="001C22D5"/>
    <w:rsid w:val="001C2515"/>
    <w:rsid w:val="001C26FB"/>
    <w:rsid w:val="001C33C1"/>
    <w:rsid w:val="001C3518"/>
    <w:rsid w:val="001C3801"/>
    <w:rsid w:val="001C3E30"/>
    <w:rsid w:val="001C3E5C"/>
    <w:rsid w:val="001C5072"/>
    <w:rsid w:val="001C5B2A"/>
    <w:rsid w:val="001C600B"/>
    <w:rsid w:val="001C6898"/>
    <w:rsid w:val="001C6DD8"/>
    <w:rsid w:val="001C7C7B"/>
    <w:rsid w:val="001D068D"/>
    <w:rsid w:val="001D12D1"/>
    <w:rsid w:val="001D15DF"/>
    <w:rsid w:val="001D2EEE"/>
    <w:rsid w:val="001D30F3"/>
    <w:rsid w:val="001D31A0"/>
    <w:rsid w:val="001D338E"/>
    <w:rsid w:val="001D43E7"/>
    <w:rsid w:val="001D56E9"/>
    <w:rsid w:val="001D796A"/>
    <w:rsid w:val="001D7A84"/>
    <w:rsid w:val="001D7C79"/>
    <w:rsid w:val="001E003B"/>
    <w:rsid w:val="001E05B3"/>
    <w:rsid w:val="001E1CC4"/>
    <w:rsid w:val="001E1D38"/>
    <w:rsid w:val="001E28A0"/>
    <w:rsid w:val="001E320D"/>
    <w:rsid w:val="001E3FFE"/>
    <w:rsid w:val="001E4258"/>
    <w:rsid w:val="001E45B6"/>
    <w:rsid w:val="001E5140"/>
    <w:rsid w:val="001E5D6A"/>
    <w:rsid w:val="001E6A94"/>
    <w:rsid w:val="001E70FB"/>
    <w:rsid w:val="001E780A"/>
    <w:rsid w:val="001F0D15"/>
    <w:rsid w:val="001F0FA0"/>
    <w:rsid w:val="001F1349"/>
    <w:rsid w:val="001F1863"/>
    <w:rsid w:val="001F1D0F"/>
    <w:rsid w:val="001F2356"/>
    <w:rsid w:val="001F2367"/>
    <w:rsid w:val="001F24FE"/>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154A"/>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078E7"/>
    <w:rsid w:val="002110EB"/>
    <w:rsid w:val="00211338"/>
    <w:rsid w:val="00211388"/>
    <w:rsid w:val="0021148C"/>
    <w:rsid w:val="00211694"/>
    <w:rsid w:val="00211D4F"/>
    <w:rsid w:val="0021201A"/>
    <w:rsid w:val="002138FE"/>
    <w:rsid w:val="00213914"/>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194E"/>
    <w:rsid w:val="002220B1"/>
    <w:rsid w:val="0022210B"/>
    <w:rsid w:val="002221CE"/>
    <w:rsid w:val="00222757"/>
    <w:rsid w:val="00222BE8"/>
    <w:rsid w:val="00222C75"/>
    <w:rsid w:val="00223102"/>
    <w:rsid w:val="002232CB"/>
    <w:rsid w:val="00224022"/>
    <w:rsid w:val="00226055"/>
    <w:rsid w:val="0022609C"/>
    <w:rsid w:val="0022613F"/>
    <w:rsid w:val="00226236"/>
    <w:rsid w:val="002263DD"/>
    <w:rsid w:val="002270C9"/>
    <w:rsid w:val="00227A8B"/>
    <w:rsid w:val="00230F0B"/>
    <w:rsid w:val="0023146B"/>
    <w:rsid w:val="002315A0"/>
    <w:rsid w:val="00231748"/>
    <w:rsid w:val="00231EC7"/>
    <w:rsid w:val="002325AF"/>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3FD"/>
    <w:rsid w:val="00240EC1"/>
    <w:rsid w:val="0024120F"/>
    <w:rsid w:val="0024131D"/>
    <w:rsid w:val="002415B8"/>
    <w:rsid w:val="00241816"/>
    <w:rsid w:val="00242D5F"/>
    <w:rsid w:val="00242D62"/>
    <w:rsid w:val="00242E16"/>
    <w:rsid w:val="002430D0"/>
    <w:rsid w:val="002431D7"/>
    <w:rsid w:val="00244058"/>
    <w:rsid w:val="002451A6"/>
    <w:rsid w:val="00245718"/>
    <w:rsid w:val="00245E07"/>
    <w:rsid w:val="00247712"/>
    <w:rsid w:val="00250A9E"/>
    <w:rsid w:val="00250EC6"/>
    <w:rsid w:val="002515C7"/>
    <w:rsid w:val="00251866"/>
    <w:rsid w:val="00251A9F"/>
    <w:rsid w:val="00251D42"/>
    <w:rsid w:val="00252492"/>
    <w:rsid w:val="00252B35"/>
    <w:rsid w:val="00253070"/>
    <w:rsid w:val="0025316D"/>
    <w:rsid w:val="00253A02"/>
    <w:rsid w:val="00253B81"/>
    <w:rsid w:val="00254A18"/>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2B37"/>
    <w:rsid w:val="00263101"/>
    <w:rsid w:val="002631D1"/>
    <w:rsid w:val="00263201"/>
    <w:rsid w:val="002638BB"/>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5EF3"/>
    <w:rsid w:val="0028663B"/>
    <w:rsid w:val="00286CEC"/>
    <w:rsid w:val="002870F9"/>
    <w:rsid w:val="002871A9"/>
    <w:rsid w:val="002874B9"/>
    <w:rsid w:val="00287505"/>
    <w:rsid w:val="00287BDB"/>
    <w:rsid w:val="00290781"/>
    <w:rsid w:val="00291454"/>
    <w:rsid w:val="00291611"/>
    <w:rsid w:val="00291784"/>
    <w:rsid w:val="002920DF"/>
    <w:rsid w:val="00292149"/>
    <w:rsid w:val="002929BB"/>
    <w:rsid w:val="00293AEE"/>
    <w:rsid w:val="00294368"/>
    <w:rsid w:val="00294B78"/>
    <w:rsid w:val="00294F16"/>
    <w:rsid w:val="00295416"/>
    <w:rsid w:val="002956FB"/>
    <w:rsid w:val="00295949"/>
    <w:rsid w:val="00295D7C"/>
    <w:rsid w:val="0029624A"/>
    <w:rsid w:val="00296922"/>
    <w:rsid w:val="00297098"/>
    <w:rsid w:val="002A05D4"/>
    <w:rsid w:val="002A06DB"/>
    <w:rsid w:val="002A09FF"/>
    <w:rsid w:val="002A0E60"/>
    <w:rsid w:val="002A1A58"/>
    <w:rsid w:val="002A1B02"/>
    <w:rsid w:val="002A1C53"/>
    <w:rsid w:val="002A244B"/>
    <w:rsid w:val="002A287D"/>
    <w:rsid w:val="002A28FC"/>
    <w:rsid w:val="002A2B44"/>
    <w:rsid w:val="002A2EA5"/>
    <w:rsid w:val="002A39B5"/>
    <w:rsid w:val="002A3D94"/>
    <w:rsid w:val="002A4736"/>
    <w:rsid w:val="002A4B1C"/>
    <w:rsid w:val="002A55FE"/>
    <w:rsid w:val="002A5A98"/>
    <w:rsid w:val="002A6AFB"/>
    <w:rsid w:val="002A733D"/>
    <w:rsid w:val="002A774A"/>
    <w:rsid w:val="002A78F3"/>
    <w:rsid w:val="002A7E5C"/>
    <w:rsid w:val="002A7F6D"/>
    <w:rsid w:val="002B067A"/>
    <w:rsid w:val="002B1342"/>
    <w:rsid w:val="002B1CE8"/>
    <w:rsid w:val="002B1F83"/>
    <w:rsid w:val="002B27C8"/>
    <w:rsid w:val="002B2A7F"/>
    <w:rsid w:val="002B2E69"/>
    <w:rsid w:val="002B330B"/>
    <w:rsid w:val="002B332B"/>
    <w:rsid w:val="002B39BE"/>
    <w:rsid w:val="002B438C"/>
    <w:rsid w:val="002B48DB"/>
    <w:rsid w:val="002B4B34"/>
    <w:rsid w:val="002B541A"/>
    <w:rsid w:val="002B5EAB"/>
    <w:rsid w:val="002B5F2E"/>
    <w:rsid w:val="002B6407"/>
    <w:rsid w:val="002B6416"/>
    <w:rsid w:val="002B6459"/>
    <w:rsid w:val="002B7014"/>
    <w:rsid w:val="002B73B0"/>
    <w:rsid w:val="002C0A5C"/>
    <w:rsid w:val="002C24B4"/>
    <w:rsid w:val="002C2A6C"/>
    <w:rsid w:val="002C2B3A"/>
    <w:rsid w:val="002C2B87"/>
    <w:rsid w:val="002C3CF4"/>
    <w:rsid w:val="002C441A"/>
    <w:rsid w:val="002C4A73"/>
    <w:rsid w:val="002C4B84"/>
    <w:rsid w:val="002C4C0C"/>
    <w:rsid w:val="002C5016"/>
    <w:rsid w:val="002C5618"/>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6B4"/>
    <w:rsid w:val="002D4A45"/>
    <w:rsid w:val="002D4B42"/>
    <w:rsid w:val="002D4B43"/>
    <w:rsid w:val="002D4BC1"/>
    <w:rsid w:val="002D5A1B"/>
    <w:rsid w:val="002D65BC"/>
    <w:rsid w:val="002D7804"/>
    <w:rsid w:val="002E055C"/>
    <w:rsid w:val="002E1050"/>
    <w:rsid w:val="002E107E"/>
    <w:rsid w:val="002E18E5"/>
    <w:rsid w:val="002E1953"/>
    <w:rsid w:val="002E1EA2"/>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40E2"/>
    <w:rsid w:val="002F45F6"/>
    <w:rsid w:val="002F49B2"/>
    <w:rsid w:val="002F5A6F"/>
    <w:rsid w:val="002F692F"/>
    <w:rsid w:val="002F7575"/>
    <w:rsid w:val="002F7961"/>
    <w:rsid w:val="002F7B66"/>
    <w:rsid w:val="00300CB4"/>
    <w:rsid w:val="00300E24"/>
    <w:rsid w:val="003033BA"/>
    <w:rsid w:val="00303C19"/>
    <w:rsid w:val="003043A3"/>
    <w:rsid w:val="00304BD4"/>
    <w:rsid w:val="00304FEE"/>
    <w:rsid w:val="0030500A"/>
    <w:rsid w:val="003052EB"/>
    <w:rsid w:val="00305FCB"/>
    <w:rsid w:val="003063C3"/>
    <w:rsid w:val="003069DC"/>
    <w:rsid w:val="00306B44"/>
    <w:rsid w:val="003070C0"/>
    <w:rsid w:val="0030765A"/>
    <w:rsid w:val="00307C44"/>
    <w:rsid w:val="0031088E"/>
    <w:rsid w:val="00310D01"/>
    <w:rsid w:val="00310E2A"/>
    <w:rsid w:val="00311376"/>
    <w:rsid w:val="0031184C"/>
    <w:rsid w:val="003119E1"/>
    <w:rsid w:val="00311A1F"/>
    <w:rsid w:val="00311B47"/>
    <w:rsid w:val="00311D52"/>
    <w:rsid w:val="00312190"/>
    <w:rsid w:val="003125E0"/>
    <w:rsid w:val="0031271D"/>
    <w:rsid w:val="00312C7E"/>
    <w:rsid w:val="003132BB"/>
    <w:rsid w:val="00313337"/>
    <w:rsid w:val="00313447"/>
    <w:rsid w:val="00313748"/>
    <w:rsid w:val="00313AF8"/>
    <w:rsid w:val="00313EA3"/>
    <w:rsid w:val="00315365"/>
    <w:rsid w:val="00315457"/>
    <w:rsid w:val="003161A4"/>
    <w:rsid w:val="00316955"/>
    <w:rsid w:val="00316BBE"/>
    <w:rsid w:val="0031713F"/>
    <w:rsid w:val="0031720A"/>
    <w:rsid w:val="0031749B"/>
    <w:rsid w:val="003174E5"/>
    <w:rsid w:val="00317C9D"/>
    <w:rsid w:val="00317CD2"/>
    <w:rsid w:val="00317D99"/>
    <w:rsid w:val="003204A5"/>
    <w:rsid w:val="0032078D"/>
    <w:rsid w:val="00320ADF"/>
    <w:rsid w:val="0032137B"/>
    <w:rsid w:val="00321BD6"/>
    <w:rsid w:val="00321FA3"/>
    <w:rsid w:val="003222D8"/>
    <w:rsid w:val="003227D3"/>
    <w:rsid w:val="00322937"/>
    <w:rsid w:val="00322FB5"/>
    <w:rsid w:val="00323881"/>
    <w:rsid w:val="00324885"/>
    <w:rsid w:val="003251A8"/>
    <w:rsid w:val="003254B1"/>
    <w:rsid w:val="00325AD9"/>
    <w:rsid w:val="00325D98"/>
    <w:rsid w:val="0032682A"/>
    <w:rsid w:val="00327A5C"/>
    <w:rsid w:val="0033092C"/>
    <w:rsid w:val="0033122A"/>
    <w:rsid w:val="003315AC"/>
    <w:rsid w:val="00331932"/>
    <w:rsid w:val="00331F74"/>
    <w:rsid w:val="00332096"/>
    <w:rsid w:val="00332382"/>
    <w:rsid w:val="00332453"/>
    <w:rsid w:val="0033251B"/>
    <w:rsid w:val="003325E4"/>
    <w:rsid w:val="00333624"/>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C43"/>
    <w:rsid w:val="003454E8"/>
    <w:rsid w:val="00345574"/>
    <w:rsid w:val="003457B9"/>
    <w:rsid w:val="0034680A"/>
    <w:rsid w:val="00346C62"/>
    <w:rsid w:val="00347202"/>
    <w:rsid w:val="0034778E"/>
    <w:rsid w:val="00347A5A"/>
    <w:rsid w:val="003501E2"/>
    <w:rsid w:val="00351E10"/>
    <w:rsid w:val="00352874"/>
    <w:rsid w:val="00352BE8"/>
    <w:rsid w:val="003533F4"/>
    <w:rsid w:val="003536F6"/>
    <w:rsid w:val="00353DD5"/>
    <w:rsid w:val="00355131"/>
    <w:rsid w:val="00355B12"/>
    <w:rsid w:val="00355F74"/>
    <w:rsid w:val="003560DB"/>
    <w:rsid w:val="003564DB"/>
    <w:rsid w:val="00356F87"/>
    <w:rsid w:val="00357187"/>
    <w:rsid w:val="00357E83"/>
    <w:rsid w:val="00360CF3"/>
    <w:rsid w:val="0036137C"/>
    <w:rsid w:val="00361A59"/>
    <w:rsid w:val="00363348"/>
    <w:rsid w:val="00363857"/>
    <w:rsid w:val="00363D59"/>
    <w:rsid w:val="003640F7"/>
    <w:rsid w:val="003642F8"/>
    <w:rsid w:val="00365D3A"/>
    <w:rsid w:val="003664FF"/>
    <w:rsid w:val="00366BD2"/>
    <w:rsid w:val="003670B8"/>
    <w:rsid w:val="003704A3"/>
    <w:rsid w:val="0037058F"/>
    <w:rsid w:val="003706F2"/>
    <w:rsid w:val="0037124F"/>
    <w:rsid w:val="00372C84"/>
    <w:rsid w:val="00373827"/>
    <w:rsid w:val="0037401C"/>
    <w:rsid w:val="0037507B"/>
    <w:rsid w:val="00375C7C"/>
    <w:rsid w:val="00377027"/>
    <w:rsid w:val="00377135"/>
    <w:rsid w:val="00380272"/>
    <w:rsid w:val="003805DB"/>
    <w:rsid w:val="0038152A"/>
    <w:rsid w:val="00382BAD"/>
    <w:rsid w:val="003835FD"/>
    <w:rsid w:val="00384B03"/>
    <w:rsid w:val="00384DF1"/>
    <w:rsid w:val="00384FF3"/>
    <w:rsid w:val="0038546A"/>
    <w:rsid w:val="00386456"/>
    <w:rsid w:val="003865A9"/>
    <w:rsid w:val="00387583"/>
    <w:rsid w:val="00387BD9"/>
    <w:rsid w:val="0039092B"/>
    <w:rsid w:val="00390F32"/>
    <w:rsid w:val="0039124E"/>
    <w:rsid w:val="0039135E"/>
    <w:rsid w:val="00391DEB"/>
    <w:rsid w:val="0039285D"/>
    <w:rsid w:val="0039319C"/>
    <w:rsid w:val="00393577"/>
    <w:rsid w:val="00393CAE"/>
    <w:rsid w:val="00393DBD"/>
    <w:rsid w:val="003945F4"/>
    <w:rsid w:val="00394EB5"/>
    <w:rsid w:val="003953B4"/>
    <w:rsid w:val="0039615F"/>
    <w:rsid w:val="003966A0"/>
    <w:rsid w:val="00396A29"/>
    <w:rsid w:val="00397FF0"/>
    <w:rsid w:val="003A0878"/>
    <w:rsid w:val="003A1561"/>
    <w:rsid w:val="003A1CB2"/>
    <w:rsid w:val="003A1D25"/>
    <w:rsid w:val="003A22A2"/>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C0F"/>
    <w:rsid w:val="003C0D1F"/>
    <w:rsid w:val="003C116A"/>
    <w:rsid w:val="003C1AF4"/>
    <w:rsid w:val="003C1CB8"/>
    <w:rsid w:val="003C22DA"/>
    <w:rsid w:val="003C2550"/>
    <w:rsid w:val="003C287F"/>
    <w:rsid w:val="003C3251"/>
    <w:rsid w:val="003C3339"/>
    <w:rsid w:val="003C375A"/>
    <w:rsid w:val="003C4317"/>
    <w:rsid w:val="003C4D9F"/>
    <w:rsid w:val="003C5247"/>
    <w:rsid w:val="003C5E8A"/>
    <w:rsid w:val="003C622C"/>
    <w:rsid w:val="003C6505"/>
    <w:rsid w:val="003C6EBA"/>
    <w:rsid w:val="003C73C7"/>
    <w:rsid w:val="003C7CFB"/>
    <w:rsid w:val="003D050B"/>
    <w:rsid w:val="003D0B98"/>
    <w:rsid w:val="003D0C3C"/>
    <w:rsid w:val="003D0DE5"/>
    <w:rsid w:val="003D1351"/>
    <w:rsid w:val="003D190D"/>
    <w:rsid w:val="003D21C1"/>
    <w:rsid w:val="003D2F21"/>
    <w:rsid w:val="003D369D"/>
    <w:rsid w:val="003D3A39"/>
    <w:rsid w:val="003D3B15"/>
    <w:rsid w:val="003D3B2E"/>
    <w:rsid w:val="003D4101"/>
    <w:rsid w:val="003D484D"/>
    <w:rsid w:val="003D49CB"/>
    <w:rsid w:val="003D6B8F"/>
    <w:rsid w:val="003D7566"/>
    <w:rsid w:val="003E0224"/>
    <w:rsid w:val="003E09BB"/>
    <w:rsid w:val="003E159D"/>
    <w:rsid w:val="003E20EA"/>
    <w:rsid w:val="003E210C"/>
    <w:rsid w:val="003E2D55"/>
    <w:rsid w:val="003E2F55"/>
    <w:rsid w:val="003E34DB"/>
    <w:rsid w:val="003E3833"/>
    <w:rsid w:val="003E3AF9"/>
    <w:rsid w:val="003E4A70"/>
    <w:rsid w:val="003E4C48"/>
    <w:rsid w:val="003E4CD9"/>
    <w:rsid w:val="003E52C2"/>
    <w:rsid w:val="003E54B3"/>
    <w:rsid w:val="003E5780"/>
    <w:rsid w:val="003E5B9F"/>
    <w:rsid w:val="003E5CE4"/>
    <w:rsid w:val="003E6072"/>
    <w:rsid w:val="003E6453"/>
    <w:rsid w:val="003E6AB6"/>
    <w:rsid w:val="003E6E0B"/>
    <w:rsid w:val="003E6FDA"/>
    <w:rsid w:val="003E71CD"/>
    <w:rsid w:val="003E78DA"/>
    <w:rsid w:val="003E7A8B"/>
    <w:rsid w:val="003F04F6"/>
    <w:rsid w:val="003F060E"/>
    <w:rsid w:val="003F0F7F"/>
    <w:rsid w:val="003F115C"/>
    <w:rsid w:val="003F153A"/>
    <w:rsid w:val="003F1988"/>
    <w:rsid w:val="003F1C15"/>
    <w:rsid w:val="003F23D1"/>
    <w:rsid w:val="003F300D"/>
    <w:rsid w:val="003F391F"/>
    <w:rsid w:val="003F3DE6"/>
    <w:rsid w:val="003F3FA1"/>
    <w:rsid w:val="003F4599"/>
    <w:rsid w:val="003F45E1"/>
    <w:rsid w:val="003F4F6C"/>
    <w:rsid w:val="003F559E"/>
    <w:rsid w:val="003F6181"/>
    <w:rsid w:val="003F6BFC"/>
    <w:rsid w:val="003F6CE8"/>
    <w:rsid w:val="003F6D87"/>
    <w:rsid w:val="003F7343"/>
    <w:rsid w:val="00400002"/>
    <w:rsid w:val="00400054"/>
    <w:rsid w:val="004004C2"/>
    <w:rsid w:val="0040163B"/>
    <w:rsid w:val="004016A3"/>
    <w:rsid w:val="00401B31"/>
    <w:rsid w:val="0040202B"/>
    <w:rsid w:val="00402DE1"/>
    <w:rsid w:val="00402EEB"/>
    <w:rsid w:val="004037C2"/>
    <w:rsid w:val="00404041"/>
    <w:rsid w:val="00404B43"/>
    <w:rsid w:val="00404C61"/>
    <w:rsid w:val="00405487"/>
    <w:rsid w:val="00405730"/>
    <w:rsid w:val="00405B8A"/>
    <w:rsid w:val="0040602B"/>
    <w:rsid w:val="0040606C"/>
    <w:rsid w:val="004060DC"/>
    <w:rsid w:val="00406DF5"/>
    <w:rsid w:val="00406F35"/>
    <w:rsid w:val="004077D0"/>
    <w:rsid w:val="00407904"/>
    <w:rsid w:val="00407A7A"/>
    <w:rsid w:val="00407ABC"/>
    <w:rsid w:val="00407F1E"/>
    <w:rsid w:val="00410A88"/>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130"/>
    <w:rsid w:val="0041674B"/>
    <w:rsid w:val="004170D7"/>
    <w:rsid w:val="004177A6"/>
    <w:rsid w:val="00417C23"/>
    <w:rsid w:val="00417EFD"/>
    <w:rsid w:val="004200EE"/>
    <w:rsid w:val="00420786"/>
    <w:rsid w:val="004209D2"/>
    <w:rsid w:val="00420D6E"/>
    <w:rsid w:val="0042158C"/>
    <w:rsid w:val="00421617"/>
    <w:rsid w:val="00421BD2"/>
    <w:rsid w:val="00421E00"/>
    <w:rsid w:val="00421FCB"/>
    <w:rsid w:val="00422DCA"/>
    <w:rsid w:val="00423D04"/>
    <w:rsid w:val="00423F9F"/>
    <w:rsid w:val="00425C43"/>
    <w:rsid w:val="004273FA"/>
    <w:rsid w:val="004275A7"/>
    <w:rsid w:val="00427951"/>
    <w:rsid w:val="00430186"/>
    <w:rsid w:val="00430F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5AA"/>
    <w:rsid w:val="00441E04"/>
    <w:rsid w:val="004420AB"/>
    <w:rsid w:val="004422D6"/>
    <w:rsid w:val="004427AC"/>
    <w:rsid w:val="0044297A"/>
    <w:rsid w:val="00442C7D"/>
    <w:rsid w:val="00442D13"/>
    <w:rsid w:val="00442D4D"/>
    <w:rsid w:val="0044374D"/>
    <w:rsid w:val="00443B55"/>
    <w:rsid w:val="00443D27"/>
    <w:rsid w:val="00444038"/>
    <w:rsid w:val="0044500B"/>
    <w:rsid w:val="00446037"/>
    <w:rsid w:val="004461B0"/>
    <w:rsid w:val="004463DB"/>
    <w:rsid w:val="0044642F"/>
    <w:rsid w:val="0044772C"/>
    <w:rsid w:val="00447C11"/>
    <w:rsid w:val="00447CB4"/>
    <w:rsid w:val="00450846"/>
    <w:rsid w:val="00451847"/>
    <w:rsid w:val="00451A52"/>
    <w:rsid w:val="004521DA"/>
    <w:rsid w:val="0045271D"/>
    <w:rsid w:val="00452755"/>
    <w:rsid w:val="00452803"/>
    <w:rsid w:val="004529C6"/>
    <w:rsid w:val="00452EAD"/>
    <w:rsid w:val="004533D1"/>
    <w:rsid w:val="004534D1"/>
    <w:rsid w:val="004539EC"/>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DA4"/>
    <w:rsid w:val="00460E7E"/>
    <w:rsid w:val="004614A9"/>
    <w:rsid w:val="00461676"/>
    <w:rsid w:val="00461E97"/>
    <w:rsid w:val="0046268F"/>
    <w:rsid w:val="0046284F"/>
    <w:rsid w:val="00462B10"/>
    <w:rsid w:val="00462BB1"/>
    <w:rsid w:val="00462C04"/>
    <w:rsid w:val="0046320A"/>
    <w:rsid w:val="004636CC"/>
    <w:rsid w:val="004638E2"/>
    <w:rsid w:val="00464030"/>
    <w:rsid w:val="004647F8"/>
    <w:rsid w:val="004647FB"/>
    <w:rsid w:val="00465347"/>
    <w:rsid w:val="00465677"/>
    <w:rsid w:val="00466616"/>
    <w:rsid w:val="00466A0C"/>
    <w:rsid w:val="00466A53"/>
    <w:rsid w:val="00467E34"/>
    <w:rsid w:val="00470A6A"/>
    <w:rsid w:val="00470D73"/>
    <w:rsid w:val="00470D92"/>
    <w:rsid w:val="0047179C"/>
    <w:rsid w:val="00471DF7"/>
    <w:rsid w:val="004734CF"/>
    <w:rsid w:val="0047586C"/>
    <w:rsid w:val="00475C5A"/>
    <w:rsid w:val="00475C9C"/>
    <w:rsid w:val="0047676B"/>
    <w:rsid w:val="0047773C"/>
    <w:rsid w:val="004777DF"/>
    <w:rsid w:val="00477C5F"/>
    <w:rsid w:val="00480050"/>
    <w:rsid w:val="0048011C"/>
    <w:rsid w:val="004808DE"/>
    <w:rsid w:val="00481AC4"/>
    <w:rsid w:val="00481DC1"/>
    <w:rsid w:val="00482507"/>
    <w:rsid w:val="0048268A"/>
    <w:rsid w:val="004831B1"/>
    <w:rsid w:val="004835CA"/>
    <w:rsid w:val="004836F8"/>
    <w:rsid w:val="004836FE"/>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4"/>
    <w:rsid w:val="00492E4C"/>
    <w:rsid w:val="00493664"/>
    <w:rsid w:val="004938FD"/>
    <w:rsid w:val="00493E04"/>
    <w:rsid w:val="004940E3"/>
    <w:rsid w:val="0049530F"/>
    <w:rsid w:val="00496664"/>
    <w:rsid w:val="00496786"/>
    <w:rsid w:val="0049695B"/>
    <w:rsid w:val="00496D8F"/>
    <w:rsid w:val="00497463"/>
    <w:rsid w:val="004A054C"/>
    <w:rsid w:val="004A08D1"/>
    <w:rsid w:val="004A0905"/>
    <w:rsid w:val="004A16C1"/>
    <w:rsid w:val="004A1CE2"/>
    <w:rsid w:val="004A34D2"/>
    <w:rsid w:val="004A3756"/>
    <w:rsid w:val="004A4301"/>
    <w:rsid w:val="004A4587"/>
    <w:rsid w:val="004A45E5"/>
    <w:rsid w:val="004A4D93"/>
    <w:rsid w:val="004A58EE"/>
    <w:rsid w:val="004A59B7"/>
    <w:rsid w:val="004A6051"/>
    <w:rsid w:val="004A623B"/>
    <w:rsid w:val="004A6A04"/>
    <w:rsid w:val="004A6A52"/>
    <w:rsid w:val="004B0A44"/>
    <w:rsid w:val="004B0F0B"/>
    <w:rsid w:val="004B2197"/>
    <w:rsid w:val="004B298A"/>
    <w:rsid w:val="004B34BB"/>
    <w:rsid w:val="004B50CB"/>
    <w:rsid w:val="004B578D"/>
    <w:rsid w:val="004B5BE7"/>
    <w:rsid w:val="004B5E2D"/>
    <w:rsid w:val="004B6C07"/>
    <w:rsid w:val="004B74D3"/>
    <w:rsid w:val="004B755E"/>
    <w:rsid w:val="004B788E"/>
    <w:rsid w:val="004B7E5D"/>
    <w:rsid w:val="004C22F7"/>
    <w:rsid w:val="004C2B27"/>
    <w:rsid w:val="004C3929"/>
    <w:rsid w:val="004C5212"/>
    <w:rsid w:val="004C5EF0"/>
    <w:rsid w:val="004C64C9"/>
    <w:rsid w:val="004C6848"/>
    <w:rsid w:val="004C7132"/>
    <w:rsid w:val="004C7169"/>
    <w:rsid w:val="004C7226"/>
    <w:rsid w:val="004C72DB"/>
    <w:rsid w:val="004C74C9"/>
    <w:rsid w:val="004C7915"/>
    <w:rsid w:val="004C7D70"/>
    <w:rsid w:val="004D0164"/>
    <w:rsid w:val="004D02F9"/>
    <w:rsid w:val="004D03FE"/>
    <w:rsid w:val="004D0446"/>
    <w:rsid w:val="004D06A3"/>
    <w:rsid w:val="004D0F95"/>
    <w:rsid w:val="004D106A"/>
    <w:rsid w:val="004D142F"/>
    <w:rsid w:val="004D1C7E"/>
    <w:rsid w:val="004D245A"/>
    <w:rsid w:val="004D31EE"/>
    <w:rsid w:val="004D36AF"/>
    <w:rsid w:val="004D3BD1"/>
    <w:rsid w:val="004D4BA1"/>
    <w:rsid w:val="004D584D"/>
    <w:rsid w:val="004D5A7E"/>
    <w:rsid w:val="004D60DB"/>
    <w:rsid w:val="004D6120"/>
    <w:rsid w:val="004D6826"/>
    <w:rsid w:val="004D6917"/>
    <w:rsid w:val="004D7329"/>
    <w:rsid w:val="004E023F"/>
    <w:rsid w:val="004E0546"/>
    <w:rsid w:val="004E0742"/>
    <w:rsid w:val="004E0C64"/>
    <w:rsid w:val="004E0F6B"/>
    <w:rsid w:val="004E133F"/>
    <w:rsid w:val="004E1545"/>
    <w:rsid w:val="004E1F1C"/>
    <w:rsid w:val="004E2A35"/>
    <w:rsid w:val="004E40CE"/>
    <w:rsid w:val="004E435F"/>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2911"/>
    <w:rsid w:val="0050306F"/>
    <w:rsid w:val="005041DE"/>
    <w:rsid w:val="00505DCB"/>
    <w:rsid w:val="005075CA"/>
    <w:rsid w:val="00507B06"/>
    <w:rsid w:val="00507BF1"/>
    <w:rsid w:val="0051013A"/>
    <w:rsid w:val="0051074C"/>
    <w:rsid w:val="00510DE9"/>
    <w:rsid w:val="005111E2"/>
    <w:rsid w:val="00511231"/>
    <w:rsid w:val="00512C4F"/>
    <w:rsid w:val="00513042"/>
    <w:rsid w:val="0051334F"/>
    <w:rsid w:val="00513399"/>
    <w:rsid w:val="00513AF2"/>
    <w:rsid w:val="00514575"/>
    <w:rsid w:val="00514874"/>
    <w:rsid w:val="00514C03"/>
    <w:rsid w:val="00514D67"/>
    <w:rsid w:val="0051522A"/>
    <w:rsid w:val="00515515"/>
    <w:rsid w:val="0051635C"/>
    <w:rsid w:val="00516C5B"/>
    <w:rsid w:val="00516C7C"/>
    <w:rsid w:val="00517612"/>
    <w:rsid w:val="00517CFB"/>
    <w:rsid w:val="00517F85"/>
    <w:rsid w:val="00520235"/>
    <w:rsid w:val="00520899"/>
    <w:rsid w:val="00520922"/>
    <w:rsid w:val="005209FC"/>
    <w:rsid w:val="00520C09"/>
    <w:rsid w:val="00520CFE"/>
    <w:rsid w:val="00521A30"/>
    <w:rsid w:val="005224E5"/>
    <w:rsid w:val="00523294"/>
    <w:rsid w:val="00523903"/>
    <w:rsid w:val="005239B6"/>
    <w:rsid w:val="00523C45"/>
    <w:rsid w:val="00523F41"/>
    <w:rsid w:val="00524165"/>
    <w:rsid w:val="005246E7"/>
    <w:rsid w:val="00524B08"/>
    <w:rsid w:val="00524C38"/>
    <w:rsid w:val="00524FD2"/>
    <w:rsid w:val="00525621"/>
    <w:rsid w:val="005256F6"/>
    <w:rsid w:val="00526431"/>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CA9"/>
    <w:rsid w:val="005346AD"/>
    <w:rsid w:val="00534A10"/>
    <w:rsid w:val="00534C54"/>
    <w:rsid w:val="00534EFB"/>
    <w:rsid w:val="00534F60"/>
    <w:rsid w:val="005357F1"/>
    <w:rsid w:val="00535D15"/>
    <w:rsid w:val="00536053"/>
    <w:rsid w:val="00536398"/>
    <w:rsid w:val="005369E6"/>
    <w:rsid w:val="00536DF2"/>
    <w:rsid w:val="005371AC"/>
    <w:rsid w:val="00537672"/>
    <w:rsid w:val="0053772F"/>
    <w:rsid w:val="00537A70"/>
    <w:rsid w:val="00537B64"/>
    <w:rsid w:val="00537B77"/>
    <w:rsid w:val="00537D4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2DBC"/>
    <w:rsid w:val="005535B9"/>
    <w:rsid w:val="00554D57"/>
    <w:rsid w:val="005551AA"/>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723"/>
    <w:rsid w:val="0056772D"/>
    <w:rsid w:val="005678F5"/>
    <w:rsid w:val="00567AB8"/>
    <w:rsid w:val="0057010E"/>
    <w:rsid w:val="00570A26"/>
    <w:rsid w:val="00570CFD"/>
    <w:rsid w:val="00571872"/>
    <w:rsid w:val="00571C94"/>
    <w:rsid w:val="0057221F"/>
    <w:rsid w:val="00572421"/>
    <w:rsid w:val="00572539"/>
    <w:rsid w:val="0057334F"/>
    <w:rsid w:val="00573355"/>
    <w:rsid w:val="0057337D"/>
    <w:rsid w:val="00573504"/>
    <w:rsid w:val="00573BA3"/>
    <w:rsid w:val="00574708"/>
    <w:rsid w:val="00574D81"/>
    <w:rsid w:val="005756AA"/>
    <w:rsid w:val="0057696F"/>
    <w:rsid w:val="005774FE"/>
    <w:rsid w:val="005776CB"/>
    <w:rsid w:val="0058040C"/>
    <w:rsid w:val="00580D6D"/>
    <w:rsid w:val="005813DE"/>
    <w:rsid w:val="00581736"/>
    <w:rsid w:val="00581796"/>
    <w:rsid w:val="00581B45"/>
    <w:rsid w:val="005822A2"/>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556"/>
    <w:rsid w:val="005866C4"/>
    <w:rsid w:val="0059096F"/>
    <w:rsid w:val="00590F1A"/>
    <w:rsid w:val="00591C03"/>
    <w:rsid w:val="00591E2A"/>
    <w:rsid w:val="00592379"/>
    <w:rsid w:val="005923C4"/>
    <w:rsid w:val="005938C3"/>
    <w:rsid w:val="00593EA2"/>
    <w:rsid w:val="00593F75"/>
    <w:rsid w:val="005940A0"/>
    <w:rsid w:val="0059429A"/>
    <w:rsid w:val="00594CBE"/>
    <w:rsid w:val="00596AF7"/>
    <w:rsid w:val="00596CCE"/>
    <w:rsid w:val="005A0024"/>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11"/>
    <w:rsid w:val="005A7802"/>
    <w:rsid w:val="005A7885"/>
    <w:rsid w:val="005B12B2"/>
    <w:rsid w:val="005B143B"/>
    <w:rsid w:val="005B19BD"/>
    <w:rsid w:val="005B1E45"/>
    <w:rsid w:val="005B21C4"/>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247"/>
    <w:rsid w:val="005C7E45"/>
    <w:rsid w:val="005C7F3E"/>
    <w:rsid w:val="005D065E"/>
    <w:rsid w:val="005D06D3"/>
    <w:rsid w:val="005D0C3B"/>
    <w:rsid w:val="005D1051"/>
    <w:rsid w:val="005D1606"/>
    <w:rsid w:val="005D2044"/>
    <w:rsid w:val="005D209E"/>
    <w:rsid w:val="005D2293"/>
    <w:rsid w:val="005D239E"/>
    <w:rsid w:val="005D2917"/>
    <w:rsid w:val="005D2EB2"/>
    <w:rsid w:val="005D2F48"/>
    <w:rsid w:val="005D2F88"/>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4B72"/>
    <w:rsid w:val="005E4E0A"/>
    <w:rsid w:val="005E52C9"/>
    <w:rsid w:val="005F02D8"/>
    <w:rsid w:val="005F305B"/>
    <w:rsid w:val="005F3361"/>
    <w:rsid w:val="005F3ACA"/>
    <w:rsid w:val="005F3B47"/>
    <w:rsid w:val="005F4481"/>
    <w:rsid w:val="005F47AC"/>
    <w:rsid w:val="005F49AF"/>
    <w:rsid w:val="005F4A58"/>
    <w:rsid w:val="005F54DF"/>
    <w:rsid w:val="005F5888"/>
    <w:rsid w:val="005F5984"/>
    <w:rsid w:val="005F5EAB"/>
    <w:rsid w:val="005F6857"/>
    <w:rsid w:val="005F6CE2"/>
    <w:rsid w:val="005F6EC8"/>
    <w:rsid w:val="005F6F24"/>
    <w:rsid w:val="005F70DD"/>
    <w:rsid w:val="005F72E9"/>
    <w:rsid w:val="005F780B"/>
    <w:rsid w:val="00600473"/>
    <w:rsid w:val="0060139A"/>
    <w:rsid w:val="006013C9"/>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872"/>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229"/>
    <w:rsid w:val="00622470"/>
    <w:rsid w:val="00622725"/>
    <w:rsid w:val="006231AA"/>
    <w:rsid w:val="00623482"/>
    <w:rsid w:val="00623AC2"/>
    <w:rsid w:val="00623EBC"/>
    <w:rsid w:val="00624511"/>
    <w:rsid w:val="00625642"/>
    <w:rsid w:val="006266D7"/>
    <w:rsid w:val="00626D1E"/>
    <w:rsid w:val="00626D42"/>
    <w:rsid w:val="00626EE3"/>
    <w:rsid w:val="006274AD"/>
    <w:rsid w:val="00627519"/>
    <w:rsid w:val="00627532"/>
    <w:rsid w:val="006302AA"/>
    <w:rsid w:val="006307FD"/>
    <w:rsid w:val="006310C3"/>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6B20"/>
    <w:rsid w:val="00646D0F"/>
    <w:rsid w:val="00646D57"/>
    <w:rsid w:val="00647A36"/>
    <w:rsid w:val="00647DCC"/>
    <w:rsid w:val="00647EFA"/>
    <w:rsid w:val="00647F14"/>
    <w:rsid w:val="00650027"/>
    <w:rsid w:val="00650BBF"/>
    <w:rsid w:val="00650E89"/>
    <w:rsid w:val="00651B9C"/>
    <w:rsid w:val="00651C47"/>
    <w:rsid w:val="00651D91"/>
    <w:rsid w:val="00652E70"/>
    <w:rsid w:val="0065339A"/>
    <w:rsid w:val="00653469"/>
    <w:rsid w:val="00653FF2"/>
    <w:rsid w:val="0065443A"/>
    <w:rsid w:val="00654A38"/>
    <w:rsid w:val="00655301"/>
    <w:rsid w:val="00655371"/>
    <w:rsid w:val="00655507"/>
    <w:rsid w:val="006557D8"/>
    <w:rsid w:val="00656855"/>
    <w:rsid w:val="00656C4B"/>
    <w:rsid w:val="006572A7"/>
    <w:rsid w:val="006573EA"/>
    <w:rsid w:val="006606A4"/>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97C"/>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212"/>
    <w:rsid w:val="00677E85"/>
    <w:rsid w:val="00677F26"/>
    <w:rsid w:val="006800EE"/>
    <w:rsid w:val="006802A7"/>
    <w:rsid w:val="00680A86"/>
    <w:rsid w:val="006811C9"/>
    <w:rsid w:val="006812CE"/>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5D3"/>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59A5"/>
    <w:rsid w:val="00695C0C"/>
    <w:rsid w:val="00696353"/>
    <w:rsid w:val="00696736"/>
    <w:rsid w:val="00696A05"/>
    <w:rsid w:val="00697665"/>
    <w:rsid w:val="00697C9A"/>
    <w:rsid w:val="00697E68"/>
    <w:rsid w:val="00697FC1"/>
    <w:rsid w:val="006A0274"/>
    <w:rsid w:val="006A27BC"/>
    <w:rsid w:val="006A2948"/>
    <w:rsid w:val="006A2A43"/>
    <w:rsid w:val="006A2BF1"/>
    <w:rsid w:val="006A2F9A"/>
    <w:rsid w:val="006A34E4"/>
    <w:rsid w:val="006A3A5A"/>
    <w:rsid w:val="006A44CF"/>
    <w:rsid w:val="006A457D"/>
    <w:rsid w:val="006A4BAF"/>
    <w:rsid w:val="006A4C06"/>
    <w:rsid w:val="006A55EE"/>
    <w:rsid w:val="006A575B"/>
    <w:rsid w:val="006A59DE"/>
    <w:rsid w:val="006A64C6"/>
    <w:rsid w:val="006A6655"/>
    <w:rsid w:val="006A6BF9"/>
    <w:rsid w:val="006A7CB5"/>
    <w:rsid w:val="006A7FD0"/>
    <w:rsid w:val="006B0099"/>
    <w:rsid w:val="006B025C"/>
    <w:rsid w:val="006B08ED"/>
    <w:rsid w:val="006B0A85"/>
    <w:rsid w:val="006B2534"/>
    <w:rsid w:val="006B2CB2"/>
    <w:rsid w:val="006B347D"/>
    <w:rsid w:val="006B3E19"/>
    <w:rsid w:val="006B4488"/>
    <w:rsid w:val="006B50C4"/>
    <w:rsid w:val="006B53AE"/>
    <w:rsid w:val="006B58B4"/>
    <w:rsid w:val="006B67AC"/>
    <w:rsid w:val="006B786A"/>
    <w:rsid w:val="006B7E4E"/>
    <w:rsid w:val="006C003A"/>
    <w:rsid w:val="006C0630"/>
    <w:rsid w:val="006C107C"/>
    <w:rsid w:val="006C189C"/>
    <w:rsid w:val="006C1B42"/>
    <w:rsid w:val="006C2454"/>
    <w:rsid w:val="006C2551"/>
    <w:rsid w:val="006C2C39"/>
    <w:rsid w:val="006C37CA"/>
    <w:rsid w:val="006C40D2"/>
    <w:rsid w:val="006C4684"/>
    <w:rsid w:val="006C4B85"/>
    <w:rsid w:val="006C4BBD"/>
    <w:rsid w:val="006C5B15"/>
    <w:rsid w:val="006C5D32"/>
    <w:rsid w:val="006C5DCB"/>
    <w:rsid w:val="006C6475"/>
    <w:rsid w:val="006C70C4"/>
    <w:rsid w:val="006C741F"/>
    <w:rsid w:val="006C794C"/>
    <w:rsid w:val="006D04DA"/>
    <w:rsid w:val="006D10F6"/>
    <w:rsid w:val="006D1544"/>
    <w:rsid w:val="006D1688"/>
    <w:rsid w:val="006D1BE1"/>
    <w:rsid w:val="006D1DD3"/>
    <w:rsid w:val="006D1FF3"/>
    <w:rsid w:val="006D2A79"/>
    <w:rsid w:val="006D2C65"/>
    <w:rsid w:val="006D2DB7"/>
    <w:rsid w:val="006D32C6"/>
    <w:rsid w:val="006D360E"/>
    <w:rsid w:val="006D3697"/>
    <w:rsid w:val="006D39D2"/>
    <w:rsid w:val="006D3A94"/>
    <w:rsid w:val="006D3F2A"/>
    <w:rsid w:val="006D4370"/>
    <w:rsid w:val="006D46A3"/>
    <w:rsid w:val="006D4AB2"/>
    <w:rsid w:val="006D5DCB"/>
    <w:rsid w:val="006D62E0"/>
    <w:rsid w:val="006D658F"/>
    <w:rsid w:val="006D6A12"/>
    <w:rsid w:val="006D712D"/>
    <w:rsid w:val="006D7687"/>
    <w:rsid w:val="006D794C"/>
    <w:rsid w:val="006D7D1F"/>
    <w:rsid w:val="006D7D8A"/>
    <w:rsid w:val="006E046C"/>
    <w:rsid w:val="006E0572"/>
    <w:rsid w:val="006E05D8"/>
    <w:rsid w:val="006E08EE"/>
    <w:rsid w:val="006E0A7A"/>
    <w:rsid w:val="006E155A"/>
    <w:rsid w:val="006E2C34"/>
    <w:rsid w:val="006E359B"/>
    <w:rsid w:val="006E39D1"/>
    <w:rsid w:val="006E3B05"/>
    <w:rsid w:val="006E437F"/>
    <w:rsid w:val="006E4D5B"/>
    <w:rsid w:val="006E5089"/>
    <w:rsid w:val="006E602F"/>
    <w:rsid w:val="006E6720"/>
    <w:rsid w:val="006E7275"/>
    <w:rsid w:val="006E77B8"/>
    <w:rsid w:val="006E77DF"/>
    <w:rsid w:val="006E7AAF"/>
    <w:rsid w:val="006F0AB2"/>
    <w:rsid w:val="006F0F74"/>
    <w:rsid w:val="006F13BA"/>
    <w:rsid w:val="006F1588"/>
    <w:rsid w:val="006F15CC"/>
    <w:rsid w:val="006F15F6"/>
    <w:rsid w:val="006F2AE6"/>
    <w:rsid w:val="006F36EA"/>
    <w:rsid w:val="006F4147"/>
    <w:rsid w:val="006F4315"/>
    <w:rsid w:val="006F4CB0"/>
    <w:rsid w:val="006F4F78"/>
    <w:rsid w:val="006F547E"/>
    <w:rsid w:val="006F5CCF"/>
    <w:rsid w:val="006F6469"/>
    <w:rsid w:val="006F6F04"/>
    <w:rsid w:val="006F71F5"/>
    <w:rsid w:val="007000A6"/>
    <w:rsid w:val="00700610"/>
    <w:rsid w:val="0070138A"/>
    <w:rsid w:val="0070157E"/>
    <w:rsid w:val="00702700"/>
    <w:rsid w:val="007030D4"/>
    <w:rsid w:val="00703279"/>
    <w:rsid w:val="00703B61"/>
    <w:rsid w:val="00703E11"/>
    <w:rsid w:val="00704102"/>
    <w:rsid w:val="0070437C"/>
    <w:rsid w:val="007045D8"/>
    <w:rsid w:val="0070461C"/>
    <w:rsid w:val="00705631"/>
    <w:rsid w:val="00705818"/>
    <w:rsid w:val="00705F62"/>
    <w:rsid w:val="0070773F"/>
    <w:rsid w:val="00707ED3"/>
    <w:rsid w:val="007101B7"/>
    <w:rsid w:val="00710668"/>
    <w:rsid w:val="00710989"/>
    <w:rsid w:val="00711019"/>
    <w:rsid w:val="007110F4"/>
    <w:rsid w:val="007112B1"/>
    <w:rsid w:val="0071130F"/>
    <w:rsid w:val="00712714"/>
    <w:rsid w:val="007129AB"/>
    <w:rsid w:val="00712B63"/>
    <w:rsid w:val="00713526"/>
    <w:rsid w:val="00713FC5"/>
    <w:rsid w:val="00714DCA"/>
    <w:rsid w:val="00715BBF"/>
    <w:rsid w:val="00715C29"/>
    <w:rsid w:val="00715CBD"/>
    <w:rsid w:val="00715E96"/>
    <w:rsid w:val="00715EAA"/>
    <w:rsid w:val="00716119"/>
    <w:rsid w:val="00716630"/>
    <w:rsid w:val="00716CAD"/>
    <w:rsid w:val="00716F18"/>
    <w:rsid w:val="00717363"/>
    <w:rsid w:val="00717786"/>
    <w:rsid w:val="00717ACB"/>
    <w:rsid w:val="0072138B"/>
    <w:rsid w:val="00721BFF"/>
    <w:rsid w:val="00723040"/>
    <w:rsid w:val="00723475"/>
    <w:rsid w:val="007234B4"/>
    <w:rsid w:val="007236C4"/>
    <w:rsid w:val="00724635"/>
    <w:rsid w:val="00724F21"/>
    <w:rsid w:val="00725134"/>
    <w:rsid w:val="0072554B"/>
    <w:rsid w:val="00725AFD"/>
    <w:rsid w:val="00726603"/>
    <w:rsid w:val="007266AC"/>
    <w:rsid w:val="00727B1D"/>
    <w:rsid w:val="00727DDC"/>
    <w:rsid w:val="00730CD6"/>
    <w:rsid w:val="00730F74"/>
    <w:rsid w:val="0073114B"/>
    <w:rsid w:val="00732151"/>
    <w:rsid w:val="007341D8"/>
    <w:rsid w:val="00734952"/>
    <w:rsid w:val="00734990"/>
    <w:rsid w:val="00734FF5"/>
    <w:rsid w:val="00735B78"/>
    <w:rsid w:val="00735DA7"/>
    <w:rsid w:val="00736700"/>
    <w:rsid w:val="007368B4"/>
    <w:rsid w:val="007378E0"/>
    <w:rsid w:val="00740529"/>
    <w:rsid w:val="00740876"/>
    <w:rsid w:val="00741358"/>
    <w:rsid w:val="00741626"/>
    <w:rsid w:val="00742332"/>
    <w:rsid w:val="00742886"/>
    <w:rsid w:val="00742DD2"/>
    <w:rsid w:val="007437C6"/>
    <w:rsid w:val="007441A2"/>
    <w:rsid w:val="00744A18"/>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94E"/>
    <w:rsid w:val="00750FA8"/>
    <w:rsid w:val="00750FB5"/>
    <w:rsid w:val="00751495"/>
    <w:rsid w:val="007520F0"/>
    <w:rsid w:val="007522E8"/>
    <w:rsid w:val="00752688"/>
    <w:rsid w:val="007529DB"/>
    <w:rsid w:val="007534AD"/>
    <w:rsid w:val="00753BAC"/>
    <w:rsid w:val="00754A0B"/>
    <w:rsid w:val="00755229"/>
    <w:rsid w:val="007552DB"/>
    <w:rsid w:val="0075549F"/>
    <w:rsid w:val="00755B08"/>
    <w:rsid w:val="00755DD0"/>
    <w:rsid w:val="0075647A"/>
    <w:rsid w:val="00756A2F"/>
    <w:rsid w:val="00756A7E"/>
    <w:rsid w:val="007573E1"/>
    <w:rsid w:val="0075749E"/>
    <w:rsid w:val="00757722"/>
    <w:rsid w:val="00757B2D"/>
    <w:rsid w:val="00757BAD"/>
    <w:rsid w:val="00757D62"/>
    <w:rsid w:val="00760021"/>
    <w:rsid w:val="00760561"/>
    <w:rsid w:val="00760867"/>
    <w:rsid w:val="00760EB6"/>
    <w:rsid w:val="007613F2"/>
    <w:rsid w:val="007616DB"/>
    <w:rsid w:val="00761973"/>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4AC"/>
    <w:rsid w:val="007677B5"/>
    <w:rsid w:val="007678B1"/>
    <w:rsid w:val="00767BE6"/>
    <w:rsid w:val="007708A8"/>
    <w:rsid w:val="0077160F"/>
    <w:rsid w:val="00772100"/>
    <w:rsid w:val="00772275"/>
    <w:rsid w:val="00772EE7"/>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356A"/>
    <w:rsid w:val="00784938"/>
    <w:rsid w:val="00784E9F"/>
    <w:rsid w:val="00784FC4"/>
    <w:rsid w:val="00785BBB"/>
    <w:rsid w:val="00786937"/>
    <w:rsid w:val="00786FAD"/>
    <w:rsid w:val="00786FCE"/>
    <w:rsid w:val="00787A27"/>
    <w:rsid w:val="00787B1B"/>
    <w:rsid w:val="00787D90"/>
    <w:rsid w:val="00787F5E"/>
    <w:rsid w:val="00790164"/>
    <w:rsid w:val="007905C6"/>
    <w:rsid w:val="00790A24"/>
    <w:rsid w:val="00790A37"/>
    <w:rsid w:val="00790A60"/>
    <w:rsid w:val="0079146D"/>
    <w:rsid w:val="00791C32"/>
    <w:rsid w:val="00791D96"/>
    <w:rsid w:val="00791FF0"/>
    <w:rsid w:val="007923D0"/>
    <w:rsid w:val="007930D3"/>
    <w:rsid w:val="0079381F"/>
    <w:rsid w:val="00793A57"/>
    <w:rsid w:val="00793B2E"/>
    <w:rsid w:val="007948F5"/>
    <w:rsid w:val="00794AE1"/>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39F"/>
    <w:rsid w:val="007A7714"/>
    <w:rsid w:val="007B0313"/>
    <w:rsid w:val="007B065E"/>
    <w:rsid w:val="007B0854"/>
    <w:rsid w:val="007B0B53"/>
    <w:rsid w:val="007B0E48"/>
    <w:rsid w:val="007B1D1B"/>
    <w:rsid w:val="007B21AA"/>
    <w:rsid w:val="007B2504"/>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5F89"/>
    <w:rsid w:val="007B68ED"/>
    <w:rsid w:val="007B6C64"/>
    <w:rsid w:val="007B6CD8"/>
    <w:rsid w:val="007B6EC8"/>
    <w:rsid w:val="007B6F81"/>
    <w:rsid w:val="007B79DC"/>
    <w:rsid w:val="007B7EA2"/>
    <w:rsid w:val="007C097D"/>
    <w:rsid w:val="007C0AF2"/>
    <w:rsid w:val="007C1672"/>
    <w:rsid w:val="007C17AE"/>
    <w:rsid w:val="007C2FA2"/>
    <w:rsid w:val="007C312A"/>
    <w:rsid w:val="007C3570"/>
    <w:rsid w:val="007C3F3B"/>
    <w:rsid w:val="007C4241"/>
    <w:rsid w:val="007C425E"/>
    <w:rsid w:val="007C434B"/>
    <w:rsid w:val="007C4DA2"/>
    <w:rsid w:val="007C55FF"/>
    <w:rsid w:val="007C6339"/>
    <w:rsid w:val="007C753F"/>
    <w:rsid w:val="007C7C43"/>
    <w:rsid w:val="007C7F0D"/>
    <w:rsid w:val="007D06E3"/>
    <w:rsid w:val="007D0987"/>
    <w:rsid w:val="007D09E4"/>
    <w:rsid w:val="007D0F62"/>
    <w:rsid w:val="007D1134"/>
    <w:rsid w:val="007D231B"/>
    <w:rsid w:val="007D2350"/>
    <w:rsid w:val="007D23F7"/>
    <w:rsid w:val="007D2566"/>
    <w:rsid w:val="007D29DA"/>
    <w:rsid w:val="007D2C18"/>
    <w:rsid w:val="007D2D74"/>
    <w:rsid w:val="007D30A5"/>
    <w:rsid w:val="007D3693"/>
    <w:rsid w:val="007D36AF"/>
    <w:rsid w:val="007D3C6D"/>
    <w:rsid w:val="007D4050"/>
    <w:rsid w:val="007D481A"/>
    <w:rsid w:val="007D4ED0"/>
    <w:rsid w:val="007D5648"/>
    <w:rsid w:val="007D58C5"/>
    <w:rsid w:val="007D5DE8"/>
    <w:rsid w:val="007D787D"/>
    <w:rsid w:val="007D7CFC"/>
    <w:rsid w:val="007E0812"/>
    <w:rsid w:val="007E18DF"/>
    <w:rsid w:val="007E23E6"/>
    <w:rsid w:val="007E28B8"/>
    <w:rsid w:val="007E2C36"/>
    <w:rsid w:val="007E350D"/>
    <w:rsid w:val="007E373E"/>
    <w:rsid w:val="007E39C8"/>
    <w:rsid w:val="007E3ACA"/>
    <w:rsid w:val="007E564D"/>
    <w:rsid w:val="007E5C4A"/>
    <w:rsid w:val="007E62CA"/>
    <w:rsid w:val="007E64D4"/>
    <w:rsid w:val="007E66E9"/>
    <w:rsid w:val="007E69F2"/>
    <w:rsid w:val="007E7432"/>
    <w:rsid w:val="007E74BF"/>
    <w:rsid w:val="007E7D2E"/>
    <w:rsid w:val="007F14D3"/>
    <w:rsid w:val="007F168F"/>
    <w:rsid w:val="007F1D9D"/>
    <w:rsid w:val="007F1E28"/>
    <w:rsid w:val="007F1F63"/>
    <w:rsid w:val="007F22A0"/>
    <w:rsid w:val="007F2598"/>
    <w:rsid w:val="007F2902"/>
    <w:rsid w:val="007F2903"/>
    <w:rsid w:val="007F2F90"/>
    <w:rsid w:val="007F3320"/>
    <w:rsid w:val="007F3AC1"/>
    <w:rsid w:val="007F4976"/>
    <w:rsid w:val="007F5530"/>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D9D"/>
    <w:rsid w:val="0080476E"/>
    <w:rsid w:val="0080532A"/>
    <w:rsid w:val="00805898"/>
    <w:rsid w:val="008059C6"/>
    <w:rsid w:val="00805AD7"/>
    <w:rsid w:val="00805BD6"/>
    <w:rsid w:val="00805CEF"/>
    <w:rsid w:val="00805DE3"/>
    <w:rsid w:val="00806285"/>
    <w:rsid w:val="00807C35"/>
    <w:rsid w:val="00807F35"/>
    <w:rsid w:val="00807F69"/>
    <w:rsid w:val="008100F7"/>
    <w:rsid w:val="00810206"/>
    <w:rsid w:val="0081022B"/>
    <w:rsid w:val="00811898"/>
    <w:rsid w:val="00811CDC"/>
    <w:rsid w:val="008124D8"/>
    <w:rsid w:val="00813A7B"/>
    <w:rsid w:val="00813EFC"/>
    <w:rsid w:val="00813F04"/>
    <w:rsid w:val="0081513E"/>
    <w:rsid w:val="00815DA5"/>
    <w:rsid w:val="00816221"/>
    <w:rsid w:val="00817633"/>
    <w:rsid w:val="0081766B"/>
    <w:rsid w:val="008205AC"/>
    <w:rsid w:val="00820705"/>
    <w:rsid w:val="00820CBF"/>
    <w:rsid w:val="00820FA8"/>
    <w:rsid w:val="008212FD"/>
    <w:rsid w:val="00821489"/>
    <w:rsid w:val="008217B7"/>
    <w:rsid w:val="0082239B"/>
    <w:rsid w:val="0082292E"/>
    <w:rsid w:val="00822D06"/>
    <w:rsid w:val="00822EC4"/>
    <w:rsid w:val="0082348D"/>
    <w:rsid w:val="008236BE"/>
    <w:rsid w:val="00823EC5"/>
    <w:rsid w:val="008241CE"/>
    <w:rsid w:val="00825240"/>
    <w:rsid w:val="00825B43"/>
    <w:rsid w:val="00826F71"/>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162"/>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47C04"/>
    <w:rsid w:val="0085092D"/>
    <w:rsid w:val="008509A5"/>
    <w:rsid w:val="00850C79"/>
    <w:rsid w:val="00850D82"/>
    <w:rsid w:val="00850F79"/>
    <w:rsid w:val="0085100B"/>
    <w:rsid w:val="0085128A"/>
    <w:rsid w:val="0085304C"/>
    <w:rsid w:val="008536BB"/>
    <w:rsid w:val="00853A3C"/>
    <w:rsid w:val="008548CA"/>
    <w:rsid w:val="00856C06"/>
    <w:rsid w:val="008570F2"/>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639"/>
    <w:rsid w:val="0086468A"/>
    <w:rsid w:val="008650BE"/>
    <w:rsid w:val="00865EAF"/>
    <w:rsid w:val="0086633B"/>
    <w:rsid w:val="00866495"/>
    <w:rsid w:val="00866881"/>
    <w:rsid w:val="00866931"/>
    <w:rsid w:val="008669DE"/>
    <w:rsid w:val="00867512"/>
    <w:rsid w:val="008678A3"/>
    <w:rsid w:val="00867C13"/>
    <w:rsid w:val="00867C1D"/>
    <w:rsid w:val="0087033C"/>
    <w:rsid w:val="008715ED"/>
    <w:rsid w:val="008717D8"/>
    <w:rsid w:val="00871E3C"/>
    <w:rsid w:val="00872F97"/>
    <w:rsid w:val="00873B0D"/>
    <w:rsid w:val="00874607"/>
    <w:rsid w:val="008747E9"/>
    <w:rsid w:val="00874915"/>
    <w:rsid w:val="00874B89"/>
    <w:rsid w:val="00875403"/>
    <w:rsid w:val="00875434"/>
    <w:rsid w:val="00875C1F"/>
    <w:rsid w:val="00876215"/>
    <w:rsid w:val="0087646C"/>
    <w:rsid w:val="00876815"/>
    <w:rsid w:val="00877322"/>
    <w:rsid w:val="008774EA"/>
    <w:rsid w:val="00877932"/>
    <w:rsid w:val="008808C7"/>
    <w:rsid w:val="0088106B"/>
    <w:rsid w:val="0088107D"/>
    <w:rsid w:val="0088187A"/>
    <w:rsid w:val="00881E64"/>
    <w:rsid w:val="00882E39"/>
    <w:rsid w:val="0088469B"/>
    <w:rsid w:val="008850EB"/>
    <w:rsid w:val="00885228"/>
    <w:rsid w:val="008857E3"/>
    <w:rsid w:val="00885AFD"/>
    <w:rsid w:val="00886B09"/>
    <w:rsid w:val="00886DF2"/>
    <w:rsid w:val="00886FB9"/>
    <w:rsid w:val="00887057"/>
    <w:rsid w:val="00887080"/>
    <w:rsid w:val="00887C79"/>
    <w:rsid w:val="00887E9D"/>
    <w:rsid w:val="0089107B"/>
    <w:rsid w:val="008913CC"/>
    <w:rsid w:val="008914AE"/>
    <w:rsid w:val="008919CF"/>
    <w:rsid w:val="00891F84"/>
    <w:rsid w:val="00891FC3"/>
    <w:rsid w:val="008921AD"/>
    <w:rsid w:val="008928EC"/>
    <w:rsid w:val="00892E5D"/>
    <w:rsid w:val="008935CF"/>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62E"/>
    <w:rsid w:val="008A07D5"/>
    <w:rsid w:val="008A1FB7"/>
    <w:rsid w:val="008A229A"/>
    <w:rsid w:val="008A2A23"/>
    <w:rsid w:val="008A2AF5"/>
    <w:rsid w:val="008A2B5A"/>
    <w:rsid w:val="008A3F9D"/>
    <w:rsid w:val="008A5474"/>
    <w:rsid w:val="008A5C9A"/>
    <w:rsid w:val="008A6005"/>
    <w:rsid w:val="008A614F"/>
    <w:rsid w:val="008A61A8"/>
    <w:rsid w:val="008A6A55"/>
    <w:rsid w:val="008A6AA1"/>
    <w:rsid w:val="008A6DF0"/>
    <w:rsid w:val="008A6F6E"/>
    <w:rsid w:val="008A7888"/>
    <w:rsid w:val="008A796E"/>
    <w:rsid w:val="008B0862"/>
    <w:rsid w:val="008B088C"/>
    <w:rsid w:val="008B1608"/>
    <w:rsid w:val="008B1BF5"/>
    <w:rsid w:val="008B1CED"/>
    <w:rsid w:val="008B263F"/>
    <w:rsid w:val="008B3045"/>
    <w:rsid w:val="008B47A6"/>
    <w:rsid w:val="008B5C7C"/>
    <w:rsid w:val="008B5DD5"/>
    <w:rsid w:val="008B63FE"/>
    <w:rsid w:val="008B672C"/>
    <w:rsid w:val="008B7781"/>
    <w:rsid w:val="008C065F"/>
    <w:rsid w:val="008C0743"/>
    <w:rsid w:val="008C0B4C"/>
    <w:rsid w:val="008C11F0"/>
    <w:rsid w:val="008C1DBA"/>
    <w:rsid w:val="008C24E7"/>
    <w:rsid w:val="008C2500"/>
    <w:rsid w:val="008C2CAC"/>
    <w:rsid w:val="008C34DF"/>
    <w:rsid w:val="008C39C9"/>
    <w:rsid w:val="008C3C57"/>
    <w:rsid w:val="008C3E2A"/>
    <w:rsid w:val="008C45BD"/>
    <w:rsid w:val="008C4983"/>
    <w:rsid w:val="008C4B19"/>
    <w:rsid w:val="008C4F47"/>
    <w:rsid w:val="008C62D4"/>
    <w:rsid w:val="008C6B89"/>
    <w:rsid w:val="008C6B97"/>
    <w:rsid w:val="008C7EF7"/>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CAE"/>
    <w:rsid w:val="008E5179"/>
    <w:rsid w:val="008E57FE"/>
    <w:rsid w:val="008E6598"/>
    <w:rsid w:val="008E7214"/>
    <w:rsid w:val="008E7497"/>
    <w:rsid w:val="008E7884"/>
    <w:rsid w:val="008E7D6E"/>
    <w:rsid w:val="008E7E04"/>
    <w:rsid w:val="008F1056"/>
    <w:rsid w:val="008F2E8D"/>
    <w:rsid w:val="008F361D"/>
    <w:rsid w:val="008F387B"/>
    <w:rsid w:val="008F3DD9"/>
    <w:rsid w:val="008F4163"/>
    <w:rsid w:val="008F4814"/>
    <w:rsid w:val="008F4B18"/>
    <w:rsid w:val="008F4DA6"/>
    <w:rsid w:val="008F538E"/>
    <w:rsid w:val="008F5A20"/>
    <w:rsid w:val="008F5ABA"/>
    <w:rsid w:val="008F71AB"/>
    <w:rsid w:val="008F75A5"/>
    <w:rsid w:val="008F7905"/>
    <w:rsid w:val="008F7989"/>
    <w:rsid w:val="00901F1D"/>
    <w:rsid w:val="009028E8"/>
    <w:rsid w:val="00902905"/>
    <w:rsid w:val="00902E5C"/>
    <w:rsid w:val="0090363E"/>
    <w:rsid w:val="0090466B"/>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4B7"/>
    <w:rsid w:val="00915EFE"/>
    <w:rsid w:val="00915FCE"/>
    <w:rsid w:val="009163DD"/>
    <w:rsid w:val="00916528"/>
    <w:rsid w:val="00916AFE"/>
    <w:rsid w:val="00916FC8"/>
    <w:rsid w:val="009170D3"/>
    <w:rsid w:val="0091759C"/>
    <w:rsid w:val="00920026"/>
    <w:rsid w:val="009203E2"/>
    <w:rsid w:val="00920F61"/>
    <w:rsid w:val="0092119E"/>
    <w:rsid w:val="00921304"/>
    <w:rsid w:val="00921395"/>
    <w:rsid w:val="00921805"/>
    <w:rsid w:val="00921E63"/>
    <w:rsid w:val="00922B4A"/>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32F0"/>
    <w:rsid w:val="00933333"/>
    <w:rsid w:val="0093349A"/>
    <w:rsid w:val="009338BA"/>
    <w:rsid w:val="00933FCB"/>
    <w:rsid w:val="0093456B"/>
    <w:rsid w:val="009346C8"/>
    <w:rsid w:val="00934CEC"/>
    <w:rsid w:val="00934E69"/>
    <w:rsid w:val="009356F4"/>
    <w:rsid w:val="00935E70"/>
    <w:rsid w:val="00935FEA"/>
    <w:rsid w:val="0093609A"/>
    <w:rsid w:val="00937401"/>
    <w:rsid w:val="009376FB"/>
    <w:rsid w:val="00937D6B"/>
    <w:rsid w:val="00940477"/>
    <w:rsid w:val="00940876"/>
    <w:rsid w:val="00940A53"/>
    <w:rsid w:val="00940F3C"/>
    <w:rsid w:val="009410E0"/>
    <w:rsid w:val="009419E9"/>
    <w:rsid w:val="00941A2D"/>
    <w:rsid w:val="00941FA9"/>
    <w:rsid w:val="00942DD0"/>
    <w:rsid w:val="009439B6"/>
    <w:rsid w:val="009444B4"/>
    <w:rsid w:val="00944644"/>
    <w:rsid w:val="00946A24"/>
    <w:rsid w:val="009470D4"/>
    <w:rsid w:val="00947337"/>
    <w:rsid w:val="00947E6E"/>
    <w:rsid w:val="00951242"/>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3550"/>
    <w:rsid w:val="00964138"/>
    <w:rsid w:val="009645AB"/>
    <w:rsid w:val="009648D6"/>
    <w:rsid w:val="009649AE"/>
    <w:rsid w:val="00964B3F"/>
    <w:rsid w:val="00964C98"/>
    <w:rsid w:val="00967BEF"/>
    <w:rsid w:val="00971441"/>
    <w:rsid w:val="009715D4"/>
    <w:rsid w:val="0097179A"/>
    <w:rsid w:val="009731F4"/>
    <w:rsid w:val="009732A4"/>
    <w:rsid w:val="00973C05"/>
    <w:rsid w:val="0097494E"/>
    <w:rsid w:val="00974999"/>
    <w:rsid w:val="00974B58"/>
    <w:rsid w:val="00974CBD"/>
    <w:rsid w:val="0097521A"/>
    <w:rsid w:val="00975445"/>
    <w:rsid w:val="009759DF"/>
    <w:rsid w:val="00975C03"/>
    <w:rsid w:val="009761ED"/>
    <w:rsid w:val="0097678A"/>
    <w:rsid w:val="0098022F"/>
    <w:rsid w:val="009809C5"/>
    <w:rsid w:val="009810DE"/>
    <w:rsid w:val="00981B91"/>
    <w:rsid w:val="009822D7"/>
    <w:rsid w:val="009827E6"/>
    <w:rsid w:val="00982EB6"/>
    <w:rsid w:val="00982F84"/>
    <w:rsid w:val="009831C3"/>
    <w:rsid w:val="00983723"/>
    <w:rsid w:val="0098427D"/>
    <w:rsid w:val="00984567"/>
    <w:rsid w:val="00985102"/>
    <w:rsid w:val="009854BC"/>
    <w:rsid w:val="00985A66"/>
    <w:rsid w:val="0098606C"/>
    <w:rsid w:val="009865D5"/>
    <w:rsid w:val="00986952"/>
    <w:rsid w:val="009876F2"/>
    <w:rsid w:val="00987C77"/>
    <w:rsid w:val="00987FED"/>
    <w:rsid w:val="00990345"/>
    <w:rsid w:val="00990701"/>
    <w:rsid w:val="0099119C"/>
    <w:rsid w:val="0099137A"/>
    <w:rsid w:val="0099211C"/>
    <w:rsid w:val="00993013"/>
    <w:rsid w:val="00993B78"/>
    <w:rsid w:val="00994E26"/>
    <w:rsid w:val="00994F3F"/>
    <w:rsid w:val="00995119"/>
    <w:rsid w:val="0099531F"/>
    <w:rsid w:val="009953AD"/>
    <w:rsid w:val="009957D7"/>
    <w:rsid w:val="0099583D"/>
    <w:rsid w:val="00996020"/>
    <w:rsid w:val="0099629E"/>
    <w:rsid w:val="00996992"/>
    <w:rsid w:val="00996E1E"/>
    <w:rsid w:val="00997148"/>
    <w:rsid w:val="00997392"/>
    <w:rsid w:val="0099747C"/>
    <w:rsid w:val="009975B7"/>
    <w:rsid w:val="0099771C"/>
    <w:rsid w:val="00997A70"/>
    <w:rsid w:val="009A01E4"/>
    <w:rsid w:val="009A0917"/>
    <w:rsid w:val="009A0A33"/>
    <w:rsid w:val="009A1351"/>
    <w:rsid w:val="009A2041"/>
    <w:rsid w:val="009A2435"/>
    <w:rsid w:val="009A35DC"/>
    <w:rsid w:val="009A38AB"/>
    <w:rsid w:val="009A39EE"/>
    <w:rsid w:val="009A3D47"/>
    <w:rsid w:val="009A3F05"/>
    <w:rsid w:val="009A4D63"/>
    <w:rsid w:val="009A5356"/>
    <w:rsid w:val="009A5468"/>
    <w:rsid w:val="009A5D54"/>
    <w:rsid w:val="009A5D99"/>
    <w:rsid w:val="009A608C"/>
    <w:rsid w:val="009A6FDF"/>
    <w:rsid w:val="009A715F"/>
    <w:rsid w:val="009A76D6"/>
    <w:rsid w:val="009B13AF"/>
    <w:rsid w:val="009B2374"/>
    <w:rsid w:val="009B25DB"/>
    <w:rsid w:val="009B2E29"/>
    <w:rsid w:val="009B3163"/>
    <w:rsid w:val="009B35AE"/>
    <w:rsid w:val="009B422F"/>
    <w:rsid w:val="009B46BC"/>
    <w:rsid w:val="009B4D1A"/>
    <w:rsid w:val="009B519D"/>
    <w:rsid w:val="009B558B"/>
    <w:rsid w:val="009B6D21"/>
    <w:rsid w:val="009B6DF2"/>
    <w:rsid w:val="009B758C"/>
    <w:rsid w:val="009B78ED"/>
    <w:rsid w:val="009C004B"/>
    <w:rsid w:val="009C0641"/>
    <w:rsid w:val="009C0D57"/>
    <w:rsid w:val="009C181C"/>
    <w:rsid w:val="009C1A44"/>
    <w:rsid w:val="009C1C7F"/>
    <w:rsid w:val="009C1EC7"/>
    <w:rsid w:val="009C28A2"/>
    <w:rsid w:val="009C2BA6"/>
    <w:rsid w:val="009C2D70"/>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BDF"/>
    <w:rsid w:val="009D3736"/>
    <w:rsid w:val="009D4529"/>
    <w:rsid w:val="009D604F"/>
    <w:rsid w:val="009D61BB"/>
    <w:rsid w:val="009D6410"/>
    <w:rsid w:val="009D68BB"/>
    <w:rsid w:val="009D6909"/>
    <w:rsid w:val="009D70C2"/>
    <w:rsid w:val="009D7244"/>
    <w:rsid w:val="009D7ADB"/>
    <w:rsid w:val="009D7B33"/>
    <w:rsid w:val="009E020C"/>
    <w:rsid w:val="009E06C3"/>
    <w:rsid w:val="009E0703"/>
    <w:rsid w:val="009E1035"/>
    <w:rsid w:val="009E12BD"/>
    <w:rsid w:val="009E16C2"/>
    <w:rsid w:val="009E16DA"/>
    <w:rsid w:val="009E1CD4"/>
    <w:rsid w:val="009E2391"/>
    <w:rsid w:val="009E476A"/>
    <w:rsid w:val="009E4E05"/>
    <w:rsid w:val="009E56FF"/>
    <w:rsid w:val="009E59ED"/>
    <w:rsid w:val="009E5CB1"/>
    <w:rsid w:val="009E5E56"/>
    <w:rsid w:val="009E61EA"/>
    <w:rsid w:val="009E6990"/>
    <w:rsid w:val="009E6FEE"/>
    <w:rsid w:val="009E7924"/>
    <w:rsid w:val="009E7F95"/>
    <w:rsid w:val="009F00B9"/>
    <w:rsid w:val="009F060F"/>
    <w:rsid w:val="009F0781"/>
    <w:rsid w:val="009F0850"/>
    <w:rsid w:val="009F1BDF"/>
    <w:rsid w:val="009F1EAE"/>
    <w:rsid w:val="009F369D"/>
    <w:rsid w:val="009F36FE"/>
    <w:rsid w:val="009F488D"/>
    <w:rsid w:val="009F4990"/>
    <w:rsid w:val="009F4F25"/>
    <w:rsid w:val="009F59C2"/>
    <w:rsid w:val="009F6DAE"/>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6FB"/>
    <w:rsid w:val="00A04A54"/>
    <w:rsid w:val="00A0558F"/>
    <w:rsid w:val="00A058B8"/>
    <w:rsid w:val="00A05B4B"/>
    <w:rsid w:val="00A066C3"/>
    <w:rsid w:val="00A06754"/>
    <w:rsid w:val="00A069E0"/>
    <w:rsid w:val="00A06E4A"/>
    <w:rsid w:val="00A07058"/>
    <w:rsid w:val="00A070E9"/>
    <w:rsid w:val="00A078FB"/>
    <w:rsid w:val="00A0791E"/>
    <w:rsid w:val="00A1036D"/>
    <w:rsid w:val="00A1069F"/>
    <w:rsid w:val="00A10ACA"/>
    <w:rsid w:val="00A10D08"/>
    <w:rsid w:val="00A11BB6"/>
    <w:rsid w:val="00A11E78"/>
    <w:rsid w:val="00A1224A"/>
    <w:rsid w:val="00A12355"/>
    <w:rsid w:val="00A12574"/>
    <w:rsid w:val="00A127D2"/>
    <w:rsid w:val="00A1284E"/>
    <w:rsid w:val="00A131DF"/>
    <w:rsid w:val="00A131F8"/>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46"/>
    <w:rsid w:val="00A20997"/>
    <w:rsid w:val="00A210D4"/>
    <w:rsid w:val="00A213DD"/>
    <w:rsid w:val="00A21454"/>
    <w:rsid w:val="00A216CE"/>
    <w:rsid w:val="00A22025"/>
    <w:rsid w:val="00A22498"/>
    <w:rsid w:val="00A22571"/>
    <w:rsid w:val="00A2298D"/>
    <w:rsid w:val="00A233F7"/>
    <w:rsid w:val="00A24560"/>
    <w:rsid w:val="00A25B0F"/>
    <w:rsid w:val="00A25BBB"/>
    <w:rsid w:val="00A25F2F"/>
    <w:rsid w:val="00A26F11"/>
    <w:rsid w:val="00A27FB6"/>
    <w:rsid w:val="00A30121"/>
    <w:rsid w:val="00A30368"/>
    <w:rsid w:val="00A3043A"/>
    <w:rsid w:val="00A304C0"/>
    <w:rsid w:val="00A30E02"/>
    <w:rsid w:val="00A30F6A"/>
    <w:rsid w:val="00A31C3E"/>
    <w:rsid w:val="00A32254"/>
    <w:rsid w:val="00A32A8C"/>
    <w:rsid w:val="00A34538"/>
    <w:rsid w:val="00A34677"/>
    <w:rsid w:val="00A3540F"/>
    <w:rsid w:val="00A35630"/>
    <w:rsid w:val="00A35914"/>
    <w:rsid w:val="00A36189"/>
    <w:rsid w:val="00A37E73"/>
    <w:rsid w:val="00A37FB6"/>
    <w:rsid w:val="00A4037F"/>
    <w:rsid w:val="00A409E2"/>
    <w:rsid w:val="00A40C13"/>
    <w:rsid w:val="00A4104A"/>
    <w:rsid w:val="00A41081"/>
    <w:rsid w:val="00A411CA"/>
    <w:rsid w:val="00A42080"/>
    <w:rsid w:val="00A42096"/>
    <w:rsid w:val="00A426F3"/>
    <w:rsid w:val="00A42FDF"/>
    <w:rsid w:val="00A430A9"/>
    <w:rsid w:val="00A431FE"/>
    <w:rsid w:val="00A435DD"/>
    <w:rsid w:val="00A439E5"/>
    <w:rsid w:val="00A4414E"/>
    <w:rsid w:val="00A4497A"/>
    <w:rsid w:val="00A44AB5"/>
    <w:rsid w:val="00A44BE8"/>
    <w:rsid w:val="00A44C96"/>
    <w:rsid w:val="00A44CDD"/>
    <w:rsid w:val="00A44F54"/>
    <w:rsid w:val="00A45F9B"/>
    <w:rsid w:val="00A46574"/>
    <w:rsid w:val="00A47849"/>
    <w:rsid w:val="00A500B1"/>
    <w:rsid w:val="00A510FC"/>
    <w:rsid w:val="00A524BF"/>
    <w:rsid w:val="00A52A53"/>
    <w:rsid w:val="00A52B87"/>
    <w:rsid w:val="00A52EE5"/>
    <w:rsid w:val="00A53037"/>
    <w:rsid w:val="00A532B9"/>
    <w:rsid w:val="00A5351D"/>
    <w:rsid w:val="00A53E79"/>
    <w:rsid w:val="00A54031"/>
    <w:rsid w:val="00A5426D"/>
    <w:rsid w:val="00A54959"/>
    <w:rsid w:val="00A54FC2"/>
    <w:rsid w:val="00A55122"/>
    <w:rsid w:val="00A55CEA"/>
    <w:rsid w:val="00A56DE7"/>
    <w:rsid w:val="00A57EB2"/>
    <w:rsid w:val="00A6009E"/>
    <w:rsid w:val="00A60265"/>
    <w:rsid w:val="00A60540"/>
    <w:rsid w:val="00A60B1F"/>
    <w:rsid w:val="00A61A97"/>
    <w:rsid w:val="00A61AB7"/>
    <w:rsid w:val="00A61C60"/>
    <w:rsid w:val="00A624A5"/>
    <w:rsid w:val="00A62589"/>
    <w:rsid w:val="00A62AD0"/>
    <w:rsid w:val="00A62C3A"/>
    <w:rsid w:val="00A63152"/>
    <w:rsid w:val="00A6319C"/>
    <w:rsid w:val="00A63812"/>
    <w:rsid w:val="00A63DF7"/>
    <w:rsid w:val="00A6454D"/>
    <w:rsid w:val="00A64F2F"/>
    <w:rsid w:val="00A6611E"/>
    <w:rsid w:val="00A668BA"/>
    <w:rsid w:val="00A66FA7"/>
    <w:rsid w:val="00A67E16"/>
    <w:rsid w:val="00A67EB1"/>
    <w:rsid w:val="00A703CC"/>
    <w:rsid w:val="00A70C5C"/>
    <w:rsid w:val="00A70F78"/>
    <w:rsid w:val="00A710A2"/>
    <w:rsid w:val="00A71EA7"/>
    <w:rsid w:val="00A72FE1"/>
    <w:rsid w:val="00A730AD"/>
    <w:rsid w:val="00A7347E"/>
    <w:rsid w:val="00A73855"/>
    <w:rsid w:val="00A738CB"/>
    <w:rsid w:val="00A73D64"/>
    <w:rsid w:val="00A74216"/>
    <w:rsid w:val="00A74360"/>
    <w:rsid w:val="00A744B4"/>
    <w:rsid w:val="00A751E3"/>
    <w:rsid w:val="00A753B9"/>
    <w:rsid w:val="00A7549A"/>
    <w:rsid w:val="00A75504"/>
    <w:rsid w:val="00A75FD7"/>
    <w:rsid w:val="00A77168"/>
    <w:rsid w:val="00A7723B"/>
    <w:rsid w:val="00A773C3"/>
    <w:rsid w:val="00A7793C"/>
    <w:rsid w:val="00A779BF"/>
    <w:rsid w:val="00A77D21"/>
    <w:rsid w:val="00A80085"/>
    <w:rsid w:val="00A8043B"/>
    <w:rsid w:val="00A80DA0"/>
    <w:rsid w:val="00A81323"/>
    <w:rsid w:val="00A82084"/>
    <w:rsid w:val="00A820CB"/>
    <w:rsid w:val="00A82342"/>
    <w:rsid w:val="00A8236F"/>
    <w:rsid w:val="00A834C0"/>
    <w:rsid w:val="00A83BEF"/>
    <w:rsid w:val="00A84443"/>
    <w:rsid w:val="00A8483D"/>
    <w:rsid w:val="00A8487F"/>
    <w:rsid w:val="00A849A3"/>
    <w:rsid w:val="00A84A0E"/>
    <w:rsid w:val="00A8575D"/>
    <w:rsid w:val="00A86E0B"/>
    <w:rsid w:val="00A90792"/>
    <w:rsid w:val="00A90F12"/>
    <w:rsid w:val="00A91DAA"/>
    <w:rsid w:val="00A93101"/>
    <w:rsid w:val="00A93239"/>
    <w:rsid w:val="00A9413E"/>
    <w:rsid w:val="00A94293"/>
    <w:rsid w:val="00A9496E"/>
    <w:rsid w:val="00A949F0"/>
    <w:rsid w:val="00A94BDE"/>
    <w:rsid w:val="00A94FCA"/>
    <w:rsid w:val="00A95E4C"/>
    <w:rsid w:val="00A96C60"/>
    <w:rsid w:val="00A970A1"/>
    <w:rsid w:val="00A9740B"/>
    <w:rsid w:val="00A9766C"/>
    <w:rsid w:val="00A977F8"/>
    <w:rsid w:val="00A979DB"/>
    <w:rsid w:val="00A97C93"/>
    <w:rsid w:val="00AA03E8"/>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6D47"/>
    <w:rsid w:val="00AA7416"/>
    <w:rsid w:val="00AA7A60"/>
    <w:rsid w:val="00AA7B42"/>
    <w:rsid w:val="00AB041C"/>
    <w:rsid w:val="00AB14E8"/>
    <w:rsid w:val="00AB1B1D"/>
    <w:rsid w:val="00AB2216"/>
    <w:rsid w:val="00AB2656"/>
    <w:rsid w:val="00AB34F8"/>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5BB"/>
    <w:rsid w:val="00AC46B0"/>
    <w:rsid w:val="00AC484F"/>
    <w:rsid w:val="00AC4B20"/>
    <w:rsid w:val="00AC56F2"/>
    <w:rsid w:val="00AC58DD"/>
    <w:rsid w:val="00AC71C3"/>
    <w:rsid w:val="00AD09F7"/>
    <w:rsid w:val="00AD0D42"/>
    <w:rsid w:val="00AD1DA0"/>
    <w:rsid w:val="00AD1EFA"/>
    <w:rsid w:val="00AD2072"/>
    <w:rsid w:val="00AD2DBD"/>
    <w:rsid w:val="00AD2FBF"/>
    <w:rsid w:val="00AD340E"/>
    <w:rsid w:val="00AD3B81"/>
    <w:rsid w:val="00AD3F15"/>
    <w:rsid w:val="00AD455D"/>
    <w:rsid w:val="00AD463C"/>
    <w:rsid w:val="00AD4F60"/>
    <w:rsid w:val="00AD5044"/>
    <w:rsid w:val="00AD5114"/>
    <w:rsid w:val="00AD6236"/>
    <w:rsid w:val="00AD69D5"/>
    <w:rsid w:val="00AD7619"/>
    <w:rsid w:val="00AD76A1"/>
    <w:rsid w:val="00AD7770"/>
    <w:rsid w:val="00AE0F1D"/>
    <w:rsid w:val="00AE1772"/>
    <w:rsid w:val="00AE1990"/>
    <w:rsid w:val="00AE25E8"/>
    <w:rsid w:val="00AE2AD4"/>
    <w:rsid w:val="00AE2CA7"/>
    <w:rsid w:val="00AE2F1D"/>
    <w:rsid w:val="00AE4C81"/>
    <w:rsid w:val="00AE586F"/>
    <w:rsid w:val="00AE6582"/>
    <w:rsid w:val="00AE6DC5"/>
    <w:rsid w:val="00AE705C"/>
    <w:rsid w:val="00AE7686"/>
    <w:rsid w:val="00AE799A"/>
    <w:rsid w:val="00AF0E81"/>
    <w:rsid w:val="00AF117A"/>
    <w:rsid w:val="00AF16CA"/>
    <w:rsid w:val="00AF186E"/>
    <w:rsid w:val="00AF19DF"/>
    <w:rsid w:val="00AF1D41"/>
    <w:rsid w:val="00AF26CF"/>
    <w:rsid w:val="00AF27C1"/>
    <w:rsid w:val="00AF2EE8"/>
    <w:rsid w:val="00AF3124"/>
    <w:rsid w:val="00AF3320"/>
    <w:rsid w:val="00AF344D"/>
    <w:rsid w:val="00AF39B3"/>
    <w:rsid w:val="00AF4402"/>
    <w:rsid w:val="00AF4639"/>
    <w:rsid w:val="00AF4E92"/>
    <w:rsid w:val="00AF554B"/>
    <w:rsid w:val="00AF55C5"/>
    <w:rsid w:val="00AF5C9B"/>
    <w:rsid w:val="00AF5D53"/>
    <w:rsid w:val="00AF5E2D"/>
    <w:rsid w:val="00AF644B"/>
    <w:rsid w:val="00AF69EB"/>
    <w:rsid w:val="00AF6CA6"/>
    <w:rsid w:val="00AF6EB6"/>
    <w:rsid w:val="00AF7796"/>
    <w:rsid w:val="00B011A9"/>
    <w:rsid w:val="00B018A2"/>
    <w:rsid w:val="00B01BAF"/>
    <w:rsid w:val="00B024ED"/>
    <w:rsid w:val="00B026B8"/>
    <w:rsid w:val="00B02EB3"/>
    <w:rsid w:val="00B02FCB"/>
    <w:rsid w:val="00B033F8"/>
    <w:rsid w:val="00B03C1E"/>
    <w:rsid w:val="00B04400"/>
    <w:rsid w:val="00B04835"/>
    <w:rsid w:val="00B05A55"/>
    <w:rsid w:val="00B05DE1"/>
    <w:rsid w:val="00B061C4"/>
    <w:rsid w:val="00B06337"/>
    <w:rsid w:val="00B06595"/>
    <w:rsid w:val="00B06862"/>
    <w:rsid w:val="00B06F05"/>
    <w:rsid w:val="00B10109"/>
    <w:rsid w:val="00B1023F"/>
    <w:rsid w:val="00B1085E"/>
    <w:rsid w:val="00B10FD1"/>
    <w:rsid w:val="00B112D5"/>
    <w:rsid w:val="00B1130C"/>
    <w:rsid w:val="00B1219D"/>
    <w:rsid w:val="00B12735"/>
    <w:rsid w:val="00B12F44"/>
    <w:rsid w:val="00B13861"/>
    <w:rsid w:val="00B13C48"/>
    <w:rsid w:val="00B13E35"/>
    <w:rsid w:val="00B13EC0"/>
    <w:rsid w:val="00B14102"/>
    <w:rsid w:val="00B14AB0"/>
    <w:rsid w:val="00B14D32"/>
    <w:rsid w:val="00B1507C"/>
    <w:rsid w:val="00B1557C"/>
    <w:rsid w:val="00B155DC"/>
    <w:rsid w:val="00B15766"/>
    <w:rsid w:val="00B15E4A"/>
    <w:rsid w:val="00B1666A"/>
    <w:rsid w:val="00B167C8"/>
    <w:rsid w:val="00B1686D"/>
    <w:rsid w:val="00B16BF7"/>
    <w:rsid w:val="00B16ECD"/>
    <w:rsid w:val="00B17129"/>
    <w:rsid w:val="00B1741D"/>
    <w:rsid w:val="00B17447"/>
    <w:rsid w:val="00B1771D"/>
    <w:rsid w:val="00B17B91"/>
    <w:rsid w:val="00B20209"/>
    <w:rsid w:val="00B203C9"/>
    <w:rsid w:val="00B2088D"/>
    <w:rsid w:val="00B208FF"/>
    <w:rsid w:val="00B20E8F"/>
    <w:rsid w:val="00B20FFF"/>
    <w:rsid w:val="00B2129F"/>
    <w:rsid w:val="00B22E22"/>
    <w:rsid w:val="00B22EC0"/>
    <w:rsid w:val="00B22F5F"/>
    <w:rsid w:val="00B23353"/>
    <w:rsid w:val="00B23813"/>
    <w:rsid w:val="00B23FD9"/>
    <w:rsid w:val="00B24591"/>
    <w:rsid w:val="00B245D5"/>
    <w:rsid w:val="00B245EF"/>
    <w:rsid w:val="00B24C36"/>
    <w:rsid w:val="00B24F94"/>
    <w:rsid w:val="00B25126"/>
    <w:rsid w:val="00B25A52"/>
    <w:rsid w:val="00B25AED"/>
    <w:rsid w:val="00B25FC3"/>
    <w:rsid w:val="00B273F6"/>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953"/>
    <w:rsid w:val="00B35B6A"/>
    <w:rsid w:val="00B36D2B"/>
    <w:rsid w:val="00B37657"/>
    <w:rsid w:val="00B37AFD"/>
    <w:rsid w:val="00B37B07"/>
    <w:rsid w:val="00B4046F"/>
    <w:rsid w:val="00B406B3"/>
    <w:rsid w:val="00B40A36"/>
    <w:rsid w:val="00B40E58"/>
    <w:rsid w:val="00B41BCA"/>
    <w:rsid w:val="00B41D39"/>
    <w:rsid w:val="00B422C0"/>
    <w:rsid w:val="00B426CA"/>
    <w:rsid w:val="00B426E1"/>
    <w:rsid w:val="00B43820"/>
    <w:rsid w:val="00B4387A"/>
    <w:rsid w:val="00B43DF7"/>
    <w:rsid w:val="00B44746"/>
    <w:rsid w:val="00B44854"/>
    <w:rsid w:val="00B44BA5"/>
    <w:rsid w:val="00B4554E"/>
    <w:rsid w:val="00B458D0"/>
    <w:rsid w:val="00B45A60"/>
    <w:rsid w:val="00B46696"/>
    <w:rsid w:val="00B4792C"/>
    <w:rsid w:val="00B501E3"/>
    <w:rsid w:val="00B50CAE"/>
    <w:rsid w:val="00B512AD"/>
    <w:rsid w:val="00B5196C"/>
    <w:rsid w:val="00B525CB"/>
    <w:rsid w:val="00B52697"/>
    <w:rsid w:val="00B5273D"/>
    <w:rsid w:val="00B54215"/>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6EBA"/>
    <w:rsid w:val="00B771F4"/>
    <w:rsid w:val="00B7762A"/>
    <w:rsid w:val="00B777FA"/>
    <w:rsid w:val="00B77850"/>
    <w:rsid w:val="00B7796B"/>
    <w:rsid w:val="00B80476"/>
    <w:rsid w:val="00B80C72"/>
    <w:rsid w:val="00B81964"/>
    <w:rsid w:val="00B81E6F"/>
    <w:rsid w:val="00B82123"/>
    <w:rsid w:val="00B8225B"/>
    <w:rsid w:val="00B82BB5"/>
    <w:rsid w:val="00B83182"/>
    <w:rsid w:val="00B8347E"/>
    <w:rsid w:val="00B839F0"/>
    <w:rsid w:val="00B83FEE"/>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4C2"/>
    <w:rsid w:val="00B90A49"/>
    <w:rsid w:val="00B90A73"/>
    <w:rsid w:val="00B90BD4"/>
    <w:rsid w:val="00B9178F"/>
    <w:rsid w:val="00B91B8E"/>
    <w:rsid w:val="00B92531"/>
    <w:rsid w:val="00B92618"/>
    <w:rsid w:val="00B92751"/>
    <w:rsid w:val="00B92A4B"/>
    <w:rsid w:val="00B92B69"/>
    <w:rsid w:val="00B92CC6"/>
    <w:rsid w:val="00B935C9"/>
    <w:rsid w:val="00B93E3D"/>
    <w:rsid w:val="00B95464"/>
    <w:rsid w:val="00B95C30"/>
    <w:rsid w:val="00B95E3D"/>
    <w:rsid w:val="00B95ED6"/>
    <w:rsid w:val="00B9691F"/>
    <w:rsid w:val="00B96EEC"/>
    <w:rsid w:val="00B97392"/>
    <w:rsid w:val="00B97678"/>
    <w:rsid w:val="00B976C7"/>
    <w:rsid w:val="00B97A73"/>
    <w:rsid w:val="00BA0C54"/>
    <w:rsid w:val="00BA1382"/>
    <w:rsid w:val="00BA15E3"/>
    <w:rsid w:val="00BA1A8C"/>
    <w:rsid w:val="00BA20B6"/>
    <w:rsid w:val="00BA20D8"/>
    <w:rsid w:val="00BA22FC"/>
    <w:rsid w:val="00BA271E"/>
    <w:rsid w:val="00BA2C2A"/>
    <w:rsid w:val="00BA2CF9"/>
    <w:rsid w:val="00BA2F30"/>
    <w:rsid w:val="00BA3982"/>
    <w:rsid w:val="00BA405F"/>
    <w:rsid w:val="00BA4771"/>
    <w:rsid w:val="00BA482B"/>
    <w:rsid w:val="00BA4BDA"/>
    <w:rsid w:val="00BA5027"/>
    <w:rsid w:val="00BA5DBE"/>
    <w:rsid w:val="00BA658F"/>
    <w:rsid w:val="00BA661F"/>
    <w:rsid w:val="00BA665B"/>
    <w:rsid w:val="00BA6FE8"/>
    <w:rsid w:val="00BA732D"/>
    <w:rsid w:val="00BA7370"/>
    <w:rsid w:val="00BA7591"/>
    <w:rsid w:val="00BA778B"/>
    <w:rsid w:val="00BB0888"/>
    <w:rsid w:val="00BB0DF1"/>
    <w:rsid w:val="00BB0E9B"/>
    <w:rsid w:val="00BB1C62"/>
    <w:rsid w:val="00BB2841"/>
    <w:rsid w:val="00BB300F"/>
    <w:rsid w:val="00BB32C9"/>
    <w:rsid w:val="00BB3381"/>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5A25"/>
    <w:rsid w:val="00BC5FDD"/>
    <w:rsid w:val="00BC68B4"/>
    <w:rsid w:val="00BC7277"/>
    <w:rsid w:val="00BD012C"/>
    <w:rsid w:val="00BD0140"/>
    <w:rsid w:val="00BD0226"/>
    <w:rsid w:val="00BD02CC"/>
    <w:rsid w:val="00BD061A"/>
    <w:rsid w:val="00BD088E"/>
    <w:rsid w:val="00BD0F18"/>
    <w:rsid w:val="00BD182E"/>
    <w:rsid w:val="00BD2063"/>
    <w:rsid w:val="00BD2950"/>
    <w:rsid w:val="00BD337A"/>
    <w:rsid w:val="00BD33D9"/>
    <w:rsid w:val="00BD38C5"/>
    <w:rsid w:val="00BD3AF1"/>
    <w:rsid w:val="00BD3DEA"/>
    <w:rsid w:val="00BD3E97"/>
    <w:rsid w:val="00BD40E4"/>
    <w:rsid w:val="00BD52FE"/>
    <w:rsid w:val="00BD5744"/>
    <w:rsid w:val="00BD62CF"/>
    <w:rsid w:val="00BD67B2"/>
    <w:rsid w:val="00BD68E2"/>
    <w:rsid w:val="00BD6D41"/>
    <w:rsid w:val="00BD76E5"/>
    <w:rsid w:val="00BD78FE"/>
    <w:rsid w:val="00BE0149"/>
    <w:rsid w:val="00BE0767"/>
    <w:rsid w:val="00BE07A6"/>
    <w:rsid w:val="00BE0CDF"/>
    <w:rsid w:val="00BE12D7"/>
    <w:rsid w:val="00BE1372"/>
    <w:rsid w:val="00BE1775"/>
    <w:rsid w:val="00BE18DA"/>
    <w:rsid w:val="00BE26C0"/>
    <w:rsid w:val="00BE3442"/>
    <w:rsid w:val="00BE37CD"/>
    <w:rsid w:val="00BE47B2"/>
    <w:rsid w:val="00BE48C7"/>
    <w:rsid w:val="00BE4F66"/>
    <w:rsid w:val="00BE4FBF"/>
    <w:rsid w:val="00BE50D0"/>
    <w:rsid w:val="00BE5238"/>
    <w:rsid w:val="00BE5712"/>
    <w:rsid w:val="00BE5742"/>
    <w:rsid w:val="00BE6074"/>
    <w:rsid w:val="00BE6D73"/>
    <w:rsid w:val="00BE7257"/>
    <w:rsid w:val="00BF020D"/>
    <w:rsid w:val="00BF05FC"/>
    <w:rsid w:val="00BF0609"/>
    <w:rsid w:val="00BF0EE8"/>
    <w:rsid w:val="00BF0F4A"/>
    <w:rsid w:val="00BF10ED"/>
    <w:rsid w:val="00BF1DD2"/>
    <w:rsid w:val="00BF23A3"/>
    <w:rsid w:val="00BF2A7E"/>
    <w:rsid w:val="00BF3331"/>
    <w:rsid w:val="00BF3603"/>
    <w:rsid w:val="00BF3A45"/>
    <w:rsid w:val="00BF436F"/>
    <w:rsid w:val="00BF5C05"/>
    <w:rsid w:val="00BF6AD7"/>
    <w:rsid w:val="00BF6FC6"/>
    <w:rsid w:val="00BF7C52"/>
    <w:rsid w:val="00BF7F99"/>
    <w:rsid w:val="00C00713"/>
    <w:rsid w:val="00C009A0"/>
    <w:rsid w:val="00C01F74"/>
    <w:rsid w:val="00C023E4"/>
    <w:rsid w:val="00C02558"/>
    <w:rsid w:val="00C025E6"/>
    <w:rsid w:val="00C0285F"/>
    <w:rsid w:val="00C028F5"/>
    <w:rsid w:val="00C02F35"/>
    <w:rsid w:val="00C031FF"/>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233E"/>
    <w:rsid w:val="00C12FB3"/>
    <w:rsid w:val="00C138BC"/>
    <w:rsid w:val="00C13D85"/>
    <w:rsid w:val="00C13E9E"/>
    <w:rsid w:val="00C145FE"/>
    <w:rsid w:val="00C14639"/>
    <w:rsid w:val="00C14E82"/>
    <w:rsid w:val="00C14FF6"/>
    <w:rsid w:val="00C15A85"/>
    <w:rsid w:val="00C1637C"/>
    <w:rsid w:val="00C1641B"/>
    <w:rsid w:val="00C165FC"/>
    <w:rsid w:val="00C176D5"/>
    <w:rsid w:val="00C17D24"/>
    <w:rsid w:val="00C2082C"/>
    <w:rsid w:val="00C20B85"/>
    <w:rsid w:val="00C20EB0"/>
    <w:rsid w:val="00C21004"/>
    <w:rsid w:val="00C21005"/>
    <w:rsid w:val="00C21FB4"/>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7143"/>
    <w:rsid w:val="00C27490"/>
    <w:rsid w:val="00C27D37"/>
    <w:rsid w:val="00C309E8"/>
    <w:rsid w:val="00C32017"/>
    <w:rsid w:val="00C32571"/>
    <w:rsid w:val="00C325CD"/>
    <w:rsid w:val="00C3322E"/>
    <w:rsid w:val="00C337F5"/>
    <w:rsid w:val="00C3383E"/>
    <w:rsid w:val="00C33B90"/>
    <w:rsid w:val="00C34161"/>
    <w:rsid w:val="00C34B32"/>
    <w:rsid w:val="00C34B5F"/>
    <w:rsid w:val="00C358D4"/>
    <w:rsid w:val="00C365C6"/>
    <w:rsid w:val="00C366F4"/>
    <w:rsid w:val="00C36785"/>
    <w:rsid w:val="00C3680E"/>
    <w:rsid w:val="00C3711C"/>
    <w:rsid w:val="00C37256"/>
    <w:rsid w:val="00C37A7B"/>
    <w:rsid w:val="00C37DC1"/>
    <w:rsid w:val="00C37FFE"/>
    <w:rsid w:val="00C40B50"/>
    <w:rsid w:val="00C419E3"/>
    <w:rsid w:val="00C419F4"/>
    <w:rsid w:val="00C41C1E"/>
    <w:rsid w:val="00C41E6A"/>
    <w:rsid w:val="00C42247"/>
    <w:rsid w:val="00C428E7"/>
    <w:rsid w:val="00C43394"/>
    <w:rsid w:val="00C438A2"/>
    <w:rsid w:val="00C439BE"/>
    <w:rsid w:val="00C4539B"/>
    <w:rsid w:val="00C45466"/>
    <w:rsid w:val="00C455C1"/>
    <w:rsid w:val="00C456EA"/>
    <w:rsid w:val="00C4581D"/>
    <w:rsid w:val="00C4635B"/>
    <w:rsid w:val="00C47472"/>
    <w:rsid w:val="00C500F0"/>
    <w:rsid w:val="00C504A7"/>
    <w:rsid w:val="00C506C9"/>
    <w:rsid w:val="00C50A16"/>
    <w:rsid w:val="00C51C9A"/>
    <w:rsid w:val="00C523AC"/>
    <w:rsid w:val="00C52C68"/>
    <w:rsid w:val="00C52D98"/>
    <w:rsid w:val="00C52DA1"/>
    <w:rsid w:val="00C53D24"/>
    <w:rsid w:val="00C54640"/>
    <w:rsid w:val="00C547A6"/>
    <w:rsid w:val="00C54A3A"/>
    <w:rsid w:val="00C55C32"/>
    <w:rsid w:val="00C55CBD"/>
    <w:rsid w:val="00C56A67"/>
    <w:rsid w:val="00C56CC2"/>
    <w:rsid w:val="00C56D8D"/>
    <w:rsid w:val="00C572D2"/>
    <w:rsid w:val="00C57498"/>
    <w:rsid w:val="00C5763C"/>
    <w:rsid w:val="00C5780C"/>
    <w:rsid w:val="00C5796B"/>
    <w:rsid w:val="00C57C64"/>
    <w:rsid w:val="00C60CE0"/>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821"/>
    <w:rsid w:val="00C67B0B"/>
    <w:rsid w:val="00C67C0E"/>
    <w:rsid w:val="00C70012"/>
    <w:rsid w:val="00C70453"/>
    <w:rsid w:val="00C71E2A"/>
    <w:rsid w:val="00C733BA"/>
    <w:rsid w:val="00C760DC"/>
    <w:rsid w:val="00C8082B"/>
    <w:rsid w:val="00C81A88"/>
    <w:rsid w:val="00C81BD5"/>
    <w:rsid w:val="00C81D0B"/>
    <w:rsid w:val="00C81D46"/>
    <w:rsid w:val="00C82298"/>
    <w:rsid w:val="00C8331F"/>
    <w:rsid w:val="00C833B4"/>
    <w:rsid w:val="00C83C3E"/>
    <w:rsid w:val="00C84284"/>
    <w:rsid w:val="00C84887"/>
    <w:rsid w:val="00C84E33"/>
    <w:rsid w:val="00C85FFC"/>
    <w:rsid w:val="00C861FC"/>
    <w:rsid w:val="00C86C87"/>
    <w:rsid w:val="00C9005E"/>
    <w:rsid w:val="00C90111"/>
    <w:rsid w:val="00C9038E"/>
    <w:rsid w:val="00C9077B"/>
    <w:rsid w:val="00C90CA9"/>
    <w:rsid w:val="00C90F88"/>
    <w:rsid w:val="00C915F2"/>
    <w:rsid w:val="00C917B1"/>
    <w:rsid w:val="00C9193C"/>
    <w:rsid w:val="00C9196F"/>
    <w:rsid w:val="00C91B77"/>
    <w:rsid w:val="00C920E2"/>
    <w:rsid w:val="00C931F7"/>
    <w:rsid w:val="00C9370F"/>
    <w:rsid w:val="00C93765"/>
    <w:rsid w:val="00C93877"/>
    <w:rsid w:val="00C93D8C"/>
    <w:rsid w:val="00C93E07"/>
    <w:rsid w:val="00C946CC"/>
    <w:rsid w:val="00C959BD"/>
    <w:rsid w:val="00C95DFE"/>
    <w:rsid w:val="00C95F44"/>
    <w:rsid w:val="00C96D1B"/>
    <w:rsid w:val="00C97106"/>
    <w:rsid w:val="00C977E0"/>
    <w:rsid w:val="00C978D4"/>
    <w:rsid w:val="00CA0031"/>
    <w:rsid w:val="00CA0413"/>
    <w:rsid w:val="00CA043A"/>
    <w:rsid w:val="00CA0E51"/>
    <w:rsid w:val="00CA15C3"/>
    <w:rsid w:val="00CA1691"/>
    <w:rsid w:val="00CA1E01"/>
    <w:rsid w:val="00CA41E7"/>
    <w:rsid w:val="00CA4A99"/>
    <w:rsid w:val="00CA5520"/>
    <w:rsid w:val="00CA5812"/>
    <w:rsid w:val="00CA5BD4"/>
    <w:rsid w:val="00CA5C14"/>
    <w:rsid w:val="00CA6B20"/>
    <w:rsid w:val="00CA76FC"/>
    <w:rsid w:val="00CA7E7B"/>
    <w:rsid w:val="00CB0236"/>
    <w:rsid w:val="00CB1881"/>
    <w:rsid w:val="00CB1969"/>
    <w:rsid w:val="00CB19E3"/>
    <w:rsid w:val="00CB2C3A"/>
    <w:rsid w:val="00CB2D38"/>
    <w:rsid w:val="00CB31B4"/>
    <w:rsid w:val="00CB4137"/>
    <w:rsid w:val="00CB50D0"/>
    <w:rsid w:val="00CB52D0"/>
    <w:rsid w:val="00CB5578"/>
    <w:rsid w:val="00CB5671"/>
    <w:rsid w:val="00CB58D9"/>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23B"/>
    <w:rsid w:val="00CC46CE"/>
    <w:rsid w:val="00CC4CB4"/>
    <w:rsid w:val="00CC4E5D"/>
    <w:rsid w:val="00CC50AE"/>
    <w:rsid w:val="00CC5E38"/>
    <w:rsid w:val="00CC5FFE"/>
    <w:rsid w:val="00CC61B7"/>
    <w:rsid w:val="00CC61CA"/>
    <w:rsid w:val="00CC69EC"/>
    <w:rsid w:val="00CC71D3"/>
    <w:rsid w:val="00CC734C"/>
    <w:rsid w:val="00CC743D"/>
    <w:rsid w:val="00CD02ED"/>
    <w:rsid w:val="00CD050A"/>
    <w:rsid w:val="00CD1017"/>
    <w:rsid w:val="00CD205D"/>
    <w:rsid w:val="00CD2A22"/>
    <w:rsid w:val="00CD2B50"/>
    <w:rsid w:val="00CD3172"/>
    <w:rsid w:val="00CD4506"/>
    <w:rsid w:val="00CD520B"/>
    <w:rsid w:val="00CD592E"/>
    <w:rsid w:val="00CD5982"/>
    <w:rsid w:val="00CD5A1A"/>
    <w:rsid w:val="00CD61D5"/>
    <w:rsid w:val="00CD655B"/>
    <w:rsid w:val="00CD7EFA"/>
    <w:rsid w:val="00CE020E"/>
    <w:rsid w:val="00CE0566"/>
    <w:rsid w:val="00CE1594"/>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0CF"/>
    <w:rsid w:val="00CE781B"/>
    <w:rsid w:val="00CE7F26"/>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25AF"/>
    <w:rsid w:val="00D02DA6"/>
    <w:rsid w:val="00D034D1"/>
    <w:rsid w:val="00D0368E"/>
    <w:rsid w:val="00D03AC3"/>
    <w:rsid w:val="00D03D2D"/>
    <w:rsid w:val="00D03E7B"/>
    <w:rsid w:val="00D03E9B"/>
    <w:rsid w:val="00D0401A"/>
    <w:rsid w:val="00D047E0"/>
    <w:rsid w:val="00D04B9F"/>
    <w:rsid w:val="00D04D43"/>
    <w:rsid w:val="00D04FFB"/>
    <w:rsid w:val="00D053FB"/>
    <w:rsid w:val="00D055FE"/>
    <w:rsid w:val="00D058E9"/>
    <w:rsid w:val="00D0612A"/>
    <w:rsid w:val="00D1060D"/>
    <w:rsid w:val="00D10D14"/>
    <w:rsid w:val="00D10E7C"/>
    <w:rsid w:val="00D11182"/>
    <w:rsid w:val="00D1137B"/>
    <w:rsid w:val="00D11807"/>
    <w:rsid w:val="00D1194F"/>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104A"/>
    <w:rsid w:val="00D2123A"/>
    <w:rsid w:val="00D21BB5"/>
    <w:rsid w:val="00D21FFC"/>
    <w:rsid w:val="00D223B6"/>
    <w:rsid w:val="00D223E8"/>
    <w:rsid w:val="00D224E1"/>
    <w:rsid w:val="00D22DC8"/>
    <w:rsid w:val="00D22E31"/>
    <w:rsid w:val="00D2477B"/>
    <w:rsid w:val="00D2522A"/>
    <w:rsid w:val="00D2531C"/>
    <w:rsid w:val="00D25428"/>
    <w:rsid w:val="00D2553E"/>
    <w:rsid w:val="00D2742F"/>
    <w:rsid w:val="00D2754F"/>
    <w:rsid w:val="00D277C5"/>
    <w:rsid w:val="00D279D9"/>
    <w:rsid w:val="00D31011"/>
    <w:rsid w:val="00D312DC"/>
    <w:rsid w:val="00D31B84"/>
    <w:rsid w:val="00D31C6A"/>
    <w:rsid w:val="00D31EDF"/>
    <w:rsid w:val="00D31FF9"/>
    <w:rsid w:val="00D32149"/>
    <w:rsid w:val="00D32256"/>
    <w:rsid w:val="00D32A27"/>
    <w:rsid w:val="00D32ABC"/>
    <w:rsid w:val="00D33FA4"/>
    <w:rsid w:val="00D348C8"/>
    <w:rsid w:val="00D34B25"/>
    <w:rsid w:val="00D34C7F"/>
    <w:rsid w:val="00D34F4E"/>
    <w:rsid w:val="00D357F3"/>
    <w:rsid w:val="00D35A63"/>
    <w:rsid w:val="00D35C0E"/>
    <w:rsid w:val="00D36FBF"/>
    <w:rsid w:val="00D373A8"/>
    <w:rsid w:val="00D379A5"/>
    <w:rsid w:val="00D379BB"/>
    <w:rsid w:val="00D37BB3"/>
    <w:rsid w:val="00D401BE"/>
    <w:rsid w:val="00D4043A"/>
    <w:rsid w:val="00D40DB0"/>
    <w:rsid w:val="00D41093"/>
    <w:rsid w:val="00D41858"/>
    <w:rsid w:val="00D422DB"/>
    <w:rsid w:val="00D42AC2"/>
    <w:rsid w:val="00D4465D"/>
    <w:rsid w:val="00D4498E"/>
    <w:rsid w:val="00D4515F"/>
    <w:rsid w:val="00D451E8"/>
    <w:rsid w:val="00D466C9"/>
    <w:rsid w:val="00D47275"/>
    <w:rsid w:val="00D50EE7"/>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7940"/>
    <w:rsid w:val="00D60327"/>
    <w:rsid w:val="00D61384"/>
    <w:rsid w:val="00D61526"/>
    <w:rsid w:val="00D61C39"/>
    <w:rsid w:val="00D61F81"/>
    <w:rsid w:val="00D620A6"/>
    <w:rsid w:val="00D62BE6"/>
    <w:rsid w:val="00D63766"/>
    <w:rsid w:val="00D63912"/>
    <w:rsid w:val="00D63923"/>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61C"/>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97D"/>
    <w:rsid w:val="00D85D61"/>
    <w:rsid w:val="00D8616D"/>
    <w:rsid w:val="00D8711B"/>
    <w:rsid w:val="00D87384"/>
    <w:rsid w:val="00D879C4"/>
    <w:rsid w:val="00D87AEB"/>
    <w:rsid w:val="00D90683"/>
    <w:rsid w:val="00D90B2A"/>
    <w:rsid w:val="00D911B3"/>
    <w:rsid w:val="00D91483"/>
    <w:rsid w:val="00D915C8"/>
    <w:rsid w:val="00D92E36"/>
    <w:rsid w:val="00D9310B"/>
    <w:rsid w:val="00D931F3"/>
    <w:rsid w:val="00D93726"/>
    <w:rsid w:val="00D93DDE"/>
    <w:rsid w:val="00D93F3E"/>
    <w:rsid w:val="00D9405B"/>
    <w:rsid w:val="00D94942"/>
    <w:rsid w:val="00D950E6"/>
    <w:rsid w:val="00D95145"/>
    <w:rsid w:val="00D95742"/>
    <w:rsid w:val="00D96594"/>
    <w:rsid w:val="00D967CB"/>
    <w:rsid w:val="00D968D4"/>
    <w:rsid w:val="00D96DA5"/>
    <w:rsid w:val="00D96EE0"/>
    <w:rsid w:val="00D97BD1"/>
    <w:rsid w:val="00DA00C3"/>
    <w:rsid w:val="00DA01E9"/>
    <w:rsid w:val="00DA06B8"/>
    <w:rsid w:val="00DA0A51"/>
    <w:rsid w:val="00DA14A9"/>
    <w:rsid w:val="00DA286D"/>
    <w:rsid w:val="00DA2969"/>
    <w:rsid w:val="00DA29B7"/>
    <w:rsid w:val="00DA2E5F"/>
    <w:rsid w:val="00DA337C"/>
    <w:rsid w:val="00DA4187"/>
    <w:rsid w:val="00DA4842"/>
    <w:rsid w:val="00DA4C97"/>
    <w:rsid w:val="00DA5989"/>
    <w:rsid w:val="00DA5AB1"/>
    <w:rsid w:val="00DA5F9D"/>
    <w:rsid w:val="00DA69B2"/>
    <w:rsid w:val="00DA7311"/>
    <w:rsid w:val="00DA7462"/>
    <w:rsid w:val="00DA7AD0"/>
    <w:rsid w:val="00DB02D7"/>
    <w:rsid w:val="00DB03CC"/>
    <w:rsid w:val="00DB12D4"/>
    <w:rsid w:val="00DB144C"/>
    <w:rsid w:val="00DB14F0"/>
    <w:rsid w:val="00DB1745"/>
    <w:rsid w:val="00DB19BB"/>
    <w:rsid w:val="00DB1AFF"/>
    <w:rsid w:val="00DB219A"/>
    <w:rsid w:val="00DB3165"/>
    <w:rsid w:val="00DB4292"/>
    <w:rsid w:val="00DB5023"/>
    <w:rsid w:val="00DB6895"/>
    <w:rsid w:val="00DB6E46"/>
    <w:rsid w:val="00DB6E6D"/>
    <w:rsid w:val="00DB7117"/>
    <w:rsid w:val="00DB7735"/>
    <w:rsid w:val="00DB7760"/>
    <w:rsid w:val="00DB7DD4"/>
    <w:rsid w:val="00DC00B4"/>
    <w:rsid w:val="00DC0954"/>
    <w:rsid w:val="00DC0DF8"/>
    <w:rsid w:val="00DC15BA"/>
    <w:rsid w:val="00DC18CD"/>
    <w:rsid w:val="00DC1A68"/>
    <w:rsid w:val="00DC1E08"/>
    <w:rsid w:val="00DC30B8"/>
    <w:rsid w:val="00DC478F"/>
    <w:rsid w:val="00DC5560"/>
    <w:rsid w:val="00DC62E5"/>
    <w:rsid w:val="00DC6D70"/>
    <w:rsid w:val="00DC6F33"/>
    <w:rsid w:val="00DC71BC"/>
    <w:rsid w:val="00DC7349"/>
    <w:rsid w:val="00DD0EA9"/>
    <w:rsid w:val="00DD14D8"/>
    <w:rsid w:val="00DD1599"/>
    <w:rsid w:val="00DD16F1"/>
    <w:rsid w:val="00DD1B03"/>
    <w:rsid w:val="00DD1E43"/>
    <w:rsid w:val="00DD2A62"/>
    <w:rsid w:val="00DD2F2F"/>
    <w:rsid w:val="00DD2F7A"/>
    <w:rsid w:val="00DD3885"/>
    <w:rsid w:val="00DD3F8E"/>
    <w:rsid w:val="00DD53E1"/>
    <w:rsid w:val="00DD5489"/>
    <w:rsid w:val="00DD5808"/>
    <w:rsid w:val="00DD5946"/>
    <w:rsid w:val="00DD5B04"/>
    <w:rsid w:val="00DD5DAE"/>
    <w:rsid w:val="00DD5EC6"/>
    <w:rsid w:val="00DD605F"/>
    <w:rsid w:val="00DD7024"/>
    <w:rsid w:val="00DD72A0"/>
    <w:rsid w:val="00DD735D"/>
    <w:rsid w:val="00DD7F7D"/>
    <w:rsid w:val="00DD7FAD"/>
    <w:rsid w:val="00DE0159"/>
    <w:rsid w:val="00DE064A"/>
    <w:rsid w:val="00DE082D"/>
    <w:rsid w:val="00DE1410"/>
    <w:rsid w:val="00DE20C6"/>
    <w:rsid w:val="00DE3119"/>
    <w:rsid w:val="00DE3E0B"/>
    <w:rsid w:val="00DE3FF0"/>
    <w:rsid w:val="00DE4105"/>
    <w:rsid w:val="00DE5189"/>
    <w:rsid w:val="00DE7108"/>
    <w:rsid w:val="00DE78D1"/>
    <w:rsid w:val="00DE78FF"/>
    <w:rsid w:val="00DF0263"/>
    <w:rsid w:val="00DF03DF"/>
    <w:rsid w:val="00DF0EB4"/>
    <w:rsid w:val="00DF146A"/>
    <w:rsid w:val="00DF158B"/>
    <w:rsid w:val="00DF193C"/>
    <w:rsid w:val="00DF1E36"/>
    <w:rsid w:val="00DF236B"/>
    <w:rsid w:val="00DF2A91"/>
    <w:rsid w:val="00DF30DA"/>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1ED"/>
    <w:rsid w:val="00E032C2"/>
    <w:rsid w:val="00E03951"/>
    <w:rsid w:val="00E03DB8"/>
    <w:rsid w:val="00E03F17"/>
    <w:rsid w:val="00E0420C"/>
    <w:rsid w:val="00E047D5"/>
    <w:rsid w:val="00E04EDD"/>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42"/>
    <w:rsid w:val="00E162D7"/>
    <w:rsid w:val="00E16382"/>
    <w:rsid w:val="00E1699C"/>
    <w:rsid w:val="00E16E75"/>
    <w:rsid w:val="00E1746D"/>
    <w:rsid w:val="00E2012A"/>
    <w:rsid w:val="00E205A2"/>
    <w:rsid w:val="00E20BA4"/>
    <w:rsid w:val="00E210D0"/>
    <w:rsid w:val="00E23137"/>
    <w:rsid w:val="00E2338F"/>
    <w:rsid w:val="00E23980"/>
    <w:rsid w:val="00E241E9"/>
    <w:rsid w:val="00E250AD"/>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73B"/>
    <w:rsid w:val="00E33B29"/>
    <w:rsid w:val="00E33B62"/>
    <w:rsid w:val="00E33D00"/>
    <w:rsid w:val="00E3403D"/>
    <w:rsid w:val="00E344BD"/>
    <w:rsid w:val="00E34E6C"/>
    <w:rsid w:val="00E3537E"/>
    <w:rsid w:val="00E353E2"/>
    <w:rsid w:val="00E36345"/>
    <w:rsid w:val="00E36C86"/>
    <w:rsid w:val="00E36CEB"/>
    <w:rsid w:val="00E37A28"/>
    <w:rsid w:val="00E40430"/>
    <w:rsid w:val="00E40690"/>
    <w:rsid w:val="00E40AEB"/>
    <w:rsid w:val="00E40E82"/>
    <w:rsid w:val="00E40EE0"/>
    <w:rsid w:val="00E41141"/>
    <w:rsid w:val="00E4143A"/>
    <w:rsid w:val="00E424C8"/>
    <w:rsid w:val="00E4251D"/>
    <w:rsid w:val="00E4272D"/>
    <w:rsid w:val="00E42B97"/>
    <w:rsid w:val="00E43492"/>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2A6E"/>
    <w:rsid w:val="00E53A21"/>
    <w:rsid w:val="00E53BCA"/>
    <w:rsid w:val="00E53DE2"/>
    <w:rsid w:val="00E53F02"/>
    <w:rsid w:val="00E54276"/>
    <w:rsid w:val="00E5428D"/>
    <w:rsid w:val="00E54534"/>
    <w:rsid w:val="00E548C3"/>
    <w:rsid w:val="00E54F27"/>
    <w:rsid w:val="00E55FF1"/>
    <w:rsid w:val="00E56090"/>
    <w:rsid w:val="00E562BE"/>
    <w:rsid w:val="00E565B9"/>
    <w:rsid w:val="00E56E7B"/>
    <w:rsid w:val="00E5733B"/>
    <w:rsid w:val="00E5756C"/>
    <w:rsid w:val="00E57811"/>
    <w:rsid w:val="00E601BE"/>
    <w:rsid w:val="00E60B5F"/>
    <w:rsid w:val="00E60D8D"/>
    <w:rsid w:val="00E60FF7"/>
    <w:rsid w:val="00E613AE"/>
    <w:rsid w:val="00E61429"/>
    <w:rsid w:val="00E61ABB"/>
    <w:rsid w:val="00E61FD7"/>
    <w:rsid w:val="00E623E6"/>
    <w:rsid w:val="00E630A2"/>
    <w:rsid w:val="00E630C0"/>
    <w:rsid w:val="00E63107"/>
    <w:rsid w:val="00E6312C"/>
    <w:rsid w:val="00E634E6"/>
    <w:rsid w:val="00E63DCE"/>
    <w:rsid w:val="00E64700"/>
    <w:rsid w:val="00E65016"/>
    <w:rsid w:val="00E65074"/>
    <w:rsid w:val="00E658DF"/>
    <w:rsid w:val="00E65E70"/>
    <w:rsid w:val="00E66087"/>
    <w:rsid w:val="00E66D79"/>
    <w:rsid w:val="00E66F5A"/>
    <w:rsid w:val="00E66FF9"/>
    <w:rsid w:val="00E6706F"/>
    <w:rsid w:val="00E673A2"/>
    <w:rsid w:val="00E67856"/>
    <w:rsid w:val="00E679C8"/>
    <w:rsid w:val="00E70314"/>
    <w:rsid w:val="00E70A67"/>
    <w:rsid w:val="00E724E7"/>
    <w:rsid w:val="00E72B41"/>
    <w:rsid w:val="00E7347B"/>
    <w:rsid w:val="00E73792"/>
    <w:rsid w:val="00E73B14"/>
    <w:rsid w:val="00E73D03"/>
    <w:rsid w:val="00E7471C"/>
    <w:rsid w:val="00E7498A"/>
    <w:rsid w:val="00E7514E"/>
    <w:rsid w:val="00E76537"/>
    <w:rsid w:val="00E77784"/>
    <w:rsid w:val="00E77AF5"/>
    <w:rsid w:val="00E820F4"/>
    <w:rsid w:val="00E823F9"/>
    <w:rsid w:val="00E82C1F"/>
    <w:rsid w:val="00E83671"/>
    <w:rsid w:val="00E839C4"/>
    <w:rsid w:val="00E840EE"/>
    <w:rsid w:val="00E84314"/>
    <w:rsid w:val="00E849CA"/>
    <w:rsid w:val="00E84A71"/>
    <w:rsid w:val="00E8556F"/>
    <w:rsid w:val="00E85679"/>
    <w:rsid w:val="00E86556"/>
    <w:rsid w:val="00E86D35"/>
    <w:rsid w:val="00E86DC2"/>
    <w:rsid w:val="00E86E32"/>
    <w:rsid w:val="00E86F2E"/>
    <w:rsid w:val="00E8732E"/>
    <w:rsid w:val="00E9011F"/>
    <w:rsid w:val="00E906EB"/>
    <w:rsid w:val="00E90AEC"/>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2FA"/>
    <w:rsid w:val="00EA2744"/>
    <w:rsid w:val="00EA37B9"/>
    <w:rsid w:val="00EA39F7"/>
    <w:rsid w:val="00EA3DC2"/>
    <w:rsid w:val="00EA40F3"/>
    <w:rsid w:val="00EA434E"/>
    <w:rsid w:val="00EA4757"/>
    <w:rsid w:val="00EA560B"/>
    <w:rsid w:val="00EA5669"/>
    <w:rsid w:val="00EA5CC6"/>
    <w:rsid w:val="00EA63EF"/>
    <w:rsid w:val="00EA6AD4"/>
    <w:rsid w:val="00EA7639"/>
    <w:rsid w:val="00EA7CBF"/>
    <w:rsid w:val="00EB0A89"/>
    <w:rsid w:val="00EB0B37"/>
    <w:rsid w:val="00EB0EF2"/>
    <w:rsid w:val="00EB0F14"/>
    <w:rsid w:val="00EB1573"/>
    <w:rsid w:val="00EB185F"/>
    <w:rsid w:val="00EB1910"/>
    <w:rsid w:val="00EB29AD"/>
    <w:rsid w:val="00EB2D83"/>
    <w:rsid w:val="00EB2E97"/>
    <w:rsid w:val="00EB3416"/>
    <w:rsid w:val="00EB3D8C"/>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73DE"/>
    <w:rsid w:val="00EC752E"/>
    <w:rsid w:val="00EC7637"/>
    <w:rsid w:val="00EC7CF2"/>
    <w:rsid w:val="00ED046C"/>
    <w:rsid w:val="00ED053A"/>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5FCB"/>
    <w:rsid w:val="00ED623F"/>
    <w:rsid w:val="00ED624C"/>
    <w:rsid w:val="00ED63A5"/>
    <w:rsid w:val="00ED69BA"/>
    <w:rsid w:val="00ED6D1A"/>
    <w:rsid w:val="00ED72E9"/>
    <w:rsid w:val="00ED732E"/>
    <w:rsid w:val="00ED77F0"/>
    <w:rsid w:val="00ED7FBC"/>
    <w:rsid w:val="00EE0253"/>
    <w:rsid w:val="00EE0297"/>
    <w:rsid w:val="00EE0801"/>
    <w:rsid w:val="00EE1258"/>
    <w:rsid w:val="00EE13DA"/>
    <w:rsid w:val="00EE1668"/>
    <w:rsid w:val="00EE1EDB"/>
    <w:rsid w:val="00EE24E2"/>
    <w:rsid w:val="00EE2882"/>
    <w:rsid w:val="00EE2BF0"/>
    <w:rsid w:val="00EE366D"/>
    <w:rsid w:val="00EE5454"/>
    <w:rsid w:val="00EE54C4"/>
    <w:rsid w:val="00EE59B5"/>
    <w:rsid w:val="00EE5FB7"/>
    <w:rsid w:val="00EE6783"/>
    <w:rsid w:val="00EE7B54"/>
    <w:rsid w:val="00EE7C47"/>
    <w:rsid w:val="00EE7C88"/>
    <w:rsid w:val="00EE7C8B"/>
    <w:rsid w:val="00EF0209"/>
    <w:rsid w:val="00EF0EA4"/>
    <w:rsid w:val="00EF1123"/>
    <w:rsid w:val="00EF1E97"/>
    <w:rsid w:val="00EF2436"/>
    <w:rsid w:val="00EF2547"/>
    <w:rsid w:val="00EF2942"/>
    <w:rsid w:val="00EF2B2B"/>
    <w:rsid w:val="00EF2E1C"/>
    <w:rsid w:val="00EF2FD6"/>
    <w:rsid w:val="00EF326A"/>
    <w:rsid w:val="00EF427A"/>
    <w:rsid w:val="00EF45DF"/>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E67"/>
    <w:rsid w:val="00F02744"/>
    <w:rsid w:val="00F027D0"/>
    <w:rsid w:val="00F02BFD"/>
    <w:rsid w:val="00F02D25"/>
    <w:rsid w:val="00F03C3D"/>
    <w:rsid w:val="00F0435D"/>
    <w:rsid w:val="00F04535"/>
    <w:rsid w:val="00F04580"/>
    <w:rsid w:val="00F04ECA"/>
    <w:rsid w:val="00F04F8B"/>
    <w:rsid w:val="00F05715"/>
    <w:rsid w:val="00F06E19"/>
    <w:rsid w:val="00F06F84"/>
    <w:rsid w:val="00F076E7"/>
    <w:rsid w:val="00F0779D"/>
    <w:rsid w:val="00F07AA1"/>
    <w:rsid w:val="00F105AE"/>
    <w:rsid w:val="00F10618"/>
    <w:rsid w:val="00F1108B"/>
    <w:rsid w:val="00F112A2"/>
    <w:rsid w:val="00F114FA"/>
    <w:rsid w:val="00F11768"/>
    <w:rsid w:val="00F11951"/>
    <w:rsid w:val="00F12262"/>
    <w:rsid w:val="00F12564"/>
    <w:rsid w:val="00F12AF8"/>
    <w:rsid w:val="00F12C52"/>
    <w:rsid w:val="00F13828"/>
    <w:rsid w:val="00F13E62"/>
    <w:rsid w:val="00F13F51"/>
    <w:rsid w:val="00F148B7"/>
    <w:rsid w:val="00F148EF"/>
    <w:rsid w:val="00F14EA9"/>
    <w:rsid w:val="00F15505"/>
    <w:rsid w:val="00F15BFF"/>
    <w:rsid w:val="00F16E4F"/>
    <w:rsid w:val="00F17244"/>
    <w:rsid w:val="00F20ECE"/>
    <w:rsid w:val="00F213A0"/>
    <w:rsid w:val="00F21D54"/>
    <w:rsid w:val="00F21EF4"/>
    <w:rsid w:val="00F23113"/>
    <w:rsid w:val="00F23255"/>
    <w:rsid w:val="00F23393"/>
    <w:rsid w:val="00F23759"/>
    <w:rsid w:val="00F2445D"/>
    <w:rsid w:val="00F24644"/>
    <w:rsid w:val="00F25947"/>
    <w:rsid w:val="00F262D6"/>
    <w:rsid w:val="00F26F33"/>
    <w:rsid w:val="00F2748A"/>
    <w:rsid w:val="00F27F75"/>
    <w:rsid w:val="00F300A8"/>
    <w:rsid w:val="00F302C6"/>
    <w:rsid w:val="00F30400"/>
    <w:rsid w:val="00F3079E"/>
    <w:rsid w:val="00F317AE"/>
    <w:rsid w:val="00F3399B"/>
    <w:rsid w:val="00F33F4B"/>
    <w:rsid w:val="00F346ED"/>
    <w:rsid w:val="00F3488F"/>
    <w:rsid w:val="00F34945"/>
    <w:rsid w:val="00F34E1E"/>
    <w:rsid w:val="00F3570C"/>
    <w:rsid w:val="00F363A4"/>
    <w:rsid w:val="00F36613"/>
    <w:rsid w:val="00F36765"/>
    <w:rsid w:val="00F368FF"/>
    <w:rsid w:val="00F37068"/>
    <w:rsid w:val="00F37F3F"/>
    <w:rsid w:val="00F40992"/>
    <w:rsid w:val="00F409C6"/>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00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766"/>
    <w:rsid w:val="00F60F60"/>
    <w:rsid w:val="00F612CE"/>
    <w:rsid w:val="00F6133C"/>
    <w:rsid w:val="00F61405"/>
    <w:rsid w:val="00F61A85"/>
    <w:rsid w:val="00F62227"/>
    <w:rsid w:val="00F624A7"/>
    <w:rsid w:val="00F62AB6"/>
    <w:rsid w:val="00F65A3C"/>
    <w:rsid w:val="00F66009"/>
    <w:rsid w:val="00F66282"/>
    <w:rsid w:val="00F6639E"/>
    <w:rsid w:val="00F670E9"/>
    <w:rsid w:val="00F67AF1"/>
    <w:rsid w:val="00F67D8B"/>
    <w:rsid w:val="00F701C5"/>
    <w:rsid w:val="00F70961"/>
    <w:rsid w:val="00F70A8F"/>
    <w:rsid w:val="00F71397"/>
    <w:rsid w:val="00F72389"/>
    <w:rsid w:val="00F72516"/>
    <w:rsid w:val="00F72FB4"/>
    <w:rsid w:val="00F735E5"/>
    <w:rsid w:val="00F73690"/>
    <w:rsid w:val="00F73B82"/>
    <w:rsid w:val="00F73E80"/>
    <w:rsid w:val="00F7469C"/>
    <w:rsid w:val="00F7492E"/>
    <w:rsid w:val="00F74945"/>
    <w:rsid w:val="00F749A3"/>
    <w:rsid w:val="00F74AE8"/>
    <w:rsid w:val="00F75D82"/>
    <w:rsid w:val="00F76C11"/>
    <w:rsid w:val="00F76C69"/>
    <w:rsid w:val="00F77021"/>
    <w:rsid w:val="00F770AB"/>
    <w:rsid w:val="00F77E61"/>
    <w:rsid w:val="00F77FA1"/>
    <w:rsid w:val="00F80221"/>
    <w:rsid w:val="00F80A0A"/>
    <w:rsid w:val="00F80C81"/>
    <w:rsid w:val="00F80E9D"/>
    <w:rsid w:val="00F810B5"/>
    <w:rsid w:val="00F815AC"/>
    <w:rsid w:val="00F8297B"/>
    <w:rsid w:val="00F83B33"/>
    <w:rsid w:val="00F83CAE"/>
    <w:rsid w:val="00F840BF"/>
    <w:rsid w:val="00F8427A"/>
    <w:rsid w:val="00F843DF"/>
    <w:rsid w:val="00F84646"/>
    <w:rsid w:val="00F84899"/>
    <w:rsid w:val="00F8490C"/>
    <w:rsid w:val="00F85585"/>
    <w:rsid w:val="00F859F0"/>
    <w:rsid w:val="00F85CC1"/>
    <w:rsid w:val="00F86602"/>
    <w:rsid w:val="00F86B5D"/>
    <w:rsid w:val="00F87634"/>
    <w:rsid w:val="00F87C13"/>
    <w:rsid w:val="00F87C5A"/>
    <w:rsid w:val="00F87E29"/>
    <w:rsid w:val="00F87F18"/>
    <w:rsid w:val="00F87F68"/>
    <w:rsid w:val="00F90191"/>
    <w:rsid w:val="00F90C4D"/>
    <w:rsid w:val="00F9167D"/>
    <w:rsid w:val="00F91CB2"/>
    <w:rsid w:val="00F927E8"/>
    <w:rsid w:val="00F9289C"/>
    <w:rsid w:val="00F93DBC"/>
    <w:rsid w:val="00F93E41"/>
    <w:rsid w:val="00F94458"/>
    <w:rsid w:val="00F94644"/>
    <w:rsid w:val="00F952E4"/>
    <w:rsid w:val="00F9537B"/>
    <w:rsid w:val="00F96079"/>
    <w:rsid w:val="00F963FC"/>
    <w:rsid w:val="00F9642F"/>
    <w:rsid w:val="00F971A3"/>
    <w:rsid w:val="00F97CF1"/>
    <w:rsid w:val="00FA015F"/>
    <w:rsid w:val="00FA097A"/>
    <w:rsid w:val="00FA0EBD"/>
    <w:rsid w:val="00FA0FAC"/>
    <w:rsid w:val="00FA10F7"/>
    <w:rsid w:val="00FA1DA2"/>
    <w:rsid w:val="00FA32DF"/>
    <w:rsid w:val="00FA3414"/>
    <w:rsid w:val="00FA347A"/>
    <w:rsid w:val="00FA3CDE"/>
    <w:rsid w:val="00FA49B7"/>
    <w:rsid w:val="00FA5043"/>
    <w:rsid w:val="00FA60C1"/>
    <w:rsid w:val="00FA65A3"/>
    <w:rsid w:val="00FA6F8B"/>
    <w:rsid w:val="00FA727C"/>
    <w:rsid w:val="00FA7407"/>
    <w:rsid w:val="00FA7A30"/>
    <w:rsid w:val="00FB033F"/>
    <w:rsid w:val="00FB0880"/>
    <w:rsid w:val="00FB12E3"/>
    <w:rsid w:val="00FB1570"/>
    <w:rsid w:val="00FB193B"/>
    <w:rsid w:val="00FB1FBC"/>
    <w:rsid w:val="00FB27B7"/>
    <w:rsid w:val="00FB3548"/>
    <w:rsid w:val="00FB35E3"/>
    <w:rsid w:val="00FB3BEC"/>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72B1"/>
    <w:rsid w:val="00FD798D"/>
    <w:rsid w:val="00FE141E"/>
    <w:rsid w:val="00FE144E"/>
    <w:rsid w:val="00FE1768"/>
    <w:rsid w:val="00FE1DD5"/>
    <w:rsid w:val="00FE1E72"/>
    <w:rsid w:val="00FE24F4"/>
    <w:rsid w:val="00FE2560"/>
    <w:rsid w:val="00FE31FA"/>
    <w:rsid w:val="00FE35D0"/>
    <w:rsid w:val="00FE42ED"/>
    <w:rsid w:val="00FE4E06"/>
    <w:rsid w:val="00FE55A7"/>
    <w:rsid w:val="00FE5C5A"/>
    <w:rsid w:val="00FE6432"/>
    <w:rsid w:val="00FE72A0"/>
    <w:rsid w:val="00FF0050"/>
    <w:rsid w:val="00FF045F"/>
    <w:rsid w:val="00FF13D4"/>
    <w:rsid w:val="00FF2053"/>
    <w:rsid w:val="00FF2D35"/>
    <w:rsid w:val="00FF3B37"/>
    <w:rsid w:val="00FF3CC7"/>
    <w:rsid w:val="00FF3D6F"/>
    <w:rsid w:val="00FF4BD8"/>
    <w:rsid w:val="00FF4D11"/>
    <w:rsid w:val="00FF5214"/>
    <w:rsid w:val="00FF547B"/>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2D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clusulas">
    <w:name w:val="cláusulas"/>
    <w:basedOn w:val="Normal"/>
    <w:qFormat/>
    <w:rsid w:val="004E435F"/>
    <w:pPr>
      <w:numPr>
        <w:numId w:val="28"/>
      </w:numPr>
      <w:spacing w:before="120" w:after="120"/>
      <w:jc w:val="both"/>
    </w:pPr>
    <w:rPr>
      <w:rFonts w:asciiTheme="minorHAnsi" w:eastAsiaTheme="minorHAnsi" w:hAnsiTheme="minorHAnsi" w:cstheme="minorBidi"/>
      <w:b/>
      <w:sz w:val="20"/>
      <w:szCs w:val="22"/>
      <w:lang w:eastAsia="en-US"/>
    </w:rPr>
  </w:style>
  <w:style w:type="paragraph" w:customStyle="1" w:styleId="Normal11pt">
    <w:name w:val="Normal + 11 pt"/>
    <w:aliases w:val="Negro,Justificado,Izquierda:  -0,95 cm,Derecha:  0,04 cm"/>
    <w:basedOn w:val="Normal"/>
    <w:uiPriority w:val="99"/>
    <w:rsid w:val="00EE2882"/>
    <w:pPr>
      <w:ind w:left="-540"/>
      <w:jc w:val="both"/>
    </w:pPr>
    <w:rPr>
      <w:rFonts w:ascii="Arial" w:hAnsi="Arial" w:cs="Arial"/>
      <w:color w:val="000000"/>
      <w:sz w:val="22"/>
      <w:szCs w:val="22"/>
      <w:lang w:val="es-ES_tradnl" w:eastAsia="es-ES"/>
    </w:rPr>
  </w:style>
  <w:style w:type="character" w:customStyle="1" w:styleId="Mencinsinresolver4">
    <w:name w:val="Mención sin resolver4"/>
    <w:basedOn w:val="Fuentedeprrafopredeter"/>
    <w:uiPriority w:val="99"/>
    <w:semiHidden/>
    <w:unhideWhenUsed/>
    <w:rsid w:val="00E42B97"/>
    <w:rPr>
      <w:color w:val="605E5C"/>
      <w:shd w:val="clear" w:color="auto" w:fill="E1DFDD"/>
    </w:rPr>
  </w:style>
  <w:style w:type="paragraph" w:styleId="Revisin">
    <w:name w:val="Revision"/>
    <w:hidden/>
    <w:uiPriority w:val="99"/>
    <w:semiHidden/>
    <w:rsid w:val="009F6DAE"/>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E393B-ABB4-4886-97A0-F2697F78DBD6}">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7839502-145F-433D-9ED2-9F6CCDB91E03}"/>
</file>

<file path=docProps/app.xml><?xml version="1.0" encoding="utf-8"?>
<Properties xmlns="http://schemas.openxmlformats.org/officeDocument/2006/extended-properties" xmlns:vt="http://schemas.openxmlformats.org/officeDocument/2006/docPropsVTypes">
  <Template>Respuesta a consultas</Template>
  <TotalTime>1</TotalTime>
  <Pages>18</Pages>
  <Words>6665</Words>
  <Characters>36658</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2022-09-20T14:08:00Z</dcterms:created>
  <dcterms:modified xsi:type="dcterms:W3CDTF">2022-09-20T14:08:00Z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