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11BC7" w14:textId="3E7200C7" w:rsidR="002835D0" w:rsidRPr="00890AB8" w:rsidRDefault="002835D0" w:rsidP="002835D0">
      <w:pPr>
        <w:pStyle w:val="paragraph"/>
        <w:spacing w:before="0" w:beforeAutospacing="0" w:after="0" w:afterAutospacing="0"/>
        <w:jc w:val="both"/>
        <w:textAlignment w:val="baseline"/>
        <w:rPr>
          <w:rFonts w:ascii="Segoe UI" w:hAnsi="Segoe UI" w:cs="Segoe UI"/>
          <w:sz w:val="18"/>
          <w:szCs w:val="18"/>
          <w:lang w:eastAsia="en-US"/>
        </w:rPr>
      </w:pPr>
    </w:p>
    <w:p w14:paraId="100124A4" w14:textId="77777777" w:rsidR="00075CB7" w:rsidRPr="00075CB7" w:rsidRDefault="00075CB7" w:rsidP="00075CB7">
      <w:pPr>
        <w:spacing w:line="276" w:lineRule="auto"/>
        <w:jc w:val="both"/>
        <w:rPr>
          <w:rFonts w:ascii="Arial" w:hAnsi="Arial" w:cs="Arial"/>
          <w:b/>
          <w:bCs/>
          <w:sz w:val="20"/>
          <w:szCs w:val="20"/>
        </w:rPr>
      </w:pPr>
      <w:r w:rsidRPr="00075CB7">
        <w:rPr>
          <w:rFonts w:ascii="Arial" w:hAnsi="Arial" w:cs="Arial"/>
          <w:b/>
          <w:bCs/>
          <w:sz w:val="20"/>
          <w:szCs w:val="20"/>
        </w:rPr>
        <w:t xml:space="preserve">REQUISITOS HABILITANTES – Definición – Diferencia con los criterios de evaluación </w:t>
      </w:r>
    </w:p>
    <w:p w14:paraId="16E76C4A" w14:textId="77777777" w:rsidR="00075CB7" w:rsidRPr="00075CB7" w:rsidRDefault="00075CB7" w:rsidP="00075CB7">
      <w:pPr>
        <w:spacing w:line="276" w:lineRule="auto"/>
        <w:jc w:val="both"/>
        <w:rPr>
          <w:rFonts w:ascii="Arial" w:hAnsi="Arial" w:cs="Arial"/>
          <w:sz w:val="20"/>
          <w:szCs w:val="20"/>
        </w:rPr>
      </w:pPr>
    </w:p>
    <w:p w14:paraId="47321C03" w14:textId="77777777" w:rsidR="00075CB7" w:rsidRPr="00075CB7" w:rsidRDefault="00075CB7" w:rsidP="00075CB7">
      <w:pPr>
        <w:spacing w:after="120" w:line="276" w:lineRule="auto"/>
        <w:jc w:val="both"/>
        <w:rPr>
          <w:rFonts w:ascii="Arial" w:eastAsia="Calibri" w:hAnsi="Arial" w:cs="Arial"/>
          <w:color w:val="000000" w:themeColor="text1"/>
          <w:sz w:val="20"/>
          <w:szCs w:val="20"/>
          <w:lang w:val="es-ES_tradnl"/>
        </w:rPr>
      </w:pPr>
      <w:r w:rsidRPr="00075CB7">
        <w:rPr>
          <w:rFonts w:ascii="Arial" w:eastAsia="Calibri" w:hAnsi="Arial" w:cs="Arial"/>
          <w:color w:val="000000" w:themeColor="text1"/>
          <w:sz w:val="20"/>
          <w:szCs w:val="20"/>
          <w:lang w:val="es-ES_tradnl"/>
        </w:rPr>
        <w:t xml:space="preserve">Los </w:t>
      </w:r>
      <w:r w:rsidRPr="00075CB7">
        <w:rPr>
          <w:rFonts w:ascii="Arial" w:eastAsia="Calibri" w:hAnsi="Arial" w:cs="Arial"/>
          <w:i/>
          <w:iCs/>
          <w:color w:val="000000" w:themeColor="text1"/>
          <w:sz w:val="20"/>
          <w:szCs w:val="20"/>
          <w:lang w:val="es-ES_tradnl"/>
        </w:rPr>
        <w:t>requisitos habilitantes</w:t>
      </w:r>
      <w:r w:rsidRPr="00075CB7">
        <w:rPr>
          <w:rFonts w:ascii="Arial" w:eastAsia="Calibri" w:hAnsi="Arial" w:cs="Arial"/>
          <w:color w:val="000000" w:themeColor="text1"/>
          <w:sz w:val="20"/>
          <w:szCs w:val="20"/>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075CB7">
        <w:rPr>
          <w:rFonts w:ascii="Arial" w:eastAsia="Calibri" w:hAnsi="Arial" w:cs="Arial"/>
          <w:i/>
          <w:iCs/>
          <w:color w:val="000000" w:themeColor="text1"/>
          <w:sz w:val="20"/>
          <w:szCs w:val="20"/>
          <w:lang w:val="es-ES_tradnl"/>
        </w:rPr>
        <w:t>criterios de evaluación</w:t>
      </w:r>
      <w:r w:rsidRPr="00075CB7">
        <w:rPr>
          <w:rFonts w:ascii="Arial" w:eastAsia="Calibri" w:hAnsi="Arial" w:cs="Arial"/>
          <w:color w:val="000000" w:themeColor="text1"/>
          <w:sz w:val="20"/>
          <w:szCs w:val="20"/>
          <w:lang w:val="es-ES_tradnl"/>
        </w:rPr>
        <w:t xml:space="preserve"> –también conocidos como </w:t>
      </w:r>
      <w:r w:rsidRPr="00075CB7">
        <w:rPr>
          <w:rFonts w:ascii="Arial" w:eastAsia="Calibri" w:hAnsi="Arial" w:cs="Arial"/>
          <w:i/>
          <w:iCs/>
          <w:color w:val="000000" w:themeColor="text1"/>
          <w:sz w:val="20"/>
          <w:szCs w:val="20"/>
          <w:lang w:val="es-ES_tradnl"/>
        </w:rPr>
        <w:t>criterios de calificación</w:t>
      </w:r>
      <w:r w:rsidRPr="00075CB7">
        <w:rPr>
          <w:rFonts w:ascii="Arial" w:eastAsia="Calibri" w:hAnsi="Arial" w:cs="Arial"/>
          <w:color w:val="000000" w:themeColor="text1"/>
          <w:sz w:val="20"/>
          <w:szCs w:val="20"/>
          <w:lang w:val="es-ES_tradnl"/>
        </w:rPr>
        <w:t>– en que estos son los factores definidos por la entidad estatal para la asignación de puntaje en el momento de la comparación de las ofertas, y que, a partir de su ponderación, permiten establecer el orden de elegibilidad y, por ende, la propuesta ganadora. […]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w:t>
      </w:r>
    </w:p>
    <w:p w14:paraId="686983B7" w14:textId="77777777" w:rsidR="00075CB7" w:rsidRPr="00075CB7" w:rsidRDefault="00075CB7" w:rsidP="00075CB7">
      <w:pPr>
        <w:spacing w:after="120" w:line="276" w:lineRule="auto"/>
        <w:jc w:val="both"/>
        <w:rPr>
          <w:rFonts w:ascii="Arial" w:eastAsia="Calibri" w:hAnsi="Arial" w:cs="Arial"/>
          <w:color w:val="000000" w:themeColor="text1"/>
          <w:sz w:val="20"/>
          <w:szCs w:val="20"/>
          <w:lang w:val="es-ES_tradnl"/>
        </w:rPr>
      </w:pPr>
    </w:p>
    <w:p w14:paraId="32EF0183" w14:textId="77777777" w:rsidR="00075CB7" w:rsidRPr="00075CB7" w:rsidRDefault="00075CB7" w:rsidP="00075CB7">
      <w:pPr>
        <w:spacing w:after="120" w:line="276" w:lineRule="auto"/>
        <w:jc w:val="both"/>
        <w:rPr>
          <w:rFonts w:ascii="Arial" w:eastAsia="Calibri" w:hAnsi="Arial" w:cs="Arial"/>
          <w:color w:val="000000" w:themeColor="text1"/>
          <w:sz w:val="20"/>
          <w:szCs w:val="20"/>
          <w:lang w:val="es-ES_tradnl"/>
        </w:rPr>
      </w:pPr>
      <w:r w:rsidRPr="00075CB7">
        <w:rPr>
          <w:rFonts w:ascii="Arial" w:hAnsi="Arial" w:cs="Arial"/>
          <w:b/>
          <w:bCs/>
          <w:sz w:val="20"/>
          <w:szCs w:val="20"/>
        </w:rPr>
        <w:t xml:space="preserve">REQUISITOS HABILITANTES - </w:t>
      </w:r>
      <w:r w:rsidRPr="00075CB7">
        <w:rPr>
          <w:rFonts w:ascii="Arial" w:hAnsi="Arial" w:cs="Arial"/>
          <w:b/>
          <w:bCs/>
          <w:color w:val="000000" w:themeColor="text1"/>
          <w:sz w:val="20"/>
          <w:szCs w:val="20"/>
          <w:lang w:val="es-ES_tradnl"/>
        </w:rPr>
        <w:t>criterios obligatorios para participar en los procedimientos de selección contractual</w:t>
      </w:r>
    </w:p>
    <w:p w14:paraId="1619C600" w14:textId="77777777" w:rsidR="00075CB7" w:rsidRPr="00075CB7" w:rsidRDefault="00075CB7" w:rsidP="00075CB7">
      <w:pPr>
        <w:rPr>
          <w:rFonts w:ascii="Arial" w:hAnsi="Arial" w:cs="Arial"/>
          <w:sz w:val="20"/>
          <w:szCs w:val="20"/>
          <w:lang w:val="es-ES_tradnl"/>
        </w:rPr>
      </w:pPr>
    </w:p>
    <w:p w14:paraId="75CDA572" w14:textId="77777777" w:rsidR="00075CB7" w:rsidRPr="00075CB7" w:rsidRDefault="00075CB7" w:rsidP="00075CB7">
      <w:pPr>
        <w:spacing w:after="120" w:line="276" w:lineRule="auto"/>
        <w:jc w:val="both"/>
        <w:rPr>
          <w:rFonts w:ascii="Arial" w:eastAsia="Calibri" w:hAnsi="Arial" w:cs="Arial"/>
          <w:color w:val="000000" w:themeColor="text1"/>
          <w:sz w:val="20"/>
          <w:szCs w:val="20"/>
          <w:lang w:val="es-ES_tradnl"/>
        </w:rPr>
      </w:pPr>
      <w:r w:rsidRPr="00075CB7">
        <w:rPr>
          <w:rFonts w:ascii="Arial" w:eastAsia="Calibri" w:hAnsi="Arial" w:cs="Arial"/>
          <w:color w:val="000000" w:themeColor="text1"/>
          <w:sz w:val="20"/>
          <w:szCs w:val="20"/>
          <w:lang w:val="es-ES_tradnl"/>
        </w:rPr>
        <w:t xml:space="preserve">Específicamente, el numeral 1º del artículo referido establece que en los procesos de selección de contratistas serán objeto de verificación, como requisitos habilitantes, </w:t>
      </w:r>
      <w:r w:rsidRPr="00075CB7">
        <w:rPr>
          <w:rFonts w:ascii="Arial" w:eastAsia="Calibri" w:hAnsi="Arial" w:cs="Arial"/>
          <w:i/>
          <w:iCs/>
          <w:color w:val="000000" w:themeColor="text1"/>
          <w:sz w:val="20"/>
          <w:szCs w:val="20"/>
          <w:lang w:val="es-ES_tradnl"/>
        </w:rPr>
        <w:t>entre otros</w:t>
      </w:r>
      <w:r w:rsidRPr="00075CB7">
        <w:rPr>
          <w:rFonts w:ascii="Arial" w:eastAsia="Calibri" w:hAnsi="Arial" w:cs="Arial"/>
          <w:color w:val="000000" w:themeColor="text1"/>
          <w:sz w:val="20"/>
          <w:szCs w:val="20"/>
          <w:lang w:val="es-ES_tradnl"/>
        </w:rPr>
        <w:t xml:space="preserve">, los siguientes: i) la capacidad jurídica; </w:t>
      </w:r>
      <w:proofErr w:type="spellStart"/>
      <w:r w:rsidRPr="00075CB7">
        <w:rPr>
          <w:rFonts w:ascii="Arial" w:eastAsia="Calibri" w:hAnsi="Arial" w:cs="Arial"/>
          <w:color w:val="000000" w:themeColor="text1"/>
          <w:sz w:val="20"/>
          <w:szCs w:val="20"/>
          <w:lang w:val="es-ES_tradnl"/>
        </w:rPr>
        <w:t>ii</w:t>
      </w:r>
      <w:proofErr w:type="spellEnd"/>
      <w:r w:rsidRPr="00075CB7">
        <w:rPr>
          <w:rFonts w:ascii="Arial" w:eastAsia="Calibri" w:hAnsi="Arial" w:cs="Arial"/>
          <w:color w:val="000000" w:themeColor="text1"/>
          <w:sz w:val="20"/>
          <w:szCs w:val="20"/>
          <w:lang w:val="es-ES_tradnl"/>
        </w:rPr>
        <w:t xml:space="preserve">) la experiencia; </w:t>
      </w:r>
      <w:proofErr w:type="spellStart"/>
      <w:r w:rsidRPr="00075CB7">
        <w:rPr>
          <w:rFonts w:ascii="Arial" w:eastAsia="Calibri" w:hAnsi="Arial" w:cs="Arial"/>
          <w:color w:val="000000" w:themeColor="text1"/>
          <w:sz w:val="20"/>
          <w:szCs w:val="20"/>
          <w:lang w:val="es-ES_tradnl"/>
        </w:rPr>
        <w:t>iii</w:t>
      </w:r>
      <w:proofErr w:type="spellEnd"/>
      <w:r w:rsidRPr="00075CB7">
        <w:rPr>
          <w:rFonts w:ascii="Arial" w:eastAsia="Calibri" w:hAnsi="Arial" w:cs="Arial"/>
          <w:color w:val="000000" w:themeColor="text1"/>
          <w:sz w:val="20"/>
          <w:szCs w:val="20"/>
          <w:lang w:val="es-ES_tradnl"/>
        </w:rPr>
        <w:t xml:space="preserve">) la capacidad financiera y </w:t>
      </w:r>
      <w:proofErr w:type="spellStart"/>
      <w:r w:rsidRPr="00075CB7">
        <w:rPr>
          <w:rFonts w:ascii="Arial" w:eastAsia="Calibri" w:hAnsi="Arial" w:cs="Arial"/>
          <w:color w:val="000000" w:themeColor="text1"/>
          <w:sz w:val="20"/>
          <w:szCs w:val="20"/>
          <w:lang w:val="es-ES_tradnl"/>
        </w:rPr>
        <w:t>iv</w:t>
      </w:r>
      <w:proofErr w:type="spellEnd"/>
      <w:r w:rsidRPr="00075CB7">
        <w:rPr>
          <w:rFonts w:ascii="Arial" w:eastAsia="Calibri" w:hAnsi="Arial" w:cs="Arial"/>
          <w:color w:val="000000" w:themeColor="text1"/>
          <w:sz w:val="20"/>
          <w:szCs w:val="20"/>
          <w:lang w:val="es-ES_tradnl"/>
        </w:rPr>
        <w:t xml:space="preserve">) la capacidad de organización. […] </w:t>
      </w:r>
      <w:r w:rsidRPr="00075CB7">
        <w:rPr>
          <w:rFonts w:ascii="Arial" w:hAnsi="Arial" w:cs="Arial"/>
          <w:color w:val="000000" w:themeColor="text1"/>
          <w:sz w:val="20"/>
          <w:szCs w:val="20"/>
          <w:lang w:val="es-ES_tradnl"/>
        </w:rPr>
        <w:t xml:space="preserve">Una vez fijados los requisitos habilitantes por la entidad estatal, quienes presenten ofertas deben </w:t>
      </w:r>
      <w:r w:rsidRPr="00075CB7">
        <w:rPr>
          <w:rFonts w:ascii="Arial" w:hAnsi="Arial" w:cs="Arial"/>
          <w:bCs/>
          <w:i/>
          <w:iCs/>
          <w:color w:val="000000" w:themeColor="text1"/>
          <w:sz w:val="20"/>
          <w:szCs w:val="20"/>
          <w:lang w:val="es-ES_tradnl"/>
        </w:rPr>
        <w:t>acreditar</w:t>
      </w:r>
      <w:r w:rsidRPr="00075CB7">
        <w:rPr>
          <w:rFonts w:ascii="Arial" w:hAnsi="Arial" w:cs="Arial"/>
          <w:color w:val="000000" w:themeColor="text1"/>
          <w:sz w:val="20"/>
          <w:szCs w:val="20"/>
          <w:lang w:val="es-ES_tradnl"/>
        </w:rPr>
        <w:t xml:space="preserve"> que cumplen con los mismos, pues, en el evento contrario, las propuestas deberán ser rechazadas. </w:t>
      </w:r>
      <w:r w:rsidRPr="00075CB7">
        <w:rPr>
          <w:rFonts w:ascii="Arial" w:eastAsia="Calibri" w:hAnsi="Arial" w:cs="Arial"/>
          <w:color w:val="000000" w:themeColor="text1"/>
          <w:sz w:val="20"/>
          <w:szCs w:val="20"/>
          <w:lang w:val="es-ES_tradnl"/>
        </w:rPr>
        <w:t xml:space="preserve">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 </w:t>
      </w:r>
    </w:p>
    <w:p w14:paraId="6D50F023" w14:textId="77777777" w:rsidR="00075CB7" w:rsidRPr="00075CB7" w:rsidRDefault="00075CB7" w:rsidP="00075CB7">
      <w:pPr>
        <w:rPr>
          <w:rFonts w:ascii="Arial" w:hAnsi="Arial" w:cs="Arial"/>
          <w:sz w:val="20"/>
          <w:szCs w:val="20"/>
          <w:lang w:val="es-ES_tradnl"/>
        </w:rPr>
      </w:pPr>
    </w:p>
    <w:p w14:paraId="551953F1" w14:textId="77777777" w:rsidR="00075CB7" w:rsidRPr="00BA515C" w:rsidRDefault="00075CB7" w:rsidP="00075CB7">
      <w:pPr>
        <w:rPr>
          <w:rFonts w:ascii="Arial" w:hAnsi="Arial" w:cs="Arial"/>
          <w:b/>
          <w:bCs/>
          <w:sz w:val="20"/>
          <w:szCs w:val="20"/>
          <w:lang w:val="es-ES_tradnl"/>
        </w:rPr>
      </w:pPr>
      <w:r w:rsidRPr="00BA515C">
        <w:rPr>
          <w:rFonts w:ascii="Arial" w:hAnsi="Arial" w:cs="Arial"/>
          <w:b/>
          <w:bCs/>
          <w:sz w:val="20"/>
          <w:szCs w:val="20"/>
          <w:lang w:val="es-ES_tradnl"/>
        </w:rPr>
        <w:t xml:space="preserve">REQUISITOS HABILITANTES – Carácter enunciativo </w:t>
      </w:r>
    </w:p>
    <w:p w14:paraId="47B62DAD" w14:textId="77777777" w:rsidR="00075CB7" w:rsidRPr="00075CB7" w:rsidRDefault="00075CB7" w:rsidP="00075CB7">
      <w:pPr>
        <w:rPr>
          <w:rFonts w:ascii="Arial" w:hAnsi="Arial" w:cs="Arial"/>
          <w:sz w:val="20"/>
          <w:szCs w:val="20"/>
          <w:lang w:val="es-ES_tradnl"/>
        </w:rPr>
      </w:pPr>
    </w:p>
    <w:p w14:paraId="3303199E" w14:textId="77777777" w:rsidR="00075CB7" w:rsidRPr="00075CB7" w:rsidRDefault="00075CB7" w:rsidP="00075CB7">
      <w:pPr>
        <w:jc w:val="both"/>
        <w:rPr>
          <w:rFonts w:ascii="Arial" w:hAnsi="Arial" w:cs="Arial"/>
          <w:color w:val="000000" w:themeColor="text1"/>
          <w:sz w:val="20"/>
          <w:szCs w:val="20"/>
          <w:lang w:val="es-ES_tradnl"/>
        </w:rPr>
      </w:pPr>
      <w:r w:rsidRPr="00075CB7">
        <w:rPr>
          <w:rFonts w:ascii="Arial" w:hAnsi="Arial" w:cs="Arial"/>
          <w:color w:val="000000" w:themeColor="text1"/>
          <w:sz w:val="20"/>
          <w:szCs w:val="20"/>
          <w:lang w:val="es-ES_tradnl"/>
        </w:rPr>
        <w:t>[c]</w:t>
      </w:r>
      <w:proofErr w:type="spellStart"/>
      <w:r w:rsidRPr="00075CB7">
        <w:rPr>
          <w:rFonts w:ascii="Arial" w:hAnsi="Arial" w:cs="Arial"/>
          <w:color w:val="000000" w:themeColor="text1"/>
          <w:sz w:val="20"/>
          <w:szCs w:val="20"/>
          <w:lang w:val="es-ES_tradnl"/>
        </w:rPr>
        <w:t>orresponde</w:t>
      </w:r>
      <w:proofErr w:type="spellEnd"/>
      <w:r w:rsidRPr="00075CB7">
        <w:rPr>
          <w:rFonts w:ascii="Arial" w:hAnsi="Arial" w:cs="Arial"/>
          <w:color w:val="000000" w:themeColor="text1"/>
          <w:sz w:val="20"/>
          <w:szCs w:val="20"/>
          <w:lang w:val="es-ES_tradnl"/>
        </w:rPr>
        <w:t xml:space="preserve"> a las entidades estatales, durante la etapa de planeación del contrato estatal, estudiar y </w:t>
      </w:r>
      <w:r w:rsidRPr="00075CB7">
        <w:rPr>
          <w:rFonts w:ascii="Arial" w:hAnsi="Arial" w:cs="Arial"/>
          <w:bCs/>
          <w:iCs/>
          <w:color w:val="000000" w:themeColor="text1"/>
          <w:sz w:val="20"/>
          <w:szCs w:val="20"/>
          <w:lang w:val="es-ES_tradnl"/>
        </w:rPr>
        <w:t>determinar</w:t>
      </w:r>
      <w:r w:rsidRPr="00075CB7">
        <w:rPr>
          <w:rFonts w:ascii="Arial" w:hAnsi="Arial" w:cs="Arial"/>
          <w:color w:val="000000" w:themeColor="text1"/>
          <w:sz w:val="20"/>
          <w:szCs w:val="20"/>
          <w:lang w:val="es-ES_tradnl"/>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075CB7">
        <w:rPr>
          <w:rFonts w:ascii="Arial" w:hAnsi="Arial" w:cs="Arial"/>
          <w:i/>
          <w:iCs/>
          <w:color w:val="000000" w:themeColor="text1"/>
          <w:sz w:val="20"/>
          <w:szCs w:val="20"/>
          <w:lang w:val="es-ES_tradnl"/>
        </w:rPr>
        <w:t>riesgos</w:t>
      </w:r>
      <w:r w:rsidRPr="00075CB7">
        <w:rPr>
          <w:rFonts w:ascii="Arial" w:hAnsi="Arial" w:cs="Arial"/>
          <w:color w:val="000000" w:themeColor="text1"/>
          <w:sz w:val="20"/>
          <w:szCs w:val="20"/>
          <w:lang w:val="es-ES_tradnl"/>
        </w:rPr>
        <w:t xml:space="preserve"> </w:t>
      </w:r>
      <w:r w:rsidRPr="00075CB7">
        <w:rPr>
          <w:rFonts w:ascii="Arial" w:hAnsi="Arial" w:cs="Arial"/>
          <w:i/>
          <w:iCs/>
          <w:color w:val="000000" w:themeColor="text1"/>
          <w:sz w:val="20"/>
          <w:szCs w:val="20"/>
          <w:lang w:val="es-ES_tradnl"/>
        </w:rPr>
        <w:t>asociados al contrato</w:t>
      </w:r>
      <w:r w:rsidRPr="00075CB7">
        <w:rPr>
          <w:rFonts w:ascii="Arial" w:hAnsi="Arial" w:cs="Arial"/>
          <w:color w:val="000000" w:themeColor="text1"/>
          <w:sz w:val="20"/>
          <w:szCs w:val="20"/>
          <w:lang w:val="es-ES_tradnl"/>
        </w:rPr>
        <w:t xml:space="preserve">, el plazo y la complejidad de ejecución del objeto.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w:t>
      </w:r>
      <w:r w:rsidRPr="00075CB7">
        <w:rPr>
          <w:rFonts w:ascii="Arial" w:hAnsi="Arial" w:cs="Arial"/>
          <w:color w:val="000000" w:themeColor="text1"/>
          <w:sz w:val="20"/>
          <w:szCs w:val="20"/>
          <w:lang w:val="es-ES_tradnl"/>
        </w:rPr>
        <w:lastRenderedPageBreak/>
        <w:t>relacionado con la prohibición de exigir certificaciones de sistemas de gestión de calidad como requisito habilitante.</w:t>
      </w:r>
    </w:p>
    <w:p w14:paraId="18FA9F16" w14:textId="77777777" w:rsidR="00075CB7" w:rsidRPr="00075CB7" w:rsidRDefault="00075CB7" w:rsidP="00075CB7">
      <w:pPr>
        <w:jc w:val="both"/>
        <w:rPr>
          <w:rFonts w:ascii="Arial" w:hAnsi="Arial" w:cs="Arial"/>
          <w:color w:val="000000" w:themeColor="text1"/>
          <w:sz w:val="20"/>
          <w:szCs w:val="20"/>
          <w:lang w:val="es-ES_tradnl"/>
        </w:rPr>
      </w:pPr>
    </w:p>
    <w:p w14:paraId="61B5DCEA" w14:textId="77777777" w:rsidR="00075CB7" w:rsidRPr="00075CB7" w:rsidRDefault="00075CB7" w:rsidP="00075CB7">
      <w:pPr>
        <w:jc w:val="both"/>
        <w:rPr>
          <w:rFonts w:ascii="Arial" w:hAnsi="Arial" w:cs="Arial"/>
          <w:color w:val="000000" w:themeColor="text1"/>
          <w:sz w:val="20"/>
          <w:szCs w:val="20"/>
          <w:lang w:val="es-ES_tradnl"/>
        </w:rPr>
      </w:pPr>
    </w:p>
    <w:p w14:paraId="18E8F99E" w14:textId="77777777" w:rsidR="00075CB7" w:rsidRPr="00075CB7" w:rsidRDefault="00075CB7" w:rsidP="00075CB7">
      <w:pPr>
        <w:tabs>
          <w:tab w:val="left" w:pos="0"/>
        </w:tabs>
        <w:spacing w:line="276" w:lineRule="auto"/>
        <w:jc w:val="both"/>
        <w:rPr>
          <w:rFonts w:ascii="Arial" w:eastAsia="Calibri" w:hAnsi="Arial" w:cs="Arial"/>
          <w:b/>
          <w:color w:val="000000" w:themeColor="text1"/>
          <w:sz w:val="20"/>
          <w:szCs w:val="20"/>
          <w:lang w:val="es-ES_tradnl"/>
        </w:rPr>
      </w:pPr>
      <w:r w:rsidRPr="00075CB7">
        <w:rPr>
          <w:rFonts w:ascii="Arial" w:hAnsi="Arial" w:cs="Arial"/>
          <w:b/>
          <w:bCs/>
          <w:color w:val="000000" w:themeColor="text1"/>
          <w:sz w:val="20"/>
          <w:szCs w:val="20"/>
          <w:lang w:val="es-ES_tradnl"/>
        </w:rPr>
        <w:t>REQUISITOS HABILITANTES</w:t>
      </w:r>
      <w:r w:rsidRPr="00075CB7">
        <w:rPr>
          <w:rFonts w:ascii="Arial" w:hAnsi="Arial" w:cs="Arial"/>
          <w:color w:val="000000" w:themeColor="text1"/>
          <w:sz w:val="20"/>
          <w:szCs w:val="20"/>
          <w:lang w:val="es-ES_tradnl"/>
        </w:rPr>
        <w:t xml:space="preserve"> - </w:t>
      </w:r>
      <w:r w:rsidRPr="00075CB7">
        <w:rPr>
          <w:rFonts w:ascii="Arial" w:eastAsia="Calibri" w:hAnsi="Arial" w:cs="Arial"/>
          <w:b/>
          <w:color w:val="000000" w:themeColor="text1"/>
          <w:sz w:val="20"/>
          <w:szCs w:val="20"/>
          <w:lang w:val="es-ES_tradnl"/>
        </w:rPr>
        <w:t>autonomía de la voluntad de las entidades estatales para establecerlos</w:t>
      </w:r>
    </w:p>
    <w:p w14:paraId="3CBCD87F" w14:textId="77777777" w:rsidR="00075CB7" w:rsidRPr="00075CB7" w:rsidRDefault="00075CB7" w:rsidP="00075CB7">
      <w:pPr>
        <w:spacing w:before="120" w:after="120" w:line="276" w:lineRule="auto"/>
        <w:jc w:val="both"/>
        <w:rPr>
          <w:rFonts w:ascii="Arial" w:hAnsi="Arial" w:cs="Arial"/>
          <w:color w:val="000000" w:themeColor="text1"/>
          <w:sz w:val="20"/>
          <w:szCs w:val="20"/>
          <w:lang w:val="es-ES_tradnl"/>
        </w:rPr>
      </w:pPr>
    </w:p>
    <w:p w14:paraId="33CA5F86" w14:textId="77777777" w:rsidR="00075CB7" w:rsidRPr="00075CB7" w:rsidRDefault="00075CB7" w:rsidP="00075CB7">
      <w:pPr>
        <w:spacing w:before="120" w:after="120" w:line="276" w:lineRule="auto"/>
        <w:jc w:val="both"/>
        <w:rPr>
          <w:rFonts w:ascii="Arial" w:hAnsi="Arial" w:cs="Arial"/>
          <w:color w:val="000000" w:themeColor="text1"/>
          <w:sz w:val="20"/>
          <w:szCs w:val="20"/>
          <w:lang w:val="es-ES_tradnl"/>
        </w:rPr>
      </w:pPr>
      <w:r w:rsidRPr="00075CB7">
        <w:rPr>
          <w:rFonts w:ascii="Arial" w:hAnsi="Arial" w:cs="Arial"/>
          <w:color w:val="000000" w:themeColor="text1"/>
          <w:sz w:val="20"/>
          <w:szCs w:val="20"/>
          <w:lang w:val="es-ES_tradnl"/>
        </w:rPr>
        <w:t xml:space="preserve">El </w:t>
      </w:r>
      <w:r w:rsidRPr="00075CB7">
        <w:rPr>
          <w:rFonts w:ascii="Arial" w:hAnsi="Arial" w:cs="Arial"/>
          <w:i/>
          <w:iCs/>
          <w:color w:val="000000" w:themeColor="text1"/>
          <w:sz w:val="20"/>
          <w:szCs w:val="20"/>
          <w:lang w:val="es-ES_tradnl"/>
        </w:rPr>
        <w:t>principio de autonomía de la voluntad</w:t>
      </w:r>
      <w:r w:rsidRPr="00075CB7">
        <w:rPr>
          <w:rFonts w:ascii="Arial" w:hAnsi="Arial" w:cs="Arial"/>
          <w:color w:val="000000" w:themeColor="text1"/>
          <w:sz w:val="20"/>
          <w:szCs w:val="20"/>
          <w:lang w:val="es-ES_tradnl"/>
        </w:rPr>
        <w:t xml:space="preserve">,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w:t>
      </w:r>
      <w:proofErr w:type="gramStart"/>
      <w:r w:rsidRPr="00075CB7">
        <w:rPr>
          <w:rFonts w:ascii="Arial" w:hAnsi="Arial" w:cs="Arial"/>
          <w:color w:val="000000" w:themeColor="text1"/>
          <w:sz w:val="20"/>
          <w:szCs w:val="20"/>
          <w:lang w:val="es-ES_tradnl"/>
        </w:rPr>
        <w:t>que</w:t>
      </w:r>
      <w:proofErr w:type="gramEnd"/>
      <w:r w:rsidRPr="00075CB7">
        <w:rPr>
          <w:rFonts w:ascii="Arial" w:hAnsi="Arial" w:cs="Arial"/>
          <w:color w:val="000000" w:themeColor="text1"/>
          <w:sz w:val="20"/>
          <w:szCs w:val="20"/>
          <w:lang w:val="es-ES_tradnl"/>
        </w:rPr>
        <w:t xml:space="preserv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4EDAFA86" w14:textId="41C9BD00" w:rsidR="00FF547A" w:rsidRPr="00564571" w:rsidRDefault="00FF547A" w:rsidP="00C04F58">
      <w:pPr>
        <w:spacing w:before="120"/>
        <w:jc w:val="both"/>
        <w:rPr>
          <w:rFonts w:ascii="Arial" w:hAnsi="Arial" w:cs="Arial"/>
          <w:sz w:val="20"/>
          <w:szCs w:val="20"/>
          <w:lang w:val="es-MX" w:eastAsia="es-ES_tradnl"/>
        </w:rPr>
      </w:pPr>
    </w:p>
    <w:p w14:paraId="73647187" w14:textId="6F6441A6" w:rsidR="00FF547A" w:rsidRPr="00564571" w:rsidRDefault="00FF547A" w:rsidP="00C04F58">
      <w:pPr>
        <w:spacing w:before="120"/>
        <w:jc w:val="both"/>
        <w:rPr>
          <w:rFonts w:ascii="Arial" w:hAnsi="Arial" w:cs="Arial"/>
          <w:sz w:val="20"/>
          <w:szCs w:val="20"/>
          <w:lang w:val="es-MX" w:eastAsia="es-ES_tradnl"/>
        </w:rPr>
      </w:pPr>
    </w:p>
    <w:p w14:paraId="74377603" w14:textId="0EB742E9" w:rsidR="00FF547A" w:rsidRPr="00564571" w:rsidRDefault="00FF547A" w:rsidP="00C04F58">
      <w:pPr>
        <w:spacing w:before="120"/>
        <w:jc w:val="both"/>
        <w:rPr>
          <w:rFonts w:ascii="Arial" w:hAnsi="Arial" w:cs="Arial"/>
          <w:sz w:val="20"/>
          <w:szCs w:val="20"/>
          <w:lang w:val="es-MX" w:eastAsia="es-ES_tradnl"/>
        </w:rPr>
      </w:pPr>
    </w:p>
    <w:p w14:paraId="278E94D3" w14:textId="23F034A0" w:rsidR="00FF547A" w:rsidRPr="00564571" w:rsidRDefault="00FF547A" w:rsidP="00C04F58">
      <w:pPr>
        <w:spacing w:before="120"/>
        <w:jc w:val="both"/>
        <w:rPr>
          <w:rFonts w:ascii="Arial" w:hAnsi="Arial" w:cs="Arial"/>
          <w:sz w:val="20"/>
          <w:szCs w:val="20"/>
          <w:lang w:val="es-MX" w:eastAsia="es-ES_tradnl"/>
        </w:rPr>
      </w:pPr>
    </w:p>
    <w:p w14:paraId="511FAD06" w14:textId="473DA349" w:rsidR="00FF547A" w:rsidRPr="00564571" w:rsidRDefault="00FF547A" w:rsidP="00C04F58">
      <w:pPr>
        <w:spacing w:before="120"/>
        <w:jc w:val="both"/>
        <w:rPr>
          <w:rFonts w:ascii="Arial" w:hAnsi="Arial" w:cs="Arial"/>
          <w:sz w:val="20"/>
          <w:szCs w:val="20"/>
          <w:lang w:val="es-MX" w:eastAsia="es-ES_tradnl"/>
        </w:rPr>
      </w:pPr>
    </w:p>
    <w:p w14:paraId="22ADF4C6" w14:textId="06940DD3" w:rsidR="00FF547A" w:rsidRPr="00564571" w:rsidRDefault="00FF547A" w:rsidP="00C04F58">
      <w:pPr>
        <w:spacing w:before="120"/>
        <w:jc w:val="both"/>
        <w:rPr>
          <w:rFonts w:ascii="Arial" w:hAnsi="Arial" w:cs="Arial"/>
          <w:sz w:val="20"/>
          <w:szCs w:val="20"/>
          <w:lang w:val="es-MX" w:eastAsia="es-ES_tradnl"/>
        </w:rPr>
      </w:pPr>
    </w:p>
    <w:p w14:paraId="78E30C79" w14:textId="39628055" w:rsidR="00FF547A" w:rsidRPr="00564571" w:rsidRDefault="00FF547A" w:rsidP="00C04F58">
      <w:pPr>
        <w:spacing w:before="120"/>
        <w:jc w:val="both"/>
        <w:rPr>
          <w:rFonts w:ascii="Arial" w:hAnsi="Arial" w:cs="Arial"/>
          <w:sz w:val="20"/>
          <w:szCs w:val="20"/>
          <w:lang w:val="es-MX" w:eastAsia="es-ES_tradnl"/>
        </w:rPr>
      </w:pPr>
    </w:p>
    <w:p w14:paraId="12E218D2" w14:textId="06DEDEE6" w:rsidR="00FF547A" w:rsidRPr="00564571" w:rsidRDefault="00FF547A" w:rsidP="00C04F58">
      <w:pPr>
        <w:spacing w:before="120"/>
        <w:jc w:val="both"/>
        <w:rPr>
          <w:rFonts w:ascii="Arial" w:hAnsi="Arial" w:cs="Arial"/>
          <w:sz w:val="20"/>
          <w:szCs w:val="20"/>
          <w:lang w:val="es-MX" w:eastAsia="es-ES_tradnl"/>
        </w:rPr>
      </w:pPr>
    </w:p>
    <w:p w14:paraId="2F19D048" w14:textId="0C5832E0" w:rsidR="00FF547A" w:rsidRPr="00564571" w:rsidRDefault="00FF547A" w:rsidP="00C04F58">
      <w:pPr>
        <w:spacing w:before="120"/>
        <w:jc w:val="both"/>
        <w:rPr>
          <w:rFonts w:ascii="Arial" w:hAnsi="Arial" w:cs="Arial"/>
          <w:sz w:val="20"/>
          <w:szCs w:val="20"/>
          <w:lang w:val="es-MX" w:eastAsia="es-ES_tradnl"/>
        </w:rPr>
      </w:pPr>
    </w:p>
    <w:p w14:paraId="2EA47140" w14:textId="75996EBA" w:rsidR="00FF547A" w:rsidRPr="00564571" w:rsidRDefault="00FF547A" w:rsidP="00C04F58">
      <w:pPr>
        <w:spacing w:before="120"/>
        <w:jc w:val="both"/>
        <w:rPr>
          <w:rFonts w:ascii="Arial" w:hAnsi="Arial" w:cs="Arial"/>
          <w:sz w:val="20"/>
          <w:szCs w:val="20"/>
          <w:lang w:val="es-MX" w:eastAsia="es-ES_tradnl"/>
        </w:rPr>
      </w:pPr>
    </w:p>
    <w:p w14:paraId="1A39C48B" w14:textId="3535BC6C" w:rsidR="00FF547A" w:rsidRPr="00564571" w:rsidRDefault="00FF547A" w:rsidP="00C04F58">
      <w:pPr>
        <w:spacing w:before="120"/>
        <w:jc w:val="both"/>
        <w:rPr>
          <w:rFonts w:ascii="Arial" w:hAnsi="Arial" w:cs="Arial"/>
          <w:sz w:val="20"/>
          <w:szCs w:val="20"/>
          <w:lang w:val="es-MX" w:eastAsia="es-ES_tradnl"/>
        </w:rPr>
      </w:pPr>
    </w:p>
    <w:p w14:paraId="698A505A" w14:textId="7A3973B8" w:rsidR="00FF547A" w:rsidRPr="00564571" w:rsidRDefault="00FF547A" w:rsidP="00C04F58">
      <w:pPr>
        <w:spacing w:before="120"/>
        <w:jc w:val="both"/>
        <w:rPr>
          <w:rFonts w:ascii="Arial" w:hAnsi="Arial" w:cs="Arial"/>
          <w:sz w:val="20"/>
          <w:szCs w:val="20"/>
          <w:lang w:val="es-MX" w:eastAsia="es-ES_tradnl"/>
        </w:rPr>
      </w:pPr>
    </w:p>
    <w:p w14:paraId="091950AF" w14:textId="2B390059" w:rsidR="00FF547A" w:rsidRPr="00564571" w:rsidRDefault="00FF547A" w:rsidP="00C04F58">
      <w:pPr>
        <w:spacing w:before="120"/>
        <w:jc w:val="both"/>
        <w:rPr>
          <w:rFonts w:ascii="Arial" w:hAnsi="Arial" w:cs="Arial"/>
          <w:sz w:val="20"/>
          <w:szCs w:val="20"/>
          <w:lang w:val="es-MX" w:eastAsia="es-ES_tradnl"/>
        </w:rPr>
      </w:pPr>
    </w:p>
    <w:p w14:paraId="44CF27B4" w14:textId="5A330845" w:rsidR="00FF547A" w:rsidRPr="00564571" w:rsidRDefault="00FF547A" w:rsidP="00C04F58">
      <w:pPr>
        <w:spacing w:before="120"/>
        <w:jc w:val="both"/>
        <w:rPr>
          <w:rFonts w:ascii="Arial" w:hAnsi="Arial" w:cs="Arial"/>
          <w:sz w:val="20"/>
          <w:szCs w:val="20"/>
          <w:lang w:val="es-MX" w:eastAsia="es-ES_tradnl"/>
        </w:rPr>
      </w:pPr>
    </w:p>
    <w:p w14:paraId="72D11DC6" w14:textId="5B70258C" w:rsidR="00FF547A" w:rsidRPr="00564571" w:rsidRDefault="00FF547A" w:rsidP="00C04F58">
      <w:pPr>
        <w:spacing w:before="120"/>
        <w:jc w:val="both"/>
        <w:rPr>
          <w:rFonts w:ascii="Arial" w:hAnsi="Arial" w:cs="Arial"/>
          <w:sz w:val="20"/>
          <w:szCs w:val="20"/>
          <w:lang w:val="es-MX" w:eastAsia="es-ES_tradnl"/>
        </w:rPr>
      </w:pPr>
    </w:p>
    <w:p w14:paraId="172250D6" w14:textId="7CF06079" w:rsidR="00C63119" w:rsidRDefault="00C63119" w:rsidP="00C63119">
      <w:pPr>
        <w:jc w:val="right"/>
        <w:rPr>
          <w:rFonts w:ascii="Arial" w:hAnsi="Arial" w:cs="Arial"/>
          <w:sz w:val="20"/>
          <w:szCs w:val="20"/>
          <w:lang w:val="es-MX" w:eastAsia="es-ES_tradnl"/>
        </w:rPr>
      </w:pPr>
    </w:p>
    <w:p w14:paraId="2AA2EE85" w14:textId="35C7E34E" w:rsidR="006C11AC" w:rsidRDefault="006C11AC" w:rsidP="006C11AC">
      <w:pPr>
        <w:jc w:val="right"/>
        <w:rPr>
          <w:rFonts w:ascii="Arial" w:hAnsi="Arial" w:cs="Arial"/>
          <w:sz w:val="20"/>
          <w:szCs w:val="20"/>
          <w:lang w:val="es-MX" w:eastAsia="es-ES_tradnl"/>
        </w:rPr>
      </w:pPr>
      <w:r w:rsidRPr="006C11AC">
        <w:rPr>
          <w:rFonts w:ascii="Arial" w:hAnsi="Arial" w:cs="Arial"/>
          <w:sz w:val="20"/>
          <w:szCs w:val="20"/>
          <w:lang w:val="es-MX" w:eastAsia="es-ES_tradnl"/>
        </w:rPr>
        <w:lastRenderedPageBreak/>
        <w:drawing>
          <wp:inline distT="0" distB="0" distL="0" distR="0" wp14:anchorId="5067E6E0" wp14:editId="16E9FA08">
            <wp:extent cx="2786380" cy="914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03887" cy="920145"/>
                    </a:xfrm>
                    <a:prstGeom prst="rect">
                      <a:avLst/>
                    </a:prstGeom>
                  </pic:spPr>
                </pic:pic>
              </a:graphicData>
            </a:graphic>
          </wp:inline>
        </w:drawing>
      </w:r>
    </w:p>
    <w:p w14:paraId="25C1FF12" w14:textId="77777777" w:rsidR="006C11AC" w:rsidRDefault="006C11AC" w:rsidP="00075CB7">
      <w:pPr>
        <w:rPr>
          <w:rFonts w:ascii="Arial" w:hAnsi="Arial" w:cs="Arial"/>
          <w:sz w:val="20"/>
          <w:szCs w:val="20"/>
          <w:lang w:val="es-MX" w:eastAsia="es-ES_tradnl"/>
        </w:rPr>
      </w:pPr>
    </w:p>
    <w:p w14:paraId="5DBBB24E" w14:textId="77777777" w:rsidR="006C11AC" w:rsidRDefault="006C11AC" w:rsidP="00075CB7">
      <w:pPr>
        <w:rPr>
          <w:rFonts w:ascii="Arial" w:hAnsi="Arial" w:cs="Arial"/>
          <w:sz w:val="20"/>
          <w:szCs w:val="20"/>
          <w:lang w:val="es-MX" w:eastAsia="es-ES_tradnl"/>
        </w:rPr>
      </w:pPr>
    </w:p>
    <w:p w14:paraId="2CB20E4D" w14:textId="1E632CD5" w:rsidR="00075CB7" w:rsidRDefault="00075CB7" w:rsidP="00075CB7">
      <w:pPr>
        <w:rPr>
          <w:rFonts w:ascii="Arial" w:hAnsi="Arial" w:cs="Arial"/>
          <w:sz w:val="20"/>
          <w:szCs w:val="20"/>
          <w:lang w:val="es-MX" w:eastAsia="es-ES_tradnl"/>
        </w:rPr>
      </w:pPr>
      <w:r>
        <w:rPr>
          <w:rFonts w:ascii="Arial" w:hAnsi="Arial" w:cs="Arial"/>
          <w:sz w:val="20"/>
          <w:szCs w:val="20"/>
          <w:lang w:val="es-MX" w:eastAsia="es-ES_tradnl"/>
        </w:rPr>
        <w:t xml:space="preserve">Bogotá D.C., </w:t>
      </w:r>
    </w:p>
    <w:p w14:paraId="7AF0FCE7" w14:textId="0A232734" w:rsidR="00075CB7" w:rsidRDefault="00075CB7" w:rsidP="00C63119">
      <w:pPr>
        <w:jc w:val="right"/>
        <w:rPr>
          <w:rFonts w:ascii="Arial" w:hAnsi="Arial" w:cs="Arial"/>
          <w:sz w:val="20"/>
          <w:szCs w:val="20"/>
          <w:lang w:val="es-MX" w:eastAsia="es-ES_tradnl"/>
        </w:rPr>
      </w:pPr>
    </w:p>
    <w:p w14:paraId="01A39DFB" w14:textId="77777777" w:rsidR="00075CB7" w:rsidRPr="00564571" w:rsidRDefault="00075CB7" w:rsidP="00C63119">
      <w:pPr>
        <w:jc w:val="right"/>
      </w:pPr>
    </w:p>
    <w:p w14:paraId="404E3035" w14:textId="77777777" w:rsidR="0027060A" w:rsidRPr="00564571" w:rsidRDefault="0027060A" w:rsidP="003C7067">
      <w:pPr>
        <w:rPr>
          <w:rFonts w:ascii="Arial" w:eastAsia="Calibri" w:hAnsi="Arial" w:cs="Arial"/>
          <w:sz w:val="22"/>
          <w:szCs w:val="22"/>
          <w:lang w:val="es-ES"/>
        </w:rPr>
      </w:pPr>
    </w:p>
    <w:p w14:paraId="197C6852" w14:textId="7E4536A4" w:rsidR="00B036EA" w:rsidRPr="00564571" w:rsidRDefault="00731374" w:rsidP="003C7067">
      <w:pPr>
        <w:rPr>
          <w:rFonts w:ascii="Arial" w:eastAsia="Calibri" w:hAnsi="Arial" w:cs="Arial"/>
          <w:sz w:val="22"/>
          <w:szCs w:val="22"/>
          <w:lang w:val="es-ES"/>
        </w:rPr>
      </w:pPr>
      <w:r w:rsidRPr="00564571">
        <w:rPr>
          <w:rFonts w:ascii="Arial" w:eastAsia="Calibri" w:hAnsi="Arial" w:cs="Arial"/>
          <w:sz w:val="22"/>
          <w:szCs w:val="22"/>
          <w:lang w:val="es-ES"/>
        </w:rPr>
        <w:t>Señor</w:t>
      </w:r>
    </w:p>
    <w:p w14:paraId="5705F723" w14:textId="39A5253B" w:rsidR="00731374" w:rsidRPr="00564571" w:rsidRDefault="00FF547A" w:rsidP="003C7067">
      <w:pPr>
        <w:rPr>
          <w:rFonts w:ascii="Arial" w:eastAsia="Calibri" w:hAnsi="Arial" w:cs="Arial"/>
          <w:b/>
          <w:bCs/>
          <w:sz w:val="22"/>
          <w:szCs w:val="22"/>
          <w:lang w:val="es-ES"/>
        </w:rPr>
      </w:pPr>
      <w:r w:rsidRPr="00564571">
        <w:rPr>
          <w:rFonts w:ascii="Arial" w:eastAsia="Calibri" w:hAnsi="Arial" w:cs="Arial"/>
          <w:b/>
          <w:bCs/>
          <w:sz w:val="22"/>
          <w:szCs w:val="22"/>
          <w:lang w:val="es-ES"/>
        </w:rPr>
        <w:t xml:space="preserve">Omar Acevedo C </w:t>
      </w:r>
    </w:p>
    <w:p w14:paraId="0F922978" w14:textId="78462535" w:rsidR="00FF547A" w:rsidRPr="00564571" w:rsidRDefault="00FF547A" w:rsidP="003C7067">
      <w:pPr>
        <w:rPr>
          <w:rFonts w:ascii="Arial" w:eastAsia="Calibri" w:hAnsi="Arial" w:cs="Arial"/>
          <w:sz w:val="22"/>
          <w:szCs w:val="22"/>
          <w:lang w:val="es-ES"/>
        </w:rPr>
      </w:pPr>
      <w:r w:rsidRPr="00564571">
        <w:rPr>
          <w:rFonts w:ascii="Arial" w:eastAsia="Calibri" w:hAnsi="Arial" w:cs="Arial"/>
          <w:sz w:val="22"/>
          <w:szCs w:val="22"/>
          <w:lang w:val="es-ES"/>
        </w:rPr>
        <w:t xml:space="preserve">A21 Proyectos Integrales SAS </w:t>
      </w:r>
    </w:p>
    <w:p w14:paraId="15C6E9E5" w14:textId="35EB26E5" w:rsidR="0004470C" w:rsidRPr="00564571" w:rsidRDefault="00FF547A" w:rsidP="003C7067">
      <w:pPr>
        <w:rPr>
          <w:rFonts w:ascii="Arial" w:eastAsia="Calibri" w:hAnsi="Arial" w:cs="Arial"/>
          <w:sz w:val="22"/>
          <w:szCs w:val="22"/>
          <w:lang w:val="es-ES"/>
        </w:rPr>
      </w:pPr>
      <w:r w:rsidRPr="00564571">
        <w:rPr>
          <w:rFonts w:ascii="Arial" w:eastAsia="Calibri" w:hAnsi="Arial" w:cs="Arial"/>
          <w:sz w:val="22"/>
          <w:szCs w:val="22"/>
          <w:lang w:val="es-MX"/>
        </w:rPr>
        <w:t>a21proyectosintegrales@gmail.com</w:t>
      </w:r>
    </w:p>
    <w:p w14:paraId="5D437DF2" w14:textId="0143A10F" w:rsidR="00FF547A" w:rsidRPr="00564571" w:rsidRDefault="00FF547A" w:rsidP="003C7067">
      <w:pPr>
        <w:rPr>
          <w:rFonts w:ascii="Arial" w:eastAsia="Calibri" w:hAnsi="Arial" w:cs="Arial"/>
          <w:sz w:val="22"/>
          <w:szCs w:val="22"/>
          <w:lang w:val="es-ES"/>
        </w:rPr>
      </w:pPr>
    </w:p>
    <w:p w14:paraId="1A865E65" w14:textId="2FE00709" w:rsidR="00FF547A" w:rsidRPr="00564571" w:rsidRDefault="00FF547A" w:rsidP="003C7067">
      <w:pPr>
        <w:rPr>
          <w:rFonts w:ascii="Arial" w:eastAsia="Calibri" w:hAnsi="Arial" w:cs="Arial"/>
          <w:sz w:val="22"/>
          <w:szCs w:val="22"/>
          <w:lang w:val="es-ES"/>
        </w:rPr>
      </w:pPr>
    </w:p>
    <w:p w14:paraId="407AA80B" w14:textId="77777777" w:rsidR="00FF547A" w:rsidRPr="00564571" w:rsidRDefault="00FF547A" w:rsidP="003C7067">
      <w:pPr>
        <w:rPr>
          <w:rFonts w:ascii="Arial" w:eastAsia="Calibri" w:hAnsi="Arial" w:cs="Arial"/>
          <w:b/>
          <w:sz w:val="22"/>
          <w:szCs w:val="22"/>
          <w:lang w:val="es-ES"/>
        </w:rPr>
      </w:pPr>
    </w:p>
    <w:p w14:paraId="1F4E36CB" w14:textId="5C039444" w:rsidR="003C7067" w:rsidRPr="00564571" w:rsidRDefault="003C7067" w:rsidP="003C7067">
      <w:pPr>
        <w:rPr>
          <w:rFonts w:ascii="Arial" w:eastAsia="Calibri" w:hAnsi="Arial" w:cs="Arial"/>
          <w:b/>
          <w:sz w:val="22"/>
          <w:szCs w:val="22"/>
          <w:lang w:val="es-ES"/>
        </w:rPr>
      </w:pPr>
      <w:r w:rsidRPr="00564571">
        <w:rPr>
          <w:rFonts w:ascii="Arial" w:eastAsia="Calibri" w:hAnsi="Arial" w:cs="Arial"/>
          <w:b/>
          <w:sz w:val="22"/>
          <w:szCs w:val="22"/>
          <w:lang w:val="es-ES"/>
        </w:rPr>
        <w:t xml:space="preserve">                                       Concepto C – </w:t>
      </w:r>
      <w:r w:rsidR="00FF547A" w:rsidRPr="00564571">
        <w:rPr>
          <w:rFonts w:ascii="Arial" w:eastAsia="Calibri" w:hAnsi="Arial" w:cs="Arial"/>
          <w:b/>
          <w:sz w:val="22"/>
          <w:szCs w:val="22"/>
          <w:lang w:val="es-ES"/>
        </w:rPr>
        <w:t xml:space="preserve">573 </w:t>
      </w:r>
      <w:r w:rsidRPr="00564571">
        <w:rPr>
          <w:rFonts w:ascii="Arial" w:eastAsia="Calibri" w:hAnsi="Arial" w:cs="Arial"/>
          <w:b/>
          <w:sz w:val="22"/>
          <w:szCs w:val="22"/>
          <w:lang w:val="es-ES"/>
        </w:rPr>
        <w:t>de 202</w:t>
      </w:r>
      <w:r w:rsidR="003104CB" w:rsidRPr="00564571">
        <w:rPr>
          <w:rFonts w:ascii="Arial" w:eastAsia="Calibri" w:hAnsi="Arial" w:cs="Arial"/>
          <w:b/>
          <w:sz w:val="22"/>
          <w:szCs w:val="22"/>
          <w:lang w:val="es-ES"/>
        </w:rPr>
        <w:t>2</w:t>
      </w:r>
      <w:r w:rsidRPr="00564571">
        <w:rPr>
          <w:rFonts w:ascii="Arial" w:eastAsia="Calibri" w:hAnsi="Arial" w:cs="Arial"/>
          <w:b/>
          <w:sz w:val="22"/>
          <w:szCs w:val="22"/>
          <w:lang w:val="es-ES"/>
        </w:rPr>
        <w:t xml:space="preserve"> </w:t>
      </w:r>
    </w:p>
    <w:p w14:paraId="1698D01B" w14:textId="77777777" w:rsidR="003C7067" w:rsidRPr="00564571" w:rsidRDefault="003C7067" w:rsidP="003C706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3C7067" w:rsidRPr="00564571" w14:paraId="7C1768E2" w14:textId="77777777" w:rsidTr="00E74412">
        <w:trPr>
          <w:trHeight w:val="823"/>
        </w:trPr>
        <w:tc>
          <w:tcPr>
            <w:tcW w:w="2410" w:type="dxa"/>
          </w:tcPr>
          <w:p w14:paraId="7F7464C9" w14:textId="77777777" w:rsidR="003C7067" w:rsidRPr="00564571" w:rsidRDefault="003C7067" w:rsidP="00D81E5B">
            <w:pPr>
              <w:rPr>
                <w:rFonts w:ascii="Arial" w:eastAsia="Calibri" w:hAnsi="Arial" w:cs="Arial"/>
                <w:lang w:val="es-ES"/>
              </w:rPr>
            </w:pPr>
            <w:r w:rsidRPr="00564571">
              <w:rPr>
                <w:rFonts w:ascii="Arial" w:eastAsia="Calibri" w:hAnsi="Arial" w:cs="Arial" w:hint="cs"/>
                <w:b/>
                <w:lang w:val="es-ES"/>
              </w:rPr>
              <w:t>Temas:</w:t>
            </w:r>
            <w:r w:rsidRPr="00564571">
              <w:rPr>
                <w:rFonts w:ascii="Arial" w:eastAsia="Calibri" w:hAnsi="Arial" w:cs="Arial" w:hint="cs"/>
                <w:lang w:val="es-ES"/>
              </w:rPr>
              <w:t xml:space="preserve">                                      </w:t>
            </w:r>
          </w:p>
        </w:tc>
        <w:tc>
          <w:tcPr>
            <w:tcW w:w="6516" w:type="dxa"/>
          </w:tcPr>
          <w:p w14:paraId="07B16F6B" w14:textId="77777777" w:rsidR="003921EC" w:rsidRDefault="00075CB7" w:rsidP="00075CB7">
            <w:pPr>
              <w:spacing w:line="276" w:lineRule="auto"/>
              <w:jc w:val="both"/>
              <w:rPr>
                <w:rFonts w:ascii="Arial" w:eastAsia="Calibri" w:hAnsi="Arial" w:cs="Arial"/>
                <w:color w:val="000000" w:themeColor="text1"/>
                <w:lang w:val="es-ES_tradnl"/>
              </w:rPr>
            </w:pPr>
            <w:r w:rsidRPr="00075CB7">
              <w:rPr>
                <w:rFonts w:ascii="Arial" w:hAnsi="Arial" w:cs="Arial"/>
              </w:rPr>
              <w:t xml:space="preserve">REQUISITOS HABILITANTES – Definición – Diferencia con los criterios de evaluación / REQUISITOS HABILITANTES - </w:t>
            </w:r>
            <w:r w:rsidRPr="00075CB7">
              <w:rPr>
                <w:rFonts w:ascii="Arial" w:hAnsi="Arial" w:cs="Arial"/>
                <w:color w:val="000000" w:themeColor="text1"/>
                <w:lang w:val="es-ES_tradnl"/>
              </w:rPr>
              <w:t>criterios obligatorios para participar en los procedimientos de selección contractual</w:t>
            </w:r>
            <w:r w:rsidRPr="00075CB7">
              <w:rPr>
                <w:rFonts w:ascii="Arial" w:hAnsi="Arial" w:cs="Arial"/>
              </w:rPr>
              <w:t xml:space="preserve"> / </w:t>
            </w:r>
            <w:r w:rsidRPr="00075CB7">
              <w:rPr>
                <w:rFonts w:ascii="Arial" w:hAnsi="Arial" w:cs="Arial"/>
                <w:lang w:val="es-ES_tradnl"/>
              </w:rPr>
              <w:t xml:space="preserve">REQUISITOS HABILITANTES – Carácter enunciativo </w:t>
            </w:r>
            <w:r w:rsidRPr="00075CB7">
              <w:rPr>
                <w:rFonts w:ascii="Arial" w:hAnsi="Arial" w:cs="Arial"/>
              </w:rPr>
              <w:t xml:space="preserve">/ </w:t>
            </w:r>
            <w:r w:rsidRPr="00075CB7">
              <w:rPr>
                <w:rFonts w:ascii="Arial" w:hAnsi="Arial" w:cs="Arial"/>
                <w:color w:val="000000" w:themeColor="text1"/>
                <w:lang w:val="es-ES_tradnl"/>
              </w:rPr>
              <w:t xml:space="preserve">REQUISITOS HABILITANTES - </w:t>
            </w:r>
            <w:r w:rsidRPr="00075CB7">
              <w:rPr>
                <w:rFonts w:ascii="Arial" w:eastAsia="Calibri" w:hAnsi="Arial" w:cs="Arial"/>
                <w:color w:val="000000" w:themeColor="text1"/>
                <w:lang w:val="es-ES_tradnl"/>
              </w:rPr>
              <w:t>autonomía de la voluntad de las entidades estatales para establecerlos</w:t>
            </w:r>
          </w:p>
          <w:p w14:paraId="2F4B7014" w14:textId="266B9149" w:rsidR="00075CB7" w:rsidRPr="00075CB7" w:rsidRDefault="00075CB7" w:rsidP="00075CB7">
            <w:pPr>
              <w:spacing w:line="276" w:lineRule="auto"/>
              <w:jc w:val="both"/>
              <w:rPr>
                <w:rFonts w:ascii="Arial" w:hAnsi="Arial" w:cs="Arial"/>
              </w:rPr>
            </w:pPr>
          </w:p>
        </w:tc>
      </w:tr>
      <w:tr w:rsidR="003C7067" w:rsidRPr="00564571" w14:paraId="60D249F0" w14:textId="77777777" w:rsidTr="00E74412">
        <w:tc>
          <w:tcPr>
            <w:tcW w:w="2410" w:type="dxa"/>
          </w:tcPr>
          <w:p w14:paraId="291F9A18" w14:textId="77777777" w:rsidR="003C7067" w:rsidRPr="00564571" w:rsidRDefault="003C7067" w:rsidP="00D81E5B">
            <w:pPr>
              <w:rPr>
                <w:rFonts w:ascii="Arial" w:eastAsia="Calibri" w:hAnsi="Arial" w:cs="Arial"/>
                <w:lang w:val="es-ES"/>
              </w:rPr>
            </w:pPr>
            <w:r w:rsidRPr="00564571">
              <w:rPr>
                <w:rFonts w:ascii="Arial" w:eastAsia="Calibri" w:hAnsi="Arial" w:cs="Arial"/>
                <w:b/>
                <w:lang w:val="es-ES"/>
              </w:rPr>
              <w:t>Radicación:</w:t>
            </w:r>
            <w:r w:rsidRPr="00564571">
              <w:rPr>
                <w:rFonts w:ascii="Arial" w:eastAsia="Calibri" w:hAnsi="Arial" w:cs="Arial"/>
                <w:lang w:val="es-ES"/>
              </w:rPr>
              <w:t xml:space="preserve">                              </w:t>
            </w:r>
          </w:p>
        </w:tc>
        <w:tc>
          <w:tcPr>
            <w:tcW w:w="6516" w:type="dxa"/>
          </w:tcPr>
          <w:p w14:paraId="3C674517" w14:textId="35E7C283" w:rsidR="003C7067" w:rsidRPr="00564571" w:rsidRDefault="003C7067" w:rsidP="005D20C7">
            <w:pPr>
              <w:jc w:val="both"/>
              <w:rPr>
                <w:rFonts w:ascii="Arial" w:hAnsi="Arial" w:cs="Arial"/>
              </w:rPr>
            </w:pPr>
            <w:r w:rsidRPr="00564571">
              <w:rPr>
                <w:rFonts w:ascii="Arial" w:eastAsia="Calibri" w:hAnsi="Arial" w:cs="Arial"/>
                <w:lang w:val="es-ES"/>
              </w:rPr>
              <w:t>Respuesta a consulta</w:t>
            </w:r>
            <w:r w:rsidR="00731374" w:rsidRPr="00564571">
              <w:rPr>
                <w:rFonts w:ascii="Arial" w:eastAsia="Calibri" w:hAnsi="Arial" w:cs="Arial"/>
                <w:lang w:val="es-ES"/>
              </w:rPr>
              <w:t>s</w:t>
            </w:r>
            <w:r w:rsidR="00A83C01" w:rsidRPr="00564571">
              <w:rPr>
                <w:rFonts w:ascii="Arial" w:eastAsia="Calibri" w:hAnsi="Arial" w:cs="Arial"/>
                <w:lang w:val="es-ES"/>
              </w:rPr>
              <w:t xml:space="preserve"> </w:t>
            </w:r>
            <w:r w:rsidR="005B14B2" w:rsidRPr="00564571">
              <w:rPr>
                <w:rFonts w:ascii="Arial" w:eastAsia="Calibri" w:hAnsi="Arial" w:cs="Arial"/>
                <w:lang w:val="es-ES"/>
              </w:rPr>
              <w:t>P20220802007583</w:t>
            </w:r>
          </w:p>
        </w:tc>
      </w:tr>
    </w:tbl>
    <w:p w14:paraId="776B553A" w14:textId="1EDFE601" w:rsidR="003C7067" w:rsidRPr="00564571" w:rsidRDefault="003C7067" w:rsidP="003C7067">
      <w:pPr>
        <w:spacing w:line="276" w:lineRule="auto"/>
        <w:rPr>
          <w:rFonts w:ascii="Arial" w:eastAsia="Calibri" w:hAnsi="Arial" w:cs="Arial"/>
          <w:sz w:val="22"/>
          <w:szCs w:val="22"/>
          <w:lang w:val="es-ES"/>
        </w:rPr>
      </w:pPr>
    </w:p>
    <w:p w14:paraId="0E87794D" w14:textId="77777777" w:rsidR="0027060A" w:rsidRPr="00564571" w:rsidRDefault="0027060A" w:rsidP="003C7067">
      <w:pPr>
        <w:spacing w:line="276" w:lineRule="auto"/>
        <w:rPr>
          <w:rFonts w:ascii="Arial" w:eastAsia="Calibri" w:hAnsi="Arial" w:cs="Arial"/>
          <w:sz w:val="22"/>
          <w:szCs w:val="22"/>
          <w:lang w:val="es-ES"/>
        </w:rPr>
      </w:pPr>
    </w:p>
    <w:p w14:paraId="6BB19977" w14:textId="348EA800" w:rsidR="003C7067" w:rsidRPr="00564571" w:rsidRDefault="003C7067" w:rsidP="003C7067">
      <w:pPr>
        <w:tabs>
          <w:tab w:val="left" w:pos="3736"/>
        </w:tabs>
        <w:spacing w:line="276" w:lineRule="auto"/>
        <w:rPr>
          <w:rFonts w:ascii="Arial" w:eastAsia="Calibri" w:hAnsi="Arial" w:cs="Arial"/>
          <w:sz w:val="22"/>
          <w:szCs w:val="22"/>
          <w:lang w:val="es-ES"/>
        </w:rPr>
      </w:pPr>
      <w:r w:rsidRPr="00564571">
        <w:rPr>
          <w:rFonts w:ascii="Arial" w:eastAsia="Calibri" w:hAnsi="Arial" w:cs="Arial"/>
          <w:sz w:val="22"/>
          <w:szCs w:val="22"/>
          <w:lang w:val="es-ES"/>
        </w:rPr>
        <w:t>Estimad</w:t>
      </w:r>
      <w:r w:rsidR="00731374" w:rsidRPr="00564571">
        <w:rPr>
          <w:rFonts w:ascii="Arial" w:eastAsia="Calibri" w:hAnsi="Arial" w:cs="Arial"/>
          <w:sz w:val="22"/>
          <w:szCs w:val="22"/>
          <w:lang w:val="es-ES"/>
        </w:rPr>
        <w:t>o</w:t>
      </w:r>
      <w:r w:rsidR="007A5F2D" w:rsidRPr="00564571">
        <w:rPr>
          <w:rFonts w:ascii="Arial" w:eastAsia="Calibri" w:hAnsi="Arial" w:cs="Arial"/>
          <w:sz w:val="22"/>
          <w:szCs w:val="22"/>
          <w:lang w:val="es-ES"/>
        </w:rPr>
        <w:t xml:space="preserve"> </w:t>
      </w:r>
      <w:r w:rsidRPr="00564571">
        <w:rPr>
          <w:rFonts w:ascii="Arial" w:eastAsia="Calibri" w:hAnsi="Arial" w:cs="Arial"/>
          <w:sz w:val="22"/>
          <w:szCs w:val="22"/>
          <w:lang w:val="es-ES"/>
        </w:rPr>
        <w:t>señor</w:t>
      </w:r>
      <w:r w:rsidR="00DA07F3" w:rsidRPr="00564571">
        <w:rPr>
          <w:rFonts w:ascii="Arial" w:eastAsia="Calibri" w:hAnsi="Arial" w:cs="Arial"/>
          <w:sz w:val="22"/>
          <w:szCs w:val="22"/>
          <w:lang w:val="es-ES"/>
        </w:rPr>
        <w:t xml:space="preserve"> </w:t>
      </w:r>
      <w:r w:rsidR="005B14B2" w:rsidRPr="00564571">
        <w:rPr>
          <w:rFonts w:ascii="Arial" w:eastAsia="Calibri" w:hAnsi="Arial" w:cs="Arial"/>
          <w:sz w:val="22"/>
          <w:szCs w:val="22"/>
          <w:lang w:val="es-ES"/>
        </w:rPr>
        <w:t>Acevedo</w:t>
      </w:r>
      <w:r w:rsidR="0083524B" w:rsidRPr="00564571">
        <w:rPr>
          <w:rFonts w:ascii="Arial" w:eastAsia="Calibri" w:hAnsi="Arial" w:cs="Arial"/>
          <w:sz w:val="22"/>
          <w:szCs w:val="22"/>
          <w:lang w:val="es-ES"/>
        </w:rPr>
        <w:t>:</w:t>
      </w:r>
    </w:p>
    <w:p w14:paraId="17594CC4" w14:textId="77777777" w:rsidR="003C7067" w:rsidRPr="00564571" w:rsidRDefault="003C7067" w:rsidP="003C7067">
      <w:pPr>
        <w:spacing w:line="276" w:lineRule="auto"/>
        <w:rPr>
          <w:rFonts w:ascii="Arial" w:eastAsia="Calibri" w:hAnsi="Arial" w:cs="Arial"/>
          <w:sz w:val="22"/>
          <w:szCs w:val="22"/>
          <w:lang w:val="es-ES"/>
        </w:rPr>
      </w:pPr>
    </w:p>
    <w:p w14:paraId="2E5BE0B4" w14:textId="7841FFE8" w:rsidR="002F339A" w:rsidRPr="00564571" w:rsidRDefault="003C7067" w:rsidP="003C7067">
      <w:pPr>
        <w:spacing w:line="276" w:lineRule="auto"/>
        <w:jc w:val="both"/>
        <w:rPr>
          <w:rFonts w:ascii="Arial" w:eastAsia="Calibri" w:hAnsi="Arial" w:cs="Arial"/>
          <w:sz w:val="22"/>
          <w:szCs w:val="22"/>
          <w:lang w:val="es-ES"/>
        </w:rPr>
      </w:pPr>
      <w:r w:rsidRPr="00564571">
        <w:rPr>
          <w:rFonts w:ascii="Arial" w:eastAsia="Calibri" w:hAnsi="Arial" w:cs="Arial"/>
          <w:sz w:val="22"/>
          <w:szCs w:val="22"/>
          <w:lang w:val="es-ES"/>
        </w:rPr>
        <w:t>La Agencia Nacional de Contratación Pública – Colombia Compra Eficiente</w:t>
      </w:r>
      <w:r w:rsidR="00C15870" w:rsidRPr="00564571">
        <w:rPr>
          <w:rFonts w:ascii="Arial" w:eastAsia="Calibri" w:hAnsi="Arial" w:cs="Arial"/>
          <w:sz w:val="22"/>
          <w:szCs w:val="22"/>
          <w:lang w:val="es-ES"/>
        </w:rPr>
        <w:t>, en ejercicio de la competencia otorgada por el numeral 8 del artículo 11 y el numeral 5 del artículo 3 del Decreto Ley 4170 de 2011,</w:t>
      </w:r>
      <w:r w:rsidRPr="00564571">
        <w:rPr>
          <w:rFonts w:ascii="Arial" w:eastAsia="Calibri" w:hAnsi="Arial" w:cs="Arial"/>
          <w:sz w:val="22"/>
          <w:szCs w:val="22"/>
          <w:lang w:val="es-ES"/>
        </w:rPr>
        <w:t xml:space="preserve"> responde s</w:t>
      </w:r>
      <w:r w:rsidR="00731374" w:rsidRPr="00564571">
        <w:rPr>
          <w:rFonts w:ascii="Arial" w:eastAsia="Calibri" w:hAnsi="Arial" w:cs="Arial"/>
          <w:sz w:val="22"/>
          <w:szCs w:val="22"/>
          <w:lang w:val="es-ES"/>
        </w:rPr>
        <w:t xml:space="preserve">us consultadas remitidas el </w:t>
      </w:r>
      <w:r w:rsidR="005B14B2" w:rsidRPr="00564571">
        <w:rPr>
          <w:rFonts w:ascii="Arial" w:eastAsia="Calibri" w:hAnsi="Arial" w:cs="Arial"/>
          <w:sz w:val="22"/>
          <w:szCs w:val="22"/>
          <w:lang w:val="es-ES"/>
        </w:rPr>
        <w:t xml:space="preserve">2 de agosto de 2022. </w:t>
      </w:r>
    </w:p>
    <w:p w14:paraId="2D852432" w14:textId="2FF22211" w:rsidR="003C7067" w:rsidRPr="00564571" w:rsidRDefault="003C7067" w:rsidP="003C7067">
      <w:pPr>
        <w:pStyle w:val="Prrafodelista"/>
        <w:spacing w:line="276" w:lineRule="auto"/>
        <w:ind w:left="0"/>
        <w:rPr>
          <w:rFonts w:ascii="Arial" w:eastAsia="Calibri" w:hAnsi="Arial" w:cs="Arial"/>
          <w:sz w:val="22"/>
          <w:lang w:val="es-ES"/>
        </w:rPr>
      </w:pPr>
    </w:p>
    <w:p w14:paraId="67CA615C" w14:textId="77777777" w:rsidR="003C7067" w:rsidRPr="00564571" w:rsidRDefault="003C7067" w:rsidP="003C7067">
      <w:pPr>
        <w:tabs>
          <w:tab w:val="left" w:pos="0"/>
        </w:tabs>
        <w:spacing w:line="276" w:lineRule="auto"/>
        <w:jc w:val="both"/>
        <w:rPr>
          <w:rFonts w:ascii="Arial" w:eastAsia="Calibri" w:hAnsi="Arial" w:cs="Arial"/>
          <w:b/>
          <w:sz w:val="22"/>
          <w:szCs w:val="22"/>
          <w:lang w:val="es-ES"/>
        </w:rPr>
      </w:pPr>
      <w:r w:rsidRPr="00564571">
        <w:rPr>
          <w:rFonts w:ascii="Arial" w:eastAsia="Calibri" w:hAnsi="Arial" w:cs="Arial"/>
          <w:b/>
          <w:sz w:val="22"/>
          <w:szCs w:val="22"/>
          <w:lang w:val="es-ES"/>
        </w:rPr>
        <w:t>1. Problema planteado</w:t>
      </w:r>
    </w:p>
    <w:p w14:paraId="5A060666" w14:textId="77777777" w:rsidR="003C7067" w:rsidRPr="00564571" w:rsidRDefault="003C7067" w:rsidP="003C7067">
      <w:pPr>
        <w:rPr>
          <w:rFonts w:ascii="Arial" w:eastAsia="Calibri" w:hAnsi="Arial" w:cs="Arial"/>
          <w:sz w:val="22"/>
          <w:szCs w:val="22"/>
          <w:lang w:val="es-ES"/>
        </w:rPr>
      </w:pPr>
    </w:p>
    <w:p w14:paraId="610004AC" w14:textId="0229AA61" w:rsidR="00731374" w:rsidRPr="003921EC" w:rsidRDefault="003C7067" w:rsidP="001A4790">
      <w:pPr>
        <w:pStyle w:val="gmail-msonospacing"/>
        <w:tabs>
          <w:tab w:val="left" w:pos="7655"/>
          <w:tab w:val="left" w:pos="8789"/>
        </w:tabs>
        <w:spacing w:before="0" w:beforeAutospacing="0" w:after="0" w:afterAutospacing="0" w:line="276" w:lineRule="auto"/>
        <w:ind w:right="49"/>
        <w:jc w:val="both"/>
        <w:rPr>
          <w:rFonts w:ascii="Arial" w:eastAsia="Calibri" w:hAnsi="Arial" w:cs="Arial"/>
        </w:rPr>
      </w:pPr>
      <w:r w:rsidRPr="003921EC">
        <w:rPr>
          <w:rFonts w:ascii="Arial" w:eastAsia="Calibri" w:hAnsi="Arial" w:cs="Arial"/>
        </w:rPr>
        <w:t xml:space="preserve">Usted realiza la siguiente pregunta: </w:t>
      </w:r>
      <w:r w:rsidR="00731374" w:rsidRPr="001A4790">
        <w:rPr>
          <w:rFonts w:ascii="Arial" w:hAnsi="Arial" w:cs="Arial"/>
        </w:rPr>
        <w:t>«</w:t>
      </w:r>
      <w:r w:rsidR="005B14B2" w:rsidRPr="001A4790">
        <w:rPr>
          <w:rFonts w:ascii="Arial" w:hAnsi="Arial" w:cs="Arial"/>
          <w:lang w:val="es-MX"/>
        </w:rPr>
        <w:t>Los entes territoriales pueden solicitar un mínimo de años de inscripción del RUP como requisito para que una empresa pueda presentarse en un proceso de contratación pública?</w:t>
      </w:r>
      <w:r w:rsidR="00731374" w:rsidRPr="001A4790">
        <w:rPr>
          <w:rFonts w:ascii="Arial" w:hAnsi="Arial" w:cs="Arial"/>
        </w:rPr>
        <w:t>»</w:t>
      </w:r>
      <w:r w:rsidR="00DE29EB" w:rsidRPr="001A4790">
        <w:rPr>
          <w:rFonts w:ascii="Arial" w:hAnsi="Arial" w:cs="Arial"/>
        </w:rPr>
        <w:t xml:space="preserve">. </w:t>
      </w:r>
    </w:p>
    <w:p w14:paraId="5FF94B70" w14:textId="77777777" w:rsidR="009B20DB" w:rsidRPr="00564571" w:rsidRDefault="009B20DB" w:rsidP="00731374">
      <w:pPr>
        <w:spacing w:line="276" w:lineRule="auto"/>
        <w:jc w:val="both"/>
        <w:rPr>
          <w:rFonts w:ascii="Arial" w:eastAsiaTheme="minorHAnsi" w:hAnsi="Arial" w:cs="Arial"/>
          <w:color w:val="000000" w:themeColor="text1"/>
          <w:sz w:val="21"/>
          <w:szCs w:val="21"/>
          <w:lang w:val="es-ES_tradnl" w:eastAsia="en-US"/>
        </w:rPr>
      </w:pPr>
    </w:p>
    <w:p w14:paraId="25DC51CC" w14:textId="7CCB0AE1" w:rsidR="0016321F" w:rsidRPr="00564571" w:rsidRDefault="003C7067" w:rsidP="00EF2C3C">
      <w:pPr>
        <w:pStyle w:val="NormalWeb"/>
        <w:spacing w:before="0" w:beforeAutospacing="0" w:after="0" w:afterAutospacing="0" w:line="276" w:lineRule="auto"/>
        <w:ind w:right="51"/>
        <w:contextualSpacing/>
        <w:jc w:val="both"/>
        <w:rPr>
          <w:rFonts w:ascii="Arial" w:eastAsia="Calibri" w:hAnsi="Arial" w:cs="Arial"/>
          <w:b/>
          <w:sz w:val="22"/>
          <w:szCs w:val="22"/>
          <w:lang w:val="es-ES"/>
        </w:rPr>
      </w:pPr>
      <w:r w:rsidRPr="00564571">
        <w:rPr>
          <w:rFonts w:ascii="Arial" w:eastAsia="Calibri" w:hAnsi="Arial" w:cs="Arial"/>
          <w:b/>
          <w:sz w:val="22"/>
          <w:szCs w:val="22"/>
          <w:lang w:val="es-ES"/>
        </w:rPr>
        <w:t>2. Consideraciones</w:t>
      </w:r>
    </w:p>
    <w:p w14:paraId="146D64A9" w14:textId="77777777" w:rsidR="00EF2C3C" w:rsidRPr="00564571" w:rsidRDefault="00EF2C3C" w:rsidP="005D20C7">
      <w:pPr>
        <w:pStyle w:val="NormalWeb"/>
        <w:spacing w:before="0" w:beforeAutospacing="0" w:after="0" w:afterAutospacing="0" w:line="276" w:lineRule="auto"/>
        <w:ind w:right="51"/>
        <w:contextualSpacing/>
        <w:jc w:val="both"/>
        <w:rPr>
          <w:rFonts w:ascii="Arial" w:eastAsia="Calibri" w:hAnsi="Arial" w:cs="Arial"/>
          <w:b/>
          <w:sz w:val="22"/>
          <w:szCs w:val="22"/>
          <w:lang w:val="es-ES"/>
        </w:rPr>
      </w:pPr>
    </w:p>
    <w:p w14:paraId="78267672" w14:textId="1A9F21B1" w:rsidR="00EF2C3C" w:rsidRPr="00564571" w:rsidRDefault="00EF2C3C" w:rsidP="005D20C7">
      <w:pPr>
        <w:spacing w:after="120" w:line="276" w:lineRule="auto"/>
        <w:jc w:val="both"/>
        <w:rPr>
          <w:rFonts w:ascii="Arial" w:hAnsi="Arial" w:cs="Arial"/>
          <w:sz w:val="22"/>
          <w:lang w:val="es-ES"/>
        </w:rPr>
      </w:pPr>
      <w:r w:rsidRPr="00564571">
        <w:rPr>
          <w:rFonts w:ascii="Arial" w:hAnsi="Arial" w:cs="Arial"/>
          <w:bCs/>
          <w:sz w:val="22"/>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bookmarkStart w:id="0" w:name="_Hlk61701014"/>
      <w:bookmarkStart w:id="1" w:name="_Hlk62136649"/>
      <w:r w:rsidRPr="00564571">
        <w:rPr>
          <w:rFonts w:ascii="Arial" w:hAnsi="Arial" w:cs="Arial"/>
          <w:sz w:val="22"/>
          <w:lang w:val="es-ES"/>
        </w:rPr>
        <w:t xml:space="preserve">Es necesario tener en cuenta que </w:t>
      </w:r>
      <w:bookmarkStart w:id="2" w:name="_Hlk61026958"/>
      <w:r w:rsidRPr="00564571">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64571">
        <w:rPr>
          <w:rFonts w:ascii="Arial" w:hAnsi="Arial" w:cs="Arial"/>
          <w:bCs/>
          <w:sz w:val="22"/>
        </w:rPr>
        <w:t xml:space="preserve"> de todos los partícipes de la contratación estatal.</w:t>
      </w:r>
    </w:p>
    <w:p w14:paraId="0348277A" w14:textId="51EE6A7F" w:rsidR="00DF3130" w:rsidRPr="00564571" w:rsidRDefault="00EF2C3C" w:rsidP="00DF3130">
      <w:pPr>
        <w:spacing w:after="120" w:line="276" w:lineRule="auto"/>
        <w:ind w:firstLine="708"/>
        <w:jc w:val="both"/>
        <w:rPr>
          <w:rFonts w:ascii="Arial" w:hAnsi="Arial" w:cs="Arial"/>
          <w:sz w:val="22"/>
          <w:lang w:val="es-ES"/>
        </w:rPr>
      </w:pPr>
      <w:r w:rsidRPr="00564571">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64571">
        <w:rPr>
          <w:rFonts w:ascii="Arial" w:hAnsi="Arial" w:cs="Arial"/>
          <w:sz w:val="22"/>
          <w:vertAlign w:val="superscript"/>
          <w:lang w:val="es-ES"/>
        </w:rPr>
        <w:footnoteReference w:id="1"/>
      </w:r>
      <w:r w:rsidRPr="00564571">
        <w:rPr>
          <w:rFonts w:ascii="Arial" w:hAnsi="Arial" w:cs="Arial"/>
          <w:sz w:val="22"/>
          <w:lang w:val="es-ES"/>
        </w:rPr>
        <w:t xml:space="preserve">. Esta competencia de interpretación de normas generales, por definición, no puede extenderse a la resolución de controversias, ni a brindar asesorías sobre casos puntuales. Esto en la medida en </w:t>
      </w:r>
      <w:r w:rsidR="00E5202C" w:rsidRPr="00564571">
        <w:rPr>
          <w:rFonts w:ascii="Arial" w:hAnsi="Arial" w:cs="Arial"/>
          <w:sz w:val="22"/>
          <w:lang w:val="es-ES"/>
        </w:rPr>
        <w:t>que,</w:t>
      </w:r>
      <w:r w:rsidRPr="00564571">
        <w:rPr>
          <w:rFonts w:ascii="Arial"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2"/>
      <w:r w:rsidRPr="00564571">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p w14:paraId="70113537" w14:textId="5F336674" w:rsidR="00DF3130" w:rsidRPr="00564571" w:rsidRDefault="00DF3130" w:rsidP="00DF3130">
      <w:pPr>
        <w:spacing w:after="120" w:line="276" w:lineRule="auto"/>
        <w:ind w:firstLine="708"/>
        <w:jc w:val="both"/>
        <w:rPr>
          <w:rFonts w:ascii="Arial" w:hAnsi="Arial" w:cs="Arial"/>
          <w:bCs/>
          <w:sz w:val="22"/>
          <w:lang w:val="es-ES_tradnl"/>
        </w:rPr>
      </w:pPr>
      <w:r w:rsidRPr="00564571">
        <w:rPr>
          <w:rFonts w:ascii="Arial" w:hAnsi="Arial" w:cs="Arial"/>
          <w:sz w:val="22"/>
          <w:lang w:val="es-ES"/>
        </w:rPr>
        <w:t xml:space="preserve">Adicionalmente, es preciso advertir que los conceptos emitidos en ejercicio de la referida competencia consultiva reflejan las posiciones hermenéuticas de la Agencia sobre la aplicación de las normas generales sometidas a su consideración, desarrollando posturas sustentadas a partir del estudio de las diferentes fuentes del derecho existentes en la materia. En cualquier caso, estos conceptos tienen el alcance señalado por el artículo 28 </w:t>
      </w:r>
      <w:r w:rsidRPr="00564571">
        <w:rPr>
          <w:rFonts w:ascii="Arial" w:hAnsi="Arial" w:cs="Arial"/>
          <w:sz w:val="22"/>
          <w:lang w:val="es-ES"/>
        </w:rPr>
        <w:lastRenderedPageBreak/>
        <w:t xml:space="preserve">de la Ley 1437 de 2011, sustituido por la Ley 1755 de 2015, el cual señala «[…]  los conceptos emitidos por las autoridades como respuestas a peticiones realizadas en ejercicio del derecho a formular consultas no serán de obligatorio cumplimiento o ejecución».  </w:t>
      </w:r>
      <w:r w:rsidRPr="00564571">
        <w:rPr>
          <w:rFonts w:ascii="Arial" w:hAnsi="Arial" w:cs="Arial"/>
          <w:bCs/>
          <w:sz w:val="22"/>
          <w:lang w:val="es-ES_tradnl"/>
        </w:rPr>
        <w:t>n términos generales, lo que se busca es que la opinión jurídica de la entidad sirva a los ciudadanos y a la administración pública para el ejercicio de sus derechos y la defensa de sus intereses, y como criterio de orientación para el cumplimiento de sus competencias legales, sin que tome partida por uno u otro, pues a la autoridad que emite el concepto no le compete resolver una controversia o prevenir una problemática, esto es, no le corresponde determinar quién tienen la razón en su interpretación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 y, mucho menos, valida la del peticionario, ya que las competencias consultivas no lo permiten</w:t>
      </w:r>
      <w:r w:rsidRPr="00564571">
        <w:rPr>
          <w:rFonts w:ascii="Arial" w:hAnsi="Arial" w:cs="Arial"/>
          <w:bCs/>
          <w:sz w:val="22"/>
          <w:vertAlign w:val="superscript"/>
          <w:lang w:val="es-ES_tradnl"/>
        </w:rPr>
        <w:footnoteReference w:id="2"/>
      </w:r>
      <w:r w:rsidRPr="00564571">
        <w:rPr>
          <w:rFonts w:ascii="Arial" w:hAnsi="Arial" w:cs="Arial"/>
          <w:bCs/>
          <w:sz w:val="22"/>
          <w:lang w:val="es-ES_tradnl"/>
        </w:rPr>
        <w:t>.</w:t>
      </w:r>
    </w:p>
    <w:p w14:paraId="455F57B6" w14:textId="2BBAC96B" w:rsidR="00DF3130" w:rsidRPr="001A4790" w:rsidRDefault="00DF3130" w:rsidP="00DF3130">
      <w:pPr>
        <w:spacing w:after="120" w:line="276" w:lineRule="auto"/>
        <w:ind w:firstLine="708"/>
        <w:jc w:val="both"/>
        <w:rPr>
          <w:rFonts w:ascii="Arial" w:hAnsi="Arial" w:cs="Arial"/>
          <w:sz w:val="22"/>
          <w:lang w:val="es-ES_tradnl"/>
        </w:rPr>
      </w:pPr>
      <w:r w:rsidRPr="00564571">
        <w:rPr>
          <w:rFonts w:ascii="Arial" w:hAnsi="Arial" w:cs="Arial"/>
          <w:sz w:val="22"/>
          <w:lang w:val="es-ES_tradnl"/>
        </w:rPr>
        <w:t xml:space="preserve">Sin perjuicio de lo anterior, dentro de los límites de las atribuciones de la función consultiva atribuida a esta entidad, esto es, interpretando de manera general las normas relevantes, la Agencia absolverá los interrogantes formulados, previo análisis de los siguientes temas: i) </w:t>
      </w:r>
      <w:r w:rsidR="00DB06A8">
        <w:rPr>
          <w:rFonts w:ascii="Arial" w:hAnsi="Arial" w:cs="Arial"/>
          <w:sz w:val="22"/>
          <w:lang w:val="es-ES_tradnl"/>
        </w:rPr>
        <w:t>r</w:t>
      </w:r>
      <w:r w:rsidR="00DB06A8" w:rsidRPr="00DB06A8">
        <w:rPr>
          <w:rFonts w:ascii="Arial" w:hAnsi="Arial" w:cs="Arial"/>
          <w:sz w:val="22"/>
          <w:lang w:val="es-ES_tradnl"/>
        </w:rPr>
        <w:t>equisitos habilitantes: criterios obligatorios para participar en los procedimientos de selección contractual</w:t>
      </w:r>
      <w:r w:rsidR="00DB06A8" w:rsidRPr="00DB06A8" w:rsidDel="00DB06A8">
        <w:rPr>
          <w:rFonts w:ascii="Arial" w:hAnsi="Arial" w:cs="Arial"/>
          <w:sz w:val="22"/>
          <w:lang w:val="es-ES_tradnl"/>
        </w:rPr>
        <w:t xml:space="preserve"> </w:t>
      </w:r>
      <w:r w:rsidRPr="00564571">
        <w:rPr>
          <w:rFonts w:ascii="Arial" w:hAnsi="Arial" w:cs="Arial"/>
          <w:sz w:val="22"/>
          <w:lang w:val="es-ES_tradnl"/>
        </w:rPr>
        <w:t xml:space="preserve">y; </w:t>
      </w:r>
      <w:proofErr w:type="spellStart"/>
      <w:r w:rsidRPr="00564571">
        <w:rPr>
          <w:rFonts w:ascii="Arial" w:hAnsi="Arial" w:cs="Arial"/>
          <w:sz w:val="22"/>
          <w:lang w:val="es-ES_tradnl"/>
        </w:rPr>
        <w:t>ii</w:t>
      </w:r>
      <w:proofErr w:type="spellEnd"/>
      <w:r w:rsidRPr="00564571">
        <w:rPr>
          <w:rFonts w:ascii="Arial" w:hAnsi="Arial" w:cs="Arial"/>
          <w:sz w:val="22"/>
          <w:lang w:val="es-ES_tradnl"/>
        </w:rPr>
        <w:t xml:space="preserve">) </w:t>
      </w:r>
      <w:r w:rsidR="00DB06A8">
        <w:rPr>
          <w:rFonts w:ascii="Arial" w:hAnsi="Arial" w:cs="Arial"/>
          <w:sz w:val="22"/>
          <w:lang w:val="es-ES_tradnl"/>
        </w:rPr>
        <w:t>c</w:t>
      </w:r>
      <w:r w:rsidR="00DB06A8" w:rsidRPr="00DB06A8">
        <w:rPr>
          <w:rFonts w:ascii="Arial" w:hAnsi="Arial" w:cs="Arial"/>
          <w:sz w:val="22"/>
          <w:lang w:val="es-ES_tradnl"/>
        </w:rPr>
        <w:t>arácter enunciativo de los requisitos habilitantes previstos en el artículo 5, numeral 1, de la Ley 1150 de 2007 y autonomía de la voluntad de las entidades estatales para establecerlos</w:t>
      </w:r>
      <w:r w:rsidR="00DB06A8" w:rsidRPr="00DB06A8" w:rsidDel="00DB06A8">
        <w:rPr>
          <w:rFonts w:ascii="Arial" w:hAnsi="Arial" w:cs="Arial"/>
          <w:sz w:val="22"/>
          <w:lang w:val="es-ES_tradnl"/>
        </w:rPr>
        <w:t xml:space="preserve"> </w:t>
      </w:r>
    </w:p>
    <w:p w14:paraId="3E955E50" w14:textId="53B7F77A" w:rsidR="00DF3130" w:rsidRDefault="00DB06A8" w:rsidP="00AB244D">
      <w:pPr>
        <w:spacing w:line="276" w:lineRule="auto"/>
        <w:ind w:firstLine="708"/>
        <w:jc w:val="both"/>
        <w:rPr>
          <w:rFonts w:ascii="Arial" w:hAnsi="Arial" w:cs="Arial"/>
          <w:bCs/>
          <w:sz w:val="22"/>
          <w:lang w:val="es-MX"/>
        </w:rPr>
      </w:pPr>
      <w:r w:rsidRPr="00CE5D83">
        <w:rPr>
          <w:rFonts w:ascii="Arial" w:eastAsia="Calibri" w:hAnsi="Arial" w:cs="Arial"/>
          <w:color w:val="000000" w:themeColor="text1"/>
          <w:sz w:val="22"/>
          <w:lang w:val="es-ES"/>
        </w:rPr>
        <w:lastRenderedPageBreak/>
        <w:t>Al respecto, conviene indicar que la Agencia Nacional de Contratación Pública ― Colombia Compra Eficiente,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w:t>
      </w:r>
      <w:r>
        <w:rPr>
          <w:rFonts w:ascii="Arial" w:eastAsia="Calibri" w:hAnsi="Arial" w:cs="Arial"/>
          <w:color w:val="000000" w:themeColor="text1"/>
          <w:sz w:val="22"/>
          <w:lang w:val="es-ES"/>
        </w:rPr>
        <w:t xml:space="preserve">, </w:t>
      </w:r>
      <w:r w:rsidRPr="00CE5D83">
        <w:rPr>
          <w:rFonts w:ascii="Arial" w:eastAsia="Calibri" w:hAnsi="Arial" w:cs="Arial"/>
          <w:color w:val="000000" w:themeColor="text1"/>
          <w:sz w:val="22"/>
          <w:lang w:val="es-ES"/>
        </w:rPr>
        <w:t>C-330 del 27 de mayo de 2020</w:t>
      </w:r>
      <w:r>
        <w:rPr>
          <w:rFonts w:ascii="Arial" w:eastAsia="Calibri" w:hAnsi="Arial" w:cs="Arial"/>
          <w:color w:val="000000" w:themeColor="text1"/>
          <w:sz w:val="22"/>
          <w:lang w:val="es-ES"/>
        </w:rPr>
        <w:t>,</w:t>
      </w:r>
      <w:r w:rsidRPr="00CE5D83">
        <w:rPr>
          <w:rFonts w:ascii="Arial" w:eastAsia="Calibri" w:hAnsi="Arial" w:cs="Arial"/>
          <w:color w:val="000000" w:themeColor="text1"/>
          <w:sz w:val="22"/>
          <w:lang w:val="es-ES"/>
        </w:rPr>
        <w:t xml:space="preserve"> C-396 de 2020</w:t>
      </w:r>
      <w:r w:rsidR="00FC6445">
        <w:rPr>
          <w:rFonts w:ascii="Arial" w:eastAsia="Calibri" w:hAnsi="Arial" w:cs="Arial"/>
          <w:color w:val="000000" w:themeColor="text1"/>
          <w:sz w:val="22"/>
          <w:lang w:val="es-ES"/>
        </w:rPr>
        <w:t xml:space="preserve"> y C-669 del 3 de diciembre de 202</w:t>
      </w:r>
      <w:r w:rsidR="00AB244D">
        <w:rPr>
          <w:rFonts w:ascii="Arial" w:eastAsia="Calibri" w:hAnsi="Arial" w:cs="Arial"/>
          <w:color w:val="000000" w:themeColor="text1"/>
          <w:sz w:val="22"/>
          <w:lang w:val="es-ES"/>
        </w:rPr>
        <w:t>1</w:t>
      </w:r>
      <w:r w:rsidR="00FC6445">
        <w:rPr>
          <w:rFonts w:ascii="Arial" w:eastAsia="Calibri" w:hAnsi="Arial" w:cs="Arial"/>
          <w:color w:val="000000" w:themeColor="text1"/>
          <w:sz w:val="22"/>
          <w:lang w:val="es-ES"/>
        </w:rPr>
        <w:t xml:space="preserve"> </w:t>
      </w:r>
      <w:r w:rsidRPr="00CE5D83">
        <w:rPr>
          <w:rFonts w:ascii="Arial" w:eastAsia="Calibri" w:hAnsi="Arial" w:cs="Arial"/>
          <w:color w:val="000000" w:themeColor="text1"/>
          <w:sz w:val="22"/>
          <w:lang w:val="es-ES"/>
        </w:rPr>
        <w:t xml:space="preserve"> analizó la naturaleza de los requisitos habilitantes y su carácter </w:t>
      </w:r>
      <w:r w:rsidRPr="00CE5D83">
        <w:rPr>
          <w:rFonts w:ascii="Arial" w:eastAsia="Calibri" w:hAnsi="Arial" w:cs="Arial"/>
          <w:i/>
          <w:iCs/>
          <w:color w:val="000000" w:themeColor="text1"/>
          <w:sz w:val="22"/>
          <w:lang w:val="es-ES"/>
        </w:rPr>
        <w:t>enunciativo</w:t>
      </w:r>
      <w:r w:rsidR="00DF3130" w:rsidRPr="00564571">
        <w:rPr>
          <w:rFonts w:ascii="Arial" w:hAnsi="Arial" w:cs="Arial"/>
          <w:bCs/>
          <w:sz w:val="22"/>
          <w:lang w:val="es-MX"/>
        </w:rPr>
        <w:t xml:space="preserve">. </w:t>
      </w:r>
      <w:r w:rsidR="00DF3130" w:rsidRPr="00564571">
        <w:rPr>
          <w:rFonts w:ascii="Arial" w:hAnsi="Arial" w:cs="Arial"/>
          <w:sz w:val="22"/>
          <w:lang w:val="es-MX"/>
        </w:rPr>
        <w:t xml:space="preserve">Las tesis desarrolladas en estos conceptos se reiteran a continuación </w:t>
      </w:r>
      <w:r w:rsidR="00DF3130" w:rsidRPr="00564571">
        <w:rPr>
          <w:rFonts w:ascii="Arial" w:hAnsi="Arial" w:cs="Arial"/>
          <w:bCs/>
          <w:sz w:val="22"/>
          <w:lang w:val="es-MX"/>
        </w:rPr>
        <w:t xml:space="preserve">y se complementan en lo pertinente. </w:t>
      </w:r>
    </w:p>
    <w:p w14:paraId="3735B642" w14:textId="77777777" w:rsidR="00AB244D" w:rsidRPr="00564571" w:rsidRDefault="00AB244D" w:rsidP="001A4790">
      <w:pPr>
        <w:spacing w:line="276" w:lineRule="auto"/>
        <w:ind w:firstLine="708"/>
        <w:jc w:val="both"/>
        <w:rPr>
          <w:rFonts w:ascii="Arial" w:hAnsi="Arial" w:cs="Arial"/>
          <w:sz w:val="22"/>
          <w:lang w:val="es-MX"/>
        </w:rPr>
      </w:pPr>
    </w:p>
    <w:bookmarkEnd w:id="1"/>
    <w:p w14:paraId="19330F0B" w14:textId="0CB5F66D" w:rsidR="007039AC" w:rsidRPr="00CE5D83" w:rsidRDefault="007039AC" w:rsidP="007039AC">
      <w:pPr>
        <w:spacing w:line="276" w:lineRule="auto"/>
        <w:jc w:val="both"/>
        <w:rPr>
          <w:rFonts w:ascii="Arial" w:hAnsi="Arial" w:cs="Arial"/>
          <w:b/>
          <w:bCs/>
          <w:color w:val="000000" w:themeColor="text1"/>
          <w:sz w:val="22"/>
          <w:lang w:val="es-ES_tradnl"/>
        </w:rPr>
      </w:pPr>
      <w:r w:rsidRPr="00CE5D83">
        <w:rPr>
          <w:rFonts w:ascii="Arial" w:hAnsi="Arial" w:cs="Arial"/>
          <w:b/>
          <w:bCs/>
          <w:color w:val="000000" w:themeColor="text1"/>
          <w:sz w:val="22"/>
          <w:lang w:val="es-ES_tradnl"/>
        </w:rPr>
        <w:t>2.</w:t>
      </w:r>
      <w:r w:rsidR="00F206CA">
        <w:rPr>
          <w:rFonts w:ascii="Arial" w:hAnsi="Arial" w:cs="Arial"/>
          <w:b/>
          <w:bCs/>
          <w:color w:val="000000" w:themeColor="text1"/>
          <w:sz w:val="22"/>
          <w:lang w:val="es-ES_tradnl"/>
        </w:rPr>
        <w:t>1</w:t>
      </w:r>
      <w:r w:rsidRPr="00CE5D83">
        <w:rPr>
          <w:rFonts w:ascii="Arial" w:hAnsi="Arial" w:cs="Arial"/>
          <w:b/>
          <w:bCs/>
          <w:color w:val="000000" w:themeColor="text1"/>
          <w:sz w:val="22"/>
          <w:lang w:val="es-ES_tradnl"/>
        </w:rPr>
        <w:t>. Requisitos habilitantes: criterios obligatorios para participar en los procedimientos de selección contractual</w:t>
      </w:r>
    </w:p>
    <w:p w14:paraId="56D4D05E" w14:textId="77777777" w:rsidR="007039AC" w:rsidRPr="00CE5D83" w:rsidRDefault="007039AC" w:rsidP="007039AC">
      <w:pPr>
        <w:spacing w:line="276" w:lineRule="auto"/>
        <w:ind w:left="1080"/>
        <w:contextualSpacing/>
        <w:jc w:val="both"/>
        <w:rPr>
          <w:rFonts w:ascii="Arial" w:hAnsi="Arial" w:cs="Arial"/>
          <w:b/>
          <w:bCs/>
          <w:color w:val="000000" w:themeColor="text1"/>
          <w:sz w:val="22"/>
          <w:lang w:val="es-ES_tradnl"/>
        </w:rPr>
      </w:pPr>
    </w:p>
    <w:p w14:paraId="3D4A88E8" w14:textId="77777777" w:rsidR="007039AC" w:rsidRPr="00CE5D83" w:rsidRDefault="007039AC" w:rsidP="007039AC">
      <w:pPr>
        <w:spacing w:after="120" w:line="276" w:lineRule="auto"/>
        <w:jc w:val="both"/>
        <w:rPr>
          <w:rFonts w:ascii="Arial" w:eastAsia="Calibri" w:hAnsi="Arial" w:cs="Arial"/>
          <w:color w:val="000000" w:themeColor="text1"/>
          <w:sz w:val="22"/>
          <w:lang w:val="es-ES_tradnl"/>
        </w:rPr>
      </w:pPr>
      <w:r w:rsidRPr="00CE5D83">
        <w:rPr>
          <w:rFonts w:ascii="Arial" w:eastAsia="Calibri" w:hAnsi="Arial" w:cs="Arial"/>
          <w:color w:val="000000" w:themeColor="text1"/>
          <w:sz w:val="22"/>
          <w:lang w:val="es-ES_tradnl"/>
        </w:rPr>
        <w:t xml:space="preserve">Los </w:t>
      </w:r>
      <w:r w:rsidRPr="00CE5D83">
        <w:rPr>
          <w:rFonts w:ascii="Arial" w:eastAsia="Calibri" w:hAnsi="Arial" w:cs="Arial"/>
          <w:i/>
          <w:iCs/>
          <w:color w:val="000000" w:themeColor="text1"/>
          <w:sz w:val="22"/>
          <w:lang w:val="es-ES_tradnl"/>
        </w:rPr>
        <w:t>requisitos habilitantes</w:t>
      </w:r>
      <w:r w:rsidRPr="00CE5D83">
        <w:rPr>
          <w:rFonts w:ascii="Arial" w:eastAsia="Calibri" w:hAnsi="Arial" w:cs="Arial"/>
          <w:color w:val="000000" w:themeColor="text1"/>
          <w:sz w:val="22"/>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CE5D83">
        <w:rPr>
          <w:rFonts w:ascii="Arial" w:eastAsia="Calibri" w:hAnsi="Arial" w:cs="Arial"/>
          <w:i/>
          <w:iCs/>
          <w:color w:val="000000" w:themeColor="text1"/>
          <w:sz w:val="22"/>
          <w:lang w:val="es-ES_tradnl"/>
        </w:rPr>
        <w:t>criterios de evaluación</w:t>
      </w:r>
      <w:r w:rsidRPr="00CE5D83">
        <w:rPr>
          <w:rFonts w:ascii="Arial" w:eastAsia="Calibri" w:hAnsi="Arial" w:cs="Arial"/>
          <w:color w:val="000000" w:themeColor="text1"/>
          <w:sz w:val="22"/>
          <w:lang w:val="es-ES_tradnl"/>
        </w:rPr>
        <w:t xml:space="preserve"> –también conocidos como </w:t>
      </w:r>
      <w:r w:rsidRPr="00CE5D83">
        <w:rPr>
          <w:rFonts w:ascii="Arial" w:eastAsia="Calibri" w:hAnsi="Arial" w:cs="Arial"/>
          <w:i/>
          <w:iCs/>
          <w:color w:val="000000" w:themeColor="text1"/>
          <w:sz w:val="22"/>
          <w:lang w:val="es-ES_tradnl"/>
        </w:rPr>
        <w:t>criterios de calificación</w:t>
      </w:r>
      <w:r w:rsidRPr="00CE5D83">
        <w:rPr>
          <w:rFonts w:ascii="Arial" w:eastAsia="Calibri" w:hAnsi="Arial" w:cs="Arial"/>
          <w:color w:val="000000" w:themeColor="text1"/>
          <w:sz w:val="22"/>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6F72EF31" w14:textId="77777777" w:rsidR="007039AC" w:rsidRPr="00CE5D83" w:rsidRDefault="007039AC" w:rsidP="007039AC">
      <w:pPr>
        <w:spacing w:after="120" w:line="276" w:lineRule="auto"/>
        <w:ind w:firstLine="708"/>
        <w:jc w:val="both"/>
        <w:rPr>
          <w:rFonts w:ascii="Arial" w:eastAsia="Calibri" w:hAnsi="Arial" w:cs="Arial"/>
          <w:color w:val="000000" w:themeColor="text1"/>
          <w:sz w:val="22"/>
          <w:lang w:val="es-ES_tradnl"/>
        </w:rPr>
      </w:pPr>
      <w:r w:rsidRPr="00CE5D83">
        <w:rPr>
          <w:rFonts w:ascii="Arial" w:eastAsia="Calibri" w:hAnsi="Arial" w:cs="Arial"/>
          <w:color w:val="000000" w:themeColor="text1"/>
          <w:sz w:val="22"/>
          <w:lang w:val="es-ES_tradnl"/>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274F0C82" w14:textId="77777777" w:rsidR="007039AC" w:rsidRPr="00CE5D83" w:rsidRDefault="007039AC" w:rsidP="007039AC">
      <w:pPr>
        <w:spacing w:line="276" w:lineRule="auto"/>
        <w:ind w:firstLine="708"/>
        <w:jc w:val="both"/>
        <w:rPr>
          <w:rFonts w:ascii="Arial" w:eastAsia="Calibri" w:hAnsi="Arial" w:cs="Arial"/>
          <w:color w:val="000000" w:themeColor="text1"/>
          <w:sz w:val="22"/>
          <w:lang w:val="es-ES_tradnl"/>
        </w:rPr>
      </w:pPr>
      <w:r w:rsidRPr="00CE5D83">
        <w:rPr>
          <w:rFonts w:ascii="Arial" w:eastAsia="Calibri" w:hAnsi="Arial" w:cs="Arial"/>
          <w:color w:val="000000" w:themeColor="text1"/>
          <w:sz w:val="22"/>
          <w:lang w:val="es-ES_tradnl"/>
        </w:rPr>
        <w:t xml:space="preserve">El mencionado artículo dispone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1E9FABAC" w14:textId="77777777" w:rsidR="007039AC" w:rsidRPr="00CE5D83" w:rsidRDefault="007039AC" w:rsidP="007039AC">
      <w:pPr>
        <w:spacing w:before="120" w:line="276" w:lineRule="auto"/>
        <w:ind w:firstLine="709"/>
        <w:jc w:val="both"/>
        <w:rPr>
          <w:rFonts w:ascii="Arial" w:eastAsia="Calibri" w:hAnsi="Arial" w:cs="Arial"/>
          <w:color w:val="000000" w:themeColor="text1"/>
          <w:sz w:val="22"/>
          <w:lang w:val="es-ES_tradnl"/>
        </w:rPr>
      </w:pPr>
      <w:r w:rsidRPr="00CE5D83">
        <w:rPr>
          <w:rFonts w:ascii="Arial" w:eastAsia="Calibri" w:hAnsi="Arial" w:cs="Arial"/>
          <w:color w:val="000000" w:themeColor="text1"/>
          <w:sz w:val="22"/>
          <w:lang w:val="es-ES_tradnl"/>
        </w:rPr>
        <w:lastRenderedPageBreak/>
        <w:t xml:space="preserve">Específicamente, el numeral 1º del artículo referido establece que en los procesos de selección de contratistas serán objeto de verificación, como requisitos habilitantes, </w:t>
      </w:r>
      <w:r w:rsidRPr="00CE5D83">
        <w:rPr>
          <w:rFonts w:ascii="Arial" w:eastAsia="Calibri" w:hAnsi="Arial" w:cs="Arial"/>
          <w:i/>
          <w:iCs/>
          <w:color w:val="000000" w:themeColor="text1"/>
          <w:sz w:val="22"/>
          <w:lang w:val="es-ES_tradnl"/>
        </w:rPr>
        <w:t>entre otros</w:t>
      </w:r>
      <w:r w:rsidRPr="00CE5D83">
        <w:rPr>
          <w:rFonts w:ascii="Arial" w:eastAsia="Calibri" w:hAnsi="Arial" w:cs="Arial"/>
          <w:color w:val="000000" w:themeColor="text1"/>
          <w:sz w:val="22"/>
          <w:lang w:val="es-ES_tradnl"/>
        </w:rPr>
        <w:t xml:space="preserve">, los siguientes: i) la capacidad jurídica; </w:t>
      </w:r>
      <w:proofErr w:type="spellStart"/>
      <w:r w:rsidRPr="00CE5D83">
        <w:rPr>
          <w:rFonts w:ascii="Arial" w:eastAsia="Calibri" w:hAnsi="Arial" w:cs="Arial"/>
          <w:color w:val="000000" w:themeColor="text1"/>
          <w:sz w:val="22"/>
          <w:lang w:val="es-ES_tradnl"/>
        </w:rPr>
        <w:t>ii</w:t>
      </w:r>
      <w:proofErr w:type="spellEnd"/>
      <w:r w:rsidRPr="00CE5D83">
        <w:rPr>
          <w:rFonts w:ascii="Arial" w:eastAsia="Calibri" w:hAnsi="Arial" w:cs="Arial"/>
          <w:color w:val="000000" w:themeColor="text1"/>
          <w:sz w:val="22"/>
          <w:lang w:val="es-ES_tradnl"/>
        </w:rPr>
        <w:t xml:space="preserve">) la experiencia; </w:t>
      </w:r>
      <w:proofErr w:type="spellStart"/>
      <w:r w:rsidRPr="00CE5D83">
        <w:rPr>
          <w:rFonts w:ascii="Arial" w:eastAsia="Calibri" w:hAnsi="Arial" w:cs="Arial"/>
          <w:color w:val="000000" w:themeColor="text1"/>
          <w:sz w:val="22"/>
          <w:lang w:val="es-ES_tradnl"/>
        </w:rPr>
        <w:t>iii</w:t>
      </w:r>
      <w:proofErr w:type="spellEnd"/>
      <w:r w:rsidRPr="00CE5D83">
        <w:rPr>
          <w:rFonts w:ascii="Arial" w:eastAsia="Calibri" w:hAnsi="Arial" w:cs="Arial"/>
          <w:color w:val="000000" w:themeColor="text1"/>
          <w:sz w:val="22"/>
          <w:lang w:val="es-ES_tradnl"/>
        </w:rPr>
        <w:t xml:space="preserve">) la capacidad financiera y </w:t>
      </w:r>
      <w:proofErr w:type="spellStart"/>
      <w:r w:rsidRPr="00CE5D83">
        <w:rPr>
          <w:rFonts w:ascii="Arial" w:eastAsia="Calibri" w:hAnsi="Arial" w:cs="Arial"/>
          <w:color w:val="000000" w:themeColor="text1"/>
          <w:sz w:val="22"/>
          <w:lang w:val="es-ES_tradnl"/>
        </w:rPr>
        <w:t>iv</w:t>
      </w:r>
      <w:proofErr w:type="spellEnd"/>
      <w:r w:rsidRPr="00CE5D83">
        <w:rPr>
          <w:rFonts w:ascii="Arial" w:eastAsia="Calibri" w:hAnsi="Arial" w:cs="Arial"/>
          <w:color w:val="000000" w:themeColor="text1"/>
          <w:sz w:val="22"/>
          <w:lang w:val="es-ES_tradnl"/>
        </w:rPr>
        <w:t xml:space="preserve">) la capacidad de organización. En efecto, la normativa citada dispone: </w:t>
      </w:r>
    </w:p>
    <w:p w14:paraId="6E89B428" w14:textId="77777777" w:rsidR="007039AC" w:rsidRPr="00CE5D83" w:rsidRDefault="007039AC" w:rsidP="007039AC">
      <w:pPr>
        <w:jc w:val="both"/>
        <w:rPr>
          <w:rFonts w:ascii="Arial" w:eastAsia="Calibri" w:hAnsi="Arial" w:cs="Arial"/>
          <w:color w:val="000000" w:themeColor="text1"/>
          <w:sz w:val="22"/>
          <w:lang w:val="es-ES_tradnl"/>
        </w:rPr>
      </w:pPr>
    </w:p>
    <w:p w14:paraId="33D15818" w14:textId="77777777" w:rsidR="007039AC" w:rsidRPr="00CE5D83" w:rsidRDefault="007039AC" w:rsidP="007039AC">
      <w:pPr>
        <w:ind w:left="709" w:right="709"/>
        <w:jc w:val="both"/>
        <w:rPr>
          <w:rFonts w:ascii="Arial" w:eastAsia="Calibri" w:hAnsi="Arial" w:cs="Arial"/>
          <w:color w:val="000000" w:themeColor="text1"/>
          <w:sz w:val="21"/>
          <w:szCs w:val="21"/>
          <w:lang w:val="es-ES_tradnl"/>
        </w:rPr>
      </w:pPr>
      <w:r w:rsidRPr="00CE5D83">
        <w:rPr>
          <w:rFonts w:ascii="Arial" w:eastAsia="Calibri" w:hAnsi="Arial" w:cs="Arial"/>
          <w:color w:val="000000" w:themeColor="text1"/>
          <w:sz w:val="21"/>
          <w:szCs w:val="21"/>
          <w:lang w:val="es-ES_tradnl"/>
        </w:rPr>
        <w:t xml:space="preserve">Artículo 5. De la Selección Objetiva. </w:t>
      </w:r>
    </w:p>
    <w:p w14:paraId="012D6A69" w14:textId="77777777" w:rsidR="007039AC" w:rsidRPr="00CE5D83" w:rsidRDefault="007039AC" w:rsidP="007039AC">
      <w:pPr>
        <w:spacing w:after="120"/>
        <w:ind w:left="709" w:right="709"/>
        <w:jc w:val="both"/>
        <w:rPr>
          <w:rFonts w:ascii="Arial" w:eastAsia="Calibri" w:hAnsi="Arial" w:cs="Arial"/>
          <w:color w:val="000000" w:themeColor="text1"/>
          <w:sz w:val="21"/>
          <w:szCs w:val="21"/>
          <w:lang w:val="es-ES_tradnl"/>
        </w:rPr>
      </w:pPr>
      <w:r w:rsidRPr="00CE5D83">
        <w:rPr>
          <w:rFonts w:ascii="Arial" w:eastAsia="Calibri" w:hAnsi="Arial" w:cs="Arial"/>
          <w:color w:val="000000" w:themeColor="text1"/>
          <w:sz w:val="21"/>
          <w:szCs w:val="21"/>
          <w:lang w:val="es-ES_tradnl"/>
        </w:rPr>
        <w:t>[…]</w:t>
      </w:r>
    </w:p>
    <w:p w14:paraId="465801E1" w14:textId="77777777" w:rsidR="007039AC" w:rsidRPr="00CE5D83" w:rsidRDefault="007039AC" w:rsidP="007039AC">
      <w:pPr>
        <w:ind w:left="709" w:right="709"/>
        <w:contextualSpacing/>
        <w:jc w:val="both"/>
        <w:rPr>
          <w:rFonts w:ascii="Arial" w:eastAsia="Calibri" w:hAnsi="Arial" w:cs="Arial"/>
          <w:color w:val="000000" w:themeColor="text1"/>
          <w:sz w:val="21"/>
          <w:szCs w:val="21"/>
          <w:lang w:val="es-ES_tradnl"/>
        </w:rPr>
      </w:pPr>
      <w:r w:rsidRPr="00CE5D83">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394CF65F" w14:textId="77777777" w:rsidR="007039AC" w:rsidRPr="00CE5D83" w:rsidRDefault="007039AC" w:rsidP="007039AC">
      <w:pPr>
        <w:spacing w:line="276" w:lineRule="auto"/>
        <w:ind w:right="709"/>
        <w:jc w:val="both"/>
        <w:rPr>
          <w:rFonts w:ascii="Arial" w:eastAsia="Calibri" w:hAnsi="Arial" w:cs="Arial"/>
          <w:color w:val="000000" w:themeColor="text1"/>
          <w:sz w:val="22"/>
          <w:lang w:val="es-ES_tradnl"/>
        </w:rPr>
      </w:pPr>
    </w:p>
    <w:p w14:paraId="58947373" w14:textId="77777777" w:rsidR="007039AC" w:rsidRPr="00CE5D83" w:rsidRDefault="007039AC" w:rsidP="007039AC">
      <w:pPr>
        <w:spacing w:after="120" w:line="276" w:lineRule="auto"/>
        <w:ind w:firstLine="709"/>
        <w:jc w:val="both"/>
        <w:rPr>
          <w:rFonts w:ascii="Arial" w:eastAsia="Calibri" w:hAnsi="Arial" w:cs="Arial"/>
          <w:color w:val="000000" w:themeColor="text1"/>
          <w:sz w:val="22"/>
          <w:lang w:val="es-ES_tradnl"/>
        </w:rPr>
      </w:pPr>
      <w:r w:rsidRPr="00CE5D83">
        <w:rPr>
          <w:rFonts w:ascii="Arial" w:hAnsi="Arial" w:cs="Arial"/>
          <w:color w:val="000000" w:themeColor="text1"/>
          <w:sz w:val="22"/>
          <w:lang w:val="es-ES_tradnl"/>
        </w:rPr>
        <w:t xml:space="preserve">Una vez fijados los requisitos habilitantes por la entidad estatal, quienes presenten ofertas deben </w:t>
      </w:r>
      <w:r w:rsidRPr="00CE5D83">
        <w:rPr>
          <w:rFonts w:ascii="Arial" w:hAnsi="Arial" w:cs="Arial"/>
          <w:bCs/>
          <w:i/>
          <w:iCs/>
          <w:color w:val="000000" w:themeColor="text1"/>
          <w:sz w:val="22"/>
          <w:lang w:val="es-ES_tradnl"/>
        </w:rPr>
        <w:t>acreditar</w:t>
      </w:r>
      <w:r w:rsidRPr="00CE5D83">
        <w:rPr>
          <w:rFonts w:ascii="Arial" w:hAnsi="Arial" w:cs="Arial"/>
          <w:color w:val="000000" w:themeColor="text1"/>
          <w:sz w:val="22"/>
          <w:lang w:val="es-ES_tradnl"/>
        </w:rPr>
        <w:t xml:space="preserve"> que cumplen con los mismos, pues, en el evento contrario, las propuestas deberán ser rechazadas. </w:t>
      </w:r>
      <w:r w:rsidRPr="00CE5D83">
        <w:rPr>
          <w:rFonts w:ascii="Arial" w:eastAsia="Calibri" w:hAnsi="Arial" w:cs="Arial"/>
          <w:color w:val="000000" w:themeColor="text1"/>
          <w:sz w:val="22"/>
          <w:lang w:val="es-ES_tradnl"/>
        </w:rPr>
        <w:t>El ente encargado de verificar el cumplimiento por parte de los proponentes sobre los requisitos que haya considerado la entidad como habilitantes será la Cámara de Comercio, esto en la medida en que, mediante el Registro Único de Proponentes –RUP–, se pondrá de presente toda la información relacionada con la experiencia, capacidad jurídica, capacidad financiera y organizacional, así como la clasificación del proponente</w:t>
      </w:r>
      <w:r w:rsidRPr="00CE5D83">
        <w:rPr>
          <w:rFonts w:ascii="Arial" w:eastAsia="Calibri" w:hAnsi="Arial" w:cs="Arial"/>
          <w:color w:val="000000" w:themeColor="text1"/>
          <w:sz w:val="22"/>
          <w:vertAlign w:val="superscript"/>
          <w:lang w:val="es-ES_tradnl"/>
        </w:rPr>
        <w:footnoteReference w:id="3"/>
      </w:r>
      <w:r w:rsidRPr="00CE5D83">
        <w:rPr>
          <w:rFonts w:ascii="Arial" w:eastAsia="Calibri" w:hAnsi="Arial" w:cs="Arial"/>
          <w:color w:val="000000" w:themeColor="text1"/>
          <w:sz w:val="22"/>
          <w:lang w:val="es-ES_tradnl"/>
        </w:rPr>
        <w:t xml:space="preserve">. </w:t>
      </w:r>
    </w:p>
    <w:p w14:paraId="74C62F2E" w14:textId="77777777" w:rsidR="007A58B1" w:rsidRDefault="007039AC" w:rsidP="007039AC">
      <w:pPr>
        <w:spacing w:before="120" w:after="120" w:line="276" w:lineRule="auto"/>
        <w:ind w:firstLine="709"/>
        <w:contextualSpacing/>
        <w:jc w:val="both"/>
        <w:rPr>
          <w:rFonts w:ascii="Arial" w:eastAsia="Calibri" w:hAnsi="Arial" w:cs="Arial"/>
          <w:color w:val="000000" w:themeColor="text1"/>
          <w:sz w:val="22"/>
          <w:lang w:val="es-ES_tradnl"/>
        </w:rPr>
      </w:pPr>
      <w:r w:rsidRPr="00CE5D83">
        <w:rPr>
          <w:rFonts w:ascii="Arial" w:eastAsia="Calibri" w:hAnsi="Arial" w:cs="Arial"/>
          <w:color w:val="000000" w:themeColor="text1"/>
          <w:sz w:val="22"/>
          <w:lang w:val="es-ES_tradnl"/>
        </w:rPr>
        <w:t xml:space="preserve">De la misma manera es pertinente mencionar que existen determinados procesos en donde se excepciona el uso del mencionado registro y de la clasificación del proponente, </w:t>
      </w:r>
      <w:r w:rsidRPr="00CE5D83">
        <w:rPr>
          <w:rFonts w:ascii="Arial" w:eastAsia="Calibri" w:hAnsi="Arial" w:cs="Arial"/>
          <w:color w:val="000000" w:themeColor="text1"/>
          <w:sz w:val="22"/>
          <w:lang w:val="es-ES_tradnl"/>
        </w:rPr>
        <w:lastRenderedPageBreak/>
        <w:t>siendo estos los siguientes: contratación directa, contratos para la prestación de servicios de salud, contratos de mínima cuantía, entre otros puestos de presente por el artículo 6 de la Ley 1150 de 2007</w:t>
      </w:r>
      <w:r w:rsidRPr="00CE5D83">
        <w:rPr>
          <w:rFonts w:ascii="Arial" w:eastAsia="Calibri" w:hAnsi="Arial" w:cs="Arial"/>
          <w:color w:val="000000" w:themeColor="text1"/>
          <w:sz w:val="22"/>
          <w:vertAlign w:val="superscript"/>
          <w:lang w:val="es-ES_tradnl"/>
        </w:rPr>
        <w:footnoteReference w:id="4"/>
      </w:r>
      <w:r w:rsidRPr="00CE5D83">
        <w:rPr>
          <w:rFonts w:ascii="Arial" w:eastAsia="Calibri" w:hAnsi="Arial" w:cs="Arial"/>
          <w:color w:val="000000" w:themeColor="text1"/>
          <w:sz w:val="22"/>
          <w:lang w:val="es-ES_tradnl"/>
        </w:rPr>
        <w:t xml:space="preserve">. </w:t>
      </w:r>
    </w:p>
    <w:p w14:paraId="2E0AAE7E" w14:textId="77777777" w:rsidR="007A58B1" w:rsidRDefault="007A58B1" w:rsidP="007039AC">
      <w:pPr>
        <w:spacing w:before="120" w:after="120" w:line="276" w:lineRule="auto"/>
        <w:ind w:firstLine="709"/>
        <w:contextualSpacing/>
        <w:jc w:val="both"/>
        <w:rPr>
          <w:rFonts w:ascii="Arial" w:eastAsia="Calibri" w:hAnsi="Arial" w:cs="Arial"/>
          <w:color w:val="000000" w:themeColor="text1"/>
          <w:sz w:val="22"/>
          <w:lang w:val="es-ES_tradnl"/>
        </w:rPr>
      </w:pPr>
    </w:p>
    <w:p w14:paraId="59C04668" w14:textId="416D47FE" w:rsidR="007039AC" w:rsidRPr="00CE5D83" w:rsidRDefault="007039AC" w:rsidP="007039AC">
      <w:pPr>
        <w:tabs>
          <w:tab w:val="left" w:pos="0"/>
        </w:tabs>
        <w:spacing w:line="276" w:lineRule="auto"/>
        <w:jc w:val="both"/>
        <w:rPr>
          <w:rFonts w:ascii="Arial" w:eastAsia="Calibri" w:hAnsi="Arial" w:cs="Arial"/>
          <w:b/>
          <w:color w:val="000000" w:themeColor="text1"/>
          <w:sz w:val="22"/>
          <w:lang w:val="es-ES_tradnl"/>
        </w:rPr>
      </w:pPr>
      <w:r w:rsidRPr="00CE5D83">
        <w:rPr>
          <w:rFonts w:ascii="Arial" w:eastAsia="Calibri" w:hAnsi="Arial" w:cs="Arial"/>
          <w:b/>
          <w:color w:val="000000" w:themeColor="text1"/>
          <w:sz w:val="22"/>
          <w:lang w:val="es-ES_tradnl"/>
        </w:rPr>
        <w:t>2.</w:t>
      </w:r>
      <w:r w:rsidR="00F206CA">
        <w:rPr>
          <w:rFonts w:ascii="Arial" w:eastAsia="Calibri" w:hAnsi="Arial" w:cs="Arial"/>
          <w:b/>
          <w:color w:val="000000" w:themeColor="text1"/>
          <w:sz w:val="22"/>
          <w:lang w:val="es-ES_tradnl"/>
        </w:rPr>
        <w:t>2</w:t>
      </w:r>
      <w:r w:rsidRPr="00CE5D83">
        <w:rPr>
          <w:rFonts w:ascii="Arial" w:eastAsia="Calibri" w:hAnsi="Arial" w:cs="Arial"/>
          <w:b/>
          <w:color w:val="000000" w:themeColor="text1"/>
          <w:sz w:val="22"/>
          <w:lang w:val="es-ES_tradnl"/>
        </w:rPr>
        <w:t>. Carácter enunciativo de los requisitos habilitantes previstos en el artículo 5, numeral 1, de la Ley 1150 de 2007 y autonomía de la voluntad de las entidades estatales para establecerlos</w:t>
      </w:r>
    </w:p>
    <w:p w14:paraId="4059F1B4" w14:textId="77777777" w:rsidR="007039AC" w:rsidRPr="00CE5D83" w:rsidRDefault="007039AC" w:rsidP="007039AC">
      <w:pPr>
        <w:spacing w:line="276" w:lineRule="auto"/>
        <w:jc w:val="both"/>
        <w:rPr>
          <w:rFonts w:ascii="Arial" w:hAnsi="Arial" w:cs="Arial"/>
          <w:color w:val="000000" w:themeColor="text1"/>
          <w:sz w:val="22"/>
          <w:lang w:val="es-ES_tradnl"/>
        </w:rPr>
      </w:pPr>
    </w:p>
    <w:p w14:paraId="559A4BC6" w14:textId="77777777" w:rsidR="007039AC" w:rsidRPr="00CE5D83" w:rsidRDefault="007039AC" w:rsidP="007039AC">
      <w:pPr>
        <w:spacing w:line="276" w:lineRule="auto"/>
        <w:jc w:val="both"/>
        <w:rPr>
          <w:rFonts w:ascii="Arial" w:hAnsi="Arial" w:cs="Arial"/>
          <w:color w:val="000000" w:themeColor="text1"/>
          <w:sz w:val="22"/>
          <w:lang w:val="es-ES_tradnl"/>
        </w:rPr>
      </w:pPr>
      <w:r w:rsidRPr="00CE5D83">
        <w:rPr>
          <w:rFonts w:ascii="Arial" w:hAnsi="Arial" w:cs="Arial"/>
          <w:color w:val="000000" w:themeColor="text1"/>
          <w:sz w:val="22"/>
          <w:lang w:val="es-ES_tradnl"/>
        </w:rPr>
        <w:t>Es necesario indagar si los requisitos habilitantes establecidos en el artículo 5, numeral 1, de la Ley 1150 de 2007, tienen la característica de taxativos, esto es, si son los únicos requisitos habilitantes que puede exigirles una entidad a los proponentes. Esta pregunta tiene, al menos, dos respuestas posibles. Por un lado, que sí lo son, pues la norma no hace referencia a otros diferentes. Por el otro, que no lo son, pues esta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r w:rsidRPr="00CE5D83">
        <w:rPr>
          <w:rFonts w:ascii="Arial" w:hAnsi="Arial" w:cs="Arial"/>
          <w:color w:val="000000" w:themeColor="text1"/>
          <w:sz w:val="22"/>
          <w:vertAlign w:val="superscript"/>
          <w:lang w:val="es-ES_tradnl"/>
        </w:rPr>
        <w:footnoteReference w:id="5"/>
      </w:r>
      <w:r w:rsidRPr="00CE5D83">
        <w:rPr>
          <w:rFonts w:ascii="Arial" w:hAnsi="Arial" w:cs="Arial"/>
          <w:color w:val="000000" w:themeColor="text1"/>
          <w:sz w:val="22"/>
          <w:lang w:val="es-ES_tradnl"/>
        </w:rPr>
        <w:t xml:space="preserve">. Esta segunda respuesta contiene la interpretación jurídica que comparte la Agencia Nacional de Contratación Pública. </w:t>
      </w:r>
    </w:p>
    <w:p w14:paraId="1B59CC6A" w14:textId="77777777" w:rsidR="007039AC" w:rsidRPr="00CE5D83" w:rsidRDefault="007039AC" w:rsidP="007039AC">
      <w:pPr>
        <w:spacing w:before="120" w:line="276" w:lineRule="auto"/>
        <w:ind w:firstLine="709"/>
        <w:jc w:val="both"/>
        <w:rPr>
          <w:rFonts w:ascii="Arial" w:hAnsi="Arial" w:cs="Arial"/>
          <w:color w:val="000000" w:themeColor="text1"/>
          <w:sz w:val="22"/>
          <w:lang w:val="es-ES_tradnl"/>
        </w:rPr>
      </w:pPr>
      <w:r w:rsidRPr="00CE5D83">
        <w:rPr>
          <w:rFonts w:ascii="Arial" w:hAnsi="Arial" w:cs="Arial"/>
          <w:color w:val="000000" w:themeColor="text1"/>
          <w:sz w:val="22"/>
          <w:lang w:val="es-ES_tradnl"/>
        </w:rPr>
        <w:lastRenderedPageBreak/>
        <w:t>Existen otros argumentos que sustentan dicha elección interpretativa. Como lo han considerado la Corte Constitucional</w:t>
      </w:r>
      <w:r w:rsidRPr="00CE5D83">
        <w:rPr>
          <w:rFonts w:ascii="Arial" w:hAnsi="Arial" w:cs="Arial"/>
          <w:color w:val="000000" w:themeColor="text1"/>
          <w:sz w:val="22"/>
          <w:vertAlign w:val="superscript"/>
          <w:lang w:val="es-ES_tradnl"/>
        </w:rPr>
        <w:footnoteReference w:id="6"/>
      </w:r>
      <w:r w:rsidRPr="00CE5D83">
        <w:rPr>
          <w:rFonts w:ascii="Arial" w:hAnsi="Arial" w:cs="Arial"/>
          <w:color w:val="000000" w:themeColor="text1"/>
          <w:sz w:val="22"/>
          <w:lang w:val="es-ES_tradnl"/>
        </w:rPr>
        <w:t xml:space="preserve"> y el Consejo de Estado</w:t>
      </w:r>
      <w:r w:rsidRPr="00CE5D83">
        <w:rPr>
          <w:rFonts w:ascii="Arial" w:hAnsi="Arial" w:cs="Arial"/>
          <w:color w:val="000000" w:themeColor="text1"/>
          <w:sz w:val="22"/>
          <w:vertAlign w:val="superscript"/>
          <w:lang w:val="es-ES_tradnl"/>
        </w:rPr>
        <w:footnoteReference w:id="7"/>
      </w:r>
      <w:r w:rsidRPr="00CE5D83">
        <w:rPr>
          <w:rFonts w:ascii="Arial" w:hAnsi="Arial" w:cs="Arial"/>
          <w:color w:val="000000" w:themeColor="text1"/>
          <w:sz w:val="22"/>
          <w:lang w:val="es-ES_tradnl"/>
        </w:rPr>
        <w:t>, en virtud del «principio del efecto útil», el texto de una norma debe ser interpretado de manera que todo cuanto ella prescribe produzca consecuencias jurídicas. En ese contexto, surge la inquietud en relación con los efectos del parágrafo 2 del mismo artículo 5 de la Ley 1150 de 2007, pues si la intención del legislador era que solo fueran requisitos habilitantes los cuatro que contiene el numeral 1 de dicha disposición, ¿cómo se explica que el referido parágrafo aclare que «</w:t>
      </w:r>
      <w:r w:rsidRPr="00CE5D83">
        <w:rPr>
          <w:rFonts w:ascii="Arial" w:hAnsi="Arial" w:cs="Arial"/>
          <w:color w:val="000000" w:themeColor="text1"/>
          <w:lang w:val="es-ES_tradnl"/>
        </w:rPr>
        <w:t>l</w:t>
      </w:r>
      <w:r w:rsidRPr="00CE5D83">
        <w:rPr>
          <w:rFonts w:ascii="Arial" w:hAnsi="Arial" w:cs="Arial"/>
          <w:color w:val="000000" w:themeColor="text1"/>
          <w:sz w:val="22"/>
          <w:lang w:val="es-ES_tradnl"/>
        </w:rPr>
        <w:t xml:space="preserve">as certificaciones de sistemas de gestión de calidad no serán objeto de calificación, ni podrán establecerse como documento habilitante para participar en licitaciones o concursos»? Si se interpreta que solo son cuatro los requisitos habilitantes, el parágrafo 2 carecería de efectos jurídicos y, por ende, no tendría ninguna consecuencia normativa que en el mismo artículo se aclare que una exigencia no puede ser considera como requisito habilitante. </w:t>
      </w:r>
    </w:p>
    <w:p w14:paraId="5F03BE0C" w14:textId="6BAB9235" w:rsidR="007039AC" w:rsidRPr="00CE5D83" w:rsidRDefault="007039AC" w:rsidP="007039AC">
      <w:pPr>
        <w:spacing w:before="120" w:line="276" w:lineRule="auto"/>
        <w:ind w:firstLine="709"/>
        <w:jc w:val="both"/>
        <w:rPr>
          <w:rFonts w:ascii="Arial" w:hAnsi="Arial" w:cs="Arial"/>
          <w:color w:val="000000" w:themeColor="text1"/>
          <w:sz w:val="22"/>
          <w:lang w:val="es-ES_tradnl"/>
        </w:rPr>
      </w:pPr>
      <w:r w:rsidRPr="00CE5D83">
        <w:rPr>
          <w:rFonts w:ascii="Arial" w:hAnsi="Arial" w:cs="Arial"/>
          <w:color w:val="000000" w:themeColor="text1"/>
          <w:sz w:val="22"/>
          <w:lang w:val="es-ES_tradnl"/>
        </w:rPr>
        <w:t xml:space="preserve">La intención del legislador, de la cual dan cuenta los antecedentes legislativos de la norma </w:t>
      </w:r>
      <w:r w:rsidRPr="00CE5D83">
        <w:rPr>
          <w:rFonts w:ascii="Arial" w:hAnsi="Arial" w:cs="Arial"/>
          <w:i/>
          <w:iCs/>
          <w:color w:val="000000" w:themeColor="text1"/>
          <w:sz w:val="22"/>
          <w:lang w:val="es-ES_tradnl"/>
        </w:rPr>
        <w:t>sub examine</w:t>
      </w:r>
      <w:r w:rsidRPr="00CE5D83">
        <w:rPr>
          <w:rFonts w:ascii="Arial" w:hAnsi="Arial" w:cs="Arial"/>
          <w:color w:val="000000" w:themeColor="text1"/>
          <w:sz w:val="22"/>
          <w:lang w:val="es-ES_tradnl"/>
        </w:rPr>
        <w:t>, también justifica la interpretación propuesta por esta Agencia, ya que fue hasta el cuarto debate legislativo en donde se incluyó el parágrafo comentado anteriormente</w:t>
      </w:r>
      <w:r w:rsidRPr="00CE5D83">
        <w:rPr>
          <w:rFonts w:ascii="Arial" w:hAnsi="Arial" w:cs="Arial"/>
          <w:color w:val="000000" w:themeColor="text1"/>
          <w:sz w:val="22"/>
          <w:vertAlign w:val="superscript"/>
          <w:lang w:val="es-ES_tradnl"/>
        </w:rPr>
        <w:footnoteReference w:id="8"/>
      </w:r>
      <w:r w:rsidRPr="00CE5D83">
        <w:rPr>
          <w:rFonts w:ascii="Arial" w:hAnsi="Arial" w:cs="Arial"/>
          <w:color w:val="000000" w:themeColor="text1"/>
          <w:sz w:val="22"/>
          <w:lang w:val="es-ES_tradnl"/>
        </w:rPr>
        <w:t>, lo que deja ver la necesidad que tenía el Congreso de aclarar que unos documentos no podrían ser tenidos como requisitos habilitantes, lo que da cuenta, a su vez, del reconocimiento tácito de la existencia de otros requisitos habilitantes, distintos a los cuatro que establece el artículo 5, parágrafo 1, de la Ley 1150 de 2007</w:t>
      </w:r>
      <w:r w:rsidR="00533EDC">
        <w:rPr>
          <w:rFonts w:ascii="Arial" w:hAnsi="Arial" w:cs="Arial"/>
          <w:color w:val="000000" w:themeColor="text1"/>
          <w:sz w:val="22"/>
          <w:lang w:val="es-ES_tradnl"/>
        </w:rPr>
        <w:t>, reglamentados en el artículo</w:t>
      </w:r>
      <w:r w:rsidR="00DB06A8">
        <w:rPr>
          <w:rFonts w:ascii="Arial" w:hAnsi="Arial" w:cs="Arial"/>
          <w:color w:val="000000" w:themeColor="text1"/>
          <w:sz w:val="22"/>
          <w:lang w:val="es-ES_tradnl"/>
        </w:rPr>
        <w:t xml:space="preserve"> </w:t>
      </w:r>
      <w:r w:rsidR="00DB06A8" w:rsidRPr="00DB06A8">
        <w:rPr>
          <w:rFonts w:ascii="Arial" w:hAnsi="Arial" w:cs="Arial"/>
          <w:color w:val="000000" w:themeColor="text1"/>
          <w:sz w:val="22"/>
          <w:lang w:val="es-ES_tradnl"/>
        </w:rPr>
        <w:t>2.2.1.1.1.5.3</w:t>
      </w:r>
      <w:r w:rsidR="00DB06A8">
        <w:rPr>
          <w:rFonts w:ascii="Arial" w:hAnsi="Arial" w:cs="Arial"/>
          <w:color w:val="000000" w:themeColor="text1"/>
          <w:sz w:val="22"/>
          <w:lang w:val="es-ES_tradnl"/>
        </w:rPr>
        <w:t xml:space="preserve"> del Decreto 1082 de 2015</w:t>
      </w:r>
      <w:r w:rsidR="00DB06A8">
        <w:rPr>
          <w:rStyle w:val="Refdenotaalpie"/>
          <w:rFonts w:ascii="Arial" w:hAnsi="Arial" w:cs="Arial"/>
          <w:color w:val="000000" w:themeColor="text1"/>
          <w:sz w:val="22"/>
          <w:lang w:val="es-ES_tradnl"/>
        </w:rPr>
        <w:footnoteReference w:id="9"/>
      </w:r>
      <w:r w:rsidR="00DB06A8">
        <w:rPr>
          <w:rFonts w:ascii="Arial" w:hAnsi="Arial" w:cs="Arial"/>
          <w:color w:val="000000" w:themeColor="text1"/>
          <w:sz w:val="22"/>
          <w:lang w:val="es-ES_tradnl"/>
        </w:rPr>
        <w:t>.</w:t>
      </w:r>
    </w:p>
    <w:p w14:paraId="2D9EAD66" w14:textId="77777777" w:rsidR="007039AC" w:rsidRPr="00CE5D83" w:rsidRDefault="007039AC" w:rsidP="007039AC">
      <w:pPr>
        <w:spacing w:before="120" w:line="276" w:lineRule="auto"/>
        <w:ind w:firstLine="709"/>
        <w:jc w:val="both"/>
        <w:rPr>
          <w:rFonts w:ascii="Arial" w:hAnsi="Arial" w:cs="Arial"/>
          <w:color w:val="000000" w:themeColor="text1"/>
          <w:sz w:val="22"/>
          <w:lang w:val="es-ES_tradnl"/>
        </w:rPr>
      </w:pPr>
      <w:r w:rsidRPr="00CE5D83">
        <w:rPr>
          <w:rFonts w:ascii="Arial" w:hAnsi="Arial" w:cs="Arial"/>
          <w:color w:val="000000" w:themeColor="text1"/>
          <w:sz w:val="22"/>
          <w:lang w:val="es-ES_tradnl"/>
        </w:rPr>
        <w:lastRenderedPageBreak/>
        <w:t xml:space="preserve">Por otro lado, en el referido «Manual para determinar y verificar los requisitos habilitantes en los Procesos de Contratación» se determinaron los parámetros para </w:t>
      </w:r>
      <w:r w:rsidRPr="00CE5D83">
        <w:rPr>
          <w:rFonts w:ascii="Arial" w:hAnsi="Arial" w:cs="Arial"/>
          <w:i/>
          <w:iCs/>
          <w:color w:val="000000" w:themeColor="text1"/>
          <w:sz w:val="22"/>
          <w:lang w:val="es-ES_tradnl"/>
        </w:rPr>
        <w:t>establecer</w:t>
      </w:r>
      <w:r w:rsidRPr="00CE5D83">
        <w:rPr>
          <w:rFonts w:ascii="Arial" w:hAnsi="Arial" w:cs="Arial"/>
          <w:color w:val="000000" w:themeColor="text1"/>
          <w:sz w:val="22"/>
          <w:lang w:val="es-ES_tradnl"/>
        </w:rPr>
        <w:t xml:space="preserve">, </w:t>
      </w:r>
      <w:r w:rsidRPr="00CE5D83">
        <w:rPr>
          <w:rFonts w:ascii="Arial" w:hAnsi="Arial" w:cs="Arial"/>
          <w:i/>
          <w:iCs/>
          <w:color w:val="000000" w:themeColor="text1"/>
          <w:sz w:val="22"/>
          <w:lang w:val="es-ES_tradnl"/>
        </w:rPr>
        <w:t>acreditar</w:t>
      </w:r>
      <w:r w:rsidRPr="00CE5D83">
        <w:rPr>
          <w:rFonts w:ascii="Arial" w:hAnsi="Arial" w:cs="Arial"/>
          <w:color w:val="000000" w:themeColor="text1"/>
          <w:sz w:val="22"/>
          <w:lang w:val="es-ES_tradnl"/>
        </w:rPr>
        <w:t xml:space="preserve"> y </w:t>
      </w:r>
      <w:r w:rsidRPr="00CE5D83">
        <w:rPr>
          <w:rFonts w:ascii="Arial" w:hAnsi="Arial" w:cs="Arial"/>
          <w:i/>
          <w:iCs/>
          <w:color w:val="000000" w:themeColor="text1"/>
          <w:sz w:val="22"/>
          <w:lang w:val="es-ES_tradnl"/>
        </w:rPr>
        <w:t>subsanar</w:t>
      </w:r>
      <w:r w:rsidRPr="00CE5D83">
        <w:rPr>
          <w:rFonts w:ascii="Arial" w:hAnsi="Arial" w:cs="Arial"/>
          <w:color w:val="000000" w:themeColor="text1"/>
          <w:sz w:val="22"/>
          <w:lang w:val="es-ES_tradnl"/>
        </w:rPr>
        <w:t xml:space="preserve"> los requisitos habilitantes estudiados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3B6EF021" w14:textId="259D8A96" w:rsidR="007039AC" w:rsidRPr="00CE5D83" w:rsidRDefault="007039AC" w:rsidP="007039AC">
      <w:pPr>
        <w:spacing w:before="120" w:after="120" w:line="276" w:lineRule="auto"/>
        <w:ind w:firstLine="709"/>
        <w:jc w:val="both"/>
        <w:rPr>
          <w:rFonts w:ascii="Arial" w:hAnsi="Arial" w:cs="Arial"/>
          <w:color w:val="000000" w:themeColor="text1"/>
          <w:sz w:val="22"/>
          <w:lang w:val="es-ES_tradnl"/>
        </w:rPr>
      </w:pPr>
      <w:r w:rsidRPr="00CE5D83">
        <w:rPr>
          <w:rFonts w:ascii="Arial" w:hAnsi="Arial" w:cs="Arial"/>
          <w:color w:val="000000" w:themeColor="text1"/>
          <w:sz w:val="22"/>
          <w:lang w:val="es-ES_tradnl"/>
        </w:rPr>
        <w:t xml:space="preserve">En consecuencia, corresponde a las entidades estatales, durante la etapa de planeación del contrato estatal, estudiar y </w:t>
      </w:r>
      <w:r w:rsidRPr="00CE5D83">
        <w:rPr>
          <w:rFonts w:ascii="Arial" w:hAnsi="Arial" w:cs="Arial"/>
          <w:bCs/>
          <w:iCs/>
          <w:color w:val="000000" w:themeColor="text1"/>
          <w:sz w:val="22"/>
          <w:lang w:val="es-ES_tradnl"/>
        </w:rPr>
        <w:t>determinar</w:t>
      </w:r>
      <w:r w:rsidRPr="00CE5D83">
        <w:rPr>
          <w:rFonts w:ascii="Arial" w:hAnsi="Arial" w:cs="Arial"/>
          <w:color w:val="000000" w:themeColor="text1"/>
          <w:sz w:val="22"/>
          <w:lang w:val="es-ES_tradnl"/>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CE5D83">
        <w:rPr>
          <w:rFonts w:ascii="Arial" w:hAnsi="Arial" w:cs="Arial"/>
          <w:i/>
          <w:iCs/>
          <w:color w:val="000000" w:themeColor="text1"/>
          <w:sz w:val="22"/>
          <w:lang w:val="es-ES_tradnl"/>
        </w:rPr>
        <w:t>riesgos</w:t>
      </w:r>
      <w:r w:rsidRPr="00CE5D83">
        <w:rPr>
          <w:rFonts w:ascii="Arial" w:hAnsi="Arial" w:cs="Arial"/>
          <w:color w:val="000000" w:themeColor="text1"/>
          <w:sz w:val="22"/>
          <w:lang w:val="es-ES_tradnl"/>
        </w:rPr>
        <w:t xml:space="preserve"> </w:t>
      </w:r>
      <w:r w:rsidRPr="00CE5D83">
        <w:rPr>
          <w:rFonts w:ascii="Arial" w:hAnsi="Arial" w:cs="Arial"/>
          <w:i/>
          <w:iCs/>
          <w:color w:val="000000" w:themeColor="text1"/>
          <w:sz w:val="22"/>
          <w:lang w:val="es-ES_tradnl"/>
        </w:rPr>
        <w:t>asociados al contrato</w:t>
      </w:r>
      <w:r w:rsidRPr="00CE5D83">
        <w:rPr>
          <w:rFonts w:ascii="Arial" w:hAnsi="Arial" w:cs="Arial"/>
          <w:color w:val="000000" w:themeColor="text1"/>
          <w:sz w:val="22"/>
          <w:lang w:val="es-ES_tradnl"/>
        </w:rPr>
        <w:t>, el plazo y la complejidad de ejecución del objeto</w:t>
      </w:r>
      <w:r w:rsidR="0001523C">
        <w:rPr>
          <w:rStyle w:val="Refdenotaalpie"/>
          <w:rFonts w:ascii="Arial" w:hAnsi="Arial" w:cs="Arial"/>
          <w:b/>
          <w:sz w:val="22"/>
          <w:szCs w:val="22"/>
          <w:lang w:val="es-ES" w:eastAsia="es-ES_tradnl"/>
        </w:rPr>
        <w:footnoteReference w:id="10"/>
      </w:r>
      <w:r w:rsidRPr="00CE5D83">
        <w:rPr>
          <w:rFonts w:ascii="Arial" w:hAnsi="Arial" w:cs="Arial"/>
          <w:color w:val="000000" w:themeColor="text1"/>
          <w:sz w:val="22"/>
          <w:lang w:val="es-ES_tradnl"/>
        </w:rPr>
        <w:t xml:space="preserve">. Todo porque la facultad de establecer los requisitos habilitantes no puede </w:t>
      </w:r>
      <w:r w:rsidRPr="00CE5D83">
        <w:rPr>
          <w:rFonts w:ascii="Arial" w:hAnsi="Arial" w:cs="Arial"/>
          <w:color w:val="000000" w:themeColor="text1"/>
          <w:sz w:val="22"/>
          <w:lang w:val="es-ES_tradnl"/>
        </w:rPr>
        <w:lastRenderedPageBreak/>
        <w:t xml:space="preserve">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 </w:t>
      </w:r>
    </w:p>
    <w:p w14:paraId="29FF062B" w14:textId="77777777" w:rsidR="007039AC" w:rsidRPr="00CE5D83" w:rsidRDefault="007039AC" w:rsidP="007039AC">
      <w:pPr>
        <w:spacing w:before="120" w:after="120" w:line="276" w:lineRule="auto"/>
        <w:ind w:firstLine="709"/>
        <w:jc w:val="both"/>
        <w:rPr>
          <w:rFonts w:ascii="Arial" w:hAnsi="Arial" w:cs="Arial"/>
          <w:color w:val="000000" w:themeColor="text1"/>
          <w:sz w:val="22"/>
          <w:lang w:val="es-ES_tradnl"/>
        </w:rPr>
      </w:pPr>
      <w:r w:rsidRPr="00CE5D83">
        <w:rPr>
          <w:rFonts w:ascii="Arial" w:hAnsi="Arial" w:cs="Arial"/>
          <w:color w:val="000000" w:themeColor="text1"/>
          <w:sz w:val="22"/>
          <w:lang w:val="es-ES_tradnl"/>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379C73D7" w14:textId="53B16D2E" w:rsidR="007039AC" w:rsidRDefault="007039AC" w:rsidP="007039AC">
      <w:pPr>
        <w:spacing w:before="120" w:after="120" w:line="276" w:lineRule="auto"/>
        <w:ind w:firstLine="709"/>
        <w:jc w:val="both"/>
        <w:rPr>
          <w:rFonts w:ascii="Arial" w:hAnsi="Arial" w:cs="Arial"/>
          <w:color w:val="000000" w:themeColor="text1"/>
          <w:sz w:val="22"/>
          <w:lang w:val="es-ES_tradnl"/>
        </w:rPr>
      </w:pPr>
      <w:r w:rsidRPr="00CE5D83">
        <w:rPr>
          <w:rFonts w:ascii="Arial" w:hAnsi="Arial" w:cs="Arial"/>
          <w:color w:val="000000" w:themeColor="text1"/>
          <w:sz w:val="22"/>
          <w:lang w:val="es-ES_tradnl"/>
        </w:rPr>
        <w:t xml:space="preserve">El </w:t>
      </w:r>
      <w:r w:rsidRPr="00CE5D83">
        <w:rPr>
          <w:rFonts w:ascii="Arial" w:hAnsi="Arial" w:cs="Arial"/>
          <w:i/>
          <w:iCs/>
          <w:color w:val="000000" w:themeColor="text1"/>
          <w:sz w:val="22"/>
          <w:lang w:val="es-ES_tradnl"/>
        </w:rPr>
        <w:t>principio de autonomía de la voluntad</w:t>
      </w:r>
      <w:r w:rsidRPr="00CE5D83">
        <w:rPr>
          <w:rFonts w:ascii="Arial" w:hAnsi="Arial" w:cs="Arial"/>
          <w:color w:val="000000" w:themeColor="text1"/>
          <w:sz w:val="22"/>
          <w:lang w:val="es-ES_tradnl"/>
        </w:rPr>
        <w:t xml:space="preserve">,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w:t>
      </w:r>
      <w:proofErr w:type="gramStart"/>
      <w:r w:rsidRPr="00CE5D83">
        <w:rPr>
          <w:rFonts w:ascii="Arial" w:hAnsi="Arial" w:cs="Arial"/>
          <w:color w:val="000000" w:themeColor="text1"/>
          <w:sz w:val="22"/>
          <w:lang w:val="es-ES_tradnl"/>
        </w:rPr>
        <w:t>que</w:t>
      </w:r>
      <w:proofErr w:type="gramEnd"/>
      <w:r w:rsidRPr="00CE5D83">
        <w:rPr>
          <w:rFonts w:ascii="Arial" w:hAnsi="Arial" w:cs="Arial"/>
          <w:color w:val="000000" w:themeColor="text1"/>
          <w:sz w:val="22"/>
          <w:lang w:val="es-ES_tradnl"/>
        </w:rPr>
        <w:t xml:space="preserv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18AF370F" w14:textId="04E8E4E6" w:rsidR="00A81B31" w:rsidRPr="00CE5D83" w:rsidRDefault="00A81B31" w:rsidP="00A81B31">
      <w:pPr>
        <w:spacing w:before="120" w:line="276" w:lineRule="auto"/>
        <w:ind w:firstLine="709"/>
        <w:jc w:val="both"/>
        <w:rPr>
          <w:rFonts w:ascii="Arial" w:eastAsia="Calibri" w:hAnsi="Arial" w:cs="Arial"/>
          <w:color w:val="000000" w:themeColor="text1"/>
          <w:sz w:val="22"/>
          <w:lang w:val="es-ES_tradnl"/>
        </w:rPr>
      </w:pPr>
      <w:r w:rsidRPr="00CE5D83">
        <w:rPr>
          <w:rFonts w:ascii="Arial" w:eastAsia="Calibri" w:hAnsi="Arial" w:cs="Arial"/>
          <w:color w:val="000000" w:themeColor="text1"/>
          <w:sz w:val="22"/>
          <w:lang w:val="es-ES_tradnl"/>
        </w:rPr>
        <w:t xml:space="preserve">Considerando la discrecionalidad para establecer requisitos habilitantes, es necesario tener en cuenta que </w:t>
      </w:r>
      <w:r w:rsidRPr="00CE5D83">
        <w:rPr>
          <w:rFonts w:ascii="Arial" w:eastAsia="Calibri" w:hAnsi="Arial" w:cs="Arial"/>
          <w:sz w:val="22"/>
        </w:rPr>
        <w:t xml:space="preserve">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w:t>
      </w:r>
      <w:r w:rsidR="005C6BBE">
        <w:rPr>
          <w:rFonts w:ascii="Arial" w:eastAsia="Calibri" w:hAnsi="Arial" w:cs="Arial"/>
          <w:sz w:val="22"/>
        </w:rPr>
        <w:t>Dado lo anterior, para</w:t>
      </w:r>
      <w:r w:rsidRPr="00CE5D83">
        <w:rPr>
          <w:rFonts w:ascii="Arial" w:eastAsia="Calibri" w:hAnsi="Arial" w:cs="Arial"/>
          <w:sz w:val="22"/>
        </w:rPr>
        <w:t xml:space="preserve"> efectos </w:t>
      </w:r>
      <w:r>
        <w:rPr>
          <w:rFonts w:ascii="Arial" w:eastAsia="Calibri" w:hAnsi="Arial" w:cs="Arial"/>
          <w:sz w:val="22"/>
        </w:rPr>
        <w:t xml:space="preserve">de </w:t>
      </w:r>
      <w:r w:rsidR="005C6BBE">
        <w:rPr>
          <w:rFonts w:ascii="Arial" w:eastAsia="Calibri" w:hAnsi="Arial" w:cs="Arial"/>
          <w:sz w:val="22"/>
        </w:rPr>
        <w:t xml:space="preserve">configurar requisitos habilitantes como el sugerido en la consulta, la entidad </w:t>
      </w:r>
      <w:r w:rsidRPr="00CE5D83">
        <w:rPr>
          <w:rFonts w:ascii="Arial" w:eastAsia="Calibri" w:hAnsi="Arial" w:cs="Arial"/>
          <w:sz w:val="22"/>
        </w:rPr>
        <w:t xml:space="preserve">la carga justificativa de la entidad </w:t>
      </w:r>
      <w:r w:rsidRPr="00CE5D83">
        <w:rPr>
          <w:rFonts w:ascii="Arial" w:eastAsia="Calibri" w:hAnsi="Arial" w:cs="Arial"/>
          <w:sz w:val="22"/>
        </w:rPr>
        <w:lastRenderedPageBreak/>
        <w:t>en los estudios previos</w:t>
      </w:r>
      <w:r w:rsidR="00DB06A8">
        <w:rPr>
          <w:rFonts w:ascii="Arial" w:eastAsia="Calibri" w:hAnsi="Arial" w:cs="Arial"/>
          <w:sz w:val="22"/>
        </w:rPr>
        <w:t xml:space="preserve"> y análisis del sector</w:t>
      </w:r>
      <w:r w:rsidRPr="00CE5D83">
        <w:rPr>
          <w:rFonts w:ascii="Arial" w:eastAsia="Calibri" w:hAnsi="Arial" w:cs="Arial"/>
          <w:sz w:val="22"/>
        </w:rPr>
        <w:t xml:space="preserve"> del proceso de selección</w:t>
      </w:r>
      <w:r w:rsidR="008A7D7A">
        <w:rPr>
          <w:rFonts w:ascii="Arial" w:eastAsia="Calibri" w:hAnsi="Arial" w:cs="Arial"/>
          <w:sz w:val="22"/>
        </w:rPr>
        <w:t>, de conformidad con el artículo</w:t>
      </w:r>
      <w:r w:rsidRPr="00CE5D83">
        <w:rPr>
          <w:rFonts w:ascii="Arial" w:eastAsia="Calibri" w:hAnsi="Arial" w:cs="Arial"/>
          <w:color w:val="000000" w:themeColor="text1"/>
          <w:sz w:val="22"/>
          <w:lang w:val="es-ES_tradnl"/>
        </w:rPr>
        <w:t xml:space="preserve"> </w:t>
      </w:r>
      <w:r w:rsidR="006929FC" w:rsidRPr="006929FC">
        <w:rPr>
          <w:rFonts w:ascii="Arial" w:eastAsia="Calibri" w:hAnsi="Arial" w:cs="Arial"/>
          <w:color w:val="000000" w:themeColor="text1"/>
          <w:sz w:val="22"/>
          <w:lang w:val="es-ES_tradnl"/>
        </w:rPr>
        <w:t>2.2.1.1.1.6.2</w:t>
      </w:r>
      <w:r w:rsidR="006929FC">
        <w:rPr>
          <w:rFonts w:ascii="Arial" w:eastAsia="Calibri" w:hAnsi="Arial" w:cs="Arial"/>
          <w:color w:val="000000" w:themeColor="text1"/>
          <w:sz w:val="22"/>
          <w:lang w:val="es-ES_tradnl"/>
        </w:rPr>
        <w:t xml:space="preserve"> del Decreto 1082 de 2015</w:t>
      </w:r>
      <w:r w:rsidR="00DC12B9">
        <w:rPr>
          <w:rFonts w:ascii="Arial" w:eastAsia="Calibri" w:hAnsi="Arial" w:cs="Arial"/>
          <w:color w:val="000000" w:themeColor="text1"/>
          <w:sz w:val="22"/>
          <w:lang w:val="es-ES_tradnl"/>
        </w:rPr>
        <w:t>.</w:t>
      </w:r>
    </w:p>
    <w:p w14:paraId="0814DF3E" w14:textId="77777777" w:rsidR="007039AC" w:rsidRPr="00CE5D83" w:rsidRDefault="007039AC" w:rsidP="007039AC">
      <w:pPr>
        <w:tabs>
          <w:tab w:val="left" w:pos="426"/>
        </w:tabs>
        <w:spacing w:before="120" w:line="276" w:lineRule="auto"/>
        <w:ind w:firstLine="709"/>
        <w:jc w:val="both"/>
        <w:rPr>
          <w:rFonts w:ascii="Arial" w:eastAsia="Calibri" w:hAnsi="Arial" w:cs="Arial"/>
          <w:bCs/>
          <w:sz w:val="22"/>
          <w:lang w:val="es-ES_tradnl"/>
        </w:rPr>
      </w:pPr>
      <w:r w:rsidRPr="00CE5D83">
        <w:rPr>
          <w:rFonts w:ascii="Arial" w:eastAsia="Calibri" w:hAnsi="Arial" w:cs="Arial"/>
          <w:color w:val="000000" w:themeColor="text1"/>
          <w:sz w:val="22"/>
          <w:lang w:val="es-ES_tradnl"/>
        </w:rPr>
        <w:t xml:space="preserve">Como conclusión de lo anterior, puede decirse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en cada proceso contractual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 </w:t>
      </w:r>
    </w:p>
    <w:p w14:paraId="794106BE" w14:textId="77777777" w:rsidR="00DF3130" w:rsidRPr="00564571" w:rsidRDefault="00DF3130" w:rsidP="00DF3130">
      <w:pPr>
        <w:spacing w:line="276" w:lineRule="auto"/>
        <w:ind w:firstLine="709"/>
        <w:contextualSpacing/>
        <w:jc w:val="both"/>
        <w:rPr>
          <w:rFonts w:ascii="Arial" w:hAnsi="Arial" w:cs="Arial"/>
          <w:sz w:val="22"/>
          <w:szCs w:val="22"/>
        </w:rPr>
      </w:pPr>
    </w:p>
    <w:p w14:paraId="4EACAE58" w14:textId="77777777" w:rsidR="00DF3130" w:rsidRPr="00564571" w:rsidRDefault="00DF3130" w:rsidP="00DF3130">
      <w:pPr>
        <w:tabs>
          <w:tab w:val="left" w:pos="709"/>
        </w:tabs>
        <w:spacing w:line="276" w:lineRule="auto"/>
        <w:contextualSpacing/>
        <w:jc w:val="both"/>
        <w:rPr>
          <w:rFonts w:ascii="Arial" w:eastAsia="Calibri" w:hAnsi="Arial" w:cs="Arial"/>
          <w:b/>
          <w:sz w:val="22"/>
          <w:szCs w:val="22"/>
          <w:lang w:val="es-ES"/>
        </w:rPr>
      </w:pPr>
      <w:r w:rsidRPr="00564571">
        <w:rPr>
          <w:rFonts w:ascii="Arial" w:eastAsia="Calibri" w:hAnsi="Arial" w:cs="Arial"/>
          <w:b/>
          <w:sz w:val="22"/>
          <w:szCs w:val="22"/>
          <w:lang w:val="es-ES"/>
        </w:rPr>
        <w:t>3. Respuesta</w:t>
      </w:r>
    </w:p>
    <w:p w14:paraId="51A9419B" w14:textId="77777777" w:rsidR="00DF3130" w:rsidRPr="00564571" w:rsidRDefault="00DF3130" w:rsidP="00DF3130">
      <w:pPr>
        <w:ind w:right="709"/>
        <w:contextualSpacing/>
        <w:jc w:val="both"/>
        <w:rPr>
          <w:rFonts w:ascii="Arial" w:eastAsia="Calibri" w:hAnsi="Arial" w:cs="Arial"/>
          <w:sz w:val="22"/>
          <w:szCs w:val="22"/>
          <w:lang w:val="es-ES_tradnl"/>
        </w:rPr>
      </w:pPr>
    </w:p>
    <w:p w14:paraId="3D1EF1AA" w14:textId="30C03E4A" w:rsidR="00DC12B9" w:rsidRPr="00564571" w:rsidRDefault="00425CA0" w:rsidP="00425CA0">
      <w:pPr>
        <w:pStyle w:val="gmail-msonospacing"/>
        <w:spacing w:before="0" w:beforeAutospacing="0" w:after="0" w:afterAutospacing="0"/>
        <w:ind w:left="708" w:right="900"/>
        <w:jc w:val="both"/>
        <w:rPr>
          <w:rFonts w:ascii="Arial" w:eastAsia="Calibri" w:hAnsi="Arial" w:cs="Arial"/>
        </w:rPr>
      </w:pPr>
      <w:r w:rsidRPr="00564571">
        <w:rPr>
          <w:rFonts w:ascii="Arial" w:hAnsi="Arial" w:cs="Arial"/>
          <w:sz w:val="21"/>
          <w:szCs w:val="21"/>
        </w:rPr>
        <w:t>«</w:t>
      </w:r>
      <w:r w:rsidRPr="00564571">
        <w:rPr>
          <w:rFonts w:ascii="Arial" w:hAnsi="Arial" w:cs="Arial"/>
          <w:sz w:val="21"/>
          <w:szCs w:val="21"/>
          <w:lang w:val="es-MX"/>
        </w:rPr>
        <w:t>Los entes territoriales pueden solicitar un mínimo de años de inscripción del RUP como requisito para que una empresa pueda presentarse en un proceso de contratación pública?</w:t>
      </w:r>
      <w:r w:rsidRPr="00564571">
        <w:rPr>
          <w:rFonts w:ascii="Arial" w:hAnsi="Arial" w:cs="Arial"/>
          <w:sz w:val="21"/>
          <w:szCs w:val="21"/>
        </w:rPr>
        <w:t xml:space="preserve">». </w:t>
      </w:r>
    </w:p>
    <w:p w14:paraId="3D33EA73" w14:textId="77777777" w:rsidR="00DC12B9" w:rsidRPr="00DC12B9" w:rsidRDefault="00DC12B9" w:rsidP="001A4790">
      <w:pPr>
        <w:pStyle w:val="gmail-msonospacing"/>
        <w:spacing w:before="0" w:beforeAutospacing="0" w:after="0" w:afterAutospacing="0" w:line="276" w:lineRule="auto"/>
        <w:ind w:left="708" w:right="900"/>
        <w:jc w:val="both"/>
        <w:rPr>
          <w:rFonts w:ascii="Arial" w:hAnsi="Arial" w:cs="Arial"/>
        </w:rPr>
      </w:pPr>
    </w:p>
    <w:p w14:paraId="24435EFA" w14:textId="59249C44" w:rsidR="00280012" w:rsidRDefault="00280012" w:rsidP="00280012">
      <w:pPr>
        <w:spacing w:after="120" w:line="276" w:lineRule="auto"/>
        <w:jc w:val="both"/>
        <w:rPr>
          <w:rFonts w:ascii="Arial" w:hAnsi="Arial" w:cs="Arial"/>
          <w:sz w:val="22"/>
          <w:szCs w:val="22"/>
          <w:lang w:eastAsia="es-ES_tradnl"/>
        </w:rPr>
      </w:pPr>
      <w:r w:rsidRPr="00564571">
        <w:rPr>
          <w:rFonts w:ascii="Arial" w:hAnsi="Arial" w:cs="Arial"/>
          <w:sz w:val="22"/>
          <w:szCs w:val="22"/>
        </w:rPr>
        <w:t xml:space="preserve">Conforme lo expuesto, el Registro Único de Proponentes (RUP) es un instrumento en el que consta </w:t>
      </w:r>
      <w:r w:rsidRPr="00564571">
        <w:rPr>
          <w:rFonts w:ascii="Arial" w:hAnsi="Arial" w:cs="Arial"/>
          <w:sz w:val="22"/>
          <w:szCs w:val="22"/>
          <w:lang w:eastAsia="es-ES_tradnl"/>
        </w:rPr>
        <w:t>la información relacionada con las personas naturales y jurídicas, con el fin de que puedan participar en los procedimientos de contratación realizados por las entidades estatales. Tiene por objeto contemplar en un único documento lo relativo a</w:t>
      </w:r>
      <w:r w:rsidR="00FE3D56">
        <w:rPr>
          <w:rFonts w:ascii="Arial" w:hAnsi="Arial" w:cs="Arial"/>
          <w:sz w:val="22"/>
          <w:szCs w:val="22"/>
          <w:lang w:eastAsia="es-ES_tradnl"/>
        </w:rPr>
        <w:t xml:space="preserve"> acreditación de</w:t>
      </w:r>
      <w:r w:rsidRPr="00564571">
        <w:rPr>
          <w:rFonts w:ascii="Arial" w:hAnsi="Arial" w:cs="Arial"/>
          <w:sz w:val="22"/>
          <w:szCs w:val="22"/>
          <w:lang w:eastAsia="es-ES_tradnl"/>
        </w:rPr>
        <w:t xml:space="preserve"> l</w:t>
      </w:r>
      <w:r>
        <w:rPr>
          <w:rFonts w:ascii="Arial" w:hAnsi="Arial" w:cs="Arial"/>
          <w:sz w:val="22"/>
          <w:szCs w:val="22"/>
          <w:lang w:eastAsia="es-ES_tradnl"/>
        </w:rPr>
        <w:t>os requisitos habilitantes de</w:t>
      </w:r>
      <w:r w:rsidRPr="00564571">
        <w:rPr>
          <w:rFonts w:ascii="Arial" w:hAnsi="Arial" w:cs="Arial"/>
          <w:sz w:val="22"/>
          <w:szCs w:val="22"/>
          <w:lang w:eastAsia="es-ES_tradnl"/>
        </w:rPr>
        <w:t xml:space="preserve"> capacidad jurídica, técnica, financiera y organizacional de los posibles proponentes</w:t>
      </w:r>
      <w:r w:rsidR="00D26529">
        <w:rPr>
          <w:rFonts w:ascii="Arial" w:hAnsi="Arial" w:cs="Arial"/>
          <w:sz w:val="22"/>
          <w:szCs w:val="22"/>
          <w:lang w:eastAsia="es-ES_tradnl"/>
        </w:rPr>
        <w:t>.</w:t>
      </w:r>
    </w:p>
    <w:p w14:paraId="1009F92F" w14:textId="6B0B8F50" w:rsidR="00D26529" w:rsidRPr="00564571" w:rsidRDefault="00D26529" w:rsidP="00D26529">
      <w:pPr>
        <w:spacing w:after="120" w:line="276" w:lineRule="auto"/>
        <w:jc w:val="both"/>
        <w:rPr>
          <w:rFonts w:ascii="Arial" w:hAnsi="Arial" w:cs="Arial"/>
          <w:sz w:val="22"/>
          <w:szCs w:val="22"/>
          <w:lang w:eastAsia="es-ES_tradnl"/>
        </w:rPr>
      </w:pPr>
      <w:r>
        <w:rPr>
          <w:rFonts w:ascii="Arial" w:hAnsi="Arial" w:cs="Arial"/>
          <w:sz w:val="22"/>
          <w:szCs w:val="22"/>
          <w:lang w:eastAsia="es-ES_tradnl"/>
        </w:rPr>
        <w:tab/>
      </w:r>
      <w:r w:rsidRPr="00564571">
        <w:rPr>
          <w:rFonts w:ascii="Arial" w:hAnsi="Arial" w:cs="Arial"/>
          <w:sz w:val="22"/>
          <w:szCs w:val="22"/>
          <w:lang w:eastAsia="es-ES_tradnl"/>
        </w:rPr>
        <w:t xml:space="preserve">El artículo 6.1 de la Ley 1150 de 2007 dispone que el RUP es plena prueba de la información que contiene. Por su parte, el artículo 5.1, al fijar los criterios que deben tener en cuenta las entidades estatales para garantizar la selección objetiva, ordena a las Cámaras de Comercio verificar la información suministrada por las personas naturales o jurídicas para la inscripción en el registro. Esta información debe tenerse en cuenta por parte de todas las entidades estatales, dentro de las que se incluyen los entes territoriales, en los procedimientos de contratación en los que es exigible el RUP. De esta forma, la capacidad jurídica y las condiciones de experiencia, capacidad financiera y de organización de los proponentes deberán ser verificadas por ellas exclusivamente a través del RUP, pues, de acuerdo con lo expuesto, este documento es plena prueba de la información financiera, de experiencia y de capacidad acreditada por la persona natural o jurídica. </w:t>
      </w:r>
    </w:p>
    <w:p w14:paraId="304BEC08" w14:textId="652A1645" w:rsidR="00A768B4" w:rsidRPr="001A4790" w:rsidRDefault="00625F16" w:rsidP="001A4790">
      <w:pPr>
        <w:pStyle w:val="gmail-msonospacing"/>
        <w:spacing w:before="0" w:beforeAutospacing="0" w:after="120" w:afterAutospacing="0" w:line="276" w:lineRule="auto"/>
        <w:jc w:val="both"/>
        <w:rPr>
          <w:rFonts w:ascii="Arial" w:hAnsi="Arial" w:cs="Arial"/>
          <w:color w:val="000000"/>
          <w:bdr w:val="none" w:sz="0" w:space="0" w:color="auto" w:frame="1"/>
        </w:rPr>
      </w:pPr>
      <w:r>
        <w:rPr>
          <w:rFonts w:ascii="Arial" w:eastAsia="Times New Roman" w:hAnsi="Arial" w:cs="Arial"/>
          <w:color w:val="000000"/>
          <w:bdr w:val="none" w:sz="0" w:space="0" w:color="auto" w:frame="1"/>
          <w:lang w:eastAsia="es-MX"/>
        </w:rPr>
        <w:tab/>
      </w:r>
      <w:r w:rsidR="0082271C">
        <w:rPr>
          <w:rFonts w:ascii="Arial" w:eastAsia="Times New Roman" w:hAnsi="Arial" w:cs="Arial"/>
          <w:color w:val="000000"/>
          <w:bdr w:val="none" w:sz="0" w:space="0" w:color="auto" w:frame="1"/>
          <w:lang w:eastAsia="es-MX"/>
        </w:rPr>
        <w:t>Sin perjuicio de lo anterior</w:t>
      </w:r>
      <w:r w:rsidR="00A768B4" w:rsidRPr="001A4790">
        <w:rPr>
          <w:rFonts w:ascii="Arial" w:eastAsia="Times New Roman" w:hAnsi="Arial" w:cs="Arial"/>
          <w:color w:val="000000"/>
          <w:bdr w:val="none" w:sz="0" w:space="0" w:color="auto" w:frame="1"/>
          <w:lang w:eastAsia="es-MX"/>
        </w:rPr>
        <w:t xml:space="preserve">, es importante poner de presente </w:t>
      </w:r>
      <w:r w:rsidR="004D3244" w:rsidRPr="004D3244">
        <w:rPr>
          <w:rFonts w:ascii="Arial" w:eastAsia="Times New Roman" w:hAnsi="Arial" w:cs="Arial"/>
          <w:color w:val="000000"/>
          <w:bdr w:val="none" w:sz="0" w:space="0" w:color="auto" w:frame="1"/>
          <w:lang w:eastAsia="es-MX"/>
        </w:rPr>
        <w:t>que,</w:t>
      </w:r>
      <w:r w:rsidR="00A768B4" w:rsidRPr="001A4790">
        <w:rPr>
          <w:rFonts w:ascii="Arial" w:eastAsia="Times New Roman" w:hAnsi="Arial" w:cs="Arial"/>
          <w:color w:val="000000"/>
          <w:bdr w:val="none" w:sz="0" w:space="0" w:color="auto" w:frame="1"/>
          <w:lang w:eastAsia="es-MX"/>
        </w:rPr>
        <w:t xml:space="preserve"> en nuestro ordenamiento jurídico, a efectos de la determinación de los requisitos habilitantes en cada proceso contractual, no existe una configuración taxativa. Por el contrario, las entidades </w:t>
      </w:r>
      <w:r w:rsidR="00A768B4" w:rsidRPr="001A4790">
        <w:rPr>
          <w:rFonts w:ascii="Arial" w:eastAsia="Times New Roman" w:hAnsi="Arial" w:cs="Arial"/>
          <w:color w:val="000000"/>
          <w:bdr w:val="none" w:sz="0" w:space="0" w:color="auto" w:frame="1"/>
          <w:lang w:eastAsia="es-MX"/>
        </w:rPr>
        <w:lastRenderedPageBreak/>
        <w:t xml:space="preserve">estatales, en ejercicio de su autonomía de la voluntad, deben decidir el contenido de los requisitos habilitantes que en cada caso o proceso de selección permitirán comprobar que los eventuales oferentes puedan estar habilitados para participar. </w:t>
      </w:r>
      <w:r w:rsidR="00413F87">
        <w:rPr>
          <w:rFonts w:ascii="Arial" w:eastAsia="Times New Roman" w:hAnsi="Arial" w:cs="Arial"/>
          <w:color w:val="000000"/>
          <w:bdr w:val="none" w:sz="0" w:space="0" w:color="auto" w:frame="1"/>
          <w:lang w:eastAsia="es-MX"/>
        </w:rPr>
        <w:t xml:space="preserve">En ese sentido, las entidades estatales podrán optar </w:t>
      </w:r>
      <w:r w:rsidR="006A0B2E">
        <w:rPr>
          <w:rFonts w:ascii="Arial" w:eastAsia="Times New Roman" w:hAnsi="Arial" w:cs="Arial"/>
          <w:color w:val="000000"/>
          <w:bdr w:val="none" w:sz="0" w:space="0" w:color="auto" w:frame="1"/>
          <w:lang w:eastAsia="es-MX"/>
        </w:rPr>
        <w:t xml:space="preserve">por aplicar los requisitos habilitantes señalados en el </w:t>
      </w:r>
      <w:r w:rsidR="00D26529">
        <w:rPr>
          <w:rFonts w:ascii="Arial" w:eastAsia="Times New Roman" w:hAnsi="Arial" w:cs="Arial"/>
          <w:color w:val="000000"/>
          <w:bdr w:val="none" w:sz="0" w:space="0" w:color="auto" w:frame="1"/>
          <w:lang w:eastAsia="es-MX"/>
        </w:rPr>
        <w:t xml:space="preserve">artículo 6 de la Ley 1150 de 2007, o si </w:t>
      </w:r>
      <w:r w:rsidR="00E24030">
        <w:rPr>
          <w:rFonts w:ascii="Arial" w:eastAsia="Times New Roman" w:hAnsi="Arial" w:cs="Arial"/>
          <w:color w:val="000000"/>
          <w:bdr w:val="none" w:sz="0" w:space="0" w:color="auto" w:frame="1"/>
          <w:lang w:eastAsia="es-MX"/>
        </w:rPr>
        <w:t>opta por aplicar requisitos adicionales a estos.</w:t>
      </w:r>
      <w:r w:rsidR="001856A6">
        <w:rPr>
          <w:rFonts w:ascii="Arial" w:eastAsia="Times New Roman" w:hAnsi="Arial" w:cs="Arial"/>
          <w:color w:val="000000"/>
          <w:bdr w:val="none" w:sz="0" w:space="0" w:color="auto" w:frame="1"/>
          <w:lang w:eastAsia="es-MX"/>
        </w:rPr>
        <w:t xml:space="preserve"> En este último caso, la entidad deberá realizar directamente la verificación de la información relativa a la acreditación del correspondiente requisito adicional. </w:t>
      </w:r>
    </w:p>
    <w:p w14:paraId="387A3279" w14:textId="137A853B" w:rsidR="000E2C53" w:rsidRPr="001A4790" w:rsidRDefault="00E24030" w:rsidP="00E24030">
      <w:pPr>
        <w:spacing w:before="120" w:line="276" w:lineRule="auto"/>
        <w:ind w:firstLine="709"/>
        <w:jc w:val="both"/>
        <w:rPr>
          <w:rFonts w:ascii="Arial" w:eastAsia="Calibri" w:hAnsi="Arial" w:cs="Arial"/>
          <w:sz w:val="22"/>
        </w:rPr>
      </w:pPr>
      <w:r>
        <w:rPr>
          <w:rFonts w:ascii="Arial" w:eastAsia="Calibri" w:hAnsi="Arial" w:cs="Arial"/>
          <w:color w:val="000000" w:themeColor="text1"/>
          <w:sz w:val="22"/>
          <w:lang w:val="es-ES_tradnl"/>
        </w:rPr>
        <w:t>Con todo, c</w:t>
      </w:r>
      <w:r w:rsidR="000E2C53" w:rsidRPr="00DC12B9">
        <w:rPr>
          <w:rFonts w:ascii="Arial" w:eastAsia="Calibri" w:hAnsi="Arial" w:cs="Arial"/>
          <w:color w:val="000000" w:themeColor="text1"/>
          <w:sz w:val="22"/>
          <w:lang w:val="es-ES_tradnl"/>
        </w:rPr>
        <w:t xml:space="preserve">onsiderando la discrecionalidad para establecer requisitos habilitantes, es necesario tener en cuenta que </w:t>
      </w:r>
      <w:r w:rsidR="000E2C53" w:rsidRPr="00DC12B9">
        <w:rPr>
          <w:rFonts w:ascii="Arial" w:eastAsia="Calibri" w:hAnsi="Arial" w:cs="Arial"/>
          <w:sz w:val="22"/>
        </w:rPr>
        <w:t>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Para efectos de</w:t>
      </w:r>
      <w:r w:rsidR="004D1CAE" w:rsidRPr="00DC12B9">
        <w:rPr>
          <w:rFonts w:ascii="Arial" w:eastAsia="Calibri" w:hAnsi="Arial" w:cs="Arial"/>
          <w:sz w:val="22"/>
        </w:rPr>
        <w:t xml:space="preserve"> establecer requisitos habilitantes como el sugerido en la consulta</w:t>
      </w:r>
      <w:r w:rsidR="000E2C53" w:rsidRPr="00DC12B9">
        <w:rPr>
          <w:rFonts w:ascii="Arial" w:eastAsia="Calibri" w:hAnsi="Arial" w:cs="Arial"/>
          <w:sz w:val="22"/>
        </w:rPr>
        <w:t>, la fijación está unida a la carga justificativa de la entidad en los estudios y documentos previos del proceso de selección.</w:t>
      </w:r>
    </w:p>
    <w:p w14:paraId="2031379A" w14:textId="77777777" w:rsidR="00E24030" w:rsidRDefault="00E24030" w:rsidP="00DF3130">
      <w:pPr>
        <w:spacing w:line="276" w:lineRule="auto"/>
        <w:contextualSpacing/>
        <w:jc w:val="both"/>
        <w:rPr>
          <w:rFonts w:ascii="Arial" w:eastAsia="Calibri" w:hAnsi="Arial" w:cs="Arial"/>
          <w:sz w:val="22"/>
          <w:szCs w:val="22"/>
          <w:lang w:val="es-ES"/>
        </w:rPr>
      </w:pPr>
    </w:p>
    <w:p w14:paraId="4481B58B" w14:textId="19BA6E96" w:rsidR="00DF3130" w:rsidRPr="00564571" w:rsidRDefault="00DF3130" w:rsidP="00DF3130">
      <w:pPr>
        <w:spacing w:line="276" w:lineRule="auto"/>
        <w:contextualSpacing/>
        <w:jc w:val="both"/>
        <w:rPr>
          <w:rFonts w:ascii="Arial" w:eastAsia="Calibri" w:hAnsi="Arial" w:cs="Arial"/>
          <w:sz w:val="22"/>
          <w:szCs w:val="22"/>
          <w:lang w:val="es-ES"/>
        </w:rPr>
      </w:pPr>
      <w:r w:rsidRPr="00564571">
        <w:rPr>
          <w:rFonts w:ascii="Arial" w:eastAsia="Calibri" w:hAnsi="Arial" w:cs="Arial"/>
          <w:sz w:val="22"/>
          <w:szCs w:val="22"/>
          <w:lang w:val="es-ES"/>
        </w:rPr>
        <w:t>Este concepto tiene el alcance previsto en el artículo 28 del Código de Procedimiento Administrativo y de lo Contencioso Administrativo.</w:t>
      </w:r>
    </w:p>
    <w:p w14:paraId="3F1E7DB9" w14:textId="77777777" w:rsidR="00DF3130" w:rsidRPr="00564571" w:rsidRDefault="00DF3130" w:rsidP="00DF3130">
      <w:pPr>
        <w:spacing w:line="276" w:lineRule="auto"/>
        <w:contextualSpacing/>
        <w:jc w:val="both"/>
        <w:rPr>
          <w:rFonts w:ascii="Arial" w:eastAsia="Calibri" w:hAnsi="Arial" w:cs="Arial"/>
          <w:sz w:val="22"/>
          <w:szCs w:val="22"/>
          <w:lang w:val="es-ES"/>
        </w:rPr>
      </w:pPr>
    </w:p>
    <w:p w14:paraId="0FC9EF16" w14:textId="77777777" w:rsidR="00DF3130" w:rsidRPr="00564571" w:rsidRDefault="00DF3130" w:rsidP="00DF3130">
      <w:pPr>
        <w:spacing w:line="276" w:lineRule="auto"/>
        <w:contextualSpacing/>
        <w:jc w:val="both"/>
        <w:rPr>
          <w:rFonts w:ascii="Arial" w:hAnsi="Arial" w:cs="Arial"/>
          <w:sz w:val="22"/>
          <w:szCs w:val="22"/>
          <w:lang w:val="es-ES" w:eastAsia="es-CO"/>
        </w:rPr>
      </w:pPr>
      <w:r w:rsidRPr="00564571">
        <w:rPr>
          <w:rFonts w:ascii="Arial" w:hAnsi="Arial" w:cs="Arial"/>
          <w:sz w:val="22"/>
          <w:szCs w:val="22"/>
          <w:lang w:val="es-ES" w:eastAsia="es-CO"/>
        </w:rPr>
        <w:t>Atentamente,</w:t>
      </w:r>
    </w:p>
    <w:p w14:paraId="3614917F" w14:textId="1556305F" w:rsidR="0015100A" w:rsidRPr="00564571" w:rsidRDefault="0015100A" w:rsidP="00DF3130">
      <w:pPr>
        <w:jc w:val="center"/>
        <w:rPr>
          <w:rFonts w:ascii="Arial" w:hAnsi="Arial" w:cs="Arial"/>
          <w:sz w:val="22"/>
          <w:szCs w:val="22"/>
          <w:lang w:val="es-ES_tradnl" w:eastAsia="es-ES_tradnl"/>
        </w:rPr>
      </w:pPr>
    </w:p>
    <w:p w14:paraId="345E45F1" w14:textId="1FADF211" w:rsidR="00C9717B" w:rsidRDefault="00C9717B" w:rsidP="00C9717B">
      <w:pPr>
        <w:rPr>
          <w:rFonts w:ascii="Arial" w:hAnsi="Arial" w:cs="Arial"/>
          <w:sz w:val="22"/>
          <w:szCs w:val="22"/>
          <w:lang w:val="es-ES_tradnl" w:eastAsia="es-ES_tradnl"/>
        </w:rPr>
      </w:pPr>
    </w:p>
    <w:p w14:paraId="6F2C2AEC" w14:textId="0C779B25" w:rsidR="00C9717B" w:rsidRDefault="00C9717B" w:rsidP="00DF3130">
      <w:pPr>
        <w:jc w:val="center"/>
        <w:rPr>
          <w:rFonts w:ascii="Arial" w:hAnsi="Arial" w:cs="Arial"/>
          <w:sz w:val="22"/>
          <w:szCs w:val="22"/>
          <w:lang w:val="es-ES_tradnl" w:eastAsia="es-ES_tradnl"/>
        </w:rPr>
      </w:pPr>
    </w:p>
    <w:p w14:paraId="63879436" w14:textId="3BE1F0FE" w:rsidR="00C9717B" w:rsidRPr="00564571" w:rsidRDefault="00C9717B" w:rsidP="00DF3130">
      <w:pPr>
        <w:jc w:val="center"/>
        <w:rPr>
          <w:rFonts w:ascii="Arial" w:hAnsi="Arial" w:cs="Arial"/>
          <w:sz w:val="22"/>
          <w:szCs w:val="22"/>
          <w:lang w:val="es-ES_tradnl" w:eastAsia="es-ES_tradnl"/>
        </w:rPr>
      </w:pPr>
      <w:r w:rsidRPr="00CC022D">
        <w:rPr>
          <w:noProof/>
        </w:rPr>
        <w:drawing>
          <wp:inline distT="0" distB="0" distL="0" distR="0" wp14:anchorId="65E715FD" wp14:editId="7FC149E0">
            <wp:extent cx="3115945" cy="1116535"/>
            <wp:effectExtent l="0" t="0" r="0"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16939" cy="1116891"/>
                    </a:xfrm>
                    <a:prstGeom prst="rect">
                      <a:avLst/>
                    </a:prstGeom>
                    <a:noFill/>
                    <a:ln>
                      <a:noFill/>
                    </a:ln>
                  </pic:spPr>
                </pic:pic>
              </a:graphicData>
            </a:graphic>
          </wp:inline>
        </w:drawing>
      </w:r>
    </w:p>
    <w:p w14:paraId="3E76BAB0" w14:textId="77777777" w:rsidR="00457483" w:rsidRPr="00564571" w:rsidRDefault="00457483" w:rsidP="00DF3130">
      <w:pPr>
        <w:jc w:val="center"/>
        <w:rPr>
          <w:rFonts w:ascii="Arial" w:hAnsi="Arial" w:cs="Arial"/>
          <w:sz w:val="22"/>
          <w:szCs w:val="22"/>
          <w:lang w:val="es-ES_tradnl" w:eastAsia="es-ES_tradnl"/>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F3130" w:rsidRPr="00564571" w14:paraId="3F7FE54D" w14:textId="77777777" w:rsidTr="005C12A3">
        <w:trPr>
          <w:trHeight w:val="315"/>
        </w:trPr>
        <w:tc>
          <w:tcPr>
            <w:tcW w:w="812" w:type="dxa"/>
            <w:vAlign w:val="center"/>
            <w:hideMark/>
          </w:tcPr>
          <w:p w14:paraId="1DDEBF37" w14:textId="77777777" w:rsidR="00DF3130" w:rsidRPr="00564571" w:rsidRDefault="00DF3130" w:rsidP="005C12A3">
            <w:pPr>
              <w:jc w:val="both"/>
              <w:rPr>
                <w:rFonts w:ascii="Arial" w:hAnsi="Arial" w:cs="Arial"/>
                <w:sz w:val="15"/>
                <w:szCs w:val="15"/>
                <w:lang w:val="es-ES_tradnl" w:eastAsia="es-ES"/>
              </w:rPr>
            </w:pPr>
            <w:r w:rsidRPr="00564571">
              <w:rPr>
                <w:rFonts w:ascii="Arial" w:hAnsi="Arial" w:cs="Arial"/>
                <w:sz w:val="15"/>
                <w:szCs w:val="15"/>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55A54C3" w14:textId="549DE3FE" w:rsidR="00DF3130" w:rsidRPr="00564571" w:rsidRDefault="00457483" w:rsidP="00457483">
            <w:pPr>
              <w:rPr>
                <w:rFonts w:ascii="Arial" w:hAnsi="Arial" w:cs="Arial"/>
                <w:sz w:val="15"/>
                <w:szCs w:val="15"/>
                <w:lang w:val="es-ES_tradnl" w:eastAsia="es-ES"/>
              </w:rPr>
            </w:pPr>
            <w:r w:rsidRPr="00564571">
              <w:rPr>
                <w:rFonts w:ascii="Arial" w:hAnsi="Arial" w:cs="Arial"/>
                <w:sz w:val="15"/>
                <w:szCs w:val="15"/>
                <w:lang w:val="es-ES_tradnl" w:eastAsia="es-ES"/>
              </w:rPr>
              <w:t xml:space="preserve">Álvaro </w:t>
            </w:r>
            <w:proofErr w:type="spellStart"/>
            <w:r w:rsidRPr="00564571">
              <w:rPr>
                <w:rFonts w:ascii="Arial" w:hAnsi="Arial" w:cs="Arial"/>
                <w:sz w:val="15"/>
                <w:szCs w:val="15"/>
                <w:lang w:val="es-ES_tradnl" w:eastAsia="es-ES"/>
              </w:rPr>
              <w:t>Namén</w:t>
            </w:r>
            <w:proofErr w:type="spellEnd"/>
            <w:r w:rsidRPr="00564571">
              <w:rPr>
                <w:rFonts w:ascii="Arial" w:hAnsi="Arial" w:cs="Arial"/>
                <w:sz w:val="15"/>
                <w:szCs w:val="15"/>
                <w:lang w:val="es-ES_tradnl" w:eastAsia="es-ES"/>
              </w:rPr>
              <w:t xml:space="preserve"> Vargas</w:t>
            </w:r>
          </w:p>
          <w:p w14:paraId="75725DA8" w14:textId="77777777" w:rsidR="00DF3130" w:rsidRPr="00564571" w:rsidRDefault="00DF3130" w:rsidP="005C12A3">
            <w:pPr>
              <w:jc w:val="both"/>
              <w:rPr>
                <w:rFonts w:ascii="Arial" w:hAnsi="Arial" w:cs="Arial"/>
                <w:sz w:val="15"/>
                <w:szCs w:val="15"/>
                <w:lang w:val="es-ES_tradnl" w:eastAsia="es-ES"/>
              </w:rPr>
            </w:pPr>
            <w:r w:rsidRPr="00564571">
              <w:rPr>
                <w:rFonts w:ascii="Arial" w:hAnsi="Arial" w:cs="Arial"/>
                <w:sz w:val="15"/>
                <w:szCs w:val="15"/>
                <w:lang w:val="es-ES_tradnl" w:eastAsia="es-ES"/>
              </w:rPr>
              <w:t xml:space="preserve">Contratista de la Subdirección de Gestión Contractual  </w:t>
            </w:r>
          </w:p>
        </w:tc>
      </w:tr>
      <w:tr w:rsidR="00DF3130" w:rsidRPr="00564571" w14:paraId="22ACA87E" w14:textId="77777777" w:rsidTr="005C12A3">
        <w:trPr>
          <w:trHeight w:val="330"/>
        </w:trPr>
        <w:tc>
          <w:tcPr>
            <w:tcW w:w="812" w:type="dxa"/>
            <w:vAlign w:val="center"/>
            <w:hideMark/>
          </w:tcPr>
          <w:p w14:paraId="288C8AC6" w14:textId="77777777" w:rsidR="00DF3130" w:rsidRPr="00564571" w:rsidRDefault="00DF3130" w:rsidP="005C12A3">
            <w:pPr>
              <w:jc w:val="both"/>
              <w:rPr>
                <w:rFonts w:ascii="Arial" w:hAnsi="Arial" w:cs="Arial"/>
                <w:sz w:val="15"/>
                <w:szCs w:val="15"/>
                <w:lang w:val="es-ES_tradnl" w:eastAsia="es-ES"/>
              </w:rPr>
            </w:pPr>
            <w:r w:rsidRPr="00564571">
              <w:rPr>
                <w:rFonts w:ascii="Arial" w:hAnsi="Arial" w:cs="Arial"/>
                <w:sz w:val="15"/>
                <w:szCs w:val="15"/>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B49291" w14:textId="77777777" w:rsidR="00DF3130" w:rsidRPr="00564571" w:rsidRDefault="00DF3130" w:rsidP="005C12A3">
            <w:pPr>
              <w:rPr>
                <w:rFonts w:ascii="Arial" w:hAnsi="Arial" w:cs="Arial"/>
                <w:sz w:val="15"/>
                <w:szCs w:val="15"/>
                <w:lang w:val="es-ES_tradnl" w:eastAsia="es-ES"/>
              </w:rPr>
            </w:pPr>
            <w:r w:rsidRPr="00564571">
              <w:rPr>
                <w:rFonts w:ascii="Arial" w:hAnsi="Arial" w:cs="Arial"/>
                <w:sz w:val="15"/>
                <w:szCs w:val="15"/>
                <w:lang w:val="es-ES_tradnl" w:eastAsia="es-ES"/>
              </w:rPr>
              <w:t xml:space="preserve">Alejandro Sarmiento Cantillo </w:t>
            </w:r>
          </w:p>
          <w:p w14:paraId="546786D6" w14:textId="77777777" w:rsidR="00DF3130" w:rsidRPr="00564571" w:rsidRDefault="00DF3130" w:rsidP="005C12A3">
            <w:pPr>
              <w:jc w:val="both"/>
              <w:rPr>
                <w:rFonts w:ascii="Arial" w:hAnsi="Arial" w:cs="Arial"/>
                <w:sz w:val="15"/>
                <w:szCs w:val="15"/>
                <w:lang w:val="es-ES_tradnl" w:eastAsia="es-ES"/>
              </w:rPr>
            </w:pPr>
            <w:r w:rsidRPr="00564571">
              <w:rPr>
                <w:rFonts w:ascii="Arial" w:hAnsi="Arial" w:cs="Arial"/>
                <w:sz w:val="15"/>
                <w:szCs w:val="15"/>
                <w:lang w:val="es-ES_tradnl" w:eastAsia="es-ES"/>
              </w:rPr>
              <w:t>Gestor T1-15 de la Subdirección de Gestión Contractual</w:t>
            </w:r>
          </w:p>
        </w:tc>
      </w:tr>
      <w:tr w:rsidR="00DF3130" w:rsidRPr="00457483" w14:paraId="7D300EC5" w14:textId="77777777" w:rsidTr="005C12A3">
        <w:trPr>
          <w:trHeight w:val="300"/>
        </w:trPr>
        <w:tc>
          <w:tcPr>
            <w:tcW w:w="812" w:type="dxa"/>
            <w:vAlign w:val="center"/>
            <w:hideMark/>
          </w:tcPr>
          <w:p w14:paraId="54C8C110" w14:textId="77777777" w:rsidR="00DF3130" w:rsidRPr="00564571" w:rsidRDefault="00DF3130" w:rsidP="005C12A3">
            <w:pPr>
              <w:jc w:val="both"/>
              <w:rPr>
                <w:rFonts w:ascii="Arial" w:hAnsi="Arial" w:cs="Arial"/>
                <w:sz w:val="15"/>
                <w:szCs w:val="15"/>
                <w:lang w:val="es-ES_tradnl" w:eastAsia="es-ES"/>
              </w:rPr>
            </w:pPr>
            <w:r w:rsidRPr="00564571">
              <w:rPr>
                <w:rFonts w:ascii="Arial" w:hAnsi="Arial" w:cs="Arial"/>
                <w:sz w:val="15"/>
                <w:szCs w:val="15"/>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4A3741B" w14:textId="77777777" w:rsidR="00DF3130" w:rsidRPr="00564571" w:rsidRDefault="00DF3130" w:rsidP="005C12A3">
            <w:pPr>
              <w:jc w:val="both"/>
              <w:rPr>
                <w:rFonts w:ascii="Arial" w:hAnsi="Arial" w:cs="Arial"/>
                <w:sz w:val="15"/>
                <w:szCs w:val="15"/>
                <w:lang w:val="es-ES_tradnl" w:eastAsia="es-ES"/>
              </w:rPr>
            </w:pPr>
            <w:r w:rsidRPr="00564571">
              <w:rPr>
                <w:rFonts w:ascii="Arial" w:hAnsi="Arial" w:cs="Arial"/>
                <w:sz w:val="15"/>
                <w:szCs w:val="15"/>
                <w:lang w:val="es-ES_tradnl" w:eastAsia="es-ES"/>
              </w:rPr>
              <w:t>Juan David Marín López</w:t>
            </w:r>
          </w:p>
          <w:p w14:paraId="7DA9FBDB" w14:textId="77777777" w:rsidR="00DF3130" w:rsidRPr="00457483" w:rsidRDefault="00DF3130" w:rsidP="005C12A3">
            <w:pPr>
              <w:jc w:val="both"/>
              <w:rPr>
                <w:rFonts w:ascii="Arial" w:hAnsi="Arial" w:cs="Arial"/>
                <w:sz w:val="15"/>
                <w:szCs w:val="15"/>
                <w:lang w:val="es-ES_tradnl" w:eastAsia="es-ES"/>
              </w:rPr>
            </w:pPr>
            <w:r w:rsidRPr="00564571">
              <w:rPr>
                <w:rFonts w:ascii="Arial" w:hAnsi="Arial" w:cs="Arial"/>
                <w:sz w:val="15"/>
                <w:szCs w:val="15"/>
                <w:lang w:val="es-ES_tradnl" w:eastAsia="es-ES"/>
              </w:rPr>
              <w:t>Subdirector de Gestión Contractual ANCP – CCE (E)</w:t>
            </w:r>
          </w:p>
        </w:tc>
      </w:tr>
    </w:tbl>
    <w:p w14:paraId="019B7BEC" w14:textId="77777777" w:rsidR="003C7067" w:rsidRDefault="003C7067" w:rsidP="00DF3130">
      <w:pPr>
        <w:spacing w:after="120" w:line="276" w:lineRule="auto"/>
        <w:jc w:val="both"/>
      </w:pPr>
    </w:p>
    <w:sectPr w:rsidR="003C7067" w:rsidSect="00D81E5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B6B50" w14:textId="77777777" w:rsidR="00487CAB" w:rsidRDefault="00487CAB" w:rsidP="003C7067">
      <w:r>
        <w:separator/>
      </w:r>
    </w:p>
  </w:endnote>
  <w:endnote w:type="continuationSeparator" w:id="0">
    <w:p w14:paraId="181A655C" w14:textId="77777777" w:rsidR="00487CAB" w:rsidRDefault="00487CAB" w:rsidP="003C7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Arial Nova">
    <w:panose1 w:val="020B0504020202020204"/>
    <w:charset w:val="00"/>
    <w:family w:val="swiss"/>
    <w:pitch w:val="variable"/>
    <w:sig w:usb0="0000028F" w:usb1="00000002" w:usb2="00000000" w:usb3="00000000" w:csb0="0000019F" w:csb1="00000000"/>
  </w:font>
  <w:font w:name="Geo">
    <w:altName w:val="Calibri"/>
    <w:panose1 w:val="020B0604020202020204"/>
    <w:charset w:val="00"/>
    <w:family w:val="auto"/>
    <w:pitch w:val="variable"/>
    <w:sig w:usb0="8000002F" w:usb1="40000048" w:usb2="00000000" w:usb3="00000000" w:csb0="00000001" w:csb1="00000000"/>
  </w:font>
  <w:font w:name="Geomanist Light">
    <w:altName w:val="Calibri"/>
    <w:panose1 w:val="020B06040202020202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BF19D" w14:textId="77777777" w:rsidR="00D81E5B" w:rsidRDefault="00D81E5B" w:rsidP="00D81E5B">
    <w:pPr>
      <w:pStyle w:val="Sinespaciado"/>
      <w:jc w:val="right"/>
      <w:rPr>
        <w:rFonts w:ascii="Arial" w:hAnsi="Arial" w:cs="Arial"/>
        <w:sz w:val="18"/>
        <w:szCs w:val="18"/>
      </w:rPr>
    </w:pPr>
  </w:p>
  <w:p w14:paraId="14B5D1D1" w14:textId="77777777" w:rsidR="00FF547A" w:rsidRDefault="00FF547A" w:rsidP="00FF547A">
    <w:pPr>
      <w:pStyle w:val="Piedepgina"/>
    </w:pPr>
    <w:r>
      <w:rPr>
        <w:noProof/>
      </w:rPr>
      <w:drawing>
        <wp:inline distT="0" distB="0" distL="0" distR="0" wp14:anchorId="6A306E23" wp14:editId="5EFE2315">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FF547A" w:rsidRPr="00080DA3" w14:paraId="27B94BCF" w14:textId="77777777" w:rsidTr="005C12A3">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E3EFA1F"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0E3DC4"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A64857C"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0D61B480" w14:textId="77777777" w:rsidR="00FF547A" w:rsidRPr="004B6B0E" w:rsidRDefault="00FF547A" w:rsidP="00FF547A">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8564CCB"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1CCEDBA" w14:textId="77777777" w:rsidR="00FF547A" w:rsidRPr="00080DA3" w:rsidRDefault="00FF547A" w:rsidP="00FF547A">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DC8B44A" w14:textId="77777777" w:rsidR="00FF547A" w:rsidRPr="00080DA3" w:rsidRDefault="00FF547A" w:rsidP="00FF547A">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4</w:t>
          </w:r>
          <w:r w:rsidRPr="00080DA3">
            <w:rPr>
              <w:rFonts w:ascii="Geomanist Light" w:hAnsi="Geomanist Light"/>
              <w:b/>
              <w:bCs/>
              <w:sz w:val="18"/>
              <w:szCs w:val="18"/>
            </w:rPr>
            <w:fldChar w:fldCharType="end"/>
          </w:r>
        </w:p>
      </w:tc>
    </w:tr>
  </w:tbl>
  <w:p w14:paraId="0A9DFE46" w14:textId="77777777" w:rsidR="00FF547A" w:rsidRDefault="00FF547A" w:rsidP="00FF547A">
    <w:pPr>
      <w:pStyle w:val="Piedepgina"/>
      <w:jc w:val="center"/>
    </w:pPr>
  </w:p>
  <w:p w14:paraId="1CBE747A" w14:textId="77777777" w:rsidR="00D81E5B" w:rsidRPr="00E756AC" w:rsidRDefault="00D81E5B" w:rsidP="00FF547A">
    <w:pPr>
      <w:pStyle w:val="Sinespaciado"/>
      <w:jc w:val="right"/>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03531" w14:textId="77777777" w:rsidR="00487CAB" w:rsidRDefault="00487CAB" w:rsidP="003C7067">
      <w:r>
        <w:separator/>
      </w:r>
    </w:p>
  </w:footnote>
  <w:footnote w:type="continuationSeparator" w:id="0">
    <w:p w14:paraId="17BB9517" w14:textId="77777777" w:rsidR="00487CAB" w:rsidRDefault="00487CAB" w:rsidP="003C7067">
      <w:r>
        <w:continuationSeparator/>
      </w:r>
    </w:p>
  </w:footnote>
  <w:footnote w:id="1">
    <w:p w14:paraId="2F0B4265" w14:textId="77777777" w:rsidR="00EF2C3C" w:rsidRPr="001A4790" w:rsidRDefault="00EF2C3C" w:rsidP="00DB06A8">
      <w:pPr>
        <w:pStyle w:val="Textonotapie"/>
        <w:ind w:firstLine="708"/>
        <w:jc w:val="both"/>
        <w:rPr>
          <w:rFonts w:ascii="Arial" w:hAnsi="Arial" w:cs="Arial"/>
          <w:sz w:val="19"/>
          <w:szCs w:val="19"/>
          <w:lang w:val="es-ES"/>
        </w:rPr>
      </w:pPr>
      <w:r w:rsidRPr="001A4790">
        <w:rPr>
          <w:rStyle w:val="Refdenotaalpie"/>
          <w:rFonts w:ascii="Arial" w:hAnsi="Arial" w:cs="Arial"/>
          <w:sz w:val="19"/>
          <w:szCs w:val="19"/>
        </w:rPr>
        <w:footnoteRef/>
      </w:r>
      <w:r w:rsidRPr="001A4790">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1A4790">
        <w:rPr>
          <w:rFonts w:ascii="Arial" w:hAnsi="Arial" w:cs="Arial"/>
          <w:i/>
          <w:iCs/>
          <w:sz w:val="19"/>
          <w:szCs w:val="19"/>
        </w:rPr>
        <w:t xml:space="preserve">ibidem </w:t>
      </w:r>
      <w:r w:rsidRPr="001A4790">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5C978012" w14:textId="77777777" w:rsidR="00DF3130" w:rsidRPr="001A4790" w:rsidRDefault="00DF3130" w:rsidP="00DB06A8">
      <w:pPr>
        <w:tabs>
          <w:tab w:val="left" w:pos="709"/>
        </w:tabs>
        <w:contextualSpacing/>
        <w:jc w:val="both"/>
        <w:rPr>
          <w:rFonts w:ascii="Arial" w:eastAsia="Calibri" w:hAnsi="Arial" w:cs="Arial"/>
          <w:bCs/>
          <w:sz w:val="19"/>
          <w:szCs w:val="19"/>
          <w:lang w:val="es-ES_tradnl"/>
        </w:rPr>
      </w:pPr>
      <w:r w:rsidRPr="001A4790">
        <w:rPr>
          <w:rFonts w:ascii="Arial" w:hAnsi="Arial" w:cs="Arial"/>
          <w:sz w:val="19"/>
          <w:szCs w:val="19"/>
        </w:rPr>
        <w:tab/>
      </w:r>
      <w:r w:rsidRPr="001A4790">
        <w:rPr>
          <w:rStyle w:val="Refdenotaalpie"/>
          <w:rFonts w:ascii="Arial" w:hAnsi="Arial" w:cs="Arial"/>
          <w:sz w:val="19"/>
          <w:szCs w:val="19"/>
        </w:rPr>
        <w:footnoteRef/>
      </w:r>
      <w:r w:rsidRPr="001A4790">
        <w:rPr>
          <w:rFonts w:ascii="Arial" w:hAnsi="Arial" w:cs="Arial"/>
          <w:sz w:val="19"/>
          <w:szCs w:val="19"/>
        </w:rPr>
        <w:t xml:space="preserve"> </w:t>
      </w:r>
      <w:r w:rsidRPr="001A4790">
        <w:rPr>
          <w:rFonts w:ascii="Arial" w:eastAsia="Calibri" w:hAnsi="Arial" w:cs="Arial"/>
          <w:bCs/>
          <w:sz w:val="19"/>
          <w:szCs w:val="19"/>
          <w:lang w:val="es-ES_tradnl"/>
        </w:rPr>
        <w:t xml:space="preserve">Al respecto, el profesor Enrique José Arboleda Perdomo, al interpretar el artículo transcrito, expuso lo siguiente: «El artículo 28 regula los efectos jurídicos de los conceptos que emita la entidad como respuesta a las consultas que le formulen los particulares, ordenando que </w:t>
      </w:r>
      <w:r w:rsidRPr="001A4790">
        <w:rPr>
          <w:rFonts w:ascii="Arial" w:eastAsia="Calibri" w:hAnsi="Arial" w:cs="Arial"/>
          <w:bCs/>
          <w:i/>
          <w:iCs/>
          <w:sz w:val="19"/>
          <w:szCs w:val="19"/>
          <w:lang w:val="es-ES_tradnl"/>
        </w:rPr>
        <w:t>no serán de obligatorio cumplimiento o ejecución</w:t>
      </w:r>
      <w:r w:rsidRPr="001A4790">
        <w:rPr>
          <w:rFonts w:ascii="Arial" w:eastAsia="Calibri" w:hAnsi="Arial" w:cs="Arial"/>
          <w:bCs/>
          <w:sz w:val="19"/>
          <w:szCs w:val="19"/>
          <w:lang w:val="es-ES_tradnl"/>
        </w:rPr>
        <w:t xml:space="preserve">. De este mandato surgen las siguientes consideraciones: </w:t>
      </w:r>
    </w:p>
    <w:p w14:paraId="3B192C00" w14:textId="77777777" w:rsidR="00DF3130" w:rsidRPr="001A4790" w:rsidRDefault="00DF3130" w:rsidP="00DB06A8">
      <w:pPr>
        <w:tabs>
          <w:tab w:val="left" w:pos="709"/>
        </w:tabs>
        <w:contextualSpacing/>
        <w:jc w:val="both"/>
        <w:rPr>
          <w:rFonts w:ascii="Arial" w:eastAsia="Calibri" w:hAnsi="Arial" w:cs="Arial"/>
          <w:bCs/>
          <w:sz w:val="19"/>
          <w:szCs w:val="19"/>
          <w:lang w:val="es-ES_tradnl"/>
        </w:rPr>
      </w:pPr>
      <w:r w:rsidRPr="001A4790">
        <w:rPr>
          <w:rFonts w:ascii="Arial" w:eastAsia="Calibri" w:hAnsi="Arial" w:cs="Arial"/>
          <w:bCs/>
          <w:sz w:val="19"/>
          <w:szCs w:val="19"/>
          <w:lang w:val="es-ES_tradnl"/>
        </w:rPr>
        <w:tab/>
      </w:r>
      <w:proofErr w:type="gramStart"/>
      <w:r w:rsidRPr="001A4790">
        <w:rPr>
          <w:rFonts w:ascii="Arial" w:eastAsia="Calibri" w:hAnsi="Arial" w:cs="Arial"/>
          <w:bCs/>
          <w:sz w:val="19"/>
          <w:szCs w:val="19"/>
          <w:lang w:val="es-ES_tradnl"/>
        </w:rPr>
        <w:t>»La</w:t>
      </w:r>
      <w:proofErr w:type="gramEnd"/>
      <w:r w:rsidRPr="001A4790">
        <w:rPr>
          <w:rFonts w:ascii="Arial" w:eastAsia="Calibri" w:hAnsi="Arial" w:cs="Arial"/>
          <w:bCs/>
          <w:sz w:val="19"/>
          <w:szCs w:val="19"/>
          <w:lang w:val="es-ES_tradnl"/>
        </w:rPr>
        <w:t xml:space="preserve"> primera, </w:t>
      </w:r>
      <w:r w:rsidRPr="001A4790">
        <w:rPr>
          <w:rFonts w:ascii="Arial" w:eastAsia="Calibri" w:hAnsi="Arial" w:cs="Arial"/>
          <w:bCs/>
          <w:sz w:val="19"/>
          <w:szCs w:val="19"/>
        </w:rPr>
        <w:t>que un concepto no es un acto administrativo de contenido particular pues en sí mismo no contiene una manifestación de la voluntad de la administración que tenga la virtualidad de producir efectos jurídicos vinculantes, en relación con el peticionario, con la autoridad que conceptúa y aún frente a terceros que pudieran estar interesados en la respuesta.</w:t>
      </w:r>
    </w:p>
    <w:p w14:paraId="4FB9C055" w14:textId="77777777" w:rsidR="00DF3130" w:rsidRPr="001A4790" w:rsidRDefault="00DF3130" w:rsidP="00DB06A8">
      <w:pPr>
        <w:tabs>
          <w:tab w:val="left" w:pos="709"/>
        </w:tabs>
        <w:contextualSpacing/>
        <w:jc w:val="both"/>
        <w:rPr>
          <w:rFonts w:ascii="Arial" w:eastAsia="Calibri" w:hAnsi="Arial" w:cs="Arial"/>
          <w:bCs/>
          <w:sz w:val="19"/>
          <w:szCs w:val="19"/>
        </w:rPr>
      </w:pPr>
      <w:r w:rsidRPr="001A4790">
        <w:rPr>
          <w:rFonts w:ascii="Arial" w:eastAsia="Calibri" w:hAnsi="Arial" w:cs="Arial"/>
          <w:bCs/>
          <w:sz w:val="19"/>
          <w:szCs w:val="19"/>
        </w:rPr>
        <w:tab/>
        <w:t xml:space="preserve">»La segunda, que la forma como la administración actúa de manera vinculante para sí misma y para la Generalidad de las personas es el reglamento, no sólo a través de la potestad reglamentaria propia del presidente de la República coma sino a través de los demás reglamentos de la administración en el preciso marco de las competencias de cada organismo o entidad, por lo cual los conceptos emitidos no pueden suplir ni menos aún competir con los reglamentos. </w:t>
      </w:r>
    </w:p>
    <w:p w14:paraId="24146FE5" w14:textId="77777777" w:rsidR="00DF3130" w:rsidRPr="001A4790" w:rsidRDefault="00DF3130" w:rsidP="00DB06A8">
      <w:pPr>
        <w:pStyle w:val="Textonotapie"/>
        <w:ind w:firstLine="708"/>
        <w:contextualSpacing/>
        <w:jc w:val="both"/>
        <w:rPr>
          <w:rFonts w:ascii="Arial" w:hAnsi="Arial" w:cs="Arial"/>
          <w:sz w:val="19"/>
          <w:szCs w:val="19"/>
        </w:rPr>
      </w:pPr>
      <w:r w:rsidRPr="001A4790">
        <w:rPr>
          <w:rFonts w:ascii="Arial" w:eastAsia="Calibri" w:hAnsi="Arial" w:cs="Arial"/>
          <w:bCs/>
          <w:sz w:val="19"/>
          <w:szCs w:val="19"/>
        </w:rPr>
        <w:t xml:space="preserve">»La tercera, que los conceptos no pueden interpretar la ley en el sentido de darle un alcance o proferir un sentido frente a otro posible, se limitan a explicar las competencias a cargo de la entidad y la forma de ejercerlas, con el fin de orientar a los particulares en el cumplimiento de sus deberes o el ejercicio de sus derechos». </w:t>
      </w:r>
      <w:r w:rsidRPr="001A4790">
        <w:rPr>
          <w:rFonts w:ascii="Arial" w:hAnsi="Arial" w:cs="Arial"/>
          <w:sz w:val="19"/>
          <w:szCs w:val="19"/>
        </w:rPr>
        <w:t>ARBOLEDA PERDOMO, Enrique José. Comentarios al Nuevo Código de Procedimiento Administrativo y de lo Contencioso Administrativo (2ª ed.). Editorial Legis. Bogotá. 2012. p.59.</w:t>
      </w:r>
    </w:p>
    <w:p w14:paraId="3F157710" w14:textId="77777777" w:rsidR="00DF3130" w:rsidRPr="001A4790" w:rsidRDefault="00DF3130" w:rsidP="00DB06A8">
      <w:pPr>
        <w:pStyle w:val="Textonotapie"/>
        <w:ind w:firstLine="708"/>
        <w:contextualSpacing/>
        <w:jc w:val="both"/>
        <w:rPr>
          <w:rFonts w:ascii="Arial" w:eastAsia="Calibri" w:hAnsi="Arial" w:cs="Arial"/>
          <w:bCs/>
          <w:sz w:val="19"/>
          <w:szCs w:val="19"/>
          <w:lang w:val="es-CO"/>
        </w:rPr>
      </w:pPr>
    </w:p>
  </w:footnote>
  <w:footnote w:id="3">
    <w:p w14:paraId="23C502B9" w14:textId="77777777" w:rsidR="007039AC" w:rsidRPr="00DB06A8" w:rsidRDefault="007039AC" w:rsidP="00DB06A8">
      <w:pPr>
        <w:pStyle w:val="NormalWeb"/>
        <w:spacing w:before="0" w:beforeAutospacing="0" w:after="0" w:afterAutospacing="0"/>
        <w:ind w:firstLine="708"/>
        <w:jc w:val="both"/>
        <w:rPr>
          <w:rFonts w:ascii="Arial" w:hAnsi="Arial" w:cs="Arial"/>
          <w:sz w:val="19"/>
          <w:szCs w:val="19"/>
        </w:rPr>
      </w:pPr>
      <w:r w:rsidRPr="00DB06A8">
        <w:rPr>
          <w:rStyle w:val="Refdenotaalpie"/>
          <w:rFonts w:ascii="Arial" w:hAnsi="Arial" w:cs="Arial"/>
          <w:sz w:val="19"/>
          <w:szCs w:val="19"/>
        </w:rPr>
        <w:footnoteRef/>
      </w:r>
      <w:r w:rsidRPr="00DB06A8">
        <w:rPr>
          <w:rFonts w:ascii="Arial" w:hAnsi="Arial" w:cs="Arial"/>
          <w:sz w:val="19"/>
          <w:szCs w:val="19"/>
        </w:rPr>
        <w:t xml:space="preserve"> </w:t>
      </w:r>
      <w:r w:rsidRPr="00DB06A8">
        <w:rPr>
          <w:rFonts w:ascii="Arial" w:hAnsi="Arial" w:cs="Arial"/>
          <w:sz w:val="19"/>
          <w:szCs w:val="19"/>
          <w:lang w:val="es-ES"/>
        </w:rPr>
        <w:t>Art 6 Ley 1150 de 2007 “</w:t>
      </w:r>
      <w:r w:rsidRPr="00DB06A8">
        <w:rPr>
          <w:rFonts w:ascii="Arial" w:hAnsi="Arial" w:cs="Arial"/>
          <w:sz w:val="19"/>
          <w:szCs w:val="19"/>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8064BB2" w14:textId="77777777" w:rsidR="007039AC" w:rsidRPr="00DB06A8" w:rsidRDefault="007039AC" w:rsidP="00DB06A8">
      <w:pPr>
        <w:pStyle w:val="NormalWeb"/>
        <w:spacing w:before="0" w:beforeAutospacing="0" w:after="0" w:afterAutospacing="0"/>
        <w:ind w:firstLine="708"/>
        <w:jc w:val="both"/>
        <w:rPr>
          <w:rFonts w:ascii="Arial" w:hAnsi="Arial" w:cs="Arial"/>
          <w:sz w:val="19"/>
          <w:szCs w:val="19"/>
        </w:rPr>
      </w:pPr>
      <w:r w:rsidRPr="00DB06A8">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492D95D" w14:textId="77777777" w:rsidR="007039AC" w:rsidRPr="00DB06A8" w:rsidRDefault="007039AC" w:rsidP="00DB06A8">
      <w:pPr>
        <w:pStyle w:val="NormalWeb"/>
        <w:spacing w:before="0" w:beforeAutospacing="0" w:after="0" w:afterAutospacing="0"/>
        <w:ind w:firstLine="708"/>
        <w:jc w:val="both"/>
        <w:rPr>
          <w:rFonts w:ascii="Arial" w:hAnsi="Arial" w:cs="Arial"/>
          <w:sz w:val="19"/>
          <w:szCs w:val="19"/>
        </w:rPr>
      </w:pPr>
      <w:r w:rsidRPr="00DB06A8">
        <w:rPr>
          <w:rFonts w:ascii="Arial" w:hAnsi="Arial" w:cs="Arial"/>
          <w:sz w:val="19"/>
          <w:szCs w:val="19"/>
        </w:rPr>
        <w:t>En dicho registro constará la información relacionada con la experiencia, capacidad jurídica, financiera y de organización del proponente y su clasificación”.</w:t>
      </w:r>
    </w:p>
    <w:p w14:paraId="10A97544" w14:textId="77777777" w:rsidR="007039AC" w:rsidRPr="00DB06A8" w:rsidRDefault="007039AC" w:rsidP="00DB06A8">
      <w:pPr>
        <w:pStyle w:val="NormalWeb"/>
        <w:spacing w:before="0" w:beforeAutospacing="0" w:after="0" w:afterAutospacing="0"/>
        <w:ind w:firstLine="708"/>
        <w:jc w:val="both"/>
        <w:rPr>
          <w:rFonts w:ascii="Arial" w:hAnsi="Arial" w:cs="Arial"/>
          <w:sz w:val="19"/>
          <w:szCs w:val="19"/>
        </w:rPr>
      </w:pPr>
    </w:p>
  </w:footnote>
  <w:footnote w:id="4">
    <w:p w14:paraId="5004792F" w14:textId="77777777" w:rsidR="007039AC" w:rsidRPr="00DB06A8" w:rsidRDefault="007039AC" w:rsidP="00DB06A8">
      <w:pPr>
        <w:ind w:firstLine="708"/>
        <w:jc w:val="both"/>
        <w:rPr>
          <w:rFonts w:ascii="Arial" w:hAnsi="Arial" w:cs="Arial"/>
          <w:sz w:val="19"/>
          <w:szCs w:val="19"/>
        </w:rPr>
      </w:pPr>
      <w:r w:rsidRPr="00DB06A8">
        <w:rPr>
          <w:rStyle w:val="Refdenotaalpie"/>
          <w:rFonts w:ascii="Arial" w:hAnsi="Arial" w:cs="Arial"/>
          <w:sz w:val="19"/>
          <w:szCs w:val="19"/>
        </w:rPr>
        <w:footnoteRef/>
      </w:r>
      <w:r w:rsidRPr="00DB06A8">
        <w:rPr>
          <w:rFonts w:ascii="Arial" w:hAnsi="Arial" w:cs="Arial"/>
          <w:sz w:val="19"/>
          <w:szCs w:val="19"/>
        </w:rPr>
        <w:t xml:space="preserve"> “No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56A9E4DA" w14:textId="77777777" w:rsidR="007039AC" w:rsidRPr="001A4790" w:rsidRDefault="007039AC" w:rsidP="00DB06A8">
      <w:pPr>
        <w:pStyle w:val="Textonotapie"/>
        <w:rPr>
          <w:rFonts w:ascii="Arial" w:hAnsi="Arial" w:cs="Arial"/>
          <w:sz w:val="19"/>
          <w:szCs w:val="19"/>
          <w:lang w:val="es-ES"/>
        </w:rPr>
      </w:pPr>
    </w:p>
  </w:footnote>
  <w:footnote w:id="5">
    <w:p w14:paraId="03DF06A7" w14:textId="77777777" w:rsidR="007039AC" w:rsidRPr="00DB06A8" w:rsidRDefault="007039AC" w:rsidP="00DB06A8">
      <w:pPr>
        <w:pStyle w:val="NormalWeb"/>
        <w:spacing w:before="0" w:beforeAutospacing="0" w:after="0" w:afterAutospacing="0"/>
        <w:ind w:firstLine="709"/>
        <w:jc w:val="both"/>
        <w:rPr>
          <w:rFonts w:ascii="Arial" w:hAnsi="Arial" w:cs="Arial"/>
          <w:sz w:val="19"/>
          <w:szCs w:val="19"/>
        </w:rPr>
      </w:pPr>
      <w:r w:rsidRPr="00DB06A8">
        <w:rPr>
          <w:rStyle w:val="Refdenotaalpie"/>
          <w:rFonts w:ascii="Arial" w:hAnsi="Arial" w:cs="Arial"/>
          <w:sz w:val="19"/>
          <w:szCs w:val="19"/>
        </w:rPr>
        <w:footnoteRef/>
      </w:r>
      <w:r w:rsidRPr="00DB06A8">
        <w:rPr>
          <w:rFonts w:ascii="Arial" w:hAnsi="Arial" w:cs="Arial"/>
          <w:sz w:val="19"/>
          <w:szCs w:val="19"/>
        </w:rPr>
        <w:t xml:space="preserve"> </w:t>
      </w:r>
      <w:r w:rsidRPr="00DB06A8">
        <w:rPr>
          <w:rFonts w:ascii="Arial" w:hAnsi="Arial" w:cs="Arial"/>
          <w:sz w:val="19"/>
          <w:szCs w:val="19"/>
          <w:lang w:val="es-ES"/>
        </w:rPr>
        <w:t>“</w:t>
      </w:r>
      <w:r w:rsidRPr="00DB06A8">
        <w:rPr>
          <w:rFonts w:ascii="Arial" w:hAnsi="Arial" w:cs="Arial"/>
          <w:sz w:val="19"/>
          <w:szCs w:val="19"/>
        </w:rPr>
        <w:t>Para poder participar en los procesos de selección de los contratos de obra, la capacidad residual del proponente o K de contratación deberá ser igual o superior al que la entidad haya establecido para el efecto en los pliegos de condiciones</w:t>
      </w:r>
    </w:p>
    <w:p w14:paraId="1E0EE260" w14:textId="77777777" w:rsidR="007039AC" w:rsidRPr="00DB06A8" w:rsidRDefault="007039AC" w:rsidP="00DB06A8">
      <w:pPr>
        <w:ind w:firstLine="709"/>
        <w:jc w:val="both"/>
        <w:rPr>
          <w:rFonts w:ascii="Arial" w:hAnsi="Arial" w:cs="Arial"/>
          <w:sz w:val="19"/>
          <w:szCs w:val="19"/>
        </w:rPr>
      </w:pPr>
      <w:r w:rsidRPr="00DB06A8">
        <w:rPr>
          <w:rFonts w:ascii="Arial" w:hAnsi="Arial" w:cs="Arial"/>
          <w:sz w:val="19"/>
          <w:szCs w:val="19"/>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3C0F4F12" w14:textId="77777777" w:rsidR="007039AC" w:rsidRPr="00DB06A8" w:rsidRDefault="007039AC" w:rsidP="00DB06A8">
      <w:pPr>
        <w:ind w:firstLine="709"/>
        <w:jc w:val="both"/>
        <w:rPr>
          <w:rFonts w:ascii="Arial" w:hAnsi="Arial" w:cs="Arial"/>
          <w:sz w:val="19"/>
          <w:szCs w:val="19"/>
        </w:rPr>
      </w:pPr>
    </w:p>
  </w:footnote>
  <w:footnote w:id="6">
    <w:p w14:paraId="32594958" w14:textId="77777777" w:rsidR="007039AC" w:rsidRPr="00DB06A8" w:rsidRDefault="007039AC" w:rsidP="00DB06A8">
      <w:pPr>
        <w:pStyle w:val="Textonotapie"/>
        <w:ind w:firstLine="708"/>
        <w:jc w:val="both"/>
        <w:rPr>
          <w:rFonts w:ascii="Arial" w:hAnsi="Arial" w:cs="Arial"/>
          <w:sz w:val="19"/>
          <w:szCs w:val="19"/>
        </w:rPr>
      </w:pPr>
      <w:r w:rsidRPr="00DB06A8">
        <w:rPr>
          <w:rStyle w:val="Refdenotaalpie"/>
          <w:rFonts w:ascii="Arial" w:hAnsi="Arial" w:cs="Arial"/>
          <w:sz w:val="19"/>
          <w:szCs w:val="19"/>
        </w:rPr>
        <w:footnoteRef/>
      </w:r>
      <w:r w:rsidRPr="00DB06A8">
        <w:rPr>
          <w:rFonts w:ascii="Arial" w:hAnsi="Arial" w:cs="Arial"/>
          <w:sz w:val="19"/>
          <w:szCs w:val="19"/>
        </w:rPr>
        <w:t xml:space="preserve"> Cfr. Corte Constitucional. Sentencia C-569 de 2004. M.P. Rodrigo Uprimny Yepes.</w:t>
      </w:r>
    </w:p>
    <w:p w14:paraId="265F8CB6" w14:textId="77777777" w:rsidR="007039AC" w:rsidRPr="00DB06A8" w:rsidRDefault="007039AC" w:rsidP="00DB06A8">
      <w:pPr>
        <w:pStyle w:val="Textonotapie"/>
        <w:ind w:firstLine="708"/>
        <w:jc w:val="both"/>
        <w:rPr>
          <w:rFonts w:ascii="Arial" w:hAnsi="Arial" w:cs="Arial"/>
          <w:sz w:val="19"/>
          <w:szCs w:val="19"/>
          <w:lang w:val="es-ES"/>
        </w:rPr>
      </w:pPr>
    </w:p>
  </w:footnote>
  <w:footnote w:id="7">
    <w:p w14:paraId="3AA5F07E" w14:textId="77777777" w:rsidR="007039AC" w:rsidRPr="00DB06A8" w:rsidRDefault="007039AC" w:rsidP="00DB06A8">
      <w:pPr>
        <w:pStyle w:val="Textonotapie"/>
        <w:ind w:firstLine="708"/>
        <w:jc w:val="both"/>
        <w:rPr>
          <w:rFonts w:ascii="Arial" w:hAnsi="Arial" w:cs="Arial"/>
          <w:sz w:val="19"/>
          <w:szCs w:val="19"/>
        </w:rPr>
      </w:pPr>
      <w:r w:rsidRPr="00DB06A8">
        <w:rPr>
          <w:rStyle w:val="Refdenotaalpie"/>
          <w:rFonts w:ascii="Arial" w:hAnsi="Arial" w:cs="Arial"/>
          <w:sz w:val="19"/>
          <w:szCs w:val="19"/>
        </w:rPr>
        <w:footnoteRef/>
      </w:r>
      <w:r w:rsidRPr="00DB06A8">
        <w:rPr>
          <w:rFonts w:ascii="Arial" w:hAnsi="Arial" w:cs="Arial"/>
          <w:sz w:val="19"/>
          <w:szCs w:val="19"/>
        </w:rPr>
        <w:t xml:space="preserve"> Cfr. Consejo de Estado. Sección Tercera. Providencias del 11 de diciembre de 2002, dictada dentro del expediente AG-1683, y del 18 de octubre de 2001, proferida dentro del plenario AG-021.</w:t>
      </w:r>
    </w:p>
    <w:p w14:paraId="0B07EB77" w14:textId="77777777" w:rsidR="007039AC" w:rsidRPr="00DB06A8" w:rsidRDefault="007039AC" w:rsidP="00DB06A8">
      <w:pPr>
        <w:pStyle w:val="Textonotapie"/>
        <w:ind w:firstLine="708"/>
        <w:jc w:val="both"/>
        <w:rPr>
          <w:rFonts w:ascii="Arial" w:hAnsi="Arial" w:cs="Arial"/>
          <w:sz w:val="19"/>
          <w:szCs w:val="19"/>
          <w:lang w:val="es-ES"/>
        </w:rPr>
      </w:pPr>
    </w:p>
  </w:footnote>
  <w:footnote w:id="8">
    <w:p w14:paraId="49E0F7F7" w14:textId="7BAF7B8D" w:rsidR="007039AC" w:rsidRPr="00DB06A8" w:rsidRDefault="007039AC" w:rsidP="00DB06A8">
      <w:pPr>
        <w:pStyle w:val="Textonotapie"/>
        <w:ind w:firstLine="708"/>
        <w:jc w:val="both"/>
        <w:rPr>
          <w:rFonts w:ascii="Arial" w:hAnsi="Arial" w:cs="Arial"/>
          <w:sz w:val="19"/>
          <w:szCs w:val="19"/>
        </w:rPr>
      </w:pPr>
      <w:r w:rsidRPr="00DB06A8">
        <w:rPr>
          <w:rStyle w:val="Refdenotaalpie"/>
          <w:rFonts w:ascii="Arial" w:hAnsi="Arial" w:cs="Arial"/>
          <w:sz w:val="19"/>
          <w:szCs w:val="19"/>
        </w:rPr>
        <w:footnoteRef/>
      </w:r>
      <w:r w:rsidRPr="00DB06A8">
        <w:rPr>
          <w:rFonts w:ascii="Arial" w:hAnsi="Arial" w:cs="Arial"/>
          <w:sz w:val="19"/>
          <w:szCs w:val="19"/>
        </w:rPr>
        <w:t xml:space="preserve"> Gaceta 096 de 2007. Pág. 9. Allí se lee: «Parágrafo 2°. Nuevo. Se adiciona un parágrafo nuevo para </w:t>
      </w:r>
      <w:r w:rsidRPr="00DB06A8">
        <w:rPr>
          <w:rFonts w:ascii="Arial" w:hAnsi="Arial" w:cs="Arial"/>
          <w:i/>
          <w:iCs/>
          <w:sz w:val="19"/>
          <w:szCs w:val="19"/>
        </w:rPr>
        <w:t>establecer de manera concreta</w:t>
      </w:r>
      <w:r w:rsidRPr="00DB06A8">
        <w:rPr>
          <w:rFonts w:ascii="Arial" w:hAnsi="Arial" w:cs="Arial"/>
          <w:sz w:val="19"/>
          <w:szCs w:val="19"/>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p w14:paraId="1623D898" w14:textId="77777777" w:rsidR="0001523C" w:rsidRPr="00DB06A8" w:rsidRDefault="0001523C" w:rsidP="00DB06A8">
      <w:pPr>
        <w:pStyle w:val="Textonotapie"/>
        <w:ind w:firstLine="708"/>
        <w:jc w:val="both"/>
        <w:rPr>
          <w:rFonts w:ascii="Arial" w:hAnsi="Arial" w:cs="Arial"/>
          <w:sz w:val="19"/>
          <w:szCs w:val="19"/>
          <w:lang w:val="es-ES"/>
        </w:rPr>
      </w:pPr>
    </w:p>
  </w:footnote>
  <w:footnote w:id="9">
    <w:p w14:paraId="301B99F1" w14:textId="03B447BC" w:rsidR="00DB06A8" w:rsidRPr="001A4790" w:rsidRDefault="00DB06A8" w:rsidP="001A4790">
      <w:pPr>
        <w:pStyle w:val="NormalWeb"/>
        <w:spacing w:before="0" w:beforeAutospacing="0" w:after="0" w:afterAutospacing="0"/>
        <w:jc w:val="both"/>
        <w:rPr>
          <w:rFonts w:ascii="Arial" w:hAnsi="Arial" w:cs="Arial"/>
          <w:color w:val="000000"/>
          <w:sz w:val="19"/>
          <w:szCs w:val="19"/>
          <w:lang w:eastAsia="es-CO"/>
        </w:rPr>
      </w:pPr>
      <w:r w:rsidRPr="001A4790">
        <w:rPr>
          <w:rFonts w:ascii="Arial" w:hAnsi="Arial" w:cs="Arial"/>
          <w:sz w:val="19"/>
          <w:szCs w:val="19"/>
        </w:rPr>
        <w:tab/>
      </w:r>
      <w:r w:rsidRPr="001A4790">
        <w:rPr>
          <w:rStyle w:val="Refdenotaalpie"/>
          <w:rFonts w:ascii="Arial" w:hAnsi="Arial" w:cs="Arial"/>
          <w:sz w:val="19"/>
          <w:szCs w:val="19"/>
        </w:rPr>
        <w:footnoteRef/>
      </w:r>
      <w:r w:rsidRPr="001A4790">
        <w:rPr>
          <w:rFonts w:ascii="Arial" w:hAnsi="Arial" w:cs="Arial"/>
          <w:sz w:val="19"/>
          <w:szCs w:val="19"/>
        </w:rPr>
        <w:t>«</w:t>
      </w:r>
      <w:r w:rsidRPr="001A4790">
        <w:rPr>
          <w:rStyle w:val="Textoennegrita"/>
          <w:rFonts w:ascii="Arial" w:hAnsi="Arial" w:cs="Arial"/>
          <w:b w:val="0"/>
          <w:bCs w:val="0"/>
          <w:color w:val="000000"/>
          <w:sz w:val="19"/>
          <w:szCs w:val="19"/>
        </w:rPr>
        <w:t>Artículo 2.2.1.1.1.5.3. </w:t>
      </w:r>
      <w:r w:rsidRPr="001A4790">
        <w:rPr>
          <w:rStyle w:val="nfasis"/>
          <w:rFonts w:ascii="Arial" w:hAnsi="Arial" w:cs="Arial"/>
          <w:bCs/>
          <w:color w:val="000000"/>
          <w:sz w:val="19"/>
          <w:szCs w:val="19"/>
        </w:rPr>
        <w:t>Requisitos habilitantes contenidos en el RUP</w:t>
      </w:r>
      <w:r w:rsidRPr="001A4790">
        <w:rPr>
          <w:rStyle w:val="nfasis"/>
          <w:rFonts w:ascii="Arial" w:hAnsi="Arial" w:cs="Arial"/>
          <w:b/>
          <w:bCs/>
          <w:color w:val="000000"/>
          <w:sz w:val="19"/>
          <w:szCs w:val="19"/>
        </w:rPr>
        <w:t>. </w:t>
      </w:r>
      <w:r w:rsidRPr="001A4790">
        <w:rPr>
          <w:rFonts w:ascii="Arial" w:hAnsi="Arial" w:cs="Arial"/>
          <w:color w:val="000000"/>
          <w:sz w:val="19"/>
          <w:szCs w:val="19"/>
        </w:rPr>
        <w:t>Las cámaras de comercio, con base en la información a la que hace referencia el artículo anterior, deben verificar y certificar los siguientes requisitos habilitantes: </w:t>
      </w:r>
    </w:p>
    <w:p w14:paraId="0930580B" w14:textId="5F7E3398"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 xml:space="preserve">»1. Experiencia – Los contratos celebrados por el interesado para cada uno de los bienes, obras y servicios que ofrecerá a las Entidades Estatales, identificados con el Clasificador de Bienes y Servicios en el tercer nivel y su valor expresado en </w:t>
      </w:r>
      <w:proofErr w:type="spellStart"/>
      <w:r w:rsidRPr="001A4790">
        <w:rPr>
          <w:rFonts w:ascii="Arial" w:hAnsi="Arial" w:cs="Arial"/>
          <w:color w:val="000000"/>
          <w:sz w:val="19"/>
          <w:szCs w:val="19"/>
        </w:rPr>
        <w:t>smmlv</w:t>
      </w:r>
      <w:proofErr w:type="spellEnd"/>
      <w:r w:rsidRPr="001A4790">
        <w:rPr>
          <w:rFonts w:ascii="Arial" w:hAnsi="Arial" w:cs="Arial"/>
          <w:color w:val="000000"/>
          <w:sz w:val="19"/>
          <w:szCs w:val="19"/>
        </w:rPr>
        <w:t>. </w:t>
      </w:r>
    </w:p>
    <w:p w14:paraId="21CB915F" w14:textId="4BEB422E"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 xml:space="preserve">»Los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w:t>
      </w:r>
      <w:proofErr w:type="spellStart"/>
      <w:r w:rsidRPr="001A4790">
        <w:rPr>
          <w:rFonts w:ascii="Arial" w:hAnsi="Arial" w:cs="Arial"/>
          <w:color w:val="000000"/>
          <w:sz w:val="19"/>
          <w:szCs w:val="19"/>
        </w:rPr>
        <w:t>smmlv</w:t>
      </w:r>
      <w:proofErr w:type="spellEnd"/>
      <w:r w:rsidRPr="001A4790">
        <w:rPr>
          <w:rFonts w:ascii="Arial" w:hAnsi="Arial" w:cs="Arial"/>
          <w:color w:val="000000"/>
          <w:sz w:val="19"/>
          <w:szCs w:val="19"/>
        </w:rPr>
        <w:t>. </w:t>
      </w:r>
    </w:p>
    <w:p w14:paraId="772352E3" w14:textId="754A7B04"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 </w:t>
      </w:r>
    </w:p>
    <w:p w14:paraId="40F3150F" w14:textId="2E019B8E"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»3. Capacidad Financiera – los siguientes indicadores miden la fortaleza financiera del interesado: </w:t>
      </w:r>
    </w:p>
    <w:p w14:paraId="4E615226" w14:textId="35C09413"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»3.1. Índice de liquidez: activo corriente dividido por el pasivo corriente. </w:t>
      </w:r>
    </w:p>
    <w:p w14:paraId="43800C3A" w14:textId="6E16CB96"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»3.2. Índice de endeudamiento: pasivo total dividido por el activo total. </w:t>
      </w:r>
    </w:p>
    <w:p w14:paraId="1EF8C06F" w14:textId="1723A799"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»3.3. Razón de cobertura de intereses: utilidad operacional dividida por los gastos de intereses. </w:t>
      </w:r>
    </w:p>
    <w:p w14:paraId="088E337B" w14:textId="67EBCE8A"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»4. Capacidad Organizacional – los siguientes indicadores miden el rendimiento de las inversiones y la eficiencia en el uso de activos del interesado: </w:t>
      </w:r>
    </w:p>
    <w:p w14:paraId="56A125B6" w14:textId="75C7F801"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»4.1. Rentabilidad del patrimonio: utilidad operacional dividida por el patrimonio. </w:t>
      </w:r>
    </w:p>
    <w:p w14:paraId="6065159B" w14:textId="13BA9F46" w:rsidR="00DB06A8" w:rsidRPr="001A4790" w:rsidRDefault="00DB06A8" w:rsidP="001A4790">
      <w:pPr>
        <w:pStyle w:val="NormalWeb"/>
        <w:spacing w:before="0" w:beforeAutospacing="0" w:after="0" w:afterAutospacing="0"/>
        <w:jc w:val="both"/>
        <w:rPr>
          <w:rFonts w:ascii="Arial" w:hAnsi="Arial" w:cs="Arial"/>
          <w:color w:val="000000"/>
          <w:sz w:val="19"/>
          <w:szCs w:val="19"/>
        </w:rPr>
      </w:pPr>
      <w:r w:rsidRPr="001A4790">
        <w:rPr>
          <w:rFonts w:ascii="Arial" w:hAnsi="Arial" w:cs="Arial"/>
          <w:color w:val="000000"/>
          <w:sz w:val="19"/>
          <w:szCs w:val="19"/>
        </w:rPr>
        <w:t>  </w:t>
      </w:r>
      <w:r w:rsidRPr="001A4790">
        <w:rPr>
          <w:rFonts w:ascii="Arial" w:hAnsi="Arial" w:cs="Arial"/>
          <w:color w:val="000000"/>
          <w:sz w:val="19"/>
          <w:szCs w:val="19"/>
        </w:rPr>
        <w:tab/>
        <w:t>»4.2. Rentabilidad del activo: utilidad operacional dividida por el activo total».  </w:t>
      </w:r>
    </w:p>
    <w:p w14:paraId="1229FD41" w14:textId="20FAB706" w:rsidR="00DB06A8" w:rsidRPr="001A4790" w:rsidRDefault="00DB06A8" w:rsidP="00DB06A8">
      <w:pPr>
        <w:pStyle w:val="Textonotapie"/>
        <w:rPr>
          <w:rFonts w:ascii="Arial" w:hAnsi="Arial" w:cs="Arial"/>
          <w:sz w:val="19"/>
          <w:szCs w:val="19"/>
        </w:rPr>
      </w:pPr>
      <w:r w:rsidRPr="001A4790">
        <w:rPr>
          <w:rFonts w:ascii="Arial" w:hAnsi="Arial" w:cs="Arial"/>
          <w:sz w:val="19"/>
          <w:szCs w:val="19"/>
        </w:rPr>
        <w:t xml:space="preserve"> </w:t>
      </w:r>
    </w:p>
  </w:footnote>
  <w:footnote w:id="10">
    <w:p w14:paraId="27DA7309" w14:textId="77777777" w:rsidR="0001523C" w:rsidRPr="00DB06A8" w:rsidRDefault="0001523C" w:rsidP="00DB06A8">
      <w:pPr>
        <w:pStyle w:val="Textonotapie"/>
        <w:jc w:val="both"/>
        <w:rPr>
          <w:rFonts w:ascii="Arial" w:hAnsi="Arial" w:cs="Arial"/>
          <w:sz w:val="19"/>
          <w:szCs w:val="19"/>
        </w:rPr>
      </w:pPr>
      <w:r w:rsidRPr="001A4790">
        <w:rPr>
          <w:rFonts w:ascii="Arial" w:hAnsi="Arial" w:cs="Arial"/>
          <w:sz w:val="19"/>
          <w:szCs w:val="19"/>
        </w:rPr>
        <w:tab/>
      </w:r>
      <w:r w:rsidRPr="00DB06A8">
        <w:rPr>
          <w:rStyle w:val="Refdenotaalpie"/>
          <w:rFonts w:ascii="Arial" w:hAnsi="Arial" w:cs="Arial"/>
          <w:sz w:val="19"/>
          <w:szCs w:val="19"/>
        </w:rPr>
        <w:footnoteRef/>
      </w:r>
      <w:r w:rsidRPr="00DB06A8">
        <w:rPr>
          <w:rFonts w:ascii="Arial" w:hAnsi="Arial" w:cs="Arial"/>
          <w:sz w:val="19"/>
          <w:szCs w:val="19"/>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F70B2" w14:textId="77777777" w:rsidR="00FF547A" w:rsidRPr="003F58A1" w:rsidRDefault="00FF547A" w:rsidP="00FF547A">
    <w:pPr>
      <w:rPr>
        <w:rFonts w:ascii="Geomanist Bold" w:hAnsi="Geomanist Bold"/>
        <w:color w:val="002060"/>
      </w:rPr>
    </w:pPr>
    <w:r w:rsidRPr="008614E5">
      <w:rPr>
        <w:rFonts w:eastAsia="Arial Nova" w:cs="Arial Nova"/>
        <w:noProof/>
        <w:lang w:eastAsia="es-CO"/>
      </w:rPr>
      <w:drawing>
        <wp:anchor distT="0" distB="0" distL="0" distR="0" simplePos="0" relativeHeight="251659264" behindDoc="1" locked="0" layoutInCell="1" hidden="0" allowOverlap="1" wp14:anchorId="5874DB57" wp14:editId="160F8ED8">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FF547A" w:rsidRPr="00367110" w14:paraId="5ED9DEE1" w14:textId="77777777" w:rsidTr="005C12A3">
      <w:tc>
        <w:tcPr>
          <w:tcW w:w="6756" w:type="dxa"/>
        </w:tcPr>
        <w:p w14:paraId="0A134E09" w14:textId="77777777" w:rsidR="00FF547A" w:rsidRPr="006478E3" w:rsidRDefault="00FF547A" w:rsidP="00FF547A">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1A55BEE" w14:textId="77777777" w:rsidR="00FF547A" w:rsidRPr="0057618A" w:rsidRDefault="00FF547A" w:rsidP="00FF547A">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5FC476D3" w14:textId="77777777" w:rsidR="00FF547A" w:rsidRPr="00367110" w:rsidRDefault="00FF547A" w:rsidP="00FF547A">
          <w:pPr>
            <w:jc w:val="right"/>
            <w:rPr>
              <w:rFonts w:eastAsia="Arial Nova" w:cs="Arial Nova"/>
              <w:lang w:eastAsia="es-CO"/>
            </w:rPr>
          </w:pPr>
        </w:p>
      </w:tc>
      <w:tc>
        <w:tcPr>
          <w:tcW w:w="1324" w:type="dxa"/>
        </w:tcPr>
        <w:p w14:paraId="0F0F73CB" w14:textId="77777777" w:rsidR="00FF547A" w:rsidRPr="00367110" w:rsidRDefault="00FF547A" w:rsidP="00FF547A">
          <w:pPr>
            <w:jc w:val="right"/>
            <w:rPr>
              <w:rFonts w:eastAsia="Arial Nova" w:cs="Arial Nova"/>
              <w:lang w:eastAsia="es-CO"/>
            </w:rPr>
          </w:pPr>
        </w:p>
      </w:tc>
    </w:tr>
  </w:tbl>
  <w:p w14:paraId="6748370D" w14:textId="77777777" w:rsidR="00FF547A" w:rsidRPr="00906B3C" w:rsidRDefault="00FF547A" w:rsidP="00FF547A">
    <w:pPr>
      <w:pStyle w:val="Encabezado"/>
      <w:ind w:left="3545" w:firstLine="709"/>
      <w:rPr>
        <w:b/>
        <w:bCs/>
        <w:color w:val="A5A5A5" w:themeColor="accent3"/>
        <w:sz w:val="18"/>
        <w:szCs w:val="18"/>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6DE7C012" wp14:editId="6EC056F1">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96DAC93" w14:textId="5AAD8977" w:rsidR="00D81E5B" w:rsidRDefault="00D81E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33D57"/>
    <w:multiLevelType w:val="hybridMultilevel"/>
    <w:tmpl w:val="F4BEBEDE"/>
    <w:lvl w:ilvl="0" w:tplc="FFFFFFFF">
      <w:start w:val="1"/>
      <w:numFmt w:val="decimal"/>
      <w:lvlText w:val="%1."/>
      <w:lvlJc w:val="left"/>
      <w:pPr>
        <w:ind w:left="720" w:hanging="360"/>
      </w:pPr>
      <w:rPr>
        <w:rFonts w:eastAsia="Calibri" w:hint="default"/>
        <w:sz w:val="21"/>
        <w:szCs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4592630"/>
    <w:multiLevelType w:val="hybridMultilevel"/>
    <w:tmpl w:val="7A7411D8"/>
    <w:lvl w:ilvl="0" w:tplc="0A1C59BA">
      <w:start w:val="1"/>
      <w:numFmt w:val="lowerLetter"/>
      <w:lvlText w:val="%1)"/>
      <w:lvlJc w:val="left"/>
      <w:pPr>
        <w:ind w:left="1008" w:hanging="330"/>
      </w:pPr>
      <w:rPr>
        <w:rFonts w:ascii="Arial" w:eastAsia="Arial" w:hAnsi="Arial" w:cs="Arial" w:hint="default"/>
        <w:color w:val="4E4D4D"/>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2" w15:restartNumberingAfterBreak="0">
    <w:nsid w:val="2D1546DC"/>
    <w:multiLevelType w:val="multilevel"/>
    <w:tmpl w:val="AB72A74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abstractNum w:abstractNumId="4" w15:restartNumberingAfterBreak="0">
    <w:nsid w:val="5D5F44E0"/>
    <w:multiLevelType w:val="hybridMultilevel"/>
    <w:tmpl w:val="F4BEBEDE"/>
    <w:lvl w:ilvl="0" w:tplc="EC40D58E">
      <w:start w:val="1"/>
      <w:numFmt w:val="decimal"/>
      <w:lvlText w:val="%1."/>
      <w:lvlJc w:val="left"/>
      <w:pPr>
        <w:ind w:left="720" w:hanging="360"/>
      </w:pPr>
      <w:rPr>
        <w:rFonts w:eastAsia="Calibri" w:hint="default"/>
        <w:sz w:val="21"/>
        <w:szCs w:val="2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1048798576">
    <w:abstractNumId w:val="2"/>
  </w:num>
  <w:num w:numId="2" w16cid:durableId="2056267502">
    <w:abstractNumId w:val="5"/>
  </w:num>
  <w:num w:numId="3" w16cid:durableId="1450319055">
    <w:abstractNumId w:val="1"/>
  </w:num>
  <w:num w:numId="4" w16cid:durableId="1644043281">
    <w:abstractNumId w:val="3"/>
  </w:num>
  <w:num w:numId="5" w16cid:durableId="284046649">
    <w:abstractNumId w:val="4"/>
  </w:num>
  <w:num w:numId="6" w16cid:durableId="604575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067"/>
    <w:rsid w:val="0000246D"/>
    <w:rsid w:val="000027AC"/>
    <w:rsid w:val="0000290E"/>
    <w:rsid w:val="00013A32"/>
    <w:rsid w:val="0001523C"/>
    <w:rsid w:val="000160CE"/>
    <w:rsid w:val="00027E00"/>
    <w:rsid w:val="00034765"/>
    <w:rsid w:val="00041A62"/>
    <w:rsid w:val="00044150"/>
    <w:rsid w:val="0004470C"/>
    <w:rsid w:val="00047939"/>
    <w:rsid w:val="00051DF9"/>
    <w:rsid w:val="00063E22"/>
    <w:rsid w:val="00064617"/>
    <w:rsid w:val="000714BA"/>
    <w:rsid w:val="00075CB7"/>
    <w:rsid w:val="000770A6"/>
    <w:rsid w:val="000815BD"/>
    <w:rsid w:val="00093ECC"/>
    <w:rsid w:val="000965D3"/>
    <w:rsid w:val="000A1A65"/>
    <w:rsid w:val="000A22E0"/>
    <w:rsid w:val="000A6950"/>
    <w:rsid w:val="000A71F8"/>
    <w:rsid w:val="000B322A"/>
    <w:rsid w:val="000B38F9"/>
    <w:rsid w:val="000B6B23"/>
    <w:rsid w:val="000B7A2F"/>
    <w:rsid w:val="000C0C5A"/>
    <w:rsid w:val="000C176A"/>
    <w:rsid w:val="000C41FF"/>
    <w:rsid w:val="000D17CE"/>
    <w:rsid w:val="000D31AF"/>
    <w:rsid w:val="000E2C53"/>
    <w:rsid w:val="000E4BCC"/>
    <w:rsid w:val="000E6606"/>
    <w:rsid w:val="000F16C3"/>
    <w:rsid w:val="000F20D6"/>
    <w:rsid w:val="0010115C"/>
    <w:rsid w:val="001048AE"/>
    <w:rsid w:val="00110547"/>
    <w:rsid w:val="001221E5"/>
    <w:rsid w:val="00122D5C"/>
    <w:rsid w:val="001335B5"/>
    <w:rsid w:val="0014294A"/>
    <w:rsid w:val="00145CEA"/>
    <w:rsid w:val="0015100A"/>
    <w:rsid w:val="001542F1"/>
    <w:rsid w:val="00155176"/>
    <w:rsid w:val="00155A6A"/>
    <w:rsid w:val="00156332"/>
    <w:rsid w:val="00156426"/>
    <w:rsid w:val="00157024"/>
    <w:rsid w:val="00157364"/>
    <w:rsid w:val="00160EA4"/>
    <w:rsid w:val="0016321F"/>
    <w:rsid w:val="00166895"/>
    <w:rsid w:val="00172E23"/>
    <w:rsid w:val="0017361B"/>
    <w:rsid w:val="001856A6"/>
    <w:rsid w:val="0019286E"/>
    <w:rsid w:val="0019347C"/>
    <w:rsid w:val="00194035"/>
    <w:rsid w:val="0019577D"/>
    <w:rsid w:val="00196387"/>
    <w:rsid w:val="001973D3"/>
    <w:rsid w:val="001A1FE0"/>
    <w:rsid w:val="001A4790"/>
    <w:rsid w:val="001A7515"/>
    <w:rsid w:val="001B1ED3"/>
    <w:rsid w:val="001B5043"/>
    <w:rsid w:val="001B5704"/>
    <w:rsid w:val="001C7F1C"/>
    <w:rsid w:val="001D014E"/>
    <w:rsid w:val="001D169F"/>
    <w:rsid w:val="001D579D"/>
    <w:rsid w:val="001E00A3"/>
    <w:rsid w:val="001E0D8E"/>
    <w:rsid w:val="001E51C7"/>
    <w:rsid w:val="001F0BA1"/>
    <w:rsid w:val="001F1036"/>
    <w:rsid w:val="001F2FE7"/>
    <w:rsid w:val="001F4A87"/>
    <w:rsid w:val="0020666F"/>
    <w:rsid w:val="0022027A"/>
    <w:rsid w:val="002203D9"/>
    <w:rsid w:val="00222FE7"/>
    <w:rsid w:val="0023114E"/>
    <w:rsid w:val="00234C96"/>
    <w:rsid w:val="00236169"/>
    <w:rsid w:val="002370E0"/>
    <w:rsid w:val="002410B7"/>
    <w:rsid w:val="00244285"/>
    <w:rsid w:val="0024753C"/>
    <w:rsid w:val="002546FB"/>
    <w:rsid w:val="00255AF6"/>
    <w:rsid w:val="0025667C"/>
    <w:rsid w:val="002650A2"/>
    <w:rsid w:val="00266469"/>
    <w:rsid w:val="00267994"/>
    <w:rsid w:val="0027060A"/>
    <w:rsid w:val="00273DB1"/>
    <w:rsid w:val="00274FF8"/>
    <w:rsid w:val="00276E87"/>
    <w:rsid w:val="00276F1D"/>
    <w:rsid w:val="0027789E"/>
    <w:rsid w:val="00280012"/>
    <w:rsid w:val="002835D0"/>
    <w:rsid w:val="0028433E"/>
    <w:rsid w:val="00290872"/>
    <w:rsid w:val="00292A75"/>
    <w:rsid w:val="00294A56"/>
    <w:rsid w:val="002A092A"/>
    <w:rsid w:val="002B2085"/>
    <w:rsid w:val="002B5D94"/>
    <w:rsid w:val="002B6EDD"/>
    <w:rsid w:val="002C3DC8"/>
    <w:rsid w:val="002D55E0"/>
    <w:rsid w:val="002D6662"/>
    <w:rsid w:val="002E0539"/>
    <w:rsid w:val="002E4878"/>
    <w:rsid w:val="002F339A"/>
    <w:rsid w:val="002F3B48"/>
    <w:rsid w:val="002F5437"/>
    <w:rsid w:val="00305DDD"/>
    <w:rsid w:val="00306CF5"/>
    <w:rsid w:val="00307D38"/>
    <w:rsid w:val="003104CB"/>
    <w:rsid w:val="00311E48"/>
    <w:rsid w:val="00313EFB"/>
    <w:rsid w:val="003142AF"/>
    <w:rsid w:val="00316157"/>
    <w:rsid w:val="003210B5"/>
    <w:rsid w:val="003258E3"/>
    <w:rsid w:val="00332D6E"/>
    <w:rsid w:val="00333088"/>
    <w:rsid w:val="00334B19"/>
    <w:rsid w:val="00337918"/>
    <w:rsid w:val="00341302"/>
    <w:rsid w:val="0035529C"/>
    <w:rsid w:val="00355937"/>
    <w:rsid w:val="003610F4"/>
    <w:rsid w:val="00364D51"/>
    <w:rsid w:val="003702AD"/>
    <w:rsid w:val="0037154B"/>
    <w:rsid w:val="00372146"/>
    <w:rsid w:val="00375947"/>
    <w:rsid w:val="00377837"/>
    <w:rsid w:val="0038422A"/>
    <w:rsid w:val="00385A96"/>
    <w:rsid w:val="00385B3E"/>
    <w:rsid w:val="003870E4"/>
    <w:rsid w:val="00391B62"/>
    <w:rsid w:val="003921EC"/>
    <w:rsid w:val="00393B89"/>
    <w:rsid w:val="00395260"/>
    <w:rsid w:val="003953A4"/>
    <w:rsid w:val="003A235D"/>
    <w:rsid w:val="003A279E"/>
    <w:rsid w:val="003A7C69"/>
    <w:rsid w:val="003B42A6"/>
    <w:rsid w:val="003B76F3"/>
    <w:rsid w:val="003C0050"/>
    <w:rsid w:val="003C1B39"/>
    <w:rsid w:val="003C6B38"/>
    <w:rsid w:val="003C7067"/>
    <w:rsid w:val="003D24F8"/>
    <w:rsid w:val="003E023D"/>
    <w:rsid w:val="003E060B"/>
    <w:rsid w:val="003E306B"/>
    <w:rsid w:val="003F0A31"/>
    <w:rsid w:val="003F2CA6"/>
    <w:rsid w:val="00400B3F"/>
    <w:rsid w:val="0040411F"/>
    <w:rsid w:val="004116D9"/>
    <w:rsid w:val="00413F87"/>
    <w:rsid w:val="00425CA0"/>
    <w:rsid w:val="00427639"/>
    <w:rsid w:val="0043199D"/>
    <w:rsid w:val="0043465F"/>
    <w:rsid w:val="00450F52"/>
    <w:rsid w:val="004514C3"/>
    <w:rsid w:val="004521F3"/>
    <w:rsid w:val="00452B6D"/>
    <w:rsid w:val="00452C65"/>
    <w:rsid w:val="004530B5"/>
    <w:rsid w:val="004530DC"/>
    <w:rsid w:val="004541BB"/>
    <w:rsid w:val="00454C1E"/>
    <w:rsid w:val="00457483"/>
    <w:rsid w:val="00457AAD"/>
    <w:rsid w:val="00461578"/>
    <w:rsid w:val="004662C1"/>
    <w:rsid w:val="004665D9"/>
    <w:rsid w:val="004708A3"/>
    <w:rsid w:val="00472517"/>
    <w:rsid w:val="00487CAB"/>
    <w:rsid w:val="004963B0"/>
    <w:rsid w:val="004A0C2B"/>
    <w:rsid w:val="004A2FA1"/>
    <w:rsid w:val="004A6DF7"/>
    <w:rsid w:val="004B2DEB"/>
    <w:rsid w:val="004B3167"/>
    <w:rsid w:val="004B3476"/>
    <w:rsid w:val="004B569C"/>
    <w:rsid w:val="004C1C33"/>
    <w:rsid w:val="004C27EC"/>
    <w:rsid w:val="004C4C02"/>
    <w:rsid w:val="004D1CAE"/>
    <w:rsid w:val="004D3244"/>
    <w:rsid w:val="004D4519"/>
    <w:rsid w:val="004D76E8"/>
    <w:rsid w:val="004E3799"/>
    <w:rsid w:val="004E5663"/>
    <w:rsid w:val="004E587A"/>
    <w:rsid w:val="004E76CB"/>
    <w:rsid w:val="004F1086"/>
    <w:rsid w:val="004F654F"/>
    <w:rsid w:val="005058EF"/>
    <w:rsid w:val="0051003B"/>
    <w:rsid w:val="00521AC0"/>
    <w:rsid w:val="005278E3"/>
    <w:rsid w:val="0053012B"/>
    <w:rsid w:val="005313ED"/>
    <w:rsid w:val="00532580"/>
    <w:rsid w:val="00533EDC"/>
    <w:rsid w:val="00543797"/>
    <w:rsid w:val="00545362"/>
    <w:rsid w:val="005463B4"/>
    <w:rsid w:val="00546A01"/>
    <w:rsid w:val="00546BD3"/>
    <w:rsid w:val="005537BE"/>
    <w:rsid w:val="00554FCF"/>
    <w:rsid w:val="00564571"/>
    <w:rsid w:val="00573E27"/>
    <w:rsid w:val="005745BF"/>
    <w:rsid w:val="005752B3"/>
    <w:rsid w:val="00584231"/>
    <w:rsid w:val="005867C9"/>
    <w:rsid w:val="00594698"/>
    <w:rsid w:val="005B14B2"/>
    <w:rsid w:val="005B384E"/>
    <w:rsid w:val="005B39BF"/>
    <w:rsid w:val="005B441F"/>
    <w:rsid w:val="005C6BBE"/>
    <w:rsid w:val="005D20C7"/>
    <w:rsid w:val="005D539E"/>
    <w:rsid w:val="005E57D6"/>
    <w:rsid w:val="00607049"/>
    <w:rsid w:val="00611C84"/>
    <w:rsid w:val="0061555F"/>
    <w:rsid w:val="006169DA"/>
    <w:rsid w:val="00625F16"/>
    <w:rsid w:val="00626DC2"/>
    <w:rsid w:val="00632D2B"/>
    <w:rsid w:val="00645FB0"/>
    <w:rsid w:val="00646C99"/>
    <w:rsid w:val="00652125"/>
    <w:rsid w:val="006534EE"/>
    <w:rsid w:val="00657CB5"/>
    <w:rsid w:val="00660C19"/>
    <w:rsid w:val="006610BD"/>
    <w:rsid w:val="00661CE8"/>
    <w:rsid w:val="00664E56"/>
    <w:rsid w:val="00676C2D"/>
    <w:rsid w:val="006908AF"/>
    <w:rsid w:val="006929FC"/>
    <w:rsid w:val="00696C59"/>
    <w:rsid w:val="0069743E"/>
    <w:rsid w:val="00697780"/>
    <w:rsid w:val="006A0B2E"/>
    <w:rsid w:val="006A2383"/>
    <w:rsid w:val="006B040D"/>
    <w:rsid w:val="006B06C7"/>
    <w:rsid w:val="006B205F"/>
    <w:rsid w:val="006B5BAD"/>
    <w:rsid w:val="006C11AC"/>
    <w:rsid w:val="006C25DE"/>
    <w:rsid w:val="006C67CE"/>
    <w:rsid w:val="006C730C"/>
    <w:rsid w:val="006D1233"/>
    <w:rsid w:val="006D1DF5"/>
    <w:rsid w:val="006D42CA"/>
    <w:rsid w:val="006D43D6"/>
    <w:rsid w:val="006D4E4D"/>
    <w:rsid w:val="006D66D3"/>
    <w:rsid w:val="006D7111"/>
    <w:rsid w:val="006E01E2"/>
    <w:rsid w:val="006E280E"/>
    <w:rsid w:val="006E2E59"/>
    <w:rsid w:val="006E3684"/>
    <w:rsid w:val="006E599A"/>
    <w:rsid w:val="006F628A"/>
    <w:rsid w:val="006F6C29"/>
    <w:rsid w:val="007007D0"/>
    <w:rsid w:val="0070319B"/>
    <w:rsid w:val="00703305"/>
    <w:rsid w:val="007039AC"/>
    <w:rsid w:val="007101DE"/>
    <w:rsid w:val="0071057D"/>
    <w:rsid w:val="007135B5"/>
    <w:rsid w:val="00714D49"/>
    <w:rsid w:val="0071587F"/>
    <w:rsid w:val="007301A5"/>
    <w:rsid w:val="00731374"/>
    <w:rsid w:val="007374F5"/>
    <w:rsid w:val="007402D6"/>
    <w:rsid w:val="0074401A"/>
    <w:rsid w:val="007444BB"/>
    <w:rsid w:val="007477FE"/>
    <w:rsid w:val="007533F2"/>
    <w:rsid w:val="007566AD"/>
    <w:rsid w:val="00763584"/>
    <w:rsid w:val="00766606"/>
    <w:rsid w:val="007704C1"/>
    <w:rsid w:val="00771994"/>
    <w:rsid w:val="00774EA0"/>
    <w:rsid w:val="00777ABC"/>
    <w:rsid w:val="00780EF8"/>
    <w:rsid w:val="00781A67"/>
    <w:rsid w:val="007A09E8"/>
    <w:rsid w:val="007A13A0"/>
    <w:rsid w:val="007A48A1"/>
    <w:rsid w:val="007A52B4"/>
    <w:rsid w:val="007A58B1"/>
    <w:rsid w:val="007A5F2D"/>
    <w:rsid w:val="007A6F08"/>
    <w:rsid w:val="007B0517"/>
    <w:rsid w:val="007B4AAC"/>
    <w:rsid w:val="007B4CC3"/>
    <w:rsid w:val="007C14A7"/>
    <w:rsid w:val="007C18F9"/>
    <w:rsid w:val="007D5580"/>
    <w:rsid w:val="007D648E"/>
    <w:rsid w:val="007E48AE"/>
    <w:rsid w:val="007F1DEE"/>
    <w:rsid w:val="007F4036"/>
    <w:rsid w:val="007F55F8"/>
    <w:rsid w:val="007F6F80"/>
    <w:rsid w:val="007F737A"/>
    <w:rsid w:val="00802CD1"/>
    <w:rsid w:val="00812BB2"/>
    <w:rsid w:val="00817CCE"/>
    <w:rsid w:val="0082271C"/>
    <w:rsid w:val="00826A17"/>
    <w:rsid w:val="0082778E"/>
    <w:rsid w:val="0083524B"/>
    <w:rsid w:val="008402CD"/>
    <w:rsid w:val="00841BDF"/>
    <w:rsid w:val="00843CDF"/>
    <w:rsid w:val="008443B3"/>
    <w:rsid w:val="00847A78"/>
    <w:rsid w:val="00854A55"/>
    <w:rsid w:val="00860639"/>
    <w:rsid w:val="00863607"/>
    <w:rsid w:val="0087011C"/>
    <w:rsid w:val="008702BA"/>
    <w:rsid w:val="008708B7"/>
    <w:rsid w:val="008735D0"/>
    <w:rsid w:val="0087674C"/>
    <w:rsid w:val="00876B78"/>
    <w:rsid w:val="00881AE8"/>
    <w:rsid w:val="00890AB8"/>
    <w:rsid w:val="00890D5F"/>
    <w:rsid w:val="00893807"/>
    <w:rsid w:val="008951CE"/>
    <w:rsid w:val="008958AC"/>
    <w:rsid w:val="00896007"/>
    <w:rsid w:val="008A2F7B"/>
    <w:rsid w:val="008A6295"/>
    <w:rsid w:val="008A7D7A"/>
    <w:rsid w:val="008C1D44"/>
    <w:rsid w:val="008C368A"/>
    <w:rsid w:val="008D2933"/>
    <w:rsid w:val="008D35A4"/>
    <w:rsid w:val="008D6FD8"/>
    <w:rsid w:val="008E33F5"/>
    <w:rsid w:val="008E518E"/>
    <w:rsid w:val="008F10C7"/>
    <w:rsid w:val="008F6E0C"/>
    <w:rsid w:val="009040A2"/>
    <w:rsid w:val="0090501B"/>
    <w:rsid w:val="0090557C"/>
    <w:rsid w:val="00913406"/>
    <w:rsid w:val="0091503C"/>
    <w:rsid w:val="00920086"/>
    <w:rsid w:val="0092073B"/>
    <w:rsid w:val="0092111A"/>
    <w:rsid w:val="009212E1"/>
    <w:rsid w:val="00924576"/>
    <w:rsid w:val="009346BA"/>
    <w:rsid w:val="009418A5"/>
    <w:rsid w:val="0094506A"/>
    <w:rsid w:val="009470FC"/>
    <w:rsid w:val="009527E4"/>
    <w:rsid w:val="009540D3"/>
    <w:rsid w:val="00961511"/>
    <w:rsid w:val="00962D13"/>
    <w:rsid w:val="00965B3A"/>
    <w:rsid w:val="00975452"/>
    <w:rsid w:val="00977BC1"/>
    <w:rsid w:val="00984D8B"/>
    <w:rsid w:val="00987493"/>
    <w:rsid w:val="00987861"/>
    <w:rsid w:val="009916A6"/>
    <w:rsid w:val="0099278D"/>
    <w:rsid w:val="0099407E"/>
    <w:rsid w:val="00994D39"/>
    <w:rsid w:val="00996366"/>
    <w:rsid w:val="0099787B"/>
    <w:rsid w:val="009A246D"/>
    <w:rsid w:val="009B20DB"/>
    <w:rsid w:val="009B2C35"/>
    <w:rsid w:val="009B5641"/>
    <w:rsid w:val="009B5F97"/>
    <w:rsid w:val="009B6276"/>
    <w:rsid w:val="009C16B3"/>
    <w:rsid w:val="009C5E1C"/>
    <w:rsid w:val="009C5E76"/>
    <w:rsid w:val="009C7BBC"/>
    <w:rsid w:val="009D66B9"/>
    <w:rsid w:val="009D6BD7"/>
    <w:rsid w:val="009F0A44"/>
    <w:rsid w:val="009F4002"/>
    <w:rsid w:val="009F4296"/>
    <w:rsid w:val="009F532D"/>
    <w:rsid w:val="009F5860"/>
    <w:rsid w:val="009F5A81"/>
    <w:rsid w:val="009F5CFA"/>
    <w:rsid w:val="009F7627"/>
    <w:rsid w:val="00A0046D"/>
    <w:rsid w:val="00A009D4"/>
    <w:rsid w:val="00A04819"/>
    <w:rsid w:val="00A053C7"/>
    <w:rsid w:val="00A061EC"/>
    <w:rsid w:val="00A1657C"/>
    <w:rsid w:val="00A16F59"/>
    <w:rsid w:val="00A201B3"/>
    <w:rsid w:val="00A21241"/>
    <w:rsid w:val="00A2369A"/>
    <w:rsid w:val="00A23905"/>
    <w:rsid w:val="00A412E5"/>
    <w:rsid w:val="00A55358"/>
    <w:rsid w:val="00A55366"/>
    <w:rsid w:val="00A57E21"/>
    <w:rsid w:val="00A63DA3"/>
    <w:rsid w:val="00A768B4"/>
    <w:rsid w:val="00A81B31"/>
    <w:rsid w:val="00A82D11"/>
    <w:rsid w:val="00A83C01"/>
    <w:rsid w:val="00A844C4"/>
    <w:rsid w:val="00A86314"/>
    <w:rsid w:val="00A94591"/>
    <w:rsid w:val="00A977C8"/>
    <w:rsid w:val="00AB244D"/>
    <w:rsid w:val="00AB36B6"/>
    <w:rsid w:val="00AC4FE9"/>
    <w:rsid w:val="00AC5A39"/>
    <w:rsid w:val="00AD027E"/>
    <w:rsid w:val="00AD17DB"/>
    <w:rsid w:val="00AE3552"/>
    <w:rsid w:val="00AE485F"/>
    <w:rsid w:val="00AF2BAE"/>
    <w:rsid w:val="00B0338C"/>
    <w:rsid w:val="00B036EA"/>
    <w:rsid w:val="00B05ACC"/>
    <w:rsid w:val="00B139B2"/>
    <w:rsid w:val="00B204B3"/>
    <w:rsid w:val="00B213A1"/>
    <w:rsid w:val="00B24B11"/>
    <w:rsid w:val="00B325AF"/>
    <w:rsid w:val="00B40B39"/>
    <w:rsid w:val="00B41C7A"/>
    <w:rsid w:val="00B46CB5"/>
    <w:rsid w:val="00B71F0A"/>
    <w:rsid w:val="00B742C2"/>
    <w:rsid w:val="00B74E3B"/>
    <w:rsid w:val="00B82D1D"/>
    <w:rsid w:val="00B93A8D"/>
    <w:rsid w:val="00B97CE2"/>
    <w:rsid w:val="00BA0AE4"/>
    <w:rsid w:val="00BA187E"/>
    <w:rsid w:val="00BA4004"/>
    <w:rsid w:val="00BA515C"/>
    <w:rsid w:val="00BA6AA2"/>
    <w:rsid w:val="00BB5FFC"/>
    <w:rsid w:val="00BC51F1"/>
    <w:rsid w:val="00BD5A6F"/>
    <w:rsid w:val="00BD5ED5"/>
    <w:rsid w:val="00BD7B31"/>
    <w:rsid w:val="00BE065B"/>
    <w:rsid w:val="00BF4336"/>
    <w:rsid w:val="00C04068"/>
    <w:rsid w:val="00C04F58"/>
    <w:rsid w:val="00C1122A"/>
    <w:rsid w:val="00C12608"/>
    <w:rsid w:val="00C15870"/>
    <w:rsid w:val="00C17718"/>
    <w:rsid w:val="00C20A90"/>
    <w:rsid w:val="00C21998"/>
    <w:rsid w:val="00C24E6D"/>
    <w:rsid w:val="00C30F2F"/>
    <w:rsid w:val="00C43F7C"/>
    <w:rsid w:val="00C45EFF"/>
    <w:rsid w:val="00C46B18"/>
    <w:rsid w:val="00C52F53"/>
    <w:rsid w:val="00C55E13"/>
    <w:rsid w:val="00C63119"/>
    <w:rsid w:val="00C667F5"/>
    <w:rsid w:val="00C71F83"/>
    <w:rsid w:val="00C76716"/>
    <w:rsid w:val="00C807B0"/>
    <w:rsid w:val="00C81076"/>
    <w:rsid w:val="00C95355"/>
    <w:rsid w:val="00C967B4"/>
    <w:rsid w:val="00C9717B"/>
    <w:rsid w:val="00CB0C0E"/>
    <w:rsid w:val="00CB294E"/>
    <w:rsid w:val="00CC747F"/>
    <w:rsid w:val="00CD1F2A"/>
    <w:rsid w:val="00CD1FFB"/>
    <w:rsid w:val="00CD23C7"/>
    <w:rsid w:val="00CF21BD"/>
    <w:rsid w:val="00CF4D94"/>
    <w:rsid w:val="00D06B51"/>
    <w:rsid w:val="00D13E49"/>
    <w:rsid w:val="00D14CB4"/>
    <w:rsid w:val="00D20437"/>
    <w:rsid w:val="00D2190E"/>
    <w:rsid w:val="00D26529"/>
    <w:rsid w:val="00D354FA"/>
    <w:rsid w:val="00D371F4"/>
    <w:rsid w:val="00D43237"/>
    <w:rsid w:val="00D4411E"/>
    <w:rsid w:val="00D50AFB"/>
    <w:rsid w:val="00D5574A"/>
    <w:rsid w:val="00D56CA2"/>
    <w:rsid w:val="00D62647"/>
    <w:rsid w:val="00D62C94"/>
    <w:rsid w:val="00D74DB3"/>
    <w:rsid w:val="00D81E5B"/>
    <w:rsid w:val="00D91101"/>
    <w:rsid w:val="00D95F6B"/>
    <w:rsid w:val="00D97105"/>
    <w:rsid w:val="00DA07F3"/>
    <w:rsid w:val="00DA13D9"/>
    <w:rsid w:val="00DA318B"/>
    <w:rsid w:val="00DB06A8"/>
    <w:rsid w:val="00DB16A5"/>
    <w:rsid w:val="00DB587E"/>
    <w:rsid w:val="00DC12B9"/>
    <w:rsid w:val="00DC7CC6"/>
    <w:rsid w:val="00DD50DE"/>
    <w:rsid w:val="00DE29EB"/>
    <w:rsid w:val="00DE6D2B"/>
    <w:rsid w:val="00DE7249"/>
    <w:rsid w:val="00DF02C5"/>
    <w:rsid w:val="00DF3130"/>
    <w:rsid w:val="00DF5BB0"/>
    <w:rsid w:val="00E006F1"/>
    <w:rsid w:val="00E06A3D"/>
    <w:rsid w:val="00E073F4"/>
    <w:rsid w:val="00E1744A"/>
    <w:rsid w:val="00E17DD1"/>
    <w:rsid w:val="00E22024"/>
    <w:rsid w:val="00E2370B"/>
    <w:rsid w:val="00E24030"/>
    <w:rsid w:val="00E36420"/>
    <w:rsid w:val="00E457BB"/>
    <w:rsid w:val="00E5054B"/>
    <w:rsid w:val="00E5202C"/>
    <w:rsid w:val="00E55AA2"/>
    <w:rsid w:val="00E56A40"/>
    <w:rsid w:val="00E60868"/>
    <w:rsid w:val="00E63B8B"/>
    <w:rsid w:val="00E667D8"/>
    <w:rsid w:val="00E6723D"/>
    <w:rsid w:val="00E74412"/>
    <w:rsid w:val="00E84094"/>
    <w:rsid w:val="00E86C4E"/>
    <w:rsid w:val="00E93DD3"/>
    <w:rsid w:val="00E94838"/>
    <w:rsid w:val="00E94A99"/>
    <w:rsid w:val="00E9754D"/>
    <w:rsid w:val="00EA575F"/>
    <w:rsid w:val="00EB1DBF"/>
    <w:rsid w:val="00EB2411"/>
    <w:rsid w:val="00EB32BF"/>
    <w:rsid w:val="00EB66C4"/>
    <w:rsid w:val="00EC5476"/>
    <w:rsid w:val="00ED55F2"/>
    <w:rsid w:val="00EE1EA1"/>
    <w:rsid w:val="00EF19AD"/>
    <w:rsid w:val="00EF1A62"/>
    <w:rsid w:val="00EF2C3C"/>
    <w:rsid w:val="00F00588"/>
    <w:rsid w:val="00F05314"/>
    <w:rsid w:val="00F06CDD"/>
    <w:rsid w:val="00F128A6"/>
    <w:rsid w:val="00F13E1E"/>
    <w:rsid w:val="00F14E3E"/>
    <w:rsid w:val="00F16C48"/>
    <w:rsid w:val="00F17E55"/>
    <w:rsid w:val="00F206CA"/>
    <w:rsid w:val="00F2234C"/>
    <w:rsid w:val="00F22795"/>
    <w:rsid w:val="00F2691F"/>
    <w:rsid w:val="00F2752E"/>
    <w:rsid w:val="00F30C0A"/>
    <w:rsid w:val="00F33EBD"/>
    <w:rsid w:val="00F37E69"/>
    <w:rsid w:val="00F37FFA"/>
    <w:rsid w:val="00F40435"/>
    <w:rsid w:val="00F4282D"/>
    <w:rsid w:val="00F44EDE"/>
    <w:rsid w:val="00F4666D"/>
    <w:rsid w:val="00F46AE1"/>
    <w:rsid w:val="00F537D7"/>
    <w:rsid w:val="00F646A8"/>
    <w:rsid w:val="00F66F1C"/>
    <w:rsid w:val="00F71872"/>
    <w:rsid w:val="00F7482E"/>
    <w:rsid w:val="00F90F70"/>
    <w:rsid w:val="00F967CA"/>
    <w:rsid w:val="00FA1A45"/>
    <w:rsid w:val="00FA1DEA"/>
    <w:rsid w:val="00FA3596"/>
    <w:rsid w:val="00FA4397"/>
    <w:rsid w:val="00FA6BCA"/>
    <w:rsid w:val="00FB2D69"/>
    <w:rsid w:val="00FB4302"/>
    <w:rsid w:val="00FB59B1"/>
    <w:rsid w:val="00FB5F56"/>
    <w:rsid w:val="00FC0382"/>
    <w:rsid w:val="00FC0CA5"/>
    <w:rsid w:val="00FC460F"/>
    <w:rsid w:val="00FC53A0"/>
    <w:rsid w:val="00FC6445"/>
    <w:rsid w:val="00FC76EE"/>
    <w:rsid w:val="00FD2E94"/>
    <w:rsid w:val="00FD300E"/>
    <w:rsid w:val="00FE1E54"/>
    <w:rsid w:val="00FE3D56"/>
    <w:rsid w:val="00FF2096"/>
    <w:rsid w:val="00FF547A"/>
    <w:rsid w:val="00FF5495"/>
    <w:rsid w:val="449DBD2C"/>
    <w:rsid w:val="52A326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F49E1"/>
  <w15:docId w15:val="{354CF7AC-156D-484E-9A1E-F0FA0D7F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119"/>
    <w:rPr>
      <w:rFonts w:ascii="Times New Roman" w:eastAsia="Times New Roman" w:hAnsi="Times New Roman" w:cs="Times New Roman"/>
      <w:lang w:eastAsia="es-MX"/>
    </w:rPr>
  </w:style>
  <w:style w:type="paragraph" w:styleId="Ttulo1">
    <w:name w:val="heading 1"/>
    <w:basedOn w:val="Normal"/>
    <w:link w:val="Ttulo1Car"/>
    <w:uiPriority w:val="9"/>
    <w:qFormat/>
    <w:rsid w:val="00F128A6"/>
    <w:pPr>
      <w:widowControl w:val="0"/>
      <w:autoSpaceDE w:val="0"/>
      <w:autoSpaceDN w:val="0"/>
      <w:ind w:left="543"/>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C706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C7067"/>
    <w:rPr>
      <w:szCs w:val="22"/>
      <w:lang w:val="es-MX"/>
    </w:rPr>
  </w:style>
  <w:style w:type="paragraph" w:styleId="Encabezado">
    <w:name w:val="header"/>
    <w:basedOn w:val="Normal"/>
    <w:link w:val="EncabezadoCar"/>
    <w:uiPriority w:val="99"/>
    <w:unhideWhenUsed/>
    <w:rsid w:val="003C706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C7067"/>
    <w:rPr>
      <w:szCs w:val="22"/>
      <w:lang w:val="es-MX"/>
    </w:rPr>
  </w:style>
  <w:style w:type="table" w:styleId="Tablaconcuadrcula">
    <w:name w:val="Table Grid"/>
    <w:basedOn w:val="Tablanormal"/>
    <w:uiPriority w:val="39"/>
    <w:qFormat/>
    <w:rsid w:val="003C706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3C706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1"/>
    <w:qFormat/>
    <w:rsid w:val="003C706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C706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3C7067"/>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har Char Char Car,Footnote Text Cha Car,Footnote Text Char Char Char Car,FA Fußnotentext Car,FA Fuﬂnotentext Car"/>
    <w:basedOn w:val="Fuentedeprrafopredeter"/>
    <w:qFormat/>
    <w:rsid w:val="003C706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C706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C7067"/>
    <w:rPr>
      <w:vertAlign w:val="superscript"/>
    </w:rPr>
  </w:style>
  <w:style w:type="paragraph" w:styleId="Textoindependiente">
    <w:name w:val="Body Text"/>
    <w:basedOn w:val="Normal"/>
    <w:link w:val="TextoindependienteCar"/>
    <w:uiPriority w:val="1"/>
    <w:qFormat/>
    <w:rsid w:val="003C706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C7067"/>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3C7067"/>
    <w:pPr>
      <w:spacing w:after="160" w:line="240" w:lineRule="exact"/>
    </w:pPr>
    <w:rPr>
      <w:rFonts w:asciiTheme="minorHAnsi" w:eastAsiaTheme="minorHAnsi" w:hAnsiTheme="minorHAnsi" w:cstheme="minorBidi"/>
      <w:vertAlign w:val="superscript"/>
      <w:lang w:eastAsia="en-US"/>
    </w:rPr>
  </w:style>
  <w:style w:type="paragraph" w:styleId="Textocomentario">
    <w:name w:val="annotation text"/>
    <w:basedOn w:val="Normal"/>
    <w:link w:val="TextocomentarioCar"/>
    <w:uiPriority w:val="99"/>
    <w:unhideWhenUsed/>
    <w:rsid w:val="003C7067"/>
    <w:rPr>
      <w:sz w:val="20"/>
      <w:szCs w:val="20"/>
    </w:rPr>
  </w:style>
  <w:style w:type="character" w:customStyle="1" w:styleId="TextocomentarioCar">
    <w:name w:val="Texto comentario Car"/>
    <w:basedOn w:val="Fuentedeprrafopredeter"/>
    <w:link w:val="Textocomentario"/>
    <w:uiPriority w:val="99"/>
    <w:rsid w:val="003C7067"/>
    <w:rPr>
      <w:rFonts w:ascii="Times New Roman" w:eastAsia="Times New Roman" w:hAnsi="Times New Roman" w:cs="Times New Roman"/>
      <w:sz w:val="20"/>
      <w:szCs w:val="20"/>
      <w:lang w:eastAsia="es-MX"/>
    </w:rPr>
  </w:style>
  <w:style w:type="character" w:customStyle="1" w:styleId="normaltextrun">
    <w:name w:val="normaltextrun"/>
    <w:basedOn w:val="Fuentedeprrafopredeter"/>
    <w:rsid w:val="003C7067"/>
  </w:style>
  <w:style w:type="character" w:customStyle="1" w:styleId="eop">
    <w:name w:val="eop"/>
    <w:basedOn w:val="Fuentedeprrafopredeter"/>
    <w:rsid w:val="003C7067"/>
  </w:style>
  <w:style w:type="paragraph" w:customStyle="1" w:styleId="ql-align-justify">
    <w:name w:val="ql-align-justify"/>
    <w:basedOn w:val="Normal"/>
    <w:rsid w:val="003E060B"/>
    <w:pPr>
      <w:spacing w:before="100" w:beforeAutospacing="1" w:after="100" w:afterAutospacing="1"/>
    </w:pPr>
  </w:style>
  <w:style w:type="character" w:customStyle="1" w:styleId="apple-converted-space">
    <w:name w:val="apple-converted-space"/>
    <w:basedOn w:val="Fuentedeprrafopredeter"/>
    <w:rsid w:val="003E060B"/>
  </w:style>
  <w:style w:type="character" w:styleId="Refdecomentario">
    <w:name w:val="annotation reference"/>
    <w:basedOn w:val="Fuentedeprrafopredeter"/>
    <w:uiPriority w:val="99"/>
    <w:semiHidden/>
    <w:unhideWhenUsed/>
    <w:rsid w:val="0016321F"/>
    <w:rPr>
      <w:sz w:val="16"/>
      <w:szCs w:val="16"/>
    </w:rPr>
  </w:style>
  <w:style w:type="paragraph" w:styleId="Asuntodelcomentario">
    <w:name w:val="annotation subject"/>
    <w:basedOn w:val="Textocomentario"/>
    <w:next w:val="Textocomentario"/>
    <w:link w:val="AsuntodelcomentarioCar"/>
    <w:uiPriority w:val="99"/>
    <w:semiHidden/>
    <w:unhideWhenUsed/>
    <w:rsid w:val="0016321F"/>
    <w:rPr>
      <w:b/>
      <w:bCs/>
    </w:rPr>
  </w:style>
  <w:style w:type="character" w:customStyle="1" w:styleId="AsuntodelcomentarioCar">
    <w:name w:val="Asunto del comentario Car"/>
    <w:basedOn w:val="TextocomentarioCar"/>
    <w:link w:val="Asuntodelcomentario"/>
    <w:uiPriority w:val="99"/>
    <w:semiHidden/>
    <w:rsid w:val="0016321F"/>
    <w:rPr>
      <w:rFonts w:ascii="Times New Roman" w:eastAsia="Times New Roman" w:hAnsi="Times New Roman" w:cs="Times New Roman"/>
      <w:b/>
      <w:bCs/>
      <w:sz w:val="20"/>
      <w:szCs w:val="20"/>
      <w:lang w:eastAsia="es-MX"/>
    </w:rPr>
  </w:style>
  <w:style w:type="paragraph" w:styleId="Revisin">
    <w:name w:val="Revision"/>
    <w:hidden/>
    <w:uiPriority w:val="99"/>
    <w:semiHidden/>
    <w:rsid w:val="001B1ED3"/>
    <w:rPr>
      <w:rFonts w:ascii="Times New Roman" w:eastAsia="Times New Roman" w:hAnsi="Times New Roman" w:cs="Times New Roman"/>
      <w:lang w:eastAsia="es-MX"/>
    </w:rPr>
  </w:style>
  <w:style w:type="paragraph" w:customStyle="1" w:styleId="Normal11pt">
    <w:name w:val="Normal + 11 pt"/>
    <w:aliases w:val="Negro,Justificado,Izquierda:  -0,95 cm,Derecha:  0,04 cm"/>
    <w:basedOn w:val="Normal"/>
    <w:uiPriority w:val="99"/>
    <w:rsid w:val="00236169"/>
    <w:pPr>
      <w:ind w:left="-540"/>
      <w:jc w:val="both"/>
    </w:pPr>
    <w:rPr>
      <w:rFonts w:ascii="Arial" w:hAnsi="Arial" w:cs="Arial"/>
      <w:color w:val="000000"/>
      <w:sz w:val="22"/>
      <w:szCs w:val="22"/>
      <w:lang w:val="es-ES_tradnl" w:eastAsia="es-ES"/>
    </w:rPr>
  </w:style>
  <w:style w:type="character" w:styleId="Hipervnculo">
    <w:name w:val="Hyperlink"/>
    <w:basedOn w:val="Fuentedeprrafopredeter"/>
    <w:uiPriority w:val="99"/>
    <w:unhideWhenUsed/>
    <w:rsid w:val="009D6BD7"/>
    <w:rPr>
      <w:color w:val="0000FF"/>
      <w:u w:val="single"/>
    </w:rPr>
  </w:style>
  <w:style w:type="paragraph" w:styleId="NormalWeb">
    <w:name w:val="Normal (Web)"/>
    <w:basedOn w:val="Normal"/>
    <w:link w:val="NormalWebCar"/>
    <w:uiPriority w:val="99"/>
    <w:unhideWhenUsed/>
    <w:rsid w:val="004963B0"/>
    <w:pPr>
      <w:spacing w:before="100" w:beforeAutospacing="1" w:after="100" w:afterAutospacing="1"/>
    </w:pPr>
  </w:style>
  <w:style w:type="character" w:styleId="Textoennegrita">
    <w:name w:val="Strong"/>
    <w:basedOn w:val="Fuentedeprrafopredeter"/>
    <w:uiPriority w:val="22"/>
    <w:qFormat/>
    <w:rsid w:val="004963B0"/>
    <w:rPr>
      <w:b/>
      <w:bCs/>
    </w:rPr>
  </w:style>
  <w:style w:type="character" w:styleId="nfasis">
    <w:name w:val="Emphasis"/>
    <w:basedOn w:val="Fuentedeprrafopredeter"/>
    <w:uiPriority w:val="20"/>
    <w:qFormat/>
    <w:rsid w:val="004963B0"/>
    <w:rPr>
      <w:i/>
      <w:iCs/>
    </w:rPr>
  </w:style>
  <w:style w:type="character" w:styleId="Mencinsinresolver">
    <w:name w:val="Unresolved Mention"/>
    <w:basedOn w:val="Fuentedeprrafopredeter"/>
    <w:uiPriority w:val="99"/>
    <w:semiHidden/>
    <w:unhideWhenUsed/>
    <w:rsid w:val="001F0BA1"/>
    <w:rPr>
      <w:color w:val="605E5C"/>
      <w:shd w:val="clear" w:color="auto" w:fill="E1DFDD"/>
    </w:rPr>
  </w:style>
  <w:style w:type="table" w:customStyle="1" w:styleId="Tablaconcuadrcula2">
    <w:name w:val="Tabla con cuadrícula2"/>
    <w:basedOn w:val="Tablanormal"/>
    <w:next w:val="Tablaconcuadrcula"/>
    <w:uiPriority w:val="39"/>
    <w:rsid w:val="00826A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826A17"/>
    <w:rPr>
      <w:rFonts w:ascii="Times New Roman" w:eastAsia="Times New Roman" w:hAnsi="Times New Roman" w:cs="Times New Roman"/>
      <w:lang w:eastAsia="es-MX"/>
    </w:rPr>
  </w:style>
  <w:style w:type="character" w:customStyle="1" w:styleId="Ttulo1Car">
    <w:name w:val="Título 1 Car"/>
    <w:basedOn w:val="Fuentedeprrafopredeter"/>
    <w:link w:val="Ttulo1"/>
    <w:uiPriority w:val="9"/>
    <w:rsid w:val="00F128A6"/>
    <w:rPr>
      <w:rFonts w:ascii="Arial" w:eastAsia="Arial" w:hAnsi="Arial" w:cs="Arial"/>
      <w:b/>
      <w:bCs/>
      <w:sz w:val="22"/>
      <w:szCs w:val="22"/>
      <w:lang w:val="es-ES"/>
    </w:rPr>
  </w:style>
  <w:style w:type="paragraph" w:customStyle="1" w:styleId="gmail-msonospacing">
    <w:name w:val="gmail-msonospacing"/>
    <w:basedOn w:val="Normal"/>
    <w:rsid w:val="00731374"/>
    <w:pPr>
      <w:spacing w:before="100" w:beforeAutospacing="1" w:after="100" w:afterAutospacing="1"/>
    </w:pPr>
    <w:rPr>
      <w:rFonts w:ascii="Calibri" w:eastAsiaTheme="minorHAnsi" w:hAnsi="Calibri" w:cs="Calibri"/>
      <w:sz w:val="22"/>
      <w:szCs w:val="22"/>
      <w:lang w:val="es-ES" w:eastAsia="es-ES"/>
    </w:rPr>
  </w:style>
  <w:style w:type="paragraph" w:customStyle="1" w:styleId="Textocomentario1">
    <w:name w:val="Texto comentario1"/>
    <w:basedOn w:val="Normal"/>
    <w:next w:val="Textocomentario"/>
    <w:uiPriority w:val="99"/>
    <w:unhideWhenUsed/>
    <w:rsid w:val="009F4296"/>
    <w:rPr>
      <w:rFonts w:asciiTheme="minorHAnsi" w:eastAsiaTheme="minorHAnsi" w:hAnsiTheme="minorHAnsi" w:cstheme="minorBidi"/>
      <w:sz w:val="20"/>
      <w:szCs w:val="20"/>
      <w:lang w:val="es-MX" w:eastAsia="en-US"/>
    </w:rPr>
  </w:style>
  <w:style w:type="paragraph" w:customStyle="1" w:styleId="Car1">
    <w:name w:val="Car1"/>
    <w:basedOn w:val="Normal"/>
    <w:next w:val="Textonotapie"/>
    <w:uiPriority w:val="99"/>
    <w:unhideWhenUsed/>
    <w:qFormat/>
    <w:rsid w:val="009F4296"/>
    <w:rPr>
      <w:rFonts w:asciiTheme="minorHAnsi" w:eastAsiaTheme="minorHAnsi" w:hAnsiTheme="minorHAnsi" w:cstheme="minorBidi"/>
      <w:sz w:val="20"/>
      <w:szCs w:val="20"/>
      <w:lang w:val="es-MX" w:eastAsia="en-US"/>
    </w:rPr>
  </w:style>
  <w:style w:type="paragraph" w:customStyle="1" w:styleId="paragraph">
    <w:name w:val="paragraph"/>
    <w:basedOn w:val="Normal"/>
    <w:rsid w:val="002835D0"/>
    <w:pPr>
      <w:spacing w:before="100" w:beforeAutospacing="1" w:after="100" w:afterAutospacing="1"/>
    </w:pPr>
    <w:rPr>
      <w:lang w:eastAsia="es-CO"/>
    </w:rPr>
  </w:style>
  <w:style w:type="table" w:customStyle="1" w:styleId="Tablaconcuadrcula1">
    <w:name w:val="Tabla con cuadrícula1"/>
    <w:basedOn w:val="Tablanormal"/>
    <w:next w:val="Tablaconcuadrcula"/>
    <w:uiPriority w:val="59"/>
    <w:rsid w:val="00DF31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8968">
      <w:bodyDiv w:val="1"/>
      <w:marLeft w:val="0"/>
      <w:marRight w:val="0"/>
      <w:marTop w:val="0"/>
      <w:marBottom w:val="0"/>
      <w:divBdr>
        <w:top w:val="none" w:sz="0" w:space="0" w:color="auto"/>
        <w:left w:val="none" w:sz="0" w:space="0" w:color="auto"/>
        <w:bottom w:val="none" w:sz="0" w:space="0" w:color="auto"/>
        <w:right w:val="none" w:sz="0" w:space="0" w:color="auto"/>
      </w:divBdr>
      <w:divsChild>
        <w:div w:id="1018432453">
          <w:marLeft w:val="0"/>
          <w:marRight w:val="0"/>
          <w:marTop w:val="0"/>
          <w:marBottom w:val="0"/>
          <w:divBdr>
            <w:top w:val="none" w:sz="0" w:space="0" w:color="auto"/>
            <w:left w:val="none" w:sz="0" w:space="0" w:color="auto"/>
            <w:bottom w:val="none" w:sz="0" w:space="0" w:color="auto"/>
            <w:right w:val="none" w:sz="0" w:space="0" w:color="auto"/>
          </w:divBdr>
        </w:div>
      </w:divsChild>
    </w:div>
    <w:div w:id="232280027">
      <w:bodyDiv w:val="1"/>
      <w:marLeft w:val="0"/>
      <w:marRight w:val="0"/>
      <w:marTop w:val="0"/>
      <w:marBottom w:val="0"/>
      <w:divBdr>
        <w:top w:val="none" w:sz="0" w:space="0" w:color="auto"/>
        <w:left w:val="none" w:sz="0" w:space="0" w:color="auto"/>
        <w:bottom w:val="none" w:sz="0" w:space="0" w:color="auto"/>
        <w:right w:val="none" w:sz="0" w:space="0" w:color="auto"/>
      </w:divBdr>
      <w:divsChild>
        <w:div w:id="399133508">
          <w:marLeft w:val="0"/>
          <w:marRight w:val="0"/>
          <w:marTop w:val="0"/>
          <w:marBottom w:val="0"/>
          <w:divBdr>
            <w:top w:val="none" w:sz="0" w:space="0" w:color="auto"/>
            <w:left w:val="none" w:sz="0" w:space="0" w:color="auto"/>
            <w:bottom w:val="none" w:sz="0" w:space="0" w:color="auto"/>
            <w:right w:val="none" w:sz="0" w:space="0" w:color="auto"/>
          </w:divBdr>
          <w:divsChild>
            <w:div w:id="110511755">
              <w:marLeft w:val="0"/>
              <w:marRight w:val="0"/>
              <w:marTop w:val="0"/>
              <w:marBottom w:val="0"/>
              <w:divBdr>
                <w:top w:val="none" w:sz="0" w:space="0" w:color="auto"/>
                <w:left w:val="none" w:sz="0" w:space="0" w:color="auto"/>
                <w:bottom w:val="none" w:sz="0" w:space="0" w:color="auto"/>
                <w:right w:val="none" w:sz="0" w:space="0" w:color="auto"/>
              </w:divBdr>
            </w:div>
            <w:div w:id="173619910">
              <w:marLeft w:val="0"/>
              <w:marRight w:val="0"/>
              <w:marTop w:val="0"/>
              <w:marBottom w:val="0"/>
              <w:divBdr>
                <w:top w:val="none" w:sz="0" w:space="0" w:color="auto"/>
                <w:left w:val="none" w:sz="0" w:space="0" w:color="auto"/>
                <w:bottom w:val="none" w:sz="0" w:space="0" w:color="auto"/>
                <w:right w:val="none" w:sz="0" w:space="0" w:color="auto"/>
              </w:divBdr>
            </w:div>
            <w:div w:id="579483539">
              <w:marLeft w:val="0"/>
              <w:marRight w:val="0"/>
              <w:marTop w:val="0"/>
              <w:marBottom w:val="0"/>
              <w:divBdr>
                <w:top w:val="none" w:sz="0" w:space="0" w:color="auto"/>
                <w:left w:val="none" w:sz="0" w:space="0" w:color="auto"/>
                <w:bottom w:val="none" w:sz="0" w:space="0" w:color="auto"/>
                <w:right w:val="none" w:sz="0" w:space="0" w:color="auto"/>
              </w:divBdr>
            </w:div>
            <w:div w:id="792556381">
              <w:marLeft w:val="0"/>
              <w:marRight w:val="0"/>
              <w:marTop w:val="0"/>
              <w:marBottom w:val="0"/>
              <w:divBdr>
                <w:top w:val="none" w:sz="0" w:space="0" w:color="auto"/>
                <w:left w:val="none" w:sz="0" w:space="0" w:color="auto"/>
                <w:bottom w:val="none" w:sz="0" w:space="0" w:color="auto"/>
                <w:right w:val="none" w:sz="0" w:space="0" w:color="auto"/>
              </w:divBdr>
            </w:div>
            <w:div w:id="806319965">
              <w:marLeft w:val="0"/>
              <w:marRight w:val="0"/>
              <w:marTop w:val="0"/>
              <w:marBottom w:val="0"/>
              <w:divBdr>
                <w:top w:val="none" w:sz="0" w:space="0" w:color="auto"/>
                <w:left w:val="none" w:sz="0" w:space="0" w:color="auto"/>
                <w:bottom w:val="none" w:sz="0" w:space="0" w:color="auto"/>
                <w:right w:val="none" w:sz="0" w:space="0" w:color="auto"/>
              </w:divBdr>
            </w:div>
            <w:div w:id="1027372752">
              <w:marLeft w:val="0"/>
              <w:marRight w:val="0"/>
              <w:marTop w:val="0"/>
              <w:marBottom w:val="0"/>
              <w:divBdr>
                <w:top w:val="none" w:sz="0" w:space="0" w:color="auto"/>
                <w:left w:val="none" w:sz="0" w:space="0" w:color="auto"/>
                <w:bottom w:val="none" w:sz="0" w:space="0" w:color="auto"/>
                <w:right w:val="none" w:sz="0" w:space="0" w:color="auto"/>
              </w:divBdr>
            </w:div>
            <w:div w:id="1208839404">
              <w:marLeft w:val="0"/>
              <w:marRight w:val="0"/>
              <w:marTop w:val="0"/>
              <w:marBottom w:val="0"/>
              <w:divBdr>
                <w:top w:val="none" w:sz="0" w:space="0" w:color="auto"/>
                <w:left w:val="none" w:sz="0" w:space="0" w:color="auto"/>
                <w:bottom w:val="none" w:sz="0" w:space="0" w:color="auto"/>
                <w:right w:val="none" w:sz="0" w:space="0" w:color="auto"/>
              </w:divBdr>
            </w:div>
            <w:div w:id="1229070665">
              <w:marLeft w:val="0"/>
              <w:marRight w:val="0"/>
              <w:marTop w:val="0"/>
              <w:marBottom w:val="0"/>
              <w:divBdr>
                <w:top w:val="none" w:sz="0" w:space="0" w:color="auto"/>
                <w:left w:val="none" w:sz="0" w:space="0" w:color="auto"/>
                <w:bottom w:val="none" w:sz="0" w:space="0" w:color="auto"/>
                <w:right w:val="none" w:sz="0" w:space="0" w:color="auto"/>
              </w:divBdr>
            </w:div>
            <w:div w:id="1411733568">
              <w:marLeft w:val="0"/>
              <w:marRight w:val="0"/>
              <w:marTop w:val="0"/>
              <w:marBottom w:val="0"/>
              <w:divBdr>
                <w:top w:val="none" w:sz="0" w:space="0" w:color="auto"/>
                <w:left w:val="none" w:sz="0" w:space="0" w:color="auto"/>
                <w:bottom w:val="none" w:sz="0" w:space="0" w:color="auto"/>
                <w:right w:val="none" w:sz="0" w:space="0" w:color="auto"/>
              </w:divBdr>
            </w:div>
            <w:div w:id="1499230849">
              <w:marLeft w:val="0"/>
              <w:marRight w:val="0"/>
              <w:marTop w:val="0"/>
              <w:marBottom w:val="0"/>
              <w:divBdr>
                <w:top w:val="none" w:sz="0" w:space="0" w:color="auto"/>
                <w:left w:val="none" w:sz="0" w:space="0" w:color="auto"/>
                <w:bottom w:val="none" w:sz="0" w:space="0" w:color="auto"/>
                <w:right w:val="none" w:sz="0" w:space="0" w:color="auto"/>
              </w:divBdr>
            </w:div>
            <w:div w:id="1549955371">
              <w:marLeft w:val="0"/>
              <w:marRight w:val="0"/>
              <w:marTop w:val="0"/>
              <w:marBottom w:val="0"/>
              <w:divBdr>
                <w:top w:val="none" w:sz="0" w:space="0" w:color="auto"/>
                <w:left w:val="none" w:sz="0" w:space="0" w:color="auto"/>
                <w:bottom w:val="none" w:sz="0" w:space="0" w:color="auto"/>
                <w:right w:val="none" w:sz="0" w:space="0" w:color="auto"/>
              </w:divBdr>
            </w:div>
            <w:div w:id="1630018027">
              <w:marLeft w:val="0"/>
              <w:marRight w:val="0"/>
              <w:marTop w:val="0"/>
              <w:marBottom w:val="0"/>
              <w:divBdr>
                <w:top w:val="none" w:sz="0" w:space="0" w:color="auto"/>
                <w:left w:val="none" w:sz="0" w:space="0" w:color="auto"/>
                <w:bottom w:val="none" w:sz="0" w:space="0" w:color="auto"/>
                <w:right w:val="none" w:sz="0" w:space="0" w:color="auto"/>
              </w:divBdr>
            </w:div>
            <w:div w:id="1639648031">
              <w:marLeft w:val="0"/>
              <w:marRight w:val="0"/>
              <w:marTop w:val="0"/>
              <w:marBottom w:val="0"/>
              <w:divBdr>
                <w:top w:val="none" w:sz="0" w:space="0" w:color="auto"/>
                <w:left w:val="none" w:sz="0" w:space="0" w:color="auto"/>
                <w:bottom w:val="none" w:sz="0" w:space="0" w:color="auto"/>
                <w:right w:val="none" w:sz="0" w:space="0" w:color="auto"/>
              </w:divBdr>
            </w:div>
            <w:div w:id="1720202991">
              <w:marLeft w:val="0"/>
              <w:marRight w:val="0"/>
              <w:marTop w:val="0"/>
              <w:marBottom w:val="0"/>
              <w:divBdr>
                <w:top w:val="none" w:sz="0" w:space="0" w:color="auto"/>
                <w:left w:val="none" w:sz="0" w:space="0" w:color="auto"/>
                <w:bottom w:val="none" w:sz="0" w:space="0" w:color="auto"/>
                <w:right w:val="none" w:sz="0" w:space="0" w:color="auto"/>
              </w:divBdr>
            </w:div>
            <w:div w:id="20063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1424">
      <w:bodyDiv w:val="1"/>
      <w:marLeft w:val="0"/>
      <w:marRight w:val="0"/>
      <w:marTop w:val="0"/>
      <w:marBottom w:val="0"/>
      <w:divBdr>
        <w:top w:val="none" w:sz="0" w:space="0" w:color="auto"/>
        <w:left w:val="none" w:sz="0" w:space="0" w:color="auto"/>
        <w:bottom w:val="none" w:sz="0" w:space="0" w:color="auto"/>
        <w:right w:val="none" w:sz="0" w:space="0" w:color="auto"/>
      </w:divBdr>
    </w:div>
    <w:div w:id="323433789">
      <w:bodyDiv w:val="1"/>
      <w:marLeft w:val="0"/>
      <w:marRight w:val="0"/>
      <w:marTop w:val="0"/>
      <w:marBottom w:val="0"/>
      <w:divBdr>
        <w:top w:val="none" w:sz="0" w:space="0" w:color="auto"/>
        <w:left w:val="none" w:sz="0" w:space="0" w:color="auto"/>
        <w:bottom w:val="none" w:sz="0" w:space="0" w:color="auto"/>
        <w:right w:val="none" w:sz="0" w:space="0" w:color="auto"/>
      </w:divBdr>
    </w:div>
    <w:div w:id="371344272">
      <w:bodyDiv w:val="1"/>
      <w:marLeft w:val="0"/>
      <w:marRight w:val="0"/>
      <w:marTop w:val="0"/>
      <w:marBottom w:val="0"/>
      <w:divBdr>
        <w:top w:val="none" w:sz="0" w:space="0" w:color="auto"/>
        <w:left w:val="none" w:sz="0" w:space="0" w:color="auto"/>
        <w:bottom w:val="none" w:sz="0" w:space="0" w:color="auto"/>
        <w:right w:val="none" w:sz="0" w:space="0" w:color="auto"/>
      </w:divBdr>
    </w:div>
    <w:div w:id="377316997">
      <w:bodyDiv w:val="1"/>
      <w:marLeft w:val="0"/>
      <w:marRight w:val="0"/>
      <w:marTop w:val="0"/>
      <w:marBottom w:val="0"/>
      <w:divBdr>
        <w:top w:val="none" w:sz="0" w:space="0" w:color="auto"/>
        <w:left w:val="none" w:sz="0" w:space="0" w:color="auto"/>
        <w:bottom w:val="none" w:sz="0" w:space="0" w:color="auto"/>
        <w:right w:val="none" w:sz="0" w:space="0" w:color="auto"/>
      </w:divBdr>
    </w:div>
    <w:div w:id="582421877">
      <w:bodyDiv w:val="1"/>
      <w:marLeft w:val="0"/>
      <w:marRight w:val="0"/>
      <w:marTop w:val="0"/>
      <w:marBottom w:val="0"/>
      <w:divBdr>
        <w:top w:val="none" w:sz="0" w:space="0" w:color="auto"/>
        <w:left w:val="none" w:sz="0" w:space="0" w:color="auto"/>
        <w:bottom w:val="none" w:sz="0" w:space="0" w:color="auto"/>
        <w:right w:val="none" w:sz="0" w:space="0" w:color="auto"/>
      </w:divBdr>
    </w:div>
    <w:div w:id="697855812">
      <w:bodyDiv w:val="1"/>
      <w:marLeft w:val="0"/>
      <w:marRight w:val="0"/>
      <w:marTop w:val="0"/>
      <w:marBottom w:val="0"/>
      <w:divBdr>
        <w:top w:val="none" w:sz="0" w:space="0" w:color="auto"/>
        <w:left w:val="none" w:sz="0" w:space="0" w:color="auto"/>
        <w:bottom w:val="none" w:sz="0" w:space="0" w:color="auto"/>
        <w:right w:val="none" w:sz="0" w:space="0" w:color="auto"/>
      </w:divBdr>
      <w:divsChild>
        <w:div w:id="540170377">
          <w:marLeft w:val="0"/>
          <w:marRight w:val="0"/>
          <w:marTop w:val="0"/>
          <w:marBottom w:val="0"/>
          <w:divBdr>
            <w:top w:val="none" w:sz="0" w:space="0" w:color="auto"/>
            <w:left w:val="none" w:sz="0" w:space="0" w:color="auto"/>
            <w:bottom w:val="none" w:sz="0" w:space="0" w:color="auto"/>
            <w:right w:val="none" w:sz="0" w:space="0" w:color="auto"/>
          </w:divBdr>
        </w:div>
      </w:divsChild>
    </w:div>
    <w:div w:id="729768611">
      <w:bodyDiv w:val="1"/>
      <w:marLeft w:val="0"/>
      <w:marRight w:val="0"/>
      <w:marTop w:val="0"/>
      <w:marBottom w:val="0"/>
      <w:divBdr>
        <w:top w:val="none" w:sz="0" w:space="0" w:color="auto"/>
        <w:left w:val="none" w:sz="0" w:space="0" w:color="auto"/>
        <w:bottom w:val="none" w:sz="0" w:space="0" w:color="auto"/>
        <w:right w:val="none" w:sz="0" w:space="0" w:color="auto"/>
      </w:divBdr>
    </w:div>
    <w:div w:id="1158957361">
      <w:bodyDiv w:val="1"/>
      <w:marLeft w:val="0"/>
      <w:marRight w:val="0"/>
      <w:marTop w:val="0"/>
      <w:marBottom w:val="0"/>
      <w:divBdr>
        <w:top w:val="none" w:sz="0" w:space="0" w:color="auto"/>
        <w:left w:val="none" w:sz="0" w:space="0" w:color="auto"/>
        <w:bottom w:val="none" w:sz="0" w:space="0" w:color="auto"/>
        <w:right w:val="none" w:sz="0" w:space="0" w:color="auto"/>
      </w:divBdr>
      <w:divsChild>
        <w:div w:id="370500300">
          <w:marLeft w:val="0"/>
          <w:marRight w:val="0"/>
          <w:marTop w:val="0"/>
          <w:marBottom w:val="0"/>
          <w:divBdr>
            <w:top w:val="none" w:sz="0" w:space="0" w:color="auto"/>
            <w:left w:val="none" w:sz="0" w:space="0" w:color="auto"/>
            <w:bottom w:val="none" w:sz="0" w:space="0" w:color="auto"/>
            <w:right w:val="none" w:sz="0" w:space="0" w:color="auto"/>
          </w:divBdr>
          <w:divsChild>
            <w:div w:id="381832082">
              <w:marLeft w:val="0"/>
              <w:marRight w:val="0"/>
              <w:marTop w:val="0"/>
              <w:marBottom w:val="0"/>
              <w:divBdr>
                <w:top w:val="none" w:sz="0" w:space="0" w:color="auto"/>
                <w:left w:val="none" w:sz="0" w:space="0" w:color="auto"/>
                <w:bottom w:val="none" w:sz="0" w:space="0" w:color="auto"/>
                <w:right w:val="none" w:sz="0" w:space="0" w:color="auto"/>
              </w:divBdr>
            </w:div>
            <w:div w:id="1333412044">
              <w:marLeft w:val="0"/>
              <w:marRight w:val="0"/>
              <w:marTop w:val="0"/>
              <w:marBottom w:val="0"/>
              <w:divBdr>
                <w:top w:val="none" w:sz="0" w:space="0" w:color="auto"/>
                <w:left w:val="none" w:sz="0" w:space="0" w:color="auto"/>
                <w:bottom w:val="none" w:sz="0" w:space="0" w:color="auto"/>
                <w:right w:val="none" w:sz="0" w:space="0" w:color="auto"/>
              </w:divBdr>
            </w:div>
            <w:div w:id="1901859729">
              <w:marLeft w:val="0"/>
              <w:marRight w:val="0"/>
              <w:marTop w:val="0"/>
              <w:marBottom w:val="0"/>
              <w:divBdr>
                <w:top w:val="none" w:sz="0" w:space="0" w:color="auto"/>
                <w:left w:val="none" w:sz="0" w:space="0" w:color="auto"/>
                <w:bottom w:val="none" w:sz="0" w:space="0" w:color="auto"/>
                <w:right w:val="none" w:sz="0" w:space="0" w:color="auto"/>
              </w:divBdr>
            </w:div>
            <w:div w:id="863711006">
              <w:marLeft w:val="0"/>
              <w:marRight w:val="0"/>
              <w:marTop w:val="0"/>
              <w:marBottom w:val="0"/>
              <w:divBdr>
                <w:top w:val="none" w:sz="0" w:space="0" w:color="auto"/>
                <w:left w:val="none" w:sz="0" w:space="0" w:color="auto"/>
                <w:bottom w:val="none" w:sz="0" w:space="0" w:color="auto"/>
                <w:right w:val="none" w:sz="0" w:space="0" w:color="auto"/>
              </w:divBdr>
            </w:div>
            <w:div w:id="385295333">
              <w:marLeft w:val="0"/>
              <w:marRight w:val="0"/>
              <w:marTop w:val="0"/>
              <w:marBottom w:val="0"/>
              <w:divBdr>
                <w:top w:val="none" w:sz="0" w:space="0" w:color="auto"/>
                <w:left w:val="none" w:sz="0" w:space="0" w:color="auto"/>
                <w:bottom w:val="none" w:sz="0" w:space="0" w:color="auto"/>
                <w:right w:val="none" w:sz="0" w:space="0" w:color="auto"/>
              </w:divBdr>
            </w:div>
            <w:div w:id="394662775">
              <w:marLeft w:val="0"/>
              <w:marRight w:val="0"/>
              <w:marTop w:val="0"/>
              <w:marBottom w:val="0"/>
              <w:divBdr>
                <w:top w:val="none" w:sz="0" w:space="0" w:color="auto"/>
                <w:left w:val="none" w:sz="0" w:space="0" w:color="auto"/>
                <w:bottom w:val="none" w:sz="0" w:space="0" w:color="auto"/>
                <w:right w:val="none" w:sz="0" w:space="0" w:color="auto"/>
              </w:divBdr>
            </w:div>
            <w:div w:id="1114133781">
              <w:marLeft w:val="0"/>
              <w:marRight w:val="0"/>
              <w:marTop w:val="0"/>
              <w:marBottom w:val="0"/>
              <w:divBdr>
                <w:top w:val="none" w:sz="0" w:space="0" w:color="auto"/>
                <w:left w:val="none" w:sz="0" w:space="0" w:color="auto"/>
                <w:bottom w:val="none" w:sz="0" w:space="0" w:color="auto"/>
                <w:right w:val="none" w:sz="0" w:space="0" w:color="auto"/>
              </w:divBdr>
            </w:div>
            <w:div w:id="842359195">
              <w:marLeft w:val="0"/>
              <w:marRight w:val="0"/>
              <w:marTop w:val="0"/>
              <w:marBottom w:val="0"/>
              <w:divBdr>
                <w:top w:val="none" w:sz="0" w:space="0" w:color="auto"/>
                <w:left w:val="none" w:sz="0" w:space="0" w:color="auto"/>
                <w:bottom w:val="none" w:sz="0" w:space="0" w:color="auto"/>
                <w:right w:val="none" w:sz="0" w:space="0" w:color="auto"/>
              </w:divBdr>
            </w:div>
            <w:div w:id="776799276">
              <w:marLeft w:val="0"/>
              <w:marRight w:val="0"/>
              <w:marTop w:val="0"/>
              <w:marBottom w:val="0"/>
              <w:divBdr>
                <w:top w:val="none" w:sz="0" w:space="0" w:color="auto"/>
                <w:left w:val="none" w:sz="0" w:space="0" w:color="auto"/>
                <w:bottom w:val="none" w:sz="0" w:space="0" w:color="auto"/>
                <w:right w:val="none" w:sz="0" w:space="0" w:color="auto"/>
              </w:divBdr>
            </w:div>
            <w:div w:id="151066584">
              <w:marLeft w:val="0"/>
              <w:marRight w:val="0"/>
              <w:marTop w:val="0"/>
              <w:marBottom w:val="0"/>
              <w:divBdr>
                <w:top w:val="none" w:sz="0" w:space="0" w:color="auto"/>
                <w:left w:val="none" w:sz="0" w:space="0" w:color="auto"/>
                <w:bottom w:val="none" w:sz="0" w:space="0" w:color="auto"/>
                <w:right w:val="none" w:sz="0" w:space="0" w:color="auto"/>
              </w:divBdr>
            </w:div>
            <w:div w:id="1115979721">
              <w:marLeft w:val="0"/>
              <w:marRight w:val="0"/>
              <w:marTop w:val="0"/>
              <w:marBottom w:val="0"/>
              <w:divBdr>
                <w:top w:val="none" w:sz="0" w:space="0" w:color="auto"/>
                <w:left w:val="none" w:sz="0" w:space="0" w:color="auto"/>
                <w:bottom w:val="none" w:sz="0" w:space="0" w:color="auto"/>
                <w:right w:val="none" w:sz="0" w:space="0" w:color="auto"/>
              </w:divBdr>
            </w:div>
            <w:div w:id="1664628624">
              <w:marLeft w:val="0"/>
              <w:marRight w:val="0"/>
              <w:marTop w:val="0"/>
              <w:marBottom w:val="0"/>
              <w:divBdr>
                <w:top w:val="none" w:sz="0" w:space="0" w:color="auto"/>
                <w:left w:val="none" w:sz="0" w:space="0" w:color="auto"/>
                <w:bottom w:val="none" w:sz="0" w:space="0" w:color="auto"/>
                <w:right w:val="none" w:sz="0" w:space="0" w:color="auto"/>
              </w:divBdr>
            </w:div>
            <w:div w:id="527062691">
              <w:marLeft w:val="0"/>
              <w:marRight w:val="0"/>
              <w:marTop w:val="0"/>
              <w:marBottom w:val="0"/>
              <w:divBdr>
                <w:top w:val="none" w:sz="0" w:space="0" w:color="auto"/>
                <w:left w:val="none" w:sz="0" w:space="0" w:color="auto"/>
                <w:bottom w:val="none" w:sz="0" w:space="0" w:color="auto"/>
                <w:right w:val="none" w:sz="0" w:space="0" w:color="auto"/>
              </w:divBdr>
            </w:div>
            <w:div w:id="1474448764">
              <w:marLeft w:val="0"/>
              <w:marRight w:val="0"/>
              <w:marTop w:val="0"/>
              <w:marBottom w:val="0"/>
              <w:divBdr>
                <w:top w:val="none" w:sz="0" w:space="0" w:color="auto"/>
                <w:left w:val="none" w:sz="0" w:space="0" w:color="auto"/>
                <w:bottom w:val="none" w:sz="0" w:space="0" w:color="auto"/>
                <w:right w:val="none" w:sz="0" w:space="0" w:color="auto"/>
              </w:divBdr>
            </w:div>
            <w:div w:id="959459261">
              <w:marLeft w:val="0"/>
              <w:marRight w:val="0"/>
              <w:marTop w:val="0"/>
              <w:marBottom w:val="0"/>
              <w:divBdr>
                <w:top w:val="none" w:sz="0" w:space="0" w:color="auto"/>
                <w:left w:val="none" w:sz="0" w:space="0" w:color="auto"/>
                <w:bottom w:val="none" w:sz="0" w:space="0" w:color="auto"/>
                <w:right w:val="none" w:sz="0" w:space="0" w:color="auto"/>
              </w:divBdr>
            </w:div>
            <w:div w:id="1858421292">
              <w:marLeft w:val="0"/>
              <w:marRight w:val="0"/>
              <w:marTop w:val="0"/>
              <w:marBottom w:val="0"/>
              <w:divBdr>
                <w:top w:val="none" w:sz="0" w:space="0" w:color="auto"/>
                <w:left w:val="none" w:sz="0" w:space="0" w:color="auto"/>
                <w:bottom w:val="none" w:sz="0" w:space="0" w:color="auto"/>
                <w:right w:val="none" w:sz="0" w:space="0" w:color="auto"/>
              </w:divBdr>
            </w:div>
            <w:div w:id="932393527">
              <w:marLeft w:val="0"/>
              <w:marRight w:val="0"/>
              <w:marTop w:val="0"/>
              <w:marBottom w:val="0"/>
              <w:divBdr>
                <w:top w:val="none" w:sz="0" w:space="0" w:color="auto"/>
                <w:left w:val="none" w:sz="0" w:space="0" w:color="auto"/>
                <w:bottom w:val="none" w:sz="0" w:space="0" w:color="auto"/>
                <w:right w:val="none" w:sz="0" w:space="0" w:color="auto"/>
              </w:divBdr>
            </w:div>
            <w:div w:id="2000965068">
              <w:marLeft w:val="0"/>
              <w:marRight w:val="0"/>
              <w:marTop w:val="0"/>
              <w:marBottom w:val="0"/>
              <w:divBdr>
                <w:top w:val="none" w:sz="0" w:space="0" w:color="auto"/>
                <w:left w:val="none" w:sz="0" w:space="0" w:color="auto"/>
                <w:bottom w:val="none" w:sz="0" w:space="0" w:color="auto"/>
                <w:right w:val="none" w:sz="0" w:space="0" w:color="auto"/>
              </w:divBdr>
            </w:div>
            <w:div w:id="392121971">
              <w:marLeft w:val="0"/>
              <w:marRight w:val="0"/>
              <w:marTop w:val="0"/>
              <w:marBottom w:val="0"/>
              <w:divBdr>
                <w:top w:val="none" w:sz="0" w:space="0" w:color="auto"/>
                <w:left w:val="none" w:sz="0" w:space="0" w:color="auto"/>
                <w:bottom w:val="none" w:sz="0" w:space="0" w:color="auto"/>
                <w:right w:val="none" w:sz="0" w:space="0" w:color="auto"/>
              </w:divBdr>
            </w:div>
            <w:div w:id="736972137">
              <w:marLeft w:val="0"/>
              <w:marRight w:val="0"/>
              <w:marTop w:val="0"/>
              <w:marBottom w:val="0"/>
              <w:divBdr>
                <w:top w:val="none" w:sz="0" w:space="0" w:color="auto"/>
                <w:left w:val="none" w:sz="0" w:space="0" w:color="auto"/>
                <w:bottom w:val="none" w:sz="0" w:space="0" w:color="auto"/>
                <w:right w:val="none" w:sz="0" w:space="0" w:color="auto"/>
              </w:divBdr>
            </w:div>
            <w:div w:id="1590693338">
              <w:marLeft w:val="0"/>
              <w:marRight w:val="0"/>
              <w:marTop w:val="0"/>
              <w:marBottom w:val="0"/>
              <w:divBdr>
                <w:top w:val="none" w:sz="0" w:space="0" w:color="auto"/>
                <w:left w:val="none" w:sz="0" w:space="0" w:color="auto"/>
                <w:bottom w:val="none" w:sz="0" w:space="0" w:color="auto"/>
                <w:right w:val="none" w:sz="0" w:space="0" w:color="auto"/>
              </w:divBdr>
            </w:div>
            <w:div w:id="2098090144">
              <w:marLeft w:val="0"/>
              <w:marRight w:val="0"/>
              <w:marTop w:val="0"/>
              <w:marBottom w:val="0"/>
              <w:divBdr>
                <w:top w:val="none" w:sz="0" w:space="0" w:color="auto"/>
                <w:left w:val="none" w:sz="0" w:space="0" w:color="auto"/>
                <w:bottom w:val="none" w:sz="0" w:space="0" w:color="auto"/>
                <w:right w:val="none" w:sz="0" w:space="0" w:color="auto"/>
              </w:divBdr>
            </w:div>
            <w:div w:id="514149318">
              <w:marLeft w:val="0"/>
              <w:marRight w:val="0"/>
              <w:marTop w:val="0"/>
              <w:marBottom w:val="0"/>
              <w:divBdr>
                <w:top w:val="none" w:sz="0" w:space="0" w:color="auto"/>
                <w:left w:val="none" w:sz="0" w:space="0" w:color="auto"/>
                <w:bottom w:val="none" w:sz="0" w:space="0" w:color="auto"/>
                <w:right w:val="none" w:sz="0" w:space="0" w:color="auto"/>
              </w:divBdr>
            </w:div>
            <w:div w:id="2068843972">
              <w:marLeft w:val="0"/>
              <w:marRight w:val="0"/>
              <w:marTop w:val="0"/>
              <w:marBottom w:val="0"/>
              <w:divBdr>
                <w:top w:val="none" w:sz="0" w:space="0" w:color="auto"/>
                <w:left w:val="none" w:sz="0" w:space="0" w:color="auto"/>
                <w:bottom w:val="none" w:sz="0" w:space="0" w:color="auto"/>
                <w:right w:val="none" w:sz="0" w:space="0" w:color="auto"/>
              </w:divBdr>
            </w:div>
            <w:div w:id="780957430">
              <w:marLeft w:val="0"/>
              <w:marRight w:val="0"/>
              <w:marTop w:val="0"/>
              <w:marBottom w:val="0"/>
              <w:divBdr>
                <w:top w:val="none" w:sz="0" w:space="0" w:color="auto"/>
                <w:left w:val="none" w:sz="0" w:space="0" w:color="auto"/>
                <w:bottom w:val="none" w:sz="0" w:space="0" w:color="auto"/>
                <w:right w:val="none" w:sz="0" w:space="0" w:color="auto"/>
              </w:divBdr>
            </w:div>
            <w:div w:id="1450011094">
              <w:marLeft w:val="0"/>
              <w:marRight w:val="0"/>
              <w:marTop w:val="0"/>
              <w:marBottom w:val="0"/>
              <w:divBdr>
                <w:top w:val="none" w:sz="0" w:space="0" w:color="auto"/>
                <w:left w:val="none" w:sz="0" w:space="0" w:color="auto"/>
                <w:bottom w:val="none" w:sz="0" w:space="0" w:color="auto"/>
                <w:right w:val="none" w:sz="0" w:space="0" w:color="auto"/>
              </w:divBdr>
            </w:div>
            <w:div w:id="185369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792217">
      <w:bodyDiv w:val="1"/>
      <w:marLeft w:val="0"/>
      <w:marRight w:val="0"/>
      <w:marTop w:val="0"/>
      <w:marBottom w:val="0"/>
      <w:divBdr>
        <w:top w:val="none" w:sz="0" w:space="0" w:color="auto"/>
        <w:left w:val="none" w:sz="0" w:space="0" w:color="auto"/>
        <w:bottom w:val="none" w:sz="0" w:space="0" w:color="auto"/>
        <w:right w:val="none" w:sz="0" w:space="0" w:color="auto"/>
      </w:divBdr>
      <w:divsChild>
        <w:div w:id="1821799566">
          <w:marLeft w:val="0"/>
          <w:marRight w:val="0"/>
          <w:marTop w:val="15"/>
          <w:marBottom w:val="0"/>
          <w:divBdr>
            <w:top w:val="single" w:sz="48" w:space="0" w:color="auto"/>
            <w:left w:val="single" w:sz="48" w:space="0" w:color="auto"/>
            <w:bottom w:val="single" w:sz="48" w:space="0" w:color="auto"/>
            <w:right w:val="single" w:sz="48" w:space="0" w:color="auto"/>
          </w:divBdr>
          <w:divsChild>
            <w:div w:id="16153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35866">
      <w:bodyDiv w:val="1"/>
      <w:marLeft w:val="0"/>
      <w:marRight w:val="0"/>
      <w:marTop w:val="0"/>
      <w:marBottom w:val="0"/>
      <w:divBdr>
        <w:top w:val="none" w:sz="0" w:space="0" w:color="auto"/>
        <w:left w:val="none" w:sz="0" w:space="0" w:color="auto"/>
        <w:bottom w:val="none" w:sz="0" w:space="0" w:color="auto"/>
        <w:right w:val="none" w:sz="0" w:space="0" w:color="auto"/>
      </w:divBdr>
      <w:divsChild>
        <w:div w:id="117649283">
          <w:marLeft w:val="0"/>
          <w:marRight w:val="0"/>
          <w:marTop w:val="0"/>
          <w:marBottom w:val="0"/>
          <w:divBdr>
            <w:top w:val="none" w:sz="0" w:space="0" w:color="auto"/>
            <w:left w:val="none" w:sz="0" w:space="0" w:color="auto"/>
            <w:bottom w:val="none" w:sz="0" w:space="0" w:color="auto"/>
            <w:right w:val="none" w:sz="0" w:space="0" w:color="auto"/>
          </w:divBdr>
        </w:div>
      </w:divsChild>
    </w:div>
    <w:div w:id="1606425548">
      <w:bodyDiv w:val="1"/>
      <w:marLeft w:val="0"/>
      <w:marRight w:val="0"/>
      <w:marTop w:val="0"/>
      <w:marBottom w:val="0"/>
      <w:divBdr>
        <w:top w:val="none" w:sz="0" w:space="0" w:color="auto"/>
        <w:left w:val="none" w:sz="0" w:space="0" w:color="auto"/>
        <w:bottom w:val="none" w:sz="0" w:space="0" w:color="auto"/>
        <w:right w:val="none" w:sz="0" w:space="0" w:color="auto"/>
      </w:divBdr>
    </w:div>
    <w:div w:id="1768768690">
      <w:bodyDiv w:val="1"/>
      <w:marLeft w:val="0"/>
      <w:marRight w:val="0"/>
      <w:marTop w:val="0"/>
      <w:marBottom w:val="0"/>
      <w:divBdr>
        <w:top w:val="none" w:sz="0" w:space="0" w:color="auto"/>
        <w:left w:val="none" w:sz="0" w:space="0" w:color="auto"/>
        <w:bottom w:val="none" w:sz="0" w:space="0" w:color="auto"/>
        <w:right w:val="none" w:sz="0" w:space="0" w:color="auto"/>
      </w:divBdr>
    </w:div>
    <w:div w:id="2050033785">
      <w:bodyDiv w:val="1"/>
      <w:marLeft w:val="0"/>
      <w:marRight w:val="0"/>
      <w:marTop w:val="0"/>
      <w:marBottom w:val="0"/>
      <w:divBdr>
        <w:top w:val="none" w:sz="0" w:space="0" w:color="auto"/>
        <w:left w:val="none" w:sz="0" w:space="0" w:color="auto"/>
        <w:bottom w:val="none" w:sz="0" w:space="0" w:color="auto"/>
        <w:right w:val="none" w:sz="0" w:space="0" w:color="auto"/>
      </w:divBdr>
    </w:div>
    <w:div w:id="2089690658">
      <w:bodyDiv w:val="1"/>
      <w:marLeft w:val="0"/>
      <w:marRight w:val="0"/>
      <w:marTop w:val="0"/>
      <w:marBottom w:val="0"/>
      <w:divBdr>
        <w:top w:val="none" w:sz="0" w:space="0" w:color="auto"/>
        <w:left w:val="none" w:sz="0" w:space="0" w:color="auto"/>
        <w:bottom w:val="none" w:sz="0" w:space="0" w:color="auto"/>
        <w:right w:val="none" w:sz="0" w:space="0" w:color="auto"/>
      </w:divBdr>
      <w:divsChild>
        <w:div w:id="135414708">
          <w:marLeft w:val="0"/>
          <w:marRight w:val="0"/>
          <w:marTop w:val="0"/>
          <w:marBottom w:val="0"/>
          <w:divBdr>
            <w:top w:val="none" w:sz="0" w:space="0" w:color="auto"/>
            <w:left w:val="none" w:sz="0" w:space="0" w:color="auto"/>
            <w:bottom w:val="none" w:sz="0" w:space="0" w:color="auto"/>
            <w:right w:val="none" w:sz="0" w:space="0" w:color="auto"/>
          </w:divBdr>
          <w:divsChild>
            <w:div w:id="196892328">
              <w:marLeft w:val="0"/>
              <w:marRight w:val="0"/>
              <w:marTop w:val="0"/>
              <w:marBottom w:val="0"/>
              <w:divBdr>
                <w:top w:val="none" w:sz="0" w:space="0" w:color="auto"/>
                <w:left w:val="none" w:sz="0" w:space="0" w:color="auto"/>
                <w:bottom w:val="none" w:sz="0" w:space="0" w:color="auto"/>
                <w:right w:val="none" w:sz="0" w:space="0" w:color="auto"/>
              </w:divBdr>
              <w:divsChild>
                <w:div w:id="13381731">
                  <w:marLeft w:val="0"/>
                  <w:marRight w:val="0"/>
                  <w:marTop w:val="0"/>
                  <w:marBottom w:val="0"/>
                  <w:divBdr>
                    <w:top w:val="none" w:sz="0" w:space="0" w:color="auto"/>
                    <w:left w:val="none" w:sz="0" w:space="0" w:color="auto"/>
                    <w:bottom w:val="none" w:sz="0" w:space="0" w:color="auto"/>
                    <w:right w:val="none" w:sz="0" w:space="0" w:color="auto"/>
                  </w:divBdr>
                </w:div>
                <w:div w:id="133526210">
                  <w:marLeft w:val="0"/>
                  <w:marRight w:val="0"/>
                  <w:marTop w:val="0"/>
                  <w:marBottom w:val="0"/>
                  <w:divBdr>
                    <w:top w:val="none" w:sz="0" w:space="0" w:color="auto"/>
                    <w:left w:val="none" w:sz="0" w:space="0" w:color="auto"/>
                    <w:bottom w:val="none" w:sz="0" w:space="0" w:color="auto"/>
                    <w:right w:val="none" w:sz="0" w:space="0" w:color="auto"/>
                  </w:divBdr>
                </w:div>
                <w:div w:id="164825959">
                  <w:marLeft w:val="0"/>
                  <w:marRight w:val="0"/>
                  <w:marTop w:val="0"/>
                  <w:marBottom w:val="0"/>
                  <w:divBdr>
                    <w:top w:val="none" w:sz="0" w:space="0" w:color="auto"/>
                    <w:left w:val="none" w:sz="0" w:space="0" w:color="auto"/>
                    <w:bottom w:val="none" w:sz="0" w:space="0" w:color="auto"/>
                    <w:right w:val="none" w:sz="0" w:space="0" w:color="auto"/>
                  </w:divBdr>
                </w:div>
                <w:div w:id="681275181">
                  <w:marLeft w:val="0"/>
                  <w:marRight w:val="0"/>
                  <w:marTop w:val="0"/>
                  <w:marBottom w:val="0"/>
                  <w:divBdr>
                    <w:top w:val="none" w:sz="0" w:space="0" w:color="auto"/>
                    <w:left w:val="none" w:sz="0" w:space="0" w:color="auto"/>
                    <w:bottom w:val="none" w:sz="0" w:space="0" w:color="auto"/>
                    <w:right w:val="none" w:sz="0" w:space="0" w:color="auto"/>
                  </w:divBdr>
                </w:div>
                <w:div w:id="723455002">
                  <w:marLeft w:val="0"/>
                  <w:marRight w:val="0"/>
                  <w:marTop w:val="0"/>
                  <w:marBottom w:val="0"/>
                  <w:divBdr>
                    <w:top w:val="none" w:sz="0" w:space="0" w:color="auto"/>
                    <w:left w:val="none" w:sz="0" w:space="0" w:color="auto"/>
                    <w:bottom w:val="none" w:sz="0" w:space="0" w:color="auto"/>
                    <w:right w:val="none" w:sz="0" w:space="0" w:color="auto"/>
                  </w:divBdr>
                </w:div>
                <w:div w:id="815923830">
                  <w:marLeft w:val="0"/>
                  <w:marRight w:val="0"/>
                  <w:marTop w:val="0"/>
                  <w:marBottom w:val="0"/>
                  <w:divBdr>
                    <w:top w:val="none" w:sz="0" w:space="0" w:color="auto"/>
                    <w:left w:val="none" w:sz="0" w:space="0" w:color="auto"/>
                    <w:bottom w:val="none" w:sz="0" w:space="0" w:color="auto"/>
                    <w:right w:val="none" w:sz="0" w:space="0" w:color="auto"/>
                  </w:divBdr>
                </w:div>
                <w:div w:id="819418525">
                  <w:marLeft w:val="0"/>
                  <w:marRight w:val="0"/>
                  <w:marTop w:val="0"/>
                  <w:marBottom w:val="0"/>
                  <w:divBdr>
                    <w:top w:val="none" w:sz="0" w:space="0" w:color="auto"/>
                    <w:left w:val="none" w:sz="0" w:space="0" w:color="auto"/>
                    <w:bottom w:val="none" w:sz="0" w:space="0" w:color="auto"/>
                    <w:right w:val="none" w:sz="0" w:space="0" w:color="auto"/>
                  </w:divBdr>
                </w:div>
                <w:div w:id="1060593502">
                  <w:marLeft w:val="0"/>
                  <w:marRight w:val="0"/>
                  <w:marTop w:val="0"/>
                  <w:marBottom w:val="0"/>
                  <w:divBdr>
                    <w:top w:val="none" w:sz="0" w:space="0" w:color="auto"/>
                    <w:left w:val="none" w:sz="0" w:space="0" w:color="auto"/>
                    <w:bottom w:val="none" w:sz="0" w:space="0" w:color="auto"/>
                    <w:right w:val="none" w:sz="0" w:space="0" w:color="auto"/>
                  </w:divBdr>
                </w:div>
                <w:div w:id="1087651719">
                  <w:marLeft w:val="0"/>
                  <w:marRight w:val="0"/>
                  <w:marTop w:val="0"/>
                  <w:marBottom w:val="0"/>
                  <w:divBdr>
                    <w:top w:val="none" w:sz="0" w:space="0" w:color="auto"/>
                    <w:left w:val="none" w:sz="0" w:space="0" w:color="auto"/>
                    <w:bottom w:val="none" w:sz="0" w:space="0" w:color="auto"/>
                    <w:right w:val="none" w:sz="0" w:space="0" w:color="auto"/>
                  </w:divBdr>
                </w:div>
                <w:div w:id="1153333282">
                  <w:marLeft w:val="0"/>
                  <w:marRight w:val="0"/>
                  <w:marTop w:val="0"/>
                  <w:marBottom w:val="0"/>
                  <w:divBdr>
                    <w:top w:val="none" w:sz="0" w:space="0" w:color="auto"/>
                    <w:left w:val="none" w:sz="0" w:space="0" w:color="auto"/>
                    <w:bottom w:val="none" w:sz="0" w:space="0" w:color="auto"/>
                    <w:right w:val="none" w:sz="0" w:space="0" w:color="auto"/>
                  </w:divBdr>
                </w:div>
                <w:div w:id="1357582108">
                  <w:marLeft w:val="0"/>
                  <w:marRight w:val="0"/>
                  <w:marTop w:val="0"/>
                  <w:marBottom w:val="0"/>
                  <w:divBdr>
                    <w:top w:val="none" w:sz="0" w:space="0" w:color="auto"/>
                    <w:left w:val="none" w:sz="0" w:space="0" w:color="auto"/>
                    <w:bottom w:val="none" w:sz="0" w:space="0" w:color="auto"/>
                    <w:right w:val="none" w:sz="0" w:space="0" w:color="auto"/>
                  </w:divBdr>
                </w:div>
                <w:div w:id="1510556059">
                  <w:marLeft w:val="0"/>
                  <w:marRight w:val="0"/>
                  <w:marTop w:val="0"/>
                  <w:marBottom w:val="0"/>
                  <w:divBdr>
                    <w:top w:val="none" w:sz="0" w:space="0" w:color="auto"/>
                    <w:left w:val="none" w:sz="0" w:space="0" w:color="auto"/>
                    <w:bottom w:val="none" w:sz="0" w:space="0" w:color="auto"/>
                    <w:right w:val="none" w:sz="0" w:space="0" w:color="auto"/>
                  </w:divBdr>
                </w:div>
                <w:div w:id="1685205253">
                  <w:marLeft w:val="0"/>
                  <w:marRight w:val="0"/>
                  <w:marTop w:val="0"/>
                  <w:marBottom w:val="0"/>
                  <w:divBdr>
                    <w:top w:val="none" w:sz="0" w:space="0" w:color="auto"/>
                    <w:left w:val="none" w:sz="0" w:space="0" w:color="auto"/>
                    <w:bottom w:val="none" w:sz="0" w:space="0" w:color="auto"/>
                    <w:right w:val="none" w:sz="0" w:space="0" w:color="auto"/>
                  </w:divBdr>
                </w:div>
                <w:div w:id="1698384643">
                  <w:marLeft w:val="0"/>
                  <w:marRight w:val="0"/>
                  <w:marTop w:val="0"/>
                  <w:marBottom w:val="0"/>
                  <w:divBdr>
                    <w:top w:val="none" w:sz="0" w:space="0" w:color="auto"/>
                    <w:left w:val="none" w:sz="0" w:space="0" w:color="auto"/>
                    <w:bottom w:val="none" w:sz="0" w:space="0" w:color="auto"/>
                    <w:right w:val="none" w:sz="0" w:space="0" w:color="auto"/>
                  </w:divBdr>
                </w:div>
                <w:div w:id="20005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48920">
          <w:marLeft w:val="0"/>
          <w:marRight w:val="0"/>
          <w:marTop w:val="0"/>
          <w:marBottom w:val="0"/>
          <w:divBdr>
            <w:top w:val="none" w:sz="0" w:space="0" w:color="auto"/>
            <w:left w:val="none" w:sz="0" w:space="0" w:color="auto"/>
            <w:bottom w:val="none" w:sz="0" w:space="0" w:color="auto"/>
            <w:right w:val="none" w:sz="0" w:space="0" w:color="auto"/>
          </w:divBdr>
        </w:div>
      </w:divsChild>
    </w:div>
    <w:div w:id="2092847234">
      <w:bodyDiv w:val="1"/>
      <w:marLeft w:val="0"/>
      <w:marRight w:val="0"/>
      <w:marTop w:val="0"/>
      <w:marBottom w:val="0"/>
      <w:divBdr>
        <w:top w:val="none" w:sz="0" w:space="0" w:color="auto"/>
        <w:left w:val="none" w:sz="0" w:space="0" w:color="auto"/>
        <w:bottom w:val="none" w:sz="0" w:space="0" w:color="auto"/>
        <w:right w:val="none" w:sz="0" w:space="0" w:color="auto"/>
      </w:divBdr>
      <w:divsChild>
        <w:div w:id="1374696518">
          <w:marLeft w:val="0"/>
          <w:marRight w:val="0"/>
          <w:marTop w:val="0"/>
          <w:marBottom w:val="0"/>
          <w:divBdr>
            <w:top w:val="none" w:sz="0" w:space="0" w:color="auto"/>
            <w:left w:val="none" w:sz="0" w:space="0" w:color="auto"/>
            <w:bottom w:val="none" w:sz="0" w:space="0" w:color="auto"/>
            <w:right w:val="none" w:sz="0" w:space="0" w:color="auto"/>
          </w:divBdr>
          <w:divsChild>
            <w:div w:id="9668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1C509D-0285-439D-BD13-859167D23B6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C9C184F-03D0-4DA7-9E5D-996292418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B7F1C0-1756-4140-9A45-94FD109DB406}">
  <ds:schemaRefs>
    <ds:schemaRef ds:uri="http://schemas.microsoft.com/sharepoint/v3/contenttype/forms"/>
  </ds:schemaRefs>
</ds:datastoreItem>
</file>

<file path=customXml/itemProps4.xml><?xml version="1.0" encoding="utf-8"?>
<ds:datastoreItem xmlns:ds="http://schemas.openxmlformats.org/officeDocument/2006/customXml" ds:itemID="{B4D261E8-4D55-8F4E-97C5-84C381B4D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13</Pages>
  <Words>4109</Words>
  <Characters>22600</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Luisa Fernanda Pascuaza Cabrera</cp:lastModifiedBy>
  <cp:revision>42</cp:revision>
  <dcterms:created xsi:type="dcterms:W3CDTF">2022-09-12T15:38:00Z</dcterms:created>
  <dcterms:modified xsi:type="dcterms:W3CDTF">2022-10-10T15:42:00Z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