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66A02" w14:textId="77777777" w:rsidR="007A4A7A" w:rsidRPr="001A7B08" w:rsidRDefault="007A4A7A" w:rsidP="007A4A7A">
      <w:pPr>
        <w:spacing w:after="0" w:line="240" w:lineRule="auto"/>
        <w:jc w:val="both"/>
        <w:rPr>
          <w:rFonts w:ascii="Verdana" w:eastAsia="Calibri" w:hAnsi="Verdana" w:cs="Arial"/>
          <w:sz w:val="20"/>
          <w:szCs w:val="20"/>
          <w:lang w:val="es-ES_tradnl" w:eastAsia="es-ES"/>
        </w:rPr>
      </w:pPr>
    </w:p>
    <w:p w14:paraId="5DCDAA10" w14:textId="77777777" w:rsidR="007A4A7A" w:rsidRPr="001A7B08" w:rsidRDefault="007A4A7A" w:rsidP="007A4A7A">
      <w:pPr>
        <w:spacing w:after="0" w:line="240" w:lineRule="auto"/>
        <w:jc w:val="both"/>
        <w:rPr>
          <w:rFonts w:ascii="Verdana" w:eastAsia="Calibri" w:hAnsi="Verdana" w:cs="Arial"/>
          <w:b/>
          <w:bCs/>
          <w:lang w:val="es-ES_tradnl"/>
        </w:rPr>
      </w:pPr>
      <w:r w:rsidRPr="001A7B08">
        <w:rPr>
          <w:rFonts w:ascii="Verdana" w:eastAsia="Calibri" w:hAnsi="Verdana" w:cs="Arial"/>
          <w:b/>
          <w:bCs/>
          <w:lang w:val="es-ES_tradnl"/>
        </w:rPr>
        <w:t xml:space="preserve">DOCUMENTOS TIPO – Fundamento normativo – Obligatoriedad </w:t>
      </w:r>
    </w:p>
    <w:p w14:paraId="360211C3" w14:textId="77777777" w:rsidR="007A4A7A" w:rsidRPr="001A7B08" w:rsidRDefault="007A4A7A" w:rsidP="007A4A7A">
      <w:pPr>
        <w:spacing w:after="0" w:line="240" w:lineRule="auto"/>
        <w:jc w:val="both"/>
        <w:rPr>
          <w:rFonts w:ascii="Verdana" w:eastAsia="Calibri" w:hAnsi="Verdana" w:cs="Arial"/>
          <w:b/>
          <w:bCs/>
          <w:sz w:val="20"/>
          <w:szCs w:val="20"/>
          <w:lang w:val="es-ES_tradnl"/>
        </w:rPr>
      </w:pPr>
    </w:p>
    <w:p w14:paraId="0870398A" w14:textId="77777777" w:rsidR="007A4A7A" w:rsidRPr="001A7B08" w:rsidRDefault="007A4A7A" w:rsidP="007A4A7A">
      <w:pPr>
        <w:spacing w:after="0" w:line="240" w:lineRule="auto"/>
        <w:jc w:val="both"/>
        <w:rPr>
          <w:rFonts w:ascii="Verdana" w:eastAsia="Aptos" w:hAnsi="Verdana" w:cs="Times New Roman"/>
          <w:kern w:val="2"/>
          <w:sz w:val="20"/>
          <w:szCs w:val="20"/>
          <w:lang w:val="es-MX"/>
          <w14:ligatures w14:val="standardContextual"/>
        </w:rPr>
      </w:pPr>
      <w:r w:rsidRPr="001A7B08">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r>
        <w:rPr>
          <w:rFonts w:ascii="Verdana" w:eastAsia="Aptos" w:hAnsi="Verdana" w:cs="Times New Roman"/>
          <w:kern w:val="2"/>
          <w:sz w:val="20"/>
          <w:szCs w:val="20"/>
          <w:lang w:val="es-MX"/>
          <w14:ligatures w14:val="standardContextual"/>
        </w:rPr>
        <w:t xml:space="preserve"> </w:t>
      </w:r>
      <w:r w:rsidRPr="001A7B08">
        <w:rPr>
          <w:rFonts w:ascii="Verdana" w:eastAsia="Aptos" w:hAnsi="Verdana" w:cs="Times New Roman"/>
          <w:kern w:val="2"/>
          <w:sz w:val="20"/>
          <w:szCs w:val="20"/>
          <w:lang w:val="es-ES"/>
          <w14:ligatures w14:val="standardContextual"/>
        </w:rPr>
        <w:t xml:space="preserve">La norma </w:t>
      </w:r>
      <w:r w:rsidRPr="001A7B08">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45C127D" w14:textId="77777777" w:rsidR="007A4A7A" w:rsidRPr="001A7B08" w:rsidRDefault="007A4A7A" w:rsidP="007A4A7A">
      <w:pPr>
        <w:spacing w:after="0" w:line="240" w:lineRule="auto"/>
        <w:jc w:val="both"/>
        <w:rPr>
          <w:rFonts w:ascii="Verdana" w:eastAsia="Aptos" w:hAnsi="Verdana" w:cs="Times New Roman"/>
          <w:sz w:val="20"/>
          <w:szCs w:val="20"/>
          <w:lang w:val="es-MX"/>
        </w:rPr>
      </w:pPr>
    </w:p>
    <w:p w14:paraId="6B3E1774" w14:textId="77777777" w:rsidR="007A4A7A" w:rsidRPr="001A7B08" w:rsidRDefault="007A4A7A" w:rsidP="007A4A7A">
      <w:pPr>
        <w:spacing w:after="0" w:line="240" w:lineRule="auto"/>
        <w:jc w:val="both"/>
        <w:rPr>
          <w:rFonts w:ascii="Verdana" w:eastAsia="Calibri" w:hAnsi="Verdana" w:cs="Arial"/>
          <w:b/>
          <w:bCs/>
          <w:kern w:val="2"/>
          <w:lang w:val="es-ES_tradnl"/>
          <w14:ligatures w14:val="standardContextual"/>
        </w:rPr>
      </w:pPr>
      <w:r w:rsidRPr="001A7B08">
        <w:rPr>
          <w:rFonts w:ascii="Verdana" w:eastAsia="Calibri" w:hAnsi="Verdana" w:cs="Arial"/>
          <w:b/>
          <w:bCs/>
          <w:lang w:val="es-ES_tradnl"/>
        </w:rPr>
        <w:t>DOCUMENTOS TIPO – Adopción – Implementación</w:t>
      </w:r>
    </w:p>
    <w:p w14:paraId="4816B95F" w14:textId="77777777" w:rsidR="007A4A7A" w:rsidRPr="001A7B08" w:rsidRDefault="007A4A7A" w:rsidP="007A4A7A">
      <w:pPr>
        <w:spacing w:after="0" w:line="240" w:lineRule="auto"/>
        <w:jc w:val="both"/>
        <w:rPr>
          <w:rFonts w:ascii="Verdana" w:eastAsia="Calibri" w:hAnsi="Verdana" w:cs="Arial"/>
          <w:color w:val="000000"/>
          <w:kern w:val="2"/>
          <w:sz w:val="20"/>
          <w:szCs w:val="20"/>
          <w:lang w:val="es-MX"/>
          <w14:ligatures w14:val="standardContextual"/>
        </w:rPr>
      </w:pPr>
    </w:p>
    <w:p w14:paraId="2AD2517F" w14:textId="77777777" w:rsidR="007A4A7A" w:rsidRPr="001A7B08" w:rsidRDefault="007A4A7A" w:rsidP="007A4A7A">
      <w:pPr>
        <w:spacing w:after="0" w:line="240" w:lineRule="auto"/>
        <w:jc w:val="both"/>
        <w:rPr>
          <w:rFonts w:ascii="Verdana" w:eastAsia="Calibri" w:hAnsi="Verdana" w:cs="Arial"/>
          <w:color w:val="000000"/>
          <w:kern w:val="2"/>
          <w:sz w:val="20"/>
          <w:szCs w:val="20"/>
          <w:lang w:val="es-MX"/>
          <w14:ligatures w14:val="standardContextual"/>
        </w:rPr>
      </w:pPr>
      <w:r w:rsidRPr="001A7B08">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618D42C3" w14:textId="77777777" w:rsidR="007A4A7A" w:rsidRPr="001A7B08" w:rsidRDefault="007A4A7A" w:rsidP="007A4A7A">
      <w:pPr>
        <w:spacing w:after="0" w:line="240" w:lineRule="auto"/>
        <w:jc w:val="both"/>
        <w:rPr>
          <w:rFonts w:ascii="Verdana" w:eastAsia="Calibri" w:hAnsi="Verdana" w:cs="Arial"/>
          <w:color w:val="000000"/>
          <w:sz w:val="20"/>
          <w:szCs w:val="20"/>
          <w:lang w:val="es-MX"/>
        </w:rPr>
      </w:pPr>
    </w:p>
    <w:p w14:paraId="03471394" w14:textId="77777777" w:rsidR="007A4A7A" w:rsidRPr="001A7B08" w:rsidRDefault="007A4A7A" w:rsidP="007A4A7A">
      <w:pPr>
        <w:spacing w:after="0" w:line="240" w:lineRule="auto"/>
        <w:jc w:val="both"/>
        <w:rPr>
          <w:rFonts w:ascii="Verdana" w:eastAsia="Calibri" w:hAnsi="Verdana" w:cs="Arial"/>
          <w:b/>
          <w:bCs/>
          <w:kern w:val="2"/>
          <w:lang w:val="es-ES_tradnl"/>
          <w14:ligatures w14:val="standardContextual"/>
        </w:rPr>
      </w:pPr>
      <w:r w:rsidRPr="001A7B08">
        <w:rPr>
          <w:rFonts w:ascii="Verdana" w:eastAsia="Calibri" w:hAnsi="Verdana" w:cs="Arial"/>
          <w:b/>
          <w:bCs/>
          <w:lang w:val="es-ES_tradnl"/>
        </w:rPr>
        <w:t>DOCUMENTOS TIPO – Sectores – Vigentes</w:t>
      </w:r>
    </w:p>
    <w:p w14:paraId="58C6B4FC" w14:textId="77777777" w:rsidR="007A4A7A" w:rsidRPr="001A7B08" w:rsidRDefault="007A4A7A" w:rsidP="007A4A7A">
      <w:pPr>
        <w:spacing w:after="0" w:line="240" w:lineRule="auto"/>
        <w:jc w:val="both"/>
        <w:rPr>
          <w:rFonts w:ascii="Verdana" w:eastAsia="Calibri" w:hAnsi="Verdana" w:cs="Arial"/>
          <w:b/>
          <w:bCs/>
          <w:color w:val="000000"/>
          <w:sz w:val="20"/>
          <w:szCs w:val="20"/>
          <w:lang w:eastAsia="es-ES_tradnl"/>
        </w:rPr>
      </w:pPr>
    </w:p>
    <w:p w14:paraId="5A1A056F" w14:textId="77777777" w:rsidR="007A4A7A" w:rsidRPr="001A7B08" w:rsidRDefault="007A4A7A" w:rsidP="007A4A7A">
      <w:pPr>
        <w:tabs>
          <w:tab w:val="left" w:pos="709"/>
        </w:tabs>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w:t>
      </w:r>
      <w:r w:rsidRPr="001A7B08">
        <w:rPr>
          <w:rFonts w:ascii="Verdana" w:eastAsia="Calibri" w:hAnsi="Verdana" w:cs="Arial"/>
          <w:sz w:val="20"/>
          <w:szCs w:val="20"/>
          <w:lang w:val="es-ES"/>
        </w:rPr>
        <w:t xml:space="preserve">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334F54A8" w14:textId="77777777" w:rsidR="007A4A7A" w:rsidRPr="001A7B08" w:rsidRDefault="007A4A7A" w:rsidP="007A4A7A">
      <w:pPr>
        <w:spacing w:after="0" w:line="240" w:lineRule="auto"/>
        <w:jc w:val="both"/>
        <w:rPr>
          <w:rFonts w:ascii="Verdana" w:eastAsia="Calibri" w:hAnsi="Verdana" w:cs="Arial"/>
          <w:color w:val="000000"/>
          <w:kern w:val="2"/>
          <w:sz w:val="20"/>
          <w:szCs w:val="20"/>
          <w:lang w:val="es-MX"/>
          <w14:ligatures w14:val="standardContextual"/>
        </w:rPr>
      </w:pPr>
    </w:p>
    <w:p w14:paraId="056F8900" w14:textId="77777777" w:rsidR="007A4A7A" w:rsidRPr="001A7B08" w:rsidRDefault="007A4A7A" w:rsidP="007A4A7A">
      <w:pPr>
        <w:spacing w:after="0" w:line="240" w:lineRule="auto"/>
        <w:jc w:val="both"/>
        <w:rPr>
          <w:rFonts w:ascii="Verdana" w:eastAsia="Calibri" w:hAnsi="Verdana" w:cs="Arial"/>
          <w:b/>
          <w:bCs/>
          <w:kern w:val="2"/>
          <w:lang w:val="es-ES_tradnl"/>
          <w14:ligatures w14:val="standardContextual"/>
        </w:rPr>
      </w:pPr>
      <w:r w:rsidRPr="001A7B08">
        <w:rPr>
          <w:rFonts w:ascii="Verdana" w:eastAsia="Calibri" w:hAnsi="Verdana" w:cs="Arial"/>
          <w:b/>
          <w:bCs/>
          <w:lang w:val="es-ES_tradnl"/>
        </w:rPr>
        <w:t xml:space="preserve">DOCUMENTOS TIPO – Colombia Compra Eficiente – Facultad de estandarización </w:t>
      </w:r>
    </w:p>
    <w:p w14:paraId="22E781EB" w14:textId="77777777" w:rsidR="007A4A7A" w:rsidRPr="001A7B08" w:rsidRDefault="007A4A7A" w:rsidP="007A4A7A">
      <w:pPr>
        <w:spacing w:after="0" w:line="240" w:lineRule="auto"/>
        <w:jc w:val="both"/>
        <w:rPr>
          <w:rFonts w:ascii="Verdana" w:eastAsia="Calibri" w:hAnsi="Verdana" w:cs="Arial"/>
          <w:b/>
          <w:bCs/>
          <w:kern w:val="2"/>
          <w:sz w:val="20"/>
          <w:szCs w:val="20"/>
          <w:lang w:val="es-ES_tradnl"/>
          <w14:ligatures w14:val="standardContextual"/>
        </w:rPr>
      </w:pPr>
    </w:p>
    <w:p w14:paraId="266FE1B3" w14:textId="77777777" w:rsidR="007A4A7A" w:rsidRPr="001A7B08" w:rsidRDefault="007A4A7A" w:rsidP="007A4A7A">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A7B08">
        <w:rPr>
          <w:rFonts w:ascii="Verdana" w:eastAsia="Times New Roman" w:hAnsi="Verdana" w:cs="Arial"/>
          <w:kern w:val="2"/>
          <w:sz w:val="20"/>
          <w:szCs w:val="20"/>
          <w:lang w:eastAsia="es-ES"/>
          <w14:ligatures w14:val="standardContextual"/>
        </w:rPr>
        <w:t>Conforme con lo anterior, m</w:t>
      </w:r>
      <w:r w:rsidRPr="001A7B08">
        <w:rPr>
          <w:rFonts w:ascii="Verdana" w:eastAsia="Times New Roman" w:hAnsi="Verdana" w:cs="Arial"/>
          <w:sz w:val="20"/>
          <w:szCs w:val="20"/>
          <w:lang w:eastAsia="es-ES"/>
        </w:rPr>
        <w:t xml:space="preserve">ediante una interpretación sistemática de la normativa y jurisprudencia citada es posible concluir que </w:t>
      </w:r>
      <w:r w:rsidRPr="001A7B08">
        <w:rPr>
          <w:rFonts w:ascii="Verdana" w:eastAsia="Times New Roman" w:hAnsi="Verdana" w:cs="Arial"/>
          <w:kern w:val="2"/>
          <w:sz w:val="20"/>
          <w:szCs w:val="20"/>
          <w:lang w:eastAsia="es-ES"/>
          <w14:ligatures w14:val="standardContextual"/>
        </w:rPr>
        <w:t>la</w:t>
      </w:r>
      <w:r w:rsidRPr="001A7B08">
        <w:rPr>
          <w:rFonts w:ascii="Verdana" w:eastAsia="Times New Roman" w:hAnsi="Verdana" w:cs="Arial"/>
          <w:sz w:val="20"/>
          <w:szCs w:val="20"/>
          <w:lang w:eastAsia="es-ES"/>
        </w:rPr>
        <w:t xml:space="preserve"> Agencia</w:t>
      </w:r>
      <w:r w:rsidRPr="001A7B08">
        <w:rPr>
          <w:rFonts w:ascii="Verdana" w:eastAsia="Times New Roman" w:hAnsi="Verdana" w:cs="Arial"/>
          <w:kern w:val="2"/>
          <w:sz w:val="20"/>
          <w:szCs w:val="20"/>
          <w:lang w:eastAsia="es-ES"/>
          <w14:ligatures w14:val="standardContextual"/>
        </w:rPr>
        <w:t xml:space="preserve"> Nacional de Contratación Pública – Colombia Compra Eficiente</w:t>
      </w:r>
      <w:r w:rsidRPr="001A7B08">
        <w:rPr>
          <w:rFonts w:ascii="Verdana" w:eastAsia="Times New Roman" w:hAnsi="Verdana" w:cs="Arial"/>
          <w:sz w:val="20"/>
          <w:szCs w:val="20"/>
          <w:lang w:eastAsia="es-ES"/>
        </w:rPr>
        <w:t xml:space="preserve">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w:t>
      </w:r>
      <w:r w:rsidRPr="001A7B08">
        <w:rPr>
          <w:rFonts w:ascii="Verdana" w:eastAsia="Times New Roman" w:hAnsi="Verdana" w:cs="Arial"/>
          <w:sz w:val="20"/>
          <w:szCs w:val="20"/>
          <w:lang w:eastAsia="es-ES"/>
        </w:rPr>
        <w:lastRenderedPageBreak/>
        <w:t xml:space="preserve">Compra Eficiente tiene la facultad de adoptar los documentos tipo, con fundamento en la potestad reglamentaria que le asignó el artículo 1º de la Ley 2022 de 2020. </w:t>
      </w:r>
    </w:p>
    <w:p w14:paraId="2D3254E3" w14:textId="77777777" w:rsidR="007A4A7A" w:rsidRPr="001A7B08" w:rsidRDefault="007A4A7A" w:rsidP="007A4A7A">
      <w:pPr>
        <w:tabs>
          <w:tab w:val="center" w:pos="4419"/>
          <w:tab w:val="right" w:pos="8838"/>
        </w:tabs>
        <w:spacing w:after="0" w:line="240" w:lineRule="auto"/>
        <w:jc w:val="both"/>
        <w:rPr>
          <w:rFonts w:ascii="Verdana" w:eastAsia="MS Mincho" w:hAnsi="Verdana" w:cs="Arial"/>
          <w:sz w:val="20"/>
          <w:szCs w:val="20"/>
          <w:lang w:eastAsia="es-CO"/>
        </w:rPr>
      </w:pPr>
    </w:p>
    <w:p w14:paraId="7EEF5F87" w14:textId="77777777" w:rsidR="007A4A7A" w:rsidRPr="001A7B08" w:rsidRDefault="007A4A7A" w:rsidP="007A4A7A">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A7B08">
        <w:rPr>
          <w:rFonts w:ascii="Verdana" w:eastAsia="MS Mincho" w:hAnsi="Verdana" w:cs="Arial"/>
          <w:sz w:val="20"/>
          <w:szCs w:val="20"/>
          <w:lang w:eastAsia="es-CO"/>
        </w:rPr>
        <w:t>I</w:t>
      </w:r>
      <w:r w:rsidRPr="001A7B08">
        <w:rPr>
          <w:rFonts w:ascii="Verdana" w:eastAsia="Times New Roman" w:hAnsi="Verdana" w:cs="Arial"/>
          <w:sz w:val="20"/>
          <w:szCs w:val="20"/>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4030C0CB" w14:textId="77777777" w:rsidR="007A4A7A" w:rsidRPr="001A7B08" w:rsidRDefault="007A4A7A" w:rsidP="007A4A7A">
      <w:pPr>
        <w:spacing w:after="0" w:line="240" w:lineRule="auto"/>
        <w:jc w:val="both"/>
        <w:rPr>
          <w:rFonts w:ascii="Verdana" w:eastAsia="Calibri" w:hAnsi="Verdana" w:cs="Arial"/>
          <w:b/>
          <w:bCs/>
          <w:sz w:val="20"/>
          <w:szCs w:val="20"/>
          <w:highlight w:val="yellow"/>
          <w:lang w:val="es-ES_tradnl"/>
        </w:rPr>
      </w:pPr>
    </w:p>
    <w:p w14:paraId="2961043D" w14:textId="77777777" w:rsidR="007A4A7A" w:rsidRPr="001A7B08" w:rsidRDefault="007A4A7A" w:rsidP="007A4A7A">
      <w:pPr>
        <w:spacing w:after="0" w:line="240" w:lineRule="auto"/>
        <w:rPr>
          <w:rFonts w:ascii="Verdana" w:eastAsia="Calibri" w:hAnsi="Verdana" w:cs="Times New Roman"/>
          <w:b/>
          <w:bCs/>
          <w:lang w:val="es-ES"/>
        </w:rPr>
      </w:pPr>
      <w:r w:rsidRPr="001A7B08">
        <w:rPr>
          <w:rFonts w:ascii="Verdana" w:eastAsia="Calibri" w:hAnsi="Verdana" w:cs="Times New Roman"/>
          <w:b/>
          <w:bCs/>
          <w:lang w:val="es-ES"/>
        </w:rPr>
        <w:t>DOCUMENTOS TIPO – Inalterabilidad – Alcance</w:t>
      </w:r>
    </w:p>
    <w:p w14:paraId="09EC5F7F" w14:textId="77777777" w:rsidR="007A4A7A" w:rsidRPr="001A7B08" w:rsidRDefault="007A4A7A" w:rsidP="007A4A7A">
      <w:pPr>
        <w:spacing w:after="0" w:line="240" w:lineRule="auto"/>
        <w:rPr>
          <w:rFonts w:ascii="Verdana" w:eastAsia="Calibri" w:hAnsi="Verdana" w:cs="Times New Roman"/>
          <w:b/>
          <w:bCs/>
          <w:sz w:val="20"/>
          <w:szCs w:val="20"/>
          <w:lang w:val="es-ES"/>
        </w:rPr>
      </w:pPr>
    </w:p>
    <w:p w14:paraId="4C183B9D" w14:textId="77777777" w:rsidR="007A4A7A" w:rsidRPr="001A7B08" w:rsidRDefault="007A4A7A" w:rsidP="007A4A7A">
      <w:pPr>
        <w:tabs>
          <w:tab w:val="center" w:pos="4419"/>
          <w:tab w:val="right" w:pos="8838"/>
        </w:tabs>
        <w:spacing w:after="0" w:line="240" w:lineRule="auto"/>
        <w:jc w:val="both"/>
        <w:rPr>
          <w:rFonts w:ascii="Verdana" w:eastAsia="Calibri" w:hAnsi="Verdana" w:cs="Arial"/>
          <w:color w:val="000000"/>
          <w:sz w:val="20"/>
          <w:szCs w:val="20"/>
          <w:lang w:val="es-ES"/>
        </w:rPr>
      </w:pPr>
      <w:r w:rsidRPr="001A7B08">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A7B08">
        <w:rPr>
          <w:rFonts w:ascii="Verdana" w:eastAsia="Calibri" w:hAnsi="Verdana" w:cs="Arial"/>
          <w:i/>
          <w:iCs/>
          <w:color w:val="000000"/>
          <w:sz w:val="20"/>
          <w:szCs w:val="20"/>
          <w:lang w:val="es-ES"/>
        </w:rPr>
        <w:t>Documentos del Proceso</w:t>
      </w:r>
      <w:r w:rsidRPr="001A7B08">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8B3E3E1" w14:textId="77777777" w:rsidR="007A4A7A" w:rsidRPr="001A7B08" w:rsidRDefault="007A4A7A" w:rsidP="007A4A7A">
      <w:pPr>
        <w:spacing w:after="0" w:line="240" w:lineRule="auto"/>
        <w:jc w:val="both"/>
        <w:rPr>
          <w:rFonts w:ascii="Verdana" w:eastAsia="Calibri" w:hAnsi="Verdana" w:cs="Arial"/>
          <w:sz w:val="20"/>
          <w:szCs w:val="20"/>
          <w:lang w:val="es-ES_tradnl"/>
        </w:rPr>
      </w:pPr>
    </w:p>
    <w:p w14:paraId="083A1385" w14:textId="77777777" w:rsidR="007A4A7A" w:rsidRPr="001A7B08" w:rsidRDefault="007A4A7A" w:rsidP="007A4A7A">
      <w:pPr>
        <w:spacing w:after="0" w:line="240" w:lineRule="auto"/>
        <w:jc w:val="both"/>
        <w:rPr>
          <w:rFonts w:ascii="Verdana" w:eastAsia="Calibri" w:hAnsi="Verdana" w:cs="Arial"/>
          <w:color w:val="000000"/>
          <w:sz w:val="20"/>
          <w:szCs w:val="20"/>
          <w:lang w:val="es-ES"/>
        </w:rPr>
      </w:pPr>
      <w:r w:rsidRPr="001A7B08">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370B948F" w14:textId="77777777" w:rsidR="007A4A7A" w:rsidRPr="001A7B08" w:rsidRDefault="007A4A7A" w:rsidP="007A4A7A">
      <w:pPr>
        <w:spacing w:after="0" w:line="240" w:lineRule="auto"/>
        <w:jc w:val="both"/>
        <w:rPr>
          <w:rFonts w:ascii="Verdana" w:eastAsia="Calibri" w:hAnsi="Verdana" w:cs="Arial"/>
          <w:color w:val="000000"/>
          <w:sz w:val="20"/>
          <w:szCs w:val="20"/>
          <w:lang w:val="es-ES"/>
        </w:rPr>
      </w:pPr>
    </w:p>
    <w:p w14:paraId="524EF11D" w14:textId="77777777" w:rsidR="007A4A7A" w:rsidRPr="001A7B08" w:rsidRDefault="007A4A7A" w:rsidP="007A4A7A">
      <w:pPr>
        <w:spacing w:after="0" w:line="240" w:lineRule="auto"/>
        <w:jc w:val="both"/>
        <w:rPr>
          <w:rFonts w:ascii="Verdana" w:eastAsia="Calibri" w:hAnsi="Verdana" w:cs="Arial"/>
          <w:color w:val="000000"/>
          <w:sz w:val="20"/>
          <w:szCs w:val="20"/>
          <w:lang w:val="es-ES"/>
        </w:rPr>
      </w:pPr>
      <w:r w:rsidRPr="001A7B08">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3984C418" w14:textId="77777777" w:rsidR="007A4A7A" w:rsidRPr="001A7B08" w:rsidRDefault="007A4A7A" w:rsidP="007A4A7A">
      <w:pPr>
        <w:spacing w:after="0" w:line="240" w:lineRule="auto"/>
        <w:jc w:val="both"/>
        <w:rPr>
          <w:rFonts w:ascii="Verdana" w:eastAsia="Calibri" w:hAnsi="Verdana" w:cs="Arial"/>
          <w:color w:val="000000"/>
          <w:sz w:val="20"/>
          <w:szCs w:val="20"/>
          <w:lang w:val="es-ES"/>
        </w:rPr>
      </w:pPr>
    </w:p>
    <w:p w14:paraId="3563AF66" w14:textId="77777777" w:rsidR="007A4A7A" w:rsidRPr="001A7B08" w:rsidRDefault="007A4A7A" w:rsidP="007A4A7A">
      <w:pPr>
        <w:spacing w:after="0" w:line="240" w:lineRule="auto"/>
        <w:jc w:val="both"/>
        <w:rPr>
          <w:rFonts w:ascii="Verdana" w:eastAsia="Calibri" w:hAnsi="Verdana" w:cs="Arial"/>
          <w:color w:val="000000"/>
          <w:sz w:val="20"/>
          <w:szCs w:val="20"/>
          <w:lang w:val="es-ES"/>
        </w:rPr>
      </w:pPr>
      <w:r w:rsidRPr="001A7B08">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A7B08">
        <w:rPr>
          <w:rFonts w:ascii="Verdana" w:eastAsia="Aptos" w:hAnsi="Verdana" w:cs="Arial"/>
          <w:sz w:val="20"/>
          <w:szCs w:val="20"/>
        </w:rPr>
        <w:t>–[</w:t>
      </w:r>
      <w:r w:rsidRPr="001A7B08">
        <w:rPr>
          <w:rFonts w:ascii="Verdana" w:eastAsia="Aptos" w:hAnsi="Verdana" w:cs="Arial"/>
          <w:sz w:val="20"/>
          <w:szCs w:val="20"/>
          <w:highlight w:val="lightGray"/>
        </w:rPr>
        <w:t xml:space="preserve">texto de </w:t>
      </w:r>
      <w:r w:rsidRPr="001A7B08">
        <w:rPr>
          <w:rFonts w:ascii="Verdana" w:eastAsia="Aptos" w:hAnsi="Verdana" w:cs="Arial"/>
          <w:sz w:val="20"/>
          <w:szCs w:val="20"/>
          <w:highlight w:val="lightGray"/>
        </w:rPr>
        <w:lastRenderedPageBreak/>
        <w:t>ejemplo</w:t>
      </w:r>
      <w:r w:rsidRPr="001A7B08">
        <w:rPr>
          <w:rFonts w:ascii="Verdana" w:eastAsia="Aptos" w:hAnsi="Verdana" w:cs="Arial"/>
          <w:sz w:val="20"/>
          <w:szCs w:val="20"/>
        </w:rPr>
        <w:t xml:space="preserve">]– </w:t>
      </w:r>
      <w:r w:rsidRPr="001A7B08">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C4CBE5C" w14:textId="77777777" w:rsidR="007A4A7A" w:rsidRPr="001A7B08" w:rsidRDefault="007A4A7A" w:rsidP="007A4A7A">
      <w:pPr>
        <w:spacing w:after="0" w:line="240" w:lineRule="auto"/>
        <w:rPr>
          <w:rFonts w:ascii="Verdana" w:eastAsia="Calibri" w:hAnsi="Verdana" w:cs="Times New Roman"/>
          <w:b/>
          <w:bCs/>
          <w:sz w:val="20"/>
          <w:szCs w:val="20"/>
          <w:lang w:val="es-ES"/>
        </w:rPr>
      </w:pPr>
    </w:p>
    <w:p w14:paraId="372FB540" w14:textId="77777777" w:rsidR="007A4A7A" w:rsidRPr="001A7B08" w:rsidRDefault="007A4A7A" w:rsidP="007A4A7A">
      <w:pPr>
        <w:spacing w:after="0" w:line="240" w:lineRule="auto"/>
        <w:rPr>
          <w:rFonts w:ascii="Verdana" w:eastAsia="Calibri" w:hAnsi="Verdana" w:cs="Times New Roman"/>
          <w:b/>
          <w:bCs/>
          <w:lang w:val="es-ES"/>
        </w:rPr>
      </w:pPr>
      <w:r w:rsidRPr="001A7B08">
        <w:rPr>
          <w:rFonts w:ascii="Verdana" w:eastAsia="Calibri" w:hAnsi="Verdana" w:cs="Times New Roman"/>
          <w:b/>
          <w:bCs/>
          <w:lang w:val="es-ES"/>
        </w:rPr>
        <w:t>DECRETO 287 DE 2026 – Incidencia – Documentos tipo</w:t>
      </w:r>
    </w:p>
    <w:p w14:paraId="3C492C52" w14:textId="77777777" w:rsidR="007A4A7A" w:rsidRPr="001A7B08" w:rsidRDefault="007A4A7A" w:rsidP="007A4A7A">
      <w:pPr>
        <w:spacing w:after="0" w:line="240" w:lineRule="auto"/>
        <w:rPr>
          <w:rFonts w:ascii="Verdana" w:eastAsia="Calibri" w:hAnsi="Verdana" w:cs="Times New Roman"/>
          <w:b/>
          <w:bCs/>
          <w:sz w:val="20"/>
          <w:szCs w:val="20"/>
          <w:lang w:val="es-ES"/>
        </w:rPr>
      </w:pPr>
    </w:p>
    <w:p w14:paraId="5E3617FC"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5C43025A"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1BE0E71" w14:textId="77777777" w:rsidR="007A4A7A" w:rsidRPr="001A7B08" w:rsidRDefault="007A4A7A" w:rsidP="007A4A7A">
      <w:pPr>
        <w:spacing w:after="0" w:line="240" w:lineRule="auto"/>
        <w:jc w:val="both"/>
        <w:rPr>
          <w:rFonts w:ascii="Verdana" w:eastAsia="Calibri" w:hAnsi="Verdana" w:cs="Times New Roman"/>
          <w:b/>
          <w:bCs/>
          <w:lang w:val="es-ES"/>
        </w:rPr>
      </w:pPr>
      <w:r w:rsidRPr="001A7B08">
        <w:rPr>
          <w:rFonts w:ascii="Verdana" w:eastAsia="Calibri" w:hAnsi="Verdana" w:cs="Times New Roman"/>
          <w:b/>
          <w:bCs/>
          <w:lang w:val="es-ES"/>
        </w:rPr>
        <w:t>DECRETO 287 DE 2026 – Documentos tipo – Licitación Pública – Selección abreviada de menor cuantía – Concurso de méritos – Requisitos habilitantes</w:t>
      </w:r>
    </w:p>
    <w:p w14:paraId="433CAD10"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9C81881"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w:t>
      </w:r>
      <w:r>
        <w:rPr>
          <w:rFonts w:ascii="Verdana" w:eastAsia="Aptos" w:hAnsi="Verdana" w:cs="Times New Roman"/>
          <w:kern w:val="2"/>
          <w:sz w:val="20"/>
          <w:szCs w:val="20"/>
          <w14:ligatures w14:val="standardContextual"/>
        </w:rPr>
        <w:t>[…]</w:t>
      </w:r>
      <w:r w:rsidRPr="001A7B08">
        <w:rPr>
          <w:rFonts w:ascii="Verdana" w:eastAsia="Aptos" w:hAnsi="Verdana" w:cs="Times New Roman"/>
          <w:kern w:val="2"/>
          <w:sz w:val="20"/>
          <w:szCs w:val="20"/>
          <w14:ligatures w14:val="standardContextual"/>
        </w:rPr>
        <w:t xml:space="preserve">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5C60D099"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92F5F38" w14:textId="77777777" w:rsidR="007A4A7A" w:rsidRPr="001A7B08" w:rsidRDefault="007A4A7A" w:rsidP="007A4A7A">
      <w:pPr>
        <w:spacing w:after="0" w:line="240" w:lineRule="auto"/>
        <w:jc w:val="both"/>
        <w:rPr>
          <w:rFonts w:ascii="Verdana" w:eastAsia="Calibri" w:hAnsi="Verdana" w:cs="Times New Roman"/>
          <w:b/>
          <w:bCs/>
          <w:lang w:val="es-ES"/>
        </w:rPr>
      </w:pPr>
      <w:r w:rsidRPr="001A7B08">
        <w:rPr>
          <w:rFonts w:ascii="Verdana" w:eastAsia="Calibri" w:hAnsi="Verdana" w:cs="Times New Roman"/>
          <w:b/>
          <w:bCs/>
          <w:lang w:val="es-ES"/>
        </w:rPr>
        <w:t>DECRETO 287 DE 2026 – Documentos tipo – Licitación Pública – Concurso de méritos – Factores de evaluación</w:t>
      </w:r>
    </w:p>
    <w:p w14:paraId="79648E74"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21B9F14D"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w:t>
      </w:r>
      <w:r>
        <w:rPr>
          <w:rFonts w:ascii="Verdana" w:eastAsia="Aptos" w:hAnsi="Verdana" w:cs="Times New Roman"/>
          <w:kern w:val="2"/>
          <w:sz w:val="20"/>
          <w:szCs w:val="20"/>
          <w14:ligatures w14:val="standardContextual"/>
        </w:rPr>
        <w:t>[…]</w:t>
      </w:r>
      <w:r w:rsidRPr="001A7B08">
        <w:rPr>
          <w:rFonts w:ascii="Verdana" w:eastAsia="Aptos" w:hAnsi="Verdana" w:cs="Times New Roman"/>
          <w:kern w:val="2"/>
          <w:sz w:val="20"/>
          <w:szCs w:val="20"/>
          <w14:ligatures w14:val="standardContextual"/>
        </w:rPr>
        <w:t xml:space="preserve"> en los procedimientos de licitación pública y concurso de méritos, las Entidades Estatales otorgaran un puntaje adicional máximo del dos por cuento (2%) del valor total de los puntos establecidos en </w:t>
      </w:r>
      <w:r w:rsidRPr="001A7B08">
        <w:rPr>
          <w:rFonts w:ascii="Verdana" w:eastAsia="Aptos" w:hAnsi="Verdana" w:cs="Times New Roman"/>
          <w:kern w:val="2"/>
          <w:sz w:val="20"/>
          <w:szCs w:val="20"/>
          <w14:ligatures w14:val="standardContextual"/>
        </w:rPr>
        <w:lastRenderedPageBreak/>
        <w:t>los Pliegos de condiciones o documentos equivalentes” cuando se configuren las situaciones que allí se establecen, pero que “</w:t>
      </w:r>
      <w:r>
        <w:rPr>
          <w:rFonts w:ascii="Verdana" w:eastAsia="Aptos" w:hAnsi="Verdana" w:cs="Times New Roman"/>
          <w:kern w:val="2"/>
          <w:sz w:val="20"/>
          <w:szCs w:val="20"/>
          <w14:ligatures w14:val="standardContextual"/>
        </w:rPr>
        <w:t>[…]</w:t>
      </w:r>
      <w:r w:rsidRPr="001A7B08">
        <w:rPr>
          <w:rFonts w:ascii="Verdana" w:eastAsia="Aptos" w:hAnsi="Verdana" w:cs="Times New Roman"/>
          <w:kern w:val="2"/>
          <w:sz w:val="20"/>
          <w:szCs w:val="20"/>
          <w14:ligatures w14:val="standardContextual"/>
        </w:rPr>
        <w:t xml:space="preserve"> en todo caso el puntaje adicional total y único a otorgar por este criterio será del dos por ciento (2%), sin que sean acumulables a afecto de la evaluación de la oferta </w:t>
      </w:r>
      <w:r>
        <w:rPr>
          <w:rFonts w:ascii="Verdana" w:eastAsia="Aptos" w:hAnsi="Verdana" w:cs="Times New Roman"/>
          <w:kern w:val="2"/>
          <w:sz w:val="20"/>
          <w:szCs w:val="20"/>
          <w14:ligatures w14:val="standardContextual"/>
        </w:rPr>
        <w:t>[…]</w:t>
      </w:r>
      <w:r w:rsidRPr="001A7B08">
        <w:rPr>
          <w:rFonts w:ascii="Verdana" w:eastAsia="Aptos" w:hAnsi="Verdana" w:cs="Times New Roman"/>
          <w:kern w:val="2"/>
          <w:sz w:val="20"/>
          <w:szCs w:val="20"/>
          <w14:ligatures w14:val="standardContextual"/>
        </w:rPr>
        <w:t xml:space="preserve">”. </w:t>
      </w:r>
    </w:p>
    <w:p w14:paraId="756AE5DF"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101801E" w14:textId="77777777" w:rsidR="007A4A7A" w:rsidRPr="001A7B08" w:rsidRDefault="007A4A7A" w:rsidP="007A4A7A">
      <w:pPr>
        <w:widowControl w:val="0"/>
        <w:autoSpaceDE w:val="0"/>
        <w:autoSpaceDN w:val="0"/>
        <w:spacing w:after="0" w:line="240" w:lineRule="auto"/>
        <w:jc w:val="both"/>
        <w:rPr>
          <w:rFonts w:ascii="Verdana" w:eastAsia="Calibri" w:hAnsi="Verdana" w:cs="Times New Roman"/>
          <w:b/>
          <w:bCs/>
          <w:lang w:val="es-ES"/>
        </w:rPr>
      </w:pPr>
      <w:r w:rsidRPr="001A7B08">
        <w:rPr>
          <w:rFonts w:ascii="Verdana" w:eastAsia="Calibri" w:hAnsi="Verdana" w:cs="Times New Roman"/>
          <w:b/>
          <w:bCs/>
          <w:lang w:val="es-ES"/>
        </w:rPr>
        <w:t xml:space="preserve">DECRETO 287 DE 2026 – Documentos tipo – Ejecución contractual </w:t>
      </w:r>
    </w:p>
    <w:p w14:paraId="519CCC26"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750B210"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3DCBC4A3"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D437D3A"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3127F602"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5157FB1" w14:textId="77777777" w:rsidR="007A4A7A" w:rsidRPr="001A7B08" w:rsidRDefault="007A4A7A" w:rsidP="007A4A7A">
      <w:pPr>
        <w:widowControl w:val="0"/>
        <w:autoSpaceDE w:val="0"/>
        <w:autoSpaceDN w:val="0"/>
        <w:spacing w:after="0" w:line="240" w:lineRule="auto"/>
        <w:jc w:val="both"/>
        <w:rPr>
          <w:rFonts w:ascii="Verdana" w:eastAsia="Calibri" w:hAnsi="Verdana" w:cs="Times New Roman"/>
          <w:b/>
          <w:bCs/>
          <w:lang w:val="es-ES"/>
        </w:rPr>
      </w:pPr>
      <w:r w:rsidRPr="001A7B08">
        <w:rPr>
          <w:rFonts w:ascii="Verdana" w:eastAsia="Calibri" w:hAnsi="Verdana" w:cs="Times New Roman"/>
          <w:b/>
          <w:bCs/>
          <w:lang w:val="es-ES"/>
        </w:rPr>
        <w:t xml:space="preserve">DOCUMENTOS TIPO – Decreto 287 de 2026 – Aplicación </w:t>
      </w:r>
    </w:p>
    <w:p w14:paraId="04D0A8C2"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3E6CCD4"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584CBD40"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3053118"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 xml:space="preserve">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w:t>
      </w:r>
      <w:r w:rsidRPr="001A7B08">
        <w:rPr>
          <w:rFonts w:ascii="Verdana" w:eastAsia="Aptos" w:hAnsi="Verdana" w:cs="Times New Roman"/>
          <w:kern w:val="2"/>
          <w:sz w:val="20"/>
          <w:szCs w:val="20"/>
          <w14:ligatures w14:val="standardContextual"/>
        </w:rPr>
        <w:lastRenderedPageBreak/>
        <w:t>incorporó las previsiones contenidas en el Decreto 287 de 2026 a los procesos de selección regidos por documentos tipo.</w:t>
      </w:r>
    </w:p>
    <w:p w14:paraId="49392E53"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1B3005E"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Adicionalmente, el propio Decreto 287 de 2026 en el artículo 1 que modifica el artículo 2.2.1.2.4.2.7.8 al Decreto 1082 de 2015, reconoce esta necesidad al disponer que la Agencia Nacional de Contratación Pública – Colombia Compra Eficiente “</w:t>
      </w:r>
      <w:r>
        <w:rPr>
          <w:rFonts w:ascii="Verdana" w:eastAsia="Aptos" w:hAnsi="Verdana" w:cs="Times New Roman"/>
          <w:kern w:val="2"/>
          <w:sz w:val="20"/>
          <w:szCs w:val="20"/>
          <w14:ligatures w14:val="standardContextual"/>
        </w:rPr>
        <w:t>[…]</w:t>
      </w:r>
      <w:r w:rsidRPr="001A7B08">
        <w:rPr>
          <w:rFonts w:ascii="Verdana" w:eastAsia="Aptos" w:hAnsi="Verdana" w:cs="Times New Roman"/>
          <w:kern w:val="2"/>
          <w:sz w:val="20"/>
          <w:szCs w:val="20"/>
          <w14:ligatures w14:val="standardContextual"/>
        </w:rPr>
        <w:t xml:space="preserve">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3B21E44D"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E4022C2"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w:t>
      </w:r>
      <w:r>
        <w:rPr>
          <w:rFonts w:ascii="Verdana" w:eastAsia="Aptos" w:hAnsi="Verdana" w:cs="Times New Roman"/>
          <w:kern w:val="2"/>
          <w:sz w:val="20"/>
          <w:szCs w:val="20"/>
          <w14:ligatures w14:val="standardContextual"/>
        </w:rPr>
        <w:t>[…]</w:t>
      </w:r>
      <w:r w:rsidRPr="001A7B08">
        <w:rPr>
          <w:rFonts w:ascii="Verdana" w:eastAsia="Aptos" w:hAnsi="Verdana" w:cs="Times New Roman"/>
          <w:kern w:val="2"/>
          <w:sz w:val="20"/>
          <w:szCs w:val="20"/>
          <w14:ligatures w14:val="standardContextual"/>
        </w:rPr>
        <w:t xml:space="preserve"> los documentos tipo requieren una adecuación técnica y normativa previa para incorporar las medidas del sistema de preferencias”. </w:t>
      </w:r>
    </w:p>
    <w:p w14:paraId="1D823C94"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85AB3E9" w14:textId="77777777" w:rsidR="007A4A7A" w:rsidRPr="001A7B08" w:rsidRDefault="007A4A7A" w:rsidP="007A4A7A">
      <w:pPr>
        <w:widowControl w:val="0"/>
        <w:autoSpaceDE w:val="0"/>
        <w:autoSpaceDN w:val="0"/>
        <w:spacing w:after="0" w:line="240" w:lineRule="auto"/>
        <w:jc w:val="both"/>
        <w:rPr>
          <w:rFonts w:ascii="Verdana" w:eastAsia="Calibri" w:hAnsi="Verdana" w:cs="Times New Roman"/>
          <w:b/>
          <w:bCs/>
          <w:lang w:val="es-ES"/>
        </w:rPr>
      </w:pPr>
      <w:r w:rsidRPr="001A7B08">
        <w:rPr>
          <w:rFonts w:ascii="Verdana" w:eastAsia="Calibri" w:hAnsi="Verdana" w:cs="Times New Roman"/>
          <w:b/>
          <w:bCs/>
          <w:lang w:val="es-ES"/>
        </w:rPr>
        <w:t xml:space="preserve">DOCUMENTOS TIPO – Decreto 287 de 2026 – Aplicación – Necesidad de modificación – Agencia Nacional de Contratación Pública </w:t>
      </w:r>
    </w:p>
    <w:p w14:paraId="3AB4C9B0"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4AA28D3"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En consecuencia, aunque de acuerdo con el artículo 2 del Decreto 287 de 2026, este “</w:t>
      </w:r>
      <w:r>
        <w:rPr>
          <w:rFonts w:ascii="Verdana" w:eastAsia="Aptos" w:hAnsi="Verdana" w:cs="Times New Roman"/>
          <w:kern w:val="2"/>
          <w:sz w:val="20"/>
          <w:szCs w:val="20"/>
          <w14:ligatures w14:val="standardContextual"/>
        </w:rPr>
        <w:t>[…]</w:t>
      </w:r>
      <w:r w:rsidRPr="001A7B08">
        <w:rPr>
          <w:rFonts w:ascii="Verdana" w:eastAsia="Aptos" w:hAnsi="Verdana" w:cs="Times New Roman"/>
          <w:kern w:val="2"/>
          <w:sz w:val="20"/>
          <w:szCs w:val="20"/>
          <w14:ligatures w14:val="standardContextual"/>
        </w:rPr>
        <w:t xml:space="preserve"> rige a partir del día siguiente a su publicación </w:t>
      </w:r>
      <w:r>
        <w:rPr>
          <w:rFonts w:ascii="Verdana" w:eastAsia="Aptos" w:hAnsi="Verdana" w:cs="Times New Roman"/>
          <w:kern w:val="2"/>
          <w:sz w:val="20"/>
          <w:szCs w:val="20"/>
          <w14:ligatures w14:val="standardContextual"/>
        </w:rPr>
        <w:t>[…]</w:t>
      </w:r>
      <w:r w:rsidRPr="001A7B08">
        <w:rPr>
          <w:rFonts w:ascii="Verdana" w:eastAsia="Aptos" w:hAnsi="Verdana" w:cs="Times New Roman"/>
          <w:kern w:val="2"/>
          <w:sz w:val="20"/>
          <w:szCs w:val="20"/>
          <w14:ligatures w14:val="standardContextual"/>
        </w:rPr>
        <w:t>”,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4EECEFDB"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2BA9027"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7A392213"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CDD211E" w14:textId="77777777" w:rsidR="007A4A7A" w:rsidRPr="001A7B08" w:rsidRDefault="007A4A7A" w:rsidP="007A4A7A">
      <w:pPr>
        <w:widowControl w:val="0"/>
        <w:autoSpaceDE w:val="0"/>
        <w:autoSpaceDN w:val="0"/>
        <w:spacing w:after="0" w:line="240" w:lineRule="auto"/>
        <w:jc w:val="both"/>
        <w:rPr>
          <w:rFonts w:ascii="Verdana" w:eastAsia="Calibri" w:hAnsi="Verdana" w:cs="Times New Roman"/>
          <w:b/>
          <w:bCs/>
          <w:lang w:val="es-ES"/>
        </w:rPr>
      </w:pPr>
      <w:r w:rsidRPr="001A7B08">
        <w:rPr>
          <w:rFonts w:ascii="Verdana" w:eastAsia="Calibri" w:hAnsi="Verdana" w:cs="Times New Roman"/>
          <w:b/>
          <w:bCs/>
          <w:lang w:val="es-ES"/>
        </w:rPr>
        <w:t>DOCUMENTOS TIPO – Decreto 287 de 2026 – Modificación – Colombia Compra Eficiente</w:t>
      </w:r>
    </w:p>
    <w:p w14:paraId="4A4C8398"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4613642"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A7B08">
        <w:rPr>
          <w:rFonts w:ascii="Verdana" w:eastAsia="Aptos" w:hAnsi="Verdana" w:cs="Times New Roman"/>
          <w:kern w:val="2"/>
          <w:sz w:val="20"/>
          <w:szCs w:val="20"/>
          <w14:ligatures w14:val="standardContextual"/>
        </w:rPr>
        <w:t xml:space="preserve">Finalmente, debe indicarse que, la Agencia Nacional de Contratación Pública – Colombia Compra Eficiente se encuentra trabajando en la incorporación de los criterios </w:t>
      </w:r>
      <w:r w:rsidRPr="001A7B08">
        <w:rPr>
          <w:rFonts w:ascii="Verdana" w:eastAsia="Aptos" w:hAnsi="Verdana" w:cs="Times New Roman"/>
          <w:kern w:val="2"/>
          <w:sz w:val="20"/>
          <w:szCs w:val="20"/>
          <w14:ligatures w14:val="standardContextual"/>
        </w:rPr>
        <w:lastRenderedPageBreak/>
        <w:t>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506B6C39" w14:textId="77777777" w:rsidR="007A4A7A" w:rsidRPr="001A7B08" w:rsidRDefault="007A4A7A" w:rsidP="007A4A7A">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423B646" w14:textId="77777777" w:rsidR="007A4A7A" w:rsidRPr="002C0402" w:rsidRDefault="007A4A7A" w:rsidP="007A4A7A">
      <w:pPr>
        <w:spacing w:after="0" w:line="240" w:lineRule="auto"/>
        <w:jc w:val="both"/>
        <w:textAlignment w:val="baseline"/>
        <w:rPr>
          <w:rFonts w:ascii="Verdana" w:hAnsi="Verdana" w:cs="Arial"/>
          <w:bCs/>
          <w:sz w:val="20"/>
          <w:szCs w:val="20"/>
          <w:lang w:val="es-ES_tradnl" w:eastAsia="es-CO"/>
        </w:rPr>
      </w:pPr>
      <w:r w:rsidRPr="001A7B08">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r w:rsidRPr="002C0402">
        <w:rPr>
          <w:rFonts w:ascii="Verdana" w:hAnsi="Verdana" w:cs="Arial"/>
          <w:bCs/>
          <w:sz w:val="20"/>
          <w:szCs w:val="20"/>
          <w:lang w:val="es-ES_tradnl" w:eastAsia="es-CO"/>
        </w:rPr>
        <w:t xml:space="preserve">  </w:t>
      </w:r>
    </w:p>
    <w:p w14:paraId="29148707" w14:textId="77777777" w:rsidR="007A4A7A" w:rsidRDefault="007A4A7A" w:rsidP="007A4A7A">
      <w:pPr>
        <w:spacing w:after="0" w:line="240" w:lineRule="auto"/>
        <w:rPr>
          <w:rFonts w:ascii="Verdana" w:eastAsia="Calibri" w:hAnsi="Verdana" w:cs="Arial"/>
          <w:b/>
          <w:color w:val="000000" w:themeColor="text1"/>
          <w:lang w:val="es-ES"/>
        </w:rPr>
      </w:pPr>
    </w:p>
    <w:p w14:paraId="138CEB17" w14:textId="77777777" w:rsidR="007A4A7A" w:rsidRDefault="007A4A7A" w:rsidP="007A4A7A">
      <w:pPr>
        <w:spacing w:after="0" w:line="240" w:lineRule="auto"/>
        <w:rPr>
          <w:rFonts w:ascii="Verdana" w:eastAsia="Calibri" w:hAnsi="Verdana" w:cs="Arial"/>
          <w:b/>
          <w:color w:val="000000" w:themeColor="text1"/>
          <w:lang w:val="es-ES"/>
        </w:rPr>
      </w:pPr>
    </w:p>
    <w:p w14:paraId="20239924" w14:textId="77777777" w:rsidR="007A4A7A" w:rsidRDefault="007A4A7A" w:rsidP="007A4A7A">
      <w:pPr>
        <w:spacing w:after="0" w:line="240" w:lineRule="auto"/>
        <w:rPr>
          <w:rFonts w:ascii="Verdana" w:eastAsia="Calibri" w:hAnsi="Verdana" w:cs="Arial"/>
          <w:b/>
          <w:color w:val="000000" w:themeColor="text1"/>
          <w:lang w:val="es-ES"/>
        </w:rPr>
      </w:pPr>
    </w:p>
    <w:p w14:paraId="10B6AE02" w14:textId="77777777" w:rsidR="007A4A7A" w:rsidRDefault="007A4A7A" w:rsidP="007A4A7A">
      <w:pPr>
        <w:spacing w:after="0" w:line="240" w:lineRule="auto"/>
        <w:rPr>
          <w:rFonts w:ascii="Verdana" w:eastAsia="Calibri" w:hAnsi="Verdana" w:cs="Arial"/>
          <w:b/>
          <w:color w:val="000000" w:themeColor="text1"/>
          <w:lang w:val="es-ES"/>
        </w:rPr>
      </w:pPr>
    </w:p>
    <w:p w14:paraId="4B3E317B" w14:textId="77777777" w:rsidR="007A4A7A" w:rsidRDefault="007A4A7A" w:rsidP="007A4A7A">
      <w:pPr>
        <w:spacing w:after="0" w:line="240" w:lineRule="auto"/>
        <w:rPr>
          <w:rFonts w:ascii="Verdana" w:eastAsia="Calibri" w:hAnsi="Verdana" w:cs="Arial"/>
          <w:b/>
          <w:color w:val="000000" w:themeColor="text1"/>
          <w:lang w:val="es-ES"/>
        </w:rPr>
      </w:pPr>
    </w:p>
    <w:p w14:paraId="2BFD22B6" w14:textId="77777777" w:rsidR="007A4A7A" w:rsidRDefault="007A4A7A" w:rsidP="007A4A7A">
      <w:pPr>
        <w:spacing w:after="0" w:line="240" w:lineRule="auto"/>
        <w:rPr>
          <w:rFonts w:ascii="Verdana" w:eastAsia="Calibri" w:hAnsi="Verdana" w:cs="Arial"/>
          <w:b/>
          <w:color w:val="000000" w:themeColor="text1"/>
          <w:lang w:val="es-ES"/>
        </w:rPr>
      </w:pPr>
    </w:p>
    <w:p w14:paraId="29297098" w14:textId="77777777" w:rsidR="007A4A7A" w:rsidRDefault="007A4A7A" w:rsidP="007A4A7A">
      <w:pPr>
        <w:spacing w:after="0" w:line="240" w:lineRule="auto"/>
        <w:rPr>
          <w:rFonts w:ascii="Verdana" w:eastAsia="Calibri" w:hAnsi="Verdana" w:cs="Arial"/>
          <w:b/>
          <w:color w:val="000000" w:themeColor="text1"/>
          <w:lang w:val="es-ES"/>
        </w:rPr>
      </w:pPr>
    </w:p>
    <w:p w14:paraId="35D12DD8" w14:textId="77777777" w:rsidR="007A4A7A" w:rsidRDefault="007A4A7A" w:rsidP="007A4A7A">
      <w:pPr>
        <w:spacing w:after="0" w:line="240" w:lineRule="auto"/>
        <w:rPr>
          <w:rFonts w:ascii="Verdana" w:eastAsia="Calibri" w:hAnsi="Verdana" w:cs="Arial"/>
          <w:b/>
          <w:color w:val="000000" w:themeColor="text1"/>
          <w:lang w:val="es-ES"/>
        </w:rPr>
      </w:pPr>
    </w:p>
    <w:p w14:paraId="34D87AE8" w14:textId="77777777" w:rsidR="007A4A7A" w:rsidRDefault="007A4A7A" w:rsidP="007A4A7A">
      <w:pPr>
        <w:spacing w:after="0" w:line="240" w:lineRule="auto"/>
        <w:rPr>
          <w:rFonts w:ascii="Verdana" w:eastAsia="Calibri" w:hAnsi="Verdana" w:cs="Arial"/>
          <w:b/>
          <w:color w:val="000000" w:themeColor="text1"/>
          <w:lang w:val="es-ES"/>
        </w:rPr>
      </w:pPr>
    </w:p>
    <w:p w14:paraId="6FEFDC09" w14:textId="77777777" w:rsidR="007A4A7A" w:rsidRDefault="007A4A7A" w:rsidP="007A4A7A">
      <w:pPr>
        <w:spacing w:after="0" w:line="240" w:lineRule="auto"/>
        <w:rPr>
          <w:rFonts w:ascii="Verdana" w:eastAsia="Calibri" w:hAnsi="Verdana" w:cs="Arial"/>
          <w:b/>
          <w:color w:val="000000" w:themeColor="text1"/>
          <w:lang w:val="es-ES"/>
        </w:rPr>
      </w:pPr>
    </w:p>
    <w:p w14:paraId="5FD94997" w14:textId="77777777" w:rsidR="007A4A7A" w:rsidRDefault="007A4A7A" w:rsidP="007A4A7A">
      <w:pPr>
        <w:spacing w:after="0" w:line="240" w:lineRule="auto"/>
        <w:rPr>
          <w:rFonts w:ascii="Verdana" w:eastAsia="Calibri" w:hAnsi="Verdana" w:cs="Arial"/>
          <w:b/>
          <w:color w:val="000000" w:themeColor="text1"/>
          <w:lang w:val="es-ES"/>
        </w:rPr>
      </w:pPr>
    </w:p>
    <w:p w14:paraId="2DE91D84" w14:textId="77777777" w:rsidR="007A4A7A" w:rsidRDefault="007A4A7A" w:rsidP="007A4A7A">
      <w:pPr>
        <w:spacing w:after="0" w:line="240" w:lineRule="auto"/>
        <w:rPr>
          <w:rFonts w:ascii="Verdana" w:eastAsia="Calibri" w:hAnsi="Verdana" w:cs="Arial"/>
          <w:b/>
          <w:color w:val="000000" w:themeColor="text1"/>
          <w:lang w:val="es-ES"/>
        </w:rPr>
      </w:pPr>
    </w:p>
    <w:p w14:paraId="631E2DDD" w14:textId="77777777" w:rsidR="007A4A7A" w:rsidRDefault="007A4A7A" w:rsidP="007A4A7A">
      <w:pPr>
        <w:spacing w:after="0" w:line="240" w:lineRule="auto"/>
        <w:rPr>
          <w:rFonts w:ascii="Verdana" w:eastAsia="Calibri" w:hAnsi="Verdana" w:cs="Arial"/>
          <w:b/>
          <w:color w:val="000000" w:themeColor="text1"/>
          <w:lang w:val="es-ES"/>
        </w:rPr>
      </w:pPr>
    </w:p>
    <w:p w14:paraId="17D25A1E" w14:textId="77777777" w:rsidR="007A4A7A" w:rsidRDefault="007A4A7A" w:rsidP="007A4A7A">
      <w:pPr>
        <w:spacing w:after="0" w:line="240" w:lineRule="auto"/>
        <w:rPr>
          <w:rFonts w:ascii="Verdana" w:eastAsia="Calibri" w:hAnsi="Verdana" w:cs="Arial"/>
          <w:b/>
          <w:color w:val="000000" w:themeColor="text1"/>
          <w:lang w:val="es-ES"/>
        </w:rPr>
      </w:pPr>
    </w:p>
    <w:p w14:paraId="7BD7FAC6" w14:textId="77777777" w:rsidR="007A4A7A" w:rsidRDefault="007A4A7A" w:rsidP="007A4A7A">
      <w:pPr>
        <w:spacing w:after="0" w:line="240" w:lineRule="auto"/>
        <w:rPr>
          <w:rFonts w:ascii="Verdana" w:eastAsia="Calibri" w:hAnsi="Verdana" w:cs="Arial"/>
          <w:b/>
          <w:color w:val="000000" w:themeColor="text1"/>
          <w:lang w:val="es-ES"/>
        </w:rPr>
      </w:pPr>
    </w:p>
    <w:p w14:paraId="27BC81E1" w14:textId="77777777" w:rsidR="007A4A7A" w:rsidRDefault="007A4A7A" w:rsidP="007A4A7A">
      <w:pPr>
        <w:spacing w:after="0" w:line="240" w:lineRule="auto"/>
        <w:rPr>
          <w:rFonts w:ascii="Verdana" w:eastAsia="Calibri" w:hAnsi="Verdana" w:cs="Arial"/>
          <w:b/>
          <w:color w:val="000000" w:themeColor="text1"/>
          <w:lang w:val="es-ES"/>
        </w:rPr>
      </w:pPr>
    </w:p>
    <w:p w14:paraId="05CF69A3" w14:textId="77777777" w:rsidR="007A4A7A" w:rsidRDefault="007A4A7A" w:rsidP="007A4A7A">
      <w:pPr>
        <w:spacing w:after="0" w:line="240" w:lineRule="auto"/>
        <w:rPr>
          <w:rFonts w:ascii="Verdana" w:eastAsia="Calibri" w:hAnsi="Verdana" w:cs="Arial"/>
          <w:b/>
          <w:color w:val="000000" w:themeColor="text1"/>
          <w:lang w:val="es-ES"/>
        </w:rPr>
      </w:pPr>
    </w:p>
    <w:p w14:paraId="01143DFA" w14:textId="77777777" w:rsidR="007A4A7A" w:rsidRDefault="007A4A7A" w:rsidP="007A4A7A">
      <w:pPr>
        <w:spacing w:after="0" w:line="240" w:lineRule="auto"/>
        <w:rPr>
          <w:rFonts w:ascii="Verdana" w:eastAsia="Calibri" w:hAnsi="Verdana" w:cs="Arial"/>
          <w:b/>
          <w:color w:val="000000" w:themeColor="text1"/>
          <w:lang w:val="es-ES"/>
        </w:rPr>
      </w:pPr>
    </w:p>
    <w:p w14:paraId="009A564C" w14:textId="77777777" w:rsidR="007A4A7A" w:rsidRDefault="007A4A7A" w:rsidP="007A4A7A">
      <w:pPr>
        <w:spacing w:after="0" w:line="240" w:lineRule="auto"/>
        <w:rPr>
          <w:rFonts w:ascii="Verdana" w:eastAsia="Calibri" w:hAnsi="Verdana" w:cs="Arial"/>
          <w:b/>
          <w:color w:val="000000" w:themeColor="text1"/>
          <w:lang w:val="es-ES"/>
        </w:rPr>
      </w:pPr>
    </w:p>
    <w:p w14:paraId="3BED571C" w14:textId="77777777" w:rsidR="007A4A7A" w:rsidRDefault="007A4A7A" w:rsidP="007A4A7A">
      <w:pPr>
        <w:spacing w:after="0" w:line="240" w:lineRule="auto"/>
        <w:rPr>
          <w:rFonts w:ascii="Verdana" w:eastAsia="Calibri" w:hAnsi="Verdana" w:cs="Arial"/>
          <w:b/>
          <w:color w:val="000000" w:themeColor="text1"/>
          <w:lang w:val="es-ES"/>
        </w:rPr>
      </w:pPr>
    </w:p>
    <w:p w14:paraId="1B33A6AD" w14:textId="77777777" w:rsidR="007A4A7A" w:rsidRDefault="007A4A7A" w:rsidP="007A4A7A">
      <w:pPr>
        <w:spacing w:after="0" w:line="240" w:lineRule="auto"/>
        <w:rPr>
          <w:rFonts w:ascii="Verdana" w:eastAsia="Calibri" w:hAnsi="Verdana" w:cs="Arial"/>
          <w:b/>
          <w:color w:val="000000" w:themeColor="text1"/>
          <w:lang w:val="es-ES"/>
        </w:rPr>
      </w:pPr>
    </w:p>
    <w:p w14:paraId="278DE961" w14:textId="77777777" w:rsidR="007A4A7A" w:rsidRDefault="007A4A7A" w:rsidP="007A4A7A">
      <w:pPr>
        <w:spacing w:after="0" w:line="240" w:lineRule="auto"/>
        <w:rPr>
          <w:rFonts w:ascii="Verdana" w:eastAsia="Calibri" w:hAnsi="Verdana" w:cs="Arial"/>
          <w:b/>
          <w:color w:val="000000" w:themeColor="text1"/>
          <w:lang w:val="es-ES"/>
        </w:rPr>
      </w:pPr>
    </w:p>
    <w:p w14:paraId="0A3F005D" w14:textId="77777777" w:rsidR="007A4A7A" w:rsidRDefault="007A4A7A" w:rsidP="007A4A7A">
      <w:pPr>
        <w:spacing w:after="0" w:line="240" w:lineRule="auto"/>
        <w:rPr>
          <w:rFonts w:ascii="Verdana" w:eastAsia="Calibri" w:hAnsi="Verdana" w:cs="Arial"/>
          <w:b/>
          <w:color w:val="000000" w:themeColor="text1"/>
          <w:lang w:val="es-ES"/>
        </w:rPr>
      </w:pPr>
    </w:p>
    <w:p w14:paraId="2DFDA642" w14:textId="77777777" w:rsidR="007A4A7A" w:rsidRDefault="007A4A7A" w:rsidP="007A4A7A">
      <w:pPr>
        <w:spacing w:after="0" w:line="240" w:lineRule="auto"/>
        <w:rPr>
          <w:rFonts w:ascii="Verdana" w:eastAsia="Calibri" w:hAnsi="Verdana" w:cs="Arial"/>
          <w:b/>
          <w:color w:val="000000" w:themeColor="text1"/>
          <w:lang w:val="es-ES"/>
        </w:rPr>
      </w:pPr>
    </w:p>
    <w:p w14:paraId="2F43E975" w14:textId="77777777" w:rsidR="007A4A7A" w:rsidRDefault="007A4A7A" w:rsidP="00B46696">
      <w:pPr>
        <w:spacing w:after="0" w:line="240" w:lineRule="auto"/>
        <w:rPr>
          <w:rFonts w:ascii="Verdana" w:eastAsia="Calibri" w:hAnsi="Verdana" w:cs="Arial"/>
          <w:b/>
          <w:color w:val="000000" w:themeColor="text1"/>
          <w:lang w:val="es-ES"/>
        </w:rPr>
      </w:pPr>
    </w:p>
    <w:p w14:paraId="79675068" w14:textId="77777777" w:rsidR="007A4A7A" w:rsidRDefault="007A4A7A" w:rsidP="00B46696">
      <w:pPr>
        <w:spacing w:after="0" w:line="240" w:lineRule="auto"/>
        <w:rPr>
          <w:rFonts w:ascii="Verdana" w:eastAsia="Calibri" w:hAnsi="Verdana" w:cs="Arial"/>
          <w:b/>
          <w:color w:val="000000" w:themeColor="text1"/>
          <w:lang w:val="es-ES"/>
        </w:rPr>
      </w:pPr>
    </w:p>
    <w:p w14:paraId="7BC0BC34" w14:textId="77777777" w:rsidR="007A4A7A" w:rsidRPr="007A4A7A" w:rsidRDefault="007A4A7A" w:rsidP="00B46696">
      <w:pPr>
        <w:spacing w:after="0" w:line="240" w:lineRule="auto"/>
        <w:rPr>
          <w:rFonts w:ascii="Verdana" w:eastAsia="Geomanist Light" w:hAnsi="Verdana" w:cs="Arial"/>
          <w:color w:val="000000" w:themeColor="text1"/>
          <w:lang w:val="es-ES"/>
        </w:rPr>
      </w:pPr>
    </w:p>
    <w:p w14:paraId="09EA7BFA" w14:textId="77777777" w:rsidR="007A4A7A" w:rsidRDefault="007A4A7A" w:rsidP="00B46696">
      <w:pPr>
        <w:spacing w:after="0" w:line="240" w:lineRule="auto"/>
        <w:rPr>
          <w:rFonts w:ascii="Verdana" w:eastAsia="Geomanist Light" w:hAnsi="Verdana" w:cs="Arial"/>
          <w:color w:val="000000" w:themeColor="text1"/>
        </w:rPr>
      </w:pPr>
    </w:p>
    <w:p w14:paraId="1B37761C" w14:textId="77777777" w:rsidR="007A4A7A" w:rsidRDefault="007A4A7A" w:rsidP="00B46696">
      <w:pPr>
        <w:spacing w:after="0" w:line="240" w:lineRule="auto"/>
        <w:rPr>
          <w:rFonts w:ascii="Verdana" w:eastAsia="Geomanist Light" w:hAnsi="Verdana" w:cs="Arial"/>
          <w:color w:val="000000" w:themeColor="text1"/>
        </w:rPr>
      </w:pPr>
    </w:p>
    <w:p w14:paraId="0ADA76C6" w14:textId="03A2E4FD" w:rsidR="00B46696" w:rsidRPr="00353592" w:rsidRDefault="00B46696" w:rsidP="00B46696">
      <w:pPr>
        <w:spacing w:after="0" w:line="240" w:lineRule="auto"/>
        <w:rPr>
          <w:rFonts w:ascii="Verdana" w:eastAsia="Geomanist Light" w:hAnsi="Verdana" w:cs="Arial"/>
          <w:color w:val="201F1E"/>
        </w:rPr>
      </w:pPr>
      <w:r w:rsidRPr="00353592">
        <w:rPr>
          <w:rFonts w:ascii="Verdana" w:eastAsia="Geomanist Light" w:hAnsi="Verdana" w:cs="Arial"/>
          <w:color w:val="000000" w:themeColor="text1"/>
        </w:rPr>
        <w:lastRenderedPageBreak/>
        <w:t>Bogotá D.C., </w:t>
      </w:r>
      <w:r w:rsidR="00353592" w:rsidRPr="00353592">
        <w:rPr>
          <w:rFonts w:ascii="Verdana" w:eastAsia="Geomanist Light" w:hAnsi="Verdana" w:cs="Arial"/>
          <w:color w:val="000000" w:themeColor="text1"/>
        </w:rPr>
        <w:t>19 de Mayo de 2026</w:t>
      </w:r>
    </w:p>
    <w:p w14:paraId="7A0B2EA4" w14:textId="77777777" w:rsidR="00B46696" w:rsidRDefault="00B46696" w:rsidP="00B46696">
      <w:pPr>
        <w:spacing w:after="0" w:line="240" w:lineRule="auto"/>
        <w:jc w:val="both"/>
        <w:rPr>
          <w:rFonts w:ascii="Verdana" w:eastAsia="Calibri" w:hAnsi="Verdana" w:cs="Arial"/>
          <w:color w:val="000000"/>
        </w:rPr>
      </w:pPr>
    </w:p>
    <w:p w14:paraId="4E813681" w14:textId="299F9D71" w:rsidR="00353592" w:rsidRPr="00353592" w:rsidRDefault="00353592" w:rsidP="00353592">
      <w:pPr>
        <w:spacing w:after="0" w:line="240" w:lineRule="auto"/>
        <w:jc w:val="right"/>
        <w:rPr>
          <w:rFonts w:ascii="Verdana" w:eastAsia="Calibri" w:hAnsi="Verdana" w:cs="Arial"/>
          <w:color w:val="000000"/>
        </w:rPr>
      </w:pPr>
    </w:p>
    <w:p w14:paraId="1A09556F" w14:textId="6B67CAD8" w:rsidR="00B46696" w:rsidRPr="00353592" w:rsidRDefault="00672078" w:rsidP="00B46696">
      <w:pPr>
        <w:spacing w:after="0" w:line="240" w:lineRule="auto"/>
        <w:jc w:val="both"/>
        <w:rPr>
          <w:rFonts w:ascii="Verdana" w:eastAsia="Calibri" w:hAnsi="Verdana" w:cs="Arial"/>
          <w:color w:val="000000"/>
        </w:rPr>
      </w:pPr>
      <w:r w:rsidRPr="00353592">
        <w:rPr>
          <w:rFonts w:ascii="Verdana" w:eastAsia="Calibri" w:hAnsi="Verdana" w:cs="Arial"/>
          <w:noProof/>
          <w:color w:val="000000"/>
        </w:rPr>
        <w:drawing>
          <wp:anchor distT="0" distB="0" distL="114300" distR="114300" simplePos="0" relativeHeight="251658240" behindDoc="0" locked="0" layoutInCell="1" allowOverlap="1" wp14:anchorId="3484CD42" wp14:editId="77B527D4">
            <wp:simplePos x="0" y="0"/>
            <wp:positionH relativeFrom="margin">
              <wp:posOffset>2966720</wp:posOffset>
            </wp:positionH>
            <wp:positionV relativeFrom="paragraph">
              <wp:posOffset>8890</wp:posOffset>
            </wp:positionV>
            <wp:extent cx="2645410" cy="786765"/>
            <wp:effectExtent l="0" t="0" r="2540" b="0"/>
            <wp:wrapSquare wrapText="bothSides"/>
            <wp:docPr id="2094892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9253" name=""/>
                    <pic:cNvPicPr/>
                  </pic:nvPicPr>
                  <pic:blipFill>
                    <a:blip r:embed="rId10">
                      <a:extLst>
                        <a:ext uri="{28A0092B-C50C-407E-A947-70E740481C1C}">
                          <a14:useLocalDpi xmlns:a14="http://schemas.microsoft.com/office/drawing/2010/main" val="0"/>
                        </a:ext>
                      </a:extLst>
                    </a:blip>
                    <a:stretch>
                      <a:fillRect/>
                    </a:stretch>
                  </pic:blipFill>
                  <pic:spPr>
                    <a:xfrm>
                      <a:off x="0" y="0"/>
                      <a:ext cx="2645410" cy="786765"/>
                    </a:xfrm>
                    <a:prstGeom prst="rect">
                      <a:avLst/>
                    </a:prstGeom>
                  </pic:spPr>
                </pic:pic>
              </a:graphicData>
            </a:graphic>
            <wp14:sizeRelH relativeFrom="margin">
              <wp14:pctWidth>0</wp14:pctWidth>
            </wp14:sizeRelH>
            <wp14:sizeRelV relativeFrom="margin">
              <wp14:pctHeight>0</wp14:pctHeight>
            </wp14:sizeRelV>
          </wp:anchor>
        </w:drawing>
      </w:r>
    </w:p>
    <w:p w14:paraId="731F4B2D" w14:textId="77777777" w:rsidR="00B46696" w:rsidRPr="00B46696" w:rsidRDefault="00B46696" w:rsidP="00B46696">
      <w:pPr>
        <w:spacing w:after="0" w:line="240" w:lineRule="auto"/>
        <w:jc w:val="both"/>
        <w:rPr>
          <w:rFonts w:ascii="Verdana" w:eastAsia="Calibri" w:hAnsi="Verdana" w:cs="Arial"/>
          <w:lang w:val="en-US" w:eastAsia="es-ES"/>
        </w:rPr>
      </w:pPr>
      <w:proofErr w:type="spellStart"/>
      <w:r w:rsidRPr="00B46696">
        <w:rPr>
          <w:rFonts w:ascii="Verdana" w:eastAsia="Calibri" w:hAnsi="Verdana" w:cs="Arial"/>
          <w:lang w:val="en-US" w:eastAsia="es-ES"/>
        </w:rPr>
        <w:t>Señor</w:t>
      </w:r>
      <w:proofErr w:type="spellEnd"/>
    </w:p>
    <w:p w14:paraId="129404F9" w14:textId="77777777" w:rsidR="00B46696" w:rsidRPr="00B46696" w:rsidRDefault="00B46696" w:rsidP="00B46696">
      <w:pPr>
        <w:spacing w:after="0" w:line="240" w:lineRule="auto"/>
        <w:rPr>
          <w:rFonts w:ascii="Verdana" w:eastAsia="Calibri" w:hAnsi="Verdana" w:cs="Arial"/>
          <w:b/>
          <w:lang w:val="en-US" w:eastAsia="es-ES_tradnl"/>
        </w:rPr>
      </w:pPr>
      <w:r w:rsidRPr="00B46696">
        <w:rPr>
          <w:rFonts w:ascii="Verdana" w:eastAsia="Calibri" w:hAnsi="Verdana" w:cs="Arial"/>
          <w:b/>
          <w:lang w:val="en-US" w:eastAsia="es-ES_tradnl"/>
        </w:rPr>
        <w:t xml:space="preserve">John Williams Jimeno Bermúdez </w:t>
      </w:r>
    </w:p>
    <w:p w14:paraId="538F6F17" w14:textId="77777777" w:rsidR="00B46696" w:rsidRPr="007A4A7A" w:rsidRDefault="00B46696" w:rsidP="00B46696">
      <w:pPr>
        <w:spacing w:after="0" w:line="240" w:lineRule="auto"/>
        <w:rPr>
          <w:rFonts w:ascii="Verdana" w:eastAsia="Calibri" w:hAnsi="Verdana" w:cs="Arial"/>
          <w:lang w:val="en-US" w:eastAsia="es-ES"/>
        </w:rPr>
      </w:pPr>
      <w:hyperlink r:id="rId11" w:history="1">
        <w:r w:rsidRPr="007A4A7A">
          <w:rPr>
            <w:rStyle w:val="Hipervnculo"/>
            <w:rFonts w:ascii="Verdana" w:hAnsi="Verdana"/>
            <w:lang w:val="en-US"/>
          </w:rPr>
          <w:t>jhonwi.jimeno@gmail.com</w:t>
        </w:r>
      </w:hyperlink>
      <w:r w:rsidRPr="007A4A7A">
        <w:rPr>
          <w:rFonts w:ascii="Verdana" w:hAnsi="Verdana"/>
          <w:lang w:val="en-US"/>
        </w:rPr>
        <w:t xml:space="preserve">                     </w:t>
      </w:r>
      <w:r w:rsidRPr="007A4A7A">
        <w:rPr>
          <w:rFonts w:ascii="Verdana" w:eastAsia="Calibri" w:hAnsi="Verdana" w:cs="Arial"/>
          <w:lang w:val="en-US" w:eastAsia="es-ES"/>
        </w:rPr>
        <w:t xml:space="preserve">    </w:t>
      </w:r>
    </w:p>
    <w:p w14:paraId="40A5ACC2" w14:textId="77777777" w:rsidR="00B46696" w:rsidRDefault="00B46696" w:rsidP="00B46696">
      <w:pPr>
        <w:spacing w:after="0" w:line="240" w:lineRule="auto"/>
        <w:rPr>
          <w:rFonts w:ascii="Verdana" w:eastAsia="Calibri" w:hAnsi="Verdana" w:cs="Arial"/>
          <w:lang w:val="es-ES" w:eastAsia="es-ES"/>
        </w:rPr>
      </w:pPr>
      <w:r w:rsidRPr="00DD2AAF">
        <w:rPr>
          <w:rFonts w:ascii="Verdana" w:eastAsia="Calibri" w:hAnsi="Verdana" w:cs="Arial"/>
          <w:lang w:val="es-ES" w:eastAsia="es-ES"/>
        </w:rPr>
        <w:t xml:space="preserve">Barranquilla, Atlántico </w:t>
      </w:r>
      <w:r>
        <w:rPr>
          <w:rFonts w:ascii="Verdana" w:eastAsia="Calibri" w:hAnsi="Verdana" w:cs="Arial"/>
          <w:lang w:val="es-ES" w:eastAsia="es-ES"/>
        </w:rPr>
        <w:t xml:space="preserve"> </w:t>
      </w:r>
    </w:p>
    <w:p w14:paraId="2EE15B6E" w14:textId="77777777" w:rsidR="00B46696" w:rsidRPr="00593A5F" w:rsidRDefault="00B46696" w:rsidP="00B46696">
      <w:pPr>
        <w:spacing w:after="0" w:line="240" w:lineRule="auto"/>
        <w:rPr>
          <w:rFonts w:ascii="Verdana" w:eastAsia="Calibri" w:hAnsi="Verdana" w:cs="Arial"/>
          <w:b/>
          <w:bCs/>
          <w:color w:val="000000"/>
          <w:lang w:val="es-ES_tradnl" w:eastAsia="es-ES_tradnl"/>
        </w:rPr>
      </w:pPr>
    </w:p>
    <w:p w14:paraId="167D5358" w14:textId="77777777" w:rsidR="00B46696" w:rsidRPr="00593A5F" w:rsidRDefault="00B46696" w:rsidP="00B4669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46696" w:rsidRPr="00593A5F" w14:paraId="6DE25C5B" w14:textId="77777777" w:rsidTr="007F7484">
        <w:trPr>
          <w:trHeight w:val="884"/>
        </w:trPr>
        <w:tc>
          <w:tcPr>
            <w:tcW w:w="2689" w:type="dxa"/>
          </w:tcPr>
          <w:p w14:paraId="60F31C47" w14:textId="77777777" w:rsidR="00B46696" w:rsidRPr="00C00976" w:rsidRDefault="00B46696" w:rsidP="007F7484">
            <w:pPr>
              <w:jc w:val="both"/>
              <w:rPr>
                <w:rFonts w:ascii="Verdana" w:eastAsia="Calibri" w:hAnsi="Verdana" w:cs="Arial"/>
                <w:b/>
                <w:bCs/>
                <w:color w:val="7030A0"/>
                <w:lang w:val="es-ES_tradnl" w:eastAsia="es-ES_tradnl"/>
              </w:rPr>
            </w:pPr>
          </w:p>
        </w:tc>
        <w:tc>
          <w:tcPr>
            <w:tcW w:w="6100" w:type="dxa"/>
          </w:tcPr>
          <w:p w14:paraId="6990AA4E" w14:textId="77777777" w:rsidR="00B46696" w:rsidRPr="00C00976" w:rsidRDefault="00B46696" w:rsidP="007F748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573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B46696" w:rsidRPr="00593A5F" w14:paraId="4E905223" w14:textId="77777777" w:rsidTr="007F7484">
        <w:trPr>
          <w:trHeight w:val="884"/>
        </w:trPr>
        <w:tc>
          <w:tcPr>
            <w:tcW w:w="2689" w:type="dxa"/>
          </w:tcPr>
          <w:p w14:paraId="1FFE1016" w14:textId="77777777" w:rsidR="00B46696" w:rsidRPr="00593A5F" w:rsidRDefault="00B46696" w:rsidP="007F748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0BBED96" w14:textId="77777777" w:rsidR="00B46696" w:rsidRPr="00A11406" w:rsidRDefault="00B46696" w:rsidP="007F7484">
            <w:pPr>
              <w:spacing w:line="276" w:lineRule="auto"/>
              <w:jc w:val="both"/>
              <w:rPr>
                <w:rFonts w:ascii="Verdana" w:eastAsia="Calibri" w:hAnsi="Verdana" w:cs="Arial"/>
                <w:lang w:val="es-ES" w:eastAsia="es-ES"/>
              </w:rPr>
            </w:pPr>
            <w:r w:rsidRPr="001A7B08">
              <w:rPr>
                <w:rFonts w:ascii="Verdana" w:eastAsia="Calibri" w:hAnsi="Verdana" w:cs="Arial"/>
                <w:lang w:val="es-ES" w:eastAsia="es-ES"/>
              </w:rPr>
              <w:t>DOCUMENTOS TIPO – Fundamento normativo – Obligatoriedad / DOCUMENTOS TIPO – Adopción – Implementación / DOCUMENTOS TIPO – Sectores – Vigentes / DOCUMENTOS TIPO – Colombia Compra Eficiente – Facultad de estandarización / 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4968C46" w14:textId="77777777" w:rsidR="00B46696" w:rsidRPr="00593A5F" w:rsidRDefault="00B46696" w:rsidP="007F748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B46696" w:rsidRPr="008E6AD9" w14:paraId="4202A161" w14:textId="77777777" w:rsidTr="007F7484">
        <w:tc>
          <w:tcPr>
            <w:tcW w:w="2689" w:type="dxa"/>
          </w:tcPr>
          <w:p w14:paraId="11ABFA89" w14:textId="77777777" w:rsidR="00B46696" w:rsidRPr="008E6AD9" w:rsidRDefault="00B46696" w:rsidP="007F748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DB709E0" w14:textId="77777777" w:rsidR="00B46696" w:rsidRPr="00B92340" w:rsidRDefault="00B46696" w:rsidP="007F7484">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4D10FE">
              <w:rPr>
                <w:rFonts w:ascii="Verdana" w:eastAsia="Calibri" w:hAnsi="Verdana" w:cs="Arial"/>
                <w:lang w:val="es-ES_tradnl" w:eastAsia="es-ES_tradnl"/>
              </w:rPr>
              <w:t>1_2026_04_07_004685</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79F5D941" w14:textId="77777777" w:rsidR="00B46696" w:rsidRPr="00593A5F" w:rsidRDefault="00B46696" w:rsidP="00B46696">
      <w:pPr>
        <w:spacing w:after="0" w:line="240" w:lineRule="auto"/>
        <w:jc w:val="both"/>
        <w:rPr>
          <w:rFonts w:ascii="Verdana" w:eastAsia="Calibri" w:hAnsi="Verdana" w:cs="Arial"/>
          <w:color w:val="000000"/>
          <w:lang w:val="es-ES_tradnl" w:eastAsia="es-ES_tradnl"/>
        </w:rPr>
      </w:pPr>
    </w:p>
    <w:p w14:paraId="679C9CB4" w14:textId="77777777" w:rsidR="00B46696" w:rsidRPr="00593A5F" w:rsidRDefault="00B46696" w:rsidP="00B46696">
      <w:pPr>
        <w:spacing w:after="0" w:line="240" w:lineRule="auto"/>
        <w:jc w:val="both"/>
        <w:rPr>
          <w:rFonts w:ascii="Verdana" w:eastAsia="Calibri" w:hAnsi="Verdana" w:cs="Arial"/>
          <w:color w:val="000000"/>
          <w:lang w:val="es-ES_tradnl" w:eastAsia="es-ES_tradnl"/>
        </w:rPr>
      </w:pPr>
    </w:p>
    <w:p w14:paraId="7E349C99" w14:textId="77777777" w:rsidR="00B46696" w:rsidRPr="008E6AD9" w:rsidRDefault="00B46696" w:rsidP="00B46696">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291DF9">
        <w:rPr>
          <w:rFonts w:ascii="Verdana" w:eastAsia="Calibri" w:hAnsi="Verdana" w:cs="Arial"/>
          <w:lang w:val="es-ES" w:eastAsia="es-ES"/>
        </w:rPr>
        <w:t>Jimeno Bermúdez</w:t>
      </w:r>
      <w:r w:rsidRPr="008E6AD9">
        <w:rPr>
          <w:rFonts w:ascii="Verdana" w:eastAsia="Calibri" w:hAnsi="Verdana" w:cs="Arial"/>
          <w:lang w:val="es-ES" w:eastAsia="es-ES"/>
        </w:rPr>
        <w:t xml:space="preserve">: </w:t>
      </w:r>
    </w:p>
    <w:p w14:paraId="43689969" w14:textId="77777777" w:rsidR="00B46696" w:rsidRDefault="00B46696" w:rsidP="00B4669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lastRenderedPageBreak/>
        <w:tab/>
      </w:r>
    </w:p>
    <w:p w14:paraId="1ED22657" w14:textId="77777777" w:rsidR="00B46696" w:rsidRPr="00593A5F" w:rsidRDefault="00B46696" w:rsidP="00B46696">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7 de abril de 2026, donde solicita conceptuar sobre el siguiente aspecto</w:t>
      </w:r>
      <w:r w:rsidRPr="008E6AD9">
        <w:rPr>
          <w:rFonts w:ascii="Verdana" w:eastAsia="Calibri" w:hAnsi="Verdana" w:cs="Arial"/>
          <w:lang w:val="es-ES" w:eastAsia="es-ES"/>
        </w:rPr>
        <w:t xml:space="preserve">: </w:t>
      </w:r>
    </w:p>
    <w:p w14:paraId="7F159F3C" w14:textId="77777777" w:rsidR="00B46696" w:rsidRPr="00272A7B" w:rsidRDefault="00B46696" w:rsidP="00B46696">
      <w:pPr>
        <w:pStyle w:val="Prrafodelista"/>
        <w:tabs>
          <w:tab w:val="left" w:pos="142"/>
          <w:tab w:val="left" w:pos="284"/>
        </w:tabs>
        <w:spacing w:after="0" w:line="276" w:lineRule="auto"/>
        <w:ind w:left="0"/>
        <w:jc w:val="both"/>
        <w:rPr>
          <w:rFonts w:ascii="Verdana" w:eastAsia="Century Gothic" w:hAnsi="Verdana" w:cs="Century Gothic"/>
          <w:b/>
          <w:bCs/>
        </w:rPr>
      </w:pPr>
    </w:p>
    <w:p w14:paraId="7B8AB382" w14:textId="77777777" w:rsidR="00B46696" w:rsidRPr="008E6AD9" w:rsidRDefault="00B46696" w:rsidP="00B46696">
      <w:pPr>
        <w:spacing w:after="0" w:line="240" w:lineRule="auto"/>
        <w:ind w:left="709" w:right="709"/>
        <w:jc w:val="both"/>
        <w:rPr>
          <w:rFonts w:ascii="Verdana" w:eastAsia="Century Gothic" w:hAnsi="Verdana" w:cs="Century Gothic"/>
          <w:b/>
          <w:bCs/>
        </w:rPr>
      </w:pPr>
      <w:bookmarkStart w:id="0" w:name="_Hlk95313578"/>
      <w:r w:rsidRPr="001904AF">
        <w:rPr>
          <w:rFonts w:ascii="Verdana" w:eastAsia="Century Gothic" w:hAnsi="Verdana" w:cs="Century Gothic"/>
          <w:sz w:val="20"/>
          <w:szCs w:val="20"/>
          <w:lang w:val="es-ES"/>
        </w:rPr>
        <w:t>“</w:t>
      </w:r>
      <w:bookmarkEnd w:id="0"/>
      <w:r w:rsidRPr="00291DF9">
        <w:rPr>
          <w:rFonts w:ascii="Verdana" w:eastAsia="Century Gothic" w:hAnsi="Verdana" w:cs="Century Gothic"/>
          <w:sz w:val="20"/>
          <w:szCs w:val="20"/>
          <w:lang w:val="es-ES"/>
        </w:rPr>
        <w:t>En el marco de lo dispuesto en el Decreto 0287 de 2026 y las recientes modificaciones a los incentivos en contratación pública para personas con discapacidad, ¿el requisito relacionado con el número de personas con discapacidad en la planta de personal debe entenderse como una condición transitoria asociada a la evolución de los pliegos tipo, o las entidades estatales conservan la facultad discrecional de definir dicho número conforme a las necesidades del contrato, siempre que se respeten los compromisos y limitaciones derivados de los acuerdos comerciales internacionales vigentes para Colombia?</w:t>
      </w:r>
      <w:r>
        <w:rPr>
          <w:rFonts w:ascii="Verdana" w:eastAsia="Century Gothic" w:hAnsi="Verdana" w:cs="Century Gothic"/>
          <w:sz w:val="20"/>
          <w:szCs w:val="20"/>
          <w:lang w:val="es-ES"/>
        </w:rPr>
        <w:t>”.</w:t>
      </w:r>
    </w:p>
    <w:p w14:paraId="13158607" w14:textId="77777777" w:rsidR="00B46696" w:rsidRDefault="00B46696" w:rsidP="00B46696">
      <w:pPr>
        <w:spacing w:after="0" w:line="276" w:lineRule="auto"/>
        <w:ind w:firstLine="709"/>
        <w:jc w:val="both"/>
        <w:rPr>
          <w:rFonts w:ascii="Verdana" w:eastAsia="Calibri" w:hAnsi="Verdana" w:cs="Arial"/>
          <w:color w:val="000000"/>
          <w:lang w:val="es-ES" w:eastAsia="es-ES"/>
        </w:rPr>
      </w:pPr>
    </w:p>
    <w:p w14:paraId="3BC38180" w14:textId="77777777" w:rsidR="00B46696" w:rsidRPr="00A652FF" w:rsidRDefault="00B46696" w:rsidP="00B46696">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64BE5DD" w14:textId="77777777" w:rsidR="00B46696" w:rsidRDefault="00B46696" w:rsidP="00B4669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8BE2B5F" w14:textId="77777777" w:rsidR="00B46696" w:rsidRPr="00593A5F" w:rsidRDefault="00B46696" w:rsidP="00B46696">
      <w:pPr>
        <w:spacing w:after="0" w:line="276" w:lineRule="auto"/>
        <w:ind w:firstLine="709"/>
        <w:jc w:val="both"/>
        <w:rPr>
          <w:rFonts w:ascii="Verdana" w:eastAsia="Calibri" w:hAnsi="Verdana" w:cs="Arial"/>
          <w:color w:val="000000"/>
          <w:lang w:val="es-ES" w:eastAsia="es-ES"/>
        </w:rPr>
      </w:pPr>
    </w:p>
    <w:p w14:paraId="7292BE6A" w14:textId="77777777" w:rsidR="00B46696" w:rsidRPr="00593A5F" w:rsidRDefault="00B46696" w:rsidP="00B4669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29FDFB9" w14:textId="77777777" w:rsidR="00B46696" w:rsidRPr="00593A5F" w:rsidRDefault="00B46696" w:rsidP="00B46696">
      <w:pPr>
        <w:tabs>
          <w:tab w:val="left" w:pos="426"/>
        </w:tabs>
        <w:spacing w:after="0" w:line="276" w:lineRule="auto"/>
        <w:jc w:val="both"/>
        <w:rPr>
          <w:rFonts w:ascii="Verdana" w:eastAsia="Century Gothic" w:hAnsi="Verdana" w:cs="Century Gothic"/>
          <w:lang w:val="es-ES"/>
        </w:rPr>
      </w:pPr>
    </w:p>
    <w:p w14:paraId="4A566F62" w14:textId="77777777" w:rsidR="00B46696" w:rsidRPr="00593A5F" w:rsidRDefault="00B46696" w:rsidP="00B46696">
      <w:pPr>
        <w:spacing w:after="0" w:line="276" w:lineRule="auto"/>
        <w:jc w:val="both"/>
        <w:rPr>
          <w:rFonts w:ascii="Verdana" w:eastAsia="Century Gothic" w:hAnsi="Verdana" w:cs="Century Gothic"/>
        </w:rPr>
      </w:pPr>
      <w:r w:rsidRPr="00906BE9">
        <w:rPr>
          <w:rFonts w:ascii="Verdana" w:eastAsia="Century Gothic" w:hAnsi="Verdana" w:cs="Century Gothic"/>
        </w:rPr>
        <w:lastRenderedPageBreak/>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1B3C5D">
        <w:rPr>
          <w:rFonts w:ascii="Verdana" w:eastAsia="Calibri" w:hAnsi="Verdana" w:cs="Arial"/>
          <w:bCs/>
          <w:lang w:val="es-ES_tradnl" w:eastAsia="es-ES_tradnl"/>
        </w:rPr>
        <w:t>¿</w:t>
      </w:r>
      <w:r w:rsidRPr="00D6173D">
        <w:rPr>
          <w:rFonts w:ascii="Verdana" w:eastAsia="Calibri" w:hAnsi="Verdana" w:cs="Arial"/>
          <w:bCs/>
          <w:lang w:val="es-ES_tradnl" w:eastAsia="es-ES_tradnl"/>
        </w:rPr>
        <w:t>las entidades carecen de una facultad discrecional para desarrollar el Decreto 287 de 2026 en los documentos tipo conforme a las necesidades del contrato, siempre que se respeten los compromisos y limitaciones derivados de los acuerdos comerciales internacionales vigentes para Colombia</w:t>
      </w:r>
      <w:r w:rsidRPr="001B3C5D">
        <w:rPr>
          <w:rFonts w:ascii="Verdana" w:eastAsia="Calibri" w:hAnsi="Verdana" w:cs="Arial"/>
          <w:bCs/>
          <w:lang w:val="es-ES_tradnl" w:eastAsia="es-ES_tradnl"/>
        </w:rPr>
        <w:t>?</w:t>
      </w:r>
    </w:p>
    <w:p w14:paraId="70FBDEC3" w14:textId="77777777" w:rsidR="00B46696" w:rsidRPr="004B140F" w:rsidRDefault="00B46696" w:rsidP="00B46696">
      <w:pPr>
        <w:spacing w:after="0" w:line="276" w:lineRule="auto"/>
        <w:jc w:val="both"/>
        <w:rPr>
          <w:rFonts w:ascii="Verdana" w:eastAsia="Calibri" w:hAnsi="Verdana" w:cs="Arial"/>
          <w:color w:val="7030A0"/>
        </w:rPr>
      </w:pPr>
    </w:p>
    <w:p w14:paraId="099DDFB8" w14:textId="77777777" w:rsidR="00B46696" w:rsidRPr="00593A5F" w:rsidRDefault="00B46696" w:rsidP="00B466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89C5982" w14:textId="77777777" w:rsidR="00B46696" w:rsidRPr="00593A5F" w:rsidRDefault="00B46696" w:rsidP="00B4669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46696" w:rsidRPr="00593A5F" w14:paraId="4368F9CB" w14:textId="77777777" w:rsidTr="007F7484">
        <w:trPr>
          <w:jc w:val="center"/>
        </w:trPr>
        <w:tc>
          <w:tcPr>
            <w:tcW w:w="8828" w:type="dxa"/>
          </w:tcPr>
          <w:p w14:paraId="71228486" w14:textId="77777777" w:rsidR="00B46696" w:rsidRDefault="00B46696" w:rsidP="007F7484">
            <w:pPr>
              <w:tabs>
                <w:tab w:val="left" w:pos="426"/>
              </w:tabs>
              <w:spacing w:after="120" w:line="276" w:lineRule="auto"/>
              <w:jc w:val="both"/>
              <w:rPr>
                <w:rFonts w:ascii="Verdana" w:eastAsia="Calibri" w:hAnsi="Verdana" w:cs="Arial"/>
                <w:bCs/>
                <w:color w:val="000000" w:themeColor="text1"/>
                <w:lang w:val="es-ES_tradnl"/>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el artículo </w:t>
            </w:r>
            <w:r w:rsidRPr="00324E2A">
              <w:rPr>
                <w:rFonts w:ascii="Verdana" w:eastAsia="Arial" w:hAnsi="Verdana" w:cs="Arial"/>
                <w:lang w:val="es-MX" w:eastAsia="es-ES" w:bidi="es-ES"/>
              </w:rPr>
              <w:t>2.2.1.2.4.2.7.4</w:t>
            </w:r>
            <w:r>
              <w:rPr>
                <w:rFonts w:ascii="Verdana" w:eastAsia="Arial" w:hAnsi="Verdana" w:cs="Arial"/>
                <w:lang w:val="es-MX" w:eastAsia="es-ES" w:bidi="es-ES"/>
              </w:rPr>
              <w:t xml:space="preserve"> del Decreto 1082 de 2015 –adicionado por el artículo 1 del Decreto 287 de 2026– dispone que</w:t>
            </w:r>
            <w:r w:rsidRPr="00324E2A">
              <w:rPr>
                <w:rFonts w:ascii="Verdana" w:eastAsia="Arial" w:hAnsi="Verdana" w:cs="Arial"/>
                <w:lang w:val="es-MX" w:eastAsia="es-ES" w:bidi="es-ES"/>
              </w:rPr>
              <w:t xml:space="preserve"> las entidades estatales otorguen</w:t>
            </w:r>
            <w:r>
              <w:rPr>
                <w:rFonts w:ascii="Verdana" w:eastAsia="Arial" w:hAnsi="Verdana" w:cs="Arial"/>
                <w:lang w:val="es-MX" w:eastAsia="es-ES" w:bidi="es-ES"/>
              </w:rPr>
              <w:t xml:space="preserve"> en la licitaciones y concursos de méritos</w:t>
            </w:r>
            <w:r w:rsidRPr="00324E2A">
              <w:rPr>
                <w:rFonts w:ascii="Verdana" w:eastAsia="Arial" w:hAnsi="Verdana" w:cs="Arial"/>
                <w:lang w:val="es-MX" w:eastAsia="es-ES" w:bidi="es-ES"/>
              </w:rPr>
              <w:t xml:space="preserve"> un puntaje adicional de hasta el 2% del total de los puntos del proceso para incentivar la inclusión laboral de personas con discapacidad, siempre que ello no afecte el cumplimiento del objeto contractual.</w:t>
            </w:r>
            <w:r>
              <w:rPr>
                <w:rFonts w:ascii="Verdana" w:eastAsia="Arial" w:hAnsi="Verdana" w:cs="Arial"/>
                <w:lang w:val="es-MX" w:eastAsia="es-ES" w:bidi="es-ES"/>
              </w:rPr>
              <w:t xml:space="preserve"> Dicho incentivo supone</w:t>
            </w:r>
            <w:r w:rsidRPr="00324E2A">
              <w:rPr>
                <w:rFonts w:ascii="Verdana" w:eastAsia="Arial" w:hAnsi="Verdana" w:cs="Arial"/>
                <w:lang w:val="es-MX" w:eastAsia="es-ES" w:bidi="es-ES"/>
              </w:rPr>
              <w:t xml:space="preserve"> el proponente</w:t>
            </w:r>
            <w:r>
              <w:rPr>
                <w:rFonts w:ascii="Verdana" w:eastAsia="Arial" w:hAnsi="Verdana" w:cs="Arial"/>
                <w:lang w:val="es-MX" w:eastAsia="es-ES" w:bidi="es-ES"/>
              </w:rPr>
              <w:t xml:space="preserve"> </w:t>
            </w:r>
            <w:r w:rsidRPr="00324E2A">
              <w:rPr>
                <w:rFonts w:ascii="Verdana" w:eastAsia="Arial" w:hAnsi="Verdana" w:cs="Arial"/>
                <w:lang w:val="es-MX" w:eastAsia="es-ES" w:bidi="es-ES"/>
              </w:rPr>
              <w:t xml:space="preserve">acredita </w:t>
            </w:r>
            <w:r>
              <w:rPr>
                <w:rFonts w:ascii="Verdana" w:eastAsia="Arial" w:hAnsi="Verdana" w:cs="Arial"/>
                <w:lang w:val="es-MX" w:eastAsia="es-ES" w:bidi="es-ES"/>
              </w:rPr>
              <w:t xml:space="preserve">que es un </w:t>
            </w:r>
            <w:r w:rsidRPr="00324E2A">
              <w:rPr>
                <w:rFonts w:ascii="Verdana" w:eastAsia="Arial" w:hAnsi="Verdana" w:cs="Arial"/>
                <w:lang w:val="es-MX" w:eastAsia="es-ES" w:bidi="es-ES"/>
              </w:rPr>
              <w:t xml:space="preserve">emprendimiento </w:t>
            </w:r>
            <w:r>
              <w:rPr>
                <w:rFonts w:ascii="Verdana" w:eastAsia="Arial" w:hAnsi="Verdana" w:cs="Arial"/>
                <w:lang w:val="es-MX" w:eastAsia="es-ES" w:bidi="es-ES"/>
              </w:rPr>
              <w:t>o</w:t>
            </w:r>
            <w:r w:rsidRPr="00324E2A">
              <w:rPr>
                <w:rFonts w:ascii="Verdana" w:eastAsia="Arial" w:hAnsi="Verdana" w:cs="Arial"/>
                <w:lang w:val="es-MX" w:eastAsia="es-ES" w:bidi="es-ES"/>
              </w:rPr>
              <w:t xml:space="preserve"> empresa de personas con discapacidad </w:t>
            </w:r>
            <w:r>
              <w:rPr>
                <w:rFonts w:ascii="Verdana" w:eastAsia="Arial" w:hAnsi="Verdana" w:cs="Arial"/>
                <w:lang w:val="es-MX" w:eastAsia="es-ES" w:bidi="es-ES"/>
              </w:rPr>
              <w:t>en los términos</w:t>
            </w:r>
            <w:r w:rsidRPr="00324E2A">
              <w:rPr>
                <w:rFonts w:ascii="Verdana" w:eastAsia="Arial" w:hAnsi="Verdana" w:cs="Arial"/>
                <w:lang w:val="es-MX" w:eastAsia="es-ES" w:bidi="es-ES"/>
              </w:rPr>
              <w:t xml:space="preserve"> </w:t>
            </w:r>
            <w:r>
              <w:rPr>
                <w:rFonts w:ascii="Verdana" w:eastAsia="Arial" w:hAnsi="Verdana" w:cs="Arial"/>
                <w:lang w:val="es-MX" w:eastAsia="es-ES" w:bidi="es-ES"/>
              </w:rPr>
              <w:t>d</w:t>
            </w:r>
            <w:r w:rsidRPr="00324E2A">
              <w:rPr>
                <w:rFonts w:ascii="Verdana" w:eastAsia="Arial" w:hAnsi="Verdana" w:cs="Arial"/>
                <w:lang w:val="es-MX" w:eastAsia="es-ES" w:bidi="es-ES"/>
              </w:rPr>
              <w:t xml:space="preserve">el artículo 2.2.1.2.4.2.6 </w:t>
            </w:r>
            <w:r w:rsidRPr="00324E2A">
              <w:rPr>
                <w:rFonts w:ascii="Verdana" w:eastAsia="Arial" w:hAnsi="Verdana" w:cs="Arial"/>
                <w:i/>
                <w:iCs/>
                <w:lang w:val="es-MX" w:eastAsia="es-ES" w:bidi="es-ES"/>
              </w:rPr>
              <w:t>ibidem</w:t>
            </w:r>
            <w:r w:rsidRPr="00324E2A">
              <w:rPr>
                <w:rFonts w:ascii="Verdana" w:eastAsia="Arial" w:hAnsi="Verdana" w:cs="Arial"/>
                <w:lang w:val="es-MX" w:eastAsia="es-ES" w:bidi="es-ES"/>
              </w:rPr>
              <w:t>, o demuestra que dentro de su planta de personal tiene vinculadas personas con discapacidad mediante contrato laboral y con dedicación exclusiva, cumpliendo el número mínimo exigido</w:t>
            </w:r>
            <w:r>
              <w:rPr>
                <w:rFonts w:ascii="Verdana" w:eastAsia="Arial" w:hAnsi="Verdana" w:cs="Arial"/>
                <w:lang w:val="es-MX" w:eastAsia="es-ES" w:bidi="es-ES"/>
              </w:rPr>
              <w:t xml:space="preserve"> por la norma</w:t>
            </w:r>
            <w:r w:rsidRPr="00324E2A">
              <w:rPr>
                <w:rFonts w:ascii="Verdana" w:eastAsia="Arial" w:hAnsi="Verdana" w:cs="Arial"/>
                <w:lang w:val="es-MX" w:eastAsia="es-ES" w:bidi="es-ES"/>
              </w:rPr>
              <w:t xml:space="preserve"> según el tamaño de su planta</w:t>
            </w:r>
            <w:r>
              <w:rPr>
                <w:rFonts w:ascii="Verdana" w:eastAsia="Arial" w:hAnsi="Verdana" w:cs="Arial"/>
                <w:lang w:val="es-MX" w:eastAsia="es-ES" w:bidi="es-ES"/>
              </w:rPr>
              <w:t xml:space="preserve">. </w:t>
            </w:r>
          </w:p>
          <w:p w14:paraId="544300A4" w14:textId="77777777" w:rsidR="00B46696" w:rsidRDefault="00B46696" w:rsidP="007F7484">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Calibri" w:hAnsi="Verdana" w:cs="Arial"/>
                <w:bCs/>
                <w:color w:val="000000" w:themeColor="text1"/>
                <w:lang w:val="es-ES_tradnl"/>
              </w:rPr>
              <w:t xml:space="preserve">Sin embargo, </w:t>
            </w:r>
            <w:r w:rsidRPr="00700A58">
              <w:rPr>
                <w:rFonts w:ascii="Verdana" w:eastAsia="Aptos" w:hAnsi="Verdana" w:cs="Times New Roman"/>
                <w:kern w:val="2"/>
                <w14:ligatures w14:val="standardContextual"/>
              </w:rPr>
              <w:t xml:space="preserve">la modificación del artículo 1 del Decreto 287 de 2026 al artículo 2.2.1.2.4.2.7.4 del Decreto 1082 de 2015, incide en el ajuste del puntaje que se otorga en los documentos tipo de licitación pública y concurso de méritos por la incorporación de personas con discapacidad, en donde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297C6613" w14:textId="77777777" w:rsidR="00B46696" w:rsidRPr="00700A58" w:rsidRDefault="00B46696" w:rsidP="007F748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w:t>
            </w:r>
            <w:r w:rsidRPr="001B3C5D">
              <w:rPr>
                <w:rFonts w:ascii="Verdana" w:eastAsia="Aptos" w:hAnsi="Verdana" w:cs="Times New Roman"/>
                <w:kern w:val="2"/>
                <w14:ligatures w14:val="standardContextual"/>
              </w:rPr>
              <w:lastRenderedPageBreak/>
              <w:t>actualmente en estos se señala como factor de ponderación un puntaje máximo de un (1) punto por la vinculación de personas con discapacidad, evento este que, con la modificación realizada por el Decreto 287 de 2026 debe ajustarse.</w:t>
            </w:r>
          </w:p>
          <w:p w14:paraId="2464C038" w14:textId="77777777" w:rsidR="00B46696" w:rsidRDefault="00B46696" w:rsidP="007F748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700A58">
              <w:rPr>
                <w:rFonts w:ascii="Verdana" w:eastAsia="Aptos" w:hAnsi="Verdana" w:cs="Times New Roman"/>
                <w:kern w:val="2"/>
                <w14:ligatures w14:val="standardContextual"/>
              </w:rPr>
              <w:t xml:space="preserve">Adicionalmente, en cuanto a la ejecución contractual, el artículo 2.2.1.2.4.2.7.5 del Decreto 1082 de 2015, modificado por el artículo 1 del Decreto 287 de 2026, prevé la incorporación de </w:t>
            </w:r>
            <w:r>
              <w:rPr>
                <w:rFonts w:ascii="Verdana" w:eastAsia="Aptos" w:hAnsi="Verdana" w:cs="Times New Roman"/>
                <w:kern w:val="2"/>
                <w14:ligatures w14:val="standardContextual"/>
              </w:rPr>
              <w:t>condiciones especiales de ejecución orientadas</w:t>
            </w:r>
            <w:r w:rsidRPr="00700A58">
              <w:rPr>
                <w:rFonts w:ascii="Verdana" w:eastAsia="Aptos" w:hAnsi="Verdana" w:cs="Times New Roman"/>
                <w:kern w:val="2"/>
                <w14:ligatures w14:val="standardContextual"/>
              </w:rPr>
              <w:t xml:space="preserve">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482EEB9A" w14:textId="77777777" w:rsidR="00B46696" w:rsidRDefault="00B46696" w:rsidP="007F7484">
            <w:pPr>
              <w:pStyle w:val="NormalWeb"/>
              <w:spacing w:before="120" w:beforeAutospacing="0" w:after="120" w:afterAutospacing="0" w:line="276" w:lineRule="auto"/>
              <w:ind w:firstLine="709"/>
              <w:jc w:val="both"/>
              <w:rPr>
                <w:rFonts w:ascii="Verdana" w:eastAsia="Calibri" w:hAnsi="Verdana" w:cs="Arial"/>
                <w:bCs/>
                <w:color w:val="000000" w:themeColor="text1"/>
                <w:sz w:val="22"/>
                <w:szCs w:val="22"/>
                <w:lang w:val="es-ES_tradnl"/>
              </w:rPr>
            </w:pPr>
            <w:r w:rsidRPr="00700A58">
              <w:rPr>
                <w:rFonts w:ascii="Verdana" w:eastAsia="Aptos" w:hAnsi="Verdana"/>
                <w:kern w:val="2"/>
                <w:sz w:val="22"/>
                <w:szCs w:val="2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r w:rsidRPr="00700A58">
              <w:rPr>
                <w:rFonts w:ascii="Verdana" w:eastAsia="Calibri" w:hAnsi="Verdana" w:cs="Arial"/>
                <w:bCs/>
                <w:color w:val="000000" w:themeColor="text1"/>
                <w:sz w:val="22"/>
                <w:szCs w:val="22"/>
                <w:lang w:val="es-ES_tradnl"/>
              </w:rPr>
              <w:t xml:space="preserve">  </w:t>
            </w:r>
          </w:p>
          <w:p w14:paraId="4B1142D2" w14:textId="77777777" w:rsidR="00B46696" w:rsidRPr="001B3C5D" w:rsidRDefault="00B46696" w:rsidP="007F748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Lo </w:t>
            </w:r>
            <w:r>
              <w:rPr>
                <w:rFonts w:ascii="Verdana" w:eastAsia="Aptos" w:hAnsi="Verdana" w:cs="Times New Roman"/>
                <w:kern w:val="2"/>
                <w14:ligatures w14:val="standardContextual"/>
              </w:rPr>
              <w:t>anterior es congruente con lo</w:t>
            </w:r>
            <w:r w:rsidRPr="001B3C5D">
              <w:rPr>
                <w:rFonts w:ascii="Verdana" w:eastAsia="Aptos" w:hAnsi="Verdana" w:cs="Times New Roman"/>
                <w:kern w:val="2"/>
                <w14:ligatures w14:val="standardContextual"/>
              </w:rPr>
              <w:t xml:space="preserve"> dispuesto en el ABC del Decreto 0287 de 2026</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“Contratación pública inclusiva para personas con discapacidad”</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los documentos tipo requieren una adecuación técnica y normativa previa para incorporar las medidas del sistema de preferencias”. </w:t>
            </w:r>
          </w:p>
          <w:p w14:paraId="703D3DE4" w14:textId="77777777" w:rsidR="00B46696" w:rsidRPr="001B3C5D" w:rsidRDefault="00B46696" w:rsidP="007F7484">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aunque de acuerdo con el artículo 2 del Decreto 287 de 2026, este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rige a partir del día siguiente a su publicación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w:t>
            </w:r>
            <w:r w:rsidRPr="001B3C5D">
              <w:rPr>
                <w:rFonts w:ascii="Verdana" w:eastAsia="Aptos" w:hAnsi="Verdana" w:cs="Times New Roman"/>
                <w:kern w:val="2"/>
                <w14:ligatures w14:val="standardContextual"/>
              </w:rPr>
              <w:lastRenderedPageBreak/>
              <w:t>distribución de competencias establecida por el legislador ni la estructura normativa del sistema de compras y contratación pública.</w:t>
            </w:r>
          </w:p>
          <w:p w14:paraId="787C383B" w14:textId="77777777" w:rsidR="00B46696" w:rsidRDefault="00B46696" w:rsidP="007F7484">
            <w:pPr>
              <w:pStyle w:val="NormalWeb"/>
              <w:spacing w:before="120" w:beforeAutospacing="0" w:after="120" w:afterAutospacing="0" w:line="276" w:lineRule="auto"/>
              <w:ind w:firstLine="709"/>
              <w:jc w:val="both"/>
              <w:rPr>
                <w:rFonts w:ascii="Verdana" w:eastAsia="Aptos" w:hAnsi="Verdana"/>
                <w:kern w:val="2"/>
                <w:sz w:val="22"/>
                <w:szCs w:val="22"/>
                <w14:ligatures w14:val="standardContextual"/>
              </w:rPr>
            </w:pPr>
            <w:r w:rsidRPr="00DF6B16">
              <w:rPr>
                <w:rFonts w:ascii="Verdana" w:eastAsia="Aptos" w:hAnsi="Verdana"/>
                <w:kern w:val="2"/>
                <w:sz w:val="22"/>
                <w:szCs w:val="22"/>
                <w14:ligatures w14:val="standardContextual"/>
              </w:rPr>
              <w:t>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w:t>
            </w:r>
            <w:r>
              <w:rPr>
                <w:rFonts w:ascii="Verdana" w:eastAsia="Aptos" w:hAnsi="Verdana"/>
                <w:kern w:val="2"/>
                <w:sz w:val="22"/>
                <w:szCs w:val="22"/>
                <w14:ligatures w14:val="standardContextual"/>
              </w:rPr>
              <w:t xml:space="preserve"> </w:t>
            </w:r>
          </w:p>
          <w:p w14:paraId="5086188F" w14:textId="77777777" w:rsidR="00B46696" w:rsidRPr="00F846E4" w:rsidRDefault="00B46696" w:rsidP="007F7484">
            <w:pPr>
              <w:pStyle w:val="NormalWeb"/>
              <w:spacing w:before="120" w:beforeAutospacing="0" w:after="0" w:afterAutospacing="0" w:line="276" w:lineRule="auto"/>
              <w:ind w:firstLine="709"/>
              <w:jc w:val="both"/>
              <w:rPr>
                <w:rFonts w:ascii="Verdana" w:eastAsia="Calibri" w:hAnsi="Verdana" w:cs="Arial"/>
                <w:bCs/>
                <w:color w:val="000000" w:themeColor="text1"/>
                <w:sz w:val="22"/>
                <w:szCs w:val="22"/>
                <w:lang w:val="es-ES_tradnl"/>
              </w:rPr>
            </w:pPr>
            <w:r>
              <w:rPr>
                <w:rFonts w:ascii="Verdana" w:eastAsia="Aptos" w:hAnsi="Verdana"/>
                <w:kern w:val="2"/>
                <w:sz w:val="22"/>
                <w:szCs w:val="22"/>
                <w14:ligatures w14:val="standardContextual"/>
              </w:rPr>
              <w:t xml:space="preserve">Esto significa que las entidades carecen de una facultad discrecional para desarrollar el Decreto 287 de 2026 en los documentos tipo </w:t>
            </w:r>
            <w:r w:rsidRPr="00854F6C">
              <w:rPr>
                <w:rFonts w:ascii="Verdana" w:eastAsia="Aptos" w:hAnsi="Verdana"/>
                <w:kern w:val="2"/>
                <w:sz w:val="22"/>
                <w:szCs w:val="22"/>
                <w14:ligatures w14:val="standardContextual"/>
              </w:rPr>
              <w:t>conforme a las necesidades del contrato, siempre que se respeten los compromisos y limitaciones derivados de los acuerdos comerciales internacionales vigentes para Colombia</w:t>
            </w:r>
            <w:r>
              <w:rPr>
                <w:rFonts w:ascii="Verdana" w:eastAsia="Aptos" w:hAnsi="Verdana"/>
                <w:kern w:val="2"/>
                <w:sz w:val="22"/>
                <w:szCs w:val="22"/>
                <w14:ligatures w14:val="standardContextual"/>
              </w:rPr>
              <w:t xml:space="preserve">. Lo anterior, en la medida que –al adicionar el artículo </w:t>
            </w:r>
            <w:r w:rsidRPr="00D6173D">
              <w:rPr>
                <w:rFonts w:ascii="Verdana" w:eastAsia="Aptos" w:hAnsi="Verdana"/>
                <w:kern w:val="2"/>
                <w:sz w:val="22"/>
                <w:szCs w:val="22"/>
                <w14:ligatures w14:val="standardContextual"/>
              </w:rPr>
              <w:t>2.2.1.2.4.2.7.8</w:t>
            </w:r>
            <w:r>
              <w:rPr>
                <w:rFonts w:ascii="Verdana" w:eastAsia="Aptos" w:hAnsi="Verdana"/>
                <w:kern w:val="2"/>
                <w:sz w:val="22"/>
                <w:szCs w:val="22"/>
                <w14:ligatures w14:val="standardContextual"/>
              </w:rPr>
              <w:t xml:space="preserve"> del Decreto 1082 de 2015– el reglamento es claro en establecer que “</w:t>
            </w:r>
            <w:r w:rsidRPr="00D6173D">
              <w:rPr>
                <w:rFonts w:ascii="Verdana" w:eastAsia="Aptos" w:hAnsi="Verdana"/>
                <w:kern w:val="2"/>
                <w:sz w:val="22"/>
                <w:szCs w:val="22"/>
                <w14:ligatures w14:val="standardContextual"/>
              </w:rPr>
              <w:t>La Agencia Nacional de Contratación Pública - Colombia Compra Eficiente garantizará la adopción permanente de las acciones necesarias para que las medidas señaladas en esta subsección se incorporen a los documentos e instrumentos que genera</w:t>
            </w:r>
            <w:r>
              <w:rPr>
                <w:rFonts w:ascii="Verdana" w:eastAsia="Aptos" w:hAnsi="Verdana"/>
                <w:kern w:val="2"/>
                <w:sz w:val="22"/>
                <w:szCs w:val="22"/>
                <w14:ligatures w14:val="standardContextual"/>
              </w:rPr>
              <w:t>”</w:t>
            </w:r>
            <w:r w:rsidRPr="00D6173D">
              <w:rPr>
                <w:rFonts w:ascii="Verdana" w:eastAsia="Aptos" w:hAnsi="Verdana"/>
                <w:kern w:val="2"/>
                <w:sz w:val="22"/>
                <w:szCs w:val="22"/>
                <w14:ligatures w14:val="standardContextual"/>
              </w:rPr>
              <w:t>.</w:t>
            </w:r>
          </w:p>
        </w:tc>
      </w:tr>
    </w:tbl>
    <w:p w14:paraId="2D43C467" w14:textId="77777777" w:rsidR="00B46696" w:rsidRPr="00593A5F" w:rsidRDefault="00B46696" w:rsidP="00B46696">
      <w:pPr>
        <w:tabs>
          <w:tab w:val="left" w:pos="142"/>
          <w:tab w:val="left" w:pos="284"/>
        </w:tabs>
        <w:spacing w:after="0" w:line="276" w:lineRule="auto"/>
        <w:jc w:val="both"/>
        <w:rPr>
          <w:rFonts w:ascii="Verdana" w:eastAsia="Century Gothic" w:hAnsi="Verdana" w:cs="Century Gothic"/>
          <w:b/>
          <w:bCs/>
          <w:lang w:val="es-ES"/>
        </w:rPr>
      </w:pPr>
    </w:p>
    <w:bookmarkEnd w:id="1"/>
    <w:p w14:paraId="1BD26D3A" w14:textId="77777777" w:rsidR="00B46696" w:rsidRPr="00593A5F" w:rsidRDefault="00B46696" w:rsidP="00B466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2B4FA52" w14:textId="77777777" w:rsidR="00B46696" w:rsidRPr="00593A5F" w:rsidRDefault="00B46696" w:rsidP="00B46696">
      <w:pPr>
        <w:spacing w:after="0" w:line="276" w:lineRule="auto"/>
        <w:jc w:val="both"/>
        <w:rPr>
          <w:rFonts w:ascii="Verdana" w:eastAsia="Calibri" w:hAnsi="Verdana" w:cs="Arial"/>
          <w:color w:val="7030A0"/>
          <w:lang w:val="es-ES"/>
        </w:rPr>
      </w:pPr>
    </w:p>
    <w:p w14:paraId="23F41B18" w14:textId="77777777" w:rsidR="00B46696" w:rsidRDefault="00B46696" w:rsidP="00B46696">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6C03292" w14:textId="77777777" w:rsidR="00B46696" w:rsidRPr="00415608" w:rsidRDefault="00B46696" w:rsidP="00B46696">
      <w:pPr>
        <w:spacing w:after="0" w:line="276" w:lineRule="auto"/>
        <w:jc w:val="both"/>
        <w:rPr>
          <w:rFonts w:ascii="Verdana" w:eastAsia="Calibri" w:hAnsi="Verdana" w:cs="Arial"/>
          <w:lang w:val="es-ES"/>
        </w:rPr>
      </w:pPr>
    </w:p>
    <w:p w14:paraId="7660F67C" w14:textId="77777777" w:rsidR="00B46696" w:rsidRPr="00291DF9" w:rsidRDefault="00B46696" w:rsidP="00B46696">
      <w:pPr>
        <w:spacing w:after="0" w:line="276" w:lineRule="auto"/>
        <w:jc w:val="both"/>
        <w:rPr>
          <w:rFonts w:ascii="Verdana" w:eastAsia="Aptos" w:hAnsi="Verdana" w:cs="Times New Roman"/>
          <w:kern w:val="2"/>
          <w:sz w:val="24"/>
          <w:szCs w:val="24"/>
          <w:lang w:val="es-MX"/>
          <w14:ligatures w14:val="standardContextual"/>
        </w:rPr>
      </w:pPr>
      <w:r w:rsidRPr="00291DF9">
        <w:rPr>
          <w:rFonts w:ascii="Verdana" w:eastAsia="Aptos" w:hAnsi="Verdana" w:cs="Times New Roman"/>
          <w:kern w:val="2"/>
          <w:sz w:val="24"/>
          <w:szCs w:val="24"/>
          <w:lang w:val="es-ES"/>
          <w14:ligatures w14:val="standardContextual"/>
        </w:rPr>
        <w:t xml:space="preserve">i. </w:t>
      </w:r>
      <w:r w:rsidRPr="00291DF9">
        <w:rPr>
          <w:rFonts w:ascii="Verdana" w:eastAsia="Aptos" w:hAnsi="Verdana" w:cs="Times New Roman"/>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291DF9">
        <w:rPr>
          <w:rFonts w:ascii="Verdana" w:eastAsia="Aptos" w:hAnsi="Verdana" w:cs="Times New Roman"/>
          <w:kern w:val="2"/>
          <w:vertAlign w:val="superscript"/>
          <w:lang w:val="es-MX"/>
          <w14:ligatures w14:val="standardContextual"/>
        </w:rPr>
        <w:footnoteReference w:id="1"/>
      </w:r>
      <w:r w:rsidRPr="00291DF9">
        <w:rPr>
          <w:rFonts w:ascii="Verdana" w:eastAsia="Aptos" w:hAnsi="Verdana" w:cs="Times New Roman"/>
          <w:kern w:val="2"/>
          <w:lang w:val="es-MX"/>
          <w14:ligatures w14:val="standardContextual"/>
        </w:rPr>
        <w:t>.</w:t>
      </w:r>
      <w:r w:rsidRPr="00291DF9">
        <w:rPr>
          <w:rFonts w:ascii="Verdana" w:eastAsia="Aptos" w:hAnsi="Verdana" w:cs="Times New Roman"/>
          <w:kern w:val="2"/>
          <w:sz w:val="24"/>
          <w:szCs w:val="24"/>
          <w:lang w:val="es-MX"/>
          <w14:ligatures w14:val="standardContextual"/>
        </w:rPr>
        <w:t xml:space="preserve"> </w:t>
      </w:r>
    </w:p>
    <w:p w14:paraId="00DCDF06" w14:textId="77777777" w:rsidR="00B46696" w:rsidRPr="00291DF9" w:rsidRDefault="00B46696" w:rsidP="00B46696">
      <w:pPr>
        <w:tabs>
          <w:tab w:val="left" w:pos="709"/>
        </w:tabs>
        <w:spacing w:before="120" w:after="120" w:line="276" w:lineRule="auto"/>
        <w:ind w:firstLine="642"/>
        <w:jc w:val="both"/>
        <w:rPr>
          <w:rFonts w:ascii="Verdana" w:eastAsia="Calibri" w:hAnsi="Verdana" w:cs="Arial"/>
          <w:color w:val="000000"/>
          <w:lang w:val="es-MX"/>
        </w:rPr>
      </w:pPr>
      <w:r w:rsidRPr="00291DF9">
        <w:rPr>
          <w:rFonts w:ascii="Verdana" w:eastAsia="Calibri" w:hAnsi="Verdana" w:cs="Arial"/>
          <w:color w:val="000000"/>
          <w:lang w:val="es-MX"/>
        </w:rPr>
        <w:lastRenderedPageBreak/>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291DF9">
        <w:rPr>
          <w:rFonts w:ascii="Verdana" w:eastAsia="Calibri" w:hAnsi="Verdana" w:cs="Arial"/>
          <w:color w:val="000000"/>
          <w:vertAlign w:val="superscript"/>
          <w:lang w:val="es-MX"/>
        </w:rPr>
        <w:footnoteReference w:id="2"/>
      </w:r>
      <w:r w:rsidRPr="00291DF9">
        <w:rPr>
          <w:rFonts w:ascii="Verdana" w:eastAsia="Calibri" w:hAnsi="Verdana" w:cs="Arial"/>
          <w:color w:val="000000"/>
          <w:lang w:val="es-MX"/>
        </w:rPr>
        <w:t>.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46492EA" w14:textId="77777777" w:rsidR="00B46696" w:rsidRPr="00291DF9" w:rsidRDefault="00B46696" w:rsidP="00B46696">
      <w:pPr>
        <w:spacing w:before="120" w:after="120" w:line="276" w:lineRule="auto"/>
        <w:ind w:firstLine="642"/>
        <w:jc w:val="both"/>
        <w:rPr>
          <w:rFonts w:ascii="Verdana" w:eastAsia="Calibri" w:hAnsi="Verdana" w:cs="Arial"/>
          <w:color w:val="000000"/>
          <w:lang w:val="es-MX"/>
        </w:rPr>
      </w:pPr>
      <w:r w:rsidRPr="00291DF9">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1164FB85" w14:textId="77777777" w:rsidR="00B46696" w:rsidRPr="00291DF9" w:rsidRDefault="00B46696" w:rsidP="00B46696">
      <w:pPr>
        <w:spacing w:before="120" w:after="120" w:line="276" w:lineRule="auto"/>
        <w:ind w:firstLine="360"/>
        <w:jc w:val="both"/>
        <w:rPr>
          <w:rFonts w:ascii="Verdana" w:eastAsia="Calibri" w:hAnsi="Verdana" w:cs="Arial"/>
          <w:color w:val="000000"/>
          <w:lang w:val="es-MX"/>
        </w:rPr>
      </w:pPr>
      <w:r w:rsidRPr="00291DF9">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w:t>
      </w:r>
      <w:r w:rsidRPr="00291DF9">
        <w:rPr>
          <w:rFonts w:ascii="Verdana" w:eastAsia="Calibri" w:hAnsi="Verdana" w:cs="Arial"/>
          <w:color w:val="000000"/>
          <w:lang w:val="es-MX"/>
        </w:rPr>
        <w:lastRenderedPageBreak/>
        <w:t xml:space="preserve">incorporación en el sistema de compra pública, debiendo establecer un procedimiento para recibir y revisar comentarios de los interesados, así como un sistema para la revisión constante de los documentos tipo que expida. </w:t>
      </w:r>
    </w:p>
    <w:p w14:paraId="6A11DA7E" w14:textId="77777777" w:rsidR="00B46696" w:rsidRPr="00291DF9" w:rsidRDefault="00B46696" w:rsidP="00B46696">
      <w:pPr>
        <w:spacing w:before="120" w:after="120" w:line="276" w:lineRule="auto"/>
        <w:ind w:firstLine="642"/>
        <w:jc w:val="both"/>
        <w:rPr>
          <w:rFonts w:ascii="Verdana" w:eastAsia="Calibri" w:hAnsi="Verdana" w:cs="Arial"/>
          <w:color w:val="000000"/>
          <w:lang w:val="es-MX"/>
        </w:rPr>
      </w:pPr>
      <w:r w:rsidRPr="00291DF9">
        <w:rPr>
          <w:rFonts w:ascii="Verdana" w:eastAsia="Calibri" w:hAnsi="Verdana" w:cs="Arial"/>
          <w:color w:val="000000"/>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291DF9">
        <w:rPr>
          <w:rFonts w:ascii="Verdana" w:eastAsia="Calibri" w:hAnsi="Verdana" w:cs="Arial"/>
          <w:color w:val="000000"/>
          <w:vertAlign w:val="superscript"/>
          <w:lang w:val="es-MX"/>
        </w:rPr>
        <w:footnoteReference w:id="3"/>
      </w:r>
      <w:r w:rsidRPr="00291DF9">
        <w:rPr>
          <w:rFonts w:ascii="Verdana" w:eastAsia="Calibri" w:hAnsi="Verdana" w:cs="Arial"/>
          <w:color w:val="000000"/>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49F80CAC" w14:textId="77777777" w:rsidR="00B46696" w:rsidRPr="00291DF9" w:rsidRDefault="00B46696" w:rsidP="00B46696">
      <w:pPr>
        <w:spacing w:before="120" w:after="120" w:line="276" w:lineRule="auto"/>
        <w:ind w:firstLine="642"/>
        <w:jc w:val="both"/>
        <w:rPr>
          <w:rFonts w:ascii="Verdana" w:eastAsia="Aptos" w:hAnsi="Verdana" w:cs="Arial"/>
          <w:kern w:val="2"/>
          <w:lang w:val="es-ES"/>
          <w14:ligatures w14:val="standardContextual"/>
        </w:rPr>
      </w:pPr>
      <w:r w:rsidRPr="00291DF9">
        <w:rPr>
          <w:rFonts w:ascii="Verdana" w:eastAsia="Calibri" w:hAnsi="Verdana" w:cs="Arial"/>
          <w:color w:val="000000"/>
          <w:lang w:val="es-MX"/>
        </w:rPr>
        <w:t>Con la finalidad de realizar un desarrollo armónico y ajustado a la ley que otorga esta competencia, la Agencia Nacional de Contratación Pública expidió la Resolución 160 del 15 de septiembre de 2020</w:t>
      </w:r>
      <w:r>
        <w:rPr>
          <w:rFonts w:ascii="Verdana" w:eastAsia="Calibri" w:hAnsi="Verdana" w:cs="Arial"/>
          <w:color w:val="000000"/>
          <w:lang w:val="es-MX"/>
        </w:rPr>
        <w:t>,</w:t>
      </w:r>
      <w:r w:rsidRPr="00291DF9">
        <w:rPr>
          <w:rFonts w:ascii="Verdana" w:eastAsia="Calibri" w:hAnsi="Verdana" w:cs="Arial"/>
          <w:color w:val="000000"/>
          <w:lang w:val="es-MX"/>
        </w:rPr>
        <w:t xml:space="preserve"> “Por la cual se adopta el procedimiento para implementar los documentos tipo y se define el sistema para su revisión”. Asimismo, con fundamento en dicha Ley, se </w:t>
      </w:r>
      <w:r w:rsidRPr="00291DF9">
        <w:rPr>
          <w:rFonts w:ascii="Verdana" w:eastAsia="Aptos" w:hAnsi="Verdana" w:cs="Arial"/>
          <w:kern w:val="2"/>
          <w:lang w:val="es-ES"/>
          <w14:ligatures w14:val="standardContextual"/>
        </w:rPr>
        <w:t xml:space="preserve">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w:t>
      </w:r>
      <w:r w:rsidRPr="00291DF9">
        <w:rPr>
          <w:rFonts w:ascii="Verdana" w:eastAsia="Aptos" w:hAnsi="Verdana" w:cs="Arial"/>
          <w:kern w:val="2"/>
          <w:lang w:val="es-ES"/>
          <w14:ligatures w14:val="standardContextual"/>
        </w:rPr>
        <w:lastRenderedPageBreak/>
        <w:t>2007, estos documentos tipo se han expedido para las modalidades de selección de licitación pública, selección abreviada de menor cuantía, mínima cuantía, concurso de méritos y contratación directa.</w:t>
      </w:r>
    </w:p>
    <w:p w14:paraId="4C0AEC23" w14:textId="77777777" w:rsidR="00B46696" w:rsidRPr="00291DF9" w:rsidRDefault="00B46696" w:rsidP="00B46696">
      <w:pPr>
        <w:spacing w:after="120" w:line="276" w:lineRule="auto"/>
        <w:ind w:firstLine="708"/>
        <w:jc w:val="both"/>
        <w:rPr>
          <w:rFonts w:ascii="Verdana" w:eastAsia="Calibri" w:hAnsi="Verdana" w:cs="Arial"/>
          <w:kern w:val="2"/>
          <w14:ligatures w14:val="standardContextual"/>
        </w:rPr>
      </w:pPr>
      <w:r w:rsidRPr="00291DF9">
        <w:rPr>
          <w:rFonts w:ascii="Verdana" w:eastAsia="Aptos" w:hAnsi="Verdana" w:cs="Arial"/>
          <w:kern w:val="2"/>
          <w14:ligatures w14:val="standardContextual"/>
        </w:rPr>
        <w:t xml:space="preserve">Concretamente, con fundamento en el artículo 1 de la Ley 2022 de 2020, </w:t>
      </w:r>
      <w:r w:rsidRPr="00291DF9">
        <w:rPr>
          <w:rFonts w:ascii="Verdana" w:eastAsia="Calibri" w:hAnsi="Verdana" w:cs="Arial"/>
          <w:kern w:val="2"/>
          <w:lang w:val="es-MX"/>
          <w14:ligatures w14:val="standardContextual"/>
        </w:rPr>
        <w:t xml:space="preserve">la Agencia Nacional de Contratación Pública – Colombia Compra </w:t>
      </w:r>
      <w:r w:rsidRPr="00291DF9">
        <w:rPr>
          <w:rFonts w:ascii="Verdana" w:eastAsia="Calibri" w:hAnsi="Verdana" w:cs="Arial"/>
          <w:kern w:val="2"/>
          <w14:ligatures w14:val="standardContextual"/>
        </w:rPr>
        <w:t>Eficiente expidió los siguientes documentos tipo que se encuentran vigentes:</w:t>
      </w:r>
    </w:p>
    <w:p w14:paraId="5A11E9C2"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i. Sector de Infraestructura de Transporte:</w:t>
      </w:r>
    </w:p>
    <w:p w14:paraId="7C4198A8"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7B8A556C"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04FBFBC3"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51F60E21"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6788DADB"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0840FFB8"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proofErr w:type="spellStart"/>
      <w:r w:rsidRPr="00291DF9">
        <w:rPr>
          <w:rFonts w:ascii="Verdana" w:eastAsia="Aptos" w:hAnsi="Verdana" w:cs="Arial"/>
          <w:kern w:val="2"/>
          <w14:ligatures w14:val="standardContextual"/>
        </w:rPr>
        <w:t>ii</w:t>
      </w:r>
      <w:proofErr w:type="spellEnd"/>
      <w:r w:rsidRPr="00291DF9">
        <w:rPr>
          <w:rFonts w:ascii="Verdana" w:eastAsia="Aptos" w:hAnsi="Verdana" w:cs="Arial"/>
          <w:kern w:val="2"/>
          <w14:ligatures w14:val="standardContextual"/>
        </w:rPr>
        <w:t>. Sector de Infraestructura de Agua Potable y Saneamiento Básico:</w:t>
      </w:r>
    </w:p>
    <w:p w14:paraId="409EE87F"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2B4A21E3"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w:t>
      </w:r>
      <w:r w:rsidRPr="00291DF9">
        <w:rPr>
          <w:rFonts w:ascii="Verdana" w:eastAsia="Aptos" w:hAnsi="Verdana" w:cs="Arial"/>
          <w:kern w:val="2"/>
          <w14:ligatures w14:val="standardContextual"/>
        </w:rPr>
        <w:lastRenderedPageBreak/>
        <w:t>infraestructura de agua potable y saneamiento básico en la modalidad de llave en mano".</w:t>
      </w:r>
    </w:p>
    <w:p w14:paraId="5602BB75"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41DE67F9"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proofErr w:type="spellStart"/>
      <w:r w:rsidRPr="00291DF9">
        <w:rPr>
          <w:rFonts w:ascii="Verdana" w:eastAsia="Aptos" w:hAnsi="Verdana" w:cs="Arial"/>
          <w:kern w:val="2"/>
          <w14:ligatures w14:val="standardContextual"/>
        </w:rPr>
        <w:t>iii</w:t>
      </w:r>
      <w:proofErr w:type="spellEnd"/>
      <w:r w:rsidRPr="00291DF9">
        <w:rPr>
          <w:rFonts w:ascii="Verdana" w:eastAsia="Aptos" w:hAnsi="Verdana" w:cs="Arial"/>
          <w:kern w:val="2"/>
          <w14:ligatures w14:val="standardContextual"/>
        </w:rPr>
        <w:t xml:space="preserve">. Sector de Infraestructura Social: </w:t>
      </w:r>
    </w:p>
    <w:p w14:paraId="0C478796"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2F294DF3"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 xml:space="preserve"> </w:t>
      </w:r>
      <w:proofErr w:type="spellStart"/>
      <w:r w:rsidRPr="00291DF9">
        <w:rPr>
          <w:rFonts w:ascii="Verdana" w:eastAsia="Aptos" w:hAnsi="Verdana" w:cs="Arial"/>
          <w:kern w:val="2"/>
          <w14:ligatures w14:val="standardContextual"/>
        </w:rPr>
        <w:t>ii</w:t>
      </w:r>
      <w:proofErr w:type="spellEnd"/>
      <w:r w:rsidRPr="00291DF9">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5EA02F8E"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proofErr w:type="spellStart"/>
      <w:r w:rsidRPr="00291DF9">
        <w:rPr>
          <w:rFonts w:ascii="Verdana" w:eastAsia="Aptos" w:hAnsi="Verdana" w:cs="Arial"/>
          <w:kern w:val="2"/>
          <w14:ligatures w14:val="standardContextual"/>
        </w:rPr>
        <w:t>iii</w:t>
      </w:r>
      <w:proofErr w:type="spellEnd"/>
      <w:r w:rsidRPr="00291DF9">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424D30FA"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proofErr w:type="spellStart"/>
      <w:r w:rsidRPr="00291DF9">
        <w:rPr>
          <w:rFonts w:ascii="Verdana" w:eastAsia="Aptos" w:hAnsi="Verdana" w:cs="Arial"/>
          <w:kern w:val="2"/>
          <w14:ligatures w14:val="standardContextual"/>
        </w:rPr>
        <w:t>iv</w:t>
      </w:r>
      <w:proofErr w:type="spellEnd"/>
      <w:r w:rsidRPr="00291DF9">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265CD138"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lastRenderedPageBreak/>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51D3287C"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proofErr w:type="spellStart"/>
      <w:r w:rsidRPr="00291DF9">
        <w:rPr>
          <w:rFonts w:ascii="Verdana" w:eastAsia="Aptos" w:hAnsi="Verdana" w:cs="Arial"/>
          <w:kern w:val="2"/>
          <w14:ligatures w14:val="standardContextual"/>
        </w:rPr>
        <w:t>iv</w:t>
      </w:r>
      <w:proofErr w:type="spellEnd"/>
      <w:r w:rsidRPr="00291DF9">
        <w:rPr>
          <w:rFonts w:ascii="Verdana" w:eastAsia="Aptos" w:hAnsi="Verdana" w:cs="Arial"/>
          <w:kern w:val="2"/>
          <w14:ligatures w14:val="standardContextual"/>
        </w:rPr>
        <w:t>. Documentos tipo para la contratación directa de convenios solidarios:</w:t>
      </w:r>
    </w:p>
    <w:p w14:paraId="2CC50067" w14:textId="77777777" w:rsidR="00B46696" w:rsidRPr="00291DF9" w:rsidRDefault="00B46696" w:rsidP="00B46696">
      <w:pPr>
        <w:spacing w:after="120" w:line="276" w:lineRule="auto"/>
        <w:ind w:firstLine="708"/>
        <w:jc w:val="both"/>
        <w:rPr>
          <w:rFonts w:ascii="Verdana" w:eastAsia="Aptos" w:hAnsi="Verdana" w:cs="Times New Roman"/>
          <w:kern w:val="2"/>
          <w14:ligatures w14:val="standardContextual"/>
        </w:rPr>
      </w:pPr>
      <w:r w:rsidRPr="00291DF9">
        <w:rPr>
          <w:rFonts w:ascii="Verdana" w:eastAsia="Aptos" w:hAnsi="Verdana" w:cs="Arial"/>
          <w:kern w:val="2"/>
          <w14:ligatures w14:val="standardContextual"/>
        </w:rPr>
        <w:t>Resolución 358 del 30 de junio de 2023 “</w:t>
      </w:r>
      <w:r w:rsidRPr="00291DF9">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1CAD43B7" w14:textId="77777777" w:rsidR="00B46696" w:rsidRPr="00291DF9" w:rsidRDefault="00B46696" w:rsidP="00B46696">
      <w:pPr>
        <w:spacing w:after="120" w:line="276" w:lineRule="auto"/>
        <w:ind w:firstLine="708"/>
        <w:jc w:val="both"/>
        <w:rPr>
          <w:rFonts w:ascii="Verdana" w:eastAsia="Aptos" w:hAnsi="Verdana" w:cs="Times New Roman"/>
          <w:kern w:val="2"/>
          <w14:ligatures w14:val="standardContextual"/>
        </w:rPr>
      </w:pPr>
      <w:r w:rsidRPr="00291DF9">
        <w:rPr>
          <w:rFonts w:ascii="Verdana" w:eastAsia="Aptos" w:hAnsi="Verdana" w:cs="Times New Roman"/>
          <w:kern w:val="2"/>
          <w14:ligatures w14:val="standardContextual"/>
        </w:rPr>
        <w:t xml:space="preserve">v. Documentos tipo de gestión catastral: </w:t>
      </w:r>
    </w:p>
    <w:p w14:paraId="3E0B8438" w14:textId="77777777" w:rsidR="00B46696" w:rsidRPr="00291DF9" w:rsidRDefault="00B46696" w:rsidP="00B46696">
      <w:pPr>
        <w:spacing w:after="12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5ADC2FC9" w14:textId="77777777" w:rsidR="00B46696" w:rsidRDefault="00B46696" w:rsidP="00B46696">
      <w:pPr>
        <w:spacing w:after="0" w:line="276" w:lineRule="auto"/>
        <w:ind w:firstLine="708"/>
        <w:jc w:val="both"/>
        <w:rPr>
          <w:rFonts w:ascii="Verdana" w:eastAsia="Aptos" w:hAnsi="Verdana" w:cs="Arial"/>
          <w:kern w:val="2"/>
          <w14:ligatures w14:val="standardContextual"/>
        </w:rPr>
      </w:pPr>
      <w:r w:rsidRPr="00291DF9">
        <w:rPr>
          <w:rFonts w:ascii="Verdana" w:eastAsia="Aptos" w:hAnsi="Verdana" w:cs="Arial"/>
          <w:kern w:val="2"/>
          <w14:ligatures w14:val="standardContextual"/>
        </w:rPr>
        <w:t>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4C220AE2" w14:textId="77777777" w:rsidR="00B46696" w:rsidRDefault="00B46696" w:rsidP="00B46696">
      <w:pPr>
        <w:spacing w:after="0" w:line="276" w:lineRule="auto"/>
        <w:jc w:val="both"/>
        <w:rPr>
          <w:rFonts w:ascii="Verdana" w:eastAsia="Aptos" w:hAnsi="Verdana" w:cs="Arial"/>
          <w:kern w:val="2"/>
          <w14:ligatures w14:val="standardContextual"/>
        </w:rPr>
      </w:pPr>
    </w:p>
    <w:p w14:paraId="51086A46" w14:textId="77777777" w:rsidR="00B46696" w:rsidRPr="001B3C5D" w:rsidRDefault="00B46696" w:rsidP="00B46696">
      <w:pPr>
        <w:spacing w:after="0" w:line="276" w:lineRule="auto"/>
        <w:jc w:val="both"/>
        <w:rPr>
          <w:rFonts w:ascii="Verdana" w:eastAsia="Calibri" w:hAnsi="Verdana" w:cs="Arial"/>
          <w:color w:val="000000"/>
          <w:lang w:val="es-MX"/>
        </w:rPr>
      </w:pPr>
      <w:proofErr w:type="spellStart"/>
      <w:r>
        <w:rPr>
          <w:rFonts w:ascii="Verdana" w:eastAsia="Aptos" w:hAnsi="Verdana" w:cs="Arial"/>
          <w:kern w:val="2"/>
          <w14:ligatures w14:val="standardContextual"/>
        </w:rPr>
        <w:t>ii</w:t>
      </w:r>
      <w:proofErr w:type="spellEnd"/>
      <w:r>
        <w:rPr>
          <w:rFonts w:ascii="Verdana" w:eastAsia="Aptos" w:hAnsi="Verdana" w:cs="Arial"/>
          <w:kern w:val="2"/>
          <w14:ligatures w14:val="standardContextual"/>
        </w:rPr>
        <w:t xml:space="preserve">. </w:t>
      </w:r>
      <w:r w:rsidRPr="001B3C5D">
        <w:rPr>
          <w:rFonts w:ascii="Verdana" w:eastAsia="Aptos" w:hAnsi="Verdana" w:cs="Times New Roman"/>
          <w:color w:val="000000"/>
          <w:kern w:val="2"/>
          <w:szCs w:val="24"/>
          <w14:ligatures w14:val="standardContextual"/>
        </w:rPr>
        <w:t>La jurisprudencia de la Corte Constitucional</w:t>
      </w:r>
      <w:r w:rsidRPr="001B3C5D">
        <w:rPr>
          <w:rFonts w:ascii="Verdana" w:eastAsia="Aptos" w:hAnsi="Verdana" w:cs="Times New Roman"/>
          <w:color w:val="000000"/>
          <w:kern w:val="2"/>
          <w:szCs w:val="24"/>
          <w:vertAlign w:val="superscript"/>
          <w14:ligatures w14:val="standardContextual"/>
        </w:rPr>
        <w:footnoteReference w:id="4"/>
      </w:r>
      <w:r w:rsidRPr="001B3C5D">
        <w:rPr>
          <w:rFonts w:ascii="Verdana" w:eastAsia="Aptos" w:hAnsi="Verdana" w:cs="Times New Roman"/>
          <w:color w:val="000000"/>
          <w:kern w:val="2"/>
          <w:szCs w:val="24"/>
          <w14:ligatures w14:val="standardContextual"/>
        </w:rPr>
        <w:t xml:space="preserve"> y el Consejo de Estado</w:t>
      </w:r>
      <w:r w:rsidRPr="001B3C5D">
        <w:rPr>
          <w:rFonts w:ascii="Verdana" w:eastAsia="Aptos" w:hAnsi="Verdana" w:cs="Times New Roman"/>
          <w:color w:val="000000"/>
          <w:kern w:val="2"/>
          <w:szCs w:val="24"/>
          <w:vertAlign w:val="superscript"/>
          <w14:ligatures w14:val="standardContextual"/>
        </w:rPr>
        <w:footnoteReference w:id="5"/>
      </w:r>
      <w:r w:rsidRPr="001B3C5D">
        <w:rPr>
          <w:rFonts w:ascii="Verdana" w:eastAsia="Aptos" w:hAnsi="Verdana" w:cs="Times New Roman"/>
          <w:color w:val="000000"/>
          <w:kern w:val="2"/>
          <w:szCs w:val="24"/>
          <w14:ligatures w14:val="standardContextual"/>
        </w:rPr>
        <w:t xml:space="preserve"> coinciden en afirmar que la potestad reglamentaria no recae exclusivamente en el presidente de la República y que en Colombia opera un </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sistema difuso</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 xml:space="preserve"> de producción normativa de carácter general. </w:t>
      </w:r>
      <w:r w:rsidRPr="001B3C5D">
        <w:rPr>
          <w:rFonts w:ascii="Verdana" w:eastAsia="Aptos" w:hAnsi="Verdana" w:cs="Times New Roman"/>
          <w:color w:val="000000"/>
          <w:kern w:val="2"/>
          <w:szCs w:val="24"/>
          <w:lang w:eastAsia="es-CO"/>
          <w14:ligatures w14:val="standardContextual"/>
        </w:rPr>
        <w:t>Además, señalan que son dos los elementos fundamentales de la potestad reglamentaria, a saber:</w:t>
      </w:r>
    </w:p>
    <w:p w14:paraId="4AE1E807" w14:textId="77777777" w:rsidR="00B46696" w:rsidRPr="001B3C5D" w:rsidRDefault="00B46696" w:rsidP="00B46696">
      <w:pPr>
        <w:spacing w:after="0" w:line="276" w:lineRule="auto"/>
        <w:ind w:right="51"/>
        <w:jc w:val="both"/>
        <w:rPr>
          <w:rFonts w:ascii="Verdana" w:eastAsia="Times New Roman" w:hAnsi="Verdana" w:cs="Arial"/>
          <w:szCs w:val="24"/>
          <w:lang w:eastAsia="es-MX"/>
        </w:rPr>
      </w:pPr>
    </w:p>
    <w:p w14:paraId="578F4443" w14:textId="77777777" w:rsidR="00B46696" w:rsidRPr="00EB77A4" w:rsidRDefault="00B46696" w:rsidP="00B46696">
      <w:pPr>
        <w:numPr>
          <w:ilvl w:val="0"/>
          <w:numId w:val="19"/>
        </w:numPr>
        <w:spacing w:after="0" w:line="240" w:lineRule="auto"/>
        <w:ind w:right="51"/>
        <w:contextualSpacing/>
        <w:jc w:val="both"/>
        <w:rPr>
          <w:rFonts w:ascii="Verdana" w:eastAsia="Times New Roman" w:hAnsi="Verdana" w:cs="Arial"/>
          <w:sz w:val="20"/>
          <w:szCs w:val="20"/>
          <w:lang w:eastAsia="es-MX"/>
        </w:rPr>
      </w:pPr>
      <w:r w:rsidRPr="00EB77A4">
        <w:rPr>
          <w:rFonts w:ascii="Verdana" w:eastAsia="Times New Roman" w:hAnsi="Verdana" w:cs="Arial"/>
          <w:b/>
          <w:bCs/>
          <w:sz w:val="20"/>
          <w:szCs w:val="20"/>
          <w:lang w:eastAsia="es-MX"/>
        </w:rPr>
        <w:lastRenderedPageBreak/>
        <w:t>Necesidad:</w:t>
      </w:r>
      <w:r w:rsidRPr="00EB77A4">
        <w:rPr>
          <w:rFonts w:ascii="Verdana" w:eastAsia="Times New Roman" w:hAnsi="Verdana" w:cs="Arial"/>
          <w:sz w:val="20"/>
          <w:szCs w:val="20"/>
          <w:lang w:eastAsia="es-MX"/>
        </w:rPr>
        <w:t xml:space="preserve"> consiste en que el ejercicio de la potestad reglamentaria se justifica en la medida en que la ley deje espacios de regulación que necesitan llenarse para la ejecución de esta mediante la expedición de actos jurídicos de contenido normativo, pues el legislador puede, en virtud del principio de libertad de configuración legislativa, determinar libremente hasta dónde regula la materia respectiva</w:t>
      </w:r>
      <w:r w:rsidRPr="00EB77A4">
        <w:rPr>
          <w:rFonts w:ascii="Verdana" w:eastAsia="Times New Roman" w:hAnsi="Verdana" w:cs="Arial"/>
          <w:sz w:val="20"/>
          <w:szCs w:val="20"/>
          <w:vertAlign w:val="superscript"/>
          <w:lang w:eastAsia="es-MX"/>
        </w:rPr>
        <w:footnoteReference w:id="6"/>
      </w:r>
      <w:r w:rsidRPr="00EB77A4">
        <w:rPr>
          <w:rFonts w:ascii="Verdana" w:eastAsia="Times New Roman" w:hAnsi="Verdana" w:cs="Arial"/>
          <w:sz w:val="20"/>
          <w:szCs w:val="20"/>
          <w:vertAlign w:val="superscript"/>
          <w:lang w:eastAsia="es-MX"/>
        </w:rPr>
        <w:t>;</w:t>
      </w:r>
    </w:p>
    <w:p w14:paraId="2E3A9183" w14:textId="77777777" w:rsidR="00B46696" w:rsidRPr="00EB77A4" w:rsidRDefault="00B46696" w:rsidP="00B46696">
      <w:pPr>
        <w:spacing w:after="0" w:line="240" w:lineRule="auto"/>
        <w:ind w:right="51"/>
        <w:jc w:val="both"/>
        <w:rPr>
          <w:rFonts w:ascii="Verdana" w:eastAsia="Times New Roman" w:hAnsi="Verdana" w:cs="Arial"/>
          <w:sz w:val="20"/>
          <w:szCs w:val="20"/>
          <w:lang w:eastAsia="es-MX"/>
        </w:rPr>
      </w:pPr>
      <w:r w:rsidRPr="00EB77A4">
        <w:rPr>
          <w:rFonts w:ascii="Verdana" w:eastAsia="Times New Roman" w:hAnsi="Verdana" w:cs="Arial"/>
          <w:sz w:val="20"/>
          <w:szCs w:val="20"/>
          <w:lang w:eastAsia="es-MX"/>
        </w:rPr>
        <w:t xml:space="preserve"> </w:t>
      </w:r>
    </w:p>
    <w:p w14:paraId="17ED19E5" w14:textId="77777777" w:rsidR="00B46696" w:rsidRPr="00EB77A4" w:rsidRDefault="00B46696" w:rsidP="00B46696">
      <w:pPr>
        <w:numPr>
          <w:ilvl w:val="0"/>
          <w:numId w:val="19"/>
        </w:numPr>
        <w:spacing w:after="0" w:line="240" w:lineRule="auto"/>
        <w:ind w:right="51"/>
        <w:contextualSpacing/>
        <w:jc w:val="both"/>
        <w:rPr>
          <w:rFonts w:ascii="Verdana" w:eastAsia="Times New Roman" w:hAnsi="Verdana" w:cs="Arial"/>
          <w:sz w:val="20"/>
          <w:szCs w:val="20"/>
          <w:lang w:eastAsia="es-MX"/>
        </w:rPr>
      </w:pPr>
      <w:r w:rsidRPr="00EB77A4">
        <w:rPr>
          <w:rFonts w:ascii="Verdana" w:eastAsia="Times New Roman" w:hAnsi="Verdana" w:cs="Arial"/>
          <w:b/>
          <w:bCs/>
          <w:sz w:val="20"/>
          <w:szCs w:val="20"/>
          <w:lang w:eastAsia="es-MX"/>
        </w:rPr>
        <w:t>Finalidad:</w:t>
      </w:r>
      <w:r w:rsidRPr="00EB77A4">
        <w:rPr>
          <w:rFonts w:ascii="Verdana" w:eastAsia="Times New Roman" w:hAnsi="Verdana" w:cs="Arial"/>
          <w:sz w:val="20"/>
          <w:szCs w:val="20"/>
          <w:lang w:eastAsia="es-MX"/>
        </w:rPr>
        <w:t xml:space="preserve"> tiene que ver con el contenido material de los actos que se dicten en ejercicio de la potestad reglamentaria, pues los decretos y resoluciones expedidos por el Gobierno nacional en ejercicio de dicha potestad están subordinados a la ley, de manera que el reglamento no puede modificarla, ampliarla o restringir sus efectos. Este último elemento, está asociado al respeto del principio de supremacía normativa pues, el ordenamiento jurídico colombiano supone una jerarquía que emana de la propia Constitución</w:t>
      </w:r>
      <w:r w:rsidRPr="00EB77A4">
        <w:rPr>
          <w:rFonts w:ascii="Verdana" w:eastAsia="Times New Roman" w:hAnsi="Verdana" w:cs="Arial"/>
          <w:sz w:val="20"/>
          <w:szCs w:val="20"/>
          <w:vertAlign w:val="superscript"/>
          <w:lang w:eastAsia="es-MX"/>
        </w:rPr>
        <w:footnoteReference w:id="7"/>
      </w:r>
      <w:r w:rsidRPr="00EB77A4">
        <w:rPr>
          <w:rFonts w:ascii="Verdana" w:eastAsia="Times New Roman" w:hAnsi="Verdana" w:cs="Arial"/>
          <w:sz w:val="20"/>
          <w:szCs w:val="20"/>
          <w:lang w:eastAsia="es-MX"/>
        </w:rPr>
        <w:t>.</w:t>
      </w:r>
    </w:p>
    <w:p w14:paraId="7E072EB8" w14:textId="77777777" w:rsidR="00B46696" w:rsidRPr="001B3C5D" w:rsidRDefault="00B46696" w:rsidP="00B46696">
      <w:pPr>
        <w:spacing w:after="0" w:line="276" w:lineRule="auto"/>
        <w:ind w:left="357" w:right="51"/>
        <w:jc w:val="both"/>
        <w:rPr>
          <w:rFonts w:ascii="Verdana" w:eastAsia="Times New Roman" w:hAnsi="Verdana" w:cs="Arial"/>
          <w:szCs w:val="24"/>
          <w:lang w:eastAsia="es-MX"/>
        </w:rPr>
      </w:pPr>
    </w:p>
    <w:p w14:paraId="74984273" w14:textId="77777777" w:rsidR="00B46696" w:rsidRPr="001B3C5D" w:rsidRDefault="00B46696" w:rsidP="00B46696">
      <w:pPr>
        <w:spacing w:after="0" w:line="276" w:lineRule="auto"/>
        <w:ind w:right="50" w:firstLine="708"/>
        <w:jc w:val="both"/>
        <w:rPr>
          <w:rFonts w:ascii="Verdana" w:eastAsia="Times New Roman" w:hAnsi="Verdana" w:cs="Arial"/>
          <w:szCs w:val="24"/>
          <w:lang w:eastAsia="es-MX"/>
        </w:rPr>
      </w:pPr>
      <w:r w:rsidRPr="001B3C5D">
        <w:rPr>
          <w:rFonts w:ascii="Verdana" w:eastAsia="Times New Roman" w:hAnsi="Verdana" w:cs="Arial"/>
          <w:szCs w:val="24"/>
          <w:lang w:eastAsia="es-ES"/>
        </w:rPr>
        <w:t>En efecto, el desarrollo de la potestad reglamentaria exige que la ley haya configurado una materialidad legislativa básica, pues busca convertir en realidad un enunciado normativo abstracto. Los límites de esta facultad han sido desarrollados por la jurisprudencia de las Altas Cortes, en especial por la Corte Constitucional, quien a modo de subreglas</w:t>
      </w:r>
      <w:r w:rsidRPr="001B3C5D">
        <w:rPr>
          <w:rFonts w:ascii="Verdana" w:eastAsia="Times New Roman" w:hAnsi="Verdana" w:cs="Arial"/>
          <w:szCs w:val="24"/>
          <w:vertAlign w:val="superscript"/>
          <w:lang w:eastAsia="es-MX"/>
        </w:rPr>
        <w:footnoteReference w:id="8"/>
      </w:r>
      <w:r w:rsidRPr="001B3C5D">
        <w:rPr>
          <w:rFonts w:ascii="Verdana" w:eastAsia="Times New Roman" w:hAnsi="Verdana" w:cs="Arial"/>
          <w:szCs w:val="24"/>
          <w:lang w:eastAsia="es-ES"/>
        </w:rPr>
        <w:t xml:space="preserve"> explica ciertas limitaciones en el ejercicio de esta competencia</w:t>
      </w:r>
      <w:r w:rsidRPr="001B3C5D">
        <w:rPr>
          <w:rFonts w:ascii="Verdana" w:eastAsia="Times New Roman" w:hAnsi="Verdana" w:cs="Arial"/>
          <w:szCs w:val="24"/>
          <w:lang w:eastAsia="es-MX"/>
        </w:rPr>
        <w:t>:</w:t>
      </w:r>
    </w:p>
    <w:p w14:paraId="103A2E7D" w14:textId="77777777" w:rsidR="00B46696" w:rsidRPr="001B3C5D" w:rsidRDefault="00B46696" w:rsidP="00B46696">
      <w:pPr>
        <w:spacing w:after="0" w:line="276" w:lineRule="auto"/>
        <w:ind w:right="50"/>
        <w:jc w:val="both"/>
        <w:rPr>
          <w:rFonts w:ascii="Verdana" w:eastAsia="Times New Roman" w:hAnsi="Verdana" w:cs="Arial"/>
          <w:szCs w:val="24"/>
          <w:lang w:eastAsia="es-MX"/>
        </w:rPr>
      </w:pPr>
    </w:p>
    <w:p w14:paraId="23163CDD" w14:textId="77777777" w:rsidR="00B46696" w:rsidRPr="001B3C5D" w:rsidRDefault="00B46696" w:rsidP="00B46696">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La potestad reglamentaria se restringe en la medida en que el Congreso de la República utilice en mayor o menor grado sus poderes jurídicos. Tanto así, que se ha manifestado que la misma es inversamente proporcional a la extensión de la ley. </w:t>
      </w:r>
    </w:p>
    <w:p w14:paraId="2729C0C1" w14:textId="77777777" w:rsidR="00B46696" w:rsidRPr="001B3C5D" w:rsidRDefault="00B46696" w:rsidP="00B46696">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lastRenderedPageBreak/>
        <w:t xml:space="preserve">El presidente no podrá establecer por vía de decreto reglamentario una excepción, aun cuando la misma fuera supuestamente temporal, sin que previa y expresamente el legislador lo hubiere autorizado para ello y fijado un límite temporal específico. </w:t>
      </w:r>
    </w:p>
    <w:p w14:paraId="07D4771F" w14:textId="77777777" w:rsidR="00B46696" w:rsidRPr="001B3C5D" w:rsidRDefault="00B46696" w:rsidP="00B46696">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Cualquier determinación sobre la vigencia de las leyes sólo puede definirla el propio legislador. </w:t>
      </w:r>
    </w:p>
    <w:p w14:paraId="7CEA8CEA" w14:textId="77777777" w:rsidR="00B46696" w:rsidRPr="001B3C5D" w:rsidRDefault="00B46696" w:rsidP="00B46696">
      <w:pPr>
        <w:numPr>
          <w:ilvl w:val="0"/>
          <w:numId w:val="18"/>
        </w:numPr>
        <w:spacing w:before="100" w:beforeAutospacing="1" w:after="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El ejercicio de la potestad reglamentaria no debe sobrepasar ni invadir la competencia del Congreso de la República, en el sentido de que el reglamento no puede desfigurar la situación regulada por la ley ni hacerla nugatoria.</w:t>
      </w:r>
    </w:p>
    <w:p w14:paraId="4D2CF71A" w14:textId="77777777" w:rsidR="00B46696" w:rsidRPr="001B3C5D" w:rsidRDefault="00B46696" w:rsidP="00B46696">
      <w:pPr>
        <w:numPr>
          <w:ilvl w:val="0"/>
          <w:numId w:val="18"/>
        </w:numPr>
        <w:spacing w:after="0" w:line="276" w:lineRule="auto"/>
        <w:ind w:left="709" w:right="51" w:hanging="567"/>
        <w:jc w:val="both"/>
        <w:rPr>
          <w:rFonts w:ascii="Verdana" w:eastAsia="Times New Roman" w:hAnsi="Verdana" w:cs="Arial"/>
          <w:szCs w:val="24"/>
          <w:lang w:eastAsia="es-MX"/>
        </w:rPr>
      </w:pPr>
      <w:r w:rsidRPr="001B3C5D">
        <w:rPr>
          <w:rFonts w:ascii="Verdana" w:eastAsia="Times New Roman" w:hAnsi="Verdana" w:cs="Arial"/>
          <w:szCs w:val="24"/>
          <w:lang w:eastAsia="es-MX"/>
        </w:rPr>
        <w:t>La potestad reglamentaria no puede incluir requisitos adicionales a los previstos en la ley, y el Gobierno no puede desconocer la Constitución ni el contenido o las pautas trazadas en la ley ni reglamentar normas que no ejecuta la administración.</w:t>
      </w:r>
    </w:p>
    <w:p w14:paraId="5110714B" w14:textId="77777777" w:rsidR="00B46696" w:rsidRPr="001B3C5D" w:rsidRDefault="00B46696" w:rsidP="00B46696">
      <w:pPr>
        <w:spacing w:after="0" w:line="276" w:lineRule="auto"/>
        <w:jc w:val="both"/>
        <w:rPr>
          <w:rFonts w:ascii="Verdana" w:eastAsia="Times New Roman" w:hAnsi="Verdana" w:cs="Arial"/>
          <w:lang w:eastAsia="es-MX"/>
        </w:rPr>
      </w:pPr>
    </w:p>
    <w:p w14:paraId="7ED723B5" w14:textId="77777777" w:rsidR="00B46696" w:rsidRPr="001B3C5D" w:rsidRDefault="00B46696" w:rsidP="00B46696">
      <w:pPr>
        <w:spacing w:after="120" w:line="276" w:lineRule="auto"/>
        <w:ind w:firstLine="708"/>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Como se explicó en acápites anteriores, la Ley 2022 de 2020 facultó a la Agencia Nacional de Contratación Pública – Colombia Compra Eficiente para adoptar documentos tipo que serán de obligatorio cumplimiento en la actividad contractual de las entidades sometidas al Estatuto General de Contratación de la Administración Pública. De este modo, la intención del legislador fue otorgarle esta facultad al ente rector del Sistema de Compra Pública. </w:t>
      </w:r>
    </w:p>
    <w:p w14:paraId="1E81D250" w14:textId="77777777" w:rsidR="00B46696" w:rsidRPr="001B3C5D" w:rsidRDefault="00B46696" w:rsidP="00B46696">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szCs w:val="24"/>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EB77A4">
        <w:rPr>
          <w:rFonts w:ascii="Verdana" w:eastAsia="Times New Roman" w:hAnsi="Verdana" w:cs="Arial"/>
          <w:szCs w:val="24"/>
          <w:vertAlign w:val="superscript"/>
          <w:lang w:eastAsia="es-MX"/>
        </w:rPr>
        <w:footnoteReference w:id="9"/>
      </w:r>
      <w:r w:rsidRPr="001B3C5D">
        <w:rPr>
          <w:rFonts w:ascii="Verdana" w:eastAsia="Times New Roman" w:hAnsi="Verdana" w:cs="Arial"/>
          <w:i/>
          <w:iCs/>
          <w:szCs w:val="24"/>
          <w:lang w:eastAsia="es-MX"/>
        </w:rPr>
        <w:t>.</w:t>
      </w:r>
      <w:r w:rsidRPr="001B3C5D">
        <w:rPr>
          <w:rFonts w:ascii="Verdana" w:eastAsia="Times New Roman" w:hAnsi="Verdana" w:cs="Arial"/>
          <w:szCs w:val="24"/>
          <w:lang w:eastAsia="es-MX"/>
        </w:rPr>
        <w:t xml:space="preserve"> Además, el Consejo de Estado, Sección Primera, en la Sentencia del 29 de abril </w:t>
      </w:r>
      <w:r w:rsidRPr="001B3C5D">
        <w:rPr>
          <w:rFonts w:ascii="Verdana" w:eastAsia="Times New Roman" w:hAnsi="Verdana" w:cs="Arial"/>
          <w:lang w:eastAsia="es-MX"/>
        </w:rPr>
        <w:t>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10"/>
      </w:r>
      <w:r w:rsidRPr="001B3C5D">
        <w:rPr>
          <w:rFonts w:ascii="Verdana" w:eastAsia="Times New Roman" w:hAnsi="Verdana" w:cs="Arial"/>
          <w:lang w:eastAsia="es-MX"/>
        </w:rPr>
        <w:t xml:space="preserve">. </w:t>
      </w:r>
    </w:p>
    <w:p w14:paraId="756E0EC4" w14:textId="77777777" w:rsidR="00B46696" w:rsidRPr="001B3C5D" w:rsidRDefault="00B46696" w:rsidP="00B46696">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 xml:space="preserve">En efecto, la Corte Constitucional, en Sentencia C-1005 de 2008, expresó que “la justificación de esta asignación de regulación gradual consiste en que </w:t>
      </w:r>
      <w:r w:rsidRPr="001B3C5D">
        <w:rPr>
          <w:rFonts w:ascii="Verdana" w:eastAsia="Times New Roman" w:hAnsi="Verdana" w:cs="Arial"/>
          <w:lang w:eastAsia="es-MX"/>
        </w:rPr>
        <w:lastRenderedPageBreak/>
        <w:t>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11"/>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12"/>
      </w:r>
      <w:r w:rsidRPr="001B3C5D">
        <w:rPr>
          <w:rFonts w:ascii="Verdana" w:eastAsia="Times New Roman" w:hAnsi="Verdana" w:cs="Arial"/>
          <w:lang w:eastAsia="es-MX"/>
        </w:rPr>
        <w:t>.</w:t>
      </w:r>
    </w:p>
    <w:p w14:paraId="1A396EE4" w14:textId="77777777" w:rsidR="00B46696" w:rsidRPr="001B3C5D" w:rsidRDefault="00B46696" w:rsidP="00B46696">
      <w:pPr>
        <w:spacing w:after="0"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1B3C5D">
        <w:rPr>
          <w:rFonts w:ascii="Verdana" w:eastAsia="Calibri" w:hAnsi="Verdana" w:cs="Arial"/>
          <w:vertAlign w:val="superscript"/>
          <w:lang w:eastAsia="es-CO"/>
        </w:rPr>
        <w:footnoteReference w:id="13"/>
      </w:r>
      <w:r w:rsidRPr="001B3C5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285FD3B5" w14:textId="77777777" w:rsidR="00B46696" w:rsidRPr="001B3C5D" w:rsidRDefault="00B46696" w:rsidP="00B46696">
      <w:pPr>
        <w:spacing w:after="0" w:line="276" w:lineRule="auto"/>
        <w:jc w:val="both"/>
        <w:rPr>
          <w:rFonts w:ascii="Verdana" w:eastAsia="Times New Roman" w:hAnsi="Verdana" w:cs="Arial"/>
          <w:lang w:eastAsia="es-CO"/>
        </w:rPr>
      </w:pPr>
    </w:p>
    <w:p w14:paraId="7F49870A" w14:textId="77777777" w:rsidR="00B46696" w:rsidRPr="00291DF9" w:rsidRDefault="00B46696" w:rsidP="00B46696">
      <w:pPr>
        <w:spacing w:after="0" w:line="240" w:lineRule="auto"/>
        <w:ind w:left="709" w:right="709"/>
        <w:jc w:val="both"/>
        <w:rPr>
          <w:rFonts w:ascii="Verdana" w:eastAsia="Times New Roman" w:hAnsi="Verdana" w:cs="Arial"/>
          <w:sz w:val="20"/>
          <w:szCs w:val="20"/>
          <w:lang w:eastAsia="es-CO"/>
        </w:rPr>
      </w:pPr>
      <w:r w:rsidRPr="00291DF9">
        <w:rPr>
          <w:rFonts w:ascii="Verdana" w:eastAsia="Times New Roman" w:hAnsi="Verdana" w:cs="Arial"/>
          <w:sz w:val="20"/>
          <w:szCs w:val="20"/>
          <w:u w:val="single"/>
          <w:lang w:eastAsia="es-CO"/>
        </w:rPr>
        <w:t>“Desarrollar,</w:t>
      </w:r>
      <w:r w:rsidRPr="00291DF9">
        <w:rPr>
          <w:rFonts w:ascii="Verdana" w:eastAsia="Times New Roman" w:hAnsi="Verdana" w:cs="Arial"/>
          <w:sz w:val="20"/>
          <w:szCs w:val="20"/>
          <w:lang w:eastAsia="es-CO"/>
        </w:rPr>
        <w:t xml:space="preserve"> </w:t>
      </w:r>
      <w:r w:rsidRPr="00291DF9">
        <w:rPr>
          <w:rFonts w:ascii="Verdana" w:eastAsia="Times New Roman" w:hAnsi="Verdana" w:cs="Arial"/>
          <w:sz w:val="20"/>
          <w:szCs w:val="20"/>
          <w:u w:val="single"/>
          <w:lang w:eastAsia="es-CO"/>
        </w:rPr>
        <w:t>implementar y difundir</w:t>
      </w:r>
      <w:r w:rsidRPr="00291DF9">
        <w:rPr>
          <w:rFonts w:ascii="Verdana" w:eastAsia="Times New Roman" w:hAnsi="Verdana" w:cs="Arial"/>
          <w:sz w:val="20"/>
          <w:szCs w:val="20"/>
          <w:lang w:eastAsia="es-CO"/>
        </w:rPr>
        <w:t xml:space="preserve"> las políticas públicas, planes, programas, </w:t>
      </w:r>
      <w:r w:rsidRPr="00291DF9">
        <w:rPr>
          <w:rFonts w:ascii="Verdana" w:eastAsia="Times New Roman" w:hAnsi="Verdana" w:cs="Arial"/>
          <w:sz w:val="20"/>
          <w:szCs w:val="20"/>
          <w:u w:val="single"/>
          <w:lang w:eastAsia="es-CO"/>
        </w:rPr>
        <w:t>normas, instrumentos y herramientas</w:t>
      </w:r>
      <w:r w:rsidRPr="00291DF9">
        <w:rPr>
          <w:rFonts w:ascii="Verdana" w:eastAsia="Times New Roman" w:hAnsi="Verdana" w:cs="Arial"/>
          <w:sz w:val="20"/>
          <w:szCs w:val="20"/>
          <w:lang w:eastAsia="es-CO"/>
        </w:rPr>
        <w:t xml:space="preserve">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(Subrayado fuera del texto).</w:t>
      </w:r>
    </w:p>
    <w:p w14:paraId="42CE84FE" w14:textId="77777777" w:rsidR="00B46696" w:rsidRPr="001B3C5D" w:rsidRDefault="00B46696" w:rsidP="00B46696">
      <w:pPr>
        <w:spacing w:after="0" w:line="240" w:lineRule="auto"/>
        <w:ind w:left="709" w:right="709"/>
        <w:jc w:val="both"/>
        <w:rPr>
          <w:rFonts w:ascii="Verdana" w:eastAsia="Times New Roman" w:hAnsi="Verdana" w:cs="Arial"/>
          <w:lang w:eastAsia="es-CO"/>
        </w:rPr>
      </w:pPr>
    </w:p>
    <w:p w14:paraId="07D0CF95" w14:textId="77777777" w:rsidR="00B46696" w:rsidRPr="001B3C5D" w:rsidRDefault="00B46696" w:rsidP="00B46696">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14"/>
      </w:r>
      <w:r w:rsidRPr="001B3C5D">
        <w:rPr>
          <w:rFonts w:ascii="Verdana" w:eastAsia="Times New Roman" w:hAnsi="Verdana" w:cs="Arial"/>
          <w:i/>
          <w:iCs/>
          <w:lang w:eastAsia="es-ES"/>
        </w:rPr>
        <w:t>.</w:t>
      </w:r>
      <w:r>
        <w:rPr>
          <w:rFonts w:ascii="Verdana" w:eastAsia="Times New Roman" w:hAnsi="Verdana" w:cs="Arial"/>
          <w:i/>
          <w:iCs/>
          <w:lang w:eastAsia="es-ES"/>
        </w:rPr>
        <w:t xml:space="preserve"> </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70B8294B" w14:textId="77777777" w:rsidR="00B46696" w:rsidRPr="001B3C5D" w:rsidRDefault="00B46696" w:rsidP="00B46696">
      <w:pPr>
        <w:spacing w:after="0" w:line="240" w:lineRule="auto"/>
        <w:jc w:val="both"/>
        <w:rPr>
          <w:rFonts w:ascii="Verdana" w:eastAsia="Times New Roman" w:hAnsi="Verdana" w:cs="Arial"/>
          <w:lang w:eastAsia="es-ES"/>
        </w:rPr>
      </w:pPr>
    </w:p>
    <w:p w14:paraId="64151BDA" w14:textId="77777777" w:rsidR="00B46696" w:rsidRPr="00291DF9" w:rsidRDefault="00B46696" w:rsidP="00B46696">
      <w:pPr>
        <w:spacing w:after="0" w:line="240" w:lineRule="auto"/>
        <w:ind w:left="709" w:right="709"/>
        <w:jc w:val="both"/>
        <w:rPr>
          <w:rFonts w:ascii="Verdana" w:eastAsia="Times New Roman" w:hAnsi="Verdana" w:cs="Arial"/>
          <w:i/>
          <w:sz w:val="20"/>
          <w:szCs w:val="20"/>
          <w:lang w:eastAsia="es-ES"/>
        </w:rPr>
      </w:pPr>
      <w:r w:rsidRPr="00291DF9">
        <w:rPr>
          <w:rFonts w:ascii="Verdana" w:eastAsia="Times New Roman" w:hAnsi="Verdana" w:cs="Arial"/>
          <w:sz w:val="20"/>
          <w:szCs w:val="20"/>
          <w:lang w:eastAsia="es-MX"/>
        </w:rPr>
        <w:lastRenderedPageBreak/>
        <w:t>“</w:t>
      </w:r>
      <w:r w:rsidRPr="00291DF9">
        <w:rPr>
          <w:rFonts w:ascii="Verdana" w:eastAsia="Times New Roman" w:hAnsi="Verdana" w:cs="Arial"/>
          <w:sz w:val="20"/>
          <w:szCs w:val="20"/>
          <w:lang w:eastAsia="es-ES"/>
        </w:rPr>
        <w:t xml:space="preserve">Se cuenta con una base jurídica mínima que apoya la competencia de [Colombia Compra Eficiente] para [la expedición de la Circular] pues se sabe que esa Agencia </w:t>
      </w:r>
      <w:r>
        <w:rPr>
          <w:rFonts w:ascii="Verdana" w:eastAsia="Times New Roman" w:hAnsi="Verdana" w:cs="Arial"/>
          <w:sz w:val="20"/>
          <w:szCs w:val="20"/>
          <w:lang w:eastAsia="es-ES"/>
        </w:rPr>
        <w:t>[…]</w:t>
      </w:r>
      <w:r w:rsidRPr="00291DF9">
        <w:rPr>
          <w:rFonts w:ascii="Verdana" w:eastAsia="Times New Roman" w:hAnsi="Verdana" w:cs="Arial"/>
          <w:sz w:val="20"/>
          <w:szCs w:val="20"/>
          <w:lang w:eastAsia="es-ES"/>
        </w:rPr>
        <w:t xml:space="preserve">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w:t>
      </w:r>
      <w:r>
        <w:rPr>
          <w:rFonts w:ascii="Verdana" w:eastAsia="Times New Roman" w:hAnsi="Verdana" w:cs="Arial"/>
          <w:sz w:val="20"/>
          <w:szCs w:val="20"/>
          <w:lang w:eastAsia="es-ES"/>
        </w:rPr>
        <w:t>[…]</w:t>
      </w:r>
      <w:r w:rsidRPr="00291DF9">
        <w:rPr>
          <w:rFonts w:ascii="Verdana" w:eastAsia="Times New Roman" w:hAnsi="Verdana" w:cs="Arial"/>
          <w:sz w:val="20"/>
          <w:szCs w:val="20"/>
          <w:lang w:eastAsia="es-ES"/>
        </w:rPr>
        <w:t xml:space="preserve"> y ejerce una competencia de orientación y coordinación toda vez que tiene a su cargo la formulación de políticas públicas </w:t>
      </w:r>
      <w:r>
        <w:rPr>
          <w:rFonts w:ascii="Verdana" w:eastAsia="Times New Roman" w:hAnsi="Verdana" w:cs="Arial"/>
          <w:sz w:val="20"/>
          <w:szCs w:val="20"/>
          <w:lang w:eastAsia="es-ES"/>
        </w:rPr>
        <w:t>[…]</w:t>
      </w:r>
      <w:r w:rsidRPr="00291DF9">
        <w:rPr>
          <w:rFonts w:ascii="Verdana" w:eastAsia="Times New Roman" w:hAnsi="Verdana" w:cs="Arial"/>
          <w:sz w:val="20"/>
          <w:szCs w:val="20"/>
          <w:lang w:eastAsia="es-ES"/>
        </w:rPr>
        <w:t xml:space="preserve"> y, concretamente, se le ha atribuido la competencia de </w:t>
      </w:r>
      <w:r w:rsidRPr="00291DF9">
        <w:rPr>
          <w:rFonts w:ascii="Verdana" w:eastAsia="Times New Roman" w:hAnsi="Verdana" w:cs="Arial"/>
          <w:sz w:val="20"/>
          <w:szCs w:val="20"/>
          <w:lang w:eastAsia="es-MX"/>
        </w:rPr>
        <w:t>“</w:t>
      </w:r>
      <w:r w:rsidRPr="00291DF9">
        <w:rPr>
          <w:rFonts w:ascii="Verdana" w:eastAsia="Times New Roman" w:hAnsi="Verdana" w:cs="Arial"/>
          <w:sz w:val="20"/>
          <w:szCs w:val="20"/>
          <w:lang w:eastAsia="es-ES"/>
        </w:rPr>
        <w:t xml:space="preserve">difundir las normas, reglas, procedimientos, medios tecnológicos y mejores prácticas para las compras y la contratación pública </w:t>
      </w:r>
      <w:r>
        <w:rPr>
          <w:rFonts w:ascii="Verdana" w:eastAsia="Times New Roman" w:hAnsi="Verdana" w:cs="Arial"/>
          <w:sz w:val="20"/>
          <w:szCs w:val="20"/>
          <w:lang w:eastAsia="es-ES"/>
        </w:rPr>
        <w:t>[…]</w:t>
      </w:r>
      <w:r w:rsidRPr="00291DF9">
        <w:rPr>
          <w:rFonts w:ascii="Verdana" w:eastAsia="Times New Roman" w:hAnsi="Verdana" w:cs="Arial"/>
          <w:sz w:val="20"/>
          <w:szCs w:val="20"/>
          <w:lang w:eastAsia="es-MX"/>
        </w:rPr>
        <w:t>”</w:t>
      </w:r>
      <w:r w:rsidRPr="00291DF9">
        <w:rPr>
          <w:rFonts w:ascii="Verdana" w:eastAsia="Times New Roman" w:hAnsi="Verdana" w:cs="Arial"/>
          <w:sz w:val="20"/>
          <w:szCs w:val="20"/>
          <w:lang w:eastAsia="es-ES"/>
        </w:rPr>
        <w:t xml:space="preserve"> potestad reguladora que, en todo caso, debe ejercerse conforme a la Ley y ajustada a la potestad reglamentaria del Gobierno Nacional</w:t>
      </w:r>
      <w:r w:rsidRPr="00291DF9">
        <w:rPr>
          <w:rFonts w:ascii="Verdana" w:eastAsia="Times New Roman" w:hAnsi="Verdana" w:cs="Arial"/>
          <w:sz w:val="20"/>
          <w:szCs w:val="20"/>
          <w:lang w:eastAsia="es-MX"/>
        </w:rPr>
        <w:t>”</w:t>
      </w:r>
      <w:r w:rsidRPr="00291DF9">
        <w:rPr>
          <w:rFonts w:ascii="Verdana" w:eastAsia="Times New Roman" w:hAnsi="Verdana" w:cs="Arial"/>
          <w:sz w:val="20"/>
          <w:szCs w:val="20"/>
          <w:vertAlign w:val="superscript"/>
          <w:lang w:eastAsia="es-MX"/>
        </w:rPr>
        <w:footnoteReference w:id="15"/>
      </w:r>
      <w:r w:rsidRPr="00291DF9">
        <w:rPr>
          <w:rFonts w:ascii="Verdana" w:eastAsia="Times New Roman" w:hAnsi="Verdana" w:cs="Arial"/>
          <w:i/>
          <w:iCs/>
          <w:sz w:val="20"/>
          <w:szCs w:val="20"/>
          <w:lang w:eastAsia="es-ES"/>
        </w:rPr>
        <w:t xml:space="preserve">. </w:t>
      </w:r>
    </w:p>
    <w:p w14:paraId="18DA72E8" w14:textId="77777777" w:rsidR="00B46696" w:rsidRDefault="00B46696" w:rsidP="00B46696">
      <w:pPr>
        <w:spacing w:after="0" w:line="276" w:lineRule="auto"/>
        <w:ind w:firstLine="708"/>
        <w:jc w:val="both"/>
        <w:rPr>
          <w:rFonts w:ascii="Verdana" w:eastAsia="Times New Roman" w:hAnsi="Verdana" w:cs="Arial"/>
          <w:lang w:eastAsia="es-ES"/>
        </w:rPr>
      </w:pPr>
    </w:p>
    <w:p w14:paraId="0F76F9AA" w14:textId="77777777" w:rsidR="00B46696" w:rsidRPr="001B3C5D" w:rsidRDefault="00B46696" w:rsidP="00B46696">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t xml:space="preserve">Lo anterior fue reiterado por el Consejo de Estado, en la </w:t>
      </w:r>
      <w:r>
        <w:rPr>
          <w:rFonts w:ascii="Verdana" w:eastAsia="Times New Roman" w:hAnsi="Verdana" w:cs="Arial"/>
          <w:lang w:eastAsia="es-ES"/>
        </w:rPr>
        <w:t>S</w:t>
      </w:r>
      <w:r w:rsidRPr="001B3C5D">
        <w:rPr>
          <w:rFonts w:ascii="Verdana" w:eastAsia="Times New Roman" w:hAnsi="Verdana" w:cs="Arial"/>
          <w:lang w:eastAsia="es-ES"/>
        </w:rPr>
        <w:t>entencia del 16 de agosto de 2017, en el expediente 56.166, en los siguientes términos:</w:t>
      </w:r>
    </w:p>
    <w:p w14:paraId="625497E4" w14:textId="77777777" w:rsidR="00B46696" w:rsidRPr="001B3C5D" w:rsidRDefault="00B46696" w:rsidP="00B46696">
      <w:pPr>
        <w:spacing w:after="0" w:line="240" w:lineRule="auto"/>
        <w:jc w:val="both"/>
        <w:rPr>
          <w:rFonts w:ascii="Verdana" w:eastAsia="Times New Roman" w:hAnsi="Verdana" w:cs="Arial"/>
          <w:lang w:eastAsia="es-ES"/>
        </w:rPr>
      </w:pPr>
    </w:p>
    <w:p w14:paraId="6253FB50" w14:textId="77777777" w:rsidR="00B46696" w:rsidRPr="00291DF9" w:rsidRDefault="00B46696" w:rsidP="00B46696">
      <w:pPr>
        <w:spacing w:after="0" w:line="240" w:lineRule="auto"/>
        <w:ind w:left="709" w:right="709"/>
        <w:jc w:val="both"/>
        <w:rPr>
          <w:rFonts w:ascii="Verdana" w:eastAsia="Times New Roman" w:hAnsi="Verdana" w:cs="Arial"/>
          <w:sz w:val="20"/>
          <w:szCs w:val="20"/>
          <w:lang w:eastAsia="es-ES"/>
        </w:rPr>
      </w:pPr>
      <w:r w:rsidRPr="00291DF9">
        <w:rPr>
          <w:rFonts w:ascii="Verdana" w:eastAsia="Times New Roman" w:hAnsi="Verdana" w:cs="Arial"/>
          <w:sz w:val="20"/>
          <w:szCs w:val="20"/>
          <w:lang w:eastAsia="es-MX"/>
        </w:rPr>
        <w:t>“</w:t>
      </w:r>
      <w:r w:rsidRPr="00291DF9">
        <w:rPr>
          <w:rFonts w:ascii="Verdana" w:eastAsia="Times New Roman" w:hAnsi="Verdana" w:cs="Arial"/>
          <w:sz w:val="20"/>
          <w:szCs w:val="20"/>
          <w:lang w:eastAsia="es-ES"/>
        </w:rPr>
        <w:t xml:space="preserve">Dígase que ese poder de regulación normativa en cabeza de CCE se ejerce </w:t>
      </w:r>
      <w:proofErr w:type="spellStart"/>
      <w:r w:rsidRPr="00291DF9">
        <w:rPr>
          <w:rFonts w:ascii="Verdana" w:eastAsia="Times New Roman" w:hAnsi="Verdana" w:cs="Arial"/>
          <w:i/>
          <w:iCs/>
          <w:sz w:val="20"/>
          <w:szCs w:val="20"/>
          <w:lang w:eastAsia="es-ES"/>
        </w:rPr>
        <w:t>secundum</w:t>
      </w:r>
      <w:proofErr w:type="spellEnd"/>
      <w:r w:rsidRPr="00291DF9">
        <w:rPr>
          <w:rFonts w:ascii="Verdana" w:eastAsia="Times New Roman" w:hAnsi="Verdana" w:cs="Arial"/>
          <w:i/>
          <w:iCs/>
          <w:sz w:val="20"/>
          <w:szCs w:val="20"/>
          <w:lang w:eastAsia="es-ES"/>
        </w:rPr>
        <w:t xml:space="preserve"> </w:t>
      </w:r>
      <w:proofErr w:type="spellStart"/>
      <w:r w:rsidRPr="00291DF9">
        <w:rPr>
          <w:rFonts w:ascii="Verdana" w:eastAsia="Times New Roman" w:hAnsi="Verdana" w:cs="Arial"/>
          <w:i/>
          <w:iCs/>
          <w:sz w:val="20"/>
          <w:szCs w:val="20"/>
          <w:lang w:eastAsia="es-ES"/>
        </w:rPr>
        <w:t>legem</w:t>
      </w:r>
      <w:proofErr w:type="spellEnd"/>
      <w:r w:rsidRPr="00291DF9">
        <w:rPr>
          <w:rFonts w:ascii="Verdana" w:eastAsia="Times New Roman" w:hAnsi="Verdana" w:cs="Arial"/>
          <w:sz w:val="20"/>
          <w:szCs w:val="20"/>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291DF9">
        <w:rPr>
          <w:rFonts w:ascii="Verdana" w:eastAsia="Times New Roman" w:hAnsi="Verdana" w:cs="Arial"/>
          <w:sz w:val="20"/>
          <w:szCs w:val="20"/>
          <w:vertAlign w:val="superscript"/>
          <w:lang w:eastAsia="es-ES"/>
        </w:rPr>
        <w:footnoteReference w:id="16"/>
      </w:r>
      <w:r w:rsidRPr="00291DF9">
        <w:rPr>
          <w:rFonts w:ascii="Verdana" w:eastAsia="Times New Roman" w:hAnsi="Verdana" w:cs="Arial"/>
          <w:sz w:val="20"/>
          <w:szCs w:val="20"/>
          <w:lang w:eastAsia="es-ES"/>
        </w:rPr>
        <w:t>.</w:t>
      </w:r>
    </w:p>
    <w:p w14:paraId="4ADD2512" w14:textId="77777777" w:rsidR="00B46696" w:rsidRPr="001B3C5D" w:rsidRDefault="00B46696" w:rsidP="00B46696">
      <w:pPr>
        <w:spacing w:after="0" w:line="276" w:lineRule="auto"/>
        <w:ind w:left="709" w:right="709"/>
        <w:jc w:val="both"/>
        <w:rPr>
          <w:rFonts w:ascii="Verdana" w:eastAsia="Times New Roman" w:hAnsi="Verdana" w:cs="Arial"/>
          <w:lang w:eastAsia="es-ES"/>
        </w:rPr>
      </w:pPr>
    </w:p>
    <w:p w14:paraId="20E40ACB" w14:textId="77777777" w:rsidR="00B46696" w:rsidRPr="001B3C5D" w:rsidRDefault="00B46696" w:rsidP="00B46696">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17"/>
      </w:r>
      <w:r w:rsidRPr="001B3C5D">
        <w:rPr>
          <w:rFonts w:ascii="Verdana" w:eastAsia="Times New Roman" w:hAnsi="Verdana" w:cs="Arial"/>
          <w:lang w:eastAsia="es-ES"/>
        </w:rPr>
        <w:t>.</w:t>
      </w:r>
    </w:p>
    <w:p w14:paraId="677ECCC2" w14:textId="77777777" w:rsidR="00B46696" w:rsidRPr="001B3C5D" w:rsidRDefault="00B46696" w:rsidP="00B46696">
      <w:pPr>
        <w:tabs>
          <w:tab w:val="center" w:pos="4419"/>
          <w:tab w:val="right" w:pos="8838"/>
        </w:tabs>
        <w:spacing w:after="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lastRenderedPageBreak/>
        <w:t>Conviene reiterar que, conforme con lo manifestado por el Consejo de Estado</w:t>
      </w:r>
      <w:r w:rsidRPr="001B3C5D">
        <w:rPr>
          <w:rFonts w:ascii="Verdana" w:eastAsia="Times New Roman" w:hAnsi="Verdana" w:cs="Arial"/>
          <w:vertAlign w:val="superscript"/>
          <w:lang w:eastAsia="es-ES"/>
        </w:rPr>
        <w:footnoteReference w:id="18"/>
      </w:r>
      <w:r w:rsidRPr="001B3C5D">
        <w:rPr>
          <w:rFonts w:ascii="Verdana" w:eastAsia="Times New Roman" w:hAnsi="Verdana" w:cs="Arial"/>
          <w:lang w:eastAsia="es-ES"/>
        </w:rPr>
        <w:t>, la facultad que recae en la Agencia Nacional de Contratación Pública – Colombia Compra Eficiente para regular aspectos técnicos en el marco de las competencias que le fueron otorgadas por el Decreto Ley 4170 de 2011, como es el caso del desarrollo e implementación de documentos tipo, no implica modificar el esquema constitucional establecido para el ejercicio de la potestad reglamentaria en cabeza del Gobierno Nacional:</w:t>
      </w:r>
    </w:p>
    <w:p w14:paraId="06822577" w14:textId="77777777" w:rsidR="00B46696" w:rsidRPr="001B3C5D" w:rsidRDefault="00B46696" w:rsidP="00B46696">
      <w:pPr>
        <w:tabs>
          <w:tab w:val="center" w:pos="4419"/>
          <w:tab w:val="right" w:pos="8838"/>
        </w:tabs>
        <w:spacing w:after="0" w:line="276" w:lineRule="auto"/>
        <w:jc w:val="both"/>
        <w:rPr>
          <w:rFonts w:ascii="Verdana" w:eastAsia="Times New Roman" w:hAnsi="Verdana" w:cs="Arial"/>
          <w:lang w:eastAsia="es-ES"/>
        </w:rPr>
      </w:pPr>
    </w:p>
    <w:p w14:paraId="49E40ACA" w14:textId="77777777" w:rsidR="00B46696" w:rsidRPr="00EB77A4" w:rsidRDefault="00B46696" w:rsidP="00B46696">
      <w:pPr>
        <w:spacing w:after="0" w:line="240" w:lineRule="auto"/>
        <w:ind w:left="709" w:right="709"/>
        <w:jc w:val="both"/>
        <w:rPr>
          <w:rFonts w:ascii="Verdana" w:eastAsia="Times New Roman" w:hAnsi="Verdana" w:cs="Arial"/>
          <w:sz w:val="20"/>
          <w:szCs w:val="20"/>
          <w:lang w:eastAsia="es-ES"/>
        </w:rPr>
      </w:pPr>
      <w:r w:rsidRPr="00EB77A4">
        <w:rPr>
          <w:rFonts w:ascii="Verdana" w:eastAsia="Times New Roman" w:hAnsi="Verdana" w:cs="Arial"/>
          <w:sz w:val="20"/>
          <w:szCs w:val="20"/>
          <w:lang w:eastAsia="es-MX"/>
        </w:rPr>
        <w:t>“</w:t>
      </w:r>
      <w:r>
        <w:rPr>
          <w:rFonts w:ascii="Verdana" w:eastAsia="Times New Roman" w:hAnsi="Verdana" w:cs="Arial"/>
          <w:sz w:val="20"/>
          <w:szCs w:val="20"/>
          <w:lang w:eastAsia="es-ES"/>
        </w:rPr>
        <w:t>[…]</w:t>
      </w:r>
      <w:r w:rsidRPr="00EB77A4">
        <w:rPr>
          <w:rFonts w:ascii="Verdana" w:eastAsia="Times New Roman" w:hAnsi="Verdana" w:cs="Arial"/>
          <w:sz w:val="20"/>
          <w:szCs w:val="20"/>
          <w:lang w:eastAsia="es-ES"/>
        </w:rPr>
        <w:t xml:space="preserve"> para la Sala resulta claro que con el Decreto-Ley 4170 de 2011 el legislador extraordinario no quiso modificar –como en efecto no lo hizo– el esquema de producción normativa establecido en la Constitución Política y, por lo mismo, las funciones asignadas a Colombia Compra Eficiente guardan una estricta lógica de jerarquía normativa respecto de las facultades reglamentarias reservadas al presidente de la República y, por supuesto, respecto de los lineamientos legislativos. No podría considerarse que con el Decreto-Ley mencionado se distribuyeron las competencias reglamentarias entre el presidente de la República y la nueva agencia, asignando a esta última todo aquello relativo a la contratación del Estado. Por el contrario, lo que resulta evidente es que </w:t>
      </w:r>
      <w:r w:rsidRPr="00EB77A4">
        <w:rPr>
          <w:rFonts w:ascii="Verdana" w:eastAsia="Times New Roman" w:hAnsi="Verdana" w:cs="Arial"/>
          <w:sz w:val="20"/>
          <w:szCs w:val="20"/>
          <w:u w:val="single"/>
          <w:lang w:eastAsia="es-ES"/>
        </w:rPr>
        <w:t>el presidente de la República cuenta ahora con una entidad especializada que lo apoya técnicamente</w:t>
      </w:r>
      <w:r w:rsidRPr="00EB77A4">
        <w:rPr>
          <w:rFonts w:ascii="Verdana" w:eastAsia="Times New Roman" w:hAnsi="Verdana" w:cs="Arial"/>
          <w:sz w:val="20"/>
          <w:szCs w:val="20"/>
          <w:lang w:eastAsia="es-ES"/>
        </w:rPr>
        <w:t xml:space="preserve"> tanto en la formulación de una política pública en materia de compras y contratación pública, </w:t>
      </w:r>
      <w:r w:rsidRPr="00EB77A4">
        <w:rPr>
          <w:rFonts w:ascii="Verdana" w:eastAsia="Times New Roman" w:hAnsi="Verdana" w:cs="Arial"/>
          <w:sz w:val="20"/>
          <w:szCs w:val="20"/>
          <w:u w:val="single"/>
          <w:lang w:eastAsia="es-ES"/>
        </w:rPr>
        <w:t>como en su labor de producción normativa, sin que por ello se desprenda de las normas pertinentes alguna suerte de escisión de las facultades</w:t>
      </w:r>
      <w:r w:rsidRPr="00EB77A4">
        <w:rPr>
          <w:rFonts w:ascii="Verdana" w:eastAsia="Times New Roman" w:hAnsi="Verdana" w:cs="Arial"/>
          <w:b/>
          <w:bCs/>
          <w:sz w:val="20"/>
          <w:szCs w:val="20"/>
          <w:lang w:eastAsia="es-ES"/>
        </w:rPr>
        <w:t>.</w:t>
      </w:r>
      <w:r w:rsidRPr="00EB77A4">
        <w:rPr>
          <w:rFonts w:ascii="Verdana" w:eastAsia="Times New Roman" w:hAnsi="Verdana" w:cs="Arial"/>
          <w:sz w:val="20"/>
          <w:szCs w:val="20"/>
          <w:lang w:eastAsia="es-ES"/>
        </w:rPr>
        <w:t xml:space="preserve"> Adicionalmente, las funciones asignadas a la Agencia, si bien pueden comportar una facultad de regulación de la actividad contractual pública, ella debe ser ejercida con sometimiento al esquema jerárquico normativo del sistema jurídico, por lo que deberá sujetarse, como consecuencia, a los dictados constitucionales, legales y a la reglamentación expedida por el presidente de la República”</w:t>
      </w:r>
      <w:r w:rsidRPr="00EB77A4">
        <w:rPr>
          <w:rFonts w:ascii="Verdana" w:eastAsia="Times New Roman" w:hAnsi="Verdana" w:cs="Arial"/>
          <w:sz w:val="20"/>
          <w:szCs w:val="20"/>
          <w:vertAlign w:val="superscript"/>
          <w:lang w:eastAsia="es-ES"/>
        </w:rPr>
        <w:footnoteReference w:id="19"/>
      </w:r>
      <w:r w:rsidRPr="00EB77A4">
        <w:rPr>
          <w:rFonts w:ascii="Verdana" w:eastAsia="Times New Roman" w:hAnsi="Verdana" w:cs="Arial"/>
          <w:i/>
          <w:iCs/>
          <w:sz w:val="20"/>
          <w:szCs w:val="20"/>
          <w:lang w:eastAsia="es-ES"/>
        </w:rPr>
        <w:t>.</w:t>
      </w:r>
      <w:r w:rsidRPr="00EB77A4">
        <w:rPr>
          <w:rFonts w:ascii="Verdana" w:eastAsia="Times New Roman" w:hAnsi="Verdana" w:cs="Arial"/>
          <w:sz w:val="20"/>
          <w:szCs w:val="20"/>
          <w:lang w:eastAsia="es-ES"/>
        </w:rPr>
        <w:t xml:space="preserve"> (Subrayado fuera del texto) </w:t>
      </w:r>
    </w:p>
    <w:p w14:paraId="4C7EC8F0" w14:textId="77777777" w:rsidR="00B46696" w:rsidRPr="001B3C5D" w:rsidRDefault="00B46696" w:rsidP="00B46696">
      <w:pPr>
        <w:tabs>
          <w:tab w:val="center" w:pos="4419"/>
          <w:tab w:val="right" w:pos="8838"/>
        </w:tabs>
        <w:spacing w:after="0" w:line="276" w:lineRule="auto"/>
        <w:jc w:val="both"/>
        <w:rPr>
          <w:rFonts w:ascii="Verdana" w:eastAsia="Times New Roman" w:hAnsi="Verdana" w:cs="Arial"/>
          <w:lang w:eastAsia="es-ES"/>
        </w:rPr>
      </w:pPr>
    </w:p>
    <w:p w14:paraId="36EF8C0F" w14:textId="77777777" w:rsidR="00B46696" w:rsidRPr="001B3C5D" w:rsidRDefault="00B46696" w:rsidP="00B46696">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El anterior pronunciamiento fue proferido por parte del Consejo de Estado al estudiar la legalidad del artículo 159 del Decreto 1510 de 2013, respecto de la competencia de la Agencia Nacional de Contratación Pública - Colombia Compra Eficiente para el diseño e implementación de documentos estandarizados y especializados, dentro de los cuales se encuentran, entre otros, los documentos tipo. Al respecto, el Alto Tribunal consideró que esta competencia carecía de sustento normativo desde el punto de vista reglamentario por cuanto el artículo 2 de la Ley 1150 de 2007 confirió al </w:t>
      </w:r>
      <w:r w:rsidRPr="001B3C5D">
        <w:rPr>
          <w:rFonts w:ascii="Verdana" w:eastAsia="Times New Roman" w:hAnsi="Verdana" w:cs="Arial"/>
          <w:lang w:eastAsia="es-ES"/>
        </w:rPr>
        <w:lastRenderedPageBreak/>
        <w:t xml:space="preserve">Gobierno Nacional la facultad de fijar con fuerza vinculante, </w:t>
      </w:r>
      <w:r w:rsidRPr="001B3C5D">
        <w:rPr>
          <w:rFonts w:ascii="Verdana" w:eastAsia="MS Mincho" w:hAnsi="Verdana" w:cs="Arial"/>
          <w:lang w:eastAsia="es-CO"/>
        </w:rPr>
        <w:t>“</w:t>
      </w:r>
      <w:r w:rsidRPr="001B3C5D">
        <w:rPr>
          <w:rFonts w:ascii="Verdana" w:eastAsia="Times New Roman" w:hAnsi="Verdana" w:cs="Arial"/>
          <w:iCs/>
          <w:lang w:eastAsia="es-ES"/>
        </w:rPr>
        <w:t>las condiciones generales de los pliegos de condiciones y los contratos de las entidades estatales</w:t>
      </w:r>
      <w:r w:rsidRPr="001B3C5D">
        <w:rPr>
          <w:rFonts w:ascii="Verdana" w:eastAsia="MS Mincho" w:hAnsi="Verdana" w:cs="Arial"/>
          <w:lang w:eastAsia="es-CO"/>
        </w:rPr>
        <w:t>”</w:t>
      </w:r>
      <w:r w:rsidRPr="001B3C5D">
        <w:rPr>
          <w:rFonts w:ascii="Verdana" w:eastAsia="Times New Roman" w:hAnsi="Verdana" w:cs="Arial"/>
          <w:lang w:eastAsia="es-ES"/>
        </w:rPr>
        <w:t xml:space="preserve"> para la adquisición de bienes y servicios de características técnicas uniformes y de común utilización, sin hacer referencia a la adopción de otro tipo de contratos o modalidades. </w:t>
      </w:r>
    </w:p>
    <w:p w14:paraId="1EDCF25E" w14:textId="77777777" w:rsidR="00B46696" w:rsidRPr="001B3C5D" w:rsidRDefault="00B46696" w:rsidP="00B46696">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De igual manera, aclaró que en el marco normativo en el cual fue expedido el Decreto 1510 de 2013 no se contaba con la facultad legal por parte de la Agencia Nacional de Contratación Pública - Colombia Compra Eficiente para el diseño e implementación de documentos estandarizados para ninguna modalidad de contratación con efectos obligatorios para las entidades públicas, salvo el evento señalado en el parágrafo 3 del artículo 2 de la Ley 1150 de 2007.  No obstante, la expedición de la presente resolución se fundamenta en el artículo 1 de la Ley 2022 de 2020 que brinda el sustento normativo para la adopción de los documentos tipo. Esto con el fin de que la Agencia, como entidad administrativa especializada, los desarrolle e implemente dentro de los límites establecidos en la ley citada acorde con las funciones, objeto y misión de la entidad.</w:t>
      </w:r>
    </w:p>
    <w:p w14:paraId="1D4ACE9A" w14:textId="77777777" w:rsidR="00B46696" w:rsidRPr="001B3C5D" w:rsidRDefault="00B46696" w:rsidP="00B46696">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Por lo tanto, a diferencia de lo establecido en el numeral 3 del artículo 159 del Decreto 1510 de 2013, esta reglamentación cuenta con un sustento jurídico suficiente, dado en el artículo 1 de la Ley 2022 de 2020 y permite a la Agencia Nacional de Contratación Pública – Colombia Compra Eficiente concretar y aterrizar la voluntad del legislador mediante el ejercicio de la potestad reglamentaria.</w:t>
      </w:r>
      <w:r w:rsidRPr="001B3C5D">
        <w:rPr>
          <w:rFonts w:ascii="Verdana" w:eastAsia="MS Mincho" w:hAnsi="Verdana" w:cs="Arial"/>
          <w:lang w:eastAsia="es-CO"/>
        </w:rPr>
        <w:t xml:space="preserve"> </w:t>
      </w:r>
    </w:p>
    <w:p w14:paraId="59E4A43D" w14:textId="77777777" w:rsidR="00B46696" w:rsidRPr="001B3C5D" w:rsidRDefault="00B46696" w:rsidP="00B46696">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Mediante una interpretación sistemática de la normativa y jurisprudencia citada es posible concluir que esta Agencia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337D9E23" w14:textId="77777777" w:rsidR="00B46696" w:rsidRDefault="00B46696" w:rsidP="00B46696">
      <w:pPr>
        <w:tabs>
          <w:tab w:val="center" w:pos="4419"/>
          <w:tab w:val="right" w:pos="8838"/>
        </w:tabs>
        <w:spacing w:after="0" w:line="276" w:lineRule="auto"/>
        <w:ind w:firstLine="709"/>
        <w:jc w:val="both"/>
        <w:rPr>
          <w:rFonts w:ascii="Verdana" w:eastAsia="Times New Roman" w:hAnsi="Verdana" w:cs="Arial"/>
          <w:lang w:eastAsia="es-ES"/>
        </w:rPr>
      </w:pPr>
      <w:r w:rsidRPr="001B3C5D">
        <w:rPr>
          <w:rFonts w:ascii="Verdana" w:eastAsia="MS Mincho" w:hAnsi="Verdana" w:cs="Arial"/>
          <w:lang w:eastAsia="es-CO"/>
        </w:rPr>
        <w:t>I</w:t>
      </w:r>
      <w:r w:rsidRPr="001B3C5D">
        <w:rPr>
          <w:rFonts w:ascii="Verdana" w:eastAsia="Times New Roman" w:hAnsi="Verdana" w:cs="Arial"/>
          <w:lang w:eastAsia="es-ES"/>
        </w:rPr>
        <w:t xml:space="preserve">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w:t>
      </w:r>
      <w:r w:rsidRPr="001B3C5D">
        <w:rPr>
          <w:rFonts w:ascii="Verdana" w:eastAsia="Times New Roman" w:hAnsi="Verdana" w:cs="Arial"/>
          <w:lang w:eastAsia="es-ES"/>
        </w:rPr>
        <w:lastRenderedPageBreak/>
        <w:t>documentos tipo, según el avance y aplicación que éstos vayan teniendo en los sectores en los cuales vienen siendo adoptados.</w:t>
      </w:r>
    </w:p>
    <w:p w14:paraId="752886B8" w14:textId="77777777" w:rsidR="00B46696" w:rsidRDefault="00B46696" w:rsidP="00B46696">
      <w:pPr>
        <w:tabs>
          <w:tab w:val="center" w:pos="4419"/>
          <w:tab w:val="right" w:pos="8838"/>
        </w:tabs>
        <w:spacing w:after="0" w:line="276" w:lineRule="auto"/>
        <w:jc w:val="both"/>
        <w:rPr>
          <w:rFonts w:ascii="Verdana" w:eastAsia="Times New Roman" w:hAnsi="Verdana" w:cs="Arial"/>
          <w:lang w:eastAsia="es-ES"/>
        </w:rPr>
      </w:pPr>
    </w:p>
    <w:p w14:paraId="2EC5312A" w14:textId="77777777" w:rsidR="00B46696" w:rsidRPr="001B3C5D" w:rsidRDefault="00B46696" w:rsidP="00B46696">
      <w:pPr>
        <w:tabs>
          <w:tab w:val="center" w:pos="4419"/>
          <w:tab w:val="right" w:pos="8838"/>
        </w:tabs>
        <w:spacing w:after="0" w:line="276" w:lineRule="auto"/>
        <w:jc w:val="both"/>
        <w:rPr>
          <w:rFonts w:ascii="Verdana" w:eastAsia="Calibri" w:hAnsi="Verdana" w:cs="Arial"/>
          <w:color w:val="000000"/>
          <w:lang w:val="es-ES"/>
        </w:rPr>
      </w:pPr>
      <w:proofErr w:type="spellStart"/>
      <w:r>
        <w:rPr>
          <w:rFonts w:ascii="Verdana" w:eastAsia="Times New Roman" w:hAnsi="Verdana" w:cs="Arial"/>
          <w:lang w:eastAsia="es-ES"/>
        </w:rPr>
        <w:t>iii</w:t>
      </w:r>
      <w:proofErr w:type="spellEnd"/>
      <w:r>
        <w:rPr>
          <w:rFonts w:ascii="Verdana" w:eastAsia="Times New Roman" w:hAnsi="Verdana" w:cs="Arial"/>
          <w:lang w:eastAsia="es-ES"/>
        </w:rPr>
        <w:t xml:space="preserve">. </w:t>
      </w:r>
      <w:r w:rsidRPr="001B3C5D">
        <w:rPr>
          <w:rFonts w:ascii="Verdana" w:eastAsia="Calibri" w:hAnsi="Verdana" w:cs="Arial"/>
          <w:color w:val="000000"/>
          <w:lang w:val="es-ES"/>
        </w:rPr>
        <w:t>Todas las resoluciones expedidas por la Agencia Nacional de Contratación Pública – Colombia Compra Eficiente, mediante las cuales se adoptaron los documentos tipo, consagran la regla de la inalterabilidad</w:t>
      </w:r>
      <w:r w:rsidRPr="001B3C5D">
        <w:rPr>
          <w:rFonts w:ascii="Verdana" w:eastAsia="Calibri" w:hAnsi="Verdana" w:cs="Arial"/>
          <w:color w:val="000000"/>
          <w:vertAlign w:val="superscript"/>
          <w:lang w:val="es-ES"/>
        </w:rPr>
        <w:footnoteReference w:id="20"/>
      </w:r>
      <w:r w:rsidRPr="001B3C5D">
        <w:rPr>
          <w:rFonts w:ascii="Verdana" w:eastAsia="Calibri" w:hAnsi="Verdana" w:cs="Arial"/>
          <w:color w:val="000000"/>
          <w:lang w:val="es-ES"/>
        </w:rPr>
        <w:t xml:space="preserve">.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DFBD686" w14:textId="77777777" w:rsidR="00B46696" w:rsidRPr="001B3C5D" w:rsidRDefault="00B46696" w:rsidP="00B46696">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El fundamento legal vigente de la regla de la inalterabilidad está en el artículo 1 de la Ley 2022 de 2020, según el cual “</w:t>
      </w:r>
      <w:r>
        <w:rPr>
          <w:rFonts w:ascii="Verdana" w:eastAsia="Calibri" w:hAnsi="Verdana" w:cs="Arial"/>
          <w:lang w:val="es-ES_tradnl"/>
        </w:rPr>
        <w:t>[…]</w:t>
      </w:r>
      <w:r w:rsidRPr="001B3C5D">
        <w:rPr>
          <w:rFonts w:ascii="Verdana" w:eastAsia="Calibri" w:hAnsi="Verdana" w:cs="Arial"/>
          <w:lang w:val="es-ES_tradnl"/>
        </w:rPr>
        <w:t xml:space="preserve">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2161AA59" w14:textId="77777777" w:rsidR="00B46696" w:rsidRPr="001B3C5D" w:rsidRDefault="00B46696" w:rsidP="00B46696">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w:t>
      </w:r>
      <w:r w:rsidRPr="001B3C5D">
        <w:rPr>
          <w:rFonts w:ascii="Verdana" w:eastAsia="Calibri" w:hAnsi="Verdana" w:cs="Arial"/>
          <w:lang w:val="es-ES_tradnl"/>
        </w:rPr>
        <w:lastRenderedPageBreak/>
        <w:t>el proceso de contratación</w:t>
      </w:r>
      <w:r w:rsidRPr="001B3C5D">
        <w:rPr>
          <w:rFonts w:ascii="Verdana" w:eastAsia="Calibri" w:hAnsi="Verdana" w:cs="Arial"/>
          <w:vertAlign w:val="superscript"/>
          <w:lang w:val="es-ES_tradnl"/>
        </w:rPr>
        <w:footnoteReference w:id="21"/>
      </w:r>
      <w:r w:rsidRPr="001B3C5D">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3AD0DFBD" w14:textId="77777777" w:rsidR="00B46696" w:rsidRPr="001B3C5D" w:rsidRDefault="00B46696" w:rsidP="00B46696">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1B3C5D">
        <w:rPr>
          <w:rFonts w:ascii="Verdana" w:eastAsia="Calibri" w:hAnsi="Verdana" w:cs="Arial"/>
          <w:vertAlign w:val="superscript"/>
          <w:lang w:val="es-ES"/>
        </w:rPr>
        <w:footnoteReference w:id="22"/>
      </w:r>
      <w:r w:rsidRPr="001B3C5D">
        <w:rPr>
          <w:rFonts w:ascii="Verdana" w:eastAsia="Calibri" w:hAnsi="Verdana" w:cs="Arial"/>
          <w:lang w:val="es-ES"/>
        </w:rPr>
        <w:t xml:space="preserve"> sino además en 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vertAlign w:val="superscript"/>
          <w:lang w:val="es-ES"/>
        </w:rPr>
        <w:footnoteReference w:id="23"/>
      </w:r>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7A243378" w14:textId="77777777" w:rsidR="00B46696" w:rsidRPr="001B3C5D" w:rsidRDefault="00B46696" w:rsidP="00B46696">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24"/>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59D76C51" w14:textId="77777777" w:rsidR="00B46696" w:rsidRPr="001B3C5D" w:rsidRDefault="00B46696" w:rsidP="00B46696">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lastRenderedPageBreak/>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386344A8" w14:textId="77777777" w:rsidR="00B46696" w:rsidRPr="001B3C5D" w:rsidRDefault="00B46696" w:rsidP="00B46696">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534DA3B7" w14:textId="77777777" w:rsidR="00B46696" w:rsidRPr="001B3C5D" w:rsidRDefault="00B46696" w:rsidP="00B46696">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48E96A5" w14:textId="77777777" w:rsidR="00B46696" w:rsidRPr="001B3C5D" w:rsidRDefault="00B46696" w:rsidP="00B46696">
      <w:pPr>
        <w:spacing w:line="276" w:lineRule="auto"/>
        <w:ind w:firstLine="708"/>
        <w:jc w:val="both"/>
        <w:rPr>
          <w:rFonts w:ascii="Aptos" w:eastAsia="Aptos" w:hAnsi="Aptos" w:cs="Times New Roman"/>
          <w:kern w:val="2"/>
          <w:sz w:val="24"/>
          <w:szCs w:val="24"/>
          <w:lang w:val="es-MX"/>
          <w14:ligatures w14:val="standardContextual"/>
        </w:rPr>
      </w:pPr>
      <w:r w:rsidRPr="001B3C5D">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1B3C5D">
        <w:rPr>
          <w:rFonts w:ascii="Verdana" w:eastAsia="Calibri" w:hAnsi="Verdana" w:cs="Arial"/>
          <w:i/>
          <w:iCs/>
          <w:lang w:val="es-MX"/>
        </w:rPr>
        <w:t>“</w:t>
      </w:r>
      <w:r w:rsidRPr="001B3C5D">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1B3C5D">
        <w:rPr>
          <w:rFonts w:ascii="Aptos" w:eastAsia="Aptos" w:hAnsi="Aptos" w:cs="Times New Roman"/>
          <w:kern w:val="2"/>
          <w:sz w:val="24"/>
          <w:szCs w:val="24"/>
          <w:lang w:val="es-MX"/>
          <w14:ligatures w14:val="standardContextual"/>
        </w:rPr>
        <w:t xml:space="preserve"> </w:t>
      </w:r>
    </w:p>
    <w:p w14:paraId="4D3618C0" w14:textId="77777777" w:rsidR="00B46696" w:rsidRPr="001B3C5D" w:rsidRDefault="00B46696" w:rsidP="00B46696">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lastRenderedPageBreak/>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F604B4D" w14:textId="77777777" w:rsidR="00B46696" w:rsidRPr="001B3C5D" w:rsidRDefault="00B46696" w:rsidP="00B46696">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 xml:space="preserve">Esta regla de inalterabilidad </w:t>
      </w:r>
      <w:r w:rsidRPr="001B3C5D">
        <w:rPr>
          <w:rFonts w:ascii="Verdana" w:eastAsia="Calibri" w:hAnsi="Verdana" w:cs="Arial"/>
          <w:bCs/>
          <w:i/>
          <w:iCs/>
          <w:lang w:val="es-MX"/>
        </w:rPr>
        <w:t>también aplica a los formatos, formularios, anexos y matrices</w:t>
      </w:r>
      <w:r w:rsidRPr="001B3C5D">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C35A2BD" w14:textId="77777777" w:rsidR="00B46696" w:rsidRPr="001B3C5D" w:rsidRDefault="00B46696" w:rsidP="00B46696">
      <w:pPr>
        <w:spacing w:before="120" w:after="120" w:line="276" w:lineRule="auto"/>
        <w:ind w:firstLine="709"/>
        <w:jc w:val="both"/>
        <w:rPr>
          <w:rFonts w:ascii="Verdana" w:eastAsia="Calibri" w:hAnsi="Verdana" w:cs="Arial"/>
          <w:lang w:val="es-MX"/>
        </w:rPr>
      </w:pPr>
      <w:r w:rsidRPr="001B3C5D">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50B0F75D" w14:textId="77777777" w:rsidR="00B46696" w:rsidRPr="001B3C5D" w:rsidRDefault="00B46696" w:rsidP="00B46696">
      <w:pPr>
        <w:spacing w:before="120" w:line="276" w:lineRule="auto"/>
        <w:ind w:firstLine="709"/>
        <w:jc w:val="both"/>
        <w:rPr>
          <w:rFonts w:ascii="Verdana" w:eastAsia="Aptos" w:hAnsi="Verdana" w:cs="Arial"/>
        </w:rPr>
      </w:pPr>
      <w:r w:rsidRPr="001B3C5D">
        <w:rPr>
          <w:rFonts w:ascii="Verdana" w:eastAsia="Aptos" w:hAnsi="Verdana" w:cs="Arial"/>
        </w:rPr>
        <w:t xml:space="preserve">En relación con el principio constitucional </w:t>
      </w:r>
      <w:r w:rsidRPr="001B3C5D">
        <w:rPr>
          <w:rFonts w:ascii="Verdana" w:eastAsia="Aptos" w:hAnsi="Verdana" w:cs="Arial"/>
          <w:i/>
          <w:iCs/>
        </w:rPr>
        <w:t>sub examine</w:t>
      </w:r>
      <w:r w:rsidRPr="001B3C5D">
        <w:rPr>
          <w:rFonts w:ascii="Verdana" w:eastAsia="Aptos" w:hAnsi="Verdana" w:cs="Arial"/>
        </w:rPr>
        <w:t>, la Corte Constitucional explica que “</w:t>
      </w:r>
      <w:r>
        <w:rPr>
          <w:rFonts w:ascii="Verdana" w:eastAsia="Aptos" w:hAnsi="Verdana" w:cs="Arial"/>
        </w:rPr>
        <w:t>[…]</w:t>
      </w:r>
      <w:r w:rsidRPr="001B3C5D">
        <w:rPr>
          <w:rFonts w:ascii="Verdana" w:eastAsia="Aptos" w:hAnsi="Verdana" w:cs="Arial"/>
        </w:rPr>
        <w:t xml:space="preserve">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B3C5D">
        <w:rPr>
          <w:rFonts w:ascii="Verdana" w:eastAsia="Aptos" w:hAnsi="Verdana" w:cs="Arial"/>
          <w:vertAlign w:val="superscript"/>
        </w:rPr>
        <w:footnoteReference w:id="25"/>
      </w:r>
      <w:r w:rsidRPr="001B3C5D">
        <w:rPr>
          <w:rFonts w:ascii="Verdana" w:eastAsia="Aptos" w:hAnsi="Verdana" w:cs="Arial"/>
        </w:rPr>
        <w:t xml:space="preserve">. </w:t>
      </w:r>
    </w:p>
    <w:p w14:paraId="300E884C" w14:textId="77777777" w:rsidR="00B46696" w:rsidRPr="001B3C5D" w:rsidRDefault="00B46696" w:rsidP="00B46696">
      <w:pPr>
        <w:spacing w:after="0" w:line="276" w:lineRule="auto"/>
        <w:ind w:firstLine="709"/>
        <w:jc w:val="both"/>
        <w:rPr>
          <w:rFonts w:ascii="Verdana" w:eastAsia="Calibri" w:hAnsi="Verdana" w:cs="Arial"/>
          <w:lang w:val="es-MX"/>
        </w:rPr>
      </w:pPr>
      <w:r w:rsidRPr="001B3C5D">
        <w:rPr>
          <w:rFonts w:ascii="Verdana" w:eastAsia="Calibri" w:hAnsi="Verdana" w:cs="Arial"/>
          <w:lang w:val="es-MX"/>
        </w:rPr>
        <w:t xml:space="preserve">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w:t>
      </w:r>
      <w:r w:rsidRPr="001B3C5D">
        <w:rPr>
          <w:rFonts w:ascii="Verdana" w:eastAsia="Calibri" w:hAnsi="Verdana" w:cs="Arial"/>
          <w:lang w:val="es-MX"/>
        </w:rPr>
        <w:lastRenderedPageBreak/>
        <w:t>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388F9976" w14:textId="77777777" w:rsidR="00B46696" w:rsidRDefault="00B46696" w:rsidP="00B46696">
      <w:pPr>
        <w:tabs>
          <w:tab w:val="center" w:pos="4419"/>
          <w:tab w:val="right" w:pos="8838"/>
        </w:tabs>
        <w:spacing w:after="0" w:line="276" w:lineRule="auto"/>
        <w:jc w:val="both"/>
        <w:rPr>
          <w:rFonts w:ascii="Verdana" w:eastAsia="Aptos" w:hAnsi="Verdana" w:cs="Times New Roman"/>
          <w:kern w:val="2"/>
          <w:sz w:val="24"/>
          <w:szCs w:val="24"/>
          <w:lang w:val="es-MX"/>
          <w14:ligatures w14:val="standardContextual"/>
        </w:rPr>
      </w:pPr>
    </w:p>
    <w:p w14:paraId="77FF1323" w14:textId="77777777" w:rsidR="00B46696" w:rsidRPr="00192C7B" w:rsidRDefault="00B46696" w:rsidP="00B46696">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192C7B">
        <w:rPr>
          <w:rFonts w:ascii="Verdana" w:eastAsia="Aptos" w:hAnsi="Verdana" w:cs="Times New Roman"/>
          <w:kern w:val="2"/>
          <w14:ligatures w14:val="standardContextual"/>
        </w:rPr>
        <w:t>iv</w:t>
      </w:r>
      <w:proofErr w:type="spellEnd"/>
      <w:r w:rsidRPr="00192C7B">
        <w:rPr>
          <w:rFonts w:ascii="Verdana" w:eastAsia="Aptos" w:hAnsi="Verdana" w:cs="Times New Roman"/>
          <w:kern w:val="2"/>
          <w14:ligatures w14:val="standardContextual"/>
        </w:rPr>
        <w:t>. De acuerdo con la memoria justificativa del Decreto 287 del 19 de marzo de 2026, históricamente las Personas con Discapacidad han enfrentado mayores tasas de desempleo y barreras de acceso al mercado</w:t>
      </w:r>
      <w:r w:rsidRPr="00192C7B">
        <w:rPr>
          <w:rFonts w:ascii="Verdana" w:eastAsia="Aptos" w:hAnsi="Verdana" w:cs="Times New Roman"/>
          <w:kern w:val="2"/>
          <w:vertAlign w:val="superscript"/>
          <w14:ligatures w14:val="standardContextual"/>
        </w:rPr>
        <w:footnoteReference w:id="26"/>
      </w:r>
      <w:r w:rsidRPr="00192C7B">
        <w:rPr>
          <w:rFonts w:ascii="Verdana" w:eastAsia="Aptos" w:hAnsi="Verdana" w:cs="Times New Roman"/>
          <w:kern w:val="2"/>
          <w14:ligatures w14:val="standardContextual"/>
        </w:rPr>
        <w:t xml:space="preserve">. Aunque leyes previas como la Ley 1618 de 2013, ordenaban un sistema de preferencias para estas personas, la regulación anterior </w:t>
      </w:r>
      <w:r>
        <w:rPr>
          <w:rFonts w:ascii="Verdana" w:eastAsia="Aptos" w:hAnsi="Verdana" w:cs="Times New Roman"/>
          <w:kern w:val="2"/>
          <w14:ligatures w14:val="standardContextual"/>
        </w:rPr>
        <w:t>d</w:t>
      </w:r>
      <w:r w:rsidRPr="00192C7B">
        <w:rPr>
          <w:rFonts w:ascii="Verdana" w:eastAsia="Aptos" w:hAnsi="Verdana" w:cs="Times New Roman"/>
          <w:kern w:val="2"/>
          <w14:ligatures w14:val="standardContextual"/>
        </w:rPr>
        <w:t xml:space="preserve">el Decreto 392 de 2018 se limitaba a medidas aisladas de puntaje que no garantizaban una participación equitativa desde el inicio de los procesos contractuales. Esto fue ratificado por el Consejo de Estado que mediante una acción de cumplimiento declaró </w:t>
      </w:r>
      <w:r>
        <w:rPr>
          <w:rFonts w:ascii="Verdana" w:eastAsia="Aptos" w:hAnsi="Verdana" w:cs="Times New Roman"/>
          <w:kern w:val="2"/>
          <w14:ligatures w14:val="standardContextual"/>
        </w:rPr>
        <w:t>la</w:t>
      </w:r>
      <w:r w:rsidRPr="00192C7B">
        <w:rPr>
          <w:rFonts w:ascii="Verdana" w:eastAsia="Aptos" w:hAnsi="Verdana" w:cs="Times New Roman"/>
          <w:kern w:val="2"/>
          <w14:ligatures w14:val="standardContextual"/>
        </w:rPr>
        <w:t xml:space="preserve"> inobservancia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r w:rsidRPr="00192C7B">
        <w:rPr>
          <w:rFonts w:ascii="Verdana" w:eastAsia="Aptos" w:hAnsi="Verdana" w:cs="Times New Roman"/>
          <w:kern w:val="2"/>
          <w:vertAlign w:val="superscript"/>
          <w14:ligatures w14:val="standardContextual"/>
        </w:rPr>
        <w:footnoteReference w:id="27"/>
      </w:r>
      <w:r w:rsidRPr="00192C7B">
        <w:rPr>
          <w:rFonts w:ascii="Verdana" w:eastAsia="Aptos" w:hAnsi="Verdana" w:cs="Times New Roman"/>
          <w:kern w:val="2"/>
          <w14:ligatures w14:val="standardContextual"/>
        </w:rPr>
        <w:t>.</w:t>
      </w:r>
    </w:p>
    <w:p w14:paraId="0F8E2CAA"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92C7B">
        <w:rPr>
          <w:rFonts w:ascii="Verdana" w:eastAsia="Aptos" w:hAnsi="Verdana" w:cs="Times New Roman"/>
          <w:kern w:val="2"/>
          <w14:ligatures w14:val="standardContextual"/>
        </w:rPr>
        <w:t>En este sentido, la parte considerativa del Decreto 287 de 2026, indica que la Ley Estatutaria 1618 del 2013 establece un conjunto de medidas en favor de las personas con discapacidad, “</w:t>
      </w:r>
      <w:r>
        <w:rPr>
          <w:rFonts w:ascii="Verdana" w:eastAsia="Aptos" w:hAnsi="Verdana" w:cs="Times New Roman"/>
          <w:kern w:val="2"/>
          <w14:ligatures w14:val="standardContextual"/>
        </w:rPr>
        <w:t>[…]</w:t>
      </w:r>
      <w:r w:rsidRPr="00192C7B">
        <w:rPr>
          <w:rFonts w:ascii="Verdana" w:eastAsia="Aptos" w:hAnsi="Verdana" w:cs="Times New Roman"/>
          <w:kern w:val="2"/>
          <w14:ligatures w14:val="standardContextual"/>
        </w:rPr>
        <w:t xml:space="preserve">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192C7B">
        <w:rPr>
          <w:rFonts w:ascii="Verdana" w:eastAsia="Aptos" w:hAnsi="Verdana" w:cs="Times New Roman"/>
          <w:kern w:val="2"/>
          <w14:ligatures w14:val="standardContextual"/>
        </w:rPr>
        <w:t>ii</w:t>
      </w:r>
      <w:proofErr w:type="spellEnd"/>
      <w:r w:rsidRPr="00192C7B">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w:t>
      </w:r>
      <w:r>
        <w:rPr>
          <w:rFonts w:ascii="Verdana" w:eastAsia="Aptos" w:hAnsi="Verdana" w:cs="Times New Roman"/>
          <w:kern w:val="2"/>
          <w14:ligatures w14:val="standardContextual"/>
        </w:rPr>
        <w:t>[…]</w:t>
      </w:r>
      <w:r w:rsidRPr="00192C7B">
        <w:rPr>
          <w:rFonts w:ascii="Verdana" w:eastAsia="Aptos" w:hAnsi="Verdana" w:cs="Times New Roman"/>
          <w:kern w:val="2"/>
          <w14:ligatures w14:val="standardContextual"/>
        </w:rPr>
        <w:t xml:space="preserve">”. </w:t>
      </w:r>
    </w:p>
    <w:p w14:paraId="5C542E7A"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92C7B">
        <w:rPr>
          <w:rFonts w:ascii="Verdana" w:eastAsia="Aptos" w:hAnsi="Verdana" w:cs="Times New Roman"/>
          <w:kern w:val="2"/>
          <w14:ligatures w14:val="standardContextual"/>
        </w:rPr>
        <w:lastRenderedPageBreak/>
        <w:t>En virtud de lo exigido por los numerales uno (1), siete (7) y ocho (8) del artículo 13 de la Ley Estatutaria 1618 del 2013, fue expedido el Decreto 392 del 26 de febrero de 2018, mediante el cual se adicionan los artículos 2.2.1.2.4.2.6., 2.2.1.2.4.2.7. y 2.2.1.2.4.2.8. al Decreto 1082 de 2015</w:t>
      </w:r>
      <w:r w:rsidRPr="00192C7B">
        <w:rPr>
          <w:rFonts w:ascii="Verdana" w:eastAsia="Aptos" w:hAnsi="Verdana" w:cs="Times New Roman"/>
          <w:kern w:val="2"/>
          <w:vertAlign w:val="superscript"/>
          <w14:ligatures w14:val="standardContextual"/>
        </w:rPr>
        <w:footnoteReference w:id="28"/>
      </w:r>
      <w:r w:rsidRPr="00192C7B">
        <w:rPr>
          <w:rFonts w:ascii="Verdana" w:eastAsia="Aptos" w:hAnsi="Verdana" w:cs="Times New Roman"/>
          <w:kern w:val="2"/>
          <w14:ligatures w14:val="standardContextual"/>
        </w:rPr>
        <w:t>.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w:t>
      </w:r>
      <w:r>
        <w:rPr>
          <w:rFonts w:ascii="Verdana" w:eastAsia="Aptos" w:hAnsi="Verdana" w:cs="Times New Roman"/>
          <w:kern w:val="2"/>
          <w14:ligatures w14:val="standardContextual"/>
        </w:rPr>
        <w:t>[...]</w:t>
      </w:r>
      <w:r w:rsidRPr="00192C7B">
        <w:rPr>
          <w:rFonts w:ascii="Verdana" w:eastAsia="Aptos" w:hAnsi="Verdana" w:cs="Times New Roman"/>
          <w:kern w:val="2"/>
          <w14:ligatures w14:val="standardContextual"/>
        </w:rPr>
        <w:t xml:space="preserve">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2487EB6B"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92C7B">
        <w:rPr>
          <w:rFonts w:ascii="Verdana" w:eastAsia="Aptos" w:hAnsi="Verdana" w:cs="Times New Roman"/>
          <w:kern w:val="2"/>
          <w14:ligatures w14:val="standardContextual"/>
        </w:rPr>
        <w:t xml:space="preserve">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se omite </w:t>
      </w:r>
      <w:r>
        <w:rPr>
          <w:rFonts w:ascii="Verdana" w:eastAsia="Aptos" w:hAnsi="Verdana" w:cs="Times New Roman"/>
          <w:kern w:val="2"/>
          <w14:ligatures w14:val="standardContextual"/>
        </w:rPr>
        <w:t xml:space="preserve">“[…] </w:t>
      </w:r>
      <w:r w:rsidRPr="00192C7B">
        <w:rPr>
          <w:rFonts w:ascii="Verdana" w:eastAsia="Aptos" w:hAnsi="Verdana" w:cs="Times New Roman"/>
          <w:kern w:val="2"/>
          <w14:ligatures w14:val="standardContextual"/>
        </w:rPr>
        <w:t>el favorecimiento de las propuestas presentadas por los oferentes que sean personas con discapacidad, como lo exige el numeral 8 del artículo 13 de la Ley Estatutaria 1618 del 2013</w:t>
      </w:r>
      <w:r>
        <w:rPr>
          <w:rFonts w:ascii="Verdana" w:eastAsia="Aptos" w:hAnsi="Verdana" w:cs="Times New Roman"/>
          <w:kern w:val="2"/>
          <w14:ligatures w14:val="standardContextual"/>
        </w:rPr>
        <w:t>”</w:t>
      </w:r>
      <w:r w:rsidRPr="00192C7B">
        <w:rPr>
          <w:rFonts w:ascii="Verdana" w:eastAsia="Aptos" w:hAnsi="Verdana" w:cs="Times New Roman"/>
          <w:kern w:val="2"/>
          <w14:ligatures w14:val="standardContextual"/>
        </w:rPr>
        <w:t>.</w:t>
      </w:r>
    </w:p>
    <w:p w14:paraId="0D5F2D55"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92C7B">
        <w:rPr>
          <w:rFonts w:ascii="Verdana" w:eastAsia="Aptos" w:hAnsi="Verdana" w:cs="Times New Roman"/>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w:t>
      </w:r>
      <w:r w:rsidRPr="00192C7B">
        <w:rPr>
          <w:rFonts w:ascii="Verdana" w:eastAsia="Aptos" w:hAnsi="Verdana" w:cs="Times New Roman"/>
          <w:kern w:val="2"/>
          <w14:ligatures w14:val="standardContextual"/>
        </w:rPr>
        <w:lastRenderedPageBreak/>
        <w:t xml:space="preserve">concepto, resulta pertinente referirse a las siguientes modificaciones: </w:t>
      </w:r>
    </w:p>
    <w:p w14:paraId="175AD7F8"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92C7B">
        <w:rPr>
          <w:rFonts w:ascii="Verdana" w:eastAsia="Aptos" w:hAnsi="Verdana" w:cs="Times New Roman"/>
          <w:kern w:val="2"/>
          <w14:ligatures w14:val="standardContextual"/>
        </w:rPr>
        <w:t xml:space="preserve"> i) El artículo 1 modifica el artículo 2.2.1.2.4.2.6. </w:t>
      </w:r>
      <w:r>
        <w:rPr>
          <w:rFonts w:ascii="Verdana" w:eastAsia="Aptos" w:hAnsi="Verdana" w:cs="Times New Roman"/>
          <w:kern w:val="2"/>
          <w14:ligatures w14:val="standardContextual"/>
        </w:rPr>
        <w:t>d</w:t>
      </w:r>
      <w:r w:rsidRPr="00192C7B">
        <w:rPr>
          <w:rFonts w:ascii="Verdana" w:eastAsia="Aptos" w:hAnsi="Verdana" w:cs="Times New Roman"/>
          <w:kern w:val="2"/>
          <w14:ligatures w14:val="standardContextual"/>
        </w:rPr>
        <w:t>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131C0084"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92C7B">
        <w:rPr>
          <w:rFonts w:ascii="Verdana" w:eastAsia="Aptos" w:hAnsi="Verdana" w:cs="Times New Roman"/>
          <w:kern w:val="2"/>
          <w14:ligatures w14:val="standardContextual"/>
        </w:rPr>
        <w:t>ii</w:t>
      </w:r>
      <w:proofErr w:type="spellEnd"/>
      <w:r w:rsidRPr="00192C7B">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M</w:t>
      </w:r>
      <w:r w:rsidRPr="00192C7B">
        <w:rPr>
          <w:rFonts w:ascii="Verdana" w:eastAsia="Aptos" w:hAnsi="Verdana" w:cs="Times New Roman"/>
          <w:kern w:val="2"/>
          <w14:ligatures w14:val="standardContextual"/>
        </w:rPr>
        <w:t xml:space="preserve">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344C7D01"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92C7B">
        <w:rPr>
          <w:rFonts w:ascii="Verdana" w:eastAsia="Aptos" w:hAnsi="Verdana" w:cs="Times New Roman"/>
          <w:kern w:val="2"/>
          <w14:ligatures w14:val="standardContextual"/>
        </w:rPr>
        <w:t>iii</w:t>
      </w:r>
      <w:proofErr w:type="spellEnd"/>
      <w:r w:rsidRPr="00192C7B">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M</w:t>
      </w:r>
      <w:r w:rsidRPr="00192C7B">
        <w:rPr>
          <w:rFonts w:ascii="Verdana" w:eastAsia="Aptos" w:hAnsi="Verdana" w:cs="Times New Roman"/>
          <w:kern w:val="2"/>
          <w14:ligatures w14:val="standardContextual"/>
        </w:rPr>
        <w:t xml:space="preserve">odifica el artículo 2.2.1.2.4.2.7.1. del Decreto 1082 de 2015, disponiendo que todas las entidades que manejen recursos públicos están obligadas a garantizar la accesibilidad para personas con discapacidad en sus procesos de contratación. </w:t>
      </w:r>
    </w:p>
    <w:p w14:paraId="756459EA"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92C7B">
        <w:rPr>
          <w:rFonts w:ascii="Verdana" w:eastAsia="Aptos" w:hAnsi="Verdana" w:cs="Times New Roman"/>
          <w:kern w:val="2"/>
          <w14:ligatures w14:val="standardContextual"/>
        </w:rPr>
        <w:t>iv</w:t>
      </w:r>
      <w:proofErr w:type="spellEnd"/>
      <w:r w:rsidRPr="00192C7B">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M</w:t>
      </w:r>
      <w:r w:rsidRPr="00192C7B">
        <w:rPr>
          <w:rFonts w:ascii="Verdana" w:eastAsia="Aptos" w:hAnsi="Verdana" w:cs="Times New Roman"/>
          <w:kern w:val="2"/>
          <w14:ligatures w14:val="standardContextual"/>
        </w:rPr>
        <w:t>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25DA5BF2"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92C7B">
        <w:rPr>
          <w:rFonts w:ascii="Verdana" w:eastAsia="Aptos" w:hAnsi="Verdana" w:cs="Times New Roman"/>
          <w:kern w:val="2"/>
          <w14:ligatures w14:val="standardContextual"/>
        </w:rPr>
        <w:t xml:space="preserve">v) </w:t>
      </w:r>
      <w:r>
        <w:rPr>
          <w:rFonts w:ascii="Verdana" w:eastAsia="Aptos" w:hAnsi="Verdana" w:cs="Times New Roman"/>
          <w:kern w:val="2"/>
          <w14:ligatures w14:val="standardContextual"/>
        </w:rPr>
        <w:t>M</w:t>
      </w:r>
      <w:r w:rsidRPr="00192C7B">
        <w:rPr>
          <w:rFonts w:ascii="Verdana" w:eastAsia="Aptos" w:hAnsi="Verdana" w:cs="Times New Roman"/>
          <w:kern w:val="2"/>
          <w14:ligatures w14:val="standardContextual"/>
        </w:rPr>
        <w:t>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w:t>
      </w:r>
      <w:r>
        <w:rPr>
          <w:rFonts w:ascii="Verdana" w:eastAsia="Aptos" w:hAnsi="Verdana" w:cs="Times New Roman"/>
          <w:kern w:val="2"/>
          <w14:ligatures w14:val="standardContextual"/>
        </w:rPr>
        <w:t>[...]</w:t>
      </w:r>
      <w:r w:rsidRPr="00192C7B">
        <w:rPr>
          <w:rFonts w:ascii="Verdana" w:eastAsia="Aptos" w:hAnsi="Verdana" w:cs="Times New Roman"/>
          <w:kern w:val="2"/>
          <w14:ligatures w14:val="standardContextual"/>
        </w:rPr>
        <w:t xml:space="preserve">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w:t>
      </w:r>
      <w:r w:rsidRPr="00192C7B">
        <w:rPr>
          <w:rFonts w:ascii="Verdana" w:eastAsia="Aptos" w:hAnsi="Verdana" w:cs="Times New Roman"/>
          <w:kern w:val="2"/>
          <w14:ligatures w14:val="standardContextual"/>
        </w:rPr>
        <w:lastRenderedPageBreak/>
        <w:t>pueden resultar un impedimento para la posterior evaluación de su oferta y que pueda tener efectividad el puntaje”</w:t>
      </w:r>
      <w:r w:rsidRPr="00192C7B">
        <w:rPr>
          <w:rFonts w:ascii="Verdana" w:eastAsia="Aptos" w:hAnsi="Verdana" w:cs="Times New Roman"/>
          <w:kern w:val="2"/>
          <w:vertAlign w:val="superscript"/>
          <w14:ligatures w14:val="standardContextual"/>
        </w:rPr>
        <w:footnoteReference w:id="29"/>
      </w:r>
      <w:r w:rsidRPr="00192C7B">
        <w:rPr>
          <w:rFonts w:ascii="Verdana" w:eastAsia="Aptos" w:hAnsi="Verdana" w:cs="Times New Roman"/>
          <w:kern w:val="2"/>
          <w14:ligatures w14:val="standardContextual"/>
        </w:rPr>
        <w:t xml:space="preserve">. </w:t>
      </w:r>
    </w:p>
    <w:p w14:paraId="45062902"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92C7B">
        <w:rPr>
          <w:rFonts w:ascii="Verdana" w:eastAsia="Aptos" w:hAnsi="Verdana" w:cs="Times New Roman"/>
          <w:kern w:val="2"/>
          <w14:ligatures w14:val="standardContextual"/>
        </w:rPr>
        <w:t xml:space="preserve">vi) </w:t>
      </w:r>
      <w:r>
        <w:rPr>
          <w:rFonts w:ascii="Verdana" w:eastAsia="Aptos" w:hAnsi="Verdana" w:cs="Times New Roman"/>
          <w:kern w:val="2"/>
          <w14:ligatures w14:val="standardContextual"/>
        </w:rPr>
        <w:t>M</w:t>
      </w:r>
      <w:r w:rsidRPr="00192C7B">
        <w:rPr>
          <w:rFonts w:ascii="Verdana" w:eastAsia="Aptos" w:hAnsi="Verdana" w:cs="Times New Roman"/>
          <w:kern w:val="2"/>
          <w14:ligatures w14:val="standardContextual"/>
        </w:rPr>
        <w:t>odifica el artículo 2.1.2.4.2.7.4</w:t>
      </w:r>
      <w:r>
        <w:rPr>
          <w:rFonts w:ascii="Verdana" w:eastAsia="Aptos" w:hAnsi="Verdana" w:cs="Times New Roman"/>
          <w:kern w:val="2"/>
          <w14:ligatures w14:val="standardContextual"/>
        </w:rPr>
        <w:t>.</w:t>
      </w:r>
      <w:r w:rsidRPr="00192C7B">
        <w:rPr>
          <w:rFonts w:ascii="Verdana" w:eastAsia="Aptos" w:hAnsi="Verdana" w:cs="Times New Roman"/>
          <w:kern w:val="2"/>
          <w14:ligatures w14:val="standardContextual"/>
        </w:rPr>
        <w:t xml:space="preserve">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18600041"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92C7B">
        <w:rPr>
          <w:rFonts w:ascii="Verdana" w:eastAsia="Aptos" w:hAnsi="Verdana" w:cs="Times New Roman"/>
          <w:kern w:val="2"/>
          <w14:ligatures w14:val="standardContextual"/>
        </w:rPr>
        <w:t>vii</w:t>
      </w:r>
      <w:proofErr w:type="spellEnd"/>
      <w:r w:rsidRPr="00192C7B">
        <w:rPr>
          <w:rFonts w:ascii="Verdana" w:eastAsia="Aptos" w:hAnsi="Verdana" w:cs="Times New Roman"/>
          <w:kern w:val="2"/>
          <w14:ligatures w14:val="standardContextual"/>
        </w:rPr>
        <w:t>)</w:t>
      </w:r>
      <w:r>
        <w:rPr>
          <w:rFonts w:ascii="Verdana" w:eastAsia="Aptos" w:hAnsi="Verdana" w:cs="Times New Roman"/>
          <w:kern w:val="2"/>
          <w14:ligatures w14:val="standardContextual"/>
        </w:rPr>
        <w:t xml:space="preserve"> M</w:t>
      </w:r>
      <w:r w:rsidRPr="00192C7B">
        <w:rPr>
          <w:rFonts w:ascii="Verdana" w:eastAsia="Aptos" w:hAnsi="Verdana" w:cs="Times New Roman"/>
          <w:kern w:val="2"/>
          <w14:ligatures w14:val="standardContextual"/>
        </w:rPr>
        <w:t xml:space="preserve">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35F67EE0"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92C7B">
        <w:rPr>
          <w:rFonts w:ascii="Verdana" w:eastAsia="Aptos" w:hAnsi="Verdana" w:cs="Times New Roman"/>
          <w:kern w:val="2"/>
          <w14:ligatures w14:val="standardContextual"/>
        </w:rPr>
        <w:t>viii</w:t>
      </w:r>
      <w:proofErr w:type="spellEnd"/>
      <w:r w:rsidRPr="00192C7B">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M</w:t>
      </w:r>
      <w:r w:rsidRPr="00192C7B">
        <w:rPr>
          <w:rFonts w:ascii="Verdana" w:eastAsia="Aptos" w:hAnsi="Verdana" w:cs="Times New Roman"/>
          <w:kern w:val="2"/>
          <w14:ligatures w14:val="standardContextual"/>
        </w:rPr>
        <w:t>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4C6E393B" w14:textId="77777777" w:rsidR="00B46696" w:rsidRPr="00192C7B"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92C7B">
        <w:rPr>
          <w:rFonts w:ascii="Verdana" w:eastAsia="Aptos" w:hAnsi="Verdana" w:cs="Times New Roman"/>
          <w:kern w:val="2"/>
          <w14:ligatures w14:val="standardContextual"/>
        </w:rPr>
        <w:t>ix</w:t>
      </w:r>
      <w:proofErr w:type="spellEnd"/>
      <w:r w:rsidRPr="00192C7B">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M</w:t>
      </w:r>
      <w:r w:rsidRPr="00192C7B">
        <w:rPr>
          <w:rFonts w:ascii="Verdana" w:eastAsia="Aptos" w:hAnsi="Verdana" w:cs="Times New Roman"/>
          <w:kern w:val="2"/>
          <w14:ligatures w14:val="standardContextual"/>
        </w:rPr>
        <w:t>odifica el artículo 2.2.1.2.4.2.7.8</w:t>
      </w:r>
      <w:r>
        <w:rPr>
          <w:rFonts w:ascii="Verdana" w:eastAsia="Aptos" w:hAnsi="Verdana" w:cs="Times New Roman"/>
          <w:kern w:val="2"/>
          <w14:ligatures w14:val="standardContextual"/>
        </w:rPr>
        <w:t>.</w:t>
      </w:r>
      <w:r w:rsidRPr="00192C7B">
        <w:rPr>
          <w:rFonts w:ascii="Verdana" w:eastAsia="Aptos" w:hAnsi="Verdana" w:cs="Times New Roman"/>
          <w:kern w:val="2"/>
          <w14:ligatures w14:val="standardContextual"/>
        </w:rPr>
        <w:t xml:space="preserve"> del Decreto 1082 de 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w:t>
      </w:r>
    </w:p>
    <w:p w14:paraId="3B966ED1" w14:textId="77777777" w:rsidR="00B46696" w:rsidRDefault="00B46696" w:rsidP="00B46696">
      <w:pPr>
        <w:widowControl w:val="0"/>
        <w:autoSpaceDE w:val="0"/>
        <w:autoSpaceDN w:val="0"/>
        <w:spacing w:after="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Por su parte</w:t>
      </w:r>
      <w:r w:rsidRPr="00192C7B">
        <w:rPr>
          <w:rFonts w:ascii="Verdana" w:eastAsia="Aptos" w:hAnsi="Verdana" w:cs="Times New Roman"/>
          <w:kern w:val="2"/>
          <w14:ligatures w14:val="standardContextual"/>
        </w:rPr>
        <w:t>, el artículo 2 del Decreto 287 de 2026 establece las vigencias y derogatorias, en los siguientes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15260E5C" w14:textId="77777777" w:rsidR="00B46696" w:rsidRDefault="00B46696" w:rsidP="00B46696">
      <w:pPr>
        <w:widowControl w:val="0"/>
        <w:autoSpaceDE w:val="0"/>
        <w:autoSpaceDN w:val="0"/>
        <w:spacing w:after="0" w:line="276" w:lineRule="auto"/>
        <w:jc w:val="both"/>
        <w:rPr>
          <w:rFonts w:ascii="Verdana" w:eastAsia="Aptos" w:hAnsi="Verdana" w:cs="Times New Roman"/>
          <w:kern w:val="2"/>
          <w14:ligatures w14:val="standardContextual"/>
        </w:rPr>
      </w:pPr>
    </w:p>
    <w:p w14:paraId="7001AF5E" w14:textId="77777777" w:rsidR="00B46696" w:rsidRPr="001B3C5D" w:rsidRDefault="00B46696" w:rsidP="00B46696">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De acuerdo con el desarrollo del numeral precedente, </w:t>
      </w:r>
      <w:r w:rsidRPr="001B3C5D">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1B3C5D">
        <w:rPr>
          <w:rFonts w:ascii="Verdana" w:eastAsia="Aptos" w:hAnsi="Verdana" w:cs="Times New Roman"/>
          <w:kern w:val="2"/>
          <w14:ligatures w14:val="standardContextual"/>
        </w:rPr>
        <w:t>de Contratación Pública – Colombia Compra Eficiente.</w:t>
      </w:r>
    </w:p>
    <w:p w14:paraId="0BB1A216"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38A3DFEA"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1B3C5D">
        <w:rPr>
          <w:rFonts w:ascii="Verdana" w:eastAsia="Aptos" w:hAnsi="Verdana" w:cs="Times New Roman"/>
          <w:kern w:val="2"/>
          <w:vertAlign w:val="superscript"/>
          <w14:ligatures w14:val="standardContextual"/>
        </w:rPr>
        <w:footnoteReference w:id="30"/>
      </w:r>
      <w:r w:rsidRPr="001B3C5D">
        <w:rPr>
          <w:rFonts w:ascii="Verdana" w:eastAsia="Aptos" w:hAnsi="Verdana" w:cs="Times New Roman"/>
          <w:kern w:val="2"/>
          <w14:ligatures w14:val="standardContextual"/>
        </w:rPr>
        <w:t xml:space="preserve">, de tal manera que se </w:t>
      </w:r>
      <w:r w:rsidRPr="001B3C5D">
        <w:rPr>
          <w:rFonts w:ascii="Verdana" w:eastAsia="Aptos" w:hAnsi="Verdana" w:cs="Times New Roman"/>
          <w:kern w:val="2"/>
          <w14:ligatures w14:val="standardContextual"/>
        </w:rPr>
        <w:lastRenderedPageBreak/>
        <w:t>eliminen barreras de entrada injustificadas sin comprometer la idoneidad del contratista, en aplicación del principio de igualdad material.</w:t>
      </w:r>
    </w:p>
    <w:p w14:paraId="01D1D726"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1B3C5D">
        <w:rPr>
          <w:rFonts w:ascii="Verdana" w:eastAsia="Aptos" w:hAnsi="Verdana" w:cs="Times New Roman"/>
          <w:kern w:val="2"/>
          <w14:ligatures w14:val="standardContextual"/>
        </w:rPr>
        <w:t>Mipymes</w:t>
      </w:r>
      <w:proofErr w:type="spellEnd"/>
      <w:r w:rsidRPr="001B3C5D">
        <w:rPr>
          <w:rFonts w:ascii="Verdana" w:eastAsia="Aptos" w:hAnsi="Verdana" w:cs="Times New Roman"/>
          <w:kern w:val="2"/>
          <w14:ligatures w14:val="standardContextual"/>
        </w:rPr>
        <w:t xml:space="preserve"> y emprendimientos y empresas de mujeres, se incluyan los dispuestos en el Decreto 287 de 2026 en favor de los emprendimientos y empresas de personas con discapacidad.</w:t>
      </w:r>
    </w:p>
    <w:p w14:paraId="6A3776B0"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en todo caso el puntaje adicional total y único a otorgar por este criterio será del dos por ciento (2%), sin que sean acumulables a afecto de la evaluación de la oferta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w:t>
      </w:r>
    </w:p>
    <w:p w14:paraId="6CD12C62"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2FA09268"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w:t>
      </w:r>
      <w:r w:rsidRPr="001B3C5D">
        <w:rPr>
          <w:rFonts w:ascii="Verdana" w:eastAsia="Aptos" w:hAnsi="Verdana" w:cs="Times New Roman"/>
          <w:kern w:val="2"/>
          <w14:ligatures w14:val="standardContextual"/>
        </w:rPr>
        <w:lastRenderedPageBreak/>
        <w:t xml:space="preserve">que se otorga en los documentos tipo de licitación pública y concurso de méritos por la incorporación de personas con discapacidad, en donde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3E1D5B5A"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Adicionalmente, en cuanto a la ejecución contractual, el artículo 2.2.1.2.4.2.7.5 del Decreto 1082 de 2015, modificado por el artículo 1 del Decreto 287 de 2026, prevé la incorporación de </w:t>
      </w:r>
      <w:r>
        <w:rPr>
          <w:rFonts w:ascii="Verdana" w:eastAsia="Aptos" w:hAnsi="Verdana" w:cs="Times New Roman"/>
          <w:kern w:val="2"/>
          <w14:ligatures w14:val="standardContextual"/>
        </w:rPr>
        <w:t>condiciones especiales de ejecución orientadas</w:t>
      </w:r>
      <w:r w:rsidRPr="001B3C5D">
        <w:rPr>
          <w:rFonts w:ascii="Verdana" w:eastAsia="Aptos" w:hAnsi="Verdana" w:cs="Times New Roman"/>
          <w:kern w:val="2"/>
          <w14:ligatures w14:val="standardContextual"/>
        </w:rPr>
        <w:t xml:space="preserve">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07464EAF" w14:textId="77777777" w:rsidR="00B46696" w:rsidRPr="001B3C5D" w:rsidRDefault="00B46696" w:rsidP="00B46696">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2F4551E3" w14:textId="77777777" w:rsidR="00B46696" w:rsidRPr="001B3C5D" w:rsidRDefault="00B46696" w:rsidP="00B46696">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116341CB" w14:textId="77777777" w:rsidR="00B46696" w:rsidRPr="001B3C5D" w:rsidRDefault="00B46696" w:rsidP="00B46696">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27DFB16F"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w:t>
      </w:r>
      <w:r w:rsidRPr="001B3C5D">
        <w:rPr>
          <w:rFonts w:ascii="Verdana" w:eastAsia="Aptos" w:hAnsi="Verdana" w:cs="Times New Roman"/>
          <w:kern w:val="2"/>
          <w14:ligatures w14:val="standardContextual"/>
        </w:rPr>
        <w:lastRenderedPageBreak/>
        <w:t xml:space="preserve">disponer que en estos </w:t>
      </w:r>
      <w:r w:rsidRPr="001B3C5D">
        <w:rPr>
          <w:rFonts w:ascii="Verdana" w:eastAsia="Aptos" w:hAnsi="Verdana" w:cs="Times New Roman"/>
          <w:i/>
          <w:iCs/>
          <w:kern w:val="2"/>
          <w14:ligatures w14:val="standardContextual"/>
        </w:rPr>
        <w:t>“</w:t>
      </w:r>
      <w:r>
        <w:rPr>
          <w:rFonts w:ascii="Verdana" w:eastAsia="Aptos" w:hAnsi="Verdana" w:cs="Times New Roman"/>
          <w:i/>
          <w:iCs/>
          <w:kern w:val="2"/>
          <w14:ligatures w14:val="standardContextual"/>
        </w:rPr>
        <w:t>[…]</w:t>
      </w:r>
      <w:r w:rsidRPr="001B3C5D">
        <w:rPr>
          <w:rFonts w:ascii="Verdana" w:eastAsia="Aptos" w:hAnsi="Verdana" w:cs="Times New Roman"/>
          <w:i/>
          <w:iCs/>
          <w:kern w:val="2"/>
          <w14:ligatures w14:val="standardContextual"/>
        </w:rPr>
        <w:t xml:space="preserve">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4BA6BB00"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Conforme con el contenido de la Ley 2022 de 202, la jurisprudencia ha determinado que, la Agencia Nacional de Contratación Pública – Colombia Compra Eficiente ejerce una potestad regulatoria de naturaleza subordinada (</w:t>
      </w:r>
      <w:proofErr w:type="spellStart"/>
      <w:r w:rsidRPr="005A107F">
        <w:rPr>
          <w:rFonts w:ascii="Verdana" w:eastAsia="Aptos" w:hAnsi="Verdana" w:cs="Times New Roman"/>
          <w:i/>
          <w:iCs/>
          <w:kern w:val="2"/>
          <w14:ligatures w14:val="standardContextual"/>
        </w:rPr>
        <w:t>secundum</w:t>
      </w:r>
      <w:proofErr w:type="spellEnd"/>
      <w:r w:rsidRPr="005A107F">
        <w:rPr>
          <w:rFonts w:ascii="Verdana" w:eastAsia="Aptos" w:hAnsi="Verdana" w:cs="Times New Roman"/>
          <w:i/>
          <w:iCs/>
          <w:kern w:val="2"/>
          <w14:ligatures w14:val="standardContextual"/>
        </w:rPr>
        <w:t xml:space="preserve"> </w:t>
      </w:r>
      <w:proofErr w:type="spellStart"/>
      <w:r w:rsidRPr="005A107F">
        <w:rPr>
          <w:rFonts w:ascii="Verdana" w:eastAsia="Aptos" w:hAnsi="Verdana" w:cs="Times New Roman"/>
          <w:i/>
          <w:iCs/>
          <w:kern w:val="2"/>
          <w14:ligatures w14:val="standardContextual"/>
        </w:rPr>
        <w:t>legem</w:t>
      </w:r>
      <w:proofErr w:type="spellEnd"/>
      <w:r w:rsidRPr="001B3C5D">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5660DA5F"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Concretamente, la competencia prevista en el artículo 1 de la Ley 2022 de 2020, se ejerció mediante la expedición de la Resolución 160 del 15 de septiembre de 2020</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5CA65383"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w:t>
      </w:r>
      <w:r w:rsidRPr="001B3C5D">
        <w:rPr>
          <w:rFonts w:ascii="Verdana" w:eastAsia="Aptos" w:hAnsi="Verdana" w:cs="Times New Roman"/>
          <w:kern w:val="2"/>
          <w14:ligatures w14:val="standardContextual"/>
        </w:rPr>
        <w:lastRenderedPageBreak/>
        <w:t>instrumentos, particularmente en lo relacionado con requisitos habilitantes, factores de evaluación y sistemas de ponderación.</w:t>
      </w:r>
    </w:p>
    <w:p w14:paraId="73DEC318"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dispuesto en el párrafo precedente, es consecuente con lo desarrollado en el punto tres (</w:t>
      </w: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43EF6F3F"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538BA392"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w:t>
      </w:r>
      <w:r w:rsidRPr="001B3C5D">
        <w:rPr>
          <w:rFonts w:ascii="Verdana" w:eastAsia="Aptos" w:hAnsi="Verdana" w:cs="Times New Roman"/>
          <w:kern w:val="2"/>
          <w14:ligatures w14:val="standardContextual"/>
        </w:rPr>
        <w:lastRenderedPageBreak/>
        <w:t>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2F0EF028"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1B3C5D">
        <w:rPr>
          <w:rFonts w:ascii="Verdana" w:eastAsia="Aptos" w:hAnsi="Verdana" w:cs="Times New Roman"/>
          <w:kern w:val="2"/>
          <w:vertAlign w:val="superscript"/>
          <w14:ligatures w14:val="standardContextual"/>
        </w:rPr>
        <w:footnoteReference w:id="31"/>
      </w:r>
      <w:r w:rsidRPr="001B3C5D">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6B1FF962"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Adicionalmente, el propio Decreto 287 de 2026 en el artículo 1 que modifica el artículo 2.2.1.2.4.2.7.8 al Decreto 1082 de 2015, reconoce esta necesidad al disponer que la Agencia Nacional de Contratación Pública – Colombia Compra Eficiente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garantizará la adopción permanente de las acciones necesarias para que las medidas señaladas en esta subsección se incorporen a los documentos e instrumentos que genera</w:t>
      </w:r>
      <w:r w:rsidRPr="001B3C5D">
        <w:rPr>
          <w:rFonts w:ascii="Aptos" w:eastAsia="Aptos" w:hAnsi="Aptos" w:cs="Times New Roman"/>
          <w:kern w:val="2"/>
          <w:sz w:val="24"/>
          <w:szCs w:val="24"/>
          <w14:ligatures w14:val="standardContextual"/>
        </w:rPr>
        <w:t>”</w:t>
      </w:r>
      <w:r w:rsidRPr="001B3C5D">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44AF100C"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Lo </w:t>
      </w:r>
      <w:r>
        <w:rPr>
          <w:rFonts w:ascii="Verdana" w:eastAsia="Aptos" w:hAnsi="Verdana" w:cs="Times New Roman"/>
          <w:kern w:val="2"/>
          <w14:ligatures w14:val="standardContextual"/>
        </w:rPr>
        <w:t>anterior es congruente con lo</w:t>
      </w:r>
      <w:r w:rsidRPr="001B3C5D">
        <w:rPr>
          <w:rFonts w:ascii="Verdana" w:eastAsia="Aptos" w:hAnsi="Verdana" w:cs="Times New Roman"/>
          <w:kern w:val="2"/>
          <w14:ligatures w14:val="standardContextual"/>
        </w:rPr>
        <w:t xml:space="preserve"> dispuesto en el ABC del Decreto 0287 de 2026</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“Contratación pública inclusiva para personas con discapacidad”</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los documentos tipo requieren una adecuación técnica y normativa previa para </w:t>
      </w:r>
      <w:r w:rsidRPr="001B3C5D">
        <w:rPr>
          <w:rFonts w:ascii="Verdana" w:eastAsia="Aptos" w:hAnsi="Verdana" w:cs="Times New Roman"/>
          <w:kern w:val="2"/>
          <w14:ligatures w14:val="standardContextual"/>
        </w:rPr>
        <w:lastRenderedPageBreak/>
        <w:t>incorporar las medidas del sistema de preferencias”</w:t>
      </w:r>
      <w:r w:rsidRPr="005A107F">
        <w:rPr>
          <w:rFonts w:ascii="Verdana" w:eastAsia="Aptos" w:hAnsi="Verdana" w:cs="Times New Roman"/>
          <w:kern w:val="2"/>
          <w:vertAlign w:val="superscript"/>
          <w14:ligatures w14:val="standardContextual"/>
        </w:rPr>
        <w:t xml:space="preserve"> </w:t>
      </w:r>
      <w:r w:rsidRPr="001B3C5D">
        <w:rPr>
          <w:rFonts w:ascii="Verdana" w:eastAsia="Aptos" w:hAnsi="Verdana" w:cs="Times New Roman"/>
          <w:kern w:val="2"/>
          <w:vertAlign w:val="superscript"/>
          <w14:ligatures w14:val="standardContextual"/>
        </w:rPr>
        <w:footnoteReference w:id="32"/>
      </w:r>
      <w:r w:rsidRPr="001B3C5D">
        <w:rPr>
          <w:rFonts w:ascii="Verdana" w:eastAsia="Aptos" w:hAnsi="Verdana" w:cs="Times New Roman"/>
          <w:kern w:val="2"/>
          <w14:ligatures w14:val="standardContextual"/>
        </w:rPr>
        <w:t xml:space="preserve">. </w:t>
      </w:r>
    </w:p>
    <w:p w14:paraId="0B078856"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aunque de acuerdo con el artículo 2 del Decreto 287 de 2026, este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rige a partir del día siguiente a su publicación </w:t>
      </w:r>
      <w:r>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3B05F4E7"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6E911B74" w14:textId="77777777" w:rsidR="00B46696" w:rsidRPr="001B3C5D" w:rsidRDefault="00B46696" w:rsidP="00B4669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4FD733AA" w14:textId="77777777" w:rsidR="00B46696" w:rsidRPr="00F846E4" w:rsidRDefault="00B46696" w:rsidP="00B46696">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w:t>
      </w:r>
      <w:r w:rsidRPr="001B3C5D">
        <w:rPr>
          <w:rFonts w:ascii="Verdana" w:eastAsia="Aptos" w:hAnsi="Verdana" w:cs="Times New Roman"/>
          <w:kern w:val="2"/>
          <w14:ligatures w14:val="standardContextual"/>
        </w:rPr>
        <w:lastRenderedPageBreak/>
        <w:t>2015. Este trabajo ya fue iniciado por la Agencia Nacional de Contratación Pública – Colombia Compra Eficiente y finalizará con la adopción del acto administrativo que modifica los documentos tipo luego de surtir el procedimiento señalado.</w:t>
      </w:r>
      <w:r w:rsidRPr="00A47393">
        <w:rPr>
          <w:rFonts w:ascii="Verdana" w:eastAsia="Calibri" w:hAnsi="Verdana" w:cs="Arial"/>
          <w:bCs/>
          <w:color w:val="000000" w:themeColor="text1"/>
        </w:rPr>
        <w:t xml:space="preserve"> </w:t>
      </w:r>
      <w:r w:rsidRPr="00185EE9">
        <w:rPr>
          <w:rFonts w:ascii="Verdana" w:eastAsia="Calibri" w:hAnsi="Verdana" w:cs="Arial"/>
          <w:bCs/>
          <w:color w:val="000000" w:themeColor="text1"/>
        </w:rPr>
        <w:t xml:space="preserve"> </w:t>
      </w:r>
    </w:p>
    <w:p w14:paraId="0DE5EAA3" w14:textId="77777777" w:rsidR="00B46696" w:rsidRPr="00182C89" w:rsidRDefault="00B46696" w:rsidP="00B46696">
      <w:pPr>
        <w:tabs>
          <w:tab w:val="left" w:pos="709"/>
        </w:tabs>
        <w:spacing w:after="0" w:line="276" w:lineRule="auto"/>
        <w:jc w:val="both"/>
        <w:rPr>
          <w:rFonts w:ascii="Verdana" w:eastAsia="Calibri" w:hAnsi="Verdana" w:cs="Arial"/>
          <w:color w:val="000000" w:themeColor="text1"/>
        </w:rPr>
      </w:pPr>
    </w:p>
    <w:p w14:paraId="48671594" w14:textId="77777777" w:rsidR="00B46696" w:rsidRPr="00593A5F" w:rsidRDefault="00B46696" w:rsidP="00B466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5B3A89B" w14:textId="77777777" w:rsidR="00B46696" w:rsidRPr="00593A5F" w:rsidRDefault="00B46696" w:rsidP="00B4669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46696" w:rsidRPr="002407CE" w14:paraId="78DAE093" w14:textId="77777777" w:rsidTr="007F7484">
        <w:trPr>
          <w:trHeight w:val="56"/>
          <w:jc w:val="center"/>
        </w:trPr>
        <w:tc>
          <w:tcPr>
            <w:tcW w:w="8647" w:type="dxa"/>
          </w:tcPr>
          <w:p w14:paraId="485813FB" w14:textId="77777777" w:rsidR="00B46696" w:rsidRDefault="00B46696" w:rsidP="007F74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2.</w:t>
            </w:r>
          </w:p>
          <w:p w14:paraId="76035D92" w14:textId="77777777" w:rsidR="00B46696" w:rsidRDefault="00B46696" w:rsidP="007F74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2022 de 2020, artículo 1.</w:t>
            </w:r>
          </w:p>
          <w:p w14:paraId="7A299EA0" w14:textId="77777777" w:rsidR="00B46696" w:rsidRDefault="00B46696" w:rsidP="007F74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287 de 2026, artículos 1 y 2.</w:t>
            </w:r>
          </w:p>
          <w:p w14:paraId="29B7523E" w14:textId="77777777" w:rsidR="00B46696" w:rsidRPr="00B87E7A" w:rsidRDefault="00B46696" w:rsidP="007F7484">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2F4077">
              <w:rPr>
                <w:rFonts w:ascii="Verdana" w:hAnsi="Verdana" w:cs="Arial"/>
              </w:rPr>
              <w:t>Decreto Ley 4170 de 2011: artículo</w:t>
            </w:r>
            <w:r>
              <w:rPr>
                <w:rFonts w:ascii="Verdana" w:hAnsi="Verdana" w:cs="Arial"/>
              </w:rPr>
              <w:t>s</w:t>
            </w:r>
            <w:r w:rsidRPr="002F4077">
              <w:rPr>
                <w:rFonts w:ascii="Verdana" w:hAnsi="Verdana" w:cs="Arial"/>
              </w:rPr>
              <w:t xml:space="preserve"> 1</w:t>
            </w:r>
            <w:r>
              <w:rPr>
                <w:rFonts w:ascii="Verdana" w:hAnsi="Verdana" w:cs="Arial"/>
              </w:rPr>
              <w:t xml:space="preserve"> y</w:t>
            </w:r>
            <w:r w:rsidRPr="002F4077">
              <w:rPr>
                <w:rFonts w:ascii="Verdana" w:hAnsi="Verdana" w:cs="Arial"/>
              </w:rPr>
              <w:t xml:space="preserve"> 11</w:t>
            </w:r>
            <w:r>
              <w:rPr>
                <w:rFonts w:ascii="Verdana" w:hAnsi="Verdana" w:cs="Arial"/>
              </w:rPr>
              <w:t xml:space="preserve">. </w:t>
            </w:r>
          </w:p>
        </w:tc>
      </w:tr>
    </w:tbl>
    <w:p w14:paraId="7FE64F40" w14:textId="77777777" w:rsidR="00B46696" w:rsidRPr="002407CE" w:rsidRDefault="00B46696" w:rsidP="00B46696">
      <w:pPr>
        <w:widowControl w:val="0"/>
        <w:autoSpaceDE w:val="0"/>
        <w:autoSpaceDN w:val="0"/>
        <w:spacing w:after="0" w:line="276" w:lineRule="auto"/>
        <w:jc w:val="both"/>
        <w:rPr>
          <w:rFonts w:ascii="Verdana" w:hAnsi="Verdana" w:cs="Arial"/>
        </w:rPr>
      </w:pPr>
    </w:p>
    <w:p w14:paraId="417B4103" w14:textId="77777777" w:rsidR="00B46696" w:rsidRPr="00593A5F" w:rsidRDefault="00B46696" w:rsidP="00B466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079E62F" w14:textId="77777777" w:rsidR="00B46696" w:rsidRPr="00593A5F" w:rsidRDefault="00B46696" w:rsidP="00B46696">
      <w:pPr>
        <w:widowControl w:val="0"/>
        <w:autoSpaceDE w:val="0"/>
        <w:autoSpaceDN w:val="0"/>
        <w:spacing w:after="0" w:line="276" w:lineRule="auto"/>
        <w:jc w:val="both"/>
        <w:rPr>
          <w:rFonts w:ascii="Verdana" w:hAnsi="Verdana" w:cs="Arial"/>
        </w:rPr>
      </w:pPr>
    </w:p>
    <w:p w14:paraId="4F806799" w14:textId="77777777" w:rsidR="00B46696" w:rsidRPr="00ED0098" w:rsidRDefault="00B46696" w:rsidP="00B46696">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w:t>
      </w:r>
      <w:r w:rsidRPr="00267331">
        <w:rPr>
          <w:rStyle w:val="normaltextrun"/>
          <w:rFonts w:ascii="Verdana" w:hAnsi="Verdana" w:cs="Arial"/>
          <w:shd w:val="clear" w:color="auto" w:fill="FFFFFF"/>
        </w:rPr>
        <w:t xml:space="preserve">se ha pronunciado sobre la regla de la inalterabilidad de los documentos tipo en los </w:t>
      </w:r>
      <w:r>
        <w:rPr>
          <w:rStyle w:val="normaltextrun"/>
          <w:rFonts w:ascii="Verdana" w:hAnsi="Verdana" w:cs="Arial"/>
          <w:shd w:val="clear" w:color="auto" w:fill="FFFFFF"/>
        </w:rPr>
        <w:t>C</w:t>
      </w:r>
      <w:r w:rsidRPr="00267331">
        <w:rPr>
          <w:rStyle w:val="normaltextrun"/>
          <w:rFonts w:ascii="Verdana" w:hAnsi="Verdana" w:cs="Arial"/>
          <w:shd w:val="clear" w:color="auto" w:fill="FFFFFF"/>
        </w:rPr>
        <w:t>onceptos</w:t>
      </w:r>
      <w:r>
        <w:rPr>
          <w:rStyle w:val="normaltextrun"/>
          <w:rFonts w:ascii="Verdana" w:hAnsi="Verdana" w:cs="Arial"/>
          <w:shd w:val="clear" w:color="auto" w:fill="FFFFFF"/>
        </w:rPr>
        <w:t xml:space="preserve"> </w:t>
      </w:r>
      <w:r w:rsidRPr="00267331">
        <w:rPr>
          <w:rStyle w:val="normaltextrun"/>
          <w:rFonts w:ascii="Verdana" w:hAnsi="Verdana" w:cs="Arial"/>
          <w:shd w:val="clear" w:color="auto" w:fill="FFFFFF"/>
        </w:rPr>
        <w:t>C-058 del 8 de marzo de 2022, C-657 del 11 de octubre de 2022, C-051 del 28 de abril de 2023, 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 C-043 del 13 de febrero de 2026 y C-246 del 12 de marzo de 2026</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C134036" w14:textId="77777777" w:rsidR="00B46696" w:rsidRPr="00096788" w:rsidRDefault="00B46696" w:rsidP="00B46696">
      <w:pPr>
        <w:widowControl w:val="0"/>
        <w:autoSpaceDE w:val="0"/>
        <w:autoSpaceDN w:val="0"/>
        <w:spacing w:after="0" w:line="276" w:lineRule="auto"/>
        <w:jc w:val="both"/>
        <w:rPr>
          <w:rFonts w:ascii="Verdana" w:hAnsi="Verdana" w:cs="Arial"/>
          <w:color w:val="000000" w:themeColor="text1"/>
          <w:shd w:val="clear" w:color="auto" w:fill="FFFFFF"/>
        </w:rPr>
      </w:pPr>
    </w:p>
    <w:p w14:paraId="5993131C" w14:textId="77777777" w:rsidR="00B46696" w:rsidRDefault="00B46696" w:rsidP="00B46696">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w:t>
      </w:r>
      <w:r>
        <w:rPr>
          <w:rFonts w:ascii="Verdana" w:hAnsi="Verdana"/>
        </w:rPr>
        <w:lastRenderedPageBreak/>
        <w:t>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7A50FB8D" w14:textId="77777777" w:rsidR="00B46696" w:rsidRPr="009A385A" w:rsidRDefault="00B46696" w:rsidP="00B46696">
      <w:pPr>
        <w:spacing w:after="0"/>
        <w:jc w:val="both"/>
        <w:rPr>
          <w:rFonts w:ascii="Verdana" w:hAnsi="Verdana"/>
        </w:rPr>
      </w:pPr>
    </w:p>
    <w:p w14:paraId="0FCF3D06" w14:textId="77777777" w:rsidR="00B46696" w:rsidRDefault="00B46696" w:rsidP="00B46696">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1C64B8C4" w14:textId="77777777" w:rsidR="00B46696" w:rsidRDefault="00B46696" w:rsidP="00B46696">
      <w:pPr>
        <w:spacing w:after="0"/>
        <w:jc w:val="both"/>
        <w:rPr>
          <w:rFonts w:ascii="Verdana" w:hAnsi="Verdana"/>
        </w:rPr>
      </w:pPr>
    </w:p>
    <w:p w14:paraId="5F1109C6" w14:textId="77777777" w:rsidR="00B46696" w:rsidRPr="008E1CD7" w:rsidRDefault="00B46696" w:rsidP="00B46696">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BB0D137" w14:textId="77777777" w:rsidR="00B46696" w:rsidRDefault="00B46696" w:rsidP="00B46696">
      <w:pPr>
        <w:shd w:val="clear" w:color="auto" w:fill="FFFFFF"/>
        <w:spacing w:after="0" w:line="276" w:lineRule="auto"/>
        <w:jc w:val="both"/>
        <w:rPr>
          <w:rFonts w:ascii="Verdana" w:hAnsi="Verdana"/>
          <w:color w:val="000000"/>
          <w:u w:val="single"/>
        </w:rPr>
      </w:pPr>
    </w:p>
    <w:p w14:paraId="3956EE1E" w14:textId="77777777" w:rsidR="00B46696" w:rsidRPr="00116940" w:rsidRDefault="00B46696" w:rsidP="00B46696">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56F9C525" w14:textId="77777777" w:rsidR="00B46696" w:rsidRPr="00116940" w:rsidRDefault="00B46696" w:rsidP="00B46696">
      <w:pPr>
        <w:spacing w:after="0"/>
        <w:jc w:val="both"/>
        <w:rPr>
          <w:rFonts w:ascii="Verdana" w:hAnsi="Verdana"/>
        </w:rPr>
      </w:pPr>
    </w:p>
    <w:p w14:paraId="470D0AE3" w14:textId="77777777" w:rsidR="00B46696" w:rsidRPr="00116940" w:rsidRDefault="00B46696" w:rsidP="00B46696">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5A677643" w14:textId="77777777" w:rsidR="00B46696" w:rsidRPr="00116940" w:rsidRDefault="00B46696" w:rsidP="00B46696">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4E30D356" w14:textId="77777777" w:rsidR="00B46696" w:rsidRPr="00116940" w:rsidRDefault="00B46696" w:rsidP="00B4669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422872C4" w14:textId="77777777" w:rsidR="00B46696" w:rsidRPr="00116940" w:rsidRDefault="00B46696" w:rsidP="00B4669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lastRenderedPageBreak/>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24C7B1F4" w14:textId="77777777" w:rsidR="00B46696" w:rsidRPr="00116940" w:rsidRDefault="00B46696" w:rsidP="00B46696">
      <w:pPr>
        <w:spacing w:after="0" w:line="240" w:lineRule="auto"/>
        <w:ind w:left="720"/>
        <w:jc w:val="both"/>
        <w:rPr>
          <w:rFonts w:ascii="Verdana" w:hAnsi="Verdana"/>
        </w:rPr>
      </w:pPr>
    </w:p>
    <w:p w14:paraId="1C02B4EF" w14:textId="77777777" w:rsidR="00B46696" w:rsidRPr="00116940" w:rsidRDefault="00B46696" w:rsidP="00B46696">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2EE3FFC1" w14:textId="77777777" w:rsidR="00B46696" w:rsidRPr="00116940" w:rsidRDefault="00B46696" w:rsidP="00B46696">
      <w:pPr>
        <w:spacing w:after="0" w:line="240" w:lineRule="auto"/>
        <w:rPr>
          <w:rFonts w:ascii="Verdana" w:hAnsi="Verdana"/>
        </w:rPr>
      </w:pPr>
    </w:p>
    <w:p w14:paraId="7BD75B2A" w14:textId="77777777" w:rsidR="00B46696" w:rsidRPr="00116940" w:rsidRDefault="00B46696" w:rsidP="00B46696">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0FD1421D" w14:textId="77777777" w:rsidR="00B46696" w:rsidRPr="00116940" w:rsidRDefault="00B46696" w:rsidP="00B46696">
      <w:pPr>
        <w:spacing w:after="0" w:line="240" w:lineRule="auto"/>
        <w:jc w:val="both"/>
        <w:rPr>
          <w:rFonts w:ascii="Verdana" w:hAnsi="Verdana"/>
        </w:rPr>
      </w:pPr>
    </w:p>
    <w:p w14:paraId="69E1FC91" w14:textId="77777777" w:rsidR="00B46696" w:rsidRPr="00116940" w:rsidRDefault="00B46696" w:rsidP="00B4669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DA3430F" w14:textId="77777777" w:rsidR="00B46696" w:rsidRPr="00116940" w:rsidRDefault="00B46696" w:rsidP="00B46696">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1B505E02" w14:textId="77777777" w:rsidR="00B46696" w:rsidRPr="00116940" w:rsidRDefault="00B46696" w:rsidP="00B4669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533381B" w14:textId="77777777" w:rsidR="00B46696" w:rsidRPr="009C4035" w:rsidRDefault="00B46696" w:rsidP="00B46696">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48FC6BA7" w14:textId="77777777" w:rsidR="00B46696" w:rsidRPr="00593A5F" w:rsidRDefault="00B46696" w:rsidP="00B4669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6BACBA6" w14:textId="77777777" w:rsidR="00B46696" w:rsidRPr="00593A5F" w:rsidRDefault="00B46696" w:rsidP="00B46696">
      <w:pPr>
        <w:widowControl w:val="0"/>
        <w:autoSpaceDE w:val="0"/>
        <w:autoSpaceDN w:val="0"/>
        <w:spacing w:after="0" w:line="276" w:lineRule="auto"/>
        <w:jc w:val="both"/>
        <w:rPr>
          <w:rFonts w:ascii="Verdana" w:hAnsi="Verdana" w:cs="Arial"/>
        </w:rPr>
      </w:pPr>
    </w:p>
    <w:p w14:paraId="17235AF3" w14:textId="77777777" w:rsidR="00B46696" w:rsidRPr="00593A5F" w:rsidRDefault="00B46696" w:rsidP="00B46696">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264E63B" w14:textId="020259BA" w:rsidR="00B46696" w:rsidRPr="00593A5F" w:rsidRDefault="0033471F" w:rsidP="00B46696">
      <w:pPr>
        <w:spacing w:line="276" w:lineRule="auto"/>
        <w:jc w:val="center"/>
        <w:rPr>
          <w:rFonts w:ascii="Verdana" w:hAnsi="Verdana" w:cs="Arial"/>
          <w:color w:val="000000"/>
          <w:lang w:val="es-ES_tradnl" w:eastAsia="es-CO"/>
        </w:rPr>
      </w:pPr>
      <w:r>
        <w:rPr>
          <w:noProof/>
        </w:rPr>
        <w:drawing>
          <wp:inline distT="0" distB="0" distL="0" distR="0" wp14:anchorId="2F38E6C6" wp14:editId="34FA083C">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46696" w:rsidRPr="00593A5F" w14:paraId="1954F4F7" w14:textId="77777777" w:rsidTr="007F7484">
        <w:trPr>
          <w:trHeight w:val="315"/>
        </w:trPr>
        <w:tc>
          <w:tcPr>
            <w:tcW w:w="893" w:type="dxa"/>
            <w:vAlign w:val="center"/>
            <w:hideMark/>
          </w:tcPr>
          <w:p w14:paraId="33E149FD" w14:textId="77777777" w:rsidR="00B46696" w:rsidRPr="003751C7" w:rsidRDefault="00B46696" w:rsidP="007F748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4E03F9B" w14:textId="77777777" w:rsidR="00B46696" w:rsidRPr="00254A7A" w:rsidRDefault="00B46696" w:rsidP="007F7484">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9F50F34" w14:textId="77777777" w:rsidR="00B46696" w:rsidRPr="00254A7A" w:rsidRDefault="00B46696" w:rsidP="007F7484">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B46696" w:rsidRPr="00593A5F" w14:paraId="64B57005" w14:textId="77777777" w:rsidTr="007F7484">
        <w:trPr>
          <w:trHeight w:val="330"/>
        </w:trPr>
        <w:tc>
          <w:tcPr>
            <w:tcW w:w="893" w:type="dxa"/>
            <w:vAlign w:val="center"/>
            <w:hideMark/>
          </w:tcPr>
          <w:p w14:paraId="6B466E9C" w14:textId="77777777" w:rsidR="00B46696" w:rsidRPr="003751C7" w:rsidRDefault="00B46696" w:rsidP="007F748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80E506F" w14:textId="77777777" w:rsidR="00B46696" w:rsidRPr="008D7620" w:rsidRDefault="00B46696" w:rsidP="007F7484">
            <w:pPr>
              <w:pStyle w:val="paragraph"/>
              <w:spacing w:after="0"/>
              <w:contextualSpacing/>
              <w:textAlignment w:val="baseline"/>
              <w:rPr>
                <w:rStyle w:val="normaltextrun"/>
                <w:rFonts w:ascii="Verdana" w:hAnsi="Verdana" w:cs="Arial"/>
                <w:sz w:val="16"/>
                <w:szCs w:val="16"/>
                <w:lang w:val="es-ES_tradnl"/>
              </w:rPr>
            </w:pPr>
            <w:r w:rsidRPr="008D7620">
              <w:rPr>
                <w:rStyle w:val="normaltextrun"/>
                <w:rFonts w:ascii="Verdana" w:hAnsi="Verdana" w:cs="Arial"/>
                <w:sz w:val="16"/>
                <w:szCs w:val="16"/>
                <w:lang w:val="es-ES_tradnl"/>
              </w:rPr>
              <w:t>Juan David Cárdenas Cabeza</w:t>
            </w:r>
          </w:p>
          <w:p w14:paraId="28306C3F" w14:textId="77777777" w:rsidR="00B46696" w:rsidRPr="00A40FD0" w:rsidRDefault="00B46696" w:rsidP="007F7484">
            <w:pPr>
              <w:pStyle w:val="paragraph"/>
              <w:spacing w:before="0" w:beforeAutospacing="0" w:after="0" w:afterAutospacing="0"/>
              <w:contextualSpacing/>
              <w:textAlignment w:val="baseline"/>
              <w:rPr>
                <w:rFonts w:ascii="Verdana" w:hAnsi="Verdana" w:cs="Segoe UI"/>
                <w:sz w:val="16"/>
                <w:szCs w:val="16"/>
              </w:rPr>
            </w:pPr>
            <w:r w:rsidRPr="008D7620">
              <w:rPr>
                <w:rStyle w:val="normaltextrun"/>
                <w:rFonts w:ascii="Verdana" w:hAnsi="Verdana" w:cs="Arial"/>
                <w:sz w:val="16"/>
                <w:szCs w:val="16"/>
                <w:lang w:val="es-ES_tradnl"/>
              </w:rPr>
              <w:t>Contratista de la Subdirección de Gestión Contractual</w:t>
            </w:r>
          </w:p>
        </w:tc>
      </w:tr>
      <w:tr w:rsidR="00B46696" w:rsidRPr="00593A5F" w14:paraId="2D9D39BF" w14:textId="77777777" w:rsidTr="007F7484">
        <w:trPr>
          <w:trHeight w:val="300"/>
        </w:trPr>
        <w:tc>
          <w:tcPr>
            <w:tcW w:w="893" w:type="dxa"/>
            <w:vAlign w:val="center"/>
          </w:tcPr>
          <w:p w14:paraId="1F97666E" w14:textId="77777777" w:rsidR="00B46696" w:rsidRPr="003751C7" w:rsidRDefault="00B46696" w:rsidP="007F748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41520C" w14:textId="77777777" w:rsidR="00B46696" w:rsidRPr="00FE00BE" w:rsidRDefault="00B46696" w:rsidP="007F7484">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7AF53FCB" w14:textId="77777777" w:rsidR="00B46696" w:rsidRPr="00FE00BE" w:rsidRDefault="00B46696" w:rsidP="007F7484">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03BD168D" w14:textId="77777777" w:rsidR="00B46696" w:rsidRDefault="00B46696" w:rsidP="00B46696"/>
    <w:p w14:paraId="0816E19D" w14:textId="252E5DE6" w:rsidR="00B46696" w:rsidRPr="00543BFE" w:rsidRDefault="00B46696" w:rsidP="00B46696"/>
    <w:p w14:paraId="0F293BF4" w14:textId="5AFF3E6B" w:rsidR="00127233" w:rsidRPr="00B46696" w:rsidRDefault="00127233" w:rsidP="00B46696"/>
    <w:sectPr w:rsidR="00127233" w:rsidRPr="00B46696"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CA609" w14:textId="77777777" w:rsidR="00C67723" w:rsidRDefault="00C67723" w:rsidP="004A1847">
      <w:pPr>
        <w:spacing w:after="0" w:line="240" w:lineRule="auto"/>
      </w:pPr>
      <w:r>
        <w:separator/>
      </w:r>
    </w:p>
  </w:endnote>
  <w:endnote w:type="continuationSeparator" w:id="0">
    <w:p w14:paraId="09EAF888" w14:textId="77777777" w:rsidR="00C67723" w:rsidRDefault="00C6772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33BC8" w14:textId="77777777" w:rsidR="00C67723" w:rsidRDefault="00C67723" w:rsidP="004A1847">
      <w:pPr>
        <w:spacing w:after="0" w:line="240" w:lineRule="auto"/>
      </w:pPr>
      <w:r>
        <w:separator/>
      </w:r>
    </w:p>
  </w:footnote>
  <w:footnote w:type="continuationSeparator" w:id="0">
    <w:p w14:paraId="1DBDAFD4" w14:textId="77777777" w:rsidR="00C67723" w:rsidRDefault="00C67723" w:rsidP="004A1847">
      <w:pPr>
        <w:spacing w:after="0" w:line="240" w:lineRule="auto"/>
      </w:pPr>
      <w:r>
        <w:continuationSeparator/>
      </w:r>
    </w:p>
  </w:footnote>
  <w:footnote w:id="1">
    <w:p w14:paraId="0D635B0D" w14:textId="77777777" w:rsidR="00B46696" w:rsidRPr="0005704F" w:rsidRDefault="00B46696" w:rsidP="00B46696">
      <w:pPr>
        <w:pStyle w:val="Textonotapie"/>
        <w:ind w:firstLine="708"/>
        <w:jc w:val="both"/>
        <w:rPr>
          <w:rFonts w:ascii="Verdana" w:hAnsi="Verdana"/>
          <w:sz w:val="16"/>
          <w:szCs w:val="16"/>
        </w:rPr>
      </w:pPr>
      <w:r w:rsidRPr="0005704F">
        <w:rPr>
          <w:rStyle w:val="Refdenotaalpie"/>
          <w:rFonts w:ascii="Verdana" w:hAnsi="Verdana"/>
          <w:sz w:val="16"/>
          <w:szCs w:val="16"/>
        </w:rPr>
        <w:footnoteRef/>
      </w:r>
      <w:r w:rsidRPr="0005704F">
        <w:rPr>
          <w:rFonts w:ascii="Verdana" w:hAnsi="Verdana"/>
          <w:sz w:val="16"/>
          <w:szCs w:val="16"/>
        </w:rPr>
        <w:t xml:space="preserve"> </w:t>
      </w:r>
      <w:r w:rsidRPr="0005704F">
        <w:rPr>
          <w:rFonts w:ascii="Verdana" w:hAnsi="Verdana" w:cs="Arial"/>
          <w:sz w:val="16"/>
          <w:szCs w:val="16"/>
        </w:rPr>
        <w:t>Gaceta del Congreso No. 733 del 2018. Pág. 19</w:t>
      </w:r>
    </w:p>
  </w:footnote>
  <w:footnote w:id="2">
    <w:p w14:paraId="37A8B43A"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sz w:val="16"/>
          <w:szCs w:val="16"/>
        </w:rPr>
        <w:footnoteRef/>
      </w:r>
      <w:r w:rsidRPr="0005704F">
        <w:rPr>
          <w:rFonts w:ascii="Verdana" w:hAnsi="Verdana"/>
          <w:sz w:val="16"/>
          <w:szCs w:val="16"/>
        </w:rPr>
        <w:t xml:space="preserve"> </w:t>
      </w:r>
      <w:r w:rsidRPr="0005704F">
        <w:rPr>
          <w:rFonts w:ascii="Verdana" w:hAnsi="Verdana" w:cs="Arial"/>
          <w:sz w:val="16"/>
          <w:szCs w:val="16"/>
        </w:rPr>
        <w:t xml:space="preserve">Ley 2022 de 2020: “Artículo 1. Modifíquese el artículo </w:t>
      </w:r>
      <w:hyperlink r:id="rId1" w:anchor="4" w:history="1">
        <w:r w:rsidRPr="0005704F">
          <w:rPr>
            <w:rFonts w:ascii="Verdana" w:hAnsi="Verdana" w:cs="Arial"/>
            <w:sz w:val="16"/>
            <w:szCs w:val="16"/>
          </w:rPr>
          <w:t>4</w:t>
        </w:r>
      </w:hyperlink>
      <w:r w:rsidRPr="0005704F">
        <w:rPr>
          <w:rFonts w:ascii="Verdana" w:hAnsi="Verdana" w:cs="Arial"/>
          <w:sz w:val="16"/>
          <w:szCs w:val="16"/>
        </w:rPr>
        <w:t xml:space="preserve">º de la Ley 1882 de 2018, el cual quedará así: </w:t>
      </w:r>
    </w:p>
    <w:p w14:paraId="5E16D8E1" w14:textId="77777777" w:rsidR="00B46696" w:rsidRPr="0005704F" w:rsidRDefault="00B46696" w:rsidP="00B46696">
      <w:pPr>
        <w:pStyle w:val="Textonotapie"/>
        <w:ind w:firstLine="708"/>
        <w:jc w:val="both"/>
        <w:rPr>
          <w:rFonts w:ascii="Verdana" w:hAnsi="Verdana" w:cs="Arial"/>
          <w:sz w:val="16"/>
          <w:szCs w:val="16"/>
        </w:rPr>
      </w:pPr>
      <w:r w:rsidRPr="0005704F">
        <w:rPr>
          <w:rFonts w:ascii="Verdana" w:hAnsi="Verdana" w:cs="Arial"/>
          <w:sz w:val="16"/>
          <w:szCs w:val="16"/>
        </w:rPr>
        <w:t xml:space="preserve">“Artículo 4º. Adiciónese el siguiente </w:t>
      </w:r>
      <w:r w:rsidRPr="0005704F">
        <w:rPr>
          <w:rFonts w:ascii="Verdana" w:hAnsi="Verdana"/>
          <w:sz w:val="16"/>
          <w:szCs w:val="16"/>
        </w:rPr>
        <w:t xml:space="preserve"> </w:t>
      </w:r>
      <w:r w:rsidRPr="0005704F">
        <w:rPr>
          <w:rFonts w:ascii="Verdana" w:hAnsi="Verdana" w:cs="Arial"/>
          <w:sz w:val="16"/>
          <w:szCs w:val="16"/>
        </w:rPr>
        <w:t>al artículo 2º de la Ley 1150 de 2007.</w:t>
      </w:r>
    </w:p>
    <w:p w14:paraId="2D8B1857" w14:textId="77777777" w:rsidR="00B46696" w:rsidRPr="0005704F" w:rsidRDefault="00B46696" w:rsidP="00B46696">
      <w:pPr>
        <w:pStyle w:val="Textonotapie"/>
        <w:ind w:firstLine="708"/>
        <w:jc w:val="both"/>
        <w:rPr>
          <w:rFonts w:ascii="Verdana" w:hAnsi="Verdana" w:cs="Arial"/>
          <w:sz w:val="16"/>
          <w:szCs w:val="16"/>
        </w:rPr>
      </w:pPr>
      <w:r w:rsidRPr="0005704F">
        <w:rPr>
          <w:rFonts w:ascii="Verdana" w:hAnsi="Verdana" w:cs="Arial"/>
          <w:sz w:val="16"/>
          <w:szCs w:val="16"/>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C318AF6" w14:textId="77777777" w:rsidR="00B46696" w:rsidRPr="0005704F" w:rsidRDefault="00B46696" w:rsidP="00B46696">
      <w:pPr>
        <w:pStyle w:val="Textonotapie"/>
        <w:ind w:firstLine="708"/>
        <w:jc w:val="both"/>
        <w:rPr>
          <w:rFonts w:ascii="Verdana" w:hAnsi="Verdana" w:cs="Arial"/>
          <w:sz w:val="16"/>
          <w:szCs w:val="16"/>
        </w:rPr>
      </w:pPr>
      <w:r w:rsidRPr="0005704F">
        <w:rPr>
          <w:rFonts w:ascii="Verdana" w:hAnsi="Verdana"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3ACD28A" w14:textId="77777777" w:rsidR="00B46696" w:rsidRPr="0005704F" w:rsidRDefault="00B46696" w:rsidP="00B46696">
      <w:pPr>
        <w:pStyle w:val="Textonotapie"/>
        <w:ind w:firstLine="708"/>
        <w:jc w:val="both"/>
        <w:rPr>
          <w:rFonts w:ascii="Verdana" w:hAnsi="Verdana" w:cs="Arial"/>
          <w:sz w:val="16"/>
          <w:szCs w:val="16"/>
        </w:rPr>
      </w:pPr>
      <w:r w:rsidRPr="0005704F">
        <w:rPr>
          <w:rFonts w:ascii="Verdana" w:hAnsi="Verdana"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815C370" w14:textId="77777777" w:rsidR="00B46696" w:rsidRPr="0005704F" w:rsidRDefault="00B46696" w:rsidP="00B46696">
      <w:pPr>
        <w:pStyle w:val="Textonotapie"/>
        <w:ind w:firstLine="708"/>
        <w:jc w:val="both"/>
        <w:rPr>
          <w:rFonts w:ascii="Verdana" w:hAnsi="Verdana" w:cs="Arial"/>
          <w:sz w:val="16"/>
          <w:szCs w:val="16"/>
        </w:rPr>
      </w:pPr>
      <w:r w:rsidRPr="0005704F">
        <w:rPr>
          <w:rFonts w:ascii="Verdana" w:hAnsi="Verdana"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5F76838" w14:textId="77777777" w:rsidR="00B46696" w:rsidRPr="0005704F" w:rsidRDefault="00B46696" w:rsidP="00B46696">
      <w:pPr>
        <w:pStyle w:val="Textonotapie"/>
        <w:ind w:firstLine="708"/>
        <w:jc w:val="both"/>
        <w:rPr>
          <w:rFonts w:ascii="Verdana" w:hAnsi="Verdana" w:cs="Arial"/>
          <w:sz w:val="16"/>
          <w:szCs w:val="16"/>
        </w:rPr>
      </w:pPr>
      <w:r w:rsidRPr="0005704F">
        <w:rPr>
          <w:rFonts w:ascii="Verdana" w:hAnsi="Verdana"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6F65FF96"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cs="Arial"/>
          <w:sz w:val="16"/>
          <w:szCs w:val="16"/>
        </w:rPr>
        <w:footnoteRef/>
      </w:r>
      <w:r w:rsidRPr="0005704F">
        <w:rPr>
          <w:rFonts w:ascii="Verdana" w:hAnsi="Verdana" w:cs="Arial"/>
          <w:sz w:val="16"/>
          <w:szCs w:val="16"/>
        </w:rPr>
        <w:t xml:space="preserve"> Ley 80 de 1993. “Artículo 2. De la definición de entidades, servidores y servicios públicos. Para los solos efectos de esta ley:</w:t>
      </w:r>
    </w:p>
    <w:p w14:paraId="370B1621" w14:textId="77777777" w:rsidR="00B46696" w:rsidRPr="0005704F" w:rsidRDefault="00B46696" w:rsidP="00B46696">
      <w:pPr>
        <w:pStyle w:val="Textonotapie"/>
        <w:ind w:firstLine="708"/>
        <w:jc w:val="both"/>
        <w:rPr>
          <w:rFonts w:ascii="Verdana" w:hAnsi="Verdana" w:cs="Arial"/>
          <w:sz w:val="16"/>
          <w:szCs w:val="16"/>
        </w:rPr>
      </w:pPr>
      <w:r w:rsidRPr="0005704F">
        <w:rPr>
          <w:rFonts w:ascii="Verdana" w:hAnsi="Verdana" w:cs="Arial"/>
          <w:sz w:val="16"/>
          <w:szCs w:val="16"/>
        </w:rPr>
        <w:t>1o. Se denominan entidades estatales:</w:t>
      </w:r>
    </w:p>
    <w:p w14:paraId="3F5CB466" w14:textId="77777777" w:rsidR="00B46696" w:rsidRPr="0005704F" w:rsidRDefault="00B46696" w:rsidP="00B46696">
      <w:pPr>
        <w:pStyle w:val="Textonotapie"/>
        <w:ind w:firstLine="708"/>
        <w:jc w:val="both"/>
        <w:rPr>
          <w:rFonts w:ascii="Verdana" w:hAnsi="Verdana" w:cs="Arial"/>
          <w:sz w:val="16"/>
          <w:szCs w:val="16"/>
        </w:rPr>
      </w:pPr>
      <w:r w:rsidRPr="0005704F">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628180AC" w14:textId="77777777" w:rsidR="00B46696" w:rsidRPr="0005704F" w:rsidRDefault="00B46696" w:rsidP="00B46696">
      <w:pPr>
        <w:pStyle w:val="Textonotapie"/>
        <w:ind w:firstLine="708"/>
        <w:jc w:val="both"/>
        <w:rPr>
          <w:rFonts w:ascii="Verdana" w:hAnsi="Verdana" w:cs="Arial"/>
          <w:i/>
          <w:sz w:val="16"/>
          <w:szCs w:val="16"/>
        </w:rPr>
      </w:pPr>
      <w:r w:rsidRPr="0005704F">
        <w:rPr>
          <w:rFonts w:ascii="Verdana" w:hAnsi="Verdana" w:cs="Arial"/>
          <w:sz w:val="16"/>
          <w:szCs w:val="16"/>
        </w:rPr>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r>
        <w:rPr>
          <w:rFonts w:ascii="Verdana" w:hAnsi="Verdana" w:cs="Arial"/>
          <w:sz w:val="16"/>
          <w:szCs w:val="16"/>
        </w:rPr>
        <w:t>[…]</w:t>
      </w:r>
      <w:r w:rsidRPr="0005704F">
        <w:rPr>
          <w:rFonts w:ascii="Verdana" w:hAnsi="Verdana" w:cs="Arial"/>
          <w:sz w:val="16"/>
          <w:szCs w:val="16"/>
        </w:rPr>
        <w:t>”.</w:t>
      </w:r>
    </w:p>
  </w:footnote>
  <w:footnote w:id="4">
    <w:p w14:paraId="1D323B9A" w14:textId="77777777" w:rsidR="00B46696" w:rsidRPr="0005704F" w:rsidRDefault="00B46696" w:rsidP="00B46696">
      <w:pPr>
        <w:pStyle w:val="Textonotapie"/>
        <w:ind w:firstLine="708"/>
        <w:jc w:val="both"/>
        <w:rPr>
          <w:rFonts w:ascii="Verdana" w:hAnsi="Verdana" w:cs="Arial"/>
          <w:sz w:val="16"/>
          <w:szCs w:val="16"/>
          <w:lang w:val="it-IT"/>
        </w:rPr>
      </w:pPr>
      <w:r w:rsidRPr="0005704F">
        <w:rPr>
          <w:rStyle w:val="Refdenotaalpie"/>
          <w:rFonts w:ascii="Verdana" w:hAnsi="Verdana" w:cs="Arial"/>
          <w:sz w:val="16"/>
          <w:szCs w:val="16"/>
        </w:rPr>
        <w:footnoteRef/>
      </w:r>
      <w:r w:rsidRPr="0005704F">
        <w:rPr>
          <w:rFonts w:ascii="Verdana" w:hAnsi="Verdana" w:cs="Arial"/>
          <w:sz w:val="16"/>
          <w:szCs w:val="16"/>
          <w:lang w:val="pt-BR"/>
        </w:rPr>
        <w:t xml:space="preserve"> Corte Constitucional. Sentencia C-1005 de 2008. </w:t>
      </w:r>
      <w:r w:rsidRPr="0005704F">
        <w:rPr>
          <w:rFonts w:ascii="Verdana" w:hAnsi="Verdana" w:cs="Arial"/>
          <w:sz w:val="16"/>
          <w:szCs w:val="16"/>
          <w:lang w:val="it-IT"/>
        </w:rPr>
        <w:t>M.P.: Humberto Sierra Porto.</w:t>
      </w:r>
    </w:p>
  </w:footnote>
  <w:footnote w:id="5">
    <w:p w14:paraId="2B2532C0"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cs="Arial"/>
          <w:sz w:val="16"/>
          <w:szCs w:val="16"/>
        </w:rPr>
        <w:footnoteRef/>
      </w:r>
      <w:r w:rsidRPr="0005704F">
        <w:rPr>
          <w:rFonts w:ascii="Verdana" w:hAnsi="Verdana" w:cs="Arial"/>
          <w:sz w:val="16"/>
          <w:szCs w:val="16"/>
        </w:rPr>
        <w:t xml:space="preserve"> Consejo de Estado. Sección Primera. Sentencia del 20 de noviembre de 2014. Rad. 1101-03-24-000-2010-00119-00. C.P.: Guillermo Vargas Ayala. </w:t>
      </w:r>
    </w:p>
  </w:footnote>
  <w:footnote w:id="6">
    <w:p w14:paraId="4D18C53E" w14:textId="77777777" w:rsidR="00B46696" w:rsidRPr="0005704F" w:rsidRDefault="00B46696" w:rsidP="00B46696">
      <w:pPr>
        <w:spacing w:after="0" w:line="240" w:lineRule="auto"/>
        <w:ind w:firstLine="708"/>
        <w:jc w:val="both"/>
        <w:rPr>
          <w:rFonts w:ascii="Verdana" w:hAnsi="Verdana" w:cs="Arial"/>
          <w:sz w:val="16"/>
          <w:szCs w:val="16"/>
        </w:rPr>
      </w:pPr>
      <w:r w:rsidRPr="0005704F">
        <w:rPr>
          <w:rStyle w:val="Refdenotaalpie"/>
          <w:rFonts w:ascii="Verdana" w:hAnsi="Verdana" w:cs="Arial"/>
          <w:sz w:val="16"/>
          <w:szCs w:val="16"/>
        </w:rPr>
        <w:footnoteRef/>
      </w:r>
      <w:r w:rsidRPr="0005704F">
        <w:rPr>
          <w:rFonts w:ascii="Verdana" w:hAnsi="Verdana" w:cs="Arial"/>
          <w:sz w:val="16"/>
          <w:szCs w:val="16"/>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Sección Cuarta. Sentencia del 11 de febrero de 2014. Rad. 11001-03-27-000-2011-00023-00(18973). C.P. Carmen Teresa Ortiz De Rodríguez. </w:t>
      </w:r>
    </w:p>
  </w:footnote>
  <w:footnote w:id="7">
    <w:p w14:paraId="4A53BF07"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cs="Arial"/>
          <w:sz w:val="16"/>
          <w:szCs w:val="16"/>
        </w:rPr>
        <w:footnoteRef/>
      </w:r>
      <w:r w:rsidRPr="0005704F">
        <w:rPr>
          <w:rFonts w:ascii="Verdana" w:hAnsi="Verdana" w:cs="Arial"/>
          <w:sz w:val="16"/>
          <w:szCs w:val="16"/>
        </w:rPr>
        <w:t xml:space="preserve"> De acuerdo con la Sentencia C–037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footnote>
  <w:footnote w:id="8">
    <w:p w14:paraId="09D451C7"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cs="Arial"/>
          <w:sz w:val="16"/>
          <w:szCs w:val="16"/>
        </w:rPr>
        <w:footnoteRef/>
      </w:r>
      <w:r w:rsidRPr="0005704F">
        <w:rPr>
          <w:rFonts w:ascii="Verdana" w:hAnsi="Verdana" w:cs="Arial"/>
          <w:sz w:val="16"/>
          <w:szCs w:val="16"/>
        </w:rPr>
        <w:t xml:space="preserve"> Ver entre otras, las Sentencias de la Corte Constitucional C–162 de 2008; C–823 de 2011; C–810 de 2014. Consejo de Estado. Sección Segunda. Sentencia del 21 de octubre de 2010. Rad. 11001-03-25-000-2005-00125-00(5242-05). C.P. Alfonso Vargas Rincón; Consejo de Estado. Sección Tercera. Subsección B. Sentencia del 29 de abril de 2015. Rad. 11001-03-26-000-2004-00044-00(28615). C.P. Stella Conto Díaz del Castillo.</w:t>
      </w:r>
    </w:p>
    <w:p w14:paraId="3151F7CA" w14:textId="77777777" w:rsidR="00B46696" w:rsidRPr="0005704F" w:rsidRDefault="00B46696" w:rsidP="00B46696">
      <w:pPr>
        <w:pStyle w:val="Textonotapie"/>
        <w:ind w:firstLine="708"/>
        <w:jc w:val="both"/>
        <w:rPr>
          <w:rFonts w:ascii="Verdana" w:hAnsi="Verdana" w:cs="Arial"/>
          <w:sz w:val="16"/>
          <w:szCs w:val="16"/>
        </w:rPr>
      </w:pPr>
    </w:p>
  </w:footnote>
  <w:footnote w:id="9">
    <w:p w14:paraId="309BD893" w14:textId="77777777" w:rsidR="00B46696" w:rsidRPr="0005704F" w:rsidRDefault="00B46696" w:rsidP="00B46696">
      <w:pPr>
        <w:pStyle w:val="Textonotapie"/>
        <w:ind w:firstLine="708"/>
        <w:jc w:val="both"/>
        <w:rPr>
          <w:rFonts w:ascii="Verdana" w:hAnsi="Verdana" w:cs="Arial"/>
          <w:sz w:val="16"/>
          <w:szCs w:val="16"/>
          <w:lang w:val="it-IT"/>
        </w:rPr>
      </w:pPr>
      <w:r w:rsidRPr="0005704F">
        <w:rPr>
          <w:rStyle w:val="Refdenotaalpie"/>
          <w:rFonts w:ascii="Verdana" w:hAnsi="Verdana" w:cs="Arial"/>
          <w:sz w:val="16"/>
          <w:szCs w:val="16"/>
        </w:rPr>
        <w:footnoteRef/>
      </w:r>
      <w:r w:rsidRPr="0005704F">
        <w:rPr>
          <w:rFonts w:ascii="Verdana" w:hAnsi="Verdana" w:cs="Arial"/>
          <w:sz w:val="16"/>
          <w:szCs w:val="16"/>
          <w:lang w:val="pt-BR"/>
        </w:rPr>
        <w:t xml:space="preserve"> Corte Constitucional, Sentencia C–1005 de 2008. </w:t>
      </w:r>
      <w:r w:rsidRPr="0005704F">
        <w:rPr>
          <w:rFonts w:ascii="Verdana" w:hAnsi="Verdana" w:cs="Arial"/>
          <w:sz w:val="16"/>
          <w:szCs w:val="16"/>
          <w:lang w:val="it-IT"/>
        </w:rPr>
        <w:t xml:space="preserve">M.P.: Humberto Antonio Sierra Porto. </w:t>
      </w:r>
    </w:p>
  </w:footnote>
  <w:footnote w:id="10">
    <w:p w14:paraId="65D05139" w14:textId="77777777" w:rsidR="00B46696" w:rsidRPr="0005704F" w:rsidRDefault="00B46696" w:rsidP="00B46696">
      <w:pPr>
        <w:pStyle w:val="Textonotapie"/>
        <w:ind w:firstLine="708"/>
        <w:jc w:val="both"/>
        <w:rPr>
          <w:rFonts w:ascii="Verdana" w:hAnsi="Verdana" w:cs="Arial"/>
          <w:sz w:val="16"/>
          <w:szCs w:val="16"/>
          <w:lang w:val="pt-BR"/>
        </w:rPr>
      </w:pPr>
      <w:r w:rsidRPr="0005704F">
        <w:rPr>
          <w:rStyle w:val="Refdenotaalpie"/>
          <w:rFonts w:ascii="Verdana" w:hAnsi="Verdana" w:cs="Arial"/>
          <w:sz w:val="16"/>
          <w:szCs w:val="16"/>
        </w:rPr>
        <w:footnoteRef/>
      </w:r>
      <w:r w:rsidRPr="0005704F">
        <w:rPr>
          <w:rFonts w:ascii="Verdana" w:hAnsi="Verdana" w:cs="Arial"/>
          <w:sz w:val="16"/>
          <w:szCs w:val="16"/>
          <w:lang w:val="pt-BR"/>
        </w:rPr>
        <w:t xml:space="preserve"> Consejo de Estado, Sala de lo Contencioso Administrativo, Sección Primera. Consejero ponente: Juan Alberto Polo Figueroa. Bogotá D.C., 24 de agosto de 2000. Radicación número 6096.</w:t>
      </w:r>
    </w:p>
  </w:footnote>
  <w:footnote w:id="11">
    <w:p w14:paraId="03C8DF0A" w14:textId="77777777" w:rsidR="00B46696" w:rsidRPr="0005704F" w:rsidRDefault="00B46696" w:rsidP="00B46696">
      <w:pPr>
        <w:pStyle w:val="Textonotapie"/>
        <w:ind w:firstLine="708"/>
        <w:jc w:val="both"/>
        <w:rPr>
          <w:rFonts w:ascii="Verdana" w:hAnsi="Verdana"/>
          <w:sz w:val="16"/>
          <w:szCs w:val="16"/>
          <w:lang w:val="pt-BR"/>
        </w:rPr>
      </w:pPr>
      <w:r w:rsidRPr="0005704F">
        <w:rPr>
          <w:rStyle w:val="Refdenotaalpie"/>
          <w:rFonts w:ascii="Verdana" w:hAnsi="Verdana"/>
          <w:sz w:val="16"/>
          <w:szCs w:val="16"/>
        </w:rPr>
        <w:footnoteRef/>
      </w:r>
      <w:r w:rsidRPr="0005704F">
        <w:rPr>
          <w:rFonts w:ascii="Verdana" w:hAnsi="Verdana"/>
          <w:sz w:val="16"/>
          <w:szCs w:val="16"/>
          <w:lang w:val="pt-BR"/>
        </w:rPr>
        <w:t xml:space="preserve"> </w:t>
      </w:r>
      <w:r w:rsidRPr="0005704F">
        <w:rPr>
          <w:rFonts w:ascii="Verdana" w:hAnsi="Verdana"/>
          <w:i/>
          <w:iCs/>
          <w:sz w:val="16"/>
          <w:szCs w:val="16"/>
          <w:lang w:val="pt-BR"/>
        </w:rPr>
        <w:t>Ibidem</w:t>
      </w:r>
      <w:r w:rsidRPr="0005704F">
        <w:rPr>
          <w:rFonts w:ascii="Verdana" w:hAnsi="Verdana"/>
          <w:sz w:val="16"/>
          <w:szCs w:val="16"/>
          <w:lang w:val="pt-BR"/>
        </w:rPr>
        <w:t xml:space="preserve">. </w:t>
      </w:r>
    </w:p>
  </w:footnote>
  <w:footnote w:id="12">
    <w:p w14:paraId="4C212241" w14:textId="77777777" w:rsidR="00B46696" w:rsidRPr="0005704F" w:rsidRDefault="00B46696" w:rsidP="00B46696">
      <w:pPr>
        <w:pStyle w:val="Textonotapie"/>
        <w:ind w:firstLine="708"/>
        <w:jc w:val="both"/>
        <w:rPr>
          <w:rFonts w:ascii="Verdana" w:hAnsi="Verdana"/>
          <w:color w:val="333333"/>
          <w:sz w:val="16"/>
          <w:szCs w:val="16"/>
          <w:shd w:val="clear" w:color="auto" w:fill="FFFFFF"/>
          <w:lang w:val="pt-BR"/>
        </w:rPr>
      </w:pPr>
      <w:r w:rsidRPr="0005704F">
        <w:rPr>
          <w:rStyle w:val="Refdenotaalpie"/>
          <w:rFonts w:ascii="Verdana" w:hAnsi="Verdana"/>
          <w:sz w:val="16"/>
          <w:szCs w:val="16"/>
        </w:rPr>
        <w:footnoteRef/>
      </w:r>
      <w:r w:rsidRPr="0005704F">
        <w:rPr>
          <w:rFonts w:ascii="Verdana" w:hAnsi="Verdana"/>
          <w:sz w:val="16"/>
          <w:szCs w:val="16"/>
          <w:lang w:val="pt-BR"/>
        </w:rPr>
        <w:t xml:space="preserve"> </w:t>
      </w:r>
      <w:r w:rsidRPr="0005704F">
        <w:rPr>
          <w:rFonts w:ascii="Verdana" w:hAnsi="Verdana" w:cs="Arial"/>
          <w:sz w:val="16"/>
          <w:szCs w:val="16"/>
          <w:lang w:val="pt-BR"/>
        </w:rPr>
        <w:t xml:space="preserve">Corte Constitucional, Sentencia </w:t>
      </w:r>
      <w:r w:rsidRPr="0005704F">
        <w:rPr>
          <w:rFonts w:ascii="Verdana" w:eastAsia="Times New Roman" w:hAnsi="Verdana" w:cs="Arial"/>
          <w:sz w:val="16"/>
          <w:szCs w:val="16"/>
          <w:lang w:val="pt-BR" w:eastAsia="es-MX"/>
        </w:rPr>
        <w:t>C-917 de 2002</w:t>
      </w:r>
      <w:r w:rsidRPr="0005704F">
        <w:rPr>
          <w:rFonts w:ascii="Verdana" w:hAnsi="Verdana" w:cs="Arial"/>
          <w:sz w:val="16"/>
          <w:szCs w:val="16"/>
          <w:lang w:val="pt-BR"/>
        </w:rPr>
        <w:t xml:space="preserve">. M.P.: </w:t>
      </w:r>
      <w:r w:rsidRPr="0005704F">
        <w:rPr>
          <w:rFonts w:ascii="Verdana" w:hAnsi="Verdana"/>
          <w:color w:val="333333"/>
          <w:sz w:val="16"/>
          <w:szCs w:val="16"/>
          <w:shd w:val="clear" w:color="auto" w:fill="FFFFFF"/>
          <w:lang w:val="pt-BR"/>
        </w:rPr>
        <w:t>Marco Gerardo Monroy Cabra.</w:t>
      </w:r>
    </w:p>
  </w:footnote>
  <w:footnote w:id="13">
    <w:p w14:paraId="2E2BE41E"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cs="Arial"/>
          <w:sz w:val="16"/>
          <w:szCs w:val="16"/>
        </w:rPr>
        <w:footnoteRef/>
      </w:r>
      <w:r w:rsidRPr="0005704F">
        <w:rPr>
          <w:rFonts w:ascii="Verdana" w:hAnsi="Verdana" w:cs="Arial"/>
          <w:sz w:val="16"/>
          <w:szCs w:val="16"/>
        </w:rPr>
        <w:t xml:space="preserve"> Artículo 1º del Decreto Ley 4170 de 2011.</w:t>
      </w:r>
    </w:p>
  </w:footnote>
  <w:footnote w:id="14">
    <w:p w14:paraId="64DB17D5"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sz w:val="16"/>
          <w:szCs w:val="16"/>
        </w:rPr>
        <w:footnoteRef/>
      </w:r>
      <w:r w:rsidRPr="0005704F">
        <w:rPr>
          <w:rFonts w:ascii="Verdana" w:hAnsi="Verdana"/>
          <w:sz w:val="16"/>
          <w:szCs w:val="16"/>
        </w:rPr>
        <w:t xml:space="preserve"> </w:t>
      </w:r>
      <w:r w:rsidRPr="0005704F">
        <w:rPr>
          <w:rFonts w:ascii="Verdana" w:hAnsi="Verdana" w:cs="Arial"/>
          <w:sz w:val="16"/>
          <w:szCs w:val="16"/>
        </w:rPr>
        <w:t>Ver el Artículo 11 numeral 12 del Decreto Ley 4170 de 2011.</w:t>
      </w:r>
    </w:p>
  </w:footnote>
  <w:footnote w:id="15">
    <w:p w14:paraId="442E246A"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cs="Arial"/>
          <w:sz w:val="16"/>
          <w:szCs w:val="16"/>
        </w:rPr>
        <w:footnoteRef/>
      </w:r>
      <w:r w:rsidRPr="0005704F">
        <w:rPr>
          <w:rStyle w:val="Refdenotaalpie"/>
          <w:rFonts w:ascii="Verdana" w:hAnsi="Verdana" w:cs="Arial"/>
          <w:sz w:val="16"/>
          <w:szCs w:val="16"/>
        </w:rPr>
        <w:t xml:space="preserve"> </w:t>
      </w:r>
      <w:r w:rsidRPr="0005704F">
        <w:rPr>
          <w:rFonts w:ascii="Verdana" w:hAnsi="Verdana" w:cs="Arial"/>
          <w:sz w:val="16"/>
          <w:szCs w:val="16"/>
        </w:rPr>
        <w:t>Consejo de Estado. Sección Tercera. Auto del 14 de agosto de 2017. Rad. 58820.</w:t>
      </w:r>
    </w:p>
  </w:footnote>
  <w:footnote w:id="16">
    <w:p w14:paraId="3937CEC6" w14:textId="77777777" w:rsidR="00B46696" w:rsidRPr="0005704F" w:rsidRDefault="00B46696" w:rsidP="00B46696">
      <w:pPr>
        <w:pStyle w:val="Textonotapie"/>
        <w:ind w:firstLine="708"/>
        <w:jc w:val="both"/>
        <w:rPr>
          <w:rFonts w:ascii="Verdana" w:hAnsi="Verdana"/>
          <w:sz w:val="16"/>
          <w:szCs w:val="16"/>
        </w:rPr>
      </w:pPr>
      <w:r w:rsidRPr="0005704F">
        <w:rPr>
          <w:rStyle w:val="Refdenotaalpie"/>
          <w:rFonts w:ascii="Verdana" w:hAnsi="Verdana"/>
          <w:sz w:val="16"/>
          <w:szCs w:val="16"/>
        </w:rPr>
        <w:footnoteRef/>
      </w:r>
      <w:r w:rsidRPr="0005704F">
        <w:rPr>
          <w:rFonts w:ascii="Verdana" w:hAnsi="Verdana"/>
          <w:sz w:val="16"/>
          <w:szCs w:val="16"/>
        </w:rPr>
        <w:t xml:space="preserve"> Consejo de Estado. Sección Tercera. Sentencia del 16 de agosto de 2017. Rad. 56166.</w:t>
      </w:r>
    </w:p>
  </w:footnote>
  <w:footnote w:id="17">
    <w:p w14:paraId="2D045AB9"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cs="Arial"/>
          <w:sz w:val="16"/>
          <w:szCs w:val="16"/>
        </w:rPr>
        <w:footnoteRef/>
      </w:r>
      <w:r w:rsidRPr="0005704F">
        <w:rPr>
          <w:rFonts w:ascii="Verdana" w:hAnsi="Verdana" w:cs="Arial"/>
          <w:i/>
          <w:iCs/>
          <w:sz w:val="16"/>
          <w:szCs w:val="16"/>
        </w:rPr>
        <w:t>Ibídem</w:t>
      </w:r>
      <w:r w:rsidRPr="0005704F">
        <w:rPr>
          <w:rFonts w:ascii="Verdana" w:hAnsi="Verdana" w:cs="Arial"/>
          <w:sz w:val="16"/>
          <w:szCs w:val="16"/>
        </w:rPr>
        <w:t xml:space="preserve">. </w:t>
      </w:r>
    </w:p>
  </w:footnote>
  <w:footnote w:id="18">
    <w:p w14:paraId="1B19280D" w14:textId="77777777" w:rsidR="00B46696" w:rsidRPr="0005704F" w:rsidRDefault="00B46696" w:rsidP="00B46696">
      <w:pPr>
        <w:pStyle w:val="Textonotapie"/>
        <w:ind w:firstLine="708"/>
        <w:jc w:val="both"/>
        <w:rPr>
          <w:rFonts w:ascii="Verdana" w:hAnsi="Verdana" w:cs="Arial"/>
          <w:sz w:val="16"/>
          <w:szCs w:val="16"/>
        </w:rPr>
      </w:pPr>
      <w:r w:rsidRPr="0005704F">
        <w:rPr>
          <w:rStyle w:val="Refdenotaalpie"/>
          <w:rFonts w:ascii="Verdana" w:hAnsi="Verdana" w:cs="Arial"/>
          <w:sz w:val="16"/>
          <w:szCs w:val="16"/>
        </w:rPr>
        <w:footnoteRef/>
      </w:r>
      <w:r w:rsidRPr="0005704F">
        <w:rPr>
          <w:rStyle w:val="Refdenotaalpie"/>
          <w:rFonts w:ascii="Verdana" w:hAnsi="Verdana" w:cs="Arial"/>
          <w:sz w:val="16"/>
          <w:szCs w:val="16"/>
        </w:rPr>
        <w:t xml:space="preserve"> </w:t>
      </w:r>
      <w:r w:rsidRPr="0005704F">
        <w:rPr>
          <w:rFonts w:ascii="Verdana" w:hAnsi="Verdana" w:cs="Arial"/>
          <w:sz w:val="16"/>
          <w:szCs w:val="16"/>
        </w:rPr>
        <w:t>Consejo de Estado. Sección Tercera. Sentencia de 11 de abril de 2019. Rad. 52.055.</w:t>
      </w:r>
    </w:p>
  </w:footnote>
  <w:footnote w:id="19">
    <w:p w14:paraId="2F224115" w14:textId="77777777" w:rsidR="00B46696" w:rsidRPr="0005704F" w:rsidRDefault="00B46696" w:rsidP="00B46696">
      <w:pPr>
        <w:pStyle w:val="Textonotapie"/>
        <w:ind w:firstLine="708"/>
        <w:jc w:val="both"/>
        <w:rPr>
          <w:rFonts w:ascii="Verdana" w:hAnsi="Verdana"/>
          <w:sz w:val="16"/>
          <w:szCs w:val="16"/>
        </w:rPr>
      </w:pPr>
      <w:r w:rsidRPr="0005704F">
        <w:rPr>
          <w:rStyle w:val="Refdenotaalpie"/>
          <w:rFonts w:ascii="Verdana" w:hAnsi="Verdana"/>
          <w:sz w:val="16"/>
          <w:szCs w:val="16"/>
        </w:rPr>
        <w:footnoteRef/>
      </w:r>
      <w:r w:rsidRPr="0005704F">
        <w:rPr>
          <w:rFonts w:ascii="Verdana" w:hAnsi="Verdana"/>
          <w:sz w:val="16"/>
          <w:szCs w:val="16"/>
        </w:rPr>
        <w:t xml:space="preserve"> </w:t>
      </w:r>
      <w:r w:rsidRPr="0005704F">
        <w:rPr>
          <w:rFonts w:ascii="Verdana" w:hAnsi="Verdana"/>
          <w:i/>
          <w:iCs/>
          <w:sz w:val="16"/>
          <w:szCs w:val="16"/>
        </w:rPr>
        <w:t>Ibidem</w:t>
      </w:r>
      <w:r w:rsidRPr="0005704F">
        <w:rPr>
          <w:rFonts w:ascii="Verdana" w:hAnsi="Verdana"/>
          <w:sz w:val="16"/>
          <w:szCs w:val="16"/>
        </w:rPr>
        <w:t>.</w:t>
      </w:r>
    </w:p>
  </w:footnote>
  <w:footnote w:id="20">
    <w:p w14:paraId="50278B9C" w14:textId="77777777" w:rsidR="00B46696" w:rsidRPr="0005704F" w:rsidRDefault="00B46696" w:rsidP="00B46696">
      <w:pPr>
        <w:pStyle w:val="Textonotapie"/>
        <w:ind w:firstLine="708"/>
        <w:jc w:val="both"/>
        <w:rPr>
          <w:rFonts w:ascii="Verdana" w:hAnsi="Verdana" w:cs="Arial"/>
          <w:color w:val="000000"/>
          <w:sz w:val="16"/>
          <w:szCs w:val="16"/>
          <w:lang w:val="es-ES"/>
        </w:rPr>
      </w:pPr>
      <w:r w:rsidRPr="0005704F">
        <w:rPr>
          <w:rStyle w:val="Refdenotaalpie"/>
          <w:rFonts w:ascii="Verdana" w:hAnsi="Verdana" w:cs="Arial"/>
          <w:color w:val="000000"/>
          <w:sz w:val="16"/>
          <w:szCs w:val="16"/>
        </w:rPr>
        <w:footnoteRef/>
      </w:r>
      <w:r w:rsidRPr="0005704F">
        <w:rPr>
          <w:rFonts w:ascii="Verdana" w:hAnsi="Verdana" w:cs="Arial"/>
          <w:color w:val="000000"/>
          <w:sz w:val="16"/>
          <w:szCs w:val="16"/>
        </w:rPr>
        <w:t xml:space="preserve"> </w:t>
      </w:r>
      <w:r w:rsidRPr="0005704F">
        <w:rPr>
          <w:rFonts w:ascii="Verdana" w:hAnsi="Verdana" w:cs="Arial"/>
          <w:color w:val="000000"/>
          <w:sz w:val="16"/>
          <w:szCs w:val="16"/>
          <w:lang w:val="es-ES"/>
        </w:rPr>
        <w:t>En cuanto a las resoluciones vigentes, dicha regla se observa en el artículo 3 de las Resoluciones</w:t>
      </w:r>
      <w:bookmarkStart w:id="2" w:name="_Hlk82363077"/>
      <w:r w:rsidRPr="0005704F">
        <w:rPr>
          <w:rFonts w:ascii="Verdana" w:hAnsi="Verdana" w:cs="Arial"/>
          <w:color w:val="000000"/>
          <w:sz w:val="16"/>
          <w:szCs w:val="16"/>
          <w:lang w:val="es-ES"/>
        </w:rPr>
        <w:t xml:space="preserve"> 248 de 2020, 249 de 2020, 269 de 2020, 219 de 2021, 220 de 2021, 392 de 2021, 454 de 2021, 333 de 2022, 358 de 2023, 798 de 2023, 456 de 2024, 463 de 2024, 464 de 2024, 725 de 2024, 726 de 2024, entre otras</w:t>
      </w:r>
      <w:bookmarkEnd w:id="2"/>
      <w:r w:rsidRPr="0005704F">
        <w:rPr>
          <w:rFonts w:ascii="Verdana" w:hAnsi="Verdana" w:cs="Arial"/>
          <w:color w:val="000000"/>
          <w:sz w:val="16"/>
          <w:szCs w:val="16"/>
          <w:lang w:val="es-ES"/>
        </w:rPr>
        <w:t xml:space="preserve">. </w:t>
      </w:r>
    </w:p>
  </w:footnote>
  <w:footnote w:id="21">
    <w:p w14:paraId="1823B65E" w14:textId="77777777" w:rsidR="00B46696" w:rsidRPr="0005704F" w:rsidRDefault="00B46696" w:rsidP="00B46696">
      <w:pPr>
        <w:pStyle w:val="Textonotapie"/>
        <w:ind w:firstLine="708"/>
        <w:jc w:val="both"/>
        <w:rPr>
          <w:rFonts w:ascii="Verdana" w:hAnsi="Verdana" w:cs="Arial"/>
          <w:color w:val="000000"/>
          <w:sz w:val="16"/>
          <w:szCs w:val="16"/>
        </w:rPr>
      </w:pPr>
      <w:r w:rsidRPr="0005704F">
        <w:rPr>
          <w:rStyle w:val="Refdenotaalpie"/>
          <w:rFonts w:ascii="Verdana" w:hAnsi="Verdana" w:cs="Arial"/>
          <w:color w:val="000000"/>
          <w:sz w:val="16"/>
          <w:szCs w:val="16"/>
        </w:rPr>
        <w:footnoteRef/>
      </w:r>
      <w:r w:rsidRPr="0005704F">
        <w:rPr>
          <w:rFonts w:ascii="Verdana" w:hAnsi="Verdana" w:cs="Arial"/>
          <w:color w:val="000000"/>
          <w:sz w:val="16"/>
          <w:szCs w:val="16"/>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w:t>
      </w:r>
      <w:r>
        <w:rPr>
          <w:rFonts w:ascii="Verdana" w:hAnsi="Verdana" w:cs="Arial"/>
          <w:color w:val="000000"/>
          <w:sz w:val="16"/>
          <w:szCs w:val="16"/>
        </w:rPr>
        <w:t>[…]</w:t>
      </w:r>
      <w:r w:rsidRPr="0005704F">
        <w:rPr>
          <w:rFonts w:ascii="Verdana" w:hAnsi="Verdana" w:cs="Arial"/>
          <w:color w:val="000000"/>
          <w:sz w:val="16"/>
          <w:szCs w:val="16"/>
        </w:rPr>
        <w:t xml:space="preserve">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footnote>
  <w:footnote w:id="22">
    <w:p w14:paraId="2D17EDB2" w14:textId="77777777" w:rsidR="00B46696" w:rsidRPr="0005704F" w:rsidRDefault="00B46696" w:rsidP="00B46696">
      <w:pPr>
        <w:pStyle w:val="Textonotapie"/>
        <w:ind w:firstLine="709"/>
        <w:jc w:val="both"/>
        <w:rPr>
          <w:rFonts w:ascii="Verdana" w:hAnsi="Verdana" w:cs="Arial"/>
          <w:color w:val="000000"/>
          <w:sz w:val="16"/>
          <w:szCs w:val="16"/>
        </w:rPr>
      </w:pPr>
      <w:r w:rsidRPr="0005704F">
        <w:rPr>
          <w:rStyle w:val="Refdenotaalpie"/>
          <w:rFonts w:ascii="Verdana" w:hAnsi="Verdana" w:cs="Arial"/>
          <w:color w:val="000000"/>
          <w:sz w:val="16"/>
          <w:szCs w:val="16"/>
        </w:rPr>
        <w:footnoteRef/>
      </w:r>
      <w:r w:rsidRPr="0005704F">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footnote>
  <w:footnote w:id="23">
    <w:p w14:paraId="0A068C53" w14:textId="77777777" w:rsidR="00B46696" w:rsidRPr="0005704F" w:rsidRDefault="00B46696" w:rsidP="00B46696">
      <w:pPr>
        <w:spacing w:after="0" w:line="240" w:lineRule="auto"/>
        <w:ind w:firstLine="709"/>
        <w:jc w:val="both"/>
        <w:rPr>
          <w:rFonts w:ascii="Verdana" w:hAnsi="Verdana" w:cs="Arial"/>
          <w:color w:val="000000"/>
          <w:sz w:val="16"/>
          <w:szCs w:val="16"/>
          <w:lang w:val="es-ES"/>
        </w:rPr>
      </w:pPr>
      <w:r w:rsidRPr="0005704F">
        <w:rPr>
          <w:rStyle w:val="Refdenotaalpie"/>
          <w:rFonts w:ascii="Verdana" w:hAnsi="Verdana" w:cs="Arial"/>
          <w:color w:val="000000"/>
          <w:sz w:val="16"/>
          <w:szCs w:val="16"/>
        </w:rPr>
        <w:footnoteRef/>
      </w:r>
      <w:r w:rsidRPr="0005704F">
        <w:rPr>
          <w:rFonts w:ascii="Verdana" w:hAnsi="Verdana" w:cs="Arial"/>
          <w:color w:val="000000"/>
          <w:sz w:val="16"/>
          <w:szCs w:val="16"/>
        </w:rPr>
        <w:t xml:space="preserve"> </w:t>
      </w:r>
      <w:r w:rsidRPr="0005704F">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24">
    <w:p w14:paraId="38420AA5" w14:textId="77777777" w:rsidR="00B46696" w:rsidRPr="0005704F" w:rsidRDefault="00B46696" w:rsidP="00B46696">
      <w:pPr>
        <w:pStyle w:val="Textonotapie"/>
        <w:ind w:firstLine="708"/>
        <w:jc w:val="both"/>
        <w:rPr>
          <w:rFonts w:ascii="Verdana" w:hAnsi="Verdana" w:cs="Arial"/>
          <w:sz w:val="16"/>
          <w:szCs w:val="16"/>
          <w:lang w:val="es-ES"/>
        </w:rPr>
      </w:pPr>
      <w:r w:rsidRPr="0005704F">
        <w:rPr>
          <w:rStyle w:val="Refdenotaalpie"/>
          <w:rFonts w:ascii="Verdana" w:hAnsi="Verdana" w:cs="Arial"/>
          <w:sz w:val="16"/>
          <w:szCs w:val="16"/>
        </w:rPr>
        <w:footnoteRef/>
      </w:r>
      <w:r w:rsidRPr="0005704F">
        <w:rPr>
          <w:rFonts w:ascii="Verdana" w:hAnsi="Verdana" w:cs="Arial"/>
          <w:sz w:val="16"/>
          <w:szCs w:val="16"/>
        </w:rPr>
        <w:t xml:space="preserve"> Diccionario de la Real Academia Española, versión online disponible en: </w:t>
      </w:r>
      <w:hyperlink r:id="rId2" w:history="1">
        <w:r w:rsidRPr="0005704F">
          <w:rPr>
            <w:rStyle w:val="Hipervnculo"/>
            <w:rFonts w:ascii="Verdana" w:hAnsi="Verdana" w:cs="Arial"/>
            <w:sz w:val="16"/>
            <w:szCs w:val="16"/>
          </w:rPr>
          <w:t>https://dle.rae.es/est%C3%A1ndar</w:t>
        </w:r>
      </w:hyperlink>
      <w:r w:rsidRPr="0005704F">
        <w:rPr>
          <w:rFonts w:ascii="Verdana" w:hAnsi="Verdana" w:cs="Arial"/>
          <w:sz w:val="16"/>
          <w:szCs w:val="16"/>
        </w:rPr>
        <w:t xml:space="preserve">, consultado el 2 de junio de 2020. </w:t>
      </w:r>
    </w:p>
  </w:footnote>
  <w:footnote w:id="25">
    <w:p w14:paraId="589F2226" w14:textId="77777777" w:rsidR="00B46696" w:rsidRPr="0005704F" w:rsidRDefault="00B46696" w:rsidP="00B46696">
      <w:pPr>
        <w:spacing w:after="0" w:line="240" w:lineRule="auto"/>
        <w:ind w:firstLine="708"/>
        <w:jc w:val="both"/>
        <w:rPr>
          <w:rFonts w:ascii="Verdana" w:hAnsi="Verdana" w:cs="Arial"/>
          <w:color w:val="000000"/>
          <w:sz w:val="16"/>
          <w:szCs w:val="16"/>
        </w:rPr>
      </w:pPr>
      <w:r w:rsidRPr="0005704F">
        <w:rPr>
          <w:rStyle w:val="Refdenotaalpie"/>
          <w:rFonts w:ascii="Verdana" w:hAnsi="Verdana" w:cs="Arial"/>
          <w:color w:val="000000"/>
          <w:sz w:val="16"/>
          <w:szCs w:val="16"/>
        </w:rPr>
        <w:footnoteRef/>
      </w:r>
      <w:r w:rsidRPr="0005704F">
        <w:rPr>
          <w:rFonts w:ascii="Verdana" w:hAnsi="Verdana" w:cs="Arial"/>
          <w:color w:val="000000"/>
          <w:sz w:val="16"/>
          <w:szCs w:val="16"/>
        </w:rPr>
        <w:t xml:space="preserve"> Cita tomada de la providencia del 20 de febrero de 2020, dictada por el Consejo de Estado. Sección Tercera. Subsección A, dentro del expediente 47001-23-33-000-2018-00035-01 (63.854), cuya ponente fue Marta Nubia Velásquez Rico.</w:t>
      </w:r>
    </w:p>
  </w:footnote>
  <w:footnote w:id="26">
    <w:p w14:paraId="6BEDED36" w14:textId="77777777" w:rsidR="00B46696" w:rsidRPr="0005704F" w:rsidRDefault="00B46696" w:rsidP="00B46696">
      <w:pPr>
        <w:pStyle w:val="Textonotapie"/>
        <w:ind w:firstLine="708"/>
        <w:jc w:val="both"/>
        <w:rPr>
          <w:rFonts w:ascii="Verdana" w:hAnsi="Verdana"/>
          <w:sz w:val="16"/>
          <w:szCs w:val="16"/>
        </w:rPr>
      </w:pPr>
      <w:r w:rsidRPr="0005704F">
        <w:rPr>
          <w:rStyle w:val="Refdenotaalpie"/>
          <w:rFonts w:ascii="Verdana" w:hAnsi="Verdana"/>
          <w:sz w:val="16"/>
          <w:szCs w:val="16"/>
        </w:rPr>
        <w:footnoteRef/>
      </w:r>
      <w:r w:rsidRPr="0005704F">
        <w:rPr>
          <w:rFonts w:ascii="Verdana" w:hAnsi="Verdana"/>
          <w:sz w:val="16"/>
          <w:szCs w:val="16"/>
        </w:rPr>
        <w:t xml:space="preserve"> Por el cual se modifican los artículos 2.2.1.2.4.2.6.,2.2.1.2.4.2.7. Y 2.2.1.2.4.2.8. del Decreto 1082 de 2015, Único Reglamentario del Sector Administrativo de Planeación".</w:t>
      </w:r>
    </w:p>
  </w:footnote>
  <w:footnote w:id="27">
    <w:p w14:paraId="21B20F8E" w14:textId="77777777" w:rsidR="00B46696" w:rsidRPr="0005704F" w:rsidRDefault="00B46696" w:rsidP="00B46696">
      <w:pPr>
        <w:pStyle w:val="Textonotapie"/>
        <w:ind w:firstLine="708"/>
        <w:jc w:val="both"/>
        <w:rPr>
          <w:rFonts w:ascii="Verdana" w:hAnsi="Verdana"/>
          <w:sz w:val="16"/>
          <w:szCs w:val="16"/>
        </w:rPr>
      </w:pPr>
      <w:r w:rsidRPr="0005704F">
        <w:rPr>
          <w:rStyle w:val="Refdenotaalpie"/>
          <w:rFonts w:ascii="Verdana" w:hAnsi="Verdana"/>
          <w:sz w:val="16"/>
          <w:szCs w:val="16"/>
        </w:rPr>
        <w:footnoteRef/>
      </w:r>
      <w:r w:rsidRPr="0005704F">
        <w:rPr>
          <w:rFonts w:ascii="Verdana" w:hAnsi="Verdana"/>
          <w:sz w:val="16"/>
          <w:szCs w:val="16"/>
        </w:rPr>
        <w:t xml:space="preserve"> Consejo de Estado, Sección Quinta, del 12 de diciembre de 2024 (Rad. 05001-23-33-000-2024-00847-01, M.P. Omar Joaquín Barreto Suárez)</w:t>
      </w:r>
    </w:p>
  </w:footnote>
  <w:footnote w:id="28">
    <w:p w14:paraId="470B7375" w14:textId="77777777" w:rsidR="00B46696" w:rsidRPr="0005704F" w:rsidRDefault="00B46696" w:rsidP="00B46696">
      <w:pPr>
        <w:pStyle w:val="Textonotapie"/>
        <w:ind w:firstLine="708"/>
        <w:jc w:val="both"/>
        <w:rPr>
          <w:rFonts w:ascii="Verdana" w:hAnsi="Verdana"/>
          <w:sz w:val="16"/>
          <w:szCs w:val="16"/>
          <w:lang w:val="es-ES_tradnl"/>
        </w:rPr>
      </w:pPr>
      <w:r w:rsidRPr="0005704F">
        <w:rPr>
          <w:rStyle w:val="Refdenotaalpie"/>
          <w:rFonts w:ascii="Verdana" w:hAnsi="Verdana"/>
          <w:sz w:val="16"/>
          <w:szCs w:val="16"/>
        </w:rPr>
        <w:footnoteRef/>
      </w:r>
      <w:r w:rsidRPr="0005704F">
        <w:rPr>
          <w:rFonts w:ascii="Verdana" w:hAnsi="Verdana"/>
          <w:sz w:val="16"/>
          <w:szCs w:val="16"/>
        </w:rPr>
        <w:t xml:space="preserve"> "Por el cual se reglamentan los numerales 1 y 8 del artículo 13 de la Ley 1618 de 2013, sobre incentivos en Procesos de Contratación en favor de personas con discapacidad”. </w:t>
      </w:r>
    </w:p>
  </w:footnote>
  <w:footnote w:id="29">
    <w:p w14:paraId="1D59242D" w14:textId="77777777" w:rsidR="00B46696" w:rsidRPr="0005704F" w:rsidRDefault="00B46696" w:rsidP="00B46696">
      <w:pPr>
        <w:pStyle w:val="Textonotapie"/>
        <w:ind w:firstLine="708"/>
        <w:jc w:val="both"/>
        <w:rPr>
          <w:rFonts w:ascii="Verdana" w:hAnsi="Verdana"/>
          <w:sz w:val="16"/>
          <w:szCs w:val="16"/>
          <w:lang w:val="es-ES_tradnl"/>
        </w:rPr>
      </w:pPr>
      <w:r w:rsidRPr="0005704F">
        <w:rPr>
          <w:rStyle w:val="Refdenotaalpie"/>
          <w:rFonts w:ascii="Verdana" w:hAnsi="Verdana"/>
          <w:sz w:val="16"/>
          <w:szCs w:val="16"/>
        </w:rPr>
        <w:footnoteRef/>
      </w:r>
      <w:r w:rsidRPr="0005704F">
        <w:rPr>
          <w:rFonts w:ascii="Verdana" w:hAnsi="Verdana"/>
          <w:sz w:val="16"/>
          <w:szCs w:val="16"/>
        </w:rPr>
        <w:t xml:space="preserve"> Parte considerativa del Decreto 287 de 2026.</w:t>
      </w:r>
    </w:p>
  </w:footnote>
  <w:footnote w:id="30">
    <w:p w14:paraId="7FCD8F8F" w14:textId="77777777" w:rsidR="00B46696" w:rsidRPr="0005704F" w:rsidRDefault="00B46696" w:rsidP="00B46696">
      <w:pPr>
        <w:pStyle w:val="Textonotapie"/>
        <w:ind w:firstLine="708"/>
        <w:jc w:val="both"/>
        <w:rPr>
          <w:rFonts w:ascii="Verdana" w:hAnsi="Verdana"/>
          <w:sz w:val="16"/>
          <w:szCs w:val="16"/>
        </w:rPr>
      </w:pPr>
      <w:r w:rsidRPr="0005704F">
        <w:rPr>
          <w:rStyle w:val="Refdenotaalpie"/>
          <w:rFonts w:ascii="Verdana" w:hAnsi="Verdana"/>
          <w:sz w:val="16"/>
          <w:szCs w:val="16"/>
        </w:rPr>
        <w:footnoteRef/>
      </w:r>
      <w:r w:rsidRPr="0005704F">
        <w:rPr>
          <w:rFonts w:ascii="Verdana" w:hAnsi="Verdana"/>
          <w:sz w:val="16"/>
          <w:szCs w:val="16"/>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0C097084" w14:textId="77777777" w:rsidR="00B46696" w:rsidRPr="0005704F" w:rsidRDefault="00B46696" w:rsidP="00B46696">
      <w:pPr>
        <w:pStyle w:val="Textonotapie"/>
        <w:ind w:firstLine="708"/>
        <w:jc w:val="both"/>
        <w:rPr>
          <w:rFonts w:ascii="Verdana" w:hAnsi="Verdana"/>
          <w:sz w:val="16"/>
          <w:szCs w:val="16"/>
        </w:rPr>
      </w:pPr>
      <w:r w:rsidRPr="0005704F">
        <w:rPr>
          <w:rFonts w:ascii="Verdana" w:hAnsi="Verdana"/>
          <w:sz w:val="16"/>
          <w:szCs w:val="16"/>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612E2C54" w14:textId="77777777" w:rsidR="00B46696" w:rsidRPr="0005704F" w:rsidRDefault="00B46696" w:rsidP="00B46696">
      <w:pPr>
        <w:pStyle w:val="Textonotapie"/>
        <w:ind w:firstLine="708"/>
        <w:jc w:val="both"/>
        <w:rPr>
          <w:rFonts w:ascii="Verdana" w:hAnsi="Verdana"/>
          <w:sz w:val="16"/>
          <w:szCs w:val="16"/>
          <w:lang w:val="es-ES_tradnl"/>
        </w:rPr>
      </w:pPr>
      <w:r>
        <w:rPr>
          <w:rFonts w:ascii="Verdana" w:hAnsi="Verdana"/>
          <w:sz w:val="16"/>
          <w:szCs w:val="16"/>
        </w:rPr>
        <w:t>[…]</w:t>
      </w:r>
      <w:r w:rsidRPr="0005704F">
        <w:rPr>
          <w:rFonts w:ascii="Verdana" w:hAnsi="Verdana"/>
          <w:sz w:val="16"/>
          <w:szCs w:val="16"/>
        </w:rPr>
        <w:t xml:space="preserve">”. </w:t>
      </w:r>
    </w:p>
  </w:footnote>
  <w:footnote w:id="31">
    <w:p w14:paraId="43676B15" w14:textId="77777777" w:rsidR="00B46696" w:rsidRPr="0005704F" w:rsidRDefault="00B46696" w:rsidP="00B46696">
      <w:pPr>
        <w:shd w:val="clear" w:color="auto" w:fill="FFFFFF"/>
        <w:spacing w:after="0" w:line="240" w:lineRule="auto"/>
        <w:ind w:firstLine="708"/>
        <w:jc w:val="both"/>
        <w:rPr>
          <w:rFonts w:ascii="Verdana" w:eastAsia="Times New Roman" w:hAnsi="Verdana" w:cs="Times New Roman"/>
          <w:color w:val="333333"/>
          <w:sz w:val="16"/>
          <w:szCs w:val="16"/>
          <w:lang w:eastAsia="es-MX"/>
        </w:rPr>
      </w:pPr>
      <w:r w:rsidRPr="0005704F">
        <w:rPr>
          <w:rStyle w:val="Refdenotaalpie"/>
          <w:rFonts w:ascii="Verdana" w:hAnsi="Verdana"/>
          <w:sz w:val="16"/>
          <w:szCs w:val="16"/>
        </w:rPr>
        <w:footnoteRef/>
      </w:r>
      <w:r w:rsidRPr="0005704F">
        <w:rPr>
          <w:rFonts w:ascii="Verdana" w:hAnsi="Verdana"/>
          <w:sz w:val="16"/>
          <w:szCs w:val="16"/>
        </w:rPr>
        <w:t xml:space="preserve"> Al respecto el artículo 1 de la Ley 2022 de 2020 señala: “</w:t>
      </w:r>
      <w:r>
        <w:rPr>
          <w:rFonts w:ascii="Verdana" w:hAnsi="Verdana"/>
          <w:sz w:val="16"/>
          <w:szCs w:val="16"/>
        </w:rPr>
        <w:t>[…]</w:t>
      </w:r>
      <w:r w:rsidRPr="0005704F">
        <w:rPr>
          <w:rFonts w:ascii="Verdana" w:hAnsi="Verdana"/>
          <w:sz w:val="16"/>
          <w:szCs w:val="16"/>
        </w:rPr>
        <w:t xml:space="preserve"> </w:t>
      </w:r>
      <w:r w:rsidRPr="0005704F">
        <w:rPr>
          <w:rFonts w:ascii="Verdana" w:eastAsia="Times New Roman" w:hAnsi="Verdana" w:cs="Times New Roman"/>
          <w:color w:val="333333"/>
          <w:sz w:val="16"/>
          <w:szCs w:val="16"/>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183D2ED" w14:textId="77777777" w:rsidR="00B46696" w:rsidRPr="0005704F" w:rsidRDefault="00B46696" w:rsidP="00B46696">
      <w:pPr>
        <w:pStyle w:val="Textonotapie"/>
        <w:jc w:val="both"/>
        <w:rPr>
          <w:rFonts w:ascii="Verdana" w:hAnsi="Verdana"/>
          <w:sz w:val="16"/>
          <w:szCs w:val="16"/>
          <w:lang w:val="es-CO"/>
        </w:rPr>
      </w:pPr>
    </w:p>
  </w:footnote>
  <w:footnote w:id="32">
    <w:p w14:paraId="693FC72E" w14:textId="77777777" w:rsidR="00B46696" w:rsidRPr="0005704F" w:rsidRDefault="00B46696" w:rsidP="00B46696">
      <w:pPr>
        <w:pStyle w:val="Textonotapie"/>
        <w:ind w:firstLine="708"/>
        <w:jc w:val="both"/>
        <w:rPr>
          <w:rFonts w:ascii="Verdana" w:hAnsi="Verdana"/>
          <w:sz w:val="16"/>
          <w:szCs w:val="16"/>
          <w:lang w:val="es-ES_tradnl"/>
        </w:rPr>
      </w:pPr>
      <w:r w:rsidRPr="0005704F">
        <w:rPr>
          <w:rStyle w:val="Refdenotaalpie"/>
          <w:rFonts w:ascii="Verdana" w:hAnsi="Verdana"/>
          <w:sz w:val="16"/>
          <w:szCs w:val="16"/>
        </w:rPr>
        <w:footnoteRef/>
      </w:r>
      <w:r w:rsidRPr="0005704F">
        <w:rPr>
          <w:rFonts w:ascii="Verdana" w:hAnsi="Verdana"/>
          <w:sz w:val="16"/>
          <w:szCs w:val="16"/>
        </w:rPr>
        <w:t xml:space="preserve"> Documento disponible en el siguiente enlace: </w:t>
      </w:r>
      <w:hyperlink r:id="rId3" w:history="1">
        <w:r w:rsidRPr="0005704F">
          <w:rPr>
            <w:rStyle w:val="Hipervnculo"/>
            <w:rFonts w:ascii="Verdana" w:hAnsi="Verdana"/>
            <w:sz w:val="16"/>
            <w:szCs w:val="16"/>
          </w:rPr>
          <w:t>https://www.colombiacompra.gov.co/wp-content/uploads/2026/04/ABC-Decreto-0287-de-2026-1.pdf</w:t>
        </w:r>
      </w:hyperlink>
      <w:r w:rsidRPr="0005704F">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330140246">
    <w:abstractNumId w:val="0"/>
  </w:num>
  <w:num w:numId="17" w16cid:durableId="679089576">
    <w:abstractNumId w:val="10"/>
  </w:num>
  <w:num w:numId="18" w16cid:durableId="1069183687">
    <w:abstractNumId w:val="11"/>
  </w:num>
  <w:num w:numId="19" w16cid:durableId="1865904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2EFB"/>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3471F"/>
    <w:rsid w:val="003448F4"/>
    <w:rsid w:val="00353592"/>
    <w:rsid w:val="00374F5E"/>
    <w:rsid w:val="00377E3E"/>
    <w:rsid w:val="003A779E"/>
    <w:rsid w:val="003D0F4D"/>
    <w:rsid w:val="003D43EE"/>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2D9E"/>
    <w:rsid w:val="005D476C"/>
    <w:rsid w:val="006200BF"/>
    <w:rsid w:val="006219F8"/>
    <w:rsid w:val="006302F7"/>
    <w:rsid w:val="00646B9F"/>
    <w:rsid w:val="00665D70"/>
    <w:rsid w:val="00672078"/>
    <w:rsid w:val="006900D9"/>
    <w:rsid w:val="00706C16"/>
    <w:rsid w:val="007340C3"/>
    <w:rsid w:val="0075235A"/>
    <w:rsid w:val="007549FE"/>
    <w:rsid w:val="00756841"/>
    <w:rsid w:val="007649AB"/>
    <w:rsid w:val="00771D0C"/>
    <w:rsid w:val="007833AC"/>
    <w:rsid w:val="007A4A7A"/>
    <w:rsid w:val="007B268C"/>
    <w:rsid w:val="007B7171"/>
    <w:rsid w:val="007C0C0F"/>
    <w:rsid w:val="007C3DC2"/>
    <w:rsid w:val="007E5497"/>
    <w:rsid w:val="00806F5F"/>
    <w:rsid w:val="00820278"/>
    <w:rsid w:val="008258C9"/>
    <w:rsid w:val="00844AE9"/>
    <w:rsid w:val="0084557E"/>
    <w:rsid w:val="00867F95"/>
    <w:rsid w:val="008843B6"/>
    <w:rsid w:val="00890AEB"/>
    <w:rsid w:val="00891928"/>
    <w:rsid w:val="008A446D"/>
    <w:rsid w:val="008B25F1"/>
    <w:rsid w:val="008D180B"/>
    <w:rsid w:val="008F0EA7"/>
    <w:rsid w:val="00923EEF"/>
    <w:rsid w:val="009419F9"/>
    <w:rsid w:val="0095685E"/>
    <w:rsid w:val="00961B09"/>
    <w:rsid w:val="00965334"/>
    <w:rsid w:val="00967732"/>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46696"/>
    <w:rsid w:val="00B72CD3"/>
    <w:rsid w:val="00B72FFF"/>
    <w:rsid w:val="00BC09DE"/>
    <w:rsid w:val="00BC3D36"/>
    <w:rsid w:val="00BD54A6"/>
    <w:rsid w:val="00BD7F72"/>
    <w:rsid w:val="00BF7425"/>
    <w:rsid w:val="00C04FB3"/>
    <w:rsid w:val="00C11D8B"/>
    <w:rsid w:val="00C15139"/>
    <w:rsid w:val="00C330EB"/>
    <w:rsid w:val="00C50D69"/>
    <w:rsid w:val="00C5365C"/>
    <w:rsid w:val="00C65A3C"/>
    <w:rsid w:val="00C67723"/>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1DC"/>
    <w:rsid w:val="00E274AC"/>
    <w:rsid w:val="00E2764C"/>
    <w:rsid w:val="00E27F2E"/>
    <w:rsid w:val="00E50AFE"/>
    <w:rsid w:val="00E75C92"/>
    <w:rsid w:val="00E771DC"/>
    <w:rsid w:val="00E8772A"/>
    <w:rsid w:val="00E90F6B"/>
    <w:rsid w:val="00E92C27"/>
    <w:rsid w:val="00E9376A"/>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B4669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46696"/>
    <w:rPr>
      <w:rFonts w:ascii="Geomanist Light" w:hAnsi="Geomanist Light"/>
      <w:lang w:val="es-ES"/>
    </w:rPr>
  </w:style>
  <w:style w:type="character" w:customStyle="1" w:styleId="NormalWebCar">
    <w:name w:val="Normal (Web) Car"/>
    <w:link w:val="NormalWeb"/>
    <w:uiPriority w:val="99"/>
    <w:rsid w:val="00B4669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honwi.jimeno@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6/04/ABC-Decreto-0287-de-2026-1.pdf" TargetMode="External"/><Relationship Id="rId2" Type="http://schemas.openxmlformats.org/officeDocument/2006/relationships/hyperlink" Target="https://dle.rae.es/est%C3%A1ndar" TargetMode="External"/><Relationship Id="rId1" Type="http://schemas.openxmlformats.org/officeDocument/2006/relationships/hyperlink" Target="https://www.funcionpublica.gov.co/eva/gestornormativo/norma.php?i=8489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73B03D-791F-4637-9398-73DFF4299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40</Pages>
  <Words>13923</Words>
  <Characters>76582</Characters>
  <Application>Microsoft Office Word</Application>
  <DocSecurity>0</DocSecurity>
  <Lines>638</Lines>
  <Paragraphs>180</Paragraphs>
  <ScaleCrop>false</ScaleCrop>
  <Company/>
  <LinksUpToDate>false</LinksUpToDate>
  <CharactersWithSpaces>90325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2026-05-19T03:18:00Z</dcterms:created>
  <dcterms:modified xsi:type="dcterms:W3CDTF">2026-05-19T22:34:00Z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