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E8594B" w14:textId="3FDBA8EB" w:rsidR="00C10962" w:rsidRPr="00E045BC" w:rsidRDefault="00C10962" w:rsidP="0010548D">
      <w:pPr>
        <w:pStyle w:val="InviasNormal"/>
        <w:spacing w:before="0" w:after="0"/>
        <w:jc w:val="right"/>
        <w:rPr>
          <w:b/>
          <w:color w:val="auto"/>
          <w:sz w:val="20"/>
          <w:szCs w:val="20"/>
        </w:rPr>
      </w:pPr>
      <w:bookmarkStart w:id="0" w:name="_Hlk34041509"/>
      <w:bookmarkEnd w:id="0"/>
      <w:r w:rsidRPr="00E045BC">
        <w:rPr>
          <w:b/>
          <w:color w:val="auto"/>
          <w:sz w:val="20"/>
          <w:szCs w:val="20"/>
        </w:rPr>
        <w:t>CCE-DES-FM-17</w:t>
      </w:r>
    </w:p>
    <w:p w14:paraId="753255FF" w14:textId="40A5E03E" w:rsidR="00A14A6F" w:rsidRPr="00E045BC" w:rsidRDefault="00A14A6F" w:rsidP="0010548D">
      <w:pPr>
        <w:tabs>
          <w:tab w:val="left" w:pos="426"/>
        </w:tabs>
        <w:jc w:val="both"/>
        <w:rPr>
          <w:rFonts w:ascii="Arial" w:eastAsia="Calibri" w:hAnsi="Arial" w:cs="Arial"/>
          <w:b/>
          <w:sz w:val="22"/>
        </w:rPr>
      </w:pPr>
      <w:r w:rsidRPr="00E045BC">
        <w:rPr>
          <w:rFonts w:ascii="Arial" w:eastAsia="Calibri" w:hAnsi="Arial" w:cs="Arial"/>
          <w:b/>
          <w:sz w:val="22"/>
        </w:rPr>
        <w:t>INSTITUCIONES EDUCATIVAS OFICIAL</w:t>
      </w:r>
      <w:bookmarkStart w:id="1" w:name="_Hlk39676694"/>
      <w:r w:rsidR="0010548D" w:rsidRPr="00E045BC">
        <w:rPr>
          <w:rFonts w:ascii="Arial" w:eastAsia="Calibri" w:hAnsi="Arial" w:cs="Arial"/>
          <w:b/>
          <w:sz w:val="22"/>
        </w:rPr>
        <w:t>ES</w:t>
      </w:r>
      <w:r w:rsidR="007B2B9C" w:rsidRPr="00E045BC">
        <w:rPr>
          <w:rFonts w:ascii="Arial" w:eastAsia="Calibri" w:hAnsi="Arial" w:cs="Arial"/>
          <w:b/>
          <w:sz w:val="22"/>
        </w:rPr>
        <w:t xml:space="preserve"> </w:t>
      </w:r>
      <w:r w:rsidR="00BE3D8E" w:rsidRPr="00E045BC">
        <w:rPr>
          <w:rFonts w:ascii="Arial" w:eastAsia="Calibri" w:hAnsi="Arial" w:cs="Arial"/>
          <w:b/>
          <w:sz w:val="22"/>
        </w:rPr>
        <w:t>–</w:t>
      </w:r>
      <w:bookmarkEnd w:id="1"/>
      <w:r w:rsidR="0010548D" w:rsidRPr="00E045BC">
        <w:rPr>
          <w:rFonts w:ascii="Arial" w:eastAsia="Calibri" w:hAnsi="Arial" w:cs="Arial"/>
          <w:b/>
          <w:sz w:val="22"/>
        </w:rPr>
        <w:t xml:space="preserve"> Naturaleza jurídica </w:t>
      </w:r>
      <w:r w:rsidR="00BE3D8E" w:rsidRPr="00E045BC">
        <w:rPr>
          <w:rFonts w:ascii="Arial" w:eastAsia="Calibri" w:hAnsi="Arial" w:cs="Arial"/>
          <w:b/>
          <w:sz w:val="22"/>
        </w:rPr>
        <w:t>–</w:t>
      </w:r>
      <w:r w:rsidR="002F71CA" w:rsidRPr="00E045BC">
        <w:rPr>
          <w:rFonts w:ascii="Arial" w:eastAsia="Calibri" w:hAnsi="Arial" w:cs="Arial"/>
          <w:b/>
          <w:sz w:val="22"/>
        </w:rPr>
        <w:t xml:space="preserve"> Capacidad para contratar</w:t>
      </w:r>
    </w:p>
    <w:p w14:paraId="271A1AC3" w14:textId="77777777" w:rsidR="00A14A6F" w:rsidRPr="00E045BC" w:rsidRDefault="00A14A6F" w:rsidP="0010548D">
      <w:pPr>
        <w:tabs>
          <w:tab w:val="left" w:pos="426"/>
        </w:tabs>
        <w:jc w:val="both"/>
        <w:rPr>
          <w:rFonts w:ascii="Arial" w:eastAsia="Calibri" w:hAnsi="Arial" w:cs="Arial"/>
          <w:b/>
          <w:sz w:val="20"/>
          <w:szCs w:val="20"/>
        </w:rPr>
      </w:pPr>
    </w:p>
    <w:p w14:paraId="6B3FB21D" w14:textId="77777777" w:rsidR="004D38B9" w:rsidRPr="00E045BC" w:rsidRDefault="004D38B9" w:rsidP="004D38B9">
      <w:pPr>
        <w:jc w:val="both"/>
        <w:rPr>
          <w:rFonts w:ascii="Arial" w:hAnsi="Arial" w:cs="Arial"/>
          <w:sz w:val="20"/>
          <w:szCs w:val="20"/>
        </w:rPr>
      </w:pPr>
      <w:r w:rsidRPr="00E045BC">
        <w:rPr>
          <w:rFonts w:ascii="Arial" w:hAnsi="Arial" w:cs="Arial"/>
          <w:sz w:val="20"/>
          <w:szCs w:val="20"/>
        </w:rPr>
        <w:t xml:space="preserve">Las Leyes 60 de 1993 y 715 de 2001 descentralizaron el sistema educativo en Colombia, asignándoles a los departamentos, distritos y municipios las competencias y los recursos económicos para dirigir las instituciones educativas. Es decir, el sistema educativo está descentralizado por las competencias propias que se </w:t>
      </w:r>
      <w:proofErr w:type="gramStart"/>
      <w:r w:rsidRPr="00E045BC">
        <w:rPr>
          <w:rFonts w:ascii="Arial" w:hAnsi="Arial" w:cs="Arial"/>
          <w:sz w:val="20"/>
          <w:szCs w:val="20"/>
        </w:rPr>
        <w:t>le</w:t>
      </w:r>
      <w:proofErr w:type="gramEnd"/>
      <w:r w:rsidRPr="00E045BC">
        <w:rPr>
          <w:rFonts w:ascii="Arial" w:hAnsi="Arial" w:cs="Arial"/>
          <w:sz w:val="20"/>
          <w:szCs w:val="20"/>
        </w:rPr>
        <w:t xml:space="preserve"> han otorgado a las entidades territoriales para administrar las instituciones educativas que pueden ser de los diferentes niveles pero estas no son entidades descentralizadas</w:t>
      </w:r>
    </w:p>
    <w:p w14:paraId="15F1E8DE" w14:textId="55EC748A" w:rsidR="004D38B9" w:rsidRPr="00E045BC" w:rsidRDefault="004D38B9" w:rsidP="004D38B9">
      <w:pPr>
        <w:jc w:val="both"/>
        <w:rPr>
          <w:rFonts w:ascii="Arial" w:hAnsi="Arial" w:cs="Arial"/>
          <w:sz w:val="20"/>
          <w:szCs w:val="20"/>
        </w:rPr>
      </w:pPr>
      <w:r w:rsidRPr="00E045BC">
        <w:rPr>
          <w:rFonts w:ascii="Arial" w:hAnsi="Arial" w:cs="Arial"/>
          <w:sz w:val="20"/>
          <w:szCs w:val="20"/>
        </w:rPr>
        <w:t xml:space="preserve">. </w:t>
      </w:r>
    </w:p>
    <w:p w14:paraId="04F96F83" w14:textId="05A0F687" w:rsidR="0010548D" w:rsidRPr="00E045BC" w:rsidRDefault="004D38B9" w:rsidP="004D38B9">
      <w:pPr>
        <w:jc w:val="both"/>
        <w:rPr>
          <w:rFonts w:ascii="Arial" w:hAnsi="Arial" w:cs="Arial"/>
          <w:sz w:val="20"/>
          <w:szCs w:val="20"/>
        </w:rPr>
      </w:pPr>
      <w:r w:rsidRPr="00E045BC">
        <w:rPr>
          <w:rFonts w:ascii="Arial" w:hAnsi="Arial" w:cs="Arial"/>
          <w:sz w:val="20"/>
          <w:szCs w:val="20"/>
        </w:rPr>
        <w:t xml:space="preserve">Conforme a lo anterior,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w:t>
      </w:r>
      <w:proofErr w:type="gramStart"/>
      <w:r w:rsidRPr="00E045BC">
        <w:rPr>
          <w:rFonts w:ascii="Arial" w:hAnsi="Arial" w:cs="Arial"/>
          <w:sz w:val="20"/>
          <w:szCs w:val="20"/>
        </w:rPr>
        <w:t>le</w:t>
      </w:r>
      <w:proofErr w:type="gramEnd"/>
      <w:r w:rsidRPr="00E045BC">
        <w:rPr>
          <w:rFonts w:ascii="Arial" w:hAnsi="Arial" w:cs="Arial"/>
          <w:sz w:val="20"/>
          <w:szCs w:val="20"/>
        </w:rPr>
        <w:t xml:space="preserve"> permiten a las instituciones realizar la gestión y ejecución presupuestal de los recursos que reciben los establecimientos educativos</w:t>
      </w:r>
    </w:p>
    <w:p w14:paraId="0B1E536A" w14:textId="77777777" w:rsidR="004D38B9" w:rsidRPr="00E045BC" w:rsidRDefault="004D38B9" w:rsidP="004D38B9">
      <w:pPr>
        <w:jc w:val="both"/>
        <w:rPr>
          <w:rFonts w:ascii="Arial" w:hAnsi="Arial" w:cs="Arial"/>
          <w:sz w:val="20"/>
          <w:szCs w:val="20"/>
        </w:rPr>
      </w:pPr>
    </w:p>
    <w:p w14:paraId="210F3882" w14:textId="0853C4FE" w:rsidR="0010548D" w:rsidRPr="00E045BC" w:rsidRDefault="0010548D" w:rsidP="0010548D">
      <w:pPr>
        <w:jc w:val="both"/>
        <w:rPr>
          <w:rFonts w:ascii="Arial" w:hAnsi="Arial" w:cs="Arial"/>
          <w:b/>
          <w:bCs/>
          <w:sz w:val="22"/>
        </w:rPr>
      </w:pPr>
      <w:r w:rsidRPr="00E045BC">
        <w:rPr>
          <w:rFonts w:ascii="Arial" w:hAnsi="Arial" w:cs="Arial"/>
          <w:b/>
          <w:bCs/>
          <w:sz w:val="22"/>
        </w:rPr>
        <w:t>INSTITUCIONES EDUCATIVAS OFICIALES – Contratación – Umbral – Veinte salarios mínimos legales mensuales vigentes – Competencia del Consejo Directivo</w:t>
      </w:r>
    </w:p>
    <w:p w14:paraId="76F30311" w14:textId="63C99A9C" w:rsidR="0010548D" w:rsidRPr="00E045BC" w:rsidRDefault="0010548D" w:rsidP="0010548D">
      <w:pPr>
        <w:jc w:val="both"/>
        <w:rPr>
          <w:rFonts w:ascii="Arial" w:hAnsi="Arial" w:cs="Arial"/>
          <w:b/>
          <w:bCs/>
          <w:sz w:val="22"/>
        </w:rPr>
      </w:pPr>
    </w:p>
    <w:p w14:paraId="5C55DAAC" w14:textId="0EEA28D2" w:rsidR="004D38B9" w:rsidRPr="00E045BC" w:rsidRDefault="004D38B9" w:rsidP="00716408">
      <w:pPr>
        <w:spacing w:after="120"/>
        <w:jc w:val="both"/>
        <w:rPr>
          <w:rFonts w:ascii="Arial" w:hAnsi="Arial" w:cs="Arial"/>
          <w:sz w:val="20"/>
          <w:szCs w:val="20"/>
        </w:rPr>
      </w:pPr>
      <w:r w:rsidRPr="00E045BC">
        <w:rPr>
          <w:rFonts w:ascii="Arial" w:hAnsi="Arial" w:cs="Arial"/>
          <w:sz w:val="20"/>
          <w:szCs w:val="20"/>
        </w:rPr>
        <w:t>Respecto de la capacidad para contratar con la que cuentan las instituciones educativas por medio de los fondos de servicios educativos, hay que precisar que cuando se trate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 […]</w:t>
      </w:r>
    </w:p>
    <w:p w14:paraId="64B2DB03" w14:textId="77777777" w:rsidR="004D38B9" w:rsidRPr="00E045BC" w:rsidRDefault="004D38B9" w:rsidP="00716408">
      <w:pPr>
        <w:spacing w:after="120"/>
        <w:jc w:val="both"/>
        <w:rPr>
          <w:rFonts w:ascii="Arial" w:hAnsi="Arial" w:cs="Arial"/>
          <w:sz w:val="20"/>
          <w:szCs w:val="20"/>
        </w:rPr>
      </w:pPr>
      <w:r w:rsidRPr="00E045BC">
        <w:rPr>
          <w:rFonts w:ascii="Arial" w:hAnsi="Arial" w:cs="Arial"/>
          <w:sz w:val="20"/>
          <w:szCs w:val="20"/>
        </w:rPr>
        <w:t xml:space="preserve">En ese sentido, tratándose de la contratación realizada por dichas instituciones por debajo de la cuantía de veinte (20) salarios mínimos legales mensuales vigentes, es el consejo directivo quien tiene la competencia para establecer las reglas conforme a las cuales debe realizarse la adquisición de bienes, obras y servicios, incluidos los procedimientos, mecanismos, requisitos y formalidades que deben respetarse en estos procesos de contratación. </w:t>
      </w:r>
    </w:p>
    <w:p w14:paraId="3C88FCD3" w14:textId="60F19F46" w:rsidR="004D38B9" w:rsidRPr="00E045BC" w:rsidRDefault="004D38B9" w:rsidP="00716408">
      <w:pPr>
        <w:spacing w:after="120"/>
        <w:jc w:val="both"/>
        <w:rPr>
          <w:rFonts w:ascii="Arial" w:hAnsi="Arial" w:cs="Arial"/>
          <w:sz w:val="20"/>
          <w:szCs w:val="20"/>
        </w:rPr>
      </w:pPr>
      <w:r w:rsidRPr="00E045BC">
        <w:rPr>
          <w:rFonts w:ascii="Arial" w:hAnsi="Arial" w:cs="Arial"/>
          <w:sz w:val="20"/>
          <w:szCs w:val="20"/>
        </w:rPr>
        <w:t>Por el contrario, cuando la celebración de contratos a que haya lugar con recursos del fondo de servicios educativos supere la cuantía de los veinte (20) salarios mínimos legales mensuales vigentes, debe hacerse con estricta sujeción a lo dispuesto en la Ley 80 de 1993, por lo que las reglas a las que deben sujetarse los procedimientos dentro de los que se enmarque esta contratación son las del Estatuto General de Contratación de la Administración Pública, procediendo la aplicación de las modalidades de selección definidas en la Ley 1150 de 2007, así como los requisitos y formalidades establecidas en el Decreto 1082 del 2015 y demás normatividad integrante del referido estatuto.</w:t>
      </w:r>
    </w:p>
    <w:p w14:paraId="23B2B606" w14:textId="77777777" w:rsidR="00A14A6F" w:rsidRPr="00E045BC" w:rsidRDefault="00A14A6F" w:rsidP="0010548D">
      <w:pPr>
        <w:jc w:val="both"/>
        <w:rPr>
          <w:rFonts w:ascii="Arial" w:eastAsia="Calibri" w:hAnsi="Arial" w:cs="Arial"/>
          <w:b/>
          <w:sz w:val="20"/>
          <w:szCs w:val="20"/>
        </w:rPr>
      </w:pPr>
    </w:p>
    <w:p w14:paraId="19FDCB24" w14:textId="4ABD00B8" w:rsidR="00A14A6F" w:rsidRPr="00E045BC" w:rsidRDefault="00A14A6F" w:rsidP="0010548D">
      <w:pPr>
        <w:jc w:val="both"/>
        <w:rPr>
          <w:rFonts w:ascii="Arial" w:eastAsia="Calibri" w:hAnsi="Arial" w:cs="Arial"/>
          <w:b/>
          <w:sz w:val="22"/>
        </w:rPr>
      </w:pPr>
      <w:r w:rsidRPr="00E045BC">
        <w:rPr>
          <w:rFonts w:ascii="Arial" w:eastAsia="Calibri" w:hAnsi="Arial" w:cs="Arial"/>
          <w:b/>
          <w:sz w:val="22"/>
        </w:rPr>
        <w:t>PUBLICIDAD SECOP</w:t>
      </w:r>
      <w:r w:rsidR="00BE3D8E" w:rsidRPr="00E045BC">
        <w:rPr>
          <w:rFonts w:ascii="Arial" w:eastAsia="Calibri" w:hAnsi="Arial" w:cs="Arial"/>
          <w:b/>
          <w:sz w:val="22"/>
        </w:rPr>
        <w:t xml:space="preserve"> –</w:t>
      </w:r>
      <w:r w:rsidRPr="00E045BC">
        <w:rPr>
          <w:rFonts w:ascii="Arial" w:eastAsia="Calibri" w:hAnsi="Arial" w:cs="Arial"/>
          <w:b/>
          <w:sz w:val="22"/>
        </w:rPr>
        <w:t xml:space="preserve"> Entidades de régimen especial</w:t>
      </w:r>
      <w:r w:rsidR="00BE3D8E" w:rsidRPr="00E045BC">
        <w:rPr>
          <w:rFonts w:ascii="Arial" w:eastAsia="Calibri" w:hAnsi="Arial" w:cs="Arial"/>
          <w:b/>
          <w:sz w:val="22"/>
        </w:rPr>
        <w:t xml:space="preserve"> –</w:t>
      </w:r>
      <w:r w:rsidRPr="00E045BC">
        <w:rPr>
          <w:rFonts w:ascii="Arial" w:eastAsia="Calibri" w:hAnsi="Arial" w:cs="Arial"/>
          <w:b/>
          <w:sz w:val="22"/>
        </w:rPr>
        <w:t xml:space="preserve"> Fundamento normativo</w:t>
      </w:r>
    </w:p>
    <w:p w14:paraId="3866D814" w14:textId="77777777" w:rsidR="00A14A6F" w:rsidRPr="00E045BC" w:rsidRDefault="00A14A6F" w:rsidP="0010548D">
      <w:pPr>
        <w:jc w:val="both"/>
        <w:rPr>
          <w:rFonts w:ascii="Arial" w:eastAsia="Calibri" w:hAnsi="Arial" w:cs="Arial"/>
          <w:b/>
          <w:sz w:val="20"/>
          <w:szCs w:val="20"/>
        </w:rPr>
      </w:pPr>
    </w:p>
    <w:p w14:paraId="5C7C535A" w14:textId="46D1A1BA" w:rsidR="00A14A6F" w:rsidRPr="00E045BC" w:rsidRDefault="00BE3D8E" w:rsidP="0010548D">
      <w:pPr>
        <w:spacing w:after="120"/>
        <w:jc w:val="both"/>
        <w:rPr>
          <w:rFonts w:ascii="Arial" w:hAnsi="Arial" w:cs="Arial"/>
          <w:sz w:val="20"/>
          <w:szCs w:val="20"/>
        </w:rPr>
      </w:pPr>
      <w:r w:rsidRPr="00E045BC">
        <w:rPr>
          <w:rFonts w:ascii="Arial" w:hAnsi="Arial" w:cs="Arial"/>
          <w:sz w:val="20"/>
          <w:szCs w:val="20"/>
        </w:rPr>
        <w:t xml:space="preserve">[…] </w:t>
      </w:r>
      <w:r w:rsidR="005E2D11" w:rsidRPr="00E045BC">
        <w:rPr>
          <w:rFonts w:ascii="Arial" w:hAnsi="Arial" w:cs="Arial"/>
          <w:sz w:val="20"/>
          <w:szCs w:val="20"/>
        </w:rPr>
        <w:t>e</w:t>
      </w:r>
      <w:r w:rsidR="00A14A6F" w:rsidRPr="00E045BC">
        <w:rPr>
          <w:rFonts w:ascii="Arial" w:hAnsi="Arial" w:cs="Arial"/>
          <w:sz w:val="20"/>
          <w:szCs w:val="20"/>
        </w:rPr>
        <w:t xml:space="preserv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de Colombia Compra Eficiente un pronunciamiento del Consejo de Estado. </w:t>
      </w:r>
    </w:p>
    <w:p w14:paraId="709C6F2A" w14:textId="77777777" w:rsidR="0010548D" w:rsidRPr="00E045BC" w:rsidRDefault="0010548D" w:rsidP="0010548D">
      <w:pPr>
        <w:jc w:val="both"/>
        <w:rPr>
          <w:rFonts w:ascii="Arial" w:eastAsia="Calibri" w:hAnsi="Arial" w:cs="Arial"/>
          <w:sz w:val="21"/>
          <w:szCs w:val="21"/>
        </w:rPr>
      </w:pPr>
    </w:p>
    <w:p w14:paraId="05908312" w14:textId="77777777" w:rsidR="0010548D" w:rsidRPr="00E045BC" w:rsidRDefault="0010548D" w:rsidP="0010548D">
      <w:pPr>
        <w:jc w:val="both"/>
        <w:rPr>
          <w:rFonts w:ascii="Arial" w:eastAsia="Calibri" w:hAnsi="Arial" w:cs="Arial"/>
          <w:sz w:val="21"/>
          <w:szCs w:val="21"/>
        </w:rPr>
      </w:pPr>
    </w:p>
    <w:p w14:paraId="03D50131" w14:textId="77777777" w:rsidR="0010548D" w:rsidRPr="00E045BC" w:rsidRDefault="0010548D" w:rsidP="0010548D">
      <w:pPr>
        <w:jc w:val="both"/>
        <w:rPr>
          <w:rFonts w:ascii="Arial" w:eastAsia="Calibri" w:hAnsi="Arial" w:cs="Arial"/>
          <w:sz w:val="21"/>
          <w:szCs w:val="21"/>
        </w:rPr>
      </w:pPr>
    </w:p>
    <w:p w14:paraId="2896869A" w14:textId="1400F573" w:rsidR="00A14A6F" w:rsidRPr="00E045BC" w:rsidRDefault="00A14A6F" w:rsidP="0010548D">
      <w:pPr>
        <w:jc w:val="both"/>
        <w:rPr>
          <w:rFonts w:ascii="Arial" w:eastAsia="Calibri" w:hAnsi="Arial" w:cs="Arial"/>
          <w:sz w:val="20"/>
          <w:szCs w:val="20"/>
          <w:lang w:val="es-ES"/>
        </w:rPr>
      </w:pPr>
      <w:r w:rsidRPr="00E045BC">
        <w:rPr>
          <w:rFonts w:ascii="Arial" w:eastAsia="Calibri" w:hAnsi="Arial" w:cs="Arial"/>
          <w:sz w:val="21"/>
          <w:szCs w:val="21"/>
        </w:rPr>
        <w:t xml:space="preserve"> </w:t>
      </w:r>
    </w:p>
    <w:p w14:paraId="31B692CB" w14:textId="1179FC2C" w:rsidR="00A14A6F" w:rsidRPr="00E045BC" w:rsidRDefault="009C7FF2" w:rsidP="0010548D">
      <w:pPr>
        <w:pStyle w:val="Prrafodelista"/>
        <w:ind w:left="0"/>
        <w:contextualSpacing w:val="0"/>
        <w:rPr>
          <w:rFonts w:ascii="Arial" w:eastAsia="Calibri" w:hAnsi="Arial" w:cs="Arial"/>
          <w:b/>
          <w:sz w:val="22"/>
        </w:rPr>
      </w:pPr>
      <w:r w:rsidRPr="00E045BC">
        <w:rPr>
          <w:rFonts w:ascii="Arial" w:eastAsia="Calibri" w:hAnsi="Arial" w:cs="Arial"/>
          <w:b/>
          <w:sz w:val="22"/>
        </w:rPr>
        <w:t>PUBLICACION</w:t>
      </w:r>
      <w:r w:rsidR="00A14A6F" w:rsidRPr="00E045BC">
        <w:rPr>
          <w:rFonts w:ascii="Arial" w:eastAsia="Calibri" w:hAnsi="Arial" w:cs="Arial"/>
          <w:b/>
          <w:sz w:val="22"/>
        </w:rPr>
        <w:t xml:space="preserve"> EN SECOP </w:t>
      </w:r>
      <w:r w:rsidR="00BE3D8E" w:rsidRPr="00E045BC">
        <w:rPr>
          <w:rFonts w:ascii="Arial" w:eastAsia="Calibri" w:hAnsi="Arial" w:cs="Arial"/>
          <w:b/>
          <w:sz w:val="22"/>
        </w:rPr>
        <w:t>–</w:t>
      </w:r>
      <w:r w:rsidR="00A14A6F" w:rsidRPr="00E045BC">
        <w:rPr>
          <w:rFonts w:ascii="Arial" w:eastAsia="Calibri" w:hAnsi="Arial" w:cs="Arial"/>
          <w:b/>
          <w:sz w:val="22"/>
        </w:rPr>
        <w:t xml:space="preserve"> Entidades de régimen especial</w:t>
      </w:r>
    </w:p>
    <w:p w14:paraId="442A4F36" w14:textId="77777777" w:rsidR="00A14A6F" w:rsidRPr="00E045BC" w:rsidRDefault="00A14A6F" w:rsidP="0010548D">
      <w:pPr>
        <w:pStyle w:val="Prrafodelista"/>
        <w:ind w:left="0"/>
        <w:contextualSpacing w:val="0"/>
        <w:rPr>
          <w:rFonts w:ascii="Arial" w:eastAsia="Calibri" w:hAnsi="Arial" w:cs="Arial"/>
          <w:sz w:val="20"/>
          <w:szCs w:val="20"/>
        </w:rPr>
      </w:pPr>
    </w:p>
    <w:p w14:paraId="6557FE0E" w14:textId="4B9D16FD" w:rsidR="009C7FF2" w:rsidRPr="00E045BC" w:rsidRDefault="003C1395" w:rsidP="0010548D">
      <w:pPr>
        <w:spacing w:after="120"/>
        <w:jc w:val="both"/>
        <w:rPr>
          <w:rFonts w:ascii="Arial" w:eastAsia="Calibri" w:hAnsi="Arial" w:cs="Arial"/>
          <w:sz w:val="22"/>
        </w:rPr>
      </w:pPr>
      <w:r w:rsidRPr="00E045BC">
        <w:rPr>
          <w:rFonts w:ascii="Arial" w:hAnsi="Arial" w:cs="Arial"/>
          <w:sz w:val="20"/>
          <w:szCs w:val="20"/>
        </w:rPr>
        <w:t>E</w:t>
      </w:r>
      <w:r w:rsidR="0010548D" w:rsidRPr="00E045BC">
        <w:rPr>
          <w:rFonts w:ascii="Arial" w:hAnsi="Arial" w:cs="Arial"/>
          <w:sz w:val="20"/>
          <w:szCs w:val="20"/>
        </w:rPr>
        <w:t xml:space="preserve">l Decreto 1081 de 2015, «Por medio del cual se expide el Decreto Reglamentario Único del Sector Presidencia de la República», y en el cual quedó compilado el Decreto 103 de 2015, reglamentario de la Ley 1712 de 2014, en el artículo 2.1.1.2.1.8, señala, de forma enunciativa, que se debe publicar la información relativa a la ejecución del contrato, como las aprobaciones, autorizaciones, requerimientos o informes del supervisor o interventor, que aprueben la ejecución del contrato. Por su parte, el artículo 2.1.1.2.1.9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 Finalmente, el artículo 2.1.1.2.1.10 establece la obligación que tienen las entidades de publicar en el SECOP el Plan Anual de </w:t>
      </w:r>
      <w:proofErr w:type="gramStart"/>
      <w:r w:rsidR="0010548D" w:rsidRPr="00E045BC">
        <w:rPr>
          <w:rFonts w:ascii="Arial" w:hAnsi="Arial" w:cs="Arial"/>
          <w:sz w:val="20"/>
          <w:szCs w:val="20"/>
        </w:rPr>
        <w:t>Adquisiciones .</w:t>
      </w:r>
      <w:proofErr w:type="gramEnd"/>
    </w:p>
    <w:p w14:paraId="79806D50" w14:textId="5FD4CD77" w:rsidR="00A14A6F" w:rsidRPr="00E045BC" w:rsidRDefault="00A14A6F" w:rsidP="0010548D">
      <w:pPr>
        <w:jc w:val="both"/>
        <w:rPr>
          <w:rFonts w:ascii="Arial" w:hAnsi="Arial" w:cs="Arial"/>
          <w:b/>
          <w:sz w:val="22"/>
        </w:rPr>
      </w:pPr>
      <w:r w:rsidRPr="00E045BC">
        <w:rPr>
          <w:rFonts w:ascii="Arial" w:hAnsi="Arial" w:cs="Arial"/>
          <w:b/>
          <w:sz w:val="22"/>
        </w:rPr>
        <w:t xml:space="preserve">PUBLICACIÓN SECOP </w:t>
      </w:r>
      <w:r w:rsidR="00BE3D8E" w:rsidRPr="00E045BC">
        <w:rPr>
          <w:rFonts w:ascii="Arial" w:eastAsia="Calibri" w:hAnsi="Arial" w:cs="Arial"/>
          <w:b/>
          <w:sz w:val="22"/>
        </w:rPr>
        <w:t>–</w:t>
      </w:r>
      <w:r w:rsidRPr="00E045BC">
        <w:rPr>
          <w:rFonts w:ascii="Arial" w:hAnsi="Arial" w:cs="Arial"/>
          <w:b/>
          <w:sz w:val="22"/>
        </w:rPr>
        <w:t xml:space="preserve"> </w:t>
      </w:r>
      <w:r w:rsidR="009C7FF2" w:rsidRPr="00E045BC">
        <w:rPr>
          <w:rFonts w:ascii="Arial" w:hAnsi="Arial" w:cs="Arial"/>
          <w:b/>
          <w:sz w:val="22"/>
        </w:rPr>
        <w:t xml:space="preserve">Plazo </w:t>
      </w:r>
      <w:r w:rsidR="009C7FF2" w:rsidRPr="00E045BC">
        <w:rPr>
          <w:rFonts w:ascii="Arial" w:eastAsia="Calibri" w:hAnsi="Arial" w:cs="Arial"/>
          <w:b/>
          <w:sz w:val="22"/>
        </w:rPr>
        <w:t xml:space="preserve">– </w:t>
      </w:r>
      <w:r w:rsidRPr="00E045BC">
        <w:rPr>
          <w:rFonts w:ascii="Arial" w:hAnsi="Arial" w:cs="Arial"/>
          <w:b/>
          <w:sz w:val="22"/>
        </w:rPr>
        <w:t>Entidades régimen especial</w:t>
      </w:r>
    </w:p>
    <w:p w14:paraId="4EEE7C57" w14:textId="77777777" w:rsidR="00A14A6F" w:rsidRPr="00E045BC" w:rsidRDefault="00A14A6F" w:rsidP="0010548D">
      <w:pPr>
        <w:jc w:val="both"/>
        <w:rPr>
          <w:rFonts w:ascii="Arial" w:hAnsi="Arial" w:cs="Arial"/>
          <w:sz w:val="20"/>
          <w:szCs w:val="20"/>
        </w:rPr>
      </w:pPr>
    </w:p>
    <w:p w14:paraId="04F194F7" w14:textId="32E2C1C1" w:rsidR="00BE3D8E" w:rsidRPr="00E045BC" w:rsidRDefault="00A14A6F" w:rsidP="0010548D">
      <w:pPr>
        <w:spacing w:after="120"/>
        <w:jc w:val="both"/>
        <w:rPr>
          <w:rFonts w:ascii="Arial" w:hAnsi="Arial" w:cs="Arial"/>
          <w:sz w:val="20"/>
          <w:szCs w:val="20"/>
        </w:rPr>
      </w:pPr>
      <w:r w:rsidRPr="00E045BC">
        <w:rPr>
          <w:rFonts w:ascii="Arial" w:hAnsi="Arial" w:cs="Arial"/>
          <w:sz w:val="20"/>
          <w:szCs w:val="20"/>
        </w:rPr>
        <w:t xml:space="preserve">Si bien el Decreto 1082 de 2015, en principio no aplica a las entidades estatales exceptuadas del Estatuto General de Contratación de la Administración Pública, porque su régimen de contratación es el derecho privado, es posible aplicarle el artículo 2.2.1.1.1.7.1. en virtud de la analogía. Lo anterior, debido a que esta norma guarda similitud con el asunto tratado ya que regula la publicidad de los documentos del SECOP y, por lo tanto, es viable </w:t>
      </w:r>
      <w:proofErr w:type="gramStart"/>
      <w:r w:rsidRPr="00E045BC">
        <w:rPr>
          <w:rFonts w:ascii="Arial" w:hAnsi="Arial" w:cs="Arial"/>
          <w:sz w:val="20"/>
          <w:szCs w:val="20"/>
        </w:rPr>
        <w:t>aplicarle</w:t>
      </w:r>
      <w:proofErr w:type="gramEnd"/>
      <w:r w:rsidRPr="00E045BC">
        <w:rPr>
          <w:rFonts w:ascii="Arial" w:hAnsi="Arial" w:cs="Arial"/>
          <w:sz w:val="20"/>
          <w:szCs w:val="20"/>
        </w:rPr>
        <w:t xml:space="preserve"> su consecuencia jurídica a las entidades de régimen especial.</w:t>
      </w:r>
    </w:p>
    <w:p w14:paraId="1A137E90" w14:textId="77777777" w:rsidR="00BE3D8E" w:rsidRPr="00E045BC" w:rsidRDefault="00A14A6F" w:rsidP="0010548D">
      <w:pPr>
        <w:spacing w:after="120"/>
        <w:jc w:val="both"/>
        <w:rPr>
          <w:rFonts w:ascii="Arial" w:hAnsi="Arial" w:cs="Arial"/>
          <w:sz w:val="20"/>
          <w:szCs w:val="20"/>
        </w:rPr>
      </w:pPr>
      <w:r w:rsidRPr="00E045BC">
        <w:rPr>
          <w:rFonts w:ascii="Arial" w:hAnsi="Arial" w:cs="Arial"/>
          <w:sz w:val="20"/>
          <w:szCs w:val="20"/>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2E24ED33" w14:textId="6487B768" w:rsidR="00A14A6F" w:rsidRPr="00E045BC" w:rsidRDefault="00A14A6F" w:rsidP="0010548D">
      <w:pPr>
        <w:spacing w:after="120"/>
        <w:jc w:val="both"/>
        <w:rPr>
          <w:rFonts w:ascii="Arial" w:hAnsi="Arial" w:cs="Arial"/>
          <w:sz w:val="20"/>
          <w:szCs w:val="20"/>
        </w:rPr>
      </w:pPr>
      <w:r w:rsidRPr="00E045BC">
        <w:rPr>
          <w:rFonts w:ascii="Arial" w:hAnsi="Arial" w:cs="Arial"/>
          <w:sz w:val="20"/>
          <w:szCs w:val="20"/>
        </w:rPr>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y se aplicaría el artículo 2.2.1.1.1.7.1. </w:t>
      </w:r>
    </w:p>
    <w:p w14:paraId="59AC7DF7" w14:textId="77777777" w:rsidR="00A14A6F" w:rsidRPr="00E045BC" w:rsidRDefault="00A14A6F" w:rsidP="005E2D11">
      <w:pPr>
        <w:spacing w:after="120"/>
        <w:jc w:val="both"/>
        <w:rPr>
          <w:rFonts w:ascii="Arial" w:hAnsi="Arial" w:cs="Arial"/>
          <w:sz w:val="20"/>
          <w:szCs w:val="20"/>
        </w:rPr>
      </w:pPr>
    </w:p>
    <w:p w14:paraId="34C0BA76" w14:textId="77777777" w:rsidR="00B24529" w:rsidRPr="00E045BC" w:rsidRDefault="00B24529" w:rsidP="00B24529">
      <w:pPr>
        <w:pStyle w:val="Default"/>
        <w:rPr>
          <w:color w:val="auto"/>
          <w:sz w:val="20"/>
          <w:szCs w:val="20"/>
        </w:rPr>
      </w:pPr>
    </w:p>
    <w:p w14:paraId="61ABE0E8" w14:textId="77777777" w:rsidR="006132CA" w:rsidRPr="006132CA" w:rsidRDefault="006132CA" w:rsidP="006132CA">
      <w:pPr>
        <w:autoSpaceDE w:val="0"/>
        <w:autoSpaceDN w:val="0"/>
        <w:adjustRightInd w:val="0"/>
        <w:rPr>
          <w:rFonts w:ascii="Arial" w:hAnsi="Arial" w:cs="Arial"/>
          <w:color w:val="000000"/>
          <w:szCs w:val="24"/>
          <w:lang w:val="es-CO"/>
        </w:rPr>
      </w:pPr>
    </w:p>
    <w:p w14:paraId="19E01C65" w14:textId="77777777" w:rsidR="006132CA" w:rsidRPr="006132CA" w:rsidRDefault="006132CA" w:rsidP="006132CA">
      <w:pPr>
        <w:autoSpaceDE w:val="0"/>
        <w:autoSpaceDN w:val="0"/>
        <w:adjustRightInd w:val="0"/>
        <w:rPr>
          <w:rFonts w:ascii="Arial" w:hAnsi="Arial" w:cs="Arial"/>
          <w:color w:val="000000"/>
          <w:sz w:val="22"/>
          <w:lang w:val="es-CO"/>
        </w:rPr>
      </w:pPr>
      <w:r w:rsidRPr="006132CA">
        <w:rPr>
          <w:rFonts w:ascii="Arial" w:hAnsi="Arial" w:cs="Arial"/>
          <w:color w:val="000000"/>
          <w:szCs w:val="24"/>
          <w:lang w:val="es-CO"/>
        </w:rPr>
        <w:t xml:space="preserve"> </w:t>
      </w:r>
      <w:r w:rsidRPr="006132CA">
        <w:rPr>
          <w:rFonts w:ascii="Arial" w:hAnsi="Arial" w:cs="Arial"/>
          <w:color w:val="000000"/>
          <w:sz w:val="22"/>
          <w:lang w:val="es-CO"/>
        </w:rPr>
        <w:t xml:space="preserve">Bogotá D.C., </w:t>
      </w:r>
      <w:r w:rsidRPr="006132CA">
        <w:rPr>
          <w:rFonts w:ascii="Arial" w:hAnsi="Arial" w:cs="Arial"/>
          <w:b/>
          <w:bCs/>
          <w:color w:val="000000"/>
          <w:sz w:val="22"/>
          <w:lang w:val="es-CO"/>
        </w:rPr>
        <w:t xml:space="preserve">27/08/2020 Hora 16:24:23s </w:t>
      </w:r>
    </w:p>
    <w:p w14:paraId="6B82DEC2" w14:textId="77777777" w:rsidR="006132CA" w:rsidRDefault="006132CA" w:rsidP="006132CA">
      <w:pPr>
        <w:jc w:val="right"/>
        <w:rPr>
          <w:rFonts w:ascii="Arial" w:hAnsi="Arial" w:cs="Arial"/>
          <w:b/>
          <w:bCs/>
          <w:color w:val="000000"/>
          <w:sz w:val="22"/>
          <w:lang w:val="es-CO"/>
        </w:rPr>
      </w:pPr>
      <w:proofErr w:type="spellStart"/>
      <w:r w:rsidRPr="006132CA">
        <w:rPr>
          <w:rFonts w:ascii="Arial" w:hAnsi="Arial" w:cs="Arial"/>
          <w:b/>
          <w:bCs/>
          <w:color w:val="000000"/>
          <w:sz w:val="22"/>
          <w:lang w:val="es-CO"/>
        </w:rPr>
        <w:t>N°</w:t>
      </w:r>
      <w:proofErr w:type="spellEnd"/>
      <w:r w:rsidRPr="006132CA">
        <w:rPr>
          <w:rFonts w:ascii="Arial" w:hAnsi="Arial" w:cs="Arial"/>
          <w:b/>
          <w:bCs/>
          <w:color w:val="000000"/>
          <w:sz w:val="22"/>
          <w:lang w:val="es-CO"/>
        </w:rPr>
        <w:t xml:space="preserve"> Radicado: 2202013000008035 </w:t>
      </w:r>
    </w:p>
    <w:p w14:paraId="61FB3A5F" w14:textId="77777777" w:rsidR="006132CA" w:rsidRDefault="006132CA" w:rsidP="006132CA">
      <w:pPr>
        <w:jc w:val="right"/>
        <w:rPr>
          <w:rFonts w:ascii="Arial" w:hAnsi="Arial" w:cs="Arial"/>
          <w:b/>
          <w:bCs/>
          <w:color w:val="000000"/>
          <w:sz w:val="22"/>
          <w:lang w:val="es-CO"/>
        </w:rPr>
      </w:pPr>
    </w:p>
    <w:p w14:paraId="6AE58259" w14:textId="16A8BA2E" w:rsidR="00630D34" w:rsidRPr="00E045BC" w:rsidRDefault="00630D34" w:rsidP="006132CA">
      <w:pPr>
        <w:rPr>
          <w:rFonts w:ascii="Arial" w:eastAsia="Calibri" w:hAnsi="Arial" w:cs="Arial"/>
          <w:sz w:val="22"/>
        </w:rPr>
      </w:pPr>
      <w:r w:rsidRPr="00E045BC">
        <w:rPr>
          <w:rFonts w:ascii="Arial" w:eastAsia="Calibri" w:hAnsi="Arial" w:cs="Arial"/>
          <w:sz w:val="22"/>
        </w:rPr>
        <w:t>Señor</w:t>
      </w:r>
      <w:r w:rsidR="00E045BC" w:rsidRPr="00E045BC">
        <w:rPr>
          <w:rFonts w:ascii="Arial" w:eastAsia="Calibri" w:hAnsi="Arial" w:cs="Arial"/>
          <w:sz w:val="22"/>
        </w:rPr>
        <w:t>a</w:t>
      </w:r>
    </w:p>
    <w:p w14:paraId="78DD65F1" w14:textId="017AADC1" w:rsidR="0073638E" w:rsidRPr="00E045BC" w:rsidRDefault="00E045BC" w:rsidP="00234D71">
      <w:pPr>
        <w:rPr>
          <w:rFonts w:ascii="Arial" w:eastAsia="Calibri" w:hAnsi="Arial" w:cs="Arial"/>
          <w:b/>
          <w:bCs/>
          <w:sz w:val="22"/>
        </w:rPr>
      </w:pPr>
      <w:r w:rsidRPr="00E045BC">
        <w:rPr>
          <w:rFonts w:ascii="Arial" w:eastAsia="Calibri" w:hAnsi="Arial" w:cs="Arial"/>
          <w:b/>
          <w:bCs/>
          <w:sz w:val="22"/>
        </w:rPr>
        <w:t>Ayda Orozco Rojas</w:t>
      </w:r>
    </w:p>
    <w:p w14:paraId="4F0F7D0F" w14:textId="003C9F76" w:rsidR="00630D34" w:rsidRPr="00E045BC" w:rsidRDefault="0073638E" w:rsidP="00234D71">
      <w:pPr>
        <w:rPr>
          <w:rFonts w:ascii="Arial" w:eastAsia="Calibri" w:hAnsi="Arial" w:cs="Arial"/>
          <w:b/>
          <w:sz w:val="22"/>
        </w:rPr>
      </w:pPr>
      <w:r w:rsidRPr="00E045BC">
        <w:rPr>
          <w:rFonts w:ascii="Arial" w:eastAsia="Calibri" w:hAnsi="Arial" w:cs="Arial"/>
          <w:sz w:val="22"/>
        </w:rPr>
        <w:t xml:space="preserve">Florencia, Caquetá </w:t>
      </w:r>
    </w:p>
    <w:p w14:paraId="203D79F9" w14:textId="248FEB11" w:rsidR="00630D34" w:rsidRPr="00E045BC" w:rsidRDefault="00630D34" w:rsidP="00630D34">
      <w:pPr>
        <w:spacing w:before="120" w:after="120" w:line="276" w:lineRule="auto"/>
        <w:jc w:val="center"/>
        <w:rPr>
          <w:rFonts w:ascii="Arial" w:eastAsia="Calibri" w:hAnsi="Arial" w:cs="Arial"/>
          <w:b/>
          <w:sz w:val="22"/>
        </w:rPr>
      </w:pPr>
      <w:r w:rsidRPr="00E045BC">
        <w:rPr>
          <w:rFonts w:ascii="Arial" w:eastAsia="Calibri" w:hAnsi="Arial" w:cs="Arial"/>
          <w:b/>
          <w:sz w:val="22"/>
        </w:rPr>
        <w:t>Concepto C ─</w:t>
      </w:r>
      <w:r w:rsidR="00AC4CB8" w:rsidRPr="00E045BC">
        <w:rPr>
          <w:rFonts w:ascii="Arial" w:eastAsia="Calibri" w:hAnsi="Arial" w:cs="Arial"/>
          <w:b/>
          <w:sz w:val="22"/>
        </w:rPr>
        <w:t xml:space="preserve"> </w:t>
      </w:r>
      <w:r w:rsidR="00DE3EBE">
        <w:rPr>
          <w:rFonts w:ascii="Arial" w:eastAsia="Calibri" w:hAnsi="Arial" w:cs="Arial"/>
          <w:b/>
          <w:sz w:val="22"/>
        </w:rPr>
        <w:t>574</w:t>
      </w:r>
      <w:r w:rsidR="00CA5B28" w:rsidRPr="00E045BC">
        <w:rPr>
          <w:rFonts w:ascii="Arial" w:eastAsia="Calibri" w:hAnsi="Arial" w:cs="Arial"/>
          <w:b/>
          <w:sz w:val="22"/>
        </w:rPr>
        <w:t xml:space="preserve"> </w:t>
      </w:r>
      <w:r w:rsidR="004026EC" w:rsidRPr="00E045BC">
        <w:rPr>
          <w:rFonts w:ascii="Arial" w:eastAsia="Calibri" w:hAnsi="Arial" w:cs="Arial"/>
          <w:b/>
          <w:sz w:val="22"/>
        </w:rPr>
        <w:t>de 2020</w:t>
      </w:r>
    </w:p>
    <w:p w14:paraId="094141BC" w14:textId="77777777" w:rsidR="00234D71" w:rsidRPr="00E045BC" w:rsidRDefault="00234D71" w:rsidP="00630D34">
      <w:pPr>
        <w:spacing w:before="120" w:after="120" w:line="276" w:lineRule="auto"/>
        <w:jc w:val="center"/>
        <w:rPr>
          <w:rFonts w:ascii="Arial" w:eastAsia="Calibri" w:hAnsi="Arial" w:cs="Arial"/>
          <w:b/>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807"/>
      </w:tblGrid>
      <w:tr w:rsidR="00E045BC" w:rsidRPr="00E045BC" w14:paraId="57333B88" w14:textId="77777777" w:rsidTr="00D4313A">
        <w:tc>
          <w:tcPr>
            <w:tcW w:w="3119" w:type="dxa"/>
            <w:hideMark/>
          </w:tcPr>
          <w:p w14:paraId="717D10E8" w14:textId="77777777" w:rsidR="00630D34" w:rsidRPr="00E045BC" w:rsidRDefault="00630D34" w:rsidP="00D77F01">
            <w:pPr>
              <w:rPr>
                <w:rFonts w:ascii="Arial" w:eastAsia="Calibri" w:hAnsi="Arial" w:cs="Arial"/>
                <w:bCs/>
                <w:sz w:val="22"/>
              </w:rPr>
            </w:pPr>
            <w:r w:rsidRPr="00E045BC">
              <w:rPr>
                <w:rFonts w:ascii="Arial" w:eastAsia="Calibri" w:hAnsi="Arial" w:cs="Arial"/>
                <w:bCs/>
                <w:sz w:val="22"/>
              </w:rPr>
              <w:t xml:space="preserve">Temas:           </w:t>
            </w:r>
          </w:p>
          <w:p w14:paraId="65FE911C" w14:textId="77777777" w:rsidR="00630D34" w:rsidRPr="00E045BC" w:rsidRDefault="00630D34" w:rsidP="00D77F01">
            <w:pPr>
              <w:rPr>
                <w:rFonts w:ascii="Arial" w:eastAsia="Calibri" w:hAnsi="Arial" w:cs="Arial"/>
                <w:bCs/>
                <w:sz w:val="22"/>
              </w:rPr>
            </w:pPr>
            <w:r w:rsidRPr="00E045BC">
              <w:rPr>
                <w:rFonts w:ascii="Arial" w:eastAsia="Calibri" w:hAnsi="Arial" w:cs="Arial"/>
                <w:bCs/>
                <w:sz w:val="22"/>
              </w:rPr>
              <w:t xml:space="preserve">                           </w:t>
            </w:r>
          </w:p>
        </w:tc>
        <w:tc>
          <w:tcPr>
            <w:tcW w:w="5807" w:type="dxa"/>
            <w:hideMark/>
          </w:tcPr>
          <w:p w14:paraId="1CC1F07A" w14:textId="26D1B880" w:rsidR="00630D34" w:rsidRPr="00E045BC" w:rsidRDefault="0010548D" w:rsidP="00D77F01">
            <w:pPr>
              <w:jc w:val="both"/>
              <w:rPr>
                <w:rFonts w:ascii="Arial" w:eastAsia="Calibri" w:hAnsi="Arial" w:cs="Arial"/>
                <w:bCs/>
                <w:sz w:val="22"/>
              </w:rPr>
            </w:pPr>
            <w:r w:rsidRPr="00E045BC">
              <w:rPr>
                <w:rFonts w:ascii="Arial" w:eastAsia="Calibri" w:hAnsi="Arial" w:cs="Arial"/>
                <w:bCs/>
                <w:sz w:val="22"/>
              </w:rPr>
              <w:t xml:space="preserve">INSTITUCIONES EDUCATIVAS OFICIALES – Naturaleza jurídica – Régimen de contratación – Capacidad para contratar / INSTITUCIONES EDUCATIVAS OFICIALES – Contratación – Umbral – Veinte salarios mínimos legales </w:t>
            </w:r>
            <w:r w:rsidRPr="00E045BC">
              <w:rPr>
                <w:rFonts w:ascii="Arial" w:eastAsia="Calibri" w:hAnsi="Arial" w:cs="Arial"/>
                <w:bCs/>
                <w:sz w:val="22"/>
              </w:rPr>
              <w:lastRenderedPageBreak/>
              <w:t>mensuales vigentes – Competencia del Consejo Directivo / PUBLICIDAD SECOP – Entidades de régimen especial – Fundamento normativo / PUBLICACION EN SECOP – Entidades de régimen especial / PUBLICACIÓN SECOP – Plazo – Entidades régimen especial</w:t>
            </w:r>
          </w:p>
        </w:tc>
      </w:tr>
      <w:tr w:rsidR="00292F1B" w:rsidRPr="00E045BC" w14:paraId="6222412A" w14:textId="77777777" w:rsidTr="00D4313A">
        <w:trPr>
          <w:trHeight w:val="297"/>
        </w:trPr>
        <w:tc>
          <w:tcPr>
            <w:tcW w:w="3119" w:type="dxa"/>
          </w:tcPr>
          <w:p w14:paraId="637FA79F" w14:textId="77777777" w:rsidR="00630D34" w:rsidRPr="00E045BC" w:rsidRDefault="00630D34" w:rsidP="00D77F01">
            <w:pPr>
              <w:rPr>
                <w:rFonts w:ascii="Arial" w:eastAsia="Calibri" w:hAnsi="Arial" w:cs="Arial"/>
                <w:b/>
                <w:sz w:val="22"/>
              </w:rPr>
            </w:pPr>
            <w:r w:rsidRPr="00E045BC">
              <w:rPr>
                <w:rFonts w:ascii="Arial" w:eastAsia="Calibri" w:hAnsi="Arial" w:cs="Arial"/>
                <w:b/>
                <w:sz w:val="22"/>
              </w:rPr>
              <w:lastRenderedPageBreak/>
              <w:t xml:space="preserve"> Radicación:</w:t>
            </w:r>
            <w:r w:rsidRPr="00E045BC">
              <w:rPr>
                <w:rFonts w:ascii="Arial" w:eastAsia="Calibri" w:hAnsi="Arial" w:cs="Arial"/>
                <w:sz w:val="22"/>
              </w:rPr>
              <w:t xml:space="preserve">                              </w:t>
            </w:r>
          </w:p>
        </w:tc>
        <w:tc>
          <w:tcPr>
            <w:tcW w:w="5807" w:type="dxa"/>
          </w:tcPr>
          <w:p w14:paraId="334E6916" w14:textId="1D4AF337" w:rsidR="00630D34" w:rsidRPr="00E045BC" w:rsidRDefault="00630D34" w:rsidP="00D77F01">
            <w:pPr>
              <w:jc w:val="both"/>
              <w:rPr>
                <w:rFonts w:ascii="Arial" w:eastAsia="Calibri" w:hAnsi="Arial" w:cs="Arial"/>
                <w:sz w:val="22"/>
              </w:rPr>
            </w:pPr>
            <w:r w:rsidRPr="00E045BC">
              <w:rPr>
                <w:rFonts w:ascii="Arial" w:eastAsia="Calibri" w:hAnsi="Arial" w:cs="Arial"/>
                <w:sz w:val="22"/>
              </w:rPr>
              <w:t>Respuesta a consulta #</w:t>
            </w:r>
            <w:r w:rsidR="00234D71" w:rsidRPr="00E045BC">
              <w:t xml:space="preserve"> </w:t>
            </w:r>
            <w:r w:rsidR="00E045BC" w:rsidRPr="00E045BC">
              <w:rPr>
                <w:rFonts w:ascii="Arial" w:eastAsia="Calibri" w:hAnsi="Arial" w:cs="Arial"/>
                <w:sz w:val="22"/>
              </w:rPr>
              <w:t>4202012000007193</w:t>
            </w:r>
          </w:p>
        </w:tc>
      </w:tr>
    </w:tbl>
    <w:p w14:paraId="572ACFBC" w14:textId="0CB33529" w:rsidR="00630D34" w:rsidRPr="00E045BC" w:rsidRDefault="00630D34" w:rsidP="004026EC">
      <w:pPr>
        <w:rPr>
          <w:rFonts w:ascii="Arial" w:eastAsia="Calibri" w:hAnsi="Arial" w:cs="Arial"/>
          <w:sz w:val="22"/>
        </w:rPr>
      </w:pPr>
    </w:p>
    <w:p w14:paraId="520B16AC" w14:textId="77777777" w:rsidR="0073638E" w:rsidRPr="00E045BC" w:rsidRDefault="0073638E" w:rsidP="004026EC">
      <w:pPr>
        <w:rPr>
          <w:rFonts w:ascii="Arial" w:eastAsia="Calibri" w:hAnsi="Arial" w:cs="Arial"/>
          <w:sz w:val="22"/>
        </w:rPr>
      </w:pPr>
    </w:p>
    <w:p w14:paraId="20703338" w14:textId="0BC6DDAC" w:rsidR="00630D34" w:rsidRPr="00E045BC" w:rsidRDefault="00630D34" w:rsidP="004026EC">
      <w:pPr>
        <w:rPr>
          <w:rFonts w:ascii="Arial" w:eastAsia="Calibri" w:hAnsi="Arial" w:cs="Arial"/>
          <w:sz w:val="22"/>
        </w:rPr>
      </w:pPr>
      <w:r w:rsidRPr="00E045BC">
        <w:rPr>
          <w:rFonts w:ascii="Arial" w:eastAsia="Calibri" w:hAnsi="Arial" w:cs="Arial"/>
          <w:sz w:val="22"/>
        </w:rPr>
        <w:t>Estimad</w:t>
      </w:r>
      <w:r w:rsidR="00E045BC" w:rsidRPr="00E045BC">
        <w:rPr>
          <w:rFonts w:ascii="Arial" w:eastAsia="Calibri" w:hAnsi="Arial" w:cs="Arial"/>
          <w:sz w:val="22"/>
        </w:rPr>
        <w:t>a</w:t>
      </w:r>
      <w:r w:rsidRPr="00E045BC">
        <w:rPr>
          <w:rFonts w:ascii="Arial" w:eastAsia="Calibri" w:hAnsi="Arial" w:cs="Arial"/>
          <w:sz w:val="22"/>
        </w:rPr>
        <w:t xml:space="preserve"> señor</w:t>
      </w:r>
      <w:r w:rsidR="00E045BC" w:rsidRPr="00E045BC">
        <w:rPr>
          <w:rFonts w:ascii="Arial" w:eastAsia="Calibri" w:hAnsi="Arial" w:cs="Arial"/>
          <w:sz w:val="22"/>
        </w:rPr>
        <w:t>a</w:t>
      </w:r>
      <w:r w:rsidRPr="00E045BC">
        <w:rPr>
          <w:rFonts w:ascii="Arial" w:eastAsia="Calibri" w:hAnsi="Arial" w:cs="Arial"/>
          <w:sz w:val="22"/>
        </w:rPr>
        <w:t xml:space="preserve"> </w:t>
      </w:r>
      <w:r w:rsidR="00E045BC" w:rsidRPr="00E045BC">
        <w:rPr>
          <w:rFonts w:ascii="Arial" w:eastAsia="Calibri" w:hAnsi="Arial" w:cs="Arial"/>
          <w:sz w:val="22"/>
        </w:rPr>
        <w:t>Orozco</w:t>
      </w:r>
      <w:r w:rsidR="004026EC" w:rsidRPr="00E045BC">
        <w:rPr>
          <w:rFonts w:ascii="Arial" w:eastAsia="Calibri" w:hAnsi="Arial" w:cs="Arial"/>
          <w:sz w:val="22"/>
        </w:rPr>
        <w:t>,</w:t>
      </w:r>
    </w:p>
    <w:p w14:paraId="67165113" w14:textId="77777777" w:rsidR="004026EC" w:rsidRPr="00E045BC" w:rsidRDefault="004026EC" w:rsidP="004026EC">
      <w:pPr>
        <w:rPr>
          <w:rFonts w:ascii="Arial" w:eastAsia="Calibri" w:hAnsi="Arial" w:cs="Arial"/>
          <w:sz w:val="22"/>
        </w:rPr>
      </w:pPr>
    </w:p>
    <w:p w14:paraId="0B69AF9B" w14:textId="0E2177EC" w:rsidR="00630D34" w:rsidRPr="00E045BC" w:rsidRDefault="00630D34" w:rsidP="00630D34">
      <w:pPr>
        <w:spacing w:before="120" w:after="120" w:line="276" w:lineRule="auto"/>
        <w:ind w:right="49"/>
        <w:jc w:val="both"/>
        <w:rPr>
          <w:rFonts w:ascii="Arial" w:eastAsia="Calibri" w:hAnsi="Arial" w:cs="Arial"/>
          <w:sz w:val="22"/>
        </w:rPr>
      </w:pPr>
      <w:r w:rsidRPr="00E045BC">
        <w:rPr>
          <w:rFonts w:ascii="Arial" w:eastAsia="Calibri" w:hAnsi="Arial" w:cs="Arial"/>
          <w:sz w:val="22"/>
        </w:rPr>
        <w:t xml:space="preserve">La Agencia Nacional de Contratación Pública -‒ Colombia Compra Eficiente― responde su consulta del </w:t>
      </w:r>
      <w:r w:rsidR="00E045BC" w:rsidRPr="00E045BC">
        <w:rPr>
          <w:rFonts w:ascii="Arial" w:eastAsia="Calibri" w:hAnsi="Arial" w:cs="Arial"/>
          <w:sz w:val="22"/>
        </w:rPr>
        <w:t>20</w:t>
      </w:r>
      <w:r w:rsidRPr="00E045BC">
        <w:rPr>
          <w:rFonts w:ascii="Arial" w:eastAsia="Calibri" w:hAnsi="Arial" w:cs="Arial"/>
          <w:sz w:val="22"/>
        </w:rPr>
        <w:t xml:space="preserve"> de </w:t>
      </w:r>
      <w:r w:rsidR="0073638E" w:rsidRPr="00E045BC">
        <w:rPr>
          <w:rFonts w:ascii="Arial" w:eastAsia="Calibri" w:hAnsi="Arial" w:cs="Arial"/>
          <w:sz w:val="22"/>
        </w:rPr>
        <w:t>agost</w:t>
      </w:r>
      <w:r w:rsidR="00234D71" w:rsidRPr="00E045BC">
        <w:rPr>
          <w:rFonts w:ascii="Arial" w:eastAsia="Calibri" w:hAnsi="Arial" w:cs="Arial"/>
          <w:sz w:val="22"/>
        </w:rPr>
        <w:t>o</w:t>
      </w:r>
      <w:r w:rsidRPr="00E045BC">
        <w:rPr>
          <w:rFonts w:ascii="Arial" w:eastAsia="Calibri" w:hAnsi="Arial" w:cs="Arial"/>
          <w:sz w:val="22"/>
        </w:rPr>
        <w:t xml:space="preserve"> de 2020, en ejercicio de la competencia otorgada por el numeral 8 del artículo 11 y el numeral 5 del artículo 3 del Decreto Ley 4170 de 2011. </w:t>
      </w:r>
    </w:p>
    <w:p w14:paraId="645B1E41" w14:textId="77777777" w:rsidR="00234D71" w:rsidRPr="00E045BC" w:rsidRDefault="00234D71" w:rsidP="004026EC">
      <w:pPr>
        <w:pStyle w:val="Prrafodelista"/>
        <w:tabs>
          <w:tab w:val="left" w:pos="284"/>
        </w:tabs>
        <w:ind w:left="0"/>
        <w:rPr>
          <w:rFonts w:ascii="Arial" w:eastAsia="Calibri" w:hAnsi="Arial" w:cs="Arial"/>
          <w:b/>
          <w:sz w:val="22"/>
        </w:rPr>
      </w:pPr>
    </w:p>
    <w:p w14:paraId="5C4DF144" w14:textId="5E3137B8" w:rsidR="00630D34" w:rsidRPr="00E045BC" w:rsidRDefault="00630D34" w:rsidP="004026EC">
      <w:pPr>
        <w:pStyle w:val="Prrafodelista"/>
        <w:tabs>
          <w:tab w:val="left" w:pos="284"/>
        </w:tabs>
        <w:ind w:left="0"/>
        <w:rPr>
          <w:rFonts w:ascii="Arial" w:eastAsia="Calibri" w:hAnsi="Arial" w:cs="Arial"/>
          <w:b/>
          <w:sz w:val="22"/>
        </w:rPr>
      </w:pPr>
      <w:r w:rsidRPr="00E045BC">
        <w:rPr>
          <w:rFonts w:ascii="Arial" w:eastAsia="Calibri" w:hAnsi="Arial" w:cs="Arial"/>
          <w:b/>
          <w:sz w:val="22"/>
        </w:rPr>
        <w:t xml:space="preserve">1. Problemas planteados </w:t>
      </w:r>
    </w:p>
    <w:p w14:paraId="352D9333" w14:textId="77777777" w:rsidR="00630D34" w:rsidRPr="00E045BC" w:rsidRDefault="00630D34" w:rsidP="002F71CA">
      <w:pPr>
        <w:pStyle w:val="Prrafodelista"/>
        <w:tabs>
          <w:tab w:val="left" w:pos="284"/>
        </w:tabs>
        <w:ind w:left="0"/>
        <w:rPr>
          <w:rFonts w:ascii="Arial" w:eastAsia="Calibri" w:hAnsi="Arial" w:cs="Arial"/>
          <w:b/>
          <w:sz w:val="22"/>
        </w:rPr>
      </w:pPr>
    </w:p>
    <w:p w14:paraId="3074C8AC" w14:textId="6157FEC1" w:rsidR="00630D34" w:rsidRPr="00E045BC" w:rsidRDefault="00630D34" w:rsidP="0073638E">
      <w:pPr>
        <w:pStyle w:val="Default"/>
        <w:spacing w:line="276" w:lineRule="auto"/>
        <w:jc w:val="both"/>
        <w:rPr>
          <w:rFonts w:eastAsia="Calibri"/>
          <w:bCs/>
          <w:color w:val="auto"/>
          <w:sz w:val="22"/>
          <w:szCs w:val="22"/>
        </w:rPr>
      </w:pPr>
      <w:r w:rsidRPr="00E045BC">
        <w:rPr>
          <w:rFonts w:eastAsia="Calibri"/>
          <w:bCs/>
          <w:color w:val="auto"/>
          <w:sz w:val="22"/>
          <w:szCs w:val="22"/>
        </w:rPr>
        <w:t>Usted realiza la siguiente</w:t>
      </w:r>
      <w:r w:rsidR="00E80494" w:rsidRPr="00E045BC">
        <w:rPr>
          <w:rFonts w:eastAsia="Calibri"/>
          <w:bCs/>
          <w:color w:val="auto"/>
          <w:sz w:val="22"/>
          <w:szCs w:val="22"/>
        </w:rPr>
        <w:t xml:space="preserve"> </w:t>
      </w:r>
      <w:r w:rsidRPr="00E045BC">
        <w:rPr>
          <w:rFonts w:eastAsia="Calibri"/>
          <w:bCs/>
          <w:color w:val="auto"/>
          <w:sz w:val="22"/>
          <w:szCs w:val="22"/>
        </w:rPr>
        <w:t>pregunta:</w:t>
      </w:r>
      <w:r w:rsidR="0073638E" w:rsidRPr="00E045BC">
        <w:rPr>
          <w:rFonts w:eastAsia="Calibri"/>
          <w:bCs/>
          <w:color w:val="auto"/>
          <w:sz w:val="22"/>
          <w:szCs w:val="22"/>
        </w:rPr>
        <w:t xml:space="preserve"> </w:t>
      </w:r>
      <w:r w:rsidR="00234D71" w:rsidRPr="00E045BC">
        <w:rPr>
          <w:rFonts w:eastAsia="Calibri"/>
          <w:bCs/>
          <w:color w:val="auto"/>
          <w:sz w:val="22"/>
          <w:szCs w:val="22"/>
        </w:rPr>
        <w:t>«</w:t>
      </w:r>
      <w:r w:rsidR="004D4E2B" w:rsidRPr="00E045BC">
        <w:rPr>
          <w:rFonts w:eastAsia="Calibri"/>
          <w:bCs/>
          <w:color w:val="auto"/>
          <w:sz w:val="22"/>
          <w:szCs w:val="22"/>
        </w:rPr>
        <w:t xml:space="preserve">[…] </w:t>
      </w:r>
      <w:r w:rsidR="00E045BC" w:rsidRPr="00E045BC">
        <w:rPr>
          <w:color w:val="auto"/>
          <w:sz w:val="22"/>
          <w:szCs w:val="22"/>
        </w:rPr>
        <w:t xml:space="preserve">el favor si me pueden asesorar si una Institución Educativa </w:t>
      </w:r>
      <w:proofErr w:type="spellStart"/>
      <w:r w:rsidR="00E045BC" w:rsidRPr="00E045BC">
        <w:rPr>
          <w:color w:val="auto"/>
          <w:sz w:val="22"/>
          <w:szCs w:val="22"/>
        </w:rPr>
        <w:t>esta</w:t>
      </w:r>
      <w:proofErr w:type="spellEnd"/>
      <w:r w:rsidR="00E045BC" w:rsidRPr="00E045BC">
        <w:rPr>
          <w:color w:val="auto"/>
          <w:sz w:val="22"/>
          <w:szCs w:val="22"/>
        </w:rPr>
        <w:t xml:space="preserve"> obligada a publicar cada una de las compras así sean de menor cuantía</w:t>
      </w:r>
      <w:r w:rsidR="0073638E" w:rsidRPr="00E045BC">
        <w:rPr>
          <w:color w:val="auto"/>
          <w:sz w:val="22"/>
          <w:szCs w:val="22"/>
        </w:rPr>
        <w:t xml:space="preserve"> </w:t>
      </w:r>
      <w:r w:rsidR="004D4E2B" w:rsidRPr="00E045BC">
        <w:rPr>
          <w:color w:val="auto"/>
          <w:sz w:val="22"/>
          <w:szCs w:val="22"/>
        </w:rPr>
        <w:t>[…]</w:t>
      </w:r>
      <w:r w:rsidR="00234D71" w:rsidRPr="00E045BC">
        <w:rPr>
          <w:color w:val="auto"/>
          <w:sz w:val="22"/>
          <w:szCs w:val="22"/>
        </w:rPr>
        <w:t>».</w:t>
      </w:r>
    </w:p>
    <w:p w14:paraId="0B432A5B" w14:textId="77777777" w:rsidR="00E80494" w:rsidRPr="00E045BC" w:rsidRDefault="00E80494" w:rsidP="0027761D">
      <w:pPr>
        <w:tabs>
          <w:tab w:val="left" w:pos="426"/>
        </w:tabs>
        <w:jc w:val="both"/>
        <w:rPr>
          <w:rFonts w:ascii="Arial" w:eastAsia="Calibri" w:hAnsi="Arial" w:cs="Arial"/>
          <w:bCs/>
          <w:sz w:val="22"/>
        </w:rPr>
      </w:pPr>
    </w:p>
    <w:p w14:paraId="2ABC9D8E" w14:textId="77777777" w:rsidR="00630D34" w:rsidRPr="00E045BC" w:rsidRDefault="00630D34" w:rsidP="0027761D">
      <w:pPr>
        <w:tabs>
          <w:tab w:val="left" w:pos="426"/>
        </w:tabs>
        <w:jc w:val="both"/>
        <w:rPr>
          <w:rFonts w:ascii="Arial" w:eastAsia="Calibri" w:hAnsi="Arial" w:cs="Arial"/>
          <w:b/>
          <w:sz w:val="22"/>
        </w:rPr>
      </w:pPr>
      <w:r w:rsidRPr="00E045BC">
        <w:rPr>
          <w:rFonts w:ascii="Arial" w:eastAsia="Calibri" w:hAnsi="Arial" w:cs="Arial"/>
          <w:b/>
          <w:sz w:val="22"/>
        </w:rPr>
        <w:t>2. Consideraciones</w:t>
      </w:r>
    </w:p>
    <w:p w14:paraId="20F528C7" w14:textId="77777777" w:rsidR="00E80494" w:rsidRPr="00E045BC" w:rsidRDefault="00E80494" w:rsidP="0027761D">
      <w:pPr>
        <w:tabs>
          <w:tab w:val="left" w:pos="426"/>
        </w:tabs>
        <w:jc w:val="both"/>
        <w:rPr>
          <w:rFonts w:ascii="Arial" w:eastAsia="Calibri" w:hAnsi="Arial" w:cs="Arial"/>
          <w:b/>
          <w:sz w:val="22"/>
        </w:rPr>
      </w:pPr>
    </w:p>
    <w:p w14:paraId="2C29644F" w14:textId="2D9C7877" w:rsidR="0073638E" w:rsidRPr="00E045BC" w:rsidRDefault="00630D34" w:rsidP="0073638E">
      <w:pPr>
        <w:spacing w:line="276" w:lineRule="auto"/>
        <w:jc w:val="both"/>
        <w:rPr>
          <w:rFonts w:ascii="Arial" w:eastAsia="Calibri" w:hAnsi="Arial" w:cs="Arial"/>
          <w:sz w:val="22"/>
        </w:rPr>
      </w:pPr>
      <w:r w:rsidRPr="00E045BC">
        <w:rPr>
          <w:rFonts w:ascii="Arial" w:eastAsia="Calibri" w:hAnsi="Arial" w:cs="Arial"/>
          <w:sz w:val="22"/>
        </w:rPr>
        <w:t xml:space="preserve">Para </w:t>
      </w:r>
      <w:r w:rsidR="0073638E" w:rsidRPr="00E045BC">
        <w:rPr>
          <w:rFonts w:ascii="Arial" w:eastAsia="Calibri" w:hAnsi="Arial" w:cs="Arial"/>
          <w:sz w:val="22"/>
        </w:rPr>
        <w:t>resolver la inquietud planteada</w:t>
      </w:r>
      <w:r w:rsidRPr="00E045BC">
        <w:rPr>
          <w:rFonts w:ascii="Arial" w:eastAsia="Calibri" w:hAnsi="Arial" w:cs="Arial"/>
          <w:sz w:val="22"/>
        </w:rPr>
        <w:t xml:space="preserve"> </w:t>
      </w:r>
      <w:r w:rsidR="0073638E" w:rsidRPr="00E045BC">
        <w:rPr>
          <w:rFonts w:ascii="Arial" w:eastAsia="Calibri" w:hAnsi="Arial" w:cs="Arial"/>
          <w:sz w:val="22"/>
        </w:rPr>
        <w:t xml:space="preserve">se </w:t>
      </w:r>
      <w:r w:rsidR="00C83CE0" w:rsidRPr="00E045BC">
        <w:rPr>
          <w:rFonts w:ascii="Arial" w:eastAsia="Calibri" w:hAnsi="Arial" w:cs="Arial"/>
          <w:sz w:val="22"/>
        </w:rPr>
        <w:t>abordarán</w:t>
      </w:r>
      <w:r w:rsidR="0073638E" w:rsidRPr="00E045BC">
        <w:rPr>
          <w:rFonts w:ascii="Arial" w:eastAsia="Calibri" w:hAnsi="Arial" w:cs="Arial"/>
          <w:sz w:val="22"/>
        </w:rPr>
        <w:t xml:space="preserve"> los siguientes tópicos: i) la naturaleza jurídica de las Instituciones Educativas de carácter oficial y su régimen de contratación; </w:t>
      </w:r>
      <w:proofErr w:type="spellStart"/>
      <w:r w:rsidR="0073638E" w:rsidRPr="00E045BC">
        <w:rPr>
          <w:rFonts w:ascii="Arial" w:eastAsia="Calibri" w:hAnsi="Arial" w:cs="Arial"/>
          <w:sz w:val="22"/>
        </w:rPr>
        <w:t>ii</w:t>
      </w:r>
      <w:proofErr w:type="spellEnd"/>
      <w:r w:rsidR="0073638E" w:rsidRPr="00E045BC">
        <w:rPr>
          <w:rFonts w:ascii="Arial" w:eastAsia="Calibri" w:hAnsi="Arial" w:cs="Arial"/>
          <w:sz w:val="22"/>
        </w:rPr>
        <w:t xml:space="preserve">) </w:t>
      </w:r>
      <w:r w:rsidR="00526B4A" w:rsidRPr="00E045BC">
        <w:rPr>
          <w:rFonts w:ascii="Arial" w:eastAsia="Calibri" w:hAnsi="Arial" w:cs="Arial"/>
          <w:sz w:val="22"/>
        </w:rPr>
        <w:t>principio de publicidad y acceso a la información pública</w:t>
      </w:r>
      <w:r w:rsidR="0073638E" w:rsidRPr="00E045BC">
        <w:rPr>
          <w:rFonts w:ascii="Arial" w:eastAsia="Calibri" w:hAnsi="Arial" w:cs="Arial"/>
          <w:sz w:val="22"/>
        </w:rPr>
        <w:t xml:space="preserve">; </w:t>
      </w:r>
      <w:proofErr w:type="spellStart"/>
      <w:r w:rsidR="0073638E" w:rsidRPr="00E045BC">
        <w:rPr>
          <w:rFonts w:ascii="Arial" w:eastAsia="Calibri" w:hAnsi="Arial" w:cs="Arial"/>
          <w:sz w:val="22"/>
        </w:rPr>
        <w:t>iii</w:t>
      </w:r>
      <w:proofErr w:type="spellEnd"/>
      <w:r w:rsidR="0073638E" w:rsidRPr="00E045BC">
        <w:rPr>
          <w:rFonts w:ascii="Arial" w:eastAsia="Calibri" w:hAnsi="Arial" w:cs="Arial"/>
          <w:sz w:val="22"/>
        </w:rPr>
        <w:t xml:space="preserve">) documentos que deben publicar las entidades de régimen especial en el SECOP y término para hacerlo; y </w:t>
      </w:r>
      <w:proofErr w:type="spellStart"/>
      <w:r w:rsidR="0073638E" w:rsidRPr="00E045BC">
        <w:rPr>
          <w:rFonts w:ascii="Arial" w:eastAsia="Calibri" w:hAnsi="Arial" w:cs="Arial"/>
          <w:sz w:val="22"/>
        </w:rPr>
        <w:t>iv</w:t>
      </w:r>
      <w:proofErr w:type="spellEnd"/>
      <w:r w:rsidR="0073638E" w:rsidRPr="00E045BC">
        <w:rPr>
          <w:rFonts w:ascii="Arial" w:eastAsia="Calibri" w:hAnsi="Arial" w:cs="Arial"/>
          <w:sz w:val="22"/>
        </w:rPr>
        <w:t>) publicidad en las plataformas SECOP I y II.</w:t>
      </w:r>
    </w:p>
    <w:p w14:paraId="7CA57661" w14:textId="77777777" w:rsidR="00C83CE0" w:rsidRPr="00E045BC" w:rsidRDefault="00C83CE0" w:rsidP="00C83CE0">
      <w:pPr>
        <w:spacing w:before="120" w:after="120" w:line="276" w:lineRule="auto"/>
        <w:ind w:firstLine="708"/>
        <w:jc w:val="both"/>
        <w:rPr>
          <w:rFonts w:ascii="Arial" w:hAnsi="Arial" w:cs="Arial"/>
          <w:sz w:val="22"/>
        </w:rPr>
      </w:pPr>
      <w:r w:rsidRPr="00E045BC">
        <w:rPr>
          <w:rFonts w:ascii="Arial" w:hAnsi="Arial" w:cs="Arial"/>
          <w:sz w:val="22"/>
        </w:rPr>
        <w:t xml:space="preserve">La Agencia Nacional de Contratación Pública – Colombia Compra eficiente estudió el tema de la naturaleza jurídica de las Instituciones educativas y su régimen de contratación en los conceptos con radicado 2201913000006285 del 27 de agosto de 2019, No. </w:t>
      </w:r>
      <w:hyperlink r:id="rId11" w:tgtFrame="_blank" w:history="1">
        <w:r w:rsidRPr="00E045BC">
          <w:rPr>
            <w:rFonts w:ascii="Arial" w:hAnsi="Arial" w:cs="Arial"/>
            <w:sz w:val="22"/>
          </w:rPr>
          <w:t>2201913000006068</w:t>
        </w:r>
      </w:hyperlink>
      <w:r w:rsidRPr="00E045BC">
        <w:rPr>
          <w:rFonts w:ascii="Arial" w:hAnsi="Arial" w:cs="Arial"/>
          <w:sz w:val="22"/>
        </w:rPr>
        <w:t xml:space="preserve"> del 28 de agosto de 2019, 2201913000008174 del 31 de octubre de 2019  </w:t>
      </w:r>
      <w:hyperlink r:id="rId12" w:tgtFrame="_blank" w:history="1">
        <w:r w:rsidRPr="00E045BC">
          <w:rPr>
            <w:rFonts w:ascii="Arial" w:hAnsi="Arial" w:cs="Arial"/>
            <w:sz w:val="22"/>
          </w:rPr>
          <w:t>2201913000008197</w:t>
        </w:r>
      </w:hyperlink>
      <w:r w:rsidRPr="00E045BC">
        <w:rPr>
          <w:rFonts w:ascii="Arial" w:hAnsi="Arial" w:cs="Arial"/>
          <w:sz w:val="22"/>
        </w:rPr>
        <w:t xml:space="preserve"> del 1 de noviembre de 2019, C-181 del 6 de abril de 2020, C-272 del 27 de abril de 2020, C-284 del 27 de mayo de 2010 y C-399 del 23 de junio de 2020.</w:t>
      </w:r>
      <w:r w:rsidRPr="00E045BC">
        <w:rPr>
          <w:rFonts w:ascii="Arial" w:hAnsi="Arial" w:cs="Arial"/>
          <w:sz w:val="22"/>
        </w:rPr>
        <w:tab/>
      </w:r>
    </w:p>
    <w:p w14:paraId="04EB3BDD" w14:textId="28DDDD08" w:rsidR="00630D34" w:rsidRPr="00E045BC" w:rsidRDefault="00292F1B" w:rsidP="00292F1B">
      <w:pPr>
        <w:tabs>
          <w:tab w:val="left" w:pos="426"/>
        </w:tabs>
        <w:spacing w:line="276" w:lineRule="auto"/>
        <w:jc w:val="both"/>
        <w:rPr>
          <w:rFonts w:ascii="Arial" w:hAnsi="Arial" w:cs="Arial"/>
          <w:sz w:val="22"/>
        </w:rPr>
      </w:pPr>
      <w:r w:rsidRPr="00E045BC">
        <w:rPr>
          <w:rFonts w:ascii="Arial" w:eastAsia="Calibri" w:hAnsi="Arial" w:cs="Arial"/>
          <w:bCs/>
          <w:sz w:val="22"/>
        </w:rPr>
        <w:tab/>
      </w:r>
      <w:r w:rsidRPr="00E045BC">
        <w:rPr>
          <w:rFonts w:ascii="Arial" w:eastAsia="Calibri" w:hAnsi="Arial" w:cs="Arial"/>
          <w:bCs/>
          <w:sz w:val="22"/>
        </w:rPr>
        <w:tab/>
      </w:r>
      <w:r w:rsidR="00230EC0" w:rsidRPr="00E045BC">
        <w:rPr>
          <w:rFonts w:ascii="Arial" w:eastAsia="Calibri" w:hAnsi="Arial" w:cs="Arial"/>
          <w:bCs/>
          <w:sz w:val="22"/>
        </w:rPr>
        <w:t xml:space="preserve">De otra parte, esta Agencia estudió por primera vez el tema de la publicidad de </w:t>
      </w:r>
      <w:r w:rsidRPr="00E045BC">
        <w:rPr>
          <w:rFonts w:ascii="Arial" w:eastAsia="Calibri" w:hAnsi="Arial" w:cs="Arial"/>
          <w:bCs/>
          <w:sz w:val="22"/>
        </w:rPr>
        <w:t>la gestión contractual de las entidades estatales con régimen especial</w:t>
      </w:r>
      <w:r w:rsidR="00230EC0" w:rsidRPr="00E045BC">
        <w:rPr>
          <w:rFonts w:ascii="Arial" w:eastAsia="Calibri" w:hAnsi="Arial" w:cs="Arial"/>
          <w:bCs/>
          <w:sz w:val="22"/>
        </w:rPr>
        <w:t xml:space="preserve"> en la consulta No. 4201913000005397 del 9 de agosto de 2019 y reiteró la posición en las siguientes consultas: 4201912000006611 del 25 de septiembre de 2019, </w:t>
      </w:r>
      <w:r w:rsidR="00230EC0" w:rsidRPr="00E045BC">
        <w:rPr>
          <w:rFonts w:ascii="Arial" w:hAnsi="Arial" w:cs="Arial"/>
          <w:sz w:val="22"/>
        </w:rPr>
        <w:t xml:space="preserve">4201913000006847 del 4 de octubre de 2019, </w:t>
      </w:r>
      <w:r w:rsidR="00230EC0" w:rsidRPr="00E045BC">
        <w:rPr>
          <w:rFonts w:ascii="Arial" w:eastAsia="Calibri" w:hAnsi="Arial" w:cs="Arial"/>
          <w:bCs/>
          <w:sz w:val="22"/>
        </w:rPr>
        <w:t>4201912000007762 del 18 de noviembre de 2019, y en la consulta 4201912000007828 del 13 de noviembre de 2019</w:t>
      </w:r>
      <w:r w:rsidR="00230EC0" w:rsidRPr="00E045BC">
        <w:rPr>
          <w:rFonts w:ascii="Arial" w:hAnsi="Arial" w:cs="Arial"/>
          <w:sz w:val="22"/>
        </w:rPr>
        <w:t xml:space="preserve">, y en el Concepto CU ― 003 de 15 de enero 2020 unificó la tesis sobre el particular y la cual fue reiterada en las consultas C – 061 de 21 de enero de 2020, C – 115 de 11 de febrero de 2020, C – 149 de 14 de febrero </w:t>
      </w:r>
      <w:r w:rsidR="00230EC0" w:rsidRPr="00E045BC">
        <w:rPr>
          <w:rFonts w:ascii="Arial" w:hAnsi="Arial" w:cs="Arial"/>
          <w:sz w:val="22"/>
        </w:rPr>
        <w:lastRenderedPageBreak/>
        <w:t xml:space="preserve">de 2020, </w:t>
      </w:r>
      <w:r w:rsidR="00230EC0" w:rsidRPr="00E045BC">
        <w:rPr>
          <w:rFonts w:ascii="Arial" w:eastAsia="Calibri" w:hAnsi="Arial" w:cs="Arial"/>
          <w:bCs/>
          <w:sz w:val="22"/>
        </w:rPr>
        <w:t xml:space="preserve">C – 095 del 16 de marzo de 2020, C–181 del 6 de abril de 2020 </w:t>
      </w:r>
      <w:r w:rsidRPr="00E045BC">
        <w:rPr>
          <w:rFonts w:ascii="Arial" w:hAnsi="Arial" w:cs="Arial"/>
          <w:sz w:val="22"/>
        </w:rPr>
        <w:t xml:space="preserve">, </w:t>
      </w:r>
      <w:r w:rsidR="00230EC0" w:rsidRPr="00E045BC">
        <w:rPr>
          <w:rFonts w:ascii="Arial" w:hAnsi="Arial" w:cs="Arial"/>
          <w:sz w:val="22"/>
        </w:rPr>
        <w:t>C – 312 del 6 de mayo de 2020</w:t>
      </w:r>
      <w:r w:rsidRPr="00E045BC">
        <w:rPr>
          <w:rFonts w:ascii="Arial" w:hAnsi="Arial" w:cs="Arial"/>
          <w:sz w:val="22"/>
        </w:rPr>
        <w:t>, entre otros</w:t>
      </w:r>
      <w:r w:rsidR="00230EC0" w:rsidRPr="00E045BC">
        <w:rPr>
          <w:rFonts w:ascii="Arial" w:hAnsi="Arial" w:cs="Arial"/>
          <w:sz w:val="22"/>
        </w:rPr>
        <w:t>.</w:t>
      </w:r>
      <w:r w:rsidRPr="00E045BC">
        <w:rPr>
          <w:rFonts w:ascii="Arial" w:hAnsi="Arial" w:cs="Arial"/>
          <w:sz w:val="22"/>
        </w:rPr>
        <w:t xml:space="preserve"> Las tesis expuestas se reiteran a continuación. </w:t>
      </w:r>
    </w:p>
    <w:p w14:paraId="42C52820" w14:textId="77777777" w:rsidR="00292F1B" w:rsidRPr="00E045BC" w:rsidRDefault="00292F1B" w:rsidP="00292F1B">
      <w:pPr>
        <w:tabs>
          <w:tab w:val="left" w:pos="426"/>
        </w:tabs>
        <w:spacing w:line="276" w:lineRule="auto"/>
        <w:jc w:val="both"/>
        <w:rPr>
          <w:rFonts w:ascii="Arial" w:eastAsia="Calibri" w:hAnsi="Arial" w:cs="Arial"/>
          <w:b/>
          <w:sz w:val="22"/>
        </w:rPr>
      </w:pPr>
    </w:p>
    <w:p w14:paraId="4F645358" w14:textId="464EC85E" w:rsidR="00630D34" w:rsidRPr="00E045BC" w:rsidRDefault="00630D34" w:rsidP="00E80494">
      <w:pPr>
        <w:tabs>
          <w:tab w:val="left" w:pos="426"/>
        </w:tabs>
        <w:jc w:val="both"/>
        <w:rPr>
          <w:rFonts w:ascii="Arial" w:eastAsia="Calibri" w:hAnsi="Arial" w:cs="Arial"/>
          <w:b/>
          <w:sz w:val="22"/>
        </w:rPr>
      </w:pPr>
      <w:r w:rsidRPr="00E045BC">
        <w:rPr>
          <w:rFonts w:ascii="Arial" w:eastAsia="Calibri" w:hAnsi="Arial" w:cs="Arial"/>
          <w:b/>
          <w:sz w:val="22"/>
        </w:rPr>
        <w:t xml:space="preserve">2.1. </w:t>
      </w:r>
      <w:r w:rsidR="00E80494" w:rsidRPr="00E045BC">
        <w:rPr>
          <w:rFonts w:ascii="Arial" w:eastAsia="Calibri" w:hAnsi="Arial" w:cs="Arial"/>
          <w:b/>
          <w:sz w:val="22"/>
        </w:rPr>
        <w:t xml:space="preserve">Naturaleza Jurídica de las Instituciones Educativas de </w:t>
      </w:r>
      <w:r w:rsidR="00A026BB" w:rsidRPr="00E045BC">
        <w:rPr>
          <w:rFonts w:ascii="Arial" w:eastAsia="Calibri" w:hAnsi="Arial" w:cs="Arial"/>
          <w:b/>
          <w:sz w:val="22"/>
        </w:rPr>
        <w:t>c</w:t>
      </w:r>
      <w:r w:rsidR="00E80494" w:rsidRPr="00E045BC">
        <w:rPr>
          <w:rFonts w:ascii="Arial" w:eastAsia="Calibri" w:hAnsi="Arial" w:cs="Arial"/>
          <w:b/>
          <w:sz w:val="22"/>
        </w:rPr>
        <w:t xml:space="preserve">arácter oficial y su régimen de contratación. </w:t>
      </w:r>
    </w:p>
    <w:p w14:paraId="56DE2A70" w14:textId="77777777" w:rsidR="00E80494" w:rsidRPr="00E045BC" w:rsidRDefault="00E80494" w:rsidP="00E80494">
      <w:pPr>
        <w:tabs>
          <w:tab w:val="left" w:pos="426"/>
        </w:tabs>
        <w:jc w:val="both"/>
        <w:rPr>
          <w:rFonts w:ascii="Arial" w:eastAsia="Calibri" w:hAnsi="Arial" w:cs="Arial"/>
          <w:b/>
          <w:sz w:val="22"/>
        </w:rPr>
      </w:pPr>
    </w:p>
    <w:p w14:paraId="74EC4668" w14:textId="18614BF5" w:rsidR="00044E28" w:rsidRPr="00E045BC" w:rsidRDefault="00044E28" w:rsidP="00526B4A">
      <w:pPr>
        <w:spacing w:after="120" w:line="276" w:lineRule="auto"/>
        <w:jc w:val="both"/>
        <w:rPr>
          <w:rFonts w:ascii="Arial" w:hAnsi="Arial" w:cs="Arial"/>
          <w:sz w:val="22"/>
        </w:rPr>
      </w:pPr>
      <w:r w:rsidRPr="00E045BC">
        <w:rPr>
          <w:rFonts w:ascii="Arial" w:hAnsi="Arial" w:cs="Arial"/>
          <w:sz w:val="22"/>
        </w:rPr>
        <w:t>Las Leyes 60 de 1993 y 715 de 2001 descentralizaron el sistema educativo en Colombia, asignándole</w:t>
      </w:r>
      <w:r w:rsidR="005D3D12" w:rsidRPr="00E045BC">
        <w:rPr>
          <w:rFonts w:ascii="Arial" w:hAnsi="Arial" w:cs="Arial"/>
          <w:sz w:val="22"/>
        </w:rPr>
        <w:t>s</w:t>
      </w:r>
      <w:r w:rsidRPr="00E045BC">
        <w:rPr>
          <w:rFonts w:ascii="Arial" w:hAnsi="Arial" w:cs="Arial"/>
          <w:sz w:val="22"/>
        </w:rPr>
        <w:t xml:space="preserve"> a los departamentos, distritos y municipios las competencias y los recursos económicos para dirigir las instituciones educativas. Es decir, el sistema educativo está descentralizado por las competencias propias que se </w:t>
      </w:r>
      <w:proofErr w:type="gramStart"/>
      <w:r w:rsidRPr="00E045BC">
        <w:rPr>
          <w:rFonts w:ascii="Arial" w:hAnsi="Arial" w:cs="Arial"/>
          <w:sz w:val="22"/>
        </w:rPr>
        <w:t>le</w:t>
      </w:r>
      <w:proofErr w:type="gramEnd"/>
      <w:r w:rsidRPr="00E045BC">
        <w:rPr>
          <w:rFonts w:ascii="Arial" w:hAnsi="Arial" w:cs="Arial"/>
          <w:sz w:val="22"/>
        </w:rPr>
        <w:t xml:space="preserve"> han otorgado a las entidades territoriales para administrar las instituciones educativas que pueden ser de los diferentes niveles pero estas no son entidades descentralizadas</w:t>
      </w:r>
      <w:r w:rsidRPr="00E045BC">
        <w:rPr>
          <w:rStyle w:val="Refdenotaalpie"/>
          <w:rFonts w:ascii="Arial" w:hAnsi="Arial" w:cs="Arial"/>
          <w:sz w:val="22"/>
        </w:rPr>
        <w:footnoteReference w:id="1"/>
      </w:r>
      <w:r w:rsidRPr="00E045BC">
        <w:rPr>
          <w:rFonts w:ascii="Arial" w:hAnsi="Arial" w:cs="Arial"/>
          <w:sz w:val="22"/>
        </w:rPr>
        <w:t xml:space="preserve">. </w:t>
      </w:r>
    </w:p>
    <w:p w14:paraId="2755EE68" w14:textId="7DBACA6C" w:rsidR="00044E28" w:rsidRPr="00E045BC" w:rsidRDefault="00044E28" w:rsidP="004026EC">
      <w:pPr>
        <w:spacing w:before="120" w:after="120" w:line="276" w:lineRule="auto"/>
        <w:ind w:firstLine="709"/>
        <w:jc w:val="both"/>
        <w:rPr>
          <w:rFonts w:ascii="Arial" w:hAnsi="Arial" w:cs="Arial"/>
          <w:sz w:val="22"/>
        </w:rPr>
      </w:pPr>
      <w:r w:rsidRPr="00E045BC">
        <w:rPr>
          <w:rFonts w:ascii="Arial" w:hAnsi="Arial" w:cs="Arial"/>
          <w:sz w:val="22"/>
        </w:rPr>
        <w:t xml:space="preserve">Conforme a lo anterior,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w:t>
      </w:r>
      <w:proofErr w:type="gramStart"/>
      <w:r w:rsidRPr="00E045BC">
        <w:rPr>
          <w:rFonts w:ascii="Arial" w:hAnsi="Arial" w:cs="Arial"/>
          <w:sz w:val="22"/>
        </w:rPr>
        <w:t>le</w:t>
      </w:r>
      <w:proofErr w:type="gramEnd"/>
      <w:r w:rsidRPr="00E045BC">
        <w:rPr>
          <w:rFonts w:ascii="Arial" w:hAnsi="Arial" w:cs="Arial"/>
          <w:sz w:val="22"/>
        </w:rPr>
        <w:t xml:space="preserve"> permiten a las instituciones </w:t>
      </w:r>
      <w:r w:rsidR="004026EC" w:rsidRPr="00E045BC">
        <w:rPr>
          <w:rFonts w:ascii="Arial" w:hAnsi="Arial" w:cs="Arial"/>
          <w:sz w:val="22"/>
        </w:rPr>
        <w:t>r</w:t>
      </w:r>
      <w:r w:rsidRPr="00E045BC">
        <w:rPr>
          <w:rFonts w:ascii="Arial" w:hAnsi="Arial" w:cs="Arial"/>
          <w:sz w:val="22"/>
        </w:rPr>
        <w:t>ealizar</w:t>
      </w:r>
      <w:r w:rsidR="004026EC" w:rsidRPr="00E045BC">
        <w:rPr>
          <w:rFonts w:ascii="Arial" w:hAnsi="Arial" w:cs="Arial"/>
          <w:sz w:val="22"/>
        </w:rPr>
        <w:t xml:space="preserve"> la g</w:t>
      </w:r>
      <w:r w:rsidRPr="00E045BC">
        <w:rPr>
          <w:rFonts w:ascii="Arial" w:hAnsi="Arial" w:cs="Arial"/>
          <w:sz w:val="22"/>
        </w:rPr>
        <w:t>estión y ejecución presupuestal de los recursos que reciben los establecimientos educativos</w:t>
      </w:r>
      <w:r w:rsidRPr="00E045BC">
        <w:rPr>
          <w:rStyle w:val="Refdenotaalpie"/>
          <w:rFonts w:ascii="Arial" w:hAnsi="Arial" w:cs="Arial"/>
          <w:sz w:val="22"/>
        </w:rPr>
        <w:footnoteReference w:id="2"/>
      </w:r>
      <w:r w:rsidRPr="00E045BC">
        <w:rPr>
          <w:rFonts w:ascii="Arial" w:hAnsi="Arial" w:cs="Arial"/>
          <w:sz w:val="22"/>
        </w:rPr>
        <w:t xml:space="preserve"> </w:t>
      </w:r>
      <w:r w:rsidRPr="00E045BC">
        <w:rPr>
          <w:rStyle w:val="Refdenotaalpie"/>
          <w:rFonts w:ascii="Arial" w:hAnsi="Arial" w:cs="Arial"/>
          <w:sz w:val="22"/>
        </w:rPr>
        <w:footnoteReference w:id="3"/>
      </w:r>
      <w:r w:rsidRPr="00E045BC">
        <w:rPr>
          <w:rFonts w:ascii="Arial" w:hAnsi="Arial" w:cs="Arial"/>
          <w:sz w:val="22"/>
        </w:rPr>
        <w:t>.</w:t>
      </w:r>
    </w:p>
    <w:p w14:paraId="0F1E7919" w14:textId="1982E9FB" w:rsidR="00044E28" w:rsidRPr="00E045BC" w:rsidRDefault="00044E28" w:rsidP="00526B4A">
      <w:pPr>
        <w:spacing w:before="120" w:line="276" w:lineRule="auto"/>
        <w:ind w:firstLine="709"/>
        <w:jc w:val="both"/>
        <w:rPr>
          <w:rFonts w:ascii="Arial" w:hAnsi="Arial" w:cs="Arial"/>
          <w:sz w:val="22"/>
        </w:rPr>
      </w:pPr>
      <w:r w:rsidRPr="00E045BC">
        <w:rPr>
          <w:rFonts w:ascii="Arial" w:hAnsi="Arial" w:cs="Arial"/>
          <w:sz w:val="22"/>
        </w:rPr>
        <w:t>Los fondos de servicios educativos tampoco cuentan con personería jurídica según lo previsto en el artículo 2.3.1.6.3.4 del Decreto 1075 de 2015, Decreto Único Reglamentario del Sector Educación:</w:t>
      </w:r>
    </w:p>
    <w:p w14:paraId="4E5702D9" w14:textId="77777777" w:rsidR="00526B4A" w:rsidRPr="00E045BC" w:rsidRDefault="00526B4A" w:rsidP="00526B4A">
      <w:pPr>
        <w:spacing w:before="120" w:line="276" w:lineRule="auto"/>
        <w:ind w:firstLine="709"/>
        <w:jc w:val="both"/>
        <w:rPr>
          <w:rFonts w:ascii="Arial" w:hAnsi="Arial" w:cs="Arial"/>
          <w:sz w:val="22"/>
        </w:rPr>
      </w:pPr>
    </w:p>
    <w:p w14:paraId="1F185F05" w14:textId="77777777" w:rsidR="00044E28" w:rsidRPr="00E045BC" w:rsidRDefault="00044E28" w:rsidP="00526B4A">
      <w:pPr>
        <w:spacing w:before="120"/>
        <w:ind w:left="709" w:right="709"/>
        <w:jc w:val="both"/>
        <w:rPr>
          <w:rFonts w:ascii="Arial" w:hAnsi="Arial" w:cs="Arial"/>
          <w:sz w:val="21"/>
          <w:szCs w:val="21"/>
        </w:rPr>
      </w:pPr>
      <w:r w:rsidRPr="00E045BC">
        <w:rPr>
          <w:rFonts w:ascii="Arial" w:hAnsi="Arial" w:cs="Arial"/>
          <w:sz w:val="21"/>
          <w:szCs w:val="21"/>
        </w:rPr>
        <w:t>Artículo 2.3.1.6.3.4. Ordenación del gasto. Los fondos de servicios educativos carecen de personería jurídica. El rector o director rural es el ordenador del gasto del Fondo de Servicios Educativos y su ejercicio no implica representación legal</w:t>
      </w:r>
      <w:r w:rsidRPr="00E045BC">
        <w:rPr>
          <w:rStyle w:val="Refdenotaalpie"/>
          <w:rFonts w:ascii="Arial" w:hAnsi="Arial" w:cs="Arial"/>
          <w:sz w:val="21"/>
          <w:szCs w:val="21"/>
        </w:rPr>
        <w:footnoteReference w:id="4"/>
      </w:r>
      <w:r w:rsidRPr="00E045BC">
        <w:rPr>
          <w:rFonts w:ascii="Arial" w:hAnsi="Arial" w:cs="Arial"/>
          <w:sz w:val="21"/>
          <w:szCs w:val="21"/>
        </w:rPr>
        <w:t>.</w:t>
      </w:r>
    </w:p>
    <w:p w14:paraId="0501F95E" w14:textId="77777777" w:rsidR="00044E28" w:rsidRPr="00E045BC" w:rsidRDefault="00044E28" w:rsidP="00526B4A">
      <w:pPr>
        <w:spacing w:line="276" w:lineRule="auto"/>
        <w:jc w:val="both"/>
        <w:rPr>
          <w:rFonts w:ascii="Arial" w:hAnsi="Arial" w:cs="Arial"/>
          <w:sz w:val="22"/>
        </w:rPr>
      </w:pPr>
    </w:p>
    <w:p w14:paraId="5B3C1E96" w14:textId="77777777" w:rsidR="00011E77" w:rsidRPr="00E045BC" w:rsidRDefault="00044E28" w:rsidP="004026EC">
      <w:pPr>
        <w:spacing w:before="120" w:after="120" w:line="276" w:lineRule="auto"/>
        <w:ind w:firstLine="709"/>
        <w:jc w:val="both"/>
        <w:rPr>
          <w:rFonts w:ascii="Arial" w:hAnsi="Arial" w:cs="Arial"/>
          <w:sz w:val="22"/>
        </w:rPr>
      </w:pPr>
      <w:r w:rsidRPr="00E045BC">
        <w:rPr>
          <w:rFonts w:ascii="Arial" w:hAnsi="Arial" w:cs="Arial"/>
          <w:sz w:val="22"/>
        </w:rPr>
        <w:t>Respecto de la capacidad para contratar con la que cuentan las instituciones educativas por medio de los fondos de servicios educativos, hay que precisar que cuando se trate de actos y contratos cuya cuantía no exceda los veinte (20) salarios mínimos mensuales legales vigentes</w:t>
      </w:r>
      <w:r w:rsidR="004026EC" w:rsidRPr="00E045BC">
        <w:rPr>
          <w:rFonts w:ascii="Arial" w:hAnsi="Arial" w:cs="Arial"/>
          <w:sz w:val="22"/>
        </w:rPr>
        <w:t>,</w:t>
      </w:r>
      <w:r w:rsidRPr="00E045BC">
        <w:rPr>
          <w:rFonts w:ascii="Arial" w:hAnsi="Arial" w:cs="Arial"/>
          <w:sz w:val="22"/>
        </w:rPr>
        <w:t xml:space="preserve"> se sujetarán a las condiciones previstas en el reglamento de contratación que expida el consejo directivo de la institución, de conformidad con lo dispuesto en el artículo 13 de la Ley 715 de 2001</w:t>
      </w:r>
      <w:r w:rsidRPr="00E045BC">
        <w:rPr>
          <w:rStyle w:val="Refdenotaalpie"/>
          <w:rFonts w:ascii="Arial" w:hAnsi="Arial" w:cs="Arial"/>
          <w:sz w:val="22"/>
        </w:rPr>
        <w:footnoteReference w:id="5"/>
      </w:r>
      <w:r w:rsidRPr="00E045BC">
        <w:rPr>
          <w:rFonts w:ascii="Arial" w:hAnsi="Arial" w:cs="Arial"/>
          <w:sz w:val="22"/>
        </w:rPr>
        <w:t>.</w:t>
      </w:r>
      <w:r w:rsidR="00863C61" w:rsidRPr="00E045BC">
        <w:rPr>
          <w:rFonts w:ascii="Arial" w:hAnsi="Arial" w:cs="Arial"/>
          <w:sz w:val="22"/>
        </w:rPr>
        <w:t xml:space="preserve"> </w:t>
      </w:r>
    </w:p>
    <w:p w14:paraId="37C8479E" w14:textId="67CE2589" w:rsidR="00044E28" w:rsidRPr="00E045BC" w:rsidRDefault="00CA5B28" w:rsidP="004026EC">
      <w:pPr>
        <w:spacing w:before="120" w:after="120" w:line="276" w:lineRule="auto"/>
        <w:ind w:firstLine="709"/>
        <w:jc w:val="both"/>
        <w:rPr>
          <w:rFonts w:ascii="Arial" w:hAnsi="Arial" w:cs="Arial"/>
          <w:sz w:val="22"/>
        </w:rPr>
      </w:pPr>
      <w:r w:rsidRPr="00E045BC">
        <w:rPr>
          <w:rFonts w:ascii="Arial" w:hAnsi="Arial" w:cs="Arial"/>
          <w:sz w:val="22"/>
        </w:rPr>
        <w:t>Esto significa que</w:t>
      </w:r>
      <w:r w:rsidR="005E3121" w:rsidRPr="00E045BC">
        <w:rPr>
          <w:rFonts w:ascii="Arial" w:hAnsi="Arial" w:cs="Arial"/>
          <w:sz w:val="22"/>
        </w:rPr>
        <w:t xml:space="preserve"> la contratación que realicen l</w:t>
      </w:r>
      <w:r w:rsidR="00011E77" w:rsidRPr="00E045BC">
        <w:rPr>
          <w:rFonts w:ascii="Arial" w:hAnsi="Arial" w:cs="Arial"/>
          <w:sz w:val="22"/>
        </w:rPr>
        <w:t>as instituciones</w:t>
      </w:r>
      <w:r w:rsidR="005E3121" w:rsidRPr="00E045BC">
        <w:rPr>
          <w:rFonts w:ascii="Arial" w:hAnsi="Arial" w:cs="Arial"/>
          <w:sz w:val="22"/>
        </w:rPr>
        <w:t xml:space="preserve"> educativ</w:t>
      </w:r>
      <w:r w:rsidR="00011E77" w:rsidRPr="00E045BC">
        <w:rPr>
          <w:rFonts w:ascii="Arial" w:hAnsi="Arial" w:cs="Arial"/>
          <w:sz w:val="22"/>
        </w:rPr>
        <w:t>a</w:t>
      </w:r>
      <w:r w:rsidR="005E3121" w:rsidRPr="00E045BC">
        <w:rPr>
          <w:rFonts w:ascii="Arial" w:hAnsi="Arial" w:cs="Arial"/>
          <w:sz w:val="22"/>
        </w:rPr>
        <w:t>s, siempre que se ubique por debajo del referido umbral, no deberá ceñirse a las reglas del Estatuto General de Contratación de la Administración</w:t>
      </w:r>
      <w:r w:rsidR="00011E77" w:rsidRPr="00E045BC">
        <w:rPr>
          <w:rFonts w:ascii="Arial" w:hAnsi="Arial" w:cs="Arial"/>
          <w:sz w:val="22"/>
        </w:rPr>
        <w:t xml:space="preserve"> Pública</w:t>
      </w:r>
      <w:r w:rsidR="005E3121" w:rsidRPr="00E045BC">
        <w:rPr>
          <w:rFonts w:ascii="Arial" w:hAnsi="Arial" w:cs="Arial"/>
          <w:sz w:val="22"/>
        </w:rPr>
        <w:t>, sino a las determinadas por el reglamento expedido por el consejo directivo de la institución educativa conforme al artículo 13 de la Ley 715 de 2001</w:t>
      </w:r>
      <w:r w:rsidR="00011E77" w:rsidRPr="00E045BC">
        <w:rPr>
          <w:rFonts w:ascii="Arial" w:hAnsi="Arial" w:cs="Arial"/>
          <w:sz w:val="22"/>
        </w:rPr>
        <w:t xml:space="preserve">, que implica que tales reglamentos se expidan de conformidad con los principios de igualdad, moralidad, imparcialidad y publicidad,  así como de acuerdo con en la experiencia y  el análisis concreto de las necesidades del establecimiento, </w:t>
      </w:r>
      <w:r w:rsidR="00011E77" w:rsidRPr="00E045BC">
        <w:rPr>
          <w:rFonts w:ascii="Arial" w:hAnsi="Arial" w:cs="Arial"/>
          <w:sz w:val="22"/>
        </w:rPr>
        <w:lastRenderedPageBreak/>
        <w:t>determinado los trámites, garantías y constancias que deben cumplirse para que el rector o director celebre cualquier acto o contrato que cree, extinga o modifique obligaciones con cargo al respectivo fondo de servicios educativos.</w:t>
      </w:r>
      <w:r w:rsidR="00281435" w:rsidRPr="00E045BC">
        <w:rPr>
          <w:rFonts w:ascii="Arial" w:hAnsi="Arial" w:cs="Arial"/>
          <w:sz w:val="22"/>
        </w:rPr>
        <w:t xml:space="preserve"> </w:t>
      </w:r>
    </w:p>
    <w:p w14:paraId="33E42311" w14:textId="43B1CC80" w:rsidR="00281435" w:rsidRPr="00E045BC" w:rsidRDefault="00281435" w:rsidP="004026EC">
      <w:pPr>
        <w:spacing w:before="120" w:after="120" w:line="276" w:lineRule="auto"/>
        <w:ind w:firstLine="709"/>
        <w:jc w:val="both"/>
        <w:rPr>
          <w:rFonts w:ascii="Arial" w:hAnsi="Arial" w:cs="Arial"/>
          <w:sz w:val="22"/>
        </w:rPr>
      </w:pPr>
      <w:r w:rsidRPr="00E045BC">
        <w:rPr>
          <w:rFonts w:ascii="Arial" w:hAnsi="Arial" w:cs="Arial"/>
          <w:sz w:val="22"/>
        </w:rPr>
        <w:t>En ese sentido, tratándose de la contratación realizada por dichas instituciones por debajo de la cuantía de veinte (20) salarios mínimos legales mensuales vigentes, es el consejo directivo quien tiene la competencia para establecer las reglas conforme a las cuales debe realizarse la adquisición de bienes, obras y servicios, incluidos los procedimientos,</w:t>
      </w:r>
      <w:r w:rsidR="00ED7A8F" w:rsidRPr="00E045BC">
        <w:rPr>
          <w:rFonts w:ascii="Arial" w:hAnsi="Arial" w:cs="Arial"/>
          <w:sz w:val="22"/>
        </w:rPr>
        <w:t xml:space="preserve"> mecanismos,</w:t>
      </w:r>
      <w:r w:rsidRPr="00E045BC">
        <w:rPr>
          <w:rFonts w:ascii="Arial" w:hAnsi="Arial" w:cs="Arial"/>
          <w:sz w:val="22"/>
        </w:rPr>
        <w:t xml:space="preserve"> requisitos y formalidades </w:t>
      </w:r>
      <w:r w:rsidR="00ED7A8F" w:rsidRPr="00E045BC">
        <w:rPr>
          <w:rFonts w:ascii="Arial" w:hAnsi="Arial" w:cs="Arial"/>
          <w:sz w:val="22"/>
        </w:rPr>
        <w:t xml:space="preserve">que deben respetarse en estos procesos de contratación. </w:t>
      </w:r>
    </w:p>
    <w:p w14:paraId="19704248" w14:textId="1C7D36A8" w:rsidR="00044E28" w:rsidRPr="00E045BC" w:rsidRDefault="00ED7A8F" w:rsidP="00863C61">
      <w:pPr>
        <w:spacing w:before="120" w:line="276" w:lineRule="auto"/>
        <w:ind w:firstLine="709"/>
        <w:jc w:val="both"/>
        <w:rPr>
          <w:rFonts w:ascii="Arial" w:hAnsi="Arial" w:cs="Arial"/>
          <w:sz w:val="22"/>
        </w:rPr>
      </w:pPr>
      <w:r w:rsidRPr="00E045BC">
        <w:rPr>
          <w:rFonts w:ascii="Arial" w:hAnsi="Arial" w:cs="Arial"/>
          <w:sz w:val="22"/>
        </w:rPr>
        <w:t>Por el contrario, c</w:t>
      </w:r>
      <w:r w:rsidR="00044E28" w:rsidRPr="00E045BC">
        <w:rPr>
          <w:rFonts w:ascii="Arial" w:hAnsi="Arial" w:cs="Arial"/>
          <w:sz w:val="22"/>
        </w:rPr>
        <w:t>uando la celebración de contratos a que haya lugar con recursos del fondo de servicios educativos supere la cuantía de los veinte (20) salarios mínimos legales mensuales vigentes</w:t>
      </w:r>
      <w:r w:rsidR="00FE2DC5" w:rsidRPr="00E045BC">
        <w:rPr>
          <w:rFonts w:ascii="Arial" w:hAnsi="Arial" w:cs="Arial"/>
          <w:sz w:val="22"/>
        </w:rPr>
        <w:t>,</w:t>
      </w:r>
      <w:r w:rsidR="00044E28" w:rsidRPr="00E045BC">
        <w:rPr>
          <w:rFonts w:ascii="Arial" w:hAnsi="Arial" w:cs="Arial"/>
          <w:sz w:val="22"/>
        </w:rPr>
        <w:t xml:space="preserve"> debe hacerse con estricta sujeción a lo dispuesto en la Ley 80 de 1993</w:t>
      </w:r>
      <w:r w:rsidRPr="00E045BC">
        <w:rPr>
          <w:rFonts w:ascii="Arial" w:hAnsi="Arial" w:cs="Arial"/>
          <w:sz w:val="22"/>
        </w:rPr>
        <w:t>, por lo que las reglas a las que deben sujetarse los procedimientos dentro de los que se enmarque esta contratación son las del Estatuto General de Contratación de la Administración Pública, procediendo la aplicación de las modalidades de selección definidas en la Ley 1150 de 2007, así como los requisitos y formalidades establecidas en el Decreto 1082 del 2015 y demás normatividad integrante del referido estatuto.</w:t>
      </w:r>
    </w:p>
    <w:p w14:paraId="02AB7B62" w14:textId="77777777" w:rsidR="00E80494" w:rsidRPr="00E045BC" w:rsidRDefault="00E80494" w:rsidP="00E80494">
      <w:pPr>
        <w:ind w:firstLine="709"/>
        <w:jc w:val="both"/>
        <w:rPr>
          <w:rFonts w:ascii="Arial" w:hAnsi="Arial" w:cs="Arial"/>
          <w:sz w:val="22"/>
        </w:rPr>
      </w:pPr>
    </w:p>
    <w:p w14:paraId="07A90D10" w14:textId="34101B4E" w:rsidR="00A14A6F" w:rsidRPr="00E045BC" w:rsidRDefault="00A14A6F" w:rsidP="00A14A6F">
      <w:pPr>
        <w:tabs>
          <w:tab w:val="left" w:pos="426"/>
        </w:tabs>
        <w:spacing w:line="276" w:lineRule="auto"/>
        <w:jc w:val="both"/>
        <w:rPr>
          <w:rFonts w:ascii="Arial" w:eastAsia="Calibri" w:hAnsi="Arial" w:cs="Arial"/>
          <w:b/>
          <w:sz w:val="22"/>
        </w:rPr>
      </w:pPr>
      <w:r w:rsidRPr="00E045BC">
        <w:rPr>
          <w:rFonts w:ascii="Arial" w:eastAsia="Calibri" w:hAnsi="Arial" w:cs="Arial"/>
          <w:b/>
          <w:sz w:val="22"/>
        </w:rPr>
        <w:t>2.</w:t>
      </w:r>
      <w:r w:rsidR="00ED7A8F" w:rsidRPr="00E045BC">
        <w:rPr>
          <w:rFonts w:ascii="Arial" w:eastAsia="Calibri" w:hAnsi="Arial" w:cs="Arial"/>
          <w:b/>
          <w:sz w:val="22"/>
        </w:rPr>
        <w:t>2</w:t>
      </w:r>
      <w:r w:rsidRPr="00E045BC">
        <w:rPr>
          <w:rFonts w:ascii="Arial" w:eastAsia="Calibri" w:hAnsi="Arial" w:cs="Arial"/>
          <w:b/>
          <w:sz w:val="22"/>
        </w:rPr>
        <w:t xml:space="preserve"> </w:t>
      </w:r>
      <w:r w:rsidR="00526B4A" w:rsidRPr="00E045BC">
        <w:rPr>
          <w:rFonts w:ascii="Arial" w:eastAsia="Calibri" w:hAnsi="Arial" w:cs="Arial"/>
          <w:b/>
          <w:sz w:val="22"/>
        </w:rPr>
        <w:t>Principio de publicidad y acceso a la información pública</w:t>
      </w:r>
    </w:p>
    <w:p w14:paraId="04BAEAEA" w14:textId="77777777" w:rsidR="00526B4A" w:rsidRPr="00E045BC" w:rsidRDefault="00526B4A" w:rsidP="00A14A6F">
      <w:pPr>
        <w:tabs>
          <w:tab w:val="left" w:pos="426"/>
        </w:tabs>
        <w:spacing w:line="276" w:lineRule="auto"/>
        <w:jc w:val="both"/>
        <w:rPr>
          <w:rFonts w:ascii="Arial" w:eastAsia="Calibri" w:hAnsi="Arial" w:cs="Arial"/>
          <w:b/>
          <w:sz w:val="22"/>
        </w:rPr>
      </w:pPr>
    </w:p>
    <w:p w14:paraId="74D9B689" w14:textId="77777777" w:rsidR="00292F1B" w:rsidRPr="00E045BC" w:rsidRDefault="00292F1B" w:rsidP="00292F1B">
      <w:pPr>
        <w:spacing w:line="276" w:lineRule="auto"/>
        <w:jc w:val="both"/>
        <w:rPr>
          <w:rFonts w:ascii="Arial" w:hAnsi="Arial" w:cs="Arial"/>
          <w:sz w:val="22"/>
        </w:rPr>
      </w:pPr>
      <w:r w:rsidRPr="00E045BC">
        <w:rPr>
          <w:rFonts w:ascii="Arial" w:eastAsia="Calibri" w:hAnsi="Arial" w:cs="Arial"/>
          <w:sz w:val="22"/>
        </w:rPr>
        <w:t xml:space="preserve">Para la Corte Constitucional, el principio de publicidad es la garantía que tienen las personas de conocer las actuaciones judiciales y administrativas y con base en ese </w:t>
      </w:r>
      <w:r w:rsidRPr="00E045BC">
        <w:rPr>
          <w:rFonts w:ascii="Arial" w:hAnsi="Arial" w:cs="Arial"/>
          <w:sz w:val="22"/>
        </w:rPr>
        <w:t xml:space="preserve">conocimiento tener la posibilidad de exigir que se surtan conforme a la ley: </w:t>
      </w:r>
    </w:p>
    <w:p w14:paraId="5F3C9F60" w14:textId="77777777" w:rsidR="00292F1B" w:rsidRPr="00E045BC" w:rsidRDefault="00292F1B" w:rsidP="00292F1B">
      <w:pPr>
        <w:ind w:firstLine="708"/>
        <w:jc w:val="both"/>
        <w:rPr>
          <w:rFonts w:ascii="Arial" w:hAnsi="Arial" w:cs="Arial"/>
          <w:sz w:val="22"/>
        </w:rPr>
      </w:pPr>
    </w:p>
    <w:p w14:paraId="33BB1E96" w14:textId="77777777" w:rsidR="00292F1B" w:rsidRPr="00E045BC" w:rsidRDefault="00292F1B" w:rsidP="00292F1B">
      <w:pPr>
        <w:ind w:left="709" w:right="709"/>
        <w:jc w:val="both"/>
        <w:rPr>
          <w:rFonts w:ascii="Arial" w:hAnsi="Arial" w:cs="Arial"/>
          <w:sz w:val="21"/>
          <w:szCs w:val="21"/>
        </w:rPr>
      </w:pPr>
      <w:r w:rsidRPr="00E045BC">
        <w:rPr>
          <w:rFonts w:ascii="Arial" w:hAnsi="Arial" w:cs="Arial"/>
          <w:sz w:val="21"/>
          <w:szCs w:val="21"/>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 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E045BC">
        <w:rPr>
          <w:rStyle w:val="Refdenotaalpie"/>
          <w:rFonts w:ascii="Arial" w:hAnsi="Arial" w:cs="Arial"/>
          <w:sz w:val="21"/>
          <w:szCs w:val="21"/>
        </w:rPr>
        <w:footnoteReference w:id="6"/>
      </w:r>
      <w:r w:rsidRPr="00E045BC">
        <w:rPr>
          <w:rFonts w:ascii="Arial" w:hAnsi="Arial" w:cs="Arial"/>
          <w:sz w:val="21"/>
          <w:szCs w:val="21"/>
        </w:rPr>
        <w:t>.</w:t>
      </w:r>
    </w:p>
    <w:p w14:paraId="2C912BDF" w14:textId="77777777" w:rsidR="00292F1B" w:rsidRPr="00E045BC" w:rsidRDefault="00292F1B" w:rsidP="00292F1B">
      <w:pPr>
        <w:ind w:firstLine="708"/>
        <w:jc w:val="both"/>
        <w:rPr>
          <w:rFonts w:ascii="Arial" w:hAnsi="Arial" w:cs="Arial"/>
          <w:sz w:val="21"/>
          <w:szCs w:val="21"/>
        </w:rPr>
      </w:pPr>
    </w:p>
    <w:p w14:paraId="584CD982" w14:textId="77777777" w:rsidR="00292F1B" w:rsidRPr="00E045BC" w:rsidRDefault="00292F1B" w:rsidP="00292F1B">
      <w:pPr>
        <w:spacing w:line="276" w:lineRule="auto"/>
        <w:ind w:firstLine="708"/>
        <w:jc w:val="both"/>
        <w:rPr>
          <w:rFonts w:ascii="Arial" w:eastAsia="Calibri" w:hAnsi="Arial" w:cs="Arial"/>
          <w:sz w:val="22"/>
        </w:rPr>
      </w:pPr>
      <w:r w:rsidRPr="00E045BC">
        <w:rPr>
          <w:rFonts w:ascii="Arial" w:hAnsi="Arial" w:cs="Arial"/>
          <w:sz w:val="22"/>
        </w:rPr>
        <w:t>El principio de publicidad impone a las autoridades administrativas el deber de dar</w:t>
      </w:r>
      <w:r w:rsidRPr="00E045BC">
        <w:rPr>
          <w:rFonts w:ascii="Arial" w:eastAsia="Calibri" w:hAnsi="Arial" w:cs="Arial"/>
          <w:sz w:val="22"/>
        </w:rPr>
        <w:t xml:space="preserve"> a conocer sus actos, contratos y decisiones, para que se divulguen y eventualmente se controlen las actuaciones. </w:t>
      </w:r>
    </w:p>
    <w:p w14:paraId="174145B8" w14:textId="77777777" w:rsidR="00292F1B" w:rsidRPr="00E045BC" w:rsidRDefault="00292F1B" w:rsidP="00292F1B">
      <w:pPr>
        <w:spacing w:before="120" w:after="120" w:line="276" w:lineRule="auto"/>
        <w:ind w:firstLine="709"/>
        <w:jc w:val="both"/>
        <w:rPr>
          <w:rFonts w:ascii="Arial" w:eastAsia="Calibri" w:hAnsi="Arial" w:cs="Arial"/>
          <w:sz w:val="22"/>
        </w:rPr>
      </w:pPr>
      <w:r w:rsidRPr="00E045BC">
        <w:rPr>
          <w:rFonts w:ascii="Arial" w:eastAsia="Calibri" w:hAnsi="Arial" w:cs="Arial"/>
          <w:sz w:val="22"/>
        </w:rPr>
        <w:t xml:space="preserve">El literal c) del artículo 3 de la Ley 1150 de 2007 establece que el Sistema Electrónico para la Contratación Pública «contará con la información oficial de </w:t>
      </w:r>
      <w:proofErr w:type="gramStart"/>
      <w:r w:rsidRPr="00E045BC">
        <w:rPr>
          <w:rFonts w:ascii="Arial" w:eastAsia="Calibri" w:hAnsi="Arial" w:cs="Arial"/>
          <w:sz w:val="22"/>
        </w:rPr>
        <w:t xml:space="preserve">la  </w:t>
      </w:r>
      <w:r w:rsidRPr="00E045BC">
        <w:rPr>
          <w:rFonts w:ascii="Arial" w:eastAsia="Calibri" w:hAnsi="Arial" w:cs="Arial"/>
          <w:sz w:val="22"/>
        </w:rPr>
        <w:lastRenderedPageBreak/>
        <w:t>contratación</w:t>
      </w:r>
      <w:proofErr w:type="gramEnd"/>
      <w:r w:rsidRPr="00E045BC">
        <w:rPr>
          <w:rFonts w:ascii="Arial" w:eastAsia="Calibri" w:hAnsi="Arial" w:cs="Arial"/>
          <w:sz w:val="22"/>
        </w:rPr>
        <w:t xml:space="preserve"> realizada con dineros públicos, para lo cual establecerá los patrones a que haya lugar y se encargará de su difusión a través de canales electrónicos»</w:t>
      </w:r>
      <w:r w:rsidRPr="00E045BC">
        <w:rPr>
          <w:rFonts w:ascii="Arial" w:eastAsia="Calibri" w:hAnsi="Arial" w:cs="Arial"/>
          <w:sz w:val="22"/>
          <w:vertAlign w:val="superscript"/>
        </w:rPr>
        <w:footnoteReference w:id="7"/>
      </w:r>
      <w:r w:rsidRPr="00E045BC">
        <w:rPr>
          <w:rFonts w:ascii="Arial" w:eastAsia="Calibri" w:hAnsi="Arial" w:cs="Arial"/>
          <w:sz w:val="22"/>
        </w:rPr>
        <w:t xml:space="preserve">. </w:t>
      </w:r>
    </w:p>
    <w:p w14:paraId="3E1C5020" w14:textId="77777777" w:rsidR="00292F1B" w:rsidRPr="00E045BC" w:rsidRDefault="00292F1B" w:rsidP="00292F1B">
      <w:pPr>
        <w:spacing w:before="120" w:after="120" w:line="276" w:lineRule="auto"/>
        <w:ind w:firstLine="709"/>
        <w:jc w:val="both"/>
        <w:rPr>
          <w:rFonts w:ascii="Arial" w:eastAsia="Calibri" w:hAnsi="Arial" w:cs="Arial"/>
          <w:sz w:val="22"/>
        </w:rPr>
      </w:pPr>
      <w:r w:rsidRPr="00E045BC">
        <w:rPr>
          <w:rFonts w:ascii="Arial" w:hAnsi="Arial" w:cs="Arial"/>
          <w:sz w:val="22"/>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E045BC">
        <w:rPr>
          <w:rFonts w:ascii="Arial" w:hAnsi="Arial" w:cs="Arial"/>
          <w:sz w:val="22"/>
          <w:vertAlign w:val="superscript"/>
        </w:rPr>
        <w:footnoteReference w:id="8"/>
      </w:r>
      <w:r w:rsidRPr="00E045BC">
        <w:rPr>
          <w:rFonts w:ascii="Arial" w:hAnsi="Arial" w:cs="Arial"/>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5F3AC2E0" w14:textId="77777777" w:rsidR="00292F1B" w:rsidRPr="00E045BC" w:rsidRDefault="00292F1B" w:rsidP="00292F1B">
      <w:pPr>
        <w:spacing w:before="120" w:after="120" w:line="276" w:lineRule="auto"/>
        <w:ind w:firstLine="709"/>
        <w:jc w:val="both"/>
        <w:rPr>
          <w:rFonts w:ascii="Arial" w:hAnsi="Arial" w:cs="Arial"/>
          <w:sz w:val="22"/>
        </w:rPr>
      </w:pPr>
      <w:r w:rsidRPr="00E045BC">
        <w:rPr>
          <w:rFonts w:ascii="Arial" w:hAnsi="Arial" w:cs="Arial"/>
          <w:sz w:val="22"/>
        </w:rPr>
        <w:t>La ley citada establece, en el literal e) del artículo 9, que los sujetos obligados, que son todas las entidades públicas</w:t>
      </w:r>
      <w:r w:rsidRPr="00E045BC">
        <w:rPr>
          <w:rFonts w:ascii="Arial" w:hAnsi="Arial" w:cs="Arial"/>
          <w:sz w:val="22"/>
          <w:vertAlign w:val="superscript"/>
        </w:rPr>
        <w:footnoteReference w:id="9"/>
      </w:r>
      <w:r w:rsidRPr="00E045BC">
        <w:rPr>
          <w:rFonts w:ascii="Arial" w:hAnsi="Arial" w:cs="Arial"/>
          <w:sz w:val="22"/>
        </w:rPr>
        <w:t>, deben publicar la información relativa a su contratación. Esta obligación fue desarrollada por el Decreto Único Reglamentario 1081 de 2015</w:t>
      </w:r>
      <w:r w:rsidRPr="00E045BC">
        <w:rPr>
          <w:rFonts w:ascii="Arial" w:hAnsi="Arial" w:cs="Arial"/>
          <w:sz w:val="22"/>
          <w:vertAlign w:val="superscript"/>
        </w:rPr>
        <w:footnoteReference w:id="10"/>
      </w:r>
      <w:r w:rsidRPr="00E045BC">
        <w:rPr>
          <w:rFonts w:ascii="Arial" w:hAnsi="Arial" w:cs="Arial"/>
          <w:sz w:val="22"/>
        </w:rPr>
        <w:t xml:space="preserve">, el </w:t>
      </w:r>
      <w:r w:rsidRPr="00E045BC">
        <w:rPr>
          <w:rFonts w:ascii="Arial" w:hAnsi="Arial" w:cs="Arial"/>
          <w:sz w:val="22"/>
        </w:rPr>
        <w:lastRenderedPageBreak/>
        <w:t>cual dispuso que la publicación de la información contractual de los sujetos obligados, que contratan con cargo a recursos públicos, debe hacerse en el Sistema Electrónico de Contratación Pública ─ SECOP.</w:t>
      </w:r>
    </w:p>
    <w:p w14:paraId="6C52F0C0" w14:textId="77777777" w:rsidR="00292F1B" w:rsidRPr="00E045BC" w:rsidRDefault="00292F1B" w:rsidP="00292F1B">
      <w:pPr>
        <w:spacing w:before="120" w:after="120" w:line="276" w:lineRule="auto"/>
        <w:ind w:firstLine="709"/>
        <w:jc w:val="both"/>
        <w:rPr>
          <w:rFonts w:ascii="Arial" w:hAnsi="Arial" w:cs="Arial"/>
          <w:sz w:val="22"/>
          <w:lang w:val="es-ES"/>
        </w:rPr>
      </w:pPr>
      <w:r w:rsidRPr="00E045BC">
        <w:rPr>
          <w:rFonts w:ascii="Arial" w:hAnsi="Arial" w:cs="Arial"/>
          <w:sz w:val="22"/>
        </w:rPr>
        <w:t xml:space="preserve">Asimismo, de </w:t>
      </w:r>
      <w:r w:rsidRPr="00E045BC">
        <w:rPr>
          <w:rFonts w:ascii="Arial" w:hAnsi="Arial" w:cs="Arial"/>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44EAECBC" w14:textId="77777777" w:rsidR="00292F1B" w:rsidRPr="00E045BC" w:rsidRDefault="00292F1B" w:rsidP="00292F1B">
      <w:pPr>
        <w:spacing w:before="120" w:after="120" w:line="276" w:lineRule="auto"/>
        <w:ind w:firstLine="709"/>
        <w:jc w:val="both"/>
        <w:rPr>
          <w:rFonts w:ascii="Arial" w:eastAsia="Calibri" w:hAnsi="Arial" w:cs="Arial"/>
          <w:sz w:val="22"/>
        </w:rPr>
      </w:pPr>
      <w:r w:rsidRPr="00E045BC">
        <w:rPr>
          <w:rFonts w:ascii="Arial" w:eastAsia="Calibri" w:hAnsi="Arial" w:cs="Arial"/>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E045BC">
        <w:rPr>
          <w:rFonts w:ascii="Arial" w:eastAsia="Calibri" w:hAnsi="Arial" w:cs="Arial"/>
          <w:sz w:val="22"/>
          <w:vertAlign w:val="superscript"/>
        </w:rPr>
        <w:footnoteReference w:id="11"/>
      </w:r>
      <w:r w:rsidRPr="00E045BC">
        <w:rPr>
          <w:rFonts w:ascii="Arial" w:eastAsia="Calibri" w:hAnsi="Arial" w:cs="Arial"/>
          <w:sz w:val="22"/>
        </w:rPr>
        <w:t>.</w:t>
      </w:r>
    </w:p>
    <w:p w14:paraId="0388D339" w14:textId="77777777" w:rsidR="00292F1B" w:rsidRPr="00E045BC" w:rsidRDefault="00292F1B" w:rsidP="00292F1B">
      <w:pPr>
        <w:spacing w:before="120" w:after="120" w:line="276" w:lineRule="auto"/>
        <w:ind w:firstLine="709"/>
        <w:jc w:val="both"/>
        <w:rPr>
          <w:rFonts w:ascii="Arial" w:hAnsi="Arial" w:cs="Arial"/>
          <w:sz w:val="22"/>
          <w:lang w:val="es-ES"/>
        </w:rPr>
      </w:pPr>
      <w:r w:rsidRPr="00E045BC">
        <w:rPr>
          <w:rFonts w:ascii="Arial" w:hAnsi="Arial" w:cs="Arial"/>
          <w:sz w:val="22"/>
          <w:lang w:val="es-ES"/>
        </w:rPr>
        <w:t>Para el año 2013, la Agencia Nacional de Contratación Pública ─ Colombia Compra Eficiente, mediante la mediante la Circular Externa No 1 del</w:t>
      </w:r>
      <w:r w:rsidRPr="00E045BC">
        <w:rPr>
          <w:rFonts w:ascii="Arial" w:hAnsi="Arial" w:cs="Arial"/>
          <w:sz w:val="22"/>
        </w:rPr>
        <w:t xml:space="preserve"> </w:t>
      </w:r>
      <w:r w:rsidRPr="00E045BC">
        <w:rPr>
          <w:rFonts w:ascii="Arial" w:hAnsi="Arial" w:cs="Arial"/>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E045BC">
        <w:rPr>
          <w:rFonts w:ascii="Arial" w:hAnsi="Arial" w:cs="Arial"/>
          <w:sz w:val="22"/>
          <w:vertAlign w:val="superscript"/>
          <w:lang w:val="es-ES"/>
        </w:rPr>
        <w:footnoteReference w:id="12"/>
      </w:r>
      <w:r w:rsidRPr="00E045BC">
        <w:rPr>
          <w:rFonts w:ascii="Arial" w:hAnsi="Arial" w:cs="Arial"/>
          <w:sz w:val="22"/>
          <w:lang w:val="es-ES"/>
        </w:rPr>
        <w:t>.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331BECE7" w14:textId="77777777" w:rsidR="00292F1B" w:rsidRPr="00E045BC" w:rsidRDefault="00292F1B" w:rsidP="00292F1B">
      <w:pPr>
        <w:spacing w:line="276" w:lineRule="auto"/>
        <w:ind w:firstLine="709"/>
        <w:jc w:val="both"/>
        <w:rPr>
          <w:rFonts w:ascii="Arial" w:hAnsi="Arial" w:cs="Arial"/>
          <w:sz w:val="22"/>
          <w:lang w:val="es-ES"/>
        </w:rPr>
      </w:pPr>
      <w:r w:rsidRPr="00E045BC">
        <w:rPr>
          <w:rFonts w:ascii="Arial" w:hAnsi="Arial" w:cs="Arial"/>
          <w:sz w:val="22"/>
          <w:lang w:val="es-ES"/>
        </w:rPr>
        <w:t>El debate sobre la obligatoriedad o no de publicar en el SECOP, para las entidades con régimen especial de contratación, ya fue definido, al menos de manera preliminar, por el Consejo de Estado, que expresó que la obligación prevista en la Circular Externa No. 1 se ajusta a la normativa superior:</w:t>
      </w:r>
    </w:p>
    <w:p w14:paraId="515C206D" w14:textId="77777777" w:rsidR="00292F1B" w:rsidRPr="00E045BC" w:rsidRDefault="00292F1B" w:rsidP="00292F1B">
      <w:pPr>
        <w:ind w:firstLine="709"/>
        <w:jc w:val="both"/>
        <w:rPr>
          <w:rFonts w:ascii="Arial" w:hAnsi="Arial" w:cs="Arial"/>
          <w:sz w:val="22"/>
          <w:lang w:val="es-ES"/>
        </w:rPr>
      </w:pPr>
    </w:p>
    <w:p w14:paraId="5654CC83" w14:textId="77777777" w:rsidR="00292F1B" w:rsidRPr="00E045BC" w:rsidRDefault="00292F1B" w:rsidP="00292F1B">
      <w:pPr>
        <w:tabs>
          <w:tab w:val="left" w:pos="3885"/>
        </w:tabs>
        <w:ind w:left="709" w:right="709"/>
        <w:jc w:val="both"/>
        <w:rPr>
          <w:rFonts w:ascii="Arial" w:hAnsi="Arial" w:cs="Arial"/>
          <w:sz w:val="21"/>
          <w:szCs w:val="21"/>
          <w:lang w:val="es-ES"/>
        </w:rPr>
      </w:pPr>
      <w:r w:rsidRPr="00E045BC">
        <w:rPr>
          <w:rFonts w:ascii="Arial" w:hAnsi="Arial" w:cs="Arial"/>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0E36B268" w14:textId="77777777" w:rsidR="00292F1B" w:rsidRPr="00E045BC" w:rsidRDefault="00292F1B" w:rsidP="00292F1B">
      <w:pPr>
        <w:tabs>
          <w:tab w:val="left" w:pos="3885"/>
        </w:tabs>
        <w:ind w:left="709" w:right="709"/>
        <w:jc w:val="both"/>
        <w:rPr>
          <w:rFonts w:ascii="Arial" w:hAnsi="Arial" w:cs="Arial"/>
          <w:sz w:val="21"/>
          <w:szCs w:val="21"/>
          <w:lang w:val="es-ES"/>
        </w:rPr>
      </w:pPr>
    </w:p>
    <w:p w14:paraId="6366FA13" w14:textId="77777777" w:rsidR="00292F1B" w:rsidRPr="00E045BC" w:rsidRDefault="00292F1B" w:rsidP="00292F1B">
      <w:pPr>
        <w:tabs>
          <w:tab w:val="left" w:pos="3885"/>
        </w:tabs>
        <w:ind w:left="709" w:right="709"/>
        <w:jc w:val="both"/>
        <w:rPr>
          <w:rFonts w:ascii="Arial" w:hAnsi="Arial" w:cs="Arial"/>
          <w:sz w:val="21"/>
          <w:szCs w:val="21"/>
          <w:lang w:val="es-ES"/>
        </w:rPr>
      </w:pPr>
      <w:r w:rsidRPr="00E045BC">
        <w:rPr>
          <w:rFonts w:ascii="Arial" w:hAnsi="Arial" w:cs="Arial"/>
          <w:sz w:val="21"/>
          <w:szCs w:val="21"/>
          <w:lang w:val="es-ES"/>
        </w:rPr>
        <w:lastRenderedPageBreak/>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009490E2" w14:textId="77777777" w:rsidR="00292F1B" w:rsidRPr="00E045BC" w:rsidRDefault="00292F1B" w:rsidP="00292F1B">
      <w:pPr>
        <w:tabs>
          <w:tab w:val="left" w:pos="3885"/>
        </w:tabs>
        <w:ind w:left="709" w:right="709"/>
        <w:jc w:val="both"/>
        <w:rPr>
          <w:rFonts w:ascii="Arial" w:hAnsi="Arial" w:cs="Arial"/>
          <w:sz w:val="21"/>
          <w:szCs w:val="21"/>
          <w:lang w:val="es-ES"/>
        </w:rPr>
      </w:pPr>
      <w:r w:rsidRPr="00E045BC">
        <w:rPr>
          <w:rFonts w:ascii="Arial" w:hAnsi="Arial" w:cs="Arial"/>
          <w:sz w:val="21"/>
          <w:szCs w:val="21"/>
          <w:lang w:val="es-ES"/>
        </w:rPr>
        <w:t>[…]</w:t>
      </w:r>
    </w:p>
    <w:p w14:paraId="5E86E9BE" w14:textId="77777777" w:rsidR="00292F1B" w:rsidRPr="00E045BC" w:rsidRDefault="00292F1B" w:rsidP="00292F1B">
      <w:pPr>
        <w:tabs>
          <w:tab w:val="left" w:pos="3885"/>
        </w:tabs>
        <w:ind w:left="709" w:right="709"/>
        <w:jc w:val="both"/>
        <w:rPr>
          <w:rFonts w:ascii="Arial" w:hAnsi="Arial" w:cs="Arial"/>
          <w:sz w:val="21"/>
          <w:szCs w:val="21"/>
          <w:lang w:val="es-ES"/>
        </w:rPr>
      </w:pPr>
    </w:p>
    <w:p w14:paraId="78C20E57" w14:textId="77777777" w:rsidR="00292F1B" w:rsidRPr="00E045BC" w:rsidRDefault="00292F1B" w:rsidP="00292F1B">
      <w:pPr>
        <w:tabs>
          <w:tab w:val="left" w:pos="3885"/>
        </w:tabs>
        <w:ind w:left="709" w:right="709"/>
        <w:jc w:val="both"/>
        <w:rPr>
          <w:rFonts w:ascii="Arial" w:hAnsi="Arial" w:cs="Arial"/>
          <w:sz w:val="21"/>
          <w:szCs w:val="21"/>
          <w:lang w:val="es-ES"/>
        </w:rPr>
      </w:pPr>
      <w:r w:rsidRPr="00E045BC">
        <w:rPr>
          <w:rFonts w:ascii="Arial" w:hAnsi="Arial" w:cs="Arial"/>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E045BC">
        <w:rPr>
          <w:rFonts w:ascii="Arial" w:hAnsi="Arial" w:cs="Arial"/>
          <w:sz w:val="21"/>
          <w:szCs w:val="21"/>
          <w:vertAlign w:val="superscript"/>
        </w:rPr>
        <w:footnoteReference w:id="13"/>
      </w:r>
      <w:r w:rsidRPr="00E045BC">
        <w:rPr>
          <w:rFonts w:ascii="Arial" w:hAnsi="Arial" w:cs="Arial"/>
          <w:sz w:val="21"/>
          <w:szCs w:val="21"/>
          <w:lang w:val="es-ES"/>
        </w:rPr>
        <w:t>.</w:t>
      </w:r>
    </w:p>
    <w:p w14:paraId="47AD0FA0" w14:textId="77777777" w:rsidR="00292F1B" w:rsidRPr="00E045BC" w:rsidRDefault="00292F1B" w:rsidP="00292F1B">
      <w:pPr>
        <w:tabs>
          <w:tab w:val="left" w:pos="3885"/>
        </w:tabs>
        <w:spacing w:line="276" w:lineRule="auto"/>
        <w:ind w:left="709" w:right="709"/>
        <w:jc w:val="both"/>
        <w:rPr>
          <w:rFonts w:ascii="Arial" w:hAnsi="Arial" w:cs="Arial"/>
          <w:sz w:val="21"/>
          <w:szCs w:val="21"/>
          <w:lang w:val="es-ES"/>
        </w:rPr>
      </w:pPr>
    </w:p>
    <w:p w14:paraId="553D35E1" w14:textId="77777777" w:rsidR="00292F1B" w:rsidRPr="00E045BC" w:rsidRDefault="00292F1B" w:rsidP="00292F1B">
      <w:pPr>
        <w:spacing w:line="276" w:lineRule="auto"/>
        <w:ind w:firstLine="708"/>
        <w:jc w:val="both"/>
        <w:rPr>
          <w:rFonts w:ascii="Arial" w:hAnsi="Arial" w:cs="Arial"/>
          <w:sz w:val="22"/>
          <w:lang w:val="es-ES"/>
        </w:rPr>
      </w:pPr>
      <w:r w:rsidRPr="00E045BC">
        <w:rPr>
          <w:rFonts w:ascii="Arial" w:hAnsi="Arial" w:cs="Arial"/>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2848E0E4" w14:textId="77777777" w:rsidR="00292F1B" w:rsidRPr="00E045BC" w:rsidRDefault="00292F1B" w:rsidP="00292F1B">
      <w:pPr>
        <w:ind w:firstLine="708"/>
        <w:jc w:val="both"/>
        <w:rPr>
          <w:rFonts w:ascii="Arial" w:hAnsi="Arial" w:cs="Arial"/>
          <w:sz w:val="21"/>
          <w:szCs w:val="21"/>
          <w:lang w:val="es-ES"/>
        </w:rPr>
      </w:pPr>
    </w:p>
    <w:p w14:paraId="0EE850BD" w14:textId="77777777" w:rsidR="00292F1B" w:rsidRPr="00E045BC" w:rsidRDefault="00292F1B" w:rsidP="00292F1B">
      <w:pPr>
        <w:ind w:leftChars="295" w:left="708" w:right="709"/>
        <w:jc w:val="both"/>
        <w:rPr>
          <w:rFonts w:ascii="Arial" w:hAnsi="Arial" w:cs="Arial"/>
          <w:sz w:val="21"/>
          <w:szCs w:val="21"/>
          <w:lang w:val="es-ES"/>
        </w:rPr>
      </w:pPr>
      <w:r w:rsidRPr="00E045BC">
        <w:rPr>
          <w:rFonts w:ascii="Arial" w:hAnsi="Arial" w:cs="Arial"/>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016E2833" w14:textId="77777777" w:rsidR="00292F1B" w:rsidRPr="00E045BC" w:rsidRDefault="00292F1B" w:rsidP="00292F1B">
      <w:pPr>
        <w:ind w:leftChars="295" w:left="708" w:right="709"/>
        <w:jc w:val="both"/>
        <w:rPr>
          <w:rFonts w:ascii="Arial" w:hAnsi="Arial" w:cs="Arial"/>
          <w:sz w:val="21"/>
          <w:szCs w:val="21"/>
          <w:lang w:val="es-ES"/>
        </w:rPr>
      </w:pPr>
    </w:p>
    <w:p w14:paraId="7A08CF37" w14:textId="77777777" w:rsidR="00292F1B" w:rsidRPr="00E045BC" w:rsidRDefault="00292F1B" w:rsidP="00292F1B">
      <w:pPr>
        <w:spacing w:before="120" w:after="120" w:line="276" w:lineRule="auto"/>
        <w:ind w:firstLine="709"/>
        <w:jc w:val="both"/>
        <w:rPr>
          <w:rFonts w:ascii="Arial" w:hAnsi="Arial" w:cs="Arial"/>
          <w:sz w:val="22"/>
          <w:lang w:val="es-ES"/>
        </w:rPr>
      </w:pPr>
      <w:r w:rsidRPr="00E045BC">
        <w:rPr>
          <w:rFonts w:ascii="Arial" w:hAnsi="Arial" w:cs="Arial"/>
          <w:sz w:val="22"/>
          <w:lang w:val="es-ES"/>
        </w:rPr>
        <w:t xml:space="preserve">Nótese, entonces, que el Consejo de Estado asumió como criterio para determinar la obligatoriedad de publicar en el SECOP que la contratación se haga con recursos públicos, conclusión que extrajo del literal c) del artículo 3 de la Ley 1150 de 2007. Así </w:t>
      </w:r>
      <w:proofErr w:type="gramStart"/>
      <w:r w:rsidRPr="00E045BC">
        <w:rPr>
          <w:rFonts w:ascii="Arial" w:hAnsi="Arial" w:cs="Arial"/>
          <w:sz w:val="22"/>
          <w:lang w:val="es-ES"/>
        </w:rPr>
        <w:t>pues,  a</w:t>
      </w:r>
      <w:proofErr w:type="gramEnd"/>
      <w:r w:rsidRPr="00E045BC">
        <w:rPr>
          <w:rFonts w:ascii="Arial" w:hAnsi="Arial" w:cs="Arial"/>
          <w:sz w:val="22"/>
          <w:lang w:val="es-ES"/>
        </w:rPr>
        <w:t xml:space="preserve"> partir de la anterior decisión, la obligación de publicar en el SECOP, por parte de las entidades con régimen especial, adquirió un elemento normativo adicional a las Leyes 1150 de 2007, 1712 de 2014 y la Circular Externa Única de Colombia Compra Eficiente, un pronunciamiento del Consejo de Estado. </w:t>
      </w:r>
    </w:p>
    <w:p w14:paraId="3F027501" w14:textId="77777777" w:rsidR="00292F1B" w:rsidRPr="00E045BC" w:rsidRDefault="00292F1B" w:rsidP="00292F1B">
      <w:pPr>
        <w:spacing w:line="276" w:lineRule="auto"/>
        <w:ind w:firstLine="709"/>
        <w:jc w:val="both"/>
        <w:rPr>
          <w:rFonts w:ascii="Arial" w:hAnsi="Arial" w:cs="Arial"/>
          <w:sz w:val="22"/>
          <w:lang w:val="es-ES"/>
        </w:rPr>
      </w:pPr>
      <w:r w:rsidRPr="00E045BC">
        <w:rPr>
          <w:rFonts w:ascii="Arial" w:hAnsi="Arial" w:cs="Arial"/>
          <w:sz w:val="22"/>
          <w:lang w:val="es-ES"/>
        </w:rPr>
        <w:lastRenderedPageBreak/>
        <w:t xml:space="preserve">Dentro de los fundamentos que consideró el máximo tribunal de lo contencioso administrativo, no tuvo en cuenta razones de orden fáctico, relativas a las responsabilidades de las entidades o su posible afectación en la competitividad para aquellas que operan en diferentes mercados. La razón relevante es que si la entidad contrata con dineros públicos debe publicar su proceso de contratación en el SECOP. </w:t>
      </w:r>
    </w:p>
    <w:p w14:paraId="38EF0843" w14:textId="77777777" w:rsidR="00ED7A8F" w:rsidRPr="00E045BC" w:rsidRDefault="00ED7A8F" w:rsidP="00675DCA">
      <w:pPr>
        <w:spacing w:line="276" w:lineRule="auto"/>
        <w:jc w:val="both"/>
        <w:rPr>
          <w:rFonts w:ascii="Arial" w:eastAsia="Calibri" w:hAnsi="Arial" w:cs="Arial"/>
          <w:sz w:val="22"/>
          <w:lang w:val="es-ES"/>
        </w:rPr>
      </w:pPr>
    </w:p>
    <w:p w14:paraId="083DFA26" w14:textId="186D3836" w:rsidR="00A14A6F" w:rsidRPr="00E045BC" w:rsidRDefault="00A14A6F" w:rsidP="00A14A6F">
      <w:pPr>
        <w:tabs>
          <w:tab w:val="left" w:pos="284"/>
          <w:tab w:val="left" w:pos="426"/>
        </w:tabs>
        <w:spacing w:line="276" w:lineRule="auto"/>
        <w:jc w:val="both"/>
        <w:rPr>
          <w:rFonts w:ascii="Arial" w:hAnsi="Arial" w:cs="Arial"/>
          <w:b/>
          <w:sz w:val="22"/>
          <w:lang w:val="es-ES"/>
        </w:rPr>
      </w:pPr>
      <w:r w:rsidRPr="00E045BC">
        <w:rPr>
          <w:rFonts w:ascii="Arial" w:hAnsi="Arial" w:cs="Arial"/>
          <w:b/>
          <w:sz w:val="22"/>
          <w:lang w:val="es-ES"/>
        </w:rPr>
        <w:t>2.</w:t>
      </w:r>
      <w:r w:rsidR="004D4E2B" w:rsidRPr="00E045BC">
        <w:rPr>
          <w:rFonts w:ascii="Arial" w:hAnsi="Arial" w:cs="Arial"/>
          <w:b/>
          <w:sz w:val="22"/>
          <w:lang w:val="es-ES"/>
        </w:rPr>
        <w:t>3</w:t>
      </w:r>
      <w:r w:rsidRPr="00E045BC">
        <w:rPr>
          <w:rFonts w:ascii="Arial" w:hAnsi="Arial" w:cs="Arial"/>
          <w:b/>
          <w:sz w:val="22"/>
          <w:lang w:val="es-ES"/>
        </w:rPr>
        <w:t>. Documentos que publican las entidades de régimen especial en el SECOP y término para hacerlo</w:t>
      </w:r>
    </w:p>
    <w:p w14:paraId="4CB2479E" w14:textId="77777777" w:rsidR="00A14A6F" w:rsidRPr="00E045BC" w:rsidRDefault="00A14A6F" w:rsidP="00A14A6F">
      <w:pPr>
        <w:tabs>
          <w:tab w:val="left" w:pos="284"/>
          <w:tab w:val="left" w:pos="426"/>
        </w:tabs>
        <w:spacing w:line="276" w:lineRule="auto"/>
        <w:ind w:left="142"/>
        <w:jc w:val="both"/>
        <w:rPr>
          <w:rFonts w:ascii="Arial" w:hAnsi="Arial" w:cs="Arial"/>
          <w:b/>
          <w:sz w:val="22"/>
          <w:lang w:val="es-ES"/>
        </w:rPr>
      </w:pPr>
    </w:p>
    <w:p w14:paraId="6E7251A0" w14:textId="77777777" w:rsidR="00A14A6F" w:rsidRPr="00E045BC" w:rsidRDefault="00A14A6F" w:rsidP="00A14A6F">
      <w:pPr>
        <w:spacing w:line="276" w:lineRule="auto"/>
        <w:jc w:val="both"/>
        <w:rPr>
          <w:rFonts w:ascii="Arial" w:eastAsia="Calibri" w:hAnsi="Arial" w:cs="Arial"/>
          <w:sz w:val="22"/>
          <w:lang w:val="es-ES"/>
        </w:rPr>
      </w:pPr>
      <w:r w:rsidRPr="00E045BC">
        <w:rPr>
          <w:rFonts w:ascii="Arial" w:eastAsia="Calibri" w:hAnsi="Arial" w:cs="Arial"/>
          <w:sz w:val="22"/>
          <w:lang w:val="es-ES"/>
        </w:rPr>
        <w:t xml:space="preserve">Determinada la obligación que tienen las entidades sujetas a un régimen especial de publicar su actividad contractual en el SECOP, a </w:t>
      </w:r>
      <w:proofErr w:type="gramStart"/>
      <w:r w:rsidRPr="00E045BC">
        <w:rPr>
          <w:rFonts w:ascii="Arial" w:eastAsia="Calibri" w:hAnsi="Arial" w:cs="Arial"/>
          <w:sz w:val="22"/>
          <w:lang w:val="es-ES"/>
        </w:rPr>
        <w:t>continuación</w:t>
      </w:r>
      <w:proofErr w:type="gramEnd"/>
      <w:r w:rsidRPr="00E045BC">
        <w:rPr>
          <w:rFonts w:ascii="Arial" w:eastAsia="Calibri" w:hAnsi="Arial" w:cs="Arial"/>
          <w:sz w:val="22"/>
          <w:lang w:val="es-ES"/>
        </w:rPr>
        <w:t xml:space="preserve"> se identificarán los documentos que deben publicar, n</w:t>
      </w:r>
      <w:r w:rsidRPr="00E045BC">
        <w:rPr>
          <w:rFonts w:ascii="Arial" w:hAnsi="Arial" w:cs="Arial"/>
          <w:bCs/>
          <w:sz w:val="22"/>
          <w:lang w:val="es-ES"/>
        </w:rPr>
        <w:t>o sin antes explicar la posición que la Agencia Nacional de Contratación Pública ─ Colombia Compra Eficiente ha adoptado desde el 2016 hasta el 2019.</w:t>
      </w:r>
    </w:p>
    <w:p w14:paraId="32B264DB" w14:textId="77777777" w:rsidR="00A14A6F" w:rsidRPr="00E045BC" w:rsidRDefault="00A14A6F" w:rsidP="00A14A6F">
      <w:pPr>
        <w:spacing w:line="276" w:lineRule="auto"/>
        <w:ind w:firstLine="708"/>
        <w:jc w:val="both"/>
        <w:rPr>
          <w:rFonts w:ascii="Arial" w:eastAsia="Calibri" w:hAnsi="Arial" w:cs="Arial"/>
          <w:sz w:val="22"/>
          <w:lang w:val="es-ES"/>
        </w:rPr>
      </w:pPr>
      <w:r w:rsidRPr="00E045BC">
        <w:rPr>
          <w:rFonts w:ascii="Arial" w:hAnsi="Arial" w:cs="Arial"/>
          <w:bCs/>
          <w:sz w:val="22"/>
          <w:lang w:val="es-ES"/>
        </w:rPr>
        <w:t>En la consulta identificada con el Radicado No. 41612000877 del 15 de febrero de 2016, señaló que las empresas industriales y comerciales del Estado, las empresas de servicios públicos domiciliarios y las sociedades de economía mixta, todas sometidas a un régimen especial de contratación, debían publicar en el SECOP todos los documentos del proceso que define el Decreto 1082 de 2015, así como lo relativo a la ejecución del contrato. Lo anterior se fundamentó en el literal c) del artículo 3 de la Ley 1150 de 2007</w:t>
      </w:r>
      <w:r w:rsidRPr="00E045BC">
        <w:rPr>
          <w:rFonts w:ascii="Arial" w:hAnsi="Arial" w:cs="Arial"/>
          <w:bCs/>
          <w:sz w:val="22"/>
          <w:vertAlign w:val="superscript"/>
          <w:lang w:val="es-ES"/>
        </w:rPr>
        <w:footnoteReference w:id="14"/>
      </w:r>
      <w:r w:rsidRPr="00E045BC">
        <w:rPr>
          <w:rFonts w:ascii="Arial" w:hAnsi="Arial" w:cs="Arial"/>
          <w:bCs/>
          <w:sz w:val="22"/>
          <w:lang w:val="es-ES"/>
        </w:rPr>
        <w:t>.</w:t>
      </w:r>
    </w:p>
    <w:p w14:paraId="00D3F79C" w14:textId="77777777" w:rsidR="00A14A6F" w:rsidRPr="00E045BC" w:rsidRDefault="00A14A6F" w:rsidP="00A14A6F">
      <w:pPr>
        <w:spacing w:before="120" w:after="120" w:line="276" w:lineRule="auto"/>
        <w:ind w:firstLine="709"/>
        <w:jc w:val="both"/>
        <w:rPr>
          <w:rFonts w:ascii="Arial" w:eastAsia="Calibri" w:hAnsi="Arial" w:cs="Arial"/>
          <w:sz w:val="22"/>
          <w:lang w:val="es-ES"/>
        </w:rPr>
      </w:pPr>
      <w:r w:rsidRPr="00E045BC">
        <w:rPr>
          <w:rFonts w:ascii="Arial" w:hAnsi="Arial" w:cs="Arial"/>
          <w:sz w:val="22"/>
          <w:lang w:val="es-ES"/>
        </w:rPr>
        <w:t xml:space="preserve">En este sentido, la Agencia Nacional de Contratación Pública, en virtud del literal c) del artículo 3 de la Ley 1150 de 2007, reconoció la obligatoriedad, por parte de las entidades de régimen especial, de publicar su actividad contractual en el SECOP. Ahora, con fundamento en el artículo 2.2.1.1.1.3.1 del Decreto 1082 de 2015, normativa que aplica a las entidades que se rigen por la Ley 80 de 1993, se enunciaron los </w:t>
      </w:r>
      <w:r w:rsidRPr="00E045BC">
        <w:rPr>
          <w:rFonts w:ascii="Arial" w:eastAsia="Calibri" w:hAnsi="Arial" w:cs="Arial"/>
          <w:sz w:val="22"/>
          <w:lang w:val="es-ES"/>
        </w:rPr>
        <w:t xml:space="preserve">documentos del proceso que se debían publicar. </w:t>
      </w:r>
    </w:p>
    <w:p w14:paraId="5ECECB2D" w14:textId="77777777" w:rsidR="00A14A6F" w:rsidRPr="00E045BC" w:rsidRDefault="00A14A6F" w:rsidP="00A14A6F">
      <w:pPr>
        <w:spacing w:before="120" w:after="120" w:line="276" w:lineRule="auto"/>
        <w:ind w:firstLine="709"/>
        <w:jc w:val="both"/>
        <w:rPr>
          <w:rFonts w:ascii="Arial" w:eastAsia="Calibri" w:hAnsi="Arial" w:cs="Arial"/>
          <w:sz w:val="22"/>
          <w:lang w:val="es-ES"/>
        </w:rPr>
      </w:pPr>
      <w:r w:rsidRPr="00E045BC">
        <w:rPr>
          <w:rFonts w:ascii="Arial" w:eastAsia="Calibri" w:hAnsi="Arial" w:cs="Arial"/>
          <w:sz w:val="22"/>
          <w:lang w:val="es-ES"/>
        </w:rPr>
        <w:t xml:space="preserve">Posteriormente, en el año 2018, cambió el fundamento normativo que define los documentos que las entidades de régimen especial debían publicar en el SECOP. En el 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w:t>
      </w:r>
      <w:r w:rsidRPr="00E045BC">
        <w:rPr>
          <w:rFonts w:ascii="Arial" w:eastAsia="Calibri" w:hAnsi="Arial" w:cs="Arial"/>
          <w:sz w:val="22"/>
          <w:lang w:val="es-ES"/>
        </w:rPr>
        <w:lastRenderedPageBreak/>
        <w:t>publicar serán los previstos en el manual de contratación de cada entidad de régimen especial para la adquisición de un bien o servicio, y no los que define el artículo 2.2.1.1.1.3.1 del Decreto 1082 de 2015</w:t>
      </w:r>
      <w:r w:rsidRPr="00E045BC">
        <w:rPr>
          <w:rFonts w:ascii="Arial" w:eastAsia="Calibri" w:hAnsi="Arial" w:cs="Arial"/>
          <w:sz w:val="22"/>
          <w:vertAlign w:val="superscript"/>
          <w:lang w:val="es-ES"/>
        </w:rPr>
        <w:footnoteReference w:id="15"/>
      </w:r>
      <w:r w:rsidRPr="00E045BC">
        <w:rPr>
          <w:rFonts w:ascii="Arial" w:eastAsia="Calibri" w:hAnsi="Arial" w:cs="Arial"/>
          <w:sz w:val="22"/>
          <w:lang w:val="es-ES"/>
        </w:rPr>
        <w:t xml:space="preserve">. </w:t>
      </w:r>
    </w:p>
    <w:p w14:paraId="3E555D55" w14:textId="77777777" w:rsidR="00A14A6F" w:rsidRPr="00E045BC" w:rsidRDefault="00A14A6F" w:rsidP="00A14A6F">
      <w:pPr>
        <w:spacing w:before="120" w:after="120" w:line="276" w:lineRule="auto"/>
        <w:ind w:firstLine="709"/>
        <w:jc w:val="both"/>
        <w:rPr>
          <w:rFonts w:ascii="Arial" w:eastAsia="Calibri" w:hAnsi="Arial" w:cs="Arial"/>
          <w:sz w:val="22"/>
          <w:lang w:val="es-ES"/>
        </w:rPr>
      </w:pPr>
      <w:r w:rsidRPr="00E045BC">
        <w:rPr>
          <w:rFonts w:ascii="Arial" w:eastAsia="Calibri" w:hAnsi="Arial" w:cs="Arial"/>
          <w:sz w:val="22"/>
          <w:lang w:val="es-ES"/>
        </w:rPr>
        <w:t xml:space="preserve">Conforme a lo anterior, en un primer momento la Agencia Nacional de Contratación Pública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Esta posición es la que se acogerá y desarrollará en esta consulta. </w:t>
      </w:r>
    </w:p>
    <w:p w14:paraId="6BEA5EF7" w14:textId="77777777" w:rsidR="00A14A6F" w:rsidRPr="00E045BC" w:rsidRDefault="00A14A6F" w:rsidP="00A14A6F">
      <w:pPr>
        <w:spacing w:before="120" w:after="120" w:line="276" w:lineRule="auto"/>
        <w:ind w:firstLine="709"/>
        <w:jc w:val="both"/>
        <w:rPr>
          <w:rFonts w:ascii="Arial" w:eastAsia="Calibri" w:hAnsi="Arial" w:cs="Arial"/>
          <w:sz w:val="22"/>
        </w:rPr>
      </w:pPr>
      <w:r w:rsidRPr="00E045BC">
        <w:rPr>
          <w:rFonts w:ascii="Arial" w:eastAsia="Calibri" w:hAnsi="Arial" w:cs="Arial"/>
          <w:sz w:val="22"/>
        </w:rPr>
        <w:t xml:space="preserve">En efecto, la Ley 1712 de 2014 o Ley de Transparencia y del Derecho de Acceso a la Información Pública, señala en el literal g), artículo 11,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24D254D5" w14:textId="77777777" w:rsidR="00ED7A8F" w:rsidRPr="00E045BC" w:rsidRDefault="00ED7A8F" w:rsidP="00ED7A8F">
      <w:pPr>
        <w:spacing w:before="120" w:after="120" w:line="276" w:lineRule="auto"/>
        <w:ind w:firstLine="709"/>
        <w:jc w:val="both"/>
        <w:rPr>
          <w:rFonts w:ascii="Arial" w:eastAsia="Calibri" w:hAnsi="Arial" w:cs="Arial"/>
          <w:sz w:val="22"/>
        </w:rPr>
      </w:pPr>
      <w:r w:rsidRPr="00E045BC">
        <w:rPr>
          <w:rFonts w:ascii="Arial" w:eastAsia="Calibri" w:hAnsi="Arial" w:cs="Arial"/>
          <w:sz w:val="22"/>
        </w:rPr>
        <w:t>Luego, el Decreto 1081 de 2015, «Por medio del cual se expide el Decreto Reglamentario Único del Sector Presidencia de la República», y en el cual quedó compilado el Decreto 103 de 2015, reglamentario de la Ley 1712 de 2014, en el artículo 2.1.1.2.1.8, señala, de forma enunciativa, que se debe publicar la información relativa a la ejecución del contrato, como las aprobaciones, autorizaciones, requerimientos o informes del supervisor o interventor, que aprueben la ejecución del contrato</w:t>
      </w:r>
      <w:r w:rsidRPr="00E045BC">
        <w:rPr>
          <w:rStyle w:val="Refdenotaalpie"/>
          <w:rFonts w:ascii="Arial" w:eastAsia="Calibri" w:hAnsi="Arial" w:cs="Arial"/>
          <w:sz w:val="22"/>
        </w:rPr>
        <w:footnoteReference w:id="16"/>
      </w:r>
      <w:r w:rsidRPr="00E045BC">
        <w:rPr>
          <w:rFonts w:ascii="Arial" w:eastAsia="Calibri" w:hAnsi="Arial" w:cs="Arial"/>
          <w:sz w:val="22"/>
        </w:rPr>
        <w:t xml:space="preserve">. Por su parte, el artículo 2.1.1.2.1.9 señala que las entidades deberán publicar los procedimientos, lineamientos y políticas en materia de adquisición, que no son otros que los previstos en el manual de contratación, que se expidió de acuerdo con los lineamientos de la Agencia Nacional de Contratación </w:t>
      </w:r>
      <w:r w:rsidRPr="00E045BC">
        <w:rPr>
          <w:rFonts w:ascii="Arial" w:eastAsia="Calibri" w:hAnsi="Arial" w:cs="Arial"/>
          <w:sz w:val="22"/>
        </w:rPr>
        <w:lastRenderedPageBreak/>
        <w:t>Pública, el cual debe publicarse en el sitio web del sujeto obligado</w:t>
      </w:r>
      <w:r w:rsidRPr="00E045BC">
        <w:rPr>
          <w:rStyle w:val="Refdenotaalpie"/>
          <w:rFonts w:ascii="Arial" w:eastAsia="Calibri" w:hAnsi="Arial" w:cs="Arial"/>
          <w:sz w:val="22"/>
        </w:rPr>
        <w:footnoteReference w:id="17"/>
      </w:r>
      <w:r w:rsidRPr="00E045BC">
        <w:rPr>
          <w:rFonts w:ascii="Arial" w:eastAsia="Calibri" w:hAnsi="Arial" w:cs="Arial"/>
          <w:sz w:val="22"/>
        </w:rPr>
        <w:t>. Finalmente, el artículo 2.1.1.2.1.10 establece la obligación que tienen las entidades de publicar en el SECOP el Plan Anual de Adquisiciones</w:t>
      </w:r>
      <w:r w:rsidRPr="00E045BC">
        <w:rPr>
          <w:rStyle w:val="Refdenotaalpie"/>
          <w:rFonts w:ascii="Arial" w:eastAsia="Calibri" w:hAnsi="Arial" w:cs="Arial"/>
          <w:sz w:val="22"/>
        </w:rPr>
        <w:footnoteReference w:id="18"/>
      </w:r>
      <w:r w:rsidRPr="00E045BC">
        <w:rPr>
          <w:rFonts w:ascii="Arial" w:eastAsia="Calibri" w:hAnsi="Arial" w:cs="Arial"/>
          <w:sz w:val="22"/>
        </w:rPr>
        <w:t xml:space="preserve">. </w:t>
      </w:r>
    </w:p>
    <w:p w14:paraId="4D0C696F" w14:textId="754E3211" w:rsidR="00A14A6F" w:rsidRPr="00E045BC" w:rsidRDefault="00A14A6F" w:rsidP="00A14A6F">
      <w:pPr>
        <w:spacing w:before="120" w:after="120" w:line="276" w:lineRule="auto"/>
        <w:ind w:firstLine="709"/>
        <w:jc w:val="both"/>
        <w:rPr>
          <w:rFonts w:ascii="Arial" w:eastAsia="Calibri" w:hAnsi="Arial" w:cs="Arial"/>
          <w:sz w:val="22"/>
        </w:rPr>
      </w:pPr>
      <w:r w:rsidRPr="00E045BC">
        <w:rPr>
          <w:rFonts w:ascii="Arial" w:eastAsia="Calibri" w:hAnsi="Arial" w:cs="Arial"/>
          <w:sz w:val="22"/>
        </w:rPr>
        <w:t>De conformidad con lo anterior, el Decreto 10</w:t>
      </w:r>
      <w:r w:rsidR="00ED7A8F" w:rsidRPr="00E045BC">
        <w:rPr>
          <w:rFonts w:ascii="Arial" w:eastAsia="Calibri" w:hAnsi="Arial" w:cs="Arial"/>
          <w:sz w:val="22"/>
        </w:rPr>
        <w:t xml:space="preserve">81 </w:t>
      </w:r>
      <w:r w:rsidRPr="00E045BC">
        <w:rPr>
          <w:rFonts w:ascii="Arial" w:eastAsia="Calibri" w:hAnsi="Arial" w:cs="Arial"/>
          <w:sz w:val="22"/>
        </w:rPr>
        <w:t xml:space="preserve">de 2015 señala que los documentos que deben publicar las entidades estatales a quienes les aplica la Ley 1712 de 2014, entre estas, por ejemplo, las empresas de servicios públicos mixtas, oficiales y privadas con participación pública, son: i) las autorizaciones, requerimientos, aprobaciones o informes del supervisor o del interventor, que prueben la ejecución del contrato, </w:t>
      </w:r>
      <w:proofErr w:type="spellStart"/>
      <w:r w:rsidRPr="00E045BC">
        <w:rPr>
          <w:rFonts w:ascii="Arial" w:eastAsia="Calibri" w:hAnsi="Arial" w:cs="Arial"/>
          <w:sz w:val="22"/>
        </w:rPr>
        <w:t>ii</w:t>
      </w:r>
      <w:proofErr w:type="spellEnd"/>
      <w:r w:rsidRPr="00E045BC">
        <w:rPr>
          <w:rFonts w:ascii="Arial" w:eastAsia="Calibri" w:hAnsi="Arial" w:cs="Arial"/>
          <w:sz w:val="22"/>
        </w:rPr>
        <w:t xml:space="preserve">) los procedimientos, lineamientos y políticas en materia de adquisición que corresponden a los  documentos que los conforman, previstos en el manual de contratación de la entidad, y finalmente, </w:t>
      </w:r>
      <w:proofErr w:type="spellStart"/>
      <w:r w:rsidRPr="00E045BC">
        <w:rPr>
          <w:rFonts w:ascii="Arial" w:eastAsia="Calibri" w:hAnsi="Arial" w:cs="Arial"/>
          <w:sz w:val="22"/>
        </w:rPr>
        <w:t>iii</w:t>
      </w:r>
      <w:proofErr w:type="spellEnd"/>
      <w:r w:rsidRPr="00E045BC">
        <w:rPr>
          <w:rFonts w:ascii="Arial" w:eastAsia="Calibri" w:hAnsi="Arial" w:cs="Arial"/>
          <w:sz w:val="22"/>
        </w:rPr>
        <w:t xml:space="preserve">) el plan anual de adquisiciones. </w:t>
      </w:r>
    </w:p>
    <w:p w14:paraId="7035B82A" w14:textId="77777777" w:rsidR="00A14A6F" w:rsidRPr="00E045BC" w:rsidRDefault="00A14A6F" w:rsidP="00A14A6F">
      <w:pPr>
        <w:spacing w:before="120" w:after="120" w:line="276" w:lineRule="auto"/>
        <w:ind w:firstLine="709"/>
        <w:jc w:val="both"/>
        <w:rPr>
          <w:rFonts w:ascii="Arial" w:eastAsia="Calibri" w:hAnsi="Arial" w:cs="Arial"/>
          <w:sz w:val="22"/>
        </w:rPr>
      </w:pPr>
      <w:r w:rsidRPr="00E045BC">
        <w:rPr>
          <w:rFonts w:ascii="Arial" w:eastAsia="Calibri" w:hAnsi="Arial" w:cs="Arial"/>
          <w:sz w:val="22"/>
        </w:rPr>
        <w:t xml:space="preserve">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w:t>
      </w:r>
    </w:p>
    <w:p w14:paraId="57E7123A" w14:textId="77777777" w:rsidR="00A14A6F" w:rsidRPr="00E045BC" w:rsidRDefault="00A14A6F" w:rsidP="00A14A6F">
      <w:pPr>
        <w:spacing w:before="120" w:after="120" w:line="276" w:lineRule="auto"/>
        <w:ind w:firstLine="709"/>
        <w:jc w:val="both"/>
        <w:rPr>
          <w:rFonts w:ascii="Arial" w:eastAsia="Calibri" w:hAnsi="Arial" w:cs="Arial"/>
          <w:sz w:val="22"/>
        </w:rPr>
      </w:pPr>
      <w:r w:rsidRPr="00E045BC">
        <w:rPr>
          <w:rFonts w:ascii="Arial" w:eastAsia="Calibri" w:hAnsi="Arial" w:cs="Arial"/>
          <w:sz w:val="22"/>
        </w:rPr>
        <w:t>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todos se publicarán en la plataforma del SECOP para cada procedimiento de contratación que se adelante, incluido el acto de adjudicación, por expresa disposición del literal g) del artículo 11 de la Ley 1712 de 2014.</w:t>
      </w:r>
    </w:p>
    <w:p w14:paraId="56B3155C" w14:textId="0F328A26" w:rsidR="00A14A6F" w:rsidRPr="00E045BC" w:rsidRDefault="00A14A6F" w:rsidP="00A14A6F">
      <w:pPr>
        <w:spacing w:before="120" w:after="120" w:line="276" w:lineRule="auto"/>
        <w:ind w:firstLine="709"/>
        <w:jc w:val="both"/>
        <w:rPr>
          <w:rFonts w:ascii="Arial" w:eastAsia="Calibri" w:hAnsi="Arial" w:cs="Arial"/>
          <w:sz w:val="22"/>
        </w:rPr>
      </w:pPr>
      <w:r w:rsidRPr="00E045BC">
        <w:rPr>
          <w:rFonts w:ascii="Arial" w:eastAsia="Calibri" w:hAnsi="Arial" w:cs="Arial"/>
          <w:sz w:val="22"/>
        </w:rPr>
        <w:lastRenderedPageBreak/>
        <w:t>Por lo tanto, en estos casos aplica la Ley 1712 de 2014 y el Decreto 10</w:t>
      </w:r>
      <w:r w:rsidR="00ED7A8F" w:rsidRPr="00E045BC">
        <w:rPr>
          <w:rFonts w:ascii="Arial" w:eastAsia="Calibri" w:hAnsi="Arial" w:cs="Arial"/>
          <w:sz w:val="22"/>
        </w:rPr>
        <w:t>81</w:t>
      </w:r>
      <w:r w:rsidRPr="00E045BC">
        <w:rPr>
          <w:rFonts w:ascii="Arial" w:eastAsia="Calibri" w:hAnsi="Arial" w:cs="Arial"/>
          <w:sz w:val="22"/>
        </w:rPr>
        <w:t xml:space="preserve"> de 2015, no el Decreto 1082 de 2015, porque es</w:t>
      </w:r>
      <w:r w:rsidR="00292F1B" w:rsidRPr="00E045BC">
        <w:rPr>
          <w:rFonts w:ascii="Arial" w:eastAsia="Calibri" w:hAnsi="Arial" w:cs="Arial"/>
          <w:sz w:val="22"/>
        </w:rPr>
        <w:t>ta</w:t>
      </w:r>
      <w:r w:rsidRPr="00E045BC">
        <w:rPr>
          <w:rFonts w:ascii="Arial" w:eastAsia="Calibri" w:hAnsi="Arial" w:cs="Arial"/>
          <w:sz w:val="22"/>
        </w:rPr>
        <w:t xml:space="preserve"> últim</w:t>
      </w:r>
      <w:r w:rsidR="00292F1B" w:rsidRPr="00E045BC">
        <w:rPr>
          <w:rFonts w:ascii="Arial" w:eastAsia="Calibri" w:hAnsi="Arial" w:cs="Arial"/>
          <w:sz w:val="22"/>
        </w:rPr>
        <w:t>a</w:t>
      </w:r>
      <w:r w:rsidRPr="00E045BC">
        <w:rPr>
          <w:rFonts w:ascii="Arial" w:eastAsia="Calibri" w:hAnsi="Arial" w:cs="Arial"/>
          <w:sz w:val="22"/>
        </w:rPr>
        <w:t xml:space="preserve"> norma rige a la</w:t>
      </w:r>
      <w:r w:rsidR="00ED7A8F" w:rsidRPr="00E045BC">
        <w:rPr>
          <w:rFonts w:ascii="Arial" w:eastAsia="Calibri" w:hAnsi="Arial" w:cs="Arial"/>
          <w:sz w:val="22"/>
        </w:rPr>
        <w:t xml:space="preserve"> contratación </w:t>
      </w:r>
      <w:r w:rsidRPr="00E045BC">
        <w:rPr>
          <w:rFonts w:ascii="Arial" w:eastAsia="Calibri" w:hAnsi="Arial" w:cs="Arial"/>
          <w:sz w:val="22"/>
        </w:rPr>
        <w:t xml:space="preserve"> </w:t>
      </w:r>
      <w:r w:rsidR="00ED7A8F" w:rsidRPr="00E045BC">
        <w:rPr>
          <w:rFonts w:ascii="Arial" w:eastAsia="Calibri" w:hAnsi="Arial" w:cs="Arial"/>
          <w:sz w:val="22"/>
        </w:rPr>
        <w:t xml:space="preserve">realizada con sujeción </w:t>
      </w:r>
      <w:r w:rsidRPr="00E045BC">
        <w:rPr>
          <w:rFonts w:ascii="Arial" w:eastAsia="Calibri" w:hAnsi="Arial" w:cs="Arial"/>
          <w:sz w:val="22"/>
        </w:rPr>
        <w:t>al Estatuto General de Contratación de la Administración Pública, y por lo tanto no aplica, por ejemplo, a l</w:t>
      </w:r>
      <w:r w:rsidR="00ED7A8F" w:rsidRPr="00E045BC">
        <w:rPr>
          <w:rFonts w:ascii="Arial" w:eastAsia="Calibri" w:hAnsi="Arial" w:cs="Arial"/>
          <w:sz w:val="22"/>
        </w:rPr>
        <w:t>a</w:t>
      </w:r>
      <w:r w:rsidR="004D4E2B" w:rsidRPr="00E045BC">
        <w:rPr>
          <w:rFonts w:ascii="Arial" w:eastAsia="Calibri" w:hAnsi="Arial" w:cs="Arial"/>
          <w:sz w:val="22"/>
        </w:rPr>
        <w:t xml:space="preserve"> contratación realizada por instituciones educativas por debajo del umbral de los veinte (20) salarios mínimos legales mensuales vigentes</w:t>
      </w:r>
      <w:r w:rsidRPr="00E045BC">
        <w:rPr>
          <w:rFonts w:ascii="Arial" w:eastAsia="Calibri" w:hAnsi="Arial" w:cs="Arial"/>
          <w:sz w:val="22"/>
        </w:rPr>
        <w:t>,</w:t>
      </w:r>
      <w:r w:rsidR="004D4E2B" w:rsidRPr="00E045BC">
        <w:rPr>
          <w:rFonts w:ascii="Arial" w:eastAsia="Calibri" w:hAnsi="Arial" w:cs="Arial"/>
          <w:sz w:val="22"/>
        </w:rPr>
        <w:t xml:space="preserve"> la cual como </w:t>
      </w:r>
      <w:r w:rsidR="00292F1B" w:rsidRPr="00E045BC">
        <w:rPr>
          <w:rFonts w:ascii="Arial" w:eastAsia="Calibri" w:hAnsi="Arial" w:cs="Arial"/>
          <w:sz w:val="22"/>
        </w:rPr>
        <w:t>arriba</w:t>
      </w:r>
      <w:r w:rsidR="004D4E2B" w:rsidRPr="00E045BC">
        <w:rPr>
          <w:rFonts w:ascii="Arial" w:eastAsia="Calibri" w:hAnsi="Arial" w:cs="Arial"/>
          <w:sz w:val="22"/>
        </w:rPr>
        <w:t xml:space="preserve"> </w:t>
      </w:r>
      <w:r w:rsidR="00292F1B" w:rsidRPr="00E045BC">
        <w:rPr>
          <w:rFonts w:ascii="Arial" w:eastAsia="Calibri" w:hAnsi="Arial" w:cs="Arial"/>
          <w:sz w:val="22"/>
        </w:rPr>
        <w:t xml:space="preserve">se </w:t>
      </w:r>
      <w:r w:rsidR="004D4E2B" w:rsidRPr="00E045BC">
        <w:rPr>
          <w:rFonts w:ascii="Arial" w:eastAsia="Calibri" w:hAnsi="Arial" w:cs="Arial"/>
          <w:sz w:val="22"/>
        </w:rPr>
        <w:t>estableció, deberá realizarse con arreglo a las reglas definidas por el respectivo reglamento expedido por el consejo directivo de la institución</w:t>
      </w:r>
      <w:r w:rsidRPr="00E045BC">
        <w:rPr>
          <w:rFonts w:ascii="Arial" w:eastAsia="Calibri" w:hAnsi="Arial" w:cs="Arial"/>
          <w:sz w:val="22"/>
        </w:rPr>
        <w:t>. Por su parte, la Ley 1712 de 2014 y el Decreto 10</w:t>
      </w:r>
      <w:r w:rsidR="004D4E2B" w:rsidRPr="00E045BC">
        <w:rPr>
          <w:rFonts w:ascii="Arial" w:eastAsia="Calibri" w:hAnsi="Arial" w:cs="Arial"/>
          <w:sz w:val="22"/>
        </w:rPr>
        <w:t>81</w:t>
      </w:r>
      <w:r w:rsidRPr="00E045BC">
        <w:rPr>
          <w:rFonts w:ascii="Arial" w:eastAsia="Calibri" w:hAnsi="Arial" w:cs="Arial"/>
          <w:sz w:val="22"/>
        </w:rPr>
        <w:t xml:space="preserve"> de 2015 rigen a cualquier entidad pública, incluyendo</w:t>
      </w:r>
      <w:r w:rsidRPr="00E045BC">
        <w:rPr>
          <w:rFonts w:ascii="Arial" w:hAnsi="Arial" w:cs="Arial"/>
          <w:sz w:val="22"/>
        </w:rPr>
        <w:t xml:space="preserve"> </w:t>
      </w:r>
      <w:r w:rsidRPr="00E045BC">
        <w:rPr>
          <w:rFonts w:ascii="Arial" w:eastAsia="Times New Roman" w:hAnsi="Arial" w:cs="Arial"/>
          <w:sz w:val="22"/>
          <w:lang w:val="es-CO" w:eastAsia="es-CO"/>
        </w:rPr>
        <w:t xml:space="preserve">las pertenecientes a todas las Ramas del Poder Público, en todos los niveles de la estructura estatal, central o descentralizada por servicios o territorialmente, en los </w:t>
      </w:r>
      <w:r w:rsidRPr="00E045BC">
        <w:rPr>
          <w:rFonts w:ascii="Arial" w:eastAsia="Calibri" w:hAnsi="Arial" w:cs="Arial"/>
          <w:sz w:val="22"/>
        </w:rPr>
        <w:t xml:space="preserve">órdenes nacional, departamental, municipal y distrital. </w:t>
      </w:r>
    </w:p>
    <w:p w14:paraId="2F473F8B" w14:textId="1153B301" w:rsidR="00A14A6F" w:rsidRPr="00E045BC" w:rsidRDefault="00A14A6F" w:rsidP="00A14A6F">
      <w:pPr>
        <w:spacing w:before="120" w:after="120" w:line="276" w:lineRule="auto"/>
        <w:ind w:firstLine="709"/>
        <w:jc w:val="both"/>
        <w:rPr>
          <w:rFonts w:ascii="Arial" w:eastAsia="Calibri" w:hAnsi="Arial" w:cs="Arial"/>
          <w:sz w:val="22"/>
        </w:rPr>
      </w:pPr>
      <w:r w:rsidRPr="00E045BC">
        <w:rPr>
          <w:rFonts w:ascii="Arial" w:eastAsia="Calibri" w:hAnsi="Arial" w:cs="Arial"/>
          <w:sz w:val="22"/>
        </w:rPr>
        <w:t xml:space="preserve">Identificados los documentos que deben publicar las entidades de régimen especial y su fundamento normativo, a </w:t>
      </w:r>
      <w:proofErr w:type="gramStart"/>
      <w:r w:rsidRPr="00E045BC">
        <w:rPr>
          <w:rFonts w:ascii="Arial" w:eastAsia="Calibri" w:hAnsi="Arial" w:cs="Arial"/>
          <w:sz w:val="22"/>
        </w:rPr>
        <w:t>continuación</w:t>
      </w:r>
      <w:proofErr w:type="gramEnd"/>
      <w:r w:rsidR="004D4E2B" w:rsidRPr="00E045BC">
        <w:rPr>
          <w:rFonts w:ascii="Arial" w:eastAsia="Calibri" w:hAnsi="Arial" w:cs="Arial"/>
          <w:sz w:val="22"/>
        </w:rPr>
        <w:t xml:space="preserve"> </w:t>
      </w:r>
      <w:r w:rsidRPr="00E045BC">
        <w:rPr>
          <w:rFonts w:ascii="Arial" w:eastAsia="Calibri" w:hAnsi="Arial" w:cs="Arial"/>
          <w:sz w:val="22"/>
        </w:rPr>
        <w:t xml:space="preserve">se explicará cuando se deben publicar, no sin antes explicar la posición que Colombia Compra Eficiente ha tenido en relación con este asunto. </w:t>
      </w:r>
    </w:p>
    <w:p w14:paraId="5B5D7828" w14:textId="00DD6DCF" w:rsidR="00A14A6F" w:rsidRPr="00E045BC" w:rsidRDefault="00A14A6F" w:rsidP="004D4E2B">
      <w:pPr>
        <w:spacing w:before="120" w:after="120" w:line="276" w:lineRule="auto"/>
        <w:ind w:firstLine="708"/>
        <w:jc w:val="both"/>
        <w:rPr>
          <w:rFonts w:ascii="Arial" w:eastAsia="Calibri" w:hAnsi="Arial" w:cs="Arial"/>
          <w:sz w:val="22"/>
        </w:rPr>
      </w:pPr>
      <w:r w:rsidRPr="00E045BC">
        <w:rPr>
          <w:rFonts w:ascii="Arial" w:eastAsia="Calibri" w:hAnsi="Arial" w:cs="Arial"/>
          <w:sz w:val="22"/>
        </w:rPr>
        <w:t xml:space="preserve">En el año 2017, en la consulta con radicado No. 4201713000005390 </w:t>
      </w:r>
      <w:r w:rsidR="004D4E2B" w:rsidRPr="00E045BC">
        <w:rPr>
          <w:rFonts w:ascii="Arial" w:eastAsia="Calibri" w:hAnsi="Arial" w:cs="Arial"/>
          <w:sz w:val="22"/>
        </w:rPr>
        <w:t xml:space="preserve">esta Agencia sostuvo </w:t>
      </w:r>
      <w:r w:rsidRPr="00E045BC">
        <w:rPr>
          <w:rFonts w:ascii="Arial" w:eastAsia="Calibri" w:hAnsi="Arial" w:cs="Arial"/>
          <w:sz w:val="22"/>
        </w:rPr>
        <w:t>que</w:t>
      </w:r>
      <w:r w:rsidR="004D4E2B" w:rsidRPr="00E045BC">
        <w:rPr>
          <w:rFonts w:ascii="Arial" w:eastAsia="Calibri" w:hAnsi="Arial" w:cs="Arial"/>
          <w:sz w:val="22"/>
        </w:rPr>
        <w:t xml:space="preserve"> «</w:t>
      </w:r>
      <w:r w:rsidRPr="00E045BC">
        <w:rPr>
          <w:rFonts w:ascii="Arial" w:eastAsia="Calibri" w:hAnsi="Arial" w:cs="Arial"/>
          <w:sz w:val="22"/>
        </w:rPr>
        <w:t>el plazo para publicar por parte de las entidades de régimen especial es el que se fije en el manual de contratación de la entidad</w:t>
      </w:r>
      <w:r w:rsidRPr="00E045BC">
        <w:rPr>
          <w:rStyle w:val="Refdenotaalpie"/>
          <w:rFonts w:ascii="Arial" w:eastAsia="Calibri" w:hAnsi="Arial" w:cs="Arial"/>
          <w:sz w:val="22"/>
        </w:rPr>
        <w:footnoteReference w:id="19"/>
      </w:r>
      <w:r w:rsidRPr="00E045BC">
        <w:rPr>
          <w:rFonts w:ascii="Arial" w:eastAsia="Calibri" w:hAnsi="Arial" w:cs="Arial"/>
          <w:sz w:val="22"/>
        </w:rPr>
        <w:t>. Por su parte, en el año 2018, con la expedición de la Circular Externa Única, se cambió la postura y se indica: «las entidades que aun utilizan el SECOP I están obligadas a publicar los documentos del proceso dentro de los tres (3) días siguientes a su expedición […]</w:t>
      </w:r>
      <w:r w:rsidRPr="00E045BC">
        <w:rPr>
          <w:rStyle w:val="Refdenotaalpie"/>
          <w:rFonts w:ascii="Arial" w:eastAsia="Calibri" w:hAnsi="Arial" w:cs="Arial"/>
          <w:sz w:val="22"/>
        </w:rPr>
        <w:footnoteReference w:id="20"/>
      </w:r>
      <w:r w:rsidRPr="00E045BC">
        <w:rPr>
          <w:rFonts w:ascii="Arial" w:eastAsia="Calibri" w:hAnsi="Arial" w:cs="Arial"/>
          <w:sz w:val="22"/>
        </w:rPr>
        <w:t xml:space="preserve">». De lo regulado en la Circular Externa Única se infiere que se otorga un tratamiento igualitario a las entidades, independientemente de su régimen de contratación, por lo tanto, aplica el artículo 2.2.1.1.1.7.1. del Decreto 1082 de 2015. </w:t>
      </w:r>
    </w:p>
    <w:p w14:paraId="2BD78D5E" w14:textId="20EA81BD" w:rsidR="00A14A6F" w:rsidRPr="00E045BC" w:rsidRDefault="00A14A6F" w:rsidP="00A14A6F">
      <w:pPr>
        <w:spacing w:before="120" w:after="120" w:line="276" w:lineRule="auto"/>
        <w:ind w:firstLine="709"/>
        <w:jc w:val="both"/>
        <w:rPr>
          <w:rFonts w:ascii="Arial" w:eastAsia="Calibri" w:hAnsi="Arial" w:cs="Arial"/>
          <w:sz w:val="22"/>
        </w:rPr>
      </w:pPr>
      <w:r w:rsidRPr="00E045BC">
        <w:rPr>
          <w:rFonts w:ascii="Arial" w:eastAsia="Calibri" w:hAnsi="Arial" w:cs="Arial"/>
          <w:sz w:val="22"/>
        </w:rPr>
        <w:lastRenderedPageBreak/>
        <w:t xml:space="preserve">En este sentido, se han tenido dos posturas frente a la oportunidad de publicar los documentos en el SECOP. En un primer momento, la entidad tiene autonomía para determinar el plazo en su manual de contratación, debido a que no les aplica el Estatuto General de Contratación de la Administración Pública; en un segundo momento, a partir de la expedición de la Circular Externa Única, tanto </w:t>
      </w:r>
      <w:r w:rsidR="004D4E2B" w:rsidRPr="00E045BC">
        <w:rPr>
          <w:rFonts w:ascii="Arial" w:eastAsia="Calibri" w:hAnsi="Arial" w:cs="Arial"/>
          <w:sz w:val="22"/>
        </w:rPr>
        <w:t xml:space="preserve"> los documentos de </w:t>
      </w:r>
      <w:r w:rsidRPr="00E045BC">
        <w:rPr>
          <w:rFonts w:ascii="Arial" w:eastAsia="Calibri" w:hAnsi="Arial" w:cs="Arial"/>
          <w:sz w:val="22"/>
        </w:rPr>
        <w:t>l</w:t>
      </w:r>
      <w:r w:rsidR="004D4E2B" w:rsidRPr="00E045BC">
        <w:rPr>
          <w:rFonts w:ascii="Arial" w:eastAsia="Calibri" w:hAnsi="Arial" w:cs="Arial"/>
          <w:sz w:val="22"/>
        </w:rPr>
        <w:t>a contratación realizada</w:t>
      </w:r>
      <w:r w:rsidRPr="00E045BC">
        <w:rPr>
          <w:rFonts w:ascii="Arial" w:eastAsia="Calibri" w:hAnsi="Arial" w:cs="Arial"/>
          <w:sz w:val="22"/>
        </w:rPr>
        <w:t xml:space="preserve"> </w:t>
      </w:r>
      <w:r w:rsidR="004D4E2B" w:rsidRPr="00E045BC">
        <w:rPr>
          <w:rFonts w:ascii="Arial" w:eastAsia="Calibri" w:hAnsi="Arial" w:cs="Arial"/>
          <w:sz w:val="22"/>
        </w:rPr>
        <w:t>conforme a</w:t>
      </w:r>
      <w:r w:rsidRPr="00E045BC">
        <w:rPr>
          <w:rFonts w:ascii="Arial" w:eastAsia="Calibri" w:hAnsi="Arial" w:cs="Arial"/>
          <w:sz w:val="22"/>
        </w:rPr>
        <w:t xml:space="preserve"> la Ley 80</w:t>
      </w:r>
      <w:r w:rsidR="004D4E2B" w:rsidRPr="00E045BC">
        <w:rPr>
          <w:rFonts w:ascii="Arial" w:eastAsia="Calibri" w:hAnsi="Arial" w:cs="Arial"/>
          <w:sz w:val="22"/>
        </w:rPr>
        <w:t xml:space="preserve"> de 1993,</w:t>
      </w:r>
      <w:r w:rsidRPr="00E045BC">
        <w:rPr>
          <w:rFonts w:ascii="Arial" w:eastAsia="Calibri" w:hAnsi="Arial" w:cs="Arial"/>
          <w:sz w:val="22"/>
        </w:rPr>
        <w:t xml:space="preserve"> </w:t>
      </w:r>
      <w:r w:rsidR="004D4E2B" w:rsidRPr="00E045BC">
        <w:rPr>
          <w:rFonts w:ascii="Arial" w:eastAsia="Calibri" w:hAnsi="Arial" w:cs="Arial"/>
          <w:sz w:val="22"/>
        </w:rPr>
        <w:t xml:space="preserve">como aquella realizada en virtud un </w:t>
      </w:r>
      <w:r w:rsidRPr="00E045BC">
        <w:rPr>
          <w:rFonts w:ascii="Arial" w:eastAsia="Calibri" w:hAnsi="Arial" w:cs="Arial"/>
          <w:sz w:val="22"/>
        </w:rPr>
        <w:t>régimen especial</w:t>
      </w:r>
      <w:r w:rsidR="004D4E2B" w:rsidRPr="00E045BC">
        <w:rPr>
          <w:rFonts w:ascii="Arial" w:eastAsia="Calibri" w:hAnsi="Arial" w:cs="Arial"/>
          <w:sz w:val="22"/>
        </w:rPr>
        <w:t xml:space="preserve"> de contratación</w:t>
      </w:r>
      <w:r w:rsidRPr="00E045BC">
        <w:rPr>
          <w:rFonts w:ascii="Arial" w:eastAsia="Calibri" w:hAnsi="Arial" w:cs="Arial"/>
          <w:sz w:val="22"/>
        </w:rPr>
        <w:t>, deberá</w:t>
      </w:r>
      <w:r w:rsidR="004D4E2B" w:rsidRPr="00E045BC">
        <w:rPr>
          <w:rFonts w:ascii="Arial" w:eastAsia="Calibri" w:hAnsi="Arial" w:cs="Arial"/>
          <w:sz w:val="22"/>
        </w:rPr>
        <w:t>n ser</w:t>
      </w:r>
      <w:r w:rsidRPr="00E045BC">
        <w:rPr>
          <w:rFonts w:ascii="Arial" w:eastAsia="Calibri" w:hAnsi="Arial" w:cs="Arial"/>
          <w:sz w:val="22"/>
        </w:rPr>
        <w:t xml:space="preserve"> publica</w:t>
      </w:r>
      <w:r w:rsidR="004D4E2B" w:rsidRPr="00E045BC">
        <w:rPr>
          <w:rFonts w:ascii="Arial" w:eastAsia="Calibri" w:hAnsi="Arial" w:cs="Arial"/>
          <w:sz w:val="22"/>
        </w:rPr>
        <w:t>dos</w:t>
      </w:r>
      <w:r w:rsidRPr="00E045BC">
        <w:rPr>
          <w:rFonts w:ascii="Arial" w:eastAsia="Calibri" w:hAnsi="Arial" w:cs="Arial"/>
          <w:sz w:val="22"/>
        </w:rPr>
        <w:t xml:space="preserve"> dentro de los tres (3) días siguientes a su expedición, por expresa disposición del artículo 2.2.1.1.1.7.1 del Decreto 1082 de 2015. Esta última posición es la que se acogerá y se desarrollará en esta consulta. </w:t>
      </w:r>
    </w:p>
    <w:p w14:paraId="07572C23" w14:textId="73F8C2B3" w:rsidR="00A14A6F" w:rsidRPr="00E045BC" w:rsidRDefault="00A14A6F" w:rsidP="00A14A6F">
      <w:pPr>
        <w:spacing w:before="120" w:after="120" w:line="276" w:lineRule="auto"/>
        <w:ind w:firstLine="709"/>
        <w:jc w:val="both"/>
        <w:rPr>
          <w:rFonts w:ascii="Arial" w:eastAsia="Calibri" w:hAnsi="Arial" w:cs="Arial"/>
          <w:sz w:val="22"/>
        </w:rPr>
      </w:pPr>
      <w:r w:rsidRPr="00E045BC">
        <w:rPr>
          <w:rFonts w:ascii="Arial" w:eastAsia="Calibri" w:hAnsi="Arial" w:cs="Arial"/>
          <w:sz w:val="22"/>
        </w:rPr>
        <w:t>La Ley 1712 de 2014 y el Decreto reglamentario 10</w:t>
      </w:r>
      <w:r w:rsidR="004D4E2B" w:rsidRPr="00E045BC">
        <w:rPr>
          <w:rFonts w:ascii="Arial" w:eastAsia="Calibri" w:hAnsi="Arial" w:cs="Arial"/>
          <w:sz w:val="22"/>
        </w:rPr>
        <w:t>81</w:t>
      </w:r>
      <w:r w:rsidRPr="00E045BC">
        <w:rPr>
          <w:rFonts w:ascii="Arial" w:eastAsia="Calibri" w:hAnsi="Arial" w:cs="Arial"/>
          <w:sz w:val="22"/>
        </w:rPr>
        <w:t xml:space="preserve"> de 2015, normativas que indican los documentos que se deben publicar, no señalan el momento para su divulgación, y en ese sentido existe un vacío normativo. En los casos que no exista norma aplicable, la Corte Constitucional, en la sentencia C-083 de 1995, reconoce a la analogía como una fuente de derecho autónoma a la que se pueden acudir para suplir el vacío. De esta forma, reconoce que: «la analogía es la aplicación de la ley a situaciones no contempladas expresamente a ellas, pero que sólo difieren a las que sí lo están en aspectos jurídicamente irrelevantes, es decir, ajenos a aquellos que explican y fundamentan la razón de ser de la norma»</w:t>
      </w:r>
      <w:r w:rsidRPr="00E045BC">
        <w:rPr>
          <w:rStyle w:val="Refdenotaalpie"/>
          <w:rFonts w:ascii="Arial" w:eastAsia="Calibri" w:hAnsi="Arial" w:cs="Arial"/>
          <w:sz w:val="22"/>
        </w:rPr>
        <w:footnoteReference w:id="21"/>
      </w:r>
      <w:r w:rsidRPr="00E045BC">
        <w:rPr>
          <w:rFonts w:ascii="Arial" w:eastAsia="Calibri" w:hAnsi="Arial" w:cs="Arial"/>
          <w:sz w:val="22"/>
        </w:rPr>
        <w:t>. En este sentido, el juez razona por analogía, cuando aplica una ley frente una situación no contemplada explícitamente en ella, a partir del estudio de situaciones fácticas que fueron tratadas por el legislador y guardan similitud con el asunto tratado.</w:t>
      </w:r>
    </w:p>
    <w:p w14:paraId="3644FE27" w14:textId="7BB48D7E" w:rsidR="00A14A6F" w:rsidRPr="00E045BC" w:rsidRDefault="00A14A6F" w:rsidP="00A14A6F">
      <w:pPr>
        <w:spacing w:before="120" w:after="120" w:line="276" w:lineRule="auto"/>
        <w:ind w:firstLine="709"/>
        <w:jc w:val="both"/>
        <w:rPr>
          <w:rFonts w:ascii="Arial" w:eastAsia="Calibri" w:hAnsi="Arial" w:cs="Arial"/>
          <w:sz w:val="22"/>
        </w:rPr>
      </w:pPr>
      <w:r w:rsidRPr="00E045BC">
        <w:rPr>
          <w:rFonts w:ascii="Arial" w:eastAsia="Calibri" w:hAnsi="Arial" w:cs="Arial"/>
          <w:sz w:val="22"/>
        </w:rPr>
        <w:t>El Decreto 1082 de 2015, en el artículo 2.2.1.1.1.7.1</w:t>
      </w:r>
      <w:r w:rsidR="004D4E2B" w:rsidRPr="00E045BC">
        <w:rPr>
          <w:rFonts w:ascii="Arial" w:eastAsia="Calibri" w:hAnsi="Arial" w:cs="Arial"/>
          <w:sz w:val="22"/>
        </w:rPr>
        <w:t xml:space="preserve"> </w:t>
      </w:r>
      <w:r w:rsidR="004D4E2B" w:rsidRPr="00E045BC">
        <w:rPr>
          <w:rFonts w:ascii="Arial" w:eastAsia="Calibri" w:hAnsi="Arial" w:cs="Arial"/>
          <w:i/>
          <w:iCs/>
          <w:sz w:val="22"/>
        </w:rPr>
        <w:t>Ibídem</w:t>
      </w:r>
      <w:r w:rsidRPr="00E045BC">
        <w:rPr>
          <w:rFonts w:ascii="Arial" w:eastAsia="Calibri" w:hAnsi="Arial" w:cs="Arial"/>
          <w:sz w:val="22"/>
        </w:rPr>
        <w:t>, normativa que regula la publicidad en el SECOP, establece que las entidades están obligadas a publicar los 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 que presenten observaciones o soliciten aclaraciones</w:t>
      </w:r>
      <w:r w:rsidRPr="00E045BC">
        <w:rPr>
          <w:rStyle w:val="Refdenotaalpie"/>
          <w:rFonts w:ascii="Arial" w:eastAsia="Calibri" w:hAnsi="Arial" w:cs="Arial"/>
          <w:sz w:val="22"/>
        </w:rPr>
        <w:footnoteReference w:id="22"/>
      </w:r>
      <w:r w:rsidRPr="00E045BC">
        <w:rPr>
          <w:rFonts w:ascii="Arial" w:eastAsia="Calibri" w:hAnsi="Arial" w:cs="Arial"/>
          <w:sz w:val="22"/>
        </w:rPr>
        <w:t xml:space="preserve">. En este sentido, las entidades sometidas al régimen de contratación de Ley 80 de 1993 publican en el SECOP sus documentos dentro de los 3 días siguientes a su expedición. </w:t>
      </w:r>
    </w:p>
    <w:p w14:paraId="0FD6E3EE" w14:textId="15CA9D83" w:rsidR="00A14A6F" w:rsidRPr="00E045BC" w:rsidRDefault="00A14A6F" w:rsidP="00A14A6F">
      <w:pPr>
        <w:spacing w:before="120" w:after="120" w:line="276" w:lineRule="auto"/>
        <w:ind w:firstLine="709"/>
        <w:jc w:val="both"/>
        <w:rPr>
          <w:rFonts w:ascii="Arial" w:eastAsia="Calibri" w:hAnsi="Arial" w:cs="Arial"/>
          <w:sz w:val="22"/>
        </w:rPr>
      </w:pPr>
      <w:r w:rsidRPr="00E045BC">
        <w:rPr>
          <w:rFonts w:ascii="Arial" w:eastAsia="Calibri" w:hAnsi="Arial" w:cs="Arial"/>
          <w:sz w:val="22"/>
        </w:rPr>
        <w:t xml:space="preserve">Si bien el Decreto 1082 de 2015, en principio no aplica a la </w:t>
      </w:r>
      <w:r w:rsidR="004D4E2B" w:rsidRPr="00E045BC">
        <w:rPr>
          <w:rFonts w:ascii="Arial" w:eastAsia="Calibri" w:hAnsi="Arial" w:cs="Arial"/>
          <w:sz w:val="22"/>
        </w:rPr>
        <w:t xml:space="preserve">contratación pública </w:t>
      </w:r>
      <w:r w:rsidRPr="00E045BC">
        <w:rPr>
          <w:rFonts w:ascii="Arial" w:eastAsia="Calibri" w:hAnsi="Arial" w:cs="Arial"/>
          <w:sz w:val="22"/>
        </w:rPr>
        <w:t xml:space="preserve">exceptuada del Estatuto General de Contratación de la Administración Pública, es posible </w:t>
      </w:r>
      <w:r w:rsidRPr="00E045BC">
        <w:rPr>
          <w:rFonts w:ascii="Arial" w:eastAsia="Calibri" w:hAnsi="Arial" w:cs="Arial"/>
          <w:sz w:val="22"/>
        </w:rPr>
        <w:lastRenderedPageBreak/>
        <w:t xml:space="preserve">aplicarle el artículo 2.2.1.1.1.7.1. en virtud de la analogía. Lo anterior, debido a que esta norma guarda similitud con el asunto tratado ya que regula la publicidad de los documentos del SECOP y, por lo tanto, es viable </w:t>
      </w:r>
      <w:proofErr w:type="gramStart"/>
      <w:r w:rsidRPr="00E045BC">
        <w:rPr>
          <w:rFonts w:ascii="Arial" w:eastAsia="Calibri" w:hAnsi="Arial" w:cs="Arial"/>
          <w:sz w:val="22"/>
        </w:rPr>
        <w:t>aplicarle</w:t>
      </w:r>
      <w:proofErr w:type="gramEnd"/>
      <w:r w:rsidRPr="00E045BC">
        <w:rPr>
          <w:rFonts w:ascii="Arial" w:eastAsia="Calibri" w:hAnsi="Arial" w:cs="Arial"/>
          <w:sz w:val="22"/>
        </w:rPr>
        <w:t xml:space="preserve"> su consecuencia jurídica a las entidades de régimen especial. </w:t>
      </w:r>
    </w:p>
    <w:p w14:paraId="41F2D90F" w14:textId="77777777" w:rsidR="00A14A6F" w:rsidRPr="00E045BC" w:rsidRDefault="00A14A6F" w:rsidP="00A14A6F">
      <w:pPr>
        <w:spacing w:before="120" w:after="120" w:line="276" w:lineRule="auto"/>
        <w:ind w:firstLine="709"/>
        <w:jc w:val="both"/>
        <w:rPr>
          <w:rFonts w:ascii="Arial" w:eastAsia="Calibri" w:hAnsi="Arial" w:cs="Arial"/>
          <w:sz w:val="22"/>
        </w:rPr>
      </w:pPr>
      <w:r w:rsidRPr="00E045BC">
        <w:rPr>
          <w:rFonts w:ascii="Arial" w:eastAsia="Calibri" w:hAnsi="Arial" w:cs="Arial"/>
          <w:sz w:val="22"/>
        </w:rPr>
        <w:t xml:space="preserve">A su vez, no es posible que las entidades definan en su manual de contratación el momento en el cual publicarán sus documentos contractuales, porque este es un asunto que debe definir el legislador o el gobierno por medio de un reglamento. </w:t>
      </w:r>
    </w:p>
    <w:p w14:paraId="1C7DE5C0" w14:textId="77777777" w:rsidR="00A14A6F" w:rsidRPr="00E045BC" w:rsidRDefault="00A14A6F" w:rsidP="00A14A6F">
      <w:pPr>
        <w:spacing w:before="120" w:after="120" w:line="276" w:lineRule="auto"/>
        <w:ind w:firstLine="709"/>
        <w:jc w:val="both"/>
        <w:rPr>
          <w:rFonts w:ascii="Arial" w:eastAsia="Calibri" w:hAnsi="Arial" w:cs="Arial"/>
          <w:sz w:val="22"/>
        </w:rPr>
      </w:pPr>
      <w:r w:rsidRPr="00E045BC">
        <w:rPr>
          <w:rFonts w:ascii="Arial" w:eastAsia="Calibri" w:hAnsi="Arial" w:cs="Arial"/>
          <w:sz w:val="22"/>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24E3AD4D" w14:textId="77777777" w:rsidR="00A14A6F" w:rsidRPr="00E045BC" w:rsidRDefault="00A14A6F" w:rsidP="00A14A6F">
      <w:pPr>
        <w:spacing w:line="276" w:lineRule="auto"/>
        <w:ind w:firstLine="709"/>
        <w:jc w:val="both"/>
        <w:rPr>
          <w:rFonts w:ascii="Arial" w:eastAsia="Calibri" w:hAnsi="Arial" w:cs="Arial"/>
          <w:sz w:val="22"/>
        </w:rPr>
      </w:pPr>
      <w:r w:rsidRPr="00E045BC">
        <w:rPr>
          <w:rFonts w:ascii="Arial" w:eastAsia="Calibri" w:hAnsi="Arial" w:cs="Arial"/>
          <w:sz w:val="22"/>
        </w:rPr>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y se aplicaría el artículo 2.2.1.1.1.7.1. </w:t>
      </w:r>
    </w:p>
    <w:p w14:paraId="2DCEFBEE" w14:textId="77777777" w:rsidR="00A14A6F" w:rsidRPr="00E045BC" w:rsidRDefault="00A14A6F" w:rsidP="00A14A6F">
      <w:pPr>
        <w:spacing w:line="276" w:lineRule="auto"/>
        <w:jc w:val="both"/>
        <w:rPr>
          <w:rFonts w:ascii="Arial" w:eastAsia="Calibri" w:hAnsi="Arial" w:cs="Arial"/>
          <w:b/>
          <w:sz w:val="16"/>
          <w:szCs w:val="16"/>
        </w:rPr>
      </w:pPr>
    </w:p>
    <w:p w14:paraId="78A3B70B" w14:textId="0CFEA8CA" w:rsidR="00A14A6F" w:rsidRPr="00E045BC" w:rsidRDefault="00A14A6F" w:rsidP="00A14A6F">
      <w:pPr>
        <w:spacing w:line="276" w:lineRule="auto"/>
        <w:jc w:val="both"/>
        <w:rPr>
          <w:rFonts w:ascii="Arial" w:eastAsia="Calibri" w:hAnsi="Arial" w:cs="Arial"/>
          <w:b/>
          <w:sz w:val="22"/>
        </w:rPr>
      </w:pPr>
      <w:r w:rsidRPr="00E045BC">
        <w:rPr>
          <w:rFonts w:ascii="Arial" w:eastAsia="Calibri" w:hAnsi="Arial" w:cs="Arial"/>
          <w:b/>
          <w:sz w:val="22"/>
        </w:rPr>
        <w:t>2.</w:t>
      </w:r>
      <w:r w:rsidR="004D4E2B" w:rsidRPr="00E045BC">
        <w:rPr>
          <w:rFonts w:ascii="Arial" w:eastAsia="Calibri" w:hAnsi="Arial" w:cs="Arial"/>
          <w:b/>
          <w:sz w:val="22"/>
        </w:rPr>
        <w:t>4</w:t>
      </w:r>
      <w:r w:rsidRPr="00E045BC">
        <w:rPr>
          <w:rFonts w:ascii="Arial" w:eastAsia="Calibri" w:hAnsi="Arial" w:cs="Arial"/>
          <w:b/>
          <w:sz w:val="22"/>
        </w:rPr>
        <w:t xml:space="preserve"> Publicidad en las plataformas SECOP I y II </w:t>
      </w:r>
    </w:p>
    <w:p w14:paraId="3BB21C2E" w14:textId="77777777" w:rsidR="00A14A6F" w:rsidRPr="00E045BC" w:rsidRDefault="00A14A6F" w:rsidP="00A14A6F">
      <w:pPr>
        <w:spacing w:line="276" w:lineRule="auto"/>
        <w:jc w:val="both"/>
        <w:rPr>
          <w:rFonts w:ascii="Arial" w:eastAsia="Calibri" w:hAnsi="Arial" w:cs="Arial"/>
          <w:b/>
          <w:sz w:val="16"/>
          <w:szCs w:val="16"/>
        </w:rPr>
      </w:pPr>
    </w:p>
    <w:p w14:paraId="488EC4C7" w14:textId="77777777" w:rsidR="00292F1B" w:rsidRPr="00E045BC" w:rsidRDefault="00292F1B" w:rsidP="00292F1B">
      <w:pPr>
        <w:spacing w:after="120" w:line="276" w:lineRule="auto"/>
        <w:jc w:val="both"/>
        <w:rPr>
          <w:rFonts w:ascii="Arial" w:eastAsia="Calibri" w:hAnsi="Arial" w:cs="Arial"/>
          <w:sz w:val="22"/>
          <w:lang w:val="es-ES"/>
        </w:rPr>
      </w:pPr>
      <w:r w:rsidRPr="00E045BC">
        <w:rPr>
          <w:rFonts w:ascii="Arial" w:eastAsia="Calibri" w:hAnsi="Arial" w:cs="Arial"/>
          <w:sz w:val="22"/>
          <w:lang w:val="es-ES"/>
        </w:rPr>
        <w:t>La Agencia Nacional de Contratación Pública – Colombia Compra Eficiente tiene como función  administrar el SECOP</w:t>
      </w:r>
      <w:r w:rsidRPr="00E045BC">
        <w:rPr>
          <w:rStyle w:val="Refdenotaalpie"/>
          <w:rFonts w:ascii="Arial" w:eastAsia="Calibri" w:hAnsi="Arial" w:cs="Arial"/>
          <w:sz w:val="22"/>
          <w:lang w:val="es-ES"/>
        </w:rPr>
        <w:footnoteReference w:id="23"/>
      </w:r>
      <w:r w:rsidRPr="00E045BC">
        <w:rPr>
          <w:rFonts w:ascii="Arial" w:eastAsia="Calibri" w:hAnsi="Arial" w:cs="Arial"/>
          <w:sz w:val="22"/>
          <w:lang w:val="es-ES"/>
        </w:rPr>
        <w:t>, por lo cual se desarrolló la primera versión  de la plataforma ̶ SECOP I ̶  ,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281FD365" w14:textId="77777777" w:rsidR="00292F1B" w:rsidRPr="00E045BC" w:rsidRDefault="00292F1B" w:rsidP="00292F1B">
      <w:pPr>
        <w:spacing w:before="120" w:after="120" w:line="276" w:lineRule="auto"/>
        <w:ind w:firstLine="708"/>
        <w:jc w:val="both"/>
        <w:rPr>
          <w:rFonts w:ascii="Arial" w:eastAsia="Calibri" w:hAnsi="Arial" w:cs="Arial"/>
          <w:sz w:val="22"/>
          <w:lang w:val="es-ES"/>
        </w:rPr>
      </w:pPr>
      <w:r w:rsidRPr="00E045BC">
        <w:rPr>
          <w:rFonts w:ascii="Arial" w:eastAsia="Calibri" w:hAnsi="Arial" w:cs="Arial"/>
          <w:sz w:val="22"/>
          <w:lang w:val="es-ES"/>
        </w:rPr>
        <w:t>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67FDA002" w14:textId="77777777" w:rsidR="00292F1B" w:rsidRPr="00E045BC" w:rsidRDefault="00292F1B" w:rsidP="00292F1B">
      <w:pPr>
        <w:spacing w:before="120" w:after="120" w:line="276" w:lineRule="auto"/>
        <w:ind w:firstLine="708"/>
        <w:jc w:val="both"/>
        <w:rPr>
          <w:rFonts w:ascii="Arial" w:eastAsia="Calibri" w:hAnsi="Arial" w:cs="Arial"/>
          <w:sz w:val="22"/>
          <w:lang w:val="es-ES"/>
        </w:rPr>
      </w:pPr>
      <w:r w:rsidRPr="00E045BC">
        <w:rPr>
          <w:rFonts w:ascii="Arial" w:eastAsia="Calibri" w:hAnsi="Arial" w:cs="Arial"/>
          <w:sz w:val="22"/>
          <w:lang w:val="es-ES"/>
        </w:rPr>
        <w:t xml:space="preserve">La Agencia Nacional de Contratación Pública – Colombia Compra Eficiente realizó el despliegue de SECOP II a nivel territorial en el 2018 y 2019, por lo cual se expidió la </w:t>
      </w:r>
      <w:r w:rsidRPr="00E045BC">
        <w:rPr>
          <w:rFonts w:ascii="Arial" w:eastAsia="Calibri" w:hAnsi="Arial" w:cs="Arial"/>
          <w:sz w:val="22"/>
          <w:lang w:val="es-ES"/>
        </w:rPr>
        <w:lastRenderedPageBreak/>
        <w:t xml:space="preserve">Circular Externa No. 1 de 2019 sobre la obligatoriedad del uso del SECOP II en el 2020, que dispone: «A partir del 1 de enero de 2020, todos los procesos de contratación de las entidades relacionadas en el Anexo 1 de esta circular deberán gestionarse, exclusivamente, en el SECOP ll». </w:t>
      </w:r>
    </w:p>
    <w:p w14:paraId="07F05029" w14:textId="77777777" w:rsidR="00292F1B" w:rsidRPr="00E045BC" w:rsidRDefault="00292F1B" w:rsidP="00292F1B">
      <w:pPr>
        <w:spacing w:before="120" w:after="120" w:line="276" w:lineRule="auto"/>
        <w:ind w:firstLine="708"/>
        <w:jc w:val="both"/>
        <w:rPr>
          <w:rFonts w:ascii="Arial" w:eastAsia="Calibri" w:hAnsi="Arial" w:cs="Arial"/>
          <w:sz w:val="22"/>
          <w:lang w:val="es-ES"/>
        </w:rPr>
      </w:pPr>
      <w:r w:rsidRPr="00E045BC">
        <w:rPr>
          <w:rFonts w:ascii="Arial" w:eastAsia="Calibri" w:hAnsi="Arial" w:cs="Arial"/>
          <w:sz w:val="22"/>
          <w:lang w:val="es-ES"/>
        </w:rPr>
        <w:t xml:space="preserve">Con anterioridad a estas circulares se expidieron la Circular Externa No. 1 de 2013, que regula la publicación en SECOP I de las entidades que contratan con cargo a recursos públicos, y la Circular Externa No. 20 de 2015, que reguló la </w:t>
      </w:r>
      <w:r w:rsidRPr="00E045BC">
        <w:rPr>
          <w:rFonts w:ascii="Arial" w:hAnsi="Arial" w:cs="Arial"/>
          <w:sz w:val="22"/>
          <w:lang w:val="es-ES"/>
        </w:rPr>
        <w:t>publicidad de la actividad contractual de las empresas industriales y comerciales del Estado, las sociedades de economía mixta y las empresas de servicios públicos domiciliarios que en su actividad comercial están en situación de competencia.</w:t>
      </w:r>
    </w:p>
    <w:p w14:paraId="293FE9CC" w14:textId="77777777" w:rsidR="00292F1B" w:rsidRPr="00E045BC" w:rsidRDefault="00292F1B" w:rsidP="00292F1B">
      <w:pPr>
        <w:spacing w:before="120" w:after="120" w:line="276" w:lineRule="auto"/>
        <w:ind w:firstLine="708"/>
        <w:jc w:val="both"/>
        <w:rPr>
          <w:rFonts w:ascii="Arial" w:eastAsia="Calibri" w:hAnsi="Arial" w:cs="Arial"/>
          <w:sz w:val="22"/>
          <w:lang w:val="es-ES"/>
        </w:rPr>
      </w:pPr>
      <w:r w:rsidRPr="00E045BC">
        <w:rPr>
          <w:rFonts w:ascii="Arial" w:eastAsia="Calibri" w:hAnsi="Arial" w:cs="Arial"/>
          <w:sz w:val="22"/>
          <w:lang w:val="es-ES"/>
        </w:rPr>
        <w:t>El SECOP II, entonces, empezó a ser de uso obligatorio solo para las entidades mencionadas en el Anexo 1 de la Circular Externa No. 1 de 2019, y por ende el SECOP I cumple únicamente la función de repositorio de información.</w:t>
      </w:r>
    </w:p>
    <w:p w14:paraId="13F8F3BB" w14:textId="77777777" w:rsidR="00292F1B" w:rsidRPr="00E045BC" w:rsidRDefault="00292F1B" w:rsidP="00292F1B">
      <w:pPr>
        <w:spacing w:before="120" w:after="120" w:line="276" w:lineRule="auto"/>
        <w:ind w:firstLine="708"/>
        <w:jc w:val="both"/>
        <w:rPr>
          <w:rFonts w:ascii="Arial" w:eastAsia="Calibri" w:hAnsi="Arial" w:cs="Arial"/>
          <w:sz w:val="22"/>
          <w:lang w:val="es-ES"/>
        </w:rPr>
      </w:pPr>
      <w:r w:rsidRPr="00E045BC">
        <w:rPr>
          <w:rFonts w:ascii="Arial" w:eastAsia="Calibri" w:hAnsi="Arial" w:cs="Arial"/>
          <w:sz w:val="22"/>
          <w:lang w:val="es-ES"/>
        </w:rPr>
        <w:t xml:space="preserve">Este plazo fue prorrogado por la Agencia Nacional de Contratación Pública – Colombia Compra Eficiente, mediante la Circular Externa No. 2 de 2019, a través de la cual se amplió la entrada en vigencia de la obligatoriedad del SECOP ll. En consecuencia, las alcaldías capitales de departamento, Administración central y los departamentos (Administración central) gestionarán todos sus procesos de contratación, exclusivamente en el SECOP ll, a partir del 1 de abril de 2020. </w:t>
      </w:r>
    </w:p>
    <w:p w14:paraId="50AAFE63" w14:textId="77777777" w:rsidR="00292F1B" w:rsidRPr="00E045BC" w:rsidRDefault="00292F1B" w:rsidP="00292F1B">
      <w:pPr>
        <w:spacing w:before="120" w:after="120" w:line="276" w:lineRule="auto"/>
        <w:ind w:firstLine="708"/>
        <w:jc w:val="both"/>
        <w:rPr>
          <w:rFonts w:ascii="Arial" w:eastAsia="Calibri" w:hAnsi="Arial" w:cs="Arial"/>
          <w:sz w:val="22"/>
          <w:lang w:val="es-ES"/>
        </w:rPr>
      </w:pPr>
      <w:r w:rsidRPr="00E045BC">
        <w:rPr>
          <w:rFonts w:ascii="Arial" w:eastAsia="Calibri" w:hAnsi="Arial" w:cs="Arial"/>
          <w:sz w:val="22"/>
          <w:lang w:val="es-ES"/>
        </w:rPr>
        <w:t>Con todo, de acuerdo con lo que se dispuso en la Circular Externa No. 3 de 2020, existen dos grupos de entidades que se excluyeron de dicho plazo. Por un lado, la 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Carreño, la Gobernación del Guaviare, la Alcaldía de San José del Guaviare, la Gobernación de Vaupés y la Alcaldía de Mitú. Los primeros, porque a la fecha de expedición de la Circular Externa No. 3 no alcanzaron a capacitarse en el uso de la plataforma SECOP II, por lo que se prorrogó el plazo para que se capacitaran en dos meses, correspondiéndoles gestionar sus procesos en SECOP II a partir del 1 de junio de 2020. Los segundos tienen en común un contexto de conectividad en el que «las velocidades de carga son insuficientes para operar la plataforma en [sus] territorios», esto es, problemas de capacidad técnica de las redes, razón por la que se le permitió seguir gestionando sus procesos en medio físico, pero cumpliendo con el deber de publicidad a través de SECOP I.</w:t>
      </w:r>
    </w:p>
    <w:p w14:paraId="4AEDF14F" w14:textId="77777777" w:rsidR="00292F1B" w:rsidRPr="00E045BC" w:rsidRDefault="00292F1B" w:rsidP="00292F1B">
      <w:pPr>
        <w:spacing w:before="120" w:after="120" w:line="276" w:lineRule="auto"/>
        <w:ind w:firstLine="708"/>
        <w:jc w:val="both"/>
        <w:rPr>
          <w:rFonts w:ascii="Arial" w:eastAsia="Calibri" w:hAnsi="Arial" w:cs="Arial"/>
          <w:b/>
          <w:sz w:val="22"/>
          <w:lang w:val="es-ES"/>
        </w:rPr>
      </w:pPr>
      <w:r w:rsidRPr="00E045BC">
        <w:rPr>
          <w:rFonts w:ascii="Arial" w:eastAsia="Calibri" w:hAnsi="Arial" w:cs="Arial"/>
          <w:sz w:val="22"/>
          <w:lang w:val="es-ES"/>
        </w:rPr>
        <w:t xml:space="preserve">Es del caso precisar que la obligación de realizar procesos de contratación a través de la plataforma SECOP II está asociada a la inclusión de las entidades estatales en los anexos de las referidas circulares, por lo que tratándose de entidades respecto de las cuales la Circular Externa No. 1 de 2019 definió el uso obligatorio de la plataforma, no siendo exceptuadas en circulares subsiguientes, deberán hacer uso de la plataforma. En ese </w:t>
      </w:r>
      <w:r w:rsidRPr="00E045BC">
        <w:rPr>
          <w:rFonts w:ascii="Arial" w:eastAsia="Calibri" w:hAnsi="Arial" w:cs="Arial"/>
          <w:sz w:val="22"/>
          <w:lang w:val="es-ES"/>
        </w:rPr>
        <w:lastRenderedPageBreak/>
        <w:t>sentido, las entidades estatales incluidas en el Anexo 1 de la Circular Externa No. 1 de 2019, deben cumplir con el deber de evidenciar la actividad contractual con la publicación de los</w:t>
      </w:r>
      <w:r w:rsidRPr="00E045BC">
        <w:rPr>
          <w:rFonts w:ascii="Arial" w:eastAsia="Calibri" w:hAnsi="Arial" w:cs="Arial"/>
          <w:i/>
          <w:iCs/>
          <w:sz w:val="22"/>
          <w:lang w:val="es-ES"/>
        </w:rPr>
        <w:t xml:space="preserve"> Documentos del Proceso </w:t>
      </w:r>
      <w:r w:rsidRPr="00E045BC">
        <w:rPr>
          <w:rFonts w:ascii="Arial" w:eastAsia="Calibri" w:hAnsi="Arial" w:cs="Arial"/>
          <w:sz w:val="22"/>
          <w:lang w:val="es-ES"/>
        </w:rPr>
        <w:t>y los actos administrativos del</w:t>
      </w:r>
      <w:r w:rsidRPr="00E045BC">
        <w:rPr>
          <w:rFonts w:ascii="Arial" w:eastAsia="Calibri" w:hAnsi="Arial" w:cs="Arial"/>
          <w:i/>
          <w:iCs/>
          <w:sz w:val="22"/>
          <w:lang w:val="es-ES"/>
        </w:rPr>
        <w:t xml:space="preserve"> Proceso de Contratación </w:t>
      </w:r>
      <w:r w:rsidRPr="00E045BC">
        <w:rPr>
          <w:rFonts w:ascii="Arial" w:eastAsia="Calibri" w:hAnsi="Arial" w:cs="Arial"/>
          <w:sz w:val="22"/>
          <w:lang w:val="es-ES"/>
        </w:rPr>
        <w:t>en el SECOP II.</w:t>
      </w:r>
    </w:p>
    <w:p w14:paraId="0EA7BC04" w14:textId="77777777" w:rsidR="00A14A6F" w:rsidRPr="00E045BC" w:rsidRDefault="00A14A6F" w:rsidP="00A14A6F">
      <w:pPr>
        <w:spacing w:before="120" w:after="120" w:line="276" w:lineRule="auto"/>
        <w:ind w:firstLine="709"/>
        <w:jc w:val="both"/>
        <w:rPr>
          <w:rFonts w:ascii="Arial" w:eastAsia="Calibri" w:hAnsi="Arial" w:cs="Arial"/>
          <w:sz w:val="22"/>
          <w:lang w:val="es-ES"/>
        </w:rPr>
      </w:pPr>
      <w:r w:rsidRPr="00E045BC">
        <w:rPr>
          <w:rFonts w:ascii="Arial" w:eastAsia="Calibri" w:hAnsi="Arial" w:cs="Arial"/>
          <w:sz w:val="22"/>
          <w:lang w:val="es-ES"/>
        </w:rPr>
        <w:t>Ahora, en relación con las entidades descentralizadas del nivel municipal, el Anexo 1 de la Circular No. 1 de 2019 las excluyó del deber de publicar en el SECOP II, pues, al indicar las entidades de este nivel con obligación de publicar en esa plataforma, textualmente señaló que «</w:t>
      </w:r>
      <w:r w:rsidRPr="00E045BC">
        <w:rPr>
          <w:rFonts w:ascii="Arial" w:hAnsi="Arial" w:cs="Arial"/>
          <w:sz w:val="22"/>
        </w:rPr>
        <w:t xml:space="preserve">sólo incluye el sector central. No incluye entidades descentralizadas del respectivo nivel» y estableció </w:t>
      </w:r>
      <w:r w:rsidRPr="00E045BC">
        <w:rPr>
          <w:rFonts w:ascii="Arial" w:eastAsia="Calibri" w:hAnsi="Arial" w:cs="Arial"/>
          <w:sz w:val="22"/>
          <w:lang w:val="es-ES"/>
        </w:rPr>
        <w:t xml:space="preserve">la obligatoriedad del uso del SECOP II únicamente a las alcaldías capitales de departamentos. </w:t>
      </w:r>
    </w:p>
    <w:p w14:paraId="53E4909C" w14:textId="21493F5A" w:rsidR="00A14A6F" w:rsidRPr="00E045BC" w:rsidRDefault="00A14A6F" w:rsidP="00A14A6F">
      <w:pPr>
        <w:spacing w:line="276" w:lineRule="auto"/>
        <w:ind w:firstLine="709"/>
        <w:jc w:val="both"/>
        <w:rPr>
          <w:rFonts w:ascii="Arial" w:eastAsia="Calibri" w:hAnsi="Arial" w:cs="Arial"/>
          <w:sz w:val="22"/>
          <w:lang w:val="es-ES"/>
        </w:rPr>
      </w:pPr>
      <w:r w:rsidRPr="00E045BC">
        <w:rPr>
          <w:rFonts w:ascii="Arial" w:eastAsia="Calibri" w:hAnsi="Arial" w:cs="Arial"/>
          <w:sz w:val="22"/>
          <w:lang w:val="es-ES"/>
        </w:rPr>
        <w:t xml:space="preserve">Así las cosas, la Subdirección de Gestión Contractual concluye que, a la fecha, las entidades descentralizadas del nivel municipal no están obligadas a publicar sus procesos de contratación en el SECOP II, conforme a la salvedad que sobre el particular establece el Anexo 1 de la Circular Externa No. 1 de 2019.  Sin embargo, esta exclusión no relevará a las entidades descentralizadas del nivel municipal de continuar publicando sus procesos de contratación en la plataforma de SECOP I. </w:t>
      </w:r>
    </w:p>
    <w:p w14:paraId="42AE1382" w14:textId="2B2F36D2" w:rsidR="003B0A0C" w:rsidRPr="00E045BC" w:rsidRDefault="003B0A0C" w:rsidP="003B0A0C">
      <w:pPr>
        <w:spacing w:line="276" w:lineRule="auto"/>
        <w:jc w:val="both"/>
        <w:rPr>
          <w:rFonts w:ascii="Arial" w:eastAsia="Calibri" w:hAnsi="Arial" w:cs="Arial"/>
          <w:b/>
          <w:bCs/>
          <w:sz w:val="16"/>
          <w:szCs w:val="16"/>
          <w:lang w:val="es-ES"/>
        </w:rPr>
      </w:pPr>
    </w:p>
    <w:p w14:paraId="6B53B8C0" w14:textId="77777777" w:rsidR="003B0A0C" w:rsidRPr="00E045BC" w:rsidRDefault="003B0A0C" w:rsidP="003B0A0C">
      <w:pPr>
        <w:spacing w:line="276" w:lineRule="atLeast"/>
        <w:jc w:val="both"/>
        <w:rPr>
          <w:lang w:val="es-CO" w:eastAsia="es-ES_tradnl"/>
        </w:rPr>
      </w:pPr>
      <w:r w:rsidRPr="00E045BC">
        <w:rPr>
          <w:rFonts w:ascii="Arial" w:hAnsi="Arial" w:cs="Arial"/>
          <w:b/>
          <w:bCs/>
          <w:sz w:val="22"/>
          <w:lang w:val="es-ES" w:eastAsia="es-ES_tradnl"/>
        </w:rPr>
        <w:t>3. Respuesta</w:t>
      </w:r>
    </w:p>
    <w:p w14:paraId="05E398C9" w14:textId="77777777" w:rsidR="003B0A0C" w:rsidRPr="00E045BC" w:rsidRDefault="003B0A0C" w:rsidP="003B0A0C">
      <w:pPr>
        <w:spacing w:line="276" w:lineRule="atLeast"/>
        <w:jc w:val="both"/>
        <w:rPr>
          <w:lang w:eastAsia="es-ES_tradnl"/>
        </w:rPr>
      </w:pPr>
      <w:r w:rsidRPr="00E045BC">
        <w:rPr>
          <w:rFonts w:ascii="Arial" w:hAnsi="Arial" w:cs="Arial"/>
          <w:sz w:val="22"/>
          <w:lang w:val="es-ES" w:eastAsia="es-ES_tradnl"/>
        </w:rPr>
        <w:t> </w:t>
      </w:r>
    </w:p>
    <w:p w14:paraId="1B8E4F1C" w14:textId="797212FD" w:rsidR="000A3619" w:rsidRPr="00E045BC" w:rsidRDefault="00292F1B" w:rsidP="000A3619">
      <w:pPr>
        <w:spacing w:line="276" w:lineRule="auto"/>
        <w:ind w:left="709" w:right="709"/>
        <w:jc w:val="both"/>
        <w:textAlignment w:val="baseline"/>
        <w:rPr>
          <w:rFonts w:ascii="Arial" w:hAnsi="Arial" w:cs="Arial"/>
          <w:bCs/>
          <w:sz w:val="21"/>
          <w:szCs w:val="21"/>
          <w:lang w:eastAsia="es-ES_tradnl"/>
        </w:rPr>
      </w:pPr>
      <w:r w:rsidRPr="00E045BC">
        <w:rPr>
          <w:rFonts w:ascii="Arial" w:hAnsi="Arial" w:cs="Arial"/>
          <w:bCs/>
          <w:sz w:val="21"/>
          <w:szCs w:val="21"/>
          <w:lang w:eastAsia="es-ES_tradnl"/>
        </w:rPr>
        <w:t xml:space="preserve">«[…] </w:t>
      </w:r>
      <w:r w:rsidR="00E045BC" w:rsidRPr="00E045BC">
        <w:rPr>
          <w:rFonts w:ascii="Arial" w:hAnsi="Arial" w:cs="Arial"/>
          <w:bCs/>
          <w:sz w:val="21"/>
          <w:szCs w:val="21"/>
          <w:lang w:eastAsia="es-ES_tradnl"/>
        </w:rPr>
        <w:t xml:space="preserve">el favor si me pueden asesorar si una Institución Educativa </w:t>
      </w:r>
      <w:proofErr w:type="spellStart"/>
      <w:r w:rsidR="00E045BC" w:rsidRPr="00E045BC">
        <w:rPr>
          <w:rFonts w:ascii="Arial" w:hAnsi="Arial" w:cs="Arial"/>
          <w:bCs/>
          <w:sz w:val="21"/>
          <w:szCs w:val="21"/>
          <w:lang w:eastAsia="es-ES_tradnl"/>
        </w:rPr>
        <w:t>esta</w:t>
      </w:r>
      <w:proofErr w:type="spellEnd"/>
      <w:r w:rsidR="00E045BC" w:rsidRPr="00E045BC">
        <w:rPr>
          <w:rFonts w:ascii="Arial" w:hAnsi="Arial" w:cs="Arial"/>
          <w:bCs/>
          <w:sz w:val="21"/>
          <w:szCs w:val="21"/>
          <w:lang w:eastAsia="es-ES_tradnl"/>
        </w:rPr>
        <w:t xml:space="preserve"> obligada a publicar cada una de las compras así sean de menor cuantía </w:t>
      </w:r>
      <w:r w:rsidRPr="00E045BC">
        <w:rPr>
          <w:rFonts w:ascii="Arial" w:hAnsi="Arial" w:cs="Arial"/>
          <w:bCs/>
          <w:sz w:val="21"/>
          <w:szCs w:val="21"/>
          <w:lang w:eastAsia="es-ES_tradnl"/>
        </w:rPr>
        <w:t>[…]»</w:t>
      </w:r>
    </w:p>
    <w:p w14:paraId="69F6DA5D" w14:textId="77777777" w:rsidR="00292F1B" w:rsidRPr="00E045BC" w:rsidRDefault="00292F1B" w:rsidP="000A3619">
      <w:pPr>
        <w:spacing w:line="276" w:lineRule="auto"/>
        <w:ind w:left="709" w:right="709"/>
        <w:jc w:val="both"/>
        <w:textAlignment w:val="baseline"/>
        <w:rPr>
          <w:rFonts w:ascii="Arial" w:hAnsi="Arial" w:cs="Arial"/>
          <w:sz w:val="21"/>
          <w:szCs w:val="21"/>
          <w:lang w:eastAsia="es-ES_tradnl"/>
        </w:rPr>
      </w:pPr>
    </w:p>
    <w:p w14:paraId="6D20226F" w14:textId="77777777" w:rsidR="000A3619" w:rsidRPr="00E045BC" w:rsidRDefault="000A3619" w:rsidP="000A3619">
      <w:pPr>
        <w:pStyle w:val="Textoindependiente"/>
        <w:spacing w:after="120" w:line="276" w:lineRule="auto"/>
        <w:ind w:right="49"/>
        <w:jc w:val="both"/>
      </w:pPr>
      <w:r w:rsidRPr="00E045BC">
        <w:t>Las instituciones educativas estatales deben publicar en el Sistema Electrónico de Contratación Pública – SECOP- toda la actividad que se ejecute con carga a recursos públicos, independientemente del régimen de contratación con el que los ejecute, incluyendo aquellos documentos que surjan con ocasión de su actividad contractual cuya cuantía es inferior es inferior a los veinte 20 SMLMV.</w:t>
      </w:r>
    </w:p>
    <w:p w14:paraId="653FEABC" w14:textId="1E9DA1D8" w:rsidR="003B0A0C" w:rsidRPr="00E045BC" w:rsidRDefault="003B0A0C" w:rsidP="000A3619">
      <w:pPr>
        <w:spacing w:after="120" w:line="276" w:lineRule="auto"/>
        <w:ind w:firstLine="705"/>
        <w:jc w:val="both"/>
        <w:textAlignment w:val="baseline"/>
        <w:rPr>
          <w:rFonts w:ascii="Arial" w:hAnsi="Arial" w:cs="Arial"/>
          <w:lang w:eastAsia="es-ES_tradnl"/>
        </w:rPr>
      </w:pPr>
      <w:r w:rsidRPr="00E045BC">
        <w:rPr>
          <w:rFonts w:ascii="Arial" w:hAnsi="Arial" w:cs="Arial"/>
          <w:sz w:val="22"/>
          <w:lang w:eastAsia="es-ES_tradnl"/>
        </w:rPr>
        <w:t>De conformidad con el Decreto 10</w:t>
      </w:r>
      <w:r w:rsidR="000A3619" w:rsidRPr="00E045BC">
        <w:rPr>
          <w:rFonts w:ascii="Arial" w:hAnsi="Arial" w:cs="Arial"/>
          <w:sz w:val="22"/>
          <w:lang w:eastAsia="es-ES_tradnl"/>
        </w:rPr>
        <w:t>81</w:t>
      </w:r>
      <w:r w:rsidRPr="00E045BC">
        <w:rPr>
          <w:rFonts w:ascii="Arial" w:hAnsi="Arial" w:cs="Arial"/>
          <w:sz w:val="22"/>
          <w:lang w:eastAsia="es-ES_tradnl"/>
        </w:rPr>
        <w:t xml:space="preserve"> de 2015 los documentos que deberán publicar las entidades estatales, entre estas las instituciones educativas</w:t>
      </w:r>
      <w:r w:rsidR="000A3619" w:rsidRPr="00E045BC">
        <w:rPr>
          <w:rFonts w:ascii="Arial" w:hAnsi="Arial" w:cs="Arial"/>
          <w:sz w:val="22"/>
          <w:lang w:eastAsia="es-ES_tradnl"/>
        </w:rPr>
        <w:t>,</w:t>
      </w:r>
      <w:r w:rsidRPr="00E045BC">
        <w:rPr>
          <w:rFonts w:ascii="Arial" w:hAnsi="Arial" w:cs="Arial"/>
          <w:sz w:val="22"/>
          <w:lang w:eastAsia="es-ES_tradnl"/>
        </w:rPr>
        <w:t xml:space="preserve"> son: </w:t>
      </w:r>
      <w:proofErr w:type="spellStart"/>
      <w:r w:rsidRPr="00E045BC">
        <w:rPr>
          <w:rFonts w:ascii="Arial" w:hAnsi="Arial" w:cs="Arial"/>
          <w:sz w:val="22"/>
          <w:lang w:eastAsia="es-ES_tradnl"/>
        </w:rPr>
        <w:t>ii</w:t>
      </w:r>
      <w:proofErr w:type="spellEnd"/>
      <w:r w:rsidRPr="00E045BC">
        <w:rPr>
          <w:rFonts w:ascii="Arial" w:hAnsi="Arial" w:cs="Arial"/>
          <w:sz w:val="22"/>
          <w:lang w:eastAsia="es-ES_tradnl"/>
        </w:rPr>
        <w:t>) en relación con los procedimientos, lineamientos y políticas en materia de adquisición, se deberán publicar los documentos del procedimi</w:t>
      </w:r>
      <w:r w:rsidR="000C7584" w:rsidRPr="00E045BC">
        <w:rPr>
          <w:rFonts w:ascii="Arial" w:hAnsi="Arial" w:cs="Arial"/>
          <w:sz w:val="22"/>
          <w:lang w:eastAsia="es-ES_tradnl"/>
        </w:rPr>
        <w:t>e</w:t>
      </w:r>
      <w:r w:rsidRPr="00E045BC">
        <w:rPr>
          <w:rFonts w:ascii="Arial" w:hAnsi="Arial" w:cs="Arial"/>
          <w:sz w:val="22"/>
          <w:lang w:eastAsia="es-ES_tradnl"/>
        </w:rPr>
        <w:t>n</w:t>
      </w:r>
      <w:r w:rsidR="000C7584" w:rsidRPr="00E045BC">
        <w:rPr>
          <w:rFonts w:ascii="Arial" w:hAnsi="Arial" w:cs="Arial"/>
          <w:sz w:val="22"/>
          <w:lang w:eastAsia="es-ES_tradnl"/>
        </w:rPr>
        <w:t>t</w:t>
      </w:r>
      <w:r w:rsidRPr="00E045BC">
        <w:rPr>
          <w:rFonts w:ascii="Arial" w:hAnsi="Arial" w:cs="Arial"/>
          <w:sz w:val="22"/>
          <w:lang w:eastAsia="es-ES_tradnl"/>
        </w:rPr>
        <w:t xml:space="preserve">o contractual, previstos en el manual de contratación de la entidad, </w:t>
      </w:r>
      <w:proofErr w:type="spellStart"/>
      <w:r w:rsidRPr="00E045BC">
        <w:rPr>
          <w:rFonts w:ascii="Arial" w:hAnsi="Arial" w:cs="Arial"/>
          <w:sz w:val="22"/>
          <w:lang w:eastAsia="es-ES_tradnl"/>
        </w:rPr>
        <w:t>ii</w:t>
      </w:r>
      <w:proofErr w:type="spellEnd"/>
      <w:r w:rsidRPr="00E045BC">
        <w:rPr>
          <w:rFonts w:ascii="Arial" w:hAnsi="Arial" w:cs="Arial"/>
          <w:sz w:val="22"/>
          <w:lang w:eastAsia="es-ES_tradnl"/>
        </w:rPr>
        <w:t xml:space="preserve">) las autorizaciones, requerimientos, aprobaciones o informes del supervisor o del interventor, que prueben la ejecución del contrato, y finalmente, y </w:t>
      </w:r>
      <w:proofErr w:type="spellStart"/>
      <w:r w:rsidRPr="00E045BC">
        <w:rPr>
          <w:rFonts w:ascii="Arial" w:hAnsi="Arial" w:cs="Arial"/>
          <w:sz w:val="22"/>
          <w:lang w:eastAsia="es-ES_tradnl"/>
        </w:rPr>
        <w:t>iii</w:t>
      </w:r>
      <w:proofErr w:type="spellEnd"/>
      <w:r w:rsidRPr="00E045BC">
        <w:rPr>
          <w:rFonts w:ascii="Arial" w:hAnsi="Arial" w:cs="Arial"/>
          <w:sz w:val="22"/>
          <w:lang w:eastAsia="es-ES_tradnl"/>
        </w:rPr>
        <w:t>) el plan anual de adquisiciones.  </w:t>
      </w:r>
    </w:p>
    <w:p w14:paraId="601D2728" w14:textId="72F9960F" w:rsidR="003B0A0C" w:rsidRPr="00E045BC" w:rsidRDefault="003B0A0C" w:rsidP="00292F1B">
      <w:pPr>
        <w:spacing w:after="120" w:line="276" w:lineRule="auto"/>
        <w:ind w:firstLine="703"/>
        <w:jc w:val="both"/>
        <w:textAlignment w:val="baseline"/>
        <w:rPr>
          <w:rFonts w:ascii="Arial" w:hAnsi="Arial" w:cs="Arial"/>
          <w:sz w:val="22"/>
          <w:lang w:eastAsia="es-ES_tradnl"/>
        </w:rPr>
      </w:pPr>
      <w:r w:rsidRPr="00E045BC">
        <w:rPr>
          <w:rFonts w:ascii="Arial" w:hAnsi="Arial" w:cs="Arial"/>
          <w:sz w:val="22"/>
          <w:lang w:eastAsia="es-ES_tradnl"/>
        </w:rPr>
        <w:t>Frente al primer grupo de documentos, como estas entidades</w:t>
      </w:r>
      <w:r w:rsidR="00902EFE" w:rsidRPr="00E045BC">
        <w:rPr>
          <w:rFonts w:ascii="Arial" w:hAnsi="Arial" w:cs="Arial"/>
          <w:sz w:val="22"/>
          <w:lang w:eastAsia="es-ES_tradnl"/>
        </w:rPr>
        <w:t xml:space="preserve"> al contratar bienes, obras y servicios por debajo de los veinte (20) salarios mínimos legales mensuales vigentes,</w:t>
      </w:r>
      <w:r w:rsidRPr="00E045BC">
        <w:rPr>
          <w:rFonts w:ascii="Arial" w:hAnsi="Arial" w:cs="Arial"/>
          <w:sz w:val="22"/>
          <w:lang w:eastAsia="es-ES_tradnl"/>
        </w:rPr>
        <w:t xml:space="preserve"> no realizan sus procesos de contratación con las modalidades previstas en la Ley 80 de 1993, cada una definirá en </w:t>
      </w:r>
      <w:r w:rsidR="00902EFE" w:rsidRPr="00E045BC">
        <w:rPr>
          <w:rFonts w:ascii="Arial" w:hAnsi="Arial" w:cs="Arial"/>
          <w:sz w:val="22"/>
          <w:lang w:eastAsia="es-ES_tradnl"/>
        </w:rPr>
        <w:t>el reglamento al que se refiere el artículo 13 de la Ley 715 de 2001, los</w:t>
      </w:r>
      <w:r w:rsidRPr="00E045BC">
        <w:rPr>
          <w:rFonts w:ascii="Arial" w:hAnsi="Arial" w:cs="Arial"/>
          <w:sz w:val="22"/>
          <w:lang w:eastAsia="es-ES_tradnl"/>
        </w:rPr>
        <w:t xml:space="preserve"> procedimiento</w:t>
      </w:r>
      <w:r w:rsidR="00902EFE" w:rsidRPr="00E045BC">
        <w:rPr>
          <w:rFonts w:ascii="Arial" w:hAnsi="Arial" w:cs="Arial"/>
          <w:sz w:val="22"/>
          <w:lang w:eastAsia="es-ES_tradnl"/>
        </w:rPr>
        <w:t>s</w:t>
      </w:r>
      <w:r w:rsidRPr="00E045BC">
        <w:rPr>
          <w:rFonts w:ascii="Arial" w:hAnsi="Arial" w:cs="Arial"/>
          <w:sz w:val="22"/>
          <w:lang w:eastAsia="es-ES_tradnl"/>
        </w:rPr>
        <w:t xml:space="preserve"> para </w:t>
      </w:r>
      <w:r w:rsidR="00902EFE" w:rsidRPr="00E045BC">
        <w:rPr>
          <w:rFonts w:ascii="Arial" w:hAnsi="Arial" w:cs="Arial"/>
          <w:sz w:val="22"/>
          <w:lang w:eastAsia="es-ES_tradnl"/>
        </w:rPr>
        <w:t xml:space="preserve">esta </w:t>
      </w:r>
      <w:r w:rsidRPr="00E045BC">
        <w:rPr>
          <w:rFonts w:ascii="Arial" w:hAnsi="Arial" w:cs="Arial"/>
          <w:sz w:val="22"/>
          <w:lang w:eastAsia="es-ES_tradnl"/>
        </w:rPr>
        <w:t>contratación. En estos casos, el</w:t>
      </w:r>
      <w:r w:rsidR="00902EFE" w:rsidRPr="00E045BC">
        <w:rPr>
          <w:rFonts w:ascii="Arial" w:hAnsi="Arial" w:cs="Arial"/>
          <w:sz w:val="22"/>
          <w:lang w:eastAsia="es-ES_tradnl"/>
        </w:rPr>
        <w:t xml:space="preserve"> referido</w:t>
      </w:r>
      <w:r w:rsidRPr="00E045BC">
        <w:rPr>
          <w:rFonts w:ascii="Arial" w:hAnsi="Arial" w:cs="Arial"/>
          <w:sz w:val="22"/>
          <w:lang w:eastAsia="es-ES_tradnl"/>
        </w:rPr>
        <w:t xml:space="preserve"> </w:t>
      </w:r>
      <w:r w:rsidR="00902EFE" w:rsidRPr="00E045BC">
        <w:rPr>
          <w:rFonts w:ascii="Arial" w:hAnsi="Arial" w:cs="Arial"/>
          <w:sz w:val="22"/>
          <w:lang w:eastAsia="es-ES_tradnl"/>
        </w:rPr>
        <w:t>reglamento</w:t>
      </w:r>
      <w:r w:rsidRPr="00E045BC">
        <w:rPr>
          <w:rFonts w:ascii="Arial" w:hAnsi="Arial" w:cs="Arial"/>
          <w:sz w:val="22"/>
          <w:lang w:eastAsia="es-ES_tradnl"/>
        </w:rPr>
        <w:t xml:space="preserve"> definirá las etapas y los documentos que forman parte del procedimiento que realicen, y todos se publicarán en la plataforma del SECOP para cada procedimiento de contratación </w:t>
      </w:r>
      <w:r w:rsidRPr="00E045BC">
        <w:rPr>
          <w:rFonts w:ascii="Arial" w:hAnsi="Arial" w:cs="Arial"/>
          <w:sz w:val="22"/>
          <w:lang w:eastAsia="es-ES_tradnl"/>
        </w:rPr>
        <w:lastRenderedPageBreak/>
        <w:t>que se adelante, incluido el acto de adjudicación, por expresa disposición del literal g) del artículo 11 de la Ley 1712 de 2014.</w:t>
      </w:r>
    </w:p>
    <w:p w14:paraId="3A53E91D" w14:textId="1C5C68F2" w:rsidR="00292F1B" w:rsidRPr="00E045BC" w:rsidRDefault="00292F1B" w:rsidP="00292F1B">
      <w:pPr>
        <w:spacing w:before="120" w:line="276" w:lineRule="auto"/>
        <w:ind w:firstLine="709"/>
        <w:jc w:val="both"/>
        <w:rPr>
          <w:rFonts w:ascii="Arial" w:eastAsia="Calibri" w:hAnsi="Arial" w:cs="Arial"/>
          <w:sz w:val="22"/>
          <w:lang w:val="es-ES"/>
        </w:rPr>
      </w:pPr>
      <w:r w:rsidRPr="00E045BC">
        <w:rPr>
          <w:rFonts w:ascii="Arial" w:hAnsi="Arial" w:cs="Arial"/>
          <w:sz w:val="22"/>
          <w:lang w:eastAsia="es-ES_tradnl"/>
        </w:rPr>
        <w:t xml:space="preserve">La publicación de estos documentos deberá realizarse en el SECOP I y no en el SECOP II, ya que de conformidad con la </w:t>
      </w:r>
      <w:r w:rsidRPr="00E045BC">
        <w:rPr>
          <w:rFonts w:ascii="Arial" w:eastAsia="Calibri" w:hAnsi="Arial" w:cs="Arial"/>
          <w:sz w:val="22"/>
          <w:lang w:val="es-ES"/>
        </w:rPr>
        <w:t xml:space="preserve">Circular No. 1 de 2019 expedida por esta entidad, la obligación de publicar en el SECOP II de las entidades del nivel territorial </w:t>
      </w:r>
      <w:r w:rsidRPr="00E045BC">
        <w:rPr>
          <w:rFonts w:ascii="Arial" w:hAnsi="Arial" w:cs="Arial"/>
          <w:sz w:val="22"/>
        </w:rPr>
        <w:t xml:space="preserve">sólo se predica del sector central, excluyéndose con ello a las entidades descentralizadas del nivel municipal y departamental, como las instituciones educativas oficiales. </w:t>
      </w:r>
      <w:r w:rsidRPr="00E045BC">
        <w:rPr>
          <w:rFonts w:ascii="Arial" w:eastAsia="Calibri" w:hAnsi="Arial" w:cs="Arial"/>
          <w:sz w:val="22"/>
          <w:lang w:val="es-ES"/>
        </w:rPr>
        <w:t xml:space="preserve"> </w:t>
      </w:r>
    </w:p>
    <w:p w14:paraId="591B4C03" w14:textId="77777777" w:rsidR="00292F1B" w:rsidRPr="00E045BC" w:rsidRDefault="00292F1B" w:rsidP="00292F1B">
      <w:pPr>
        <w:spacing w:line="276" w:lineRule="auto"/>
        <w:jc w:val="both"/>
        <w:rPr>
          <w:rFonts w:ascii="Arial" w:hAnsi="Arial" w:cs="Arial"/>
          <w:sz w:val="22"/>
        </w:rPr>
      </w:pPr>
    </w:p>
    <w:p w14:paraId="681CEB27" w14:textId="78E777BA" w:rsidR="003B0A0C" w:rsidRPr="00E045BC" w:rsidRDefault="000426EA" w:rsidP="000C7584">
      <w:pPr>
        <w:spacing w:before="120" w:after="120" w:line="276" w:lineRule="auto"/>
        <w:jc w:val="both"/>
        <w:rPr>
          <w:rFonts w:ascii="Arial" w:hAnsi="Arial" w:cs="Arial"/>
          <w:sz w:val="22"/>
        </w:rPr>
      </w:pPr>
      <w:r w:rsidRPr="00E045BC">
        <w:rPr>
          <w:noProof/>
          <w:lang w:val="es-ES_tradnl" w:eastAsia="es-ES_tradnl"/>
        </w:rPr>
        <w:drawing>
          <wp:anchor distT="0" distB="0" distL="114300" distR="114300" simplePos="0" relativeHeight="251659264" behindDoc="0" locked="0" layoutInCell="1" allowOverlap="1" wp14:anchorId="56D03A37" wp14:editId="62E9172D">
            <wp:simplePos x="0" y="0"/>
            <wp:positionH relativeFrom="margin">
              <wp:align>center</wp:align>
            </wp:positionH>
            <wp:positionV relativeFrom="paragraph">
              <wp:posOffset>477732</wp:posOffset>
            </wp:positionV>
            <wp:extent cx="3027680" cy="1730375"/>
            <wp:effectExtent l="0" t="0" r="1270" b="317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27680" cy="1730375"/>
                    </a:xfrm>
                    <a:prstGeom prst="rect">
                      <a:avLst/>
                    </a:prstGeom>
                  </pic:spPr>
                </pic:pic>
              </a:graphicData>
            </a:graphic>
            <wp14:sizeRelH relativeFrom="page">
              <wp14:pctWidth>0</wp14:pctWidth>
            </wp14:sizeRelH>
            <wp14:sizeRelV relativeFrom="page">
              <wp14:pctHeight>0</wp14:pctHeight>
            </wp14:sizeRelV>
          </wp:anchor>
        </w:drawing>
      </w:r>
      <w:r w:rsidR="003B0A0C" w:rsidRPr="00E045BC">
        <w:rPr>
          <w:rFonts w:ascii="Arial" w:hAnsi="Arial" w:cs="Arial"/>
          <w:sz w:val="22"/>
        </w:rPr>
        <w:t>Este concepto tiene el alcance previsto en el artículo 28 del Código de Procedimiento Administrativo y de lo Contencioso Administrativo.</w:t>
      </w:r>
    </w:p>
    <w:p w14:paraId="33D41A54" w14:textId="4B4E23CF" w:rsidR="00BE3D8E" w:rsidRPr="00E045BC" w:rsidRDefault="00BE3D8E" w:rsidP="000C7584">
      <w:pPr>
        <w:spacing w:before="120" w:after="120" w:line="276" w:lineRule="auto"/>
        <w:jc w:val="both"/>
        <w:rPr>
          <w:rFonts w:ascii="Arial" w:hAnsi="Arial" w:cs="Arial"/>
          <w:sz w:val="22"/>
        </w:rPr>
      </w:pPr>
    </w:p>
    <w:p w14:paraId="5B733DF4" w14:textId="7BBF6736" w:rsidR="00330A5A" w:rsidRPr="00E045BC" w:rsidRDefault="00330A5A" w:rsidP="00330A5A">
      <w:pPr>
        <w:spacing w:before="120" w:after="120" w:line="276" w:lineRule="auto"/>
        <w:rPr>
          <w:rFonts w:ascii="Arial" w:eastAsia="Times New Roman" w:hAnsi="Arial" w:cs="Arial"/>
          <w:sz w:val="22"/>
          <w:lang w:eastAsia="es-CO"/>
        </w:rPr>
      </w:pPr>
      <w:r w:rsidRPr="00E045BC">
        <w:rPr>
          <w:rFonts w:ascii="Arial" w:eastAsia="Times New Roman" w:hAnsi="Arial" w:cs="Arial"/>
          <w:sz w:val="22"/>
          <w:lang w:eastAsia="es-CO"/>
        </w:rPr>
        <w:t>Atentamente,</w:t>
      </w:r>
    </w:p>
    <w:p w14:paraId="6F1C96D9" w14:textId="6CA469FE" w:rsidR="00330A5A" w:rsidRPr="00E045BC" w:rsidRDefault="00330A5A" w:rsidP="00330A5A">
      <w:pPr>
        <w:spacing w:before="120" w:after="120" w:line="276" w:lineRule="auto"/>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045BC" w:rsidRPr="00E045BC" w14:paraId="236B78C3" w14:textId="77777777" w:rsidTr="00533FD8">
        <w:trPr>
          <w:trHeight w:val="315"/>
        </w:trPr>
        <w:tc>
          <w:tcPr>
            <w:tcW w:w="812" w:type="dxa"/>
            <w:vAlign w:val="center"/>
            <w:hideMark/>
          </w:tcPr>
          <w:p w14:paraId="36D40189" w14:textId="77777777" w:rsidR="00330A5A" w:rsidRPr="00E045BC" w:rsidRDefault="00330A5A" w:rsidP="00533FD8">
            <w:pPr>
              <w:spacing w:before="120" w:after="120"/>
              <w:rPr>
                <w:rFonts w:ascii="Arial" w:eastAsia="Times New Roman" w:hAnsi="Arial" w:cs="Arial"/>
                <w:sz w:val="16"/>
                <w:szCs w:val="16"/>
                <w:lang w:eastAsia="es-ES"/>
              </w:rPr>
            </w:pPr>
            <w:r w:rsidRPr="00E045BC">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E4BC499" w14:textId="39E737A0" w:rsidR="00330A5A" w:rsidRPr="00E045BC" w:rsidRDefault="0010548D" w:rsidP="00533FD8">
            <w:pPr>
              <w:rPr>
                <w:rFonts w:ascii="Arial" w:eastAsia="Times New Roman" w:hAnsi="Arial" w:cs="Arial"/>
                <w:sz w:val="16"/>
                <w:szCs w:val="16"/>
                <w:lang w:eastAsia="es-ES"/>
              </w:rPr>
            </w:pPr>
            <w:r w:rsidRPr="00E045BC">
              <w:rPr>
                <w:rFonts w:ascii="Arial" w:eastAsia="Times New Roman" w:hAnsi="Arial" w:cs="Arial"/>
                <w:sz w:val="16"/>
                <w:szCs w:val="16"/>
                <w:lang w:eastAsia="es-ES"/>
              </w:rPr>
              <w:t>Alejandro Sarmiento Cantillo</w:t>
            </w:r>
          </w:p>
          <w:p w14:paraId="3BC22E00" w14:textId="55688751" w:rsidR="00330A5A" w:rsidRPr="00E045BC" w:rsidRDefault="00330A5A" w:rsidP="00533FD8">
            <w:pPr>
              <w:rPr>
                <w:rFonts w:ascii="Arial" w:eastAsia="Times New Roman" w:hAnsi="Arial" w:cs="Arial"/>
                <w:sz w:val="16"/>
                <w:szCs w:val="16"/>
                <w:lang w:eastAsia="es-ES"/>
              </w:rPr>
            </w:pPr>
            <w:r w:rsidRPr="00E045BC">
              <w:rPr>
                <w:rFonts w:ascii="Arial" w:eastAsia="Times New Roman" w:hAnsi="Arial" w:cs="Arial"/>
                <w:sz w:val="16"/>
                <w:szCs w:val="16"/>
                <w:lang w:eastAsia="es-ES"/>
              </w:rPr>
              <w:t xml:space="preserve">Contratista </w:t>
            </w:r>
            <w:r w:rsidR="0010548D" w:rsidRPr="00E045BC">
              <w:rPr>
                <w:rFonts w:ascii="Arial" w:eastAsia="Times New Roman" w:hAnsi="Arial" w:cs="Arial"/>
                <w:sz w:val="16"/>
                <w:szCs w:val="16"/>
                <w:lang w:eastAsia="es-ES"/>
              </w:rPr>
              <w:t>– Subdirección de Gestión Contractual</w:t>
            </w:r>
          </w:p>
        </w:tc>
      </w:tr>
      <w:tr w:rsidR="00E045BC" w:rsidRPr="00E045BC" w14:paraId="66E40071" w14:textId="77777777" w:rsidTr="00533FD8">
        <w:trPr>
          <w:trHeight w:val="330"/>
        </w:trPr>
        <w:tc>
          <w:tcPr>
            <w:tcW w:w="812" w:type="dxa"/>
            <w:vAlign w:val="center"/>
            <w:hideMark/>
          </w:tcPr>
          <w:p w14:paraId="6D04A49B" w14:textId="77777777" w:rsidR="00330A5A" w:rsidRPr="00E045BC" w:rsidRDefault="00330A5A" w:rsidP="00533FD8">
            <w:pPr>
              <w:rPr>
                <w:rFonts w:ascii="Arial" w:eastAsia="Times New Roman" w:hAnsi="Arial" w:cs="Arial"/>
                <w:sz w:val="16"/>
                <w:szCs w:val="16"/>
                <w:lang w:eastAsia="es-ES"/>
              </w:rPr>
            </w:pPr>
            <w:r w:rsidRPr="00E045BC">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A55845F" w14:textId="77777777" w:rsidR="00CE49CB" w:rsidRPr="00E045BC" w:rsidRDefault="00CE49CB" w:rsidP="00CE49CB">
            <w:pPr>
              <w:rPr>
                <w:rFonts w:ascii="Arial" w:eastAsia="Times New Roman" w:hAnsi="Arial" w:cs="Arial"/>
                <w:sz w:val="16"/>
                <w:szCs w:val="16"/>
                <w:lang w:eastAsia="es-ES"/>
              </w:rPr>
            </w:pPr>
            <w:r w:rsidRPr="00E045BC">
              <w:rPr>
                <w:rFonts w:ascii="Arial" w:eastAsia="Times New Roman" w:hAnsi="Arial" w:cs="Arial"/>
                <w:sz w:val="16"/>
                <w:szCs w:val="16"/>
                <w:lang w:eastAsia="es-ES"/>
              </w:rPr>
              <w:t>Fabián Gonzalo Marín Cortés</w:t>
            </w:r>
          </w:p>
          <w:p w14:paraId="3A0B846C" w14:textId="0DC3E7BD" w:rsidR="00330A5A" w:rsidRPr="00E045BC" w:rsidRDefault="00CE49CB" w:rsidP="00CE49CB">
            <w:pPr>
              <w:rPr>
                <w:rFonts w:ascii="Arial" w:eastAsia="Times New Roman" w:hAnsi="Arial" w:cs="Arial"/>
                <w:sz w:val="16"/>
                <w:szCs w:val="16"/>
                <w:lang w:eastAsia="es-ES"/>
              </w:rPr>
            </w:pPr>
            <w:r w:rsidRPr="00E045BC">
              <w:rPr>
                <w:rFonts w:ascii="Arial" w:eastAsia="Times New Roman" w:hAnsi="Arial" w:cs="Arial"/>
                <w:sz w:val="16"/>
                <w:szCs w:val="16"/>
                <w:lang w:eastAsia="es-ES"/>
              </w:rPr>
              <w:t>Subdirector de Gestión Contractual</w:t>
            </w:r>
          </w:p>
        </w:tc>
      </w:tr>
      <w:tr w:rsidR="00E045BC" w:rsidRPr="00E045BC" w14:paraId="796E6BD0" w14:textId="77777777" w:rsidTr="00533FD8">
        <w:trPr>
          <w:trHeight w:val="300"/>
        </w:trPr>
        <w:tc>
          <w:tcPr>
            <w:tcW w:w="812" w:type="dxa"/>
            <w:vAlign w:val="center"/>
            <w:hideMark/>
          </w:tcPr>
          <w:p w14:paraId="53F1EDC1" w14:textId="77777777" w:rsidR="00330A5A" w:rsidRPr="00E045BC" w:rsidRDefault="00330A5A" w:rsidP="00533FD8">
            <w:pPr>
              <w:spacing w:before="120" w:after="120"/>
              <w:rPr>
                <w:rFonts w:ascii="Arial" w:eastAsia="Times New Roman" w:hAnsi="Arial" w:cs="Arial"/>
                <w:sz w:val="16"/>
                <w:szCs w:val="16"/>
                <w:lang w:eastAsia="es-ES"/>
              </w:rPr>
            </w:pPr>
            <w:r w:rsidRPr="00E045BC">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3AE4E0" w14:textId="346B520C" w:rsidR="00330A5A" w:rsidRPr="00E045BC" w:rsidRDefault="00330A5A" w:rsidP="00533FD8">
            <w:pPr>
              <w:rPr>
                <w:rFonts w:ascii="Arial" w:eastAsia="Times New Roman" w:hAnsi="Arial" w:cs="Arial"/>
                <w:sz w:val="16"/>
                <w:szCs w:val="16"/>
                <w:lang w:eastAsia="es-ES"/>
              </w:rPr>
            </w:pPr>
            <w:r w:rsidRPr="00E045BC">
              <w:rPr>
                <w:rFonts w:ascii="Arial" w:eastAsia="Times New Roman" w:hAnsi="Arial" w:cs="Arial"/>
                <w:sz w:val="16"/>
                <w:szCs w:val="16"/>
                <w:lang w:eastAsia="es-ES"/>
              </w:rPr>
              <w:t>Fabián Gonzalo Marín Cort</w:t>
            </w:r>
            <w:r w:rsidR="00E82B30" w:rsidRPr="00E045BC">
              <w:rPr>
                <w:rFonts w:ascii="Arial" w:eastAsia="Times New Roman" w:hAnsi="Arial" w:cs="Arial"/>
                <w:sz w:val="16"/>
                <w:szCs w:val="16"/>
                <w:lang w:eastAsia="es-ES"/>
              </w:rPr>
              <w:t>és</w:t>
            </w:r>
          </w:p>
          <w:p w14:paraId="056B1E1A" w14:textId="44394086" w:rsidR="00330A5A" w:rsidRPr="00E045BC" w:rsidRDefault="00330A5A" w:rsidP="00533FD8">
            <w:pPr>
              <w:rPr>
                <w:rFonts w:ascii="Arial" w:eastAsia="Times New Roman" w:hAnsi="Arial" w:cs="Arial"/>
                <w:sz w:val="16"/>
                <w:szCs w:val="16"/>
                <w:lang w:eastAsia="es-ES"/>
              </w:rPr>
            </w:pPr>
            <w:r w:rsidRPr="00E045BC">
              <w:rPr>
                <w:rFonts w:ascii="Arial" w:eastAsia="Times New Roman" w:hAnsi="Arial" w:cs="Arial"/>
                <w:sz w:val="16"/>
                <w:szCs w:val="16"/>
                <w:lang w:eastAsia="es-ES"/>
              </w:rPr>
              <w:t>Subdirector de Gestión Contractual</w:t>
            </w:r>
          </w:p>
        </w:tc>
      </w:tr>
    </w:tbl>
    <w:p w14:paraId="028CA27E" w14:textId="7654213E" w:rsidR="00044E28" w:rsidRPr="00E045BC" w:rsidRDefault="00044E28"/>
    <w:sectPr w:rsidR="00044E28" w:rsidRPr="00E045BC">
      <w:headerReference w:type="default" r:id="rId14"/>
      <w:footerReference w:type="defaul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F5FE9F" w14:textId="77777777" w:rsidR="000B575E" w:rsidRDefault="000B575E" w:rsidP="00044E28">
      <w:r>
        <w:separator/>
      </w:r>
    </w:p>
  </w:endnote>
  <w:endnote w:type="continuationSeparator" w:id="0">
    <w:p w14:paraId="53466365" w14:textId="77777777" w:rsidR="000B575E" w:rsidRDefault="000B575E" w:rsidP="00044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FC14ED" w14:textId="77777777" w:rsidR="004026EC" w:rsidRDefault="004026EC" w:rsidP="004026EC">
    <w:pPr>
      <w:pStyle w:val="Sinespaciado"/>
      <w:jc w:val="right"/>
      <w:rPr>
        <w:rFonts w:ascii="Arial" w:hAnsi="Arial" w:cs="Arial"/>
        <w:sz w:val="18"/>
        <w:szCs w:val="18"/>
      </w:rPr>
    </w:pPr>
  </w:p>
  <w:p w14:paraId="33BBBEEF" w14:textId="77777777" w:rsidR="004026EC" w:rsidRPr="008217B7" w:rsidRDefault="004026EC" w:rsidP="004026E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8</w:t>
    </w:r>
    <w:r w:rsidRPr="00084B97">
      <w:rPr>
        <w:rFonts w:ascii="Arial" w:hAnsi="Arial" w:cs="Arial"/>
        <w:b/>
        <w:bCs/>
        <w:color w:val="7F7F7F" w:themeColor="text1" w:themeTint="80"/>
        <w:sz w:val="16"/>
        <w:szCs w:val="16"/>
      </w:rPr>
      <w:fldChar w:fldCharType="end"/>
    </w:r>
  </w:p>
  <w:p w14:paraId="4498B3F6" w14:textId="023203C2" w:rsidR="004026EC" w:rsidRDefault="004026EC" w:rsidP="004026EC">
    <w:pPr>
      <w:pStyle w:val="Piedepgina"/>
      <w:jc w:val="center"/>
      <w:rPr>
        <w:lang w:val="es-ES"/>
      </w:rPr>
    </w:pPr>
    <w:r>
      <w:rPr>
        <w:noProof/>
        <w:lang w:val="es-CO" w:eastAsia="es-CO"/>
      </w:rPr>
      <w:drawing>
        <wp:inline distT="0" distB="0" distL="0" distR="0" wp14:anchorId="57E2ABCA" wp14:editId="2DE55830">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3C6E006" w14:textId="77777777" w:rsidR="00BE3D8E" w:rsidRPr="00BE3D8E" w:rsidRDefault="00BE3D8E" w:rsidP="004026EC">
    <w:pPr>
      <w:pStyle w:val="Piedepgina"/>
      <w:jc w:val="center"/>
      <w:rPr>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6A321B" w14:textId="77777777" w:rsidR="000B575E" w:rsidRDefault="000B575E" w:rsidP="00044E28">
      <w:r>
        <w:separator/>
      </w:r>
    </w:p>
  </w:footnote>
  <w:footnote w:type="continuationSeparator" w:id="0">
    <w:p w14:paraId="0767B4F6" w14:textId="77777777" w:rsidR="000B575E" w:rsidRDefault="000B575E" w:rsidP="00044E28">
      <w:r>
        <w:continuationSeparator/>
      </w:r>
    </w:p>
  </w:footnote>
  <w:footnote w:id="1">
    <w:p w14:paraId="568DBC16" w14:textId="63DEA23B" w:rsidR="00044E28" w:rsidRPr="00011E77" w:rsidRDefault="00044E28" w:rsidP="00044E28">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Ley 60 de 1993: </w:t>
      </w:r>
      <w:r w:rsidR="00011E77">
        <w:rPr>
          <w:rFonts w:ascii="Arial" w:hAnsi="Arial" w:cs="Arial"/>
          <w:color w:val="000000" w:themeColor="text1"/>
          <w:sz w:val="19"/>
          <w:szCs w:val="19"/>
        </w:rPr>
        <w:t>«</w:t>
      </w:r>
      <w:r w:rsidRPr="00011E77">
        <w:rPr>
          <w:rFonts w:ascii="Arial" w:hAnsi="Arial" w:cs="Arial"/>
          <w:color w:val="000000" w:themeColor="text1"/>
          <w:sz w:val="19"/>
          <w:szCs w:val="19"/>
        </w:rPr>
        <w:t xml:space="preserve">Artículo 2. Competencias de los Municipios. Corresponde a los Municipios, a través de las dependencias de su organización central o de las entidades descentralizadas municipales competentes, en su carácter de entidades ejecutoras principales de las acciones en materia social, dirigir, prestar o participar en la prestación de los servicios directamente, conforme a la ley, a las normas técnicas de carácter nacional, a las ordenanzas y a los respectivos acuerdos municipales. </w:t>
      </w:r>
    </w:p>
    <w:p w14:paraId="1675846B" w14:textId="6F69109C" w:rsidR="00044E28" w:rsidRPr="00011E77" w:rsidRDefault="00011E77" w:rsidP="00011E77">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r w:rsidR="00044E28" w:rsidRPr="00011E77">
        <w:rPr>
          <w:rFonts w:ascii="Arial" w:hAnsi="Arial" w:cs="Arial"/>
          <w:color w:val="000000" w:themeColor="text1"/>
          <w:sz w:val="19"/>
          <w:szCs w:val="19"/>
        </w:rPr>
        <w:t>…</w:t>
      </w:r>
      <w:r>
        <w:rPr>
          <w:rFonts w:ascii="Arial" w:hAnsi="Arial" w:cs="Arial"/>
          <w:color w:val="000000" w:themeColor="text1"/>
          <w:sz w:val="19"/>
          <w:szCs w:val="19"/>
        </w:rPr>
        <w:t>]</w:t>
      </w:r>
    </w:p>
    <w:p w14:paraId="1836C300" w14:textId="5796D742" w:rsidR="00044E28" w:rsidRPr="00011E77" w:rsidRDefault="00011E77" w:rsidP="00011E77">
      <w:pPr>
        <w:pStyle w:val="Textonotapie"/>
        <w:ind w:firstLine="708"/>
        <w:jc w:val="both"/>
        <w:rPr>
          <w:rFonts w:ascii="Arial" w:hAnsi="Arial" w:cs="Arial"/>
          <w:color w:val="000000" w:themeColor="text1"/>
          <w:sz w:val="19"/>
          <w:szCs w:val="19"/>
        </w:rPr>
      </w:pPr>
      <w:proofErr w:type="gramStart"/>
      <w:r>
        <w:rPr>
          <w:rFonts w:ascii="Arial" w:hAnsi="Arial" w:cs="Arial"/>
          <w:color w:val="000000" w:themeColor="text1"/>
          <w:sz w:val="19"/>
          <w:szCs w:val="19"/>
        </w:rPr>
        <w:t>»</w:t>
      </w:r>
      <w:r w:rsidR="00044E28" w:rsidRPr="00011E77">
        <w:rPr>
          <w:rFonts w:ascii="Arial" w:hAnsi="Arial" w:cs="Arial"/>
          <w:color w:val="000000" w:themeColor="text1"/>
          <w:sz w:val="19"/>
          <w:szCs w:val="19"/>
        </w:rPr>
        <w:t>Artículo</w:t>
      </w:r>
      <w:proofErr w:type="gramEnd"/>
      <w:r w:rsidR="00044E28" w:rsidRPr="00011E77">
        <w:rPr>
          <w:rFonts w:ascii="Arial" w:hAnsi="Arial" w:cs="Arial"/>
          <w:color w:val="000000" w:themeColor="text1"/>
          <w:sz w:val="19"/>
          <w:szCs w:val="19"/>
        </w:rPr>
        <w:t xml:space="preserve"> 3. Competencias de los departamentos. Corresponde a los departamentos, a través de las dependencias de su organización central o de las entidades descentralizadas departamentales competentes, conforme a la Constitución Política, la ley, a las normas técnicas nacionales y a las respectivas ordenanzas. </w:t>
      </w:r>
    </w:p>
    <w:p w14:paraId="07E38F0D" w14:textId="7465BB7A" w:rsidR="00044E28" w:rsidRPr="00011E77" w:rsidRDefault="00011E77" w:rsidP="00011E77">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r w:rsidR="00044E28" w:rsidRPr="00011E77">
        <w:rPr>
          <w:rFonts w:ascii="Arial" w:hAnsi="Arial" w:cs="Arial"/>
          <w:color w:val="000000" w:themeColor="text1"/>
          <w:sz w:val="19"/>
          <w:szCs w:val="19"/>
        </w:rPr>
        <w:t>…</w:t>
      </w:r>
      <w:r>
        <w:rPr>
          <w:rFonts w:ascii="Arial" w:hAnsi="Arial" w:cs="Arial"/>
          <w:color w:val="000000" w:themeColor="text1"/>
          <w:sz w:val="19"/>
          <w:szCs w:val="19"/>
        </w:rPr>
        <w:t>]</w:t>
      </w:r>
    </w:p>
    <w:p w14:paraId="7E8593FD" w14:textId="0F70378F" w:rsidR="00044E28" w:rsidRPr="00011E77" w:rsidRDefault="00011E77" w:rsidP="00011E77">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r w:rsidR="00044E28" w:rsidRPr="00011E77">
        <w:rPr>
          <w:rFonts w:ascii="Arial" w:hAnsi="Arial" w:cs="Arial"/>
          <w:color w:val="000000" w:themeColor="text1"/>
          <w:sz w:val="19"/>
          <w:szCs w:val="19"/>
        </w:rPr>
        <w:t>Artículo 4. Competencias de los distritos. Corresponde a los distritos, a través de las dependencias de su organización central o de las entidades descentralizadas competentes, conforme a la Ley, a las normas técnicas nacionales y a los respectivos acuerdos</w:t>
      </w:r>
      <w:r>
        <w:rPr>
          <w:rFonts w:ascii="Arial" w:hAnsi="Arial" w:cs="Arial"/>
          <w:color w:val="000000" w:themeColor="text1"/>
          <w:sz w:val="19"/>
          <w:szCs w:val="19"/>
        </w:rPr>
        <w:t>»</w:t>
      </w:r>
      <w:r w:rsidR="00044E28" w:rsidRPr="00011E77">
        <w:rPr>
          <w:rFonts w:ascii="Arial" w:hAnsi="Arial" w:cs="Arial"/>
          <w:color w:val="000000" w:themeColor="text1"/>
          <w:sz w:val="19"/>
          <w:szCs w:val="19"/>
        </w:rPr>
        <w:t xml:space="preserve">. </w:t>
      </w:r>
    </w:p>
    <w:p w14:paraId="1DF7832F" w14:textId="77777777" w:rsidR="00011E77" w:rsidRDefault="00011E77" w:rsidP="00011E77">
      <w:pPr>
        <w:pStyle w:val="Textonotapie"/>
        <w:ind w:firstLine="708"/>
        <w:jc w:val="both"/>
        <w:rPr>
          <w:rFonts w:ascii="Arial" w:hAnsi="Arial" w:cs="Arial"/>
          <w:color w:val="000000" w:themeColor="text1"/>
          <w:sz w:val="19"/>
          <w:szCs w:val="19"/>
        </w:rPr>
      </w:pPr>
    </w:p>
    <w:p w14:paraId="2E62C3E2" w14:textId="7DD6368C" w:rsidR="00044E28" w:rsidRPr="00011E77" w:rsidRDefault="00044E28" w:rsidP="00011E77">
      <w:pPr>
        <w:pStyle w:val="Textonotapie"/>
        <w:ind w:firstLine="708"/>
        <w:jc w:val="both"/>
        <w:rPr>
          <w:rFonts w:ascii="Arial" w:hAnsi="Arial" w:cs="Arial"/>
          <w:color w:val="000000" w:themeColor="text1"/>
          <w:sz w:val="19"/>
          <w:szCs w:val="19"/>
        </w:rPr>
      </w:pPr>
      <w:r w:rsidRPr="00011E77">
        <w:rPr>
          <w:rFonts w:ascii="Arial" w:hAnsi="Arial" w:cs="Arial"/>
          <w:color w:val="000000" w:themeColor="text1"/>
          <w:sz w:val="19"/>
          <w:szCs w:val="19"/>
        </w:rPr>
        <w:t xml:space="preserve">Ley 715 de 2005: </w:t>
      </w:r>
      <w:r w:rsidR="00011E77">
        <w:rPr>
          <w:rFonts w:ascii="Arial" w:hAnsi="Arial" w:cs="Arial"/>
          <w:color w:val="000000" w:themeColor="text1"/>
          <w:sz w:val="19"/>
          <w:szCs w:val="19"/>
        </w:rPr>
        <w:t>«</w:t>
      </w:r>
      <w:r w:rsidRPr="00011E77">
        <w:rPr>
          <w:rFonts w:ascii="Arial" w:hAnsi="Arial" w:cs="Arial"/>
          <w:color w:val="000000" w:themeColor="text1"/>
          <w:sz w:val="19"/>
          <w:szCs w:val="19"/>
        </w:rPr>
        <w:t>Artículo 9. (…) Las instituciones educativas estatales son departamentales, distritales o municipales</w:t>
      </w:r>
      <w:r w:rsidR="00011E77">
        <w:rPr>
          <w:rFonts w:ascii="Arial" w:hAnsi="Arial" w:cs="Arial"/>
          <w:color w:val="000000" w:themeColor="text1"/>
          <w:sz w:val="18"/>
          <w:szCs w:val="18"/>
        </w:rPr>
        <w:t>»</w:t>
      </w:r>
      <w:r w:rsidRPr="00011E77">
        <w:rPr>
          <w:rFonts w:ascii="Arial" w:hAnsi="Arial" w:cs="Arial"/>
          <w:color w:val="000000" w:themeColor="text1"/>
          <w:sz w:val="19"/>
          <w:szCs w:val="19"/>
        </w:rPr>
        <w:t xml:space="preserve">. </w:t>
      </w:r>
    </w:p>
    <w:p w14:paraId="1E01911E" w14:textId="77777777" w:rsidR="00044E28" w:rsidRPr="00011E77" w:rsidRDefault="00044E28" w:rsidP="00044E28">
      <w:pPr>
        <w:pStyle w:val="Textonotapie"/>
        <w:ind w:firstLine="708"/>
        <w:jc w:val="both"/>
        <w:rPr>
          <w:rFonts w:ascii="Arial" w:hAnsi="Arial" w:cs="Arial"/>
          <w:color w:val="000000" w:themeColor="text1"/>
          <w:sz w:val="19"/>
          <w:szCs w:val="19"/>
        </w:rPr>
      </w:pPr>
    </w:p>
  </w:footnote>
  <w:footnote w:id="2">
    <w:p w14:paraId="3D28E179" w14:textId="1EDC110D" w:rsidR="00044E28" w:rsidRPr="00011E77" w:rsidRDefault="00044E28" w:rsidP="00044E28">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w:t>
      </w:r>
      <w:r w:rsidR="003B0A0C" w:rsidRPr="00011E77">
        <w:rPr>
          <w:rFonts w:ascii="Arial" w:hAnsi="Arial" w:cs="Arial"/>
          <w:color w:val="000000" w:themeColor="text1"/>
          <w:sz w:val="19"/>
          <w:szCs w:val="19"/>
        </w:rPr>
        <w:t>«</w:t>
      </w:r>
      <w:r w:rsidRPr="00011E77">
        <w:rPr>
          <w:rFonts w:ascii="Arial" w:hAnsi="Arial" w:cs="Arial"/>
          <w:color w:val="000000" w:themeColor="text1"/>
          <w:sz w:val="19"/>
          <w:szCs w:val="19"/>
        </w:rPr>
        <w:t>Artículo 11. Fondos De Servicios Educativos. Las instituciones educativas estatales podrán administrar Fondos de Servicios Educativos en los cuales se manejarán los recursos destinados a financiar gastos distintos a los de personal, que faciliten el funcionamiento de la institución</w:t>
      </w:r>
      <w:r w:rsidR="003B0A0C" w:rsidRPr="00011E77">
        <w:rPr>
          <w:rFonts w:ascii="Arial" w:hAnsi="Arial" w:cs="Arial"/>
          <w:color w:val="000000" w:themeColor="text1"/>
          <w:sz w:val="19"/>
          <w:szCs w:val="19"/>
        </w:rPr>
        <w:t>»</w:t>
      </w:r>
      <w:r w:rsidRPr="00011E77">
        <w:rPr>
          <w:rFonts w:ascii="Arial" w:hAnsi="Arial" w:cs="Arial"/>
          <w:color w:val="000000" w:themeColor="text1"/>
          <w:sz w:val="19"/>
          <w:szCs w:val="19"/>
        </w:rPr>
        <w:t>.</w:t>
      </w:r>
    </w:p>
    <w:p w14:paraId="645EB3EC" w14:textId="77777777" w:rsidR="00044E28" w:rsidRPr="00011E77" w:rsidRDefault="00044E28" w:rsidP="00044E28">
      <w:pPr>
        <w:pStyle w:val="Textonotapie"/>
        <w:jc w:val="both"/>
        <w:rPr>
          <w:rFonts w:ascii="Arial" w:hAnsi="Arial" w:cs="Arial"/>
          <w:color w:val="000000" w:themeColor="text1"/>
          <w:sz w:val="19"/>
          <w:szCs w:val="19"/>
        </w:rPr>
      </w:pPr>
    </w:p>
  </w:footnote>
  <w:footnote w:id="3">
    <w:p w14:paraId="20296431" w14:textId="24ABB8FA" w:rsidR="00044E28" w:rsidRPr="00011E77" w:rsidRDefault="00044E28" w:rsidP="00044E28">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Style w:val="Refdenotaalpie"/>
          <w:rFonts w:ascii="Arial" w:hAnsi="Arial" w:cs="Arial"/>
          <w:color w:val="000000" w:themeColor="text1"/>
          <w:sz w:val="19"/>
          <w:szCs w:val="19"/>
        </w:rPr>
        <w:t xml:space="preserve"> </w:t>
      </w:r>
      <w:r w:rsidRPr="00011E77">
        <w:rPr>
          <w:rFonts w:ascii="Arial" w:hAnsi="Arial" w:cs="Arial"/>
          <w:color w:val="000000" w:themeColor="text1"/>
          <w:sz w:val="19"/>
          <w:szCs w:val="19"/>
        </w:rPr>
        <w:t>Consejo de Estado. Sala de lo Contencioso Administrativo. Sección Tercera</w:t>
      </w:r>
      <w:r w:rsidR="003B0A0C" w:rsidRPr="00011E77">
        <w:rPr>
          <w:rFonts w:ascii="Arial" w:hAnsi="Arial" w:cs="Arial"/>
          <w:color w:val="000000" w:themeColor="text1"/>
          <w:sz w:val="19"/>
          <w:szCs w:val="19"/>
        </w:rPr>
        <w:t xml:space="preserve"> Subsección A</w:t>
      </w:r>
      <w:r w:rsidRPr="00011E77">
        <w:rPr>
          <w:rFonts w:ascii="Arial" w:hAnsi="Arial" w:cs="Arial"/>
          <w:color w:val="000000" w:themeColor="text1"/>
          <w:sz w:val="19"/>
          <w:szCs w:val="19"/>
        </w:rPr>
        <w:t>. Consejera Ponente: Marta Nubia Velásquez Rico. Radicación número: 68001-23-31-000-2005-03845-01(51.634).</w:t>
      </w:r>
    </w:p>
    <w:p w14:paraId="6EF55E26" w14:textId="77777777" w:rsidR="00044E28" w:rsidRPr="00011E77" w:rsidRDefault="00044E28" w:rsidP="00044E28">
      <w:pPr>
        <w:pStyle w:val="Textonotapie"/>
        <w:jc w:val="both"/>
        <w:rPr>
          <w:rFonts w:ascii="Arial" w:hAnsi="Arial" w:cs="Arial"/>
          <w:color w:val="000000" w:themeColor="text1"/>
          <w:sz w:val="19"/>
          <w:szCs w:val="19"/>
        </w:rPr>
      </w:pPr>
    </w:p>
  </w:footnote>
  <w:footnote w:id="4">
    <w:p w14:paraId="5629DA67" w14:textId="57D5C0E9" w:rsidR="00044E28" w:rsidRPr="00011E77" w:rsidRDefault="00044E28" w:rsidP="00044E28">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004026EC" w:rsidRPr="00011E77">
        <w:rPr>
          <w:rFonts w:ascii="Arial" w:hAnsi="Arial" w:cs="Arial"/>
          <w:color w:val="000000" w:themeColor="text1"/>
          <w:sz w:val="19"/>
          <w:szCs w:val="19"/>
        </w:rPr>
        <w:t xml:space="preserve"> «</w:t>
      </w:r>
      <w:r w:rsidRPr="00011E77">
        <w:rPr>
          <w:rFonts w:ascii="Arial" w:hAnsi="Arial" w:cs="Arial"/>
          <w:color w:val="000000" w:themeColor="text1"/>
          <w:sz w:val="19"/>
          <w:szCs w:val="19"/>
        </w:rPr>
        <w:t>Artículo 2.3.1.6.3.4. Ordenación del gasto. Los fondos de servicios educativos carecen de personería jurídica</w:t>
      </w:r>
      <w:r w:rsidR="004026EC" w:rsidRPr="00011E77">
        <w:rPr>
          <w:rFonts w:ascii="Arial" w:hAnsi="Arial" w:cs="Arial"/>
          <w:color w:val="000000" w:themeColor="text1"/>
          <w:sz w:val="19"/>
          <w:szCs w:val="19"/>
        </w:rPr>
        <w:t>»</w:t>
      </w:r>
      <w:r w:rsidRPr="00011E77">
        <w:rPr>
          <w:rFonts w:ascii="Arial" w:hAnsi="Arial" w:cs="Arial"/>
          <w:color w:val="000000" w:themeColor="text1"/>
          <w:sz w:val="19"/>
          <w:szCs w:val="19"/>
        </w:rPr>
        <w:t>.</w:t>
      </w:r>
    </w:p>
    <w:p w14:paraId="1EAC9256" w14:textId="77777777" w:rsidR="00044E28" w:rsidRPr="00011E77" w:rsidRDefault="00044E28" w:rsidP="00044E28">
      <w:pPr>
        <w:pStyle w:val="Textonotapie"/>
        <w:jc w:val="both"/>
        <w:rPr>
          <w:rFonts w:ascii="Arial" w:hAnsi="Arial" w:cs="Arial"/>
          <w:color w:val="000000" w:themeColor="text1"/>
          <w:sz w:val="19"/>
          <w:szCs w:val="19"/>
        </w:rPr>
      </w:pPr>
    </w:p>
  </w:footnote>
  <w:footnote w:id="5">
    <w:p w14:paraId="6AF42533" w14:textId="77777777" w:rsidR="005E3121" w:rsidRPr="00011E77" w:rsidRDefault="00044E28" w:rsidP="00011E77">
      <w:pPr>
        <w:pStyle w:val="NormalWeb"/>
        <w:spacing w:before="0" w:beforeAutospacing="0" w:after="0" w:afterAutospacing="0"/>
        <w:ind w:firstLine="708"/>
        <w:jc w:val="both"/>
        <w:rPr>
          <w:rFonts w:ascii="Arial" w:hAnsi="Arial" w:cs="Arial"/>
          <w:sz w:val="19"/>
          <w:szCs w:val="19"/>
        </w:rPr>
      </w:pPr>
      <w:r w:rsidRPr="00011E77">
        <w:rPr>
          <w:rStyle w:val="Refdenotaalpie"/>
          <w:rFonts w:ascii="Arial" w:hAnsi="Arial" w:cs="Arial"/>
          <w:sz w:val="19"/>
          <w:szCs w:val="19"/>
        </w:rPr>
        <w:footnoteRef/>
      </w:r>
      <w:r w:rsidRPr="00011E77">
        <w:rPr>
          <w:rStyle w:val="Refdenotaalpie"/>
          <w:rFonts w:ascii="Arial" w:hAnsi="Arial" w:cs="Arial"/>
          <w:sz w:val="19"/>
          <w:szCs w:val="19"/>
        </w:rPr>
        <w:t xml:space="preserve"> </w:t>
      </w:r>
      <w:r w:rsidR="004026EC" w:rsidRPr="00011E77">
        <w:rPr>
          <w:rFonts w:ascii="Arial" w:hAnsi="Arial" w:cs="Arial"/>
          <w:sz w:val="19"/>
          <w:szCs w:val="19"/>
        </w:rPr>
        <w:t>«</w:t>
      </w:r>
      <w:r w:rsidRPr="00011E77">
        <w:rPr>
          <w:rFonts w:ascii="Arial" w:hAnsi="Arial" w:cs="Arial"/>
          <w:sz w:val="19"/>
          <w:szCs w:val="19"/>
        </w:rPr>
        <w:t xml:space="preserve">Artículo 13. Procedimientos de contratación de los fondos de servicios educativos. </w:t>
      </w:r>
      <w:r w:rsidR="005E3121" w:rsidRPr="00011E77">
        <w:rPr>
          <w:rFonts w:ascii="Arial" w:hAnsi="Arial" w:cs="Arial"/>
          <w:sz w:val="19"/>
          <w:szCs w:val="19"/>
        </w:rPr>
        <w:t>Todos los actos y contratos que tengan por objeto bienes y obligaciones que hayan de registrarse en la contabilidad de los Fondos de servicios educativos a los que se refiere el artículo anterior, se harán respetando los principios de igualdad, moralidad, imparcialidad y publicidad, aplicados en forma razonable a las circunstancias concretas en las que hayan de celebrarse. Se harán con el propósito fundamental de proteger los derechos de los niños y de los jóvenes, y de conseguir eficacia y celeridad en la atención del servicio educativo, y economía en el uso de los recursos públicos.</w:t>
      </w:r>
    </w:p>
    <w:p w14:paraId="52EEDC1D" w14:textId="08EEB73A" w:rsidR="005E3121" w:rsidRPr="005E3121" w:rsidRDefault="00011E77" w:rsidP="00011E77">
      <w:pPr>
        <w:ind w:firstLine="708"/>
        <w:jc w:val="both"/>
        <w:rPr>
          <w:rFonts w:ascii="Arial" w:eastAsia="Times New Roman" w:hAnsi="Arial" w:cs="Arial"/>
          <w:sz w:val="19"/>
          <w:szCs w:val="19"/>
          <w:lang w:val="es-CO" w:eastAsia="es-CO"/>
        </w:rPr>
      </w:pPr>
      <w:proofErr w:type="gramStart"/>
      <w:r w:rsidRPr="00011E77">
        <w:rPr>
          <w:rFonts w:ascii="Arial" w:eastAsia="Times New Roman" w:hAnsi="Arial" w:cs="Arial"/>
          <w:sz w:val="19"/>
          <w:szCs w:val="19"/>
          <w:lang w:val="es-CO" w:eastAsia="es-CO"/>
        </w:rPr>
        <w:t>»</w:t>
      </w:r>
      <w:r w:rsidR="005E3121" w:rsidRPr="005E3121">
        <w:rPr>
          <w:rFonts w:ascii="Arial" w:eastAsia="Times New Roman" w:hAnsi="Arial" w:cs="Arial"/>
          <w:sz w:val="19"/>
          <w:szCs w:val="19"/>
          <w:lang w:val="es-CO" w:eastAsia="es-CO"/>
        </w:rPr>
        <w:t>Los</w:t>
      </w:r>
      <w:proofErr w:type="gramEnd"/>
      <w:r w:rsidR="005E3121" w:rsidRPr="005E3121">
        <w:rPr>
          <w:rFonts w:ascii="Arial" w:eastAsia="Times New Roman" w:hAnsi="Arial" w:cs="Arial"/>
          <w:sz w:val="19"/>
          <w:szCs w:val="19"/>
          <w:lang w:val="es-CO" w:eastAsia="es-CO"/>
        </w:rPr>
        <w:t xml:space="preserve"> actos y </w:t>
      </w:r>
      <w:r w:rsidR="005E3121" w:rsidRPr="005E3121">
        <w:rPr>
          <w:rFonts w:ascii="Arial" w:eastAsia="Times New Roman" w:hAnsi="Arial" w:cs="Arial"/>
          <w:sz w:val="19"/>
          <w:szCs w:val="19"/>
          <w:u w:val="single"/>
          <w:lang w:val="es-CO" w:eastAsia="es-CO"/>
        </w:rPr>
        <w:t>contratos de cuantía superior a veinte (20) salarios mínimos mensuales</w:t>
      </w:r>
      <w:r w:rsidR="005E3121" w:rsidRPr="005E3121">
        <w:rPr>
          <w:rFonts w:ascii="Arial" w:eastAsia="Times New Roman" w:hAnsi="Arial" w:cs="Arial"/>
          <w:sz w:val="19"/>
          <w:szCs w:val="19"/>
          <w:lang w:val="es-CO" w:eastAsia="es-CO"/>
        </w:rPr>
        <w:t> se regirán por las reglas de la contratación estatal, teniendo en cuenta su valor y naturaleza, y las circunstancias en las que se celebren. </w:t>
      </w:r>
      <w:r w:rsidR="005E3121" w:rsidRPr="005E3121">
        <w:rPr>
          <w:rFonts w:ascii="Arial" w:eastAsia="Times New Roman" w:hAnsi="Arial" w:cs="Arial"/>
          <w:sz w:val="19"/>
          <w:szCs w:val="19"/>
          <w:u w:val="single"/>
          <w:lang w:val="es-CO" w:eastAsia="es-CO"/>
        </w:rPr>
        <w:t>El Gobierno Nacional podrá indicar los casos en los cuales la cuantía señalada en el presente inciso será menor</w:t>
      </w:r>
      <w:r w:rsidR="005E3121" w:rsidRPr="005E3121">
        <w:rPr>
          <w:rFonts w:ascii="Arial" w:eastAsia="Times New Roman" w:hAnsi="Arial" w:cs="Arial"/>
          <w:sz w:val="19"/>
          <w:szCs w:val="19"/>
          <w:lang w:val="es-CO" w:eastAsia="es-CO"/>
        </w:rPr>
        <w:t>.</w:t>
      </w:r>
      <w:r w:rsidR="005E3121" w:rsidRPr="00011E77">
        <w:rPr>
          <w:rFonts w:ascii="Arial" w:eastAsia="Times New Roman" w:hAnsi="Arial" w:cs="Arial"/>
          <w:sz w:val="19"/>
          <w:szCs w:val="19"/>
          <w:lang w:val="es-CO" w:eastAsia="es-CO"/>
        </w:rPr>
        <w:t xml:space="preserve"> </w:t>
      </w:r>
    </w:p>
    <w:p w14:paraId="67AE1676" w14:textId="48F7E158" w:rsidR="005E3121" w:rsidRPr="005E3121" w:rsidRDefault="00011E77" w:rsidP="00011E77">
      <w:pPr>
        <w:ind w:firstLine="708"/>
        <w:jc w:val="both"/>
        <w:rPr>
          <w:rFonts w:ascii="Arial" w:eastAsia="Times New Roman" w:hAnsi="Arial" w:cs="Arial"/>
          <w:sz w:val="19"/>
          <w:szCs w:val="19"/>
          <w:lang w:val="es-CO" w:eastAsia="es-CO"/>
        </w:rPr>
      </w:pPr>
      <w:proofErr w:type="gramStart"/>
      <w:r w:rsidRPr="00011E77">
        <w:rPr>
          <w:rFonts w:ascii="Arial" w:eastAsia="Times New Roman" w:hAnsi="Arial" w:cs="Arial"/>
          <w:sz w:val="19"/>
          <w:szCs w:val="19"/>
          <w:lang w:val="es-CO" w:eastAsia="es-CO"/>
        </w:rPr>
        <w:t>»</w:t>
      </w:r>
      <w:r w:rsidR="005E3121" w:rsidRPr="005E3121">
        <w:rPr>
          <w:rFonts w:ascii="Arial" w:eastAsia="Times New Roman" w:hAnsi="Arial" w:cs="Arial"/>
          <w:sz w:val="19"/>
          <w:szCs w:val="19"/>
          <w:lang w:val="es-CO" w:eastAsia="es-CO"/>
        </w:rPr>
        <w:t>El</w:t>
      </w:r>
      <w:proofErr w:type="gramEnd"/>
      <w:r w:rsidR="005E3121" w:rsidRPr="005E3121">
        <w:rPr>
          <w:rFonts w:ascii="Arial" w:eastAsia="Times New Roman" w:hAnsi="Arial" w:cs="Arial"/>
          <w:sz w:val="19"/>
          <w:szCs w:val="19"/>
          <w:lang w:val="es-CO" w:eastAsia="es-CO"/>
        </w:rPr>
        <w:t xml:space="preserve"> rector o director celebrará los contratos que hayan de pagarse con cargo a los recursos vinculados a los Fondos, en las condiciones y dentro de los límites que fijen los reglamentos.</w:t>
      </w:r>
    </w:p>
    <w:p w14:paraId="1CA0A222" w14:textId="4C54E2B0" w:rsidR="005E3121" w:rsidRPr="005E3121" w:rsidRDefault="00011E77" w:rsidP="00011E77">
      <w:pPr>
        <w:ind w:firstLine="708"/>
        <w:jc w:val="both"/>
        <w:rPr>
          <w:rFonts w:ascii="Arial" w:eastAsia="Times New Roman" w:hAnsi="Arial" w:cs="Arial"/>
          <w:sz w:val="19"/>
          <w:szCs w:val="19"/>
          <w:lang w:val="es-CO" w:eastAsia="es-CO"/>
        </w:rPr>
      </w:pPr>
      <w:r>
        <w:rPr>
          <w:rFonts w:ascii="Arial" w:eastAsia="Times New Roman" w:hAnsi="Arial" w:cs="Arial"/>
          <w:sz w:val="19"/>
          <w:szCs w:val="19"/>
          <w:u w:val="single"/>
          <w:lang w:val="es-CO" w:eastAsia="es-CO"/>
        </w:rPr>
        <w:t>»</w:t>
      </w:r>
      <w:r w:rsidR="005E3121" w:rsidRPr="005E3121">
        <w:rPr>
          <w:rFonts w:ascii="Arial" w:eastAsia="Times New Roman" w:hAnsi="Arial" w:cs="Arial"/>
          <w:sz w:val="19"/>
          <w:szCs w:val="19"/>
          <w:u w:val="single"/>
          <w:lang w:val="es-CO" w:eastAsia="es-CO"/>
        </w:rPr>
        <w:t>Con estricta sujeción a los principios y propósitos enunciados en el primer inciso de este artículo, y a los reglamentos de esta Ley, el Consejo Directivo de cada establecimiento podrá señalar, con base en la experiencia y en el análisis concreto de las necesidades del establecimiento, los trámites, garantías y constancias que deben cumplirse para que el rector o director celebre cualquier acto o contrato que cree, extinga o modifique obligaciones que deban registrarse en el Fondo, y cuya cuantía sea inferior a veinte (20) salarios mínimos mensuales. El Consejo puede exigir, además, que ciertos actos o contratos requieran una autorización suya específica</w:t>
      </w:r>
      <w:r w:rsidRPr="00011E77">
        <w:rPr>
          <w:rFonts w:ascii="Arial" w:eastAsia="Times New Roman" w:hAnsi="Arial" w:cs="Arial"/>
          <w:sz w:val="19"/>
          <w:szCs w:val="19"/>
          <w:lang w:val="es-CO" w:eastAsia="es-CO"/>
        </w:rPr>
        <w:t>»</w:t>
      </w:r>
    </w:p>
    <w:p w14:paraId="02994862" w14:textId="77777777" w:rsidR="00011E77" w:rsidRDefault="00011E77" w:rsidP="00011E77">
      <w:pPr>
        <w:pStyle w:val="Textonotapie"/>
        <w:ind w:firstLine="708"/>
        <w:jc w:val="both"/>
        <w:rPr>
          <w:rFonts w:ascii="Arial" w:hAnsi="Arial" w:cs="Arial"/>
          <w:color w:val="000000" w:themeColor="text1"/>
          <w:sz w:val="19"/>
          <w:szCs w:val="19"/>
        </w:rPr>
      </w:pPr>
    </w:p>
    <w:p w14:paraId="0511E145" w14:textId="6F895546" w:rsidR="00044E28" w:rsidRPr="00011E77" w:rsidRDefault="00044E28" w:rsidP="00011E77">
      <w:pPr>
        <w:pStyle w:val="Textonotapie"/>
        <w:ind w:firstLine="708"/>
        <w:jc w:val="both"/>
        <w:rPr>
          <w:rFonts w:ascii="Arial" w:hAnsi="Arial" w:cs="Arial"/>
          <w:color w:val="000000" w:themeColor="text1"/>
          <w:sz w:val="19"/>
          <w:szCs w:val="19"/>
        </w:rPr>
      </w:pPr>
      <w:r w:rsidRPr="00011E77">
        <w:rPr>
          <w:rFonts w:ascii="Arial" w:hAnsi="Arial" w:cs="Arial"/>
          <w:color w:val="000000" w:themeColor="text1"/>
          <w:sz w:val="19"/>
          <w:szCs w:val="19"/>
        </w:rPr>
        <w:t xml:space="preserve">Decreto 1075 de 2015: </w:t>
      </w:r>
      <w:r w:rsidR="003B0A0C" w:rsidRPr="00011E77">
        <w:rPr>
          <w:rFonts w:ascii="Arial" w:hAnsi="Arial" w:cs="Arial"/>
          <w:color w:val="000000" w:themeColor="text1"/>
          <w:sz w:val="19"/>
          <w:szCs w:val="19"/>
        </w:rPr>
        <w:t>«</w:t>
      </w:r>
      <w:r w:rsidRPr="00011E77">
        <w:rPr>
          <w:rFonts w:ascii="Arial" w:hAnsi="Arial" w:cs="Arial"/>
          <w:color w:val="000000" w:themeColor="text1"/>
          <w:sz w:val="19"/>
          <w:szCs w:val="19"/>
        </w:rPr>
        <w:t>Artículo 2.3.1.6.3.5. Funciones del Consejo Directivo. (…) 6. Reglamentar mediante acuerdo los procedimientos, formalidades y garantías para toda contratación que no supere los veinte (20) salarios mínimos legales mensuales vigentes (SMLMV)</w:t>
      </w:r>
      <w:r w:rsidR="003B0A0C" w:rsidRPr="00011E77">
        <w:rPr>
          <w:rFonts w:ascii="Arial" w:hAnsi="Arial" w:cs="Arial"/>
          <w:color w:val="000000" w:themeColor="text1"/>
          <w:sz w:val="19"/>
          <w:szCs w:val="19"/>
        </w:rPr>
        <w:t>»</w:t>
      </w:r>
      <w:r w:rsidRPr="00011E77">
        <w:rPr>
          <w:rFonts w:ascii="Arial" w:hAnsi="Arial" w:cs="Arial"/>
          <w:color w:val="000000" w:themeColor="text1"/>
          <w:sz w:val="19"/>
          <w:szCs w:val="19"/>
        </w:rPr>
        <w:t>.</w:t>
      </w:r>
    </w:p>
    <w:p w14:paraId="19FBB423" w14:textId="77777777" w:rsidR="00044E28" w:rsidRPr="00011E77" w:rsidRDefault="00044E28" w:rsidP="00044E28">
      <w:pPr>
        <w:pStyle w:val="Textonotapie"/>
        <w:jc w:val="both"/>
        <w:rPr>
          <w:rFonts w:ascii="Arial" w:hAnsi="Arial" w:cs="Arial"/>
          <w:color w:val="000000" w:themeColor="text1"/>
          <w:sz w:val="19"/>
          <w:szCs w:val="19"/>
          <w:lang w:val="es-CO"/>
        </w:rPr>
      </w:pPr>
    </w:p>
  </w:footnote>
  <w:footnote w:id="6">
    <w:p w14:paraId="5C4F8EB0" w14:textId="77777777" w:rsidR="00292F1B" w:rsidRPr="00011E77" w:rsidRDefault="00292F1B" w:rsidP="00292F1B">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Corte Constitucional. Sentencia C- 341 del 4 de junio de 2014. M. P. Mauricio González Cuervo.</w:t>
      </w:r>
    </w:p>
    <w:p w14:paraId="7321E248" w14:textId="77777777" w:rsidR="00292F1B" w:rsidRPr="00011E77" w:rsidRDefault="00292F1B" w:rsidP="00292F1B">
      <w:pPr>
        <w:pStyle w:val="Textonotapie"/>
        <w:ind w:firstLine="708"/>
        <w:jc w:val="both"/>
        <w:rPr>
          <w:rFonts w:ascii="Arial" w:hAnsi="Arial" w:cs="Arial"/>
          <w:color w:val="000000" w:themeColor="text1"/>
          <w:sz w:val="19"/>
          <w:szCs w:val="19"/>
          <w:lang w:val="es-CO"/>
        </w:rPr>
      </w:pPr>
    </w:p>
  </w:footnote>
  <w:footnote w:id="7">
    <w:p w14:paraId="75F2D705" w14:textId="77777777" w:rsidR="00292F1B" w:rsidRPr="00011E77" w:rsidRDefault="00292F1B" w:rsidP="00292F1B">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002FC631" w14:textId="77777777" w:rsidR="00292F1B" w:rsidRPr="00011E77" w:rsidRDefault="00292F1B" w:rsidP="00292F1B">
      <w:pPr>
        <w:pStyle w:val="Textonotapie"/>
        <w:ind w:firstLine="708"/>
        <w:jc w:val="both"/>
        <w:rPr>
          <w:rFonts w:ascii="Arial" w:hAnsi="Arial" w:cs="Arial"/>
          <w:color w:val="000000" w:themeColor="text1"/>
          <w:sz w:val="19"/>
          <w:szCs w:val="19"/>
        </w:rPr>
      </w:pPr>
      <w:proofErr w:type="gramStart"/>
      <w:r w:rsidRPr="00011E77">
        <w:rPr>
          <w:rFonts w:ascii="Arial" w:hAnsi="Arial" w:cs="Arial"/>
          <w:color w:val="000000" w:themeColor="text1"/>
          <w:sz w:val="19"/>
          <w:szCs w:val="19"/>
        </w:rPr>
        <w:t>»Lo</w:t>
      </w:r>
      <w:proofErr w:type="gramEnd"/>
      <w:r w:rsidRPr="00011E77">
        <w:rPr>
          <w:rFonts w:ascii="Arial" w:hAnsi="Arial" w:cs="Arial"/>
          <w:color w:val="000000" w:themeColor="text1"/>
          <w:sz w:val="19"/>
          <w:szCs w:val="19"/>
        </w:rPr>
        <w:t xml:space="preserve"> anterior, sin perjuicio de las publicaciones previstas en el numeral 3 del artículo 30 de la Ley 80 de 1993.</w:t>
      </w:r>
    </w:p>
    <w:p w14:paraId="43D30484" w14:textId="77777777" w:rsidR="00292F1B" w:rsidRPr="00011E77" w:rsidRDefault="00292F1B" w:rsidP="00292F1B">
      <w:pPr>
        <w:pStyle w:val="Textonotapie"/>
        <w:ind w:firstLine="708"/>
        <w:jc w:val="both"/>
        <w:rPr>
          <w:rFonts w:ascii="Arial" w:hAnsi="Arial" w:cs="Arial"/>
          <w:color w:val="000000" w:themeColor="text1"/>
          <w:sz w:val="19"/>
          <w:szCs w:val="19"/>
        </w:rPr>
      </w:pPr>
      <w:proofErr w:type="gramStart"/>
      <w:r w:rsidRPr="00011E77">
        <w:rPr>
          <w:rFonts w:ascii="Arial" w:hAnsi="Arial" w:cs="Arial"/>
          <w:color w:val="000000" w:themeColor="text1"/>
          <w:sz w:val="19"/>
          <w:szCs w:val="19"/>
        </w:rPr>
        <w:t>»Con</w:t>
      </w:r>
      <w:proofErr w:type="gramEnd"/>
      <w:r w:rsidRPr="00011E77">
        <w:rPr>
          <w:rFonts w:ascii="Arial" w:hAnsi="Arial" w:cs="Arial"/>
          <w:color w:val="000000" w:themeColor="text1"/>
          <w:sz w:val="19"/>
          <w:szCs w:val="19"/>
        </w:rPr>
        <w:t xml:space="preserve"> el fin de materializar los objetivos a que se refiere el inciso anterior, el Gobierno Nacional desarrollará el Sistema Electrónico para la Contratación Pública, </w:t>
      </w:r>
      <w:proofErr w:type="spellStart"/>
      <w:r w:rsidRPr="00011E77">
        <w:rPr>
          <w:rFonts w:ascii="Arial" w:hAnsi="Arial" w:cs="Arial"/>
          <w:color w:val="000000" w:themeColor="text1"/>
          <w:sz w:val="19"/>
          <w:szCs w:val="19"/>
        </w:rPr>
        <w:t>Secop</w:t>
      </w:r>
      <w:proofErr w:type="spellEnd"/>
      <w:r w:rsidRPr="00011E77">
        <w:rPr>
          <w:rFonts w:ascii="Arial" w:hAnsi="Arial" w:cs="Arial"/>
          <w:color w:val="000000" w:themeColor="text1"/>
          <w:sz w:val="19"/>
          <w:szCs w:val="19"/>
        </w:rPr>
        <w:t xml:space="preserve">, el cual: </w:t>
      </w:r>
    </w:p>
    <w:p w14:paraId="11611712" w14:textId="77777777" w:rsidR="00292F1B" w:rsidRPr="00011E77" w:rsidRDefault="00292F1B" w:rsidP="00292F1B">
      <w:pPr>
        <w:pStyle w:val="Textonotapie"/>
        <w:ind w:firstLine="708"/>
        <w:jc w:val="both"/>
        <w:rPr>
          <w:rFonts w:ascii="Arial" w:hAnsi="Arial" w:cs="Arial"/>
          <w:color w:val="000000" w:themeColor="text1"/>
          <w:sz w:val="19"/>
          <w:szCs w:val="19"/>
        </w:rPr>
      </w:pPr>
      <w:r w:rsidRPr="00011E77">
        <w:rPr>
          <w:rFonts w:ascii="Arial" w:hAnsi="Arial" w:cs="Arial"/>
          <w:color w:val="000000" w:themeColor="text1"/>
          <w:sz w:val="19"/>
          <w:szCs w:val="19"/>
        </w:rPr>
        <w:t>[…]</w:t>
      </w:r>
    </w:p>
    <w:p w14:paraId="54BECA9B" w14:textId="77777777" w:rsidR="00292F1B" w:rsidRPr="00011E77" w:rsidRDefault="00292F1B" w:rsidP="00292F1B">
      <w:pPr>
        <w:pStyle w:val="Textonotapie"/>
        <w:ind w:firstLine="708"/>
        <w:jc w:val="both"/>
        <w:rPr>
          <w:rFonts w:ascii="Arial" w:hAnsi="Arial" w:cs="Arial"/>
          <w:color w:val="000000" w:themeColor="text1"/>
          <w:sz w:val="19"/>
          <w:szCs w:val="19"/>
        </w:rPr>
      </w:pPr>
      <w:r w:rsidRPr="00011E77">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366F7792" w14:textId="77777777" w:rsidR="00292F1B" w:rsidRPr="00011E77" w:rsidRDefault="00292F1B" w:rsidP="00292F1B">
      <w:pPr>
        <w:pStyle w:val="Textonotapie"/>
        <w:ind w:firstLine="708"/>
        <w:jc w:val="both"/>
        <w:rPr>
          <w:rFonts w:ascii="Arial" w:hAnsi="Arial" w:cs="Arial"/>
          <w:color w:val="000000" w:themeColor="text1"/>
          <w:sz w:val="19"/>
          <w:szCs w:val="19"/>
        </w:rPr>
      </w:pPr>
    </w:p>
  </w:footnote>
  <w:footnote w:id="8">
    <w:p w14:paraId="6D4AFF04" w14:textId="77777777" w:rsidR="00292F1B" w:rsidRPr="00011E77" w:rsidRDefault="00292F1B" w:rsidP="00292F1B">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71263AA1" w14:textId="77777777" w:rsidR="00292F1B" w:rsidRPr="00011E77" w:rsidRDefault="00292F1B" w:rsidP="00292F1B">
      <w:pPr>
        <w:pStyle w:val="Textonotapie"/>
        <w:ind w:firstLine="708"/>
        <w:jc w:val="both"/>
        <w:rPr>
          <w:rFonts w:ascii="Arial" w:hAnsi="Arial" w:cs="Arial"/>
          <w:color w:val="000000" w:themeColor="text1"/>
          <w:sz w:val="19"/>
          <w:szCs w:val="19"/>
        </w:rPr>
      </w:pPr>
    </w:p>
  </w:footnote>
  <w:footnote w:id="9">
    <w:p w14:paraId="62A42E31" w14:textId="77777777" w:rsidR="00292F1B" w:rsidRPr="00011E77" w:rsidRDefault="00292F1B" w:rsidP="00292F1B">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4F8D09CE" w14:textId="77777777" w:rsidR="00292F1B" w:rsidRPr="00011E77" w:rsidRDefault="00292F1B" w:rsidP="00292F1B">
      <w:pPr>
        <w:pStyle w:val="Textonotapie"/>
        <w:ind w:firstLine="708"/>
        <w:jc w:val="both"/>
        <w:rPr>
          <w:rFonts w:ascii="Arial" w:hAnsi="Arial" w:cs="Arial"/>
          <w:color w:val="000000" w:themeColor="text1"/>
          <w:sz w:val="19"/>
          <w:szCs w:val="19"/>
        </w:rPr>
      </w:pPr>
      <w:r w:rsidRPr="00011E77">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70BE1546" w14:textId="77777777" w:rsidR="00292F1B" w:rsidRPr="00011E77" w:rsidRDefault="00292F1B" w:rsidP="00292F1B">
      <w:pPr>
        <w:pStyle w:val="Textonotapie"/>
        <w:jc w:val="both"/>
        <w:rPr>
          <w:rFonts w:ascii="Arial" w:hAnsi="Arial" w:cs="Arial"/>
          <w:color w:val="000000" w:themeColor="text1"/>
          <w:sz w:val="19"/>
          <w:szCs w:val="19"/>
          <w:lang w:val="es-CO"/>
        </w:rPr>
      </w:pPr>
    </w:p>
  </w:footnote>
  <w:footnote w:id="10">
    <w:p w14:paraId="47431EC8" w14:textId="77777777" w:rsidR="00292F1B" w:rsidRPr="00011E77" w:rsidRDefault="00292F1B" w:rsidP="00292F1B">
      <w:pPr>
        <w:pStyle w:val="Textonotapie"/>
        <w:ind w:firstLine="709"/>
        <w:jc w:val="both"/>
        <w:rPr>
          <w:rFonts w:ascii="Arial" w:hAnsi="Arial" w:cs="Arial"/>
          <w:color w:val="000000" w:themeColor="text1"/>
          <w:sz w:val="19"/>
          <w:szCs w:val="19"/>
        </w:rPr>
      </w:pPr>
      <w:r w:rsidRPr="00011E77">
        <w:rPr>
          <w:rFonts w:ascii="Arial" w:eastAsia="Times New Roman" w:hAnsi="Arial" w:cs="Arial"/>
          <w:color w:val="000000" w:themeColor="text1"/>
          <w:sz w:val="19"/>
          <w:szCs w:val="19"/>
          <w:vertAlign w:val="superscript"/>
          <w:lang w:val="es-ES" w:eastAsia="es-ES"/>
        </w:rPr>
        <w:footnoteRef/>
      </w:r>
      <w:r w:rsidRPr="00011E77">
        <w:rPr>
          <w:rFonts w:ascii="Arial" w:eastAsia="Times New Roman" w:hAnsi="Arial" w:cs="Arial"/>
          <w:color w:val="000000" w:themeColor="text1"/>
          <w:sz w:val="19"/>
          <w:szCs w:val="19"/>
          <w:vertAlign w:val="superscript"/>
          <w:lang w:val="es-ES" w:eastAsia="es-ES"/>
        </w:rPr>
        <w:t xml:space="preserve"> </w:t>
      </w:r>
      <w:r w:rsidRPr="00011E77">
        <w:rPr>
          <w:rFonts w:ascii="Arial" w:eastAsia="Times New Roman" w:hAnsi="Arial" w:cs="Arial"/>
          <w:color w:val="000000" w:themeColor="text1"/>
          <w:sz w:val="19"/>
          <w:szCs w:val="19"/>
          <w:lang w:val="es-ES" w:eastAsia="es-ES"/>
        </w:rPr>
        <w:t>«</w:t>
      </w:r>
      <w:r w:rsidRPr="00011E77">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7500BE56" w14:textId="77777777" w:rsidR="00292F1B" w:rsidRPr="00011E77" w:rsidRDefault="00292F1B" w:rsidP="00292F1B">
      <w:pPr>
        <w:pStyle w:val="Textonotapie"/>
        <w:ind w:firstLine="709"/>
        <w:jc w:val="both"/>
        <w:rPr>
          <w:rFonts w:ascii="Arial" w:hAnsi="Arial" w:cs="Arial"/>
          <w:color w:val="000000" w:themeColor="text1"/>
          <w:sz w:val="19"/>
          <w:szCs w:val="19"/>
        </w:rPr>
      </w:pPr>
      <w:r w:rsidRPr="00011E77">
        <w:rPr>
          <w:rFonts w:ascii="Arial" w:hAnsi="Arial" w:cs="Arial"/>
          <w:color w:val="000000" w:themeColor="text1"/>
          <w:sz w:val="19"/>
          <w:szCs w:val="19"/>
        </w:rPr>
        <w:t>[…]</w:t>
      </w:r>
    </w:p>
    <w:p w14:paraId="3892E7B9" w14:textId="77777777" w:rsidR="00292F1B" w:rsidRPr="00011E77" w:rsidRDefault="00292F1B" w:rsidP="00292F1B">
      <w:pPr>
        <w:pStyle w:val="Textonotapie"/>
        <w:ind w:firstLine="709"/>
        <w:jc w:val="both"/>
        <w:rPr>
          <w:rFonts w:ascii="Arial" w:hAnsi="Arial" w:cs="Arial"/>
          <w:color w:val="000000" w:themeColor="text1"/>
          <w:sz w:val="19"/>
          <w:szCs w:val="19"/>
        </w:rPr>
      </w:pPr>
    </w:p>
    <w:p w14:paraId="76D06F0F" w14:textId="77777777" w:rsidR="00292F1B" w:rsidRPr="00011E77" w:rsidRDefault="00292F1B" w:rsidP="00292F1B">
      <w:pPr>
        <w:pStyle w:val="Textonotapie"/>
        <w:ind w:firstLine="709"/>
        <w:jc w:val="both"/>
        <w:rPr>
          <w:rFonts w:ascii="Arial" w:eastAsia="Times New Roman" w:hAnsi="Arial" w:cs="Arial"/>
          <w:color w:val="000000" w:themeColor="text1"/>
          <w:sz w:val="19"/>
          <w:szCs w:val="19"/>
          <w:lang w:val="es-ES" w:eastAsia="es-ES"/>
        </w:rPr>
      </w:pPr>
      <w:proofErr w:type="gramStart"/>
      <w:r w:rsidRPr="00011E77">
        <w:rPr>
          <w:rFonts w:ascii="Arial" w:eastAsia="Times New Roman" w:hAnsi="Arial" w:cs="Arial"/>
          <w:color w:val="000000" w:themeColor="text1"/>
          <w:sz w:val="19"/>
          <w:szCs w:val="19"/>
          <w:lang w:val="es-ES" w:eastAsia="es-ES"/>
        </w:rPr>
        <w:t>»Los</w:t>
      </w:r>
      <w:proofErr w:type="gramEnd"/>
      <w:r w:rsidRPr="00011E77">
        <w:rPr>
          <w:rFonts w:ascii="Arial" w:eastAsia="Times New Roman" w:hAnsi="Arial" w:cs="Arial"/>
          <w:color w:val="000000" w:themeColor="text1"/>
          <w:sz w:val="19"/>
          <w:szCs w:val="19"/>
          <w:lang w:val="es-ES" w:eastAsia="es-ES"/>
        </w:rPr>
        <w:t xml:space="preserve"> sujetos obligados que contratan con recursos públicos y recursos privados, deben publicar la información de su gestión contractual con cargo a recursos públicos en el Sistema Electrónico para la Contratación Pública [SECOP]».</w:t>
      </w:r>
    </w:p>
    <w:p w14:paraId="35417DE6" w14:textId="77777777" w:rsidR="00292F1B" w:rsidRPr="00011E77" w:rsidRDefault="00292F1B" w:rsidP="00292F1B">
      <w:pPr>
        <w:pStyle w:val="Textonotapie"/>
        <w:ind w:firstLine="709"/>
        <w:jc w:val="both"/>
        <w:rPr>
          <w:rFonts w:ascii="Arial" w:eastAsia="Times New Roman" w:hAnsi="Arial" w:cs="Arial"/>
          <w:color w:val="000000" w:themeColor="text1"/>
          <w:sz w:val="19"/>
          <w:szCs w:val="19"/>
          <w:lang w:val="es-ES" w:eastAsia="es-ES"/>
        </w:rPr>
      </w:pPr>
    </w:p>
  </w:footnote>
  <w:footnote w:id="11">
    <w:p w14:paraId="2C87A650" w14:textId="77777777" w:rsidR="00292F1B" w:rsidRPr="00011E77" w:rsidRDefault="00292F1B" w:rsidP="00292F1B">
      <w:pPr>
        <w:pStyle w:val="Textonotapie"/>
        <w:ind w:firstLine="708"/>
        <w:jc w:val="both"/>
        <w:rPr>
          <w:rFonts w:ascii="Arial" w:eastAsia="Times New Roman" w:hAnsi="Arial" w:cs="Arial"/>
          <w:color w:val="000000" w:themeColor="text1"/>
          <w:sz w:val="19"/>
          <w:szCs w:val="19"/>
          <w:lang w:val="es-ES" w:eastAsia="es-ES"/>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C</w:t>
      </w:r>
      <w:proofErr w:type="spellStart"/>
      <w:r w:rsidRPr="00011E77">
        <w:rPr>
          <w:rFonts w:ascii="Arial" w:eastAsia="Times New Roman" w:hAnsi="Arial" w:cs="Arial"/>
          <w:color w:val="000000" w:themeColor="text1"/>
          <w:sz w:val="19"/>
          <w:szCs w:val="19"/>
          <w:lang w:val="es-ES" w:eastAsia="es-ES"/>
        </w:rPr>
        <w:t>orte</w:t>
      </w:r>
      <w:proofErr w:type="spellEnd"/>
      <w:r w:rsidRPr="00011E77">
        <w:rPr>
          <w:rFonts w:ascii="Arial" w:eastAsia="Times New Roman" w:hAnsi="Arial" w:cs="Arial"/>
          <w:color w:val="000000" w:themeColor="text1"/>
          <w:sz w:val="19"/>
          <w:szCs w:val="19"/>
          <w:lang w:val="es-ES" w:eastAsia="es-ES"/>
        </w:rPr>
        <w:t xml:space="preserve"> Constitucional. Sentencia C─274 de 9 de mayo de 2013. M.P. María Victoria Calle Correa. </w:t>
      </w:r>
    </w:p>
    <w:p w14:paraId="6B042905" w14:textId="77777777" w:rsidR="00292F1B" w:rsidRPr="00011E77" w:rsidRDefault="00292F1B" w:rsidP="00292F1B">
      <w:pPr>
        <w:pStyle w:val="Textonotapie"/>
        <w:ind w:firstLine="708"/>
        <w:jc w:val="both"/>
        <w:rPr>
          <w:rFonts w:ascii="Arial" w:eastAsia="Times New Roman" w:hAnsi="Arial" w:cs="Arial"/>
          <w:color w:val="000000" w:themeColor="text1"/>
          <w:sz w:val="19"/>
          <w:szCs w:val="19"/>
          <w:lang w:val="es-ES" w:eastAsia="es-ES"/>
        </w:rPr>
      </w:pPr>
    </w:p>
  </w:footnote>
  <w:footnote w:id="12">
    <w:p w14:paraId="19A69C7B" w14:textId="77777777" w:rsidR="00292F1B" w:rsidRPr="00011E77" w:rsidRDefault="00292F1B" w:rsidP="00292F1B">
      <w:pPr>
        <w:pStyle w:val="Textonotapie"/>
        <w:ind w:firstLine="708"/>
        <w:jc w:val="both"/>
        <w:rPr>
          <w:rFonts w:ascii="Arial" w:hAnsi="Arial" w:cs="Arial"/>
          <w:color w:val="000000" w:themeColor="text1"/>
          <w:sz w:val="19"/>
          <w:szCs w:val="19"/>
          <w:lang w:val="es-CO"/>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13">
    <w:p w14:paraId="27CDD14F" w14:textId="77777777" w:rsidR="00292F1B" w:rsidRPr="00011E77" w:rsidRDefault="00292F1B" w:rsidP="00292F1B">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Consejo de Estado. Sección Tercera. Auto del 14 de agosto de 2017.  </w:t>
      </w:r>
      <w:proofErr w:type="spellStart"/>
      <w:r w:rsidRPr="00011E77">
        <w:rPr>
          <w:rFonts w:ascii="Arial" w:hAnsi="Arial" w:cs="Arial"/>
          <w:color w:val="000000" w:themeColor="text1"/>
          <w:sz w:val="19"/>
          <w:szCs w:val="19"/>
        </w:rPr>
        <w:t>Exp</w:t>
      </w:r>
      <w:proofErr w:type="spellEnd"/>
      <w:r w:rsidRPr="00011E77">
        <w:rPr>
          <w:rFonts w:ascii="Arial" w:hAnsi="Arial" w:cs="Arial"/>
          <w:color w:val="000000" w:themeColor="text1"/>
          <w:sz w:val="19"/>
          <w:szCs w:val="19"/>
        </w:rPr>
        <w:t xml:space="preserve">: 58.820. C.P. Jaime Orlando Santofimio Gamboa. </w:t>
      </w:r>
    </w:p>
    <w:p w14:paraId="1DE38723" w14:textId="77777777" w:rsidR="00292F1B" w:rsidRPr="00011E77" w:rsidRDefault="00292F1B" w:rsidP="00292F1B">
      <w:pPr>
        <w:pStyle w:val="Textonotapie"/>
        <w:ind w:firstLine="708"/>
        <w:jc w:val="both"/>
        <w:rPr>
          <w:rFonts w:ascii="Arial" w:hAnsi="Arial" w:cs="Arial"/>
          <w:color w:val="000000" w:themeColor="text1"/>
          <w:sz w:val="19"/>
          <w:szCs w:val="19"/>
          <w:lang w:val="es-CO"/>
        </w:rPr>
      </w:pPr>
    </w:p>
  </w:footnote>
  <w:footnote w:id="14">
    <w:p w14:paraId="3B4584EB" w14:textId="77777777" w:rsidR="00A14A6F" w:rsidRPr="00011E77" w:rsidRDefault="00A14A6F" w:rsidP="00A14A6F">
      <w:pPr>
        <w:pStyle w:val="Prrafodelista"/>
        <w:ind w:left="0" w:firstLine="708"/>
        <w:contextualSpacing w:val="0"/>
        <w:rPr>
          <w:rFonts w:ascii="Arial" w:hAnsi="Arial" w:cs="Arial"/>
          <w:bCs/>
          <w:color w:val="000000" w:themeColor="text1"/>
          <w:sz w:val="19"/>
          <w:szCs w:val="19"/>
          <w:lang w:val="es-ES"/>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w:t>
      </w:r>
      <w:r w:rsidRPr="00011E77">
        <w:rPr>
          <w:rFonts w:ascii="Arial" w:hAnsi="Arial" w:cs="Arial"/>
          <w:bCs/>
          <w:color w:val="000000" w:themeColor="text1"/>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7508F76C" w14:textId="77777777" w:rsidR="00A14A6F" w:rsidRPr="00011E77" w:rsidRDefault="00A14A6F" w:rsidP="00A14A6F">
      <w:pPr>
        <w:pStyle w:val="Textonotapie"/>
        <w:ind w:firstLine="708"/>
        <w:jc w:val="both"/>
        <w:rPr>
          <w:rFonts w:ascii="Arial" w:hAnsi="Arial" w:cs="Arial"/>
          <w:color w:val="000000" w:themeColor="text1"/>
          <w:sz w:val="19"/>
          <w:szCs w:val="19"/>
          <w:lang w:val="es-ES"/>
        </w:rPr>
      </w:pPr>
    </w:p>
  </w:footnote>
  <w:footnote w:id="15">
    <w:p w14:paraId="7408D215" w14:textId="77777777" w:rsidR="00A14A6F" w:rsidRPr="00011E77" w:rsidRDefault="00A14A6F" w:rsidP="00A14A6F">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1170668B" w14:textId="77777777" w:rsidR="00A14A6F" w:rsidRPr="00011E77" w:rsidRDefault="00A14A6F" w:rsidP="00A14A6F">
      <w:pPr>
        <w:pStyle w:val="Textonotapie"/>
        <w:ind w:firstLine="708"/>
        <w:jc w:val="both"/>
        <w:rPr>
          <w:rFonts w:ascii="Arial" w:eastAsia="Times New Roman" w:hAnsi="Arial" w:cs="Arial"/>
          <w:color w:val="000000" w:themeColor="text1"/>
          <w:sz w:val="19"/>
          <w:szCs w:val="19"/>
          <w:lang w:val="es-ES" w:eastAsia="es-ES"/>
        </w:rPr>
      </w:pPr>
      <w:proofErr w:type="gramStart"/>
      <w:r w:rsidRPr="00011E77">
        <w:rPr>
          <w:rFonts w:ascii="Arial" w:hAnsi="Arial" w:cs="Arial"/>
          <w:color w:val="000000" w:themeColor="text1"/>
          <w:sz w:val="19"/>
          <w:szCs w:val="19"/>
          <w:lang w:val="es-ES"/>
        </w:rPr>
        <w:t>»</w:t>
      </w:r>
      <w:r w:rsidRPr="00011E77">
        <w:rPr>
          <w:rFonts w:ascii="Arial" w:hAnsi="Arial" w:cs="Arial"/>
          <w:color w:val="000000" w:themeColor="text1"/>
          <w:sz w:val="19"/>
          <w:szCs w:val="19"/>
        </w:rPr>
        <w:t>Así</w:t>
      </w:r>
      <w:proofErr w:type="gramEnd"/>
      <w:r w:rsidRPr="00011E77">
        <w:rPr>
          <w:rFonts w:ascii="Arial" w:hAnsi="Arial" w:cs="Arial"/>
          <w:color w:val="000000" w:themeColor="text1"/>
          <w:sz w:val="19"/>
          <w:szCs w:val="19"/>
        </w:rPr>
        <w:t xml:space="preserve">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footnote>
  <w:footnote w:id="16">
    <w:p w14:paraId="340D397C" w14:textId="77777777" w:rsidR="00ED7A8F" w:rsidRPr="003054D6" w:rsidRDefault="00ED7A8F" w:rsidP="00ED7A8F">
      <w:pPr>
        <w:pStyle w:val="Textonotapie"/>
        <w:ind w:firstLine="709"/>
        <w:jc w:val="both"/>
        <w:rPr>
          <w:rFonts w:ascii="Arial" w:hAnsi="Arial" w:cs="Arial"/>
          <w:color w:val="000000" w:themeColor="text1"/>
          <w:sz w:val="19"/>
          <w:szCs w:val="19"/>
        </w:rPr>
      </w:pPr>
      <w:r w:rsidRPr="003054D6">
        <w:rPr>
          <w:rStyle w:val="Refdenotaalpie"/>
          <w:rFonts w:ascii="Arial" w:hAnsi="Arial" w:cs="Arial"/>
          <w:color w:val="000000" w:themeColor="text1"/>
          <w:sz w:val="19"/>
          <w:szCs w:val="19"/>
        </w:rPr>
        <w:footnoteRef/>
      </w:r>
      <w:r w:rsidRPr="003054D6">
        <w:rPr>
          <w:rFonts w:ascii="Arial" w:hAnsi="Arial" w:cs="Arial"/>
          <w:color w:val="000000" w:themeColor="text1"/>
          <w:sz w:val="19"/>
          <w:szCs w:val="19"/>
        </w:rPr>
        <w:t xml:space="preserve"> Decreto 1081 de 2015: «Artículo 2.1.1.2.1.8.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roofErr w:type="gramStart"/>
      <w:r w:rsidRPr="003054D6">
        <w:rPr>
          <w:rFonts w:ascii="Arial" w:hAnsi="Arial" w:cs="Arial"/>
          <w:color w:val="000000" w:themeColor="text1"/>
          <w:sz w:val="19"/>
          <w:szCs w:val="19"/>
        </w:rPr>
        <w:t>. »</w:t>
      </w:r>
      <w:proofErr w:type="gramEnd"/>
      <w:r w:rsidRPr="003054D6">
        <w:rPr>
          <w:rFonts w:ascii="Arial" w:hAnsi="Arial" w:cs="Arial"/>
          <w:color w:val="000000" w:themeColor="text1"/>
          <w:sz w:val="19"/>
          <w:szCs w:val="19"/>
        </w:rPr>
        <w:t>.</w:t>
      </w:r>
    </w:p>
    <w:p w14:paraId="7A63162C" w14:textId="77777777" w:rsidR="00ED7A8F" w:rsidRPr="003054D6" w:rsidRDefault="00ED7A8F" w:rsidP="00ED7A8F">
      <w:pPr>
        <w:pStyle w:val="Textonotapie"/>
        <w:ind w:firstLine="709"/>
        <w:jc w:val="both"/>
        <w:rPr>
          <w:rFonts w:ascii="Arial" w:hAnsi="Arial" w:cs="Arial"/>
          <w:color w:val="000000" w:themeColor="text1"/>
          <w:sz w:val="19"/>
          <w:szCs w:val="19"/>
        </w:rPr>
      </w:pPr>
    </w:p>
  </w:footnote>
  <w:footnote w:id="17">
    <w:p w14:paraId="465684CE" w14:textId="77777777" w:rsidR="00ED7A8F" w:rsidRPr="003054D6" w:rsidRDefault="00ED7A8F" w:rsidP="00ED7A8F">
      <w:pPr>
        <w:pStyle w:val="Textonotapie"/>
        <w:ind w:firstLine="709"/>
        <w:jc w:val="both"/>
        <w:rPr>
          <w:rFonts w:ascii="Arial" w:hAnsi="Arial" w:cs="Arial"/>
          <w:color w:val="000000" w:themeColor="text1"/>
          <w:sz w:val="19"/>
          <w:szCs w:val="19"/>
        </w:rPr>
      </w:pPr>
      <w:r w:rsidRPr="003054D6">
        <w:rPr>
          <w:rStyle w:val="Refdenotaalpie"/>
          <w:rFonts w:ascii="Arial" w:hAnsi="Arial" w:cs="Arial"/>
          <w:color w:val="000000" w:themeColor="text1"/>
          <w:sz w:val="19"/>
          <w:szCs w:val="19"/>
        </w:rPr>
        <w:footnoteRef/>
      </w:r>
      <w:r w:rsidRPr="003054D6">
        <w:rPr>
          <w:rFonts w:ascii="Arial" w:hAnsi="Arial" w:cs="Arial"/>
          <w:color w:val="000000" w:themeColor="text1"/>
          <w:sz w:val="19"/>
          <w:szCs w:val="19"/>
        </w:rPr>
        <w:t xml:space="preserve"> Decreto 1081 de 2015: «Artículo 2.1.1.2.1.9.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web oficial del sujeto obligado</w:t>
      </w:r>
      <w:proofErr w:type="gramStart"/>
      <w:r w:rsidRPr="003054D6">
        <w:rPr>
          <w:rFonts w:ascii="Arial" w:hAnsi="Arial" w:cs="Arial"/>
          <w:color w:val="000000" w:themeColor="text1"/>
          <w:sz w:val="19"/>
          <w:szCs w:val="19"/>
        </w:rPr>
        <w:t>. »</w:t>
      </w:r>
      <w:proofErr w:type="gramEnd"/>
      <w:r w:rsidRPr="003054D6">
        <w:rPr>
          <w:rFonts w:ascii="Arial" w:hAnsi="Arial" w:cs="Arial"/>
          <w:color w:val="000000" w:themeColor="text1"/>
          <w:sz w:val="19"/>
          <w:szCs w:val="19"/>
        </w:rPr>
        <w:t>.</w:t>
      </w:r>
    </w:p>
    <w:p w14:paraId="00319F31" w14:textId="77777777" w:rsidR="00ED7A8F" w:rsidRPr="003054D6" w:rsidRDefault="00ED7A8F" w:rsidP="00ED7A8F">
      <w:pPr>
        <w:pStyle w:val="Textonotapie"/>
        <w:ind w:firstLine="709"/>
        <w:jc w:val="both"/>
        <w:rPr>
          <w:rFonts w:ascii="Arial" w:hAnsi="Arial" w:cs="Arial"/>
          <w:color w:val="000000" w:themeColor="text1"/>
          <w:sz w:val="19"/>
          <w:szCs w:val="19"/>
        </w:rPr>
      </w:pPr>
    </w:p>
  </w:footnote>
  <w:footnote w:id="18">
    <w:p w14:paraId="0AB4D1CD" w14:textId="77777777" w:rsidR="00ED7A8F" w:rsidRPr="003054D6" w:rsidRDefault="00ED7A8F" w:rsidP="00ED7A8F">
      <w:pPr>
        <w:pStyle w:val="Textonotapie"/>
        <w:ind w:firstLine="709"/>
        <w:jc w:val="both"/>
        <w:rPr>
          <w:rFonts w:ascii="Arial" w:hAnsi="Arial" w:cs="Arial"/>
          <w:color w:val="000000" w:themeColor="text1"/>
          <w:sz w:val="19"/>
          <w:szCs w:val="19"/>
        </w:rPr>
      </w:pPr>
      <w:r w:rsidRPr="003054D6">
        <w:rPr>
          <w:rStyle w:val="Refdenotaalpie"/>
          <w:rFonts w:ascii="Arial" w:hAnsi="Arial" w:cs="Arial"/>
          <w:color w:val="000000" w:themeColor="text1"/>
          <w:sz w:val="19"/>
          <w:szCs w:val="19"/>
        </w:rPr>
        <w:footnoteRef/>
      </w:r>
      <w:r w:rsidRPr="003054D6">
        <w:rPr>
          <w:rFonts w:ascii="Arial" w:hAnsi="Arial" w:cs="Arial"/>
          <w:color w:val="000000" w:themeColor="text1"/>
          <w:sz w:val="19"/>
          <w:szCs w:val="19"/>
        </w:rPr>
        <w:t xml:space="preserve"> Decreto 1081 de 2015: «Artículo 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14:paraId="55E16563" w14:textId="77777777" w:rsidR="00ED7A8F" w:rsidRPr="003054D6" w:rsidRDefault="00ED7A8F" w:rsidP="00ED7A8F">
      <w:pPr>
        <w:pStyle w:val="Textonotapie"/>
        <w:ind w:firstLine="709"/>
        <w:jc w:val="both"/>
        <w:rPr>
          <w:rFonts w:ascii="Arial" w:hAnsi="Arial" w:cs="Arial"/>
          <w:color w:val="000000" w:themeColor="text1"/>
          <w:sz w:val="19"/>
          <w:szCs w:val="19"/>
        </w:rPr>
      </w:pPr>
      <w:proofErr w:type="gramStart"/>
      <w:r w:rsidRPr="003054D6">
        <w:rPr>
          <w:rFonts w:ascii="Arial" w:hAnsi="Arial" w:cs="Arial"/>
          <w:color w:val="000000" w:themeColor="text1"/>
          <w:sz w:val="19"/>
          <w:szCs w:val="19"/>
        </w:rPr>
        <w:t>»Los</w:t>
      </w:r>
      <w:proofErr w:type="gramEnd"/>
      <w:r w:rsidRPr="003054D6">
        <w:rPr>
          <w:rFonts w:ascii="Arial" w:hAnsi="Arial" w:cs="Arial"/>
          <w:color w:val="000000" w:themeColor="text1"/>
          <w:sz w:val="19"/>
          <w:szCs w:val="19"/>
        </w:rPr>
        <w:t xml:space="preserve"> sujetos obligados que no contratan con cargo a recursos públicos no están obligados a publicar su Plan Anual de Adquisiciones. </w:t>
      </w:r>
    </w:p>
    <w:p w14:paraId="42FB6CDC" w14:textId="77777777" w:rsidR="00ED7A8F" w:rsidRPr="003054D6" w:rsidRDefault="00ED7A8F" w:rsidP="00ED7A8F">
      <w:pPr>
        <w:pStyle w:val="Textonotapie"/>
        <w:ind w:firstLine="709"/>
        <w:jc w:val="both"/>
        <w:rPr>
          <w:rFonts w:ascii="Arial" w:hAnsi="Arial" w:cs="Arial"/>
          <w:color w:val="000000" w:themeColor="text1"/>
          <w:sz w:val="19"/>
          <w:szCs w:val="19"/>
        </w:rPr>
      </w:pPr>
      <w:proofErr w:type="gramStart"/>
      <w:r w:rsidRPr="003054D6">
        <w:rPr>
          <w:rFonts w:ascii="Arial" w:hAnsi="Arial" w:cs="Arial"/>
          <w:color w:val="000000" w:themeColor="text1"/>
          <w:sz w:val="19"/>
          <w:szCs w:val="19"/>
        </w:rPr>
        <w:t>»Los</w:t>
      </w:r>
      <w:proofErr w:type="gramEnd"/>
      <w:r w:rsidRPr="003054D6">
        <w:rPr>
          <w:rFonts w:ascii="Arial" w:hAnsi="Arial" w:cs="Arial"/>
          <w:color w:val="000000" w:themeColor="text1"/>
          <w:sz w:val="19"/>
          <w:szCs w:val="19"/>
        </w:rPr>
        <w:t xml:space="preserve"> sujetos obligados que contratan con cargo a recursos públicos y recursos privados, deben publicar en su página web y en el SECOP el Plan Anual de Adquisiciones para los recursos de carácter público que ejecutarán en el año. </w:t>
      </w:r>
    </w:p>
    <w:p w14:paraId="428BFFAD" w14:textId="77777777" w:rsidR="00ED7A8F" w:rsidRPr="003054D6" w:rsidRDefault="00ED7A8F" w:rsidP="00ED7A8F">
      <w:pPr>
        <w:pStyle w:val="Textonotapie"/>
        <w:ind w:firstLine="709"/>
        <w:jc w:val="both"/>
        <w:rPr>
          <w:rFonts w:ascii="Arial" w:hAnsi="Arial" w:cs="Arial"/>
          <w:color w:val="000000" w:themeColor="text1"/>
          <w:sz w:val="19"/>
          <w:szCs w:val="19"/>
        </w:rPr>
      </w:pPr>
      <w:proofErr w:type="gramStart"/>
      <w:r w:rsidRPr="003054D6">
        <w:rPr>
          <w:rFonts w:ascii="Arial" w:hAnsi="Arial" w:cs="Arial"/>
          <w:color w:val="000000" w:themeColor="text1"/>
          <w:sz w:val="19"/>
          <w:szCs w:val="19"/>
        </w:rPr>
        <w:t>»Se</w:t>
      </w:r>
      <w:proofErr w:type="gramEnd"/>
      <w:r w:rsidRPr="003054D6">
        <w:rPr>
          <w:rFonts w:ascii="Arial" w:hAnsi="Arial" w:cs="Arial"/>
          <w:color w:val="000000" w:themeColor="text1"/>
          <w:sz w:val="19"/>
          <w:szCs w:val="19"/>
        </w:rPr>
        <w:t xml:space="preserve"> entenderá como definición de Plan Anual de Adquisiciones respecto a todos los sujetos obligados que contratan con recursos públicos, la prevista en el artículo 3° del Decreto 1510 de 2013, o el que lo modifique, sustituya o adicione».</w:t>
      </w:r>
    </w:p>
    <w:p w14:paraId="0FDC5BD4" w14:textId="77777777" w:rsidR="00ED7A8F" w:rsidRPr="003054D6" w:rsidRDefault="00ED7A8F" w:rsidP="00ED7A8F">
      <w:pPr>
        <w:pStyle w:val="Textonotapie"/>
        <w:ind w:firstLine="709"/>
        <w:jc w:val="both"/>
        <w:rPr>
          <w:rFonts w:ascii="Arial" w:hAnsi="Arial" w:cs="Arial"/>
          <w:color w:val="000000" w:themeColor="text1"/>
          <w:sz w:val="19"/>
          <w:szCs w:val="19"/>
        </w:rPr>
      </w:pPr>
    </w:p>
  </w:footnote>
  <w:footnote w:id="19">
    <w:p w14:paraId="3DBC70C7" w14:textId="77777777" w:rsidR="00A14A6F" w:rsidRPr="00011E77" w:rsidRDefault="00A14A6F" w:rsidP="00A14A6F">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14:paraId="013F4E33" w14:textId="77777777" w:rsidR="00A14A6F" w:rsidRPr="00011E77" w:rsidRDefault="00A14A6F" w:rsidP="00A14A6F">
      <w:pPr>
        <w:pStyle w:val="Textonotapie"/>
        <w:ind w:firstLine="708"/>
        <w:jc w:val="both"/>
        <w:rPr>
          <w:rFonts w:ascii="Arial" w:hAnsi="Arial" w:cs="Arial"/>
          <w:color w:val="000000" w:themeColor="text1"/>
          <w:sz w:val="19"/>
          <w:szCs w:val="19"/>
        </w:rPr>
      </w:pPr>
      <w:proofErr w:type="gramStart"/>
      <w:r w:rsidRPr="00011E77">
        <w:rPr>
          <w:rFonts w:ascii="Arial" w:eastAsia="Calibri" w:hAnsi="Arial" w:cs="Arial"/>
          <w:color w:val="000000" w:themeColor="text1"/>
          <w:sz w:val="19"/>
          <w:szCs w:val="19"/>
        </w:rPr>
        <w:t>»</w:t>
      </w:r>
      <w:r w:rsidRPr="00011E77">
        <w:rPr>
          <w:rFonts w:ascii="Arial" w:hAnsi="Arial" w:cs="Arial"/>
          <w:color w:val="000000" w:themeColor="text1"/>
          <w:sz w:val="19"/>
          <w:szCs w:val="19"/>
        </w:rPr>
        <w:t>En</w:t>
      </w:r>
      <w:proofErr w:type="gramEnd"/>
      <w:r w:rsidRPr="00011E77">
        <w:rPr>
          <w:rFonts w:ascii="Arial" w:hAnsi="Arial" w:cs="Arial"/>
          <w:color w:val="000000" w:themeColor="text1"/>
          <w:sz w:val="19"/>
          <w:szCs w:val="19"/>
        </w:rPr>
        <w:t xml:space="preserve">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14:paraId="74A7AE13" w14:textId="77777777" w:rsidR="00A14A6F" w:rsidRPr="00011E77" w:rsidRDefault="00A14A6F" w:rsidP="00A14A6F">
      <w:pPr>
        <w:pStyle w:val="Textonotapie"/>
        <w:ind w:firstLine="708"/>
        <w:jc w:val="both"/>
        <w:rPr>
          <w:rFonts w:ascii="Arial" w:hAnsi="Arial" w:cs="Arial"/>
          <w:color w:val="000000" w:themeColor="text1"/>
          <w:sz w:val="19"/>
          <w:szCs w:val="19"/>
          <w:lang w:val="es-CO"/>
        </w:rPr>
      </w:pPr>
    </w:p>
  </w:footnote>
  <w:footnote w:id="20">
    <w:p w14:paraId="5FCE0DE8" w14:textId="77777777" w:rsidR="00A14A6F" w:rsidRPr="00011E77" w:rsidRDefault="00A14A6F" w:rsidP="00A14A6F">
      <w:pPr>
        <w:pStyle w:val="Textonotapie"/>
        <w:ind w:firstLine="709"/>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Circular Externa Única: «Numeral 1.2 Oportunidad en la publicación de la información en el SECOP: Las Entidades que aún utilizan el SECOP I están obligadas a publicar en el SECOP los Documentos del Proceso dentro de los tres (3) días siguientes a su expedición.</w:t>
      </w:r>
    </w:p>
    <w:p w14:paraId="7EF85E29" w14:textId="77777777" w:rsidR="00A14A6F" w:rsidRPr="00011E77" w:rsidRDefault="00A14A6F" w:rsidP="00A14A6F">
      <w:pPr>
        <w:pStyle w:val="Textonotapie"/>
        <w:ind w:firstLine="709"/>
        <w:jc w:val="both"/>
        <w:rPr>
          <w:rFonts w:ascii="Arial" w:hAnsi="Arial" w:cs="Arial"/>
          <w:color w:val="000000" w:themeColor="text1"/>
          <w:sz w:val="19"/>
          <w:szCs w:val="19"/>
        </w:rPr>
      </w:pPr>
      <w:proofErr w:type="gramStart"/>
      <w:r w:rsidRPr="00011E77">
        <w:rPr>
          <w:rFonts w:ascii="Arial" w:eastAsia="Calibri" w:hAnsi="Arial" w:cs="Arial"/>
          <w:color w:val="000000" w:themeColor="text1"/>
          <w:sz w:val="19"/>
          <w:szCs w:val="19"/>
        </w:rPr>
        <w:t>»</w:t>
      </w:r>
      <w:r w:rsidRPr="00011E77">
        <w:rPr>
          <w:rFonts w:ascii="Arial" w:hAnsi="Arial" w:cs="Arial"/>
          <w:color w:val="000000" w:themeColor="text1"/>
          <w:sz w:val="19"/>
          <w:szCs w:val="19"/>
        </w:rPr>
        <w:t>La</w:t>
      </w:r>
      <w:proofErr w:type="gramEnd"/>
      <w:r w:rsidRPr="00011E77">
        <w:rPr>
          <w:rFonts w:ascii="Arial" w:hAnsi="Arial" w:cs="Arial"/>
          <w:color w:val="000000" w:themeColor="text1"/>
          <w:sz w:val="19"/>
          <w:szCs w:val="19"/>
        </w:rPr>
        <w:t xml:space="preserve"> información registrada por las Entidades en el SECOP II y en la Tienda Virtual del Estado Colombiano, está disponible en tiempo real en razón a que las actuaciones del Proceso de Contratación tienen lugar electrónicamente a través de dichas plataformas transaccionales</w:t>
      </w:r>
      <w:r w:rsidRPr="00011E77">
        <w:rPr>
          <w:rFonts w:ascii="Arial" w:eastAsia="Calibri" w:hAnsi="Arial" w:cs="Arial"/>
          <w:color w:val="000000" w:themeColor="text1"/>
          <w:sz w:val="19"/>
          <w:szCs w:val="19"/>
        </w:rPr>
        <w:t>»</w:t>
      </w:r>
      <w:r w:rsidRPr="00011E77">
        <w:rPr>
          <w:rFonts w:ascii="Arial" w:hAnsi="Arial" w:cs="Arial"/>
          <w:color w:val="000000" w:themeColor="text1"/>
          <w:sz w:val="19"/>
          <w:szCs w:val="19"/>
        </w:rPr>
        <w:t xml:space="preserve">. </w:t>
      </w:r>
    </w:p>
    <w:p w14:paraId="194145C8" w14:textId="77777777" w:rsidR="00A14A6F" w:rsidRPr="00011E77" w:rsidRDefault="00A14A6F" w:rsidP="00A14A6F">
      <w:pPr>
        <w:pStyle w:val="Textonotapie"/>
        <w:ind w:firstLine="708"/>
        <w:jc w:val="both"/>
        <w:rPr>
          <w:rFonts w:ascii="Arial" w:hAnsi="Arial" w:cs="Arial"/>
          <w:color w:val="000000" w:themeColor="text1"/>
          <w:sz w:val="19"/>
          <w:szCs w:val="19"/>
        </w:rPr>
      </w:pPr>
      <w:proofErr w:type="gramStart"/>
      <w:r w:rsidRPr="00011E77">
        <w:rPr>
          <w:rFonts w:ascii="Arial" w:eastAsia="Calibri" w:hAnsi="Arial" w:cs="Arial"/>
          <w:color w:val="000000" w:themeColor="text1"/>
          <w:sz w:val="19"/>
          <w:szCs w:val="19"/>
        </w:rPr>
        <w:t>»</w:t>
      </w:r>
      <w:r w:rsidRPr="00011E77">
        <w:rPr>
          <w:rFonts w:ascii="Arial" w:hAnsi="Arial" w:cs="Arial"/>
          <w:color w:val="000000" w:themeColor="text1"/>
          <w:sz w:val="19"/>
          <w:szCs w:val="19"/>
        </w:rPr>
        <w:t>Con</w:t>
      </w:r>
      <w:proofErr w:type="gramEnd"/>
      <w:r w:rsidRPr="00011E77">
        <w:rPr>
          <w:rFonts w:ascii="Arial" w:hAnsi="Arial" w:cs="Arial"/>
          <w:color w:val="000000" w:themeColor="text1"/>
          <w:sz w:val="19"/>
          <w:szCs w:val="19"/>
        </w:rPr>
        <w:t xml:space="preserve">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p w14:paraId="781EB8EF" w14:textId="77777777" w:rsidR="00A14A6F" w:rsidRPr="00011E77" w:rsidRDefault="00A14A6F" w:rsidP="00A14A6F">
      <w:pPr>
        <w:pStyle w:val="Textonotapie"/>
        <w:ind w:firstLine="708"/>
        <w:jc w:val="both"/>
        <w:rPr>
          <w:rFonts w:ascii="Arial" w:hAnsi="Arial" w:cs="Arial"/>
          <w:color w:val="000000" w:themeColor="text1"/>
          <w:sz w:val="19"/>
          <w:szCs w:val="19"/>
          <w:lang w:val="es-CO"/>
        </w:rPr>
      </w:pPr>
    </w:p>
  </w:footnote>
  <w:footnote w:id="21">
    <w:p w14:paraId="4DA99A44" w14:textId="77777777" w:rsidR="00A14A6F" w:rsidRPr="00011E77" w:rsidRDefault="00A14A6F" w:rsidP="00A14A6F">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Corte Constitucional. Sentencia C- 083 del 1 de marzo de 1995. M.P. Carlos Gaviria Díaz.</w:t>
      </w:r>
    </w:p>
    <w:p w14:paraId="7E8FFCD7" w14:textId="77777777" w:rsidR="00A14A6F" w:rsidRPr="00011E77" w:rsidRDefault="00A14A6F" w:rsidP="00A14A6F">
      <w:pPr>
        <w:pStyle w:val="Textonotapie"/>
        <w:ind w:firstLine="708"/>
        <w:jc w:val="both"/>
        <w:rPr>
          <w:rFonts w:ascii="Arial" w:hAnsi="Arial" w:cs="Arial"/>
          <w:color w:val="000000" w:themeColor="text1"/>
          <w:sz w:val="19"/>
          <w:szCs w:val="19"/>
          <w:lang w:val="es-CO"/>
        </w:rPr>
      </w:pPr>
    </w:p>
  </w:footnote>
  <w:footnote w:id="22">
    <w:p w14:paraId="74E3B1A6" w14:textId="77777777" w:rsidR="00A14A6F" w:rsidRPr="00011E77" w:rsidRDefault="00A14A6F" w:rsidP="00A14A6F">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5E231CB9" w14:textId="77777777" w:rsidR="00A14A6F" w:rsidRPr="00011E77" w:rsidRDefault="00A14A6F" w:rsidP="00A14A6F">
      <w:pPr>
        <w:pStyle w:val="Textonotapie"/>
        <w:ind w:firstLine="708"/>
        <w:jc w:val="both"/>
        <w:rPr>
          <w:rFonts w:ascii="Arial" w:hAnsi="Arial" w:cs="Arial"/>
          <w:color w:val="000000" w:themeColor="text1"/>
          <w:sz w:val="19"/>
          <w:szCs w:val="19"/>
        </w:rPr>
      </w:pPr>
      <w:proofErr w:type="gramStart"/>
      <w:r w:rsidRPr="00011E77">
        <w:rPr>
          <w:rFonts w:ascii="Arial" w:eastAsia="Calibri" w:hAnsi="Arial" w:cs="Arial"/>
          <w:color w:val="000000" w:themeColor="text1"/>
          <w:sz w:val="19"/>
          <w:szCs w:val="19"/>
        </w:rPr>
        <w:t>»</w:t>
      </w:r>
      <w:r w:rsidRPr="00011E77">
        <w:rPr>
          <w:rFonts w:ascii="Arial" w:hAnsi="Arial" w:cs="Arial"/>
          <w:color w:val="000000" w:themeColor="text1"/>
          <w:sz w:val="19"/>
          <w:szCs w:val="19"/>
        </w:rPr>
        <w:t>La</w:t>
      </w:r>
      <w:proofErr w:type="gramEnd"/>
      <w:r w:rsidRPr="00011E77">
        <w:rPr>
          <w:rFonts w:ascii="Arial" w:hAnsi="Arial" w:cs="Arial"/>
          <w:color w:val="000000" w:themeColor="text1"/>
          <w:sz w:val="19"/>
          <w:szCs w:val="19"/>
        </w:rPr>
        <w:t xml:space="preserve">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0411C2F2" w14:textId="77777777" w:rsidR="00A14A6F" w:rsidRPr="00011E77" w:rsidRDefault="00A14A6F" w:rsidP="00A14A6F">
      <w:pPr>
        <w:pStyle w:val="Textonotapie"/>
        <w:ind w:firstLine="708"/>
        <w:jc w:val="both"/>
        <w:rPr>
          <w:rFonts w:ascii="Arial" w:hAnsi="Arial" w:cs="Arial"/>
          <w:color w:val="000000" w:themeColor="text1"/>
          <w:sz w:val="19"/>
          <w:szCs w:val="19"/>
          <w:lang w:val="es-CO"/>
        </w:rPr>
      </w:pPr>
    </w:p>
  </w:footnote>
  <w:footnote w:id="23">
    <w:p w14:paraId="254F3945" w14:textId="77777777" w:rsidR="00292F1B" w:rsidRPr="00851936" w:rsidRDefault="00292F1B" w:rsidP="00292F1B">
      <w:pPr>
        <w:pStyle w:val="Textonotapie"/>
        <w:ind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4170 de 2011: «Artículo 3. Funciones: La Agencia Nacional de Contratación Pública –Colombia Compra Eficiente– ejercerá las siguientes funciones:</w:t>
      </w:r>
      <w:r>
        <w:rPr>
          <w:rFonts w:ascii="Arial" w:hAnsi="Arial" w:cs="Arial"/>
          <w:color w:val="000000" w:themeColor="text1"/>
          <w:sz w:val="19"/>
          <w:szCs w:val="19"/>
        </w:rPr>
        <w:t xml:space="preserve"> </w:t>
      </w:r>
      <w:r w:rsidRPr="00851936">
        <w:rPr>
          <w:rFonts w:ascii="Arial" w:hAnsi="Arial" w:cs="Arial"/>
          <w:color w:val="000000" w:themeColor="text1"/>
          <w:sz w:val="19"/>
          <w:szCs w:val="19"/>
        </w:rPr>
        <w:t>[...]</w:t>
      </w:r>
    </w:p>
    <w:p w14:paraId="6B54D02D" w14:textId="77777777" w:rsidR="00292F1B" w:rsidRPr="00851936" w:rsidRDefault="00292F1B" w:rsidP="00292F1B">
      <w:pPr>
        <w:pStyle w:val="Textonotapie"/>
        <w:ind w:firstLine="708"/>
        <w:jc w:val="both"/>
        <w:rPr>
          <w:rFonts w:ascii="Arial" w:hAnsi="Arial" w:cs="Arial"/>
          <w:color w:val="000000" w:themeColor="text1"/>
          <w:sz w:val="19"/>
          <w:szCs w:val="19"/>
        </w:rPr>
      </w:pPr>
      <w:r w:rsidRPr="00851936">
        <w:rPr>
          <w:rFonts w:ascii="Arial" w:hAnsi="Arial" w:cs="Arial"/>
          <w:color w:val="000000" w:themeColor="text1"/>
          <w:sz w:val="19"/>
          <w:szCs w:val="19"/>
        </w:rPr>
        <w:t xml:space="preserve">»8. Desarrollar y administrar el Sistema Electrónico para la Contratación Pública (SECOP) o el que haga sus veces, y gestionar nuevos desarrollos tecnológicos en los asuntos de su competencia, teniendo en cuenta los parámetros fijados por el Consejo </w:t>
      </w:r>
      <w:proofErr w:type="gramStart"/>
      <w:r w:rsidRPr="00851936">
        <w:rPr>
          <w:rFonts w:ascii="Arial" w:hAnsi="Arial" w:cs="Arial"/>
          <w:color w:val="000000" w:themeColor="text1"/>
          <w:sz w:val="19"/>
          <w:szCs w:val="19"/>
        </w:rPr>
        <w:t>Directivo.[...]</w:t>
      </w:r>
      <w:proofErr w:type="gramEnd"/>
      <w:r w:rsidRPr="00851936">
        <w:rPr>
          <w:rFonts w:ascii="Arial" w:hAnsi="Arial" w:cs="Arial"/>
          <w:color w:val="000000" w:themeColor="text1"/>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E39BB7" w14:textId="6E6AC18F" w:rsidR="004026EC" w:rsidRDefault="004026EC" w:rsidP="004026EC">
    <w:pPr>
      <w:pStyle w:val="Encabezado"/>
      <w:jc w:val="right"/>
    </w:pPr>
    <w:r>
      <w:rPr>
        <w:noProof/>
        <w:lang w:val="es-CO" w:eastAsia="es-CO"/>
      </w:rPr>
      <w:drawing>
        <wp:anchor distT="0" distB="0" distL="114300" distR="114300" simplePos="0" relativeHeight="251659264" behindDoc="1" locked="0" layoutInCell="1" allowOverlap="1" wp14:anchorId="109083BD" wp14:editId="7795F176">
          <wp:simplePos x="0" y="0"/>
          <wp:positionH relativeFrom="margin">
            <wp:align>right</wp:align>
          </wp:positionH>
          <wp:positionV relativeFrom="paragraph">
            <wp:posOffset>-135807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E28"/>
    <w:rsid w:val="00011E77"/>
    <w:rsid w:val="00025C12"/>
    <w:rsid w:val="000320C7"/>
    <w:rsid w:val="000426EA"/>
    <w:rsid w:val="00044E28"/>
    <w:rsid w:val="000A3619"/>
    <w:rsid w:val="000B575E"/>
    <w:rsid w:val="000C7584"/>
    <w:rsid w:val="000D086F"/>
    <w:rsid w:val="0010326F"/>
    <w:rsid w:val="0010548D"/>
    <w:rsid w:val="001245AF"/>
    <w:rsid w:val="00151925"/>
    <w:rsid w:val="00164DC1"/>
    <w:rsid w:val="0018589F"/>
    <w:rsid w:val="001B5BCF"/>
    <w:rsid w:val="001F7346"/>
    <w:rsid w:val="00230EC0"/>
    <w:rsid w:val="00234D71"/>
    <w:rsid w:val="0027761D"/>
    <w:rsid w:val="00281435"/>
    <w:rsid w:val="00292F1B"/>
    <w:rsid w:val="002F71CA"/>
    <w:rsid w:val="00330A5A"/>
    <w:rsid w:val="0035606A"/>
    <w:rsid w:val="003B0A0C"/>
    <w:rsid w:val="003C1395"/>
    <w:rsid w:val="003D1973"/>
    <w:rsid w:val="004026EC"/>
    <w:rsid w:val="00420C0F"/>
    <w:rsid w:val="00467D65"/>
    <w:rsid w:val="004728CC"/>
    <w:rsid w:val="00482100"/>
    <w:rsid w:val="004D38B9"/>
    <w:rsid w:val="004D4E2B"/>
    <w:rsid w:val="00525795"/>
    <w:rsid w:val="00526B4A"/>
    <w:rsid w:val="005559F8"/>
    <w:rsid w:val="00577CC0"/>
    <w:rsid w:val="005D3D12"/>
    <w:rsid w:val="005E0ED1"/>
    <w:rsid w:val="005E2D11"/>
    <w:rsid w:val="005E3121"/>
    <w:rsid w:val="006132CA"/>
    <w:rsid w:val="00630D34"/>
    <w:rsid w:val="00634DE3"/>
    <w:rsid w:val="0064630A"/>
    <w:rsid w:val="00647047"/>
    <w:rsid w:val="00675DCA"/>
    <w:rsid w:val="00716408"/>
    <w:rsid w:val="0073638E"/>
    <w:rsid w:val="00790B6D"/>
    <w:rsid w:val="007B2B9C"/>
    <w:rsid w:val="00813BF0"/>
    <w:rsid w:val="00863C61"/>
    <w:rsid w:val="0086595D"/>
    <w:rsid w:val="00875244"/>
    <w:rsid w:val="00902EFE"/>
    <w:rsid w:val="00935AB9"/>
    <w:rsid w:val="009B13D1"/>
    <w:rsid w:val="009C529A"/>
    <w:rsid w:val="009C7FF2"/>
    <w:rsid w:val="009E5C52"/>
    <w:rsid w:val="00A026BB"/>
    <w:rsid w:val="00A14A6F"/>
    <w:rsid w:val="00A74160"/>
    <w:rsid w:val="00AA1E74"/>
    <w:rsid w:val="00AC4CB8"/>
    <w:rsid w:val="00B24529"/>
    <w:rsid w:val="00B27E0D"/>
    <w:rsid w:val="00B653DE"/>
    <w:rsid w:val="00BC0CDB"/>
    <w:rsid w:val="00BE0533"/>
    <w:rsid w:val="00BE3D8E"/>
    <w:rsid w:val="00C10962"/>
    <w:rsid w:val="00C1452D"/>
    <w:rsid w:val="00C83CE0"/>
    <w:rsid w:val="00CA528D"/>
    <w:rsid w:val="00CA5B28"/>
    <w:rsid w:val="00CE49CB"/>
    <w:rsid w:val="00D4313A"/>
    <w:rsid w:val="00D61785"/>
    <w:rsid w:val="00DD2EB9"/>
    <w:rsid w:val="00DE3EBE"/>
    <w:rsid w:val="00E045BC"/>
    <w:rsid w:val="00E80494"/>
    <w:rsid w:val="00E82B30"/>
    <w:rsid w:val="00E86BD9"/>
    <w:rsid w:val="00EA13D6"/>
    <w:rsid w:val="00EB7195"/>
    <w:rsid w:val="00ED7A8F"/>
    <w:rsid w:val="00F14B5E"/>
    <w:rsid w:val="00F443AA"/>
    <w:rsid w:val="00F9676D"/>
    <w:rsid w:val="00FB5BCD"/>
    <w:rsid w:val="00FE2DC5"/>
    <w:rsid w:val="00FE6C7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1C3EC"/>
  <w15:chartTrackingRefBased/>
  <w15:docId w15:val="{29EB762D-1CE8-4475-957F-7923FFE64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E2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Footnote reference,FA Fu,Footnote Text Cha,Footnote Text Char Char Char,FA Fußnotentext,FA Fuﬂnotentext,Footnote Text Char Char,texto de nota al p,FA Fu Car Car,ft"/>
    <w:basedOn w:val="Normal"/>
    <w:link w:val="TextonotapieCar"/>
    <w:uiPriority w:val="99"/>
    <w:unhideWhenUsed/>
    <w:qFormat/>
    <w:rsid w:val="00044E28"/>
    <w:rPr>
      <w:sz w:val="20"/>
      <w:szCs w:val="20"/>
    </w:rPr>
  </w:style>
  <w:style w:type="character" w:customStyle="1" w:styleId="TextonotapieCar">
    <w:name w:val="Texto nota pie Car"/>
    <w:aliases w:val="Footnote Text Char Char Char Char Char Car,Footnote Text Char Char Char Char Car,Footnote reference Car,FA Fu Car,Footnote Text Cha Car,Footnote Text Char Char Char Car,FA Fußnotentext Car,FA Fuﬂnotentext Car,texto de nota al p Car"/>
    <w:basedOn w:val="Fuentedeprrafopredeter"/>
    <w:link w:val="Textonotapie"/>
    <w:uiPriority w:val="99"/>
    <w:rsid w:val="00044E28"/>
    <w:rPr>
      <w:sz w:val="20"/>
      <w:szCs w:val="20"/>
      <w:lang w:val="es-MX"/>
    </w:rPr>
  </w:style>
  <w:style w:type="character" w:styleId="Refdenotaalpie">
    <w:name w:val="footnote reference"/>
    <w:aliases w:val="Ref. de nota al pie 2,Texto de nota al pie,Footnotes refss,Appel note de bas de page,referencia nota al pie,Footnote number,BVI fnr,f,4_G,16 Point,Superscript 6 Point,Texto nota al pie,Pie de Página,FC,Texto de nota al pi,Nota de pie"/>
    <w:basedOn w:val="Fuentedeprrafopredeter"/>
    <w:uiPriority w:val="99"/>
    <w:unhideWhenUsed/>
    <w:qFormat/>
    <w:rsid w:val="00044E28"/>
    <w:rPr>
      <w:vertAlign w:val="superscript"/>
    </w:rPr>
  </w:style>
  <w:style w:type="paragraph" w:styleId="NormalWeb">
    <w:name w:val="Normal (Web)"/>
    <w:basedOn w:val="Normal"/>
    <w:link w:val="NormalWebCar"/>
    <w:uiPriority w:val="99"/>
    <w:unhideWhenUsed/>
    <w:rsid w:val="00044E28"/>
    <w:pPr>
      <w:spacing w:before="100" w:beforeAutospacing="1" w:after="100" w:afterAutospacing="1"/>
    </w:pPr>
    <w:rPr>
      <w:rFonts w:ascii="Times New Roman" w:eastAsia="Times New Roman" w:hAnsi="Times New Roman" w:cs="Times New Roman"/>
      <w:szCs w:val="24"/>
      <w:lang w:val="es-CO" w:eastAsia="es-CO"/>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44E28"/>
    <w:pPr>
      <w:ind w:left="720"/>
      <w:contextualSpacing/>
      <w:jc w:val="both"/>
    </w:pPr>
  </w:style>
  <w:style w:type="character" w:customStyle="1" w:styleId="NormalWebCar">
    <w:name w:val="Normal (Web) Car"/>
    <w:link w:val="NormalWeb"/>
    <w:uiPriority w:val="99"/>
    <w:rsid w:val="00044E28"/>
    <w:rPr>
      <w:rFonts w:ascii="Times New Roman" w:eastAsia="Times New Roman" w:hAnsi="Times New Roman" w:cs="Times New Roman"/>
      <w:sz w:val="24"/>
      <w:szCs w:val="24"/>
      <w:lang w:eastAsia="es-CO"/>
    </w:rPr>
  </w:style>
  <w:style w:type="table" w:styleId="Tablaconcuadrcula">
    <w:name w:val="Table Grid"/>
    <w:basedOn w:val="Tablanormal"/>
    <w:uiPriority w:val="39"/>
    <w:rsid w:val="00630D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30D34"/>
    <w:rPr>
      <w:sz w:val="24"/>
      <w:lang w:val="es-MX"/>
    </w:rPr>
  </w:style>
  <w:style w:type="paragraph" w:styleId="Encabezado">
    <w:name w:val="header"/>
    <w:basedOn w:val="Normal"/>
    <w:link w:val="EncabezadoCar"/>
    <w:uiPriority w:val="99"/>
    <w:unhideWhenUsed/>
    <w:rsid w:val="004026EC"/>
    <w:pPr>
      <w:tabs>
        <w:tab w:val="center" w:pos="4419"/>
        <w:tab w:val="right" w:pos="8838"/>
      </w:tabs>
    </w:pPr>
  </w:style>
  <w:style w:type="character" w:customStyle="1" w:styleId="EncabezadoCar">
    <w:name w:val="Encabezado Car"/>
    <w:basedOn w:val="Fuentedeprrafopredeter"/>
    <w:link w:val="Encabezado"/>
    <w:uiPriority w:val="99"/>
    <w:rsid w:val="004026EC"/>
    <w:rPr>
      <w:sz w:val="24"/>
      <w:lang w:val="es-MX"/>
    </w:rPr>
  </w:style>
  <w:style w:type="paragraph" w:styleId="Piedepgina">
    <w:name w:val="footer"/>
    <w:basedOn w:val="Normal"/>
    <w:link w:val="PiedepginaCar"/>
    <w:uiPriority w:val="99"/>
    <w:unhideWhenUsed/>
    <w:rsid w:val="004026EC"/>
    <w:pPr>
      <w:tabs>
        <w:tab w:val="center" w:pos="4419"/>
        <w:tab w:val="right" w:pos="8838"/>
      </w:tabs>
    </w:pPr>
  </w:style>
  <w:style w:type="character" w:customStyle="1" w:styleId="PiedepginaCar">
    <w:name w:val="Pie de página Car"/>
    <w:basedOn w:val="Fuentedeprrafopredeter"/>
    <w:link w:val="Piedepgina"/>
    <w:uiPriority w:val="99"/>
    <w:rsid w:val="004026EC"/>
    <w:rPr>
      <w:sz w:val="24"/>
      <w:lang w:val="es-MX"/>
    </w:rPr>
  </w:style>
  <w:style w:type="paragraph" w:styleId="Sinespaciado">
    <w:name w:val="No Spacing"/>
    <w:aliases w:val="No Indent"/>
    <w:uiPriority w:val="3"/>
    <w:qFormat/>
    <w:rsid w:val="004026EC"/>
    <w:pPr>
      <w:spacing w:after="0" w:line="240" w:lineRule="auto"/>
    </w:pPr>
    <w:rPr>
      <w:sz w:val="24"/>
      <w:lang w:val="es-MX"/>
    </w:rPr>
  </w:style>
  <w:style w:type="paragraph" w:customStyle="1" w:styleId="InviasNormal">
    <w:name w:val="Invias Normal"/>
    <w:basedOn w:val="Normal"/>
    <w:link w:val="InviasNormalCar"/>
    <w:qFormat/>
    <w:rsid w:val="00C10962"/>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C10962"/>
    <w:rPr>
      <w:rFonts w:ascii="Arial Narrow" w:eastAsia="Times New Roman" w:hAnsi="Arial Narrow" w:cs="Times New Roman"/>
      <w:color w:val="3B3838" w:themeColor="background2" w:themeShade="40"/>
      <w:sz w:val="24"/>
      <w:szCs w:val="24"/>
      <w:lang w:val="x-none" w:eastAsia="es-ES"/>
    </w:rPr>
  </w:style>
  <w:style w:type="paragraph" w:customStyle="1" w:styleId="Default">
    <w:name w:val="Default"/>
    <w:rsid w:val="00B24529"/>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semiHidden/>
    <w:unhideWhenUsed/>
    <w:rsid w:val="005E3121"/>
    <w:rPr>
      <w:color w:val="0000FF"/>
      <w:u w:val="single"/>
    </w:rPr>
  </w:style>
  <w:style w:type="paragraph" w:styleId="Textoindependiente">
    <w:name w:val="Body Text"/>
    <w:basedOn w:val="Normal"/>
    <w:link w:val="TextoindependienteCar"/>
    <w:uiPriority w:val="1"/>
    <w:qFormat/>
    <w:rsid w:val="000A3619"/>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0A3619"/>
    <w:rPr>
      <w:rFonts w:ascii="Arial" w:eastAsia="Arial" w:hAnsi="Arial" w:cs="Arial"/>
      <w:lang w:val="es-ES"/>
    </w:rPr>
  </w:style>
  <w:style w:type="character" w:styleId="Refdecomentario">
    <w:name w:val="annotation reference"/>
    <w:basedOn w:val="Fuentedeprrafopredeter"/>
    <w:uiPriority w:val="99"/>
    <w:semiHidden/>
    <w:unhideWhenUsed/>
    <w:rsid w:val="009B13D1"/>
    <w:rPr>
      <w:sz w:val="16"/>
      <w:szCs w:val="16"/>
    </w:rPr>
  </w:style>
  <w:style w:type="paragraph" w:styleId="Textocomentario">
    <w:name w:val="annotation text"/>
    <w:basedOn w:val="Normal"/>
    <w:link w:val="TextocomentarioCar"/>
    <w:uiPriority w:val="99"/>
    <w:semiHidden/>
    <w:unhideWhenUsed/>
    <w:rsid w:val="009B13D1"/>
    <w:rPr>
      <w:sz w:val="20"/>
      <w:szCs w:val="20"/>
    </w:rPr>
  </w:style>
  <w:style w:type="character" w:customStyle="1" w:styleId="TextocomentarioCar">
    <w:name w:val="Texto comentario Car"/>
    <w:basedOn w:val="Fuentedeprrafopredeter"/>
    <w:link w:val="Textocomentario"/>
    <w:uiPriority w:val="99"/>
    <w:semiHidden/>
    <w:rsid w:val="009B13D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9B13D1"/>
    <w:rPr>
      <w:b/>
      <w:bCs/>
    </w:rPr>
  </w:style>
  <w:style w:type="character" w:customStyle="1" w:styleId="AsuntodelcomentarioCar">
    <w:name w:val="Asunto del comentario Car"/>
    <w:basedOn w:val="TextocomentarioCar"/>
    <w:link w:val="Asuntodelcomentario"/>
    <w:uiPriority w:val="99"/>
    <w:semiHidden/>
    <w:rsid w:val="009B13D1"/>
    <w:rPr>
      <w:b/>
      <w:bCs/>
      <w:sz w:val="20"/>
      <w:szCs w:val="20"/>
      <w:lang w:val="es-MX"/>
    </w:rPr>
  </w:style>
  <w:style w:type="paragraph" w:styleId="Textodeglobo">
    <w:name w:val="Balloon Text"/>
    <w:basedOn w:val="Normal"/>
    <w:link w:val="TextodegloboCar"/>
    <w:uiPriority w:val="99"/>
    <w:semiHidden/>
    <w:unhideWhenUsed/>
    <w:rsid w:val="009B13D1"/>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9B13D1"/>
    <w:rPr>
      <w:rFonts w:ascii="Times New Roman" w:hAnsi="Times New Roman" w:cs="Times New Roman"/>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283749">
      <w:bodyDiv w:val="1"/>
      <w:marLeft w:val="0"/>
      <w:marRight w:val="0"/>
      <w:marTop w:val="0"/>
      <w:marBottom w:val="0"/>
      <w:divBdr>
        <w:top w:val="none" w:sz="0" w:space="0" w:color="auto"/>
        <w:left w:val="none" w:sz="0" w:space="0" w:color="auto"/>
        <w:bottom w:val="none" w:sz="0" w:space="0" w:color="auto"/>
        <w:right w:val="none" w:sz="0" w:space="0" w:color="auto"/>
      </w:divBdr>
    </w:div>
    <w:div w:id="900948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poxta2.colombiacompra.gov.co/sites/docs/_layouts/15/listform.aspx?PageType=6&amp;ListId=%7b41406f67-8aaf-444a-8f23-f6b9ad006b34%7d&amp;ID=90277"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poxta2.colombiacompra.gov.co/sites/docs/_layouts/15/listform.aspx?PageType=6&amp;ListId=%7b41406f67-8aaf-444a-8f23-f6b9ad006b34%7d&amp;ID=86151"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C93953-9434-4CBB-8D43-A361EBE0DA40}">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D4580DD7-9E82-410C-9B58-7670350AB897}">
  <ds:schemaRefs>
    <ds:schemaRef ds:uri="http://schemas.openxmlformats.org/officeDocument/2006/bibliography"/>
  </ds:schemaRefs>
</ds:datastoreItem>
</file>

<file path=customXml/itemProps3.xml><?xml version="1.0" encoding="utf-8"?>
<ds:datastoreItem xmlns:ds="http://schemas.openxmlformats.org/officeDocument/2006/customXml" ds:itemID="{ADF96186-512E-4750-A983-7D1A864FFF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D8C344-55C6-4774-936E-9642202DC5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6445</Words>
  <Characters>35451</Characters>
  <Application>Microsoft Office Word</Application>
  <DocSecurity>0</DocSecurity>
  <Lines>295</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Alejandro Sarmiento</cp:lastModifiedBy>
  <cp:revision>2</cp:revision>
  <dcterms:created xsi:type="dcterms:W3CDTF">2020-08-27T21:27:00Z</dcterms:created>
  <dcterms:modified xsi:type="dcterms:W3CDTF">2020-08-27T21:27:00Z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