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Pr="009D0E93" w:rsidRDefault="002411DE" w:rsidP="008B6649">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D0E93">
        <w:rPr>
          <w:rFonts w:ascii="Arial" w:hAnsi="Arial" w:cs="Arial"/>
          <w:b/>
          <w:color w:val="000000" w:themeColor="text1"/>
          <w:sz w:val="16"/>
          <w:szCs w:val="16"/>
          <w:lang w:val="es-ES_tradnl" w:eastAsia="es-ES"/>
        </w:rPr>
        <w:t>CCE-DES-FM-17</w:t>
      </w:r>
      <w:bookmarkStart w:id="2" w:name="_Hlk50481752"/>
      <w:bookmarkEnd w:id="0"/>
      <w:bookmarkEnd w:id="1"/>
    </w:p>
    <w:bookmarkEnd w:id="2"/>
    <w:p w14:paraId="65D38D5D" w14:textId="5722D3DA" w:rsidR="00150A26" w:rsidRPr="009D0E93" w:rsidRDefault="00150A26" w:rsidP="00150A26">
      <w:pPr>
        <w:jc w:val="both"/>
        <w:rPr>
          <w:rFonts w:ascii="Arial" w:hAnsi="Arial" w:cs="Arial"/>
          <w:b/>
          <w:bCs/>
          <w:sz w:val="22"/>
          <w:szCs w:val="22"/>
        </w:rPr>
      </w:pPr>
      <w:r w:rsidRPr="009D0E93">
        <w:rPr>
          <w:rFonts w:ascii="Arial" w:hAnsi="Arial" w:cs="Arial"/>
          <w:b/>
          <w:bCs/>
          <w:sz w:val="22"/>
          <w:szCs w:val="22"/>
        </w:rPr>
        <w:t xml:space="preserve">EXPERIENCIA </w:t>
      </w:r>
      <w:bookmarkStart w:id="3" w:name="_Hlk39676694"/>
      <w:r w:rsidRPr="009D0E93">
        <w:rPr>
          <w:rFonts w:ascii="Arial" w:eastAsia="Calibri" w:hAnsi="Arial" w:cs="Arial"/>
          <w:b/>
          <w:sz w:val="22"/>
          <w:szCs w:val="22"/>
        </w:rPr>
        <w:t>–</w:t>
      </w:r>
      <w:bookmarkEnd w:id="3"/>
      <w:r w:rsidRPr="009D0E93">
        <w:rPr>
          <w:rFonts w:ascii="Arial" w:eastAsia="Calibri" w:hAnsi="Arial" w:cs="Arial"/>
          <w:b/>
          <w:sz w:val="22"/>
          <w:szCs w:val="22"/>
        </w:rPr>
        <w:t xml:space="preserve"> Concepto </w:t>
      </w:r>
    </w:p>
    <w:p w14:paraId="7FE30611" w14:textId="77777777" w:rsidR="00150A26" w:rsidRPr="009D0E93" w:rsidRDefault="00150A26" w:rsidP="00150A26">
      <w:pPr>
        <w:jc w:val="both"/>
        <w:rPr>
          <w:rFonts w:ascii="Arial" w:hAnsi="Arial" w:cs="Arial"/>
          <w:b/>
          <w:bCs/>
          <w:sz w:val="20"/>
          <w:szCs w:val="20"/>
        </w:rPr>
      </w:pPr>
    </w:p>
    <w:p w14:paraId="436CBFD9" w14:textId="77777777" w:rsidR="00150A26" w:rsidRPr="009D0E93" w:rsidRDefault="00150A26" w:rsidP="00150A26">
      <w:pPr>
        <w:jc w:val="both"/>
        <w:rPr>
          <w:rFonts w:ascii="Arial" w:hAnsi="Arial" w:cs="Arial"/>
          <w:sz w:val="20"/>
          <w:szCs w:val="20"/>
          <w:lang w:eastAsia="es-ES"/>
        </w:rPr>
      </w:pPr>
      <w:r w:rsidRPr="009D0E93">
        <w:rPr>
          <w:rFonts w:ascii="Arial" w:hAnsi="Arial" w:cs="Arial"/>
          <w:sz w:val="20"/>
          <w:szCs w:val="20"/>
          <w:lang w:eastAsia="es-ES"/>
        </w:rPr>
        <w:t xml:space="preserve">[…], se pueden extraer cuatro conclusiones relevantes para evaluar las figuras y reformas estatutarias de las sociedades comerciales, respecto de la experiencia: </w:t>
      </w:r>
    </w:p>
    <w:p w14:paraId="3E08C378" w14:textId="77777777" w:rsidR="00150A26" w:rsidRPr="009D0E93" w:rsidRDefault="00150A26" w:rsidP="00150A26">
      <w:pPr>
        <w:jc w:val="both"/>
        <w:rPr>
          <w:rFonts w:ascii="Arial" w:hAnsi="Arial" w:cs="Arial"/>
          <w:sz w:val="20"/>
          <w:szCs w:val="20"/>
          <w:lang w:eastAsia="es-ES"/>
        </w:rPr>
      </w:pPr>
      <w:r w:rsidRPr="009D0E93">
        <w:rPr>
          <w:rFonts w:ascii="Arial" w:hAnsi="Arial" w:cs="Arial"/>
          <w:sz w:val="20"/>
          <w:szCs w:val="20"/>
          <w:lang w:eastAsia="es-ES"/>
        </w:rPr>
        <w:t>i) La experiencia es personal, esto es, se adquiere participando, directa o indirectamente, sin que sea posible no hacerlo y tener experiencia.</w:t>
      </w:r>
    </w:p>
    <w:p w14:paraId="713FB20D" w14:textId="77777777" w:rsidR="00150A26" w:rsidRPr="009D0E93" w:rsidRDefault="00150A26" w:rsidP="00150A26">
      <w:pPr>
        <w:jc w:val="both"/>
        <w:rPr>
          <w:rFonts w:ascii="Arial" w:hAnsi="Arial" w:cs="Arial"/>
          <w:sz w:val="20"/>
          <w:szCs w:val="20"/>
          <w:lang w:eastAsia="es-ES"/>
        </w:rPr>
      </w:pPr>
      <w:r w:rsidRPr="009D0E93">
        <w:rPr>
          <w:rFonts w:ascii="Arial" w:hAnsi="Arial" w:cs="Arial"/>
          <w:sz w:val="20"/>
          <w:szCs w:val="20"/>
          <w:lang w:eastAsia="es-ES"/>
        </w:rPr>
        <w:t>ii) La experiencia se puede compartir,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p>
    <w:p w14:paraId="339E864C" w14:textId="77777777" w:rsidR="00150A26" w:rsidRPr="009D0E93" w:rsidRDefault="00150A26" w:rsidP="00150A26">
      <w:pPr>
        <w:jc w:val="both"/>
        <w:rPr>
          <w:rFonts w:ascii="Arial" w:hAnsi="Arial" w:cs="Arial"/>
          <w:sz w:val="20"/>
          <w:szCs w:val="20"/>
          <w:lang w:eastAsia="es-ES"/>
        </w:rPr>
      </w:pPr>
      <w:r w:rsidRPr="009D0E93">
        <w:rPr>
          <w:rFonts w:ascii="Arial" w:hAnsi="Arial" w:cs="Arial"/>
          <w:sz w:val="20"/>
          <w:szCs w:val="20"/>
          <w:lang w:eastAsia="es-ES"/>
        </w:rPr>
        <w:t>iii)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2.2 de este concepto.</w:t>
      </w:r>
    </w:p>
    <w:p w14:paraId="6392E8E6" w14:textId="77777777" w:rsidR="00150A26" w:rsidRPr="009D0E93" w:rsidRDefault="00150A26" w:rsidP="00150A26">
      <w:pPr>
        <w:jc w:val="both"/>
        <w:rPr>
          <w:rFonts w:ascii="Arial" w:hAnsi="Arial" w:cs="Arial"/>
          <w:sz w:val="20"/>
          <w:szCs w:val="20"/>
          <w:lang w:eastAsia="es-ES"/>
        </w:rPr>
      </w:pPr>
      <w:r w:rsidRPr="009D0E93">
        <w:rPr>
          <w:rFonts w:ascii="Arial" w:hAnsi="Arial" w:cs="Arial"/>
          <w:sz w:val="20"/>
          <w:szCs w:val="20"/>
          <w:lang w:eastAsia="es-ES"/>
        </w:rPr>
        <w:t>iv) Cuando la persona que adquirió la experiencia desaparece o se liquida no es posible que comparta o transfiera su experiencia, porque al ser personal sigue la suerte de quien la adquirió.</w:t>
      </w:r>
    </w:p>
    <w:p w14:paraId="15FDB0D9" w14:textId="77777777" w:rsidR="00150A26" w:rsidRPr="009D0E93" w:rsidRDefault="00150A26" w:rsidP="00150A26">
      <w:pPr>
        <w:jc w:val="both"/>
        <w:rPr>
          <w:rFonts w:ascii="Arial" w:hAnsi="Arial" w:cs="Arial"/>
          <w:b/>
          <w:bCs/>
          <w:sz w:val="20"/>
          <w:szCs w:val="20"/>
          <w:lang w:eastAsia="es-ES"/>
        </w:rPr>
      </w:pPr>
    </w:p>
    <w:p w14:paraId="407640E2" w14:textId="77777777" w:rsidR="00150A26" w:rsidRPr="009D0E93" w:rsidRDefault="00150A26" w:rsidP="00150A26">
      <w:pPr>
        <w:jc w:val="both"/>
        <w:rPr>
          <w:rFonts w:ascii="Arial" w:hAnsi="Arial" w:cs="Arial"/>
          <w:b/>
          <w:bCs/>
          <w:sz w:val="22"/>
          <w:szCs w:val="22"/>
          <w:lang w:eastAsia="es-ES"/>
        </w:rPr>
      </w:pPr>
      <w:r w:rsidRPr="009D0E93">
        <w:rPr>
          <w:rFonts w:ascii="Arial" w:hAnsi="Arial" w:cs="Arial"/>
          <w:b/>
          <w:bCs/>
          <w:sz w:val="22"/>
          <w:szCs w:val="22"/>
          <w:lang w:eastAsia="es-ES"/>
        </w:rPr>
        <w:t xml:space="preserve">EXPERIENCIA </w:t>
      </w:r>
      <w:r w:rsidRPr="009D0E93">
        <w:rPr>
          <w:rFonts w:ascii="Arial" w:eastAsia="Calibri" w:hAnsi="Arial" w:cs="Arial"/>
          <w:b/>
          <w:bCs/>
          <w:sz w:val="22"/>
          <w:szCs w:val="22"/>
          <w:lang w:eastAsia="es-ES"/>
        </w:rPr>
        <w:t>– Transformación</w:t>
      </w:r>
    </w:p>
    <w:p w14:paraId="13A405F5" w14:textId="77777777" w:rsidR="00150A26" w:rsidRPr="009D0E93" w:rsidRDefault="00150A26" w:rsidP="00150A26">
      <w:pPr>
        <w:widowControl w:val="0"/>
        <w:autoSpaceDE w:val="0"/>
        <w:autoSpaceDN w:val="0"/>
        <w:jc w:val="both"/>
        <w:rPr>
          <w:rFonts w:ascii="Arial" w:hAnsi="Arial" w:cs="Arial"/>
          <w:b/>
          <w:bCs/>
          <w:sz w:val="20"/>
          <w:szCs w:val="20"/>
          <w:lang w:val="es-MX"/>
        </w:rPr>
      </w:pPr>
    </w:p>
    <w:p w14:paraId="1685320B" w14:textId="77777777" w:rsidR="00150A26" w:rsidRPr="009D0E93" w:rsidRDefault="00150A26" w:rsidP="00150A26">
      <w:pPr>
        <w:autoSpaceDE w:val="0"/>
        <w:autoSpaceDN w:val="0"/>
        <w:adjustRightInd w:val="0"/>
        <w:jc w:val="both"/>
        <w:rPr>
          <w:rFonts w:ascii="Arial" w:hAnsi="Arial" w:cs="Arial"/>
          <w:sz w:val="20"/>
          <w:szCs w:val="20"/>
          <w:lang w:eastAsia="es-ES"/>
        </w:rPr>
      </w:pPr>
      <w:r w:rsidRPr="009D0E93">
        <w:rPr>
          <w:rFonts w:ascii="Arial" w:hAnsi="Arial" w:cs="Arial"/>
          <w:sz w:val="20"/>
          <w:szCs w:val="20"/>
          <w:lang w:eastAsia="es-ES"/>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Solo cambia el tipo societario que había adoptado en su constitución, es decir, no sufre modificaciones o alteraciones, y por eso puede continuar adquiriendo experiencia y compartirla, pero no puede trasladarla, porque para ello tendría que «disolverse» o conformar un consorcio, como se verá en la fusión y en una de las modalidades de escisión.  </w:t>
      </w:r>
    </w:p>
    <w:p w14:paraId="0EDD7FA7" w14:textId="77777777" w:rsidR="00150A26" w:rsidRPr="009D0E93" w:rsidRDefault="00150A26" w:rsidP="00150A26">
      <w:pPr>
        <w:autoSpaceDE w:val="0"/>
        <w:autoSpaceDN w:val="0"/>
        <w:adjustRightInd w:val="0"/>
        <w:rPr>
          <w:rFonts w:ascii="Arial" w:hAnsi="Arial" w:cs="Arial"/>
          <w:sz w:val="20"/>
          <w:szCs w:val="20"/>
          <w:lang w:eastAsia="es-ES"/>
        </w:rPr>
      </w:pPr>
    </w:p>
    <w:p w14:paraId="6276F139" w14:textId="77777777" w:rsidR="00150A26" w:rsidRPr="009D0E93" w:rsidRDefault="00150A26" w:rsidP="00150A26">
      <w:pPr>
        <w:jc w:val="both"/>
        <w:rPr>
          <w:rFonts w:ascii="Arial" w:hAnsi="Arial" w:cs="Arial"/>
          <w:b/>
          <w:bCs/>
          <w:sz w:val="22"/>
          <w:szCs w:val="22"/>
        </w:rPr>
      </w:pPr>
      <w:r w:rsidRPr="009D0E93">
        <w:rPr>
          <w:rFonts w:ascii="Arial" w:hAnsi="Arial" w:cs="Arial"/>
          <w:b/>
          <w:bCs/>
          <w:sz w:val="22"/>
          <w:szCs w:val="22"/>
        </w:rPr>
        <w:t xml:space="preserve">EXPERIENCIA </w:t>
      </w:r>
      <w:r w:rsidRPr="009D0E93">
        <w:rPr>
          <w:rFonts w:ascii="Arial" w:eastAsia="Calibri" w:hAnsi="Arial" w:cs="Arial"/>
          <w:b/>
          <w:sz w:val="22"/>
          <w:szCs w:val="22"/>
        </w:rPr>
        <w:t>– Escisión</w:t>
      </w:r>
    </w:p>
    <w:p w14:paraId="08110375" w14:textId="77777777" w:rsidR="00150A26" w:rsidRPr="009D0E93" w:rsidRDefault="00150A26" w:rsidP="00150A26">
      <w:pPr>
        <w:widowControl w:val="0"/>
        <w:autoSpaceDE w:val="0"/>
        <w:autoSpaceDN w:val="0"/>
        <w:jc w:val="both"/>
        <w:rPr>
          <w:rFonts w:ascii="Arial" w:hAnsi="Arial" w:cs="Arial"/>
          <w:b/>
          <w:sz w:val="20"/>
          <w:szCs w:val="20"/>
          <w:lang w:val="es-MX"/>
        </w:rPr>
      </w:pPr>
    </w:p>
    <w:p w14:paraId="14A76BAB" w14:textId="71D91602" w:rsidR="00150A26" w:rsidRPr="009D0E93" w:rsidRDefault="00150A26" w:rsidP="00150A26">
      <w:pPr>
        <w:jc w:val="both"/>
        <w:rPr>
          <w:rFonts w:ascii="Arial" w:hAnsi="Arial" w:cs="Arial"/>
          <w:sz w:val="20"/>
          <w:szCs w:val="20"/>
          <w:lang w:eastAsia="es-ES"/>
        </w:rPr>
      </w:pPr>
      <w:r w:rsidRPr="009D0E93">
        <w:rPr>
          <w:rFonts w:ascii="Arial" w:hAnsi="Arial" w:cs="Arial"/>
          <w:sz w:val="20"/>
          <w:szCs w:val="20"/>
          <w:lang w:eastAsia="es-ES"/>
        </w:rPr>
        <w:t xml:space="preserve">Para la primera modalidad de escisión, teniendo en cuenta que la sociedad continúa sin alteraciones, puede compartir la experiencia a través de esquemas asociativos, pero no la transfiere porque para ello tendría que «disolverse» pero no «liquidarse», puesto que la «liquidación» implicaría que desaparece la persona y así su experiencia. Para explicarlo hay que volver a la definición de «disolución», donde la persona jurídica no desaparece y solo puede hacer trámites para «liquidarse». Sin embargo, hay una excepción a esa regla y es, precisamente, la de las figuras y reformas estatutarias que aquí se explican, particularmente la fusión, ya que por esa excepción la persona tiene continuidad en otra persona, y sigue siendo quien era, lo cual no es el caso de la escisión, ya que en la primera modalidad no existe «disolución», lo que significa que la persona continúa por sí misma y puede adquirir experiencia, pero no puede transferirla, porque le pertenece, al ser quien la adquirió. </w:t>
      </w:r>
      <w:r w:rsidRPr="009D0E93">
        <w:rPr>
          <w:rFonts w:ascii="Arial" w:hAnsi="Arial" w:cs="Arial"/>
          <w:sz w:val="20"/>
          <w:szCs w:val="20"/>
        </w:rPr>
        <w:t xml:space="preserve">Por otro lado, a pesar de que en la segunda modalidad existe «disolución», no hay transferencia de la experiencia, porque la persona jurídica fraccionada deja de ser quien es </w:t>
      </w:r>
      <w:r w:rsidRPr="009D0E93">
        <w:rPr>
          <w:rFonts w:ascii="Arial" w:hAnsi="Arial" w:cs="Arial"/>
          <w:sz w:val="20"/>
          <w:szCs w:val="20"/>
        </w:rPr>
        <w:lastRenderedPageBreak/>
        <w:t>y desaparece, quedando dividida en varias sociedades nuevas o existentes que reciben su patrimonio, sin que sea posible determinar cuál de todas las sociedades que recibieron parte del patrimonio de la sociedad escindida tiene la experiencia.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w:t>
      </w:r>
    </w:p>
    <w:p w14:paraId="75DA33CB" w14:textId="77777777" w:rsidR="00150A26" w:rsidRPr="009D0E93" w:rsidRDefault="00150A26" w:rsidP="00150A26">
      <w:pPr>
        <w:jc w:val="both"/>
        <w:rPr>
          <w:rFonts w:ascii="Arial" w:hAnsi="Arial" w:cs="Arial"/>
          <w:sz w:val="20"/>
          <w:szCs w:val="20"/>
        </w:rPr>
      </w:pPr>
    </w:p>
    <w:p w14:paraId="4F01E72F" w14:textId="302E5186" w:rsidR="00150A26" w:rsidRPr="009D0E93" w:rsidRDefault="00150A26" w:rsidP="00150A26">
      <w:pPr>
        <w:widowControl w:val="0"/>
        <w:autoSpaceDE w:val="0"/>
        <w:autoSpaceDN w:val="0"/>
        <w:ind w:right="102"/>
        <w:jc w:val="both"/>
        <w:rPr>
          <w:rFonts w:ascii="Arial" w:eastAsia="Arial" w:hAnsi="Arial" w:cs="Arial"/>
          <w:b/>
          <w:sz w:val="20"/>
          <w:szCs w:val="20"/>
          <w:lang w:val="es-ES"/>
        </w:rPr>
      </w:pPr>
      <w:r w:rsidRPr="009D0E93">
        <w:rPr>
          <w:rFonts w:ascii="Arial" w:eastAsia="Arial" w:hAnsi="Arial" w:cs="Arial"/>
          <w:b/>
          <w:sz w:val="20"/>
          <w:szCs w:val="20"/>
          <w:lang w:val="es-ES"/>
        </w:rPr>
        <w:t xml:space="preserve">EXPERIENCIA – Fusión </w:t>
      </w:r>
    </w:p>
    <w:p w14:paraId="170EDA68" w14:textId="77777777" w:rsidR="00150A26" w:rsidRPr="009D0E93" w:rsidRDefault="00150A26" w:rsidP="00150A26">
      <w:pPr>
        <w:widowControl w:val="0"/>
        <w:autoSpaceDE w:val="0"/>
        <w:autoSpaceDN w:val="0"/>
        <w:ind w:left="301" w:right="102"/>
        <w:jc w:val="both"/>
        <w:rPr>
          <w:rFonts w:ascii="Arial" w:eastAsia="Arial" w:hAnsi="Arial" w:cs="Arial"/>
          <w:b/>
          <w:sz w:val="20"/>
          <w:szCs w:val="20"/>
          <w:lang w:val="es-ES"/>
        </w:rPr>
      </w:pPr>
    </w:p>
    <w:p w14:paraId="2FDD8393" w14:textId="77777777" w:rsidR="00150A26" w:rsidRPr="009D0E93" w:rsidRDefault="00150A26" w:rsidP="00150A26">
      <w:pPr>
        <w:widowControl w:val="0"/>
        <w:autoSpaceDE w:val="0"/>
        <w:autoSpaceDN w:val="0"/>
        <w:jc w:val="both"/>
        <w:rPr>
          <w:rFonts w:ascii="Arial" w:eastAsia="Calibri" w:hAnsi="Arial" w:cs="Arial"/>
          <w:sz w:val="20"/>
          <w:szCs w:val="20"/>
          <w:lang w:eastAsia="es-ES"/>
        </w:rPr>
      </w:pPr>
      <w:r w:rsidRPr="009D0E93">
        <w:rPr>
          <w:rFonts w:ascii="Arial" w:eastAsia="Calibri" w:hAnsi="Arial" w:cs="Arial"/>
          <w:sz w:val="20"/>
          <w:szCs w:val="20"/>
          <w:lang w:eastAsia="es-ES"/>
        </w:rPr>
        <w:t>Para analizar la fusión y sus efectos respecto de la experiencia de la sociedad que se «disuelve» pero no se «liquida»,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p>
    <w:p w14:paraId="600D764B" w14:textId="77777777" w:rsidR="00150A26" w:rsidRPr="009D0E93" w:rsidRDefault="00150A26" w:rsidP="00150A26">
      <w:pPr>
        <w:widowControl w:val="0"/>
        <w:autoSpaceDE w:val="0"/>
        <w:autoSpaceDN w:val="0"/>
        <w:ind w:right="102"/>
        <w:jc w:val="both"/>
        <w:rPr>
          <w:rFonts w:ascii="Arial" w:eastAsia="Arial" w:hAnsi="Arial" w:cs="Arial"/>
          <w:sz w:val="20"/>
          <w:szCs w:val="20"/>
          <w:lang w:val="es-ES"/>
        </w:rPr>
      </w:pPr>
      <w:r w:rsidRPr="009D0E93">
        <w:rPr>
          <w:rFonts w:ascii="Arial" w:eastAsia="Arial" w:hAnsi="Arial" w:cs="Arial"/>
          <w:sz w:val="20"/>
          <w:szCs w:val="20"/>
          <w:lang w:val="es-ES"/>
        </w:rPr>
        <w:t>[…]</w:t>
      </w:r>
    </w:p>
    <w:p w14:paraId="7F7FF78E" w14:textId="77777777" w:rsidR="00150A26" w:rsidRPr="009D0E93" w:rsidRDefault="00150A26" w:rsidP="00150A26">
      <w:pPr>
        <w:widowControl w:val="0"/>
        <w:autoSpaceDE w:val="0"/>
        <w:autoSpaceDN w:val="0"/>
        <w:ind w:right="102"/>
        <w:jc w:val="both"/>
        <w:rPr>
          <w:rFonts w:ascii="Arial" w:eastAsia="Arial" w:hAnsi="Arial" w:cs="Arial"/>
          <w:sz w:val="20"/>
          <w:szCs w:val="20"/>
          <w:lang w:val="es-ES"/>
        </w:rPr>
      </w:pPr>
      <w:r w:rsidRPr="009D0E93">
        <w:rPr>
          <w:rFonts w:ascii="Arial" w:eastAsia="Arial" w:hAnsi="Arial" w:cs="Arial"/>
          <w:sz w:val="20"/>
          <w:szCs w:val="20"/>
          <w:lang w:val="es-ES"/>
        </w:rPr>
        <w:t>En consecuencia, en la fusión es posible que la sociedad absorbente tenga la experiencia de la sociedad absorbida, porque esta última continuó a través de la primera, y ello implica que transfirió su experiencia debido a que no se liquidó, es decir no desapareció, lo que haría imposible la transferencia de experiencia.</w:t>
      </w:r>
    </w:p>
    <w:p w14:paraId="6B48FA65" w14:textId="77777777" w:rsidR="00150A26" w:rsidRPr="009D0E93" w:rsidRDefault="00150A26" w:rsidP="00150A26">
      <w:pPr>
        <w:spacing w:line="276" w:lineRule="auto"/>
        <w:jc w:val="both"/>
        <w:rPr>
          <w:rFonts w:ascii="Arial" w:hAnsi="Arial" w:cs="Arial"/>
          <w:b/>
          <w:bCs/>
          <w:noProof/>
          <w:color w:val="000000" w:themeColor="text1"/>
          <w:sz w:val="20"/>
          <w:szCs w:val="20"/>
          <w:lang w:val="es-ES_tradnl"/>
        </w:rPr>
      </w:pPr>
    </w:p>
    <w:p w14:paraId="69BADF9D" w14:textId="0AA6FCD2" w:rsidR="00150A26" w:rsidRPr="009D0E93" w:rsidRDefault="00DC76B6" w:rsidP="00150A26">
      <w:pPr>
        <w:spacing w:line="276" w:lineRule="auto"/>
        <w:jc w:val="both"/>
        <w:rPr>
          <w:rFonts w:ascii="Arial" w:eastAsia="Arial" w:hAnsi="Arial" w:cs="Arial"/>
          <w:b/>
          <w:sz w:val="22"/>
          <w:szCs w:val="22"/>
          <w:lang w:val="es-ES"/>
        </w:rPr>
      </w:pPr>
      <w:r w:rsidRPr="009D0E93">
        <w:rPr>
          <w:rFonts w:ascii="Arial" w:hAnsi="Arial" w:cs="Arial"/>
          <w:b/>
          <w:bCs/>
          <w:noProof/>
          <w:color w:val="000000" w:themeColor="text1"/>
          <w:sz w:val="22"/>
          <w:szCs w:val="22"/>
          <w:lang w:val="es-ES_tradnl"/>
        </w:rPr>
        <w:t>SOCIEDADES EXTRANJERAS</w:t>
      </w:r>
      <w:r w:rsidRPr="009D0E93">
        <w:rPr>
          <w:rFonts w:ascii="Arial" w:hAnsi="Arial" w:cs="Arial"/>
          <w:noProof/>
          <w:color w:val="000000" w:themeColor="text1"/>
          <w:sz w:val="22"/>
          <w:szCs w:val="22"/>
          <w:lang w:val="es-ES_tradnl"/>
        </w:rPr>
        <w:t xml:space="preserve"> </w:t>
      </w:r>
      <w:r w:rsidRPr="009D0E93">
        <w:rPr>
          <w:rFonts w:ascii="Arial" w:eastAsia="Arial" w:hAnsi="Arial" w:cs="Arial"/>
          <w:b/>
          <w:sz w:val="22"/>
          <w:szCs w:val="22"/>
          <w:lang w:val="es-ES"/>
        </w:rPr>
        <w:t xml:space="preserve">– Reformas estatutarias </w:t>
      </w:r>
    </w:p>
    <w:p w14:paraId="433DB96A" w14:textId="31FEE908" w:rsidR="00DC76B6" w:rsidRPr="009D0E93" w:rsidRDefault="00DC76B6" w:rsidP="00150A26">
      <w:pPr>
        <w:spacing w:line="276" w:lineRule="auto"/>
        <w:jc w:val="both"/>
        <w:rPr>
          <w:rFonts w:ascii="Arial" w:eastAsia="Arial" w:hAnsi="Arial" w:cs="Arial"/>
          <w:b/>
          <w:sz w:val="20"/>
          <w:szCs w:val="20"/>
          <w:lang w:val="es-ES"/>
        </w:rPr>
      </w:pPr>
    </w:p>
    <w:p w14:paraId="2DFB06FC" w14:textId="6BB1AC84" w:rsidR="00D30B3A" w:rsidRDefault="000A46B9" w:rsidP="00DC76B6">
      <w:pPr>
        <w:jc w:val="both"/>
        <w:rPr>
          <w:rFonts w:ascii="Arial" w:hAnsi="Arial" w:cs="Arial"/>
          <w:bCs/>
          <w:noProof/>
          <w:color w:val="000000" w:themeColor="text1"/>
          <w:sz w:val="20"/>
          <w:szCs w:val="20"/>
        </w:rPr>
      </w:pPr>
      <w:r>
        <w:rPr>
          <w:rFonts w:ascii="Arial" w:hAnsi="Arial" w:cs="Arial"/>
          <w:bCs/>
          <w:noProof/>
          <w:color w:val="000000" w:themeColor="text1"/>
          <w:sz w:val="20"/>
          <w:szCs w:val="20"/>
          <w:lang w:val="es-MX"/>
        </w:rPr>
        <w:t>D</w:t>
      </w:r>
      <w:r w:rsidR="00D30B3A" w:rsidRPr="00D30B3A">
        <w:rPr>
          <w:rFonts w:ascii="Arial" w:hAnsi="Arial" w:cs="Arial"/>
          <w:bCs/>
          <w:noProof/>
          <w:color w:val="000000" w:themeColor="text1"/>
          <w:sz w:val="20"/>
          <w:szCs w:val="20"/>
          <w:lang w:val="es-MX"/>
        </w:rPr>
        <w:t xml:space="preserve">ebido a que la experiencia puede ser transferida como consecuencia de la figura estatutaria de la </w:t>
      </w:r>
      <w:r w:rsidR="00D30B3A" w:rsidRPr="00D30B3A">
        <w:rPr>
          <w:rFonts w:ascii="Arial" w:hAnsi="Arial" w:cs="Arial"/>
          <w:bCs/>
          <w:noProof/>
          <w:color w:val="000000" w:themeColor="text1"/>
          <w:sz w:val="20"/>
          <w:szCs w:val="20"/>
        </w:rPr>
        <w:t>«</w:t>
      </w:r>
      <w:r w:rsidR="00D30B3A" w:rsidRPr="00D30B3A">
        <w:rPr>
          <w:rFonts w:ascii="Arial" w:hAnsi="Arial" w:cs="Arial"/>
          <w:bCs/>
          <w:noProof/>
          <w:color w:val="000000" w:themeColor="text1"/>
          <w:sz w:val="20"/>
          <w:szCs w:val="20"/>
          <w:lang w:val="es-MX"/>
        </w:rPr>
        <w:t>fusión</w:t>
      </w:r>
      <w:r w:rsidR="00D30B3A" w:rsidRPr="00D30B3A">
        <w:rPr>
          <w:rFonts w:ascii="Arial" w:hAnsi="Arial" w:cs="Arial"/>
          <w:bCs/>
          <w:noProof/>
          <w:color w:val="000000" w:themeColor="text1"/>
          <w:sz w:val="20"/>
          <w:szCs w:val="20"/>
        </w:rPr>
        <w:t>»</w:t>
      </w:r>
      <w:r w:rsidR="00D30B3A" w:rsidRPr="00D30B3A">
        <w:rPr>
          <w:rFonts w:ascii="Arial" w:hAnsi="Arial" w:cs="Arial"/>
          <w:bCs/>
          <w:noProof/>
          <w:color w:val="000000" w:themeColor="text1"/>
          <w:sz w:val="20"/>
          <w:szCs w:val="20"/>
          <w:lang w:val="es-MX"/>
        </w:rPr>
        <w:t xml:space="preserve"> de las sociedades comerciales conforme se expuso en el numeral 2.2. de este concepto, también podrá ser válida esta transferencia cuando se realice por una sociedad extranjera sin sucursal en Colombia. En este caso, la entidad, si así lo establece en el pliego de condiciones, verificará directamente que la transferencia de la experiencia se enmarca en el supuesto de la </w:t>
      </w:r>
      <w:r w:rsidR="00D30B3A" w:rsidRPr="00D30B3A">
        <w:rPr>
          <w:rFonts w:ascii="Arial" w:hAnsi="Arial" w:cs="Arial"/>
          <w:bCs/>
          <w:noProof/>
          <w:color w:val="000000" w:themeColor="text1"/>
          <w:sz w:val="20"/>
          <w:szCs w:val="20"/>
        </w:rPr>
        <w:t>«</w:t>
      </w:r>
      <w:r w:rsidR="00D30B3A" w:rsidRPr="00D30B3A">
        <w:rPr>
          <w:rFonts w:ascii="Arial" w:hAnsi="Arial" w:cs="Arial"/>
          <w:bCs/>
          <w:noProof/>
          <w:color w:val="000000" w:themeColor="text1"/>
          <w:sz w:val="20"/>
          <w:szCs w:val="20"/>
          <w:lang w:val="es-MX"/>
        </w:rPr>
        <w:t>fusión</w:t>
      </w:r>
      <w:r w:rsidR="00D30B3A" w:rsidRPr="00D30B3A">
        <w:rPr>
          <w:rFonts w:ascii="Arial" w:hAnsi="Arial" w:cs="Arial"/>
          <w:bCs/>
          <w:noProof/>
          <w:color w:val="000000" w:themeColor="text1"/>
          <w:sz w:val="20"/>
          <w:szCs w:val="20"/>
        </w:rPr>
        <w:t>»</w:t>
      </w:r>
      <w:r w:rsidR="00D30B3A" w:rsidRPr="00D30B3A">
        <w:rPr>
          <w:rFonts w:ascii="Arial" w:hAnsi="Arial" w:cs="Arial"/>
          <w:bCs/>
          <w:noProof/>
          <w:color w:val="000000" w:themeColor="text1"/>
          <w:sz w:val="20"/>
          <w:szCs w:val="20"/>
          <w:lang w:val="es-MX"/>
        </w:rPr>
        <w:t xml:space="preserve">, solicitando los documentos correspondientes que lo demuestren, de tal manera que se pueda identificar que mediante esta figura o reforma estatutaria la sociedad </w:t>
      </w:r>
      <w:r w:rsidR="00D30B3A" w:rsidRPr="00D30B3A">
        <w:rPr>
          <w:rFonts w:ascii="Arial" w:hAnsi="Arial" w:cs="Arial"/>
          <w:bCs/>
          <w:noProof/>
          <w:color w:val="000000" w:themeColor="text1"/>
          <w:sz w:val="20"/>
          <w:szCs w:val="20"/>
        </w:rPr>
        <w:t xml:space="preserve">no desapareció sino que tuvo continuidad porque otra sociedad se convierte en ella o la absorbió. Por el contrario, si se trata del evento en que la sociedad recibe una parte del patrimonio de una sociedad que continúa existiendo o que se fraccionó en varias, es decir, que operó la figura de la escisión en cualquiera de las dos modalidades, se considera que no hay transferencia de la experiencia por lo expuesto anteriormente. En todo caso, </w:t>
      </w:r>
      <w:r w:rsidR="00D30B3A" w:rsidRPr="00D30B3A">
        <w:rPr>
          <w:rFonts w:ascii="Arial" w:hAnsi="Arial" w:cs="Arial"/>
          <w:bCs/>
          <w:noProof/>
          <w:color w:val="000000" w:themeColor="text1"/>
          <w:sz w:val="20"/>
          <w:szCs w:val="20"/>
          <w:lang w:val="es-MX"/>
        </w:rPr>
        <w:t xml:space="preserve">será la entidad la que determine, con base en su autonomía y discrecionalidad, la forma en la que se verificará </w:t>
      </w:r>
      <w:r w:rsidR="00D30B3A" w:rsidRPr="00D30B3A">
        <w:rPr>
          <w:rFonts w:ascii="Arial" w:hAnsi="Arial" w:cs="Arial"/>
          <w:bCs/>
          <w:noProof/>
          <w:color w:val="000000" w:themeColor="text1"/>
          <w:sz w:val="20"/>
          <w:szCs w:val="20"/>
        </w:rPr>
        <w:t>la experiencia trasferida como consecuencia de un proceso de fusión</w:t>
      </w:r>
      <w:r w:rsidR="00D30B3A">
        <w:rPr>
          <w:rFonts w:ascii="Arial" w:hAnsi="Arial" w:cs="Arial"/>
          <w:bCs/>
          <w:noProof/>
          <w:color w:val="000000" w:themeColor="text1"/>
          <w:sz w:val="20"/>
          <w:szCs w:val="20"/>
        </w:rPr>
        <w:t>.</w:t>
      </w:r>
    </w:p>
    <w:p w14:paraId="1B3EA35D" w14:textId="77777777" w:rsidR="00DC76B6" w:rsidRPr="009D0E93" w:rsidRDefault="00DC76B6" w:rsidP="00150A26">
      <w:pPr>
        <w:spacing w:line="276" w:lineRule="auto"/>
        <w:jc w:val="both"/>
        <w:rPr>
          <w:rFonts w:ascii="Arial" w:hAnsi="Arial" w:cs="Arial"/>
          <w:noProof/>
          <w:color w:val="000000" w:themeColor="text1"/>
          <w:sz w:val="20"/>
          <w:szCs w:val="20"/>
          <w:lang w:val="es-ES_tradnl"/>
        </w:rPr>
      </w:pPr>
    </w:p>
    <w:p w14:paraId="3599E9B4" w14:textId="77777777" w:rsidR="00BD3C3D" w:rsidRPr="009D0E93" w:rsidRDefault="00BD3C3D" w:rsidP="00C118DB">
      <w:pPr>
        <w:spacing w:line="276" w:lineRule="auto"/>
        <w:jc w:val="both"/>
        <w:rPr>
          <w:rFonts w:ascii="Arial" w:eastAsia="Calibri" w:hAnsi="Arial" w:cs="Arial"/>
          <w:b/>
          <w:sz w:val="22"/>
          <w:lang w:val="es-ES_tradnl"/>
        </w:rPr>
      </w:pPr>
    </w:p>
    <w:p w14:paraId="47A3AE07" w14:textId="77777777" w:rsidR="003B1CA8" w:rsidRDefault="003B1CA8" w:rsidP="00C118DB">
      <w:pPr>
        <w:spacing w:line="276" w:lineRule="auto"/>
        <w:jc w:val="both"/>
        <w:rPr>
          <w:rFonts w:ascii="Arial" w:hAnsi="Arial" w:cs="Arial"/>
          <w:noProof/>
          <w:color w:val="000000" w:themeColor="text1"/>
          <w:sz w:val="22"/>
        </w:rPr>
      </w:pPr>
    </w:p>
    <w:p w14:paraId="65BEF5D5" w14:textId="2579D780" w:rsidR="003B1CA8" w:rsidRDefault="003B1CA8" w:rsidP="003B1CA8">
      <w:pPr>
        <w:spacing w:line="276" w:lineRule="auto"/>
        <w:jc w:val="right"/>
        <w:rPr>
          <w:rFonts w:ascii="Arial" w:hAnsi="Arial" w:cs="Arial"/>
          <w:noProof/>
          <w:color w:val="000000" w:themeColor="text1"/>
          <w:sz w:val="22"/>
        </w:rPr>
      </w:pPr>
      <w:r w:rsidRPr="003B1CA8">
        <w:rPr>
          <w:rFonts w:ascii="Arial" w:hAnsi="Arial" w:cs="Arial"/>
          <w:noProof/>
          <w:color w:val="000000" w:themeColor="text1"/>
          <w:sz w:val="22"/>
        </w:rPr>
        <w:drawing>
          <wp:inline distT="0" distB="0" distL="0" distR="0" wp14:anchorId="2F5B2F3E" wp14:editId="271819A6">
            <wp:extent cx="2305050" cy="6667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5050" cy="666750"/>
                    </a:xfrm>
                    <a:prstGeom prst="rect">
                      <a:avLst/>
                    </a:prstGeom>
                    <a:noFill/>
                    <a:ln>
                      <a:noFill/>
                    </a:ln>
                  </pic:spPr>
                </pic:pic>
              </a:graphicData>
            </a:graphic>
          </wp:inline>
        </w:drawing>
      </w:r>
    </w:p>
    <w:p w14:paraId="543ABDA5" w14:textId="77777777" w:rsidR="003B1CA8" w:rsidRDefault="003B1CA8" w:rsidP="00C118DB">
      <w:pPr>
        <w:spacing w:line="276" w:lineRule="auto"/>
        <w:jc w:val="both"/>
        <w:rPr>
          <w:rFonts w:ascii="Arial" w:hAnsi="Arial" w:cs="Arial"/>
          <w:noProof/>
          <w:color w:val="000000" w:themeColor="text1"/>
          <w:sz w:val="22"/>
        </w:rPr>
      </w:pPr>
    </w:p>
    <w:p w14:paraId="6A8A869B" w14:textId="4C495B07" w:rsidR="00B95C30" w:rsidRPr="003B1CA8" w:rsidRDefault="00B95C30" w:rsidP="003B1CA8">
      <w:pPr>
        <w:spacing w:line="276" w:lineRule="auto"/>
        <w:jc w:val="both"/>
        <w:rPr>
          <w:rFonts w:ascii="Arial" w:hAnsi="Arial" w:cs="Arial"/>
          <w:b/>
          <w:color w:val="000000" w:themeColor="text1"/>
          <w:sz w:val="22"/>
        </w:rPr>
      </w:pPr>
      <w:r w:rsidRPr="009D0E93">
        <w:rPr>
          <w:rFonts w:ascii="Arial" w:hAnsi="Arial" w:cs="Arial"/>
          <w:noProof/>
          <w:color w:val="000000" w:themeColor="text1"/>
          <w:sz w:val="22"/>
        </w:rPr>
        <w:t xml:space="preserve">Bogotá D.C., </w:t>
      </w:r>
      <w:r w:rsidR="003B1CA8">
        <w:rPr>
          <w:rFonts w:ascii="Arial" w:hAnsi="Arial" w:cs="Arial"/>
          <w:b/>
          <w:color w:val="000000" w:themeColor="text1"/>
          <w:sz w:val="22"/>
        </w:rPr>
        <w:t>14 de septiembre de 2022</w:t>
      </w:r>
    </w:p>
    <w:p w14:paraId="5FDF9495" w14:textId="661E71A6" w:rsidR="00631A31" w:rsidRDefault="00631A31" w:rsidP="00B95C30">
      <w:pPr>
        <w:jc w:val="both"/>
        <w:rPr>
          <w:rFonts w:ascii="Arial" w:hAnsi="Arial" w:cs="Arial"/>
          <w:b/>
          <w:color w:val="000000" w:themeColor="text1"/>
          <w:sz w:val="22"/>
          <w:lang w:val="pt-BR"/>
        </w:rPr>
      </w:pPr>
    </w:p>
    <w:p w14:paraId="38FAD66E" w14:textId="77777777" w:rsidR="00FC6CEF" w:rsidRPr="009D0E93" w:rsidRDefault="00FC6CEF" w:rsidP="00B95C30">
      <w:pPr>
        <w:jc w:val="both"/>
        <w:rPr>
          <w:rFonts w:ascii="Arial" w:hAnsi="Arial" w:cs="Arial"/>
          <w:b/>
          <w:color w:val="000000" w:themeColor="text1"/>
          <w:sz w:val="22"/>
          <w:lang w:val="pt-BR"/>
        </w:rPr>
      </w:pPr>
    </w:p>
    <w:p w14:paraId="798A20AC" w14:textId="36916252" w:rsidR="005F5F37" w:rsidRPr="009D0E93" w:rsidRDefault="00B95C30" w:rsidP="00BF4EC5">
      <w:pPr>
        <w:jc w:val="both"/>
        <w:rPr>
          <w:rFonts w:ascii="Arial" w:eastAsia="Calibri" w:hAnsi="Arial" w:cs="Arial"/>
          <w:color w:val="000000" w:themeColor="text1"/>
          <w:sz w:val="22"/>
        </w:rPr>
      </w:pPr>
      <w:r w:rsidRPr="009D0E93">
        <w:rPr>
          <w:rFonts w:ascii="Arial" w:eastAsia="Calibri" w:hAnsi="Arial" w:cs="Arial"/>
          <w:color w:val="000000" w:themeColor="text1"/>
          <w:sz w:val="22"/>
        </w:rPr>
        <w:t>Señor</w:t>
      </w:r>
      <w:r w:rsidR="00440565" w:rsidRPr="009D0E93">
        <w:rPr>
          <w:rFonts w:ascii="Arial" w:eastAsia="Calibri" w:hAnsi="Arial" w:cs="Arial"/>
          <w:color w:val="000000" w:themeColor="text1"/>
          <w:sz w:val="22"/>
        </w:rPr>
        <w:t>a</w:t>
      </w:r>
    </w:p>
    <w:p w14:paraId="3EB21AE9" w14:textId="4B9A5D7F" w:rsidR="0062281D" w:rsidRPr="009D0E93" w:rsidRDefault="009C7AFC" w:rsidP="00BF4EC5">
      <w:pPr>
        <w:jc w:val="both"/>
        <w:rPr>
          <w:rFonts w:ascii="Arial" w:eastAsia="Calibri" w:hAnsi="Arial" w:cs="Arial"/>
          <w:b/>
          <w:bCs/>
          <w:color w:val="000000" w:themeColor="text1"/>
          <w:sz w:val="22"/>
        </w:rPr>
      </w:pPr>
      <w:r w:rsidRPr="009D0E93">
        <w:rPr>
          <w:rFonts w:ascii="Arial" w:eastAsia="Calibri" w:hAnsi="Arial" w:cs="Arial"/>
          <w:b/>
          <w:bCs/>
          <w:color w:val="000000" w:themeColor="text1"/>
          <w:sz w:val="22"/>
        </w:rPr>
        <w:t>María</w:t>
      </w:r>
      <w:r w:rsidR="00440565" w:rsidRPr="009D0E93">
        <w:rPr>
          <w:rFonts w:ascii="Arial" w:eastAsia="Calibri" w:hAnsi="Arial" w:cs="Arial"/>
          <w:b/>
          <w:bCs/>
          <w:color w:val="000000" w:themeColor="text1"/>
          <w:sz w:val="22"/>
        </w:rPr>
        <w:t xml:space="preserve"> Luisa Prado Valbuena</w:t>
      </w:r>
      <w:r w:rsidR="00150A26" w:rsidRPr="009D0E93">
        <w:rPr>
          <w:rFonts w:ascii="Arial" w:eastAsia="Calibri" w:hAnsi="Arial" w:cs="Arial"/>
          <w:b/>
          <w:bCs/>
          <w:color w:val="000000" w:themeColor="text1"/>
          <w:sz w:val="22"/>
        </w:rPr>
        <w:t xml:space="preserve"> </w:t>
      </w:r>
    </w:p>
    <w:p w14:paraId="411CBCE1" w14:textId="17384A1E" w:rsidR="00BF4EC5" w:rsidRPr="009D0E93" w:rsidRDefault="00150A26" w:rsidP="00BF4EC5">
      <w:pPr>
        <w:jc w:val="both"/>
        <w:rPr>
          <w:rFonts w:ascii="Arial" w:eastAsia="Calibri" w:hAnsi="Arial" w:cs="Arial"/>
          <w:bCs/>
          <w:color w:val="000000" w:themeColor="text1"/>
          <w:sz w:val="22"/>
        </w:rPr>
      </w:pPr>
      <w:r w:rsidRPr="009D0E93">
        <w:rPr>
          <w:rFonts w:ascii="Arial" w:eastAsia="Calibri" w:hAnsi="Arial" w:cs="Arial"/>
          <w:bCs/>
          <w:color w:val="000000" w:themeColor="text1"/>
          <w:sz w:val="22"/>
        </w:rPr>
        <w:t>Bogotá D.C</w:t>
      </w:r>
      <w:r w:rsidR="0062281D" w:rsidRPr="009D0E93">
        <w:rPr>
          <w:rFonts w:ascii="Arial" w:eastAsia="Calibri" w:hAnsi="Arial" w:cs="Arial"/>
          <w:bCs/>
          <w:color w:val="000000" w:themeColor="text1"/>
          <w:sz w:val="22"/>
        </w:rPr>
        <w:t xml:space="preserve"> </w:t>
      </w:r>
    </w:p>
    <w:p w14:paraId="4A1C8FFE" w14:textId="77777777" w:rsidR="008120C4" w:rsidRPr="009D0E93" w:rsidRDefault="008120C4" w:rsidP="003C0791">
      <w:pPr>
        <w:rPr>
          <w:rFonts w:ascii="Arial" w:eastAsia="Calibri" w:hAnsi="Arial" w:cs="Arial"/>
          <w:b/>
          <w:bCs/>
          <w:color w:val="000000" w:themeColor="text1"/>
          <w:sz w:val="22"/>
        </w:rPr>
      </w:pPr>
    </w:p>
    <w:p w14:paraId="1BD594F9" w14:textId="713B733A" w:rsidR="00B95C30" w:rsidRPr="009D0E93" w:rsidRDefault="005B1504" w:rsidP="003C0791">
      <w:pPr>
        <w:rPr>
          <w:rFonts w:ascii="Arial" w:eastAsia="Calibri" w:hAnsi="Arial" w:cs="Arial"/>
          <w:b/>
          <w:bCs/>
          <w:color w:val="000000" w:themeColor="text1"/>
          <w:sz w:val="22"/>
          <w:lang w:val="pt-BR"/>
        </w:rPr>
      </w:pPr>
      <w:r w:rsidRPr="009D0E93">
        <w:rPr>
          <w:rFonts w:ascii="Arial" w:eastAsia="Calibri" w:hAnsi="Arial" w:cs="Arial"/>
          <w:b/>
          <w:bCs/>
          <w:color w:val="000000" w:themeColor="text1"/>
          <w:sz w:val="22"/>
        </w:rPr>
        <w:t xml:space="preserve">                     </w:t>
      </w:r>
      <w:r w:rsidR="00923FA6" w:rsidRPr="009D0E93">
        <w:rPr>
          <w:rFonts w:ascii="Arial" w:eastAsia="Calibri" w:hAnsi="Arial" w:cs="Arial"/>
          <w:b/>
          <w:bCs/>
          <w:color w:val="000000" w:themeColor="text1"/>
          <w:sz w:val="22"/>
        </w:rPr>
        <w:t xml:space="preserve">                      </w:t>
      </w:r>
      <w:r w:rsidRPr="009D0E93">
        <w:rPr>
          <w:rFonts w:ascii="Arial" w:eastAsia="Calibri" w:hAnsi="Arial" w:cs="Arial"/>
          <w:b/>
          <w:bCs/>
          <w:color w:val="000000" w:themeColor="text1"/>
          <w:sz w:val="22"/>
        </w:rPr>
        <w:t xml:space="preserve"> </w:t>
      </w:r>
      <w:r w:rsidR="00023FA5" w:rsidRPr="009D0E93">
        <w:rPr>
          <w:rFonts w:ascii="Arial" w:eastAsia="Calibri" w:hAnsi="Arial" w:cs="Arial"/>
          <w:b/>
          <w:bCs/>
          <w:color w:val="000000" w:themeColor="text1"/>
          <w:sz w:val="22"/>
          <w:lang w:val="pt-BR"/>
        </w:rPr>
        <w:t xml:space="preserve">Concepto C ‒ </w:t>
      </w:r>
      <w:r w:rsidR="0062281D" w:rsidRPr="009D0E93">
        <w:rPr>
          <w:rFonts w:ascii="Arial" w:eastAsia="Calibri" w:hAnsi="Arial" w:cs="Arial"/>
          <w:b/>
          <w:bCs/>
          <w:color w:val="000000" w:themeColor="text1"/>
          <w:sz w:val="22"/>
          <w:lang w:val="pt-BR"/>
        </w:rPr>
        <w:t>5</w:t>
      </w:r>
      <w:r w:rsidR="00440565" w:rsidRPr="009D0E93">
        <w:rPr>
          <w:rFonts w:ascii="Arial" w:eastAsia="Calibri" w:hAnsi="Arial" w:cs="Arial"/>
          <w:b/>
          <w:bCs/>
          <w:color w:val="000000" w:themeColor="text1"/>
          <w:sz w:val="22"/>
          <w:lang w:val="pt-BR"/>
        </w:rPr>
        <w:t>74</w:t>
      </w:r>
      <w:r w:rsidR="00275FBF" w:rsidRPr="009D0E93">
        <w:rPr>
          <w:rFonts w:ascii="Arial" w:eastAsia="Calibri" w:hAnsi="Arial" w:cs="Arial"/>
          <w:b/>
          <w:bCs/>
          <w:color w:val="000000" w:themeColor="text1"/>
          <w:sz w:val="22"/>
          <w:lang w:val="pt-BR"/>
        </w:rPr>
        <w:t xml:space="preserve"> de 202</w:t>
      </w:r>
      <w:r w:rsidR="00BF4EC5" w:rsidRPr="009D0E93">
        <w:rPr>
          <w:rFonts w:ascii="Arial" w:eastAsia="Calibri" w:hAnsi="Arial" w:cs="Arial"/>
          <w:b/>
          <w:bCs/>
          <w:color w:val="000000" w:themeColor="text1"/>
          <w:sz w:val="22"/>
          <w:lang w:val="pt-BR"/>
        </w:rPr>
        <w:t>2</w:t>
      </w:r>
    </w:p>
    <w:p w14:paraId="7063750E" w14:textId="77777777" w:rsidR="005F5F37" w:rsidRPr="009D0E93"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9D0E93" w14:paraId="19DFC051" w14:textId="77777777" w:rsidTr="00761DC6">
        <w:tc>
          <w:tcPr>
            <w:tcW w:w="2689" w:type="dxa"/>
          </w:tcPr>
          <w:p w14:paraId="6BC0D1AC" w14:textId="569BAEB9" w:rsidR="00B95C30" w:rsidRPr="009D0E93" w:rsidRDefault="00B95C30" w:rsidP="00D15356">
            <w:pPr>
              <w:jc w:val="both"/>
              <w:rPr>
                <w:rFonts w:ascii="Arial" w:eastAsia="Calibri" w:hAnsi="Arial" w:cs="Arial"/>
                <w:color w:val="000000" w:themeColor="text1"/>
                <w:sz w:val="22"/>
                <w:lang w:val="es-ES_tradnl"/>
              </w:rPr>
            </w:pPr>
            <w:r w:rsidRPr="009D0E93">
              <w:rPr>
                <w:rFonts w:ascii="Arial" w:eastAsia="Calibri" w:hAnsi="Arial" w:cs="Arial"/>
                <w:b/>
                <w:color w:val="000000" w:themeColor="text1"/>
                <w:sz w:val="22"/>
                <w:lang w:val="es-ES_tradnl"/>
              </w:rPr>
              <w:t>Temas:</w:t>
            </w:r>
            <w:r w:rsidR="005B1504" w:rsidRPr="009D0E93">
              <w:rPr>
                <w:rFonts w:ascii="Arial" w:eastAsia="Calibri" w:hAnsi="Arial" w:cs="Arial"/>
                <w:color w:val="000000" w:themeColor="text1"/>
                <w:sz w:val="22"/>
                <w:lang w:val="es-ES_tradnl"/>
              </w:rPr>
              <w:t xml:space="preserve">                   </w:t>
            </w:r>
          </w:p>
        </w:tc>
        <w:tc>
          <w:tcPr>
            <w:tcW w:w="6237" w:type="dxa"/>
            <w:shd w:val="clear" w:color="auto" w:fill="auto"/>
          </w:tcPr>
          <w:p w14:paraId="5F389CAF" w14:textId="3ABBCF54" w:rsidR="00337178" w:rsidRPr="009D0E93" w:rsidRDefault="00150A26" w:rsidP="00864378">
            <w:pPr>
              <w:tabs>
                <w:tab w:val="left" w:pos="6551"/>
              </w:tabs>
              <w:jc w:val="both"/>
              <w:rPr>
                <w:rFonts w:ascii="Arial" w:eastAsia="Calibri" w:hAnsi="Arial" w:cs="Arial"/>
                <w:bCs/>
                <w:color w:val="000000" w:themeColor="text1"/>
                <w:sz w:val="22"/>
                <w:lang w:val="es-ES_tradnl"/>
              </w:rPr>
            </w:pPr>
            <w:r w:rsidRPr="009D0E93">
              <w:rPr>
                <w:rFonts w:ascii="Arial" w:eastAsia="Calibri" w:hAnsi="Arial" w:cs="Arial"/>
                <w:bCs/>
                <w:sz w:val="22"/>
                <w:szCs w:val="22"/>
                <w:lang w:val="es-MX" w:eastAsia="en-US"/>
              </w:rPr>
              <w:t>EXPERIENCIA – Concepto – Colombia Compra Eficiente / EXPERIENCIA – Transformación / EXPERIENCIA – Escisión / EXPERIENCIA – Fusión</w:t>
            </w:r>
            <w:r w:rsidR="001224F0" w:rsidRPr="009D0E93">
              <w:rPr>
                <w:rFonts w:ascii="Arial" w:eastAsia="Calibri" w:hAnsi="Arial" w:cs="Arial"/>
                <w:bCs/>
                <w:sz w:val="22"/>
                <w:szCs w:val="22"/>
                <w:lang w:val="es-MX" w:eastAsia="en-US"/>
              </w:rPr>
              <w:t xml:space="preserve"> / SOCIEDADES EXTRANJERAS – Reformas estatutarias</w:t>
            </w:r>
          </w:p>
        </w:tc>
      </w:tr>
      <w:tr w:rsidR="00B95C30" w:rsidRPr="009D0E93" w14:paraId="27CD52AB" w14:textId="77777777" w:rsidTr="00150A26">
        <w:trPr>
          <w:trHeight w:val="301"/>
        </w:trPr>
        <w:tc>
          <w:tcPr>
            <w:tcW w:w="2689" w:type="dxa"/>
          </w:tcPr>
          <w:p w14:paraId="37E195A1" w14:textId="017D9507" w:rsidR="00B95C30" w:rsidRPr="009D0E93" w:rsidRDefault="00B95C30" w:rsidP="00D15356">
            <w:pPr>
              <w:spacing w:before="120"/>
              <w:jc w:val="both"/>
              <w:rPr>
                <w:rFonts w:ascii="Arial" w:eastAsia="Calibri" w:hAnsi="Arial" w:cs="Arial"/>
                <w:b/>
                <w:color w:val="000000" w:themeColor="text1"/>
                <w:sz w:val="22"/>
                <w:lang w:val="es-ES_tradnl"/>
              </w:rPr>
            </w:pPr>
            <w:r w:rsidRPr="009D0E93">
              <w:rPr>
                <w:rFonts w:ascii="Arial" w:eastAsia="Calibri" w:hAnsi="Arial" w:cs="Arial"/>
                <w:b/>
                <w:color w:val="000000" w:themeColor="text1"/>
                <w:sz w:val="22"/>
                <w:lang w:val="es-ES_tradnl"/>
              </w:rPr>
              <w:t>Radicación:</w:t>
            </w:r>
            <w:r w:rsidR="005B1504" w:rsidRPr="009D0E93">
              <w:rPr>
                <w:rFonts w:ascii="Arial" w:eastAsia="Calibri" w:hAnsi="Arial" w:cs="Arial"/>
                <w:color w:val="000000" w:themeColor="text1"/>
                <w:sz w:val="22"/>
                <w:lang w:val="es-ES_tradnl"/>
              </w:rPr>
              <w:t xml:space="preserve">               </w:t>
            </w:r>
          </w:p>
        </w:tc>
        <w:tc>
          <w:tcPr>
            <w:tcW w:w="6237" w:type="dxa"/>
          </w:tcPr>
          <w:p w14:paraId="09088B1B" w14:textId="4792A8F3" w:rsidR="00B95C30" w:rsidRPr="009D0E93" w:rsidRDefault="00B95C30" w:rsidP="00FF7134">
            <w:pPr>
              <w:spacing w:before="120"/>
              <w:jc w:val="both"/>
              <w:rPr>
                <w:rFonts w:ascii="Arial" w:eastAsia="Calibri" w:hAnsi="Arial" w:cs="Arial"/>
                <w:color w:val="000000" w:themeColor="text1"/>
                <w:sz w:val="22"/>
                <w:lang w:val="es-ES_tradnl"/>
              </w:rPr>
            </w:pPr>
            <w:r w:rsidRPr="009D0E93">
              <w:rPr>
                <w:rFonts w:ascii="Arial" w:eastAsia="Calibri" w:hAnsi="Arial" w:cs="Arial"/>
                <w:color w:val="000000" w:themeColor="text1"/>
                <w:sz w:val="22"/>
                <w:lang w:val="es-ES_tradnl"/>
              </w:rPr>
              <w:t>Respuesta a consulta</w:t>
            </w:r>
            <w:r w:rsidR="00150A26" w:rsidRPr="009D0E93">
              <w:rPr>
                <w:rFonts w:ascii="Arial" w:eastAsia="Calibri" w:hAnsi="Arial" w:cs="Arial"/>
                <w:color w:val="000000" w:themeColor="text1"/>
                <w:sz w:val="22"/>
                <w:lang w:val="es-ES_tradnl"/>
              </w:rPr>
              <w:t xml:space="preserve"> </w:t>
            </w:r>
            <w:r w:rsidR="00440565" w:rsidRPr="009D0E93">
              <w:rPr>
                <w:rFonts w:ascii="Arial" w:eastAsia="Calibri" w:hAnsi="Arial" w:cs="Arial"/>
                <w:color w:val="000000" w:themeColor="text1"/>
                <w:sz w:val="22"/>
                <w:lang w:val="es-ES_tradnl"/>
              </w:rPr>
              <w:t>P20220802007584</w:t>
            </w:r>
          </w:p>
        </w:tc>
      </w:tr>
    </w:tbl>
    <w:p w14:paraId="635FAA34" w14:textId="77777777" w:rsidR="006D69FA" w:rsidRPr="009D0E93" w:rsidRDefault="006D69FA" w:rsidP="003C3339">
      <w:pPr>
        <w:jc w:val="both"/>
        <w:rPr>
          <w:rFonts w:ascii="Arial" w:eastAsia="Calibri" w:hAnsi="Arial" w:cs="Arial"/>
          <w:color w:val="000000" w:themeColor="text1"/>
          <w:sz w:val="22"/>
        </w:rPr>
      </w:pPr>
    </w:p>
    <w:p w14:paraId="234C0002" w14:textId="77777777" w:rsidR="005F5F37" w:rsidRPr="009D0E93" w:rsidRDefault="005F5F37" w:rsidP="003C3339">
      <w:pPr>
        <w:jc w:val="both"/>
        <w:rPr>
          <w:rFonts w:ascii="Arial" w:eastAsia="Calibri" w:hAnsi="Arial" w:cs="Arial"/>
          <w:color w:val="000000" w:themeColor="text1"/>
          <w:sz w:val="22"/>
          <w:lang w:val="es-ES_tradnl"/>
        </w:rPr>
      </w:pPr>
    </w:p>
    <w:p w14:paraId="1CF4AEA0" w14:textId="3AD8F669" w:rsidR="003C3339" w:rsidRPr="009D0E93" w:rsidRDefault="003C3339" w:rsidP="003C3339">
      <w:pPr>
        <w:jc w:val="both"/>
        <w:rPr>
          <w:rFonts w:ascii="Arial" w:eastAsia="Calibri" w:hAnsi="Arial" w:cs="Arial"/>
          <w:color w:val="000000" w:themeColor="text1"/>
          <w:sz w:val="22"/>
          <w:lang w:val="es-ES_tradnl"/>
        </w:rPr>
      </w:pPr>
      <w:r w:rsidRPr="009D0E93">
        <w:rPr>
          <w:rFonts w:ascii="Arial" w:eastAsia="Calibri" w:hAnsi="Arial" w:cs="Arial"/>
          <w:color w:val="000000" w:themeColor="text1"/>
          <w:sz w:val="22"/>
          <w:lang w:val="es-ES_tradnl"/>
        </w:rPr>
        <w:t>Estimad</w:t>
      </w:r>
      <w:r w:rsidR="00440565" w:rsidRPr="009D0E93">
        <w:rPr>
          <w:rFonts w:ascii="Arial" w:eastAsia="Calibri" w:hAnsi="Arial" w:cs="Arial"/>
          <w:color w:val="000000" w:themeColor="text1"/>
          <w:sz w:val="22"/>
          <w:lang w:val="es-ES_tradnl"/>
        </w:rPr>
        <w:t>a</w:t>
      </w:r>
      <w:r w:rsidRPr="009D0E93">
        <w:rPr>
          <w:rFonts w:ascii="Arial" w:eastAsia="Calibri" w:hAnsi="Arial" w:cs="Arial"/>
          <w:color w:val="000000" w:themeColor="text1"/>
          <w:sz w:val="22"/>
          <w:lang w:val="es-ES_tradnl"/>
        </w:rPr>
        <w:t xml:space="preserve"> señor</w:t>
      </w:r>
      <w:r w:rsidR="00440565" w:rsidRPr="009D0E93">
        <w:rPr>
          <w:rFonts w:ascii="Arial" w:eastAsia="Calibri" w:hAnsi="Arial" w:cs="Arial"/>
          <w:color w:val="000000" w:themeColor="text1"/>
          <w:sz w:val="22"/>
          <w:lang w:val="es-ES_tradnl"/>
        </w:rPr>
        <w:t>a</w:t>
      </w:r>
      <w:r w:rsidR="00914C29" w:rsidRPr="009D0E93">
        <w:rPr>
          <w:rFonts w:ascii="Arial" w:eastAsia="Calibri" w:hAnsi="Arial" w:cs="Arial"/>
          <w:color w:val="000000" w:themeColor="text1"/>
          <w:sz w:val="22"/>
          <w:lang w:val="es-ES_tradnl"/>
        </w:rPr>
        <w:t xml:space="preserve"> </w:t>
      </w:r>
      <w:r w:rsidR="00440565" w:rsidRPr="009D0E93">
        <w:rPr>
          <w:rFonts w:ascii="Arial" w:eastAsia="Calibri" w:hAnsi="Arial" w:cs="Arial"/>
          <w:color w:val="000000" w:themeColor="text1"/>
          <w:sz w:val="22"/>
          <w:lang w:val="es-ES_tradnl"/>
        </w:rPr>
        <w:t>Prado</w:t>
      </w:r>
      <w:r w:rsidR="008C3FFC" w:rsidRPr="009D0E93">
        <w:rPr>
          <w:rFonts w:ascii="Arial" w:eastAsia="Calibri" w:hAnsi="Arial" w:cs="Arial"/>
          <w:color w:val="000000" w:themeColor="text1"/>
          <w:sz w:val="22"/>
          <w:lang w:val="es-ES_tradnl"/>
        </w:rPr>
        <w:t xml:space="preserve">: </w:t>
      </w:r>
    </w:p>
    <w:p w14:paraId="1EAE5543" w14:textId="37990AD8" w:rsidR="00DD5B04" w:rsidRPr="009D0E93" w:rsidRDefault="00DD5B04" w:rsidP="00DF76A2">
      <w:pPr>
        <w:jc w:val="both"/>
        <w:rPr>
          <w:rFonts w:ascii="Arial" w:eastAsia="Calibri" w:hAnsi="Arial" w:cs="Arial"/>
          <w:color w:val="000000" w:themeColor="text1"/>
          <w:sz w:val="22"/>
          <w:lang w:val="es-ES_tradnl"/>
        </w:rPr>
      </w:pPr>
    </w:p>
    <w:p w14:paraId="2109B2D3" w14:textId="1E36E165" w:rsidR="00DD5B04" w:rsidRPr="009D0E93" w:rsidRDefault="00DD5B04" w:rsidP="00DF76A2">
      <w:pPr>
        <w:spacing w:line="276" w:lineRule="auto"/>
        <w:jc w:val="both"/>
        <w:rPr>
          <w:rFonts w:ascii="Arial" w:eastAsia="Calibri" w:hAnsi="Arial" w:cs="Arial"/>
          <w:color w:val="000000" w:themeColor="text1"/>
          <w:sz w:val="22"/>
          <w:lang w:val="es-ES_tradnl"/>
        </w:rPr>
      </w:pPr>
      <w:r w:rsidRPr="009D0E93">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9D0E93">
        <w:rPr>
          <w:rFonts w:ascii="Arial" w:eastAsia="Calibri" w:hAnsi="Arial" w:cs="Arial"/>
          <w:color w:val="000000" w:themeColor="text1"/>
          <w:sz w:val="22"/>
          <w:lang w:val="es-ES_tradnl"/>
        </w:rPr>
        <w:t xml:space="preserve">, </w:t>
      </w:r>
      <w:r w:rsidRPr="009D0E93">
        <w:rPr>
          <w:rFonts w:ascii="Arial" w:eastAsia="Calibri" w:hAnsi="Arial" w:cs="Arial"/>
          <w:color w:val="000000" w:themeColor="text1"/>
          <w:sz w:val="22"/>
          <w:lang w:val="es-ES_tradnl"/>
        </w:rPr>
        <w:t>responde su consulta</w:t>
      </w:r>
      <w:r w:rsidR="00E8414B" w:rsidRPr="009D0E93">
        <w:rPr>
          <w:rFonts w:ascii="Arial" w:eastAsia="Calibri" w:hAnsi="Arial" w:cs="Arial"/>
          <w:color w:val="000000" w:themeColor="text1"/>
          <w:sz w:val="22"/>
          <w:lang w:val="es-ES_tradnl"/>
        </w:rPr>
        <w:t xml:space="preserve"> </w:t>
      </w:r>
      <w:r w:rsidRPr="009D0E93">
        <w:rPr>
          <w:rFonts w:ascii="Arial" w:eastAsia="Calibri" w:hAnsi="Arial" w:cs="Arial"/>
          <w:color w:val="000000" w:themeColor="text1"/>
          <w:sz w:val="22"/>
          <w:lang w:val="es-ES_tradnl"/>
        </w:rPr>
        <w:t xml:space="preserve">del </w:t>
      </w:r>
      <w:r w:rsidR="00440565" w:rsidRPr="009D0E93">
        <w:rPr>
          <w:rFonts w:ascii="Arial" w:eastAsia="Calibri" w:hAnsi="Arial" w:cs="Arial"/>
          <w:color w:val="000000" w:themeColor="text1"/>
          <w:sz w:val="22"/>
          <w:lang w:val="es-ES_tradnl"/>
        </w:rPr>
        <w:t>2</w:t>
      </w:r>
      <w:r w:rsidR="00150A26" w:rsidRPr="009D0E93">
        <w:rPr>
          <w:rFonts w:ascii="Arial" w:eastAsia="Calibri" w:hAnsi="Arial" w:cs="Arial"/>
          <w:color w:val="000000" w:themeColor="text1"/>
          <w:sz w:val="22"/>
          <w:lang w:val="es-ES_tradnl"/>
        </w:rPr>
        <w:t xml:space="preserve"> </w:t>
      </w:r>
      <w:r w:rsidR="00F21D6D" w:rsidRPr="009D0E93">
        <w:rPr>
          <w:rFonts w:ascii="Arial" w:eastAsia="Calibri" w:hAnsi="Arial" w:cs="Arial"/>
          <w:color w:val="000000" w:themeColor="text1"/>
          <w:sz w:val="22"/>
          <w:lang w:val="es-ES_tradnl"/>
        </w:rPr>
        <w:t xml:space="preserve">de </w:t>
      </w:r>
      <w:r w:rsidR="00150A26" w:rsidRPr="009D0E93">
        <w:rPr>
          <w:rFonts w:ascii="Arial" w:eastAsia="Calibri" w:hAnsi="Arial" w:cs="Arial"/>
          <w:color w:val="000000" w:themeColor="text1"/>
          <w:sz w:val="22"/>
          <w:lang w:val="es-ES_tradnl"/>
        </w:rPr>
        <w:t>agosto</w:t>
      </w:r>
      <w:r w:rsidR="00F21D6D" w:rsidRPr="009D0E93">
        <w:rPr>
          <w:rFonts w:ascii="Arial" w:eastAsia="Calibri" w:hAnsi="Arial" w:cs="Arial"/>
          <w:color w:val="000000" w:themeColor="text1"/>
          <w:sz w:val="22"/>
          <w:lang w:val="es-ES_tradnl"/>
        </w:rPr>
        <w:t xml:space="preserve"> </w:t>
      </w:r>
      <w:r w:rsidR="00990BC7" w:rsidRPr="009D0E93">
        <w:rPr>
          <w:rFonts w:ascii="Arial" w:eastAsia="Calibri" w:hAnsi="Arial" w:cs="Arial"/>
          <w:color w:val="000000" w:themeColor="text1"/>
          <w:sz w:val="22"/>
          <w:lang w:val="es-ES_tradnl"/>
        </w:rPr>
        <w:t xml:space="preserve">de </w:t>
      </w:r>
      <w:r w:rsidR="00F21D6D" w:rsidRPr="009D0E93">
        <w:rPr>
          <w:rFonts w:ascii="Arial" w:eastAsia="Calibri" w:hAnsi="Arial" w:cs="Arial"/>
          <w:color w:val="000000" w:themeColor="text1"/>
          <w:sz w:val="22"/>
          <w:lang w:val="es-ES_tradnl"/>
        </w:rPr>
        <w:t>202</w:t>
      </w:r>
      <w:r w:rsidR="00BF4EC5" w:rsidRPr="009D0E93">
        <w:rPr>
          <w:rFonts w:ascii="Arial" w:eastAsia="Calibri" w:hAnsi="Arial" w:cs="Arial"/>
          <w:color w:val="000000" w:themeColor="text1"/>
          <w:sz w:val="22"/>
          <w:lang w:val="es-ES_tradnl"/>
        </w:rPr>
        <w:t>2</w:t>
      </w:r>
      <w:r w:rsidR="00F21D6D" w:rsidRPr="009D0E93">
        <w:rPr>
          <w:rFonts w:ascii="Arial" w:eastAsia="Calibri" w:hAnsi="Arial" w:cs="Arial"/>
          <w:color w:val="000000" w:themeColor="text1"/>
          <w:sz w:val="22"/>
          <w:lang w:val="es-ES_tradnl"/>
        </w:rPr>
        <w:t>.</w:t>
      </w:r>
    </w:p>
    <w:p w14:paraId="0C1E0712" w14:textId="77777777" w:rsidR="00DD5B04" w:rsidRPr="009D0E93"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9D0E93"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9D0E93">
        <w:rPr>
          <w:rFonts w:ascii="Arial" w:eastAsia="Calibri" w:hAnsi="Arial" w:cs="Arial"/>
          <w:b/>
          <w:color w:val="000000" w:themeColor="text1"/>
          <w:sz w:val="22"/>
          <w:lang w:val="es-ES_tradnl"/>
        </w:rPr>
        <w:t xml:space="preserve">Problema planteado </w:t>
      </w:r>
    </w:p>
    <w:p w14:paraId="224B43D3" w14:textId="77777777" w:rsidR="00DD5B04" w:rsidRPr="009D0E93"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19198E9D" w14:textId="73059BCA" w:rsidR="00150A26" w:rsidRPr="009D0E93" w:rsidRDefault="00150A26" w:rsidP="00440565">
      <w:pPr>
        <w:spacing w:line="276" w:lineRule="auto"/>
        <w:jc w:val="both"/>
        <w:rPr>
          <w:rFonts w:ascii="Arial" w:eastAsia="Calibri" w:hAnsi="Arial" w:cs="Arial"/>
          <w:bCs/>
          <w:sz w:val="21"/>
          <w:szCs w:val="21"/>
          <w:lang w:eastAsia="en-US"/>
        </w:rPr>
      </w:pPr>
      <w:r w:rsidRPr="009D0E93">
        <w:rPr>
          <w:rFonts w:ascii="Arial" w:hAnsi="Arial" w:cs="Arial"/>
          <w:color w:val="000000" w:themeColor="text1"/>
          <w:sz w:val="22"/>
          <w:szCs w:val="22"/>
          <w:lang w:val="es-ES_tradnl"/>
        </w:rPr>
        <w:t>U</w:t>
      </w:r>
      <w:r w:rsidR="00827203" w:rsidRPr="009D0E93">
        <w:rPr>
          <w:rFonts w:ascii="Arial" w:hAnsi="Arial" w:cs="Arial"/>
          <w:color w:val="000000" w:themeColor="text1"/>
          <w:sz w:val="22"/>
          <w:szCs w:val="22"/>
          <w:lang w:val="es-ES_tradnl"/>
        </w:rPr>
        <w:t xml:space="preserve">sted </w:t>
      </w:r>
      <w:r w:rsidR="0065218F" w:rsidRPr="009D0E93">
        <w:rPr>
          <w:rFonts w:ascii="Arial" w:hAnsi="Arial" w:cs="Arial"/>
          <w:color w:val="000000" w:themeColor="text1"/>
          <w:sz w:val="22"/>
          <w:szCs w:val="22"/>
          <w:lang w:val="es-ES_tradnl"/>
        </w:rPr>
        <w:t xml:space="preserve">realiza </w:t>
      </w:r>
      <w:r w:rsidR="00026092" w:rsidRPr="009D0E93">
        <w:rPr>
          <w:rFonts w:ascii="Arial" w:hAnsi="Arial" w:cs="Arial"/>
          <w:color w:val="000000" w:themeColor="text1"/>
          <w:sz w:val="22"/>
          <w:szCs w:val="22"/>
          <w:lang w:val="es-ES_tradnl"/>
        </w:rPr>
        <w:t>la siguiente</w:t>
      </w:r>
      <w:r w:rsidR="00AC4D8F" w:rsidRPr="009D0E93">
        <w:rPr>
          <w:rFonts w:ascii="Arial" w:hAnsi="Arial" w:cs="Arial"/>
          <w:color w:val="000000" w:themeColor="text1"/>
          <w:sz w:val="22"/>
          <w:szCs w:val="22"/>
          <w:lang w:val="es-ES_tradnl"/>
        </w:rPr>
        <w:t xml:space="preserve"> </w:t>
      </w:r>
      <w:r w:rsidR="0065218F" w:rsidRPr="009D0E93">
        <w:rPr>
          <w:rFonts w:ascii="Arial" w:hAnsi="Arial" w:cs="Arial"/>
          <w:color w:val="000000" w:themeColor="text1"/>
          <w:sz w:val="22"/>
          <w:szCs w:val="22"/>
          <w:lang w:val="es-ES_tradnl"/>
        </w:rPr>
        <w:t>pregunta</w:t>
      </w:r>
      <w:r w:rsidR="008C5E9A" w:rsidRPr="009D0E93">
        <w:rPr>
          <w:rFonts w:ascii="Arial" w:hAnsi="Arial" w:cs="Arial"/>
          <w:sz w:val="22"/>
          <w:lang w:val="es-ES_tradnl"/>
        </w:rPr>
        <w:t xml:space="preserve">: </w:t>
      </w:r>
      <w:r w:rsidRPr="009D0E93">
        <w:rPr>
          <w:rFonts w:ascii="Arial" w:eastAsia="Calibri" w:hAnsi="Arial" w:cs="Arial"/>
          <w:bCs/>
          <w:sz w:val="22"/>
          <w:szCs w:val="22"/>
          <w:lang w:eastAsia="en-US"/>
        </w:rPr>
        <w:t>«</w:t>
      </w:r>
      <w:r w:rsidR="00440565" w:rsidRPr="009D0E93">
        <w:rPr>
          <w:rFonts w:ascii="Arial" w:eastAsia="Calibri" w:hAnsi="Arial" w:cs="Arial"/>
          <w:bCs/>
          <w:sz w:val="22"/>
          <w:szCs w:val="22"/>
          <w:lang w:eastAsia="en-US"/>
        </w:rPr>
        <w:t>si un proponente (sociedad extranjera) firma en su país de origen un contrato de compra de todos los activos de otra compañía, incluyendo la experiencia de esta compañía. Ellos pueden utilizar en los procesos de contratación estatal en Colombia</w:t>
      </w:r>
      <w:r w:rsidR="009C7AFC" w:rsidRPr="009D0E93">
        <w:rPr>
          <w:rFonts w:ascii="Arial" w:eastAsia="Calibri" w:hAnsi="Arial" w:cs="Arial"/>
          <w:bCs/>
          <w:sz w:val="22"/>
          <w:szCs w:val="22"/>
          <w:lang w:eastAsia="en-US"/>
        </w:rPr>
        <w:t xml:space="preserve"> </w:t>
      </w:r>
      <w:r w:rsidR="00440565" w:rsidRPr="009D0E93">
        <w:rPr>
          <w:rFonts w:ascii="Arial" w:eastAsia="Calibri" w:hAnsi="Arial" w:cs="Arial"/>
          <w:bCs/>
          <w:sz w:val="22"/>
          <w:szCs w:val="22"/>
          <w:lang w:eastAsia="en-US"/>
        </w:rPr>
        <w:t>esa experiencia que era de la otra compañía que le vendió todos sus activos</w:t>
      </w:r>
      <w:r w:rsidRPr="009D0E93">
        <w:rPr>
          <w:rFonts w:ascii="Arial" w:eastAsia="Calibri" w:hAnsi="Arial" w:cs="Arial"/>
          <w:color w:val="000000"/>
          <w:sz w:val="22"/>
          <w:szCs w:val="22"/>
          <w:lang w:val="es-ES_tradnl" w:eastAsia="en-US"/>
        </w:rPr>
        <w:t>»</w:t>
      </w:r>
      <w:r w:rsidR="009C7AFC" w:rsidRPr="009D0E93">
        <w:rPr>
          <w:rFonts w:ascii="Arial" w:eastAsia="Calibri" w:hAnsi="Arial" w:cs="Arial"/>
          <w:color w:val="000000"/>
          <w:sz w:val="22"/>
          <w:szCs w:val="22"/>
          <w:lang w:val="es-ES_tradnl" w:eastAsia="en-US"/>
        </w:rPr>
        <w:t>.</w:t>
      </w:r>
    </w:p>
    <w:p w14:paraId="05F0DBB2" w14:textId="77777777" w:rsidR="0065218F" w:rsidRPr="009D0E93" w:rsidRDefault="0065218F" w:rsidP="009E5371">
      <w:pPr>
        <w:spacing w:line="276" w:lineRule="auto"/>
        <w:ind w:right="476"/>
        <w:jc w:val="both"/>
        <w:rPr>
          <w:rFonts w:ascii="Arial" w:eastAsia="Calibri" w:hAnsi="Arial" w:cs="Arial"/>
          <w:bCs/>
          <w:sz w:val="20"/>
          <w:szCs w:val="20"/>
        </w:rPr>
      </w:pPr>
    </w:p>
    <w:p w14:paraId="124D2DCA" w14:textId="77777777" w:rsidR="00DD5B04" w:rsidRPr="009D0E93"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9D0E93">
        <w:rPr>
          <w:rFonts w:ascii="Arial" w:eastAsia="Calibri" w:hAnsi="Arial" w:cs="Arial"/>
          <w:b/>
          <w:color w:val="000000" w:themeColor="text1"/>
          <w:sz w:val="22"/>
          <w:lang w:val="es-ES_tradnl"/>
        </w:rPr>
        <w:t>Consideraciones</w:t>
      </w:r>
    </w:p>
    <w:p w14:paraId="634898A2" w14:textId="77777777" w:rsidR="009E5371" w:rsidRPr="009D0E93" w:rsidRDefault="009E5371" w:rsidP="009C7AFC">
      <w:pPr>
        <w:spacing w:line="276" w:lineRule="auto"/>
        <w:jc w:val="both"/>
        <w:rPr>
          <w:rFonts w:ascii="Arial" w:eastAsia="Calibri" w:hAnsi="Arial" w:cs="Arial"/>
          <w:color w:val="000000" w:themeColor="text1"/>
          <w:sz w:val="22"/>
          <w:szCs w:val="22"/>
        </w:rPr>
      </w:pPr>
    </w:p>
    <w:p w14:paraId="0077FCEF" w14:textId="77777777" w:rsidR="00D228B3" w:rsidRPr="009D0E93" w:rsidRDefault="00D228B3" w:rsidP="00D228B3">
      <w:pPr>
        <w:spacing w:after="120" w:line="276" w:lineRule="auto"/>
        <w:jc w:val="both"/>
        <w:rPr>
          <w:rFonts w:ascii="Arial" w:eastAsia="Calibri" w:hAnsi="Arial" w:cs="Arial"/>
          <w:sz w:val="22"/>
          <w:szCs w:val="22"/>
          <w:lang w:val="es-ES_tradnl" w:eastAsia="en-US"/>
        </w:rPr>
      </w:pPr>
      <w:r w:rsidRPr="009D0E93">
        <w:rPr>
          <w:rFonts w:ascii="Arial" w:eastAsia="Arial" w:hAnsi="Arial" w:cs="Arial"/>
          <w:sz w:val="22"/>
          <w:szCs w:val="22"/>
          <w:lang w:val="es-MX"/>
        </w:rPr>
        <w:t xml:space="preserve">En ejercicio de las competencias establecidas en los artículos 3.5 y 11.8 del Decreto Ley 4170 de 2011, la Agencia Nacional de Contratación Pública – Colombia Compra Eficiente resuelve las consultas sobre los asuntos de su competencia, esto es, sobre las temáticas </w:t>
      </w:r>
      <w:r w:rsidRPr="009D0E93">
        <w:rPr>
          <w:rFonts w:ascii="Arial" w:eastAsia="Arial" w:hAnsi="Arial" w:cs="Arial"/>
          <w:sz w:val="22"/>
          <w:szCs w:val="22"/>
          <w:lang w:val="es-MX"/>
        </w:rPr>
        <w:lastRenderedPageBreak/>
        <w:t>de la contratación estatal y compras públicas relacionadas en los artículos citados</w:t>
      </w:r>
      <w:r w:rsidRPr="009D0E93">
        <w:rPr>
          <w:rFonts w:ascii="Arial" w:eastAsia="Arial" w:hAnsi="Arial" w:cs="Arial"/>
          <w:sz w:val="22"/>
          <w:szCs w:val="22"/>
          <w:vertAlign w:val="superscript"/>
          <w:lang w:val="es-MX"/>
        </w:rPr>
        <w:footnoteReference w:id="2"/>
      </w:r>
      <w:r w:rsidRPr="009D0E93">
        <w:rPr>
          <w:rFonts w:ascii="Arial" w:eastAsia="Arial" w:hAnsi="Arial" w:cs="Arial"/>
          <w:sz w:val="22"/>
          <w:szCs w:val="22"/>
          <w:lang w:val="es-MX"/>
        </w:rPr>
        <w:t xml:space="preserve">. </w:t>
      </w:r>
      <w:r w:rsidRPr="009D0E93">
        <w:rPr>
          <w:rFonts w:ascii="Arial" w:eastAsia="Calibri" w:hAnsi="Arial" w:cs="Arial"/>
          <w:sz w:val="22"/>
          <w:szCs w:val="22"/>
          <w:lang w:val="es-ES_tradnl" w:eastAsia="en-U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particulares de todos los partícipes de la contratación estatal.</w:t>
      </w:r>
    </w:p>
    <w:p w14:paraId="162F1EEA" w14:textId="77777777" w:rsidR="00D228B3" w:rsidRPr="009D0E93" w:rsidRDefault="00D228B3" w:rsidP="00D228B3">
      <w:pPr>
        <w:spacing w:after="120" w:line="276" w:lineRule="auto"/>
        <w:ind w:firstLine="708"/>
        <w:jc w:val="both"/>
        <w:rPr>
          <w:rFonts w:ascii="Arial" w:eastAsia="Calibri" w:hAnsi="Arial" w:cs="Arial"/>
          <w:sz w:val="22"/>
          <w:szCs w:val="22"/>
          <w:lang w:val="es-ES_tradnl" w:eastAsia="en-US"/>
        </w:rPr>
      </w:pPr>
      <w:r w:rsidRPr="009D0E93">
        <w:rPr>
          <w:rFonts w:ascii="Arial" w:eastAsia="Calibri" w:hAnsi="Arial" w:cs="Arial"/>
          <w:sz w:val="22"/>
          <w:szCs w:val="22"/>
          <w:lang w:val="es-ES_tradnl" w:eastAsia="en-U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69AE3ED" w14:textId="28690D8D" w:rsidR="0091736C" w:rsidRPr="009D0E93" w:rsidRDefault="00D228B3" w:rsidP="00304EE3">
      <w:pPr>
        <w:spacing w:line="276" w:lineRule="auto"/>
        <w:ind w:firstLine="708"/>
        <w:jc w:val="both"/>
        <w:rPr>
          <w:rFonts w:ascii="Arial" w:eastAsia="Calibri" w:hAnsi="Arial" w:cs="Arial"/>
          <w:color w:val="000000" w:themeColor="text1"/>
          <w:sz w:val="22"/>
          <w:szCs w:val="22"/>
        </w:rPr>
      </w:pPr>
      <w:r w:rsidRPr="009D0E93">
        <w:rPr>
          <w:rFonts w:ascii="Arial" w:eastAsia="Calibri" w:hAnsi="Arial" w:cs="Arial"/>
          <w:sz w:val="22"/>
          <w:szCs w:val="22"/>
          <w:lang w:eastAsia="en-US"/>
        </w:rPr>
        <w:t xml:space="preserve">Así las cosas, </w:t>
      </w:r>
      <w:r w:rsidRPr="009D0E93">
        <w:rPr>
          <w:rFonts w:ascii="Arial" w:eastAsia="Calibri" w:hAnsi="Arial" w:cs="Arial"/>
          <w:sz w:val="22"/>
          <w:szCs w:val="22"/>
          <w:lang w:val="es-ES" w:eastAsia="en-US"/>
        </w:rPr>
        <w:t xml:space="preserve">la Agencia –dentro de los límites de sus atribuciones–, resolverá la consulta conforme a las normas generales en materia de contratación estatal. </w:t>
      </w:r>
      <w:r w:rsidR="0091736C" w:rsidRPr="009D0E93">
        <w:rPr>
          <w:rFonts w:ascii="Arial" w:eastAsia="Calibri" w:hAnsi="Arial" w:cs="Arial"/>
          <w:color w:val="000000" w:themeColor="text1"/>
          <w:sz w:val="22"/>
          <w:szCs w:val="22"/>
        </w:rPr>
        <w:t>Para emitir una respuesta, esta Subdirección analizará previamente los siguientes temas: i) el concepto de experiencia en la contratación pública</w:t>
      </w:r>
      <w:r w:rsidR="009C7AFC" w:rsidRPr="009D0E93">
        <w:rPr>
          <w:rFonts w:ascii="Arial" w:eastAsia="Calibri" w:hAnsi="Arial" w:cs="Arial"/>
          <w:color w:val="000000" w:themeColor="text1"/>
          <w:sz w:val="22"/>
          <w:szCs w:val="22"/>
        </w:rPr>
        <w:t>,</w:t>
      </w:r>
      <w:r w:rsidR="0091736C" w:rsidRPr="009D0E93">
        <w:rPr>
          <w:rFonts w:ascii="Arial" w:eastAsia="Calibri" w:hAnsi="Arial" w:cs="Arial"/>
          <w:color w:val="000000" w:themeColor="text1"/>
          <w:sz w:val="22"/>
          <w:szCs w:val="22"/>
        </w:rPr>
        <w:t xml:space="preserve"> ii) los efectos de las figuras y reformas estatutarias sobre la experiencia de las sociedades comerciales en la contratación estatal</w:t>
      </w:r>
      <w:r w:rsidR="009C7AFC" w:rsidRPr="009D0E93">
        <w:rPr>
          <w:rFonts w:ascii="Arial" w:eastAsia="Calibri" w:hAnsi="Arial" w:cs="Arial"/>
          <w:color w:val="000000" w:themeColor="text1"/>
          <w:sz w:val="22"/>
          <w:szCs w:val="22"/>
        </w:rPr>
        <w:t xml:space="preserve"> y iii) </w:t>
      </w:r>
      <w:r w:rsidR="00E13167" w:rsidRPr="009D0E93">
        <w:rPr>
          <w:rFonts w:ascii="Arial" w:eastAsia="Calibri" w:hAnsi="Arial" w:cs="Arial"/>
          <w:bCs/>
          <w:color w:val="000000" w:themeColor="text1"/>
          <w:sz w:val="22"/>
          <w:szCs w:val="22"/>
          <w:lang w:val="es-ES_tradnl"/>
        </w:rPr>
        <w:t>a</w:t>
      </w:r>
      <w:r w:rsidR="00377070" w:rsidRPr="009D0E93">
        <w:rPr>
          <w:rFonts w:ascii="Arial" w:eastAsia="Calibri" w:hAnsi="Arial" w:cs="Arial"/>
          <w:bCs/>
          <w:color w:val="000000" w:themeColor="text1"/>
          <w:sz w:val="22"/>
          <w:szCs w:val="22"/>
          <w:lang w:val="es-ES_tradnl"/>
        </w:rPr>
        <w:t xml:space="preserve">creditación de experiencia de proponentes extranjeros sin domicilio o sucursal en Colombia. </w:t>
      </w:r>
    </w:p>
    <w:p w14:paraId="4CFCF200" w14:textId="6BA30AB4" w:rsidR="00E9592E" w:rsidRPr="009D0E93" w:rsidRDefault="0091736C" w:rsidP="0091736C">
      <w:pPr>
        <w:spacing w:before="120" w:line="276" w:lineRule="auto"/>
        <w:ind w:firstLine="709"/>
        <w:jc w:val="both"/>
        <w:rPr>
          <w:rFonts w:ascii="Arial" w:eastAsia="Calibri" w:hAnsi="Arial" w:cs="Arial"/>
          <w:sz w:val="22"/>
        </w:rPr>
      </w:pPr>
      <w:r w:rsidRPr="009D0E93">
        <w:rPr>
          <w:rFonts w:ascii="Arial" w:eastAsia="Calibri" w:hAnsi="Arial" w:cs="Arial"/>
          <w:sz w:val="22"/>
        </w:rPr>
        <w:t>La Agencia Nacional de Contratación Pública – Colombia Compra Eficiente, en el concepto C - 002 del 20 de febrero de 2020, reiterado en los conceptos C-491 del 27 de julio de 2020, C-350 del 1 de junio de 2020, C-584 del 31 de agosto de 2020, C-002 del 9 de febrero de 2021, C-115 del 29 de marzo de 2021, C-343 del 13 de julio de 2021</w:t>
      </w:r>
      <w:r w:rsidR="00C6624E" w:rsidRPr="009D0E93">
        <w:rPr>
          <w:rFonts w:ascii="Arial" w:eastAsia="Calibri" w:hAnsi="Arial" w:cs="Arial"/>
          <w:sz w:val="22"/>
        </w:rPr>
        <w:t xml:space="preserve"> y</w:t>
      </w:r>
      <w:r w:rsidRPr="009D0E93">
        <w:rPr>
          <w:rFonts w:ascii="Arial" w:eastAsia="Calibri" w:hAnsi="Arial" w:cs="Arial"/>
          <w:sz w:val="22"/>
        </w:rPr>
        <w:t xml:space="preserve"> C-342 del 13 de julio de 2021, se pronunció sobre el tema objeto de esta consulta, señalando que </w:t>
      </w:r>
      <w:r w:rsidRPr="009D0E93">
        <w:rPr>
          <w:rFonts w:ascii="Arial" w:eastAsia="Calibri" w:hAnsi="Arial" w:cs="Arial"/>
          <w:sz w:val="22"/>
        </w:rPr>
        <w:lastRenderedPageBreak/>
        <w:t>es viable la transferencia de experiencia en la transformación y en la fusión, pero no en la escisión</w:t>
      </w:r>
      <w:r w:rsidRPr="009D0E93">
        <w:rPr>
          <w:rStyle w:val="Refdenotaalpie"/>
          <w:rFonts w:ascii="Arial" w:eastAsia="Calibri" w:hAnsi="Arial" w:cs="Arial"/>
          <w:sz w:val="22"/>
        </w:rPr>
        <w:footnoteReference w:id="3"/>
      </w:r>
      <w:r w:rsidRPr="009D0E93">
        <w:rPr>
          <w:rFonts w:ascii="Arial" w:eastAsia="Calibri" w:hAnsi="Arial" w:cs="Arial"/>
          <w:color w:val="000000" w:themeColor="text1"/>
          <w:sz w:val="22"/>
          <w:szCs w:val="22"/>
        </w:rPr>
        <w:t>. La tesis expuesta en estos conceptos se reitera a continuación</w:t>
      </w:r>
      <w:r w:rsidR="00E9592E" w:rsidRPr="009D0E93">
        <w:rPr>
          <w:rFonts w:ascii="Arial" w:eastAsia="Calibri" w:hAnsi="Arial" w:cs="Arial"/>
          <w:sz w:val="22"/>
          <w:szCs w:val="22"/>
          <w:lang w:val="es-ES_tradnl"/>
        </w:rPr>
        <w:t xml:space="preserve">. </w:t>
      </w:r>
    </w:p>
    <w:p w14:paraId="27DA9246" w14:textId="77777777" w:rsidR="00BA79B8" w:rsidRPr="009D0E93" w:rsidRDefault="00BA79B8" w:rsidP="002E70BF">
      <w:pPr>
        <w:spacing w:line="276" w:lineRule="auto"/>
        <w:jc w:val="both"/>
        <w:rPr>
          <w:rFonts w:ascii="Arial" w:eastAsia="Calibri" w:hAnsi="Arial" w:cs="Arial"/>
          <w:color w:val="000000" w:themeColor="text1"/>
          <w:sz w:val="22"/>
          <w:szCs w:val="22"/>
          <w:lang w:val="es-ES_tradnl"/>
        </w:rPr>
      </w:pPr>
    </w:p>
    <w:p w14:paraId="2DF0049B" w14:textId="77777777" w:rsidR="0091736C" w:rsidRPr="009D0E93" w:rsidRDefault="00063085" w:rsidP="0091736C">
      <w:pPr>
        <w:spacing w:line="276" w:lineRule="auto"/>
        <w:jc w:val="both"/>
        <w:rPr>
          <w:rFonts w:ascii="Arial" w:eastAsia="Calibri" w:hAnsi="Arial" w:cs="Arial"/>
          <w:b/>
          <w:sz w:val="22"/>
        </w:rPr>
      </w:pPr>
      <w:r w:rsidRPr="009D0E93">
        <w:rPr>
          <w:rFonts w:ascii="Arial" w:eastAsia="Calibri" w:hAnsi="Arial" w:cs="Arial"/>
          <w:b/>
          <w:bCs/>
          <w:color w:val="000000" w:themeColor="text1"/>
          <w:sz w:val="22"/>
          <w:szCs w:val="22"/>
          <w:lang w:val="es-ES_tradnl"/>
        </w:rPr>
        <w:t>2.1</w:t>
      </w:r>
      <w:r w:rsidR="00CF148D" w:rsidRPr="009D0E93">
        <w:rPr>
          <w:rFonts w:ascii="Arial" w:eastAsia="Calibri" w:hAnsi="Arial" w:cs="Arial"/>
          <w:b/>
          <w:bCs/>
          <w:color w:val="000000" w:themeColor="text1"/>
          <w:sz w:val="22"/>
          <w:szCs w:val="22"/>
          <w:lang w:val="es-ES_tradnl"/>
        </w:rPr>
        <w:t xml:space="preserve"> </w:t>
      </w:r>
      <w:r w:rsidR="0091736C" w:rsidRPr="009D0E93">
        <w:rPr>
          <w:rFonts w:ascii="Arial" w:eastAsia="Calibri" w:hAnsi="Arial" w:cs="Arial"/>
          <w:b/>
          <w:sz w:val="22"/>
        </w:rPr>
        <w:t>Aproximación general al concepto de experiencia en la contratación pública</w:t>
      </w:r>
    </w:p>
    <w:p w14:paraId="6BED8479" w14:textId="77777777" w:rsidR="0091736C" w:rsidRPr="009D0E93" w:rsidRDefault="0091736C" w:rsidP="0091736C">
      <w:pPr>
        <w:spacing w:line="276" w:lineRule="auto"/>
        <w:jc w:val="both"/>
        <w:rPr>
          <w:rFonts w:ascii="Arial" w:eastAsia="Calibri" w:hAnsi="Arial" w:cs="Arial"/>
          <w:b/>
          <w:sz w:val="22"/>
        </w:rPr>
      </w:pPr>
    </w:p>
    <w:p w14:paraId="120011D1" w14:textId="77777777" w:rsidR="0091736C" w:rsidRPr="009D0E93" w:rsidRDefault="0091736C" w:rsidP="0091736C">
      <w:pPr>
        <w:spacing w:line="276" w:lineRule="auto"/>
        <w:jc w:val="both"/>
        <w:rPr>
          <w:rFonts w:ascii="Arial" w:eastAsia="Calibri" w:hAnsi="Arial" w:cs="Arial"/>
          <w:sz w:val="22"/>
        </w:rPr>
      </w:pPr>
      <w:r w:rsidRPr="009D0E93">
        <w:rPr>
          <w:rFonts w:ascii="Arial" w:eastAsia="Calibri" w:hAnsi="Arial" w:cs="Arial"/>
          <w:sz w:val="22"/>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9D0E93">
        <w:rPr>
          <w:rFonts w:ascii="Arial" w:eastAsia="Calibri" w:hAnsi="Arial" w:cs="Arial"/>
          <w:sz w:val="22"/>
          <w:vertAlign w:val="superscript"/>
        </w:rPr>
        <w:footnoteReference w:id="4"/>
      </w:r>
      <w:r w:rsidRPr="009D0E93">
        <w:rPr>
          <w:rFonts w:ascii="Arial" w:eastAsia="Calibri" w:hAnsi="Arial" w:cs="Arial"/>
          <w:sz w:val="22"/>
        </w:rPr>
        <w:t>.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así como el mercado y precio del bien, obra o servicio a contratar</w:t>
      </w:r>
      <w:r w:rsidRPr="009D0E93">
        <w:rPr>
          <w:rFonts w:ascii="Arial" w:eastAsia="Calibri" w:hAnsi="Arial" w:cs="Arial"/>
          <w:sz w:val="22"/>
          <w:vertAlign w:val="superscript"/>
        </w:rPr>
        <w:footnoteReference w:id="5"/>
      </w:r>
      <w:r w:rsidRPr="009D0E93">
        <w:rPr>
          <w:rFonts w:ascii="Arial" w:eastAsia="Calibri" w:hAnsi="Arial" w:cs="Arial"/>
          <w:sz w:val="22"/>
        </w:rPr>
        <w:t>.</w:t>
      </w:r>
    </w:p>
    <w:p w14:paraId="27B83C25" w14:textId="1464A828" w:rsidR="0091736C" w:rsidRPr="009D0E93" w:rsidRDefault="0091736C" w:rsidP="0091736C">
      <w:pPr>
        <w:spacing w:before="120" w:after="120" w:line="276" w:lineRule="auto"/>
        <w:ind w:firstLine="708"/>
        <w:jc w:val="both"/>
        <w:rPr>
          <w:rFonts w:ascii="Arial" w:eastAsia="Calibri" w:hAnsi="Arial" w:cs="Arial"/>
          <w:sz w:val="22"/>
        </w:rPr>
      </w:pPr>
      <w:r w:rsidRPr="009D0E93">
        <w:rPr>
          <w:rFonts w:ascii="Arial" w:eastAsia="Calibri" w:hAnsi="Arial" w:cs="Arial"/>
          <w:sz w:val="22"/>
        </w:rPr>
        <w:t xml:space="preserve">La experiencia que se deriva de los contratos que el proponente ha celebrado y ejecutado con diferentes contratantes, sin importar la naturaleza de estos, se verifica con </w:t>
      </w:r>
      <w:r w:rsidRPr="009D0E93">
        <w:rPr>
          <w:rFonts w:ascii="Arial" w:eastAsia="Calibri" w:hAnsi="Arial" w:cs="Arial"/>
          <w:sz w:val="22"/>
        </w:rPr>
        <w:lastRenderedPageBreak/>
        <w:t>el Registro Único de Proponentes – RUP</w:t>
      </w:r>
      <w:r w:rsidRPr="009D0E93">
        <w:rPr>
          <w:rFonts w:ascii="Arial" w:eastAsia="Calibri" w:hAnsi="Arial" w:cs="Arial"/>
          <w:sz w:val="22"/>
          <w:vertAlign w:val="superscript"/>
        </w:rPr>
        <w:footnoteReference w:id="6"/>
      </w:r>
      <w:r w:rsidRPr="009D0E93">
        <w:rPr>
          <w:rFonts w:ascii="Arial" w:eastAsia="Calibri" w:hAnsi="Arial" w:cs="Arial"/>
          <w:sz w:val="22"/>
        </w:rPr>
        <w:t>, cuando este certificado sea exigible de acuerdo con la ley. En el RUP constan los requisitos habilitantes que se evalúan exclusivamente con este documento, que es su plena prueba, sin que la entidad o el proponente puedan solicitar o aportar otra documentación</w:t>
      </w:r>
      <w:r w:rsidRPr="009D0E93">
        <w:rPr>
          <w:rFonts w:ascii="Arial" w:eastAsia="Calibri" w:hAnsi="Arial" w:cs="Arial"/>
          <w:sz w:val="22"/>
          <w:vertAlign w:val="superscript"/>
        </w:rPr>
        <w:footnoteReference w:id="7"/>
      </w:r>
      <w:r w:rsidRPr="009D0E93">
        <w:rPr>
          <w:rFonts w:ascii="Arial" w:eastAsia="Calibri" w:hAnsi="Arial" w:cs="Arial"/>
          <w:sz w:val="22"/>
        </w:rPr>
        <w:t>.</w:t>
      </w:r>
    </w:p>
    <w:p w14:paraId="7493B941" w14:textId="7484C1AF" w:rsidR="00377070" w:rsidRPr="009D0E93" w:rsidRDefault="00377070" w:rsidP="0091736C">
      <w:pPr>
        <w:spacing w:before="120" w:after="120" w:line="276" w:lineRule="auto"/>
        <w:ind w:firstLine="708"/>
        <w:jc w:val="both"/>
        <w:rPr>
          <w:rFonts w:ascii="Arial" w:eastAsia="Calibri" w:hAnsi="Arial" w:cs="Arial"/>
          <w:sz w:val="22"/>
        </w:rPr>
      </w:pPr>
      <w:r w:rsidRPr="009D0E93">
        <w:rPr>
          <w:rFonts w:ascii="Arial" w:eastAsia="Calibri" w:hAnsi="Arial" w:cs="Arial"/>
          <w:sz w:val="22"/>
        </w:rPr>
        <w:t xml:space="preserve">En </w:t>
      </w:r>
      <w:r w:rsidR="00034E32" w:rsidRPr="009D0E93">
        <w:rPr>
          <w:rFonts w:ascii="Arial" w:eastAsia="Calibri" w:hAnsi="Arial" w:cs="Arial"/>
          <w:sz w:val="22"/>
        </w:rPr>
        <w:t xml:space="preserve">este punto, </w:t>
      </w:r>
      <w:r w:rsidRPr="009D0E93">
        <w:rPr>
          <w:rFonts w:ascii="Arial" w:eastAsia="Calibri" w:hAnsi="Arial" w:cs="Arial"/>
          <w:sz w:val="22"/>
        </w:rPr>
        <w:t xml:space="preserve">es pertinente indicar que </w:t>
      </w:r>
      <w:r w:rsidR="00034E32" w:rsidRPr="009D0E93">
        <w:rPr>
          <w:rFonts w:ascii="Arial" w:eastAsia="Calibri" w:hAnsi="Arial" w:cs="Arial"/>
          <w:sz w:val="22"/>
        </w:rPr>
        <w:t>de conformidad con el</w:t>
      </w:r>
      <w:r w:rsidRPr="009D0E93">
        <w:rPr>
          <w:rFonts w:ascii="Arial" w:eastAsia="Calibri" w:hAnsi="Arial" w:cs="Arial"/>
          <w:sz w:val="22"/>
        </w:rPr>
        <w:t xml:space="preserve"> artículo </w:t>
      </w:r>
      <w:r w:rsidRPr="009D0E93">
        <w:rPr>
          <w:rFonts w:ascii="Arial" w:hAnsi="Arial" w:cs="Arial"/>
          <w:sz w:val="22"/>
        </w:rPr>
        <w:t>6 de la Ley 1150 de 2007</w:t>
      </w:r>
      <w:r w:rsidR="00034E32" w:rsidRPr="009D0E93">
        <w:rPr>
          <w:rFonts w:ascii="Arial" w:hAnsi="Arial" w:cs="Arial"/>
          <w:sz w:val="22"/>
        </w:rPr>
        <w:t xml:space="preserve"> </w:t>
      </w:r>
      <w:r w:rsidRPr="009D0E93">
        <w:rPr>
          <w:rFonts w:ascii="Arial" w:hAnsi="Arial" w:cs="Arial"/>
          <w:sz w:val="22"/>
        </w:rPr>
        <w:t>todas las personas naturales o jurídicas, nacionales o extranjeras, domiciliadas o con sucursal en Colombia, que aspiren celebrar contratos con las entidades deberán estar inscritas en el Registro Único de Proponentes. Por consiguiente, las personas jurídicas extranjeras domiciliadas o con sucursal en Colombia</w:t>
      </w:r>
      <w:r w:rsidR="00034E32" w:rsidRPr="009D0E93">
        <w:rPr>
          <w:rFonts w:ascii="Arial" w:hAnsi="Arial" w:cs="Arial"/>
          <w:sz w:val="22"/>
        </w:rPr>
        <w:t xml:space="preserve"> </w:t>
      </w:r>
      <w:r w:rsidRPr="009D0E93">
        <w:rPr>
          <w:rFonts w:ascii="Arial" w:hAnsi="Arial" w:cs="Arial"/>
          <w:sz w:val="22"/>
        </w:rPr>
        <w:t>acreditarán los requisitos habilitantes mediante el RUP</w:t>
      </w:r>
      <w:r w:rsidR="00034E32" w:rsidRPr="009D0E93">
        <w:rPr>
          <w:rFonts w:ascii="Arial" w:hAnsi="Arial" w:cs="Arial"/>
          <w:sz w:val="22"/>
        </w:rPr>
        <w:t>,</w:t>
      </w:r>
      <w:r w:rsidRPr="009D0E93">
        <w:rPr>
          <w:rFonts w:ascii="Arial" w:hAnsi="Arial" w:cs="Arial"/>
          <w:sz w:val="22"/>
        </w:rPr>
        <w:t xml:space="preserve"> en el que constará la información relacionada con la experiencia, capacidad jurídica, financiera y de organización del proponente y su clasificación.</w:t>
      </w:r>
    </w:p>
    <w:p w14:paraId="61E81A47" w14:textId="77777777" w:rsidR="0091736C" w:rsidRPr="009D0E93" w:rsidRDefault="0091736C" w:rsidP="0091736C">
      <w:pPr>
        <w:spacing w:line="276" w:lineRule="auto"/>
        <w:ind w:firstLine="708"/>
        <w:jc w:val="both"/>
        <w:rPr>
          <w:rFonts w:ascii="Arial" w:eastAsia="Calibri" w:hAnsi="Arial" w:cs="Arial"/>
          <w:sz w:val="22"/>
        </w:rPr>
      </w:pPr>
      <w:r w:rsidRPr="009D0E93">
        <w:rPr>
          <w:rFonts w:ascii="Arial" w:eastAsia="Calibri" w:hAnsi="Arial" w:cs="Arial"/>
          <w:sz w:val="22"/>
        </w:rPr>
        <w:t xml:space="preserve">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Tales documentos deben codificarse con el clasificador de bienes y servicios en el tercer </w:t>
      </w:r>
      <w:r w:rsidRPr="009D0E93">
        <w:rPr>
          <w:rFonts w:ascii="Arial" w:eastAsia="Calibri" w:hAnsi="Arial" w:cs="Arial"/>
          <w:sz w:val="22"/>
        </w:rPr>
        <w:lastRenderedPageBreak/>
        <w:t>nivel</w:t>
      </w:r>
      <w:r w:rsidRPr="009D0E93">
        <w:rPr>
          <w:rFonts w:ascii="Arial" w:eastAsia="Calibri" w:hAnsi="Arial" w:cs="Arial"/>
          <w:sz w:val="22"/>
          <w:vertAlign w:val="superscript"/>
        </w:rPr>
        <w:footnoteReference w:id="8"/>
      </w:r>
      <w:r w:rsidRPr="009D0E93">
        <w:rPr>
          <w:rFonts w:ascii="Arial" w:eastAsia="Calibri" w:hAnsi="Arial" w:cs="Arial"/>
          <w:sz w:val="22"/>
        </w:rPr>
        <w:t>.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2044F089" w14:textId="20EED696" w:rsidR="0091736C" w:rsidRPr="009D0E93" w:rsidRDefault="0091736C" w:rsidP="0091736C">
      <w:pPr>
        <w:spacing w:before="120" w:line="276" w:lineRule="auto"/>
        <w:ind w:firstLine="709"/>
        <w:jc w:val="both"/>
        <w:rPr>
          <w:rFonts w:ascii="Arial" w:eastAsia="Calibri" w:hAnsi="Arial" w:cs="Arial"/>
          <w:sz w:val="22"/>
        </w:rPr>
      </w:pPr>
      <w:r w:rsidRPr="009D0E93">
        <w:rPr>
          <w:rFonts w:ascii="Arial" w:eastAsia="Calibri" w:hAnsi="Arial" w:cs="Arial"/>
          <w:sz w:val="22"/>
        </w:rPr>
        <w:t xml:space="preserve">La Agencia Nacional de Contratación Pública - Colombia Compra Eficiente puso a disposición de los interesados del Sistema de Compra Pública el </w:t>
      </w:r>
      <w:r w:rsidRPr="009D0E93">
        <w:rPr>
          <w:rFonts w:ascii="Arial" w:eastAsia="Calibri" w:hAnsi="Arial" w:cs="Arial"/>
          <w:i/>
          <w:iCs/>
          <w:sz w:val="22"/>
        </w:rPr>
        <w:t>Manual para determinar y verificar requisitos habilitantes en los procesos de contratación</w:t>
      </w:r>
      <w:r w:rsidR="00D5566A" w:rsidRPr="009D0E93">
        <w:rPr>
          <w:rStyle w:val="Refdenotaalpie"/>
          <w:rFonts w:ascii="Arial" w:eastAsia="Calibri" w:hAnsi="Arial" w:cs="Arial"/>
          <w:i/>
          <w:iCs/>
          <w:sz w:val="22"/>
        </w:rPr>
        <w:footnoteReference w:id="9"/>
      </w:r>
      <w:r w:rsidRPr="009D0E93">
        <w:rPr>
          <w:rFonts w:ascii="Arial" w:eastAsia="Calibri" w:hAnsi="Arial" w:cs="Arial"/>
          <w:sz w:val="22"/>
        </w:rPr>
        <w:t>. En dicho Manual se establecen las definiciones de cada requisito habilitante y se dan lineamientos orientadores sobre lo que las entidades pueden hacer para configurarlos. Sobre el particular, para la experiencia como requisito habilitante, el Manual se centra en una de sus cualidades y es que es personal, lo cual significa que quien tiene la experiencia lo hace en razón de su participación, con anterioridad, en actividades que le permitieron conocer cómo ejecutar el objeto contractual que la entidad pretende satisfacer ahora</w:t>
      </w:r>
      <w:r w:rsidRPr="009D0E93">
        <w:rPr>
          <w:rFonts w:ascii="Arial" w:eastAsia="Calibri" w:hAnsi="Arial" w:cs="Arial"/>
          <w:sz w:val="22"/>
          <w:vertAlign w:val="superscript"/>
        </w:rPr>
        <w:footnoteReference w:id="10"/>
      </w:r>
      <w:r w:rsidRPr="009D0E93">
        <w:rPr>
          <w:rFonts w:ascii="Arial" w:eastAsia="Calibri" w:hAnsi="Arial" w:cs="Arial"/>
          <w:sz w:val="22"/>
        </w:rPr>
        <w:t>.</w:t>
      </w:r>
    </w:p>
    <w:p w14:paraId="613F863F" w14:textId="1A29A22B" w:rsidR="009175C6" w:rsidRPr="009D0E93" w:rsidRDefault="0091736C" w:rsidP="009175C6">
      <w:pPr>
        <w:spacing w:before="120" w:after="120" w:line="276" w:lineRule="auto"/>
        <w:ind w:firstLine="708"/>
        <w:jc w:val="both"/>
        <w:rPr>
          <w:rFonts w:ascii="Arial" w:eastAsia="Calibri" w:hAnsi="Arial" w:cs="Arial"/>
          <w:sz w:val="22"/>
        </w:rPr>
      </w:pPr>
      <w:r w:rsidRPr="009D0E93">
        <w:rPr>
          <w:rFonts w:ascii="Arial" w:eastAsia="Calibri" w:hAnsi="Arial" w:cs="Arial"/>
          <w:sz w:val="22"/>
        </w:rPr>
        <w:lastRenderedPageBreak/>
        <w:t>Lo anterior es determinante, porque no es posible tener experiencia si en la práctica no se han ejecutado actividades similares previas. Precisamente, de la experiencia se deriva el conocimiento del proponente, y para la contratación pública es importante, ya que garantiza que no habrá improvisación ni mayores costos por errores o dificultades originadas en realizar una actividad por primera vez.</w:t>
      </w:r>
      <w:r w:rsidR="009175C6" w:rsidRPr="009D0E93">
        <w:rPr>
          <w:rFonts w:ascii="Arial" w:eastAsia="Calibri" w:hAnsi="Arial" w:cs="Arial"/>
          <w:sz w:val="22"/>
        </w:rPr>
        <w:t xml:space="preserve"> </w:t>
      </w:r>
      <w:r w:rsidR="009175C6" w:rsidRPr="009D0E93">
        <w:rPr>
          <w:rFonts w:ascii="Arial" w:eastAsia="Calibri" w:hAnsi="Arial" w:cs="Arial"/>
          <w:sz w:val="22"/>
          <w:szCs w:val="22"/>
        </w:rPr>
        <w:t xml:space="preserve">Al respecto, la jurisprudencia ha señalado que la experiencia acreditable </w:t>
      </w:r>
      <w:r w:rsidR="009175C6" w:rsidRPr="009D0E93">
        <w:rPr>
          <w:rFonts w:ascii="Arial" w:hAnsi="Arial" w:cs="Arial"/>
          <w:sz w:val="22"/>
          <w:szCs w:val="22"/>
        </w:rPr>
        <w:t>«</w:t>
      </w:r>
      <w:r w:rsidR="009175C6" w:rsidRPr="009D0E93">
        <w:rPr>
          <w:rFonts w:ascii="Arial" w:eastAsia="Calibri" w:hAnsi="Arial" w:cs="Arial"/>
          <w:sz w:val="22"/>
          <w:szCs w:val="22"/>
        </w:rPr>
        <w:t>no es más que un valor agregado para el contratista en consideración al registro documentado del hecho de haberlo ejecutado, es decir de haber cumplido las consideraciones pactadas, asunto que alude a un estado adquirido por el contratante en función de la real ejecución que han hecho del contrato. La experiencia predicada de un sujeto comprende unas competencias o habilidades que este obtuvo, como consecuencia de la ejecución del contrato […]</w:t>
      </w:r>
      <w:bookmarkStart w:id="5" w:name="_Hlk113199905"/>
      <w:r w:rsidR="009175C6" w:rsidRPr="009D0E93">
        <w:rPr>
          <w:rFonts w:ascii="Arial" w:hAnsi="Arial" w:cs="Arial"/>
          <w:sz w:val="22"/>
          <w:szCs w:val="22"/>
        </w:rPr>
        <w:t>»</w:t>
      </w:r>
      <w:bookmarkEnd w:id="5"/>
      <w:r w:rsidR="009175C6" w:rsidRPr="009D0E93">
        <w:rPr>
          <w:rStyle w:val="Refdenotaalpie"/>
          <w:rFonts w:ascii="Arial" w:hAnsi="Arial" w:cs="Arial"/>
          <w:sz w:val="22"/>
          <w:szCs w:val="22"/>
        </w:rPr>
        <w:footnoteReference w:id="11"/>
      </w:r>
      <w:r w:rsidR="009175C6" w:rsidRPr="009D0E93">
        <w:rPr>
          <w:rFonts w:ascii="Arial" w:hAnsi="Arial" w:cs="Arial"/>
          <w:sz w:val="22"/>
          <w:szCs w:val="22"/>
        </w:rPr>
        <w:t xml:space="preserve">. En tal sentido, la ejecución del contrato «se revela como un aspecto inherente a la persona que lo ejecutó», por lo que es en virtud de dicha ejecución que se obtiene las habilidades y competencias que califican al proponente. </w:t>
      </w:r>
    </w:p>
    <w:p w14:paraId="0FCC69FA" w14:textId="674F1E05" w:rsidR="0091736C" w:rsidRPr="009D0E93" w:rsidRDefault="0091736C" w:rsidP="0091736C">
      <w:pPr>
        <w:spacing w:before="120" w:after="120" w:line="276" w:lineRule="auto"/>
        <w:ind w:firstLine="708"/>
        <w:jc w:val="both"/>
        <w:rPr>
          <w:rFonts w:ascii="Arial" w:eastAsia="Calibri" w:hAnsi="Arial" w:cs="Arial"/>
          <w:sz w:val="22"/>
        </w:rPr>
      </w:pPr>
      <w:r w:rsidRPr="009D0E93">
        <w:rPr>
          <w:rFonts w:ascii="Arial" w:eastAsia="Calibri" w:hAnsi="Arial" w:cs="Arial"/>
          <w:sz w:val="22"/>
        </w:rPr>
        <w:t xml:space="preserve">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w:t>
      </w:r>
    </w:p>
    <w:p w14:paraId="300A43C2" w14:textId="6B91B191" w:rsidR="0091736C" w:rsidRPr="009D0E93" w:rsidRDefault="009175C6" w:rsidP="0091736C">
      <w:pPr>
        <w:spacing w:before="120" w:after="120" w:line="276" w:lineRule="auto"/>
        <w:ind w:firstLine="708"/>
        <w:jc w:val="both"/>
        <w:rPr>
          <w:rFonts w:ascii="Arial" w:eastAsia="Calibri" w:hAnsi="Arial" w:cs="Arial"/>
          <w:sz w:val="22"/>
        </w:rPr>
      </w:pPr>
      <w:r w:rsidRPr="009D0E93">
        <w:rPr>
          <w:rFonts w:ascii="Arial" w:eastAsia="Calibri" w:hAnsi="Arial" w:cs="Arial"/>
          <w:sz w:val="22"/>
        </w:rPr>
        <w:lastRenderedPageBreak/>
        <w:t>De lo anteriormente expuesto</w:t>
      </w:r>
      <w:r w:rsidR="0091736C" w:rsidRPr="009D0E93">
        <w:rPr>
          <w:rFonts w:ascii="Arial" w:eastAsia="Calibri" w:hAnsi="Arial" w:cs="Arial"/>
          <w:sz w:val="22"/>
        </w:rPr>
        <w:t xml:space="preserve">, se pueden extraer cuatro conclusiones relevantes para evaluar a continuación las figuras y reformas estatutarias de las sociedades comerciales, respecto de la experiencia: </w:t>
      </w:r>
    </w:p>
    <w:p w14:paraId="14D63C33" w14:textId="77777777" w:rsidR="0091736C" w:rsidRPr="009D0E93" w:rsidRDefault="0091736C" w:rsidP="0091736C">
      <w:pPr>
        <w:spacing w:before="120" w:after="120" w:line="276" w:lineRule="auto"/>
        <w:ind w:firstLine="708"/>
        <w:jc w:val="both"/>
        <w:rPr>
          <w:rFonts w:ascii="Arial" w:eastAsia="Calibri" w:hAnsi="Arial" w:cs="Arial"/>
          <w:sz w:val="22"/>
        </w:rPr>
      </w:pPr>
      <w:r w:rsidRPr="009D0E93">
        <w:rPr>
          <w:rFonts w:ascii="Arial" w:eastAsia="Calibri" w:hAnsi="Arial" w:cs="Arial"/>
          <w:sz w:val="22"/>
        </w:rPr>
        <w:t>i) La experiencia es personal, esto es, se adquiere participando, directa o indirectamente, sin que sea posible no hacerlo y tener experiencia.</w:t>
      </w:r>
    </w:p>
    <w:p w14:paraId="79D03861" w14:textId="0064E6C7" w:rsidR="0091736C" w:rsidRPr="009D0E93" w:rsidRDefault="0091736C" w:rsidP="0091736C">
      <w:pPr>
        <w:spacing w:before="120" w:after="120" w:line="276" w:lineRule="auto"/>
        <w:ind w:firstLine="708"/>
        <w:jc w:val="both"/>
        <w:rPr>
          <w:rFonts w:ascii="Arial" w:eastAsia="Calibri" w:hAnsi="Arial" w:cs="Arial"/>
          <w:sz w:val="22"/>
        </w:rPr>
      </w:pPr>
      <w:r w:rsidRPr="009D0E93">
        <w:rPr>
          <w:rFonts w:ascii="Arial" w:eastAsia="Calibri" w:hAnsi="Arial" w:cs="Arial"/>
          <w:sz w:val="22"/>
        </w:rPr>
        <w:t xml:space="preserve">ii) La experiencia se puede compartir, sin que implique que la compartida a una persona se entienda suya, ya que dentro del procedimiento contractual se reflejará que esa persona tiene la experiencia de otra, como es el caso de las figuras asociativas </w:t>
      </w:r>
      <w:r w:rsidR="00393688" w:rsidRPr="009D0E93">
        <w:rPr>
          <w:rFonts w:ascii="Arial" w:eastAsia="Calibri" w:hAnsi="Arial" w:cs="Arial"/>
          <w:sz w:val="22"/>
        </w:rPr>
        <w:t>–</w:t>
      </w:r>
      <w:r w:rsidRPr="009D0E93">
        <w:rPr>
          <w:rFonts w:ascii="Arial" w:eastAsia="Calibri" w:hAnsi="Arial" w:cs="Arial"/>
          <w:sz w:val="22"/>
        </w:rPr>
        <w:t>consorcios y uniones temporales</w:t>
      </w:r>
      <w:r w:rsidR="00393688" w:rsidRPr="009D0E93">
        <w:rPr>
          <w:rFonts w:ascii="Arial" w:eastAsia="Calibri" w:hAnsi="Arial" w:cs="Arial"/>
          <w:sz w:val="22"/>
        </w:rPr>
        <w:t>–</w:t>
      </w:r>
      <w:r w:rsidRPr="009D0E93">
        <w:rPr>
          <w:rFonts w:ascii="Arial" w:eastAsia="Calibri" w:hAnsi="Arial" w:cs="Arial"/>
          <w:sz w:val="22"/>
        </w:rPr>
        <w:t xml:space="preserve"> que se verificará en el documento privado de constitución</w:t>
      </w:r>
      <w:r w:rsidRPr="009D0E93">
        <w:rPr>
          <w:rFonts w:ascii="Arial" w:eastAsia="Calibri" w:hAnsi="Arial" w:cs="Arial"/>
          <w:sz w:val="22"/>
          <w:vertAlign w:val="superscript"/>
        </w:rPr>
        <w:footnoteReference w:id="12"/>
      </w:r>
      <w:r w:rsidRPr="009D0E93">
        <w:rPr>
          <w:rFonts w:ascii="Arial" w:eastAsia="Calibri" w:hAnsi="Arial" w:cs="Arial"/>
          <w:sz w:val="22"/>
        </w:rPr>
        <w:t>.</w:t>
      </w:r>
    </w:p>
    <w:p w14:paraId="440FE8DC" w14:textId="77777777" w:rsidR="0091736C" w:rsidRPr="009D0E93" w:rsidRDefault="0091736C" w:rsidP="0091736C">
      <w:pPr>
        <w:spacing w:before="120" w:after="120" w:line="276" w:lineRule="auto"/>
        <w:ind w:firstLine="708"/>
        <w:jc w:val="both"/>
        <w:rPr>
          <w:rFonts w:ascii="Arial" w:eastAsia="Calibri" w:hAnsi="Arial" w:cs="Arial"/>
          <w:sz w:val="22"/>
        </w:rPr>
      </w:pPr>
      <w:r w:rsidRPr="009D0E93">
        <w:rPr>
          <w:rFonts w:ascii="Arial" w:eastAsia="Calibri" w:hAnsi="Arial" w:cs="Arial"/>
          <w:sz w:val="22"/>
        </w:rPr>
        <w:t>iii)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2.2. de este concepto.</w:t>
      </w:r>
    </w:p>
    <w:p w14:paraId="31651112" w14:textId="1D9A8D02" w:rsidR="0091736C" w:rsidRPr="009D0E93" w:rsidRDefault="0091736C" w:rsidP="0091736C">
      <w:pPr>
        <w:spacing w:line="276" w:lineRule="auto"/>
        <w:ind w:firstLine="708"/>
        <w:jc w:val="both"/>
        <w:rPr>
          <w:rFonts w:ascii="Arial" w:eastAsia="Calibri" w:hAnsi="Arial" w:cs="Arial"/>
          <w:sz w:val="22"/>
        </w:rPr>
      </w:pPr>
      <w:r w:rsidRPr="009D0E93">
        <w:rPr>
          <w:rFonts w:ascii="Arial" w:eastAsia="Calibri" w:hAnsi="Arial" w:cs="Arial"/>
          <w:sz w:val="22"/>
        </w:rPr>
        <w:t>iv) Cuando</w:t>
      </w:r>
      <w:r w:rsidR="009175C6" w:rsidRPr="009D0E93">
        <w:rPr>
          <w:rFonts w:ascii="Arial" w:eastAsia="Calibri" w:hAnsi="Arial" w:cs="Arial"/>
          <w:sz w:val="22"/>
        </w:rPr>
        <w:t xml:space="preserve"> la persona que adquirió la experiencia desaparece o se liquida no es posible que comparta o transfiera su experiencia, puesto que, al ser esta personal, sigue la suerte de quien la adquirió.</w:t>
      </w:r>
    </w:p>
    <w:p w14:paraId="0D4CAE84" w14:textId="29B222AB" w:rsidR="0091736C" w:rsidRPr="009D0E93" w:rsidRDefault="0091736C" w:rsidP="0091736C">
      <w:pPr>
        <w:spacing w:before="120" w:after="120" w:line="276" w:lineRule="auto"/>
        <w:ind w:firstLine="708"/>
        <w:jc w:val="both"/>
        <w:rPr>
          <w:rFonts w:ascii="Arial" w:eastAsia="Calibri" w:hAnsi="Arial" w:cs="Arial"/>
          <w:sz w:val="22"/>
        </w:rPr>
      </w:pPr>
      <w:r w:rsidRPr="009D0E93">
        <w:rPr>
          <w:rFonts w:ascii="Arial" w:eastAsia="Calibri" w:hAnsi="Arial" w:cs="Arial"/>
          <w:sz w:val="22"/>
        </w:rPr>
        <w:t xml:space="preserve">De lo anterior se </w:t>
      </w:r>
      <w:r w:rsidR="007525BB" w:rsidRPr="009D0E93">
        <w:rPr>
          <w:rFonts w:ascii="Arial" w:eastAsia="Calibri" w:hAnsi="Arial" w:cs="Arial"/>
          <w:sz w:val="22"/>
        </w:rPr>
        <w:t>desprende</w:t>
      </w:r>
      <w:r w:rsidRPr="009D0E93">
        <w:rPr>
          <w:rFonts w:ascii="Arial" w:eastAsia="Calibri" w:hAnsi="Arial" w:cs="Arial"/>
          <w:sz w:val="22"/>
        </w:rPr>
        <w:t xml:space="preserve"> que, por regla general, en la actividad contractual regulada por el Estatuto General de Contratación de la Administración Pública la experiencia es personal e intransferible, salvo algunas excepciones. Una primera excepción a la regla anteriormente descrita se encuentra consagrada en el numeral 2.5. del artículo 2.2.1.1.1.5.2. del Decreto 1082 de 2015, con arreglo al cual si bien para la inscripción, renovación o actualización del Registro Único de Proponentes (RUP) la persona jurídica interesada debe presentar ante la cámara de comercio respectiva los certificados de los bienes, obras o servicios cuya experiencia requiere acreditar, «Si la constitución del interesado es menor a tres (3) años, puede acreditar la experiencia de sus accionistas, socios o constituyentes».</w:t>
      </w:r>
    </w:p>
    <w:p w14:paraId="51CFC2A9" w14:textId="2A437CAD" w:rsidR="0091736C" w:rsidRPr="009D0E93" w:rsidRDefault="0091736C" w:rsidP="00BC2D93">
      <w:pPr>
        <w:spacing w:before="120" w:line="276" w:lineRule="auto"/>
        <w:ind w:firstLine="709"/>
        <w:jc w:val="both"/>
        <w:rPr>
          <w:rFonts w:ascii="Arial" w:eastAsia="Calibri" w:hAnsi="Arial" w:cs="Arial"/>
          <w:sz w:val="22"/>
        </w:rPr>
      </w:pPr>
      <w:r w:rsidRPr="009D0E93">
        <w:rPr>
          <w:rFonts w:ascii="Arial" w:eastAsia="Calibri" w:hAnsi="Arial" w:cs="Arial"/>
          <w:sz w:val="22"/>
        </w:rPr>
        <w:t xml:space="preserve">Como segunda excepción al carácter intransferible de la experiencia puede mencionarse el caso de algunas reformas estatutarias de las personas jurídicas o de reorganización empresarial, en las que la persona jurídica no se liquida y por lo tanto puede transferir su experiencia a la persona jurídica resultante. En efecto, la Subdirección de Gestión Contractual, en el concepto C-002 del 20 de febrero de 2020, reiterado en los </w:t>
      </w:r>
      <w:r w:rsidR="00BC2D93" w:rsidRPr="009D0E93">
        <w:rPr>
          <w:rFonts w:ascii="Arial" w:eastAsia="Calibri" w:hAnsi="Arial" w:cs="Arial"/>
          <w:sz w:val="22"/>
        </w:rPr>
        <w:t xml:space="preserve">conceptos C-491 del 27 de julio de 2020, C-350 del 1 de junio de 2020, C-584 del 31 de </w:t>
      </w:r>
      <w:r w:rsidR="00BC2D93" w:rsidRPr="009D0E93">
        <w:rPr>
          <w:rFonts w:ascii="Arial" w:eastAsia="Calibri" w:hAnsi="Arial" w:cs="Arial"/>
          <w:sz w:val="22"/>
        </w:rPr>
        <w:lastRenderedPageBreak/>
        <w:t>agosto de 2020, C-002 del 9 de febrero de 2021, C-115 del 29 de marzo de 2021, C-343 del 13 de julio de 2021 y C-342 del 13 de julio de 2021</w:t>
      </w:r>
      <w:r w:rsidRPr="009D0E93">
        <w:rPr>
          <w:rFonts w:ascii="Arial" w:eastAsia="Calibri" w:hAnsi="Arial" w:cs="Arial"/>
          <w:sz w:val="22"/>
        </w:rPr>
        <w:t>, modificó la tesis que hasta ese momento había sostenido la Subdirección, en virtud de la cual se afirmaba que en las reformas estatutarias que implicaban una escisión o una fusión de las personas jurídicas no era posible la transferencia de la experiencia, ya que esta era personal e intransferible, según una interpretación del artículo 2.2.1.1.1.5.3. del Decreto 1082 de 2015, que establece que</w:t>
      </w:r>
      <w:r w:rsidR="009175C6" w:rsidRPr="009D0E93">
        <w:rPr>
          <w:rFonts w:ascii="Arial" w:eastAsia="Calibri" w:hAnsi="Arial" w:cs="Arial"/>
          <w:sz w:val="22"/>
        </w:rPr>
        <w:t xml:space="preserve"> se debe verificar la experiencia de</w:t>
      </w:r>
      <w:r w:rsidRPr="009D0E93">
        <w:rPr>
          <w:rFonts w:ascii="Arial" w:eastAsia="Calibri" w:hAnsi="Arial" w:cs="Arial"/>
          <w:sz w:val="22"/>
        </w:rPr>
        <w:t xml:space="preserve"> «Los contratos celebrados por el interesado para cada uno de los bienes, obras y servicios que ofrecerá a las Entidades Estatales, identificados con el Clasificador de Bienes y Servicios en el tercer nivel y su valor expresado en SMMLV […]». En el concepto C-002, como se dijo, la Subdirección de Gestión Contractual modificó razonablemente dicho argumento, por considerar que de conformidad con la regulación aplicable y teniendo en cuenta los conceptos de «disolución» y «liquidación» del Código de Comercio, es viable la transferencia de experiencia en la transformación y en la fusión, pero no en la escisión, </w:t>
      </w:r>
      <w:r w:rsidR="009175C6" w:rsidRPr="009D0E93">
        <w:rPr>
          <w:rFonts w:ascii="Arial" w:eastAsia="Calibri" w:hAnsi="Arial" w:cs="Arial"/>
          <w:sz w:val="22"/>
        </w:rPr>
        <w:t>tesis que se reitera en este concepto como a continuación se expone.</w:t>
      </w:r>
    </w:p>
    <w:p w14:paraId="2A6BBCE4" w14:textId="77777777" w:rsidR="0091736C" w:rsidRPr="009D0E93" w:rsidRDefault="0091736C" w:rsidP="0091736C">
      <w:pPr>
        <w:spacing w:line="276" w:lineRule="auto"/>
        <w:jc w:val="both"/>
        <w:rPr>
          <w:rFonts w:ascii="Arial" w:eastAsia="Calibri" w:hAnsi="Arial" w:cs="Arial"/>
          <w:b/>
          <w:sz w:val="22"/>
        </w:rPr>
      </w:pPr>
    </w:p>
    <w:p w14:paraId="023A3519" w14:textId="77777777" w:rsidR="0091736C" w:rsidRPr="009D0E93" w:rsidRDefault="0091736C" w:rsidP="0091736C">
      <w:pPr>
        <w:spacing w:line="276" w:lineRule="auto"/>
        <w:jc w:val="both"/>
        <w:rPr>
          <w:rFonts w:ascii="Arial" w:eastAsia="Calibri" w:hAnsi="Arial" w:cs="Arial"/>
          <w:b/>
          <w:sz w:val="22"/>
        </w:rPr>
      </w:pPr>
      <w:r w:rsidRPr="009D0E93">
        <w:rPr>
          <w:rFonts w:ascii="Arial" w:eastAsia="Calibri" w:hAnsi="Arial" w:cs="Arial"/>
          <w:b/>
          <w:sz w:val="22"/>
        </w:rPr>
        <w:t>2.2. Figuras y reformas estatutarias, y efectos sobre la experiencia de las sociedades comerciales</w:t>
      </w:r>
    </w:p>
    <w:p w14:paraId="0E13B163" w14:textId="77777777" w:rsidR="0091736C" w:rsidRPr="009D0E93" w:rsidRDefault="0091736C" w:rsidP="0091736C">
      <w:pPr>
        <w:spacing w:line="276" w:lineRule="auto"/>
        <w:jc w:val="both"/>
        <w:rPr>
          <w:rFonts w:ascii="Arial" w:eastAsia="Calibri" w:hAnsi="Arial" w:cs="Arial"/>
          <w:b/>
          <w:sz w:val="22"/>
        </w:rPr>
      </w:pPr>
    </w:p>
    <w:p w14:paraId="2488EA60" w14:textId="77777777" w:rsidR="0091736C" w:rsidRPr="009D0E93" w:rsidRDefault="0091736C" w:rsidP="0091736C">
      <w:pPr>
        <w:spacing w:after="120" w:line="276" w:lineRule="auto"/>
        <w:jc w:val="both"/>
        <w:rPr>
          <w:rFonts w:ascii="Arial" w:eastAsia="Calibri" w:hAnsi="Arial" w:cs="Arial"/>
          <w:bCs/>
          <w:sz w:val="22"/>
        </w:rPr>
      </w:pPr>
      <w:r w:rsidRPr="009D0E93">
        <w:rPr>
          <w:rFonts w:ascii="Arial" w:eastAsia="Calibri" w:hAnsi="Arial" w:cs="Arial"/>
          <w:bCs/>
          <w:sz w:val="22"/>
        </w:rPr>
        <w:t xml:space="preserve">Antes de analizar las figuras y reformas estatutarias, es necesario aclarar dos conceptos respecto de las sociedades comerciales: i) «disolución» y ii) «liquidación», ya que se aplican a las figuras y reformas estatutarias, y tienen incidencia en la posibilidad de transferir o no la experiencia de una sociedad. </w:t>
      </w:r>
    </w:p>
    <w:p w14:paraId="33943353" w14:textId="77777777" w:rsidR="0091736C" w:rsidRPr="009D0E93" w:rsidRDefault="0091736C" w:rsidP="0091736C">
      <w:pPr>
        <w:spacing w:line="276" w:lineRule="auto"/>
        <w:ind w:firstLine="708"/>
        <w:jc w:val="both"/>
        <w:rPr>
          <w:rFonts w:ascii="Arial" w:eastAsia="Calibri" w:hAnsi="Arial" w:cs="Arial"/>
          <w:bCs/>
          <w:sz w:val="22"/>
        </w:rPr>
      </w:pPr>
      <w:r w:rsidRPr="009D0E93">
        <w:rPr>
          <w:rFonts w:ascii="Arial" w:eastAsia="Calibri" w:hAnsi="Arial" w:cs="Arial"/>
          <w:bCs/>
          <w:sz w:val="22"/>
        </w:rPr>
        <w:t>En primer lugar, el Código de Comercio señala, como efecto de la «disolución», que la persona jurídica no desaparece, sino que conserva su capacidad jurídica, únicamente para «liquidarse» y para las operaciones o actos autorizados por la ley</w:t>
      </w:r>
      <w:r w:rsidRPr="009D0E93">
        <w:rPr>
          <w:rFonts w:ascii="Arial" w:eastAsia="Calibri" w:hAnsi="Arial" w:cs="Arial"/>
          <w:bCs/>
          <w:sz w:val="22"/>
          <w:vertAlign w:val="superscript"/>
        </w:rPr>
        <w:footnoteReference w:id="13"/>
      </w:r>
      <w:r w:rsidRPr="009D0E93">
        <w:rPr>
          <w:rFonts w:ascii="Arial" w:eastAsia="Calibri" w:hAnsi="Arial" w:cs="Arial"/>
          <w:bCs/>
          <w:sz w:val="22"/>
        </w:rPr>
        <w:t xml:space="preserve">, como las figuras y reformas estatutarias que se verán a continuación. Con esto se anticipa que si la persona jurídica no desaparece, su experiencia se conserva y puede transferirse. Por el contrario, respecto de la «liquidación» de las sociedades comerciales, el Código de Comercio señala </w:t>
      </w:r>
      <w:r w:rsidRPr="009D0E93">
        <w:rPr>
          <w:rFonts w:ascii="Arial" w:eastAsia="Calibri" w:hAnsi="Arial" w:cs="Arial"/>
          <w:bCs/>
          <w:sz w:val="22"/>
        </w:rPr>
        <w:lastRenderedPageBreak/>
        <w:t>el procedimiento para realizar el inventario y distribución del patrimonio social, de lo cual se infiere que termina la persona jurídica</w:t>
      </w:r>
      <w:r w:rsidRPr="009D0E93">
        <w:rPr>
          <w:rFonts w:ascii="Arial" w:eastAsia="Calibri" w:hAnsi="Arial" w:cs="Arial"/>
          <w:bCs/>
          <w:sz w:val="22"/>
          <w:vertAlign w:val="superscript"/>
        </w:rPr>
        <w:footnoteReference w:id="14"/>
      </w:r>
      <w:r w:rsidRPr="009D0E93">
        <w:rPr>
          <w:rFonts w:ascii="Arial" w:eastAsia="Calibri" w:hAnsi="Arial" w:cs="Arial"/>
          <w:bCs/>
          <w:sz w:val="22"/>
        </w:rPr>
        <w:t xml:space="preserve"> y la experiencia desaparece junto con la sociedad que la adquirió.</w:t>
      </w:r>
    </w:p>
    <w:p w14:paraId="5781D7CF" w14:textId="77777777" w:rsidR="0091736C" w:rsidRPr="009D0E93" w:rsidRDefault="0091736C" w:rsidP="0091736C">
      <w:pPr>
        <w:spacing w:line="276" w:lineRule="auto"/>
        <w:jc w:val="both"/>
        <w:rPr>
          <w:rFonts w:ascii="Arial" w:eastAsia="Calibri" w:hAnsi="Arial" w:cs="Arial"/>
          <w:sz w:val="22"/>
        </w:rPr>
      </w:pPr>
    </w:p>
    <w:p w14:paraId="2B41062E" w14:textId="77777777" w:rsidR="0091736C" w:rsidRPr="009D0E93" w:rsidRDefault="0091736C" w:rsidP="0091736C">
      <w:pPr>
        <w:spacing w:line="276" w:lineRule="auto"/>
        <w:jc w:val="both"/>
        <w:rPr>
          <w:rFonts w:ascii="Arial" w:eastAsia="Calibri" w:hAnsi="Arial" w:cs="Arial"/>
          <w:b/>
          <w:bCs/>
          <w:sz w:val="22"/>
        </w:rPr>
      </w:pPr>
      <w:r w:rsidRPr="009D0E93">
        <w:rPr>
          <w:rFonts w:ascii="Arial" w:eastAsia="Calibri" w:hAnsi="Arial" w:cs="Arial"/>
          <w:b/>
          <w:bCs/>
          <w:sz w:val="22"/>
        </w:rPr>
        <w:t>a) Transformación</w:t>
      </w:r>
    </w:p>
    <w:p w14:paraId="7896CE5A" w14:textId="77777777" w:rsidR="0091736C" w:rsidRPr="009D0E93" w:rsidRDefault="0091736C" w:rsidP="0091736C">
      <w:pPr>
        <w:spacing w:line="276" w:lineRule="auto"/>
        <w:jc w:val="both"/>
        <w:rPr>
          <w:rFonts w:ascii="Arial" w:eastAsia="Calibri" w:hAnsi="Arial" w:cs="Arial"/>
          <w:b/>
          <w:bCs/>
          <w:sz w:val="22"/>
        </w:rPr>
      </w:pPr>
    </w:p>
    <w:p w14:paraId="4C774303" w14:textId="79FBEFF8" w:rsidR="0091736C" w:rsidRPr="009D0E93" w:rsidRDefault="0091736C" w:rsidP="0091736C">
      <w:pPr>
        <w:spacing w:after="120" w:line="276" w:lineRule="auto"/>
        <w:jc w:val="both"/>
        <w:rPr>
          <w:rFonts w:ascii="Arial" w:eastAsia="Calibri" w:hAnsi="Arial" w:cs="Arial"/>
          <w:sz w:val="22"/>
        </w:rPr>
      </w:pPr>
      <w:r w:rsidRPr="009D0E93">
        <w:rPr>
          <w:rFonts w:ascii="Arial" w:eastAsia="Calibri" w:hAnsi="Arial" w:cs="Arial"/>
          <w:sz w:val="22"/>
        </w:rPr>
        <w:t>Es una reforma a los estatutos de una sociedad comercial, en la cual se detalla la naturaleza jurídica, composición, estructura, capital, entre otros, con el propósito de transformar o cambiar la forma o tipo societario que adoptó, como sociedad anónima, limitada, en comandita, etc. Es decir, si una sociedad se crea como sociedad de responsabilidad limitad</w:t>
      </w:r>
      <w:r w:rsidR="00304EE3" w:rsidRPr="009D0E93">
        <w:rPr>
          <w:rFonts w:ascii="Arial" w:eastAsia="Calibri" w:hAnsi="Arial" w:cs="Arial"/>
          <w:sz w:val="22"/>
        </w:rPr>
        <w:t>a</w:t>
      </w:r>
      <w:r w:rsidRPr="009D0E93">
        <w:rPr>
          <w:rFonts w:ascii="Arial" w:eastAsia="Calibri" w:hAnsi="Arial" w:cs="Arial"/>
          <w:sz w:val="22"/>
        </w:rPr>
        <w:t xml:space="preserve"> y, sin «disolverse», decide adoptar la figura de sociedad anónima, lo podrá hacer mediante una reforma estatutaria, sin que se interrumpa la continuidad de la sociedad comercial o persona jurídica</w:t>
      </w:r>
      <w:r w:rsidRPr="009D0E93">
        <w:rPr>
          <w:rFonts w:ascii="Arial" w:eastAsia="Calibri" w:hAnsi="Arial" w:cs="Arial"/>
          <w:sz w:val="22"/>
          <w:vertAlign w:val="superscript"/>
        </w:rPr>
        <w:footnoteReference w:id="15"/>
      </w:r>
      <w:r w:rsidRPr="009D0E93">
        <w:rPr>
          <w:rFonts w:ascii="Arial" w:eastAsia="Calibri" w:hAnsi="Arial" w:cs="Arial"/>
          <w:sz w:val="22"/>
        </w:rPr>
        <w:t>. Es importante destacar que en esta reforma estatutaria solo participa la sociedad involucrada, y no existen otras sociedades que se relacionen o intervengan, lo cual diferencia la transformación de otras reformas o figuras.</w:t>
      </w:r>
    </w:p>
    <w:p w14:paraId="1652AEB9" w14:textId="0214C94C" w:rsidR="0091736C" w:rsidRPr="009D0E93" w:rsidRDefault="0091736C" w:rsidP="0091736C">
      <w:pPr>
        <w:spacing w:line="276" w:lineRule="auto"/>
        <w:ind w:firstLine="708"/>
        <w:jc w:val="both"/>
        <w:rPr>
          <w:rFonts w:ascii="Arial" w:eastAsia="Calibri" w:hAnsi="Arial" w:cs="Arial"/>
          <w:sz w:val="22"/>
        </w:rPr>
      </w:pPr>
      <w:r w:rsidRPr="009D0E93">
        <w:rPr>
          <w:rFonts w:ascii="Arial" w:eastAsia="Calibri" w:hAnsi="Arial" w:cs="Arial"/>
          <w:sz w:val="22"/>
        </w:rPr>
        <w:t>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w:t>
      </w:r>
      <w:r w:rsidR="00393688" w:rsidRPr="009D0E93">
        <w:rPr>
          <w:rFonts w:ascii="Arial" w:eastAsia="Calibri" w:hAnsi="Arial" w:cs="Arial"/>
          <w:sz w:val="22"/>
        </w:rPr>
        <w:t>,</w:t>
      </w:r>
      <w:r w:rsidRPr="009D0E93">
        <w:rPr>
          <w:rFonts w:ascii="Arial" w:eastAsia="Calibri" w:hAnsi="Arial" w:cs="Arial"/>
          <w:sz w:val="22"/>
        </w:rPr>
        <w:t xml:space="preserve"> por ende</w:t>
      </w:r>
      <w:r w:rsidR="00393688" w:rsidRPr="009D0E93">
        <w:rPr>
          <w:rFonts w:ascii="Arial" w:eastAsia="Calibri" w:hAnsi="Arial" w:cs="Arial"/>
          <w:sz w:val="22"/>
        </w:rPr>
        <w:t>,</w:t>
      </w:r>
      <w:r w:rsidRPr="009D0E93">
        <w:rPr>
          <w:rFonts w:ascii="Arial" w:eastAsia="Calibri" w:hAnsi="Arial" w:cs="Arial"/>
          <w:sz w:val="22"/>
        </w:rPr>
        <w:t xml:space="preserve"> tampoco se «liquida», porque, de acuerdo con el artículo 222 del Código de Comercio, para «liquidarse» necesita estar «disuelta»</w:t>
      </w:r>
      <w:r w:rsidR="00393688" w:rsidRPr="009D0E93">
        <w:rPr>
          <w:rFonts w:ascii="Arial" w:eastAsia="Calibri" w:hAnsi="Arial" w:cs="Arial"/>
          <w:sz w:val="22"/>
        </w:rPr>
        <w:t>. De esta manera,</w:t>
      </w:r>
      <w:r w:rsidRPr="009D0E93">
        <w:rPr>
          <w:rFonts w:ascii="Arial" w:eastAsia="Calibri" w:hAnsi="Arial" w:cs="Arial"/>
          <w:sz w:val="22"/>
        </w:rPr>
        <w:t xml:space="preserve"> solo cambia el tipo societario que había adoptado en su constitución, es decir, no sufre modificaciones o alteraciones y por eso puede continuar adquiriendo experiencia y compartirla, pero no puede trasladarla, porque para ello tendría que «disolverse» </w:t>
      </w:r>
      <w:r w:rsidR="00393688" w:rsidRPr="009D0E93">
        <w:rPr>
          <w:rFonts w:ascii="Arial" w:eastAsia="Calibri" w:hAnsi="Arial" w:cs="Arial"/>
          <w:sz w:val="22"/>
        </w:rPr>
        <w:t>–</w:t>
      </w:r>
      <w:r w:rsidRPr="009D0E93">
        <w:rPr>
          <w:rFonts w:ascii="Arial" w:eastAsia="Calibri" w:hAnsi="Arial" w:cs="Arial"/>
          <w:sz w:val="22"/>
        </w:rPr>
        <w:t>o conformar un consorcio</w:t>
      </w:r>
      <w:r w:rsidR="00393688" w:rsidRPr="009D0E93">
        <w:rPr>
          <w:rFonts w:ascii="Arial" w:eastAsia="Calibri" w:hAnsi="Arial" w:cs="Arial"/>
          <w:sz w:val="22"/>
        </w:rPr>
        <w:t>–</w:t>
      </w:r>
      <w:r w:rsidRPr="009D0E93">
        <w:rPr>
          <w:rFonts w:ascii="Arial" w:eastAsia="Calibri" w:hAnsi="Arial" w:cs="Arial"/>
          <w:sz w:val="22"/>
        </w:rPr>
        <w:t xml:space="preserve">, como se verá en la fusión y en una de las modalidades de escisión.  </w:t>
      </w:r>
    </w:p>
    <w:p w14:paraId="7D05A082" w14:textId="77777777" w:rsidR="0091736C" w:rsidRPr="009D0E93" w:rsidRDefault="0091736C" w:rsidP="0091736C">
      <w:pPr>
        <w:spacing w:line="276" w:lineRule="auto"/>
        <w:jc w:val="both"/>
        <w:rPr>
          <w:rFonts w:ascii="Arial" w:eastAsia="Calibri" w:hAnsi="Arial" w:cs="Arial"/>
          <w:b/>
          <w:bCs/>
          <w:sz w:val="22"/>
        </w:rPr>
      </w:pPr>
    </w:p>
    <w:p w14:paraId="5BEB88FF" w14:textId="77777777" w:rsidR="0091736C" w:rsidRPr="009D0E93" w:rsidRDefault="0091736C" w:rsidP="0091736C">
      <w:pPr>
        <w:spacing w:line="276" w:lineRule="auto"/>
        <w:jc w:val="both"/>
        <w:rPr>
          <w:rFonts w:ascii="Arial" w:eastAsia="Calibri" w:hAnsi="Arial" w:cs="Arial"/>
          <w:b/>
          <w:bCs/>
          <w:sz w:val="22"/>
        </w:rPr>
      </w:pPr>
      <w:r w:rsidRPr="009D0E93">
        <w:rPr>
          <w:rFonts w:ascii="Arial" w:eastAsia="Calibri" w:hAnsi="Arial" w:cs="Arial"/>
          <w:b/>
          <w:bCs/>
          <w:sz w:val="22"/>
        </w:rPr>
        <w:t>b) Escisión</w:t>
      </w:r>
    </w:p>
    <w:p w14:paraId="75F37C85" w14:textId="77777777" w:rsidR="0091736C" w:rsidRPr="009D0E93" w:rsidRDefault="0091736C" w:rsidP="0091736C">
      <w:pPr>
        <w:spacing w:line="276" w:lineRule="auto"/>
        <w:jc w:val="both"/>
        <w:rPr>
          <w:rFonts w:ascii="Arial" w:eastAsia="Calibri" w:hAnsi="Arial" w:cs="Arial"/>
          <w:b/>
          <w:bCs/>
          <w:sz w:val="22"/>
        </w:rPr>
      </w:pPr>
    </w:p>
    <w:p w14:paraId="18FCEB03" w14:textId="77777777" w:rsidR="0091736C" w:rsidRPr="009D0E93" w:rsidRDefault="0091736C" w:rsidP="0091736C">
      <w:pPr>
        <w:spacing w:after="120" w:line="276" w:lineRule="auto"/>
        <w:jc w:val="both"/>
        <w:rPr>
          <w:rFonts w:ascii="Arial" w:eastAsia="Calibri" w:hAnsi="Arial" w:cs="Arial"/>
          <w:sz w:val="22"/>
        </w:rPr>
      </w:pPr>
      <w:r w:rsidRPr="009D0E93">
        <w:rPr>
          <w:rFonts w:ascii="Arial" w:eastAsia="Calibri" w:hAnsi="Arial" w:cs="Arial"/>
          <w:sz w:val="22"/>
        </w:rPr>
        <w:t xml:space="preserve">Es una figura con dos modalidades reguladas por la Ley 222 de 1995. La primera se refiere a una sociedad que no se «disuelve» ni se «liquida», es decir, permanece sin modificaciones ni reformas, pero fracciona su patrimonio para transferir una o varias partes, a una o varias sociedades existentes o por crearse. En este caso, la escisión se refiere al patrimonio de la sociedad sin incluir ningún otro aspecto, lo cual significa que la sociedad continúa con un patrimonio reducido debido al fraccionamiento, pero no existe ninguna otra implicación para la persona jurídica, como su desaparición por «disolverse» o «liquidarse», de acuerdo con lo mencionado sobre estos conceptos. En ese sentido, Colombia Compra Eficiente considera que las sociedades que reciben una parte del patrimonio de una sociedad que continúa existiendo, no reciben su experiencia, ya que no es posible que varias sociedades tengan la misma experiencia, duplicándola tantas veces se haya fraccionado el patrimonio, porque la experiencia pertenece a quien la adquirió ejecutando los contratos a su cargo. </w:t>
      </w:r>
    </w:p>
    <w:p w14:paraId="39D08CC2" w14:textId="77777777" w:rsidR="0091736C" w:rsidRPr="009D0E93" w:rsidRDefault="0091736C" w:rsidP="0091736C">
      <w:pPr>
        <w:spacing w:line="276" w:lineRule="auto"/>
        <w:ind w:firstLine="708"/>
        <w:jc w:val="both"/>
        <w:rPr>
          <w:rFonts w:ascii="Arial" w:eastAsia="Calibri" w:hAnsi="Arial" w:cs="Arial"/>
          <w:sz w:val="22"/>
        </w:rPr>
      </w:pPr>
      <w:r w:rsidRPr="009D0E93">
        <w:rPr>
          <w:rFonts w:ascii="Arial" w:eastAsia="Calibri" w:hAnsi="Arial" w:cs="Arial"/>
          <w:sz w:val="22"/>
        </w:rPr>
        <w:t>La segunda modalidad se trata de una sociedad que se «disuelve» sin «liquidarse», esto es, que implica una reforma social, lo cual no ocurre con la primera modalidad, y también existe fraccionamiento del patrimonio con el mismo fin</w:t>
      </w:r>
      <w:r w:rsidRPr="009D0E93">
        <w:rPr>
          <w:rFonts w:ascii="Arial" w:eastAsia="Calibri" w:hAnsi="Arial" w:cs="Arial"/>
          <w:sz w:val="22"/>
          <w:vertAlign w:val="superscript"/>
        </w:rPr>
        <w:footnoteReference w:id="16"/>
      </w:r>
      <w:r w:rsidRPr="009D0E93">
        <w:rPr>
          <w:rFonts w:ascii="Arial" w:eastAsia="Calibri" w:hAnsi="Arial" w:cs="Arial"/>
          <w:sz w:val="22"/>
        </w:rPr>
        <w:t xml:space="preserve">. Como se observa, participa una sociedad y otra, u otras, que reciben la transferencia del patrimonio en bloque. </w:t>
      </w:r>
    </w:p>
    <w:p w14:paraId="10B4D0F0" w14:textId="77777777" w:rsidR="0091736C" w:rsidRPr="009D0E93" w:rsidRDefault="0091736C" w:rsidP="0091736C">
      <w:pPr>
        <w:spacing w:before="120" w:after="120" w:line="276" w:lineRule="auto"/>
        <w:ind w:firstLine="708"/>
        <w:jc w:val="both"/>
        <w:rPr>
          <w:rFonts w:ascii="Arial" w:eastAsia="Calibri" w:hAnsi="Arial" w:cs="Arial"/>
          <w:sz w:val="22"/>
        </w:rPr>
      </w:pPr>
      <w:r w:rsidRPr="009D0E93">
        <w:rPr>
          <w:rFonts w:ascii="Arial" w:eastAsia="Calibri" w:hAnsi="Arial" w:cs="Arial"/>
          <w:sz w:val="22"/>
        </w:rPr>
        <w:t xml:space="preserve">Para la primera modalidad de escisión, teniendo en cuenta que la sociedad continúa sin alteraciones, esta puede compartir la experiencia a través de esquemas asociativos, pero no la transfiere, porque para ello tendría que «disolverse» sin «liquidarse», puesto que la «liquidación» implicaría que desaparece la persona y así su experiencia. Para explicarlo, hay que volver a la definición de «disolución», donde la persona jurídica no desaparece y solo puede hacer trámites para «liquidarse». Sin embargo, hay una excepción a esa regla y es, precisamente, la de las figuras y reformas estatutarias que aquí se explican, particularmente la fusión, ya que por esa excepción la persona tiene continuidad en otra persona, y sigue siendo quien era, lo cual no es el caso de la escisión, </w:t>
      </w:r>
      <w:r w:rsidRPr="009D0E93">
        <w:rPr>
          <w:rFonts w:ascii="Arial" w:eastAsia="Calibri" w:hAnsi="Arial" w:cs="Arial"/>
          <w:sz w:val="22"/>
        </w:rPr>
        <w:lastRenderedPageBreak/>
        <w:t xml:space="preserve">ya que en la primera modalidad no existe «disolución». Esto significa que la persona continúa por sí misma y puede adquirir experiencia, pero no puede transferirla porque le pertenece, al ser quien la adquirió. </w:t>
      </w:r>
    </w:p>
    <w:p w14:paraId="03C02E3B" w14:textId="77777777" w:rsidR="0091736C" w:rsidRPr="009D0E93" w:rsidRDefault="0091736C" w:rsidP="0091736C">
      <w:pPr>
        <w:spacing w:before="120" w:after="120" w:line="276" w:lineRule="auto"/>
        <w:ind w:firstLine="708"/>
        <w:jc w:val="both"/>
        <w:rPr>
          <w:rFonts w:ascii="Arial" w:eastAsia="Calibri" w:hAnsi="Arial" w:cs="Arial"/>
          <w:sz w:val="22"/>
        </w:rPr>
      </w:pPr>
      <w:r w:rsidRPr="009D0E93">
        <w:rPr>
          <w:rFonts w:ascii="Arial" w:eastAsia="Calibri" w:hAnsi="Arial" w:cs="Arial"/>
          <w:sz w:val="22"/>
        </w:rPr>
        <w:t xml:space="preserve">Por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 </w:t>
      </w:r>
    </w:p>
    <w:p w14:paraId="7EBA32E5" w14:textId="727B15B7" w:rsidR="0091736C" w:rsidRPr="009D0E93" w:rsidRDefault="0091736C" w:rsidP="0091736C">
      <w:pPr>
        <w:spacing w:before="120" w:line="276" w:lineRule="auto"/>
        <w:ind w:firstLine="709"/>
        <w:jc w:val="both"/>
        <w:rPr>
          <w:rFonts w:ascii="Arial" w:eastAsia="Calibri" w:hAnsi="Arial" w:cs="Arial"/>
          <w:sz w:val="22"/>
        </w:rPr>
      </w:pPr>
      <w:r w:rsidRPr="009D0E93">
        <w:rPr>
          <w:rFonts w:ascii="Arial" w:eastAsia="Calibri" w:hAnsi="Arial" w:cs="Arial"/>
          <w:sz w:val="22"/>
        </w:rPr>
        <w:t>Pero en la fusión, como se verá, a pesar de que la sociedad está «disuelta» y debería «liquidarse» para desaparecer, la ley permite que no desaparezca y tenga continuidad convertida en otra sociedad, por lo que, por expresa disposición legal, la sociedad puede no «liquidarse», sino continuar a través de otra sociedad, porque así lo dispuso el legislador. Esto implica que se traslada la experiencia y no se comparte, porque compartir implica que siga existiendo como una persona individualmente considerada, pero como continúa a través de otra, lo que sucede es la transferencia de la experiencia.</w:t>
      </w:r>
    </w:p>
    <w:p w14:paraId="483F7480" w14:textId="77777777" w:rsidR="0091736C" w:rsidRPr="009D0E93" w:rsidRDefault="0091736C" w:rsidP="0091736C">
      <w:pPr>
        <w:spacing w:line="276" w:lineRule="auto"/>
        <w:jc w:val="both"/>
        <w:rPr>
          <w:rFonts w:ascii="Arial" w:eastAsia="Calibri" w:hAnsi="Arial" w:cs="Arial"/>
          <w:sz w:val="22"/>
        </w:rPr>
      </w:pPr>
    </w:p>
    <w:p w14:paraId="45652F56" w14:textId="77777777" w:rsidR="0091736C" w:rsidRPr="009D0E93" w:rsidRDefault="0091736C" w:rsidP="0091736C">
      <w:pPr>
        <w:spacing w:line="276" w:lineRule="auto"/>
        <w:jc w:val="both"/>
        <w:rPr>
          <w:rFonts w:ascii="Arial" w:eastAsia="Calibri" w:hAnsi="Arial" w:cs="Arial"/>
          <w:b/>
          <w:bCs/>
          <w:sz w:val="22"/>
        </w:rPr>
      </w:pPr>
      <w:r w:rsidRPr="009D0E93">
        <w:rPr>
          <w:rFonts w:ascii="Arial" w:eastAsia="Calibri" w:hAnsi="Arial" w:cs="Arial"/>
          <w:b/>
          <w:bCs/>
          <w:sz w:val="22"/>
        </w:rPr>
        <w:t>c) Fusión</w:t>
      </w:r>
    </w:p>
    <w:p w14:paraId="55D5D21A" w14:textId="77777777" w:rsidR="0091736C" w:rsidRPr="009D0E93" w:rsidRDefault="0091736C" w:rsidP="0091736C">
      <w:pPr>
        <w:spacing w:line="276" w:lineRule="auto"/>
        <w:jc w:val="both"/>
        <w:rPr>
          <w:rFonts w:ascii="Arial" w:eastAsia="Calibri" w:hAnsi="Arial" w:cs="Arial"/>
          <w:b/>
          <w:bCs/>
          <w:sz w:val="22"/>
        </w:rPr>
      </w:pPr>
    </w:p>
    <w:p w14:paraId="06EA23D0" w14:textId="77777777" w:rsidR="0091736C" w:rsidRPr="009D0E93" w:rsidRDefault="0091736C" w:rsidP="0091736C">
      <w:pPr>
        <w:spacing w:line="276" w:lineRule="auto"/>
        <w:jc w:val="both"/>
        <w:rPr>
          <w:rFonts w:ascii="Arial" w:eastAsia="Calibri" w:hAnsi="Arial" w:cs="Arial"/>
          <w:sz w:val="22"/>
        </w:rPr>
      </w:pPr>
      <w:r w:rsidRPr="009D0E93">
        <w:rPr>
          <w:rFonts w:ascii="Arial" w:eastAsia="Calibri" w:hAnsi="Arial" w:cs="Arial"/>
          <w:sz w:val="22"/>
        </w:rPr>
        <w:t>Es una figura con 4 tipologías: i) por absorción: una o más sociedades se «disuelven» sin «liquidarse» para ser absorbidas por otra existente; ii) por creación: una o más sociedades se «disuelven» sin «liquidarse» para ser absorbidas por otra nueva</w:t>
      </w:r>
      <w:r w:rsidRPr="009D0E93">
        <w:rPr>
          <w:rFonts w:ascii="Arial" w:eastAsia="Calibri" w:hAnsi="Arial" w:cs="Arial"/>
          <w:sz w:val="22"/>
          <w:vertAlign w:val="superscript"/>
        </w:rPr>
        <w:footnoteReference w:id="17"/>
      </w:r>
      <w:r w:rsidRPr="009D0E93">
        <w:rPr>
          <w:rFonts w:ascii="Arial" w:eastAsia="Calibri" w:hAnsi="Arial" w:cs="Arial"/>
          <w:sz w:val="22"/>
        </w:rPr>
        <w:t xml:space="preserve">; iii) impropia: una sociedad se «disuelve» sin el propósito de realizar una fusión sino de «liquidarse», y antes </w:t>
      </w:r>
      <w:r w:rsidRPr="009D0E93">
        <w:rPr>
          <w:rFonts w:ascii="Arial" w:eastAsia="Calibri" w:hAnsi="Arial" w:cs="Arial"/>
          <w:sz w:val="22"/>
        </w:rPr>
        <w:lastRenderedPageBreak/>
        <w:t>de la liquidación se toma la decisión de crear una sociedad</w:t>
      </w:r>
      <w:r w:rsidRPr="009D0E93">
        <w:rPr>
          <w:rFonts w:ascii="Arial" w:eastAsia="Calibri" w:hAnsi="Arial" w:cs="Arial"/>
          <w:sz w:val="22"/>
          <w:vertAlign w:val="superscript"/>
        </w:rPr>
        <w:footnoteReference w:id="18"/>
      </w:r>
      <w:r w:rsidRPr="009D0E93">
        <w:rPr>
          <w:rFonts w:ascii="Arial" w:eastAsia="Calibri" w:hAnsi="Arial" w:cs="Arial"/>
          <w:sz w:val="22"/>
        </w:rPr>
        <w:t>; iv) abreviada: solo aplica cuando una Sociedad por Acciones Simplificada (S.A.S.) pertenece a otra sociedad en más del 90% de sus acciones, y es posible que esa sociedad controlante absorba a la S.A.S, es decir, que ocurra una fusión por absorción</w:t>
      </w:r>
      <w:r w:rsidRPr="009D0E93">
        <w:rPr>
          <w:rFonts w:ascii="Arial" w:eastAsia="Calibri" w:hAnsi="Arial" w:cs="Arial"/>
          <w:sz w:val="22"/>
          <w:vertAlign w:val="superscript"/>
        </w:rPr>
        <w:footnoteReference w:id="19"/>
      </w:r>
      <w:r w:rsidRPr="009D0E93">
        <w:rPr>
          <w:rFonts w:ascii="Arial" w:eastAsia="Calibri" w:hAnsi="Arial" w:cs="Arial"/>
          <w:sz w:val="22"/>
        </w:rPr>
        <w:t>. La norma no se refiere a la «disolución de la S.A.S», lo cual no implica que no exista fusión, sino que es abreviada porque no se requiere configurar el estado de «disolución» de la sociedad.</w:t>
      </w:r>
    </w:p>
    <w:p w14:paraId="5F6C9969" w14:textId="76FCF4A8" w:rsidR="0091736C" w:rsidRPr="009D0E93" w:rsidRDefault="0091736C" w:rsidP="0091736C">
      <w:pPr>
        <w:spacing w:before="120" w:line="276" w:lineRule="auto"/>
        <w:ind w:firstLine="708"/>
        <w:jc w:val="both"/>
        <w:rPr>
          <w:rFonts w:ascii="Arial" w:eastAsia="Calibri" w:hAnsi="Arial" w:cs="Arial"/>
          <w:bCs/>
          <w:sz w:val="22"/>
        </w:rPr>
      </w:pPr>
      <w:bookmarkStart w:id="6" w:name="_Hlk77271644"/>
      <w:r w:rsidRPr="009D0E93">
        <w:rPr>
          <w:rFonts w:ascii="Arial" w:eastAsia="Calibri" w:hAnsi="Arial" w:cs="Arial"/>
          <w:bCs/>
          <w:sz w:val="22"/>
        </w:rPr>
        <w:t xml:space="preserve">Para analizar la fusión y sus efectos respecto de la experiencia de la sociedad que se </w:t>
      </w:r>
      <w:r w:rsidRPr="009D0E93">
        <w:rPr>
          <w:rFonts w:ascii="Arial" w:eastAsia="Calibri" w:hAnsi="Arial" w:cs="Arial"/>
          <w:sz w:val="22"/>
        </w:rPr>
        <w:t>«</w:t>
      </w:r>
      <w:r w:rsidRPr="009D0E93">
        <w:rPr>
          <w:rFonts w:ascii="Arial" w:eastAsia="Calibri" w:hAnsi="Arial" w:cs="Arial"/>
          <w:bCs/>
          <w:sz w:val="22"/>
        </w:rPr>
        <w:t xml:space="preserve">disuelve» pero no se </w:t>
      </w:r>
      <w:r w:rsidRPr="009D0E93">
        <w:rPr>
          <w:rFonts w:ascii="Arial" w:eastAsia="Calibri" w:hAnsi="Arial" w:cs="Arial"/>
          <w:sz w:val="22"/>
        </w:rPr>
        <w:t>«</w:t>
      </w:r>
      <w:r w:rsidRPr="009D0E93">
        <w:rPr>
          <w:rFonts w:ascii="Arial" w:eastAsia="Calibri" w:hAnsi="Arial" w:cs="Arial"/>
          <w:bCs/>
          <w:sz w:val="22"/>
        </w:rPr>
        <w:t>liquida»,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w:t>
      </w:r>
      <w:r w:rsidR="005C2833" w:rsidRPr="009D0E93">
        <w:rPr>
          <w:rFonts w:ascii="Arial" w:eastAsia="Calibri" w:hAnsi="Arial" w:cs="Arial"/>
          <w:bCs/>
          <w:sz w:val="22"/>
        </w:rPr>
        <w:t>,</w:t>
      </w:r>
      <w:r w:rsidRPr="009D0E93">
        <w:rPr>
          <w:rFonts w:ascii="Arial" w:eastAsia="Calibri" w:hAnsi="Arial" w:cs="Arial"/>
          <w:bCs/>
          <w:sz w:val="22"/>
        </w:rPr>
        <w:t xml:space="preserve"> cuando es fusión por creación</w:t>
      </w:r>
      <w:r w:rsidR="005C2833" w:rsidRPr="009D0E93">
        <w:rPr>
          <w:rFonts w:ascii="Arial" w:eastAsia="Calibri" w:hAnsi="Arial" w:cs="Arial"/>
          <w:bCs/>
          <w:sz w:val="22"/>
        </w:rPr>
        <w:t>;</w:t>
      </w:r>
      <w:r w:rsidRPr="009D0E93">
        <w:rPr>
          <w:rFonts w:ascii="Arial" w:eastAsia="Calibri" w:hAnsi="Arial" w:cs="Arial"/>
          <w:bCs/>
          <w:sz w:val="22"/>
        </w:rPr>
        <w:t xml:space="preserve"> o una sociedad existente en la fusión por absorción. La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p>
    <w:bookmarkEnd w:id="6"/>
    <w:p w14:paraId="6446297C" w14:textId="6142C671" w:rsidR="0091736C" w:rsidRPr="009D0E93" w:rsidRDefault="0091736C" w:rsidP="0091736C">
      <w:pPr>
        <w:spacing w:before="120" w:line="276" w:lineRule="auto"/>
        <w:ind w:firstLine="708"/>
        <w:jc w:val="both"/>
        <w:rPr>
          <w:rFonts w:ascii="Arial" w:eastAsia="Calibri" w:hAnsi="Arial" w:cs="Arial"/>
          <w:bCs/>
          <w:sz w:val="22"/>
        </w:rPr>
      </w:pPr>
      <w:r w:rsidRPr="009D0E93">
        <w:rPr>
          <w:rFonts w:ascii="Arial" w:eastAsia="Calibri" w:hAnsi="Arial" w:cs="Arial"/>
          <w:bCs/>
          <w:sz w:val="22"/>
        </w:rPr>
        <w:t xml:space="preserve">La anterior conclusión es coherente con lo establecido en la Guía de Asuntos Corporativos en los Procesos de Contratación, expedida por la Agencia Nacional de Contratación Pública </w:t>
      </w:r>
      <w:r w:rsidR="005C2833" w:rsidRPr="009D0E93">
        <w:rPr>
          <w:rFonts w:ascii="Arial" w:eastAsia="Calibri" w:hAnsi="Arial" w:cs="Arial"/>
          <w:bCs/>
          <w:sz w:val="22"/>
        </w:rPr>
        <w:t>–</w:t>
      </w:r>
      <w:r w:rsidRPr="009D0E93">
        <w:rPr>
          <w:rFonts w:ascii="Arial" w:eastAsia="Calibri" w:hAnsi="Arial" w:cs="Arial"/>
          <w:bCs/>
          <w:sz w:val="22"/>
        </w:rPr>
        <w:t xml:space="preserve"> Colombia Compra Eficiente, pues en ella se dice que «La experiencia de las personas jurídicas es de carácter personal y en principio es </w:t>
      </w:r>
      <w:r w:rsidRPr="009D0E93">
        <w:rPr>
          <w:rFonts w:ascii="Arial" w:eastAsia="Calibri" w:hAnsi="Arial" w:cs="Arial"/>
          <w:bCs/>
          <w:sz w:val="22"/>
        </w:rPr>
        <w:lastRenderedPageBreak/>
        <w:t xml:space="preserve">intransferible. Por lo tanto, no es posible trasladar la experiencia de un proponente a otro en eventos de escisión o liquidación de una persona jurídica, ni que la experiencia sea enajenada por una persona jurídica en favor de otra persona jurídica o natural». Obsérvese que la Guía no establece que la experiencia es «siempre» intransferible, sino que sostiene que ello es así «en principio». Además, precisa que no es posible transferir la experiencia en la escisión y en la liquidación, justamente porque </w:t>
      </w:r>
      <w:r w:rsidR="005C2833" w:rsidRPr="009D0E93">
        <w:rPr>
          <w:rFonts w:ascii="Arial" w:eastAsia="Calibri" w:hAnsi="Arial" w:cs="Arial"/>
          <w:bCs/>
          <w:sz w:val="22"/>
        </w:rPr>
        <w:t xml:space="preserve">en </w:t>
      </w:r>
      <w:r w:rsidRPr="009D0E93">
        <w:rPr>
          <w:rFonts w:ascii="Arial" w:eastAsia="Calibri" w:hAnsi="Arial" w:cs="Arial"/>
          <w:bCs/>
          <w:sz w:val="22"/>
        </w:rPr>
        <w:t xml:space="preserve">esos casos la persona jurídica desaparece, lo que no sucede en la fusión. Es decir que en este supuesto sí es posible la transferencia de la experiencia de la sociedad fusionada a la resultante. </w:t>
      </w:r>
    </w:p>
    <w:p w14:paraId="72B259CD" w14:textId="59C9F0C0" w:rsidR="0091736C" w:rsidRPr="009D0E93" w:rsidRDefault="0091736C" w:rsidP="0091736C">
      <w:pPr>
        <w:spacing w:before="120" w:line="276" w:lineRule="auto"/>
        <w:ind w:firstLine="708"/>
        <w:jc w:val="both"/>
        <w:rPr>
          <w:rFonts w:ascii="Arial" w:eastAsia="Calibri" w:hAnsi="Arial" w:cs="Arial"/>
          <w:bCs/>
          <w:sz w:val="22"/>
        </w:rPr>
      </w:pPr>
      <w:r w:rsidRPr="009D0E93">
        <w:rPr>
          <w:rFonts w:ascii="Arial" w:eastAsia="Calibri" w:hAnsi="Arial" w:cs="Arial"/>
          <w:bCs/>
          <w:sz w:val="22"/>
        </w:rPr>
        <w:t>Esta postura en torno a la validez de la transferencia de experiencia de la sociedad absorbida a la absorbente es compartida por la Superintendencia de Sociedades. Dicha entidad</w:t>
      </w:r>
      <w:r w:rsidR="005C2833" w:rsidRPr="009D0E93">
        <w:rPr>
          <w:rFonts w:ascii="Arial" w:eastAsia="Calibri" w:hAnsi="Arial" w:cs="Arial"/>
          <w:bCs/>
          <w:sz w:val="22"/>
        </w:rPr>
        <w:t>,</w:t>
      </w:r>
      <w:r w:rsidRPr="009D0E93">
        <w:rPr>
          <w:rFonts w:ascii="Arial" w:eastAsia="Calibri" w:hAnsi="Arial" w:cs="Arial"/>
          <w:bCs/>
          <w:sz w:val="22"/>
        </w:rPr>
        <w:t xml:space="preserve"> en ejercicio de la función consultiva ha manifestado que </w:t>
      </w:r>
      <w:r w:rsidR="005C2833" w:rsidRPr="009D0E93">
        <w:rPr>
          <w:rFonts w:ascii="Arial" w:eastAsia="Calibri" w:hAnsi="Arial" w:cs="Arial"/>
          <w:bCs/>
          <w:sz w:val="22"/>
        </w:rPr>
        <w:t xml:space="preserve">en </w:t>
      </w:r>
      <w:r w:rsidRPr="009D0E93">
        <w:rPr>
          <w:rFonts w:ascii="Arial" w:eastAsia="Calibri" w:hAnsi="Arial" w:cs="Arial"/>
          <w:bCs/>
          <w:sz w:val="22"/>
        </w:rPr>
        <w:t>esta figura es adecuada que la sociedad absorbida transfiera a la segunda sus atributos en lo relacionado con la experiencia</w:t>
      </w:r>
      <w:r w:rsidRPr="009D0E93">
        <w:rPr>
          <w:rFonts w:ascii="Arial" w:eastAsia="Calibri" w:hAnsi="Arial" w:cs="Arial"/>
          <w:bCs/>
          <w:sz w:val="22"/>
          <w:vertAlign w:val="superscript"/>
        </w:rPr>
        <w:footnoteReference w:id="20"/>
      </w:r>
      <w:r w:rsidRPr="009D0E93">
        <w:rPr>
          <w:rFonts w:ascii="Arial" w:eastAsia="Calibri" w:hAnsi="Arial" w:cs="Arial"/>
          <w:bCs/>
          <w:sz w:val="22"/>
        </w:rPr>
        <w:t xml:space="preserve">. Al respecto se ha manifestado: </w:t>
      </w:r>
    </w:p>
    <w:p w14:paraId="3F2C12EC" w14:textId="77777777" w:rsidR="0091736C" w:rsidRPr="009D0E93" w:rsidRDefault="0091736C" w:rsidP="0091736C">
      <w:pPr>
        <w:ind w:left="709" w:right="709"/>
        <w:jc w:val="both"/>
        <w:rPr>
          <w:rFonts w:ascii="Arial" w:hAnsi="Arial" w:cs="Arial"/>
          <w:sz w:val="21"/>
          <w:szCs w:val="21"/>
        </w:rPr>
      </w:pPr>
    </w:p>
    <w:p w14:paraId="18DEAE8B" w14:textId="0C338912" w:rsidR="0091736C" w:rsidRPr="009D0E93" w:rsidRDefault="0091736C" w:rsidP="0091736C">
      <w:pPr>
        <w:ind w:left="709" w:right="709"/>
        <w:jc w:val="both"/>
        <w:rPr>
          <w:rFonts w:ascii="Arial" w:hAnsi="Arial" w:cs="Arial"/>
          <w:sz w:val="21"/>
          <w:szCs w:val="21"/>
        </w:rPr>
      </w:pPr>
      <w:r w:rsidRPr="009D0E93">
        <w:rPr>
          <w:rFonts w:ascii="Arial" w:hAnsi="Arial" w:cs="Arial"/>
          <w:sz w:val="21"/>
          <w:szCs w:val="21"/>
        </w:rPr>
        <w:t>La fusión surge como el mecanismo pertinente para que los atributos de las compañías absorbidas, sean aprovechados por la compañía que las absorbe, entre éstos, la experiencia derivada de las obras cumplidas, bienes suministrados o servicios prestados durante la vigencia de la absorbida.  Por supuesto, frente a la normatividad alusiva a la contratación estatal, considera este despacho que resulta discrecional para la entidad estatal contratante coincidir, o no, con esta oficina en el sentido anotado y habilitar como proponente, para considerar su propuesta, a aquellos quienes, en virtud de su calidad de absorbentes, aprovechan todos los recursos que le fueron transmitidos por las absorbidas, incluidos intangibles como su experiencia, Know How, entre otros</w:t>
      </w:r>
      <w:r w:rsidR="005C2833" w:rsidRPr="009D0E93">
        <w:rPr>
          <w:rFonts w:ascii="Arial" w:hAnsi="Arial" w:cs="Arial"/>
          <w:sz w:val="21"/>
          <w:szCs w:val="21"/>
        </w:rPr>
        <w:t>.</w:t>
      </w:r>
    </w:p>
    <w:p w14:paraId="31DAD6ED" w14:textId="77777777" w:rsidR="0091736C" w:rsidRPr="009D0E93" w:rsidRDefault="0091736C" w:rsidP="0091736C">
      <w:pPr>
        <w:ind w:left="709" w:right="709"/>
        <w:jc w:val="both"/>
        <w:rPr>
          <w:rFonts w:ascii="Arial" w:hAnsi="Arial" w:cs="Arial"/>
          <w:sz w:val="21"/>
          <w:szCs w:val="21"/>
        </w:rPr>
      </w:pPr>
    </w:p>
    <w:p w14:paraId="33740010" w14:textId="77777777" w:rsidR="0091736C" w:rsidRPr="009D0E93" w:rsidRDefault="0091736C" w:rsidP="0091736C">
      <w:pPr>
        <w:ind w:left="709" w:right="709"/>
        <w:jc w:val="both"/>
        <w:rPr>
          <w:rFonts w:ascii="Arial" w:hAnsi="Arial" w:cs="Arial"/>
          <w:sz w:val="21"/>
          <w:szCs w:val="21"/>
        </w:rPr>
      </w:pPr>
      <w:r w:rsidRPr="009D0E93">
        <w:rPr>
          <w:rFonts w:ascii="Arial" w:hAnsi="Arial" w:cs="Arial"/>
          <w:sz w:val="21"/>
          <w:szCs w:val="21"/>
        </w:rPr>
        <w:t>[…]</w:t>
      </w:r>
    </w:p>
    <w:p w14:paraId="043347F9" w14:textId="77777777" w:rsidR="0091736C" w:rsidRPr="009D0E93" w:rsidRDefault="0091736C" w:rsidP="0091736C">
      <w:pPr>
        <w:ind w:left="709" w:right="709"/>
        <w:jc w:val="both"/>
        <w:rPr>
          <w:rFonts w:ascii="Arial" w:hAnsi="Arial" w:cs="Arial"/>
          <w:sz w:val="21"/>
          <w:szCs w:val="21"/>
        </w:rPr>
      </w:pPr>
    </w:p>
    <w:p w14:paraId="3E5CCCFC" w14:textId="77777777" w:rsidR="0091736C" w:rsidRPr="009D0E93" w:rsidRDefault="0091736C" w:rsidP="0091736C">
      <w:pPr>
        <w:ind w:left="709" w:right="709"/>
        <w:jc w:val="both"/>
        <w:rPr>
          <w:rFonts w:ascii="Arial" w:hAnsi="Arial" w:cs="Arial"/>
          <w:sz w:val="21"/>
          <w:szCs w:val="21"/>
        </w:rPr>
      </w:pPr>
      <w:r w:rsidRPr="009D0E93">
        <w:rPr>
          <w:rFonts w:ascii="Arial" w:hAnsi="Arial" w:cs="Arial"/>
          <w:sz w:val="21"/>
          <w:szCs w:val="21"/>
        </w:rPr>
        <w:t xml:space="preserve">En cuanto refiere a </w:t>
      </w:r>
      <w:r w:rsidRPr="009D0E93">
        <w:rPr>
          <w:rFonts w:ascii="Arial" w:hAnsi="Arial" w:cs="Arial"/>
          <w:i/>
          <w:iCs/>
          <w:sz w:val="21"/>
          <w:szCs w:val="21"/>
          <w:u w:val="single"/>
        </w:rPr>
        <w:t xml:space="preserve">la certificación que sobre la experiencia de un proponente, expiden las cámaras de comercio a través del Registro Único de Proponentes que administran, esta oficina considera que la normativa a que se ha venido aludiendo no reguló, pero tampoco prohibió, otras situaciones de transferencia de experiencia como la que se presenta con la fusión, </w:t>
      </w:r>
      <w:r w:rsidRPr="009D0E93">
        <w:rPr>
          <w:rFonts w:ascii="Arial" w:hAnsi="Arial" w:cs="Arial"/>
          <w:sz w:val="21"/>
          <w:szCs w:val="21"/>
        </w:rPr>
        <w:t>por lo que la considera válida para efecto de ser invocada por la absorbente, a través del certificado que le expida la cámara de comercio con base en la información depositada en el Registro Único de Proponentes, RUP</w:t>
      </w:r>
      <w:r w:rsidRPr="009D0E93">
        <w:rPr>
          <w:rFonts w:ascii="Arial" w:hAnsi="Arial" w:cs="Arial"/>
          <w:sz w:val="21"/>
          <w:szCs w:val="21"/>
          <w:vertAlign w:val="superscript"/>
        </w:rPr>
        <w:footnoteReference w:id="21"/>
      </w:r>
      <w:r w:rsidRPr="009D0E93">
        <w:rPr>
          <w:rFonts w:ascii="Arial" w:hAnsi="Arial" w:cs="Arial"/>
          <w:sz w:val="21"/>
          <w:szCs w:val="21"/>
        </w:rPr>
        <w:t>. [Énfasis fuera de texto]</w:t>
      </w:r>
    </w:p>
    <w:p w14:paraId="0930BBDD" w14:textId="77777777" w:rsidR="0091736C" w:rsidRPr="009D0E93" w:rsidRDefault="0091736C" w:rsidP="0091736C">
      <w:pPr>
        <w:spacing w:line="276" w:lineRule="auto"/>
        <w:ind w:left="709" w:right="709"/>
        <w:jc w:val="both"/>
        <w:rPr>
          <w:rFonts w:ascii="Arial" w:hAnsi="Arial" w:cs="Arial"/>
          <w:sz w:val="21"/>
          <w:szCs w:val="21"/>
        </w:rPr>
      </w:pPr>
    </w:p>
    <w:p w14:paraId="2DA3B85F" w14:textId="3EE4B699" w:rsidR="0091736C" w:rsidRPr="009D0E93" w:rsidRDefault="0091736C" w:rsidP="0091736C">
      <w:pPr>
        <w:spacing w:line="276" w:lineRule="auto"/>
        <w:ind w:firstLine="708"/>
        <w:jc w:val="both"/>
        <w:rPr>
          <w:rFonts w:ascii="Arial" w:hAnsi="Arial" w:cs="Arial"/>
          <w:color w:val="000000"/>
          <w:sz w:val="22"/>
          <w:szCs w:val="22"/>
        </w:rPr>
      </w:pPr>
      <w:r w:rsidRPr="009D0E93">
        <w:rPr>
          <w:rFonts w:ascii="Arial" w:eastAsia="Calibri" w:hAnsi="Arial" w:cs="Arial"/>
          <w:bCs/>
          <w:sz w:val="22"/>
          <w:szCs w:val="22"/>
        </w:rPr>
        <w:t>En efecto, el artículo 2.2.1.1.1.5.3 del Decreto 1082 de 2015 hace referencia a que las cámaras de comercio deberán registrar la experiencia certificada con base en los «</w:t>
      </w:r>
      <w:r w:rsidRPr="009D0E93">
        <w:rPr>
          <w:rFonts w:ascii="Arial" w:hAnsi="Arial" w:cs="Arial"/>
          <w:color w:val="000000"/>
          <w:sz w:val="22"/>
          <w:szCs w:val="22"/>
        </w:rPr>
        <w:t xml:space="preserve">Los contratos celebrados por el interesado» y «Los contratos celebrados por consorcios, uniones temporales y sociedades en las cuales el interesado tenga o haya tenido participación», sin hacer alusión a las diferentes reformas estatutarias que podrían amparar la transferencia de experiencia conforme a lo explicado </w:t>
      </w:r>
      <w:r w:rsidRPr="009D0E93">
        <w:rPr>
          <w:rFonts w:ascii="Arial" w:hAnsi="Arial" w:cs="Arial"/>
          <w:i/>
          <w:iCs/>
          <w:color w:val="000000"/>
          <w:sz w:val="22"/>
          <w:szCs w:val="22"/>
        </w:rPr>
        <w:t>supra</w:t>
      </w:r>
      <w:r w:rsidRPr="009D0E93">
        <w:rPr>
          <w:rFonts w:ascii="Arial" w:hAnsi="Arial" w:cs="Arial"/>
          <w:i/>
          <w:iCs/>
          <w:color w:val="000000"/>
          <w:sz w:val="22"/>
          <w:szCs w:val="22"/>
          <w:vertAlign w:val="superscript"/>
        </w:rPr>
        <w:footnoteReference w:id="22"/>
      </w:r>
      <w:r w:rsidRPr="009D0E93">
        <w:rPr>
          <w:rFonts w:ascii="Arial" w:hAnsi="Arial" w:cs="Arial"/>
          <w:color w:val="000000"/>
          <w:sz w:val="22"/>
          <w:szCs w:val="22"/>
        </w:rPr>
        <w:t xml:space="preserve">.. </w:t>
      </w:r>
    </w:p>
    <w:p w14:paraId="07F518D6" w14:textId="47BF7E77" w:rsidR="00803C65" w:rsidRPr="009D0E93" w:rsidRDefault="0091736C" w:rsidP="00634064">
      <w:pPr>
        <w:spacing w:before="120" w:line="276" w:lineRule="auto"/>
        <w:ind w:firstLine="708"/>
        <w:jc w:val="both"/>
        <w:rPr>
          <w:rFonts w:ascii="Arial" w:hAnsi="Arial" w:cs="Arial"/>
          <w:color w:val="000000"/>
          <w:sz w:val="22"/>
          <w:szCs w:val="22"/>
        </w:rPr>
      </w:pPr>
      <w:r w:rsidRPr="009D0E93">
        <w:rPr>
          <w:rFonts w:ascii="Arial" w:hAnsi="Arial" w:cs="Arial"/>
          <w:color w:val="000000"/>
          <w:sz w:val="22"/>
          <w:szCs w:val="22"/>
        </w:rPr>
        <w:t>En ese sentido, considerando que el RUP es el documento que constituye plena prueba de la experiencia adquirida por el proponente, es necesario que la experiencia de la sociedad absorbida qued</w:t>
      </w:r>
      <w:r w:rsidR="005C2833" w:rsidRPr="009D0E93">
        <w:rPr>
          <w:rFonts w:ascii="Arial" w:hAnsi="Arial" w:cs="Arial"/>
          <w:color w:val="000000"/>
          <w:sz w:val="22"/>
          <w:szCs w:val="22"/>
        </w:rPr>
        <w:t>e</w:t>
      </w:r>
      <w:r w:rsidRPr="009D0E93">
        <w:rPr>
          <w:rFonts w:ascii="Arial" w:hAnsi="Arial" w:cs="Arial"/>
          <w:color w:val="000000"/>
          <w:sz w:val="22"/>
          <w:szCs w:val="22"/>
        </w:rPr>
        <w:t xml:space="preserve"> incorporada en el RUP de la absorbente para que esta pueda acreditarla. Esto implica que la sociedad absorbente haya adelantado el respectivo trámite de actualización o renovación del RUP, en el marco del cual se haya consolidado la transferencia de experiencia. </w:t>
      </w:r>
      <w:r w:rsidR="00634064" w:rsidRPr="009D0E93">
        <w:rPr>
          <w:rFonts w:ascii="Arial" w:hAnsi="Arial" w:cs="Arial"/>
          <w:bCs/>
          <w:color w:val="000000"/>
          <w:sz w:val="22"/>
          <w:szCs w:val="22"/>
        </w:rPr>
        <w:t xml:space="preserve">Para estos efectos, el proponente debe realizar el trámite pertinente ante la </w:t>
      </w:r>
      <w:r w:rsidR="005C2833" w:rsidRPr="009D0E93">
        <w:rPr>
          <w:rFonts w:ascii="Arial" w:hAnsi="Arial" w:cs="Arial"/>
          <w:bCs/>
          <w:color w:val="000000"/>
          <w:sz w:val="22"/>
          <w:szCs w:val="22"/>
        </w:rPr>
        <w:t>c</w:t>
      </w:r>
      <w:r w:rsidR="00634064" w:rsidRPr="009D0E93">
        <w:rPr>
          <w:rFonts w:ascii="Arial" w:hAnsi="Arial" w:cs="Arial"/>
          <w:bCs/>
          <w:color w:val="000000"/>
          <w:sz w:val="22"/>
          <w:szCs w:val="22"/>
        </w:rPr>
        <w:t xml:space="preserve">ámara de </w:t>
      </w:r>
      <w:r w:rsidR="005C2833" w:rsidRPr="009D0E93">
        <w:rPr>
          <w:rFonts w:ascii="Arial" w:hAnsi="Arial" w:cs="Arial"/>
          <w:bCs/>
          <w:color w:val="000000"/>
          <w:sz w:val="22"/>
          <w:szCs w:val="22"/>
        </w:rPr>
        <w:t>c</w:t>
      </w:r>
      <w:r w:rsidR="00634064" w:rsidRPr="009D0E93">
        <w:rPr>
          <w:rFonts w:ascii="Arial" w:hAnsi="Arial" w:cs="Arial"/>
          <w:bCs/>
          <w:color w:val="000000"/>
          <w:sz w:val="22"/>
          <w:szCs w:val="22"/>
        </w:rPr>
        <w:t xml:space="preserve">omercio </w:t>
      </w:r>
      <w:r w:rsidR="00634064" w:rsidRPr="009D0E93">
        <w:rPr>
          <w:rFonts w:ascii="Arial" w:hAnsi="Arial" w:cs="Arial"/>
          <w:color w:val="000000"/>
          <w:sz w:val="22"/>
          <w:szCs w:val="22"/>
        </w:rPr>
        <w:t>con copia de los contratos o con certificados de los contratos celebrados con diferentes contratantes y los demás documentos requeridos por dicha entidad.</w:t>
      </w:r>
      <w:r w:rsidR="00896BF0" w:rsidRPr="009D0E93">
        <w:rPr>
          <w:rFonts w:ascii="Arial" w:hAnsi="Arial" w:cs="Arial"/>
          <w:color w:val="000000"/>
          <w:sz w:val="22"/>
          <w:szCs w:val="22"/>
        </w:rPr>
        <w:t xml:space="preserve"> </w:t>
      </w:r>
      <w:r w:rsidR="007103B3" w:rsidRPr="009D0E93">
        <w:rPr>
          <w:rFonts w:ascii="Arial" w:hAnsi="Arial" w:cs="Arial"/>
          <w:color w:val="000000"/>
          <w:sz w:val="22"/>
          <w:szCs w:val="22"/>
        </w:rPr>
        <w:t>E</w:t>
      </w:r>
      <w:r w:rsidR="00896BF0" w:rsidRPr="009D0E93">
        <w:rPr>
          <w:rFonts w:ascii="Arial" w:hAnsi="Arial" w:cs="Arial"/>
          <w:color w:val="000000"/>
          <w:sz w:val="22"/>
          <w:szCs w:val="22"/>
        </w:rPr>
        <w:t xml:space="preserve">sto aplica para todas las personas </w:t>
      </w:r>
      <w:r w:rsidR="007103B3" w:rsidRPr="009D0E93">
        <w:rPr>
          <w:rFonts w:ascii="Arial" w:hAnsi="Arial" w:cs="Arial"/>
          <w:color w:val="000000"/>
          <w:sz w:val="22"/>
          <w:szCs w:val="22"/>
        </w:rPr>
        <w:t>obligadas a contar con RUP</w:t>
      </w:r>
      <w:r w:rsidR="005C2833" w:rsidRPr="009D0E93">
        <w:rPr>
          <w:rFonts w:ascii="Arial" w:hAnsi="Arial" w:cs="Arial"/>
          <w:color w:val="000000"/>
          <w:sz w:val="22"/>
          <w:szCs w:val="22"/>
        </w:rPr>
        <w:t>,</w:t>
      </w:r>
      <w:r w:rsidR="007103B3" w:rsidRPr="009D0E93">
        <w:rPr>
          <w:rFonts w:ascii="Arial" w:hAnsi="Arial" w:cs="Arial"/>
          <w:color w:val="000000"/>
          <w:sz w:val="22"/>
          <w:szCs w:val="22"/>
        </w:rPr>
        <w:t xml:space="preserve"> como las personas jurídicas extranjeras con sucursal en Colombia. </w:t>
      </w:r>
    </w:p>
    <w:p w14:paraId="763B9C83" w14:textId="77777777" w:rsidR="00A67DD8" w:rsidRPr="009D0E93" w:rsidRDefault="00A67DD8" w:rsidP="00A67DD8">
      <w:pPr>
        <w:spacing w:line="276" w:lineRule="auto"/>
        <w:ind w:firstLine="709"/>
        <w:jc w:val="both"/>
        <w:rPr>
          <w:rFonts w:ascii="Arial" w:hAnsi="Arial" w:cs="Arial"/>
          <w:color w:val="000000"/>
          <w:sz w:val="22"/>
          <w:szCs w:val="22"/>
        </w:rPr>
      </w:pPr>
    </w:p>
    <w:p w14:paraId="07B151E8" w14:textId="0CA6A88F" w:rsidR="00D5566A" w:rsidRPr="009D0E93" w:rsidRDefault="00D5566A" w:rsidP="00CA58B6">
      <w:pPr>
        <w:spacing w:line="276" w:lineRule="auto"/>
        <w:jc w:val="both"/>
        <w:rPr>
          <w:rFonts w:ascii="Arial" w:hAnsi="Arial" w:cs="Arial"/>
          <w:b/>
          <w:bCs/>
          <w:color w:val="000000" w:themeColor="text1"/>
          <w:sz w:val="22"/>
          <w:szCs w:val="22"/>
        </w:rPr>
      </w:pPr>
      <w:r w:rsidRPr="009D0E93">
        <w:rPr>
          <w:rFonts w:ascii="Arial" w:hAnsi="Arial" w:cs="Arial"/>
          <w:b/>
          <w:bCs/>
          <w:color w:val="000000"/>
          <w:sz w:val="22"/>
          <w:szCs w:val="22"/>
        </w:rPr>
        <w:t xml:space="preserve">2.3. </w:t>
      </w:r>
      <w:r w:rsidRPr="009D0E93">
        <w:rPr>
          <w:rFonts w:ascii="Arial" w:hAnsi="Arial" w:cs="Arial"/>
          <w:b/>
          <w:bCs/>
          <w:color w:val="000000" w:themeColor="text1"/>
          <w:sz w:val="22"/>
          <w:szCs w:val="22"/>
        </w:rPr>
        <w:t>Acreditación de experiencia de proponentes extranjeros sin domicilio o sucursal en Colombia</w:t>
      </w:r>
    </w:p>
    <w:p w14:paraId="709D27B3" w14:textId="77777777" w:rsidR="005C2833" w:rsidRPr="009D0E93" w:rsidRDefault="005C2833" w:rsidP="00CA58B6">
      <w:pPr>
        <w:spacing w:line="276" w:lineRule="auto"/>
        <w:jc w:val="both"/>
        <w:rPr>
          <w:rFonts w:ascii="Arial" w:hAnsi="Arial" w:cs="Arial"/>
          <w:b/>
          <w:bCs/>
          <w:color w:val="000000"/>
          <w:sz w:val="22"/>
          <w:szCs w:val="22"/>
        </w:rPr>
      </w:pPr>
    </w:p>
    <w:p w14:paraId="4A73ABF4" w14:textId="014AA76E" w:rsidR="00D5566A" w:rsidRPr="009D0E93" w:rsidRDefault="00D51988" w:rsidP="00CA58B6">
      <w:pPr>
        <w:spacing w:line="276" w:lineRule="auto"/>
        <w:jc w:val="both"/>
        <w:rPr>
          <w:rFonts w:ascii="Arial" w:hAnsi="Arial" w:cs="Arial"/>
          <w:color w:val="000000" w:themeColor="text1"/>
          <w:sz w:val="22"/>
          <w:szCs w:val="22"/>
          <w:lang w:val="es-ES_tradnl" w:eastAsia="es-MX"/>
        </w:rPr>
      </w:pPr>
      <w:r w:rsidRPr="009D0E93">
        <w:rPr>
          <w:rFonts w:ascii="Arial" w:eastAsia="Calibri" w:hAnsi="Arial" w:cs="Arial"/>
          <w:color w:val="000000" w:themeColor="text1"/>
          <w:sz w:val="22"/>
          <w:szCs w:val="22"/>
          <w:lang w:val="es-ES_tradnl"/>
        </w:rPr>
        <w:t xml:space="preserve">Como se indicó en el numeral 2.1 de este concepto, </w:t>
      </w:r>
      <w:r w:rsidR="00D5566A" w:rsidRPr="009D0E93">
        <w:rPr>
          <w:rFonts w:ascii="Arial" w:eastAsia="Calibri" w:hAnsi="Arial" w:cs="Arial"/>
          <w:color w:val="000000" w:themeColor="text1"/>
          <w:sz w:val="22"/>
          <w:szCs w:val="22"/>
          <w:lang w:val="es-ES_tradnl"/>
        </w:rPr>
        <w:t xml:space="preserve">el artículo 5 de la Ley 1150 de 2007 </w:t>
      </w:r>
      <w:r w:rsidRPr="009D0E93">
        <w:rPr>
          <w:rFonts w:ascii="Arial" w:eastAsia="Calibri" w:hAnsi="Arial" w:cs="Arial"/>
          <w:color w:val="000000" w:themeColor="text1"/>
          <w:sz w:val="22"/>
          <w:szCs w:val="22"/>
          <w:lang w:val="es-ES_tradnl"/>
        </w:rPr>
        <w:t xml:space="preserve">señala </w:t>
      </w:r>
      <w:r w:rsidR="00D5566A" w:rsidRPr="009D0E93">
        <w:rPr>
          <w:rFonts w:ascii="Arial" w:eastAsia="Calibri" w:hAnsi="Arial" w:cs="Arial"/>
          <w:color w:val="000000" w:themeColor="text1"/>
          <w:sz w:val="22"/>
          <w:szCs w:val="22"/>
          <w:lang w:val="es-ES_tradnl"/>
        </w:rPr>
        <w:t xml:space="preserve">que </w:t>
      </w:r>
      <w:r w:rsidR="00D5566A" w:rsidRPr="009D0E93">
        <w:rPr>
          <w:rFonts w:ascii="Arial" w:hAnsi="Arial" w:cs="Arial"/>
          <w:color w:val="000000" w:themeColor="text1"/>
          <w:sz w:val="22"/>
          <w:szCs w:val="22"/>
          <w:lang w:eastAsia="es-MX"/>
        </w:rPr>
        <w:t>los factores de escogencia que establezcan las entidades en los pliegos de condiciones</w:t>
      </w:r>
      <w:r w:rsidR="00D5566A" w:rsidRPr="009D0E93">
        <w:rPr>
          <w:rFonts w:ascii="Arial" w:hAnsi="Arial" w:cs="Arial"/>
          <w:color w:val="000000" w:themeColor="text1"/>
          <w:sz w:val="22"/>
          <w:szCs w:val="22"/>
          <w:lang w:val="es-ES_tradnl" w:eastAsia="es-MX"/>
        </w:rPr>
        <w:t xml:space="preserve"> deberán tener en cuenta </w:t>
      </w:r>
      <w:r w:rsidR="004308BC" w:rsidRPr="009D0E93">
        <w:rPr>
          <w:rFonts w:ascii="Arial" w:hAnsi="Arial" w:cs="Arial"/>
          <w:color w:val="000000" w:themeColor="text1"/>
          <w:sz w:val="22"/>
          <w:szCs w:val="22"/>
          <w:lang w:val="es-ES_tradnl" w:eastAsia="es-MX"/>
        </w:rPr>
        <w:t xml:space="preserve">la </w:t>
      </w:r>
      <w:r w:rsidR="004308BC" w:rsidRPr="009D0E93">
        <w:rPr>
          <w:rFonts w:ascii="Arial" w:hAnsi="Arial" w:cs="Arial"/>
          <w:color w:val="000000" w:themeColor="text1"/>
          <w:sz w:val="22"/>
          <w:szCs w:val="22"/>
          <w:lang w:val="es-MX" w:eastAsia="es-MX"/>
        </w:rPr>
        <w:t>capacidad jurídica</w:t>
      </w:r>
      <w:r w:rsidR="005C2833" w:rsidRPr="009D0E93">
        <w:rPr>
          <w:rFonts w:ascii="Arial" w:hAnsi="Arial" w:cs="Arial"/>
          <w:color w:val="000000" w:themeColor="text1"/>
          <w:sz w:val="22"/>
          <w:szCs w:val="22"/>
          <w:lang w:val="es-MX" w:eastAsia="es-MX"/>
        </w:rPr>
        <w:t>,</w:t>
      </w:r>
      <w:r w:rsidR="00190E05" w:rsidRPr="009D0E93">
        <w:rPr>
          <w:rFonts w:ascii="Arial" w:hAnsi="Arial" w:cs="Arial"/>
          <w:color w:val="000000" w:themeColor="text1"/>
          <w:sz w:val="22"/>
          <w:szCs w:val="22"/>
          <w:lang w:val="es-MX" w:eastAsia="es-MX"/>
        </w:rPr>
        <w:t xml:space="preserve"> las condiciones de experiencia,</w:t>
      </w:r>
      <w:r w:rsidR="004308BC" w:rsidRPr="009D0E93">
        <w:rPr>
          <w:rFonts w:ascii="Arial" w:hAnsi="Arial" w:cs="Arial"/>
          <w:color w:val="000000" w:themeColor="text1"/>
          <w:sz w:val="22"/>
          <w:szCs w:val="22"/>
          <w:lang w:val="es-MX" w:eastAsia="es-MX"/>
        </w:rPr>
        <w:t xml:space="preserve"> </w:t>
      </w:r>
      <w:r w:rsidR="00190E05" w:rsidRPr="009D0E93">
        <w:rPr>
          <w:rFonts w:ascii="Arial" w:hAnsi="Arial" w:cs="Arial"/>
          <w:color w:val="000000" w:themeColor="text1"/>
          <w:sz w:val="22"/>
          <w:szCs w:val="22"/>
          <w:lang w:val="es-MX" w:eastAsia="es-MX"/>
        </w:rPr>
        <w:t xml:space="preserve">capacidad </w:t>
      </w:r>
      <w:r w:rsidR="004308BC" w:rsidRPr="009D0E93">
        <w:rPr>
          <w:rFonts w:ascii="Arial" w:hAnsi="Arial" w:cs="Arial"/>
          <w:color w:val="000000" w:themeColor="text1"/>
          <w:sz w:val="22"/>
          <w:szCs w:val="22"/>
          <w:lang w:val="es-MX" w:eastAsia="es-MX"/>
        </w:rPr>
        <w:t>financiera y organizacional</w:t>
      </w:r>
      <w:r w:rsidR="00190E05" w:rsidRPr="009D0E93">
        <w:rPr>
          <w:rFonts w:ascii="Arial" w:hAnsi="Arial" w:cs="Arial"/>
          <w:color w:val="000000" w:themeColor="text1"/>
          <w:sz w:val="22"/>
          <w:szCs w:val="22"/>
          <w:lang w:val="es-MX" w:eastAsia="es-MX"/>
        </w:rPr>
        <w:t xml:space="preserve"> de los proponente</w:t>
      </w:r>
      <w:r w:rsidR="005C2833" w:rsidRPr="009D0E93">
        <w:rPr>
          <w:rFonts w:ascii="Arial" w:hAnsi="Arial" w:cs="Arial"/>
          <w:color w:val="000000" w:themeColor="text1"/>
          <w:sz w:val="22"/>
          <w:szCs w:val="22"/>
          <w:lang w:val="es-MX" w:eastAsia="es-MX"/>
        </w:rPr>
        <w:t>s</w:t>
      </w:r>
      <w:r w:rsidR="00190E05" w:rsidRPr="009D0E93">
        <w:rPr>
          <w:rFonts w:ascii="Arial" w:hAnsi="Arial" w:cs="Arial"/>
          <w:color w:val="000000" w:themeColor="text1"/>
          <w:sz w:val="22"/>
          <w:szCs w:val="22"/>
          <w:lang w:val="es-MX" w:eastAsia="es-MX"/>
        </w:rPr>
        <w:t xml:space="preserve"> </w:t>
      </w:r>
      <w:r w:rsidR="00D5566A" w:rsidRPr="009D0E93">
        <w:rPr>
          <w:rFonts w:ascii="Arial" w:hAnsi="Arial" w:cs="Arial"/>
          <w:color w:val="000000" w:themeColor="text1"/>
          <w:sz w:val="22"/>
          <w:szCs w:val="22"/>
          <w:lang w:eastAsia="es-MX"/>
        </w:rPr>
        <w:t>para la participación en el proce</w:t>
      </w:r>
      <w:r w:rsidR="005C2833" w:rsidRPr="009D0E93">
        <w:rPr>
          <w:rFonts w:ascii="Arial" w:hAnsi="Arial" w:cs="Arial"/>
          <w:color w:val="000000" w:themeColor="text1"/>
          <w:sz w:val="22"/>
          <w:szCs w:val="22"/>
          <w:lang w:eastAsia="es-MX"/>
        </w:rPr>
        <w:t>dimiento</w:t>
      </w:r>
      <w:r w:rsidR="00D5566A" w:rsidRPr="009D0E93">
        <w:rPr>
          <w:rFonts w:ascii="Arial" w:hAnsi="Arial" w:cs="Arial"/>
          <w:color w:val="000000" w:themeColor="text1"/>
          <w:sz w:val="22"/>
          <w:szCs w:val="22"/>
          <w:lang w:eastAsia="es-MX"/>
        </w:rPr>
        <w:t xml:space="preserve"> de selección</w:t>
      </w:r>
      <w:r w:rsidR="00D5566A" w:rsidRPr="009D0E93">
        <w:rPr>
          <w:rFonts w:ascii="Arial" w:hAnsi="Arial" w:cs="Arial"/>
          <w:color w:val="000000" w:themeColor="text1"/>
          <w:sz w:val="22"/>
          <w:szCs w:val="22"/>
          <w:lang w:val="es-ES_tradnl" w:eastAsia="es-MX"/>
        </w:rPr>
        <w:t>, debiendo construir requisitos adecuados y proporcionales</w:t>
      </w:r>
      <w:r w:rsidR="00D5566A" w:rsidRPr="009D0E93">
        <w:rPr>
          <w:rFonts w:ascii="Arial" w:hAnsi="Arial" w:cs="Arial"/>
          <w:color w:val="000000" w:themeColor="text1"/>
          <w:sz w:val="22"/>
          <w:szCs w:val="22"/>
          <w:lang w:eastAsia="es-MX"/>
        </w:rPr>
        <w:t xml:space="preserve"> a la naturaleza del contrato a suscribir y a su valor. </w:t>
      </w:r>
      <w:r w:rsidR="00DB7203" w:rsidRPr="009D0E93">
        <w:rPr>
          <w:rFonts w:ascii="Arial" w:hAnsi="Arial" w:cs="Arial"/>
          <w:color w:val="000000" w:themeColor="text1"/>
          <w:sz w:val="22"/>
          <w:szCs w:val="22"/>
          <w:lang w:eastAsia="es-MX"/>
        </w:rPr>
        <w:t>Para estos efectos, s</w:t>
      </w:r>
      <w:proofErr w:type="spellStart"/>
      <w:r w:rsidR="00A67DD8" w:rsidRPr="009D0E93">
        <w:rPr>
          <w:rFonts w:ascii="Arial" w:hAnsi="Arial" w:cs="Arial"/>
          <w:color w:val="000000" w:themeColor="text1"/>
          <w:sz w:val="22"/>
          <w:szCs w:val="22"/>
          <w:lang w:val="es-ES_tradnl" w:eastAsia="es-MX"/>
        </w:rPr>
        <w:t>e</w:t>
      </w:r>
      <w:proofErr w:type="spellEnd"/>
      <w:r w:rsidR="00A67DD8" w:rsidRPr="009D0E93">
        <w:rPr>
          <w:rFonts w:ascii="Arial" w:hAnsi="Arial" w:cs="Arial"/>
          <w:color w:val="000000" w:themeColor="text1"/>
          <w:sz w:val="22"/>
          <w:szCs w:val="22"/>
          <w:lang w:val="es-ES_tradnl" w:eastAsia="es-MX"/>
        </w:rPr>
        <w:t xml:space="preserve"> establece</w:t>
      </w:r>
      <w:r w:rsidR="00D5566A" w:rsidRPr="009D0E93">
        <w:rPr>
          <w:rFonts w:ascii="Arial" w:hAnsi="Arial" w:cs="Arial"/>
          <w:color w:val="000000" w:themeColor="text1"/>
          <w:sz w:val="22"/>
          <w:szCs w:val="22"/>
          <w:lang w:val="es-ES_tradnl" w:eastAsia="es-MX"/>
        </w:rPr>
        <w:t xml:space="preserve"> como regla general que la verificación y certificación respectiva</w:t>
      </w:r>
      <w:r w:rsidR="008764D3" w:rsidRPr="009D0E93">
        <w:rPr>
          <w:rFonts w:ascii="Arial" w:hAnsi="Arial" w:cs="Arial"/>
          <w:color w:val="000000" w:themeColor="text1"/>
          <w:sz w:val="22"/>
          <w:szCs w:val="22"/>
          <w:lang w:val="es-ES_tradnl" w:eastAsia="es-MX"/>
        </w:rPr>
        <w:t xml:space="preserve"> </w:t>
      </w:r>
      <w:r w:rsidR="00D5566A" w:rsidRPr="009D0E93">
        <w:rPr>
          <w:rFonts w:ascii="Arial" w:hAnsi="Arial" w:cs="Arial"/>
          <w:color w:val="000000" w:themeColor="text1"/>
          <w:sz w:val="22"/>
          <w:szCs w:val="22"/>
          <w:lang w:eastAsia="es-MX"/>
        </w:rPr>
        <w:t>será efectuada por las Cámaras de Comercio</w:t>
      </w:r>
      <w:r w:rsidR="00D5566A" w:rsidRPr="009D0E93">
        <w:rPr>
          <w:rFonts w:ascii="Arial" w:hAnsi="Arial" w:cs="Arial"/>
          <w:color w:val="000000" w:themeColor="text1"/>
          <w:sz w:val="22"/>
          <w:szCs w:val="22"/>
          <w:lang w:val="es-ES_tradnl" w:eastAsia="es-MX"/>
        </w:rPr>
        <w:t xml:space="preserve"> y estará plasmada en el Registro Único de Proponentes, de acuerdo </w:t>
      </w:r>
      <w:r w:rsidR="005C2833" w:rsidRPr="009D0E93">
        <w:rPr>
          <w:rFonts w:ascii="Arial" w:hAnsi="Arial" w:cs="Arial"/>
          <w:color w:val="000000" w:themeColor="text1"/>
          <w:sz w:val="22"/>
          <w:szCs w:val="22"/>
          <w:lang w:val="es-ES_tradnl" w:eastAsia="es-MX"/>
        </w:rPr>
        <w:t>con</w:t>
      </w:r>
      <w:r w:rsidR="00D5566A" w:rsidRPr="009D0E93">
        <w:rPr>
          <w:rFonts w:ascii="Arial" w:hAnsi="Arial" w:cs="Arial"/>
          <w:color w:val="000000" w:themeColor="text1"/>
          <w:sz w:val="22"/>
          <w:szCs w:val="22"/>
          <w:lang w:val="es-ES_tradnl" w:eastAsia="es-MX"/>
        </w:rPr>
        <w:t xml:space="preserve"> lo </w:t>
      </w:r>
      <w:r w:rsidR="00D5566A" w:rsidRPr="009D0E93">
        <w:rPr>
          <w:rFonts w:ascii="Arial" w:hAnsi="Arial" w:cs="Arial"/>
          <w:color w:val="000000" w:themeColor="text1"/>
          <w:sz w:val="22"/>
          <w:szCs w:val="22"/>
          <w:lang w:val="es-ES_tradnl" w:eastAsia="es-MX"/>
        </w:rPr>
        <w:lastRenderedPageBreak/>
        <w:t xml:space="preserve">preceptuado </w:t>
      </w:r>
      <w:r w:rsidR="005C2833" w:rsidRPr="009D0E93">
        <w:rPr>
          <w:rFonts w:ascii="Arial" w:hAnsi="Arial" w:cs="Arial"/>
          <w:color w:val="000000" w:themeColor="text1"/>
          <w:sz w:val="22"/>
          <w:szCs w:val="22"/>
          <w:lang w:val="es-ES_tradnl" w:eastAsia="es-MX"/>
        </w:rPr>
        <w:t xml:space="preserve">por </w:t>
      </w:r>
      <w:r w:rsidR="00D5566A" w:rsidRPr="009D0E93">
        <w:rPr>
          <w:rFonts w:ascii="Arial" w:hAnsi="Arial" w:cs="Arial"/>
          <w:color w:val="000000" w:themeColor="text1"/>
          <w:sz w:val="22"/>
          <w:szCs w:val="22"/>
          <w:lang w:val="es-ES_tradnl" w:eastAsia="es-MX"/>
        </w:rPr>
        <w:t xml:space="preserve">el artículo 6 </w:t>
      </w:r>
      <w:r w:rsidR="00D5566A" w:rsidRPr="009D0E93">
        <w:rPr>
          <w:rFonts w:ascii="Arial" w:hAnsi="Arial" w:cs="Arial"/>
          <w:i/>
          <w:iCs/>
          <w:color w:val="000000" w:themeColor="text1"/>
          <w:sz w:val="22"/>
          <w:szCs w:val="22"/>
          <w:lang w:val="es-ES_tradnl" w:eastAsia="es-MX"/>
        </w:rPr>
        <w:t>ibídem</w:t>
      </w:r>
      <w:r w:rsidR="00D5566A" w:rsidRPr="009D0E93">
        <w:rPr>
          <w:rFonts w:ascii="Arial" w:hAnsi="Arial" w:cs="Arial"/>
          <w:color w:val="000000" w:themeColor="text1"/>
          <w:sz w:val="22"/>
          <w:szCs w:val="22"/>
          <w:lang w:val="es-ES_tradnl" w:eastAsia="es-MX"/>
        </w:rPr>
        <w:t>, en concordancia con el artículo 2.2.1.1.1.5.3. del Decreto 1082 de 2015.</w:t>
      </w:r>
    </w:p>
    <w:p w14:paraId="3B1977BF" w14:textId="0C63939F" w:rsidR="00CB23DD" w:rsidRPr="009D0E93" w:rsidRDefault="000A1B5B" w:rsidP="00CA58B6">
      <w:pPr>
        <w:spacing w:before="120" w:line="276" w:lineRule="auto"/>
        <w:ind w:firstLine="709"/>
        <w:jc w:val="both"/>
        <w:rPr>
          <w:rFonts w:ascii="Arial" w:hAnsi="Arial" w:cs="Arial"/>
          <w:color w:val="000000" w:themeColor="text1"/>
          <w:sz w:val="22"/>
          <w:szCs w:val="22"/>
          <w:lang w:val="es-ES_tradnl" w:eastAsia="es-MX"/>
        </w:rPr>
      </w:pPr>
      <w:r w:rsidRPr="009D0E93">
        <w:rPr>
          <w:rFonts w:ascii="Arial" w:hAnsi="Arial" w:cs="Arial"/>
          <w:color w:val="000000" w:themeColor="text1"/>
          <w:sz w:val="22"/>
          <w:szCs w:val="22"/>
          <w:lang w:eastAsia="es-MX"/>
        </w:rPr>
        <w:t xml:space="preserve">No obstante, el RUP </w:t>
      </w:r>
      <w:bookmarkStart w:id="7" w:name="_Hlk110930941"/>
      <w:r w:rsidR="00CB23DD" w:rsidRPr="009D0E93">
        <w:rPr>
          <w:rFonts w:ascii="Arial" w:hAnsi="Arial" w:cs="Arial"/>
          <w:color w:val="000000" w:themeColor="text1"/>
          <w:sz w:val="22"/>
        </w:rPr>
        <w:t xml:space="preserve">no es exigible en todos </w:t>
      </w:r>
      <w:r w:rsidR="0031599C" w:rsidRPr="009D0E93">
        <w:rPr>
          <w:rFonts w:ascii="Arial" w:hAnsi="Arial" w:cs="Arial"/>
          <w:color w:val="000000" w:themeColor="text1"/>
          <w:sz w:val="22"/>
        </w:rPr>
        <w:t>casos</w:t>
      </w:r>
      <w:r w:rsidR="00CB23DD" w:rsidRPr="009D0E93">
        <w:rPr>
          <w:rFonts w:ascii="Arial" w:hAnsi="Arial" w:cs="Arial"/>
          <w:color w:val="000000" w:themeColor="text1"/>
          <w:sz w:val="22"/>
        </w:rPr>
        <w:t xml:space="preserve">. </w:t>
      </w:r>
      <w:r w:rsidR="0031599C" w:rsidRPr="009D0E93">
        <w:rPr>
          <w:rFonts w:ascii="Arial" w:hAnsi="Arial" w:cs="Arial"/>
          <w:color w:val="000000" w:themeColor="text1"/>
          <w:sz w:val="22"/>
        </w:rPr>
        <w:t>En efecto, e</w:t>
      </w:r>
      <w:r w:rsidR="00CB23DD" w:rsidRPr="009D0E93">
        <w:rPr>
          <w:rFonts w:ascii="Arial" w:hAnsi="Arial" w:cs="Arial"/>
          <w:color w:val="000000" w:themeColor="text1"/>
          <w:sz w:val="22"/>
        </w:rPr>
        <w:t xml:space="preserve">l inciso segundo del artículo 6 de la Ley 1150 de 2007 señala los </w:t>
      </w:r>
      <w:r w:rsidR="0031599C" w:rsidRPr="009D0E93">
        <w:rPr>
          <w:rFonts w:ascii="Arial" w:hAnsi="Arial" w:cs="Arial"/>
          <w:color w:val="000000" w:themeColor="text1"/>
          <w:sz w:val="22"/>
        </w:rPr>
        <w:t xml:space="preserve">supuestos </w:t>
      </w:r>
      <w:r w:rsidR="00CB23DD" w:rsidRPr="009D0E93">
        <w:rPr>
          <w:rFonts w:ascii="Arial" w:hAnsi="Arial" w:cs="Arial"/>
          <w:color w:val="000000" w:themeColor="text1"/>
          <w:sz w:val="22"/>
        </w:rPr>
        <w:t xml:space="preserve">en los que no se requerirá el Registro Único de Proponentes: «[…]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Además, tampoco será exigible </w:t>
      </w:r>
      <w:r w:rsidR="00D5566A" w:rsidRPr="009D0E93">
        <w:rPr>
          <w:rFonts w:ascii="Arial" w:hAnsi="Arial" w:cs="Arial"/>
          <w:color w:val="000000" w:themeColor="text1"/>
          <w:sz w:val="22"/>
          <w:szCs w:val="22"/>
          <w:lang w:val="es-ES_tradnl" w:eastAsia="es-MX"/>
        </w:rPr>
        <w:t>cuando se trate de proponentes personas</w:t>
      </w:r>
      <w:r w:rsidR="00D5566A" w:rsidRPr="009D0E93">
        <w:rPr>
          <w:rFonts w:ascii="Arial" w:hAnsi="Arial" w:cs="Arial"/>
          <w:color w:val="000000" w:themeColor="text1"/>
          <w:sz w:val="22"/>
          <w:szCs w:val="22"/>
          <w:lang w:eastAsia="es-MX"/>
        </w:rPr>
        <w:t xml:space="preserve"> naturales extranjeras sin domicilio en el </w:t>
      </w:r>
      <w:r w:rsidR="00694D31" w:rsidRPr="009D0E93">
        <w:rPr>
          <w:rFonts w:ascii="Arial" w:hAnsi="Arial" w:cs="Arial"/>
          <w:color w:val="000000" w:themeColor="text1"/>
          <w:sz w:val="22"/>
          <w:szCs w:val="22"/>
          <w:lang w:eastAsia="es-MX"/>
        </w:rPr>
        <w:t>país</w:t>
      </w:r>
      <w:r w:rsidR="00D5566A" w:rsidRPr="009D0E93">
        <w:rPr>
          <w:rFonts w:ascii="Arial" w:hAnsi="Arial" w:cs="Arial"/>
          <w:color w:val="000000" w:themeColor="text1"/>
          <w:sz w:val="22"/>
          <w:szCs w:val="22"/>
          <w:lang w:eastAsia="es-MX"/>
        </w:rPr>
        <w:t xml:space="preserve"> o personas </w:t>
      </w:r>
      <w:r w:rsidR="00694D31" w:rsidRPr="009D0E93">
        <w:rPr>
          <w:rFonts w:ascii="Arial" w:hAnsi="Arial" w:cs="Arial"/>
          <w:color w:val="000000" w:themeColor="text1"/>
          <w:sz w:val="22"/>
          <w:szCs w:val="22"/>
          <w:lang w:eastAsia="es-MX"/>
        </w:rPr>
        <w:t>jurídicas</w:t>
      </w:r>
      <w:r w:rsidR="00D5566A" w:rsidRPr="009D0E93">
        <w:rPr>
          <w:rFonts w:ascii="Arial" w:hAnsi="Arial" w:cs="Arial"/>
          <w:color w:val="000000" w:themeColor="text1"/>
          <w:sz w:val="22"/>
          <w:szCs w:val="22"/>
          <w:lang w:eastAsia="es-MX"/>
        </w:rPr>
        <w:t xml:space="preserve"> extranjeras que no tengan establecida sucursal en Colombia</w:t>
      </w:r>
      <w:bookmarkEnd w:id="7"/>
      <w:r w:rsidR="00D5566A" w:rsidRPr="009D0E93">
        <w:rPr>
          <w:rFonts w:ascii="Arial" w:hAnsi="Arial" w:cs="Arial"/>
          <w:color w:val="000000" w:themeColor="text1"/>
          <w:sz w:val="22"/>
          <w:szCs w:val="22"/>
          <w:lang w:val="es-ES_tradnl" w:eastAsia="es-MX"/>
        </w:rPr>
        <w:t xml:space="preserve">. </w:t>
      </w:r>
      <w:r w:rsidR="00DA0A94" w:rsidRPr="009D0E93">
        <w:rPr>
          <w:rFonts w:ascii="Arial" w:hAnsi="Arial" w:cs="Arial"/>
          <w:color w:val="000000" w:themeColor="text1"/>
          <w:sz w:val="22"/>
          <w:szCs w:val="22"/>
          <w:lang w:val="es-MX" w:eastAsia="es-MX"/>
        </w:rPr>
        <w:t>E</w:t>
      </w:r>
      <w:r w:rsidR="00CB23DD" w:rsidRPr="009D0E93">
        <w:rPr>
          <w:rFonts w:ascii="Arial" w:hAnsi="Arial" w:cs="Arial"/>
          <w:color w:val="000000" w:themeColor="text1"/>
          <w:sz w:val="22"/>
          <w:szCs w:val="22"/>
          <w:lang w:val="es-MX" w:eastAsia="es-MX"/>
        </w:rPr>
        <w:t xml:space="preserve">n estos eventos, las entidades contratantes tienen el deber de verificar </w:t>
      </w:r>
      <w:r w:rsidR="004308BC" w:rsidRPr="009D0E93">
        <w:rPr>
          <w:rFonts w:ascii="Arial" w:hAnsi="Arial" w:cs="Arial"/>
          <w:color w:val="000000" w:themeColor="text1"/>
          <w:sz w:val="22"/>
          <w:szCs w:val="22"/>
          <w:lang w:val="es-MX" w:eastAsia="es-MX"/>
        </w:rPr>
        <w:t xml:space="preserve">directamente </w:t>
      </w:r>
      <w:r w:rsidR="00CB23DD" w:rsidRPr="009D0E93">
        <w:rPr>
          <w:rFonts w:ascii="Arial" w:hAnsi="Arial" w:cs="Arial"/>
          <w:color w:val="000000" w:themeColor="text1"/>
          <w:sz w:val="22"/>
          <w:szCs w:val="22"/>
          <w:lang w:val="es-MX" w:eastAsia="es-MX"/>
        </w:rPr>
        <w:t>las condiciones de capacidad jurídica,</w:t>
      </w:r>
      <w:r w:rsidR="00190E05" w:rsidRPr="009D0E93">
        <w:rPr>
          <w:rFonts w:ascii="Arial" w:hAnsi="Arial" w:cs="Arial"/>
          <w:color w:val="000000" w:themeColor="text1"/>
          <w:sz w:val="22"/>
          <w:szCs w:val="22"/>
          <w:lang w:val="es-MX" w:eastAsia="es-MX"/>
        </w:rPr>
        <w:t xml:space="preserve"> condiciones de experiencia,</w:t>
      </w:r>
      <w:r w:rsidR="00CB23DD" w:rsidRPr="009D0E93">
        <w:rPr>
          <w:rFonts w:ascii="Arial" w:hAnsi="Arial" w:cs="Arial"/>
          <w:color w:val="000000" w:themeColor="text1"/>
          <w:sz w:val="22"/>
          <w:szCs w:val="22"/>
          <w:lang w:val="es-MX" w:eastAsia="es-MX"/>
        </w:rPr>
        <w:t xml:space="preserve"> </w:t>
      </w:r>
      <w:r w:rsidR="00190E05" w:rsidRPr="009D0E93">
        <w:rPr>
          <w:rFonts w:ascii="Arial" w:hAnsi="Arial" w:cs="Arial"/>
          <w:color w:val="000000" w:themeColor="text1"/>
          <w:sz w:val="22"/>
          <w:szCs w:val="22"/>
          <w:lang w:val="es-MX" w:eastAsia="es-MX"/>
        </w:rPr>
        <w:t xml:space="preserve">capacidad </w:t>
      </w:r>
      <w:r w:rsidR="00CB23DD" w:rsidRPr="009D0E93">
        <w:rPr>
          <w:rFonts w:ascii="Arial" w:hAnsi="Arial" w:cs="Arial"/>
          <w:color w:val="000000" w:themeColor="text1"/>
          <w:sz w:val="22"/>
          <w:szCs w:val="22"/>
          <w:lang w:val="es-MX" w:eastAsia="es-MX"/>
        </w:rPr>
        <w:t>financiera y organizacional de los oferentes</w:t>
      </w:r>
      <w:r w:rsidR="0031599C" w:rsidRPr="009D0E93">
        <w:rPr>
          <w:rFonts w:ascii="Arial" w:hAnsi="Arial" w:cs="Arial"/>
          <w:color w:val="000000" w:themeColor="text1"/>
          <w:sz w:val="22"/>
          <w:szCs w:val="22"/>
          <w:lang w:val="es-MX" w:eastAsia="es-MX"/>
        </w:rPr>
        <w:t>, cuando exijan dichos requisitos.</w:t>
      </w:r>
      <w:r w:rsidR="00CB23DD" w:rsidRPr="009D0E93">
        <w:rPr>
          <w:rFonts w:ascii="Arial" w:hAnsi="Arial" w:cs="Arial"/>
          <w:color w:val="000000" w:themeColor="text1"/>
          <w:sz w:val="22"/>
          <w:szCs w:val="22"/>
          <w:lang w:val="es-MX" w:eastAsia="es-MX"/>
        </w:rPr>
        <w:t xml:space="preserve"> </w:t>
      </w:r>
    </w:p>
    <w:p w14:paraId="3BA8AA02" w14:textId="2701AB53" w:rsidR="00694D31" w:rsidRPr="009D0E93" w:rsidRDefault="002A5E7D" w:rsidP="00CA58B6">
      <w:pPr>
        <w:spacing w:before="120" w:line="276" w:lineRule="auto"/>
        <w:ind w:firstLine="709"/>
        <w:jc w:val="both"/>
        <w:rPr>
          <w:rFonts w:ascii="Arial" w:hAnsi="Arial" w:cs="Arial"/>
          <w:color w:val="000000" w:themeColor="text1"/>
          <w:sz w:val="22"/>
          <w:szCs w:val="22"/>
          <w:lang w:val="es-ES_tradnl" w:eastAsia="es-MX"/>
        </w:rPr>
      </w:pPr>
      <w:bookmarkStart w:id="8" w:name="_Hlk110931183"/>
      <w:r w:rsidRPr="009D0E93">
        <w:rPr>
          <w:rFonts w:ascii="Arial" w:hAnsi="Arial" w:cs="Arial"/>
          <w:color w:val="000000" w:themeColor="text1"/>
          <w:sz w:val="22"/>
          <w:szCs w:val="22"/>
          <w:lang w:val="es-ES_tradnl" w:eastAsia="es-MX"/>
        </w:rPr>
        <w:t xml:space="preserve">En concordancia, </w:t>
      </w:r>
      <w:r w:rsidR="003E5970" w:rsidRPr="009D0E93">
        <w:rPr>
          <w:rFonts w:ascii="Arial" w:hAnsi="Arial" w:cs="Arial"/>
          <w:color w:val="000000" w:themeColor="text1"/>
          <w:sz w:val="22"/>
          <w:szCs w:val="22"/>
          <w:lang w:val="es-ES_tradnl" w:eastAsia="es-MX"/>
        </w:rPr>
        <w:t xml:space="preserve">la </w:t>
      </w:r>
      <w:r w:rsidR="003E5970" w:rsidRPr="009D0E93">
        <w:rPr>
          <w:rFonts w:ascii="Arial" w:hAnsi="Arial" w:cs="Arial"/>
          <w:i/>
          <w:iCs/>
          <w:color w:val="000000" w:themeColor="text1"/>
          <w:sz w:val="22"/>
          <w:szCs w:val="22"/>
          <w:lang w:val="es-ES_tradnl" w:eastAsia="es-MX"/>
        </w:rPr>
        <w:t>Guía para la participación de Proveedores Extranjeros en Procesos de Contratación</w:t>
      </w:r>
      <w:r w:rsidR="003E5970" w:rsidRPr="009D0E93">
        <w:rPr>
          <w:rStyle w:val="Refdenotaalpie"/>
          <w:rFonts w:ascii="Arial" w:hAnsi="Arial" w:cs="Arial"/>
          <w:color w:val="000000" w:themeColor="text1"/>
          <w:sz w:val="22"/>
          <w:szCs w:val="22"/>
          <w:lang w:val="es-ES_tradnl" w:eastAsia="es-MX"/>
        </w:rPr>
        <w:footnoteReference w:id="23"/>
      </w:r>
      <w:r w:rsidR="003E5970" w:rsidRPr="009D0E93">
        <w:rPr>
          <w:rFonts w:ascii="Arial" w:hAnsi="Arial" w:cs="Arial"/>
          <w:color w:val="000000" w:themeColor="text1"/>
          <w:sz w:val="22"/>
          <w:szCs w:val="22"/>
          <w:lang w:val="es-ES_tradnl" w:eastAsia="es-MX"/>
        </w:rPr>
        <w:t xml:space="preserve">, </w:t>
      </w:r>
      <w:r w:rsidRPr="009D0E93">
        <w:rPr>
          <w:rFonts w:ascii="Arial" w:hAnsi="Arial" w:cs="Arial"/>
          <w:color w:val="000000" w:themeColor="text1"/>
          <w:sz w:val="22"/>
          <w:szCs w:val="22"/>
          <w:lang w:val="es-ES_tradnl" w:eastAsia="es-MX"/>
        </w:rPr>
        <w:t xml:space="preserve">señala que </w:t>
      </w:r>
      <w:r w:rsidR="003E5970" w:rsidRPr="009D0E93">
        <w:rPr>
          <w:rFonts w:ascii="Arial" w:hAnsi="Arial" w:cs="Arial"/>
          <w:color w:val="000000" w:themeColor="text1"/>
          <w:sz w:val="22"/>
          <w:szCs w:val="22"/>
          <w:lang w:val="es-ES_tradnl" w:eastAsia="es-MX"/>
        </w:rPr>
        <w:t xml:space="preserve">«[…] </w:t>
      </w:r>
      <w:r w:rsidR="003E5970" w:rsidRPr="009D0E93">
        <w:rPr>
          <w:rFonts w:ascii="Arial" w:hAnsi="Arial" w:cs="Arial"/>
          <w:color w:val="000000" w:themeColor="text1"/>
          <w:sz w:val="22"/>
          <w:szCs w:val="22"/>
          <w:lang w:eastAsia="es-MX"/>
        </w:rPr>
        <w:t>Los proveedores extranjeros sin domicilio en Colombia no están obligados a tener RUP por lo cual deben acreditar esta información directamente ante la Entidad Estatal que adelanta el Proceso de Contratación en la forma indicada en los pliegos de condiciones y en el SECOP II cuando el proceso es en línea</w:t>
      </w:r>
      <w:r w:rsidR="003E5970" w:rsidRPr="009D0E93">
        <w:rPr>
          <w:rFonts w:ascii="Arial" w:hAnsi="Arial" w:cs="Arial"/>
          <w:color w:val="000000" w:themeColor="text1"/>
          <w:sz w:val="22"/>
          <w:szCs w:val="22"/>
          <w:lang w:val="es-ES_tradnl" w:eastAsia="es-MX"/>
        </w:rPr>
        <w:t xml:space="preserve">». En este sentido, </w:t>
      </w:r>
      <w:r w:rsidR="00D5566A" w:rsidRPr="009D0E93">
        <w:rPr>
          <w:rFonts w:ascii="Arial" w:hAnsi="Arial" w:cs="Arial"/>
          <w:color w:val="000000" w:themeColor="text1"/>
          <w:sz w:val="22"/>
          <w:szCs w:val="22"/>
          <w:lang w:val="es-ES_tradnl" w:eastAsia="es-MX"/>
        </w:rPr>
        <w:t xml:space="preserve">la forma en que se efectuará la </w:t>
      </w:r>
      <w:r w:rsidR="008764D3" w:rsidRPr="009D0E93">
        <w:rPr>
          <w:rFonts w:ascii="Arial" w:hAnsi="Arial" w:cs="Arial"/>
          <w:color w:val="000000" w:themeColor="text1"/>
          <w:sz w:val="22"/>
          <w:szCs w:val="22"/>
          <w:lang w:val="es-ES_tradnl" w:eastAsia="es-MX"/>
        </w:rPr>
        <w:t>verificación</w:t>
      </w:r>
      <w:r w:rsidR="00D5566A" w:rsidRPr="009D0E93">
        <w:rPr>
          <w:rFonts w:ascii="Arial" w:hAnsi="Arial" w:cs="Arial"/>
          <w:color w:val="000000" w:themeColor="text1"/>
          <w:sz w:val="22"/>
          <w:szCs w:val="22"/>
          <w:lang w:val="es-ES_tradnl" w:eastAsia="es-MX"/>
        </w:rPr>
        <w:t xml:space="preserve"> de los requisitos habilitantes para </w:t>
      </w:r>
      <w:r w:rsidRPr="009D0E93">
        <w:rPr>
          <w:rFonts w:ascii="Arial" w:hAnsi="Arial" w:cs="Arial"/>
          <w:color w:val="000000" w:themeColor="text1"/>
          <w:sz w:val="22"/>
          <w:szCs w:val="22"/>
          <w:lang w:val="es-ES_tradnl" w:eastAsia="es-MX"/>
        </w:rPr>
        <w:t>para los proponentes extranjeros sin sucursal en Colombia</w:t>
      </w:r>
      <w:r w:rsidR="00D5566A" w:rsidRPr="009D0E93">
        <w:rPr>
          <w:rFonts w:ascii="Arial" w:hAnsi="Arial" w:cs="Arial"/>
          <w:color w:val="000000" w:themeColor="text1"/>
          <w:sz w:val="22"/>
          <w:szCs w:val="22"/>
          <w:lang w:val="es-ES_tradnl" w:eastAsia="es-MX"/>
        </w:rPr>
        <w:t xml:space="preserve"> deberá estar definida por las entidades estatales en el pliego de condiciones en aplicación de los principios de transparencia y selección objetiva.</w:t>
      </w:r>
      <w:bookmarkEnd w:id="8"/>
    </w:p>
    <w:p w14:paraId="684ACF1D" w14:textId="529C7AA5" w:rsidR="00D5566A" w:rsidRPr="009D0E93" w:rsidRDefault="00173ACF" w:rsidP="00CA58B6">
      <w:pPr>
        <w:spacing w:before="120" w:line="276" w:lineRule="auto"/>
        <w:ind w:firstLine="709"/>
        <w:jc w:val="both"/>
        <w:rPr>
          <w:rFonts w:ascii="Arial" w:hAnsi="Arial" w:cs="Arial"/>
          <w:color w:val="000000" w:themeColor="text1"/>
          <w:sz w:val="22"/>
          <w:szCs w:val="22"/>
          <w:lang w:eastAsia="es-MX"/>
        </w:rPr>
      </w:pPr>
      <w:r w:rsidRPr="009D0E93">
        <w:rPr>
          <w:rFonts w:ascii="Arial" w:hAnsi="Arial" w:cs="Arial"/>
          <w:color w:val="000000" w:themeColor="text1"/>
          <w:sz w:val="22"/>
          <w:szCs w:val="22"/>
          <w:lang w:val="es-ES_tradnl" w:eastAsia="es-MX"/>
        </w:rPr>
        <w:t>Concretamente, frente a la acreditación del requisito de experiencia</w:t>
      </w:r>
      <w:r w:rsidR="00FE72B3" w:rsidRPr="009D0E93">
        <w:rPr>
          <w:rFonts w:ascii="Arial" w:hAnsi="Arial" w:cs="Arial"/>
          <w:color w:val="000000" w:themeColor="text1"/>
          <w:sz w:val="22"/>
          <w:szCs w:val="22"/>
          <w:lang w:val="es-ES_tradnl" w:eastAsia="es-MX"/>
        </w:rPr>
        <w:t>,</w:t>
      </w:r>
      <w:r w:rsidRPr="009D0E93">
        <w:rPr>
          <w:rFonts w:ascii="Arial" w:hAnsi="Arial" w:cs="Arial"/>
          <w:color w:val="000000" w:themeColor="text1"/>
          <w:sz w:val="22"/>
          <w:szCs w:val="22"/>
          <w:lang w:val="es-ES_tradnl" w:eastAsia="es-MX"/>
        </w:rPr>
        <w:t xml:space="preserve"> en la </w:t>
      </w:r>
      <w:r w:rsidRPr="009D0E93">
        <w:rPr>
          <w:rFonts w:ascii="Arial" w:hAnsi="Arial" w:cs="Arial"/>
          <w:i/>
          <w:iCs/>
          <w:color w:val="000000" w:themeColor="text1"/>
          <w:sz w:val="22"/>
          <w:szCs w:val="22"/>
          <w:lang w:val="es-ES_tradnl" w:eastAsia="es-MX"/>
        </w:rPr>
        <w:t>Guía para la participación de Proveedores Extranjeros en Procesos de Contratación</w:t>
      </w:r>
      <w:r w:rsidR="00D5566A" w:rsidRPr="009D0E93">
        <w:rPr>
          <w:rFonts w:ascii="Arial" w:eastAsia="Calibri" w:hAnsi="Arial" w:cs="Arial"/>
          <w:color w:val="000000" w:themeColor="text1"/>
          <w:sz w:val="22"/>
          <w:szCs w:val="22"/>
          <w:lang w:val="es-ES_tradnl"/>
        </w:rPr>
        <w:t>, se precisa que: «</w:t>
      </w:r>
      <w:r w:rsidR="003E5970" w:rsidRPr="009D0E93">
        <w:rPr>
          <w:rFonts w:ascii="Arial" w:eastAsia="Calibri" w:hAnsi="Arial" w:cs="Arial"/>
          <w:color w:val="000000" w:themeColor="text1"/>
          <w:sz w:val="22"/>
          <w:szCs w:val="22"/>
        </w:rPr>
        <w:t xml:space="preserve">Los proveedores extranjeros deben probar su experiencia en el aprovisionamiento de bienes, o servicios o en la ejecución de obras de acuerdo con el objeto del Proceso de Contratación. Para lo anterior, deben presentar certificados expedidos por terceros o copia de contratos que acrediten la ejecución de las obras, o la entrega de bienes o servicios en las condiciones definidas </w:t>
      </w:r>
      <w:r w:rsidR="003E5970" w:rsidRPr="009D0E93">
        <w:rPr>
          <w:rFonts w:ascii="Arial" w:hAnsi="Arial" w:cs="Arial"/>
          <w:color w:val="000000" w:themeColor="text1"/>
          <w:sz w:val="22"/>
          <w:szCs w:val="22"/>
          <w:lang w:eastAsia="es-MX"/>
        </w:rPr>
        <w:t>en</w:t>
      </w:r>
      <w:r w:rsidR="003E5970" w:rsidRPr="009D0E93">
        <w:rPr>
          <w:rFonts w:ascii="Arial" w:eastAsia="Calibri" w:hAnsi="Arial" w:cs="Arial"/>
          <w:color w:val="000000" w:themeColor="text1"/>
          <w:sz w:val="22"/>
          <w:szCs w:val="22"/>
        </w:rPr>
        <w:t xml:space="preserve"> los pliegos de condiciones, los cuales deben cumplir los lineamientos de la Circular Externa No. 17 de 11 de febrero de 2015, expedida por </w:t>
      </w:r>
      <w:r w:rsidR="003E5970" w:rsidRPr="009D0E93">
        <w:rPr>
          <w:rFonts w:ascii="Arial" w:eastAsia="Calibri" w:hAnsi="Arial" w:cs="Arial"/>
          <w:color w:val="000000" w:themeColor="text1"/>
          <w:sz w:val="22"/>
          <w:szCs w:val="22"/>
        </w:rPr>
        <w:lastRenderedPageBreak/>
        <w:t>Colombia Compra Eficiente […]</w:t>
      </w:r>
      <w:r w:rsidR="00D5566A" w:rsidRPr="009D0E93">
        <w:rPr>
          <w:rFonts w:ascii="Arial" w:hAnsi="Arial" w:cs="Arial"/>
          <w:color w:val="000000" w:themeColor="text1"/>
          <w:sz w:val="22"/>
          <w:szCs w:val="22"/>
          <w:lang w:eastAsia="es-MX"/>
        </w:rPr>
        <w:t>»</w:t>
      </w:r>
      <w:r w:rsidR="003E5970" w:rsidRPr="009D0E93">
        <w:rPr>
          <w:rFonts w:ascii="Arial" w:hAnsi="Arial" w:cs="Arial"/>
          <w:color w:val="000000" w:themeColor="text1"/>
          <w:sz w:val="22"/>
          <w:szCs w:val="22"/>
          <w:lang w:val="es-ES_tradnl" w:eastAsia="es-MX"/>
        </w:rPr>
        <w:t>.</w:t>
      </w:r>
      <w:r w:rsidR="00D5566A" w:rsidRPr="009D0E93">
        <w:rPr>
          <w:rFonts w:ascii="Arial" w:hAnsi="Arial" w:cs="Arial"/>
          <w:color w:val="000000" w:themeColor="text1"/>
          <w:sz w:val="22"/>
          <w:szCs w:val="22"/>
          <w:lang w:eastAsia="es-MX"/>
        </w:rPr>
        <w:t xml:space="preserve"> </w:t>
      </w:r>
      <w:r w:rsidR="00023642" w:rsidRPr="009D0E93">
        <w:rPr>
          <w:rFonts w:ascii="Arial" w:hAnsi="Arial" w:cs="Arial"/>
          <w:color w:val="000000" w:themeColor="text1"/>
          <w:sz w:val="22"/>
          <w:szCs w:val="22"/>
          <w:lang w:eastAsia="es-MX"/>
        </w:rPr>
        <w:t xml:space="preserve">Para tales efectos, el proveedor extranjero </w:t>
      </w:r>
      <w:r w:rsidR="009C6D47" w:rsidRPr="009D0E93">
        <w:rPr>
          <w:rFonts w:ascii="Arial" w:hAnsi="Arial" w:cs="Arial"/>
          <w:color w:val="000000" w:themeColor="text1"/>
          <w:sz w:val="22"/>
          <w:szCs w:val="22"/>
          <w:lang w:eastAsia="es-MX"/>
        </w:rPr>
        <w:t>deberá tener en cuenta el tr</w:t>
      </w:r>
      <w:r w:rsidR="008764D3" w:rsidRPr="009D0E93">
        <w:rPr>
          <w:rFonts w:ascii="Arial" w:hAnsi="Arial" w:cs="Arial"/>
          <w:color w:val="000000" w:themeColor="text1"/>
          <w:sz w:val="22"/>
          <w:szCs w:val="22"/>
          <w:lang w:eastAsia="es-MX"/>
        </w:rPr>
        <w:t>á</w:t>
      </w:r>
      <w:r w:rsidR="009C6D47" w:rsidRPr="009D0E93">
        <w:rPr>
          <w:rFonts w:ascii="Arial" w:hAnsi="Arial" w:cs="Arial"/>
          <w:color w:val="000000" w:themeColor="text1"/>
          <w:sz w:val="22"/>
          <w:szCs w:val="22"/>
          <w:lang w:eastAsia="es-MX"/>
        </w:rPr>
        <w:t>mite de apostilla o legalización de los documentos expedidos en el exterior, conforme a lo señalado en la Circula Externa Única</w:t>
      </w:r>
      <w:r w:rsidR="008764D3" w:rsidRPr="009D0E93">
        <w:rPr>
          <w:rFonts w:ascii="Arial" w:hAnsi="Arial" w:cs="Arial"/>
          <w:color w:val="000000" w:themeColor="text1"/>
          <w:sz w:val="22"/>
          <w:szCs w:val="22"/>
          <w:lang w:eastAsia="es-MX"/>
        </w:rPr>
        <w:t xml:space="preserve"> expedida por esta Agencia</w:t>
      </w:r>
      <w:r w:rsidR="009C6D47" w:rsidRPr="009D0E93">
        <w:rPr>
          <w:rStyle w:val="Refdenotaalpie"/>
          <w:rFonts w:ascii="Arial" w:hAnsi="Arial" w:cs="Arial"/>
          <w:color w:val="000000" w:themeColor="text1"/>
          <w:sz w:val="22"/>
          <w:szCs w:val="22"/>
          <w:lang w:eastAsia="es-MX"/>
        </w:rPr>
        <w:footnoteReference w:id="24"/>
      </w:r>
      <w:r w:rsidR="009C6D47" w:rsidRPr="009D0E93">
        <w:rPr>
          <w:rFonts w:ascii="Arial" w:hAnsi="Arial" w:cs="Arial"/>
          <w:color w:val="000000" w:themeColor="text1"/>
          <w:sz w:val="22"/>
          <w:szCs w:val="22"/>
          <w:lang w:eastAsia="es-MX"/>
        </w:rPr>
        <w:t xml:space="preserve">. </w:t>
      </w:r>
      <w:r w:rsidR="00754D35" w:rsidRPr="009D0E93">
        <w:rPr>
          <w:rFonts w:ascii="Arial" w:hAnsi="Arial" w:cs="Arial"/>
          <w:color w:val="000000" w:themeColor="text1"/>
          <w:sz w:val="22"/>
          <w:szCs w:val="22"/>
          <w:lang w:eastAsia="es-MX"/>
        </w:rPr>
        <w:t xml:space="preserve">Lo anterior, sin perjuicio de lo establecido en el Código de Comercio respecto de la obligación de establecer sucursal </w:t>
      </w:r>
      <w:r w:rsidR="007573E3" w:rsidRPr="009D0E93">
        <w:rPr>
          <w:rFonts w:ascii="Arial" w:hAnsi="Arial" w:cs="Arial"/>
          <w:color w:val="000000" w:themeColor="text1"/>
          <w:sz w:val="22"/>
          <w:szCs w:val="22"/>
          <w:lang w:eastAsia="es-MX"/>
        </w:rPr>
        <w:t xml:space="preserve">en Colombia </w:t>
      </w:r>
      <w:r w:rsidR="00754D35" w:rsidRPr="009D0E93">
        <w:rPr>
          <w:rFonts w:ascii="Arial" w:hAnsi="Arial" w:cs="Arial"/>
          <w:color w:val="000000" w:themeColor="text1"/>
          <w:sz w:val="22"/>
          <w:szCs w:val="22"/>
          <w:lang w:eastAsia="es-MX"/>
        </w:rPr>
        <w:t>para el ejercicio de ciertas actividades</w:t>
      </w:r>
      <w:r w:rsidR="008764D3" w:rsidRPr="009D0E93">
        <w:rPr>
          <w:rFonts w:ascii="Arial" w:hAnsi="Arial" w:cs="Arial"/>
          <w:color w:val="000000" w:themeColor="text1"/>
          <w:sz w:val="22"/>
          <w:szCs w:val="22"/>
          <w:lang w:eastAsia="es-MX"/>
        </w:rPr>
        <w:t>.</w:t>
      </w:r>
    </w:p>
    <w:p w14:paraId="2E7C140D" w14:textId="4C0221F3" w:rsidR="00D5566A" w:rsidRPr="009D0E93" w:rsidRDefault="00D5566A" w:rsidP="00304EE3">
      <w:pPr>
        <w:spacing w:before="120" w:after="120" w:line="276" w:lineRule="auto"/>
        <w:ind w:firstLine="709"/>
        <w:jc w:val="both"/>
        <w:rPr>
          <w:rFonts w:ascii="Arial" w:hAnsi="Arial" w:cs="Arial"/>
          <w:color w:val="000000" w:themeColor="text1"/>
          <w:sz w:val="22"/>
          <w:szCs w:val="22"/>
          <w:lang w:eastAsia="es-MX"/>
        </w:rPr>
      </w:pPr>
      <w:r w:rsidRPr="009D0E93">
        <w:rPr>
          <w:rFonts w:ascii="Arial" w:hAnsi="Arial" w:cs="Arial"/>
          <w:color w:val="000000" w:themeColor="text1"/>
          <w:sz w:val="22"/>
          <w:szCs w:val="22"/>
          <w:lang w:eastAsia="es-MX"/>
        </w:rPr>
        <w:t xml:space="preserve">En el mismo sentido, en el acápite V de la </w:t>
      </w:r>
      <w:bookmarkStart w:id="9" w:name="_Hlk110932669"/>
      <w:r w:rsidRPr="009D0E93">
        <w:rPr>
          <w:rFonts w:ascii="Arial" w:hAnsi="Arial" w:cs="Arial"/>
          <w:color w:val="000000" w:themeColor="text1"/>
          <w:sz w:val="22"/>
          <w:szCs w:val="22"/>
          <w:lang w:eastAsia="es-MX"/>
        </w:rPr>
        <w:t xml:space="preserve">Guía de Asuntos Corporativos en los Procesos de </w:t>
      </w:r>
      <w:bookmarkEnd w:id="9"/>
      <w:r w:rsidR="00DE7E4A" w:rsidRPr="009D0E93">
        <w:rPr>
          <w:rFonts w:ascii="Arial" w:hAnsi="Arial" w:cs="Arial"/>
          <w:color w:val="000000" w:themeColor="text1"/>
          <w:sz w:val="22"/>
          <w:szCs w:val="22"/>
          <w:lang w:eastAsia="es-MX"/>
        </w:rPr>
        <w:t>Contratación</w:t>
      </w:r>
      <w:r w:rsidRPr="009D0E93">
        <w:footnoteReference w:id="25"/>
      </w:r>
      <w:r w:rsidRPr="009D0E93">
        <w:rPr>
          <w:rFonts w:ascii="Arial" w:hAnsi="Arial" w:cs="Arial"/>
          <w:color w:val="000000" w:themeColor="text1"/>
          <w:sz w:val="22"/>
          <w:szCs w:val="22"/>
          <w:lang w:eastAsia="es-MX"/>
        </w:rPr>
        <w:t xml:space="preserve">, respecto a las sociedades extranjeras sin domicilio ni sucursal en el país, se </w:t>
      </w:r>
      <w:r w:rsidR="007573E3" w:rsidRPr="009D0E93">
        <w:rPr>
          <w:rFonts w:ascii="Arial" w:hAnsi="Arial" w:cs="Arial"/>
          <w:color w:val="000000" w:themeColor="text1"/>
          <w:sz w:val="22"/>
          <w:szCs w:val="22"/>
          <w:lang w:eastAsia="es-MX"/>
        </w:rPr>
        <w:t xml:space="preserve">reitera </w:t>
      </w:r>
      <w:r w:rsidRPr="009D0E93">
        <w:rPr>
          <w:rFonts w:ascii="Arial" w:hAnsi="Arial" w:cs="Arial"/>
          <w:color w:val="000000" w:themeColor="text1"/>
          <w:sz w:val="22"/>
          <w:szCs w:val="22"/>
          <w:lang w:eastAsia="es-MX"/>
        </w:rPr>
        <w:t>que no están obligadas a inscribirse en el RUP, pero s</w:t>
      </w:r>
      <w:r w:rsidR="007573E3" w:rsidRPr="009D0E93">
        <w:rPr>
          <w:rFonts w:ascii="Arial" w:hAnsi="Arial" w:cs="Arial"/>
          <w:color w:val="000000" w:themeColor="text1"/>
          <w:sz w:val="22"/>
          <w:szCs w:val="22"/>
          <w:lang w:eastAsia="es-MX"/>
        </w:rPr>
        <w:t>í</w:t>
      </w:r>
      <w:r w:rsidRPr="009D0E93">
        <w:rPr>
          <w:rFonts w:ascii="Arial" w:hAnsi="Arial" w:cs="Arial"/>
          <w:color w:val="000000" w:themeColor="text1"/>
          <w:sz w:val="22"/>
          <w:szCs w:val="22"/>
          <w:lang w:eastAsia="es-MX"/>
        </w:rPr>
        <w:t xml:space="preserve"> lo están a demostrar el cumplimiento de los requisitos habilitantes solicitados por las entidades estatales dentro de los </w:t>
      </w:r>
      <w:r w:rsidR="007573E3" w:rsidRPr="009D0E93">
        <w:rPr>
          <w:rFonts w:ascii="Arial" w:hAnsi="Arial" w:cs="Arial"/>
          <w:color w:val="000000" w:themeColor="text1"/>
          <w:sz w:val="22"/>
          <w:szCs w:val="22"/>
          <w:lang w:eastAsia="es-MX"/>
        </w:rPr>
        <w:t>procedimientos de selección</w:t>
      </w:r>
      <w:r w:rsidRPr="009D0E93">
        <w:rPr>
          <w:rFonts w:ascii="Arial" w:hAnsi="Arial" w:cs="Arial"/>
          <w:color w:val="000000" w:themeColor="text1"/>
          <w:sz w:val="22"/>
          <w:szCs w:val="22"/>
          <w:lang w:eastAsia="es-MX"/>
        </w:rPr>
        <w:t>, precisando adicionalmente lo siguiente:</w:t>
      </w:r>
      <w:r w:rsidR="007573E3" w:rsidRPr="009D0E93">
        <w:rPr>
          <w:rFonts w:ascii="Arial" w:hAnsi="Arial" w:cs="Arial"/>
          <w:color w:val="000000" w:themeColor="text1"/>
          <w:sz w:val="22"/>
          <w:szCs w:val="22"/>
          <w:lang w:eastAsia="es-MX"/>
        </w:rPr>
        <w:t xml:space="preserve"> «</w:t>
      </w:r>
      <w:r w:rsidRPr="009D0E93">
        <w:rPr>
          <w:rFonts w:ascii="Arial" w:hAnsi="Arial" w:cs="Arial"/>
          <w:color w:val="000000" w:themeColor="text1"/>
          <w:sz w:val="22"/>
          <w:szCs w:val="22"/>
          <w:lang w:eastAsia="es-MX"/>
        </w:rPr>
        <w:t xml:space="preserve">Para la </w:t>
      </w:r>
      <w:r w:rsidR="00DE7E4A" w:rsidRPr="009D0E93">
        <w:rPr>
          <w:rFonts w:ascii="Arial" w:hAnsi="Arial" w:cs="Arial"/>
          <w:color w:val="000000" w:themeColor="text1"/>
          <w:sz w:val="22"/>
          <w:szCs w:val="22"/>
          <w:lang w:eastAsia="es-MX"/>
        </w:rPr>
        <w:t>presentación</w:t>
      </w:r>
      <w:r w:rsidRPr="009D0E93">
        <w:rPr>
          <w:rFonts w:ascii="Arial" w:hAnsi="Arial" w:cs="Arial"/>
          <w:color w:val="000000" w:themeColor="text1"/>
          <w:sz w:val="22"/>
          <w:szCs w:val="22"/>
          <w:lang w:eastAsia="es-MX"/>
        </w:rPr>
        <w:t xml:space="preserve"> de la oferta no </w:t>
      </w:r>
      <w:r w:rsidR="00DE7E4A" w:rsidRPr="009D0E93">
        <w:rPr>
          <w:rFonts w:ascii="Arial" w:hAnsi="Arial" w:cs="Arial"/>
          <w:color w:val="000000" w:themeColor="text1"/>
          <w:sz w:val="22"/>
          <w:szCs w:val="22"/>
          <w:lang w:eastAsia="es-MX"/>
        </w:rPr>
        <w:t>será</w:t>
      </w:r>
      <w:r w:rsidRPr="009D0E93">
        <w:rPr>
          <w:rFonts w:ascii="Arial" w:hAnsi="Arial" w:cs="Arial"/>
          <w:color w:val="000000" w:themeColor="text1"/>
          <w:sz w:val="22"/>
          <w:szCs w:val="22"/>
          <w:lang w:eastAsia="es-MX"/>
        </w:rPr>
        <w:t xml:space="preserve"> necesario que se constituya una sucursal en Colombia pues esto solo es obligatorio si se resulta adjudicatario en Procesos de </w:t>
      </w:r>
      <w:r w:rsidR="00DE7E4A" w:rsidRPr="009D0E93">
        <w:rPr>
          <w:rFonts w:ascii="Arial" w:hAnsi="Arial" w:cs="Arial"/>
          <w:color w:val="000000" w:themeColor="text1"/>
          <w:sz w:val="22"/>
          <w:szCs w:val="22"/>
          <w:lang w:eastAsia="es-MX"/>
        </w:rPr>
        <w:t>Contratación</w:t>
      </w:r>
      <w:r w:rsidRPr="009D0E93">
        <w:rPr>
          <w:rFonts w:ascii="Arial" w:hAnsi="Arial" w:cs="Arial"/>
          <w:color w:val="000000" w:themeColor="text1"/>
          <w:sz w:val="22"/>
          <w:szCs w:val="22"/>
          <w:lang w:eastAsia="es-MX"/>
        </w:rPr>
        <w:t xml:space="preserve"> que tengan por objeto la </w:t>
      </w:r>
      <w:r w:rsidR="00DE7E4A" w:rsidRPr="009D0E93">
        <w:rPr>
          <w:rFonts w:ascii="Arial" w:hAnsi="Arial" w:cs="Arial"/>
          <w:color w:val="000000" w:themeColor="text1"/>
          <w:sz w:val="22"/>
          <w:szCs w:val="22"/>
          <w:lang w:eastAsia="es-MX"/>
        </w:rPr>
        <w:t>construcción</w:t>
      </w:r>
      <w:r w:rsidRPr="009D0E93">
        <w:rPr>
          <w:rFonts w:ascii="Arial" w:hAnsi="Arial" w:cs="Arial"/>
          <w:color w:val="000000" w:themeColor="text1"/>
          <w:sz w:val="22"/>
          <w:szCs w:val="22"/>
          <w:lang w:eastAsia="es-MX"/>
        </w:rPr>
        <w:t xml:space="preserve"> de obras o la </w:t>
      </w:r>
      <w:r w:rsidR="00DE7E4A" w:rsidRPr="009D0E93">
        <w:rPr>
          <w:rFonts w:ascii="Arial" w:hAnsi="Arial" w:cs="Arial"/>
          <w:color w:val="000000" w:themeColor="text1"/>
          <w:sz w:val="22"/>
          <w:szCs w:val="22"/>
          <w:lang w:eastAsia="es-MX"/>
        </w:rPr>
        <w:t>prestación</w:t>
      </w:r>
      <w:r w:rsidRPr="009D0E93">
        <w:rPr>
          <w:rFonts w:ascii="Arial" w:hAnsi="Arial" w:cs="Arial"/>
          <w:color w:val="000000" w:themeColor="text1"/>
          <w:sz w:val="22"/>
          <w:szCs w:val="22"/>
          <w:lang w:eastAsia="es-MX"/>
        </w:rPr>
        <w:t xml:space="preserve"> de servicios, pues en estos dos casos, se entiende que la persona </w:t>
      </w:r>
      <w:r w:rsidR="00DE7E4A" w:rsidRPr="009D0E93">
        <w:rPr>
          <w:rFonts w:ascii="Arial" w:hAnsi="Arial" w:cs="Arial"/>
          <w:color w:val="000000" w:themeColor="text1"/>
          <w:sz w:val="22"/>
          <w:szCs w:val="22"/>
          <w:lang w:eastAsia="es-MX"/>
        </w:rPr>
        <w:t>jurídica</w:t>
      </w:r>
      <w:r w:rsidRPr="009D0E93">
        <w:rPr>
          <w:rFonts w:ascii="Arial" w:hAnsi="Arial" w:cs="Arial"/>
          <w:color w:val="000000" w:themeColor="text1"/>
          <w:sz w:val="22"/>
          <w:szCs w:val="22"/>
          <w:lang w:eastAsia="es-MX"/>
        </w:rPr>
        <w:t xml:space="preserve"> extranjera está ejerciendo negocios permanentes en Colombia</w:t>
      </w:r>
      <w:r w:rsidR="007573E3" w:rsidRPr="009D0E93">
        <w:rPr>
          <w:rFonts w:ascii="Arial" w:hAnsi="Arial" w:cs="Arial"/>
          <w:color w:val="000000" w:themeColor="text1"/>
          <w:sz w:val="22"/>
          <w:szCs w:val="22"/>
          <w:lang w:eastAsia="es-MX"/>
        </w:rPr>
        <w:t>»</w:t>
      </w:r>
      <w:r w:rsidRPr="009D0E93">
        <w:rPr>
          <w:rFonts w:ascii="Arial" w:hAnsi="Arial" w:cs="Arial"/>
          <w:color w:val="000000" w:themeColor="text1"/>
          <w:sz w:val="22"/>
          <w:szCs w:val="22"/>
          <w:lang w:eastAsia="es-MX"/>
        </w:rPr>
        <w:t xml:space="preserve">. </w:t>
      </w:r>
    </w:p>
    <w:p w14:paraId="1D3ACF9E" w14:textId="7FE3478B" w:rsidR="00E85A99" w:rsidRPr="009D0E93" w:rsidRDefault="00D5566A" w:rsidP="00CA58B6">
      <w:pPr>
        <w:spacing w:line="276" w:lineRule="auto"/>
        <w:ind w:firstLine="709"/>
        <w:jc w:val="both"/>
        <w:rPr>
          <w:rFonts w:ascii="Arial" w:hAnsi="Arial" w:cs="Arial"/>
          <w:color w:val="000000" w:themeColor="text1"/>
          <w:sz w:val="22"/>
          <w:szCs w:val="22"/>
          <w:lang w:val="es-ES_tradnl" w:eastAsia="es-MX"/>
        </w:rPr>
      </w:pPr>
      <w:r w:rsidRPr="009D0E93">
        <w:rPr>
          <w:rFonts w:ascii="Arial" w:hAnsi="Arial" w:cs="Arial"/>
          <w:color w:val="000000" w:themeColor="text1"/>
          <w:sz w:val="22"/>
          <w:szCs w:val="22"/>
          <w:lang w:val="es-ES_tradnl" w:eastAsia="es-MX"/>
        </w:rPr>
        <w:t xml:space="preserve">Por su parte, en el </w:t>
      </w:r>
      <w:r w:rsidRPr="009D0E93">
        <w:rPr>
          <w:rFonts w:ascii="Arial" w:hAnsi="Arial" w:cs="Arial"/>
          <w:i/>
          <w:iCs/>
          <w:color w:val="000000" w:themeColor="text1"/>
          <w:sz w:val="22"/>
          <w:szCs w:val="22"/>
          <w:lang w:eastAsia="es-MX"/>
        </w:rPr>
        <w:t xml:space="preserve">Manual para determinar y verificar los requisitos habilitantes en los Procesos de </w:t>
      </w:r>
      <w:r w:rsidR="00954347" w:rsidRPr="009D0E93">
        <w:rPr>
          <w:rFonts w:ascii="Arial" w:hAnsi="Arial" w:cs="Arial"/>
          <w:i/>
          <w:iCs/>
          <w:color w:val="000000" w:themeColor="text1"/>
          <w:sz w:val="22"/>
          <w:szCs w:val="22"/>
          <w:lang w:eastAsia="es-MX"/>
        </w:rPr>
        <w:t>Contratación</w:t>
      </w:r>
      <w:r w:rsidRPr="009D0E93">
        <w:rPr>
          <w:rStyle w:val="Refdenotaalpie"/>
          <w:rFonts w:ascii="Arial" w:hAnsi="Arial" w:cs="Arial"/>
          <w:color w:val="000000" w:themeColor="text1"/>
          <w:sz w:val="22"/>
          <w:szCs w:val="22"/>
          <w:lang w:eastAsia="es-MX"/>
        </w:rPr>
        <w:footnoteReference w:id="26"/>
      </w:r>
      <w:r w:rsidRPr="009D0E93">
        <w:rPr>
          <w:rFonts w:ascii="Arial" w:hAnsi="Arial" w:cs="Arial"/>
          <w:color w:val="000000" w:themeColor="text1"/>
          <w:sz w:val="22"/>
          <w:szCs w:val="22"/>
          <w:lang w:val="es-ES_tradnl" w:eastAsia="es-MX"/>
        </w:rPr>
        <w:t xml:space="preserve">, expedido por la </w:t>
      </w:r>
      <w:r w:rsidRPr="009D0E93">
        <w:rPr>
          <w:rFonts w:ascii="Arial" w:eastAsia="Calibri" w:hAnsi="Arial" w:cs="Arial"/>
          <w:color w:val="000000" w:themeColor="text1"/>
          <w:sz w:val="22"/>
          <w:szCs w:val="22"/>
          <w:lang w:val="es-ES_tradnl"/>
        </w:rPr>
        <w:t>Agencia Nacional de Contratación Pública ― Colombia Compra Eficiente,</w:t>
      </w:r>
      <w:r w:rsidR="00E85A99" w:rsidRPr="009D0E93">
        <w:rPr>
          <w:rFonts w:ascii="Arial" w:eastAsia="Calibri" w:hAnsi="Arial" w:cs="Arial"/>
          <w:color w:val="000000" w:themeColor="text1"/>
          <w:sz w:val="22"/>
          <w:szCs w:val="22"/>
          <w:lang w:val="es-ES_tradnl"/>
        </w:rPr>
        <w:t xml:space="preserve"> se indica que </w:t>
      </w:r>
      <w:r w:rsidR="00E85A99" w:rsidRPr="009D0E93">
        <w:rPr>
          <w:rFonts w:ascii="Arial" w:hAnsi="Arial" w:cs="Arial"/>
          <w:color w:val="000000" w:themeColor="text1"/>
          <w:sz w:val="22"/>
          <w:szCs w:val="22"/>
          <w:lang w:val="es-ES_tradnl" w:eastAsia="es-MX"/>
        </w:rPr>
        <w:t>«</w:t>
      </w:r>
      <w:r w:rsidR="00E85A99" w:rsidRPr="009D0E93">
        <w:rPr>
          <w:rFonts w:ascii="Arial" w:eastAsia="Calibri" w:hAnsi="Arial" w:cs="Arial"/>
          <w:color w:val="000000" w:themeColor="text1"/>
          <w:sz w:val="22"/>
          <w:szCs w:val="22"/>
          <w:lang w:val="es-ES_tradnl"/>
        </w:rPr>
        <w:t>l</w:t>
      </w:r>
      <w:r w:rsidR="00E85A99" w:rsidRPr="009D0E93">
        <w:rPr>
          <w:rFonts w:ascii="Arial" w:hAnsi="Arial" w:cs="Arial"/>
          <w:sz w:val="22"/>
          <w:szCs w:val="22"/>
        </w:rPr>
        <w:t>os proveedores extranjeros no obligados a estar registrados en el RUP deben demostrar que cumplen con los requisitos habilitantes, bien sean oferentes individuales o integrantes de una unión temporal, consorcio o promesa de sociedad futura</w:t>
      </w:r>
      <w:r w:rsidR="00E85A99" w:rsidRPr="009D0E93">
        <w:rPr>
          <w:rFonts w:ascii="Arial" w:hAnsi="Arial" w:cs="Arial"/>
          <w:color w:val="000000" w:themeColor="text1"/>
          <w:sz w:val="22"/>
          <w:szCs w:val="22"/>
          <w:lang w:eastAsia="es-MX"/>
        </w:rPr>
        <w:t>»</w:t>
      </w:r>
      <w:r w:rsidR="00E85A99" w:rsidRPr="009D0E93">
        <w:rPr>
          <w:rFonts w:ascii="Arial" w:hAnsi="Arial" w:cs="Arial"/>
          <w:sz w:val="22"/>
          <w:szCs w:val="22"/>
        </w:rPr>
        <w:t>. Asimismo,</w:t>
      </w:r>
      <w:r w:rsidR="00E85A99" w:rsidRPr="009D0E93">
        <w:rPr>
          <w:rFonts w:ascii="Arial" w:eastAsia="Calibri" w:hAnsi="Arial" w:cs="Arial"/>
          <w:color w:val="000000" w:themeColor="text1"/>
          <w:sz w:val="22"/>
          <w:szCs w:val="22"/>
          <w:lang w:val="es-ES_tradnl"/>
        </w:rPr>
        <w:t xml:space="preserve"> se subraya la obligación de verificación directa de los requisitos habilitantes por parte de las entidades contratantes, y con el ánimo de facilitar dicho propósito, se sugiere la inclusión en el pliego de condiciones de modelos de certificados, suministra</w:t>
      </w:r>
      <w:r w:rsidR="007573E3" w:rsidRPr="009D0E93">
        <w:rPr>
          <w:rFonts w:ascii="Arial" w:eastAsia="Calibri" w:hAnsi="Arial" w:cs="Arial"/>
          <w:color w:val="000000" w:themeColor="text1"/>
          <w:sz w:val="22"/>
          <w:szCs w:val="22"/>
          <w:lang w:val="es-ES_tradnl"/>
        </w:rPr>
        <w:t>n</w:t>
      </w:r>
      <w:r w:rsidR="00E85A99" w:rsidRPr="009D0E93">
        <w:rPr>
          <w:rFonts w:ascii="Arial" w:eastAsia="Calibri" w:hAnsi="Arial" w:cs="Arial"/>
          <w:color w:val="000000" w:themeColor="text1"/>
          <w:sz w:val="22"/>
          <w:szCs w:val="22"/>
          <w:lang w:val="es-ES_tradnl"/>
        </w:rPr>
        <w:t>do adicionalmente un modelo anexo al Manual como sugerencia</w:t>
      </w:r>
      <w:r w:rsidR="000A795D" w:rsidRPr="009D0E93">
        <w:rPr>
          <w:rFonts w:ascii="Arial" w:eastAsia="Calibri" w:hAnsi="Arial" w:cs="Arial"/>
          <w:color w:val="000000" w:themeColor="text1"/>
          <w:sz w:val="22"/>
          <w:szCs w:val="22"/>
          <w:lang w:val="es-ES_tradnl"/>
        </w:rPr>
        <w:t>.</w:t>
      </w:r>
      <w:r w:rsidR="00E85A99" w:rsidRPr="009D0E93">
        <w:t xml:space="preserve"> </w:t>
      </w:r>
    </w:p>
    <w:p w14:paraId="1DD9C3FE" w14:textId="291284DA" w:rsidR="0001525F" w:rsidRPr="009D0E93" w:rsidRDefault="0001525F" w:rsidP="00CA58B6">
      <w:pPr>
        <w:spacing w:before="120" w:line="276" w:lineRule="auto"/>
        <w:ind w:firstLine="709"/>
        <w:jc w:val="both"/>
        <w:rPr>
          <w:rFonts w:ascii="Arial" w:hAnsi="Arial" w:cs="Arial"/>
          <w:color w:val="000000" w:themeColor="text1"/>
          <w:sz w:val="22"/>
        </w:rPr>
      </w:pPr>
      <w:r w:rsidRPr="009D0E93">
        <w:rPr>
          <w:rFonts w:ascii="Arial" w:hAnsi="Arial" w:cs="Arial"/>
          <w:color w:val="000000" w:themeColor="text1"/>
          <w:sz w:val="22"/>
        </w:rPr>
        <w:t>Como se advierte</w:t>
      </w:r>
      <w:r w:rsidR="00E85A99" w:rsidRPr="009D0E93">
        <w:rPr>
          <w:rFonts w:ascii="Arial" w:hAnsi="Arial" w:cs="Arial"/>
          <w:color w:val="000000" w:themeColor="text1"/>
          <w:sz w:val="22"/>
        </w:rPr>
        <w:t xml:space="preserve">, </w:t>
      </w:r>
      <w:r w:rsidRPr="009D0E93">
        <w:rPr>
          <w:rFonts w:ascii="Arial" w:hAnsi="Arial" w:cs="Arial"/>
          <w:color w:val="000000" w:themeColor="text1"/>
          <w:sz w:val="22"/>
        </w:rPr>
        <w:t xml:space="preserve">en relación con los proveedores extranjeros sin domicilio o sucursal en Colombia </w:t>
      </w:r>
      <w:r w:rsidR="00D5566A" w:rsidRPr="009D0E93">
        <w:rPr>
          <w:rFonts w:ascii="Arial" w:hAnsi="Arial" w:cs="Arial"/>
          <w:color w:val="000000" w:themeColor="text1"/>
          <w:sz w:val="22"/>
        </w:rPr>
        <w:t>la entidad contratante tiene la carga de verificar, entre otros, el requisito de experiencia de los oferentes</w:t>
      </w:r>
      <w:r w:rsidR="000466A8" w:rsidRPr="009D0E93">
        <w:rPr>
          <w:rFonts w:ascii="Arial" w:hAnsi="Arial" w:cs="Arial"/>
          <w:color w:val="000000" w:themeColor="text1"/>
          <w:sz w:val="22"/>
        </w:rPr>
        <w:t xml:space="preserve">, </w:t>
      </w:r>
      <w:r w:rsidR="00D5566A" w:rsidRPr="009D0E93">
        <w:rPr>
          <w:rFonts w:ascii="Arial" w:hAnsi="Arial" w:cs="Arial"/>
          <w:color w:val="000000" w:themeColor="text1"/>
          <w:sz w:val="22"/>
        </w:rPr>
        <w:t>de conformidad con la</w:t>
      </w:r>
      <w:r w:rsidR="00091FB6" w:rsidRPr="009D0E93">
        <w:rPr>
          <w:rFonts w:ascii="Arial" w:hAnsi="Arial" w:cs="Arial"/>
          <w:color w:val="000000" w:themeColor="text1"/>
          <w:sz w:val="22"/>
        </w:rPr>
        <w:t>s</w:t>
      </w:r>
      <w:r w:rsidR="00D5566A" w:rsidRPr="009D0E93">
        <w:rPr>
          <w:rFonts w:ascii="Arial" w:hAnsi="Arial" w:cs="Arial"/>
          <w:color w:val="000000" w:themeColor="text1"/>
          <w:sz w:val="22"/>
        </w:rPr>
        <w:t xml:space="preserve"> regla</w:t>
      </w:r>
      <w:r w:rsidR="000466A8" w:rsidRPr="009D0E93">
        <w:rPr>
          <w:rFonts w:ascii="Arial" w:hAnsi="Arial" w:cs="Arial"/>
          <w:color w:val="000000" w:themeColor="text1"/>
          <w:sz w:val="22"/>
        </w:rPr>
        <w:t>s</w:t>
      </w:r>
      <w:r w:rsidR="00D5566A" w:rsidRPr="009D0E93">
        <w:rPr>
          <w:rFonts w:ascii="Arial" w:hAnsi="Arial" w:cs="Arial"/>
          <w:color w:val="000000" w:themeColor="text1"/>
          <w:sz w:val="22"/>
        </w:rPr>
        <w:t xml:space="preserve"> que haya establecido en los pliegos de condiciones.</w:t>
      </w:r>
      <w:r w:rsidR="0043090E" w:rsidRPr="009D0E93">
        <w:rPr>
          <w:rFonts w:ascii="Arial" w:hAnsi="Arial" w:cs="Arial"/>
          <w:color w:val="000000" w:themeColor="text1"/>
          <w:sz w:val="22"/>
        </w:rPr>
        <w:t xml:space="preserve"> </w:t>
      </w:r>
      <w:r w:rsidRPr="009D0E93">
        <w:rPr>
          <w:rFonts w:ascii="Arial" w:hAnsi="Arial" w:cs="Arial"/>
          <w:color w:val="000000" w:themeColor="text1"/>
          <w:sz w:val="22"/>
          <w:szCs w:val="22"/>
          <w:lang w:val="es-ES_tradnl" w:eastAsia="es-MX"/>
        </w:rPr>
        <w:t xml:space="preserve">En tal sentido, </w:t>
      </w:r>
      <w:r w:rsidR="00E151A1" w:rsidRPr="009D0E93">
        <w:rPr>
          <w:rFonts w:ascii="Arial" w:hAnsi="Arial" w:cs="Arial"/>
          <w:color w:val="000000" w:themeColor="text1"/>
          <w:sz w:val="22"/>
        </w:rPr>
        <w:t>las entidades estatales</w:t>
      </w:r>
      <w:r w:rsidR="001613E1" w:rsidRPr="009D0E93">
        <w:rPr>
          <w:rFonts w:ascii="Arial" w:hAnsi="Arial" w:cs="Arial"/>
          <w:color w:val="000000" w:themeColor="text1"/>
          <w:sz w:val="22"/>
        </w:rPr>
        <w:t xml:space="preserve"> </w:t>
      </w:r>
      <w:r w:rsidR="00D5566A" w:rsidRPr="009D0E93">
        <w:rPr>
          <w:rFonts w:ascii="Arial" w:hAnsi="Arial" w:cs="Arial"/>
          <w:color w:val="000000" w:themeColor="text1"/>
          <w:sz w:val="22"/>
        </w:rPr>
        <w:t>puede</w:t>
      </w:r>
      <w:r w:rsidR="00E151A1" w:rsidRPr="009D0E93">
        <w:rPr>
          <w:rFonts w:ascii="Arial" w:hAnsi="Arial" w:cs="Arial"/>
          <w:color w:val="000000" w:themeColor="text1"/>
          <w:sz w:val="22"/>
        </w:rPr>
        <w:t>n</w:t>
      </w:r>
      <w:r w:rsidR="00D5566A" w:rsidRPr="009D0E93">
        <w:rPr>
          <w:rFonts w:ascii="Arial" w:hAnsi="Arial" w:cs="Arial"/>
          <w:color w:val="000000" w:themeColor="text1"/>
          <w:sz w:val="22"/>
        </w:rPr>
        <w:t xml:space="preserve"> </w:t>
      </w:r>
      <w:r w:rsidR="00E151A1" w:rsidRPr="009D0E93">
        <w:rPr>
          <w:rFonts w:ascii="Arial" w:hAnsi="Arial" w:cs="Arial"/>
          <w:color w:val="000000" w:themeColor="text1"/>
          <w:sz w:val="22"/>
        </w:rPr>
        <w:t xml:space="preserve">determinar </w:t>
      </w:r>
      <w:r w:rsidR="00BB57BE" w:rsidRPr="009D0E93">
        <w:rPr>
          <w:rFonts w:ascii="Arial" w:hAnsi="Arial" w:cs="Arial"/>
          <w:color w:val="000000" w:themeColor="text1"/>
          <w:sz w:val="22"/>
        </w:rPr>
        <w:t xml:space="preserve">en los pliegos </w:t>
      </w:r>
      <w:r w:rsidR="000E7F56" w:rsidRPr="009D0E93">
        <w:rPr>
          <w:rFonts w:ascii="Arial" w:hAnsi="Arial" w:cs="Arial"/>
          <w:color w:val="000000" w:themeColor="text1"/>
          <w:sz w:val="22"/>
        </w:rPr>
        <w:t>la forma en la cual se</w:t>
      </w:r>
      <w:r w:rsidR="00E151A1" w:rsidRPr="009D0E93">
        <w:rPr>
          <w:rFonts w:ascii="Arial" w:hAnsi="Arial" w:cs="Arial"/>
          <w:color w:val="000000" w:themeColor="text1"/>
          <w:sz w:val="22"/>
        </w:rPr>
        <w:t xml:space="preserve"> </w:t>
      </w:r>
      <w:r w:rsidR="00D5566A" w:rsidRPr="009D0E93">
        <w:rPr>
          <w:rFonts w:ascii="Arial" w:hAnsi="Arial" w:cs="Arial"/>
          <w:color w:val="000000" w:themeColor="text1"/>
          <w:sz w:val="22"/>
        </w:rPr>
        <w:t>tendrá en cuenta</w:t>
      </w:r>
      <w:r w:rsidR="00E151A1" w:rsidRPr="009D0E93">
        <w:rPr>
          <w:rFonts w:ascii="Arial" w:hAnsi="Arial" w:cs="Arial"/>
          <w:color w:val="000000" w:themeColor="text1"/>
          <w:sz w:val="22"/>
        </w:rPr>
        <w:t xml:space="preserve"> para las sociedades </w:t>
      </w:r>
      <w:r w:rsidR="00E151A1" w:rsidRPr="009D0E93">
        <w:rPr>
          <w:rFonts w:ascii="Arial" w:hAnsi="Arial" w:cs="Arial"/>
          <w:color w:val="000000" w:themeColor="text1"/>
          <w:sz w:val="22"/>
        </w:rPr>
        <w:lastRenderedPageBreak/>
        <w:t>extranjeras sin sucursal en Colombia</w:t>
      </w:r>
      <w:r w:rsidR="00D5566A" w:rsidRPr="009D0E93">
        <w:rPr>
          <w:rFonts w:ascii="Arial" w:hAnsi="Arial" w:cs="Arial"/>
          <w:color w:val="000000" w:themeColor="text1"/>
          <w:sz w:val="22"/>
        </w:rPr>
        <w:t xml:space="preserve"> </w:t>
      </w:r>
      <w:r w:rsidR="00E151A1" w:rsidRPr="009D0E93">
        <w:rPr>
          <w:rFonts w:ascii="Arial" w:hAnsi="Arial" w:cs="Arial"/>
          <w:color w:val="000000" w:themeColor="text1"/>
          <w:sz w:val="22"/>
        </w:rPr>
        <w:t xml:space="preserve">la </w:t>
      </w:r>
      <w:r w:rsidR="00F33D25" w:rsidRPr="009D0E93">
        <w:rPr>
          <w:rFonts w:ascii="Arial" w:hAnsi="Arial" w:cs="Arial"/>
          <w:color w:val="000000" w:themeColor="text1"/>
          <w:sz w:val="22"/>
        </w:rPr>
        <w:t xml:space="preserve">transferencia de </w:t>
      </w:r>
      <w:r w:rsidR="00D5566A" w:rsidRPr="009D0E93">
        <w:rPr>
          <w:rFonts w:ascii="Arial" w:hAnsi="Arial" w:cs="Arial"/>
          <w:color w:val="000000" w:themeColor="text1"/>
          <w:sz w:val="22"/>
        </w:rPr>
        <w:t xml:space="preserve">experiencia </w:t>
      </w:r>
      <w:r w:rsidR="00295DD0" w:rsidRPr="009D0E93">
        <w:rPr>
          <w:rFonts w:ascii="Arial" w:hAnsi="Arial" w:cs="Arial"/>
          <w:color w:val="000000" w:themeColor="text1"/>
          <w:sz w:val="22"/>
        </w:rPr>
        <w:t xml:space="preserve">en el marco de las </w:t>
      </w:r>
      <w:r w:rsidR="00F33D25" w:rsidRPr="009D0E93">
        <w:rPr>
          <w:rFonts w:ascii="Arial" w:hAnsi="Arial" w:cs="Arial"/>
          <w:color w:val="000000" w:themeColor="text1"/>
          <w:sz w:val="22"/>
        </w:rPr>
        <w:t xml:space="preserve">figuras y </w:t>
      </w:r>
      <w:r w:rsidR="00295DD0" w:rsidRPr="009D0E93">
        <w:rPr>
          <w:rFonts w:ascii="Arial" w:hAnsi="Arial" w:cs="Arial"/>
          <w:color w:val="000000" w:themeColor="text1"/>
          <w:sz w:val="22"/>
        </w:rPr>
        <w:t>reformas estatutarias expuestas</w:t>
      </w:r>
      <w:r w:rsidR="00896BF0" w:rsidRPr="009D0E93">
        <w:rPr>
          <w:rFonts w:ascii="Arial" w:hAnsi="Arial" w:cs="Arial"/>
          <w:color w:val="000000" w:themeColor="text1"/>
          <w:sz w:val="22"/>
        </w:rPr>
        <w:t xml:space="preserve"> en el numeral 2.2</w:t>
      </w:r>
      <w:r w:rsidRPr="009D0E93">
        <w:rPr>
          <w:rFonts w:ascii="Arial" w:hAnsi="Arial" w:cs="Arial"/>
          <w:color w:val="000000" w:themeColor="text1"/>
          <w:sz w:val="22"/>
        </w:rPr>
        <w:t xml:space="preserve"> </w:t>
      </w:r>
      <w:r w:rsidR="00896BF0" w:rsidRPr="009D0E93">
        <w:rPr>
          <w:rFonts w:ascii="Arial" w:hAnsi="Arial" w:cs="Arial"/>
          <w:color w:val="000000" w:themeColor="text1"/>
          <w:sz w:val="22"/>
        </w:rPr>
        <w:t>de este concepto</w:t>
      </w:r>
      <w:r w:rsidR="000E7F56" w:rsidRPr="009D0E93">
        <w:rPr>
          <w:rFonts w:ascii="Arial" w:hAnsi="Arial" w:cs="Arial"/>
          <w:color w:val="000000" w:themeColor="text1"/>
          <w:sz w:val="22"/>
        </w:rPr>
        <w:t xml:space="preserve">. </w:t>
      </w:r>
    </w:p>
    <w:p w14:paraId="46649227" w14:textId="65226A1D" w:rsidR="00D5566A" w:rsidRPr="009D0E93" w:rsidRDefault="00295DD0" w:rsidP="00CA58B6">
      <w:pPr>
        <w:spacing w:before="120" w:line="276" w:lineRule="auto"/>
        <w:ind w:firstLine="709"/>
        <w:jc w:val="both"/>
        <w:rPr>
          <w:rFonts w:ascii="Arial" w:hAnsi="Arial" w:cs="Arial"/>
          <w:color w:val="000000" w:themeColor="text1"/>
          <w:sz w:val="22"/>
        </w:rPr>
      </w:pPr>
      <w:r w:rsidRPr="009D0E93">
        <w:rPr>
          <w:rFonts w:ascii="Arial" w:hAnsi="Arial" w:cs="Arial"/>
          <w:color w:val="000000" w:themeColor="text1"/>
          <w:sz w:val="22"/>
        </w:rPr>
        <w:t xml:space="preserve">Al respecto, </w:t>
      </w:r>
      <w:r w:rsidR="00E12938" w:rsidRPr="009D0E93">
        <w:rPr>
          <w:rFonts w:ascii="Arial" w:hAnsi="Arial" w:cs="Arial"/>
          <w:color w:val="000000" w:themeColor="text1"/>
          <w:sz w:val="22"/>
        </w:rPr>
        <w:t xml:space="preserve">vale anotar que </w:t>
      </w:r>
      <w:r w:rsidR="00D5566A" w:rsidRPr="009D0E93">
        <w:rPr>
          <w:rFonts w:ascii="Arial" w:hAnsi="Arial" w:cs="Arial"/>
          <w:color w:val="000000" w:themeColor="text1"/>
          <w:sz w:val="22"/>
        </w:rPr>
        <w:t>a pesar de la discrecionalidad</w:t>
      </w:r>
      <w:r w:rsidR="00E151A1" w:rsidRPr="009D0E93">
        <w:rPr>
          <w:rFonts w:ascii="Arial" w:hAnsi="Arial" w:cs="Arial"/>
          <w:color w:val="000000" w:themeColor="text1"/>
          <w:sz w:val="22"/>
        </w:rPr>
        <w:t xml:space="preserve"> y autonomía que les asiste a las entidades estatales para la configuración del pliego de condiciones</w:t>
      </w:r>
      <w:r w:rsidR="00D5566A" w:rsidRPr="009D0E93">
        <w:rPr>
          <w:rFonts w:ascii="Arial" w:hAnsi="Arial" w:cs="Arial"/>
          <w:color w:val="000000" w:themeColor="text1"/>
          <w:sz w:val="22"/>
        </w:rPr>
        <w:t>,</w:t>
      </w:r>
      <w:r w:rsidRPr="009D0E93">
        <w:rPr>
          <w:rFonts w:ascii="Arial" w:eastAsia="Calibri" w:hAnsi="Arial" w:cs="Arial"/>
          <w:bCs/>
          <w:sz w:val="20"/>
          <w:szCs w:val="20"/>
          <w:lang w:val="es-MX"/>
        </w:rPr>
        <w:t xml:space="preserve"> </w:t>
      </w:r>
      <w:r w:rsidRPr="009D0E93">
        <w:rPr>
          <w:rFonts w:ascii="Arial" w:hAnsi="Arial" w:cs="Arial"/>
          <w:bCs/>
          <w:color w:val="000000" w:themeColor="text1"/>
          <w:sz w:val="22"/>
          <w:lang w:val="es-MX"/>
        </w:rPr>
        <w:t>lo expuesto sobre las figuras y reformas estatutarias de las sociedades comerciales</w:t>
      </w:r>
      <w:r w:rsidR="00F33D25" w:rsidRPr="009D0E93">
        <w:rPr>
          <w:rFonts w:ascii="Arial" w:hAnsi="Arial" w:cs="Arial"/>
          <w:bCs/>
          <w:color w:val="000000" w:themeColor="text1"/>
          <w:sz w:val="22"/>
          <w:lang w:val="es-MX"/>
        </w:rPr>
        <w:t xml:space="preserve"> que están obligadas a tener RUP,</w:t>
      </w:r>
      <w:r w:rsidRPr="009D0E93">
        <w:rPr>
          <w:rFonts w:ascii="Arial" w:hAnsi="Arial" w:cs="Arial"/>
          <w:bCs/>
          <w:color w:val="000000" w:themeColor="text1"/>
          <w:sz w:val="22"/>
          <w:lang w:val="es-MX"/>
        </w:rPr>
        <w:t xml:space="preserve"> puede hacerse extensiva a las personas que no estén obligadas a estar inscrita en e</w:t>
      </w:r>
      <w:r w:rsidR="00F33D25" w:rsidRPr="009D0E93">
        <w:rPr>
          <w:rFonts w:ascii="Arial" w:hAnsi="Arial" w:cs="Arial"/>
          <w:bCs/>
          <w:color w:val="000000" w:themeColor="text1"/>
          <w:sz w:val="22"/>
          <w:lang w:val="es-MX"/>
        </w:rPr>
        <w:t>ste</w:t>
      </w:r>
      <w:r w:rsidRPr="009D0E93">
        <w:rPr>
          <w:rFonts w:ascii="Arial" w:hAnsi="Arial" w:cs="Arial"/>
          <w:bCs/>
          <w:color w:val="000000" w:themeColor="text1"/>
          <w:sz w:val="22"/>
          <w:lang w:val="es-MX"/>
        </w:rPr>
        <w:t xml:space="preserve">, como los proponentes extranjeros sin sucursal en Colombia. </w:t>
      </w:r>
      <w:r w:rsidR="00D5566A" w:rsidRPr="009D0E93">
        <w:rPr>
          <w:rFonts w:ascii="Arial" w:hAnsi="Arial" w:cs="Arial"/>
          <w:color w:val="000000" w:themeColor="text1"/>
          <w:sz w:val="22"/>
        </w:rPr>
        <w:t xml:space="preserve"> </w:t>
      </w:r>
    </w:p>
    <w:p w14:paraId="1B47CE71" w14:textId="77777777" w:rsidR="00D5566A" w:rsidRPr="009D0E93" w:rsidRDefault="00D5566A" w:rsidP="00CA58B6">
      <w:pPr>
        <w:spacing w:before="120" w:line="276" w:lineRule="auto"/>
        <w:ind w:firstLine="708"/>
        <w:jc w:val="both"/>
        <w:rPr>
          <w:rFonts w:ascii="Arial" w:hAnsi="Arial" w:cs="Arial"/>
          <w:color w:val="000000" w:themeColor="text1"/>
          <w:sz w:val="22"/>
        </w:rPr>
      </w:pPr>
      <w:bookmarkStart w:id="10" w:name="_Hlk111020725"/>
      <w:r w:rsidRPr="009D0E93">
        <w:rPr>
          <w:rFonts w:ascii="Arial" w:hAnsi="Arial" w:cs="Arial"/>
          <w:color w:val="000000" w:themeColor="text1"/>
          <w:sz w:val="22"/>
        </w:rPr>
        <w:t xml:space="preserve">La anterior consideración tiene su principal sustento en el principio de igualdad de trato que orienta e irradia la actividad contractual del Estado. El principio de igualdad, consagrado en el artículo 13 de la Constitución Política, es un valor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 </w:t>
      </w:r>
    </w:p>
    <w:p w14:paraId="2CC78A96" w14:textId="0C6D6882" w:rsidR="00D5566A" w:rsidRPr="009D0E93" w:rsidRDefault="000466A8" w:rsidP="00CA58B6">
      <w:pPr>
        <w:spacing w:before="120" w:line="276" w:lineRule="auto"/>
        <w:ind w:firstLine="708"/>
        <w:jc w:val="both"/>
        <w:rPr>
          <w:rFonts w:ascii="Arial" w:hAnsi="Arial" w:cs="Arial"/>
          <w:color w:val="000000" w:themeColor="text1"/>
          <w:sz w:val="22"/>
        </w:rPr>
      </w:pPr>
      <w:r w:rsidRPr="009D0E93">
        <w:rPr>
          <w:rFonts w:ascii="Arial" w:hAnsi="Arial" w:cs="Arial"/>
          <w:color w:val="000000" w:themeColor="text1"/>
          <w:sz w:val="22"/>
        </w:rPr>
        <w:t>Además, a</w:t>
      </w:r>
      <w:r w:rsidR="00D5566A" w:rsidRPr="009D0E93">
        <w:rPr>
          <w:rFonts w:ascii="Arial" w:hAnsi="Arial" w:cs="Arial"/>
          <w:color w:val="000000" w:themeColor="text1"/>
          <w:sz w:val="22"/>
        </w:rPr>
        <w:t xml:space="preserve">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14:paraId="7E1C658B" w14:textId="77777777" w:rsidR="00D5566A" w:rsidRPr="009D0E93" w:rsidRDefault="00D5566A" w:rsidP="00CA58B6">
      <w:pPr>
        <w:spacing w:before="120" w:line="276" w:lineRule="auto"/>
        <w:ind w:firstLine="708"/>
        <w:jc w:val="both"/>
        <w:rPr>
          <w:rFonts w:ascii="Arial" w:hAnsi="Arial" w:cs="Arial"/>
          <w:color w:val="000000" w:themeColor="text1"/>
          <w:sz w:val="22"/>
        </w:rPr>
      </w:pPr>
      <w:r w:rsidRPr="009D0E93">
        <w:rPr>
          <w:rFonts w:ascii="Arial" w:hAnsi="Arial" w:cs="Arial"/>
          <w:color w:val="000000" w:themeColor="text1"/>
          <w:sz w:val="22"/>
        </w:rPr>
        <w:t>En el ámbito de la contratación pública, la igualdad se materializa en la similar consideración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Ello sin perjuicio de la aplicación de algunos criterios legales que establecen ciertos incentivos especiales</w:t>
      </w:r>
      <w:bookmarkEnd w:id="10"/>
      <w:r w:rsidRPr="009D0E93">
        <w:rPr>
          <w:rFonts w:ascii="Arial" w:hAnsi="Arial" w:cs="Arial"/>
          <w:color w:val="000000" w:themeColor="text1"/>
          <w:sz w:val="22"/>
        </w:rPr>
        <w:t>.</w:t>
      </w:r>
    </w:p>
    <w:p w14:paraId="22708986" w14:textId="77777777" w:rsidR="00D5566A" w:rsidRPr="009D0E93" w:rsidRDefault="00D5566A" w:rsidP="00CA58B6">
      <w:pPr>
        <w:spacing w:before="120" w:line="276" w:lineRule="auto"/>
        <w:ind w:firstLine="708"/>
        <w:jc w:val="both"/>
        <w:rPr>
          <w:rFonts w:ascii="Arial" w:hAnsi="Arial" w:cs="Arial"/>
          <w:color w:val="000000" w:themeColor="text1"/>
          <w:sz w:val="22"/>
        </w:rPr>
      </w:pPr>
      <w:r w:rsidRPr="009D0E93">
        <w:rPr>
          <w:rFonts w:ascii="Arial" w:hAnsi="Arial" w:cs="Arial"/>
          <w:color w:val="000000" w:themeColor="text1"/>
          <w:sz w:val="22"/>
        </w:rPr>
        <w:t xml:space="preserve">Es por ello que el Consejo de Estado explica que el principio de igualdad en la contratación pública materializa otros principios de similar importancia, como la selección objetiva y la transparencia. Al respecto, considera que: </w:t>
      </w:r>
    </w:p>
    <w:p w14:paraId="52588F41" w14:textId="77777777" w:rsidR="00D5566A" w:rsidRPr="009D0E93" w:rsidRDefault="00D5566A" w:rsidP="00D5566A">
      <w:pPr>
        <w:spacing w:line="276" w:lineRule="auto"/>
        <w:ind w:firstLine="708"/>
        <w:jc w:val="both"/>
        <w:rPr>
          <w:rFonts w:ascii="Arial" w:hAnsi="Arial" w:cs="Arial"/>
          <w:color w:val="000000" w:themeColor="text1"/>
          <w:sz w:val="22"/>
        </w:rPr>
      </w:pPr>
    </w:p>
    <w:p w14:paraId="2A7C8595" w14:textId="77777777" w:rsidR="00D5566A" w:rsidRPr="009D0E93" w:rsidRDefault="00D5566A" w:rsidP="00D5566A">
      <w:pPr>
        <w:ind w:left="709" w:right="709"/>
        <w:jc w:val="both"/>
        <w:rPr>
          <w:rFonts w:ascii="Arial" w:hAnsi="Arial" w:cs="Arial"/>
          <w:color w:val="000000" w:themeColor="text1"/>
          <w:sz w:val="21"/>
          <w:szCs w:val="21"/>
        </w:rPr>
      </w:pPr>
      <w:r w:rsidRPr="009D0E93">
        <w:rPr>
          <w:rFonts w:ascii="Arial" w:hAnsi="Arial" w:cs="Arial"/>
          <w:color w:val="000000" w:themeColor="text1"/>
          <w:sz w:val="21"/>
          <w:szCs w:val="21"/>
        </w:rPr>
        <w:t xml:space="preserve">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w:t>
      </w:r>
      <w:r w:rsidRPr="009D0E93">
        <w:rPr>
          <w:rFonts w:ascii="Arial" w:hAnsi="Arial" w:cs="Arial"/>
          <w:color w:val="000000" w:themeColor="text1"/>
          <w:sz w:val="21"/>
          <w:szCs w:val="21"/>
        </w:rPr>
        <w:lastRenderedPageBreak/>
        <w:t>que el pliego es fuente principal de los derechos y obligaciones de la administración y de los proponentes</w:t>
      </w:r>
      <w:r w:rsidRPr="009D0E93">
        <w:rPr>
          <w:rStyle w:val="Refdenotaalpie"/>
          <w:rFonts w:ascii="Arial" w:hAnsi="Arial" w:cs="Arial"/>
          <w:color w:val="000000" w:themeColor="text1"/>
          <w:sz w:val="21"/>
          <w:szCs w:val="21"/>
        </w:rPr>
        <w:footnoteReference w:id="27"/>
      </w:r>
      <w:r w:rsidRPr="009D0E93">
        <w:rPr>
          <w:rFonts w:ascii="Arial" w:hAnsi="Arial" w:cs="Arial"/>
          <w:color w:val="000000" w:themeColor="text1"/>
          <w:sz w:val="21"/>
          <w:szCs w:val="21"/>
        </w:rPr>
        <w:t>.</w:t>
      </w:r>
    </w:p>
    <w:p w14:paraId="061D7E39" w14:textId="77777777" w:rsidR="00D5566A" w:rsidRPr="009D0E93" w:rsidRDefault="00D5566A" w:rsidP="00D5566A">
      <w:pPr>
        <w:spacing w:line="276" w:lineRule="auto"/>
        <w:ind w:left="709" w:right="709"/>
        <w:jc w:val="both"/>
        <w:rPr>
          <w:rFonts w:ascii="Arial" w:hAnsi="Arial" w:cs="Arial"/>
          <w:color w:val="000000" w:themeColor="text1"/>
          <w:sz w:val="22"/>
        </w:rPr>
      </w:pPr>
    </w:p>
    <w:p w14:paraId="3480030F" w14:textId="6B6A3C77" w:rsidR="00D5566A" w:rsidRPr="009D0E93" w:rsidRDefault="00D5566A" w:rsidP="00121CAA">
      <w:pPr>
        <w:spacing w:line="276" w:lineRule="auto"/>
        <w:ind w:firstLine="709"/>
        <w:jc w:val="both"/>
        <w:rPr>
          <w:rFonts w:ascii="Arial" w:hAnsi="Arial" w:cs="Arial"/>
          <w:color w:val="000000" w:themeColor="text1"/>
          <w:sz w:val="22"/>
        </w:rPr>
      </w:pPr>
      <w:r w:rsidRPr="009D0E93">
        <w:rPr>
          <w:rFonts w:ascii="Arial" w:hAnsi="Arial" w:cs="Arial"/>
          <w:color w:val="000000" w:themeColor="text1"/>
          <w:sz w:val="22"/>
        </w:rPr>
        <w:t>Por lo tanto,</w:t>
      </w:r>
      <w:r w:rsidR="00121CAA" w:rsidRPr="009D0E93">
        <w:rPr>
          <w:rFonts w:ascii="Arial" w:hAnsi="Arial" w:cs="Arial"/>
          <w:color w:val="000000" w:themeColor="text1"/>
          <w:sz w:val="22"/>
        </w:rPr>
        <w:t xml:space="preserve"> así como las sociedades extranjeras con sucursal en Colombia</w:t>
      </w:r>
      <w:r w:rsidR="000466A8" w:rsidRPr="009D0E93">
        <w:rPr>
          <w:rFonts w:ascii="Arial" w:hAnsi="Arial" w:cs="Arial"/>
          <w:color w:val="000000" w:themeColor="text1"/>
          <w:sz w:val="22"/>
        </w:rPr>
        <w:t xml:space="preserve">, de acuerdo con lo </w:t>
      </w:r>
      <w:r w:rsidR="00A4707E" w:rsidRPr="009D0E93">
        <w:rPr>
          <w:rFonts w:ascii="Arial" w:hAnsi="Arial" w:cs="Arial"/>
          <w:color w:val="000000" w:themeColor="text1"/>
          <w:sz w:val="22"/>
        </w:rPr>
        <w:t>analizado en el numeral 2.2. de este concepto</w:t>
      </w:r>
      <w:r w:rsidR="00121CAA" w:rsidRPr="009D0E93">
        <w:rPr>
          <w:rFonts w:ascii="Arial" w:hAnsi="Arial" w:cs="Arial"/>
          <w:color w:val="000000" w:themeColor="text1"/>
          <w:sz w:val="22"/>
        </w:rPr>
        <w:t xml:space="preserve"> p</w:t>
      </w:r>
      <w:r w:rsidR="00A4707E" w:rsidRPr="009D0E93">
        <w:rPr>
          <w:rFonts w:ascii="Arial" w:hAnsi="Arial" w:cs="Arial"/>
          <w:color w:val="000000" w:themeColor="text1"/>
          <w:sz w:val="22"/>
        </w:rPr>
        <w:t>odrían</w:t>
      </w:r>
      <w:r w:rsidR="00121CAA" w:rsidRPr="009D0E93">
        <w:rPr>
          <w:rFonts w:ascii="Arial" w:hAnsi="Arial" w:cs="Arial"/>
          <w:color w:val="000000" w:themeColor="text1"/>
          <w:sz w:val="22"/>
        </w:rPr>
        <w:t xml:space="preserve"> registrar la experiencia en el RUP, entre esas, la experiencia trasferida como consecuencia de un proceso de transformación o fusión, </w:t>
      </w:r>
      <w:r w:rsidRPr="009D0E93">
        <w:rPr>
          <w:rFonts w:ascii="Arial" w:hAnsi="Arial" w:cs="Arial"/>
          <w:color w:val="000000" w:themeColor="text1"/>
          <w:sz w:val="22"/>
        </w:rPr>
        <w:t xml:space="preserve">no se observa ningún criterio de distinción que justifique que en un caso se les tenga en cuenta la experiencia </w:t>
      </w:r>
      <w:r w:rsidR="00121CAA" w:rsidRPr="009D0E93">
        <w:rPr>
          <w:rFonts w:ascii="Arial" w:hAnsi="Arial" w:cs="Arial"/>
          <w:color w:val="000000" w:themeColor="text1"/>
          <w:sz w:val="22"/>
        </w:rPr>
        <w:t xml:space="preserve">transferida a las sociedades extranjeras </w:t>
      </w:r>
      <w:r w:rsidRPr="009D0E93">
        <w:rPr>
          <w:rFonts w:ascii="Arial" w:hAnsi="Arial" w:cs="Arial"/>
          <w:color w:val="000000" w:themeColor="text1"/>
          <w:sz w:val="22"/>
        </w:rPr>
        <w:t>y en otros casos no</w:t>
      </w:r>
      <w:r w:rsidR="00121CAA" w:rsidRPr="009D0E93">
        <w:rPr>
          <w:rFonts w:ascii="Arial" w:hAnsi="Arial" w:cs="Arial"/>
          <w:color w:val="000000" w:themeColor="text1"/>
          <w:sz w:val="22"/>
        </w:rPr>
        <w:t>.</w:t>
      </w:r>
      <w:r w:rsidRPr="009D0E93">
        <w:rPr>
          <w:rFonts w:ascii="Arial" w:hAnsi="Arial" w:cs="Arial"/>
          <w:color w:val="000000" w:themeColor="text1"/>
          <w:sz w:val="22"/>
        </w:rPr>
        <w:t xml:space="preserve"> </w:t>
      </w:r>
    </w:p>
    <w:p w14:paraId="2E0232B0" w14:textId="4050139E" w:rsidR="00D5566A" w:rsidRPr="009D0E93" w:rsidRDefault="00D5566A" w:rsidP="00CA58B6">
      <w:pPr>
        <w:spacing w:before="120" w:line="276" w:lineRule="auto"/>
        <w:ind w:firstLine="708"/>
        <w:jc w:val="both"/>
        <w:rPr>
          <w:rFonts w:ascii="Arial" w:hAnsi="Arial" w:cs="Arial"/>
          <w:color w:val="000000" w:themeColor="text1"/>
          <w:sz w:val="22"/>
        </w:rPr>
      </w:pPr>
      <w:r w:rsidRPr="009D0E93">
        <w:rPr>
          <w:rFonts w:ascii="Arial" w:hAnsi="Arial" w:cs="Arial"/>
          <w:color w:val="000000" w:themeColor="text1"/>
          <w:sz w:val="22"/>
        </w:rPr>
        <w:t>La exposición de motivos del Proyecto de Ley que modificó la Ley 80 de 1993 expresa la necesidad de establecer excepciones a la regla general de la exigencia del Registro Único de Proponentes para las personas naturales o jurídicas que deseen participar en los procedimientos de contratación de las entidades estatales.</w:t>
      </w:r>
      <w:r w:rsidR="000A795D" w:rsidRPr="009D0E93">
        <w:rPr>
          <w:rFonts w:ascii="Arial" w:hAnsi="Arial" w:cs="Arial"/>
          <w:color w:val="000000" w:themeColor="text1"/>
          <w:sz w:val="22"/>
        </w:rPr>
        <w:t xml:space="preserve"> </w:t>
      </w:r>
      <w:r w:rsidR="00ED50E8" w:rsidRPr="009D0E93">
        <w:rPr>
          <w:rFonts w:ascii="Arial" w:hAnsi="Arial" w:cs="Arial"/>
          <w:color w:val="000000" w:themeColor="text1"/>
          <w:sz w:val="22"/>
        </w:rPr>
        <w:t>Además, e</w:t>
      </w:r>
      <w:r w:rsidRPr="009D0E93">
        <w:rPr>
          <w:rFonts w:ascii="Arial" w:hAnsi="Arial" w:cs="Arial"/>
          <w:color w:val="000000" w:themeColor="text1"/>
          <w:sz w:val="22"/>
        </w:rPr>
        <w:t>stablece que la Cámara de Comercio fungirá como verificadora de la información habilitante, sin perjuicio de que las entidades estatales verifiquen la información contenida en el RUP en relación con los requisitos solicitados en el pliego de condiciones</w:t>
      </w:r>
      <w:r w:rsidRPr="009D0E93">
        <w:rPr>
          <w:rStyle w:val="Refdenotaalpie"/>
          <w:rFonts w:ascii="Arial" w:hAnsi="Arial" w:cs="Arial"/>
          <w:color w:val="000000" w:themeColor="text1"/>
          <w:sz w:val="22"/>
        </w:rPr>
        <w:footnoteReference w:id="28"/>
      </w:r>
      <w:r w:rsidRPr="009D0E93">
        <w:rPr>
          <w:rFonts w:ascii="Arial" w:hAnsi="Arial" w:cs="Arial"/>
          <w:color w:val="000000" w:themeColor="text1"/>
          <w:sz w:val="22"/>
        </w:rPr>
        <w:t>.</w:t>
      </w:r>
    </w:p>
    <w:p w14:paraId="4498F4E8" w14:textId="4A992FCB" w:rsidR="0063530B" w:rsidRPr="009D0E93" w:rsidRDefault="00ED50E8" w:rsidP="00CA58B6">
      <w:pPr>
        <w:spacing w:before="120" w:line="276" w:lineRule="auto"/>
        <w:ind w:firstLine="708"/>
        <w:jc w:val="both"/>
        <w:rPr>
          <w:rFonts w:ascii="Arial" w:hAnsi="Arial" w:cs="Arial"/>
          <w:color w:val="000000" w:themeColor="text1"/>
          <w:sz w:val="22"/>
        </w:rPr>
      </w:pPr>
      <w:r w:rsidRPr="009D0E93">
        <w:rPr>
          <w:rFonts w:ascii="Arial" w:hAnsi="Arial" w:cs="Arial"/>
          <w:color w:val="000000" w:themeColor="text1"/>
          <w:sz w:val="22"/>
        </w:rPr>
        <w:t>Ahora bien, en los casos en que no es exigible el RUP</w:t>
      </w:r>
      <w:r w:rsidR="00D5566A" w:rsidRPr="009D0E93">
        <w:rPr>
          <w:rFonts w:ascii="Arial" w:hAnsi="Arial" w:cs="Arial"/>
          <w:color w:val="000000" w:themeColor="text1"/>
          <w:sz w:val="22"/>
        </w:rPr>
        <w:t xml:space="preserve">, como las entidades no pueden solicitar </w:t>
      </w:r>
      <w:r w:rsidRPr="009D0E93">
        <w:rPr>
          <w:rFonts w:ascii="Arial" w:hAnsi="Arial" w:cs="Arial"/>
          <w:color w:val="000000" w:themeColor="text1"/>
          <w:sz w:val="22"/>
        </w:rPr>
        <w:t>dicho registro</w:t>
      </w:r>
      <w:r w:rsidR="00D5566A" w:rsidRPr="009D0E93">
        <w:rPr>
          <w:rFonts w:ascii="Arial" w:hAnsi="Arial" w:cs="Arial"/>
          <w:color w:val="000000" w:themeColor="text1"/>
          <w:sz w:val="22"/>
        </w:rPr>
        <w:t xml:space="preserve"> y</w:t>
      </w:r>
      <w:r w:rsidRPr="009D0E93">
        <w:rPr>
          <w:rFonts w:ascii="Arial" w:hAnsi="Arial" w:cs="Arial"/>
          <w:color w:val="000000" w:themeColor="text1"/>
          <w:sz w:val="22"/>
        </w:rPr>
        <w:t>,</w:t>
      </w:r>
      <w:r w:rsidR="00D5566A" w:rsidRPr="009D0E93">
        <w:rPr>
          <w:rFonts w:ascii="Arial" w:hAnsi="Arial" w:cs="Arial"/>
          <w:color w:val="000000" w:themeColor="text1"/>
          <w:sz w:val="22"/>
        </w:rPr>
        <w:t xml:space="preserve"> por ende</w:t>
      </w:r>
      <w:r w:rsidRPr="009D0E93">
        <w:rPr>
          <w:rFonts w:ascii="Arial" w:hAnsi="Arial" w:cs="Arial"/>
          <w:color w:val="000000" w:themeColor="text1"/>
          <w:sz w:val="22"/>
        </w:rPr>
        <w:t>,</w:t>
      </w:r>
      <w:r w:rsidR="00D5566A" w:rsidRPr="009D0E93">
        <w:rPr>
          <w:rFonts w:ascii="Arial" w:hAnsi="Arial" w:cs="Arial"/>
          <w:color w:val="000000" w:themeColor="text1"/>
          <w:sz w:val="22"/>
        </w:rPr>
        <w:t xml:space="preserve"> no podrían verificar las condiciones de experiencia, capacidad financiera y de organización de los proponentes, deben recurrir a </w:t>
      </w:r>
      <w:r w:rsidR="00D5566A" w:rsidRPr="009D0E93">
        <w:rPr>
          <w:rFonts w:ascii="Arial" w:hAnsi="Arial" w:cs="Arial"/>
          <w:color w:val="000000" w:themeColor="text1"/>
          <w:sz w:val="22"/>
        </w:rPr>
        <w:lastRenderedPageBreak/>
        <w:t xml:space="preserve">otros medios de prueba que garanticen la selección objetiva, siempre que sean adecuados y proporcionales, para promover la libre participación de los oferentes. </w:t>
      </w:r>
    </w:p>
    <w:p w14:paraId="32C99F49" w14:textId="71CB4BC5" w:rsidR="00FB65E9" w:rsidRPr="009D0E93" w:rsidRDefault="00ED50E8" w:rsidP="00CA58B6">
      <w:pPr>
        <w:spacing w:before="120" w:line="276" w:lineRule="auto"/>
        <w:ind w:firstLine="708"/>
        <w:jc w:val="both"/>
        <w:rPr>
          <w:rFonts w:ascii="Arial" w:hAnsi="Arial" w:cs="Arial"/>
          <w:color w:val="000000" w:themeColor="text1"/>
          <w:sz w:val="22"/>
        </w:rPr>
      </w:pPr>
      <w:r w:rsidRPr="009D0E93">
        <w:rPr>
          <w:rFonts w:ascii="Arial" w:hAnsi="Arial" w:cs="Arial"/>
          <w:color w:val="000000" w:themeColor="text1"/>
          <w:sz w:val="22"/>
        </w:rPr>
        <w:t>En armonía con lo señalado anteriormente</w:t>
      </w:r>
      <w:r w:rsidR="00FB65E9" w:rsidRPr="009D0E93">
        <w:rPr>
          <w:rFonts w:ascii="Arial" w:hAnsi="Arial" w:cs="Arial"/>
          <w:color w:val="000000" w:themeColor="text1"/>
          <w:sz w:val="22"/>
        </w:rPr>
        <w:t>, l</w:t>
      </w:r>
      <w:r w:rsidR="00D5566A" w:rsidRPr="009D0E93">
        <w:rPr>
          <w:rFonts w:ascii="Arial" w:hAnsi="Arial" w:cs="Arial"/>
          <w:color w:val="000000" w:themeColor="text1"/>
          <w:sz w:val="22"/>
        </w:rPr>
        <w:t xml:space="preserve">a inscripción en el RUP no </w:t>
      </w:r>
      <w:r w:rsidR="00FB65E9" w:rsidRPr="009D0E93">
        <w:rPr>
          <w:rFonts w:ascii="Arial" w:hAnsi="Arial" w:cs="Arial"/>
          <w:color w:val="000000" w:themeColor="text1"/>
          <w:sz w:val="22"/>
        </w:rPr>
        <w:t xml:space="preserve">puede ser considerado </w:t>
      </w:r>
      <w:r w:rsidR="00D5566A" w:rsidRPr="009D0E93">
        <w:rPr>
          <w:rFonts w:ascii="Arial" w:hAnsi="Arial" w:cs="Arial"/>
          <w:color w:val="000000" w:themeColor="text1"/>
          <w:sz w:val="22"/>
        </w:rPr>
        <w:t>un criterio de diferenciación que pueda justificar un trato</w:t>
      </w:r>
      <w:r w:rsidR="00FB65E9" w:rsidRPr="009D0E93">
        <w:rPr>
          <w:rFonts w:ascii="Arial" w:hAnsi="Arial" w:cs="Arial"/>
          <w:color w:val="000000" w:themeColor="text1"/>
          <w:sz w:val="22"/>
        </w:rPr>
        <w:t xml:space="preserve"> </w:t>
      </w:r>
      <w:r w:rsidR="00F33D25" w:rsidRPr="009D0E93">
        <w:rPr>
          <w:rFonts w:ascii="Arial" w:hAnsi="Arial" w:cs="Arial"/>
          <w:color w:val="000000" w:themeColor="text1"/>
          <w:sz w:val="22"/>
        </w:rPr>
        <w:t>distinto a</w:t>
      </w:r>
      <w:r w:rsidR="00FB65E9" w:rsidRPr="009D0E93">
        <w:rPr>
          <w:rFonts w:ascii="Arial" w:hAnsi="Arial" w:cs="Arial"/>
          <w:color w:val="000000" w:themeColor="text1"/>
          <w:sz w:val="22"/>
        </w:rPr>
        <w:t xml:space="preserve"> los proveedores que no están obligados a tenerlo</w:t>
      </w:r>
      <w:r w:rsidR="00D5566A" w:rsidRPr="009D0E93">
        <w:rPr>
          <w:rFonts w:ascii="Arial" w:hAnsi="Arial" w:cs="Arial"/>
          <w:color w:val="000000" w:themeColor="text1"/>
          <w:sz w:val="22"/>
        </w:rPr>
        <w:t>, máxime cuando la falta de inscripción en el RUP, en los casos exceptuados, es una situación permitida por la propia ley</w:t>
      </w:r>
      <w:r w:rsidR="00BB57BE" w:rsidRPr="009D0E93">
        <w:rPr>
          <w:rFonts w:ascii="Arial" w:hAnsi="Arial" w:cs="Arial"/>
          <w:color w:val="000000" w:themeColor="text1"/>
          <w:sz w:val="22"/>
        </w:rPr>
        <w:t>.</w:t>
      </w:r>
      <w:r w:rsidR="00D5566A" w:rsidRPr="009D0E93">
        <w:rPr>
          <w:rFonts w:ascii="Arial" w:hAnsi="Arial" w:cs="Arial"/>
          <w:color w:val="000000" w:themeColor="text1"/>
          <w:sz w:val="22"/>
        </w:rPr>
        <w:t xml:space="preserve"> </w:t>
      </w:r>
    </w:p>
    <w:p w14:paraId="09135C9F" w14:textId="32353598" w:rsidR="00D5566A" w:rsidRPr="009D0E93" w:rsidRDefault="00FB65E9" w:rsidP="00CA58B6">
      <w:pPr>
        <w:spacing w:before="120" w:line="276" w:lineRule="auto"/>
        <w:ind w:firstLine="708"/>
        <w:jc w:val="both"/>
        <w:rPr>
          <w:rFonts w:ascii="Arial" w:hAnsi="Arial" w:cs="Arial"/>
          <w:sz w:val="22"/>
          <w:lang w:eastAsia="es-MX"/>
        </w:rPr>
      </w:pPr>
      <w:r w:rsidRPr="009D0E93">
        <w:rPr>
          <w:rFonts w:ascii="Arial" w:hAnsi="Arial" w:cs="Arial"/>
          <w:bCs/>
          <w:color w:val="000000" w:themeColor="text1"/>
          <w:sz w:val="22"/>
          <w:lang w:val="es-MX"/>
        </w:rPr>
        <w:t xml:space="preserve">En este sentido, </w:t>
      </w:r>
      <w:r w:rsidR="001613E1" w:rsidRPr="009D0E93">
        <w:rPr>
          <w:rFonts w:ascii="Arial" w:hAnsi="Arial" w:cs="Arial"/>
          <w:bCs/>
          <w:color w:val="000000" w:themeColor="text1"/>
          <w:sz w:val="22"/>
          <w:lang w:val="es-MX"/>
        </w:rPr>
        <w:t>debido a</w:t>
      </w:r>
      <w:r w:rsidRPr="009D0E93">
        <w:rPr>
          <w:rFonts w:ascii="Arial" w:hAnsi="Arial" w:cs="Arial"/>
          <w:bCs/>
          <w:color w:val="000000" w:themeColor="text1"/>
          <w:sz w:val="22"/>
          <w:lang w:val="es-MX"/>
        </w:rPr>
        <w:t xml:space="preserve"> que la experiencia puede ser transferida como consecuencia de la </w:t>
      </w:r>
      <w:r w:rsidR="007A1C87" w:rsidRPr="009D0E93">
        <w:rPr>
          <w:rFonts w:ascii="Arial" w:hAnsi="Arial" w:cs="Arial"/>
          <w:bCs/>
          <w:color w:val="000000" w:themeColor="text1"/>
          <w:sz w:val="22"/>
          <w:lang w:val="es-MX"/>
        </w:rPr>
        <w:t>figura</w:t>
      </w:r>
      <w:r w:rsidRPr="009D0E93">
        <w:rPr>
          <w:rFonts w:ascii="Arial" w:hAnsi="Arial" w:cs="Arial"/>
          <w:bCs/>
          <w:color w:val="000000" w:themeColor="text1"/>
          <w:sz w:val="22"/>
          <w:lang w:val="es-MX"/>
        </w:rPr>
        <w:t xml:space="preserve"> estatutaria de la </w:t>
      </w:r>
      <w:r w:rsidR="007103B3" w:rsidRPr="009D0E93">
        <w:rPr>
          <w:rFonts w:ascii="Arial" w:eastAsia="Calibri" w:hAnsi="Arial" w:cs="Arial"/>
          <w:bCs/>
          <w:sz w:val="21"/>
          <w:szCs w:val="21"/>
          <w:lang w:eastAsia="en-US"/>
        </w:rPr>
        <w:t>«</w:t>
      </w:r>
      <w:r w:rsidRPr="009D0E93">
        <w:rPr>
          <w:rFonts w:ascii="Arial" w:hAnsi="Arial" w:cs="Arial"/>
          <w:bCs/>
          <w:color w:val="000000" w:themeColor="text1"/>
          <w:sz w:val="22"/>
          <w:lang w:val="es-MX"/>
        </w:rPr>
        <w:t>fusión</w:t>
      </w:r>
      <w:r w:rsidRPr="009D0E93">
        <w:rPr>
          <w:rFonts w:ascii="Arial" w:hAnsi="Arial" w:cs="Arial"/>
          <w:color w:val="000000" w:themeColor="text1"/>
          <w:sz w:val="22"/>
          <w:szCs w:val="22"/>
          <w:lang w:eastAsia="es-MX"/>
        </w:rPr>
        <w:t>»</w:t>
      </w:r>
      <w:r w:rsidRPr="009D0E93">
        <w:rPr>
          <w:rFonts w:ascii="Arial" w:hAnsi="Arial" w:cs="Arial"/>
          <w:bCs/>
          <w:color w:val="000000" w:themeColor="text1"/>
          <w:sz w:val="22"/>
          <w:lang w:val="es-MX"/>
        </w:rPr>
        <w:t xml:space="preserve"> de las sociedades comerciales</w:t>
      </w:r>
      <w:r w:rsidR="00FE20B7" w:rsidRPr="009D0E93">
        <w:rPr>
          <w:rFonts w:ascii="Arial" w:hAnsi="Arial" w:cs="Arial"/>
          <w:bCs/>
          <w:color w:val="000000" w:themeColor="text1"/>
          <w:sz w:val="22"/>
          <w:lang w:val="es-MX"/>
        </w:rPr>
        <w:t xml:space="preserve"> conforme se expuso en el numeral 2.2. de este concepto</w:t>
      </w:r>
      <w:r w:rsidRPr="009D0E93">
        <w:rPr>
          <w:rFonts w:ascii="Arial" w:hAnsi="Arial" w:cs="Arial"/>
          <w:bCs/>
          <w:color w:val="000000" w:themeColor="text1"/>
          <w:sz w:val="22"/>
          <w:lang w:val="es-MX"/>
        </w:rPr>
        <w:t xml:space="preserve">, también podrá ser válida esta transferencia cuando se realice </w:t>
      </w:r>
      <w:r w:rsidR="006C5D9B" w:rsidRPr="009D0E93">
        <w:rPr>
          <w:rFonts w:ascii="Arial" w:hAnsi="Arial" w:cs="Arial"/>
          <w:bCs/>
          <w:color w:val="000000" w:themeColor="text1"/>
          <w:sz w:val="22"/>
          <w:lang w:val="es-MX"/>
        </w:rPr>
        <w:t xml:space="preserve">por </w:t>
      </w:r>
      <w:r w:rsidRPr="009D0E93">
        <w:rPr>
          <w:rFonts w:ascii="Arial" w:hAnsi="Arial" w:cs="Arial"/>
          <w:bCs/>
          <w:color w:val="000000" w:themeColor="text1"/>
          <w:sz w:val="22"/>
          <w:lang w:val="es-MX"/>
        </w:rPr>
        <w:t>una sociedad extranjera</w:t>
      </w:r>
      <w:r w:rsidR="006C5D9B" w:rsidRPr="009D0E93">
        <w:rPr>
          <w:rFonts w:ascii="Arial" w:hAnsi="Arial" w:cs="Arial"/>
          <w:bCs/>
          <w:color w:val="000000" w:themeColor="text1"/>
          <w:sz w:val="22"/>
          <w:lang w:val="es-MX"/>
        </w:rPr>
        <w:t xml:space="preserve"> sin sucursal en Colombia</w:t>
      </w:r>
      <w:r w:rsidRPr="009D0E93">
        <w:rPr>
          <w:rFonts w:ascii="Arial" w:hAnsi="Arial" w:cs="Arial"/>
          <w:bCs/>
          <w:color w:val="000000" w:themeColor="text1"/>
          <w:sz w:val="22"/>
          <w:lang w:val="es-MX"/>
        </w:rPr>
        <w:t>. En este caso, la entidad, si así lo establece</w:t>
      </w:r>
      <w:r w:rsidR="000013DA" w:rsidRPr="009D0E93">
        <w:rPr>
          <w:rFonts w:ascii="Arial" w:hAnsi="Arial" w:cs="Arial"/>
          <w:bCs/>
          <w:color w:val="000000" w:themeColor="text1"/>
          <w:sz w:val="22"/>
          <w:lang w:val="es-MX"/>
        </w:rPr>
        <w:t xml:space="preserve"> en el pliego de condiciones</w:t>
      </w:r>
      <w:r w:rsidRPr="009D0E93">
        <w:rPr>
          <w:rFonts w:ascii="Arial" w:hAnsi="Arial" w:cs="Arial"/>
          <w:bCs/>
          <w:color w:val="000000" w:themeColor="text1"/>
          <w:sz w:val="22"/>
          <w:lang w:val="es-MX"/>
        </w:rPr>
        <w:t xml:space="preserve">, verificará directamente que la transferencia de la experiencia se enmarca en </w:t>
      </w:r>
      <w:r w:rsidR="007A1C87" w:rsidRPr="009D0E93">
        <w:rPr>
          <w:rFonts w:ascii="Arial" w:hAnsi="Arial" w:cs="Arial"/>
          <w:bCs/>
          <w:color w:val="000000" w:themeColor="text1"/>
          <w:sz w:val="22"/>
          <w:lang w:val="es-MX"/>
        </w:rPr>
        <w:t xml:space="preserve">el supuesto </w:t>
      </w:r>
      <w:r w:rsidR="007103B3" w:rsidRPr="009D0E93">
        <w:rPr>
          <w:rFonts w:ascii="Arial" w:hAnsi="Arial" w:cs="Arial"/>
          <w:bCs/>
          <w:color w:val="000000" w:themeColor="text1"/>
          <w:sz w:val="22"/>
          <w:lang w:val="es-MX"/>
        </w:rPr>
        <w:t>de</w:t>
      </w:r>
      <w:r w:rsidR="007A1C87" w:rsidRPr="009D0E93">
        <w:rPr>
          <w:rFonts w:ascii="Arial" w:hAnsi="Arial" w:cs="Arial"/>
          <w:bCs/>
          <w:color w:val="000000" w:themeColor="text1"/>
          <w:sz w:val="22"/>
          <w:lang w:val="es-MX"/>
        </w:rPr>
        <w:t xml:space="preserve"> la</w:t>
      </w:r>
      <w:r w:rsidR="00FE20B7" w:rsidRPr="009D0E93">
        <w:rPr>
          <w:rFonts w:ascii="Arial" w:hAnsi="Arial" w:cs="Arial"/>
          <w:bCs/>
          <w:color w:val="000000" w:themeColor="text1"/>
          <w:sz w:val="22"/>
          <w:lang w:val="es-MX"/>
        </w:rPr>
        <w:t xml:space="preserve"> </w:t>
      </w:r>
      <w:r w:rsidR="00FE20B7" w:rsidRPr="009D0E93">
        <w:rPr>
          <w:rFonts w:ascii="Arial" w:eastAsia="Calibri" w:hAnsi="Arial" w:cs="Arial"/>
          <w:bCs/>
          <w:sz w:val="21"/>
          <w:szCs w:val="21"/>
          <w:lang w:eastAsia="en-US"/>
        </w:rPr>
        <w:t>«</w:t>
      </w:r>
      <w:r w:rsidR="00FE20B7" w:rsidRPr="009D0E93">
        <w:rPr>
          <w:rFonts w:ascii="Arial" w:hAnsi="Arial" w:cs="Arial"/>
          <w:bCs/>
          <w:color w:val="000000" w:themeColor="text1"/>
          <w:sz w:val="22"/>
          <w:lang w:val="es-MX"/>
        </w:rPr>
        <w:t>fusión</w:t>
      </w:r>
      <w:r w:rsidR="00FE20B7" w:rsidRPr="009D0E93">
        <w:rPr>
          <w:rFonts w:ascii="Arial" w:hAnsi="Arial" w:cs="Arial"/>
          <w:color w:val="000000" w:themeColor="text1"/>
          <w:sz w:val="22"/>
          <w:szCs w:val="22"/>
          <w:lang w:eastAsia="es-MX"/>
        </w:rPr>
        <w:t>»</w:t>
      </w:r>
      <w:r w:rsidR="007103B3" w:rsidRPr="009D0E93">
        <w:rPr>
          <w:rFonts w:ascii="Arial" w:hAnsi="Arial" w:cs="Arial"/>
          <w:bCs/>
          <w:color w:val="000000" w:themeColor="text1"/>
          <w:sz w:val="22"/>
          <w:lang w:val="es-MX"/>
        </w:rPr>
        <w:t xml:space="preserve">, </w:t>
      </w:r>
      <w:r w:rsidRPr="009D0E93">
        <w:rPr>
          <w:rFonts w:ascii="Arial" w:hAnsi="Arial" w:cs="Arial"/>
          <w:bCs/>
          <w:color w:val="000000" w:themeColor="text1"/>
          <w:sz w:val="22"/>
          <w:lang w:val="es-MX"/>
        </w:rPr>
        <w:t xml:space="preserve">solicitando los documentos correspondientes que </w:t>
      </w:r>
      <w:r w:rsidR="00FE20B7" w:rsidRPr="009D0E93">
        <w:rPr>
          <w:rFonts w:ascii="Arial" w:hAnsi="Arial" w:cs="Arial"/>
          <w:bCs/>
          <w:color w:val="000000" w:themeColor="text1"/>
          <w:sz w:val="22"/>
          <w:lang w:val="es-MX"/>
        </w:rPr>
        <w:t xml:space="preserve">lo </w:t>
      </w:r>
      <w:r w:rsidRPr="009D0E93">
        <w:rPr>
          <w:rFonts w:ascii="Arial" w:hAnsi="Arial" w:cs="Arial"/>
          <w:bCs/>
          <w:color w:val="000000" w:themeColor="text1"/>
          <w:sz w:val="22"/>
          <w:lang w:val="es-MX"/>
        </w:rPr>
        <w:t>demuestren</w:t>
      </w:r>
      <w:r w:rsidR="00FE20B7" w:rsidRPr="009D0E93">
        <w:rPr>
          <w:rFonts w:ascii="Arial" w:hAnsi="Arial" w:cs="Arial"/>
          <w:bCs/>
          <w:color w:val="000000" w:themeColor="text1"/>
          <w:sz w:val="22"/>
          <w:lang w:val="es-MX"/>
        </w:rPr>
        <w:t xml:space="preserve">, </w:t>
      </w:r>
      <w:r w:rsidRPr="009D0E93">
        <w:rPr>
          <w:rFonts w:ascii="Arial" w:hAnsi="Arial" w:cs="Arial"/>
          <w:bCs/>
          <w:color w:val="000000" w:themeColor="text1"/>
          <w:sz w:val="22"/>
          <w:lang w:val="es-MX"/>
        </w:rPr>
        <w:t xml:space="preserve">de tal manera que se pueda identificar que </w:t>
      </w:r>
      <w:r w:rsidR="00023642" w:rsidRPr="009D0E93">
        <w:rPr>
          <w:rFonts w:ascii="Arial" w:hAnsi="Arial" w:cs="Arial"/>
          <w:bCs/>
          <w:color w:val="000000" w:themeColor="text1"/>
          <w:sz w:val="22"/>
          <w:lang w:val="es-MX"/>
        </w:rPr>
        <w:t>mediante esta</w:t>
      </w:r>
      <w:r w:rsidR="00FE20B7" w:rsidRPr="009D0E93">
        <w:rPr>
          <w:rFonts w:ascii="Arial" w:hAnsi="Arial" w:cs="Arial"/>
          <w:bCs/>
          <w:color w:val="000000" w:themeColor="text1"/>
          <w:sz w:val="22"/>
          <w:lang w:val="es-MX"/>
        </w:rPr>
        <w:t xml:space="preserve"> figura</w:t>
      </w:r>
      <w:r w:rsidR="007A1C87" w:rsidRPr="009D0E93">
        <w:rPr>
          <w:rFonts w:ascii="Arial" w:hAnsi="Arial" w:cs="Arial"/>
          <w:bCs/>
          <w:color w:val="000000" w:themeColor="text1"/>
          <w:sz w:val="22"/>
          <w:lang w:val="es-MX"/>
        </w:rPr>
        <w:t xml:space="preserve"> </w:t>
      </w:r>
      <w:r w:rsidR="00FE20B7" w:rsidRPr="009D0E93">
        <w:rPr>
          <w:rFonts w:ascii="Arial" w:hAnsi="Arial" w:cs="Arial"/>
          <w:bCs/>
          <w:color w:val="000000" w:themeColor="text1"/>
          <w:sz w:val="22"/>
          <w:lang w:val="es-MX"/>
        </w:rPr>
        <w:t>o</w:t>
      </w:r>
      <w:r w:rsidR="00023642" w:rsidRPr="009D0E93">
        <w:rPr>
          <w:rFonts w:ascii="Arial" w:hAnsi="Arial" w:cs="Arial"/>
          <w:bCs/>
          <w:color w:val="000000" w:themeColor="text1"/>
          <w:sz w:val="22"/>
          <w:lang w:val="es-MX"/>
        </w:rPr>
        <w:t xml:space="preserve"> reforma estatutaria </w:t>
      </w:r>
      <w:r w:rsidRPr="009D0E93">
        <w:rPr>
          <w:rFonts w:ascii="Arial" w:hAnsi="Arial" w:cs="Arial"/>
          <w:bCs/>
          <w:color w:val="000000" w:themeColor="text1"/>
          <w:sz w:val="22"/>
          <w:lang w:val="es-MX"/>
        </w:rPr>
        <w:t xml:space="preserve">la sociedad </w:t>
      </w:r>
      <w:r w:rsidRPr="009D0E93">
        <w:rPr>
          <w:rFonts w:ascii="Arial" w:hAnsi="Arial" w:cs="Arial"/>
          <w:bCs/>
          <w:color w:val="000000" w:themeColor="text1"/>
          <w:sz w:val="22"/>
        </w:rPr>
        <w:t xml:space="preserve">no desapareció </w:t>
      </w:r>
      <w:r w:rsidR="00FE20B7" w:rsidRPr="009D0E93">
        <w:rPr>
          <w:rFonts w:ascii="Arial" w:hAnsi="Arial" w:cs="Arial"/>
          <w:bCs/>
          <w:color w:val="000000" w:themeColor="text1"/>
          <w:sz w:val="22"/>
        </w:rPr>
        <w:t xml:space="preserve">sino que tuvo continuidad </w:t>
      </w:r>
      <w:r w:rsidRPr="009D0E93">
        <w:rPr>
          <w:rFonts w:ascii="Arial" w:hAnsi="Arial" w:cs="Arial"/>
          <w:bCs/>
          <w:color w:val="000000" w:themeColor="text1"/>
          <w:sz w:val="22"/>
        </w:rPr>
        <w:t>porque otra sociedad se convierte en ella o la absorbió. Por el contrario, si se trata del evento en que la sociedad recibe una parte del patrimonio de una sociedad que continúa existiendo o que se fraccionó en varias,</w:t>
      </w:r>
      <w:r w:rsidR="00FE20B7" w:rsidRPr="009D0E93">
        <w:rPr>
          <w:rFonts w:ascii="Arial" w:hAnsi="Arial" w:cs="Arial"/>
          <w:bCs/>
          <w:color w:val="000000" w:themeColor="text1"/>
          <w:sz w:val="22"/>
        </w:rPr>
        <w:t xml:space="preserve"> es decir</w:t>
      </w:r>
      <w:r w:rsidR="00ED50E8" w:rsidRPr="009D0E93">
        <w:rPr>
          <w:rFonts w:ascii="Arial" w:hAnsi="Arial" w:cs="Arial"/>
          <w:bCs/>
          <w:color w:val="000000" w:themeColor="text1"/>
          <w:sz w:val="22"/>
        </w:rPr>
        <w:t>,</w:t>
      </w:r>
      <w:r w:rsidR="00FE20B7" w:rsidRPr="009D0E93">
        <w:rPr>
          <w:rFonts w:ascii="Arial" w:hAnsi="Arial" w:cs="Arial"/>
          <w:bCs/>
          <w:color w:val="000000" w:themeColor="text1"/>
          <w:sz w:val="22"/>
        </w:rPr>
        <w:t xml:space="preserve"> que operó la figura de la escisión</w:t>
      </w:r>
      <w:r w:rsidR="00DD358C" w:rsidRPr="009D0E93">
        <w:rPr>
          <w:rFonts w:ascii="Arial" w:hAnsi="Arial" w:cs="Arial"/>
          <w:bCs/>
          <w:color w:val="000000" w:themeColor="text1"/>
          <w:sz w:val="22"/>
        </w:rPr>
        <w:t xml:space="preserve"> en cualquiera de las dos modalidades</w:t>
      </w:r>
      <w:r w:rsidR="00FE20B7" w:rsidRPr="009D0E93">
        <w:rPr>
          <w:rFonts w:ascii="Arial" w:hAnsi="Arial" w:cs="Arial"/>
          <w:bCs/>
          <w:color w:val="000000" w:themeColor="text1"/>
          <w:sz w:val="22"/>
        </w:rPr>
        <w:t>,</w:t>
      </w:r>
      <w:r w:rsidRPr="009D0E93">
        <w:rPr>
          <w:rFonts w:ascii="Arial" w:hAnsi="Arial" w:cs="Arial"/>
          <w:bCs/>
          <w:color w:val="000000" w:themeColor="text1"/>
          <w:sz w:val="22"/>
        </w:rPr>
        <w:t xml:space="preserve"> se considera que no hay transferencia de </w:t>
      </w:r>
      <w:r w:rsidR="00A25089" w:rsidRPr="009D0E93">
        <w:rPr>
          <w:rFonts w:ascii="Arial" w:hAnsi="Arial" w:cs="Arial"/>
          <w:bCs/>
          <w:color w:val="000000" w:themeColor="text1"/>
          <w:sz w:val="22"/>
        </w:rPr>
        <w:t xml:space="preserve">la </w:t>
      </w:r>
      <w:r w:rsidRPr="009D0E93">
        <w:rPr>
          <w:rFonts w:ascii="Arial" w:hAnsi="Arial" w:cs="Arial"/>
          <w:bCs/>
          <w:color w:val="000000" w:themeColor="text1"/>
          <w:sz w:val="22"/>
        </w:rPr>
        <w:t>experiencia</w:t>
      </w:r>
      <w:r w:rsidR="006C5D9B" w:rsidRPr="009D0E93">
        <w:rPr>
          <w:rFonts w:ascii="Arial" w:hAnsi="Arial" w:cs="Arial"/>
          <w:bCs/>
          <w:color w:val="000000" w:themeColor="text1"/>
          <w:sz w:val="22"/>
        </w:rPr>
        <w:t xml:space="preserve"> </w:t>
      </w:r>
      <w:r w:rsidRPr="009D0E93">
        <w:rPr>
          <w:rFonts w:ascii="Arial" w:hAnsi="Arial" w:cs="Arial"/>
          <w:bCs/>
          <w:color w:val="000000" w:themeColor="text1"/>
          <w:sz w:val="22"/>
        </w:rPr>
        <w:t xml:space="preserve">por lo expuesto anteriormente. </w:t>
      </w:r>
      <w:r w:rsidR="009822AB" w:rsidRPr="009D0E93">
        <w:rPr>
          <w:rFonts w:ascii="Arial" w:hAnsi="Arial" w:cs="Arial"/>
          <w:sz w:val="22"/>
          <w:lang w:eastAsia="es-MX"/>
        </w:rPr>
        <w:t xml:space="preserve">En todo caso, </w:t>
      </w:r>
      <w:r w:rsidR="009822AB" w:rsidRPr="009D0E93">
        <w:rPr>
          <w:rFonts w:ascii="Arial" w:hAnsi="Arial" w:cs="Arial"/>
          <w:bCs/>
          <w:sz w:val="22"/>
          <w:lang w:val="es-MX" w:eastAsia="es-MX"/>
        </w:rPr>
        <w:t xml:space="preserve">será la entidad la que determine, con base en su autonomía y discrecionalidad, la forma en la que se verificará </w:t>
      </w:r>
      <w:r w:rsidR="009822AB" w:rsidRPr="009D0E93">
        <w:rPr>
          <w:rFonts w:ascii="Arial" w:hAnsi="Arial" w:cs="Arial"/>
          <w:color w:val="000000" w:themeColor="text1"/>
          <w:sz w:val="22"/>
        </w:rPr>
        <w:t>la experiencia trasferida como consecuencia de un proceso de fusión</w:t>
      </w:r>
      <w:r w:rsidR="00757865" w:rsidRPr="009D0E93">
        <w:rPr>
          <w:rFonts w:ascii="Arial" w:hAnsi="Arial" w:cs="Arial"/>
          <w:sz w:val="22"/>
          <w:lang w:eastAsia="es-MX"/>
        </w:rPr>
        <w:t xml:space="preserve">. </w:t>
      </w:r>
    </w:p>
    <w:p w14:paraId="79B1E2E3" w14:textId="6E41743A" w:rsidR="00FC7A36" w:rsidRPr="009D0E93" w:rsidRDefault="00FC7A36" w:rsidP="00CA58B6">
      <w:pPr>
        <w:spacing w:before="120" w:line="276" w:lineRule="auto"/>
        <w:ind w:firstLine="709"/>
        <w:jc w:val="both"/>
        <w:rPr>
          <w:rFonts w:ascii="Arial" w:hAnsi="Arial" w:cs="Arial"/>
          <w:bCs/>
          <w:color w:val="000000"/>
          <w:sz w:val="22"/>
          <w:szCs w:val="22"/>
        </w:rPr>
      </w:pPr>
      <w:r w:rsidRPr="009D0E93">
        <w:rPr>
          <w:rFonts w:ascii="Arial" w:eastAsiaTheme="minorHAnsi" w:hAnsi="Arial" w:cs="Arial"/>
          <w:color w:val="000000" w:themeColor="text1"/>
          <w:sz w:val="22"/>
          <w:szCs w:val="22"/>
          <w:lang w:val="es-MX" w:eastAsia="en-US"/>
        </w:rPr>
        <w:t xml:space="preserve">En síntesis, las sociedades extranjeras con o sin sucursal en Colombia podrán transferir la experiencia que se realiza en el marco de </w:t>
      </w:r>
      <w:r w:rsidRPr="009D0E93">
        <w:rPr>
          <w:rFonts w:ascii="Arial" w:hAnsi="Arial" w:cs="Arial"/>
          <w:bCs/>
          <w:color w:val="000000"/>
          <w:sz w:val="22"/>
          <w:szCs w:val="22"/>
        </w:rPr>
        <w:t xml:space="preserve">la figura estatutaria de la </w:t>
      </w:r>
      <w:r w:rsidRPr="009D0E93">
        <w:rPr>
          <w:rFonts w:ascii="Arial" w:eastAsia="Calibri" w:hAnsi="Arial" w:cs="Arial"/>
          <w:bCs/>
          <w:sz w:val="21"/>
          <w:szCs w:val="21"/>
          <w:lang w:eastAsia="en-US"/>
        </w:rPr>
        <w:t>«</w:t>
      </w:r>
      <w:r w:rsidRPr="009D0E93">
        <w:rPr>
          <w:rFonts w:ascii="Arial" w:hAnsi="Arial" w:cs="Arial"/>
          <w:bCs/>
          <w:color w:val="000000" w:themeColor="text1"/>
          <w:sz w:val="22"/>
          <w:lang w:val="es-MX"/>
        </w:rPr>
        <w:t>fusión</w:t>
      </w:r>
      <w:r w:rsidRPr="009D0E93">
        <w:rPr>
          <w:rFonts w:ascii="Arial" w:hAnsi="Arial" w:cs="Arial"/>
          <w:color w:val="000000" w:themeColor="text1"/>
          <w:sz w:val="22"/>
          <w:szCs w:val="22"/>
          <w:lang w:eastAsia="es-MX"/>
        </w:rPr>
        <w:t>»</w:t>
      </w:r>
      <w:r w:rsidRPr="009D0E93">
        <w:rPr>
          <w:rFonts w:ascii="Arial" w:hAnsi="Arial" w:cs="Arial"/>
          <w:bCs/>
          <w:color w:val="000000" w:themeColor="text1"/>
          <w:sz w:val="22"/>
          <w:lang w:val="es-MX"/>
        </w:rPr>
        <w:t xml:space="preserve">, en la medida en que </w:t>
      </w:r>
      <w:r w:rsidRPr="009D0E93">
        <w:rPr>
          <w:rFonts w:ascii="Arial" w:hAnsi="Arial" w:cs="Arial"/>
          <w:bCs/>
          <w:color w:val="000000"/>
          <w:sz w:val="22"/>
          <w:szCs w:val="22"/>
        </w:rPr>
        <w:t xml:space="preserve">la persona jurídica continúa a través de otra que la absorbió. En el primer evento la verificación de la experiencia se realizará mediante el RUP, </w:t>
      </w:r>
      <w:r w:rsidR="00C35918" w:rsidRPr="009D0E93">
        <w:rPr>
          <w:rFonts w:ascii="Arial" w:hAnsi="Arial" w:cs="Arial"/>
          <w:bCs/>
          <w:color w:val="000000"/>
          <w:sz w:val="22"/>
          <w:szCs w:val="22"/>
        </w:rPr>
        <w:t xml:space="preserve">mientras que </w:t>
      </w:r>
      <w:r w:rsidRPr="009D0E93">
        <w:rPr>
          <w:rFonts w:ascii="Arial" w:hAnsi="Arial" w:cs="Arial"/>
          <w:bCs/>
          <w:color w:val="000000"/>
          <w:sz w:val="22"/>
          <w:szCs w:val="22"/>
        </w:rPr>
        <w:t xml:space="preserve">en el caso de las sociedades extranjeras sin sucursal en Colombia se verificará conforme lo dispuesto en el pliego de condiciones. No obstante, no se produce la transferencia de la experiencia en el caso de la </w:t>
      </w:r>
      <w:r w:rsidRPr="009D0E93">
        <w:rPr>
          <w:rFonts w:ascii="Arial" w:eastAsia="Calibri" w:hAnsi="Arial" w:cs="Arial"/>
          <w:bCs/>
          <w:sz w:val="21"/>
          <w:szCs w:val="21"/>
          <w:lang w:eastAsia="en-US"/>
        </w:rPr>
        <w:t>«</w:t>
      </w:r>
      <w:r w:rsidRPr="009D0E93">
        <w:rPr>
          <w:rFonts w:ascii="Arial" w:hAnsi="Arial" w:cs="Arial"/>
          <w:bCs/>
          <w:color w:val="000000"/>
          <w:sz w:val="22"/>
          <w:szCs w:val="22"/>
        </w:rPr>
        <w:t>escisión</w:t>
      </w:r>
      <w:r w:rsidRPr="009D0E93">
        <w:rPr>
          <w:rFonts w:ascii="Arial" w:hAnsi="Arial" w:cs="Arial"/>
          <w:color w:val="000000" w:themeColor="text1"/>
          <w:sz w:val="22"/>
          <w:szCs w:val="22"/>
          <w:lang w:eastAsia="es-MX"/>
        </w:rPr>
        <w:t>»</w:t>
      </w:r>
      <w:r w:rsidRPr="009D0E93">
        <w:rPr>
          <w:rFonts w:ascii="Arial" w:hAnsi="Arial" w:cs="Arial"/>
          <w:bCs/>
          <w:color w:val="000000"/>
          <w:sz w:val="22"/>
          <w:szCs w:val="22"/>
        </w:rPr>
        <w:t>, toda vez que la persona jurídica desaparece o existiendo</w:t>
      </w:r>
      <w:r w:rsidR="00757865" w:rsidRPr="009D0E93">
        <w:rPr>
          <w:rFonts w:ascii="Arial" w:hAnsi="Arial" w:cs="Arial"/>
          <w:bCs/>
          <w:color w:val="000000"/>
          <w:sz w:val="22"/>
          <w:szCs w:val="22"/>
        </w:rPr>
        <w:t>,</w:t>
      </w:r>
      <w:r w:rsidRPr="009D0E93">
        <w:rPr>
          <w:rFonts w:ascii="Arial" w:hAnsi="Arial" w:cs="Arial"/>
          <w:bCs/>
          <w:color w:val="000000"/>
          <w:sz w:val="22"/>
          <w:szCs w:val="22"/>
        </w:rPr>
        <w:t xml:space="preserve"> continúa con un patrimonio reducido quedando dividida en varias sociedades nuevas o existentes que reciben su patrimonio, sin que sea posible determinar cuál de todas las sociedades que recibieron parte del patrimonio de la sociedad escindida tiene la experiencia.</w:t>
      </w:r>
    </w:p>
    <w:p w14:paraId="1B8297F7" w14:textId="77777777" w:rsidR="00D03CC3" w:rsidRPr="009D0E93" w:rsidRDefault="00D03CC3" w:rsidP="00D03CC3">
      <w:pPr>
        <w:spacing w:line="276" w:lineRule="auto"/>
        <w:ind w:firstLine="709"/>
        <w:jc w:val="both"/>
        <w:rPr>
          <w:rFonts w:ascii="Arial" w:hAnsi="Arial" w:cs="Arial"/>
          <w:bCs/>
          <w:color w:val="000000"/>
          <w:sz w:val="22"/>
          <w:szCs w:val="22"/>
        </w:rPr>
      </w:pPr>
    </w:p>
    <w:p w14:paraId="37CA9805" w14:textId="7D32B119" w:rsidR="00DD5B04" w:rsidRPr="009D0E93" w:rsidRDefault="004177A6" w:rsidP="00510DE9">
      <w:pPr>
        <w:tabs>
          <w:tab w:val="left" w:pos="0"/>
        </w:tabs>
        <w:jc w:val="both"/>
        <w:rPr>
          <w:rFonts w:ascii="Arial" w:eastAsia="Calibri" w:hAnsi="Arial" w:cs="Arial"/>
          <w:b/>
          <w:color w:val="000000" w:themeColor="text1"/>
          <w:sz w:val="22"/>
          <w:lang w:val="es-ES_tradnl"/>
        </w:rPr>
      </w:pPr>
      <w:r w:rsidRPr="009D0E93">
        <w:rPr>
          <w:rFonts w:ascii="Arial" w:eastAsia="Calibri" w:hAnsi="Arial" w:cs="Arial"/>
          <w:b/>
          <w:color w:val="000000" w:themeColor="text1"/>
          <w:sz w:val="22"/>
          <w:lang w:val="es-ES_tradnl"/>
        </w:rPr>
        <w:t>3</w:t>
      </w:r>
      <w:r w:rsidR="00B011A9" w:rsidRPr="009D0E93">
        <w:rPr>
          <w:rFonts w:ascii="Arial" w:eastAsia="Calibri" w:hAnsi="Arial" w:cs="Arial"/>
          <w:b/>
          <w:color w:val="000000" w:themeColor="text1"/>
          <w:sz w:val="22"/>
          <w:lang w:val="es-ES_tradnl"/>
        </w:rPr>
        <w:t xml:space="preserve">. </w:t>
      </w:r>
      <w:r w:rsidR="00DD5B04" w:rsidRPr="009D0E93">
        <w:rPr>
          <w:rFonts w:ascii="Arial" w:eastAsia="Calibri" w:hAnsi="Arial" w:cs="Arial"/>
          <w:b/>
          <w:color w:val="000000" w:themeColor="text1"/>
          <w:sz w:val="22"/>
          <w:lang w:val="es-ES_tradnl"/>
        </w:rPr>
        <w:t>Respuesta</w:t>
      </w:r>
    </w:p>
    <w:p w14:paraId="49375CFA" w14:textId="77777777" w:rsidR="00D633AC" w:rsidRPr="009D0E93" w:rsidRDefault="00D633AC" w:rsidP="00B90E5C">
      <w:pPr>
        <w:spacing w:line="276" w:lineRule="auto"/>
        <w:jc w:val="both"/>
        <w:rPr>
          <w:rFonts w:ascii="Arial" w:hAnsi="Arial" w:cs="Arial"/>
          <w:color w:val="000000" w:themeColor="text1"/>
          <w:sz w:val="22"/>
          <w:lang w:val="es-ES_tradnl"/>
        </w:rPr>
      </w:pPr>
    </w:p>
    <w:p w14:paraId="23E0F6C4" w14:textId="77777777" w:rsidR="00C95351" w:rsidRPr="009D0E93" w:rsidRDefault="00C95351" w:rsidP="009903B1">
      <w:pPr>
        <w:ind w:left="709" w:right="474"/>
        <w:jc w:val="both"/>
        <w:rPr>
          <w:rFonts w:ascii="Arial" w:eastAsia="Calibri" w:hAnsi="Arial" w:cs="Arial"/>
          <w:color w:val="000000"/>
          <w:sz w:val="22"/>
          <w:szCs w:val="22"/>
          <w:lang w:val="es-ES_tradnl" w:eastAsia="en-US"/>
        </w:rPr>
      </w:pPr>
      <w:r w:rsidRPr="009D0E93">
        <w:rPr>
          <w:rFonts w:ascii="Arial" w:eastAsia="Calibri" w:hAnsi="Arial" w:cs="Arial"/>
          <w:bCs/>
          <w:sz w:val="22"/>
          <w:szCs w:val="22"/>
          <w:lang w:eastAsia="en-US"/>
        </w:rPr>
        <w:t xml:space="preserve">«si un proponente (sociedad extranjera) firma en su país de origen un contrato de compra de todos los activos de otra compañía, incluyendo la experiencia de </w:t>
      </w:r>
      <w:r w:rsidRPr="009D0E93">
        <w:rPr>
          <w:rFonts w:ascii="Arial" w:eastAsia="Calibri" w:hAnsi="Arial" w:cs="Arial"/>
          <w:bCs/>
          <w:sz w:val="22"/>
          <w:szCs w:val="22"/>
          <w:lang w:eastAsia="en-US"/>
        </w:rPr>
        <w:lastRenderedPageBreak/>
        <w:t>esta compañía. Ellos pueden utilizar en los procesos de contratación estatal en Colombia esa experiencia que era de la otra compañía que le vendió todos sus activos</w:t>
      </w:r>
      <w:r w:rsidRPr="009D0E93">
        <w:rPr>
          <w:rFonts w:ascii="Arial" w:eastAsia="Calibri" w:hAnsi="Arial" w:cs="Arial"/>
          <w:color w:val="000000"/>
          <w:sz w:val="22"/>
          <w:szCs w:val="22"/>
          <w:lang w:val="es-ES_tradnl" w:eastAsia="en-US"/>
        </w:rPr>
        <w:t>».</w:t>
      </w:r>
    </w:p>
    <w:p w14:paraId="1D307F56" w14:textId="6891C94D" w:rsidR="009903B1" w:rsidRPr="009D0E93" w:rsidRDefault="009903B1" w:rsidP="00C6624E">
      <w:pPr>
        <w:spacing w:line="276" w:lineRule="auto"/>
        <w:ind w:right="476"/>
        <w:jc w:val="both"/>
        <w:rPr>
          <w:rFonts w:ascii="Arial" w:eastAsia="Calibri" w:hAnsi="Arial" w:cs="Arial"/>
          <w:bCs/>
          <w:sz w:val="21"/>
          <w:szCs w:val="21"/>
          <w:lang w:val="es-ES_tradnl" w:eastAsia="en-US"/>
        </w:rPr>
      </w:pPr>
    </w:p>
    <w:p w14:paraId="3676CC40" w14:textId="2BC51D6C" w:rsidR="00C6624E" w:rsidRPr="009D0E93" w:rsidRDefault="00C6624E" w:rsidP="00C51C15">
      <w:pPr>
        <w:spacing w:line="276" w:lineRule="auto"/>
        <w:jc w:val="both"/>
        <w:rPr>
          <w:rFonts w:ascii="Arial" w:hAnsi="Arial" w:cs="Arial"/>
          <w:bCs/>
          <w:color w:val="000000"/>
          <w:sz w:val="22"/>
          <w:szCs w:val="22"/>
        </w:rPr>
      </w:pPr>
      <w:r w:rsidRPr="009D0E93">
        <w:rPr>
          <w:rFonts w:ascii="Arial" w:hAnsi="Arial" w:cs="Arial"/>
          <w:bCs/>
          <w:color w:val="000000"/>
          <w:sz w:val="22"/>
          <w:szCs w:val="22"/>
        </w:rPr>
        <w:t xml:space="preserve">Con fundamento en las consideraciones efectuadas, la Subdirección de Gestión Contractual responde su petición, reiterando </w:t>
      </w:r>
      <w:r w:rsidR="002C2120" w:rsidRPr="009D0E93">
        <w:rPr>
          <w:rFonts w:ascii="Arial" w:hAnsi="Arial" w:cs="Arial"/>
          <w:bCs/>
          <w:color w:val="000000"/>
          <w:sz w:val="22"/>
          <w:szCs w:val="22"/>
        </w:rPr>
        <w:t xml:space="preserve">su postura expuesta en reiteradas ocasiones, en el sentido de </w:t>
      </w:r>
      <w:r w:rsidRPr="009D0E93">
        <w:rPr>
          <w:rFonts w:ascii="Arial" w:hAnsi="Arial" w:cs="Arial"/>
          <w:bCs/>
          <w:color w:val="000000"/>
          <w:sz w:val="22"/>
          <w:szCs w:val="22"/>
        </w:rPr>
        <w:t xml:space="preserve">que si bien en principio la experiencia de las personas jurídicas es intransferible en la contratación estatal regulada por el Estatuto General de Contratación de la Administración Pública, dicha regla general tiene excepciones. Una de ellas se presenta en la </w:t>
      </w:r>
      <w:r w:rsidR="00E76B71" w:rsidRPr="009D0E93">
        <w:rPr>
          <w:rFonts w:ascii="Arial" w:hAnsi="Arial" w:cs="Arial"/>
          <w:bCs/>
          <w:color w:val="000000"/>
          <w:sz w:val="22"/>
          <w:szCs w:val="22"/>
        </w:rPr>
        <w:t>«</w:t>
      </w:r>
      <w:r w:rsidRPr="009D0E93">
        <w:rPr>
          <w:rFonts w:ascii="Arial" w:hAnsi="Arial" w:cs="Arial"/>
          <w:bCs/>
          <w:color w:val="000000"/>
          <w:sz w:val="22"/>
          <w:szCs w:val="22"/>
        </w:rPr>
        <w:t>fusión</w:t>
      </w:r>
      <w:r w:rsidR="00E76B71" w:rsidRPr="009D0E93">
        <w:rPr>
          <w:rFonts w:ascii="Arial" w:hAnsi="Arial" w:cs="Arial"/>
          <w:bCs/>
          <w:color w:val="000000"/>
          <w:sz w:val="22"/>
          <w:szCs w:val="22"/>
        </w:rPr>
        <w:t>»</w:t>
      </w:r>
      <w:r w:rsidRPr="009D0E93">
        <w:rPr>
          <w:rFonts w:ascii="Arial" w:hAnsi="Arial" w:cs="Arial"/>
          <w:bCs/>
          <w:color w:val="000000"/>
          <w:sz w:val="22"/>
          <w:szCs w:val="22"/>
        </w:rPr>
        <w:t>, pues, al disolverse la persona jurídica, sin liquidarse, puede transferirle la experiencia a la sociedad resultante.</w:t>
      </w:r>
      <w:r w:rsidR="00F805FF" w:rsidRPr="009D0E93">
        <w:rPr>
          <w:rFonts w:ascii="Arial" w:hAnsi="Arial" w:cs="Arial"/>
          <w:bCs/>
          <w:color w:val="000000"/>
          <w:sz w:val="22"/>
          <w:szCs w:val="22"/>
        </w:rPr>
        <w:t xml:space="preserve"> En efecto</w:t>
      </w:r>
      <w:r w:rsidRPr="009D0E93">
        <w:rPr>
          <w:rFonts w:ascii="Arial" w:hAnsi="Arial" w:cs="Arial"/>
          <w:bCs/>
          <w:color w:val="000000"/>
          <w:sz w:val="22"/>
          <w:szCs w:val="22"/>
        </w:rPr>
        <w:t xml:space="preserve">, </w:t>
      </w:r>
      <w:r w:rsidR="00634064" w:rsidRPr="009D0E93">
        <w:rPr>
          <w:rFonts w:ascii="Arial" w:hAnsi="Arial" w:cs="Arial"/>
          <w:bCs/>
          <w:color w:val="000000"/>
          <w:sz w:val="22"/>
          <w:szCs w:val="22"/>
        </w:rPr>
        <w:t xml:space="preserve">en la fusión por absorción </w:t>
      </w:r>
      <w:r w:rsidR="008549C7" w:rsidRPr="009D0E93">
        <w:rPr>
          <w:rFonts w:ascii="Arial" w:hAnsi="Arial" w:cs="Arial"/>
          <w:bCs/>
          <w:color w:val="000000"/>
          <w:sz w:val="22"/>
          <w:szCs w:val="22"/>
        </w:rPr>
        <w:t xml:space="preserve">y </w:t>
      </w:r>
      <w:r w:rsidR="00634064" w:rsidRPr="009D0E93">
        <w:rPr>
          <w:rFonts w:ascii="Arial" w:hAnsi="Arial" w:cs="Arial"/>
          <w:bCs/>
          <w:color w:val="000000"/>
          <w:sz w:val="22"/>
          <w:szCs w:val="22"/>
        </w:rPr>
        <w:t xml:space="preserve">en la </w:t>
      </w:r>
      <w:r w:rsidR="002C2120" w:rsidRPr="009D0E93">
        <w:rPr>
          <w:rFonts w:ascii="Arial" w:hAnsi="Arial" w:cs="Arial"/>
          <w:bCs/>
          <w:color w:val="000000"/>
          <w:sz w:val="22"/>
          <w:szCs w:val="22"/>
        </w:rPr>
        <w:t xml:space="preserve">que da lugar a la </w:t>
      </w:r>
      <w:r w:rsidR="00634064" w:rsidRPr="009D0E93">
        <w:rPr>
          <w:rFonts w:ascii="Arial" w:hAnsi="Arial" w:cs="Arial"/>
          <w:bCs/>
          <w:color w:val="000000"/>
          <w:sz w:val="22"/>
          <w:szCs w:val="22"/>
        </w:rPr>
        <w:t>creación de una nueva sociedad, la experiencia es transferible en la medida en que la sociedad se disuelve y no se liquida, es decir, no desaparece</w:t>
      </w:r>
      <w:r w:rsidR="002C2120" w:rsidRPr="009D0E93">
        <w:rPr>
          <w:rFonts w:ascii="Arial" w:hAnsi="Arial" w:cs="Arial"/>
          <w:bCs/>
          <w:color w:val="000000"/>
          <w:sz w:val="22"/>
          <w:szCs w:val="22"/>
        </w:rPr>
        <w:t>, sino que continúa a través de otra</w:t>
      </w:r>
      <w:r w:rsidR="00634064" w:rsidRPr="009D0E93">
        <w:rPr>
          <w:rFonts w:ascii="Arial" w:hAnsi="Arial" w:cs="Arial"/>
          <w:bCs/>
          <w:color w:val="000000"/>
          <w:sz w:val="22"/>
          <w:szCs w:val="22"/>
        </w:rPr>
        <w:t xml:space="preserve">. En este sentido, la trasferencia de la experiencia ocurre porque la persona jurídica continúa a través de otra, esto es, deja de ser </w:t>
      </w:r>
      <w:proofErr w:type="spellStart"/>
      <w:r w:rsidR="00634064" w:rsidRPr="009D0E93">
        <w:rPr>
          <w:rFonts w:ascii="Arial" w:hAnsi="Arial" w:cs="Arial"/>
          <w:bCs/>
          <w:color w:val="000000"/>
          <w:sz w:val="22"/>
          <w:szCs w:val="22"/>
        </w:rPr>
        <w:t>quien</w:t>
      </w:r>
      <w:r w:rsidR="002C2120" w:rsidRPr="009D0E93">
        <w:rPr>
          <w:rFonts w:ascii="Arial" w:hAnsi="Arial" w:cs="Arial"/>
          <w:bCs/>
          <w:color w:val="000000"/>
          <w:sz w:val="22"/>
          <w:szCs w:val="22"/>
        </w:rPr>
        <w:t xml:space="preserve"> </w:t>
      </w:r>
      <w:r w:rsidR="00634064" w:rsidRPr="009D0E93">
        <w:rPr>
          <w:rFonts w:ascii="Arial" w:hAnsi="Arial" w:cs="Arial"/>
          <w:bCs/>
          <w:color w:val="000000"/>
          <w:sz w:val="22"/>
          <w:szCs w:val="22"/>
        </w:rPr>
        <w:t>es</w:t>
      </w:r>
      <w:proofErr w:type="spellEnd"/>
      <w:r w:rsidR="00634064" w:rsidRPr="009D0E93">
        <w:rPr>
          <w:rFonts w:ascii="Arial" w:hAnsi="Arial" w:cs="Arial"/>
          <w:bCs/>
          <w:color w:val="000000"/>
          <w:sz w:val="22"/>
          <w:szCs w:val="22"/>
        </w:rPr>
        <w:t xml:space="preserve"> pero no desaparece porque otra sociedad se convierte en ella, ya sea una sociedad nueva cuando es fusión por creación, o una sociedad existente en la fusión por absorción. </w:t>
      </w:r>
    </w:p>
    <w:p w14:paraId="3BE47E9E" w14:textId="47EBA340" w:rsidR="009903B1" w:rsidRPr="009D0E93" w:rsidRDefault="004D7E63" w:rsidP="00D36CD9">
      <w:pPr>
        <w:spacing w:before="120" w:line="276" w:lineRule="auto"/>
        <w:ind w:firstLine="709"/>
        <w:jc w:val="both"/>
        <w:rPr>
          <w:rFonts w:ascii="Arial" w:eastAsia="Calibri" w:hAnsi="Arial" w:cs="Arial"/>
          <w:bCs/>
          <w:sz w:val="22"/>
          <w:szCs w:val="22"/>
          <w:lang w:eastAsia="en-US"/>
        </w:rPr>
      </w:pPr>
      <w:r w:rsidRPr="009D0E93">
        <w:rPr>
          <w:rFonts w:ascii="Arial" w:hAnsi="Arial" w:cs="Arial"/>
          <w:bCs/>
          <w:color w:val="000000"/>
          <w:sz w:val="22"/>
          <w:szCs w:val="22"/>
        </w:rPr>
        <w:t>Por su parte, en el caso de la figura de</w:t>
      </w:r>
      <w:r w:rsidR="00612C84" w:rsidRPr="009D0E93">
        <w:rPr>
          <w:rFonts w:ascii="Arial" w:hAnsi="Arial" w:cs="Arial"/>
          <w:bCs/>
          <w:color w:val="000000"/>
          <w:sz w:val="22"/>
          <w:szCs w:val="22"/>
        </w:rPr>
        <w:t xml:space="preserve"> la</w:t>
      </w:r>
      <w:r w:rsidRPr="009D0E93">
        <w:rPr>
          <w:rFonts w:ascii="Arial" w:hAnsi="Arial" w:cs="Arial"/>
          <w:bCs/>
          <w:color w:val="000000"/>
          <w:sz w:val="22"/>
          <w:szCs w:val="22"/>
        </w:rPr>
        <w:t xml:space="preserve"> «escisión» en que la sociedad no se «disuelve» ni se «liquida», es decir, permanece sin modificaciones ni reformas, pero fracciona su patrimonio para transferir una o varias partes, a una o varias sociedades existentes o por crearse, no se transfiere su experiencia. En este caso, la escisión se refiere al patrimonio de la sociedad sin incluir ningún otro aspecto, lo cual significa que la sociedad continúa con un patrimonio reducido debido al fraccionamiento, pero no existe ninguna otra implicación para la persona jurídica, como su desaparición por «disolverse» o «liquidarse». En ese sentido, se considera que las sociedades que reciben una parte del patrimonio de una sociedad que continúa existiendo, no reciben su experiencia, ya que no es posible que varias sociedades tengan la misma experiencia, duplicándola tantas veces se haya fraccionado el patrimonio, porque la experiencia pertenece a quien la adquirió ejecutando los contratos a su cargo</w:t>
      </w:r>
      <w:r w:rsidR="00E76B71" w:rsidRPr="009D0E93">
        <w:rPr>
          <w:rFonts w:ascii="Arial" w:hAnsi="Arial" w:cs="Arial"/>
          <w:bCs/>
          <w:color w:val="000000"/>
          <w:sz w:val="22"/>
          <w:szCs w:val="22"/>
        </w:rPr>
        <w:t xml:space="preserve">. </w:t>
      </w:r>
      <w:r w:rsidRPr="009D0E93">
        <w:rPr>
          <w:rFonts w:ascii="Arial" w:hAnsi="Arial" w:cs="Arial"/>
          <w:bCs/>
          <w:color w:val="000000"/>
          <w:sz w:val="22"/>
          <w:szCs w:val="22"/>
        </w:rPr>
        <w:t>En la segunda modalidad</w:t>
      </w:r>
      <w:r w:rsidR="00E76B71" w:rsidRPr="009D0E93">
        <w:rPr>
          <w:rFonts w:ascii="Arial" w:hAnsi="Arial" w:cs="Arial"/>
          <w:bCs/>
          <w:color w:val="000000"/>
          <w:sz w:val="22"/>
          <w:szCs w:val="22"/>
        </w:rPr>
        <w:t xml:space="preserve"> de la «escisión»</w:t>
      </w:r>
      <w:r w:rsidRPr="009D0E93">
        <w:rPr>
          <w:rFonts w:ascii="Arial" w:hAnsi="Arial" w:cs="Arial"/>
          <w:bCs/>
          <w:color w:val="000000"/>
          <w:sz w:val="22"/>
          <w:szCs w:val="22"/>
        </w:rPr>
        <w:t>, a pesar de que existe «disolución»</w:t>
      </w:r>
      <w:r w:rsidR="00E76B71" w:rsidRPr="009D0E93">
        <w:rPr>
          <w:rFonts w:ascii="Arial" w:hAnsi="Arial" w:cs="Arial"/>
          <w:bCs/>
          <w:color w:val="000000"/>
          <w:sz w:val="22"/>
          <w:szCs w:val="22"/>
        </w:rPr>
        <w:t>,</w:t>
      </w:r>
      <w:r w:rsidR="00D36CD9" w:rsidRPr="009D0E93">
        <w:rPr>
          <w:rFonts w:ascii="Arial" w:eastAsia="Calibri" w:hAnsi="Arial" w:cs="Arial"/>
          <w:bCs/>
          <w:sz w:val="22"/>
          <w:szCs w:val="22"/>
          <w:lang w:val="es-MX" w:eastAsia="en-US"/>
        </w:rPr>
        <w:t xml:space="preserve"> no hay transferencia de la experiencia, porque la persona jurídica fraccionada deja de ser quién es y tiende a desaparecer, es decir, no puede continuar en otra persona, lo cual no corresponde con la definición de experiencia personal ni de transferencia de experiencia. </w:t>
      </w:r>
      <w:r w:rsidR="00D36CD9" w:rsidRPr="009D0E93">
        <w:rPr>
          <w:rFonts w:ascii="Arial" w:eastAsia="Calibri" w:hAnsi="Arial" w:cs="Arial"/>
          <w:bCs/>
          <w:sz w:val="22"/>
          <w:szCs w:val="22"/>
          <w:lang w:eastAsia="en-US"/>
        </w:rPr>
        <w:t xml:space="preserve">En este evento, aunque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w:t>
      </w:r>
    </w:p>
    <w:p w14:paraId="1272FED4" w14:textId="440673BA" w:rsidR="003A2A63" w:rsidRPr="009D0E93" w:rsidRDefault="003A2A63" w:rsidP="00C51C15">
      <w:pPr>
        <w:spacing w:before="120" w:line="276" w:lineRule="auto"/>
        <w:ind w:firstLine="709"/>
        <w:jc w:val="both"/>
        <w:rPr>
          <w:rFonts w:ascii="Arial" w:hAnsi="Arial" w:cs="Arial"/>
          <w:bCs/>
          <w:color w:val="000000"/>
          <w:sz w:val="22"/>
          <w:szCs w:val="22"/>
        </w:rPr>
      </w:pPr>
      <w:r w:rsidRPr="009D0E93">
        <w:rPr>
          <w:rFonts w:ascii="Arial" w:hAnsi="Arial" w:cs="Arial"/>
          <w:color w:val="000000"/>
          <w:sz w:val="22"/>
          <w:szCs w:val="22"/>
        </w:rPr>
        <w:lastRenderedPageBreak/>
        <w:t xml:space="preserve">En ese sentido, </w:t>
      </w:r>
      <w:r w:rsidR="00E76B71" w:rsidRPr="009D0E93">
        <w:rPr>
          <w:rFonts w:ascii="Arial" w:hAnsi="Arial" w:cs="Arial"/>
          <w:color w:val="000000"/>
          <w:sz w:val="22"/>
          <w:szCs w:val="22"/>
        </w:rPr>
        <w:t xml:space="preserve">en el evento de la transferencia de la experiencia por </w:t>
      </w:r>
      <w:r w:rsidR="00E76B71" w:rsidRPr="009D0E93">
        <w:rPr>
          <w:rFonts w:ascii="Arial" w:hAnsi="Arial" w:cs="Arial"/>
          <w:bCs/>
          <w:color w:val="000000"/>
          <w:sz w:val="22"/>
          <w:szCs w:val="22"/>
        </w:rPr>
        <w:t xml:space="preserve">«fusión», </w:t>
      </w:r>
      <w:r w:rsidRPr="009D0E93">
        <w:rPr>
          <w:rFonts w:ascii="Arial" w:hAnsi="Arial" w:cs="Arial"/>
          <w:color w:val="000000"/>
          <w:sz w:val="22"/>
          <w:szCs w:val="22"/>
        </w:rPr>
        <w:t>considerando que el RUP es el documento que constituye plena prueba de la experiencia adquirida por el proponente, es necesario que la experiencia de la sociedad absorbida qued</w:t>
      </w:r>
      <w:r w:rsidR="00045D16" w:rsidRPr="009D0E93">
        <w:rPr>
          <w:rFonts w:ascii="Arial" w:hAnsi="Arial" w:cs="Arial"/>
          <w:color w:val="000000"/>
          <w:sz w:val="22"/>
          <w:szCs w:val="22"/>
        </w:rPr>
        <w:t>e</w:t>
      </w:r>
      <w:r w:rsidRPr="009D0E93">
        <w:rPr>
          <w:rFonts w:ascii="Arial" w:hAnsi="Arial" w:cs="Arial"/>
          <w:color w:val="000000"/>
          <w:sz w:val="22"/>
          <w:szCs w:val="22"/>
        </w:rPr>
        <w:t xml:space="preserve"> incorporada en el RUP de la absorbente para que esta pueda acreditarla. Esto implica que la sociedad absorbente haya adelantado el respectivo trámite de actualización o renovación del RUP, en el marco del cual se haya consolidado la transferencia de experiencia. </w:t>
      </w:r>
      <w:r w:rsidRPr="009D0E93">
        <w:rPr>
          <w:rFonts w:ascii="Arial" w:hAnsi="Arial" w:cs="Arial"/>
          <w:bCs/>
          <w:color w:val="000000"/>
          <w:sz w:val="22"/>
          <w:szCs w:val="22"/>
        </w:rPr>
        <w:t xml:space="preserve">Para estos efectos, el proponente debe realizar el trámite pertinente ante la Cámara de Comercio </w:t>
      </w:r>
      <w:r w:rsidRPr="009D0E93">
        <w:rPr>
          <w:rFonts w:ascii="Arial" w:hAnsi="Arial" w:cs="Arial"/>
          <w:color w:val="000000"/>
          <w:sz w:val="22"/>
          <w:szCs w:val="22"/>
        </w:rPr>
        <w:t>con copia de los contratos o con certificados de los contratos celebrados con diferentes contratantes y los demás documentos requeridos por dicha entidad. Esto aplica para todas las personas obligadas a contar con RUP</w:t>
      </w:r>
      <w:r w:rsidR="00757865" w:rsidRPr="009D0E93">
        <w:rPr>
          <w:rFonts w:ascii="Arial" w:hAnsi="Arial" w:cs="Arial"/>
          <w:color w:val="000000"/>
          <w:sz w:val="22"/>
          <w:szCs w:val="22"/>
        </w:rPr>
        <w:t>,</w:t>
      </w:r>
      <w:r w:rsidRPr="009D0E93">
        <w:rPr>
          <w:rFonts w:ascii="Arial" w:hAnsi="Arial" w:cs="Arial"/>
          <w:color w:val="000000"/>
          <w:sz w:val="22"/>
          <w:szCs w:val="22"/>
        </w:rPr>
        <w:t xml:space="preserve"> como las personas jurídicas extranjeras con sucursal en Colombia</w:t>
      </w:r>
      <w:r w:rsidR="001F4BDF" w:rsidRPr="009D0E93">
        <w:rPr>
          <w:rFonts w:ascii="Arial" w:hAnsi="Arial" w:cs="Arial"/>
          <w:color w:val="000000"/>
          <w:sz w:val="22"/>
          <w:szCs w:val="22"/>
        </w:rPr>
        <w:t xml:space="preserve">. </w:t>
      </w:r>
    </w:p>
    <w:p w14:paraId="3A5F051E" w14:textId="469288F3" w:rsidR="003A2A63" w:rsidRPr="009D0E93" w:rsidRDefault="00C95351" w:rsidP="00CA58B6">
      <w:pPr>
        <w:spacing w:before="120" w:line="276" w:lineRule="auto"/>
        <w:ind w:firstLine="708"/>
        <w:jc w:val="both"/>
        <w:rPr>
          <w:rFonts w:ascii="Arial" w:hAnsi="Arial" w:cs="Arial"/>
          <w:bCs/>
          <w:color w:val="000000"/>
          <w:sz w:val="22"/>
          <w:szCs w:val="22"/>
        </w:rPr>
      </w:pPr>
      <w:r w:rsidRPr="009D0E93">
        <w:rPr>
          <w:rFonts w:ascii="Arial" w:hAnsi="Arial" w:cs="Arial"/>
          <w:bCs/>
          <w:color w:val="000000"/>
          <w:sz w:val="22"/>
          <w:szCs w:val="22"/>
        </w:rPr>
        <w:t xml:space="preserve">En relación con las </w:t>
      </w:r>
      <w:r w:rsidR="007D4ADF" w:rsidRPr="009D0E93">
        <w:rPr>
          <w:rFonts w:ascii="Arial" w:hAnsi="Arial" w:cs="Arial"/>
          <w:bCs/>
          <w:color w:val="000000"/>
          <w:sz w:val="22"/>
          <w:szCs w:val="22"/>
        </w:rPr>
        <w:t>sociedades extranjeras</w:t>
      </w:r>
      <w:r w:rsidR="004B279A" w:rsidRPr="009D0E93">
        <w:rPr>
          <w:rFonts w:ascii="Arial" w:hAnsi="Arial" w:cs="Arial"/>
          <w:bCs/>
          <w:color w:val="000000"/>
          <w:sz w:val="22"/>
          <w:szCs w:val="22"/>
        </w:rPr>
        <w:t xml:space="preserve"> sin domicilio o sucursal en Colombia</w:t>
      </w:r>
      <w:r w:rsidR="007D4ADF" w:rsidRPr="009D0E93">
        <w:rPr>
          <w:rFonts w:ascii="Arial" w:hAnsi="Arial" w:cs="Arial"/>
          <w:bCs/>
          <w:color w:val="000000"/>
          <w:sz w:val="22"/>
          <w:szCs w:val="22"/>
        </w:rPr>
        <w:t xml:space="preserve"> </w:t>
      </w:r>
      <w:r w:rsidR="009175C6" w:rsidRPr="009D0E93">
        <w:rPr>
          <w:rFonts w:ascii="Arial" w:hAnsi="Arial" w:cs="Arial"/>
          <w:bCs/>
          <w:color w:val="000000"/>
          <w:sz w:val="22"/>
          <w:szCs w:val="22"/>
        </w:rPr>
        <w:t xml:space="preserve">se </w:t>
      </w:r>
      <w:r w:rsidR="003A2A63" w:rsidRPr="009D0E93">
        <w:rPr>
          <w:rFonts w:ascii="Arial" w:hAnsi="Arial" w:cs="Arial"/>
          <w:bCs/>
          <w:color w:val="000000"/>
          <w:sz w:val="22"/>
          <w:szCs w:val="22"/>
        </w:rPr>
        <w:t>considera que, a pesar de la discrecionalidad y autonomía que les asiste a las entidades contratantes</w:t>
      </w:r>
      <w:r w:rsidR="009175C6" w:rsidRPr="009D0E93">
        <w:rPr>
          <w:rFonts w:ascii="Arial" w:hAnsi="Arial" w:cs="Arial"/>
          <w:bCs/>
          <w:color w:val="000000"/>
          <w:sz w:val="22"/>
          <w:szCs w:val="22"/>
        </w:rPr>
        <w:t xml:space="preserve"> para la configuración del pliego de condiciones</w:t>
      </w:r>
      <w:r w:rsidR="003A2A63" w:rsidRPr="009D0E93">
        <w:rPr>
          <w:rFonts w:ascii="Arial" w:hAnsi="Arial" w:cs="Arial"/>
          <w:bCs/>
          <w:color w:val="000000"/>
          <w:sz w:val="22"/>
          <w:szCs w:val="22"/>
        </w:rPr>
        <w:t>,</w:t>
      </w:r>
      <w:r w:rsidR="003A2A63" w:rsidRPr="009D0E93">
        <w:rPr>
          <w:rFonts w:ascii="Arial" w:hAnsi="Arial" w:cs="Arial"/>
          <w:bCs/>
          <w:color w:val="000000"/>
          <w:sz w:val="22"/>
          <w:szCs w:val="22"/>
          <w:lang w:val="es-MX"/>
        </w:rPr>
        <w:t xml:space="preserve"> </w:t>
      </w:r>
      <w:r w:rsidR="00CC3759" w:rsidRPr="009D0E93">
        <w:rPr>
          <w:rFonts w:ascii="Arial" w:hAnsi="Arial" w:cs="Arial"/>
          <w:bCs/>
          <w:color w:val="000000" w:themeColor="text1"/>
          <w:sz w:val="22"/>
          <w:lang w:val="es-MX"/>
        </w:rPr>
        <w:t>lo expuesto sobre las figuras y reformas estatutarias de las sociedades comerciales que están obligadas a tener RUP, puede hacerse extensiva a las personas que no estén obligadas a estar inscrita</w:t>
      </w:r>
      <w:r w:rsidR="00045D16" w:rsidRPr="009D0E93">
        <w:rPr>
          <w:rFonts w:ascii="Arial" w:hAnsi="Arial" w:cs="Arial"/>
          <w:bCs/>
          <w:color w:val="000000" w:themeColor="text1"/>
          <w:sz w:val="22"/>
          <w:lang w:val="es-MX"/>
        </w:rPr>
        <w:t>s</w:t>
      </w:r>
      <w:r w:rsidR="00CC3759" w:rsidRPr="009D0E93">
        <w:rPr>
          <w:rFonts w:ascii="Arial" w:hAnsi="Arial" w:cs="Arial"/>
          <w:bCs/>
          <w:color w:val="000000" w:themeColor="text1"/>
          <w:sz w:val="22"/>
          <w:lang w:val="es-MX"/>
        </w:rPr>
        <w:t xml:space="preserve"> en este, como los proponentes extranjeros sin sucursal en Colombia.</w:t>
      </w:r>
      <w:r w:rsidR="009822AB" w:rsidRPr="009D0E93">
        <w:rPr>
          <w:rFonts w:ascii="Arial" w:hAnsi="Arial" w:cs="Arial"/>
          <w:bCs/>
          <w:color w:val="000000" w:themeColor="text1"/>
          <w:sz w:val="22"/>
          <w:lang w:val="es-MX"/>
        </w:rPr>
        <w:t xml:space="preserve"> </w:t>
      </w:r>
      <w:r w:rsidR="003A2A63" w:rsidRPr="009D0E93">
        <w:rPr>
          <w:rFonts w:ascii="Arial" w:hAnsi="Arial" w:cs="Arial"/>
          <w:color w:val="000000" w:themeColor="text1"/>
          <w:sz w:val="22"/>
        </w:rPr>
        <w:t xml:space="preserve">La anterior consideración tiene su principal sustento en el principio de igualdad de trato que orienta e irradia la actividad contractual del Estado. </w:t>
      </w:r>
      <w:r w:rsidR="009175C6" w:rsidRPr="009D0E93">
        <w:rPr>
          <w:rFonts w:ascii="Arial" w:hAnsi="Arial" w:cs="Arial"/>
          <w:color w:val="000000" w:themeColor="text1"/>
          <w:sz w:val="22"/>
        </w:rPr>
        <w:t>E</w:t>
      </w:r>
      <w:r w:rsidR="003A2A63" w:rsidRPr="009D0E93">
        <w:rPr>
          <w:rFonts w:ascii="Arial" w:hAnsi="Arial" w:cs="Arial"/>
          <w:color w:val="000000" w:themeColor="text1"/>
          <w:sz w:val="22"/>
        </w:rPr>
        <w:t xml:space="preserve">n efecto, en el ámbito de la contratación pública, la igualdad se materializa en la similar consideración de todos los oferentes frente al proceso de selección, desde la exigencia de los requisitos </w:t>
      </w:r>
      <w:r w:rsidR="00045D16" w:rsidRPr="009D0E93">
        <w:rPr>
          <w:rFonts w:ascii="Arial" w:hAnsi="Arial" w:cs="Arial"/>
          <w:color w:val="000000" w:themeColor="text1"/>
          <w:sz w:val="22"/>
        </w:rPr>
        <w:t xml:space="preserve">establecidos </w:t>
      </w:r>
      <w:r w:rsidR="003A2A63" w:rsidRPr="009D0E93">
        <w:rPr>
          <w:rFonts w:ascii="Arial" w:hAnsi="Arial" w:cs="Arial"/>
          <w:color w:val="000000" w:themeColor="text1"/>
          <w:sz w:val="22"/>
        </w:rPr>
        <w:t>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Ello sin perjuicio de la aplicación de algunos criterios legales que establecen ciertos incentivos especiales.</w:t>
      </w:r>
    </w:p>
    <w:p w14:paraId="40F51EDC" w14:textId="08018A8C" w:rsidR="009822AB" w:rsidRPr="009D0E93" w:rsidRDefault="009822AB" w:rsidP="00CA58B6">
      <w:pPr>
        <w:spacing w:before="120" w:line="276" w:lineRule="auto"/>
        <w:ind w:firstLine="708"/>
        <w:jc w:val="both"/>
        <w:rPr>
          <w:rFonts w:ascii="Arial" w:hAnsi="Arial" w:cs="Arial"/>
          <w:sz w:val="22"/>
          <w:lang w:eastAsia="es-MX"/>
        </w:rPr>
      </w:pPr>
      <w:r w:rsidRPr="009D0E93">
        <w:rPr>
          <w:rFonts w:ascii="Arial" w:hAnsi="Arial" w:cs="Arial"/>
          <w:bCs/>
          <w:color w:val="000000" w:themeColor="text1"/>
          <w:sz w:val="22"/>
          <w:lang w:val="es-MX"/>
        </w:rPr>
        <w:t xml:space="preserve">En este sentido, debido a que la experiencia puede ser transferida como consecuencia de la figura estatutaria de la </w:t>
      </w:r>
      <w:r w:rsidRPr="009D0E93">
        <w:rPr>
          <w:rFonts w:ascii="Arial" w:eastAsia="Calibri" w:hAnsi="Arial" w:cs="Arial"/>
          <w:bCs/>
          <w:sz w:val="21"/>
          <w:szCs w:val="21"/>
          <w:lang w:eastAsia="en-US"/>
        </w:rPr>
        <w:t>«</w:t>
      </w:r>
      <w:r w:rsidRPr="009D0E93">
        <w:rPr>
          <w:rFonts w:ascii="Arial" w:hAnsi="Arial" w:cs="Arial"/>
          <w:bCs/>
          <w:color w:val="000000" w:themeColor="text1"/>
          <w:sz w:val="22"/>
          <w:lang w:val="es-MX"/>
        </w:rPr>
        <w:t>fusión</w:t>
      </w:r>
      <w:r w:rsidRPr="009D0E93">
        <w:rPr>
          <w:rFonts w:ascii="Arial" w:hAnsi="Arial" w:cs="Arial"/>
          <w:color w:val="000000" w:themeColor="text1"/>
          <w:sz w:val="22"/>
          <w:szCs w:val="22"/>
          <w:lang w:eastAsia="es-MX"/>
        </w:rPr>
        <w:t>»</w:t>
      </w:r>
      <w:r w:rsidRPr="009D0E93">
        <w:rPr>
          <w:rFonts w:ascii="Arial" w:hAnsi="Arial" w:cs="Arial"/>
          <w:bCs/>
          <w:color w:val="000000" w:themeColor="text1"/>
          <w:sz w:val="22"/>
          <w:lang w:val="es-MX"/>
        </w:rPr>
        <w:t xml:space="preserve"> de las sociedades comerciales conforme se expuso en el numeral 2.2. de este concepto, también podrá ser válida esta transferencia cuando se realice por una sociedad extranjera sin sucursal en Colombia. En este caso, la entidad, si así lo establece en el pliego de condiciones, verificará directamente que la transferencia de la experiencia se enmarca en el supuesto de la </w:t>
      </w:r>
      <w:r w:rsidRPr="009D0E93">
        <w:rPr>
          <w:rFonts w:ascii="Arial" w:eastAsia="Calibri" w:hAnsi="Arial" w:cs="Arial"/>
          <w:bCs/>
          <w:sz w:val="21"/>
          <w:szCs w:val="21"/>
          <w:lang w:eastAsia="en-US"/>
        </w:rPr>
        <w:t>«</w:t>
      </w:r>
      <w:r w:rsidRPr="009D0E93">
        <w:rPr>
          <w:rFonts w:ascii="Arial" w:hAnsi="Arial" w:cs="Arial"/>
          <w:bCs/>
          <w:color w:val="000000" w:themeColor="text1"/>
          <w:sz w:val="22"/>
          <w:lang w:val="es-MX"/>
        </w:rPr>
        <w:t>fusión</w:t>
      </w:r>
      <w:r w:rsidRPr="009D0E93">
        <w:rPr>
          <w:rFonts w:ascii="Arial" w:hAnsi="Arial" w:cs="Arial"/>
          <w:color w:val="000000" w:themeColor="text1"/>
          <w:sz w:val="22"/>
          <w:szCs w:val="22"/>
          <w:lang w:eastAsia="es-MX"/>
        </w:rPr>
        <w:t>»</w:t>
      </w:r>
      <w:r w:rsidRPr="009D0E93">
        <w:rPr>
          <w:rFonts w:ascii="Arial" w:hAnsi="Arial" w:cs="Arial"/>
          <w:bCs/>
          <w:color w:val="000000" w:themeColor="text1"/>
          <w:sz w:val="22"/>
          <w:lang w:val="es-MX"/>
        </w:rPr>
        <w:t xml:space="preserve">, solicitando los documentos correspondientes que lo demuestren, de tal manera que se pueda identificar que mediante esta figura o reforma estatutaria la sociedad </w:t>
      </w:r>
      <w:r w:rsidRPr="009D0E93">
        <w:rPr>
          <w:rFonts w:ascii="Arial" w:hAnsi="Arial" w:cs="Arial"/>
          <w:bCs/>
          <w:color w:val="000000" w:themeColor="text1"/>
          <w:sz w:val="22"/>
        </w:rPr>
        <w:t>no desapareció</w:t>
      </w:r>
      <w:r w:rsidR="00045D16" w:rsidRPr="009D0E93">
        <w:rPr>
          <w:rFonts w:ascii="Arial" w:hAnsi="Arial" w:cs="Arial"/>
          <w:bCs/>
          <w:color w:val="000000" w:themeColor="text1"/>
          <w:sz w:val="22"/>
        </w:rPr>
        <w:t>,</w:t>
      </w:r>
      <w:r w:rsidRPr="009D0E93">
        <w:rPr>
          <w:rFonts w:ascii="Arial" w:hAnsi="Arial" w:cs="Arial"/>
          <w:bCs/>
          <w:color w:val="000000" w:themeColor="text1"/>
          <w:sz w:val="22"/>
        </w:rPr>
        <w:t xml:space="preserve"> sino que tuvo continuidad porque otra sociedad se convierte en ella o la absorbió. Por el contrario, si se trata del evento en que la sociedad recibe una parte del patrimonio de una sociedad que continúa existiendo o que se fraccionó en varias, es decir</w:t>
      </w:r>
      <w:r w:rsidR="00045D16" w:rsidRPr="009D0E93">
        <w:rPr>
          <w:rFonts w:ascii="Arial" w:hAnsi="Arial" w:cs="Arial"/>
          <w:bCs/>
          <w:color w:val="000000" w:themeColor="text1"/>
          <w:sz w:val="22"/>
        </w:rPr>
        <w:t>,</w:t>
      </w:r>
      <w:r w:rsidRPr="009D0E93">
        <w:rPr>
          <w:rFonts w:ascii="Arial" w:hAnsi="Arial" w:cs="Arial"/>
          <w:bCs/>
          <w:color w:val="000000" w:themeColor="text1"/>
          <w:sz w:val="22"/>
        </w:rPr>
        <w:t xml:space="preserve"> que operó la figura </w:t>
      </w:r>
      <w:r w:rsidRPr="009D0E93">
        <w:rPr>
          <w:rFonts w:ascii="Arial" w:hAnsi="Arial" w:cs="Arial"/>
          <w:bCs/>
          <w:color w:val="000000" w:themeColor="text1"/>
          <w:sz w:val="22"/>
        </w:rPr>
        <w:lastRenderedPageBreak/>
        <w:t xml:space="preserve">de la escisión en cualquiera de las dos modalidades, se considera que no hay transferencia de la experiencia por lo expuesto anteriormente. </w:t>
      </w:r>
      <w:r w:rsidRPr="009D0E93">
        <w:rPr>
          <w:rFonts w:ascii="Arial" w:hAnsi="Arial" w:cs="Arial"/>
          <w:sz w:val="22"/>
          <w:lang w:eastAsia="es-MX"/>
        </w:rPr>
        <w:t xml:space="preserve">En todo caso, </w:t>
      </w:r>
      <w:r w:rsidRPr="009D0E93">
        <w:rPr>
          <w:rFonts w:ascii="Arial" w:hAnsi="Arial" w:cs="Arial"/>
          <w:bCs/>
          <w:sz w:val="22"/>
          <w:lang w:val="es-MX" w:eastAsia="es-MX"/>
        </w:rPr>
        <w:t xml:space="preserve">será la entidad la que determine, con base en su autonomía y discrecionalidad, la forma en la que se verificará </w:t>
      </w:r>
      <w:r w:rsidRPr="009D0E93">
        <w:rPr>
          <w:rFonts w:ascii="Arial" w:hAnsi="Arial" w:cs="Arial"/>
          <w:color w:val="000000" w:themeColor="text1"/>
          <w:sz w:val="22"/>
        </w:rPr>
        <w:t>la experiencia trasferida como consecuencia de un proceso de fusión</w:t>
      </w:r>
      <w:r w:rsidRPr="009D0E93">
        <w:rPr>
          <w:rFonts w:ascii="Arial" w:hAnsi="Arial" w:cs="Arial"/>
          <w:sz w:val="22"/>
          <w:lang w:eastAsia="es-MX"/>
        </w:rPr>
        <w:t xml:space="preserve"> de la sociedad. </w:t>
      </w:r>
    </w:p>
    <w:p w14:paraId="1BB77F41" w14:textId="49EF3EA8" w:rsidR="009822AB" w:rsidRPr="009D0E93" w:rsidRDefault="001224F0" w:rsidP="00CA58B6">
      <w:pPr>
        <w:spacing w:before="120" w:line="276" w:lineRule="auto"/>
        <w:ind w:firstLine="709"/>
        <w:jc w:val="both"/>
        <w:rPr>
          <w:rFonts w:ascii="Arial" w:hAnsi="Arial" w:cs="Arial"/>
          <w:bCs/>
          <w:color w:val="000000"/>
          <w:sz w:val="22"/>
          <w:szCs w:val="22"/>
        </w:rPr>
      </w:pPr>
      <w:r w:rsidRPr="009D0E93">
        <w:rPr>
          <w:rFonts w:ascii="Arial" w:eastAsiaTheme="minorHAnsi" w:hAnsi="Arial" w:cs="Arial"/>
          <w:color w:val="000000" w:themeColor="text1"/>
          <w:sz w:val="22"/>
          <w:szCs w:val="22"/>
          <w:lang w:val="es-MX" w:eastAsia="en-US"/>
        </w:rPr>
        <w:t xml:space="preserve">En síntesis, </w:t>
      </w:r>
      <w:r w:rsidR="009822AB" w:rsidRPr="009D0E93">
        <w:rPr>
          <w:rFonts w:ascii="Arial" w:eastAsiaTheme="minorHAnsi" w:hAnsi="Arial" w:cs="Arial"/>
          <w:color w:val="000000" w:themeColor="text1"/>
          <w:sz w:val="22"/>
          <w:szCs w:val="22"/>
          <w:lang w:val="es-MX" w:eastAsia="en-US"/>
        </w:rPr>
        <w:t xml:space="preserve">las sociedades extranjeras con o sin sucursal en Colombia podrán transferir la experiencia que se realiza en el marco de </w:t>
      </w:r>
      <w:r w:rsidR="009822AB" w:rsidRPr="009D0E93">
        <w:rPr>
          <w:rFonts w:ascii="Arial" w:hAnsi="Arial" w:cs="Arial"/>
          <w:bCs/>
          <w:color w:val="000000"/>
          <w:sz w:val="22"/>
          <w:szCs w:val="22"/>
        </w:rPr>
        <w:t xml:space="preserve">la figura estatutaria de la </w:t>
      </w:r>
      <w:r w:rsidR="009822AB" w:rsidRPr="009D0E93">
        <w:rPr>
          <w:rFonts w:ascii="Arial" w:eastAsia="Calibri" w:hAnsi="Arial" w:cs="Arial"/>
          <w:bCs/>
          <w:sz w:val="21"/>
          <w:szCs w:val="21"/>
          <w:lang w:eastAsia="en-US"/>
        </w:rPr>
        <w:t>«</w:t>
      </w:r>
      <w:r w:rsidR="009822AB" w:rsidRPr="009D0E93">
        <w:rPr>
          <w:rFonts w:ascii="Arial" w:hAnsi="Arial" w:cs="Arial"/>
          <w:bCs/>
          <w:color w:val="000000" w:themeColor="text1"/>
          <w:sz w:val="22"/>
          <w:lang w:val="es-MX"/>
        </w:rPr>
        <w:t>fusión</w:t>
      </w:r>
      <w:r w:rsidR="009822AB" w:rsidRPr="009D0E93">
        <w:rPr>
          <w:rFonts w:ascii="Arial" w:hAnsi="Arial" w:cs="Arial"/>
          <w:color w:val="000000" w:themeColor="text1"/>
          <w:sz w:val="22"/>
          <w:szCs w:val="22"/>
          <w:lang w:eastAsia="es-MX"/>
        </w:rPr>
        <w:t>»</w:t>
      </w:r>
      <w:r w:rsidR="009822AB" w:rsidRPr="009D0E93">
        <w:rPr>
          <w:rFonts w:ascii="Arial" w:hAnsi="Arial" w:cs="Arial"/>
          <w:bCs/>
          <w:color w:val="000000" w:themeColor="text1"/>
          <w:sz w:val="22"/>
          <w:lang w:val="es-MX"/>
        </w:rPr>
        <w:t xml:space="preserve">, en la medida en que </w:t>
      </w:r>
      <w:r w:rsidR="009822AB" w:rsidRPr="009D0E93">
        <w:rPr>
          <w:rFonts w:ascii="Arial" w:hAnsi="Arial" w:cs="Arial"/>
          <w:bCs/>
          <w:color w:val="000000"/>
          <w:sz w:val="22"/>
          <w:szCs w:val="22"/>
        </w:rPr>
        <w:t xml:space="preserve">la persona jurídica continúa a través de otra que la absorbió. </w:t>
      </w:r>
      <w:r w:rsidR="00FC7A36" w:rsidRPr="009D0E93">
        <w:rPr>
          <w:rFonts w:ascii="Arial" w:hAnsi="Arial" w:cs="Arial"/>
          <w:bCs/>
          <w:color w:val="000000"/>
          <w:sz w:val="22"/>
          <w:szCs w:val="22"/>
        </w:rPr>
        <w:t>En el primer evento la verificación de la experiencia se realizará mediante el RUP,</w:t>
      </w:r>
      <w:r w:rsidR="00045D16" w:rsidRPr="009D0E93">
        <w:rPr>
          <w:rFonts w:ascii="Arial" w:hAnsi="Arial" w:cs="Arial"/>
          <w:bCs/>
          <w:color w:val="000000"/>
          <w:sz w:val="22"/>
          <w:szCs w:val="22"/>
        </w:rPr>
        <w:t xml:space="preserve"> mientras que</w:t>
      </w:r>
      <w:r w:rsidR="00FC7A36" w:rsidRPr="009D0E93">
        <w:rPr>
          <w:rFonts w:ascii="Arial" w:hAnsi="Arial" w:cs="Arial"/>
          <w:bCs/>
          <w:color w:val="000000"/>
          <w:sz w:val="22"/>
          <w:szCs w:val="22"/>
        </w:rPr>
        <w:t xml:space="preserve"> en el caso de las sociedades extranjeras sin sucursal en Colombia se verificará conforme lo dispuesto en el pliego de condiciones. </w:t>
      </w:r>
      <w:r w:rsidR="009822AB" w:rsidRPr="009D0E93">
        <w:rPr>
          <w:rFonts w:ascii="Arial" w:hAnsi="Arial" w:cs="Arial"/>
          <w:bCs/>
          <w:color w:val="000000"/>
          <w:sz w:val="22"/>
          <w:szCs w:val="22"/>
        </w:rPr>
        <w:t xml:space="preserve">No obstante, no se produce la transferencia de la experiencia en el caso de la </w:t>
      </w:r>
      <w:r w:rsidR="009822AB" w:rsidRPr="009D0E93">
        <w:rPr>
          <w:rFonts w:ascii="Arial" w:eastAsia="Calibri" w:hAnsi="Arial" w:cs="Arial"/>
          <w:bCs/>
          <w:sz w:val="21"/>
          <w:szCs w:val="21"/>
          <w:lang w:eastAsia="en-US"/>
        </w:rPr>
        <w:t>«</w:t>
      </w:r>
      <w:r w:rsidR="009822AB" w:rsidRPr="009D0E93">
        <w:rPr>
          <w:rFonts w:ascii="Arial" w:hAnsi="Arial" w:cs="Arial"/>
          <w:bCs/>
          <w:color w:val="000000"/>
          <w:sz w:val="22"/>
          <w:szCs w:val="22"/>
        </w:rPr>
        <w:t>escisión</w:t>
      </w:r>
      <w:r w:rsidR="009822AB" w:rsidRPr="009D0E93">
        <w:rPr>
          <w:rFonts w:ascii="Arial" w:hAnsi="Arial" w:cs="Arial"/>
          <w:color w:val="000000" w:themeColor="text1"/>
          <w:sz w:val="22"/>
          <w:szCs w:val="22"/>
          <w:lang w:eastAsia="es-MX"/>
        </w:rPr>
        <w:t>»</w:t>
      </w:r>
      <w:r w:rsidR="009822AB" w:rsidRPr="009D0E93">
        <w:rPr>
          <w:rFonts w:ascii="Arial" w:hAnsi="Arial" w:cs="Arial"/>
          <w:bCs/>
          <w:color w:val="000000"/>
          <w:sz w:val="22"/>
          <w:szCs w:val="22"/>
        </w:rPr>
        <w:t>, toda vez que la persona jurídica desaparece o existiendo continúa con un patrimonio reducido quedando dividida en varias sociedades nuevas o existentes que reciben su patrimonio, sin que sea posible determinar cuál de todas las sociedades que recibieron parte del patrimonio de la sociedad escindida tiene la experiencia.</w:t>
      </w:r>
    </w:p>
    <w:p w14:paraId="6338BE1D" w14:textId="77777777" w:rsidR="009822AB" w:rsidRPr="009D0E93" w:rsidRDefault="009822AB" w:rsidP="009822AB">
      <w:pPr>
        <w:spacing w:line="276" w:lineRule="auto"/>
        <w:ind w:firstLine="709"/>
        <w:jc w:val="both"/>
        <w:rPr>
          <w:rFonts w:ascii="Arial" w:hAnsi="Arial" w:cs="Arial"/>
          <w:bCs/>
          <w:color w:val="000000"/>
          <w:sz w:val="22"/>
          <w:szCs w:val="22"/>
        </w:rPr>
      </w:pPr>
    </w:p>
    <w:p w14:paraId="056816F7" w14:textId="5C200F74" w:rsidR="00D40F8B" w:rsidRPr="009D0E93" w:rsidRDefault="00DD5B04" w:rsidP="00167D66">
      <w:pPr>
        <w:widowControl w:val="0"/>
        <w:autoSpaceDE w:val="0"/>
        <w:autoSpaceDN w:val="0"/>
        <w:spacing w:before="120" w:line="276" w:lineRule="auto"/>
        <w:jc w:val="both"/>
        <w:rPr>
          <w:rFonts w:ascii="Arial" w:hAnsi="Arial" w:cs="Arial"/>
          <w:sz w:val="22"/>
          <w:szCs w:val="22"/>
          <w:lang w:val="es-ES_tradnl" w:bidi="es-ES"/>
        </w:rPr>
      </w:pPr>
      <w:r w:rsidRPr="009D0E93">
        <w:rPr>
          <w:rFonts w:ascii="Arial" w:hAnsi="Arial" w:cs="Arial"/>
          <w:color w:val="000000" w:themeColor="text1"/>
          <w:sz w:val="22"/>
          <w:szCs w:val="22"/>
          <w:lang w:val="es-ES_tradnl"/>
        </w:rPr>
        <w:t>Este concepto tiene el alcance previsto en el artículo 28 del</w:t>
      </w:r>
      <w:r w:rsidRPr="009D0E93">
        <w:rPr>
          <w:rFonts w:ascii="Arial" w:hAnsi="Arial" w:cs="Arial"/>
          <w:color w:val="000000" w:themeColor="text1"/>
          <w:sz w:val="22"/>
          <w:lang w:val="es-ES_tradnl"/>
        </w:rPr>
        <w:t xml:space="preserve"> Código de Procedimiento Administrativo y de</w:t>
      </w:r>
      <w:r w:rsidR="00D40F8B" w:rsidRPr="009D0E93">
        <w:rPr>
          <w:rFonts w:ascii="Arial" w:hAnsi="Arial" w:cs="Arial"/>
          <w:color w:val="000000" w:themeColor="text1"/>
          <w:sz w:val="22"/>
          <w:lang w:val="es-ES_tradnl"/>
        </w:rPr>
        <w:t xml:space="preserve"> lo Contencioso Administrativo.</w:t>
      </w:r>
    </w:p>
    <w:p w14:paraId="6F54E9C9" w14:textId="77777777" w:rsidR="00003233" w:rsidRPr="009D0E93"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9D0E93"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9D0E93">
        <w:rPr>
          <w:rFonts w:ascii="Arial" w:hAnsi="Arial" w:cs="Arial"/>
          <w:color w:val="000000" w:themeColor="text1"/>
          <w:sz w:val="22"/>
          <w:szCs w:val="22"/>
          <w:lang w:val="es-ES_tradnl"/>
        </w:rPr>
        <w:t>Atentamente,</w:t>
      </w:r>
    </w:p>
    <w:p w14:paraId="7CAF8D25" w14:textId="31EA156D" w:rsidR="00002294" w:rsidRPr="009D0E93" w:rsidRDefault="006E51E9" w:rsidP="00002294">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7C44CC76" wp14:editId="7664D136">
            <wp:extent cx="2993390" cy="11645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p w14:paraId="75C6C670" w14:textId="77777777" w:rsidR="00002294" w:rsidRPr="009D0E93" w:rsidRDefault="00002294" w:rsidP="00002294">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2294" w:rsidRPr="009D0E93" w14:paraId="3080275B" w14:textId="77777777" w:rsidTr="001C69CB">
        <w:trPr>
          <w:trHeight w:val="160"/>
        </w:trPr>
        <w:tc>
          <w:tcPr>
            <w:tcW w:w="812" w:type="dxa"/>
            <w:vAlign w:val="center"/>
            <w:hideMark/>
          </w:tcPr>
          <w:p w14:paraId="65B7BC95" w14:textId="77777777" w:rsidR="00002294" w:rsidRPr="009D0E93" w:rsidRDefault="00002294" w:rsidP="001C69CB">
            <w:pPr>
              <w:jc w:val="both"/>
              <w:rPr>
                <w:rFonts w:ascii="Arial" w:hAnsi="Arial" w:cs="Arial"/>
                <w:color w:val="000000" w:themeColor="text1"/>
                <w:sz w:val="16"/>
                <w:szCs w:val="16"/>
                <w:lang w:val="es-ES_tradnl" w:eastAsia="es-ES"/>
              </w:rPr>
            </w:pPr>
            <w:r w:rsidRPr="009D0E9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4CA90BF" w14:textId="77777777" w:rsidR="00002294" w:rsidRPr="009D0E93" w:rsidRDefault="00002294" w:rsidP="001C69CB">
            <w:pPr>
              <w:jc w:val="both"/>
              <w:rPr>
                <w:rFonts w:ascii="Arial" w:hAnsi="Arial" w:cs="Arial"/>
                <w:color w:val="000000" w:themeColor="text1"/>
                <w:sz w:val="16"/>
                <w:szCs w:val="16"/>
                <w:lang w:val="es-ES_tradnl" w:eastAsia="es-ES"/>
              </w:rPr>
            </w:pPr>
            <w:r w:rsidRPr="009D0E93">
              <w:rPr>
                <w:rFonts w:ascii="Arial" w:hAnsi="Arial" w:cs="Arial"/>
                <w:color w:val="000000" w:themeColor="text1"/>
                <w:sz w:val="16"/>
                <w:szCs w:val="16"/>
                <w:lang w:val="es-ES_tradnl" w:eastAsia="es-ES"/>
              </w:rPr>
              <w:t>Tatiana Baquero Iguarán</w:t>
            </w:r>
          </w:p>
          <w:p w14:paraId="7A1FC973" w14:textId="77777777" w:rsidR="00002294" w:rsidRPr="009D0E93" w:rsidRDefault="00002294" w:rsidP="001C69CB">
            <w:pPr>
              <w:jc w:val="both"/>
              <w:rPr>
                <w:rFonts w:ascii="Arial" w:hAnsi="Arial" w:cs="Arial"/>
                <w:color w:val="000000" w:themeColor="text1"/>
                <w:sz w:val="16"/>
                <w:szCs w:val="16"/>
                <w:lang w:val="es-ES_tradnl" w:eastAsia="es-ES"/>
              </w:rPr>
            </w:pPr>
            <w:r w:rsidRPr="009D0E93">
              <w:rPr>
                <w:rFonts w:ascii="Arial" w:hAnsi="Arial" w:cs="Arial"/>
                <w:color w:val="000000" w:themeColor="text1"/>
                <w:sz w:val="16"/>
                <w:szCs w:val="16"/>
                <w:lang w:val="es-ES_tradnl" w:eastAsia="es-ES"/>
              </w:rPr>
              <w:t>Contratista de la Subdirección de Gestión Contractual</w:t>
            </w:r>
          </w:p>
        </w:tc>
      </w:tr>
      <w:tr w:rsidR="00002294" w:rsidRPr="009D0E93" w14:paraId="207AF0A0" w14:textId="77777777" w:rsidTr="001C69CB">
        <w:trPr>
          <w:trHeight w:val="330"/>
        </w:trPr>
        <w:tc>
          <w:tcPr>
            <w:tcW w:w="812" w:type="dxa"/>
            <w:vAlign w:val="center"/>
            <w:hideMark/>
          </w:tcPr>
          <w:p w14:paraId="3F729B29" w14:textId="77777777" w:rsidR="00002294" w:rsidRPr="009D0E93" w:rsidRDefault="00002294" w:rsidP="001C69CB">
            <w:pPr>
              <w:jc w:val="both"/>
              <w:rPr>
                <w:rFonts w:ascii="Arial" w:hAnsi="Arial" w:cs="Arial"/>
                <w:color w:val="000000" w:themeColor="text1"/>
                <w:sz w:val="16"/>
                <w:szCs w:val="16"/>
                <w:lang w:val="es-ES_tradnl" w:eastAsia="es-ES"/>
              </w:rPr>
            </w:pPr>
            <w:r w:rsidRPr="009D0E9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B74A37" w14:textId="77777777" w:rsidR="00002294" w:rsidRPr="009D0E93" w:rsidRDefault="00002294" w:rsidP="001C69CB">
            <w:pPr>
              <w:jc w:val="both"/>
              <w:rPr>
                <w:rFonts w:ascii="Arial" w:hAnsi="Arial" w:cs="Arial"/>
                <w:color w:val="000000" w:themeColor="text1"/>
                <w:sz w:val="16"/>
                <w:szCs w:val="16"/>
                <w:lang w:val="es-ES_tradnl" w:eastAsia="es-ES"/>
              </w:rPr>
            </w:pPr>
            <w:r w:rsidRPr="009D0E93">
              <w:rPr>
                <w:rFonts w:ascii="Arial" w:hAnsi="Arial" w:cs="Arial"/>
                <w:color w:val="000000" w:themeColor="text1"/>
                <w:sz w:val="16"/>
                <w:szCs w:val="16"/>
                <w:lang w:val="es-ES_tradnl" w:eastAsia="es-ES"/>
              </w:rPr>
              <w:t>Sebastián Ramírez Grisales</w:t>
            </w:r>
          </w:p>
          <w:p w14:paraId="54A6DD0C" w14:textId="77777777" w:rsidR="00002294" w:rsidRPr="009D0E93" w:rsidRDefault="00002294" w:rsidP="001C69CB">
            <w:pPr>
              <w:jc w:val="both"/>
              <w:rPr>
                <w:rFonts w:ascii="Arial" w:hAnsi="Arial" w:cs="Arial"/>
                <w:color w:val="000000" w:themeColor="text1"/>
                <w:sz w:val="16"/>
                <w:szCs w:val="16"/>
                <w:lang w:val="es-ES_tradnl" w:eastAsia="es-ES"/>
              </w:rPr>
            </w:pPr>
            <w:r w:rsidRPr="009D0E93">
              <w:rPr>
                <w:rFonts w:ascii="Arial" w:hAnsi="Arial" w:cs="Arial"/>
                <w:color w:val="000000"/>
                <w:sz w:val="16"/>
                <w:szCs w:val="16"/>
                <w:shd w:val="clear" w:color="auto" w:fill="FFFFFF"/>
              </w:rPr>
              <w:t>Contratista de la </w:t>
            </w:r>
            <w:r w:rsidRPr="009D0E93">
              <w:rPr>
                <w:rFonts w:ascii="Arial" w:hAnsi="Arial" w:cs="Arial"/>
                <w:color w:val="000000" w:themeColor="text1"/>
                <w:sz w:val="16"/>
                <w:szCs w:val="16"/>
                <w:lang w:val="es-ES" w:eastAsia="es-ES"/>
              </w:rPr>
              <w:t>Subdirección de Gestión Contractual</w:t>
            </w:r>
          </w:p>
        </w:tc>
      </w:tr>
      <w:tr w:rsidR="00002294" w:rsidRPr="00D40F8B" w14:paraId="60BF1858" w14:textId="77777777" w:rsidTr="001C69CB">
        <w:trPr>
          <w:trHeight w:val="300"/>
        </w:trPr>
        <w:tc>
          <w:tcPr>
            <w:tcW w:w="812" w:type="dxa"/>
            <w:vAlign w:val="center"/>
            <w:hideMark/>
          </w:tcPr>
          <w:p w14:paraId="276DE6BE" w14:textId="77777777" w:rsidR="00002294" w:rsidRPr="009D0E93" w:rsidRDefault="00002294" w:rsidP="001C69CB">
            <w:pPr>
              <w:jc w:val="both"/>
              <w:rPr>
                <w:rFonts w:ascii="Arial" w:hAnsi="Arial" w:cs="Arial"/>
                <w:color w:val="000000" w:themeColor="text1"/>
                <w:sz w:val="16"/>
                <w:szCs w:val="16"/>
                <w:lang w:val="es-ES_tradnl" w:eastAsia="es-ES"/>
              </w:rPr>
            </w:pPr>
            <w:r w:rsidRPr="009D0E9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E39DED7" w14:textId="77777777" w:rsidR="00002294" w:rsidRPr="009D0E93" w:rsidRDefault="00002294" w:rsidP="001C69CB">
            <w:r w:rsidRPr="009D0E93">
              <w:rPr>
                <w:rFonts w:ascii="Arial" w:eastAsia="Arial" w:hAnsi="Arial" w:cs="Arial"/>
                <w:color w:val="000000"/>
                <w:sz w:val="16"/>
                <w:szCs w:val="16"/>
              </w:rPr>
              <w:t>Juan David Marín López</w:t>
            </w:r>
          </w:p>
          <w:p w14:paraId="4D26B373" w14:textId="77777777" w:rsidR="00002294" w:rsidRPr="00D40F8B" w:rsidRDefault="00002294" w:rsidP="001C69CB">
            <w:pPr>
              <w:jc w:val="both"/>
              <w:rPr>
                <w:rFonts w:ascii="Arial" w:hAnsi="Arial" w:cs="Arial"/>
                <w:color w:val="000000" w:themeColor="text1"/>
                <w:sz w:val="16"/>
                <w:szCs w:val="16"/>
                <w:lang w:val="es-ES_tradnl" w:eastAsia="es-ES"/>
              </w:rPr>
            </w:pPr>
            <w:r w:rsidRPr="009D0E93">
              <w:rPr>
                <w:rFonts w:ascii="Arial" w:eastAsia="Arial" w:hAnsi="Arial" w:cs="Arial"/>
                <w:color w:val="000000"/>
                <w:sz w:val="16"/>
                <w:szCs w:val="16"/>
              </w:rPr>
              <w:t>Subdirector de Gestión Contractual (E)</w:t>
            </w:r>
          </w:p>
        </w:tc>
      </w:tr>
    </w:tbl>
    <w:p w14:paraId="1E15D272" w14:textId="77777777" w:rsidR="00002294" w:rsidRDefault="00002294" w:rsidP="00002294">
      <w:pPr>
        <w:jc w:val="both"/>
        <w:rPr>
          <w:rFonts w:ascii="Arial" w:hAnsi="Arial" w:cs="Arial"/>
          <w:lang w:val="es-ES_tradnl"/>
        </w:rPr>
      </w:pPr>
    </w:p>
    <w:p w14:paraId="4D3D318F" w14:textId="77777777" w:rsidR="00FC710F" w:rsidRPr="009D3964" w:rsidRDefault="00FC710F">
      <w:pPr>
        <w:jc w:val="both"/>
        <w:rPr>
          <w:rFonts w:ascii="Arial" w:hAnsi="Arial" w:cs="Arial"/>
          <w:lang w:val="es-ES_tradnl"/>
        </w:rPr>
      </w:pPr>
    </w:p>
    <w:sectPr w:rsidR="00FC710F" w:rsidRPr="009D3964"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A1CA1" w14:textId="77777777" w:rsidR="002B251B" w:rsidRDefault="002B251B">
      <w:r>
        <w:separator/>
      </w:r>
    </w:p>
  </w:endnote>
  <w:endnote w:type="continuationSeparator" w:id="0">
    <w:p w14:paraId="74DF2278" w14:textId="77777777" w:rsidR="002B251B" w:rsidRDefault="002B251B">
      <w:r>
        <w:continuationSeparator/>
      </w:r>
    </w:p>
  </w:endnote>
  <w:endnote w:type="continuationNotice" w:id="1">
    <w:p w14:paraId="6D19B7EC" w14:textId="77777777" w:rsidR="002B251B" w:rsidRDefault="002B25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Nova">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orbel"/>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36892D2A" w:rsidR="00E2520A" w:rsidRDefault="003B1CA8" w:rsidP="00322937">
    <w:pPr>
      <w:pStyle w:val="Piedepgina"/>
      <w:jc w:val="center"/>
      <w:rPr>
        <w:lang w:val="es-ES"/>
      </w:rPr>
    </w:pPr>
    <w:r>
      <w:rPr>
        <w:noProof/>
      </w:rPr>
      <w:drawing>
        <wp:inline distT="0" distB="0" distL="0" distR="0" wp14:anchorId="47967E19" wp14:editId="0095F524">
          <wp:extent cx="5581015" cy="866775"/>
          <wp:effectExtent l="0" t="0" r="635" b="9525"/>
          <wp:docPr id="5" name="Imagen 5"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81015" cy="866775"/>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3B1CA8" w:rsidRPr="00080DA3" w14:paraId="611F2A4F" w14:textId="77777777" w:rsidTr="0061192C">
      <w:trPr>
        <w:trHeight w:val="198"/>
        <w:jc w:val="center"/>
      </w:trPr>
      <w:tc>
        <w:tcPr>
          <w:tcW w:w="83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1EF6117" w14:textId="77777777" w:rsidR="003B1CA8" w:rsidRPr="00080DA3" w:rsidRDefault="003B1CA8" w:rsidP="003B1CA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76CB482" w14:textId="77777777" w:rsidR="003B1CA8" w:rsidRPr="00080DA3" w:rsidRDefault="003B1CA8" w:rsidP="003B1CA8">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0558A28" w14:textId="77777777" w:rsidR="003B1CA8" w:rsidRPr="00080DA3" w:rsidRDefault="003B1CA8" w:rsidP="003B1CA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1CA223CF" w14:textId="77777777" w:rsidR="003B1CA8" w:rsidRPr="004B6B0E" w:rsidRDefault="003B1CA8" w:rsidP="003B1CA8">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134478AB" w14:textId="77777777" w:rsidR="003B1CA8" w:rsidRPr="00080DA3" w:rsidRDefault="003B1CA8" w:rsidP="003B1CA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44D60200" w14:textId="77777777" w:rsidR="003B1CA8" w:rsidRPr="00080DA3" w:rsidRDefault="003B1CA8" w:rsidP="003B1CA8">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61179795" w14:textId="77777777" w:rsidR="003B1CA8" w:rsidRPr="00080DA3" w:rsidRDefault="003B1CA8" w:rsidP="003B1CA8">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E2C8B" w14:textId="77777777" w:rsidR="002B251B" w:rsidRDefault="002B251B">
      <w:r>
        <w:separator/>
      </w:r>
    </w:p>
  </w:footnote>
  <w:footnote w:type="continuationSeparator" w:id="0">
    <w:p w14:paraId="1D448FCE" w14:textId="77777777" w:rsidR="002B251B" w:rsidRDefault="002B251B">
      <w:r>
        <w:continuationSeparator/>
      </w:r>
    </w:p>
  </w:footnote>
  <w:footnote w:type="continuationNotice" w:id="1">
    <w:p w14:paraId="3B7605EF" w14:textId="77777777" w:rsidR="002B251B" w:rsidRDefault="002B251B"/>
  </w:footnote>
  <w:footnote w:id="2">
    <w:p w14:paraId="29E6E683" w14:textId="77777777" w:rsidR="00D228B3" w:rsidRPr="000E2B80" w:rsidRDefault="00D228B3" w:rsidP="00D228B3">
      <w:pPr>
        <w:pBdr>
          <w:top w:val="nil"/>
          <w:left w:val="nil"/>
          <w:bottom w:val="nil"/>
          <w:right w:val="nil"/>
          <w:between w:val="nil"/>
        </w:pBdr>
        <w:ind w:firstLine="709"/>
        <w:jc w:val="both"/>
        <w:rPr>
          <w:rFonts w:ascii="Arial" w:eastAsia="Arial" w:hAnsi="Arial" w:cs="Arial"/>
          <w:sz w:val="19"/>
          <w:szCs w:val="19"/>
        </w:rPr>
      </w:pPr>
      <w:r w:rsidRPr="000E2B80">
        <w:rPr>
          <w:rFonts w:ascii="Arial" w:hAnsi="Arial" w:cs="Arial"/>
          <w:sz w:val="19"/>
          <w:szCs w:val="19"/>
          <w:vertAlign w:val="superscript"/>
        </w:rPr>
        <w:footnoteRef/>
      </w:r>
      <w:r w:rsidRPr="000E2B80">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0E2B80">
        <w:rPr>
          <w:rFonts w:ascii="Arial" w:eastAsia="Arial" w:hAnsi="Arial" w:cs="Arial"/>
          <w:i/>
          <w:sz w:val="19"/>
          <w:szCs w:val="19"/>
        </w:rPr>
        <w:t>ibídem</w:t>
      </w:r>
      <w:proofErr w:type="spellEnd"/>
      <w:r w:rsidRPr="000E2B80">
        <w:rPr>
          <w:rFonts w:ascii="Arial" w:eastAsia="Arial" w:hAnsi="Arial" w:cs="Arial"/>
          <w:i/>
          <w:sz w:val="19"/>
          <w:szCs w:val="19"/>
        </w:rPr>
        <w:t xml:space="preserve"> </w:t>
      </w:r>
      <w:r w:rsidRPr="000E2B80">
        <w:rPr>
          <w:rFonts w:ascii="Arial" w:eastAsia="Arial" w:hAnsi="Arial" w:cs="Arial"/>
          <w:sz w:val="19"/>
          <w:szCs w:val="19"/>
        </w:rPr>
        <w:t>señala, de manera precisa, las funciones de Colombia Compra Eficiente. Concretamente, el numeral 5º de este artículo establece que le corresponde a esta entidad: «[a]</w:t>
      </w:r>
      <w:proofErr w:type="spellStart"/>
      <w:r w:rsidRPr="000E2B80">
        <w:rPr>
          <w:rFonts w:ascii="Arial" w:eastAsia="Arial" w:hAnsi="Arial" w:cs="Arial"/>
          <w:sz w:val="19"/>
          <w:szCs w:val="19"/>
        </w:rPr>
        <w:t>bsolver</w:t>
      </w:r>
      <w:proofErr w:type="spellEnd"/>
      <w:r w:rsidRPr="000E2B80">
        <w:rPr>
          <w:rFonts w:ascii="Arial" w:eastAsia="Arial" w:hAnsi="Arial" w:cs="Arial"/>
          <w:sz w:val="19"/>
          <w:szCs w:val="19"/>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1A2608CB" w14:textId="77777777" w:rsidR="00D228B3" w:rsidRPr="000E2B80" w:rsidRDefault="00D228B3" w:rsidP="00D228B3">
      <w:pPr>
        <w:pBdr>
          <w:top w:val="nil"/>
          <w:left w:val="nil"/>
          <w:bottom w:val="nil"/>
          <w:right w:val="nil"/>
          <w:between w:val="nil"/>
        </w:pBdr>
        <w:ind w:firstLine="709"/>
        <w:jc w:val="both"/>
        <w:rPr>
          <w:rFonts w:ascii="Arial" w:eastAsia="Arial" w:hAnsi="Arial" w:cs="Arial"/>
          <w:sz w:val="19"/>
          <w:szCs w:val="19"/>
        </w:rPr>
      </w:pPr>
    </w:p>
  </w:footnote>
  <w:footnote w:id="3">
    <w:p w14:paraId="16F6A310" w14:textId="366EDC87" w:rsidR="0091736C" w:rsidRPr="0091736C" w:rsidRDefault="0091736C" w:rsidP="0091736C">
      <w:pPr>
        <w:pStyle w:val="Textonotapie"/>
        <w:ind w:firstLine="709"/>
        <w:rPr>
          <w:lang w:val="es-CO"/>
        </w:rPr>
      </w:pPr>
      <w:r>
        <w:rPr>
          <w:rStyle w:val="Refdenotaalpie"/>
        </w:rPr>
        <w:footnoteRef/>
      </w:r>
      <w:r>
        <w:t xml:space="preserve"> </w:t>
      </w:r>
      <w:r w:rsidRPr="0091736C">
        <w:rPr>
          <w:sz w:val="16"/>
          <w:szCs w:val="16"/>
          <w:lang w:val="es-CO"/>
        </w:rPr>
        <w:t>E</w:t>
      </w:r>
      <w:r w:rsidRPr="0091736C">
        <w:rPr>
          <w:rFonts w:ascii="Arial" w:hAnsi="Arial" w:cs="Arial"/>
          <w:sz w:val="16"/>
          <w:szCs w:val="16"/>
          <w:lang w:val="es-CO"/>
        </w:rPr>
        <w:t xml:space="preserve">stos conceptos pueden ser consultados en </w:t>
      </w:r>
      <w:bookmarkStart w:id="4" w:name="_Hlk110951907"/>
      <w:r w:rsidRPr="0091736C">
        <w:rPr>
          <w:rFonts w:ascii="Arial" w:hAnsi="Arial" w:cs="Arial"/>
          <w:sz w:val="16"/>
          <w:szCs w:val="16"/>
          <w:lang w:val="es-CO"/>
        </w:rPr>
        <w:fldChar w:fldCharType="begin"/>
      </w:r>
      <w:r w:rsidRPr="0091736C">
        <w:rPr>
          <w:rFonts w:ascii="Arial" w:hAnsi="Arial" w:cs="Arial"/>
          <w:sz w:val="16"/>
          <w:szCs w:val="16"/>
          <w:lang w:val="es-CO"/>
        </w:rPr>
        <w:instrText xml:space="preserve"> HYPERLINK "https://relatoria.colombiacompra.gov.co/busqueda/conceptos#" </w:instrText>
      </w:r>
      <w:r w:rsidRPr="0091736C">
        <w:rPr>
          <w:rFonts w:ascii="Arial" w:hAnsi="Arial" w:cs="Arial"/>
          <w:sz w:val="16"/>
          <w:szCs w:val="16"/>
          <w:lang w:val="es-CO"/>
        </w:rPr>
        <w:fldChar w:fldCharType="separate"/>
      </w:r>
      <w:r w:rsidRPr="0091736C">
        <w:rPr>
          <w:rStyle w:val="Hipervnculo"/>
          <w:rFonts w:ascii="Arial" w:hAnsi="Arial" w:cs="Arial"/>
          <w:color w:val="auto"/>
          <w:sz w:val="16"/>
          <w:szCs w:val="16"/>
          <w:u w:val="none"/>
          <w:lang w:val="es-CO"/>
        </w:rPr>
        <w:t>https://relatoria.colombiacompra.gov.co/busqueda/conceptos#</w:t>
      </w:r>
      <w:r w:rsidRPr="0091736C">
        <w:rPr>
          <w:rFonts w:ascii="Arial" w:hAnsi="Arial" w:cs="Arial"/>
          <w:sz w:val="16"/>
          <w:szCs w:val="16"/>
          <w:lang w:val="es-CO"/>
        </w:rPr>
        <w:fldChar w:fldCharType="end"/>
      </w:r>
      <w:r w:rsidRPr="0091736C">
        <w:rPr>
          <w:rFonts w:ascii="Arial" w:hAnsi="Arial" w:cs="Arial"/>
          <w:sz w:val="16"/>
          <w:szCs w:val="16"/>
          <w:lang w:val="es-CO"/>
        </w:rPr>
        <w:t xml:space="preserve"> </w:t>
      </w:r>
      <w:bookmarkEnd w:id="4"/>
    </w:p>
    <w:p w14:paraId="7D9E7F4A" w14:textId="0EDA6A11" w:rsidR="0091736C" w:rsidRPr="0091736C" w:rsidRDefault="0091736C">
      <w:pPr>
        <w:pStyle w:val="Textonotapie"/>
        <w:rPr>
          <w:lang w:val="es-CO"/>
        </w:rPr>
      </w:pPr>
    </w:p>
  </w:footnote>
  <w:footnote w:id="4">
    <w:p w14:paraId="4F3CF415" w14:textId="77777777" w:rsidR="0091736C" w:rsidRPr="009C5188" w:rsidRDefault="0091736C" w:rsidP="0091736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9C5188">
        <w:rPr>
          <w:rFonts w:ascii="Arial" w:hAnsi="Arial" w:cs="Arial"/>
          <w:sz w:val="19"/>
          <w:szCs w:val="19"/>
        </w:rPr>
        <w:t>equivalentes,</w:t>
      </w:r>
      <w:proofErr w:type="gramEnd"/>
      <w:r w:rsidRPr="009C5188">
        <w:rPr>
          <w:rFonts w:ascii="Arial" w:hAnsi="Arial" w:cs="Arial"/>
          <w:sz w:val="19"/>
          <w:szCs w:val="19"/>
        </w:rPr>
        <w:t xml:space="preserve"> tendrán en cuenta los siguientes criterios:</w:t>
      </w:r>
    </w:p>
    <w:p w14:paraId="706CAA95" w14:textId="77777777" w:rsidR="0091736C" w:rsidRPr="009C5188" w:rsidRDefault="0091736C" w:rsidP="0091736C">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3D917FC" w14:textId="77777777" w:rsidR="0091736C" w:rsidRPr="009C5188" w:rsidRDefault="0091736C" w:rsidP="0091736C">
      <w:pPr>
        <w:pStyle w:val="Textonotapie"/>
        <w:jc w:val="both"/>
        <w:rPr>
          <w:rFonts w:ascii="Arial" w:hAnsi="Arial" w:cs="Arial"/>
          <w:sz w:val="19"/>
          <w:szCs w:val="19"/>
          <w:lang w:val="es-ES"/>
        </w:rPr>
      </w:pPr>
    </w:p>
  </w:footnote>
  <w:footnote w:id="5">
    <w:p w14:paraId="0A79C9C9" w14:textId="77777777" w:rsidR="0091736C" w:rsidRPr="009C5188" w:rsidRDefault="0091736C" w:rsidP="0091736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D3ED013" w14:textId="77777777" w:rsidR="0091736C" w:rsidRPr="009C5188" w:rsidRDefault="0091736C" w:rsidP="0091736C">
      <w:pPr>
        <w:pStyle w:val="Textonotapie"/>
        <w:ind w:firstLine="708"/>
        <w:jc w:val="both"/>
        <w:rPr>
          <w:rFonts w:ascii="Arial" w:hAnsi="Arial" w:cs="Arial"/>
          <w:sz w:val="19"/>
          <w:szCs w:val="19"/>
          <w:lang w:val="es-ES"/>
        </w:rPr>
      </w:pPr>
    </w:p>
  </w:footnote>
  <w:footnote w:id="6">
    <w:p w14:paraId="6DC1619C" w14:textId="77777777" w:rsidR="0091736C" w:rsidRPr="009C5188" w:rsidRDefault="0091736C" w:rsidP="0091736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2ECA8F7D" w14:textId="77777777" w:rsidR="0091736C" w:rsidRPr="009C5188" w:rsidRDefault="0091736C" w:rsidP="0091736C">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2BEF84F4" w14:textId="77777777" w:rsidR="0091736C" w:rsidRPr="009C5188" w:rsidRDefault="0091736C" w:rsidP="0091736C">
      <w:pPr>
        <w:pStyle w:val="Textonotapie"/>
        <w:ind w:firstLine="708"/>
        <w:jc w:val="both"/>
        <w:rPr>
          <w:rFonts w:ascii="Arial" w:hAnsi="Arial" w:cs="Arial"/>
          <w:sz w:val="19"/>
          <w:szCs w:val="19"/>
        </w:rPr>
      </w:pPr>
      <w:r w:rsidRPr="009C5188">
        <w:rPr>
          <w:rFonts w:ascii="Arial" w:hAnsi="Arial" w:cs="Arial"/>
          <w:sz w:val="19"/>
          <w:szCs w:val="19"/>
        </w:rPr>
        <w:t>[...]».</w:t>
      </w:r>
    </w:p>
    <w:p w14:paraId="1ECC569D" w14:textId="77777777" w:rsidR="0091736C" w:rsidRPr="009C5188" w:rsidRDefault="0091736C" w:rsidP="0091736C">
      <w:pPr>
        <w:pStyle w:val="Textonotapie"/>
        <w:ind w:firstLine="708"/>
        <w:jc w:val="both"/>
        <w:rPr>
          <w:rFonts w:ascii="Arial" w:hAnsi="Arial" w:cs="Arial"/>
          <w:sz w:val="19"/>
          <w:szCs w:val="19"/>
          <w:lang w:val="es-ES"/>
        </w:rPr>
      </w:pPr>
    </w:p>
  </w:footnote>
  <w:footnote w:id="7">
    <w:p w14:paraId="202393F0" w14:textId="77777777" w:rsidR="0091736C" w:rsidRPr="009C5188" w:rsidRDefault="0091736C" w:rsidP="0091736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FEF1BEF" w14:textId="77777777" w:rsidR="0091736C" w:rsidRPr="009C5188" w:rsidRDefault="0091736C" w:rsidP="0091736C">
      <w:pPr>
        <w:pStyle w:val="Textonotapie"/>
        <w:ind w:firstLine="708"/>
        <w:jc w:val="both"/>
        <w:rPr>
          <w:rFonts w:ascii="Arial" w:hAnsi="Arial" w:cs="Arial"/>
          <w:sz w:val="19"/>
          <w:szCs w:val="19"/>
        </w:rPr>
      </w:pPr>
      <w:r w:rsidRPr="009C5188">
        <w:rPr>
          <w:rFonts w:ascii="Arial" w:hAnsi="Arial" w:cs="Arial"/>
          <w:sz w:val="19"/>
          <w:szCs w:val="19"/>
        </w:rPr>
        <w:t>[...]</w:t>
      </w:r>
    </w:p>
    <w:p w14:paraId="630F46B6" w14:textId="77777777" w:rsidR="0091736C" w:rsidRPr="009C5188" w:rsidRDefault="0091736C" w:rsidP="0091736C">
      <w:pPr>
        <w:pStyle w:val="Textonotapie"/>
        <w:ind w:firstLine="708"/>
        <w:jc w:val="both"/>
        <w:rPr>
          <w:rFonts w:ascii="Arial" w:hAnsi="Arial" w:cs="Arial"/>
          <w:sz w:val="19"/>
          <w:szCs w:val="19"/>
        </w:rPr>
      </w:pPr>
      <w:proofErr w:type="gramStart"/>
      <w:r w:rsidRPr="009C5188">
        <w:rPr>
          <w:rFonts w:ascii="Arial" w:hAnsi="Arial" w:cs="Arial"/>
          <w:sz w:val="19"/>
          <w:szCs w:val="19"/>
        </w:rPr>
        <w:t>»El</w:t>
      </w:r>
      <w:proofErr w:type="gramEnd"/>
      <w:r w:rsidRPr="009C5188">
        <w:rPr>
          <w:rFonts w:ascii="Arial" w:hAnsi="Arial" w:cs="Arial"/>
          <w:sz w:val="19"/>
          <w:szCs w:val="19"/>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C18985F" w14:textId="77777777" w:rsidR="0091736C" w:rsidRPr="009C5188" w:rsidRDefault="0091736C" w:rsidP="0091736C">
      <w:pPr>
        <w:pStyle w:val="Textonotapie"/>
        <w:ind w:firstLine="708"/>
        <w:jc w:val="both"/>
        <w:rPr>
          <w:rFonts w:ascii="Arial" w:hAnsi="Arial" w:cs="Arial"/>
          <w:sz w:val="19"/>
          <w:szCs w:val="19"/>
        </w:rPr>
      </w:pPr>
      <w:proofErr w:type="gramStart"/>
      <w:r w:rsidRPr="009C5188">
        <w:rPr>
          <w:rFonts w:ascii="Arial" w:hAnsi="Arial" w:cs="Arial"/>
          <w:sz w:val="19"/>
          <w:szCs w:val="19"/>
        </w:rPr>
        <w:t>»No</w:t>
      </w:r>
      <w:proofErr w:type="gramEnd"/>
      <w:r w:rsidRPr="009C5188">
        <w:rPr>
          <w:rFonts w:ascii="Arial" w:hAnsi="Arial" w:cs="Arial"/>
          <w:sz w:val="19"/>
          <w:szCs w:val="19"/>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69A4FB3" w14:textId="77777777" w:rsidR="0091736C" w:rsidRPr="009C5188" w:rsidRDefault="0091736C" w:rsidP="0091736C">
      <w:pPr>
        <w:pStyle w:val="Textonotapie"/>
        <w:jc w:val="both"/>
        <w:rPr>
          <w:rFonts w:ascii="Arial" w:hAnsi="Arial" w:cs="Arial"/>
          <w:sz w:val="19"/>
          <w:szCs w:val="19"/>
          <w:lang w:val="es-ES"/>
        </w:rPr>
      </w:pPr>
    </w:p>
  </w:footnote>
  <w:footnote w:id="8">
    <w:p w14:paraId="58F0620A" w14:textId="77777777" w:rsidR="0091736C" w:rsidRPr="009C5188" w:rsidRDefault="0091736C" w:rsidP="0091736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8EDF593" w14:textId="77777777" w:rsidR="0091736C" w:rsidRPr="009C5188" w:rsidRDefault="0091736C" w:rsidP="0091736C">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14:paraId="7BF2B701" w14:textId="77777777" w:rsidR="0091736C" w:rsidRPr="009C5188" w:rsidRDefault="0091736C" w:rsidP="0091736C">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14:paraId="2963A0D1" w14:textId="77777777" w:rsidR="0091736C" w:rsidRPr="009C5188" w:rsidRDefault="0091736C" w:rsidP="0091736C">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E1D4AB7" w14:textId="77777777" w:rsidR="0091736C" w:rsidRPr="009C5188" w:rsidRDefault="0091736C" w:rsidP="0091736C">
      <w:pPr>
        <w:pStyle w:val="Textonotapie"/>
        <w:ind w:firstLine="708"/>
        <w:jc w:val="both"/>
        <w:rPr>
          <w:rFonts w:ascii="Arial" w:hAnsi="Arial" w:cs="Arial"/>
          <w:sz w:val="19"/>
          <w:szCs w:val="19"/>
          <w:lang w:val="es-ES"/>
        </w:rPr>
      </w:pPr>
    </w:p>
  </w:footnote>
  <w:footnote w:id="9">
    <w:p w14:paraId="131C2C8C" w14:textId="14D579C9" w:rsidR="00D5566A" w:rsidRDefault="00D5566A" w:rsidP="00D5566A">
      <w:pPr>
        <w:pStyle w:val="Textonotapie"/>
        <w:ind w:firstLine="709"/>
        <w:jc w:val="both"/>
        <w:rPr>
          <w:rFonts w:ascii="Arial" w:hAnsi="Arial" w:cs="Arial"/>
          <w:sz w:val="14"/>
          <w:szCs w:val="14"/>
        </w:rPr>
      </w:pPr>
      <w:r>
        <w:rPr>
          <w:rStyle w:val="Refdenotaalpie"/>
        </w:rPr>
        <w:footnoteRef/>
      </w:r>
      <w:r>
        <w:t xml:space="preserve"> </w:t>
      </w:r>
      <w:r w:rsidRPr="008221EA">
        <w:rPr>
          <w:rFonts w:ascii="Arial" w:hAnsi="Arial" w:cs="Arial"/>
          <w:sz w:val="19"/>
          <w:szCs w:val="19"/>
        </w:rPr>
        <w:t>La versión actualizada puede ser consultada en</w:t>
      </w:r>
      <w:r>
        <w:rPr>
          <w:rFonts w:ascii="Arial" w:hAnsi="Arial" w:cs="Arial"/>
          <w:sz w:val="19"/>
          <w:szCs w:val="19"/>
        </w:rPr>
        <w:t>:</w:t>
      </w:r>
      <w:r w:rsidRPr="008221EA">
        <w:rPr>
          <w:rFonts w:ascii="Arial" w:hAnsi="Arial" w:cs="Arial"/>
          <w:sz w:val="19"/>
          <w:szCs w:val="19"/>
        </w:rPr>
        <w:t xml:space="preserve"> </w:t>
      </w:r>
      <w:hyperlink r:id="rId1" w:history="1">
        <w:r w:rsidRPr="008221EA">
          <w:rPr>
            <w:rStyle w:val="Hipervnculo"/>
            <w:rFonts w:ascii="Arial" w:hAnsi="Arial" w:cs="Arial"/>
            <w:color w:val="auto"/>
            <w:sz w:val="14"/>
            <w:szCs w:val="14"/>
          </w:rPr>
          <w:t>https://www.colombiacompra.gov.co/sites/cce_public/files/files_2020/cce-eicp-ma-04._manual_requisitos_habilitantes_v.02.pdf</w:t>
        </w:r>
      </w:hyperlink>
    </w:p>
    <w:p w14:paraId="3B64CBCE" w14:textId="3AE5BBDE" w:rsidR="00D5566A" w:rsidRPr="00D5566A" w:rsidRDefault="00D5566A">
      <w:pPr>
        <w:pStyle w:val="Textonotapie"/>
        <w:rPr>
          <w:lang w:val="es-CO"/>
        </w:rPr>
      </w:pPr>
    </w:p>
  </w:footnote>
  <w:footnote w:id="10">
    <w:p w14:paraId="3A3B5F51" w14:textId="6D18F211" w:rsidR="00D5566A" w:rsidRPr="009C5188" w:rsidRDefault="0091736C" w:rsidP="00D5566A">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Colombia Compra Eficiente, Manual para determinar y verificar requisitos habilitantes en los procesos de contratación</w:t>
      </w:r>
      <w:r w:rsidR="0058575C">
        <w:rPr>
          <w:rFonts w:ascii="Arial" w:hAnsi="Arial" w:cs="Arial"/>
          <w:sz w:val="19"/>
          <w:szCs w:val="19"/>
        </w:rPr>
        <w:t xml:space="preserve"> V2</w:t>
      </w:r>
      <w:r w:rsidRPr="009C5188">
        <w:rPr>
          <w:rFonts w:ascii="Arial" w:hAnsi="Arial" w:cs="Arial"/>
          <w:sz w:val="19"/>
          <w:szCs w:val="19"/>
        </w:rPr>
        <w:t>: «</w:t>
      </w:r>
      <w:r w:rsidR="00D5566A" w:rsidRPr="00D5566A">
        <w:rPr>
          <w:rFonts w:ascii="Arial" w:hAnsi="Arial" w:cs="Arial"/>
          <w:sz w:val="19"/>
          <w:szCs w:val="19"/>
          <w:lang w:val="es-CO"/>
        </w:rPr>
        <w:t xml:space="preserve"> </w:t>
      </w:r>
      <w:r w:rsidR="00D5566A" w:rsidRPr="00FC58B0">
        <w:rPr>
          <w:rFonts w:ascii="Arial" w:hAnsi="Arial" w:cs="Arial"/>
          <w:sz w:val="19"/>
          <w:szCs w:val="19"/>
          <w:lang w:val="es-CO"/>
        </w:rPr>
        <w:t>Dentro de los requisitos habilitantes establecidos por el artículo 5 de la Ley 1150 de 2007 se destaca la experiencia, la cual debe ser entendida como el conocimiento del proponente derivado de su participación previa en actividades iguales o similares a las previstas en el objeto del contrato con contratantes públicos, privados, nacionales o extranjeros, ya sea directamente o en asocio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w:t>
      </w:r>
      <w:r w:rsidR="00D5566A" w:rsidRPr="009C5188">
        <w:rPr>
          <w:rFonts w:ascii="Arial" w:hAnsi="Arial" w:cs="Arial"/>
          <w:sz w:val="19"/>
          <w:szCs w:val="19"/>
        </w:rPr>
        <w:t>.</w:t>
      </w:r>
    </w:p>
    <w:p w14:paraId="12C47ED8" w14:textId="77777777" w:rsidR="00D5566A" w:rsidRPr="009C5188" w:rsidRDefault="00D5566A" w:rsidP="00D5566A">
      <w:pPr>
        <w:pStyle w:val="Textonotapie"/>
        <w:ind w:firstLine="708"/>
        <w:jc w:val="both"/>
        <w:rPr>
          <w:rFonts w:ascii="Arial" w:hAnsi="Arial" w:cs="Arial"/>
          <w:sz w:val="19"/>
          <w:szCs w:val="19"/>
        </w:rPr>
      </w:pPr>
      <w:r w:rsidRPr="009C5188">
        <w:rPr>
          <w:rFonts w:ascii="Arial" w:hAnsi="Arial" w:cs="Arial"/>
          <w:sz w:val="19"/>
          <w:szCs w:val="19"/>
        </w:rPr>
        <w:t>[...]</w:t>
      </w:r>
    </w:p>
    <w:p w14:paraId="1742E4D6" w14:textId="77777777" w:rsidR="00D5566A" w:rsidRDefault="00D5566A" w:rsidP="00D5566A">
      <w:pPr>
        <w:pStyle w:val="Textonotapie"/>
        <w:ind w:firstLine="708"/>
        <w:jc w:val="both"/>
        <w:rPr>
          <w:rFonts w:ascii="Arial" w:hAnsi="Arial" w:cs="Arial"/>
          <w:sz w:val="19"/>
          <w:szCs w:val="19"/>
          <w:lang w:val="es-CO"/>
        </w:rPr>
      </w:pPr>
      <w:proofErr w:type="gramStart"/>
      <w:r w:rsidRPr="009C5188">
        <w:rPr>
          <w:rFonts w:ascii="Arial" w:hAnsi="Arial" w:cs="Arial"/>
          <w:sz w:val="19"/>
          <w:szCs w:val="19"/>
        </w:rPr>
        <w:t>»</w:t>
      </w:r>
      <w:r w:rsidRPr="008221EA">
        <w:rPr>
          <w:rFonts w:ascii="Arial" w:hAnsi="Arial" w:cs="Arial"/>
          <w:sz w:val="19"/>
          <w:szCs w:val="19"/>
          <w:lang w:val="es-CO"/>
        </w:rPr>
        <w:t>Así</w:t>
      </w:r>
      <w:proofErr w:type="gramEnd"/>
      <w:r w:rsidRPr="008221EA">
        <w:rPr>
          <w:rFonts w:ascii="Arial" w:hAnsi="Arial" w:cs="Arial"/>
          <w:sz w:val="19"/>
          <w:szCs w:val="19"/>
          <w:lang w:val="es-CO"/>
        </w:rPr>
        <w:t xml:space="preserve"> mismo, la experiencia requerida en un Proceso de Contratación debe ser adecuada y proporcional a la naturaleza del contrato, su valor, complejidad y Riesgo. Es adecuada cuando es afín al tipo de actividades previstas en el objeto del negocio a celebrar. Por ejemplo, si es para prestar un servicio de aseo general, el proponente debe tener experiencia en tal servicio, sin que sea relevante el lugar en el cual lo haya ejecutado o quién fue el contratante. </w:t>
      </w:r>
    </w:p>
    <w:p w14:paraId="7C519A57" w14:textId="77777777" w:rsidR="00D5566A" w:rsidRPr="009C5188" w:rsidRDefault="00D5566A" w:rsidP="00D5566A">
      <w:pPr>
        <w:pStyle w:val="Textonotapie"/>
        <w:ind w:firstLine="708"/>
        <w:jc w:val="both"/>
        <w:rPr>
          <w:rFonts w:ascii="Arial" w:hAnsi="Arial" w:cs="Arial"/>
          <w:sz w:val="19"/>
          <w:szCs w:val="19"/>
        </w:rPr>
      </w:pPr>
      <w:proofErr w:type="gramStart"/>
      <w:r w:rsidRPr="009C5188">
        <w:rPr>
          <w:rFonts w:ascii="Arial" w:hAnsi="Arial" w:cs="Arial"/>
          <w:sz w:val="19"/>
          <w:szCs w:val="19"/>
        </w:rPr>
        <w:t>»</w:t>
      </w:r>
      <w:r w:rsidRPr="008221EA">
        <w:rPr>
          <w:rFonts w:ascii="Arial" w:hAnsi="Arial" w:cs="Arial"/>
          <w:sz w:val="19"/>
          <w:szCs w:val="19"/>
          <w:lang w:val="es-CO"/>
        </w:rPr>
        <w:t>Es</w:t>
      </w:r>
      <w:proofErr w:type="gramEnd"/>
      <w:r w:rsidRPr="008221EA">
        <w:rPr>
          <w:rFonts w:ascii="Arial" w:hAnsi="Arial" w:cs="Arial"/>
          <w:sz w:val="19"/>
          <w:szCs w:val="19"/>
          <w:lang w:val="es-CO"/>
        </w:rPr>
        <w:t xml:space="preserve"> proporcional cuando tiene relación con el alcance, la cuantía, Riesgo y la complejidad del negocio a celebrar. Por ejemplo, en una obra pública con un presupuesto oficial de 100 SMMLV, la experiencia exigida es proporcional si se exige que los proponentes hayan participado en Procesos de Contratación entre 90 y 100 SMMLV del mismo tipo de obra. </w:t>
      </w:r>
    </w:p>
    <w:p w14:paraId="619AE913" w14:textId="77777777" w:rsidR="00D5566A" w:rsidRPr="00694D8E" w:rsidRDefault="00D5566A" w:rsidP="00D5566A">
      <w:pPr>
        <w:pStyle w:val="Textonotapie"/>
        <w:ind w:firstLine="708"/>
        <w:jc w:val="both"/>
        <w:rPr>
          <w:rFonts w:ascii="Arial" w:hAnsi="Arial" w:cs="Arial"/>
          <w:sz w:val="19"/>
          <w:szCs w:val="19"/>
        </w:rPr>
      </w:pPr>
      <w:r w:rsidRPr="009C5188">
        <w:rPr>
          <w:rFonts w:ascii="Arial" w:hAnsi="Arial" w:cs="Arial"/>
          <w:sz w:val="19"/>
          <w:szCs w:val="19"/>
        </w:rPr>
        <w:t>[...]».</w:t>
      </w:r>
    </w:p>
    <w:p w14:paraId="0F3C7C6E" w14:textId="415C5139" w:rsidR="0091736C" w:rsidRPr="00694D8E" w:rsidRDefault="0091736C" w:rsidP="0091736C">
      <w:pPr>
        <w:pStyle w:val="Textonotapie"/>
        <w:ind w:firstLine="708"/>
        <w:jc w:val="both"/>
        <w:rPr>
          <w:rFonts w:ascii="Arial" w:hAnsi="Arial" w:cs="Arial"/>
          <w:sz w:val="19"/>
          <w:szCs w:val="19"/>
        </w:rPr>
      </w:pPr>
    </w:p>
  </w:footnote>
  <w:footnote w:id="11">
    <w:p w14:paraId="11D98BBA" w14:textId="77777777" w:rsidR="009175C6" w:rsidRPr="00C108C4" w:rsidRDefault="009175C6" w:rsidP="009175C6">
      <w:pPr>
        <w:pStyle w:val="Textonotapie"/>
        <w:ind w:firstLine="709"/>
        <w:jc w:val="both"/>
        <w:rPr>
          <w:lang w:val="es-CO"/>
        </w:rPr>
      </w:pPr>
      <w:r>
        <w:rPr>
          <w:rStyle w:val="Refdenotaalpie"/>
        </w:rPr>
        <w:footnoteRef/>
      </w:r>
      <w:r>
        <w:t xml:space="preserve"> </w:t>
      </w:r>
      <w:r w:rsidRPr="00C108C4">
        <w:rPr>
          <w:rFonts w:ascii="Arial" w:hAnsi="Arial" w:cs="Arial"/>
          <w:sz w:val="19"/>
          <w:szCs w:val="19"/>
          <w:lang w:val="es-CO"/>
        </w:rPr>
        <w:t>Consejo de Estado. Sección Tercera. Sentencia del 20 de abril del 2022. Radicación Nro. 54482. C.P.: Jaime Enrique Rodríguez Navas.</w:t>
      </w:r>
    </w:p>
  </w:footnote>
  <w:footnote w:id="12">
    <w:p w14:paraId="1E7E42EF" w14:textId="77777777" w:rsidR="0091736C" w:rsidRPr="003513C4" w:rsidRDefault="0091736C" w:rsidP="0091736C">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Esta conclusión cambió respecto del concepto C – 002 del 20 de febrero de 2020, para adecuarla a un mejor entendimiento de las normas sobre la experiencia.</w:t>
      </w:r>
    </w:p>
    <w:p w14:paraId="6CDA7C6D" w14:textId="77777777" w:rsidR="0091736C" w:rsidRPr="00384698" w:rsidRDefault="0091736C" w:rsidP="0091736C">
      <w:pPr>
        <w:pStyle w:val="Textonotapie"/>
        <w:ind w:firstLine="708"/>
        <w:jc w:val="both"/>
        <w:rPr>
          <w:lang w:val="es-CO"/>
        </w:rPr>
      </w:pPr>
    </w:p>
  </w:footnote>
  <w:footnote w:id="13">
    <w:p w14:paraId="14E444E1" w14:textId="77777777" w:rsidR="0091736C" w:rsidRPr="009C5188" w:rsidRDefault="0091736C" w:rsidP="0091736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14:paraId="14333924" w14:textId="77777777" w:rsidR="0091736C" w:rsidRPr="009C5188" w:rsidRDefault="0091736C" w:rsidP="0091736C">
      <w:pPr>
        <w:pStyle w:val="Textonotapie"/>
        <w:ind w:firstLine="708"/>
        <w:jc w:val="both"/>
        <w:rPr>
          <w:rFonts w:ascii="Arial" w:hAnsi="Arial" w:cs="Arial"/>
          <w:sz w:val="19"/>
          <w:szCs w:val="19"/>
        </w:rPr>
      </w:pPr>
      <w:proofErr w:type="gramStart"/>
      <w:r w:rsidRPr="009C5188">
        <w:rPr>
          <w:rFonts w:ascii="Arial" w:hAnsi="Arial" w:cs="Arial"/>
          <w:sz w:val="19"/>
          <w:szCs w:val="19"/>
        </w:rPr>
        <w:t>»El</w:t>
      </w:r>
      <w:proofErr w:type="gramEnd"/>
      <w:r w:rsidRPr="009C5188">
        <w:rPr>
          <w:rFonts w:ascii="Arial" w:hAnsi="Arial" w:cs="Arial"/>
          <w:sz w:val="19"/>
          <w:szCs w:val="19"/>
        </w:rPr>
        <w:t xml:space="preserve"> nombre de la sociedad disuelta deberá adicionarse siempre con la expresión ‘en liquidación’. Los encargados de realizarla responderán de los daños y perjuicios que se deriven por dicha omisión».</w:t>
      </w:r>
    </w:p>
    <w:p w14:paraId="0C23E5E9" w14:textId="77777777" w:rsidR="0091736C" w:rsidRPr="009C5188" w:rsidRDefault="0091736C" w:rsidP="0091736C">
      <w:pPr>
        <w:pStyle w:val="Textonotapie"/>
        <w:jc w:val="both"/>
        <w:rPr>
          <w:rFonts w:ascii="Arial" w:hAnsi="Arial" w:cs="Arial"/>
          <w:sz w:val="19"/>
          <w:szCs w:val="19"/>
          <w:lang w:val="es-CO"/>
        </w:rPr>
      </w:pPr>
    </w:p>
  </w:footnote>
  <w:footnote w:id="14">
    <w:p w14:paraId="5837C83A" w14:textId="77777777" w:rsidR="0091736C" w:rsidRPr="009C5188" w:rsidRDefault="0091736C" w:rsidP="0091736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Ver artículos 225 y ss. del Código de Comercio.</w:t>
      </w:r>
    </w:p>
    <w:p w14:paraId="6F0935D4" w14:textId="77777777" w:rsidR="0091736C" w:rsidRPr="009C5188" w:rsidRDefault="0091736C" w:rsidP="0091736C">
      <w:pPr>
        <w:pStyle w:val="Textonotapie"/>
        <w:ind w:firstLine="708"/>
        <w:jc w:val="both"/>
        <w:rPr>
          <w:rFonts w:ascii="Arial" w:hAnsi="Arial" w:cs="Arial"/>
          <w:sz w:val="19"/>
          <w:szCs w:val="19"/>
          <w:lang w:val="es-CO"/>
        </w:rPr>
      </w:pPr>
      <w:r w:rsidRPr="009C5188">
        <w:rPr>
          <w:rFonts w:ascii="Arial" w:hAnsi="Arial" w:cs="Arial"/>
          <w:sz w:val="19"/>
          <w:szCs w:val="19"/>
        </w:rPr>
        <w:t xml:space="preserve"> </w:t>
      </w:r>
    </w:p>
  </w:footnote>
  <w:footnote w:id="15">
    <w:p w14:paraId="4F630146" w14:textId="77777777" w:rsidR="0091736C" w:rsidRPr="009C5188" w:rsidRDefault="0091736C" w:rsidP="0091736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14:paraId="2434ACA1" w14:textId="77777777" w:rsidR="0091736C" w:rsidRPr="009C5188" w:rsidRDefault="0091736C" w:rsidP="0091736C">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transformación no producirá solución de continuidad en la existencia de la sociedad como persona jurídica, ni en sus actividades ni en su patrimonio».</w:t>
      </w:r>
    </w:p>
    <w:p w14:paraId="13CF59EF" w14:textId="77777777" w:rsidR="0091736C" w:rsidRPr="009C5188" w:rsidRDefault="0091736C" w:rsidP="0091736C">
      <w:pPr>
        <w:pStyle w:val="Textonotapie"/>
        <w:ind w:firstLine="708"/>
        <w:jc w:val="both"/>
        <w:rPr>
          <w:rFonts w:ascii="Arial" w:hAnsi="Arial" w:cs="Arial"/>
          <w:sz w:val="19"/>
          <w:szCs w:val="19"/>
        </w:rPr>
      </w:pPr>
    </w:p>
  </w:footnote>
  <w:footnote w:id="16">
    <w:p w14:paraId="14B9D734" w14:textId="77777777" w:rsidR="0091736C" w:rsidRPr="009C5188" w:rsidRDefault="0091736C" w:rsidP="0091736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222 de 1995: «Artículo 3. Modalidades. Habrá escisión cuando:</w:t>
      </w:r>
    </w:p>
    <w:p w14:paraId="3881B444" w14:textId="77777777" w:rsidR="0091736C" w:rsidRPr="009C5188" w:rsidRDefault="0091736C" w:rsidP="0091736C">
      <w:pPr>
        <w:pStyle w:val="Textonotapie"/>
        <w:ind w:firstLine="708"/>
        <w:jc w:val="both"/>
        <w:rPr>
          <w:rFonts w:ascii="Arial" w:hAnsi="Arial" w:cs="Arial"/>
          <w:sz w:val="19"/>
          <w:szCs w:val="19"/>
        </w:rPr>
      </w:pPr>
      <w:r w:rsidRPr="009C5188">
        <w:rPr>
          <w:rFonts w:ascii="Arial" w:hAnsi="Arial" w:cs="Arial"/>
          <w:sz w:val="19"/>
          <w:szCs w:val="19"/>
        </w:rPr>
        <w:t xml:space="preserve">»1. Una sociedad sin </w:t>
      </w:r>
      <w:proofErr w:type="gramStart"/>
      <w:r w:rsidRPr="009C5188">
        <w:rPr>
          <w:rFonts w:ascii="Arial" w:hAnsi="Arial" w:cs="Arial"/>
          <w:sz w:val="19"/>
          <w:szCs w:val="19"/>
        </w:rPr>
        <w:t>disolverse,</w:t>
      </w:r>
      <w:proofErr w:type="gramEnd"/>
      <w:r w:rsidRPr="009C5188">
        <w:rPr>
          <w:rFonts w:ascii="Arial" w:hAnsi="Arial" w:cs="Arial"/>
          <w:sz w:val="19"/>
          <w:szCs w:val="19"/>
        </w:rPr>
        <w:t xml:space="preserve"> transfiere en bloque una o varias partes de su patrimonio a una o más sociedades existentes o las destina a la creación de una o varias sociedades.</w:t>
      </w:r>
    </w:p>
    <w:p w14:paraId="62ED6E64" w14:textId="77777777" w:rsidR="0091736C" w:rsidRPr="009C5188" w:rsidRDefault="0091736C" w:rsidP="0091736C">
      <w:pPr>
        <w:pStyle w:val="Textonotapie"/>
        <w:ind w:firstLine="708"/>
        <w:jc w:val="both"/>
        <w:rPr>
          <w:rFonts w:ascii="Arial" w:hAnsi="Arial" w:cs="Arial"/>
          <w:sz w:val="19"/>
          <w:szCs w:val="19"/>
        </w:rPr>
      </w:pPr>
      <w:r w:rsidRPr="009C5188">
        <w:rPr>
          <w:rFonts w:ascii="Arial" w:hAnsi="Arial" w:cs="Arial"/>
          <w:sz w:val="19"/>
          <w:szCs w:val="19"/>
        </w:rPr>
        <w:t>»2. Una sociedad se disuelve sin liquidarse, dividiendo su patrimonio en dos o más partes, que se transfieren a varias sociedades existentes o se destinan a la creación de nuevas sociedades.</w:t>
      </w:r>
    </w:p>
    <w:p w14:paraId="49B0DC6D" w14:textId="77777777" w:rsidR="0091736C" w:rsidRPr="009C5188" w:rsidRDefault="0091736C" w:rsidP="0091736C">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sociedad o sociedades destinatarias de las transferencias resultantes de la escisión, se denominarán sociedades beneficiarias.</w:t>
      </w:r>
    </w:p>
    <w:p w14:paraId="2105233B" w14:textId="77777777" w:rsidR="0091736C" w:rsidRPr="009C5188" w:rsidRDefault="0091736C" w:rsidP="0091736C">
      <w:pPr>
        <w:pStyle w:val="Textonotapie"/>
        <w:ind w:firstLine="708"/>
        <w:jc w:val="both"/>
        <w:rPr>
          <w:rFonts w:ascii="Arial" w:hAnsi="Arial" w:cs="Arial"/>
          <w:sz w:val="19"/>
          <w:szCs w:val="19"/>
          <w:lang w:val="es-CO"/>
        </w:rPr>
      </w:pPr>
      <w:proofErr w:type="gramStart"/>
      <w:r w:rsidRPr="009C5188">
        <w:rPr>
          <w:rFonts w:ascii="Arial" w:hAnsi="Arial" w:cs="Arial"/>
          <w:sz w:val="19"/>
          <w:szCs w:val="19"/>
        </w:rPr>
        <w:t>»Los</w:t>
      </w:r>
      <w:proofErr w:type="gramEnd"/>
      <w:r w:rsidRPr="009C5188">
        <w:rPr>
          <w:rFonts w:ascii="Arial" w:hAnsi="Arial" w:cs="Arial"/>
          <w:sz w:val="19"/>
          <w:szCs w:val="19"/>
        </w:rPr>
        <w:t xml:space="preserve">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p>
  </w:footnote>
  <w:footnote w:id="17">
    <w:p w14:paraId="5D255BE8" w14:textId="77777777" w:rsidR="0091736C" w:rsidRPr="009C5188" w:rsidRDefault="0091736C" w:rsidP="0091736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172. Fusión de la sociedad-concepto. Habrá fusión cuando una o más sociedades se disuelvan, sin liquidarse, para ser absorbidas por otra o para crear una nueva.</w:t>
      </w:r>
    </w:p>
    <w:p w14:paraId="7D43CC70" w14:textId="77777777" w:rsidR="0091736C" w:rsidRPr="009C5188" w:rsidRDefault="0091736C" w:rsidP="0091736C">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absorbente o la nueva compañía adquirirá los derechos y obligaciones de la sociedad o sociedades disueltas al formalizarse el acuerdo de fusión».</w:t>
      </w:r>
    </w:p>
    <w:p w14:paraId="2D06D9E0" w14:textId="77777777" w:rsidR="0091736C" w:rsidRPr="009C5188" w:rsidRDefault="0091736C" w:rsidP="0091736C">
      <w:pPr>
        <w:pStyle w:val="Textonotapie"/>
        <w:jc w:val="both"/>
        <w:rPr>
          <w:rFonts w:ascii="Arial" w:hAnsi="Arial" w:cs="Arial"/>
          <w:sz w:val="19"/>
          <w:szCs w:val="19"/>
          <w:lang w:val="es-CO"/>
        </w:rPr>
      </w:pPr>
    </w:p>
  </w:footnote>
  <w:footnote w:id="18">
    <w:p w14:paraId="7AE14382" w14:textId="77777777" w:rsidR="0091736C" w:rsidRPr="009C5188" w:rsidRDefault="0091736C" w:rsidP="0091736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14:paraId="2EE7C9F7" w14:textId="77777777" w:rsidR="0091736C" w:rsidRPr="009C5188" w:rsidRDefault="0091736C" w:rsidP="0091736C">
      <w:pPr>
        <w:pStyle w:val="Textonotapie"/>
        <w:ind w:firstLine="708"/>
        <w:jc w:val="both"/>
        <w:rPr>
          <w:rFonts w:ascii="Arial" w:hAnsi="Arial" w:cs="Arial"/>
          <w:sz w:val="19"/>
          <w:szCs w:val="19"/>
          <w:lang w:val="es-CO"/>
        </w:rPr>
      </w:pPr>
    </w:p>
  </w:footnote>
  <w:footnote w:id="19">
    <w:p w14:paraId="0D3BC666" w14:textId="77777777" w:rsidR="0091736C" w:rsidRPr="009C5188" w:rsidRDefault="0091736C" w:rsidP="0091736C">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1258 de 2008: «Artículo 33. Fusión abreviada.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14:paraId="4936FD56" w14:textId="77777777" w:rsidR="0091736C" w:rsidRPr="009C5188" w:rsidRDefault="0091736C" w:rsidP="0091736C">
      <w:pPr>
        <w:pStyle w:val="Textonotapie"/>
        <w:ind w:firstLine="708"/>
        <w:jc w:val="both"/>
        <w:rPr>
          <w:rFonts w:ascii="Arial" w:hAnsi="Arial" w:cs="Arial"/>
          <w:sz w:val="19"/>
          <w:szCs w:val="19"/>
        </w:rPr>
      </w:pPr>
      <w:proofErr w:type="gramStart"/>
      <w:r w:rsidRPr="009C5188">
        <w:rPr>
          <w:rFonts w:ascii="Arial" w:hAnsi="Arial" w:cs="Arial"/>
          <w:sz w:val="19"/>
          <w:szCs w:val="19"/>
        </w:rPr>
        <w:t>»El</w:t>
      </w:r>
      <w:proofErr w:type="gramEnd"/>
      <w:r w:rsidRPr="009C5188">
        <w:rPr>
          <w:rFonts w:ascii="Arial" w:hAnsi="Arial" w:cs="Arial"/>
          <w:sz w:val="19"/>
          <w:szCs w:val="19"/>
        </w:rPr>
        <w:t xml:space="preserve">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5DA1B49E" w14:textId="77777777" w:rsidR="0091736C" w:rsidRPr="009C5188" w:rsidRDefault="0091736C" w:rsidP="0091736C">
      <w:pPr>
        <w:pStyle w:val="Textonotapie"/>
        <w:ind w:firstLine="708"/>
        <w:jc w:val="both"/>
        <w:rPr>
          <w:rFonts w:ascii="Arial" w:hAnsi="Arial" w:cs="Arial"/>
          <w:sz w:val="19"/>
          <w:szCs w:val="19"/>
        </w:rPr>
      </w:pPr>
      <w:proofErr w:type="gramStart"/>
      <w:r w:rsidRPr="009C5188">
        <w:rPr>
          <w:rFonts w:ascii="Arial" w:hAnsi="Arial" w:cs="Arial"/>
          <w:sz w:val="19"/>
          <w:szCs w:val="19"/>
        </w:rPr>
        <w:t>»El</w:t>
      </w:r>
      <w:proofErr w:type="gramEnd"/>
      <w:r w:rsidRPr="009C5188">
        <w:rPr>
          <w:rFonts w:ascii="Arial" w:hAnsi="Arial" w:cs="Arial"/>
          <w:sz w:val="19"/>
          <w:szCs w:val="19"/>
        </w:rPr>
        <w:t xml:space="preserve">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p w14:paraId="1F9AEC37" w14:textId="77777777" w:rsidR="0091736C" w:rsidRPr="009C5188" w:rsidRDefault="0091736C" w:rsidP="0091736C">
      <w:pPr>
        <w:pStyle w:val="Textonotapie"/>
        <w:ind w:firstLine="708"/>
        <w:jc w:val="both"/>
        <w:rPr>
          <w:rFonts w:ascii="Arial" w:hAnsi="Arial" w:cs="Arial"/>
          <w:sz w:val="19"/>
          <w:szCs w:val="19"/>
          <w:lang w:val="es-CO"/>
        </w:rPr>
      </w:pPr>
    </w:p>
  </w:footnote>
  <w:footnote w:id="20">
    <w:p w14:paraId="1564B327" w14:textId="77777777" w:rsidR="0091736C" w:rsidRPr="005C751A" w:rsidRDefault="0091736C" w:rsidP="0091736C">
      <w:pPr>
        <w:pStyle w:val="Textonotapie"/>
        <w:ind w:firstLine="708"/>
        <w:jc w:val="both"/>
        <w:rPr>
          <w:rFonts w:ascii="Arial" w:hAnsi="Arial" w:cs="Arial"/>
          <w:sz w:val="19"/>
          <w:szCs w:val="19"/>
        </w:rPr>
      </w:pPr>
      <w:r w:rsidRPr="0009349F">
        <w:rPr>
          <w:rStyle w:val="Refdenotaalpie"/>
          <w:rFonts w:ascii="Arial" w:hAnsi="Arial" w:cs="Arial"/>
          <w:sz w:val="19"/>
          <w:szCs w:val="19"/>
        </w:rPr>
        <w:footnoteRef/>
      </w:r>
      <w:r w:rsidRPr="0009349F">
        <w:rPr>
          <w:rFonts w:ascii="Arial" w:hAnsi="Arial" w:cs="Arial"/>
          <w:sz w:val="19"/>
          <w:szCs w:val="19"/>
        </w:rPr>
        <w:t xml:space="preserve"> Superintendencia de Sociedades</w:t>
      </w:r>
      <w:r w:rsidRPr="005C751A">
        <w:rPr>
          <w:rFonts w:ascii="Arial" w:hAnsi="Arial" w:cs="Arial"/>
          <w:sz w:val="19"/>
          <w:szCs w:val="19"/>
        </w:rPr>
        <w:t>.</w:t>
      </w:r>
      <w:r w:rsidRPr="0009349F">
        <w:rPr>
          <w:rFonts w:ascii="Arial" w:hAnsi="Arial" w:cs="Arial"/>
          <w:sz w:val="19"/>
          <w:szCs w:val="19"/>
        </w:rPr>
        <w:t xml:space="preserve"> </w:t>
      </w:r>
      <w:r w:rsidRPr="005C751A">
        <w:rPr>
          <w:rFonts w:ascii="Arial" w:hAnsi="Arial" w:cs="Arial"/>
          <w:sz w:val="19"/>
          <w:szCs w:val="19"/>
        </w:rPr>
        <w:t>O</w:t>
      </w:r>
      <w:r w:rsidRPr="0009349F">
        <w:rPr>
          <w:rFonts w:ascii="Arial" w:hAnsi="Arial" w:cs="Arial"/>
          <w:sz w:val="19"/>
          <w:szCs w:val="19"/>
        </w:rPr>
        <w:t>ficios 220-072759 del 14 de mayo de 2014, 220-100613 del 14 de julio de 2015, 220-079814 del 31 de agosto de 2015,220-142284 del 15 de julio de 2016, 095721 del 16 de junio de 202</w:t>
      </w:r>
      <w:r w:rsidRPr="005C751A">
        <w:rPr>
          <w:rFonts w:ascii="Arial" w:hAnsi="Arial" w:cs="Arial"/>
          <w:sz w:val="19"/>
          <w:szCs w:val="19"/>
        </w:rPr>
        <w:t>0.</w:t>
      </w:r>
    </w:p>
    <w:p w14:paraId="5339A959" w14:textId="77777777" w:rsidR="0091736C" w:rsidRPr="0009349F" w:rsidRDefault="0091736C" w:rsidP="0091736C">
      <w:pPr>
        <w:pStyle w:val="Textonotapie"/>
        <w:ind w:firstLine="708"/>
        <w:jc w:val="both"/>
        <w:rPr>
          <w:rFonts w:ascii="Arial" w:hAnsi="Arial" w:cs="Arial"/>
          <w:sz w:val="19"/>
          <w:szCs w:val="19"/>
          <w:lang w:val="es-CO"/>
        </w:rPr>
      </w:pPr>
    </w:p>
  </w:footnote>
  <w:footnote w:id="21">
    <w:p w14:paraId="66228E6D" w14:textId="77777777" w:rsidR="0091736C" w:rsidRPr="0009349F" w:rsidRDefault="0091736C" w:rsidP="0091736C">
      <w:pPr>
        <w:pStyle w:val="Textonotapie"/>
        <w:ind w:firstLine="708"/>
        <w:rPr>
          <w:lang w:val="es-CO"/>
        </w:rPr>
      </w:pPr>
      <w:r w:rsidRPr="0009349F">
        <w:rPr>
          <w:rStyle w:val="Refdenotaalpie"/>
          <w:rFonts w:ascii="Arial" w:hAnsi="Arial" w:cs="Arial"/>
          <w:sz w:val="19"/>
          <w:szCs w:val="19"/>
        </w:rPr>
        <w:footnoteRef/>
      </w:r>
      <w:r w:rsidRPr="0009349F">
        <w:rPr>
          <w:rFonts w:ascii="Arial" w:hAnsi="Arial" w:cs="Arial"/>
          <w:sz w:val="19"/>
          <w:szCs w:val="19"/>
        </w:rPr>
        <w:t xml:space="preserve"> </w:t>
      </w:r>
      <w:r w:rsidRPr="005C751A">
        <w:rPr>
          <w:rFonts w:ascii="Arial" w:hAnsi="Arial" w:cs="Arial"/>
          <w:sz w:val="19"/>
          <w:szCs w:val="19"/>
        </w:rPr>
        <w:t xml:space="preserve">Superintendencia de Sociedades. </w:t>
      </w:r>
      <w:r w:rsidRPr="0009349F">
        <w:rPr>
          <w:rFonts w:ascii="Arial" w:hAnsi="Arial" w:cs="Arial"/>
          <w:sz w:val="19"/>
          <w:szCs w:val="19"/>
        </w:rPr>
        <w:t>Oficio 220- 063311 del 6 de abril de 2020.</w:t>
      </w:r>
    </w:p>
  </w:footnote>
  <w:footnote w:id="22">
    <w:p w14:paraId="56BED64B" w14:textId="77777777" w:rsidR="0091736C" w:rsidRPr="0009349F" w:rsidRDefault="0091736C" w:rsidP="0091736C">
      <w:pPr>
        <w:pStyle w:val="Textonotapie"/>
        <w:ind w:firstLine="708"/>
        <w:jc w:val="both"/>
        <w:rPr>
          <w:rFonts w:ascii="Arial" w:hAnsi="Arial" w:cs="Arial"/>
          <w:sz w:val="19"/>
          <w:szCs w:val="19"/>
          <w:lang w:val="es-CO"/>
        </w:rPr>
      </w:pPr>
      <w:r w:rsidRPr="0009349F">
        <w:rPr>
          <w:rStyle w:val="Refdenotaalpie"/>
          <w:rFonts w:ascii="Arial" w:hAnsi="Arial" w:cs="Arial"/>
          <w:sz w:val="19"/>
          <w:szCs w:val="19"/>
        </w:rPr>
        <w:footnoteRef/>
      </w:r>
      <w:r w:rsidRPr="0009349F">
        <w:rPr>
          <w:rFonts w:ascii="Arial" w:hAnsi="Arial" w:cs="Arial"/>
          <w:sz w:val="19"/>
          <w:szCs w:val="19"/>
        </w:rPr>
        <w:t xml:space="preserve"> </w:t>
      </w:r>
      <w:r w:rsidRPr="0009349F">
        <w:rPr>
          <w:rFonts w:ascii="Arial" w:hAnsi="Arial" w:cs="Arial"/>
          <w:sz w:val="19"/>
          <w:szCs w:val="19"/>
          <w:lang w:val="es-CO"/>
        </w:rPr>
        <w:t xml:space="preserve">Decreto 1082 de 2015: «Artículo 2.2.1.1.1.5.3. Requisitos habilitantes contenidos en el RUP. Las cámaras de comercio, con base en la información a la que hace referencia el artículo anterior, deben verificar y certificar los siguientes requisitos habilitantes: </w:t>
      </w:r>
    </w:p>
    <w:p w14:paraId="722FEE42" w14:textId="77777777" w:rsidR="0091736C" w:rsidRPr="0009349F" w:rsidRDefault="0091736C" w:rsidP="0091736C">
      <w:pPr>
        <w:pStyle w:val="Textonotapie"/>
        <w:ind w:firstLine="708"/>
        <w:jc w:val="both"/>
        <w:rPr>
          <w:rFonts w:ascii="Arial" w:hAnsi="Arial" w:cs="Arial"/>
          <w:sz w:val="19"/>
          <w:szCs w:val="19"/>
          <w:lang w:val="es-CO"/>
        </w:rPr>
      </w:pPr>
      <w:r w:rsidRPr="0009349F">
        <w:rPr>
          <w:rFonts w:ascii="Arial" w:hAnsi="Arial" w:cs="Arial"/>
          <w:sz w:val="19"/>
          <w:szCs w:val="19"/>
          <w:lang w:val="es-CO"/>
        </w:rPr>
        <w:t xml:space="preserve">»1. Experiencia – Los contratos celebrados por el interesado para cada uno de los bienes, obras y servicios que ofrecerá a las Entidades Estatales, identificados con el Clasificador de Bienes y Servicios en el tercer nivel y su valor expresado en </w:t>
      </w:r>
      <w:proofErr w:type="spellStart"/>
      <w:r w:rsidRPr="0009349F">
        <w:rPr>
          <w:rFonts w:ascii="Arial" w:hAnsi="Arial" w:cs="Arial"/>
          <w:sz w:val="19"/>
          <w:szCs w:val="19"/>
          <w:lang w:val="es-CO"/>
        </w:rPr>
        <w:t>smmlv</w:t>
      </w:r>
      <w:proofErr w:type="spellEnd"/>
      <w:r w:rsidRPr="0009349F">
        <w:rPr>
          <w:rFonts w:ascii="Arial" w:hAnsi="Arial" w:cs="Arial"/>
          <w:sz w:val="19"/>
          <w:szCs w:val="19"/>
          <w:lang w:val="es-CO"/>
        </w:rPr>
        <w:t xml:space="preserve">. </w:t>
      </w:r>
    </w:p>
    <w:p w14:paraId="33D45336" w14:textId="77777777" w:rsidR="0091736C" w:rsidRPr="0009349F" w:rsidRDefault="0091736C" w:rsidP="0091736C">
      <w:pPr>
        <w:pStyle w:val="Textonotapie"/>
        <w:ind w:firstLine="708"/>
        <w:jc w:val="both"/>
        <w:rPr>
          <w:lang w:val="es-CO"/>
        </w:rPr>
      </w:pPr>
      <w:proofErr w:type="gramStart"/>
      <w:r w:rsidRPr="0009349F">
        <w:rPr>
          <w:rFonts w:ascii="Arial" w:hAnsi="Arial" w:cs="Arial"/>
          <w:sz w:val="19"/>
          <w:szCs w:val="19"/>
          <w:lang w:val="es-CO"/>
        </w:rPr>
        <w:t>»Los</w:t>
      </w:r>
      <w:proofErr w:type="gramEnd"/>
      <w:r w:rsidRPr="0009349F">
        <w:rPr>
          <w:rFonts w:ascii="Arial" w:hAnsi="Arial" w:cs="Arial"/>
          <w:sz w:val="19"/>
          <w:szCs w:val="19"/>
          <w:lang w:val="es-CO"/>
        </w:rPr>
        <w:t xml:space="preserve">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w:t>
      </w:r>
      <w:proofErr w:type="spellStart"/>
      <w:r w:rsidRPr="0009349F">
        <w:rPr>
          <w:rFonts w:ascii="Arial" w:hAnsi="Arial" w:cs="Arial"/>
          <w:sz w:val="19"/>
          <w:szCs w:val="19"/>
          <w:lang w:val="es-CO"/>
        </w:rPr>
        <w:t>smmlv</w:t>
      </w:r>
      <w:proofErr w:type="spellEnd"/>
      <w:r w:rsidRPr="0009349F">
        <w:rPr>
          <w:rFonts w:ascii="Arial" w:hAnsi="Arial" w:cs="Arial"/>
          <w:sz w:val="19"/>
          <w:szCs w:val="19"/>
          <w:lang w:val="es-CO"/>
        </w:rPr>
        <w:t xml:space="preserve"> […]».</w:t>
      </w:r>
    </w:p>
  </w:footnote>
  <w:footnote w:id="23">
    <w:p w14:paraId="000B684D" w14:textId="7D5FBE91" w:rsidR="003E5970" w:rsidRPr="0031599C" w:rsidRDefault="003E5970" w:rsidP="00173ACF">
      <w:pPr>
        <w:pStyle w:val="Textonotapie"/>
        <w:ind w:firstLine="709"/>
        <w:jc w:val="both"/>
        <w:rPr>
          <w:rFonts w:ascii="Arial" w:hAnsi="Arial" w:cs="Arial"/>
          <w:color w:val="000000" w:themeColor="text1"/>
          <w:sz w:val="19"/>
          <w:szCs w:val="19"/>
        </w:rPr>
      </w:pPr>
      <w:r w:rsidRPr="00173ACF">
        <w:rPr>
          <w:rStyle w:val="Refdenotaalpie"/>
          <w:rFonts w:ascii="Arial" w:hAnsi="Arial" w:cs="Arial"/>
          <w:sz w:val="19"/>
          <w:szCs w:val="19"/>
        </w:rPr>
        <w:footnoteRef/>
      </w:r>
      <w:hyperlink r:id="rId2" w:history="1">
        <w:r w:rsidRPr="009D0E93">
          <w:rPr>
            <w:rStyle w:val="Hipervnculo"/>
            <w:rFonts w:ascii="Arial" w:hAnsi="Arial" w:cs="Arial"/>
            <w:color w:val="000000" w:themeColor="text1"/>
            <w:sz w:val="19"/>
            <w:szCs w:val="19"/>
          </w:rPr>
          <w:t>https://colombiacompra.gov.co/sites/cce_public/files/cce_documents/cce_guia_proveedores_extranjeros.pdf</w:t>
        </w:r>
      </w:hyperlink>
      <w:r w:rsidR="0031599C">
        <w:rPr>
          <w:rStyle w:val="Hipervnculo"/>
          <w:rFonts w:ascii="Arial" w:hAnsi="Arial" w:cs="Arial"/>
          <w:color w:val="000000" w:themeColor="text1"/>
          <w:sz w:val="19"/>
          <w:szCs w:val="19"/>
          <w:u w:val="none"/>
        </w:rPr>
        <w:t>.</w:t>
      </w:r>
    </w:p>
    <w:p w14:paraId="50ACFCD5" w14:textId="77777777" w:rsidR="003E5970" w:rsidRPr="000B6ED2" w:rsidRDefault="003E5970" w:rsidP="003E5970">
      <w:pPr>
        <w:pStyle w:val="Textonotapie"/>
        <w:ind w:firstLine="709"/>
        <w:rPr>
          <w:lang w:val="es-ES_tradnl"/>
        </w:rPr>
      </w:pPr>
    </w:p>
  </w:footnote>
  <w:footnote w:id="24">
    <w:p w14:paraId="580A2A35" w14:textId="738F06D2" w:rsidR="009C6D47" w:rsidRPr="00304EE3" w:rsidRDefault="009C6D47" w:rsidP="00CA58B6">
      <w:pPr>
        <w:pStyle w:val="Textonotapie"/>
        <w:ind w:firstLine="709"/>
        <w:jc w:val="both"/>
        <w:rPr>
          <w:rFonts w:ascii="Arial" w:hAnsi="Arial" w:cs="Arial"/>
          <w:color w:val="000000" w:themeColor="text1"/>
          <w:sz w:val="19"/>
          <w:szCs w:val="19"/>
        </w:rPr>
      </w:pPr>
      <w:r w:rsidRPr="00304EE3">
        <w:rPr>
          <w:rStyle w:val="Refdenotaalpie"/>
          <w:rFonts w:ascii="Arial" w:hAnsi="Arial" w:cs="Arial"/>
          <w:color w:val="000000" w:themeColor="text1"/>
        </w:rPr>
        <w:footnoteRef/>
      </w:r>
      <w:r w:rsidRPr="00304EE3">
        <w:rPr>
          <w:rFonts w:ascii="Arial" w:hAnsi="Arial" w:cs="Arial"/>
          <w:color w:val="000000" w:themeColor="text1"/>
          <w:sz w:val="19"/>
          <w:szCs w:val="19"/>
        </w:rPr>
        <w:t xml:space="preserve"> Disponible en </w:t>
      </w:r>
      <w:hyperlink r:id="rId3" w:history="1">
        <w:r w:rsidRPr="00304EE3">
          <w:rPr>
            <w:rFonts w:ascii="Arial" w:hAnsi="Arial" w:cs="Arial"/>
            <w:color w:val="000000" w:themeColor="text1"/>
          </w:rPr>
          <w:t>https://www.colombiacompra.gov.co/content/circular-unica-externa</w:t>
        </w:r>
      </w:hyperlink>
    </w:p>
    <w:p w14:paraId="26DF04F8" w14:textId="77777777" w:rsidR="009C6D47" w:rsidRPr="00304EE3" w:rsidRDefault="009C6D47" w:rsidP="00304EE3">
      <w:pPr>
        <w:pStyle w:val="Textonotapie"/>
        <w:ind w:firstLine="709"/>
        <w:jc w:val="both"/>
        <w:rPr>
          <w:rFonts w:ascii="Arial" w:hAnsi="Arial" w:cs="Arial"/>
          <w:color w:val="000000" w:themeColor="text1"/>
          <w:sz w:val="19"/>
          <w:szCs w:val="19"/>
        </w:rPr>
      </w:pPr>
    </w:p>
  </w:footnote>
  <w:footnote w:id="25">
    <w:p w14:paraId="2CCBF1C1" w14:textId="77777777" w:rsidR="00D5566A" w:rsidRPr="00304EE3" w:rsidRDefault="00D5566A" w:rsidP="00CA58B6">
      <w:pPr>
        <w:pStyle w:val="Textonotapie"/>
        <w:ind w:firstLine="709"/>
        <w:jc w:val="both"/>
        <w:rPr>
          <w:rFonts w:ascii="Arial" w:hAnsi="Arial" w:cs="Arial"/>
          <w:color w:val="000000" w:themeColor="text1"/>
          <w:sz w:val="19"/>
          <w:szCs w:val="19"/>
        </w:rPr>
      </w:pPr>
      <w:r w:rsidRPr="00304EE3">
        <w:rPr>
          <w:rStyle w:val="Refdenotaalpie"/>
          <w:rFonts w:ascii="Arial" w:hAnsi="Arial" w:cs="Arial"/>
          <w:color w:val="000000" w:themeColor="text1"/>
          <w:sz w:val="19"/>
          <w:szCs w:val="19"/>
        </w:rPr>
        <w:footnoteRef/>
      </w:r>
      <w:r w:rsidRPr="00304EE3">
        <w:rPr>
          <w:rFonts w:ascii="Arial" w:hAnsi="Arial" w:cs="Arial"/>
          <w:color w:val="000000" w:themeColor="text1"/>
          <w:sz w:val="19"/>
          <w:szCs w:val="19"/>
        </w:rPr>
        <w:t>https://colombiacompra.gov.co/sites/cce_public/files/cce_documents/cce_guia_asuntos_corporativos.pdf</w:t>
      </w:r>
    </w:p>
    <w:p w14:paraId="27064491" w14:textId="77777777" w:rsidR="00D5566A" w:rsidRPr="00304EE3" w:rsidRDefault="00D5566A" w:rsidP="00CA58B6">
      <w:pPr>
        <w:pStyle w:val="Textonotapie"/>
        <w:ind w:firstLine="709"/>
        <w:jc w:val="both"/>
        <w:rPr>
          <w:rFonts w:ascii="Arial" w:hAnsi="Arial" w:cs="Arial"/>
          <w:color w:val="000000" w:themeColor="text1"/>
          <w:sz w:val="19"/>
          <w:szCs w:val="19"/>
          <w:lang w:val="es-ES_tradnl"/>
        </w:rPr>
      </w:pPr>
    </w:p>
  </w:footnote>
  <w:footnote w:id="26">
    <w:p w14:paraId="36814525" w14:textId="77777777" w:rsidR="00D5566A" w:rsidRPr="0000399E" w:rsidRDefault="00D5566A" w:rsidP="00CA58B6">
      <w:pPr>
        <w:pStyle w:val="Textonotapie"/>
        <w:ind w:firstLine="709"/>
        <w:jc w:val="both"/>
        <w:rPr>
          <w:rFonts w:ascii="Arial" w:hAnsi="Arial" w:cs="Arial"/>
          <w:sz w:val="19"/>
          <w:szCs w:val="19"/>
          <w:lang w:val="es-ES_tradnl"/>
        </w:rPr>
      </w:pPr>
      <w:r w:rsidRPr="00304EE3">
        <w:rPr>
          <w:rStyle w:val="Refdenotaalpie"/>
          <w:rFonts w:ascii="Arial" w:hAnsi="Arial" w:cs="Arial"/>
          <w:color w:val="000000" w:themeColor="text1"/>
          <w:sz w:val="19"/>
          <w:szCs w:val="19"/>
        </w:rPr>
        <w:footnoteRef/>
      </w:r>
      <w:r w:rsidRPr="00304EE3">
        <w:rPr>
          <w:rFonts w:ascii="Arial" w:hAnsi="Arial" w:cs="Arial"/>
          <w:color w:val="000000" w:themeColor="text1"/>
          <w:sz w:val="19"/>
          <w:szCs w:val="19"/>
          <w:lang w:val="es-ES_tradnl"/>
        </w:rPr>
        <w:t>https://colombiacompra.gov.co/sites/cce_public/files/cce_documents/cce_manual_requisitos_habilitantes.pdf</w:t>
      </w:r>
    </w:p>
  </w:footnote>
  <w:footnote w:id="27">
    <w:p w14:paraId="624FE46A" w14:textId="77777777" w:rsidR="00D5566A" w:rsidRPr="0003383F" w:rsidRDefault="00D5566A" w:rsidP="00D5566A">
      <w:pPr>
        <w:pStyle w:val="Textonotapie"/>
        <w:ind w:firstLine="708"/>
        <w:jc w:val="both"/>
        <w:rPr>
          <w:rFonts w:ascii="Arial" w:hAnsi="Arial" w:cs="Arial"/>
          <w:color w:val="000000" w:themeColor="text1"/>
          <w:sz w:val="19"/>
          <w:szCs w:val="19"/>
        </w:rPr>
      </w:pPr>
      <w:r w:rsidRPr="0003383F">
        <w:rPr>
          <w:rStyle w:val="Refdenotaalpie"/>
          <w:rFonts w:ascii="Arial" w:hAnsi="Arial" w:cs="Arial"/>
          <w:color w:val="000000" w:themeColor="text1"/>
          <w:sz w:val="19"/>
          <w:szCs w:val="19"/>
        </w:rPr>
        <w:footnoteRef/>
      </w:r>
      <w:r w:rsidRPr="0003383F">
        <w:rPr>
          <w:rFonts w:ascii="Arial" w:eastAsia="Times New Roman" w:hAnsi="Arial" w:cs="Arial"/>
          <w:color w:val="000000" w:themeColor="text1"/>
          <w:sz w:val="19"/>
          <w:szCs w:val="19"/>
          <w:lang w:val="es-CO" w:eastAsia="es-ES_tradnl"/>
        </w:rPr>
        <w:t xml:space="preserve"> Consejo de Estado. Sección Tercera.</w:t>
      </w:r>
      <w:r w:rsidRPr="0003383F">
        <w:rPr>
          <w:rFonts w:ascii="Arial" w:hAnsi="Arial" w:cs="Arial"/>
          <w:color w:val="000000" w:themeColor="text1"/>
          <w:sz w:val="19"/>
          <w:szCs w:val="19"/>
        </w:rPr>
        <w:t xml:space="preserve"> Sentencia del 19 de julio de 2001.</w:t>
      </w:r>
      <w:r w:rsidRPr="0003383F">
        <w:rPr>
          <w:rFonts w:ascii="Arial" w:eastAsia="Times New Roman" w:hAnsi="Arial" w:cs="Arial"/>
          <w:color w:val="000000" w:themeColor="text1"/>
          <w:sz w:val="19"/>
          <w:szCs w:val="19"/>
          <w:lang w:val="es-CO" w:eastAsia="es-ES_tradnl"/>
        </w:rPr>
        <w:t xml:space="preserve"> Exp. 12.037. C.P. Alier Eduardo Hernández Enríquez.</w:t>
      </w:r>
    </w:p>
  </w:footnote>
  <w:footnote w:id="28">
    <w:p w14:paraId="2DFA9704" w14:textId="77777777" w:rsidR="00D5566A" w:rsidRPr="0003383F" w:rsidRDefault="00D5566A" w:rsidP="00D5566A">
      <w:pPr>
        <w:pStyle w:val="Textonotapie"/>
        <w:ind w:firstLine="709"/>
        <w:jc w:val="both"/>
        <w:rPr>
          <w:rFonts w:ascii="Arial" w:hAnsi="Arial" w:cs="Arial"/>
          <w:color w:val="000000" w:themeColor="text1"/>
          <w:sz w:val="19"/>
          <w:szCs w:val="19"/>
          <w:lang w:eastAsia="es-CO"/>
        </w:rPr>
      </w:pPr>
      <w:r w:rsidRPr="0003383F">
        <w:rPr>
          <w:rStyle w:val="Refdenotaalpie"/>
          <w:rFonts w:ascii="Arial" w:hAnsi="Arial" w:cs="Arial"/>
          <w:color w:val="000000" w:themeColor="text1"/>
          <w:sz w:val="19"/>
          <w:szCs w:val="19"/>
        </w:rPr>
        <w:footnoteRef/>
      </w:r>
      <w:r w:rsidRPr="0003383F">
        <w:rPr>
          <w:rFonts w:ascii="Arial" w:hAnsi="Arial" w:cs="Arial"/>
          <w:color w:val="000000" w:themeColor="text1"/>
          <w:sz w:val="19"/>
          <w:szCs w:val="19"/>
        </w:rPr>
        <w:t xml:space="preserve"> «</w:t>
      </w:r>
      <w:r w:rsidRPr="0003383F">
        <w:rPr>
          <w:rFonts w:ascii="Arial" w:hAnsi="Arial" w:cs="Arial"/>
          <w:color w:val="000000" w:themeColor="text1"/>
          <w:sz w:val="19"/>
          <w:szCs w:val="19"/>
          <w:lang w:eastAsia="es-CO"/>
        </w:rPr>
        <w:t>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01804C7F" w14:textId="7E9CBF12" w:rsidR="00D5566A" w:rsidRPr="0003383F" w:rsidRDefault="00D5566A" w:rsidP="00D5566A">
      <w:pPr>
        <w:pStyle w:val="Textonotapie"/>
        <w:ind w:firstLine="709"/>
        <w:jc w:val="both"/>
        <w:rPr>
          <w:rFonts w:ascii="Arial" w:hAnsi="Arial" w:cs="Arial"/>
          <w:color w:val="000000" w:themeColor="text1"/>
          <w:sz w:val="19"/>
          <w:szCs w:val="19"/>
          <w:lang w:eastAsia="es-CO"/>
        </w:rPr>
      </w:pPr>
      <w:r w:rsidRPr="0003383F">
        <w:rPr>
          <w:rFonts w:ascii="Arial" w:hAnsi="Arial" w:cs="Arial"/>
          <w:color w:val="000000" w:themeColor="text1"/>
          <w:sz w:val="19"/>
          <w:szCs w:val="19"/>
        </w:rPr>
        <w:t>»</w:t>
      </w:r>
      <w:r w:rsidRPr="0003383F">
        <w:rPr>
          <w:rFonts w:ascii="Arial" w:hAnsi="Arial" w:cs="Arial"/>
          <w:color w:val="000000" w:themeColor="text1"/>
          <w:sz w:val="19"/>
          <w:szCs w:val="19"/>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r>
        <w:rPr>
          <w:rFonts w:ascii="Arial" w:hAnsi="Arial" w:cs="Arial"/>
          <w:color w:val="000000" w:themeColor="text1"/>
          <w:sz w:val="19"/>
          <w:szCs w:val="19"/>
          <w:lang w:eastAsia="es-CO"/>
        </w:rPr>
        <w:t xml:space="preserve">. </w:t>
      </w:r>
      <w:r w:rsidRPr="00B72D39">
        <w:rPr>
          <w:rFonts w:ascii="Arial" w:hAnsi="Arial" w:cs="Arial"/>
          <w:color w:val="000000" w:themeColor="text1"/>
          <w:sz w:val="19"/>
          <w:szCs w:val="19"/>
          <w:lang w:eastAsia="es-CO"/>
        </w:rPr>
        <w:t xml:space="preserve">Gaceta del Congreso No. 458 del 1 de agosto de </w:t>
      </w:r>
      <w:r w:rsidRPr="00EB6042">
        <w:rPr>
          <w:rFonts w:ascii="Arial" w:hAnsi="Arial" w:cs="Arial"/>
          <w:color w:val="000000" w:themeColor="text1"/>
          <w:sz w:val="19"/>
          <w:szCs w:val="19"/>
          <w:lang w:eastAsia="es-CO"/>
        </w:rPr>
        <w:t>2005.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06CCE875" w14:textId="77777777" w:rsidR="003B1CA8" w:rsidRDefault="003B1CA8" w:rsidP="003B1CA8"/>
  <w:p w14:paraId="7DFE9163" w14:textId="77777777" w:rsidR="003B1CA8" w:rsidRPr="00005EFF" w:rsidRDefault="003B1CA8" w:rsidP="003B1CA8">
    <w:pPr>
      <w:rPr>
        <w:rFonts w:ascii="Geomanist Bold" w:hAnsi="Geomanist Bold"/>
        <w:color w:val="002060"/>
      </w:rPr>
    </w:pPr>
    <w:r w:rsidRPr="008614E5">
      <w:rPr>
        <w:rFonts w:eastAsia="Arial Nova" w:cs="Arial Nova"/>
        <w:noProof/>
        <w:lang w:eastAsia="es-CO"/>
      </w:rPr>
      <w:drawing>
        <wp:anchor distT="0" distB="0" distL="0" distR="0" simplePos="0" relativeHeight="251659264" behindDoc="1" locked="0" layoutInCell="1" hidden="0" allowOverlap="1" wp14:anchorId="1DB0EBFA" wp14:editId="27599549">
          <wp:simplePos x="0" y="0"/>
          <wp:positionH relativeFrom="margin">
            <wp:posOffset>3952875</wp:posOffset>
          </wp:positionH>
          <wp:positionV relativeFrom="paragraph">
            <wp:posOffset>8255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3B1CA8" w:rsidRPr="00367110" w14:paraId="7D4F90E7" w14:textId="77777777" w:rsidTr="0061192C">
      <w:tc>
        <w:tcPr>
          <w:tcW w:w="6756" w:type="dxa"/>
        </w:tcPr>
        <w:p w14:paraId="2A1C8EB5" w14:textId="77777777" w:rsidR="003B1CA8" w:rsidRPr="006478E3" w:rsidRDefault="003B1CA8" w:rsidP="003B1CA8">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49B8674" w14:textId="77777777" w:rsidR="003B1CA8" w:rsidRPr="0057618A" w:rsidRDefault="003B1CA8" w:rsidP="003B1CA8">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7D81DBAA" w14:textId="77777777" w:rsidR="003B1CA8" w:rsidRPr="00367110" w:rsidRDefault="003B1CA8" w:rsidP="003B1CA8">
          <w:pPr>
            <w:jc w:val="right"/>
            <w:rPr>
              <w:rFonts w:eastAsia="Arial Nova" w:cs="Arial Nova"/>
              <w:lang w:eastAsia="es-CO"/>
            </w:rPr>
          </w:pPr>
        </w:p>
      </w:tc>
      <w:tc>
        <w:tcPr>
          <w:tcW w:w="1324" w:type="dxa"/>
        </w:tcPr>
        <w:p w14:paraId="79D50C8E" w14:textId="77777777" w:rsidR="003B1CA8" w:rsidRPr="00367110" w:rsidRDefault="003B1CA8" w:rsidP="003B1CA8">
          <w:pPr>
            <w:jc w:val="right"/>
            <w:rPr>
              <w:rFonts w:eastAsia="Arial Nova" w:cs="Arial Nova"/>
              <w:lang w:eastAsia="es-CO"/>
            </w:rPr>
          </w:pPr>
        </w:p>
      </w:tc>
    </w:tr>
  </w:tbl>
  <w:p w14:paraId="2A80E31D" w14:textId="03436A15" w:rsidR="00E2520A" w:rsidRDefault="003B1CA8">
    <w:r w:rsidRPr="00367110">
      <w:rPr>
        <w:rFonts w:eastAsia="Arial Nova" w:cs="Arial Nova"/>
        <w:noProof/>
        <w:color w:val="000000"/>
        <w:lang w:eastAsia="es-CO"/>
      </w:rPr>
      <w:drawing>
        <wp:anchor distT="0" distB="0" distL="114300" distR="114300" simplePos="0" relativeHeight="251660288" behindDoc="1" locked="0" layoutInCell="1" allowOverlap="1" wp14:anchorId="32C0E597" wp14:editId="2D34A40E">
          <wp:simplePos x="0" y="0"/>
          <wp:positionH relativeFrom="margin">
            <wp:align>left</wp:align>
          </wp:positionH>
          <wp:positionV relativeFrom="paragraph">
            <wp:posOffset>133350</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944072576">
    <w:abstractNumId w:val="15"/>
  </w:num>
  <w:num w:numId="2" w16cid:durableId="738672271">
    <w:abstractNumId w:val="13"/>
  </w:num>
  <w:num w:numId="3" w16cid:durableId="2075741124">
    <w:abstractNumId w:val="22"/>
  </w:num>
  <w:num w:numId="4" w16cid:durableId="242033561">
    <w:abstractNumId w:val="27"/>
  </w:num>
  <w:num w:numId="5" w16cid:durableId="49040685">
    <w:abstractNumId w:val="31"/>
  </w:num>
  <w:num w:numId="6" w16cid:durableId="193130996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840895">
    <w:abstractNumId w:val="28"/>
  </w:num>
  <w:num w:numId="8" w16cid:durableId="980773062">
    <w:abstractNumId w:val="3"/>
  </w:num>
  <w:num w:numId="9" w16cid:durableId="176701880">
    <w:abstractNumId w:val="8"/>
  </w:num>
  <w:num w:numId="10" w16cid:durableId="8761641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0892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0846975">
    <w:abstractNumId w:val="14"/>
  </w:num>
  <w:num w:numId="13" w16cid:durableId="1518469713">
    <w:abstractNumId w:val="20"/>
  </w:num>
  <w:num w:numId="14" w16cid:durableId="727000629">
    <w:abstractNumId w:val="11"/>
  </w:num>
  <w:num w:numId="15" w16cid:durableId="16293112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193208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1217147">
    <w:abstractNumId w:val="33"/>
  </w:num>
  <w:num w:numId="18" w16cid:durableId="1442651105">
    <w:abstractNumId w:val="23"/>
  </w:num>
  <w:num w:numId="19" w16cid:durableId="1728071307">
    <w:abstractNumId w:val="7"/>
  </w:num>
  <w:num w:numId="20" w16cid:durableId="2140947738">
    <w:abstractNumId w:val="34"/>
  </w:num>
  <w:num w:numId="21" w16cid:durableId="381054043">
    <w:abstractNumId w:val="25"/>
  </w:num>
  <w:num w:numId="22" w16cid:durableId="1038505555">
    <w:abstractNumId w:val="10"/>
  </w:num>
  <w:num w:numId="23" w16cid:durableId="45495970">
    <w:abstractNumId w:val="9"/>
  </w:num>
  <w:num w:numId="24" w16cid:durableId="31342474">
    <w:abstractNumId w:val="29"/>
  </w:num>
  <w:num w:numId="25" w16cid:durableId="2118984488">
    <w:abstractNumId w:val="17"/>
  </w:num>
  <w:num w:numId="26" w16cid:durableId="1401169132">
    <w:abstractNumId w:val="32"/>
  </w:num>
  <w:num w:numId="27" w16cid:durableId="1467166854">
    <w:abstractNumId w:val="36"/>
  </w:num>
  <w:num w:numId="28" w16cid:durableId="654408461">
    <w:abstractNumId w:val="21"/>
  </w:num>
  <w:num w:numId="29" w16cid:durableId="1040789203">
    <w:abstractNumId w:val="2"/>
  </w:num>
  <w:num w:numId="30" w16cid:durableId="745961144">
    <w:abstractNumId w:val="24"/>
  </w:num>
  <w:num w:numId="31" w16cid:durableId="122576963">
    <w:abstractNumId w:val="18"/>
  </w:num>
  <w:num w:numId="32" w16cid:durableId="840240998">
    <w:abstractNumId w:val="26"/>
  </w:num>
  <w:num w:numId="33" w16cid:durableId="379289436">
    <w:abstractNumId w:val="35"/>
  </w:num>
  <w:num w:numId="34" w16cid:durableId="681666158">
    <w:abstractNumId w:val="16"/>
  </w:num>
  <w:num w:numId="35" w16cid:durableId="538472955">
    <w:abstractNumId w:val="1"/>
  </w:num>
  <w:num w:numId="36" w16cid:durableId="1900632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12623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4332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47679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3DA"/>
    <w:rsid w:val="0000162E"/>
    <w:rsid w:val="00001A1C"/>
    <w:rsid w:val="00001FFD"/>
    <w:rsid w:val="00002027"/>
    <w:rsid w:val="000020FE"/>
    <w:rsid w:val="00002294"/>
    <w:rsid w:val="000031A8"/>
    <w:rsid w:val="00003233"/>
    <w:rsid w:val="00003C5C"/>
    <w:rsid w:val="000040D7"/>
    <w:rsid w:val="00004556"/>
    <w:rsid w:val="000051AF"/>
    <w:rsid w:val="00005958"/>
    <w:rsid w:val="000059D3"/>
    <w:rsid w:val="00006003"/>
    <w:rsid w:val="0000600A"/>
    <w:rsid w:val="00006081"/>
    <w:rsid w:val="000060D0"/>
    <w:rsid w:val="00006D78"/>
    <w:rsid w:val="000075EA"/>
    <w:rsid w:val="00007750"/>
    <w:rsid w:val="000077FD"/>
    <w:rsid w:val="00007E37"/>
    <w:rsid w:val="00010408"/>
    <w:rsid w:val="00010C40"/>
    <w:rsid w:val="000112B4"/>
    <w:rsid w:val="00011B68"/>
    <w:rsid w:val="00011DCC"/>
    <w:rsid w:val="00012532"/>
    <w:rsid w:val="00012B9E"/>
    <w:rsid w:val="00012FBA"/>
    <w:rsid w:val="00013C6B"/>
    <w:rsid w:val="0001406B"/>
    <w:rsid w:val="000143F8"/>
    <w:rsid w:val="00014624"/>
    <w:rsid w:val="000147ED"/>
    <w:rsid w:val="0001525F"/>
    <w:rsid w:val="00015695"/>
    <w:rsid w:val="00015B44"/>
    <w:rsid w:val="00015BD4"/>
    <w:rsid w:val="00016081"/>
    <w:rsid w:val="000163DF"/>
    <w:rsid w:val="000165AC"/>
    <w:rsid w:val="00016651"/>
    <w:rsid w:val="00016881"/>
    <w:rsid w:val="00016C54"/>
    <w:rsid w:val="000171A2"/>
    <w:rsid w:val="00017B65"/>
    <w:rsid w:val="00020158"/>
    <w:rsid w:val="000207E0"/>
    <w:rsid w:val="00020D87"/>
    <w:rsid w:val="00020F8F"/>
    <w:rsid w:val="00021A95"/>
    <w:rsid w:val="00021C0A"/>
    <w:rsid w:val="00021F62"/>
    <w:rsid w:val="0002256F"/>
    <w:rsid w:val="0002296A"/>
    <w:rsid w:val="00023642"/>
    <w:rsid w:val="00023DAE"/>
    <w:rsid w:val="00023FA5"/>
    <w:rsid w:val="00024592"/>
    <w:rsid w:val="00024896"/>
    <w:rsid w:val="000254C0"/>
    <w:rsid w:val="000258A6"/>
    <w:rsid w:val="00026092"/>
    <w:rsid w:val="000263F0"/>
    <w:rsid w:val="00026407"/>
    <w:rsid w:val="000264F6"/>
    <w:rsid w:val="00026608"/>
    <w:rsid w:val="00026B36"/>
    <w:rsid w:val="000271C5"/>
    <w:rsid w:val="0002738B"/>
    <w:rsid w:val="00027545"/>
    <w:rsid w:val="00027787"/>
    <w:rsid w:val="000278D2"/>
    <w:rsid w:val="00031384"/>
    <w:rsid w:val="000315E1"/>
    <w:rsid w:val="0003236E"/>
    <w:rsid w:val="00033295"/>
    <w:rsid w:val="0003339A"/>
    <w:rsid w:val="00033B3F"/>
    <w:rsid w:val="00034134"/>
    <w:rsid w:val="000341F2"/>
    <w:rsid w:val="00034651"/>
    <w:rsid w:val="00034E32"/>
    <w:rsid w:val="000351F2"/>
    <w:rsid w:val="00035224"/>
    <w:rsid w:val="0003535E"/>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5D16"/>
    <w:rsid w:val="000466A8"/>
    <w:rsid w:val="000466E8"/>
    <w:rsid w:val="00046717"/>
    <w:rsid w:val="00046A63"/>
    <w:rsid w:val="00046C09"/>
    <w:rsid w:val="0004716A"/>
    <w:rsid w:val="00047316"/>
    <w:rsid w:val="00047385"/>
    <w:rsid w:val="000473E8"/>
    <w:rsid w:val="000504DE"/>
    <w:rsid w:val="00051074"/>
    <w:rsid w:val="0005211A"/>
    <w:rsid w:val="00052B79"/>
    <w:rsid w:val="00052EA0"/>
    <w:rsid w:val="000536E3"/>
    <w:rsid w:val="00053EBE"/>
    <w:rsid w:val="00054252"/>
    <w:rsid w:val="0005474D"/>
    <w:rsid w:val="00055CB9"/>
    <w:rsid w:val="00056EF1"/>
    <w:rsid w:val="00056F22"/>
    <w:rsid w:val="00056F66"/>
    <w:rsid w:val="0005702F"/>
    <w:rsid w:val="00057226"/>
    <w:rsid w:val="00057661"/>
    <w:rsid w:val="0005779C"/>
    <w:rsid w:val="00061D06"/>
    <w:rsid w:val="0006294B"/>
    <w:rsid w:val="00062CDD"/>
    <w:rsid w:val="00063085"/>
    <w:rsid w:val="00063FA5"/>
    <w:rsid w:val="000640AF"/>
    <w:rsid w:val="00064940"/>
    <w:rsid w:val="00064CAE"/>
    <w:rsid w:val="00064DB7"/>
    <w:rsid w:val="00064FA7"/>
    <w:rsid w:val="00065195"/>
    <w:rsid w:val="0006661B"/>
    <w:rsid w:val="00066FF0"/>
    <w:rsid w:val="00067818"/>
    <w:rsid w:val="00070055"/>
    <w:rsid w:val="00070AF1"/>
    <w:rsid w:val="00070E24"/>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0B35"/>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0D2"/>
    <w:rsid w:val="0008686B"/>
    <w:rsid w:val="00086A59"/>
    <w:rsid w:val="00086B2A"/>
    <w:rsid w:val="00086ED2"/>
    <w:rsid w:val="00087019"/>
    <w:rsid w:val="000914D6"/>
    <w:rsid w:val="00091569"/>
    <w:rsid w:val="00091FB6"/>
    <w:rsid w:val="00092DCA"/>
    <w:rsid w:val="000935F8"/>
    <w:rsid w:val="00093C51"/>
    <w:rsid w:val="000942EB"/>
    <w:rsid w:val="00095B70"/>
    <w:rsid w:val="00095C0D"/>
    <w:rsid w:val="0009617E"/>
    <w:rsid w:val="00096489"/>
    <w:rsid w:val="000979CF"/>
    <w:rsid w:val="00097A00"/>
    <w:rsid w:val="00097B0C"/>
    <w:rsid w:val="000A03C8"/>
    <w:rsid w:val="000A05F2"/>
    <w:rsid w:val="000A06C4"/>
    <w:rsid w:val="000A0861"/>
    <w:rsid w:val="000A0ED1"/>
    <w:rsid w:val="000A12DB"/>
    <w:rsid w:val="000A17C8"/>
    <w:rsid w:val="000A1AEE"/>
    <w:rsid w:val="000A1B5B"/>
    <w:rsid w:val="000A20D7"/>
    <w:rsid w:val="000A2128"/>
    <w:rsid w:val="000A362F"/>
    <w:rsid w:val="000A39AF"/>
    <w:rsid w:val="000A3B49"/>
    <w:rsid w:val="000A41BA"/>
    <w:rsid w:val="000A446A"/>
    <w:rsid w:val="000A46B9"/>
    <w:rsid w:val="000A5AAF"/>
    <w:rsid w:val="000A5F97"/>
    <w:rsid w:val="000A648E"/>
    <w:rsid w:val="000A73BB"/>
    <w:rsid w:val="000A795D"/>
    <w:rsid w:val="000A7EF4"/>
    <w:rsid w:val="000B09AF"/>
    <w:rsid w:val="000B0A15"/>
    <w:rsid w:val="000B0DF3"/>
    <w:rsid w:val="000B103F"/>
    <w:rsid w:val="000B1437"/>
    <w:rsid w:val="000B1470"/>
    <w:rsid w:val="000B2B86"/>
    <w:rsid w:val="000B3051"/>
    <w:rsid w:val="000B419B"/>
    <w:rsid w:val="000B4716"/>
    <w:rsid w:val="000B5781"/>
    <w:rsid w:val="000B5891"/>
    <w:rsid w:val="000B6E4B"/>
    <w:rsid w:val="000C0185"/>
    <w:rsid w:val="000C0444"/>
    <w:rsid w:val="000C0960"/>
    <w:rsid w:val="000C0F81"/>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E28"/>
    <w:rsid w:val="000C6F79"/>
    <w:rsid w:val="000C7211"/>
    <w:rsid w:val="000C7476"/>
    <w:rsid w:val="000C7711"/>
    <w:rsid w:val="000C7AA2"/>
    <w:rsid w:val="000D0462"/>
    <w:rsid w:val="000D053D"/>
    <w:rsid w:val="000D0CD9"/>
    <w:rsid w:val="000D0ED2"/>
    <w:rsid w:val="000D1CEB"/>
    <w:rsid w:val="000D2563"/>
    <w:rsid w:val="000D25BF"/>
    <w:rsid w:val="000D362C"/>
    <w:rsid w:val="000D3FDC"/>
    <w:rsid w:val="000D4E38"/>
    <w:rsid w:val="000D50DB"/>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843"/>
    <w:rsid w:val="000E6139"/>
    <w:rsid w:val="000E6B73"/>
    <w:rsid w:val="000E6BE1"/>
    <w:rsid w:val="000E6DDE"/>
    <w:rsid w:val="000E739A"/>
    <w:rsid w:val="000E7E0B"/>
    <w:rsid w:val="000E7F56"/>
    <w:rsid w:val="000F078A"/>
    <w:rsid w:val="000F122D"/>
    <w:rsid w:val="000F1450"/>
    <w:rsid w:val="000F14E8"/>
    <w:rsid w:val="000F16F5"/>
    <w:rsid w:val="000F1B9B"/>
    <w:rsid w:val="000F1BBD"/>
    <w:rsid w:val="000F2739"/>
    <w:rsid w:val="000F3138"/>
    <w:rsid w:val="000F3D39"/>
    <w:rsid w:val="000F4403"/>
    <w:rsid w:val="000F4C3F"/>
    <w:rsid w:val="000F4E17"/>
    <w:rsid w:val="000F636A"/>
    <w:rsid w:val="000F6578"/>
    <w:rsid w:val="000F6B82"/>
    <w:rsid w:val="000F70CD"/>
    <w:rsid w:val="000F79F9"/>
    <w:rsid w:val="000F7ABD"/>
    <w:rsid w:val="000F7E8F"/>
    <w:rsid w:val="000F7FBB"/>
    <w:rsid w:val="001000FB"/>
    <w:rsid w:val="00101134"/>
    <w:rsid w:val="001015D2"/>
    <w:rsid w:val="00102458"/>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DFA"/>
    <w:rsid w:val="00111ED9"/>
    <w:rsid w:val="00112609"/>
    <w:rsid w:val="0011268B"/>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6D84"/>
    <w:rsid w:val="001174C9"/>
    <w:rsid w:val="00117C82"/>
    <w:rsid w:val="00117E69"/>
    <w:rsid w:val="00121103"/>
    <w:rsid w:val="0012156A"/>
    <w:rsid w:val="00121BAB"/>
    <w:rsid w:val="00121CAA"/>
    <w:rsid w:val="00121E3C"/>
    <w:rsid w:val="001224F0"/>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EF6"/>
    <w:rsid w:val="00127F6D"/>
    <w:rsid w:val="00130355"/>
    <w:rsid w:val="00131B5A"/>
    <w:rsid w:val="00132C30"/>
    <w:rsid w:val="00132EFD"/>
    <w:rsid w:val="00133AED"/>
    <w:rsid w:val="00134A72"/>
    <w:rsid w:val="00134FF9"/>
    <w:rsid w:val="00135217"/>
    <w:rsid w:val="00135E88"/>
    <w:rsid w:val="0013695C"/>
    <w:rsid w:val="00136BF7"/>
    <w:rsid w:val="001378B9"/>
    <w:rsid w:val="00137FD1"/>
    <w:rsid w:val="00137FFA"/>
    <w:rsid w:val="00140109"/>
    <w:rsid w:val="0014029B"/>
    <w:rsid w:val="00140421"/>
    <w:rsid w:val="00140A4F"/>
    <w:rsid w:val="001413AB"/>
    <w:rsid w:val="001417C5"/>
    <w:rsid w:val="001432AF"/>
    <w:rsid w:val="0014381A"/>
    <w:rsid w:val="00144335"/>
    <w:rsid w:val="0014502F"/>
    <w:rsid w:val="00145282"/>
    <w:rsid w:val="001453B0"/>
    <w:rsid w:val="001454D9"/>
    <w:rsid w:val="00145D56"/>
    <w:rsid w:val="00145D8E"/>
    <w:rsid w:val="00146083"/>
    <w:rsid w:val="001462F7"/>
    <w:rsid w:val="001466F0"/>
    <w:rsid w:val="00146B60"/>
    <w:rsid w:val="00147798"/>
    <w:rsid w:val="00150005"/>
    <w:rsid w:val="00150A26"/>
    <w:rsid w:val="00151B99"/>
    <w:rsid w:val="001521B2"/>
    <w:rsid w:val="00152288"/>
    <w:rsid w:val="00152EDD"/>
    <w:rsid w:val="00153491"/>
    <w:rsid w:val="0015361C"/>
    <w:rsid w:val="0015372F"/>
    <w:rsid w:val="00153A05"/>
    <w:rsid w:val="00153A18"/>
    <w:rsid w:val="00153BFB"/>
    <w:rsid w:val="0015407E"/>
    <w:rsid w:val="001542E6"/>
    <w:rsid w:val="0015441F"/>
    <w:rsid w:val="0015448E"/>
    <w:rsid w:val="00154A6F"/>
    <w:rsid w:val="00155D08"/>
    <w:rsid w:val="00156B13"/>
    <w:rsid w:val="00156BE5"/>
    <w:rsid w:val="00156FDB"/>
    <w:rsid w:val="00157232"/>
    <w:rsid w:val="00160401"/>
    <w:rsid w:val="00160D4E"/>
    <w:rsid w:val="001613E1"/>
    <w:rsid w:val="001615B9"/>
    <w:rsid w:val="00161E62"/>
    <w:rsid w:val="00161F1C"/>
    <w:rsid w:val="0016200B"/>
    <w:rsid w:val="00163D7A"/>
    <w:rsid w:val="00164281"/>
    <w:rsid w:val="00164AF1"/>
    <w:rsid w:val="001654DF"/>
    <w:rsid w:val="00166476"/>
    <w:rsid w:val="00166C27"/>
    <w:rsid w:val="00167503"/>
    <w:rsid w:val="001676A9"/>
    <w:rsid w:val="00167A15"/>
    <w:rsid w:val="00167A50"/>
    <w:rsid w:val="00167D66"/>
    <w:rsid w:val="00167DF5"/>
    <w:rsid w:val="00170001"/>
    <w:rsid w:val="001709A4"/>
    <w:rsid w:val="0017145A"/>
    <w:rsid w:val="00172198"/>
    <w:rsid w:val="00172612"/>
    <w:rsid w:val="00172817"/>
    <w:rsid w:val="001734E3"/>
    <w:rsid w:val="0017350E"/>
    <w:rsid w:val="0017391B"/>
    <w:rsid w:val="00173ACF"/>
    <w:rsid w:val="001742BF"/>
    <w:rsid w:val="001749DF"/>
    <w:rsid w:val="00175E49"/>
    <w:rsid w:val="00176470"/>
    <w:rsid w:val="0017659F"/>
    <w:rsid w:val="00177076"/>
    <w:rsid w:val="001805C1"/>
    <w:rsid w:val="00180A2E"/>
    <w:rsid w:val="001812C4"/>
    <w:rsid w:val="001813AF"/>
    <w:rsid w:val="00182831"/>
    <w:rsid w:val="001829CD"/>
    <w:rsid w:val="00182BCE"/>
    <w:rsid w:val="00182F01"/>
    <w:rsid w:val="00184F27"/>
    <w:rsid w:val="001850E6"/>
    <w:rsid w:val="0018519B"/>
    <w:rsid w:val="001856BA"/>
    <w:rsid w:val="00185AFE"/>
    <w:rsid w:val="00185E78"/>
    <w:rsid w:val="00187177"/>
    <w:rsid w:val="00187443"/>
    <w:rsid w:val="00187ABD"/>
    <w:rsid w:val="001904E3"/>
    <w:rsid w:val="0019087A"/>
    <w:rsid w:val="00190E05"/>
    <w:rsid w:val="00191395"/>
    <w:rsid w:val="00191C5A"/>
    <w:rsid w:val="00191CEB"/>
    <w:rsid w:val="00191E63"/>
    <w:rsid w:val="00192D68"/>
    <w:rsid w:val="001931B7"/>
    <w:rsid w:val="0019388B"/>
    <w:rsid w:val="00193B9A"/>
    <w:rsid w:val="001946AE"/>
    <w:rsid w:val="001946D5"/>
    <w:rsid w:val="00194E8C"/>
    <w:rsid w:val="001962EC"/>
    <w:rsid w:val="001963DD"/>
    <w:rsid w:val="001965DB"/>
    <w:rsid w:val="00196DC9"/>
    <w:rsid w:val="00197AB4"/>
    <w:rsid w:val="001A0236"/>
    <w:rsid w:val="001A0AF8"/>
    <w:rsid w:val="001A18D5"/>
    <w:rsid w:val="001A1D4A"/>
    <w:rsid w:val="001A3011"/>
    <w:rsid w:val="001A325B"/>
    <w:rsid w:val="001A3B2D"/>
    <w:rsid w:val="001A3F10"/>
    <w:rsid w:val="001A3FC3"/>
    <w:rsid w:val="001A4A08"/>
    <w:rsid w:val="001A4DAF"/>
    <w:rsid w:val="001A66DF"/>
    <w:rsid w:val="001A67D0"/>
    <w:rsid w:val="001A6BF1"/>
    <w:rsid w:val="001A7591"/>
    <w:rsid w:val="001A75B1"/>
    <w:rsid w:val="001A7D03"/>
    <w:rsid w:val="001A7DB7"/>
    <w:rsid w:val="001B0366"/>
    <w:rsid w:val="001B0444"/>
    <w:rsid w:val="001B080D"/>
    <w:rsid w:val="001B096B"/>
    <w:rsid w:val="001B0F9F"/>
    <w:rsid w:val="001B123C"/>
    <w:rsid w:val="001B1A0D"/>
    <w:rsid w:val="001B1BF1"/>
    <w:rsid w:val="001B2456"/>
    <w:rsid w:val="001B40C7"/>
    <w:rsid w:val="001B449C"/>
    <w:rsid w:val="001B4AA2"/>
    <w:rsid w:val="001B4ADE"/>
    <w:rsid w:val="001B53A5"/>
    <w:rsid w:val="001B5C86"/>
    <w:rsid w:val="001B5EF8"/>
    <w:rsid w:val="001B6BD3"/>
    <w:rsid w:val="001B6EBB"/>
    <w:rsid w:val="001C037A"/>
    <w:rsid w:val="001C07C6"/>
    <w:rsid w:val="001C0838"/>
    <w:rsid w:val="001C08B2"/>
    <w:rsid w:val="001C19CD"/>
    <w:rsid w:val="001C22D5"/>
    <w:rsid w:val="001C2515"/>
    <w:rsid w:val="001C2550"/>
    <w:rsid w:val="001C26FB"/>
    <w:rsid w:val="001C33C1"/>
    <w:rsid w:val="001C3E30"/>
    <w:rsid w:val="001C3E5C"/>
    <w:rsid w:val="001C5072"/>
    <w:rsid w:val="001C5B2A"/>
    <w:rsid w:val="001C5CEA"/>
    <w:rsid w:val="001C600B"/>
    <w:rsid w:val="001C6407"/>
    <w:rsid w:val="001C6898"/>
    <w:rsid w:val="001C6DD8"/>
    <w:rsid w:val="001C73EA"/>
    <w:rsid w:val="001C7C7B"/>
    <w:rsid w:val="001D068D"/>
    <w:rsid w:val="001D0A71"/>
    <w:rsid w:val="001D12D1"/>
    <w:rsid w:val="001D15DF"/>
    <w:rsid w:val="001D2970"/>
    <w:rsid w:val="001D30F3"/>
    <w:rsid w:val="001D31A0"/>
    <w:rsid w:val="001D338E"/>
    <w:rsid w:val="001D399D"/>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3EAC"/>
    <w:rsid w:val="001E4258"/>
    <w:rsid w:val="001E442F"/>
    <w:rsid w:val="001E4587"/>
    <w:rsid w:val="001E56FF"/>
    <w:rsid w:val="001E5A69"/>
    <w:rsid w:val="001E5B84"/>
    <w:rsid w:val="001E5D6A"/>
    <w:rsid w:val="001E64CE"/>
    <w:rsid w:val="001E70FB"/>
    <w:rsid w:val="001E780A"/>
    <w:rsid w:val="001F07D6"/>
    <w:rsid w:val="001F0FA0"/>
    <w:rsid w:val="001F1349"/>
    <w:rsid w:val="001F1863"/>
    <w:rsid w:val="001F232D"/>
    <w:rsid w:val="001F2356"/>
    <w:rsid w:val="001F2A68"/>
    <w:rsid w:val="001F39EA"/>
    <w:rsid w:val="001F4773"/>
    <w:rsid w:val="001F4BDF"/>
    <w:rsid w:val="001F5008"/>
    <w:rsid w:val="001F512D"/>
    <w:rsid w:val="001F56AA"/>
    <w:rsid w:val="001F58AA"/>
    <w:rsid w:val="001F5EF6"/>
    <w:rsid w:val="001F657F"/>
    <w:rsid w:val="001F6FB6"/>
    <w:rsid w:val="001F7978"/>
    <w:rsid w:val="001F7A0E"/>
    <w:rsid w:val="0020022E"/>
    <w:rsid w:val="002004AC"/>
    <w:rsid w:val="0020054E"/>
    <w:rsid w:val="00200B51"/>
    <w:rsid w:val="002017DE"/>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0430"/>
    <w:rsid w:val="00210E1F"/>
    <w:rsid w:val="002110EB"/>
    <w:rsid w:val="00211338"/>
    <w:rsid w:val="00211342"/>
    <w:rsid w:val="00211388"/>
    <w:rsid w:val="0021148C"/>
    <w:rsid w:val="00211694"/>
    <w:rsid w:val="0021201A"/>
    <w:rsid w:val="002129C7"/>
    <w:rsid w:val="00213A1F"/>
    <w:rsid w:val="00213C63"/>
    <w:rsid w:val="00213E2D"/>
    <w:rsid w:val="00214502"/>
    <w:rsid w:val="00214741"/>
    <w:rsid w:val="0021539A"/>
    <w:rsid w:val="00215793"/>
    <w:rsid w:val="00215852"/>
    <w:rsid w:val="00215B45"/>
    <w:rsid w:val="00215B8E"/>
    <w:rsid w:val="00215C98"/>
    <w:rsid w:val="00216264"/>
    <w:rsid w:val="002168B8"/>
    <w:rsid w:val="00216BEF"/>
    <w:rsid w:val="002176B6"/>
    <w:rsid w:val="0021792D"/>
    <w:rsid w:val="00217DB8"/>
    <w:rsid w:val="0022032A"/>
    <w:rsid w:val="002221CE"/>
    <w:rsid w:val="00222740"/>
    <w:rsid w:val="00222BE8"/>
    <w:rsid w:val="00223102"/>
    <w:rsid w:val="002232CB"/>
    <w:rsid w:val="00223AA2"/>
    <w:rsid w:val="00224022"/>
    <w:rsid w:val="0022552A"/>
    <w:rsid w:val="00226055"/>
    <w:rsid w:val="0022613F"/>
    <w:rsid w:val="00226236"/>
    <w:rsid w:val="00226DF9"/>
    <w:rsid w:val="002270C9"/>
    <w:rsid w:val="00227710"/>
    <w:rsid w:val="00227A8B"/>
    <w:rsid w:val="0023146B"/>
    <w:rsid w:val="002315A0"/>
    <w:rsid w:val="00231CE0"/>
    <w:rsid w:val="00231DBA"/>
    <w:rsid w:val="00231EC7"/>
    <w:rsid w:val="002324A3"/>
    <w:rsid w:val="00232A6C"/>
    <w:rsid w:val="00232E15"/>
    <w:rsid w:val="00233079"/>
    <w:rsid w:val="0023382C"/>
    <w:rsid w:val="00233977"/>
    <w:rsid w:val="00233C58"/>
    <w:rsid w:val="00233C71"/>
    <w:rsid w:val="002345B6"/>
    <w:rsid w:val="00234B84"/>
    <w:rsid w:val="00236016"/>
    <w:rsid w:val="00236271"/>
    <w:rsid w:val="00237065"/>
    <w:rsid w:val="00237589"/>
    <w:rsid w:val="0023758D"/>
    <w:rsid w:val="002375A7"/>
    <w:rsid w:val="0024019A"/>
    <w:rsid w:val="00240A4A"/>
    <w:rsid w:val="002411DE"/>
    <w:rsid w:val="0024131D"/>
    <w:rsid w:val="002413B5"/>
    <w:rsid w:val="002415B8"/>
    <w:rsid w:val="00241618"/>
    <w:rsid w:val="00242D62"/>
    <w:rsid w:val="00243057"/>
    <w:rsid w:val="002431D7"/>
    <w:rsid w:val="00243257"/>
    <w:rsid w:val="00243434"/>
    <w:rsid w:val="00243EAD"/>
    <w:rsid w:val="00244058"/>
    <w:rsid w:val="00244F9A"/>
    <w:rsid w:val="00245718"/>
    <w:rsid w:val="00245E07"/>
    <w:rsid w:val="0024729C"/>
    <w:rsid w:val="00247712"/>
    <w:rsid w:val="00250EC6"/>
    <w:rsid w:val="00251866"/>
    <w:rsid w:val="00251A9F"/>
    <w:rsid w:val="00251E56"/>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3F7F"/>
    <w:rsid w:val="002653A6"/>
    <w:rsid w:val="0026608D"/>
    <w:rsid w:val="002661F1"/>
    <w:rsid w:val="002663BA"/>
    <w:rsid w:val="002664B7"/>
    <w:rsid w:val="00266CB5"/>
    <w:rsid w:val="002711A4"/>
    <w:rsid w:val="00271F13"/>
    <w:rsid w:val="002721E2"/>
    <w:rsid w:val="00274BF8"/>
    <w:rsid w:val="00274DB5"/>
    <w:rsid w:val="00275BB1"/>
    <w:rsid w:val="00275FBF"/>
    <w:rsid w:val="00276373"/>
    <w:rsid w:val="00277933"/>
    <w:rsid w:val="00277F13"/>
    <w:rsid w:val="00277F8D"/>
    <w:rsid w:val="00277FA7"/>
    <w:rsid w:val="00280267"/>
    <w:rsid w:val="002805E0"/>
    <w:rsid w:val="00280F3D"/>
    <w:rsid w:val="0028106A"/>
    <w:rsid w:val="00281EB4"/>
    <w:rsid w:val="00282C21"/>
    <w:rsid w:val="00282F57"/>
    <w:rsid w:val="0028308E"/>
    <w:rsid w:val="002834E9"/>
    <w:rsid w:val="0028396F"/>
    <w:rsid w:val="00283A52"/>
    <w:rsid w:val="00283C5E"/>
    <w:rsid w:val="00283E26"/>
    <w:rsid w:val="00284147"/>
    <w:rsid w:val="0028428F"/>
    <w:rsid w:val="00284CFC"/>
    <w:rsid w:val="002851C6"/>
    <w:rsid w:val="0028565E"/>
    <w:rsid w:val="00285832"/>
    <w:rsid w:val="00285969"/>
    <w:rsid w:val="0028663B"/>
    <w:rsid w:val="00286CEC"/>
    <w:rsid w:val="002871A9"/>
    <w:rsid w:val="0028750E"/>
    <w:rsid w:val="00287B7E"/>
    <w:rsid w:val="00290781"/>
    <w:rsid w:val="002912D3"/>
    <w:rsid w:val="00291784"/>
    <w:rsid w:val="002929BB"/>
    <w:rsid w:val="00292E64"/>
    <w:rsid w:val="002932BA"/>
    <w:rsid w:val="00293669"/>
    <w:rsid w:val="00294368"/>
    <w:rsid w:val="00294B78"/>
    <w:rsid w:val="00295646"/>
    <w:rsid w:val="00295949"/>
    <w:rsid w:val="00295DD0"/>
    <w:rsid w:val="0029624A"/>
    <w:rsid w:val="00296922"/>
    <w:rsid w:val="0029697C"/>
    <w:rsid w:val="00297098"/>
    <w:rsid w:val="00297C41"/>
    <w:rsid w:val="002A05D4"/>
    <w:rsid w:val="002A09FF"/>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5E7B"/>
    <w:rsid w:val="002A5E7D"/>
    <w:rsid w:val="002A6AFB"/>
    <w:rsid w:val="002A6E3A"/>
    <w:rsid w:val="002A733D"/>
    <w:rsid w:val="002A774A"/>
    <w:rsid w:val="002A7E5C"/>
    <w:rsid w:val="002A7F6D"/>
    <w:rsid w:val="002B020D"/>
    <w:rsid w:val="002B1342"/>
    <w:rsid w:val="002B251B"/>
    <w:rsid w:val="002B27C8"/>
    <w:rsid w:val="002B2A7F"/>
    <w:rsid w:val="002B2E10"/>
    <w:rsid w:val="002B330B"/>
    <w:rsid w:val="002B39BE"/>
    <w:rsid w:val="002B4039"/>
    <w:rsid w:val="002B438C"/>
    <w:rsid w:val="002B48DB"/>
    <w:rsid w:val="002B48E9"/>
    <w:rsid w:val="002B4B34"/>
    <w:rsid w:val="002B508E"/>
    <w:rsid w:val="002B541A"/>
    <w:rsid w:val="002B6407"/>
    <w:rsid w:val="002B6416"/>
    <w:rsid w:val="002B6459"/>
    <w:rsid w:val="002B64D2"/>
    <w:rsid w:val="002B68FE"/>
    <w:rsid w:val="002B6F42"/>
    <w:rsid w:val="002B73B0"/>
    <w:rsid w:val="002C1143"/>
    <w:rsid w:val="002C2120"/>
    <w:rsid w:val="002C24B4"/>
    <w:rsid w:val="002C2739"/>
    <w:rsid w:val="002C2B3A"/>
    <w:rsid w:val="002C2B87"/>
    <w:rsid w:val="002C3CF4"/>
    <w:rsid w:val="002C3FB9"/>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2C5"/>
    <w:rsid w:val="002D2EF0"/>
    <w:rsid w:val="002D301F"/>
    <w:rsid w:val="002D302A"/>
    <w:rsid w:val="002D36C6"/>
    <w:rsid w:val="002D37C1"/>
    <w:rsid w:val="002D444B"/>
    <w:rsid w:val="002D4A45"/>
    <w:rsid w:val="002D4A73"/>
    <w:rsid w:val="002D4AB1"/>
    <w:rsid w:val="002D4B42"/>
    <w:rsid w:val="002D4DBA"/>
    <w:rsid w:val="002D4FDE"/>
    <w:rsid w:val="002D5A1B"/>
    <w:rsid w:val="002D65BC"/>
    <w:rsid w:val="002D6740"/>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0BF"/>
    <w:rsid w:val="002E74C4"/>
    <w:rsid w:val="002E7847"/>
    <w:rsid w:val="002E7FCF"/>
    <w:rsid w:val="002F0073"/>
    <w:rsid w:val="002F0430"/>
    <w:rsid w:val="002F0618"/>
    <w:rsid w:val="002F186C"/>
    <w:rsid w:val="002F1D41"/>
    <w:rsid w:val="002F240B"/>
    <w:rsid w:val="002F2F50"/>
    <w:rsid w:val="002F3601"/>
    <w:rsid w:val="002F37DD"/>
    <w:rsid w:val="002F45F6"/>
    <w:rsid w:val="002F692F"/>
    <w:rsid w:val="002F69BE"/>
    <w:rsid w:val="002F7B66"/>
    <w:rsid w:val="00300CB4"/>
    <w:rsid w:val="00300DE7"/>
    <w:rsid w:val="00300E24"/>
    <w:rsid w:val="0030101C"/>
    <w:rsid w:val="00302B42"/>
    <w:rsid w:val="00303196"/>
    <w:rsid w:val="003033BA"/>
    <w:rsid w:val="003043A3"/>
    <w:rsid w:val="00304BD4"/>
    <w:rsid w:val="00304EE3"/>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14F"/>
    <w:rsid w:val="0031336A"/>
    <w:rsid w:val="00313447"/>
    <w:rsid w:val="00313748"/>
    <w:rsid w:val="00313EA3"/>
    <w:rsid w:val="00315457"/>
    <w:rsid w:val="0031599C"/>
    <w:rsid w:val="003161A4"/>
    <w:rsid w:val="00316955"/>
    <w:rsid w:val="00316BBC"/>
    <w:rsid w:val="0031720A"/>
    <w:rsid w:val="0031749B"/>
    <w:rsid w:val="003174E5"/>
    <w:rsid w:val="00317C9D"/>
    <w:rsid w:val="00317CD2"/>
    <w:rsid w:val="00317D99"/>
    <w:rsid w:val="0032078D"/>
    <w:rsid w:val="003208F4"/>
    <w:rsid w:val="00320A6E"/>
    <w:rsid w:val="00320F34"/>
    <w:rsid w:val="0032137B"/>
    <w:rsid w:val="003214F7"/>
    <w:rsid w:val="0032177C"/>
    <w:rsid w:val="00321BD6"/>
    <w:rsid w:val="00321FA3"/>
    <w:rsid w:val="003223D7"/>
    <w:rsid w:val="003227D3"/>
    <w:rsid w:val="00322937"/>
    <w:rsid w:val="00322A46"/>
    <w:rsid w:val="00322A84"/>
    <w:rsid w:val="00322EC1"/>
    <w:rsid w:val="00323881"/>
    <w:rsid w:val="00323B73"/>
    <w:rsid w:val="00324821"/>
    <w:rsid w:val="003254F5"/>
    <w:rsid w:val="00325D98"/>
    <w:rsid w:val="0032682A"/>
    <w:rsid w:val="00327A5C"/>
    <w:rsid w:val="0033092C"/>
    <w:rsid w:val="0033122A"/>
    <w:rsid w:val="003315AC"/>
    <w:rsid w:val="00331932"/>
    <w:rsid w:val="00333A88"/>
    <w:rsid w:val="00333FFB"/>
    <w:rsid w:val="003355D6"/>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4BF8"/>
    <w:rsid w:val="0034680A"/>
    <w:rsid w:val="00346C62"/>
    <w:rsid w:val="0034778E"/>
    <w:rsid w:val="003501E2"/>
    <w:rsid w:val="00350A59"/>
    <w:rsid w:val="00351E10"/>
    <w:rsid w:val="0035273A"/>
    <w:rsid w:val="00352D59"/>
    <w:rsid w:val="003533F4"/>
    <w:rsid w:val="003536F6"/>
    <w:rsid w:val="00353DD5"/>
    <w:rsid w:val="00355131"/>
    <w:rsid w:val="00355462"/>
    <w:rsid w:val="00356438"/>
    <w:rsid w:val="00356687"/>
    <w:rsid w:val="00356BCA"/>
    <w:rsid w:val="003609C4"/>
    <w:rsid w:val="003618D9"/>
    <w:rsid w:val="00361A59"/>
    <w:rsid w:val="0036315A"/>
    <w:rsid w:val="003631CC"/>
    <w:rsid w:val="003632CC"/>
    <w:rsid w:val="00363348"/>
    <w:rsid w:val="00363857"/>
    <w:rsid w:val="00363D59"/>
    <w:rsid w:val="003640F7"/>
    <w:rsid w:val="00364300"/>
    <w:rsid w:val="00364795"/>
    <w:rsid w:val="00364E66"/>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9D1"/>
    <w:rsid w:val="00375C7C"/>
    <w:rsid w:val="003762F6"/>
    <w:rsid w:val="00377027"/>
    <w:rsid w:val="00377070"/>
    <w:rsid w:val="00377135"/>
    <w:rsid w:val="00380272"/>
    <w:rsid w:val="00380355"/>
    <w:rsid w:val="00380576"/>
    <w:rsid w:val="003805DB"/>
    <w:rsid w:val="003813F4"/>
    <w:rsid w:val="0038152A"/>
    <w:rsid w:val="00382BAD"/>
    <w:rsid w:val="00383A8D"/>
    <w:rsid w:val="00383D49"/>
    <w:rsid w:val="00384CD6"/>
    <w:rsid w:val="00384DF1"/>
    <w:rsid w:val="00384FF3"/>
    <w:rsid w:val="00385B03"/>
    <w:rsid w:val="00386456"/>
    <w:rsid w:val="003865A9"/>
    <w:rsid w:val="00387642"/>
    <w:rsid w:val="003903B6"/>
    <w:rsid w:val="00390F32"/>
    <w:rsid w:val="0039135E"/>
    <w:rsid w:val="0039200F"/>
    <w:rsid w:val="0039319C"/>
    <w:rsid w:val="003932B1"/>
    <w:rsid w:val="00393688"/>
    <w:rsid w:val="003938CD"/>
    <w:rsid w:val="00393CAE"/>
    <w:rsid w:val="003945DC"/>
    <w:rsid w:val="003945F4"/>
    <w:rsid w:val="00394EB5"/>
    <w:rsid w:val="003953B4"/>
    <w:rsid w:val="0039615F"/>
    <w:rsid w:val="00396923"/>
    <w:rsid w:val="00396A29"/>
    <w:rsid w:val="00397FF0"/>
    <w:rsid w:val="003A0878"/>
    <w:rsid w:val="003A1561"/>
    <w:rsid w:val="003A1D25"/>
    <w:rsid w:val="003A22A2"/>
    <w:rsid w:val="003A2447"/>
    <w:rsid w:val="003A2A63"/>
    <w:rsid w:val="003A2AA1"/>
    <w:rsid w:val="003A31A5"/>
    <w:rsid w:val="003A3851"/>
    <w:rsid w:val="003A39DD"/>
    <w:rsid w:val="003A4A8E"/>
    <w:rsid w:val="003A532A"/>
    <w:rsid w:val="003A563C"/>
    <w:rsid w:val="003A581E"/>
    <w:rsid w:val="003A6160"/>
    <w:rsid w:val="003A65A5"/>
    <w:rsid w:val="003A72F5"/>
    <w:rsid w:val="003A78E5"/>
    <w:rsid w:val="003B0341"/>
    <w:rsid w:val="003B120F"/>
    <w:rsid w:val="003B1CA8"/>
    <w:rsid w:val="003B1E57"/>
    <w:rsid w:val="003B2885"/>
    <w:rsid w:val="003B2EF3"/>
    <w:rsid w:val="003B3676"/>
    <w:rsid w:val="003B444E"/>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072"/>
    <w:rsid w:val="003C5118"/>
    <w:rsid w:val="003C622C"/>
    <w:rsid w:val="003C6D53"/>
    <w:rsid w:val="003C73C7"/>
    <w:rsid w:val="003D03F3"/>
    <w:rsid w:val="003D050B"/>
    <w:rsid w:val="003D0ADA"/>
    <w:rsid w:val="003D0B98"/>
    <w:rsid w:val="003D0C3C"/>
    <w:rsid w:val="003D0DE5"/>
    <w:rsid w:val="003D1351"/>
    <w:rsid w:val="003D1E4F"/>
    <w:rsid w:val="003D21C1"/>
    <w:rsid w:val="003D2924"/>
    <w:rsid w:val="003D3707"/>
    <w:rsid w:val="003D3B15"/>
    <w:rsid w:val="003D3B2E"/>
    <w:rsid w:val="003D408E"/>
    <w:rsid w:val="003D43DD"/>
    <w:rsid w:val="003D484D"/>
    <w:rsid w:val="003D49CB"/>
    <w:rsid w:val="003D4BD6"/>
    <w:rsid w:val="003D5C65"/>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54"/>
    <w:rsid w:val="003E4CD9"/>
    <w:rsid w:val="003E53B8"/>
    <w:rsid w:val="003E54B3"/>
    <w:rsid w:val="003E5780"/>
    <w:rsid w:val="003E5970"/>
    <w:rsid w:val="003E5B9F"/>
    <w:rsid w:val="003E6072"/>
    <w:rsid w:val="003E6AB6"/>
    <w:rsid w:val="003E6E0B"/>
    <w:rsid w:val="003E71CD"/>
    <w:rsid w:val="003E74E5"/>
    <w:rsid w:val="003E76DF"/>
    <w:rsid w:val="003E78DA"/>
    <w:rsid w:val="003E7A8B"/>
    <w:rsid w:val="003F04B0"/>
    <w:rsid w:val="003F0F7F"/>
    <w:rsid w:val="003F1CE4"/>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307"/>
    <w:rsid w:val="00402DE1"/>
    <w:rsid w:val="00402EEB"/>
    <w:rsid w:val="004037C2"/>
    <w:rsid w:val="00404041"/>
    <w:rsid w:val="00404B43"/>
    <w:rsid w:val="00404C61"/>
    <w:rsid w:val="00405487"/>
    <w:rsid w:val="004054B1"/>
    <w:rsid w:val="00405792"/>
    <w:rsid w:val="0040602B"/>
    <w:rsid w:val="0040691D"/>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A41"/>
    <w:rsid w:val="00421BD2"/>
    <w:rsid w:val="00421E00"/>
    <w:rsid w:val="00421FCB"/>
    <w:rsid w:val="00421FF6"/>
    <w:rsid w:val="00422DCA"/>
    <w:rsid w:val="00423F9F"/>
    <w:rsid w:val="0042499B"/>
    <w:rsid w:val="00424F90"/>
    <w:rsid w:val="00424FEC"/>
    <w:rsid w:val="004250C6"/>
    <w:rsid w:val="00425C43"/>
    <w:rsid w:val="00426C69"/>
    <w:rsid w:val="00426D3B"/>
    <w:rsid w:val="004273FA"/>
    <w:rsid w:val="004276C2"/>
    <w:rsid w:val="00430186"/>
    <w:rsid w:val="00430730"/>
    <w:rsid w:val="004308BC"/>
    <w:rsid w:val="0043090E"/>
    <w:rsid w:val="0043269A"/>
    <w:rsid w:val="00432E14"/>
    <w:rsid w:val="004333C2"/>
    <w:rsid w:val="00433ACB"/>
    <w:rsid w:val="00434787"/>
    <w:rsid w:val="004347DA"/>
    <w:rsid w:val="00434C13"/>
    <w:rsid w:val="00435955"/>
    <w:rsid w:val="00436323"/>
    <w:rsid w:val="0043683F"/>
    <w:rsid w:val="00436E45"/>
    <w:rsid w:val="00436F40"/>
    <w:rsid w:val="004370FA"/>
    <w:rsid w:val="00437266"/>
    <w:rsid w:val="00440096"/>
    <w:rsid w:val="004403DD"/>
    <w:rsid w:val="00440565"/>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2A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4DF"/>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33"/>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530F"/>
    <w:rsid w:val="00496664"/>
    <w:rsid w:val="00496786"/>
    <w:rsid w:val="0049695B"/>
    <w:rsid w:val="00496D8F"/>
    <w:rsid w:val="00496DF3"/>
    <w:rsid w:val="00497463"/>
    <w:rsid w:val="00497B15"/>
    <w:rsid w:val="00497BA8"/>
    <w:rsid w:val="004A054C"/>
    <w:rsid w:val="004A08D1"/>
    <w:rsid w:val="004A16C1"/>
    <w:rsid w:val="004A1B9D"/>
    <w:rsid w:val="004A1CE2"/>
    <w:rsid w:val="004A2069"/>
    <w:rsid w:val="004A2800"/>
    <w:rsid w:val="004A34D2"/>
    <w:rsid w:val="004A41BA"/>
    <w:rsid w:val="004A4301"/>
    <w:rsid w:val="004A4E65"/>
    <w:rsid w:val="004A58EE"/>
    <w:rsid w:val="004A59B7"/>
    <w:rsid w:val="004A623B"/>
    <w:rsid w:val="004A6A04"/>
    <w:rsid w:val="004A6A52"/>
    <w:rsid w:val="004A6C78"/>
    <w:rsid w:val="004A73E3"/>
    <w:rsid w:val="004B0F0B"/>
    <w:rsid w:val="004B163F"/>
    <w:rsid w:val="004B2197"/>
    <w:rsid w:val="004B279A"/>
    <w:rsid w:val="004B298A"/>
    <w:rsid w:val="004B578D"/>
    <w:rsid w:val="004B5BE7"/>
    <w:rsid w:val="004B5E2D"/>
    <w:rsid w:val="004B5ED5"/>
    <w:rsid w:val="004B6793"/>
    <w:rsid w:val="004B6C07"/>
    <w:rsid w:val="004B70DF"/>
    <w:rsid w:val="004B74D3"/>
    <w:rsid w:val="004B76D3"/>
    <w:rsid w:val="004B788E"/>
    <w:rsid w:val="004B79B3"/>
    <w:rsid w:val="004B7E5D"/>
    <w:rsid w:val="004C0DD8"/>
    <w:rsid w:val="004C22F7"/>
    <w:rsid w:val="004C2B27"/>
    <w:rsid w:val="004C3929"/>
    <w:rsid w:val="004C3EAA"/>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D6DE9"/>
    <w:rsid w:val="004D7E63"/>
    <w:rsid w:val="004E023F"/>
    <w:rsid w:val="004E0733"/>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07C"/>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08C"/>
    <w:rsid w:val="0050284E"/>
    <w:rsid w:val="00504676"/>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83C"/>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2D95"/>
    <w:rsid w:val="00533101"/>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23A"/>
    <w:rsid w:val="00552B3E"/>
    <w:rsid w:val="00554F3F"/>
    <w:rsid w:val="005551AA"/>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121"/>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4708"/>
    <w:rsid w:val="00574D81"/>
    <w:rsid w:val="005756AA"/>
    <w:rsid w:val="00575FB1"/>
    <w:rsid w:val="00576233"/>
    <w:rsid w:val="0057696F"/>
    <w:rsid w:val="005771B1"/>
    <w:rsid w:val="005774FE"/>
    <w:rsid w:val="0058040C"/>
    <w:rsid w:val="00580918"/>
    <w:rsid w:val="00580D6D"/>
    <w:rsid w:val="005810CB"/>
    <w:rsid w:val="005813DE"/>
    <w:rsid w:val="00581796"/>
    <w:rsid w:val="00581B45"/>
    <w:rsid w:val="00582480"/>
    <w:rsid w:val="00582763"/>
    <w:rsid w:val="0058290E"/>
    <w:rsid w:val="00582CAB"/>
    <w:rsid w:val="00583121"/>
    <w:rsid w:val="0058375E"/>
    <w:rsid w:val="00584233"/>
    <w:rsid w:val="005842D0"/>
    <w:rsid w:val="005855AE"/>
    <w:rsid w:val="0058575C"/>
    <w:rsid w:val="00585829"/>
    <w:rsid w:val="00585CA8"/>
    <w:rsid w:val="00586412"/>
    <w:rsid w:val="005864B9"/>
    <w:rsid w:val="005866C4"/>
    <w:rsid w:val="00586BDB"/>
    <w:rsid w:val="00590461"/>
    <w:rsid w:val="00590F1A"/>
    <w:rsid w:val="00591C03"/>
    <w:rsid w:val="00591E2A"/>
    <w:rsid w:val="005923C4"/>
    <w:rsid w:val="00593F75"/>
    <w:rsid w:val="005940A0"/>
    <w:rsid w:val="0059429A"/>
    <w:rsid w:val="00595FDD"/>
    <w:rsid w:val="00596AF7"/>
    <w:rsid w:val="00596CCE"/>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64"/>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2833"/>
    <w:rsid w:val="005C2BBC"/>
    <w:rsid w:val="005C36CF"/>
    <w:rsid w:val="005C38EB"/>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73D"/>
    <w:rsid w:val="005E3278"/>
    <w:rsid w:val="005E363B"/>
    <w:rsid w:val="005E3760"/>
    <w:rsid w:val="005E3B0D"/>
    <w:rsid w:val="005E62EE"/>
    <w:rsid w:val="005E6EA5"/>
    <w:rsid w:val="005F041F"/>
    <w:rsid w:val="005F0D48"/>
    <w:rsid w:val="005F1216"/>
    <w:rsid w:val="005F15FC"/>
    <w:rsid w:val="005F1819"/>
    <w:rsid w:val="005F1D7D"/>
    <w:rsid w:val="005F1D89"/>
    <w:rsid w:val="005F305B"/>
    <w:rsid w:val="005F3361"/>
    <w:rsid w:val="005F3B47"/>
    <w:rsid w:val="005F4481"/>
    <w:rsid w:val="005F49AF"/>
    <w:rsid w:val="005F4A58"/>
    <w:rsid w:val="005F54DF"/>
    <w:rsid w:val="005F5888"/>
    <w:rsid w:val="005F5984"/>
    <w:rsid w:val="005F5F37"/>
    <w:rsid w:val="005F62E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B08"/>
    <w:rsid w:val="00603CC2"/>
    <w:rsid w:val="006047D1"/>
    <w:rsid w:val="00604A55"/>
    <w:rsid w:val="00604D3F"/>
    <w:rsid w:val="00605AC3"/>
    <w:rsid w:val="00606908"/>
    <w:rsid w:val="00607996"/>
    <w:rsid w:val="00607A37"/>
    <w:rsid w:val="00607E9F"/>
    <w:rsid w:val="0061085E"/>
    <w:rsid w:val="00611398"/>
    <w:rsid w:val="006118F4"/>
    <w:rsid w:val="0061204A"/>
    <w:rsid w:val="00612322"/>
    <w:rsid w:val="006123C0"/>
    <w:rsid w:val="00612C84"/>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281D"/>
    <w:rsid w:val="006231AA"/>
    <w:rsid w:val="00623482"/>
    <w:rsid w:val="00623AC2"/>
    <w:rsid w:val="00623FF7"/>
    <w:rsid w:val="0062471F"/>
    <w:rsid w:val="0062554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1FBD"/>
    <w:rsid w:val="006324C2"/>
    <w:rsid w:val="0063295C"/>
    <w:rsid w:val="00633367"/>
    <w:rsid w:val="00633DBF"/>
    <w:rsid w:val="00634064"/>
    <w:rsid w:val="00634122"/>
    <w:rsid w:val="00634C03"/>
    <w:rsid w:val="0063530B"/>
    <w:rsid w:val="006355B6"/>
    <w:rsid w:val="00635E32"/>
    <w:rsid w:val="006365DE"/>
    <w:rsid w:val="00636BE4"/>
    <w:rsid w:val="0063746C"/>
    <w:rsid w:val="00637802"/>
    <w:rsid w:val="00637836"/>
    <w:rsid w:val="00637C26"/>
    <w:rsid w:val="00637F44"/>
    <w:rsid w:val="00640659"/>
    <w:rsid w:val="00641078"/>
    <w:rsid w:val="00641242"/>
    <w:rsid w:val="00642A32"/>
    <w:rsid w:val="00642D53"/>
    <w:rsid w:val="006433D5"/>
    <w:rsid w:val="00646B20"/>
    <w:rsid w:val="00646D0F"/>
    <w:rsid w:val="0064708F"/>
    <w:rsid w:val="00647936"/>
    <w:rsid w:val="00647A36"/>
    <w:rsid w:val="00647DCC"/>
    <w:rsid w:val="00647EFA"/>
    <w:rsid w:val="00647F14"/>
    <w:rsid w:val="00650027"/>
    <w:rsid w:val="00651B9C"/>
    <w:rsid w:val="00651C47"/>
    <w:rsid w:val="00651D98"/>
    <w:rsid w:val="0065218F"/>
    <w:rsid w:val="00652854"/>
    <w:rsid w:val="00652D2C"/>
    <w:rsid w:val="00652E70"/>
    <w:rsid w:val="00652E85"/>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272D"/>
    <w:rsid w:val="00662E58"/>
    <w:rsid w:val="00662F39"/>
    <w:rsid w:val="006635A0"/>
    <w:rsid w:val="00663AAC"/>
    <w:rsid w:val="00664351"/>
    <w:rsid w:val="006646E0"/>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6B9A"/>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50F"/>
    <w:rsid w:val="00693772"/>
    <w:rsid w:val="00694160"/>
    <w:rsid w:val="00694D31"/>
    <w:rsid w:val="006959A5"/>
    <w:rsid w:val="00695C0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16D3"/>
    <w:rsid w:val="006B2534"/>
    <w:rsid w:val="006B2CB2"/>
    <w:rsid w:val="006B347D"/>
    <w:rsid w:val="006B3E19"/>
    <w:rsid w:val="006B4488"/>
    <w:rsid w:val="006B5B75"/>
    <w:rsid w:val="006B671C"/>
    <w:rsid w:val="006B67AC"/>
    <w:rsid w:val="006B6A25"/>
    <w:rsid w:val="006B7285"/>
    <w:rsid w:val="006B786A"/>
    <w:rsid w:val="006B7E4E"/>
    <w:rsid w:val="006C003A"/>
    <w:rsid w:val="006C2454"/>
    <w:rsid w:val="006C2551"/>
    <w:rsid w:val="006C3746"/>
    <w:rsid w:val="006C37CA"/>
    <w:rsid w:val="006C40B7"/>
    <w:rsid w:val="006C40D2"/>
    <w:rsid w:val="006C5530"/>
    <w:rsid w:val="006C5B15"/>
    <w:rsid w:val="006C5D32"/>
    <w:rsid w:val="006C5D9B"/>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421"/>
    <w:rsid w:val="006D658F"/>
    <w:rsid w:val="006D69FA"/>
    <w:rsid w:val="006D6A12"/>
    <w:rsid w:val="006D712D"/>
    <w:rsid w:val="006D7687"/>
    <w:rsid w:val="006D7D1F"/>
    <w:rsid w:val="006D7D8A"/>
    <w:rsid w:val="006E0572"/>
    <w:rsid w:val="006E05D8"/>
    <w:rsid w:val="006E08EE"/>
    <w:rsid w:val="006E0D16"/>
    <w:rsid w:val="006E1130"/>
    <w:rsid w:val="006E155A"/>
    <w:rsid w:val="006E291A"/>
    <w:rsid w:val="006E3452"/>
    <w:rsid w:val="006E348E"/>
    <w:rsid w:val="006E39D1"/>
    <w:rsid w:val="006E437F"/>
    <w:rsid w:val="006E4D5B"/>
    <w:rsid w:val="006E51E9"/>
    <w:rsid w:val="006E602F"/>
    <w:rsid w:val="006E6720"/>
    <w:rsid w:val="006E68FA"/>
    <w:rsid w:val="006E7275"/>
    <w:rsid w:val="006E77B8"/>
    <w:rsid w:val="006F15CC"/>
    <w:rsid w:val="006F38AD"/>
    <w:rsid w:val="006F3BDD"/>
    <w:rsid w:val="006F4147"/>
    <w:rsid w:val="006F4315"/>
    <w:rsid w:val="006F4478"/>
    <w:rsid w:val="006F458D"/>
    <w:rsid w:val="006F4A6D"/>
    <w:rsid w:val="006F4CB0"/>
    <w:rsid w:val="006F4F78"/>
    <w:rsid w:val="006F547E"/>
    <w:rsid w:val="006F5656"/>
    <w:rsid w:val="006F5CA8"/>
    <w:rsid w:val="006F5CCF"/>
    <w:rsid w:val="006F6B77"/>
    <w:rsid w:val="006F772B"/>
    <w:rsid w:val="006F78DC"/>
    <w:rsid w:val="00700956"/>
    <w:rsid w:val="00700D5F"/>
    <w:rsid w:val="0070138A"/>
    <w:rsid w:val="0070157E"/>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3B3"/>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9CF"/>
    <w:rsid w:val="00721BFF"/>
    <w:rsid w:val="00722FD8"/>
    <w:rsid w:val="007236C4"/>
    <w:rsid w:val="00723B59"/>
    <w:rsid w:val="0072432C"/>
    <w:rsid w:val="00724635"/>
    <w:rsid w:val="0072554B"/>
    <w:rsid w:val="00725AFD"/>
    <w:rsid w:val="00725F81"/>
    <w:rsid w:val="00726603"/>
    <w:rsid w:val="00727DDC"/>
    <w:rsid w:val="00730CD6"/>
    <w:rsid w:val="00730F74"/>
    <w:rsid w:val="0073114B"/>
    <w:rsid w:val="0073253A"/>
    <w:rsid w:val="00734414"/>
    <w:rsid w:val="00734952"/>
    <w:rsid w:val="00734990"/>
    <w:rsid w:val="00734FF5"/>
    <w:rsid w:val="00735761"/>
    <w:rsid w:val="00735B78"/>
    <w:rsid w:val="00735DA7"/>
    <w:rsid w:val="007368B4"/>
    <w:rsid w:val="007378E0"/>
    <w:rsid w:val="00737C5C"/>
    <w:rsid w:val="0074026F"/>
    <w:rsid w:val="00740529"/>
    <w:rsid w:val="00740A6C"/>
    <w:rsid w:val="00741358"/>
    <w:rsid w:val="00741394"/>
    <w:rsid w:val="00741626"/>
    <w:rsid w:val="00742332"/>
    <w:rsid w:val="00742886"/>
    <w:rsid w:val="00742B10"/>
    <w:rsid w:val="00742DD2"/>
    <w:rsid w:val="007430A5"/>
    <w:rsid w:val="007437C6"/>
    <w:rsid w:val="007439EE"/>
    <w:rsid w:val="007441A2"/>
    <w:rsid w:val="00744B15"/>
    <w:rsid w:val="00744E80"/>
    <w:rsid w:val="00745035"/>
    <w:rsid w:val="0074531C"/>
    <w:rsid w:val="00745547"/>
    <w:rsid w:val="007459BD"/>
    <w:rsid w:val="007459D0"/>
    <w:rsid w:val="0074623A"/>
    <w:rsid w:val="00746420"/>
    <w:rsid w:val="0074664B"/>
    <w:rsid w:val="00746D72"/>
    <w:rsid w:val="00746E04"/>
    <w:rsid w:val="00746E08"/>
    <w:rsid w:val="00746E3D"/>
    <w:rsid w:val="007472B2"/>
    <w:rsid w:val="007473B9"/>
    <w:rsid w:val="007474ED"/>
    <w:rsid w:val="00747529"/>
    <w:rsid w:val="007476EE"/>
    <w:rsid w:val="00747C96"/>
    <w:rsid w:val="00750075"/>
    <w:rsid w:val="007502EC"/>
    <w:rsid w:val="00750382"/>
    <w:rsid w:val="00750476"/>
    <w:rsid w:val="0075094E"/>
    <w:rsid w:val="00750FA8"/>
    <w:rsid w:val="00750FB5"/>
    <w:rsid w:val="00751B4C"/>
    <w:rsid w:val="007522E8"/>
    <w:rsid w:val="007525BB"/>
    <w:rsid w:val="00753BAC"/>
    <w:rsid w:val="00754A0B"/>
    <w:rsid w:val="00754D35"/>
    <w:rsid w:val="007552DB"/>
    <w:rsid w:val="00755B08"/>
    <w:rsid w:val="00755DD0"/>
    <w:rsid w:val="007562EC"/>
    <w:rsid w:val="0075647A"/>
    <w:rsid w:val="007566BE"/>
    <w:rsid w:val="00756A2F"/>
    <w:rsid w:val="007573E1"/>
    <w:rsid w:val="007573E3"/>
    <w:rsid w:val="0075749E"/>
    <w:rsid w:val="007577DA"/>
    <w:rsid w:val="00757865"/>
    <w:rsid w:val="00757B2D"/>
    <w:rsid w:val="00757BAD"/>
    <w:rsid w:val="00757D62"/>
    <w:rsid w:val="00760844"/>
    <w:rsid w:val="00760867"/>
    <w:rsid w:val="00760EB6"/>
    <w:rsid w:val="0076105F"/>
    <w:rsid w:val="007616DB"/>
    <w:rsid w:val="00761DC6"/>
    <w:rsid w:val="0076228A"/>
    <w:rsid w:val="00762440"/>
    <w:rsid w:val="007629B7"/>
    <w:rsid w:val="00762E60"/>
    <w:rsid w:val="007634AD"/>
    <w:rsid w:val="00766ECC"/>
    <w:rsid w:val="007672F3"/>
    <w:rsid w:val="007676A9"/>
    <w:rsid w:val="007677B5"/>
    <w:rsid w:val="007678B1"/>
    <w:rsid w:val="00770317"/>
    <w:rsid w:val="007708A8"/>
    <w:rsid w:val="00772275"/>
    <w:rsid w:val="007734E4"/>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678"/>
    <w:rsid w:val="00781939"/>
    <w:rsid w:val="00781D29"/>
    <w:rsid w:val="007825EF"/>
    <w:rsid w:val="007827B0"/>
    <w:rsid w:val="0078286B"/>
    <w:rsid w:val="00782D2C"/>
    <w:rsid w:val="00782FC2"/>
    <w:rsid w:val="00784696"/>
    <w:rsid w:val="00784E79"/>
    <w:rsid w:val="00784FC4"/>
    <w:rsid w:val="00785BBB"/>
    <w:rsid w:val="00785C8D"/>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302C"/>
    <w:rsid w:val="007930D3"/>
    <w:rsid w:val="0079381F"/>
    <w:rsid w:val="00793B2E"/>
    <w:rsid w:val="007943FC"/>
    <w:rsid w:val="007948F5"/>
    <w:rsid w:val="00795647"/>
    <w:rsid w:val="007963F6"/>
    <w:rsid w:val="00796418"/>
    <w:rsid w:val="00796485"/>
    <w:rsid w:val="00796576"/>
    <w:rsid w:val="00796E80"/>
    <w:rsid w:val="007979AD"/>
    <w:rsid w:val="00797A9C"/>
    <w:rsid w:val="007A0EAB"/>
    <w:rsid w:val="007A1C87"/>
    <w:rsid w:val="007A2341"/>
    <w:rsid w:val="007A38A1"/>
    <w:rsid w:val="007A3967"/>
    <w:rsid w:val="007A3BBE"/>
    <w:rsid w:val="007A4766"/>
    <w:rsid w:val="007A5134"/>
    <w:rsid w:val="007A5816"/>
    <w:rsid w:val="007A5947"/>
    <w:rsid w:val="007A6CE7"/>
    <w:rsid w:val="007A6F90"/>
    <w:rsid w:val="007B00D8"/>
    <w:rsid w:val="007B0313"/>
    <w:rsid w:val="007B05FB"/>
    <w:rsid w:val="007B0854"/>
    <w:rsid w:val="007B0E48"/>
    <w:rsid w:val="007B12F1"/>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697"/>
    <w:rsid w:val="007B699E"/>
    <w:rsid w:val="007B6C64"/>
    <w:rsid w:val="007B6EC8"/>
    <w:rsid w:val="007B6F81"/>
    <w:rsid w:val="007B7992"/>
    <w:rsid w:val="007B7EA2"/>
    <w:rsid w:val="007C025A"/>
    <w:rsid w:val="007C081B"/>
    <w:rsid w:val="007C097D"/>
    <w:rsid w:val="007C13FA"/>
    <w:rsid w:val="007C1554"/>
    <w:rsid w:val="007C1672"/>
    <w:rsid w:val="007C312A"/>
    <w:rsid w:val="007C3570"/>
    <w:rsid w:val="007C3F3B"/>
    <w:rsid w:val="007C4241"/>
    <w:rsid w:val="007C55FF"/>
    <w:rsid w:val="007C6339"/>
    <w:rsid w:val="007C6EC5"/>
    <w:rsid w:val="007C6F35"/>
    <w:rsid w:val="007C7C43"/>
    <w:rsid w:val="007C7F0D"/>
    <w:rsid w:val="007D0D03"/>
    <w:rsid w:val="007D1134"/>
    <w:rsid w:val="007D20CF"/>
    <w:rsid w:val="007D23F7"/>
    <w:rsid w:val="007D2566"/>
    <w:rsid w:val="007D2C18"/>
    <w:rsid w:val="007D2D74"/>
    <w:rsid w:val="007D333D"/>
    <w:rsid w:val="007D3395"/>
    <w:rsid w:val="007D358F"/>
    <w:rsid w:val="007D3693"/>
    <w:rsid w:val="007D3C6D"/>
    <w:rsid w:val="007D409B"/>
    <w:rsid w:val="007D4261"/>
    <w:rsid w:val="007D481A"/>
    <w:rsid w:val="007D4ADF"/>
    <w:rsid w:val="007D5402"/>
    <w:rsid w:val="007D5648"/>
    <w:rsid w:val="007D58C5"/>
    <w:rsid w:val="007D5DE8"/>
    <w:rsid w:val="007D7346"/>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7368"/>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5CDF"/>
    <w:rsid w:val="007F5F90"/>
    <w:rsid w:val="007F616E"/>
    <w:rsid w:val="007F665F"/>
    <w:rsid w:val="007F6B3B"/>
    <w:rsid w:val="007F6B46"/>
    <w:rsid w:val="007F72CB"/>
    <w:rsid w:val="007F736A"/>
    <w:rsid w:val="007F7635"/>
    <w:rsid w:val="007F785F"/>
    <w:rsid w:val="007F7AF6"/>
    <w:rsid w:val="007F7B49"/>
    <w:rsid w:val="007F7E36"/>
    <w:rsid w:val="00800681"/>
    <w:rsid w:val="00800A62"/>
    <w:rsid w:val="00800E6D"/>
    <w:rsid w:val="008014D9"/>
    <w:rsid w:val="0080150F"/>
    <w:rsid w:val="0080153A"/>
    <w:rsid w:val="00801A2A"/>
    <w:rsid w:val="00802041"/>
    <w:rsid w:val="008022C9"/>
    <w:rsid w:val="00802C0C"/>
    <w:rsid w:val="00802F9E"/>
    <w:rsid w:val="00803700"/>
    <w:rsid w:val="00803C65"/>
    <w:rsid w:val="00803D9D"/>
    <w:rsid w:val="00805185"/>
    <w:rsid w:val="008053EF"/>
    <w:rsid w:val="008059C6"/>
    <w:rsid w:val="00805AD7"/>
    <w:rsid w:val="00805BD6"/>
    <w:rsid w:val="00805DE3"/>
    <w:rsid w:val="00807666"/>
    <w:rsid w:val="008076B6"/>
    <w:rsid w:val="00807C35"/>
    <w:rsid w:val="00807F69"/>
    <w:rsid w:val="008100EC"/>
    <w:rsid w:val="008100F7"/>
    <w:rsid w:val="00810206"/>
    <w:rsid w:val="00811898"/>
    <w:rsid w:val="008120C4"/>
    <w:rsid w:val="008124D8"/>
    <w:rsid w:val="0081323E"/>
    <w:rsid w:val="00813A7B"/>
    <w:rsid w:val="00813F04"/>
    <w:rsid w:val="00814B72"/>
    <w:rsid w:val="00814D88"/>
    <w:rsid w:val="00815A07"/>
    <w:rsid w:val="00815DA5"/>
    <w:rsid w:val="00816221"/>
    <w:rsid w:val="00816E1F"/>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3A93"/>
    <w:rsid w:val="008241CE"/>
    <w:rsid w:val="00825240"/>
    <w:rsid w:val="00825B43"/>
    <w:rsid w:val="00825EF8"/>
    <w:rsid w:val="0082629D"/>
    <w:rsid w:val="008263EB"/>
    <w:rsid w:val="00827203"/>
    <w:rsid w:val="0082767A"/>
    <w:rsid w:val="00827CC0"/>
    <w:rsid w:val="00831026"/>
    <w:rsid w:val="0083119B"/>
    <w:rsid w:val="00831654"/>
    <w:rsid w:val="00831BAE"/>
    <w:rsid w:val="00832216"/>
    <w:rsid w:val="00832CD0"/>
    <w:rsid w:val="00833430"/>
    <w:rsid w:val="00834128"/>
    <w:rsid w:val="0083417F"/>
    <w:rsid w:val="00835143"/>
    <w:rsid w:val="008351F8"/>
    <w:rsid w:val="00835741"/>
    <w:rsid w:val="00836197"/>
    <w:rsid w:val="00836E74"/>
    <w:rsid w:val="00836EAB"/>
    <w:rsid w:val="00837673"/>
    <w:rsid w:val="00837937"/>
    <w:rsid w:val="00837D82"/>
    <w:rsid w:val="0084004C"/>
    <w:rsid w:val="00840893"/>
    <w:rsid w:val="00840E88"/>
    <w:rsid w:val="0084195A"/>
    <w:rsid w:val="008423EC"/>
    <w:rsid w:val="0084332E"/>
    <w:rsid w:val="00843615"/>
    <w:rsid w:val="00843698"/>
    <w:rsid w:val="00843A4B"/>
    <w:rsid w:val="00843B57"/>
    <w:rsid w:val="00843B60"/>
    <w:rsid w:val="00843D33"/>
    <w:rsid w:val="00844D4F"/>
    <w:rsid w:val="00845118"/>
    <w:rsid w:val="00845AE3"/>
    <w:rsid w:val="008466A0"/>
    <w:rsid w:val="00846D1D"/>
    <w:rsid w:val="00847535"/>
    <w:rsid w:val="00847744"/>
    <w:rsid w:val="00847B6D"/>
    <w:rsid w:val="00847FFA"/>
    <w:rsid w:val="0085092D"/>
    <w:rsid w:val="00850D82"/>
    <w:rsid w:val="00850F79"/>
    <w:rsid w:val="0085100B"/>
    <w:rsid w:val="0085304C"/>
    <w:rsid w:val="00853973"/>
    <w:rsid w:val="00853B5D"/>
    <w:rsid w:val="008548CA"/>
    <w:rsid w:val="008549C7"/>
    <w:rsid w:val="00855A41"/>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378"/>
    <w:rsid w:val="0086468A"/>
    <w:rsid w:val="00864A51"/>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3BDE"/>
    <w:rsid w:val="00874607"/>
    <w:rsid w:val="00874915"/>
    <w:rsid w:val="00874B89"/>
    <w:rsid w:val="008752DA"/>
    <w:rsid w:val="00875403"/>
    <w:rsid w:val="00875434"/>
    <w:rsid w:val="00876215"/>
    <w:rsid w:val="0087646C"/>
    <w:rsid w:val="008764D3"/>
    <w:rsid w:val="00876815"/>
    <w:rsid w:val="00877932"/>
    <w:rsid w:val="008808C7"/>
    <w:rsid w:val="0088106B"/>
    <w:rsid w:val="0088107D"/>
    <w:rsid w:val="008812E2"/>
    <w:rsid w:val="0088168A"/>
    <w:rsid w:val="00881E64"/>
    <w:rsid w:val="00882A3F"/>
    <w:rsid w:val="00882E39"/>
    <w:rsid w:val="008850E3"/>
    <w:rsid w:val="008850EB"/>
    <w:rsid w:val="008853C1"/>
    <w:rsid w:val="00886DF2"/>
    <w:rsid w:val="00886FB9"/>
    <w:rsid w:val="00887080"/>
    <w:rsid w:val="008870C4"/>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606D"/>
    <w:rsid w:val="00896129"/>
    <w:rsid w:val="008965DF"/>
    <w:rsid w:val="00896BF0"/>
    <w:rsid w:val="0089774F"/>
    <w:rsid w:val="00897875"/>
    <w:rsid w:val="00897B8F"/>
    <w:rsid w:val="008A00D8"/>
    <w:rsid w:val="008A00D9"/>
    <w:rsid w:val="008A059D"/>
    <w:rsid w:val="008A07D5"/>
    <w:rsid w:val="008A2527"/>
    <w:rsid w:val="008A2595"/>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07A"/>
    <w:rsid w:val="008B2268"/>
    <w:rsid w:val="008B23F7"/>
    <w:rsid w:val="008B263F"/>
    <w:rsid w:val="008B47A6"/>
    <w:rsid w:val="008B5761"/>
    <w:rsid w:val="008B6649"/>
    <w:rsid w:val="008B672C"/>
    <w:rsid w:val="008B7611"/>
    <w:rsid w:val="008C036D"/>
    <w:rsid w:val="008C0743"/>
    <w:rsid w:val="008C0B4C"/>
    <w:rsid w:val="008C0F4F"/>
    <w:rsid w:val="008C11F0"/>
    <w:rsid w:val="008C1DBA"/>
    <w:rsid w:val="008C20B8"/>
    <w:rsid w:val="008C24E7"/>
    <w:rsid w:val="008C2500"/>
    <w:rsid w:val="008C2792"/>
    <w:rsid w:val="008C2CAC"/>
    <w:rsid w:val="008C3E2A"/>
    <w:rsid w:val="008C3FFC"/>
    <w:rsid w:val="008C45BD"/>
    <w:rsid w:val="008C4B19"/>
    <w:rsid w:val="008C5295"/>
    <w:rsid w:val="008C568F"/>
    <w:rsid w:val="008C5E9A"/>
    <w:rsid w:val="008C62D4"/>
    <w:rsid w:val="008C6B89"/>
    <w:rsid w:val="008D1519"/>
    <w:rsid w:val="008D18AA"/>
    <w:rsid w:val="008D1A16"/>
    <w:rsid w:val="008D1A2A"/>
    <w:rsid w:val="008D1B94"/>
    <w:rsid w:val="008D29B1"/>
    <w:rsid w:val="008D2EB5"/>
    <w:rsid w:val="008D35D9"/>
    <w:rsid w:val="008D3B85"/>
    <w:rsid w:val="008D4527"/>
    <w:rsid w:val="008D462D"/>
    <w:rsid w:val="008D4814"/>
    <w:rsid w:val="008D51F2"/>
    <w:rsid w:val="008D66CA"/>
    <w:rsid w:val="008D69B1"/>
    <w:rsid w:val="008D7338"/>
    <w:rsid w:val="008E0012"/>
    <w:rsid w:val="008E0DF7"/>
    <w:rsid w:val="008E0FAD"/>
    <w:rsid w:val="008E1347"/>
    <w:rsid w:val="008E16E0"/>
    <w:rsid w:val="008E191A"/>
    <w:rsid w:val="008E1C15"/>
    <w:rsid w:val="008E1C9A"/>
    <w:rsid w:val="008E24A7"/>
    <w:rsid w:val="008E28BD"/>
    <w:rsid w:val="008E38B4"/>
    <w:rsid w:val="008E3BA4"/>
    <w:rsid w:val="008E41C4"/>
    <w:rsid w:val="008E44AB"/>
    <w:rsid w:val="008E5179"/>
    <w:rsid w:val="008E6598"/>
    <w:rsid w:val="008E6A17"/>
    <w:rsid w:val="008E7214"/>
    <w:rsid w:val="008E7348"/>
    <w:rsid w:val="008E7382"/>
    <w:rsid w:val="008E7884"/>
    <w:rsid w:val="008E7D6E"/>
    <w:rsid w:val="008F0737"/>
    <w:rsid w:val="008F1056"/>
    <w:rsid w:val="008F2E8D"/>
    <w:rsid w:val="008F3374"/>
    <w:rsid w:val="008F387B"/>
    <w:rsid w:val="008F398D"/>
    <w:rsid w:val="008F3DD9"/>
    <w:rsid w:val="008F4814"/>
    <w:rsid w:val="008F4B91"/>
    <w:rsid w:val="008F4DA6"/>
    <w:rsid w:val="008F51DE"/>
    <w:rsid w:val="008F538E"/>
    <w:rsid w:val="008F59B4"/>
    <w:rsid w:val="008F5A20"/>
    <w:rsid w:val="008F5ABA"/>
    <w:rsid w:val="008F6CF9"/>
    <w:rsid w:val="008F7905"/>
    <w:rsid w:val="008F7989"/>
    <w:rsid w:val="00900440"/>
    <w:rsid w:val="0090134A"/>
    <w:rsid w:val="009026AF"/>
    <w:rsid w:val="009028E8"/>
    <w:rsid w:val="00902E5C"/>
    <w:rsid w:val="0090350D"/>
    <w:rsid w:val="009039EB"/>
    <w:rsid w:val="009046E5"/>
    <w:rsid w:val="0090475D"/>
    <w:rsid w:val="009047C5"/>
    <w:rsid w:val="009076DB"/>
    <w:rsid w:val="00910683"/>
    <w:rsid w:val="00910E00"/>
    <w:rsid w:val="009116CE"/>
    <w:rsid w:val="00911714"/>
    <w:rsid w:val="00911A5B"/>
    <w:rsid w:val="00912AC9"/>
    <w:rsid w:val="009136D4"/>
    <w:rsid w:val="00914B9A"/>
    <w:rsid w:val="00914C29"/>
    <w:rsid w:val="00914C3F"/>
    <w:rsid w:val="00914F33"/>
    <w:rsid w:val="009153F6"/>
    <w:rsid w:val="00915FCE"/>
    <w:rsid w:val="00916AFE"/>
    <w:rsid w:val="00916FC8"/>
    <w:rsid w:val="009170D3"/>
    <w:rsid w:val="0091736C"/>
    <w:rsid w:val="0091759C"/>
    <w:rsid w:val="009175C6"/>
    <w:rsid w:val="00917910"/>
    <w:rsid w:val="00920026"/>
    <w:rsid w:val="0092032F"/>
    <w:rsid w:val="009203E2"/>
    <w:rsid w:val="00920846"/>
    <w:rsid w:val="00921304"/>
    <w:rsid w:val="0092177A"/>
    <w:rsid w:val="00921805"/>
    <w:rsid w:val="00921BA7"/>
    <w:rsid w:val="009228C0"/>
    <w:rsid w:val="00923396"/>
    <w:rsid w:val="00923F56"/>
    <w:rsid w:val="00923FA6"/>
    <w:rsid w:val="009246C4"/>
    <w:rsid w:val="00925743"/>
    <w:rsid w:val="0092579F"/>
    <w:rsid w:val="00927E8D"/>
    <w:rsid w:val="00927F23"/>
    <w:rsid w:val="00930698"/>
    <w:rsid w:val="009307CD"/>
    <w:rsid w:val="00931451"/>
    <w:rsid w:val="00931458"/>
    <w:rsid w:val="009314FA"/>
    <w:rsid w:val="0093194F"/>
    <w:rsid w:val="00931BF3"/>
    <w:rsid w:val="00931C55"/>
    <w:rsid w:val="00933333"/>
    <w:rsid w:val="0093349A"/>
    <w:rsid w:val="009337B2"/>
    <w:rsid w:val="00933AB5"/>
    <w:rsid w:val="00933FCB"/>
    <w:rsid w:val="00934E69"/>
    <w:rsid w:val="009367D5"/>
    <w:rsid w:val="00937401"/>
    <w:rsid w:val="00937561"/>
    <w:rsid w:val="009376FB"/>
    <w:rsid w:val="00937D6B"/>
    <w:rsid w:val="00940477"/>
    <w:rsid w:val="00940876"/>
    <w:rsid w:val="00940A53"/>
    <w:rsid w:val="00940F3C"/>
    <w:rsid w:val="00940FC1"/>
    <w:rsid w:val="009410E0"/>
    <w:rsid w:val="009440FA"/>
    <w:rsid w:val="009444B4"/>
    <w:rsid w:val="00944644"/>
    <w:rsid w:val="009449F9"/>
    <w:rsid w:val="009451CE"/>
    <w:rsid w:val="009460F9"/>
    <w:rsid w:val="00946A24"/>
    <w:rsid w:val="009470D4"/>
    <w:rsid w:val="00947337"/>
    <w:rsid w:val="00950A5B"/>
    <w:rsid w:val="009512FA"/>
    <w:rsid w:val="00951E57"/>
    <w:rsid w:val="00953018"/>
    <w:rsid w:val="009533E2"/>
    <w:rsid w:val="00953554"/>
    <w:rsid w:val="0095385A"/>
    <w:rsid w:val="00953928"/>
    <w:rsid w:val="009540F0"/>
    <w:rsid w:val="00954347"/>
    <w:rsid w:val="00954F18"/>
    <w:rsid w:val="00955906"/>
    <w:rsid w:val="00955978"/>
    <w:rsid w:val="00956105"/>
    <w:rsid w:val="00957010"/>
    <w:rsid w:val="009574F8"/>
    <w:rsid w:val="0095780A"/>
    <w:rsid w:val="009579E4"/>
    <w:rsid w:val="00957AA4"/>
    <w:rsid w:val="00957ACB"/>
    <w:rsid w:val="00957E21"/>
    <w:rsid w:val="00957F27"/>
    <w:rsid w:val="009609F0"/>
    <w:rsid w:val="00960BDB"/>
    <w:rsid w:val="0096147D"/>
    <w:rsid w:val="00961E5F"/>
    <w:rsid w:val="00962038"/>
    <w:rsid w:val="009625C6"/>
    <w:rsid w:val="009629B5"/>
    <w:rsid w:val="00962A50"/>
    <w:rsid w:val="00962E25"/>
    <w:rsid w:val="00962E33"/>
    <w:rsid w:val="00962F47"/>
    <w:rsid w:val="009631BD"/>
    <w:rsid w:val="00964138"/>
    <w:rsid w:val="00964B3F"/>
    <w:rsid w:val="00964C98"/>
    <w:rsid w:val="00964E0A"/>
    <w:rsid w:val="00966043"/>
    <w:rsid w:val="00966214"/>
    <w:rsid w:val="00967AA2"/>
    <w:rsid w:val="00971441"/>
    <w:rsid w:val="009715D4"/>
    <w:rsid w:val="00972470"/>
    <w:rsid w:val="009739A9"/>
    <w:rsid w:val="00973AA2"/>
    <w:rsid w:val="0097494E"/>
    <w:rsid w:val="00974B58"/>
    <w:rsid w:val="009756E0"/>
    <w:rsid w:val="00975DA3"/>
    <w:rsid w:val="009761ED"/>
    <w:rsid w:val="00976D35"/>
    <w:rsid w:val="009801E7"/>
    <w:rsid w:val="0098022F"/>
    <w:rsid w:val="009810CC"/>
    <w:rsid w:val="009810DE"/>
    <w:rsid w:val="009816A2"/>
    <w:rsid w:val="00981D3C"/>
    <w:rsid w:val="009822AB"/>
    <w:rsid w:val="009822D7"/>
    <w:rsid w:val="009827E6"/>
    <w:rsid w:val="00982E70"/>
    <w:rsid w:val="00982F84"/>
    <w:rsid w:val="0098427D"/>
    <w:rsid w:val="00984567"/>
    <w:rsid w:val="00985102"/>
    <w:rsid w:val="009865D5"/>
    <w:rsid w:val="009876F2"/>
    <w:rsid w:val="00987C77"/>
    <w:rsid w:val="00990345"/>
    <w:rsid w:val="009903B1"/>
    <w:rsid w:val="00990583"/>
    <w:rsid w:val="00990701"/>
    <w:rsid w:val="0099090B"/>
    <w:rsid w:val="00990BC7"/>
    <w:rsid w:val="0099119C"/>
    <w:rsid w:val="0099137A"/>
    <w:rsid w:val="00991805"/>
    <w:rsid w:val="0099211C"/>
    <w:rsid w:val="00993B78"/>
    <w:rsid w:val="00993CD6"/>
    <w:rsid w:val="0099467B"/>
    <w:rsid w:val="0099483A"/>
    <w:rsid w:val="00995119"/>
    <w:rsid w:val="009953AD"/>
    <w:rsid w:val="0099583D"/>
    <w:rsid w:val="00995B7C"/>
    <w:rsid w:val="00996992"/>
    <w:rsid w:val="00996B49"/>
    <w:rsid w:val="00996E1E"/>
    <w:rsid w:val="00997392"/>
    <w:rsid w:val="0099747C"/>
    <w:rsid w:val="0099771C"/>
    <w:rsid w:val="009A01E4"/>
    <w:rsid w:val="009A0917"/>
    <w:rsid w:val="009A0A33"/>
    <w:rsid w:val="009A0A35"/>
    <w:rsid w:val="009A0D3F"/>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05A1"/>
    <w:rsid w:val="009B199E"/>
    <w:rsid w:val="009B256C"/>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6D47"/>
    <w:rsid w:val="009C70F8"/>
    <w:rsid w:val="009C725E"/>
    <w:rsid w:val="009C756F"/>
    <w:rsid w:val="009C78A3"/>
    <w:rsid w:val="009C7AFC"/>
    <w:rsid w:val="009D0156"/>
    <w:rsid w:val="009D05DA"/>
    <w:rsid w:val="009D0872"/>
    <w:rsid w:val="009D0E93"/>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79B"/>
    <w:rsid w:val="009E4E05"/>
    <w:rsid w:val="009E5371"/>
    <w:rsid w:val="009E56FF"/>
    <w:rsid w:val="009E5CB1"/>
    <w:rsid w:val="009E5E56"/>
    <w:rsid w:val="009E61EA"/>
    <w:rsid w:val="009E6990"/>
    <w:rsid w:val="009E6FEE"/>
    <w:rsid w:val="009F060F"/>
    <w:rsid w:val="009F0781"/>
    <w:rsid w:val="009F0850"/>
    <w:rsid w:val="009F11B2"/>
    <w:rsid w:val="009F18A4"/>
    <w:rsid w:val="009F1BDF"/>
    <w:rsid w:val="009F1EAE"/>
    <w:rsid w:val="009F2730"/>
    <w:rsid w:val="009F29A5"/>
    <w:rsid w:val="009F369D"/>
    <w:rsid w:val="009F36FE"/>
    <w:rsid w:val="009F46A9"/>
    <w:rsid w:val="009F4F25"/>
    <w:rsid w:val="009F59C2"/>
    <w:rsid w:val="009F61DE"/>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1D79"/>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295"/>
    <w:rsid w:val="00A23A08"/>
    <w:rsid w:val="00A24560"/>
    <w:rsid w:val="00A25089"/>
    <w:rsid w:val="00A25B0F"/>
    <w:rsid w:val="00A25BBB"/>
    <w:rsid w:val="00A25F8E"/>
    <w:rsid w:val="00A27F18"/>
    <w:rsid w:val="00A27FB6"/>
    <w:rsid w:val="00A30121"/>
    <w:rsid w:val="00A301D9"/>
    <w:rsid w:val="00A30350"/>
    <w:rsid w:val="00A30368"/>
    <w:rsid w:val="00A3043A"/>
    <w:rsid w:val="00A30E02"/>
    <w:rsid w:val="00A30F6A"/>
    <w:rsid w:val="00A31BA2"/>
    <w:rsid w:val="00A31C3E"/>
    <w:rsid w:val="00A34538"/>
    <w:rsid w:val="00A34677"/>
    <w:rsid w:val="00A34BA0"/>
    <w:rsid w:val="00A35180"/>
    <w:rsid w:val="00A35304"/>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707E"/>
    <w:rsid w:val="00A4777D"/>
    <w:rsid w:val="00A500B1"/>
    <w:rsid w:val="00A50623"/>
    <w:rsid w:val="00A51520"/>
    <w:rsid w:val="00A518D9"/>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9AB"/>
    <w:rsid w:val="00A66FA7"/>
    <w:rsid w:val="00A677F6"/>
    <w:rsid w:val="00A67DD8"/>
    <w:rsid w:val="00A67E16"/>
    <w:rsid w:val="00A703CC"/>
    <w:rsid w:val="00A70C5C"/>
    <w:rsid w:val="00A71EA7"/>
    <w:rsid w:val="00A730AD"/>
    <w:rsid w:val="00A733D2"/>
    <w:rsid w:val="00A73855"/>
    <w:rsid w:val="00A73D64"/>
    <w:rsid w:val="00A73FEA"/>
    <w:rsid w:val="00A74216"/>
    <w:rsid w:val="00A744B4"/>
    <w:rsid w:val="00A7495B"/>
    <w:rsid w:val="00A74D61"/>
    <w:rsid w:val="00A74DDF"/>
    <w:rsid w:val="00A751E3"/>
    <w:rsid w:val="00A75504"/>
    <w:rsid w:val="00A756BC"/>
    <w:rsid w:val="00A75CD9"/>
    <w:rsid w:val="00A76438"/>
    <w:rsid w:val="00A767F2"/>
    <w:rsid w:val="00A77168"/>
    <w:rsid w:val="00A7723B"/>
    <w:rsid w:val="00A77525"/>
    <w:rsid w:val="00A7793C"/>
    <w:rsid w:val="00A77D21"/>
    <w:rsid w:val="00A80085"/>
    <w:rsid w:val="00A8043B"/>
    <w:rsid w:val="00A8119D"/>
    <w:rsid w:val="00A81323"/>
    <w:rsid w:val="00A81AC0"/>
    <w:rsid w:val="00A820CB"/>
    <w:rsid w:val="00A82342"/>
    <w:rsid w:val="00A83760"/>
    <w:rsid w:val="00A83BEF"/>
    <w:rsid w:val="00A841E1"/>
    <w:rsid w:val="00A84443"/>
    <w:rsid w:val="00A8487F"/>
    <w:rsid w:val="00A848FC"/>
    <w:rsid w:val="00A849A3"/>
    <w:rsid w:val="00A84A0E"/>
    <w:rsid w:val="00A84D7C"/>
    <w:rsid w:val="00A851FD"/>
    <w:rsid w:val="00A86E0B"/>
    <w:rsid w:val="00A9069B"/>
    <w:rsid w:val="00A90F1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41C"/>
    <w:rsid w:val="00AB14E8"/>
    <w:rsid w:val="00AB17EC"/>
    <w:rsid w:val="00AB19AF"/>
    <w:rsid w:val="00AB1B1D"/>
    <w:rsid w:val="00AB2080"/>
    <w:rsid w:val="00AB2216"/>
    <w:rsid w:val="00AB2C0A"/>
    <w:rsid w:val="00AB33A8"/>
    <w:rsid w:val="00AB358D"/>
    <w:rsid w:val="00AB3704"/>
    <w:rsid w:val="00AB37A1"/>
    <w:rsid w:val="00AB3BAD"/>
    <w:rsid w:val="00AB3CFD"/>
    <w:rsid w:val="00AB40C6"/>
    <w:rsid w:val="00AB49BC"/>
    <w:rsid w:val="00AB4DEE"/>
    <w:rsid w:val="00AB4E32"/>
    <w:rsid w:val="00AB579A"/>
    <w:rsid w:val="00AB5DB2"/>
    <w:rsid w:val="00AB724B"/>
    <w:rsid w:val="00AB726C"/>
    <w:rsid w:val="00AB72B4"/>
    <w:rsid w:val="00AC01FD"/>
    <w:rsid w:val="00AC02AA"/>
    <w:rsid w:val="00AC0537"/>
    <w:rsid w:val="00AC0A84"/>
    <w:rsid w:val="00AC0D2E"/>
    <w:rsid w:val="00AC229B"/>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F60"/>
    <w:rsid w:val="00AD5044"/>
    <w:rsid w:val="00AD5114"/>
    <w:rsid w:val="00AD5E02"/>
    <w:rsid w:val="00AD6236"/>
    <w:rsid w:val="00AD7619"/>
    <w:rsid w:val="00AD7770"/>
    <w:rsid w:val="00AE02C4"/>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36E"/>
    <w:rsid w:val="00AF7796"/>
    <w:rsid w:val="00B011A9"/>
    <w:rsid w:val="00B024ED"/>
    <w:rsid w:val="00B02EB3"/>
    <w:rsid w:val="00B02FCB"/>
    <w:rsid w:val="00B033F8"/>
    <w:rsid w:val="00B03C1E"/>
    <w:rsid w:val="00B04400"/>
    <w:rsid w:val="00B04835"/>
    <w:rsid w:val="00B04D29"/>
    <w:rsid w:val="00B05A55"/>
    <w:rsid w:val="00B05DE1"/>
    <w:rsid w:val="00B06595"/>
    <w:rsid w:val="00B06BFD"/>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4E99"/>
    <w:rsid w:val="00B1557C"/>
    <w:rsid w:val="00B155DC"/>
    <w:rsid w:val="00B15766"/>
    <w:rsid w:val="00B158F6"/>
    <w:rsid w:val="00B159AA"/>
    <w:rsid w:val="00B1666A"/>
    <w:rsid w:val="00B1686D"/>
    <w:rsid w:val="00B17037"/>
    <w:rsid w:val="00B1741D"/>
    <w:rsid w:val="00B17447"/>
    <w:rsid w:val="00B17563"/>
    <w:rsid w:val="00B1771D"/>
    <w:rsid w:val="00B179BC"/>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27FED"/>
    <w:rsid w:val="00B3008D"/>
    <w:rsid w:val="00B309C9"/>
    <w:rsid w:val="00B30E11"/>
    <w:rsid w:val="00B30EEB"/>
    <w:rsid w:val="00B30FD0"/>
    <w:rsid w:val="00B31423"/>
    <w:rsid w:val="00B31710"/>
    <w:rsid w:val="00B323E0"/>
    <w:rsid w:val="00B32DC0"/>
    <w:rsid w:val="00B3346C"/>
    <w:rsid w:val="00B335E4"/>
    <w:rsid w:val="00B33BE9"/>
    <w:rsid w:val="00B33C23"/>
    <w:rsid w:val="00B345B4"/>
    <w:rsid w:val="00B348B1"/>
    <w:rsid w:val="00B34A28"/>
    <w:rsid w:val="00B34C35"/>
    <w:rsid w:val="00B34EB2"/>
    <w:rsid w:val="00B35046"/>
    <w:rsid w:val="00B355C9"/>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4BDA"/>
    <w:rsid w:val="00B458D0"/>
    <w:rsid w:val="00B46120"/>
    <w:rsid w:val="00B4792C"/>
    <w:rsid w:val="00B505B5"/>
    <w:rsid w:val="00B50CAE"/>
    <w:rsid w:val="00B512AD"/>
    <w:rsid w:val="00B5196C"/>
    <w:rsid w:val="00B525CB"/>
    <w:rsid w:val="00B52697"/>
    <w:rsid w:val="00B53E7C"/>
    <w:rsid w:val="00B542D7"/>
    <w:rsid w:val="00B54D8F"/>
    <w:rsid w:val="00B55857"/>
    <w:rsid w:val="00B55C69"/>
    <w:rsid w:val="00B56851"/>
    <w:rsid w:val="00B56D6E"/>
    <w:rsid w:val="00B572F7"/>
    <w:rsid w:val="00B57B9D"/>
    <w:rsid w:val="00B57DAF"/>
    <w:rsid w:val="00B60094"/>
    <w:rsid w:val="00B6022C"/>
    <w:rsid w:val="00B614E0"/>
    <w:rsid w:val="00B614F8"/>
    <w:rsid w:val="00B616B5"/>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E37"/>
    <w:rsid w:val="00B67FBF"/>
    <w:rsid w:val="00B7024E"/>
    <w:rsid w:val="00B71FA7"/>
    <w:rsid w:val="00B72110"/>
    <w:rsid w:val="00B72608"/>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1CE"/>
    <w:rsid w:val="00B80C72"/>
    <w:rsid w:val="00B81964"/>
    <w:rsid w:val="00B81E6F"/>
    <w:rsid w:val="00B82121"/>
    <w:rsid w:val="00B82123"/>
    <w:rsid w:val="00B8225B"/>
    <w:rsid w:val="00B82BB5"/>
    <w:rsid w:val="00B83182"/>
    <w:rsid w:val="00B833E0"/>
    <w:rsid w:val="00B84684"/>
    <w:rsid w:val="00B848DF"/>
    <w:rsid w:val="00B851E4"/>
    <w:rsid w:val="00B854CE"/>
    <w:rsid w:val="00B85681"/>
    <w:rsid w:val="00B857EB"/>
    <w:rsid w:val="00B86162"/>
    <w:rsid w:val="00B86877"/>
    <w:rsid w:val="00B8695D"/>
    <w:rsid w:val="00B86D58"/>
    <w:rsid w:val="00B86E66"/>
    <w:rsid w:val="00B873BA"/>
    <w:rsid w:val="00B8746F"/>
    <w:rsid w:val="00B87575"/>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46F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A87"/>
    <w:rsid w:val="00BA0C54"/>
    <w:rsid w:val="00BA1178"/>
    <w:rsid w:val="00BA1382"/>
    <w:rsid w:val="00BA1EFD"/>
    <w:rsid w:val="00BA20D8"/>
    <w:rsid w:val="00BA22FC"/>
    <w:rsid w:val="00BA2F30"/>
    <w:rsid w:val="00BA4771"/>
    <w:rsid w:val="00BA4DA4"/>
    <w:rsid w:val="00BA5027"/>
    <w:rsid w:val="00BA665B"/>
    <w:rsid w:val="00BA7370"/>
    <w:rsid w:val="00BA778B"/>
    <w:rsid w:val="00BA79B8"/>
    <w:rsid w:val="00BB0888"/>
    <w:rsid w:val="00BB0DF1"/>
    <w:rsid w:val="00BB0E9B"/>
    <w:rsid w:val="00BB2729"/>
    <w:rsid w:val="00BB2841"/>
    <w:rsid w:val="00BB300F"/>
    <w:rsid w:val="00BB32C9"/>
    <w:rsid w:val="00BB35C5"/>
    <w:rsid w:val="00BB43A7"/>
    <w:rsid w:val="00BB47D0"/>
    <w:rsid w:val="00BB4C8E"/>
    <w:rsid w:val="00BB57BE"/>
    <w:rsid w:val="00BB57ED"/>
    <w:rsid w:val="00BB602B"/>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2D93"/>
    <w:rsid w:val="00BC34A3"/>
    <w:rsid w:val="00BC3FF9"/>
    <w:rsid w:val="00BC4739"/>
    <w:rsid w:val="00BC4834"/>
    <w:rsid w:val="00BC4A97"/>
    <w:rsid w:val="00BC5A25"/>
    <w:rsid w:val="00BC5FDD"/>
    <w:rsid w:val="00BC68B4"/>
    <w:rsid w:val="00BC68C8"/>
    <w:rsid w:val="00BC6C2D"/>
    <w:rsid w:val="00BC7B9A"/>
    <w:rsid w:val="00BD00A9"/>
    <w:rsid w:val="00BD0140"/>
    <w:rsid w:val="00BD02CC"/>
    <w:rsid w:val="00BD09A7"/>
    <w:rsid w:val="00BD1675"/>
    <w:rsid w:val="00BD2063"/>
    <w:rsid w:val="00BD2B38"/>
    <w:rsid w:val="00BD33D9"/>
    <w:rsid w:val="00BD38C5"/>
    <w:rsid w:val="00BD3A59"/>
    <w:rsid w:val="00BD3B06"/>
    <w:rsid w:val="00BD3C3D"/>
    <w:rsid w:val="00BD3CF1"/>
    <w:rsid w:val="00BD3DEA"/>
    <w:rsid w:val="00BD3E97"/>
    <w:rsid w:val="00BD40E4"/>
    <w:rsid w:val="00BD4563"/>
    <w:rsid w:val="00BD52FE"/>
    <w:rsid w:val="00BD62CF"/>
    <w:rsid w:val="00BD63BA"/>
    <w:rsid w:val="00BD67B2"/>
    <w:rsid w:val="00BD6A07"/>
    <w:rsid w:val="00BD78AB"/>
    <w:rsid w:val="00BD78FE"/>
    <w:rsid w:val="00BD7A91"/>
    <w:rsid w:val="00BE0149"/>
    <w:rsid w:val="00BE0767"/>
    <w:rsid w:val="00BE0F49"/>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750"/>
    <w:rsid w:val="00BF18BF"/>
    <w:rsid w:val="00BF1DD2"/>
    <w:rsid w:val="00BF23A3"/>
    <w:rsid w:val="00BF28DB"/>
    <w:rsid w:val="00BF2A7E"/>
    <w:rsid w:val="00BF3331"/>
    <w:rsid w:val="00BF3A45"/>
    <w:rsid w:val="00BF436F"/>
    <w:rsid w:val="00BF4EC5"/>
    <w:rsid w:val="00BF5723"/>
    <w:rsid w:val="00BF5C05"/>
    <w:rsid w:val="00BF5E94"/>
    <w:rsid w:val="00BF60C8"/>
    <w:rsid w:val="00BF6FC6"/>
    <w:rsid w:val="00BF73E1"/>
    <w:rsid w:val="00BF7C52"/>
    <w:rsid w:val="00BF7F99"/>
    <w:rsid w:val="00C00713"/>
    <w:rsid w:val="00C009A0"/>
    <w:rsid w:val="00C018B2"/>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07388"/>
    <w:rsid w:val="00C108B8"/>
    <w:rsid w:val="00C11503"/>
    <w:rsid w:val="00C1159D"/>
    <w:rsid w:val="00C11683"/>
    <w:rsid w:val="00C11798"/>
    <w:rsid w:val="00C118DB"/>
    <w:rsid w:val="00C1233E"/>
    <w:rsid w:val="00C125C1"/>
    <w:rsid w:val="00C12F05"/>
    <w:rsid w:val="00C12FB3"/>
    <w:rsid w:val="00C138BC"/>
    <w:rsid w:val="00C13D85"/>
    <w:rsid w:val="00C14173"/>
    <w:rsid w:val="00C14639"/>
    <w:rsid w:val="00C14E82"/>
    <w:rsid w:val="00C14FF6"/>
    <w:rsid w:val="00C150A6"/>
    <w:rsid w:val="00C15A85"/>
    <w:rsid w:val="00C1641B"/>
    <w:rsid w:val="00C165FC"/>
    <w:rsid w:val="00C166FF"/>
    <w:rsid w:val="00C16B1A"/>
    <w:rsid w:val="00C176D5"/>
    <w:rsid w:val="00C2082C"/>
    <w:rsid w:val="00C20832"/>
    <w:rsid w:val="00C20EB0"/>
    <w:rsid w:val="00C21005"/>
    <w:rsid w:val="00C2183B"/>
    <w:rsid w:val="00C220B6"/>
    <w:rsid w:val="00C22D7C"/>
    <w:rsid w:val="00C22DDE"/>
    <w:rsid w:val="00C2338B"/>
    <w:rsid w:val="00C233CE"/>
    <w:rsid w:val="00C235C1"/>
    <w:rsid w:val="00C23661"/>
    <w:rsid w:val="00C236AE"/>
    <w:rsid w:val="00C237DD"/>
    <w:rsid w:val="00C238F4"/>
    <w:rsid w:val="00C23A99"/>
    <w:rsid w:val="00C23B96"/>
    <w:rsid w:val="00C245EE"/>
    <w:rsid w:val="00C24AE1"/>
    <w:rsid w:val="00C24B8D"/>
    <w:rsid w:val="00C24BD7"/>
    <w:rsid w:val="00C252CC"/>
    <w:rsid w:val="00C25813"/>
    <w:rsid w:val="00C27143"/>
    <w:rsid w:val="00C27490"/>
    <w:rsid w:val="00C27A55"/>
    <w:rsid w:val="00C27AFC"/>
    <w:rsid w:val="00C27D37"/>
    <w:rsid w:val="00C27FB2"/>
    <w:rsid w:val="00C302E5"/>
    <w:rsid w:val="00C309E8"/>
    <w:rsid w:val="00C30E37"/>
    <w:rsid w:val="00C32017"/>
    <w:rsid w:val="00C3238B"/>
    <w:rsid w:val="00C325CD"/>
    <w:rsid w:val="00C3322E"/>
    <w:rsid w:val="00C337F5"/>
    <w:rsid w:val="00C33B90"/>
    <w:rsid w:val="00C34350"/>
    <w:rsid w:val="00C34B5F"/>
    <w:rsid w:val="00C3543E"/>
    <w:rsid w:val="00C358D4"/>
    <w:rsid w:val="00C35918"/>
    <w:rsid w:val="00C35E2D"/>
    <w:rsid w:val="00C36785"/>
    <w:rsid w:val="00C36845"/>
    <w:rsid w:val="00C36ED2"/>
    <w:rsid w:val="00C3711C"/>
    <w:rsid w:val="00C37256"/>
    <w:rsid w:val="00C37A7B"/>
    <w:rsid w:val="00C37CFF"/>
    <w:rsid w:val="00C37FFE"/>
    <w:rsid w:val="00C40B50"/>
    <w:rsid w:val="00C41457"/>
    <w:rsid w:val="00C41858"/>
    <w:rsid w:val="00C419E3"/>
    <w:rsid w:val="00C419F4"/>
    <w:rsid w:val="00C41CA9"/>
    <w:rsid w:val="00C41E6A"/>
    <w:rsid w:val="00C421A3"/>
    <w:rsid w:val="00C42247"/>
    <w:rsid w:val="00C439BE"/>
    <w:rsid w:val="00C442EE"/>
    <w:rsid w:val="00C44E61"/>
    <w:rsid w:val="00C4539B"/>
    <w:rsid w:val="00C45466"/>
    <w:rsid w:val="00C455C1"/>
    <w:rsid w:val="00C4581D"/>
    <w:rsid w:val="00C47472"/>
    <w:rsid w:val="00C47E4D"/>
    <w:rsid w:val="00C47EA5"/>
    <w:rsid w:val="00C500F0"/>
    <w:rsid w:val="00C502BB"/>
    <w:rsid w:val="00C504A7"/>
    <w:rsid w:val="00C506C9"/>
    <w:rsid w:val="00C50A16"/>
    <w:rsid w:val="00C5122B"/>
    <w:rsid w:val="00C51C15"/>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60A"/>
    <w:rsid w:val="00C63E99"/>
    <w:rsid w:val="00C6410E"/>
    <w:rsid w:val="00C64161"/>
    <w:rsid w:val="00C641BD"/>
    <w:rsid w:val="00C649B8"/>
    <w:rsid w:val="00C64A64"/>
    <w:rsid w:val="00C65151"/>
    <w:rsid w:val="00C657F4"/>
    <w:rsid w:val="00C66119"/>
    <w:rsid w:val="00C6624E"/>
    <w:rsid w:val="00C66292"/>
    <w:rsid w:val="00C672A3"/>
    <w:rsid w:val="00C672F1"/>
    <w:rsid w:val="00C673D0"/>
    <w:rsid w:val="00C6742E"/>
    <w:rsid w:val="00C677BE"/>
    <w:rsid w:val="00C70012"/>
    <w:rsid w:val="00C71CBB"/>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338"/>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4CDD"/>
    <w:rsid w:val="00C95351"/>
    <w:rsid w:val="00C959BD"/>
    <w:rsid w:val="00C95F44"/>
    <w:rsid w:val="00C96807"/>
    <w:rsid w:val="00C96A86"/>
    <w:rsid w:val="00C96D1B"/>
    <w:rsid w:val="00C97106"/>
    <w:rsid w:val="00C97684"/>
    <w:rsid w:val="00C97F8B"/>
    <w:rsid w:val="00CA0031"/>
    <w:rsid w:val="00CA0413"/>
    <w:rsid w:val="00CA043A"/>
    <w:rsid w:val="00CA04F8"/>
    <w:rsid w:val="00CA05B7"/>
    <w:rsid w:val="00CA1613"/>
    <w:rsid w:val="00CA1691"/>
    <w:rsid w:val="00CA2E65"/>
    <w:rsid w:val="00CA2EA1"/>
    <w:rsid w:val="00CA41E7"/>
    <w:rsid w:val="00CA4B2B"/>
    <w:rsid w:val="00CA5520"/>
    <w:rsid w:val="00CA5812"/>
    <w:rsid w:val="00CA58B6"/>
    <w:rsid w:val="00CA5BD4"/>
    <w:rsid w:val="00CA5C14"/>
    <w:rsid w:val="00CA76FC"/>
    <w:rsid w:val="00CA7E7B"/>
    <w:rsid w:val="00CB0236"/>
    <w:rsid w:val="00CB1324"/>
    <w:rsid w:val="00CB19E3"/>
    <w:rsid w:val="00CB23DD"/>
    <w:rsid w:val="00CB2C3A"/>
    <w:rsid w:val="00CB2D38"/>
    <w:rsid w:val="00CB353F"/>
    <w:rsid w:val="00CB4137"/>
    <w:rsid w:val="00CB52C1"/>
    <w:rsid w:val="00CB52D0"/>
    <w:rsid w:val="00CB5578"/>
    <w:rsid w:val="00CB5671"/>
    <w:rsid w:val="00CB591C"/>
    <w:rsid w:val="00CB5943"/>
    <w:rsid w:val="00CB61B3"/>
    <w:rsid w:val="00CB690C"/>
    <w:rsid w:val="00CB6F83"/>
    <w:rsid w:val="00CB72AE"/>
    <w:rsid w:val="00CB78AD"/>
    <w:rsid w:val="00CC00CD"/>
    <w:rsid w:val="00CC0579"/>
    <w:rsid w:val="00CC0AF3"/>
    <w:rsid w:val="00CC0BC6"/>
    <w:rsid w:val="00CC0E68"/>
    <w:rsid w:val="00CC21AC"/>
    <w:rsid w:val="00CC2514"/>
    <w:rsid w:val="00CC2756"/>
    <w:rsid w:val="00CC2984"/>
    <w:rsid w:val="00CC2F69"/>
    <w:rsid w:val="00CC315F"/>
    <w:rsid w:val="00CC3759"/>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0644"/>
    <w:rsid w:val="00CD205D"/>
    <w:rsid w:val="00CD2A22"/>
    <w:rsid w:val="00CD2B50"/>
    <w:rsid w:val="00CD3AD3"/>
    <w:rsid w:val="00CD41FE"/>
    <w:rsid w:val="00CD4506"/>
    <w:rsid w:val="00CD520B"/>
    <w:rsid w:val="00CD592E"/>
    <w:rsid w:val="00CD5982"/>
    <w:rsid w:val="00CD5A1A"/>
    <w:rsid w:val="00CD6054"/>
    <w:rsid w:val="00CD771A"/>
    <w:rsid w:val="00CD7EFA"/>
    <w:rsid w:val="00CE020E"/>
    <w:rsid w:val="00CE0566"/>
    <w:rsid w:val="00CE10BB"/>
    <w:rsid w:val="00CE16A9"/>
    <w:rsid w:val="00CE1CD4"/>
    <w:rsid w:val="00CE23FE"/>
    <w:rsid w:val="00CE2761"/>
    <w:rsid w:val="00CE2B49"/>
    <w:rsid w:val="00CE314E"/>
    <w:rsid w:val="00CE3D5C"/>
    <w:rsid w:val="00CE3E14"/>
    <w:rsid w:val="00CE44C7"/>
    <w:rsid w:val="00CE4D4D"/>
    <w:rsid w:val="00CE53CC"/>
    <w:rsid w:val="00CE65A7"/>
    <w:rsid w:val="00CE68FE"/>
    <w:rsid w:val="00CE69CC"/>
    <w:rsid w:val="00CE6EC4"/>
    <w:rsid w:val="00CE7A77"/>
    <w:rsid w:val="00CE7D1F"/>
    <w:rsid w:val="00CE7F26"/>
    <w:rsid w:val="00CE7FBF"/>
    <w:rsid w:val="00CF1226"/>
    <w:rsid w:val="00CF148D"/>
    <w:rsid w:val="00CF16C0"/>
    <w:rsid w:val="00CF1ABB"/>
    <w:rsid w:val="00CF1E1D"/>
    <w:rsid w:val="00CF24FE"/>
    <w:rsid w:val="00CF35D0"/>
    <w:rsid w:val="00CF3DD5"/>
    <w:rsid w:val="00CF41D5"/>
    <w:rsid w:val="00CF4897"/>
    <w:rsid w:val="00CF4A21"/>
    <w:rsid w:val="00CF4AF7"/>
    <w:rsid w:val="00CF4D20"/>
    <w:rsid w:val="00CF55DF"/>
    <w:rsid w:val="00CF6180"/>
    <w:rsid w:val="00CF64F6"/>
    <w:rsid w:val="00CF721C"/>
    <w:rsid w:val="00CF73F8"/>
    <w:rsid w:val="00CF7928"/>
    <w:rsid w:val="00CF7CA2"/>
    <w:rsid w:val="00D00A8E"/>
    <w:rsid w:val="00D00DE0"/>
    <w:rsid w:val="00D00F79"/>
    <w:rsid w:val="00D01121"/>
    <w:rsid w:val="00D012BF"/>
    <w:rsid w:val="00D01760"/>
    <w:rsid w:val="00D0368E"/>
    <w:rsid w:val="00D036B0"/>
    <w:rsid w:val="00D03CC3"/>
    <w:rsid w:val="00D03D2D"/>
    <w:rsid w:val="00D03E7B"/>
    <w:rsid w:val="00D0401A"/>
    <w:rsid w:val="00D047E0"/>
    <w:rsid w:val="00D04B9F"/>
    <w:rsid w:val="00D04FFB"/>
    <w:rsid w:val="00D05153"/>
    <w:rsid w:val="00D058E9"/>
    <w:rsid w:val="00D0612A"/>
    <w:rsid w:val="00D0654D"/>
    <w:rsid w:val="00D06A0E"/>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089A"/>
    <w:rsid w:val="00D2104A"/>
    <w:rsid w:val="00D21302"/>
    <w:rsid w:val="00D213F1"/>
    <w:rsid w:val="00D21BB5"/>
    <w:rsid w:val="00D21FFC"/>
    <w:rsid w:val="00D223A3"/>
    <w:rsid w:val="00D223B6"/>
    <w:rsid w:val="00D223E8"/>
    <w:rsid w:val="00D228B3"/>
    <w:rsid w:val="00D22DC8"/>
    <w:rsid w:val="00D24ECD"/>
    <w:rsid w:val="00D2522A"/>
    <w:rsid w:val="00D2531C"/>
    <w:rsid w:val="00D255F3"/>
    <w:rsid w:val="00D26A9D"/>
    <w:rsid w:val="00D26C21"/>
    <w:rsid w:val="00D2742F"/>
    <w:rsid w:val="00D2754F"/>
    <w:rsid w:val="00D27912"/>
    <w:rsid w:val="00D279D9"/>
    <w:rsid w:val="00D27C74"/>
    <w:rsid w:val="00D300FF"/>
    <w:rsid w:val="00D30B3A"/>
    <w:rsid w:val="00D312DC"/>
    <w:rsid w:val="00D31B84"/>
    <w:rsid w:val="00D31C6A"/>
    <w:rsid w:val="00D31EDF"/>
    <w:rsid w:val="00D31FF9"/>
    <w:rsid w:val="00D32149"/>
    <w:rsid w:val="00D32256"/>
    <w:rsid w:val="00D32A27"/>
    <w:rsid w:val="00D32ABC"/>
    <w:rsid w:val="00D33010"/>
    <w:rsid w:val="00D34B25"/>
    <w:rsid w:val="00D34F4E"/>
    <w:rsid w:val="00D35141"/>
    <w:rsid w:val="00D35753"/>
    <w:rsid w:val="00D357F3"/>
    <w:rsid w:val="00D35C0E"/>
    <w:rsid w:val="00D36CD9"/>
    <w:rsid w:val="00D373A8"/>
    <w:rsid w:val="00D375FF"/>
    <w:rsid w:val="00D379A5"/>
    <w:rsid w:val="00D401BE"/>
    <w:rsid w:val="00D4043A"/>
    <w:rsid w:val="00D40A8E"/>
    <w:rsid w:val="00D40AB0"/>
    <w:rsid w:val="00D40DB0"/>
    <w:rsid w:val="00D40F8B"/>
    <w:rsid w:val="00D41858"/>
    <w:rsid w:val="00D42162"/>
    <w:rsid w:val="00D422DB"/>
    <w:rsid w:val="00D4274C"/>
    <w:rsid w:val="00D42A83"/>
    <w:rsid w:val="00D42AC2"/>
    <w:rsid w:val="00D4498E"/>
    <w:rsid w:val="00D4515F"/>
    <w:rsid w:val="00D451E8"/>
    <w:rsid w:val="00D4636B"/>
    <w:rsid w:val="00D466C9"/>
    <w:rsid w:val="00D467D8"/>
    <w:rsid w:val="00D47275"/>
    <w:rsid w:val="00D4767B"/>
    <w:rsid w:val="00D50A9F"/>
    <w:rsid w:val="00D50AEF"/>
    <w:rsid w:val="00D50C39"/>
    <w:rsid w:val="00D51988"/>
    <w:rsid w:val="00D51E15"/>
    <w:rsid w:val="00D52B7E"/>
    <w:rsid w:val="00D52CC8"/>
    <w:rsid w:val="00D52E2F"/>
    <w:rsid w:val="00D52F59"/>
    <w:rsid w:val="00D53E3E"/>
    <w:rsid w:val="00D5497A"/>
    <w:rsid w:val="00D5566A"/>
    <w:rsid w:val="00D55904"/>
    <w:rsid w:val="00D5616F"/>
    <w:rsid w:val="00D57940"/>
    <w:rsid w:val="00D60327"/>
    <w:rsid w:val="00D6104D"/>
    <w:rsid w:val="00D61526"/>
    <w:rsid w:val="00D61F81"/>
    <w:rsid w:val="00D623A9"/>
    <w:rsid w:val="00D62BE6"/>
    <w:rsid w:val="00D633AC"/>
    <w:rsid w:val="00D636FE"/>
    <w:rsid w:val="00D63766"/>
    <w:rsid w:val="00D63912"/>
    <w:rsid w:val="00D6391D"/>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77F55"/>
    <w:rsid w:val="00D8044C"/>
    <w:rsid w:val="00D805D6"/>
    <w:rsid w:val="00D8075E"/>
    <w:rsid w:val="00D80860"/>
    <w:rsid w:val="00D80D4C"/>
    <w:rsid w:val="00D8166D"/>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1638"/>
    <w:rsid w:val="00D91BA7"/>
    <w:rsid w:val="00D9261C"/>
    <w:rsid w:val="00D9310B"/>
    <w:rsid w:val="00D93299"/>
    <w:rsid w:val="00D93726"/>
    <w:rsid w:val="00D93DD3"/>
    <w:rsid w:val="00D93F3E"/>
    <w:rsid w:val="00D9405B"/>
    <w:rsid w:val="00D94942"/>
    <w:rsid w:val="00D94A22"/>
    <w:rsid w:val="00D95145"/>
    <w:rsid w:val="00D967CB"/>
    <w:rsid w:val="00D96EE0"/>
    <w:rsid w:val="00D97BD1"/>
    <w:rsid w:val="00DA06B8"/>
    <w:rsid w:val="00DA0A94"/>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2647"/>
    <w:rsid w:val="00DB3165"/>
    <w:rsid w:val="00DB4292"/>
    <w:rsid w:val="00DB5196"/>
    <w:rsid w:val="00DB5C03"/>
    <w:rsid w:val="00DB68BB"/>
    <w:rsid w:val="00DB6E46"/>
    <w:rsid w:val="00DB70E2"/>
    <w:rsid w:val="00DB7117"/>
    <w:rsid w:val="00DB7203"/>
    <w:rsid w:val="00DB7760"/>
    <w:rsid w:val="00DB7DD4"/>
    <w:rsid w:val="00DB7E44"/>
    <w:rsid w:val="00DC00B4"/>
    <w:rsid w:val="00DC037A"/>
    <w:rsid w:val="00DC0954"/>
    <w:rsid w:val="00DC15BA"/>
    <w:rsid w:val="00DC18CD"/>
    <w:rsid w:val="00DC1A68"/>
    <w:rsid w:val="00DC2710"/>
    <w:rsid w:val="00DC30B8"/>
    <w:rsid w:val="00DC32C6"/>
    <w:rsid w:val="00DC3720"/>
    <w:rsid w:val="00DC478F"/>
    <w:rsid w:val="00DC62E5"/>
    <w:rsid w:val="00DC6AB9"/>
    <w:rsid w:val="00DC6CA7"/>
    <w:rsid w:val="00DC6F33"/>
    <w:rsid w:val="00DC729E"/>
    <w:rsid w:val="00DC7349"/>
    <w:rsid w:val="00DC76B6"/>
    <w:rsid w:val="00DC7C76"/>
    <w:rsid w:val="00DD005B"/>
    <w:rsid w:val="00DD118B"/>
    <w:rsid w:val="00DD1249"/>
    <w:rsid w:val="00DD14D8"/>
    <w:rsid w:val="00DD1599"/>
    <w:rsid w:val="00DD177F"/>
    <w:rsid w:val="00DD197A"/>
    <w:rsid w:val="00DD1B03"/>
    <w:rsid w:val="00DD2772"/>
    <w:rsid w:val="00DD2A62"/>
    <w:rsid w:val="00DD2F2F"/>
    <w:rsid w:val="00DD2F7A"/>
    <w:rsid w:val="00DD358C"/>
    <w:rsid w:val="00DD3885"/>
    <w:rsid w:val="00DD455D"/>
    <w:rsid w:val="00DD5056"/>
    <w:rsid w:val="00DD5808"/>
    <w:rsid w:val="00DD5946"/>
    <w:rsid w:val="00DD5B04"/>
    <w:rsid w:val="00DD5DAE"/>
    <w:rsid w:val="00DD5EC6"/>
    <w:rsid w:val="00DD605F"/>
    <w:rsid w:val="00DD6657"/>
    <w:rsid w:val="00DD6D71"/>
    <w:rsid w:val="00DD7236"/>
    <w:rsid w:val="00DD72A0"/>
    <w:rsid w:val="00DD735D"/>
    <w:rsid w:val="00DD7A39"/>
    <w:rsid w:val="00DE0159"/>
    <w:rsid w:val="00DE064A"/>
    <w:rsid w:val="00DE0755"/>
    <w:rsid w:val="00DE082D"/>
    <w:rsid w:val="00DE1410"/>
    <w:rsid w:val="00DE1ED0"/>
    <w:rsid w:val="00DE3119"/>
    <w:rsid w:val="00DE3FF0"/>
    <w:rsid w:val="00DE4105"/>
    <w:rsid w:val="00DE4D0E"/>
    <w:rsid w:val="00DE5189"/>
    <w:rsid w:val="00DE6230"/>
    <w:rsid w:val="00DE6B9D"/>
    <w:rsid w:val="00DE7108"/>
    <w:rsid w:val="00DE72E2"/>
    <w:rsid w:val="00DE78D1"/>
    <w:rsid w:val="00DE7E4A"/>
    <w:rsid w:val="00DF0263"/>
    <w:rsid w:val="00DF07DA"/>
    <w:rsid w:val="00DF098E"/>
    <w:rsid w:val="00DF0EB4"/>
    <w:rsid w:val="00DF1E36"/>
    <w:rsid w:val="00DF1FDB"/>
    <w:rsid w:val="00DF236B"/>
    <w:rsid w:val="00DF2A91"/>
    <w:rsid w:val="00DF2F82"/>
    <w:rsid w:val="00DF3889"/>
    <w:rsid w:val="00DF3CC9"/>
    <w:rsid w:val="00DF4451"/>
    <w:rsid w:val="00DF4750"/>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1229"/>
    <w:rsid w:val="00E114CA"/>
    <w:rsid w:val="00E11CF0"/>
    <w:rsid w:val="00E12938"/>
    <w:rsid w:val="00E12E62"/>
    <w:rsid w:val="00E13167"/>
    <w:rsid w:val="00E132D5"/>
    <w:rsid w:val="00E1397F"/>
    <w:rsid w:val="00E13AB8"/>
    <w:rsid w:val="00E13D8F"/>
    <w:rsid w:val="00E13F26"/>
    <w:rsid w:val="00E14622"/>
    <w:rsid w:val="00E1482E"/>
    <w:rsid w:val="00E151A1"/>
    <w:rsid w:val="00E155D3"/>
    <w:rsid w:val="00E16382"/>
    <w:rsid w:val="00E16572"/>
    <w:rsid w:val="00E1699C"/>
    <w:rsid w:val="00E16E75"/>
    <w:rsid w:val="00E1746D"/>
    <w:rsid w:val="00E2012A"/>
    <w:rsid w:val="00E205A2"/>
    <w:rsid w:val="00E20BA4"/>
    <w:rsid w:val="00E20C24"/>
    <w:rsid w:val="00E21A60"/>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8C2"/>
    <w:rsid w:val="00E34E6C"/>
    <w:rsid w:val="00E350D8"/>
    <w:rsid w:val="00E353E2"/>
    <w:rsid w:val="00E36345"/>
    <w:rsid w:val="00E363A3"/>
    <w:rsid w:val="00E367A6"/>
    <w:rsid w:val="00E36C86"/>
    <w:rsid w:val="00E36CEB"/>
    <w:rsid w:val="00E37A28"/>
    <w:rsid w:val="00E40430"/>
    <w:rsid w:val="00E40690"/>
    <w:rsid w:val="00E40AEB"/>
    <w:rsid w:val="00E4143A"/>
    <w:rsid w:val="00E41A5D"/>
    <w:rsid w:val="00E424C8"/>
    <w:rsid w:val="00E4251D"/>
    <w:rsid w:val="00E42F41"/>
    <w:rsid w:val="00E43D00"/>
    <w:rsid w:val="00E44128"/>
    <w:rsid w:val="00E443D3"/>
    <w:rsid w:val="00E445E4"/>
    <w:rsid w:val="00E457CB"/>
    <w:rsid w:val="00E45D47"/>
    <w:rsid w:val="00E45DE4"/>
    <w:rsid w:val="00E45E63"/>
    <w:rsid w:val="00E46D10"/>
    <w:rsid w:val="00E46E70"/>
    <w:rsid w:val="00E50A7B"/>
    <w:rsid w:val="00E50B0B"/>
    <w:rsid w:val="00E510FE"/>
    <w:rsid w:val="00E51E25"/>
    <w:rsid w:val="00E5205B"/>
    <w:rsid w:val="00E521AE"/>
    <w:rsid w:val="00E52C99"/>
    <w:rsid w:val="00E53BCA"/>
    <w:rsid w:val="00E53F02"/>
    <w:rsid w:val="00E541A8"/>
    <w:rsid w:val="00E54534"/>
    <w:rsid w:val="00E548C3"/>
    <w:rsid w:val="00E54DA0"/>
    <w:rsid w:val="00E54E17"/>
    <w:rsid w:val="00E54F27"/>
    <w:rsid w:val="00E556F5"/>
    <w:rsid w:val="00E55FF1"/>
    <w:rsid w:val="00E56090"/>
    <w:rsid w:val="00E565B9"/>
    <w:rsid w:val="00E5733B"/>
    <w:rsid w:val="00E5756C"/>
    <w:rsid w:val="00E601BE"/>
    <w:rsid w:val="00E60B5F"/>
    <w:rsid w:val="00E60D04"/>
    <w:rsid w:val="00E613AE"/>
    <w:rsid w:val="00E61429"/>
    <w:rsid w:val="00E61ABB"/>
    <w:rsid w:val="00E61FD7"/>
    <w:rsid w:val="00E623E6"/>
    <w:rsid w:val="00E62C6F"/>
    <w:rsid w:val="00E630C0"/>
    <w:rsid w:val="00E63107"/>
    <w:rsid w:val="00E634E6"/>
    <w:rsid w:val="00E63DCE"/>
    <w:rsid w:val="00E64700"/>
    <w:rsid w:val="00E64E0B"/>
    <w:rsid w:val="00E65074"/>
    <w:rsid w:val="00E65E70"/>
    <w:rsid w:val="00E65EE9"/>
    <w:rsid w:val="00E66087"/>
    <w:rsid w:val="00E66D79"/>
    <w:rsid w:val="00E66FF9"/>
    <w:rsid w:val="00E673E3"/>
    <w:rsid w:val="00E67856"/>
    <w:rsid w:val="00E679C8"/>
    <w:rsid w:val="00E70314"/>
    <w:rsid w:val="00E70FCD"/>
    <w:rsid w:val="00E718C6"/>
    <w:rsid w:val="00E724E7"/>
    <w:rsid w:val="00E72B41"/>
    <w:rsid w:val="00E7347B"/>
    <w:rsid w:val="00E73D03"/>
    <w:rsid w:val="00E7471C"/>
    <w:rsid w:val="00E7498A"/>
    <w:rsid w:val="00E7514E"/>
    <w:rsid w:val="00E75B34"/>
    <w:rsid w:val="00E76B71"/>
    <w:rsid w:val="00E77AF5"/>
    <w:rsid w:val="00E8029A"/>
    <w:rsid w:val="00E803A6"/>
    <w:rsid w:val="00E81653"/>
    <w:rsid w:val="00E818B6"/>
    <w:rsid w:val="00E823F9"/>
    <w:rsid w:val="00E82C1F"/>
    <w:rsid w:val="00E82EEA"/>
    <w:rsid w:val="00E83671"/>
    <w:rsid w:val="00E8414B"/>
    <w:rsid w:val="00E84A71"/>
    <w:rsid w:val="00E8544B"/>
    <w:rsid w:val="00E85A99"/>
    <w:rsid w:val="00E86556"/>
    <w:rsid w:val="00E86798"/>
    <w:rsid w:val="00E86D35"/>
    <w:rsid w:val="00E86DC2"/>
    <w:rsid w:val="00E86E32"/>
    <w:rsid w:val="00E8732E"/>
    <w:rsid w:val="00E9011F"/>
    <w:rsid w:val="00E906EB"/>
    <w:rsid w:val="00E913F9"/>
    <w:rsid w:val="00E91675"/>
    <w:rsid w:val="00E9241E"/>
    <w:rsid w:val="00E92460"/>
    <w:rsid w:val="00E92E62"/>
    <w:rsid w:val="00E92E8B"/>
    <w:rsid w:val="00E93804"/>
    <w:rsid w:val="00E93A86"/>
    <w:rsid w:val="00E941AA"/>
    <w:rsid w:val="00E9454A"/>
    <w:rsid w:val="00E95434"/>
    <w:rsid w:val="00E9592E"/>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B0A89"/>
    <w:rsid w:val="00EB0B22"/>
    <w:rsid w:val="00EB1573"/>
    <w:rsid w:val="00EB1650"/>
    <w:rsid w:val="00EB1910"/>
    <w:rsid w:val="00EB1D24"/>
    <w:rsid w:val="00EB1EBB"/>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B4E"/>
    <w:rsid w:val="00EC0E84"/>
    <w:rsid w:val="00EC16E2"/>
    <w:rsid w:val="00EC1CE7"/>
    <w:rsid w:val="00EC26F1"/>
    <w:rsid w:val="00EC2DC3"/>
    <w:rsid w:val="00EC32B4"/>
    <w:rsid w:val="00EC346B"/>
    <w:rsid w:val="00EC36B1"/>
    <w:rsid w:val="00EC3C94"/>
    <w:rsid w:val="00EC44DF"/>
    <w:rsid w:val="00EC4AB1"/>
    <w:rsid w:val="00EC4EFB"/>
    <w:rsid w:val="00EC4FB9"/>
    <w:rsid w:val="00EC5310"/>
    <w:rsid w:val="00EC5393"/>
    <w:rsid w:val="00EC5741"/>
    <w:rsid w:val="00EC5ACE"/>
    <w:rsid w:val="00EC5DA3"/>
    <w:rsid w:val="00EC6014"/>
    <w:rsid w:val="00EC68A5"/>
    <w:rsid w:val="00EC6B3E"/>
    <w:rsid w:val="00EC6D8D"/>
    <w:rsid w:val="00EC71C7"/>
    <w:rsid w:val="00EC73DE"/>
    <w:rsid w:val="00EC7637"/>
    <w:rsid w:val="00EC7B63"/>
    <w:rsid w:val="00EC7CF2"/>
    <w:rsid w:val="00ED0400"/>
    <w:rsid w:val="00ED046B"/>
    <w:rsid w:val="00ED046C"/>
    <w:rsid w:val="00ED053A"/>
    <w:rsid w:val="00ED070F"/>
    <w:rsid w:val="00ED1F03"/>
    <w:rsid w:val="00ED2D27"/>
    <w:rsid w:val="00ED3347"/>
    <w:rsid w:val="00ED38FD"/>
    <w:rsid w:val="00ED3954"/>
    <w:rsid w:val="00ED4048"/>
    <w:rsid w:val="00ED43A2"/>
    <w:rsid w:val="00ED4967"/>
    <w:rsid w:val="00ED4EC8"/>
    <w:rsid w:val="00ED50E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435D"/>
    <w:rsid w:val="00F04580"/>
    <w:rsid w:val="00F04ECA"/>
    <w:rsid w:val="00F05DC2"/>
    <w:rsid w:val="00F06E19"/>
    <w:rsid w:val="00F06F84"/>
    <w:rsid w:val="00F076E7"/>
    <w:rsid w:val="00F07AA1"/>
    <w:rsid w:val="00F105AE"/>
    <w:rsid w:val="00F10618"/>
    <w:rsid w:val="00F107FD"/>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65"/>
    <w:rsid w:val="00F23CB5"/>
    <w:rsid w:val="00F245A1"/>
    <w:rsid w:val="00F24644"/>
    <w:rsid w:val="00F256FD"/>
    <w:rsid w:val="00F259F1"/>
    <w:rsid w:val="00F26F33"/>
    <w:rsid w:val="00F27E74"/>
    <w:rsid w:val="00F300A8"/>
    <w:rsid w:val="00F30265"/>
    <w:rsid w:val="00F30400"/>
    <w:rsid w:val="00F3079E"/>
    <w:rsid w:val="00F3254A"/>
    <w:rsid w:val="00F327EF"/>
    <w:rsid w:val="00F32C50"/>
    <w:rsid w:val="00F33980"/>
    <w:rsid w:val="00F3399B"/>
    <w:rsid w:val="00F33C1A"/>
    <w:rsid w:val="00F33D25"/>
    <w:rsid w:val="00F3461B"/>
    <w:rsid w:val="00F346ED"/>
    <w:rsid w:val="00F34945"/>
    <w:rsid w:val="00F3496F"/>
    <w:rsid w:val="00F34E1E"/>
    <w:rsid w:val="00F351E8"/>
    <w:rsid w:val="00F3547C"/>
    <w:rsid w:val="00F3570C"/>
    <w:rsid w:val="00F368FF"/>
    <w:rsid w:val="00F37003"/>
    <w:rsid w:val="00F37068"/>
    <w:rsid w:val="00F37F3F"/>
    <w:rsid w:val="00F40201"/>
    <w:rsid w:val="00F404A9"/>
    <w:rsid w:val="00F40992"/>
    <w:rsid w:val="00F40A99"/>
    <w:rsid w:val="00F40AEC"/>
    <w:rsid w:val="00F40F71"/>
    <w:rsid w:val="00F412DF"/>
    <w:rsid w:val="00F41313"/>
    <w:rsid w:val="00F41596"/>
    <w:rsid w:val="00F41D8B"/>
    <w:rsid w:val="00F42121"/>
    <w:rsid w:val="00F424B3"/>
    <w:rsid w:val="00F428B1"/>
    <w:rsid w:val="00F428B4"/>
    <w:rsid w:val="00F4345D"/>
    <w:rsid w:val="00F4387B"/>
    <w:rsid w:val="00F4518D"/>
    <w:rsid w:val="00F456EF"/>
    <w:rsid w:val="00F45B91"/>
    <w:rsid w:val="00F46639"/>
    <w:rsid w:val="00F46692"/>
    <w:rsid w:val="00F46708"/>
    <w:rsid w:val="00F46782"/>
    <w:rsid w:val="00F47AAA"/>
    <w:rsid w:val="00F47B3B"/>
    <w:rsid w:val="00F47CF7"/>
    <w:rsid w:val="00F50183"/>
    <w:rsid w:val="00F50D92"/>
    <w:rsid w:val="00F51765"/>
    <w:rsid w:val="00F51A51"/>
    <w:rsid w:val="00F51CB4"/>
    <w:rsid w:val="00F52324"/>
    <w:rsid w:val="00F52950"/>
    <w:rsid w:val="00F52C9D"/>
    <w:rsid w:val="00F52E39"/>
    <w:rsid w:val="00F533F1"/>
    <w:rsid w:val="00F53B81"/>
    <w:rsid w:val="00F547CB"/>
    <w:rsid w:val="00F55679"/>
    <w:rsid w:val="00F561E3"/>
    <w:rsid w:val="00F565E6"/>
    <w:rsid w:val="00F56AB9"/>
    <w:rsid w:val="00F56AFA"/>
    <w:rsid w:val="00F575E2"/>
    <w:rsid w:val="00F57715"/>
    <w:rsid w:val="00F579FF"/>
    <w:rsid w:val="00F600E0"/>
    <w:rsid w:val="00F600FD"/>
    <w:rsid w:val="00F605EC"/>
    <w:rsid w:val="00F60F60"/>
    <w:rsid w:val="00F612CE"/>
    <w:rsid w:val="00F624A7"/>
    <w:rsid w:val="00F62AB6"/>
    <w:rsid w:val="00F63984"/>
    <w:rsid w:val="00F65A3C"/>
    <w:rsid w:val="00F65A88"/>
    <w:rsid w:val="00F66282"/>
    <w:rsid w:val="00F66AB6"/>
    <w:rsid w:val="00F67D8B"/>
    <w:rsid w:val="00F70961"/>
    <w:rsid w:val="00F70A8F"/>
    <w:rsid w:val="00F70F18"/>
    <w:rsid w:val="00F71397"/>
    <w:rsid w:val="00F71812"/>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6C11"/>
    <w:rsid w:val="00F77021"/>
    <w:rsid w:val="00F775CB"/>
    <w:rsid w:val="00F77E61"/>
    <w:rsid w:val="00F805FF"/>
    <w:rsid w:val="00F814B2"/>
    <w:rsid w:val="00F815AC"/>
    <w:rsid w:val="00F82459"/>
    <w:rsid w:val="00F83075"/>
    <w:rsid w:val="00F83200"/>
    <w:rsid w:val="00F834EE"/>
    <w:rsid w:val="00F83B33"/>
    <w:rsid w:val="00F83CAE"/>
    <w:rsid w:val="00F840BF"/>
    <w:rsid w:val="00F8415D"/>
    <w:rsid w:val="00F8427A"/>
    <w:rsid w:val="00F842E1"/>
    <w:rsid w:val="00F843DF"/>
    <w:rsid w:val="00F84899"/>
    <w:rsid w:val="00F848AB"/>
    <w:rsid w:val="00F84A0A"/>
    <w:rsid w:val="00F84CF5"/>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2B02"/>
    <w:rsid w:val="00F92E3E"/>
    <w:rsid w:val="00F93DBC"/>
    <w:rsid w:val="00F93E41"/>
    <w:rsid w:val="00F94644"/>
    <w:rsid w:val="00F95075"/>
    <w:rsid w:val="00F9537B"/>
    <w:rsid w:val="00F953B8"/>
    <w:rsid w:val="00F95567"/>
    <w:rsid w:val="00F963FC"/>
    <w:rsid w:val="00FA015F"/>
    <w:rsid w:val="00FA0FAC"/>
    <w:rsid w:val="00FA1DA2"/>
    <w:rsid w:val="00FA2D1E"/>
    <w:rsid w:val="00FA3414"/>
    <w:rsid w:val="00FA347A"/>
    <w:rsid w:val="00FA39D7"/>
    <w:rsid w:val="00FA3CDE"/>
    <w:rsid w:val="00FA49B7"/>
    <w:rsid w:val="00FA5043"/>
    <w:rsid w:val="00FA6DF5"/>
    <w:rsid w:val="00FA6F8B"/>
    <w:rsid w:val="00FA75B7"/>
    <w:rsid w:val="00FA7A30"/>
    <w:rsid w:val="00FB033F"/>
    <w:rsid w:val="00FB0F29"/>
    <w:rsid w:val="00FB12E3"/>
    <w:rsid w:val="00FB1570"/>
    <w:rsid w:val="00FB193B"/>
    <w:rsid w:val="00FB1FBC"/>
    <w:rsid w:val="00FB27B7"/>
    <w:rsid w:val="00FB2C36"/>
    <w:rsid w:val="00FB3483"/>
    <w:rsid w:val="00FB35E3"/>
    <w:rsid w:val="00FB4D3F"/>
    <w:rsid w:val="00FB583C"/>
    <w:rsid w:val="00FB630E"/>
    <w:rsid w:val="00FB65E9"/>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4D3"/>
    <w:rsid w:val="00FC5CF4"/>
    <w:rsid w:val="00FC6A39"/>
    <w:rsid w:val="00FC6CEF"/>
    <w:rsid w:val="00FC6E50"/>
    <w:rsid w:val="00FC704A"/>
    <w:rsid w:val="00FC710F"/>
    <w:rsid w:val="00FC79AB"/>
    <w:rsid w:val="00FC7A36"/>
    <w:rsid w:val="00FC7BE7"/>
    <w:rsid w:val="00FC7DAC"/>
    <w:rsid w:val="00FD04AE"/>
    <w:rsid w:val="00FD086B"/>
    <w:rsid w:val="00FD122C"/>
    <w:rsid w:val="00FD1890"/>
    <w:rsid w:val="00FD1994"/>
    <w:rsid w:val="00FD21A9"/>
    <w:rsid w:val="00FD2AC8"/>
    <w:rsid w:val="00FD2CA6"/>
    <w:rsid w:val="00FD3508"/>
    <w:rsid w:val="00FD393C"/>
    <w:rsid w:val="00FD43BB"/>
    <w:rsid w:val="00FD4AF3"/>
    <w:rsid w:val="00FD556A"/>
    <w:rsid w:val="00FD5911"/>
    <w:rsid w:val="00FD5A69"/>
    <w:rsid w:val="00FD6F3C"/>
    <w:rsid w:val="00FD798D"/>
    <w:rsid w:val="00FD7BD8"/>
    <w:rsid w:val="00FD7FB9"/>
    <w:rsid w:val="00FE100E"/>
    <w:rsid w:val="00FE141E"/>
    <w:rsid w:val="00FE144E"/>
    <w:rsid w:val="00FE1689"/>
    <w:rsid w:val="00FE1768"/>
    <w:rsid w:val="00FE20B7"/>
    <w:rsid w:val="00FE24F4"/>
    <w:rsid w:val="00FE2560"/>
    <w:rsid w:val="00FE35D0"/>
    <w:rsid w:val="00FE41AC"/>
    <w:rsid w:val="00FE42ED"/>
    <w:rsid w:val="00FE4C6D"/>
    <w:rsid w:val="00FE55A7"/>
    <w:rsid w:val="00FE55E6"/>
    <w:rsid w:val="00FE56D5"/>
    <w:rsid w:val="00FE5C5A"/>
    <w:rsid w:val="00FE6432"/>
    <w:rsid w:val="00FE6517"/>
    <w:rsid w:val="00FE72A0"/>
    <w:rsid w:val="00FE72B3"/>
    <w:rsid w:val="00FF0050"/>
    <w:rsid w:val="00FF045F"/>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6BDF"/>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C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styleId="Hipervnculovisitado">
    <w:name w:val="FollowedHyperlink"/>
    <w:basedOn w:val="Fuentedeprrafopredeter"/>
    <w:uiPriority w:val="99"/>
    <w:semiHidden/>
    <w:unhideWhenUsed/>
    <w:rsid w:val="0031599C"/>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06506213">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6808846">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0500122">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12100">
      <w:bodyDiv w:val="1"/>
      <w:marLeft w:val="0"/>
      <w:marRight w:val="0"/>
      <w:marTop w:val="0"/>
      <w:marBottom w:val="0"/>
      <w:divBdr>
        <w:top w:val="none" w:sz="0" w:space="0" w:color="auto"/>
        <w:left w:val="none" w:sz="0" w:space="0" w:color="auto"/>
        <w:bottom w:val="none" w:sz="0" w:space="0" w:color="auto"/>
        <w:right w:val="none" w:sz="0" w:space="0" w:color="auto"/>
      </w:divBdr>
    </w:div>
    <w:div w:id="420758248">
      <w:bodyDiv w:val="1"/>
      <w:marLeft w:val="0"/>
      <w:marRight w:val="0"/>
      <w:marTop w:val="0"/>
      <w:marBottom w:val="0"/>
      <w:divBdr>
        <w:top w:val="none" w:sz="0" w:space="0" w:color="auto"/>
        <w:left w:val="none" w:sz="0" w:space="0" w:color="auto"/>
        <w:bottom w:val="none" w:sz="0" w:space="0" w:color="auto"/>
        <w:right w:val="none" w:sz="0" w:space="0" w:color="auto"/>
      </w:divBdr>
    </w:div>
    <w:div w:id="43675246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97575973">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374970">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0978923">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80219730">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47519234">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3156170">
      <w:bodyDiv w:val="1"/>
      <w:marLeft w:val="0"/>
      <w:marRight w:val="0"/>
      <w:marTop w:val="0"/>
      <w:marBottom w:val="0"/>
      <w:divBdr>
        <w:top w:val="none" w:sz="0" w:space="0" w:color="auto"/>
        <w:left w:val="none" w:sz="0" w:space="0" w:color="auto"/>
        <w:bottom w:val="none" w:sz="0" w:space="0" w:color="auto"/>
        <w:right w:val="none" w:sz="0" w:space="0" w:color="auto"/>
      </w:divBdr>
    </w:div>
    <w:div w:id="902790658">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3870265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082907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3151986">
      <w:bodyDiv w:val="1"/>
      <w:marLeft w:val="0"/>
      <w:marRight w:val="0"/>
      <w:marTop w:val="0"/>
      <w:marBottom w:val="0"/>
      <w:divBdr>
        <w:top w:val="none" w:sz="0" w:space="0" w:color="auto"/>
        <w:left w:val="none" w:sz="0" w:space="0" w:color="auto"/>
        <w:bottom w:val="none" w:sz="0" w:space="0" w:color="auto"/>
        <w:right w:val="none" w:sz="0" w:space="0" w:color="auto"/>
      </w:divBdr>
    </w:div>
    <w:div w:id="1250506207">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644634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45066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2807">
      <w:bodyDiv w:val="1"/>
      <w:marLeft w:val="0"/>
      <w:marRight w:val="0"/>
      <w:marTop w:val="0"/>
      <w:marBottom w:val="0"/>
      <w:divBdr>
        <w:top w:val="none" w:sz="0" w:space="0" w:color="auto"/>
        <w:left w:val="none" w:sz="0" w:space="0" w:color="auto"/>
        <w:bottom w:val="none" w:sz="0" w:space="0" w:color="auto"/>
        <w:right w:val="none" w:sz="0" w:space="0" w:color="auto"/>
      </w:divBdr>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69381">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685644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23948">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0160">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69635999">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24709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28827332">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4319">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25669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ontent/circular-unica-externa" TargetMode="External"/><Relationship Id="rId2" Type="http://schemas.openxmlformats.org/officeDocument/2006/relationships/hyperlink" Target="https://colombiacompra.gov.co/sites/cce_public/files/cce_documents/cce_guia_proveedores_extranjeros.pdf" TargetMode="External"/><Relationship Id="rId1" Type="http://schemas.openxmlformats.org/officeDocument/2006/relationships/hyperlink" Target="https://www.colombiacompra.gov.co/sites/cce_public/files/files_2020/cce-eicp-ma-04._manual_requisitos_habilitantes_v.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C2183FA-8861-468B-B2E0-E031807DE5B8}"/>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TotalTime>
  <Pages>24</Pages>
  <Words>8324</Words>
  <Characters>45783</Characters>
  <Application>Microsoft Office Word</Application>
  <DocSecurity>0</DocSecurity>
  <Lines>381</Lines>
  <Paragraphs>107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5</cp:revision>
  <cp:lastPrinted>2020-01-30T15:05:00Z</cp:lastPrinted>
  <dcterms:created xsi:type="dcterms:W3CDTF">2022-09-15T14:01:00Z</dcterms:created>
  <dcterms:modified xsi:type="dcterms:W3CDTF">2022-09-15T14:11:00Z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