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45AAF" w14:textId="16472404" w:rsidR="00FF26FC" w:rsidRPr="0075736F" w:rsidRDefault="00FF26FC" w:rsidP="00FF26FC">
      <w:pPr>
        <w:spacing w:after="0" w:line="240" w:lineRule="auto"/>
        <w:jc w:val="both"/>
        <w:rPr>
          <w:rFonts w:ascii="Verdana" w:eastAsia="Geomanist Light" w:hAnsi="Verdana" w:cs="Arial"/>
          <w:b/>
          <w:bCs/>
          <w:color w:val="000000" w:themeColor="text1"/>
        </w:rPr>
      </w:pPr>
      <w:bookmarkStart w:id="0" w:name="_Hlk143780582"/>
      <w:r w:rsidRPr="0075736F">
        <w:rPr>
          <w:rFonts w:ascii="Verdana" w:eastAsia="Geomanist Light" w:hAnsi="Verdana" w:cs="Arial"/>
          <w:b/>
          <w:bCs/>
          <w:color w:val="000000" w:themeColor="text1"/>
        </w:rPr>
        <w:t>CAPACIDAD RESIDUAL – Decreto 1082 de 2013 – Definición – Cálculo – Factores</w:t>
      </w:r>
    </w:p>
    <w:p w14:paraId="59A7C99C" w14:textId="77777777" w:rsidR="00FF26FC" w:rsidRPr="00FF26FC" w:rsidRDefault="00FF26FC" w:rsidP="00FF26FC">
      <w:pPr>
        <w:spacing w:after="0" w:line="240" w:lineRule="auto"/>
        <w:rPr>
          <w:rFonts w:ascii="Verdana" w:eastAsia="Geomanist Light" w:hAnsi="Verdana" w:cs="Arial"/>
          <w:color w:val="000000"/>
          <w:sz w:val="20"/>
          <w:szCs w:val="20"/>
          <w:lang w:val="es-MX"/>
        </w:rPr>
      </w:pPr>
    </w:p>
    <w:p w14:paraId="14EE3DF1" w14:textId="77777777" w:rsidR="00FF26FC" w:rsidRPr="00FF26FC" w:rsidRDefault="00FF26FC" w:rsidP="00FF26FC">
      <w:pPr>
        <w:spacing w:after="0" w:line="240" w:lineRule="auto"/>
        <w:jc w:val="both"/>
        <w:rPr>
          <w:rFonts w:ascii="Verdana" w:eastAsia="Geomanist Light" w:hAnsi="Verdana" w:cs="Arial"/>
          <w:color w:val="000000" w:themeColor="text1"/>
          <w:sz w:val="20"/>
          <w:szCs w:val="20"/>
        </w:rPr>
      </w:pPr>
      <w:r w:rsidRPr="00FF26FC">
        <w:rPr>
          <w:rFonts w:ascii="Verdana" w:eastAsia="Geomanist Light" w:hAnsi="Verdana" w:cs="Arial"/>
          <w:color w:val="000000" w:themeColor="text1"/>
          <w:sz w:val="20"/>
          <w:szCs w:val="20"/>
        </w:rPr>
        <w:t xml:space="preserve">El Decreto 1082 de 2015 dispone que las entidades estatales deberán calcular la capacidad residual conforme a la metodología definida por Colombia Compre Eficiente. Para tale fines, resulta necesario tener en cuenta los factores de i) Experiencia –E–, </w:t>
      </w:r>
      <w:proofErr w:type="spellStart"/>
      <w:r w:rsidRPr="00FF26FC">
        <w:rPr>
          <w:rFonts w:ascii="Verdana" w:eastAsia="Geomanist Light" w:hAnsi="Verdana" w:cs="Arial"/>
          <w:color w:val="000000" w:themeColor="text1"/>
          <w:sz w:val="20"/>
          <w:szCs w:val="20"/>
        </w:rPr>
        <w:t>ii</w:t>
      </w:r>
      <w:proofErr w:type="spellEnd"/>
      <w:r w:rsidRPr="00FF26FC">
        <w:rPr>
          <w:rFonts w:ascii="Verdana" w:eastAsia="Geomanist Light" w:hAnsi="Verdana" w:cs="Arial"/>
          <w:color w:val="000000" w:themeColor="text1"/>
          <w:sz w:val="20"/>
          <w:szCs w:val="20"/>
        </w:rPr>
        <w:t xml:space="preserve">) Capacidad Financiera –CF–, </w:t>
      </w:r>
      <w:proofErr w:type="spellStart"/>
      <w:r w:rsidRPr="00FF26FC">
        <w:rPr>
          <w:rFonts w:ascii="Verdana" w:eastAsia="Geomanist Light" w:hAnsi="Verdana" w:cs="Arial"/>
          <w:color w:val="000000" w:themeColor="text1"/>
          <w:sz w:val="20"/>
          <w:szCs w:val="20"/>
        </w:rPr>
        <w:t>iii</w:t>
      </w:r>
      <w:proofErr w:type="spellEnd"/>
      <w:r w:rsidRPr="00FF26FC">
        <w:rPr>
          <w:rFonts w:ascii="Verdana" w:eastAsia="Geomanist Light" w:hAnsi="Verdana" w:cs="Arial"/>
          <w:color w:val="000000" w:themeColor="text1"/>
          <w:sz w:val="20"/>
          <w:szCs w:val="20"/>
        </w:rPr>
        <w:t xml:space="preserve">) Capacidad Técnica –CT–, </w:t>
      </w:r>
      <w:proofErr w:type="spellStart"/>
      <w:r w:rsidRPr="00FF26FC">
        <w:rPr>
          <w:rFonts w:ascii="Verdana" w:eastAsia="Geomanist Light" w:hAnsi="Verdana" w:cs="Arial"/>
          <w:color w:val="000000" w:themeColor="text1"/>
          <w:sz w:val="20"/>
          <w:szCs w:val="20"/>
        </w:rPr>
        <w:t>iv</w:t>
      </w:r>
      <w:proofErr w:type="spellEnd"/>
      <w:r w:rsidRPr="00FF26FC">
        <w:rPr>
          <w:rFonts w:ascii="Verdana" w:eastAsia="Geomanist Light" w:hAnsi="Verdana" w:cs="Arial"/>
          <w:color w:val="000000" w:themeColor="text1"/>
          <w:sz w:val="20"/>
          <w:szCs w:val="20"/>
        </w:rPr>
        <w:t xml:space="preserve">) Capacidad de Organización y v) los Saldos de los Contratos en Ejecución –SCE–. De igual manera, 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FF26FC">
        <w:rPr>
          <w:rFonts w:ascii="Verdana" w:eastAsia="Geomanist Light" w:hAnsi="Verdana" w:cs="Arial"/>
          <w:color w:val="000000" w:themeColor="text1"/>
          <w:sz w:val="20"/>
          <w:szCs w:val="20"/>
        </w:rPr>
        <w:t>ii</w:t>
      </w:r>
      <w:proofErr w:type="spellEnd"/>
      <w:r w:rsidRPr="00FF26FC">
        <w:rPr>
          <w:rFonts w:ascii="Verdana" w:eastAsia="Geomanist Light" w:hAnsi="Verdana" w:cs="Arial"/>
          <w:color w:val="000000" w:themeColor="text1"/>
          <w:sz w:val="20"/>
          <w:szCs w:val="20"/>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FF26FC">
        <w:rPr>
          <w:rFonts w:ascii="Verdana" w:eastAsia="Geomanist Light" w:hAnsi="Verdana" w:cs="Arial"/>
          <w:color w:val="000000" w:themeColor="text1"/>
          <w:sz w:val="20"/>
          <w:szCs w:val="20"/>
        </w:rPr>
        <w:t>iii</w:t>
      </w:r>
      <w:proofErr w:type="spellEnd"/>
      <w:r w:rsidRPr="00FF26FC">
        <w:rPr>
          <w:rFonts w:ascii="Verdana" w:eastAsia="Geomanist Light" w:hAnsi="Verdana" w:cs="Arial"/>
          <w:color w:val="000000" w:themeColor="text1"/>
          <w:sz w:val="20"/>
          <w:szCs w:val="20"/>
        </w:rPr>
        <w:t>) el balance general auditado del año inmediatamente anterior y estado de resultados auditado del año en que haya obtenido el mayor ingreso operacional en los últimos cinco (5) años.</w:t>
      </w:r>
    </w:p>
    <w:p w14:paraId="12CAF8FB" w14:textId="77777777" w:rsidR="00FF26FC" w:rsidRPr="00FF26FC" w:rsidRDefault="00FF26FC" w:rsidP="00FF26FC">
      <w:pPr>
        <w:spacing w:after="0" w:line="240" w:lineRule="auto"/>
        <w:jc w:val="both"/>
        <w:rPr>
          <w:rFonts w:ascii="Verdana" w:eastAsia="Geomanist Light" w:hAnsi="Verdana" w:cs="Arial"/>
          <w:color w:val="000000" w:themeColor="text1"/>
          <w:sz w:val="20"/>
          <w:szCs w:val="20"/>
        </w:rPr>
      </w:pPr>
    </w:p>
    <w:p w14:paraId="0FBE7207" w14:textId="4BEF6BC4" w:rsidR="00FF26FC" w:rsidRPr="0075736F" w:rsidRDefault="00FF26FC" w:rsidP="00FF26FC">
      <w:pPr>
        <w:spacing w:after="0" w:line="240" w:lineRule="auto"/>
        <w:jc w:val="both"/>
        <w:rPr>
          <w:rFonts w:ascii="Verdana" w:eastAsia="Geomanist Light" w:hAnsi="Verdana" w:cs="Arial"/>
          <w:b/>
          <w:bCs/>
          <w:color w:val="000000" w:themeColor="text1"/>
        </w:rPr>
      </w:pPr>
      <w:r w:rsidRPr="0075736F">
        <w:rPr>
          <w:rFonts w:ascii="Verdana" w:eastAsia="Geomanist Light" w:hAnsi="Verdana" w:cs="Arial"/>
          <w:b/>
          <w:bCs/>
          <w:color w:val="000000" w:themeColor="text1"/>
        </w:rPr>
        <w:t>CAPACIDAD TÉCNICA – Guía para Determinar y Verificar la Capacidad Residual del Proponente en los Procesos de Contratación de Obra Pública – Formato</w:t>
      </w:r>
    </w:p>
    <w:p w14:paraId="18293CE7" w14:textId="77777777" w:rsidR="00FF26FC" w:rsidRPr="00FF26FC" w:rsidRDefault="00FF26FC" w:rsidP="00FF26FC">
      <w:pPr>
        <w:spacing w:after="0" w:line="240" w:lineRule="auto"/>
        <w:jc w:val="both"/>
        <w:rPr>
          <w:rFonts w:ascii="Verdana" w:eastAsia="Geomanist Light" w:hAnsi="Verdana" w:cs="Arial"/>
          <w:color w:val="000000" w:themeColor="text1"/>
          <w:sz w:val="20"/>
          <w:szCs w:val="20"/>
        </w:rPr>
      </w:pPr>
    </w:p>
    <w:p w14:paraId="011232E7" w14:textId="77777777" w:rsidR="00FF26FC" w:rsidRPr="00FF26FC" w:rsidRDefault="00FF26FC" w:rsidP="00FF26FC">
      <w:pPr>
        <w:spacing w:after="0" w:line="240" w:lineRule="auto"/>
        <w:jc w:val="both"/>
        <w:rPr>
          <w:rFonts w:ascii="Verdana" w:eastAsia="Geomanist Light" w:hAnsi="Verdana" w:cs="Arial"/>
          <w:color w:val="000000" w:themeColor="text1"/>
          <w:sz w:val="20"/>
          <w:szCs w:val="20"/>
        </w:rPr>
      </w:pPr>
      <w:r w:rsidRPr="00FF26FC">
        <w:rPr>
          <w:rFonts w:ascii="Verdana" w:eastAsia="Geomanist Light" w:hAnsi="Verdana" w:cs="Arial"/>
          <w:color w:val="000000" w:themeColor="text1"/>
          <w:sz w:val="20"/>
          <w:szCs w:val="20"/>
        </w:rPr>
        <w:t xml:space="preserve">[…] la “Guía para Determinar y Verificar la Capacidad Residual del Proponente en los Procesos de Contratación de Obra Pública”, indica que, la capacidad técnica (CT) se asigna teniendo en cuenta el número de socios y profesionales de la arquitectura, ingeniería y geología vinculados mediante una relación laboral o contractual conforme a la cual desarrollen actividades relacionadas directamente a la construcción. Asimismo, establece que para acreditar la capacidad técnica (CT) es el proponente quien debe diligenciar el Formato correspondiente al “Anexo 2 – Certificación de la Capacidad Técnica”. </w:t>
      </w:r>
    </w:p>
    <w:p w14:paraId="3237783F" w14:textId="77777777" w:rsidR="00FF26FC" w:rsidRPr="00FF26FC" w:rsidRDefault="00FF26FC" w:rsidP="00FF26FC">
      <w:pPr>
        <w:spacing w:after="0" w:line="240" w:lineRule="auto"/>
        <w:jc w:val="both"/>
        <w:rPr>
          <w:rFonts w:ascii="Verdana" w:eastAsia="Geomanist Light" w:hAnsi="Verdana" w:cs="Arial"/>
          <w:color w:val="000000" w:themeColor="text1"/>
          <w:sz w:val="20"/>
          <w:szCs w:val="20"/>
        </w:rPr>
      </w:pPr>
    </w:p>
    <w:p w14:paraId="150CE8CD" w14:textId="3B0610DA" w:rsidR="00FF26FC" w:rsidRPr="0075736F" w:rsidRDefault="00FF26FC" w:rsidP="00FF26FC">
      <w:pPr>
        <w:spacing w:after="0" w:line="240" w:lineRule="auto"/>
        <w:jc w:val="both"/>
        <w:rPr>
          <w:rFonts w:ascii="Verdana" w:eastAsia="Geomanist Light" w:hAnsi="Verdana" w:cs="Arial"/>
          <w:b/>
          <w:bCs/>
          <w:color w:val="000000" w:themeColor="text1"/>
        </w:rPr>
      </w:pPr>
      <w:r w:rsidRPr="0075736F">
        <w:rPr>
          <w:rFonts w:ascii="Verdana" w:eastAsia="Geomanist Light" w:hAnsi="Verdana" w:cs="Arial"/>
          <w:b/>
          <w:bCs/>
          <w:color w:val="000000" w:themeColor="text1"/>
        </w:rPr>
        <w:t>CAPACIDAD TÉCNICA – Guía para Determinar y Verificar la Capacidad Residual del Proponente en los Procesos de Contratación de Obra Pública – Cálculo – Puntajes</w:t>
      </w:r>
    </w:p>
    <w:p w14:paraId="2B4BAC45" w14:textId="77777777" w:rsidR="00FF26FC" w:rsidRPr="00FF26FC" w:rsidRDefault="00FF26FC" w:rsidP="00FF26FC">
      <w:pPr>
        <w:spacing w:after="0" w:line="240" w:lineRule="auto"/>
        <w:jc w:val="both"/>
        <w:rPr>
          <w:rFonts w:ascii="Verdana" w:eastAsia="Geomanist Light" w:hAnsi="Verdana" w:cs="Arial"/>
          <w:color w:val="000000" w:themeColor="text1"/>
          <w:sz w:val="20"/>
          <w:szCs w:val="20"/>
        </w:rPr>
      </w:pPr>
    </w:p>
    <w:p w14:paraId="111CA035" w14:textId="77777777" w:rsidR="00FF26FC" w:rsidRPr="00FF26FC" w:rsidRDefault="00FF26FC" w:rsidP="00FF26FC">
      <w:pPr>
        <w:spacing w:after="0" w:line="240" w:lineRule="auto"/>
        <w:jc w:val="both"/>
        <w:rPr>
          <w:rFonts w:ascii="Verdana" w:eastAsia="Geomanist Light" w:hAnsi="Verdana" w:cs="Arial"/>
          <w:color w:val="000000" w:themeColor="text1"/>
          <w:sz w:val="20"/>
          <w:szCs w:val="20"/>
        </w:rPr>
      </w:pPr>
      <w:r w:rsidRPr="00FF26FC">
        <w:rPr>
          <w:rFonts w:ascii="Verdana" w:eastAsia="Geomanist Light" w:hAnsi="Verdana" w:cs="Arial"/>
          <w:color w:val="000000" w:themeColor="text1"/>
          <w:sz w:val="20"/>
          <w:szCs w:val="20"/>
        </w:rPr>
        <w:t xml:space="preserve">Para el caso de la Capacidad Técnica (CT), sobre la cual se centra su consulta, el artículo 72 de la Ley 1682 de 2013 y el artículo 2.2.1.1.1.6.4 del Decreto 1082 de 2015, la incluyen como uno de los factores que se debe tener en cuenta para calcular la capacidad residual de los proponentes, sin embargo, no definieron los criterios o la forma de valoración de este factor, por lo cual, la Agencia Nacional de Contratación Pública – Colombia Compra Eficiente, de acuerdo con la competencia establecida por el Decreto 1082 de 2015, al fijar la metodología para el cálculo de la capacidad residual, estableció la forma de calcular la Capacidad Técnica (CT) en la “Guía para Determinar y Verificar la Capacidad Residual del Proponente en los Procesos de Contratación de Obra Pública”. </w:t>
      </w:r>
    </w:p>
    <w:p w14:paraId="123AD7E0" w14:textId="77777777" w:rsidR="00FF26FC" w:rsidRPr="00FF26FC" w:rsidRDefault="00FF26FC" w:rsidP="00FF26FC">
      <w:pPr>
        <w:spacing w:after="0" w:line="240" w:lineRule="auto"/>
        <w:jc w:val="both"/>
        <w:rPr>
          <w:rFonts w:ascii="Verdana" w:eastAsia="Geomanist Light" w:hAnsi="Verdana" w:cs="Arial"/>
          <w:color w:val="000000" w:themeColor="text1"/>
          <w:sz w:val="20"/>
          <w:szCs w:val="20"/>
        </w:rPr>
      </w:pPr>
    </w:p>
    <w:p w14:paraId="76787A8F" w14:textId="77777777" w:rsidR="00FF26FC" w:rsidRPr="00FF26FC" w:rsidRDefault="00FF26FC" w:rsidP="00FF26FC">
      <w:pPr>
        <w:spacing w:after="0" w:line="240" w:lineRule="auto"/>
        <w:jc w:val="both"/>
        <w:rPr>
          <w:rFonts w:ascii="Verdana" w:eastAsia="Geomanist Light" w:hAnsi="Verdana" w:cs="Arial"/>
          <w:color w:val="000000" w:themeColor="text1"/>
          <w:sz w:val="20"/>
          <w:szCs w:val="20"/>
        </w:rPr>
      </w:pPr>
      <w:r w:rsidRPr="00FF26FC">
        <w:rPr>
          <w:rFonts w:ascii="Verdana" w:eastAsia="Geomanist Light" w:hAnsi="Verdana" w:cs="Arial"/>
          <w:color w:val="000000" w:themeColor="text1"/>
          <w:sz w:val="20"/>
          <w:szCs w:val="20"/>
        </w:rPr>
        <w:t xml:space="preserve">La “Guía para Determinar y Verificar la Capacidad Residual del Proponente en los Procesos de Contratación de Obra Pública”, indica que, la Capacidad Técnica (CT) se </w:t>
      </w:r>
      <w:r w:rsidRPr="00FF26FC">
        <w:rPr>
          <w:rFonts w:ascii="Verdana" w:eastAsia="Geomanist Light" w:hAnsi="Verdana" w:cs="Arial"/>
          <w:color w:val="000000" w:themeColor="text1"/>
          <w:sz w:val="20"/>
          <w:szCs w:val="20"/>
        </w:rPr>
        <w:lastRenderedPageBreak/>
        <w:t>asigna teniendo en cuenta el número de socios y profesionales de la arquitectura, ingeniería y geología vinculados mediante una relación laboral o contractual conforme a la cual desarrollen actividades relacionadas directamente a la construcción estableciendo el siguiente puntaje dependiendo del número de profesionales en las disciplinas señaladas, el proponente podrá obtener cero (0), veinte (20), treinta (30) o cuarenta (40) puntos como máximo, que serán tenidos en cuenta en la fórmula para el cálculo de la capacidad residual del proponente, junto con los puntajes obtenidos por los factores de Experiencia (E) y Capacidad Financiera (CF) y los valores en pesos colombianos de los factores de Capacidad de Organización (CO) y Saldo de Contratos en Ejecución (SCE).</w:t>
      </w:r>
    </w:p>
    <w:p w14:paraId="0702C1C4" w14:textId="77777777" w:rsidR="00FF26FC" w:rsidRPr="00FF26FC" w:rsidRDefault="00FF26FC" w:rsidP="00FF26FC">
      <w:pPr>
        <w:spacing w:after="0" w:line="240" w:lineRule="auto"/>
        <w:rPr>
          <w:rFonts w:ascii="Verdana" w:eastAsia="Geomanist Light" w:hAnsi="Verdana" w:cs="Arial"/>
          <w:color w:val="000000"/>
          <w:sz w:val="20"/>
          <w:szCs w:val="20"/>
        </w:rPr>
      </w:pPr>
    </w:p>
    <w:p w14:paraId="0FD0372D" w14:textId="77777777" w:rsidR="00FF26FC" w:rsidRPr="00FF26FC" w:rsidRDefault="00FF26FC" w:rsidP="00FF26FC">
      <w:pPr>
        <w:spacing w:after="0" w:line="240" w:lineRule="auto"/>
        <w:rPr>
          <w:rFonts w:ascii="Verdana" w:hAnsi="Verdana"/>
        </w:rPr>
      </w:pPr>
    </w:p>
    <w:p w14:paraId="41E16AF3" w14:textId="77777777" w:rsidR="00FF26FC" w:rsidRPr="00FF26FC" w:rsidRDefault="00FF26FC" w:rsidP="00FF26FC">
      <w:pPr>
        <w:spacing w:after="0"/>
        <w:rPr>
          <w:rFonts w:ascii="Verdana" w:hAnsi="Verdana"/>
          <w:lang w:val="es-MX"/>
        </w:rPr>
      </w:pPr>
    </w:p>
    <w:p w14:paraId="7FD0CF8E" w14:textId="77777777" w:rsidR="00FF26FC" w:rsidRPr="00FF26FC" w:rsidRDefault="00FF26FC" w:rsidP="00FF26FC">
      <w:pPr>
        <w:spacing w:after="0"/>
        <w:rPr>
          <w:rFonts w:ascii="Verdana" w:hAnsi="Verdana"/>
          <w:lang w:val="es-MX"/>
        </w:rPr>
      </w:pPr>
    </w:p>
    <w:p w14:paraId="08B76E47" w14:textId="77777777" w:rsidR="00FF26FC" w:rsidRPr="00FF26FC" w:rsidRDefault="00FF26FC" w:rsidP="00FF26FC">
      <w:pPr>
        <w:spacing w:after="0"/>
        <w:rPr>
          <w:rFonts w:ascii="Verdana" w:hAnsi="Verdana"/>
          <w:lang w:val="es-MX"/>
        </w:rPr>
      </w:pPr>
    </w:p>
    <w:p w14:paraId="000E5EA8" w14:textId="77777777" w:rsidR="00FF26FC" w:rsidRPr="00FF26FC" w:rsidRDefault="00FF26FC" w:rsidP="00FF26FC">
      <w:pPr>
        <w:spacing w:after="0"/>
        <w:rPr>
          <w:rFonts w:ascii="Verdana" w:hAnsi="Verdana"/>
          <w:lang w:val="es-MX"/>
        </w:rPr>
      </w:pPr>
    </w:p>
    <w:p w14:paraId="425203BC" w14:textId="77777777" w:rsidR="00FF26FC" w:rsidRPr="00FF26FC" w:rsidRDefault="00FF26FC" w:rsidP="00FF26FC">
      <w:pPr>
        <w:spacing w:after="0"/>
        <w:rPr>
          <w:rFonts w:ascii="Verdana" w:hAnsi="Verdana"/>
          <w:lang w:val="es-MX"/>
        </w:rPr>
      </w:pPr>
    </w:p>
    <w:p w14:paraId="5F661FAF" w14:textId="77777777" w:rsidR="00FF26FC" w:rsidRPr="00FF26FC" w:rsidRDefault="00FF26FC" w:rsidP="00FF26FC">
      <w:pPr>
        <w:spacing w:after="0"/>
        <w:rPr>
          <w:rFonts w:ascii="Verdana" w:hAnsi="Verdana"/>
          <w:lang w:val="es-MX"/>
        </w:rPr>
      </w:pPr>
    </w:p>
    <w:p w14:paraId="6BDA62A0" w14:textId="77777777" w:rsidR="00FF26FC" w:rsidRPr="00FF26FC" w:rsidRDefault="00FF26FC" w:rsidP="00FF26FC">
      <w:pPr>
        <w:spacing w:after="0"/>
        <w:rPr>
          <w:rFonts w:ascii="Verdana" w:hAnsi="Verdana"/>
          <w:lang w:val="es-MX"/>
        </w:rPr>
      </w:pPr>
    </w:p>
    <w:p w14:paraId="34067D1A" w14:textId="77777777" w:rsidR="00FF26FC" w:rsidRPr="00FF26FC" w:rsidRDefault="00FF26FC" w:rsidP="00FF26FC">
      <w:pPr>
        <w:spacing w:after="0"/>
        <w:rPr>
          <w:rFonts w:ascii="Verdana" w:hAnsi="Verdana"/>
          <w:lang w:val="es-MX"/>
        </w:rPr>
      </w:pPr>
    </w:p>
    <w:p w14:paraId="77FA145A" w14:textId="77777777" w:rsidR="00FF26FC" w:rsidRPr="00FF26FC" w:rsidRDefault="00FF26FC" w:rsidP="00FF26FC">
      <w:pPr>
        <w:spacing w:after="0"/>
        <w:rPr>
          <w:rFonts w:ascii="Verdana" w:hAnsi="Verdana"/>
          <w:lang w:val="es-MX"/>
        </w:rPr>
      </w:pPr>
    </w:p>
    <w:p w14:paraId="4FEBAC97" w14:textId="77777777" w:rsidR="00FF26FC" w:rsidRPr="00FF26FC" w:rsidRDefault="00FF26FC" w:rsidP="00FF26FC">
      <w:pPr>
        <w:spacing w:after="0"/>
        <w:rPr>
          <w:rFonts w:ascii="Verdana" w:hAnsi="Verdana"/>
          <w:lang w:val="es-MX"/>
        </w:rPr>
      </w:pPr>
    </w:p>
    <w:p w14:paraId="1F490C47" w14:textId="77777777" w:rsidR="00FF26FC" w:rsidRPr="00FF26FC" w:rsidRDefault="00FF26FC" w:rsidP="00FF26FC">
      <w:pPr>
        <w:spacing w:after="0"/>
        <w:rPr>
          <w:rFonts w:ascii="Verdana" w:hAnsi="Verdana"/>
          <w:lang w:val="es-MX"/>
        </w:rPr>
      </w:pPr>
    </w:p>
    <w:p w14:paraId="5068B717" w14:textId="77777777" w:rsidR="00FF26FC" w:rsidRPr="00FF26FC" w:rsidRDefault="00FF26FC" w:rsidP="00FF26FC">
      <w:pPr>
        <w:spacing w:after="0"/>
        <w:rPr>
          <w:rFonts w:ascii="Verdana" w:hAnsi="Verdana"/>
          <w:lang w:val="es-MX"/>
        </w:rPr>
      </w:pPr>
    </w:p>
    <w:p w14:paraId="5C44C924" w14:textId="77777777" w:rsidR="00FF26FC" w:rsidRPr="00FF26FC" w:rsidRDefault="00FF26FC" w:rsidP="00FF26FC">
      <w:pPr>
        <w:spacing w:after="0"/>
        <w:rPr>
          <w:rFonts w:ascii="Verdana" w:hAnsi="Verdana"/>
          <w:lang w:val="es-MX"/>
        </w:rPr>
      </w:pPr>
    </w:p>
    <w:p w14:paraId="55E55779" w14:textId="77777777" w:rsidR="00FF26FC" w:rsidRPr="00FF26FC" w:rsidRDefault="00FF26FC" w:rsidP="00FF26FC">
      <w:pPr>
        <w:spacing w:after="0"/>
        <w:rPr>
          <w:rFonts w:ascii="Verdana" w:hAnsi="Verdana"/>
          <w:lang w:val="es-MX"/>
        </w:rPr>
      </w:pPr>
    </w:p>
    <w:p w14:paraId="5A599E4A" w14:textId="77777777" w:rsidR="00FF26FC" w:rsidRPr="00FF26FC" w:rsidRDefault="00FF26FC" w:rsidP="00FF26FC">
      <w:pPr>
        <w:spacing w:after="0"/>
        <w:rPr>
          <w:rFonts w:ascii="Verdana" w:hAnsi="Verdana"/>
          <w:lang w:val="es-MX"/>
        </w:rPr>
      </w:pPr>
    </w:p>
    <w:p w14:paraId="3B1A54D9" w14:textId="77777777" w:rsidR="00FF26FC" w:rsidRPr="00FF26FC" w:rsidRDefault="00FF26FC" w:rsidP="00FF26FC">
      <w:pPr>
        <w:spacing w:after="0"/>
        <w:rPr>
          <w:rFonts w:ascii="Verdana" w:hAnsi="Verdana"/>
          <w:lang w:val="es-MX"/>
        </w:rPr>
      </w:pPr>
    </w:p>
    <w:p w14:paraId="7C35EC1C" w14:textId="77777777" w:rsidR="00FF26FC" w:rsidRPr="00FF26FC" w:rsidRDefault="00FF26FC" w:rsidP="00FF26FC">
      <w:pPr>
        <w:spacing w:after="0"/>
        <w:rPr>
          <w:rFonts w:ascii="Verdana" w:hAnsi="Verdana"/>
          <w:lang w:val="es-MX"/>
        </w:rPr>
      </w:pPr>
    </w:p>
    <w:p w14:paraId="3BAFE1DD" w14:textId="77777777" w:rsidR="00FF26FC" w:rsidRPr="00FF26FC" w:rsidRDefault="00FF26FC" w:rsidP="00FF26FC">
      <w:pPr>
        <w:spacing w:after="0"/>
        <w:rPr>
          <w:rFonts w:ascii="Verdana" w:hAnsi="Verdana"/>
          <w:lang w:val="es-MX"/>
        </w:rPr>
      </w:pPr>
    </w:p>
    <w:p w14:paraId="6578A024" w14:textId="77777777" w:rsidR="00FF26FC" w:rsidRPr="00FF26FC" w:rsidRDefault="00FF26FC" w:rsidP="00FF26FC">
      <w:pPr>
        <w:spacing w:after="0"/>
        <w:rPr>
          <w:rFonts w:ascii="Verdana" w:hAnsi="Verdana"/>
          <w:lang w:val="es-MX"/>
        </w:rPr>
      </w:pPr>
    </w:p>
    <w:p w14:paraId="5FA48282" w14:textId="77777777" w:rsidR="00FF26FC" w:rsidRPr="00FF26FC" w:rsidRDefault="00FF26FC" w:rsidP="00FF26FC">
      <w:pPr>
        <w:spacing w:after="0"/>
        <w:rPr>
          <w:rFonts w:ascii="Verdana" w:hAnsi="Verdana"/>
          <w:lang w:val="es-MX"/>
        </w:rPr>
      </w:pPr>
    </w:p>
    <w:p w14:paraId="452F919D" w14:textId="77777777" w:rsidR="00FF26FC" w:rsidRPr="00FF26FC" w:rsidRDefault="00FF26FC" w:rsidP="00FF26FC">
      <w:pPr>
        <w:spacing w:after="0"/>
        <w:rPr>
          <w:rFonts w:ascii="Verdana" w:hAnsi="Verdana"/>
          <w:lang w:val="es-MX"/>
        </w:rPr>
      </w:pPr>
    </w:p>
    <w:p w14:paraId="4CF20C73" w14:textId="77777777" w:rsidR="00FF26FC" w:rsidRPr="00FF26FC" w:rsidRDefault="00FF26FC" w:rsidP="00FF26FC">
      <w:pPr>
        <w:spacing w:after="0"/>
        <w:rPr>
          <w:rFonts w:ascii="Verdana" w:hAnsi="Verdana"/>
          <w:lang w:val="es-MX"/>
        </w:rPr>
      </w:pPr>
    </w:p>
    <w:p w14:paraId="7CD47E80" w14:textId="77777777" w:rsidR="00FF26FC" w:rsidRPr="00FF26FC" w:rsidRDefault="00FF26FC" w:rsidP="00FF26FC">
      <w:pPr>
        <w:spacing w:after="0"/>
        <w:rPr>
          <w:rFonts w:ascii="Verdana" w:hAnsi="Verdana"/>
          <w:lang w:val="es-MX"/>
        </w:rPr>
      </w:pPr>
    </w:p>
    <w:p w14:paraId="7F05F5D3" w14:textId="77777777" w:rsidR="00FF26FC" w:rsidRPr="00FF26FC" w:rsidRDefault="00FF26FC" w:rsidP="00FF26FC">
      <w:pPr>
        <w:spacing w:after="0"/>
        <w:rPr>
          <w:rFonts w:ascii="Verdana" w:hAnsi="Verdana"/>
          <w:lang w:val="es-MX"/>
        </w:rPr>
      </w:pPr>
    </w:p>
    <w:p w14:paraId="22B48D46" w14:textId="77777777" w:rsidR="00FF26FC" w:rsidRPr="00FF26FC" w:rsidRDefault="00FF26FC" w:rsidP="00FF26FC">
      <w:pPr>
        <w:spacing w:after="0"/>
        <w:rPr>
          <w:rFonts w:ascii="Verdana" w:hAnsi="Verdana"/>
          <w:lang w:val="es-MX"/>
        </w:rPr>
      </w:pPr>
    </w:p>
    <w:p w14:paraId="039C8662" w14:textId="77777777" w:rsidR="00FF26FC" w:rsidRPr="00FF26FC" w:rsidRDefault="00FF26FC" w:rsidP="00FF26FC">
      <w:pPr>
        <w:spacing w:after="0"/>
        <w:rPr>
          <w:rFonts w:ascii="Verdana" w:hAnsi="Verdana"/>
          <w:lang w:val="es-MX"/>
        </w:rPr>
      </w:pPr>
    </w:p>
    <w:p w14:paraId="26DC09D0" w14:textId="77777777" w:rsidR="00FF26FC" w:rsidRPr="00FF26FC" w:rsidRDefault="00FF26FC" w:rsidP="00FF26FC">
      <w:pPr>
        <w:spacing w:after="0"/>
        <w:rPr>
          <w:rFonts w:ascii="Verdana" w:hAnsi="Verdana"/>
          <w:lang w:val="es-MX"/>
        </w:rPr>
      </w:pPr>
    </w:p>
    <w:p w14:paraId="62712A7B" w14:textId="77777777" w:rsidR="00FF26FC" w:rsidRPr="00FF26FC" w:rsidRDefault="00FF26FC" w:rsidP="00FF26FC">
      <w:pPr>
        <w:spacing w:after="0"/>
        <w:rPr>
          <w:rFonts w:ascii="Verdana" w:hAnsi="Verdana"/>
          <w:lang w:val="es-MX"/>
        </w:rPr>
      </w:pPr>
    </w:p>
    <w:p w14:paraId="2A779A2F" w14:textId="77777777" w:rsidR="00FF26FC" w:rsidRPr="00FF26FC" w:rsidRDefault="00FF26FC" w:rsidP="00FF26FC">
      <w:pPr>
        <w:spacing w:after="0"/>
        <w:rPr>
          <w:rFonts w:ascii="Verdana" w:hAnsi="Verdana"/>
          <w:lang w:val="es-MX"/>
        </w:rPr>
      </w:pPr>
    </w:p>
    <w:p w14:paraId="2A3582FA" w14:textId="77777777" w:rsidR="0075736F" w:rsidRDefault="0075736F" w:rsidP="00FF26FC">
      <w:pPr>
        <w:spacing w:after="0"/>
        <w:rPr>
          <w:rFonts w:ascii="Verdana" w:hAnsi="Verdana"/>
          <w:lang w:val="es-MX"/>
        </w:rPr>
      </w:pPr>
    </w:p>
    <w:p w14:paraId="40551A60" w14:textId="0BF752F0" w:rsidR="00FF26FC" w:rsidRPr="00FF26FC" w:rsidRDefault="00FF26FC" w:rsidP="00FF26FC">
      <w:pPr>
        <w:spacing w:after="0"/>
        <w:rPr>
          <w:rFonts w:ascii="Verdana" w:hAnsi="Verdana"/>
        </w:rPr>
      </w:pPr>
      <w:r w:rsidRPr="00FF26FC">
        <w:rPr>
          <w:rFonts w:ascii="Verdana" w:hAnsi="Verdana"/>
        </w:rPr>
        <w:lastRenderedPageBreak/>
        <w:t>Bogotá D.C., [Día] [</w:t>
      </w:r>
      <w:proofErr w:type="spellStart"/>
      <w:r w:rsidRPr="00FF26FC">
        <w:rPr>
          <w:rFonts w:ascii="Verdana" w:hAnsi="Verdana"/>
        </w:rPr>
        <w:t>Mes.NombreCapitalizado</w:t>
      </w:r>
      <w:proofErr w:type="spellEnd"/>
      <w:r w:rsidRPr="00FF26FC">
        <w:rPr>
          <w:rFonts w:ascii="Verdana" w:hAnsi="Verdana"/>
        </w:rPr>
        <w:t>] [Año]</w:t>
      </w:r>
      <w:r w:rsidRPr="00FF26FC">
        <w:rPr>
          <w:rFonts w:ascii="Verdana" w:hAnsi="Verdana"/>
        </w:rPr>
        <w:tab/>
      </w:r>
    </w:p>
    <w:p w14:paraId="1BE1B982" w14:textId="77777777" w:rsidR="00FF26FC" w:rsidRPr="00FF26FC" w:rsidRDefault="00FF26FC" w:rsidP="00FF26FC">
      <w:pPr>
        <w:spacing w:after="0"/>
        <w:rPr>
          <w:rFonts w:ascii="Verdana" w:hAnsi="Verdana"/>
        </w:rPr>
      </w:pPr>
    </w:p>
    <w:p w14:paraId="3D966188" w14:textId="77777777" w:rsidR="00FF26FC" w:rsidRPr="00FF26FC" w:rsidRDefault="00FF26FC" w:rsidP="00FF26FC">
      <w:pPr>
        <w:spacing w:after="0" w:line="240" w:lineRule="auto"/>
        <w:jc w:val="both"/>
        <w:rPr>
          <w:rFonts w:ascii="Verdana" w:eastAsia="Calibri" w:hAnsi="Verdana" w:cs="Arial"/>
          <w:color w:val="000000"/>
          <w:lang w:val="es-ES" w:eastAsia="es-ES"/>
        </w:rPr>
      </w:pPr>
    </w:p>
    <w:p w14:paraId="4D2865D0" w14:textId="01B13927" w:rsidR="00FF26FC" w:rsidRPr="00FF26FC" w:rsidRDefault="0075736F" w:rsidP="00FF26FC">
      <w:pPr>
        <w:spacing w:after="0" w:line="240" w:lineRule="auto"/>
        <w:jc w:val="both"/>
        <w:rPr>
          <w:rFonts w:ascii="Verdana" w:eastAsia="Calibri" w:hAnsi="Verdana" w:cs="Arial"/>
          <w:color w:val="000000"/>
          <w:lang w:val="es-ES" w:eastAsia="es-ES"/>
        </w:rPr>
      </w:pPr>
      <w:r w:rsidRPr="001C41F0">
        <w:rPr>
          <w:rFonts w:ascii="Verdana" w:eastAsia="Calibri" w:hAnsi="Verdana" w:cs="Arial"/>
          <w:b/>
          <w:noProof/>
          <w:color w:val="000000"/>
          <w:lang w:val="es-ES" w:eastAsia="es-ES"/>
        </w:rPr>
        <w:drawing>
          <wp:anchor distT="0" distB="0" distL="114300" distR="114300" simplePos="0" relativeHeight="251658752" behindDoc="0" locked="0" layoutInCell="1" allowOverlap="1" wp14:anchorId="170CC76F" wp14:editId="06EA400C">
            <wp:simplePos x="0" y="0"/>
            <wp:positionH relativeFrom="margin">
              <wp:align>right</wp:align>
            </wp:positionH>
            <wp:positionV relativeFrom="paragraph">
              <wp:posOffset>58392</wp:posOffset>
            </wp:positionV>
            <wp:extent cx="3239135" cy="885190"/>
            <wp:effectExtent l="0" t="0" r="0" b="0"/>
            <wp:wrapSquare wrapText="bothSides"/>
            <wp:docPr id="13608489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848978" name=""/>
                    <pic:cNvPicPr/>
                  </pic:nvPicPr>
                  <pic:blipFill>
                    <a:blip r:embed="rId10">
                      <a:extLst>
                        <a:ext uri="{28A0092B-C50C-407E-A947-70E740481C1C}">
                          <a14:useLocalDpi xmlns:a14="http://schemas.microsoft.com/office/drawing/2010/main" val="0"/>
                        </a:ext>
                      </a:extLst>
                    </a:blip>
                    <a:stretch>
                      <a:fillRect/>
                    </a:stretch>
                  </pic:blipFill>
                  <pic:spPr>
                    <a:xfrm>
                      <a:off x="0" y="0"/>
                      <a:ext cx="3239135" cy="885190"/>
                    </a:xfrm>
                    <a:prstGeom prst="rect">
                      <a:avLst/>
                    </a:prstGeom>
                  </pic:spPr>
                </pic:pic>
              </a:graphicData>
            </a:graphic>
            <wp14:sizeRelH relativeFrom="margin">
              <wp14:pctWidth>0</wp14:pctWidth>
            </wp14:sizeRelH>
            <wp14:sizeRelV relativeFrom="margin">
              <wp14:pctHeight>0</wp14:pctHeight>
            </wp14:sizeRelV>
          </wp:anchor>
        </w:drawing>
      </w:r>
    </w:p>
    <w:p w14:paraId="21D6BA60" w14:textId="77777777" w:rsidR="00FF26FC" w:rsidRPr="00FF26FC" w:rsidRDefault="00FF26FC" w:rsidP="00FF26FC">
      <w:pPr>
        <w:spacing w:after="0" w:line="240" w:lineRule="auto"/>
        <w:jc w:val="both"/>
        <w:rPr>
          <w:rFonts w:ascii="Verdana" w:eastAsia="Calibri" w:hAnsi="Verdana" w:cs="Arial"/>
          <w:color w:val="000000"/>
          <w:lang w:val="es-ES" w:eastAsia="es-ES"/>
        </w:rPr>
      </w:pPr>
      <w:r w:rsidRPr="00FF26FC">
        <w:rPr>
          <w:rFonts w:ascii="Verdana" w:eastAsia="Calibri" w:hAnsi="Verdana" w:cs="Arial"/>
          <w:color w:val="000000"/>
          <w:lang w:val="es-ES" w:eastAsia="es-ES"/>
        </w:rPr>
        <w:t>Señor</w:t>
      </w:r>
    </w:p>
    <w:p w14:paraId="45B8B83C" w14:textId="0498BA9B" w:rsidR="00FF26FC" w:rsidRPr="00FF26FC" w:rsidRDefault="00FF26FC" w:rsidP="00FF26FC">
      <w:pPr>
        <w:spacing w:after="0" w:line="240" w:lineRule="auto"/>
        <w:jc w:val="both"/>
        <w:rPr>
          <w:rFonts w:ascii="Verdana" w:eastAsia="Calibri" w:hAnsi="Verdana" w:cs="Arial"/>
          <w:b/>
          <w:bCs/>
          <w:color w:val="000000"/>
          <w:lang w:val="es-ES" w:eastAsia="es-ES"/>
        </w:rPr>
      </w:pPr>
      <w:r w:rsidRPr="00FF26FC">
        <w:rPr>
          <w:rFonts w:ascii="Verdana" w:eastAsia="Calibri" w:hAnsi="Verdana" w:cs="Arial"/>
          <w:b/>
          <w:bCs/>
          <w:color w:val="000000"/>
          <w:lang w:val="es-ES" w:eastAsia="es-ES"/>
        </w:rPr>
        <w:t xml:space="preserve">Raúl Hernán García Mejía </w:t>
      </w:r>
    </w:p>
    <w:p w14:paraId="5A80BAF3" w14:textId="77777777" w:rsidR="00FF26FC" w:rsidRPr="00FF26FC" w:rsidRDefault="00FF26FC" w:rsidP="00FF26FC">
      <w:pPr>
        <w:spacing w:after="0" w:line="240" w:lineRule="auto"/>
        <w:jc w:val="both"/>
        <w:rPr>
          <w:rFonts w:ascii="Verdana" w:eastAsia="Calibri" w:hAnsi="Verdana" w:cs="Arial"/>
          <w:color w:val="000000"/>
          <w:lang w:val="es-ES" w:eastAsia="es-ES"/>
        </w:rPr>
      </w:pPr>
      <w:hyperlink r:id="rId11" w:history="1">
        <w:r w:rsidRPr="00FF26FC">
          <w:rPr>
            <w:rFonts w:ascii="Verdana" w:eastAsia="Calibri" w:hAnsi="Verdana" w:cs="Arial"/>
            <w:color w:val="0000FF"/>
            <w:u w:val="single"/>
            <w:lang w:val="es-ES" w:eastAsia="es-ES"/>
          </w:rPr>
          <w:t>rahegame@outlook.com</w:t>
        </w:r>
      </w:hyperlink>
      <w:r w:rsidRPr="00FF26FC">
        <w:rPr>
          <w:rFonts w:ascii="Verdana" w:eastAsia="Calibri" w:hAnsi="Verdana" w:cs="Arial"/>
          <w:color w:val="000000"/>
          <w:lang w:val="es-ES" w:eastAsia="es-ES"/>
        </w:rPr>
        <w:t xml:space="preserve"> </w:t>
      </w:r>
    </w:p>
    <w:p w14:paraId="1790DE5C" w14:textId="629177E3" w:rsidR="00FF26FC" w:rsidRDefault="00FF26FC" w:rsidP="00FF26FC">
      <w:pPr>
        <w:spacing w:after="0" w:line="240" w:lineRule="auto"/>
        <w:jc w:val="both"/>
        <w:rPr>
          <w:rFonts w:ascii="Verdana" w:eastAsia="Calibri" w:hAnsi="Verdana" w:cs="Arial"/>
          <w:color w:val="000000"/>
          <w:lang w:val="es-ES" w:eastAsia="es-ES"/>
        </w:rPr>
      </w:pPr>
      <w:r w:rsidRPr="00FF26FC">
        <w:rPr>
          <w:rFonts w:ascii="Verdana" w:eastAsia="Calibri" w:hAnsi="Verdana" w:cs="Arial"/>
          <w:color w:val="000000"/>
          <w:lang w:val="es-ES" w:eastAsia="es-ES"/>
        </w:rPr>
        <w:t>Arauca, rauca</w:t>
      </w:r>
    </w:p>
    <w:p w14:paraId="316416AE" w14:textId="77777777" w:rsidR="001C41F0" w:rsidRDefault="001C41F0" w:rsidP="00FF26FC">
      <w:pPr>
        <w:spacing w:after="0" w:line="240" w:lineRule="auto"/>
        <w:jc w:val="both"/>
        <w:rPr>
          <w:rFonts w:ascii="Verdana" w:eastAsia="Calibri" w:hAnsi="Verdana" w:cs="Arial"/>
          <w:color w:val="000000"/>
          <w:lang w:val="es-ES" w:eastAsia="es-ES"/>
        </w:rPr>
      </w:pPr>
    </w:p>
    <w:p w14:paraId="514330CA" w14:textId="6A172A10" w:rsidR="001C41F0" w:rsidRPr="00FF26FC" w:rsidRDefault="001C41F0" w:rsidP="001C41F0">
      <w:pPr>
        <w:spacing w:after="0" w:line="240" w:lineRule="auto"/>
        <w:jc w:val="right"/>
        <w:rPr>
          <w:rFonts w:ascii="Verdana" w:eastAsia="Calibri" w:hAnsi="Verdana" w:cs="Arial"/>
          <w:b/>
          <w:color w:val="000000"/>
          <w:lang w:val="es-ES" w:eastAsia="es-ES"/>
        </w:rPr>
      </w:pPr>
    </w:p>
    <w:p w14:paraId="2BAF4059" w14:textId="77777777" w:rsidR="00FF26FC" w:rsidRPr="00FF26FC" w:rsidRDefault="00FF26FC" w:rsidP="00FF26FC">
      <w:pPr>
        <w:spacing w:after="0" w:line="240" w:lineRule="auto"/>
        <w:rPr>
          <w:rFonts w:ascii="Verdana" w:eastAsia="Calibri" w:hAnsi="Verdana" w:cs="Arial"/>
          <w:b/>
          <w:color w:val="000000"/>
          <w:lang w:val="es-ES" w:eastAsia="es-ES_tradnl"/>
        </w:rPr>
      </w:pPr>
    </w:p>
    <w:p w14:paraId="7D445066" w14:textId="77777777" w:rsidR="00FF26FC" w:rsidRPr="00FF26FC" w:rsidRDefault="00FF26FC" w:rsidP="00FF26FC">
      <w:pPr>
        <w:spacing w:after="0" w:line="240" w:lineRule="auto"/>
        <w:rPr>
          <w:rFonts w:ascii="Verdana" w:eastAsia="Calibri" w:hAnsi="Verdana" w:cs="Arial"/>
          <w:b/>
          <w:color w:val="000000"/>
          <w:lang w:val="es-E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25"/>
        <w:gridCol w:w="5864"/>
      </w:tblGrid>
      <w:tr w:rsidR="00FF26FC" w:rsidRPr="00FF26FC" w14:paraId="0BFDB5F3" w14:textId="77777777" w:rsidTr="00CF6A4F">
        <w:trPr>
          <w:trHeight w:val="318"/>
        </w:trPr>
        <w:tc>
          <w:tcPr>
            <w:tcW w:w="2925" w:type="dxa"/>
          </w:tcPr>
          <w:p w14:paraId="40CD507E" w14:textId="77777777" w:rsidR="00FF26FC" w:rsidRPr="00FF26FC" w:rsidRDefault="00FF26FC" w:rsidP="00FF26FC">
            <w:pPr>
              <w:jc w:val="both"/>
              <w:rPr>
                <w:rFonts w:ascii="Verdana" w:eastAsia="Calibri" w:hAnsi="Verdana" w:cs="Arial"/>
                <w:b/>
                <w:color w:val="000000"/>
                <w:lang w:val="es-ES" w:eastAsia="es-ES_tradnl"/>
              </w:rPr>
            </w:pPr>
          </w:p>
        </w:tc>
        <w:tc>
          <w:tcPr>
            <w:tcW w:w="5864" w:type="dxa"/>
          </w:tcPr>
          <w:p w14:paraId="1F95B9EF" w14:textId="77777777" w:rsidR="00FF26FC" w:rsidRPr="00FF26FC" w:rsidRDefault="00FF26FC" w:rsidP="00FF26FC">
            <w:pPr>
              <w:jc w:val="both"/>
              <w:rPr>
                <w:rFonts w:ascii="Verdana" w:eastAsia="Calibri" w:hAnsi="Verdana" w:cs="Arial"/>
                <w:b/>
                <w:bCs/>
                <w:color w:val="000000"/>
                <w:lang w:val="es-ES" w:eastAsia="es-ES"/>
              </w:rPr>
            </w:pPr>
            <w:r w:rsidRPr="00FF26FC">
              <w:rPr>
                <w:rFonts w:ascii="Verdana" w:eastAsia="Calibri" w:hAnsi="Verdana" w:cs="Arial"/>
                <w:b/>
                <w:bCs/>
                <w:color w:val="000000"/>
                <w:lang w:val="es-ES" w:eastAsia="es-ES"/>
              </w:rPr>
              <w:t>Concepto C- 574 de 2025</w:t>
            </w:r>
          </w:p>
          <w:p w14:paraId="4E0AB63A" w14:textId="77777777" w:rsidR="00FF26FC" w:rsidRPr="00FF26FC" w:rsidRDefault="00FF26FC" w:rsidP="00FF26FC">
            <w:pPr>
              <w:jc w:val="both"/>
              <w:rPr>
                <w:rFonts w:ascii="Verdana" w:eastAsia="Calibri" w:hAnsi="Verdana" w:cs="Arial"/>
                <w:b/>
                <w:bCs/>
                <w:color w:val="000000"/>
                <w:lang w:val="es-ES" w:eastAsia="es-ES"/>
              </w:rPr>
            </w:pPr>
          </w:p>
        </w:tc>
      </w:tr>
      <w:tr w:rsidR="00FF26FC" w:rsidRPr="00FF26FC" w14:paraId="64535620" w14:textId="77777777" w:rsidTr="00CF6A4F">
        <w:trPr>
          <w:trHeight w:val="884"/>
        </w:trPr>
        <w:tc>
          <w:tcPr>
            <w:tcW w:w="2925" w:type="dxa"/>
          </w:tcPr>
          <w:p w14:paraId="1F39EDD1" w14:textId="77777777" w:rsidR="00FF26FC" w:rsidRPr="00FF26FC" w:rsidRDefault="00FF26FC" w:rsidP="00FF26FC">
            <w:pPr>
              <w:jc w:val="both"/>
              <w:rPr>
                <w:rFonts w:ascii="Verdana" w:eastAsia="Calibri" w:hAnsi="Verdana" w:cs="Arial"/>
                <w:color w:val="000000"/>
                <w:lang w:val="es-ES_tradnl" w:eastAsia="es-ES_tradnl"/>
              </w:rPr>
            </w:pPr>
            <w:r w:rsidRPr="00FF26FC">
              <w:rPr>
                <w:rFonts w:ascii="Verdana" w:eastAsia="Calibri" w:hAnsi="Verdana" w:cs="Arial"/>
                <w:b/>
                <w:color w:val="000000"/>
                <w:lang w:val="es-ES_tradnl" w:eastAsia="es-ES_tradnl"/>
              </w:rPr>
              <w:t>Temas:</w:t>
            </w:r>
            <w:r w:rsidRPr="00FF26FC">
              <w:rPr>
                <w:rFonts w:ascii="Verdana" w:eastAsia="Calibri" w:hAnsi="Verdana" w:cs="Arial"/>
                <w:color w:val="000000"/>
                <w:lang w:val="es-ES_tradnl" w:eastAsia="es-ES_tradnl"/>
              </w:rPr>
              <w:t xml:space="preserve">                   </w:t>
            </w:r>
          </w:p>
        </w:tc>
        <w:tc>
          <w:tcPr>
            <w:tcW w:w="5864" w:type="dxa"/>
          </w:tcPr>
          <w:p w14:paraId="0C6529CB" w14:textId="77777777" w:rsidR="00FF26FC" w:rsidRPr="00FF26FC" w:rsidRDefault="00FF26FC" w:rsidP="00FF26FC">
            <w:pPr>
              <w:ind w:left="6"/>
              <w:contextualSpacing/>
              <w:jc w:val="both"/>
              <w:rPr>
                <w:rFonts w:ascii="Verdana" w:eastAsia="Calibri" w:hAnsi="Verdana" w:cs="Arial"/>
                <w:lang w:val="es-ES"/>
              </w:rPr>
            </w:pPr>
            <w:r w:rsidRPr="00FF26FC">
              <w:rPr>
                <w:rFonts w:ascii="Verdana" w:eastAsia="Calibri" w:hAnsi="Verdana" w:cs="Calibri"/>
                <w:lang w:val="es-ES"/>
              </w:rPr>
              <w:t>CAPACIDAD RESIDUAL – Decreto 1082 de 2013 – Definición – Cálculo –</w:t>
            </w:r>
            <w:r w:rsidRPr="00FF26FC">
              <w:rPr>
                <w:rFonts w:ascii="Verdana" w:eastAsia="Calibri" w:hAnsi="Verdana" w:cs="Calibri"/>
                <w:spacing w:val="1"/>
                <w:lang w:val="es-ES"/>
              </w:rPr>
              <w:t xml:space="preserve"> </w:t>
            </w:r>
            <w:r w:rsidRPr="00FF26FC">
              <w:rPr>
                <w:rFonts w:ascii="Verdana" w:eastAsia="Calibri" w:hAnsi="Verdana" w:cs="Calibri"/>
                <w:lang w:val="es-ES"/>
              </w:rPr>
              <w:t>Factores / CAPACIDAD TÉCNICA – Guía</w:t>
            </w:r>
            <w:r w:rsidRPr="00FF26FC">
              <w:rPr>
                <w:rFonts w:ascii="Verdana" w:eastAsia="Calibri" w:hAnsi="Verdana" w:cs="Calibri"/>
                <w:spacing w:val="-47"/>
                <w:lang w:val="es-ES"/>
              </w:rPr>
              <w:t xml:space="preserve"> </w:t>
            </w:r>
            <w:r w:rsidRPr="00FF26FC">
              <w:rPr>
                <w:rFonts w:ascii="Verdana" w:eastAsia="Calibri" w:hAnsi="Verdana" w:cs="Calibri"/>
                <w:lang w:val="es-ES"/>
              </w:rPr>
              <w:t>para Determinar y Verificar la Capacidad Residual del Proponente en los</w:t>
            </w:r>
            <w:r w:rsidRPr="00FF26FC">
              <w:rPr>
                <w:rFonts w:ascii="Verdana" w:eastAsia="Calibri" w:hAnsi="Verdana" w:cs="Calibri"/>
                <w:spacing w:val="1"/>
                <w:lang w:val="es-ES"/>
              </w:rPr>
              <w:t xml:space="preserve"> </w:t>
            </w:r>
            <w:r w:rsidRPr="00FF26FC">
              <w:rPr>
                <w:rFonts w:ascii="Verdana" w:eastAsia="Calibri" w:hAnsi="Verdana" w:cs="Calibri"/>
                <w:lang w:val="es-ES"/>
              </w:rPr>
              <w:t>Procesos</w:t>
            </w:r>
            <w:r w:rsidRPr="00FF26FC">
              <w:rPr>
                <w:rFonts w:ascii="Verdana" w:eastAsia="Calibri" w:hAnsi="Verdana" w:cs="Calibri"/>
                <w:spacing w:val="-2"/>
                <w:lang w:val="es-ES"/>
              </w:rPr>
              <w:t xml:space="preserve"> </w:t>
            </w:r>
            <w:r w:rsidRPr="00FF26FC">
              <w:rPr>
                <w:rFonts w:ascii="Verdana" w:eastAsia="Calibri" w:hAnsi="Verdana" w:cs="Calibri"/>
                <w:lang w:val="es-ES"/>
              </w:rPr>
              <w:t>de</w:t>
            </w:r>
            <w:r w:rsidRPr="00FF26FC">
              <w:rPr>
                <w:rFonts w:ascii="Verdana" w:eastAsia="Calibri" w:hAnsi="Verdana" w:cs="Calibri"/>
                <w:spacing w:val="-2"/>
                <w:lang w:val="es-ES"/>
              </w:rPr>
              <w:t xml:space="preserve"> </w:t>
            </w:r>
            <w:r w:rsidRPr="00FF26FC">
              <w:rPr>
                <w:rFonts w:ascii="Verdana" w:eastAsia="Calibri" w:hAnsi="Verdana" w:cs="Calibri"/>
                <w:lang w:val="es-ES"/>
              </w:rPr>
              <w:t>Contratación</w:t>
            </w:r>
            <w:r w:rsidRPr="00FF26FC">
              <w:rPr>
                <w:rFonts w:ascii="Verdana" w:eastAsia="Calibri" w:hAnsi="Verdana" w:cs="Calibri"/>
                <w:spacing w:val="-2"/>
                <w:lang w:val="es-ES"/>
              </w:rPr>
              <w:t xml:space="preserve"> </w:t>
            </w:r>
            <w:r w:rsidRPr="00FF26FC">
              <w:rPr>
                <w:rFonts w:ascii="Verdana" w:eastAsia="Calibri" w:hAnsi="Verdana" w:cs="Calibri"/>
                <w:lang w:val="es-ES"/>
              </w:rPr>
              <w:t>de</w:t>
            </w:r>
            <w:r w:rsidRPr="00FF26FC">
              <w:rPr>
                <w:rFonts w:ascii="Verdana" w:eastAsia="Calibri" w:hAnsi="Verdana" w:cs="Calibri"/>
                <w:spacing w:val="-1"/>
                <w:lang w:val="es-ES"/>
              </w:rPr>
              <w:t xml:space="preserve"> </w:t>
            </w:r>
            <w:r w:rsidRPr="00FF26FC">
              <w:rPr>
                <w:rFonts w:ascii="Verdana" w:eastAsia="Calibri" w:hAnsi="Verdana" w:cs="Calibri"/>
                <w:lang w:val="es-ES"/>
              </w:rPr>
              <w:t>Obra</w:t>
            </w:r>
            <w:r w:rsidRPr="00FF26FC">
              <w:rPr>
                <w:rFonts w:ascii="Verdana" w:eastAsia="Calibri" w:hAnsi="Verdana" w:cs="Calibri"/>
                <w:spacing w:val="-2"/>
                <w:lang w:val="es-ES"/>
              </w:rPr>
              <w:t xml:space="preserve"> </w:t>
            </w:r>
            <w:r w:rsidRPr="00FF26FC">
              <w:rPr>
                <w:rFonts w:ascii="Verdana" w:eastAsia="Calibri" w:hAnsi="Verdana" w:cs="Calibri"/>
                <w:lang w:val="es-ES"/>
              </w:rPr>
              <w:t>Pública</w:t>
            </w:r>
            <w:r w:rsidRPr="00FF26FC">
              <w:rPr>
                <w:rFonts w:ascii="Verdana" w:eastAsia="Calibri" w:hAnsi="Verdana" w:cs="Calibri"/>
                <w:spacing w:val="4"/>
                <w:lang w:val="es-ES"/>
              </w:rPr>
              <w:t xml:space="preserve"> </w:t>
            </w:r>
            <w:r w:rsidRPr="00FF26FC">
              <w:rPr>
                <w:rFonts w:ascii="Verdana" w:eastAsia="Calibri" w:hAnsi="Verdana" w:cs="Calibri"/>
                <w:lang w:val="es-ES"/>
              </w:rPr>
              <w:t>–</w:t>
            </w:r>
            <w:r w:rsidRPr="00FF26FC">
              <w:rPr>
                <w:rFonts w:ascii="Verdana" w:eastAsia="Calibri" w:hAnsi="Verdana" w:cs="Calibri"/>
                <w:spacing w:val="-2"/>
                <w:lang w:val="es-ES"/>
              </w:rPr>
              <w:t xml:space="preserve"> Formato / </w:t>
            </w:r>
            <w:r w:rsidRPr="00FF26FC">
              <w:rPr>
                <w:rFonts w:ascii="Verdana" w:eastAsia="Calibri" w:hAnsi="Verdana" w:cs="Calibri"/>
                <w:lang w:val="es-ES"/>
              </w:rPr>
              <w:t>CAPACIDAD TÉCNICA – Guía</w:t>
            </w:r>
            <w:r w:rsidRPr="00FF26FC">
              <w:rPr>
                <w:rFonts w:ascii="Verdana" w:eastAsia="Calibri" w:hAnsi="Verdana" w:cs="Calibri"/>
                <w:spacing w:val="-47"/>
                <w:lang w:val="es-ES"/>
              </w:rPr>
              <w:t xml:space="preserve"> </w:t>
            </w:r>
            <w:r w:rsidRPr="00FF26FC">
              <w:rPr>
                <w:rFonts w:ascii="Verdana" w:eastAsia="Calibri" w:hAnsi="Verdana" w:cs="Calibri"/>
                <w:lang w:val="es-ES"/>
              </w:rPr>
              <w:t>para Determinar y Verificar la Capacidad Residual del Proponente en los</w:t>
            </w:r>
            <w:r w:rsidRPr="00FF26FC">
              <w:rPr>
                <w:rFonts w:ascii="Verdana" w:eastAsia="Calibri" w:hAnsi="Verdana" w:cs="Calibri"/>
                <w:spacing w:val="1"/>
                <w:lang w:val="es-ES"/>
              </w:rPr>
              <w:t xml:space="preserve"> </w:t>
            </w:r>
            <w:r w:rsidRPr="00FF26FC">
              <w:rPr>
                <w:rFonts w:ascii="Verdana" w:eastAsia="Calibri" w:hAnsi="Verdana" w:cs="Calibri"/>
                <w:lang w:val="es-ES"/>
              </w:rPr>
              <w:t>Procesos</w:t>
            </w:r>
            <w:r w:rsidRPr="00FF26FC">
              <w:rPr>
                <w:rFonts w:ascii="Verdana" w:eastAsia="Calibri" w:hAnsi="Verdana" w:cs="Calibri"/>
                <w:spacing w:val="-2"/>
                <w:lang w:val="es-ES"/>
              </w:rPr>
              <w:t xml:space="preserve"> </w:t>
            </w:r>
            <w:r w:rsidRPr="00FF26FC">
              <w:rPr>
                <w:rFonts w:ascii="Verdana" w:eastAsia="Calibri" w:hAnsi="Verdana" w:cs="Calibri"/>
                <w:lang w:val="es-ES"/>
              </w:rPr>
              <w:t>de</w:t>
            </w:r>
            <w:r w:rsidRPr="00FF26FC">
              <w:rPr>
                <w:rFonts w:ascii="Verdana" w:eastAsia="Calibri" w:hAnsi="Verdana" w:cs="Calibri"/>
                <w:spacing w:val="-2"/>
                <w:lang w:val="es-ES"/>
              </w:rPr>
              <w:t xml:space="preserve"> </w:t>
            </w:r>
            <w:r w:rsidRPr="00FF26FC">
              <w:rPr>
                <w:rFonts w:ascii="Verdana" w:eastAsia="Calibri" w:hAnsi="Verdana" w:cs="Calibri"/>
                <w:lang w:val="es-ES"/>
              </w:rPr>
              <w:t>Contratación</w:t>
            </w:r>
            <w:r w:rsidRPr="00FF26FC">
              <w:rPr>
                <w:rFonts w:ascii="Verdana" w:eastAsia="Calibri" w:hAnsi="Verdana" w:cs="Calibri"/>
                <w:spacing w:val="-2"/>
                <w:lang w:val="es-ES"/>
              </w:rPr>
              <w:t xml:space="preserve"> </w:t>
            </w:r>
            <w:r w:rsidRPr="00FF26FC">
              <w:rPr>
                <w:rFonts w:ascii="Verdana" w:eastAsia="Calibri" w:hAnsi="Verdana" w:cs="Calibri"/>
                <w:lang w:val="es-ES"/>
              </w:rPr>
              <w:t>de</w:t>
            </w:r>
            <w:r w:rsidRPr="00FF26FC">
              <w:rPr>
                <w:rFonts w:ascii="Verdana" w:eastAsia="Calibri" w:hAnsi="Verdana" w:cs="Calibri"/>
                <w:spacing w:val="-1"/>
                <w:lang w:val="es-ES"/>
              </w:rPr>
              <w:t xml:space="preserve"> </w:t>
            </w:r>
            <w:r w:rsidRPr="00FF26FC">
              <w:rPr>
                <w:rFonts w:ascii="Verdana" w:eastAsia="Calibri" w:hAnsi="Verdana" w:cs="Calibri"/>
                <w:lang w:val="es-ES"/>
              </w:rPr>
              <w:t>Obra</w:t>
            </w:r>
            <w:r w:rsidRPr="00FF26FC">
              <w:rPr>
                <w:rFonts w:ascii="Verdana" w:eastAsia="Calibri" w:hAnsi="Verdana" w:cs="Calibri"/>
                <w:spacing w:val="-2"/>
                <w:lang w:val="es-ES"/>
              </w:rPr>
              <w:t xml:space="preserve"> </w:t>
            </w:r>
            <w:r w:rsidRPr="00FF26FC">
              <w:rPr>
                <w:rFonts w:ascii="Verdana" w:eastAsia="Calibri" w:hAnsi="Verdana" w:cs="Calibri"/>
                <w:lang w:val="es-ES"/>
              </w:rPr>
              <w:t xml:space="preserve">Pública </w:t>
            </w:r>
          </w:p>
          <w:p w14:paraId="2001136F" w14:textId="77777777" w:rsidR="00FF26FC" w:rsidRPr="00FF26FC" w:rsidRDefault="00FF26FC" w:rsidP="00FF26FC">
            <w:pPr>
              <w:spacing w:line="276" w:lineRule="auto"/>
              <w:jc w:val="both"/>
              <w:rPr>
                <w:rFonts w:ascii="Verdana" w:eastAsia="Calibri" w:hAnsi="Verdana" w:cs="Arial"/>
                <w:color w:val="000000"/>
                <w:lang w:val="es-ES" w:eastAsia="es-ES"/>
              </w:rPr>
            </w:pPr>
          </w:p>
        </w:tc>
      </w:tr>
      <w:tr w:rsidR="00FF26FC" w:rsidRPr="00FF26FC" w14:paraId="67067836" w14:textId="77777777" w:rsidTr="00CF6A4F">
        <w:tc>
          <w:tcPr>
            <w:tcW w:w="2925" w:type="dxa"/>
          </w:tcPr>
          <w:p w14:paraId="6C1BEA6E" w14:textId="77777777" w:rsidR="00FF26FC" w:rsidRPr="00FF26FC" w:rsidRDefault="00FF26FC" w:rsidP="00FF26FC">
            <w:pPr>
              <w:jc w:val="both"/>
              <w:rPr>
                <w:rFonts w:ascii="Verdana" w:eastAsia="Calibri" w:hAnsi="Verdana" w:cs="Arial"/>
                <w:b/>
                <w:color w:val="000000"/>
                <w:lang w:val="es-ES_tradnl" w:eastAsia="es-ES_tradnl"/>
              </w:rPr>
            </w:pPr>
            <w:r w:rsidRPr="00FF26FC">
              <w:rPr>
                <w:rFonts w:ascii="Verdana" w:eastAsia="Calibri" w:hAnsi="Verdana" w:cs="Arial"/>
                <w:b/>
                <w:color w:val="000000"/>
                <w:lang w:val="es-ES_tradnl" w:eastAsia="es-ES_tradnl"/>
              </w:rPr>
              <w:t>Radicación:</w:t>
            </w:r>
            <w:r w:rsidRPr="00FF26FC">
              <w:rPr>
                <w:rFonts w:ascii="Verdana" w:eastAsia="Calibri" w:hAnsi="Verdana" w:cs="Arial"/>
                <w:color w:val="000000"/>
                <w:lang w:val="es-ES_tradnl" w:eastAsia="es-ES_tradnl"/>
              </w:rPr>
              <w:t xml:space="preserve">               </w:t>
            </w:r>
          </w:p>
        </w:tc>
        <w:tc>
          <w:tcPr>
            <w:tcW w:w="5864" w:type="dxa"/>
          </w:tcPr>
          <w:p w14:paraId="05FD71E1" w14:textId="77777777" w:rsidR="00FF26FC" w:rsidRPr="00FF26FC" w:rsidRDefault="00FF26FC" w:rsidP="00FF26FC">
            <w:pPr>
              <w:jc w:val="both"/>
              <w:rPr>
                <w:rFonts w:ascii="Verdana" w:eastAsia="Calibri" w:hAnsi="Verdana" w:cs="Arial"/>
                <w:color w:val="000000"/>
                <w:lang w:val="es-ES_tradnl" w:eastAsia="es-ES_tradnl"/>
              </w:rPr>
            </w:pPr>
            <w:r w:rsidRPr="00FF26FC">
              <w:rPr>
                <w:rFonts w:ascii="Verdana" w:eastAsia="Calibri" w:hAnsi="Verdana" w:cs="Arial"/>
                <w:color w:val="000000"/>
                <w:lang w:val="es-ES_tradnl" w:eastAsia="es-ES_tradnl"/>
              </w:rPr>
              <w:t xml:space="preserve">Respuesta a consulta con radicado No. </w:t>
            </w:r>
            <w:r w:rsidRPr="00FF26FC">
              <w:rPr>
                <w:rFonts w:ascii="Verdana" w:eastAsia="Calibri" w:hAnsi="Verdana" w:cs="Arial"/>
                <w:color w:val="000000"/>
                <w:lang w:eastAsia="es-ES_tradnl"/>
              </w:rPr>
              <w:t>P20250510004479</w:t>
            </w:r>
          </w:p>
        </w:tc>
      </w:tr>
    </w:tbl>
    <w:p w14:paraId="7E3EA7A6" w14:textId="77777777" w:rsidR="00FF26FC" w:rsidRPr="00FF26FC" w:rsidRDefault="00FF26FC" w:rsidP="00FF26FC">
      <w:pPr>
        <w:spacing w:after="0" w:line="240" w:lineRule="auto"/>
        <w:jc w:val="both"/>
        <w:rPr>
          <w:rFonts w:ascii="Verdana" w:eastAsia="Calibri" w:hAnsi="Verdana" w:cs="Arial"/>
          <w:color w:val="000000"/>
          <w:lang w:val="es-ES_tradnl" w:eastAsia="es-ES_tradnl"/>
        </w:rPr>
      </w:pPr>
    </w:p>
    <w:p w14:paraId="44B28B0F" w14:textId="77777777" w:rsidR="00FF26FC" w:rsidRPr="00FF26FC" w:rsidRDefault="00FF26FC" w:rsidP="00FF26FC">
      <w:pPr>
        <w:spacing w:after="0" w:line="240" w:lineRule="auto"/>
        <w:jc w:val="both"/>
        <w:rPr>
          <w:rFonts w:ascii="Verdana" w:eastAsia="Calibri" w:hAnsi="Verdana" w:cs="Arial"/>
          <w:color w:val="000000"/>
          <w:lang w:val="es-ES_tradnl" w:eastAsia="es-ES_tradnl"/>
        </w:rPr>
      </w:pPr>
    </w:p>
    <w:p w14:paraId="108D8CC1" w14:textId="77777777" w:rsidR="00FF26FC" w:rsidRPr="00FF26FC" w:rsidRDefault="00FF26FC" w:rsidP="00FF26FC">
      <w:pPr>
        <w:spacing w:after="0" w:line="276" w:lineRule="auto"/>
        <w:jc w:val="both"/>
        <w:rPr>
          <w:rFonts w:ascii="Verdana" w:eastAsia="Calibri" w:hAnsi="Verdana" w:cs="Arial"/>
          <w:color w:val="000000"/>
          <w:lang w:val="es-ES" w:eastAsia="es-ES"/>
        </w:rPr>
      </w:pPr>
    </w:p>
    <w:p w14:paraId="215D7479" w14:textId="77777777" w:rsidR="00FF26FC" w:rsidRPr="00FF26FC" w:rsidRDefault="00FF26FC" w:rsidP="00FF26FC">
      <w:pPr>
        <w:spacing w:after="0" w:line="276" w:lineRule="auto"/>
        <w:jc w:val="both"/>
        <w:rPr>
          <w:rFonts w:ascii="Verdana" w:eastAsia="Calibri" w:hAnsi="Verdana" w:cs="Arial"/>
          <w:color w:val="000000"/>
          <w:lang w:val="es-ES" w:eastAsia="es-ES"/>
        </w:rPr>
      </w:pPr>
      <w:r w:rsidRPr="00FF26FC">
        <w:rPr>
          <w:rFonts w:ascii="Verdana" w:eastAsia="Calibri" w:hAnsi="Verdana" w:cs="Arial"/>
          <w:color w:val="000000"/>
          <w:lang w:val="es-ES" w:eastAsia="es-ES"/>
        </w:rPr>
        <w:t xml:space="preserve">Estimado señor García: </w:t>
      </w:r>
    </w:p>
    <w:p w14:paraId="194A0DD1" w14:textId="77777777" w:rsidR="00FF26FC" w:rsidRPr="00FF26FC" w:rsidRDefault="00FF26FC" w:rsidP="00FF26FC">
      <w:pPr>
        <w:tabs>
          <w:tab w:val="left" w:pos="3768"/>
        </w:tabs>
        <w:spacing w:after="0" w:line="276" w:lineRule="auto"/>
        <w:jc w:val="both"/>
        <w:rPr>
          <w:rFonts w:ascii="Verdana" w:eastAsia="Calibri" w:hAnsi="Verdana" w:cs="Arial"/>
          <w:color w:val="000000"/>
          <w:lang w:val="es-ES" w:eastAsia="es-ES"/>
        </w:rPr>
      </w:pPr>
      <w:r w:rsidRPr="00FF26FC">
        <w:rPr>
          <w:rFonts w:ascii="Verdana" w:eastAsia="Calibri" w:hAnsi="Verdana" w:cs="Arial"/>
          <w:color w:val="000000"/>
          <w:lang w:val="es-ES" w:eastAsia="es-ES"/>
        </w:rPr>
        <w:tab/>
      </w:r>
    </w:p>
    <w:p w14:paraId="4900C5D2" w14:textId="77777777" w:rsidR="00FF26FC" w:rsidRPr="00FF26FC" w:rsidRDefault="00FF26FC" w:rsidP="00FF26FC">
      <w:pPr>
        <w:spacing w:after="0" w:line="276" w:lineRule="auto"/>
        <w:jc w:val="both"/>
        <w:rPr>
          <w:rFonts w:ascii="Verdana" w:eastAsia="Calibri" w:hAnsi="Verdana" w:cs="Arial"/>
          <w:color w:val="000000"/>
          <w:lang w:val="es-ES" w:eastAsia="es-ES"/>
        </w:rPr>
      </w:pPr>
      <w:r w:rsidRPr="00FF26FC">
        <w:rPr>
          <w:rFonts w:ascii="Verdana" w:eastAsia="Calibri" w:hAnsi="Verdana" w:cs="Arial"/>
          <w:color w:val="000000"/>
          <w:lang w:val="es-ES" w:eastAsia="es-ES"/>
        </w:rPr>
        <w:t>En ejercicio de la competencia otorgada por los artículos 3, numeral 5º, y 11, numeral 8º, del Decreto Ley 4170 de 2011,</w:t>
      </w:r>
      <w:r w:rsidRPr="00FF26FC">
        <w:rPr>
          <w:rFonts w:ascii="Verdana" w:eastAsia="Arial MT" w:hAnsi="Verdana" w:cs="Arial MT"/>
          <w:color w:val="000000"/>
          <w:lang w:val="es-ES" w:eastAsia="es-ES"/>
        </w:rPr>
        <w:t xml:space="preserve"> </w:t>
      </w:r>
      <w:r w:rsidRPr="00FF26FC">
        <w:rPr>
          <w:rFonts w:ascii="Verdana" w:eastAsia="Times New Roman" w:hAnsi="Verdana" w:cs="Arial"/>
          <w:color w:val="000000"/>
        </w:rPr>
        <w:t xml:space="preserve">así como lo establecido en el artículo 4 de la Resolución 1707 de 2018 expedida por esta Entidad, </w:t>
      </w:r>
      <w:r w:rsidRPr="00FF26FC">
        <w:rPr>
          <w:rFonts w:ascii="Verdana" w:eastAsia="Calibri" w:hAnsi="Verdana" w:cs="Arial"/>
          <w:color w:val="000000"/>
          <w:lang w:val="es-ES" w:eastAsia="es-ES"/>
        </w:rPr>
        <w:t xml:space="preserve">la Agencia Nacional de Contratación Pública – Colombia Compra Eficiente– responde su solicitud de consulta de fecha 10 de mayo de 2025, en la cual manifiesta lo siguiente: </w:t>
      </w:r>
    </w:p>
    <w:p w14:paraId="3DB1DA49" w14:textId="77777777" w:rsidR="00FF26FC" w:rsidRPr="00FF26FC" w:rsidRDefault="00FF26FC" w:rsidP="00FF26FC">
      <w:pPr>
        <w:tabs>
          <w:tab w:val="left" w:pos="142"/>
          <w:tab w:val="left" w:pos="284"/>
        </w:tabs>
        <w:spacing w:after="0" w:line="276" w:lineRule="auto"/>
        <w:jc w:val="both"/>
        <w:rPr>
          <w:rFonts w:ascii="Verdana" w:eastAsia="Century Gothic" w:hAnsi="Verdana" w:cs="Century Gothic"/>
          <w:b/>
          <w:bCs/>
          <w:color w:val="000000"/>
          <w:lang w:val="es-ES"/>
        </w:rPr>
      </w:pPr>
    </w:p>
    <w:p w14:paraId="6B1009EB" w14:textId="77777777" w:rsidR="00FF26FC" w:rsidRPr="00FF26FC" w:rsidRDefault="00FF26FC" w:rsidP="00FF26FC">
      <w:pPr>
        <w:spacing w:after="0" w:line="240" w:lineRule="auto"/>
        <w:ind w:left="709" w:right="709"/>
        <w:jc w:val="both"/>
        <w:rPr>
          <w:rFonts w:ascii="Verdana" w:eastAsia="Century Gothic" w:hAnsi="Verdana" w:cs="Century Gothic"/>
          <w:color w:val="000000"/>
          <w:sz w:val="20"/>
          <w:szCs w:val="20"/>
        </w:rPr>
      </w:pPr>
      <w:bookmarkStart w:id="1" w:name="_Hlk95313578"/>
      <w:r w:rsidRPr="00FF26FC">
        <w:rPr>
          <w:rFonts w:ascii="Verdana" w:eastAsia="Century Gothic" w:hAnsi="Verdana" w:cs="Century Gothic"/>
          <w:i/>
          <w:iCs/>
          <w:color w:val="000000"/>
          <w:sz w:val="20"/>
          <w:szCs w:val="20"/>
          <w:lang w:val="es-ES"/>
        </w:rPr>
        <w:t>“</w:t>
      </w:r>
      <w:bookmarkEnd w:id="1"/>
      <w:r w:rsidRPr="00FF26FC">
        <w:rPr>
          <w:rFonts w:ascii="Verdana" w:eastAsia="Century Gothic" w:hAnsi="Verdana" w:cs="Century Gothic"/>
          <w:color w:val="000000"/>
          <w:sz w:val="20"/>
          <w:szCs w:val="20"/>
        </w:rPr>
        <w:t xml:space="preserve">En el proceso de presentación de los Anexos 1, 2 y 3 del Formato 5 de Capacidad residual, para el caso de la empresa que no está obligada a tener Revisor Fiscal. ¿Los Anexos 2 y 3 deben pueden ser firmados por el Contador Público de la empresa o los debe firmar un Contador Público Independiente o Auditor externo? </w:t>
      </w:r>
    </w:p>
    <w:p w14:paraId="61596FAF" w14:textId="77777777" w:rsidR="00FF26FC" w:rsidRPr="00FF26FC" w:rsidRDefault="00FF26FC" w:rsidP="00FF26FC">
      <w:pPr>
        <w:spacing w:after="0" w:line="240" w:lineRule="auto"/>
        <w:ind w:left="709" w:right="709"/>
        <w:jc w:val="both"/>
        <w:rPr>
          <w:rFonts w:ascii="Verdana" w:eastAsia="Century Gothic" w:hAnsi="Verdana" w:cs="Century Gothic"/>
          <w:color w:val="000000"/>
          <w:sz w:val="20"/>
          <w:szCs w:val="20"/>
        </w:rPr>
      </w:pPr>
    </w:p>
    <w:p w14:paraId="3F1E7B65" w14:textId="77777777" w:rsidR="00FF26FC" w:rsidRPr="00FF26FC" w:rsidRDefault="00FF26FC" w:rsidP="00FF26FC">
      <w:pPr>
        <w:spacing w:after="0" w:line="240" w:lineRule="auto"/>
        <w:ind w:left="709" w:right="709"/>
        <w:jc w:val="both"/>
        <w:rPr>
          <w:rFonts w:ascii="Verdana" w:eastAsia="Century Gothic" w:hAnsi="Verdana" w:cs="Century Gothic"/>
          <w:i/>
          <w:iCs/>
          <w:color w:val="000000"/>
          <w:sz w:val="20"/>
          <w:szCs w:val="20"/>
        </w:rPr>
      </w:pPr>
      <w:r w:rsidRPr="00FF26FC">
        <w:rPr>
          <w:rFonts w:ascii="Verdana" w:eastAsia="Century Gothic" w:hAnsi="Verdana" w:cs="Century Gothic"/>
          <w:color w:val="000000"/>
          <w:sz w:val="20"/>
          <w:szCs w:val="20"/>
        </w:rPr>
        <w:lastRenderedPageBreak/>
        <w:t>La Guía de Capacidad Residual establece unas plantillas de los Anexos 1, 2 y 3 del Formato 5 de Capacidad Residual, con una serien de datos o requisitos mínimos que debe informar el oferente en un proceso de contratación. ¿Puede una entidad estatal exigir requisitos adicionales en estos formatos?”</w:t>
      </w:r>
    </w:p>
    <w:p w14:paraId="0F709DF9" w14:textId="77777777" w:rsidR="00FF26FC" w:rsidRPr="00FF26FC" w:rsidRDefault="00FF26FC" w:rsidP="00FF26FC">
      <w:pPr>
        <w:tabs>
          <w:tab w:val="left" w:pos="142"/>
          <w:tab w:val="left" w:pos="284"/>
        </w:tabs>
        <w:spacing w:line="276" w:lineRule="auto"/>
        <w:contextualSpacing/>
        <w:jc w:val="both"/>
        <w:rPr>
          <w:rFonts w:ascii="Verdana" w:eastAsia="Century Gothic" w:hAnsi="Verdana" w:cs="Century Gothic"/>
          <w:b/>
          <w:bCs/>
          <w:color w:val="000000"/>
          <w:lang w:val="es-ES"/>
        </w:rPr>
      </w:pPr>
    </w:p>
    <w:p w14:paraId="6E69097C" w14:textId="77777777" w:rsidR="00FF26FC" w:rsidRPr="00FF26FC" w:rsidRDefault="00FF26FC" w:rsidP="00FF26FC">
      <w:pPr>
        <w:spacing w:after="120" w:line="276" w:lineRule="auto"/>
        <w:ind w:firstLine="709"/>
        <w:jc w:val="both"/>
        <w:rPr>
          <w:rFonts w:ascii="Verdana" w:eastAsia="Calibri" w:hAnsi="Verdana" w:cs="Arial"/>
          <w:color w:val="000000"/>
          <w:szCs w:val="24"/>
          <w:lang w:val="es-ES_tradnl" w:eastAsia="es-ES_tradnl"/>
        </w:rPr>
      </w:pPr>
      <w:r w:rsidRPr="00FF26FC">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F26FC">
        <w:rPr>
          <w:rFonts w:ascii="Verdana" w:eastAsia="Calibri" w:hAnsi="Verdana" w:cs="Arial"/>
          <w:color w:val="000000"/>
          <w:szCs w:val="24"/>
          <w:lang w:val="es-ES_tradnl" w:eastAsia="es-ES_tradnl"/>
        </w:rPr>
        <w:tab/>
      </w:r>
    </w:p>
    <w:p w14:paraId="4E9DC472" w14:textId="77777777" w:rsidR="00FF26FC" w:rsidRPr="00FF26FC" w:rsidRDefault="00FF26FC" w:rsidP="00FF26FC">
      <w:pPr>
        <w:spacing w:after="0" w:line="276" w:lineRule="auto"/>
        <w:ind w:firstLine="709"/>
        <w:jc w:val="both"/>
        <w:rPr>
          <w:rFonts w:ascii="Verdana" w:eastAsia="Calibri" w:hAnsi="Verdana" w:cs="Arial"/>
          <w:color w:val="000000"/>
          <w:lang w:val="es-ES" w:eastAsia="es-ES"/>
        </w:rPr>
      </w:pPr>
      <w:r w:rsidRPr="00FF26FC">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señalando algunas consideraciones sobre las normas generales relacionadas con los problemas jurídicos de su consulta. </w:t>
      </w:r>
    </w:p>
    <w:p w14:paraId="1586208F" w14:textId="77777777" w:rsidR="00FF26FC" w:rsidRPr="00FF26FC" w:rsidRDefault="00FF26FC" w:rsidP="00FF26FC">
      <w:pPr>
        <w:spacing w:after="0" w:line="276" w:lineRule="auto"/>
        <w:ind w:firstLine="709"/>
        <w:jc w:val="both"/>
        <w:rPr>
          <w:rFonts w:ascii="Verdana" w:eastAsia="Calibri" w:hAnsi="Verdana" w:cs="Arial"/>
          <w:color w:val="000000"/>
          <w:lang w:val="es-ES" w:eastAsia="es-ES"/>
        </w:rPr>
      </w:pPr>
    </w:p>
    <w:p w14:paraId="559BCAF1" w14:textId="77777777" w:rsidR="00FF26FC" w:rsidRPr="00FF26FC" w:rsidRDefault="00FF26FC" w:rsidP="00E31581">
      <w:pPr>
        <w:numPr>
          <w:ilvl w:val="0"/>
          <w:numId w:val="16"/>
        </w:numPr>
        <w:tabs>
          <w:tab w:val="left" w:pos="142"/>
          <w:tab w:val="left" w:pos="284"/>
        </w:tabs>
        <w:spacing w:after="0" w:line="276" w:lineRule="auto"/>
        <w:ind w:hanging="6601"/>
        <w:contextualSpacing/>
        <w:jc w:val="both"/>
        <w:rPr>
          <w:rFonts w:ascii="Verdana" w:eastAsia="Century Gothic" w:hAnsi="Verdana" w:cs="Century Gothic"/>
          <w:b/>
          <w:bCs/>
          <w:color w:val="000000"/>
          <w:lang w:val="es-ES"/>
        </w:rPr>
      </w:pPr>
      <w:r w:rsidRPr="00FF26FC">
        <w:rPr>
          <w:rFonts w:ascii="Verdana" w:eastAsia="Century Gothic" w:hAnsi="Verdana" w:cs="Century Gothic"/>
          <w:b/>
          <w:bCs/>
          <w:color w:val="000000"/>
          <w:lang w:val="es-ES"/>
        </w:rPr>
        <w:t>Problema planteado:</w:t>
      </w:r>
    </w:p>
    <w:p w14:paraId="54C553D8" w14:textId="77777777" w:rsidR="00FF26FC" w:rsidRPr="00FF26FC" w:rsidRDefault="00FF26FC" w:rsidP="00FF26FC">
      <w:pPr>
        <w:tabs>
          <w:tab w:val="left" w:pos="426"/>
        </w:tabs>
        <w:spacing w:after="0" w:line="276" w:lineRule="auto"/>
        <w:jc w:val="both"/>
        <w:rPr>
          <w:rFonts w:ascii="Verdana" w:eastAsia="Century Gothic" w:hAnsi="Verdana" w:cs="Century Gothic"/>
          <w:color w:val="000000"/>
          <w:lang w:val="es-ES"/>
        </w:rPr>
      </w:pPr>
    </w:p>
    <w:p w14:paraId="312E6C92" w14:textId="77777777" w:rsidR="00FF26FC" w:rsidRPr="00FF26FC" w:rsidRDefault="00FF26FC" w:rsidP="00FF26FC">
      <w:pPr>
        <w:spacing w:after="0" w:line="276" w:lineRule="auto"/>
        <w:jc w:val="both"/>
        <w:rPr>
          <w:rFonts w:ascii="Verdana" w:eastAsia="Century Gothic" w:hAnsi="Verdana" w:cs="Century Gothic"/>
        </w:rPr>
      </w:pPr>
      <w:r w:rsidRPr="00FF26FC">
        <w:rPr>
          <w:rFonts w:ascii="Verdana" w:eastAsia="Century Gothic" w:hAnsi="Verdana" w:cs="Century Gothic"/>
          <w:color w:val="000000"/>
        </w:rPr>
        <w:t xml:space="preserve">De acuerdo con el contenido de su solicitud, esta Agencia resolverá los siguientes problemas jurídicos en relación la capacidad residual: i) </w:t>
      </w:r>
      <w:r w:rsidRPr="00FF26FC">
        <w:rPr>
          <w:rFonts w:ascii="Verdana" w:eastAsia="Century Gothic" w:hAnsi="Verdana" w:cs="Century Gothic"/>
        </w:rPr>
        <w:t>¿Los</w:t>
      </w:r>
      <w:r w:rsidRPr="00FF26FC">
        <w:rPr>
          <w:rFonts w:ascii="Verdana" w:eastAsia="Century Gothic" w:hAnsi="Verdana" w:cs="Century Gothic"/>
          <w:color w:val="000000"/>
        </w:rPr>
        <w:t xml:space="preserve"> Anexos 2 y 3 del formato 5 de capacidad residual deben ser firmados por el Contador Público de la empresa o los debe firmar un Contador Público Independiente o Auditor externo</w:t>
      </w:r>
      <w:r w:rsidRPr="00FF26FC">
        <w:rPr>
          <w:rFonts w:ascii="Verdana" w:eastAsia="Century Gothic" w:hAnsi="Verdana" w:cs="Century Gothic"/>
        </w:rPr>
        <w:t xml:space="preserve">?     Y ¿Puede una Entidad Estatal exigir requisitos adicionales a los estipulados en los anexos 1,2 y 3 del formato 5 de capacidad residual?  </w:t>
      </w:r>
    </w:p>
    <w:p w14:paraId="5D07F47B" w14:textId="77777777" w:rsidR="00FF26FC" w:rsidRPr="00FF26FC" w:rsidRDefault="00FF26FC" w:rsidP="00FF26FC">
      <w:pPr>
        <w:spacing w:after="0" w:line="276" w:lineRule="auto"/>
        <w:ind w:left="1080"/>
        <w:contextualSpacing/>
        <w:jc w:val="both"/>
        <w:rPr>
          <w:rFonts w:ascii="Verdana" w:eastAsia="Century Gothic" w:hAnsi="Verdana" w:cs="Century Gothic"/>
          <w:color w:val="000000"/>
          <w:lang w:val="es-ES"/>
        </w:rPr>
      </w:pPr>
    </w:p>
    <w:p w14:paraId="153AEB8D" w14:textId="77777777" w:rsidR="00FF26FC" w:rsidRPr="00FF26FC" w:rsidRDefault="00FF26FC" w:rsidP="00E31581">
      <w:pPr>
        <w:numPr>
          <w:ilvl w:val="0"/>
          <w:numId w:val="16"/>
        </w:numPr>
        <w:tabs>
          <w:tab w:val="left" w:pos="142"/>
          <w:tab w:val="left" w:pos="284"/>
        </w:tabs>
        <w:spacing w:after="0" w:line="276" w:lineRule="auto"/>
        <w:ind w:left="426"/>
        <w:jc w:val="both"/>
        <w:rPr>
          <w:rFonts w:ascii="Verdana" w:eastAsia="Century Gothic" w:hAnsi="Verdana" w:cs="Century Gothic"/>
          <w:b/>
          <w:bCs/>
          <w:color w:val="000000"/>
          <w:lang w:val="es-ES"/>
        </w:rPr>
      </w:pPr>
      <w:r w:rsidRPr="00FF26FC">
        <w:rPr>
          <w:rFonts w:ascii="Verdana" w:eastAsia="Century Gothic" w:hAnsi="Verdana" w:cs="Century Gothic"/>
          <w:b/>
          <w:bCs/>
          <w:color w:val="000000"/>
          <w:lang w:val="es-ES"/>
        </w:rPr>
        <w:t>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F26FC" w:rsidRPr="00FF26FC" w14:paraId="62D242D4" w14:textId="77777777" w:rsidTr="00CF6A4F">
        <w:trPr>
          <w:trHeight w:val="632"/>
        </w:trPr>
        <w:tc>
          <w:tcPr>
            <w:tcW w:w="8828" w:type="dxa"/>
            <w:shd w:val="clear" w:color="auto" w:fill="auto"/>
          </w:tcPr>
          <w:p w14:paraId="7E1DCF81" w14:textId="11A711B0" w:rsidR="00FF26FC" w:rsidRPr="00FF26FC" w:rsidRDefault="00FF26FC" w:rsidP="00FF26FC">
            <w:pPr>
              <w:spacing w:after="120" w:line="276" w:lineRule="auto"/>
              <w:jc w:val="both"/>
              <w:rPr>
                <w:rFonts w:ascii="Verdana" w:eastAsia="Calibri" w:hAnsi="Verdana" w:cs="Arial"/>
              </w:rPr>
            </w:pPr>
            <w:r w:rsidRPr="00FF26FC">
              <w:rPr>
                <w:rFonts w:ascii="Verdana" w:eastAsia="Calibri" w:hAnsi="Verdana" w:cs="Arial"/>
              </w:rPr>
              <w:t xml:space="preserve">La Agencia Nacional de Contratación Pública -Colombia Compra Eficiente-, con fundamento en el artículo 2.2.1.1.1.6.4 del Decreto 1082 de 2015 expidió la Guía para establecer la metodología para el cálculo de la capacidad residual. </w:t>
            </w:r>
            <w:r w:rsidRPr="00FF26FC">
              <w:rPr>
                <w:rFonts w:ascii="Verdana" w:eastAsia="Calibri" w:hAnsi="Verdana" w:cs="Arial"/>
              </w:rPr>
              <w:lastRenderedPageBreak/>
              <w:t>La metodología resulta de obligatoria observancia tanto para entidades como oferentes en los Procesos de Contratación de obra pública.</w:t>
            </w:r>
          </w:p>
          <w:p w14:paraId="58AE7795" w14:textId="77777777" w:rsidR="00FF26FC" w:rsidRPr="00FF26FC" w:rsidRDefault="00FF26FC" w:rsidP="00FF26FC">
            <w:pPr>
              <w:spacing w:after="120" w:line="276" w:lineRule="auto"/>
              <w:jc w:val="both"/>
              <w:rPr>
                <w:rFonts w:ascii="Verdana" w:eastAsia="Calibri" w:hAnsi="Verdana" w:cs="Arial"/>
              </w:rPr>
            </w:pPr>
            <w:r w:rsidRPr="00FF26FC">
              <w:rPr>
                <w:rFonts w:ascii="Verdana" w:eastAsia="Calibri" w:hAnsi="Verdana" w:cs="Arial"/>
              </w:rPr>
              <w:t>El artículo 2.2.1.1.1.6.4 del Decreto 1082 de 2015 establece que las entidades estatales deberán calcular la capacidad residual conforme a la metodología definida por Colombia Compra Eficiente y precisó que, para tales fines, resulta necesario tener en cuenta los factores de: Experiencia (E), Capacidad Financiera (CF), Capacidad Técnica (CT), Capacidad de Organización (CO), y los Saldos de los Contratos en Ejecución (SCE).</w:t>
            </w:r>
          </w:p>
          <w:p w14:paraId="382E6260" w14:textId="77777777" w:rsidR="00FF26FC" w:rsidRDefault="00FF26FC" w:rsidP="00837F61">
            <w:pPr>
              <w:spacing w:after="120" w:line="276" w:lineRule="auto"/>
              <w:contextualSpacing/>
              <w:jc w:val="both"/>
              <w:rPr>
                <w:rFonts w:ascii="Verdana" w:eastAsia="Calibri" w:hAnsi="Verdana" w:cs="Arial"/>
                <w:lang w:val="es-ES"/>
              </w:rPr>
            </w:pPr>
            <w:r w:rsidRPr="00FF26FC">
              <w:rPr>
                <w:rFonts w:ascii="Verdana" w:eastAsia="Calibri" w:hAnsi="Verdana" w:cs="Arial"/>
                <w:lang w:val="es-ES"/>
              </w:rPr>
              <w:t xml:space="preserve">Los anexos del formato 5 de capacidad residual por medio del cual se pretenden certificar los contratos para acreditación de experiencia (E), Capacidad técnica (CT) y los saldos de contratos en ejecución (SCE) deben ser firmados por el representante legal del oferente, contador público y/o revisor fiscal y/o auditor independiente según corresponda. </w:t>
            </w:r>
          </w:p>
          <w:p w14:paraId="2A11E062" w14:textId="77777777" w:rsidR="00837F61" w:rsidRPr="00FF26FC" w:rsidRDefault="00837F61" w:rsidP="00837F61">
            <w:pPr>
              <w:spacing w:after="120" w:line="276" w:lineRule="auto"/>
              <w:contextualSpacing/>
              <w:jc w:val="both"/>
              <w:rPr>
                <w:rFonts w:ascii="Verdana" w:eastAsia="Calibri" w:hAnsi="Verdana" w:cs="Arial"/>
                <w:lang w:val="es-ES"/>
              </w:rPr>
            </w:pPr>
          </w:p>
          <w:p w14:paraId="6680CF25" w14:textId="42B66C80" w:rsidR="00FF26FC" w:rsidRPr="00FF26FC" w:rsidRDefault="008918C1" w:rsidP="00837F61">
            <w:pPr>
              <w:spacing w:after="120" w:line="276" w:lineRule="auto"/>
              <w:contextualSpacing/>
              <w:jc w:val="both"/>
              <w:rPr>
                <w:rFonts w:ascii="Verdana" w:eastAsia="Calibri" w:hAnsi="Verdana" w:cs="Arial"/>
                <w:lang w:val="es-ES"/>
              </w:rPr>
            </w:pPr>
            <w:r>
              <w:rPr>
                <w:rFonts w:ascii="Verdana" w:eastAsia="Calibri" w:hAnsi="Verdana" w:cs="Arial"/>
                <w:lang w:val="es-ES"/>
              </w:rPr>
              <w:t xml:space="preserve">Por otro lado, los </w:t>
            </w:r>
            <w:r w:rsidR="00FF26FC" w:rsidRPr="00FF26FC">
              <w:rPr>
                <w:rFonts w:ascii="Verdana" w:eastAsia="Calibri" w:hAnsi="Verdana" w:cs="Arial"/>
                <w:lang w:val="es-ES"/>
              </w:rPr>
              <w:t xml:space="preserve">formatos establecidos en la Guía expedida por esta agencia son sugeridos, así las cosas, las Entidades Estatales están en autonomía de decidir utilizarlo o establecer otro el cual contenga la información necesaria para el </w:t>
            </w:r>
            <w:r w:rsidR="001C2576" w:rsidRPr="00FF26FC">
              <w:rPr>
                <w:rFonts w:ascii="Verdana" w:eastAsia="Calibri" w:hAnsi="Verdana" w:cs="Arial"/>
                <w:lang w:val="es-ES"/>
              </w:rPr>
              <w:t>cálculo</w:t>
            </w:r>
            <w:r w:rsidR="00FF26FC" w:rsidRPr="00FF26FC">
              <w:rPr>
                <w:rFonts w:ascii="Verdana" w:eastAsia="Calibri" w:hAnsi="Verdana" w:cs="Arial"/>
                <w:lang w:val="es-ES"/>
              </w:rPr>
              <w:t xml:space="preserve"> de la capacidad técnica, capacidad financiera y la experiencia. </w:t>
            </w:r>
          </w:p>
          <w:p w14:paraId="7697A936" w14:textId="77777777" w:rsidR="00FF26FC" w:rsidRPr="00FF26FC" w:rsidRDefault="00FF26FC" w:rsidP="00FF26FC">
            <w:pPr>
              <w:spacing w:after="120" w:line="276" w:lineRule="auto"/>
              <w:jc w:val="both"/>
              <w:rPr>
                <w:rFonts w:ascii="Verdana" w:eastAsia="Calibri" w:hAnsi="Verdana" w:cs="Arial"/>
              </w:rPr>
            </w:pPr>
          </w:p>
          <w:p w14:paraId="3343769A" w14:textId="77777777" w:rsidR="00FF26FC" w:rsidRPr="00FF26FC" w:rsidRDefault="00FF26FC" w:rsidP="00FF26FC">
            <w:pPr>
              <w:spacing w:after="120" w:line="276" w:lineRule="auto"/>
              <w:jc w:val="both"/>
              <w:rPr>
                <w:rFonts w:ascii="Verdana" w:eastAsia="Calibri" w:hAnsi="Verdana" w:cs="Arial"/>
              </w:rPr>
            </w:pPr>
            <w:r w:rsidRPr="00FF26FC">
              <w:rPr>
                <w:rFonts w:ascii="Verdana" w:eastAsia="Calibri" w:hAnsi="Verdana" w:cs="Arial"/>
              </w:rPr>
              <w:t>En todo caso, y más allá de la explicación previamente expuesta, es preciso advertir que el análisis requerido para resolver situaciones concretas sobre las condiciones en que las Entidades Estatales pueden adelantar sus procesos de contratación debe ser realizado por los interesados, conforme a lo señalado en la aclaración preliminar del presente escrito. En consecuencia, previa consulta con sus asesores jurídicos corresponde a dichos interesados adoptar las decisiones pertinentes frente a casos particulares y, en caso de controversia, acudir a las autoridades judiciales, fiscales o disciplinarias competentes. En ese sentido, cada entidad es responsable de definir la forma en que desarrolla su gestión contractual, sin que le corresponda a Colombia Compra Eficiente validar o avalar sus actuaciones.</w:t>
            </w:r>
          </w:p>
          <w:p w14:paraId="3E29C0B2" w14:textId="77777777" w:rsidR="00FF26FC" w:rsidRPr="00FF26FC" w:rsidRDefault="00FF26FC" w:rsidP="00FF26FC">
            <w:pPr>
              <w:spacing w:line="276" w:lineRule="auto"/>
              <w:jc w:val="both"/>
              <w:rPr>
                <w:rFonts w:ascii="Verdana" w:eastAsia="Aptos" w:hAnsi="Verdana" w:cs="Arial"/>
                <w:kern w:val="2"/>
                <w14:ligatures w14:val="standardContextual"/>
              </w:rPr>
            </w:pPr>
          </w:p>
        </w:tc>
      </w:tr>
    </w:tbl>
    <w:p w14:paraId="375ABADF" w14:textId="77777777" w:rsidR="00FF26FC" w:rsidRPr="00FF26FC" w:rsidRDefault="00FF26FC" w:rsidP="00FF26FC">
      <w:pPr>
        <w:tabs>
          <w:tab w:val="left" w:pos="142"/>
          <w:tab w:val="left" w:pos="284"/>
        </w:tabs>
        <w:spacing w:after="0" w:line="276" w:lineRule="auto"/>
        <w:jc w:val="both"/>
        <w:rPr>
          <w:rFonts w:ascii="Verdana" w:eastAsia="Century Gothic" w:hAnsi="Verdana" w:cs="Century Gothic"/>
          <w:b/>
          <w:bCs/>
          <w:color w:val="000000"/>
          <w:lang w:val="es-ES"/>
        </w:rPr>
      </w:pPr>
    </w:p>
    <w:p w14:paraId="2EBFE085" w14:textId="77777777" w:rsidR="00FF26FC" w:rsidRPr="00FF26FC" w:rsidRDefault="00FF26FC" w:rsidP="001E37FA">
      <w:pPr>
        <w:numPr>
          <w:ilvl w:val="0"/>
          <w:numId w:val="16"/>
        </w:numPr>
        <w:tabs>
          <w:tab w:val="left" w:pos="142"/>
          <w:tab w:val="left" w:pos="284"/>
        </w:tabs>
        <w:spacing w:after="0" w:line="276" w:lineRule="auto"/>
        <w:ind w:left="284"/>
        <w:jc w:val="both"/>
        <w:rPr>
          <w:rFonts w:ascii="Verdana" w:eastAsia="Century Gothic" w:hAnsi="Verdana" w:cs="Century Gothic"/>
          <w:b/>
          <w:bCs/>
          <w:color w:val="000000"/>
          <w:lang w:val="es-ES"/>
        </w:rPr>
      </w:pPr>
      <w:r w:rsidRPr="00FF26FC">
        <w:rPr>
          <w:rFonts w:ascii="Verdana" w:eastAsia="Century Gothic" w:hAnsi="Verdana" w:cs="Century Gothic"/>
          <w:b/>
          <w:bCs/>
          <w:color w:val="000000"/>
          <w:lang w:val="es-ES"/>
        </w:rPr>
        <w:t>Razones de la respuesta:</w:t>
      </w:r>
    </w:p>
    <w:p w14:paraId="12150A30" w14:textId="77777777" w:rsidR="00FF26FC" w:rsidRPr="00FF26FC" w:rsidRDefault="00FF26FC" w:rsidP="00FF26FC">
      <w:pPr>
        <w:spacing w:after="0" w:line="276" w:lineRule="auto"/>
        <w:jc w:val="both"/>
        <w:rPr>
          <w:rFonts w:ascii="Verdana" w:eastAsia="Calibri" w:hAnsi="Verdana" w:cs="Arial"/>
          <w:color w:val="000000"/>
          <w:lang w:val="es-ES"/>
        </w:rPr>
      </w:pPr>
    </w:p>
    <w:p w14:paraId="4C348BEF" w14:textId="77777777" w:rsidR="00FF26FC" w:rsidRPr="00FF26FC" w:rsidRDefault="00FF26FC" w:rsidP="00FF26FC">
      <w:pPr>
        <w:spacing w:after="0" w:line="276" w:lineRule="auto"/>
        <w:jc w:val="both"/>
        <w:rPr>
          <w:rFonts w:ascii="Verdana" w:eastAsia="Calibri" w:hAnsi="Verdana" w:cs="Arial"/>
          <w:color w:val="000000"/>
          <w:lang w:val="es-ES"/>
        </w:rPr>
      </w:pPr>
      <w:r w:rsidRPr="00FF26FC">
        <w:rPr>
          <w:rFonts w:ascii="Verdana" w:eastAsia="Calibri" w:hAnsi="Verdana" w:cs="Arial"/>
          <w:color w:val="000000"/>
          <w:lang w:val="es-ES"/>
        </w:rPr>
        <w:t xml:space="preserve">Lo anterior se sustenta en las siguientes consideraciones: </w:t>
      </w:r>
      <w:bookmarkStart w:id="2" w:name="_Hlk173311098"/>
      <w:bookmarkStart w:id="3" w:name="_Hlk182495957"/>
    </w:p>
    <w:p w14:paraId="16E92805" w14:textId="77777777" w:rsidR="00FF26FC" w:rsidRPr="00FF26FC" w:rsidRDefault="00FF26FC" w:rsidP="00FF26FC">
      <w:pPr>
        <w:spacing w:after="0" w:line="276" w:lineRule="auto"/>
        <w:jc w:val="both"/>
        <w:rPr>
          <w:rFonts w:ascii="Verdana" w:eastAsia="Calibri" w:hAnsi="Verdana" w:cs="Arial"/>
          <w:color w:val="000000"/>
          <w:lang w:val="es-ES"/>
        </w:rPr>
      </w:pPr>
    </w:p>
    <w:bookmarkEnd w:id="2"/>
    <w:bookmarkEnd w:id="3"/>
    <w:p w14:paraId="09B0F347" w14:textId="77777777" w:rsidR="00FF26FC" w:rsidRPr="00FF26FC" w:rsidRDefault="00FF26FC" w:rsidP="00FF26FC">
      <w:pPr>
        <w:widowControl w:val="0"/>
        <w:autoSpaceDE w:val="0"/>
        <w:autoSpaceDN w:val="0"/>
        <w:spacing w:after="120" w:line="276" w:lineRule="auto"/>
        <w:jc w:val="both"/>
        <w:rPr>
          <w:rFonts w:ascii="Verdana" w:eastAsia="Arial" w:hAnsi="Verdana" w:cs="Arial"/>
          <w:lang w:eastAsia="es-ES" w:bidi="es-ES"/>
        </w:rPr>
      </w:pPr>
      <w:r w:rsidRPr="00FF26FC">
        <w:rPr>
          <w:rFonts w:ascii="Verdana" w:eastAsia="Arial" w:hAnsi="Verdana" w:cs="Arial"/>
          <w:lang w:eastAsia="es-ES" w:bidi="es-ES"/>
        </w:rPr>
        <w:lastRenderedPageBreak/>
        <w:t>i) La capacidad residual es una aptitud que se exige a los oferentes con el objetivo de establecer o determinar si estos pueden o no cumplir de manera oportuna y a cabalidad con las obligaciones derivadas del contrato de obra pública, sin que los demás compromisos contractuales que hubieran adquirido les afecte la habilidad de cumplir con el objeto del contrato que está en proceso de selección</w:t>
      </w:r>
      <w:r w:rsidRPr="00FF26FC">
        <w:rPr>
          <w:vertAlign w:val="superscript"/>
          <w:lang w:eastAsia="es-ES" w:bidi="es-ES"/>
        </w:rPr>
        <w:footnoteReference w:id="1"/>
      </w:r>
      <w:r w:rsidRPr="00FF26FC">
        <w:rPr>
          <w:rFonts w:ascii="Verdana" w:eastAsia="Arial" w:hAnsi="Verdana" w:cs="Arial"/>
          <w:lang w:eastAsia="es-ES" w:bidi="es-ES"/>
        </w:rPr>
        <w:t>.</w:t>
      </w:r>
    </w:p>
    <w:p w14:paraId="6471ABC1" w14:textId="77777777" w:rsidR="00FF26FC" w:rsidRPr="00FF26FC" w:rsidRDefault="00FF26FC" w:rsidP="00FF26FC">
      <w:pPr>
        <w:widowControl w:val="0"/>
        <w:autoSpaceDE w:val="0"/>
        <w:autoSpaceDN w:val="0"/>
        <w:spacing w:after="120" w:line="276" w:lineRule="auto"/>
        <w:jc w:val="both"/>
        <w:rPr>
          <w:rFonts w:ascii="Verdana" w:eastAsia="Arial" w:hAnsi="Verdana" w:cs="Arial"/>
          <w:lang w:eastAsia="es-ES" w:bidi="es-ES"/>
        </w:rPr>
      </w:pPr>
      <w:r w:rsidRPr="00FF26FC">
        <w:rPr>
          <w:rFonts w:ascii="Verdana" w:eastAsia="Arial" w:hAnsi="Verdana" w:cs="Arial"/>
          <w:lang w:eastAsia="es-ES" w:bidi="es-ES"/>
        </w:rPr>
        <w:tab/>
        <w:t>Teniendo en cuenta lo anterior, la Agencia Nacional de Contratación Pública – Colombia Compra Eficiente considera que la capacidad residual hace referencia a la suficiencia que se predica del proponente para asumir nuevas obligaciones que se derivan del contrato objeto del procedimiento de contratación, en relación con las obligaciones que ya ha adquirido simultáneamente frente a otros contratos.</w:t>
      </w:r>
      <w:r w:rsidRPr="00FF26FC">
        <w:rPr>
          <w:rFonts w:ascii="Verdana" w:eastAsia="Arial" w:hAnsi="Verdana" w:cs="Arial"/>
          <w:lang w:eastAsia="es-ES" w:bidi="es-ES"/>
        </w:rPr>
        <w:tab/>
      </w:r>
    </w:p>
    <w:p w14:paraId="77D6F775" w14:textId="77777777" w:rsidR="00FF26FC" w:rsidRPr="00FF26FC" w:rsidRDefault="00FF26FC" w:rsidP="00FF26FC">
      <w:pPr>
        <w:widowControl w:val="0"/>
        <w:autoSpaceDE w:val="0"/>
        <w:autoSpaceDN w:val="0"/>
        <w:spacing w:after="0" w:line="276" w:lineRule="auto"/>
        <w:jc w:val="both"/>
        <w:rPr>
          <w:rFonts w:ascii="Verdana" w:eastAsia="Arial" w:hAnsi="Verdana" w:cs="Arial"/>
          <w:lang w:eastAsia="es-ES" w:bidi="es-ES"/>
        </w:rPr>
      </w:pPr>
      <w:r w:rsidRPr="00FF26FC">
        <w:rPr>
          <w:rFonts w:ascii="Verdana" w:eastAsia="Arial" w:hAnsi="Verdana" w:cs="Arial"/>
          <w:lang w:eastAsia="es-ES" w:bidi="es-ES"/>
        </w:rPr>
        <w:tab/>
        <w:t>Por su parte, la Ley 1150 de 2007 establece que la capacidad residual de los interesados en participar en procesos de selección para contratos de obra deberá ser igual o superior al que la entidad ha establecido en los pliegos de condiciones, en los siguientes términos:</w:t>
      </w:r>
    </w:p>
    <w:p w14:paraId="0CE0365F" w14:textId="77777777" w:rsidR="00FF26FC" w:rsidRPr="00FF26FC" w:rsidRDefault="00FF26FC" w:rsidP="00FF26FC">
      <w:pPr>
        <w:widowControl w:val="0"/>
        <w:autoSpaceDE w:val="0"/>
        <w:autoSpaceDN w:val="0"/>
        <w:spacing w:after="0" w:line="276" w:lineRule="auto"/>
        <w:ind w:left="720" w:right="51"/>
        <w:contextualSpacing/>
        <w:rPr>
          <w:rFonts w:ascii="Verdana" w:eastAsia="Arial" w:hAnsi="Verdana" w:cs="Arial"/>
          <w:lang w:eastAsia="es-ES" w:bidi="es-ES"/>
        </w:rPr>
      </w:pPr>
    </w:p>
    <w:p w14:paraId="10929F86" w14:textId="77777777" w:rsidR="00FF26FC" w:rsidRPr="00FF26FC" w:rsidRDefault="00FF26FC" w:rsidP="00FF26FC">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FF26FC">
        <w:rPr>
          <w:rFonts w:ascii="Verdana" w:eastAsia="Arial" w:hAnsi="Verdana" w:cs="Arial"/>
          <w:sz w:val="20"/>
          <w:szCs w:val="20"/>
          <w:lang w:val="es-ES" w:eastAsia="es-ES" w:bidi="es-ES"/>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w:t>
      </w:r>
      <w:r w:rsidRPr="00FF26FC">
        <w:rPr>
          <w:rFonts w:ascii="Verdana" w:eastAsia="Arial" w:hAnsi="Verdana" w:cs="Arial"/>
          <w:spacing w:val="-3"/>
          <w:sz w:val="20"/>
          <w:szCs w:val="20"/>
          <w:lang w:val="es-ES" w:eastAsia="es-ES" w:bidi="es-ES"/>
        </w:rPr>
        <w:t xml:space="preserve"> </w:t>
      </w:r>
      <w:r w:rsidRPr="00FF26FC">
        <w:rPr>
          <w:rFonts w:ascii="Verdana" w:eastAsia="Arial" w:hAnsi="Verdana" w:cs="Arial"/>
          <w:sz w:val="20"/>
          <w:szCs w:val="20"/>
          <w:lang w:val="es-ES" w:eastAsia="es-ES" w:bidi="es-ES"/>
        </w:rPr>
        <w:t>principal.</w:t>
      </w:r>
    </w:p>
    <w:p w14:paraId="63FE9651" w14:textId="77777777" w:rsidR="00FF26FC" w:rsidRPr="00FF26FC" w:rsidRDefault="00FF26FC" w:rsidP="00FF26FC">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38D99BEF" w14:textId="77777777" w:rsidR="00FF26FC" w:rsidRPr="00FF26FC" w:rsidRDefault="00FF26FC" w:rsidP="00FF26FC">
      <w:pPr>
        <w:widowControl w:val="0"/>
        <w:autoSpaceDE w:val="0"/>
        <w:autoSpaceDN w:val="0"/>
        <w:spacing w:after="0" w:line="240" w:lineRule="auto"/>
        <w:ind w:left="709" w:right="709"/>
        <w:rPr>
          <w:rFonts w:ascii="Verdana" w:eastAsia="Arial" w:hAnsi="Verdana" w:cs="Arial"/>
          <w:sz w:val="20"/>
          <w:szCs w:val="20"/>
          <w:lang w:val="es-ES" w:eastAsia="es-ES" w:bidi="es-ES"/>
        </w:rPr>
      </w:pPr>
      <w:r w:rsidRPr="00FF26FC">
        <w:rPr>
          <w:rFonts w:ascii="Verdana" w:eastAsia="Arial" w:hAnsi="Verdana" w:cs="Arial"/>
          <w:sz w:val="20"/>
          <w:szCs w:val="20"/>
          <w:lang w:val="es-ES" w:eastAsia="es-ES" w:bidi="es-ES"/>
        </w:rPr>
        <w:t>[…]</w:t>
      </w:r>
    </w:p>
    <w:p w14:paraId="0F3FF8FE" w14:textId="77777777" w:rsidR="00FF26FC" w:rsidRPr="00FF26FC" w:rsidRDefault="00FF26FC" w:rsidP="00FF26FC">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243FE198" w14:textId="77777777" w:rsidR="00FF26FC" w:rsidRPr="00FF26FC" w:rsidRDefault="00FF26FC" w:rsidP="00FF26FC">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FF26FC">
        <w:rPr>
          <w:rFonts w:ascii="Verdana" w:eastAsia="Arial" w:hAnsi="Verdana" w:cs="Arial"/>
          <w:sz w:val="20"/>
          <w:szCs w:val="20"/>
          <w:lang w:val="es-ES" w:eastAsia="es-ES" w:bidi="es-ES"/>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41BE5C56" w14:textId="77777777" w:rsidR="00FF26FC" w:rsidRPr="00FF26FC" w:rsidRDefault="00FF26FC" w:rsidP="00FF26FC">
      <w:pPr>
        <w:spacing w:after="0" w:line="276" w:lineRule="auto"/>
        <w:ind w:left="720"/>
        <w:jc w:val="both"/>
        <w:rPr>
          <w:rFonts w:ascii="Verdana" w:eastAsia="Calibri" w:hAnsi="Verdana" w:cs="Arial"/>
          <w:lang w:val="es-ES"/>
        </w:rPr>
      </w:pPr>
    </w:p>
    <w:p w14:paraId="3EE91A19" w14:textId="77777777" w:rsidR="00FF26FC" w:rsidRPr="00FF26FC" w:rsidRDefault="00FF26FC" w:rsidP="00FF26FC">
      <w:pPr>
        <w:spacing w:after="120" w:line="276" w:lineRule="auto"/>
        <w:ind w:firstLine="709"/>
        <w:jc w:val="both"/>
        <w:rPr>
          <w:rFonts w:ascii="Verdana" w:eastAsia="Calibri" w:hAnsi="Verdana" w:cs="Arial"/>
        </w:rPr>
      </w:pPr>
      <w:r w:rsidRPr="00FF26FC">
        <w:rPr>
          <w:rFonts w:ascii="Verdana" w:eastAsia="Calibri" w:hAnsi="Verdana" w:cs="Arial"/>
        </w:rPr>
        <w:lastRenderedPageBreak/>
        <w:t xml:space="preserve">De acuerdo con el artículo 72 de la Ley 1682 de 2013, </w:t>
      </w:r>
      <w:r w:rsidRPr="00FF26FC">
        <w:rPr>
          <w:rFonts w:ascii="Verdana" w:hAnsi="Verdana" w:cs="Arial"/>
        </w:rPr>
        <w:t xml:space="preserve">por la cual se adoptan medidas y disposiciones para los proyectos de infraestructura de transporte, </w:t>
      </w:r>
      <w:r w:rsidRPr="00FF26FC">
        <w:rPr>
          <w:rFonts w:ascii="Verdana" w:eastAsia="Calibri" w:hAnsi="Verdana" w:cs="Arial"/>
        </w:rPr>
        <w:t>la “</w:t>
      </w:r>
      <w:r w:rsidRPr="00FF26FC">
        <w:rPr>
          <w:rFonts w:ascii="Verdana" w:eastAsia="Calibri" w:hAnsi="Verdana" w:cs="Arial"/>
          <w:i/>
        </w:rPr>
        <w:t>capacidad residual de contratación cuando se realicen contratos de obra pública se obtendrá de sustraer de la capacidad de contratación, el saldo del valor de los contratos en ejecución</w:t>
      </w:r>
      <w:r w:rsidRPr="00FF26FC">
        <w:rPr>
          <w:rFonts w:ascii="Verdana" w:eastAsia="Calibri" w:hAnsi="Verdana" w:cs="Arial"/>
          <w:i/>
          <w:iCs/>
        </w:rPr>
        <w:t>”</w:t>
      </w:r>
      <w:r w:rsidRPr="00FF26FC">
        <w:rPr>
          <w:rFonts w:ascii="Verdana" w:eastAsia="Calibri" w:hAnsi="Verdana" w:cs="Arial"/>
          <w:i/>
        </w:rPr>
        <w:t>.</w:t>
      </w:r>
      <w:r w:rsidRPr="00FF26FC">
        <w:rPr>
          <w:rFonts w:ascii="Verdana" w:eastAsia="Calibri" w:hAnsi="Verdana" w:cs="Arial"/>
        </w:rPr>
        <w:t xml:space="preserve"> La “capacidad de contratación”, según se desprende de la misma disposición, “[…] se deberá calcular mediante la evaluación de los siguientes factores: Experiencia (E), Capacidad Financiera (CF), Capacidad Técnica (CT), y Capacidad de Organización (CO)”.</w:t>
      </w:r>
    </w:p>
    <w:p w14:paraId="0F9AF62B" w14:textId="77777777" w:rsidR="00FF26FC" w:rsidRPr="00FF26FC" w:rsidRDefault="00FF26FC" w:rsidP="00FF26FC">
      <w:pPr>
        <w:spacing w:after="120" w:line="276" w:lineRule="auto"/>
        <w:ind w:firstLine="708"/>
        <w:jc w:val="both"/>
        <w:rPr>
          <w:rFonts w:ascii="Verdana" w:eastAsia="Calibri" w:hAnsi="Verdana" w:cs="Arial"/>
        </w:rPr>
      </w:pPr>
      <w:bookmarkStart w:id="4" w:name="_Hlk103608376"/>
      <w:r w:rsidRPr="00FF26FC">
        <w:rPr>
          <w:rFonts w:ascii="Verdana" w:eastAsia="Calibri" w:hAnsi="Verdana" w:cs="Arial"/>
        </w:rPr>
        <w:t xml:space="preserve">Igualmente, el artículo 2.2.1.1.1.6.4 del Decreto 1082 de 2015 indica que las entidades estatales deberán calcular la capacidad residual conforme a la metodología definida por la Agencia Nacional de Contratación – Colombia Compre Eficiente. Para tales fines, resulta necesario tener en cuenta los factores de: i) Experiencia –E–, </w:t>
      </w:r>
      <w:proofErr w:type="spellStart"/>
      <w:r w:rsidRPr="00FF26FC">
        <w:rPr>
          <w:rFonts w:ascii="Verdana" w:eastAsia="Calibri" w:hAnsi="Verdana" w:cs="Arial"/>
        </w:rPr>
        <w:t>ii</w:t>
      </w:r>
      <w:proofErr w:type="spellEnd"/>
      <w:r w:rsidRPr="00FF26FC">
        <w:rPr>
          <w:rFonts w:ascii="Verdana" w:eastAsia="Calibri" w:hAnsi="Verdana" w:cs="Arial"/>
        </w:rPr>
        <w:t xml:space="preserve">) Capacidad Financiera –CF–, </w:t>
      </w:r>
      <w:proofErr w:type="spellStart"/>
      <w:r w:rsidRPr="00FF26FC">
        <w:rPr>
          <w:rFonts w:ascii="Verdana" w:eastAsia="Calibri" w:hAnsi="Verdana" w:cs="Arial"/>
        </w:rPr>
        <w:t>iii</w:t>
      </w:r>
      <w:proofErr w:type="spellEnd"/>
      <w:r w:rsidRPr="00FF26FC">
        <w:rPr>
          <w:rFonts w:ascii="Verdana" w:eastAsia="Calibri" w:hAnsi="Verdana" w:cs="Arial"/>
        </w:rPr>
        <w:t xml:space="preserve">) Capacidad Técnica –CT–, </w:t>
      </w:r>
      <w:proofErr w:type="spellStart"/>
      <w:r w:rsidRPr="00FF26FC">
        <w:rPr>
          <w:rFonts w:ascii="Verdana" w:eastAsia="Calibri" w:hAnsi="Verdana" w:cs="Arial"/>
        </w:rPr>
        <w:t>iv</w:t>
      </w:r>
      <w:proofErr w:type="spellEnd"/>
      <w:r w:rsidRPr="00FF26FC">
        <w:rPr>
          <w:rFonts w:ascii="Verdana" w:eastAsia="Calibri" w:hAnsi="Verdana" w:cs="Arial"/>
        </w:rPr>
        <w:t>) Capacidad de Organización y v) los Saldos de los Contratos en Ejecución –SCE–.</w:t>
      </w:r>
    </w:p>
    <w:p w14:paraId="46E2953B" w14:textId="77777777" w:rsidR="00FF26FC" w:rsidRPr="00FF26FC" w:rsidRDefault="00FF26FC" w:rsidP="00FF26FC">
      <w:pPr>
        <w:spacing w:after="120" w:line="276" w:lineRule="auto"/>
        <w:ind w:firstLine="708"/>
        <w:jc w:val="both"/>
        <w:rPr>
          <w:rFonts w:ascii="Verdana" w:hAnsi="Verdana"/>
        </w:rPr>
      </w:pPr>
      <w:r w:rsidRPr="00FF26FC">
        <w:rPr>
          <w:rFonts w:ascii="Verdana" w:eastAsia="Calibri" w:hAnsi="Verdana" w:cs="Arial"/>
        </w:rPr>
        <w:t xml:space="preserve">De la misma manera, el precitado artículo </w:t>
      </w:r>
      <w:r w:rsidRPr="00FF26FC">
        <w:rPr>
          <w:rFonts w:ascii="Verdana" w:hAnsi="Verdana" w:cs="Arial"/>
        </w:rPr>
        <w:t xml:space="preserve">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FF26FC">
        <w:rPr>
          <w:rFonts w:ascii="Verdana" w:hAnsi="Verdana" w:cs="Arial"/>
        </w:rPr>
        <w:t>ii</w:t>
      </w:r>
      <w:proofErr w:type="spellEnd"/>
      <w:r w:rsidRPr="00FF26FC">
        <w:rPr>
          <w:rFonts w:ascii="Verdana" w:hAnsi="Verdana" w:cs="Arial"/>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FF26FC">
        <w:rPr>
          <w:rFonts w:ascii="Verdana" w:hAnsi="Verdana" w:cs="Arial"/>
        </w:rPr>
        <w:t>iii</w:t>
      </w:r>
      <w:proofErr w:type="spellEnd"/>
      <w:r w:rsidRPr="00FF26FC">
        <w:rPr>
          <w:rFonts w:ascii="Verdana" w:hAnsi="Verdana" w:cs="Arial"/>
        </w:rPr>
        <w:t>) el balance general auditado del año inmediatamente anterior y estado de resultados auditado del año en que haya obtenido el mayor ingreso operacional en los últimos cinco (5) años</w:t>
      </w:r>
      <w:bookmarkEnd w:id="4"/>
      <w:r w:rsidRPr="00FF26FC">
        <w:rPr>
          <w:rFonts w:ascii="Verdana" w:hAnsi="Verdana"/>
          <w:vertAlign w:val="superscript"/>
        </w:rPr>
        <w:footnoteReference w:id="2"/>
      </w:r>
      <w:r w:rsidRPr="00FF26FC">
        <w:rPr>
          <w:rFonts w:ascii="Verdana" w:hAnsi="Verdana" w:cs="Arial"/>
        </w:rPr>
        <w:t xml:space="preserve">. </w:t>
      </w:r>
    </w:p>
    <w:p w14:paraId="7D83C874" w14:textId="77777777" w:rsidR="00FF26FC" w:rsidRPr="00FF26FC" w:rsidRDefault="00FF26FC" w:rsidP="00FF26FC">
      <w:pPr>
        <w:spacing w:line="276" w:lineRule="auto"/>
        <w:ind w:firstLine="708"/>
        <w:jc w:val="both"/>
        <w:rPr>
          <w:rFonts w:ascii="Verdana" w:eastAsia="Calibri" w:hAnsi="Verdana" w:cs="Arial"/>
        </w:rPr>
      </w:pPr>
      <w:r w:rsidRPr="00FF26FC">
        <w:rPr>
          <w:rFonts w:ascii="Verdana" w:eastAsia="Calibri" w:hAnsi="Verdana" w:cs="Arial"/>
        </w:rPr>
        <w:lastRenderedPageBreak/>
        <w:t xml:space="preserve">Así, la entidad estatal debe verificar que la capacidad residual del proponente “CRP” sea igual o superior a la capacidad residual del proceso de contratación “CRPC”. De todas formas, previamente debe establecer la “CRP”, con fundamento en los siguientes factores: i) experiencia “E”; </w:t>
      </w:r>
      <w:proofErr w:type="spellStart"/>
      <w:r w:rsidRPr="00FF26FC">
        <w:rPr>
          <w:rFonts w:ascii="Verdana" w:eastAsia="Calibri" w:hAnsi="Verdana" w:cs="Arial"/>
        </w:rPr>
        <w:t>ii</w:t>
      </w:r>
      <w:proofErr w:type="spellEnd"/>
      <w:r w:rsidRPr="00FF26FC">
        <w:rPr>
          <w:rFonts w:ascii="Verdana" w:eastAsia="Calibri" w:hAnsi="Verdana" w:cs="Arial"/>
        </w:rPr>
        <w:t xml:space="preserve">) capacidad financiera “CF”; </w:t>
      </w:r>
      <w:proofErr w:type="spellStart"/>
      <w:r w:rsidRPr="00FF26FC">
        <w:rPr>
          <w:rFonts w:ascii="Verdana" w:eastAsia="Calibri" w:hAnsi="Verdana" w:cs="Arial"/>
        </w:rPr>
        <w:t>iii</w:t>
      </w:r>
      <w:proofErr w:type="spellEnd"/>
      <w:r w:rsidRPr="00FF26FC">
        <w:rPr>
          <w:rFonts w:ascii="Verdana" w:eastAsia="Calibri" w:hAnsi="Verdana" w:cs="Arial"/>
        </w:rPr>
        <w:t xml:space="preserve">) capacidad técnica “CT”, </w:t>
      </w:r>
      <w:proofErr w:type="spellStart"/>
      <w:r w:rsidRPr="00FF26FC">
        <w:rPr>
          <w:rFonts w:ascii="Verdana" w:eastAsia="Calibri" w:hAnsi="Verdana" w:cs="Arial"/>
        </w:rPr>
        <w:t>iv</w:t>
      </w:r>
      <w:proofErr w:type="spellEnd"/>
      <w:r w:rsidRPr="00FF26FC">
        <w:rPr>
          <w:rFonts w:ascii="Verdana" w:eastAsia="Calibri" w:hAnsi="Verdana" w:cs="Arial"/>
        </w:rPr>
        <w:t>) capacidad de organización “CO”; y v) los saldos de los contratos en ejecución “SCE”, según la siguiente fórmula:</w:t>
      </w:r>
    </w:p>
    <w:p w14:paraId="43AE0A0B" w14:textId="77777777" w:rsidR="00FF26FC" w:rsidRPr="00FF26FC" w:rsidRDefault="00FF26FC" w:rsidP="00FF26FC">
      <w:pPr>
        <w:spacing w:after="0" w:line="276" w:lineRule="auto"/>
        <w:ind w:left="720"/>
        <w:contextualSpacing/>
        <w:jc w:val="both"/>
        <w:rPr>
          <w:rFonts w:ascii="Verdana" w:eastAsia="Calibri" w:hAnsi="Verdana" w:cs="Arial"/>
          <w:lang w:val="es-ES"/>
        </w:rPr>
      </w:pPr>
      <w:r w:rsidRPr="00FF26FC">
        <w:rPr>
          <w:rFonts w:ascii="Verdana" w:eastAsia="Calibri" w:hAnsi="Verdana" w:cs="Arial"/>
          <w:noProof/>
          <w:lang w:val="es-ES"/>
        </w:rPr>
        <w:drawing>
          <wp:inline distT="0" distB="0" distL="0" distR="0" wp14:anchorId="4D99BDFA" wp14:editId="1E19F1CB">
            <wp:extent cx="4305673" cy="624894"/>
            <wp:effectExtent l="0" t="0" r="0" b="3810"/>
            <wp:docPr id="1187773629" name="Imagen 1" descr="Imagen que contiene 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773629" name="Imagen 1" descr="Imagen que contiene Diagrama&#10;&#10;El contenido generado por IA puede ser incorrecto."/>
                    <pic:cNvPicPr/>
                  </pic:nvPicPr>
                  <pic:blipFill>
                    <a:blip r:embed="rId12"/>
                    <a:stretch>
                      <a:fillRect/>
                    </a:stretch>
                  </pic:blipFill>
                  <pic:spPr>
                    <a:xfrm>
                      <a:off x="0" y="0"/>
                      <a:ext cx="4305673" cy="624894"/>
                    </a:xfrm>
                    <a:prstGeom prst="rect">
                      <a:avLst/>
                    </a:prstGeom>
                  </pic:spPr>
                </pic:pic>
              </a:graphicData>
            </a:graphic>
          </wp:inline>
        </w:drawing>
      </w:r>
    </w:p>
    <w:p w14:paraId="06C4243D" w14:textId="77777777" w:rsidR="00FF26FC" w:rsidRPr="00FF26FC" w:rsidRDefault="00FF26FC" w:rsidP="00FF26FC">
      <w:pPr>
        <w:spacing w:after="0" w:line="276" w:lineRule="auto"/>
        <w:ind w:left="720"/>
        <w:contextualSpacing/>
        <w:jc w:val="both"/>
        <w:rPr>
          <w:rFonts w:ascii="Verdana" w:eastAsia="Calibri" w:hAnsi="Verdana" w:cs="Arial"/>
          <w:lang w:val="es-ES"/>
        </w:rPr>
      </w:pPr>
    </w:p>
    <w:p w14:paraId="2DAEDC47" w14:textId="77777777" w:rsidR="00FF26FC" w:rsidRPr="00FF26FC" w:rsidRDefault="00FF26FC" w:rsidP="00FF26FC">
      <w:pPr>
        <w:spacing w:after="120" w:line="276" w:lineRule="auto"/>
        <w:ind w:firstLine="708"/>
        <w:jc w:val="both"/>
        <w:rPr>
          <w:rFonts w:ascii="Verdana" w:eastAsia="Calibri" w:hAnsi="Verdana" w:cs="Arial"/>
        </w:rPr>
      </w:pPr>
      <w:r w:rsidRPr="00FF26FC">
        <w:rPr>
          <w:rFonts w:ascii="Verdana" w:eastAsia="Calibri" w:hAnsi="Verdana" w:cs="Arial"/>
        </w:rPr>
        <w:t xml:space="preserve">A cada uno de estos factores se les debe asignar los siguientes puntajes máximos: i) “E” 120; </w:t>
      </w:r>
      <w:proofErr w:type="spellStart"/>
      <w:r w:rsidRPr="00FF26FC">
        <w:rPr>
          <w:rFonts w:ascii="Verdana" w:eastAsia="Calibri" w:hAnsi="Verdana" w:cs="Arial"/>
        </w:rPr>
        <w:t>ii</w:t>
      </w:r>
      <w:proofErr w:type="spellEnd"/>
      <w:r w:rsidRPr="00FF26FC">
        <w:rPr>
          <w:rFonts w:ascii="Verdana" w:eastAsia="Calibri" w:hAnsi="Verdana" w:cs="Arial"/>
        </w:rPr>
        <w:t xml:space="preserve">) “CF” 40; y </w:t>
      </w:r>
      <w:proofErr w:type="spellStart"/>
      <w:r w:rsidRPr="00FF26FC">
        <w:rPr>
          <w:rFonts w:ascii="Verdana" w:eastAsia="Calibri" w:hAnsi="Verdana" w:cs="Arial"/>
        </w:rPr>
        <w:t>iii</w:t>
      </w:r>
      <w:proofErr w:type="spellEnd"/>
      <w:r w:rsidRPr="00FF26FC">
        <w:rPr>
          <w:rFonts w:ascii="Verdana" w:eastAsia="Calibri" w:hAnsi="Verdana" w:cs="Arial"/>
        </w:rPr>
        <w:t xml:space="preserve">) “CT” 40. La “CO” no tiene asignación de puntaje en la fórmula, por un lado, porque su unidad de medida es en pesos colombianos “COP” y, por el otro, debido a que el mismo constituye un factor multiplicador de los demás factores en la fórmula. </w:t>
      </w:r>
    </w:p>
    <w:p w14:paraId="28455866" w14:textId="77777777" w:rsidR="00FF26FC" w:rsidRPr="00FF26FC" w:rsidRDefault="00FF26FC" w:rsidP="00FF26FC">
      <w:pPr>
        <w:spacing w:after="0" w:line="276" w:lineRule="auto"/>
        <w:ind w:firstLine="708"/>
        <w:jc w:val="both"/>
        <w:rPr>
          <w:rFonts w:ascii="Verdana" w:eastAsia="Calibri" w:hAnsi="Verdana" w:cs="Arial"/>
        </w:rPr>
      </w:pPr>
      <w:r w:rsidRPr="00FF26FC">
        <w:rPr>
          <w:rFonts w:ascii="Verdana" w:eastAsia="Calibri" w:hAnsi="Verdana" w:cs="Arial"/>
        </w:rPr>
        <w:t xml:space="preserve">Para el caso de la Capacidad Técnica (CT), </w:t>
      </w:r>
      <w:bookmarkStart w:id="5" w:name="_Hlk120020747"/>
      <w:r w:rsidRPr="00FF26FC">
        <w:rPr>
          <w:rFonts w:ascii="Verdana" w:eastAsia="Calibri" w:hAnsi="Verdana" w:cs="Arial"/>
        </w:rPr>
        <w:t>sobre la cual se centra su consulta, el artículo 72 de la Ley 1682 de 2013 y el artículo 2.2.1.1.1.6.4 del Decreto 1082 de 2015, la incluyen como uno de los factores que se deben tener en cuenta para calcular la capacidad residual de los proponentes. Sin embargo, estas disposiciones no definieron criterios o la forma de valoración de este factor. Por lo anterior, la Agencia Nacional de Contratación Pública – Colombia Compra Eficiente, en el marco de la competencia establecida por el Decreto 1082 de 2015, al fijar la metodología para el cálculo de la capacidad residual, estableció la forma de calcular la Capacidad Técnica (CT) en la “Guía para Determinar y Verificar la Capacidad Residual del Proponente en los Procesos de Contratación de Obra Pública”</w:t>
      </w:r>
      <w:r w:rsidRPr="00FF26FC">
        <w:rPr>
          <w:rFonts w:ascii="Verdana" w:eastAsia="Calibri" w:hAnsi="Verdana" w:cs="Arial"/>
          <w:vertAlign w:val="superscript"/>
        </w:rPr>
        <w:footnoteReference w:id="3"/>
      </w:r>
      <w:r w:rsidRPr="00FF26FC">
        <w:rPr>
          <w:rFonts w:ascii="Verdana" w:eastAsia="Calibri" w:hAnsi="Verdana" w:cs="Arial"/>
        </w:rPr>
        <w:t xml:space="preserve"> de la siguiente manera: </w:t>
      </w:r>
    </w:p>
    <w:p w14:paraId="075D1B46" w14:textId="77777777" w:rsidR="00FF26FC" w:rsidRPr="00FF26FC" w:rsidRDefault="00FF26FC" w:rsidP="00FF26FC">
      <w:pPr>
        <w:spacing w:after="0" w:line="276" w:lineRule="auto"/>
        <w:ind w:left="720"/>
        <w:contextualSpacing/>
        <w:jc w:val="both"/>
        <w:rPr>
          <w:rFonts w:ascii="Geomanist Light" w:eastAsia="Calibri" w:hAnsi="Geomanist Light" w:cs="Arial"/>
          <w:lang w:val="es-ES"/>
        </w:rPr>
      </w:pPr>
    </w:p>
    <w:p w14:paraId="19EBF438" w14:textId="77777777" w:rsidR="00FF26FC" w:rsidRPr="00FF26FC" w:rsidRDefault="00FF26FC" w:rsidP="00FF26FC">
      <w:pPr>
        <w:spacing w:after="0" w:line="240" w:lineRule="auto"/>
        <w:ind w:left="709" w:right="709"/>
        <w:contextualSpacing/>
        <w:jc w:val="both"/>
        <w:rPr>
          <w:rFonts w:ascii="Verdana" w:eastAsia="Calibri" w:hAnsi="Verdana" w:cs="Arial"/>
          <w:b/>
          <w:sz w:val="20"/>
          <w:szCs w:val="20"/>
          <w:lang w:val="es-ES"/>
        </w:rPr>
      </w:pPr>
      <w:r w:rsidRPr="00FF26FC">
        <w:rPr>
          <w:rFonts w:ascii="Verdana" w:eastAsia="Calibri" w:hAnsi="Verdana" w:cs="Arial"/>
          <w:sz w:val="20"/>
          <w:szCs w:val="20"/>
          <w:lang w:val="es-ES"/>
        </w:rPr>
        <w:t>“</w:t>
      </w:r>
      <w:r w:rsidRPr="00FF26FC">
        <w:rPr>
          <w:rFonts w:ascii="Verdana" w:eastAsia="Calibri" w:hAnsi="Verdana" w:cs="Arial"/>
          <w:b/>
          <w:sz w:val="20"/>
          <w:szCs w:val="20"/>
          <w:lang w:val="es-ES"/>
        </w:rPr>
        <w:t>9.4 ¿Cómo calcular la Capacidad Técnica (CT)?</w:t>
      </w:r>
    </w:p>
    <w:p w14:paraId="0C04CD22" w14:textId="77777777" w:rsidR="00FF26FC" w:rsidRPr="00FF26FC" w:rsidRDefault="00FF26FC" w:rsidP="00FF26FC">
      <w:pPr>
        <w:spacing w:after="0" w:line="240" w:lineRule="auto"/>
        <w:ind w:left="709" w:right="709"/>
        <w:contextualSpacing/>
        <w:jc w:val="both"/>
        <w:rPr>
          <w:rFonts w:ascii="Verdana" w:eastAsia="Calibri" w:hAnsi="Verdana" w:cs="Arial"/>
          <w:sz w:val="20"/>
          <w:szCs w:val="20"/>
          <w:lang w:val="es-ES"/>
        </w:rPr>
      </w:pPr>
    </w:p>
    <w:p w14:paraId="2F3E3B17" w14:textId="77777777" w:rsidR="00FF26FC" w:rsidRPr="00FF26FC" w:rsidRDefault="00FF26FC" w:rsidP="00FF26FC">
      <w:pPr>
        <w:spacing w:after="0" w:line="240" w:lineRule="auto"/>
        <w:ind w:left="709" w:right="709"/>
        <w:contextualSpacing/>
        <w:jc w:val="both"/>
        <w:rPr>
          <w:rFonts w:ascii="Verdana" w:eastAsia="Calibri" w:hAnsi="Verdana" w:cs="Arial"/>
          <w:sz w:val="20"/>
          <w:szCs w:val="20"/>
          <w:lang w:val="es-ES"/>
        </w:rPr>
      </w:pPr>
      <w:r w:rsidRPr="00FF26FC">
        <w:rPr>
          <w:rFonts w:ascii="Verdana" w:eastAsia="Calibri" w:hAnsi="Verdana" w:cs="Arial"/>
          <w:sz w:val="20"/>
          <w:szCs w:val="20"/>
          <w:lang w:val="es-ES"/>
        </w:rPr>
        <w:lastRenderedPageBreak/>
        <w:t>La capacidad técnica (CT) se asigna teniendo en cuenta el número de socios y profesionales de la arquitectura, ingeniería y geología vinculados mediante una relación laboral o contractual conforme a la cual desarrollen actividades relacionadas directamente a la construcción.</w:t>
      </w:r>
    </w:p>
    <w:p w14:paraId="016D9B81" w14:textId="77777777" w:rsidR="00FF26FC" w:rsidRPr="00FF26FC" w:rsidRDefault="00FF26FC" w:rsidP="00FF26FC">
      <w:pPr>
        <w:spacing w:after="0" w:line="240" w:lineRule="auto"/>
        <w:ind w:left="709" w:right="709"/>
        <w:contextualSpacing/>
        <w:jc w:val="both"/>
        <w:rPr>
          <w:rFonts w:ascii="Verdana" w:eastAsia="Calibri" w:hAnsi="Verdana" w:cs="Arial"/>
          <w:sz w:val="20"/>
          <w:szCs w:val="20"/>
          <w:lang w:val="es-ES"/>
        </w:rPr>
      </w:pPr>
    </w:p>
    <w:p w14:paraId="64F3558A" w14:textId="77777777" w:rsidR="00FF26FC" w:rsidRPr="00FF26FC" w:rsidRDefault="00FF26FC" w:rsidP="00FF26FC">
      <w:pPr>
        <w:widowControl w:val="0"/>
        <w:autoSpaceDE w:val="0"/>
        <w:autoSpaceDN w:val="0"/>
        <w:spacing w:after="0" w:line="240" w:lineRule="auto"/>
        <w:ind w:left="709" w:right="709"/>
        <w:jc w:val="both"/>
        <w:rPr>
          <w:rFonts w:ascii="Verdana" w:eastAsia="Calibri" w:hAnsi="Verdana" w:cs="Arial"/>
          <w:sz w:val="20"/>
          <w:szCs w:val="20"/>
          <w:lang w:val="es-ES"/>
        </w:rPr>
      </w:pPr>
      <w:r w:rsidRPr="00FF26FC">
        <w:rPr>
          <w:rFonts w:ascii="Verdana" w:eastAsia="Calibri" w:hAnsi="Verdana" w:cs="Arial"/>
          <w:sz w:val="20"/>
          <w:szCs w:val="20"/>
          <w:lang w:val="es-ES"/>
        </w:rPr>
        <w:t>Para acreditar la Capacidad Técnica (CT) el proponente debe diligenciar el formato establecido para tal fin en los pliegos de condiciones. No obstante, se sugiere el establecido en el Anexo 2 de esta guía.</w:t>
      </w:r>
    </w:p>
    <w:p w14:paraId="66257961" w14:textId="77777777" w:rsidR="00FF26FC" w:rsidRPr="00FF26FC" w:rsidRDefault="00FF26FC" w:rsidP="00FF26FC">
      <w:pPr>
        <w:widowControl w:val="0"/>
        <w:autoSpaceDE w:val="0"/>
        <w:autoSpaceDN w:val="0"/>
        <w:spacing w:after="0" w:line="240" w:lineRule="auto"/>
        <w:ind w:left="709" w:right="709"/>
        <w:jc w:val="both"/>
        <w:rPr>
          <w:rFonts w:ascii="Verdana" w:eastAsia="Calibri" w:hAnsi="Verdana" w:cs="Arial"/>
          <w:sz w:val="20"/>
          <w:szCs w:val="20"/>
          <w:lang w:val="es-ES"/>
        </w:rPr>
      </w:pPr>
    </w:p>
    <w:p w14:paraId="46AE7945" w14:textId="77777777" w:rsidR="00FF26FC" w:rsidRPr="00FF26FC" w:rsidRDefault="00FF26FC" w:rsidP="00FF26FC">
      <w:pPr>
        <w:widowControl w:val="0"/>
        <w:autoSpaceDE w:val="0"/>
        <w:autoSpaceDN w:val="0"/>
        <w:spacing w:after="0" w:line="240" w:lineRule="auto"/>
        <w:ind w:left="709" w:right="709"/>
        <w:jc w:val="both"/>
        <w:rPr>
          <w:rFonts w:ascii="Verdana" w:eastAsia="Calibri" w:hAnsi="Verdana" w:cs="Arial"/>
          <w:sz w:val="20"/>
          <w:szCs w:val="20"/>
          <w:lang w:val="es-ES"/>
        </w:rPr>
      </w:pPr>
      <w:r w:rsidRPr="00FF26FC">
        <w:rPr>
          <w:rFonts w:ascii="Verdana" w:eastAsia="Calibri" w:hAnsi="Verdana" w:cs="Arial"/>
          <w:sz w:val="20"/>
          <w:szCs w:val="20"/>
          <w:lang w:val="es-ES"/>
        </w:rPr>
        <w:t xml:space="preserve">[...]”. </w:t>
      </w:r>
    </w:p>
    <w:p w14:paraId="2E6F2FA6" w14:textId="77777777" w:rsidR="00FF26FC" w:rsidRPr="00FF26FC" w:rsidRDefault="00FF26FC" w:rsidP="00FF26FC">
      <w:pPr>
        <w:widowControl w:val="0"/>
        <w:autoSpaceDE w:val="0"/>
        <w:autoSpaceDN w:val="0"/>
        <w:spacing w:after="0" w:line="276" w:lineRule="auto"/>
        <w:ind w:left="709" w:right="709"/>
        <w:jc w:val="both"/>
        <w:rPr>
          <w:rFonts w:ascii="Verdana" w:eastAsia="Calibri" w:hAnsi="Verdana" w:cs="Arial"/>
          <w:lang w:val="es-ES"/>
        </w:rPr>
      </w:pPr>
    </w:p>
    <w:p w14:paraId="7A83B623" w14:textId="77777777" w:rsidR="00FF26FC" w:rsidRPr="00FF26FC" w:rsidRDefault="00FF26FC" w:rsidP="00FF26FC">
      <w:pPr>
        <w:spacing w:after="120" w:line="276" w:lineRule="auto"/>
        <w:ind w:firstLine="708"/>
        <w:jc w:val="both"/>
        <w:rPr>
          <w:rFonts w:ascii="Verdana" w:eastAsia="Calibri" w:hAnsi="Verdana" w:cs="Arial"/>
        </w:rPr>
      </w:pPr>
      <w:r w:rsidRPr="00FF26FC">
        <w:rPr>
          <w:rFonts w:ascii="Verdana" w:eastAsia="Calibri" w:hAnsi="Verdana" w:cs="Arial"/>
        </w:rPr>
        <w:t>Se observa que, la “Guía para Determinar y Verificar la Capacidad Residual del Proponente en los Procesos de Contratación de Obra Pública”, indica que, la Capacidad Técnica (CT) se asigna teniendo en cuenta el número de socios y profesionales de la arquitectura, ingeniería y geología vinculados mediante una relación laboral o contractual conforme a la cual desarrollen actividades relacionadas directamente a la construcción.</w:t>
      </w:r>
    </w:p>
    <w:p w14:paraId="29EF5DD1" w14:textId="77777777" w:rsidR="00FF26FC" w:rsidRPr="00FF26FC" w:rsidRDefault="00FF26FC" w:rsidP="00FF26FC">
      <w:pPr>
        <w:spacing w:after="120" w:line="276" w:lineRule="auto"/>
        <w:ind w:firstLine="708"/>
        <w:jc w:val="both"/>
        <w:rPr>
          <w:rFonts w:ascii="Verdana" w:eastAsia="Calibri" w:hAnsi="Verdana"/>
        </w:rPr>
      </w:pPr>
      <w:r w:rsidRPr="00FF26FC">
        <w:rPr>
          <w:rFonts w:ascii="Verdana" w:hAnsi="Verdana"/>
          <w:lang w:val="es-ES"/>
        </w:rPr>
        <w:t xml:space="preserve">Asimismo, establece que para acreditar la Capacidad Técnica (CT) es el proponente quien debe diligenciar el formato establecido en los pliegos de condiciones. Al respecto debe tenerse en cuenta, </w:t>
      </w:r>
      <w:r w:rsidRPr="00FF26FC">
        <w:rPr>
          <w:rFonts w:ascii="Verdana" w:eastAsia="Calibri" w:hAnsi="Verdana" w:cs="Arial"/>
        </w:rPr>
        <w:t xml:space="preserve">que </w:t>
      </w:r>
      <w:r w:rsidRPr="00FF26FC">
        <w:rPr>
          <w:rFonts w:ascii="Verdana" w:eastAsia="Calibri" w:hAnsi="Verdana"/>
        </w:rPr>
        <w:t xml:space="preserve">la entidad estatal, como directora de los Procesos de Contratación que adelanta, debe señalar en el pliego de condiciones–o en la invitación– cuál es la información que se debe acreditar para el cálculo de la capacidad residual, así como los documentos que tendrá como válidos para tal fin. En consecuencia, el proponente deberá ceñirse a lo dispuesto por la entidad y allegar toda información ordenada, en los términos y la forma en que hayan sido señalados, con el fin de que la entidad pueda calcular la capacidad residual del proponente y verificar si cumple o no con la requerida en el proceso de contratación que adelanta. </w:t>
      </w:r>
    </w:p>
    <w:p w14:paraId="5EEEF390" w14:textId="77777777" w:rsidR="00FF26FC" w:rsidRPr="00FF26FC" w:rsidRDefault="00FF26FC" w:rsidP="00FF26FC">
      <w:pPr>
        <w:spacing w:after="120" w:line="276" w:lineRule="auto"/>
        <w:ind w:firstLine="709"/>
        <w:jc w:val="both"/>
        <w:rPr>
          <w:rFonts w:ascii="Verdana" w:hAnsi="Verdana"/>
          <w:lang w:val="es-ES"/>
        </w:rPr>
      </w:pPr>
      <w:r w:rsidRPr="00FF26FC">
        <w:rPr>
          <w:rFonts w:ascii="Verdana" w:hAnsi="Verdana"/>
          <w:lang w:val="es-ES"/>
        </w:rPr>
        <w:t xml:space="preserve">En todo caso, la mencionada Guía sugiere el uso del “Anexo 2 – Certificación de la Capacidad Técnica”. Este formato señala que, el representante legal del proponente y el auditor o revisor fiscal deben diligenciar el “Nombre del socio y/o profesional de la arquitectura, ingeniería o geología”, la “Profesión”, el “No. de matrícula profesional”, el “Número y año del Contrato laboral o de prestación de servicios profesionales” y la “Vigencia del Contrato”, aclarando que para el caso de los proponentes plurales este anexo deberá ser diligenciado de forma independiente por cada integrante. </w:t>
      </w:r>
    </w:p>
    <w:p w14:paraId="1002D6F3" w14:textId="77777777" w:rsidR="00FF26FC" w:rsidRPr="00FF26FC" w:rsidRDefault="00FF26FC" w:rsidP="00FF26FC">
      <w:pPr>
        <w:spacing w:after="120" w:line="276" w:lineRule="auto"/>
        <w:ind w:firstLine="709"/>
        <w:jc w:val="both"/>
        <w:rPr>
          <w:rFonts w:ascii="Verdana" w:eastAsia="Calibri" w:hAnsi="Verdana" w:cs="Arial"/>
        </w:rPr>
      </w:pPr>
      <w:r w:rsidRPr="00FF26FC">
        <w:rPr>
          <w:rFonts w:ascii="Verdana" w:hAnsi="Verdana"/>
          <w:lang w:val="es-ES"/>
        </w:rPr>
        <w:t>Así las cosas, respecto al primer problema jurídico, debe señalarse que n</w:t>
      </w:r>
      <w:r w:rsidRPr="00FF26FC">
        <w:rPr>
          <w:rFonts w:ascii="Verdana" w:eastAsia="Calibri" w:hAnsi="Verdana" w:cs="Arial"/>
        </w:rPr>
        <w:t xml:space="preserve">i las referenciadas normas, ni la </w:t>
      </w:r>
      <w:r w:rsidRPr="00FF26FC">
        <w:t xml:space="preserve"> “</w:t>
      </w:r>
      <w:r w:rsidRPr="00FF26FC">
        <w:rPr>
          <w:rFonts w:ascii="Verdana" w:eastAsia="Calibri" w:hAnsi="Verdana" w:cs="Arial"/>
        </w:rPr>
        <w:t xml:space="preserve">Guía para determinar y verificar la Capacidad </w:t>
      </w:r>
      <w:r w:rsidRPr="00FF26FC">
        <w:rPr>
          <w:rFonts w:ascii="Verdana" w:eastAsia="Calibri" w:hAnsi="Verdana" w:cs="Arial"/>
        </w:rPr>
        <w:lastRenderedPageBreak/>
        <w:t xml:space="preserve">Residual del proponente en los Procesos de Contratación de obra pública”,  expedida por esta Agencia, exigen o sugieren el acompañamiento de las planillas de pago de seguridad social como un anexo para la acreditación de este requisito, por lo que su solicitud y cumplimiento es una discreción de la entidad contratante como directora de los procesos de contratación que adelanta. </w:t>
      </w:r>
    </w:p>
    <w:p w14:paraId="57FCD083" w14:textId="77777777" w:rsidR="00FF26FC" w:rsidRPr="00FF26FC" w:rsidRDefault="00FF26FC" w:rsidP="00FF26FC">
      <w:pPr>
        <w:spacing w:after="120" w:line="276" w:lineRule="auto"/>
        <w:ind w:firstLine="709"/>
        <w:jc w:val="both"/>
        <w:rPr>
          <w:rFonts w:ascii="Verdana" w:hAnsi="Verdana"/>
          <w:lang w:val="es-ES"/>
        </w:rPr>
      </w:pPr>
      <w:r w:rsidRPr="00FF26FC">
        <w:rPr>
          <w:rFonts w:ascii="Verdana" w:eastAsia="Calibri" w:hAnsi="Verdana" w:cs="Arial"/>
        </w:rPr>
        <w:t>La exigencia de dichas planillas debe señalarse en el pliego de condiciones–o en la invitación–, así como es la información que se debe acreditar para el cálculo de la Capacidad Residual y los documentos que se tendrán como válidos para tal fin. En consecuencia, el proponente deberá ceñirse a lo dispuesto por la Entidad y allegar toda información ordenada, en los términos y la forma en que hayan sido señalados, con el fin de que la entidad pueda calcular la Capacidad Residual del proponente y verificar si cumple o no con la requerida en el Proceso de Contratación que adelanta.</w:t>
      </w:r>
    </w:p>
    <w:p w14:paraId="18D82030" w14:textId="77777777" w:rsidR="00FF26FC" w:rsidRPr="00FF26FC" w:rsidRDefault="00FF26FC" w:rsidP="00FF26FC">
      <w:pPr>
        <w:spacing w:after="0" w:line="276" w:lineRule="auto"/>
        <w:ind w:firstLine="708"/>
        <w:jc w:val="both"/>
        <w:rPr>
          <w:rFonts w:ascii="Verdana" w:eastAsia="Calibri" w:hAnsi="Verdana" w:cs="Arial"/>
        </w:rPr>
      </w:pPr>
      <w:proofErr w:type="spellStart"/>
      <w:r w:rsidRPr="00FF26FC">
        <w:rPr>
          <w:rFonts w:ascii="Verdana" w:eastAsia="Calibri" w:hAnsi="Verdana" w:cs="Arial"/>
          <w:lang w:val="es-ES"/>
        </w:rPr>
        <w:t>ii</w:t>
      </w:r>
      <w:proofErr w:type="spellEnd"/>
      <w:r w:rsidRPr="00FF26FC">
        <w:rPr>
          <w:rFonts w:ascii="Verdana" w:eastAsia="Calibri" w:hAnsi="Verdana" w:cs="Arial"/>
          <w:lang w:val="es-ES"/>
        </w:rPr>
        <w:t xml:space="preserve">) </w:t>
      </w:r>
      <w:r w:rsidRPr="00FF26FC">
        <w:rPr>
          <w:rFonts w:ascii="Verdana" w:eastAsia="Calibri" w:hAnsi="Verdana" w:cs="Arial"/>
        </w:rPr>
        <w:t>Ahora bien, según esta Guía el puntaje de la capacidad técnica (CT) se asigna con base en la siguiente tabla:</w:t>
      </w:r>
    </w:p>
    <w:bookmarkEnd w:id="5"/>
    <w:p w14:paraId="365788CF" w14:textId="77777777" w:rsidR="00FF26FC" w:rsidRPr="00FF26FC" w:rsidRDefault="00FF26FC" w:rsidP="00FF26FC">
      <w:pPr>
        <w:spacing w:after="0" w:line="276" w:lineRule="auto"/>
        <w:ind w:left="720"/>
        <w:jc w:val="both"/>
        <w:rPr>
          <w:rFonts w:ascii="Verdana" w:eastAsia="Calibri" w:hAnsi="Verdana" w:cs="Arial"/>
          <w:lang w:val="es-ES"/>
        </w:rPr>
      </w:pPr>
    </w:p>
    <w:p w14:paraId="57284FF4" w14:textId="77777777" w:rsidR="00FF26FC" w:rsidRPr="00FF26FC" w:rsidRDefault="00FF26FC" w:rsidP="00FF26FC">
      <w:pPr>
        <w:spacing w:after="120" w:line="276" w:lineRule="auto"/>
        <w:ind w:left="720"/>
        <w:jc w:val="both"/>
        <w:rPr>
          <w:rFonts w:ascii="Verdana" w:eastAsia="Calibri" w:hAnsi="Verdana" w:cs="Arial"/>
          <w:lang w:val="es-ES"/>
        </w:rPr>
      </w:pPr>
      <w:r w:rsidRPr="00FF26FC">
        <w:rPr>
          <w:rFonts w:ascii="Verdana" w:eastAsia="Calibri" w:hAnsi="Verdana" w:cs="Arial"/>
          <w:noProof/>
          <w:lang w:val="es-ES"/>
        </w:rPr>
        <w:drawing>
          <wp:inline distT="0" distB="0" distL="0" distR="0" wp14:anchorId="645DC7A5" wp14:editId="7CC0E90B">
            <wp:extent cx="4328535" cy="1234547"/>
            <wp:effectExtent l="0" t="0" r="0" b="3810"/>
            <wp:docPr id="1735293242"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754020" name="Imagen 1" descr="Tabla&#10;&#10;El contenido generado por IA puede ser incorrecto."/>
                    <pic:cNvPicPr/>
                  </pic:nvPicPr>
                  <pic:blipFill>
                    <a:blip r:embed="rId13"/>
                    <a:stretch>
                      <a:fillRect/>
                    </a:stretch>
                  </pic:blipFill>
                  <pic:spPr>
                    <a:xfrm>
                      <a:off x="0" y="0"/>
                      <a:ext cx="4328535" cy="1234547"/>
                    </a:xfrm>
                    <a:prstGeom prst="rect">
                      <a:avLst/>
                    </a:prstGeom>
                  </pic:spPr>
                </pic:pic>
              </a:graphicData>
            </a:graphic>
          </wp:inline>
        </w:drawing>
      </w:r>
    </w:p>
    <w:p w14:paraId="40902CEA" w14:textId="77777777" w:rsidR="00FF26FC" w:rsidRPr="00FF26FC" w:rsidRDefault="00FF26FC" w:rsidP="00FF26FC">
      <w:pPr>
        <w:spacing w:after="120" w:line="276" w:lineRule="auto"/>
        <w:ind w:firstLine="708"/>
        <w:jc w:val="both"/>
        <w:rPr>
          <w:rFonts w:ascii="Verdana" w:eastAsia="Calibri" w:hAnsi="Verdana" w:cs="Arial"/>
        </w:rPr>
      </w:pPr>
      <w:r w:rsidRPr="00FF26FC">
        <w:rPr>
          <w:rFonts w:ascii="Verdana" w:eastAsia="Calibri" w:hAnsi="Verdana" w:cs="Arial"/>
          <w:lang w:val="es-ES"/>
        </w:rPr>
        <w:t>Conforme a lo anterior, p</w:t>
      </w:r>
      <w:proofErr w:type="spellStart"/>
      <w:r w:rsidRPr="00FF26FC">
        <w:rPr>
          <w:rFonts w:ascii="Verdana" w:eastAsia="Calibri" w:hAnsi="Verdana" w:cs="Arial"/>
        </w:rPr>
        <w:t>or</w:t>
      </w:r>
      <w:proofErr w:type="spellEnd"/>
      <w:r w:rsidRPr="00FF26FC">
        <w:rPr>
          <w:rFonts w:ascii="Verdana" w:eastAsia="Calibri" w:hAnsi="Verdana" w:cs="Arial"/>
        </w:rPr>
        <w:t xml:space="preserve"> ejemplo, si un proponente cuenta con entre uno (1) y cinco (5) socios y profesionales de la arquitectura, ingeniería y geología vinculados mediante un contrato laboral o algún otro tipo de contrato el puntaje máximo que este obtendrá será de veinte (20) puntos.</w:t>
      </w:r>
    </w:p>
    <w:p w14:paraId="7617EEB6" w14:textId="77777777" w:rsidR="00FF26FC" w:rsidRPr="00FF26FC" w:rsidRDefault="00FF26FC" w:rsidP="00FF26FC">
      <w:pPr>
        <w:spacing w:after="120" w:line="276" w:lineRule="auto"/>
        <w:ind w:firstLine="708"/>
        <w:jc w:val="both"/>
        <w:rPr>
          <w:rFonts w:ascii="Verdana" w:eastAsia="Calibri" w:hAnsi="Verdana" w:cs="Arial"/>
        </w:rPr>
      </w:pPr>
      <w:r w:rsidRPr="00FF26FC">
        <w:rPr>
          <w:rFonts w:ascii="Verdana" w:eastAsia="Calibri" w:hAnsi="Verdana" w:cs="Arial"/>
        </w:rPr>
        <w:t>De esta manera, dependiendo del número de profesionales en las disciplinas señaladas, el proponente podrá obtener cero (0), veinte (20), treinta (30) o cuarenta (40) puntos como máximo, que serán tenidos en cuenta en la fórmula para el cálculo de la capacidad residual del proponente, junto con los puntajes obtenidos por los factores de Experiencia (E) y Capacidad Financiera (CF) y los valores en pesos colombianos de los factores de Capacidad de Organización (CO) y Saldo de Contratos en Ejecución (SCE).</w:t>
      </w:r>
    </w:p>
    <w:p w14:paraId="0F2DB6EE" w14:textId="77777777" w:rsidR="00FF26FC" w:rsidRPr="00FF26FC" w:rsidRDefault="00FF26FC" w:rsidP="00FF26FC">
      <w:pPr>
        <w:spacing w:after="120" w:line="276" w:lineRule="auto"/>
        <w:ind w:firstLine="708"/>
        <w:jc w:val="both"/>
        <w:rPr>
          <w:rFonts w:ascii="Verdana" w:eastAsia="Calibri" w:hAnsi="Verdana" w:cs="Arial"/>
        </w:rPr>
      </w:pPr>
      <w:r w:rsidRPr="00FF26FC">
        <w:rPr>
          <w:rFonts w:ascii="Verdana" w:eastAsia="Calibri" w:hAnsi="Verdana" w:cs="Arial"/>
        </w:rPr>
        <w:t xml:space="preserve">Explicado esto, se concluye que para el cálculo de la Capacidad Técnica (CT) se tendrán en cuenta los socios y profesionales en arquitectura, ingeniería </w:t>
      </w:r>
      <w:r w:rsidRPr="00FF26FC">
        <w:rPr>
          <w:rFonts w:ascii="Verdana" w:eastAsia="Calibri" w:hAnsi="Verdana" w:cs="Arial"/>
        </w:rPr>
        <w:lastRenderedPageBreak/>
        <w:t>y geología, quienes deberán estar vinculados a través de una relación laboral o contractual. Es decir, en este factor, independiente de la forma de vinculación con el proponente, lo relevante es que sean profesionales en las áreas allí dispuestas, las cuales tienen relación con la construcción de obra.</w:t>
      </w:r>
    </w:p>
    <w:p w14:paraId="67CF70D8" w14:textId="77777777" w:rsidR="00FF26FC" w:rsidRPr="00FF26FC" w:rsidRDefault="00FF26FC" w:rsidP="00FF26FC">
      <w:pPr>
        <w:spacing w:after="120" w:line="276" w:lineRule="auto"/>
        <w:ind w:firstLine="708"/>
        <w:jc w:val="both"/>
        <w:rPr>
          <w:rFonts w:ascii="Verdana" w:eastAsia="Calibri" w:hAnsi="Verdana" w:cs="Arial"/>
        </w:rPr>
      </w:pPr>
      <w:r w:rsidRPr="00FF26FC">
        <w:rPr>
          <w:rFonts w:ascii="Verdana" w:eastAsia="Calibri" w:hAnsi="Verdana" w:cs="Arial"/>
        </w:rPr>
        <w:t xml:space="preserve">En este contexto, resulta oportuno precisar que, el aplicativo dispuesto por la Agencia Nacional de Contratación Pública – Colombia Compra Eficiente denominado “Aplicación para establecer la Capacidad Residual” es una herramienta de apoyo para el cálculo de capacidad residual del proponente, más no es de obligatorio uso. En todo caso prevalece la metodología establecida en la guía, por lo que a ella se deben ceñir las entidades al momento de hacer el respectivo calculo.  </w:t>
      </w:r>
    </w:p>
    <w:p w14:paraId="1C290B01" w14:textId="77777777" w:rsidR="00FF26FC" w:rsidRPr="00FF26FC" w:rsidRDefault="00FF26FC" w:rsidP="00FF26FC">
      <w:pPr>
        <w:spacing w:after="0" w:line="276" w:lineRule="auto"/>
        <w:ind w:right="49" w:firstLine="703"/>
        <w:jc w:val="both"/>
        <w:rPr>
          <w:rFonts w:ascii="Verdana" w:eastAsia="Calibri" w:hAnsi="Verdana" w:cs="Arial"/>
        </w:rPr>
      </w:pPr>
      <w:r w:rsidRPr="00FF26FC">
        <w:rPr>
          <w:rFonts w:ascii="Verdana" w:eastAsia="Calibri" w:hAnsi="Verdana" w:cs="Arial"/>
        </w:rPr>
        <w:t xml:space="preserve">Visto lo anterior, es importante pasar al </w:t>
      </w:r>
      <w:bookmarkStart w:id="6" w:name="_Hlk121298068"/>
      <w:r w:rsidRPr="00FF26FC">
        <w:rPr>
          <w:rFonts w:ascii="Verdana" w:eastAsia="Calibri" w:hAnsi="Verdana" w:cs="Arial"/>
        </w:rPr>
        <w:t>a</w:t>
      </w:r>
      <w:r w:rsidRPr="00FF26FC">
        <w:rPr>
          <w:rFonts w:ascii="Verdana" w:eastAsia="Calibri" w:hAnsi="Verdana"/>
        </w:rPr>
        <w:t>nálisis frente al rechazo de ofertas respecto a la información solicitada para el cálculo de la capacidad residual</w:t>
      </w:r>
      <w:bookmarkEnd w:id="6"/>
      <w:r w:rsidRPr="00FF26FC">
        <w:rPr>
          <w:rFonts w:ascii="Verdana" w:eastAsia="Calibri" w:hAnsi="Verdana"/>
        </w:rPr>
        <w:t xml:space="preserve">. </w:t>
      </w:r>
      <w:r w:rsidRPr="00FF26FC">
        <w:rPr>
          <w:rFonts w:ascii="Verdana" w:eastAsia="Calibri" w:hAnsi="Verdana" w:cs="Ari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w:t>
      </w:r>
      <w:r w:rsidRPr="00FF26FC">
        <w:rPr>
          <w:rFonts w:ascii="Verdana" w:eastAsia="Calibri" w:hAnsi="Verdana" w:cs="Arial"/>
          <w:vertAlign w:val="superscript"/>
        </w:rPr>
        <w:footnoteReference w:id="4"/>
      </w:r>
      <w:r w:rsidRPr="00FF26FC">
        <w:rPr>
          <w:rFonts w:ascii="Verdana" w:eastAsia="Calibri" w:hAnsi="Verdana" w:cs="Arial"/>
        </w:rPr>
        <w:t xml:space="preserve"> señala:</w:t>
      </w:r>
    </w:p>
    <w:p w14:paraId="6D97D47E" w14:textId="77777777" w:rsidR="00FF26FC" w:rsidRPr="00FF26FC" w:rsidRDefault="00FF26FC" w:rsidP="00FF26FC">
      <w:pPr>
        <w:spacing w:after="120" w:line="276" w:lineRule="auto"/>
        <w:ind w:left="720"/>
        <w:contextualSpacing/>
        <w:jc w:val="both"/>
        <w:rPr>
          <w:rFonts w:ascii="Verdana" w:eastAsia="Calibri" w:hAnsi="Verdana" w:cs="Arial"/>
          <w:lang w:val="es-ES"/>
        </w:rPr>
      </w:pPr>
    </w:p>
    <w:p w14:paraId="74BFC946" w14:textId="77777777" w:rsidR="00FF26FC" w:rsidRPr="00FF26FC" w:rsidRDefault="00FF26FC" w:rsidP="00FF26FC">
      <w:pPr>
        <w:spacing w:after="0" w:line="240" w:lineRule="auto"/>
        <w:ind w:left="709" w:right="709"/>
        <w:contextualSpacing/>
        <w:jc w:val="both"/>
        <w:rPr>
          <w:rFonts w:ascii="Verdana" w:eastAsia="Calibri" w:hAnsi="Verdana" w:cs="Arial"/>
          <w:sz w:val="20"/>
          <w:szCs w:val="20"/>
          <w:lang w:val="es-ES"/>
        </w:rPr>
      </w:pPr>
      <w:r w:rsidRPr="00FF26FC">
        <w:rPr>
          <w:rFonts w:ascii="Verdana" w:eastAsia="Calibri" w:hAnsi="Verdana" w:cs="Arial"/>
          <w:sz w:val="20"/>
          <w:szCs w:val="20"/>
          <w:lang w:val="es-ES"/>
        </w:rPr>
        <w:t xml:space="preserve">“Quiere con esto destacar la Sala que las causales de rechazo de las propuestas pueden ser legales y por lo mismo generan el efecto del descarte o exclusión de la oferta </w:t>
      </w:r>
      <w:proofErr w:type="spellStart"/>
      <w:r w:rsidRPr="00FF26FC">
        <w:rPr>
          <w:rFonts w:ascii="Verdana" w:eastAsia="Calibri" w:hAnsi="Verdana" w:cs="Arial"/>
          <w:sz w:val="20"/>
          <w:szCs w:val="20"/>
          <w:lang w:val="es-ES"/>
        </w:rPr>
        <w:t>ope</w:t>
      </w:r>
      <w:proofErr w:type="spellEnd"/>
      <w:r w:rsidRPr="00FF26FC">
        <w:rPr>
          <w:rFonts w:ascii="Verdana" w:eastAsia="Calibri" w:hAnsi="Verdana" w:cs="Arial"/>
          <w:sz w:val="20"/>
          <w:szCs w:val="20"/>
          <w:lang w:val="es-ES"/>
        </w:rPr>
        <w:t xml:space="preserve"> </w:t>
      </w:r>
      <w:proofErr w:type="spellStart"/>
      <w:r w:rsidRPr="00FF26FC">
        <w:rPr>
          <w:rFonts w:ascii="Verdana" w:eastAsia="Calibri" w:hAnsi="Verdana" w:cs="Arial"/>
          <w:sz w:val="20"/>
          <w:szCs w:val="20"/>
          <w:lang w:val="es-ES"/>
        </w:rPr>
        <w:t>legis</w:t>
      </w:r>
      <w:proofErr w:type="spellEnd"/>
      <w:r w:rsidRPr="00FF26FC">
        <w:rPr>
          <w:rFonts w:ascii="Verdana" w:eastAsia="Calibri" w:hAnsi="Verdana" w:cs="Arial"/>
          <w:sz w:val="20"/>
          <w:szCs w:val="20"/>
          <w:lang w:val="es-ES"/>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7C998B05" w14:textId="77777777" w:rsidR="00FF26FC" w:rsidRPr="00FF26FC" w:rsidRDefault="00FF26FC" w:rsidP="00FF26FC">
      <w:pPr>
        <w:spacing w:after="0" w:line="276" w:lineRule="auto"/>
        <w:jc w:val="both"/>
        <w:rPr>
          <w:rFonts w:ascii="Verdana" w:eastAsia="Calibri" w:hAnsi="Verdana" w:cs="Arial"/>
          <w:lang w:val="es-ES"/>
        </w:rPr>
      </w:pPr>
    </w:p>
    <w:p w14:paraId="2977441E" w14:textId="77777777" w:rsidR="00FF26FC" w:rsidRPr="00FF26FC" w:rsidRDefault="00FF26FC" w:rsidP="00FF26FC">
      <w:pPr>
        <w:spacing w:after="0" w:line="276" w:lineRule="auto"/>
        <w:ind w:firstLine="708"/>
        <w:jc w:val="both"/>
        <w:rPr>
          <w:rFonts w:ascii="Verdana" w:eastAsia="Calibri" w:hAnsi="Verdana" w:cs="Arial"/>
        </w:rPr>
      </w:pPr>
      <w:r w:rsidRPr="00FF26FC">
        <w:rPr>
          <w:rFonts w:ascii="Verdana" w:eastAsia="Calibri" w:hAnsi="Verdana" w:cs="Arial"/>
        </w:rPr>
        <w:t xml:space="preserve">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w:t>
      </w:r>
      <w:r w:rsidRPr="00FF26FC">
        <w:rPr>
          <w:rFonts w:ascii="Verdana" w:eastAsia="Calibri" w:hAnsi="Verdana" w:cs="Arial"/>
        </w:rPr>
        <w:lastRenderedPageBreak/>
        <w:t>mediante la cual se pretenda ampliar su alcance. Al respecto, el Consejo de Estado</w:t>
      </w:r>
      <w:r w:rsidRPr="00FF26FC">
        <w:rPr>
          <w:rFonts w:ascii="Verdana" w:eastAsia="Calibri" w:hAnsi="Verdana" w:cs="Arial"/>
          <w:vertAlign w:val="superscript"/>
        </w:rPr>
        <w:footnoteReference w:id="5"/>
      </w:r>
      <w:r w:rsidRPr="00FF26FC">
        <w:rPr>
          <w:rFonts w:ascii="Verdana" w:eastAsia="Calibri" w:hAnsi="Verdana" w:cs="Arial"/>
        </w:rPr>
        <w:t xml:space="preserve"> sostuvo: </w:t>
      </w:r>
    </w:p>
    <w:p w14:paraId="5F7CEBC4" w14:textId="77777777" w:rsidR="00FF26FC" w:rsidRPr="00FF26FC" w:rsidRDefault="00FF26FC" w:rsidP="00FF26FC">
      <w:pPr>
        <w:spacing w:after="0" w:line="276" w:lineRule="auto"/>
        <w:jc w:val="both"/>
        <w:rPr>
          <w:rFonts w:ascii="Verdana" w:eastAsia="Calibri" w:hAnsi="Verdana" w:cs="Arial"/>
          <w:lang w:val="es-ES"/>
        </w:rPr>
      </w:pPr>
    </w:p>
    <w:p w14:paraId="566DB93C" w14:textId="77777777" w:rsidR="00FF26FC" w:rsidRPr="00FF26FC" w:rsidRDefault="00FF26FC" w:rsidP="00FF26FC">
      <w:pPr>
        <w:spacing w:after="0" w:line="240" w:lineRule="auto"/>
        <w:ind w:left="709" w:right="709"/>
        <w:jc w:val="both"/>
        <w:rPr>
          <w:rFonts w:ascii="Verdana" w:hAnsi="Verdana" w:cs="Arial"/>
          <w:sz w:val="20"/>
          <w:szCs w:val="20"/>
          <w:lang w:val="es-ES"/>
        </w:rPr>
      </w:pPr>
      <w:r w:rsidRPr="00FF26FC">
        <w:rPr>
          <w:rFonts w:ascii="Verdana" w:hAnsi="Verdana" w:cs="Arial"/>
          <w:sz w:val="20"/>
          <w:szCs w:val="20"/>
          <w:lang w:val="es-ES"/>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4A681660" w14:textId="77777777" w:rsidR="00FF26FC" w:rsidRPr="00FF26FC" w:rsidRDefault="00FF26FC" w:rsidP="00FF26FC">
      <w:pPr>
        <w:spacing w:after="0" w:line="276" w:lineRule="auto"/>
        <w:ind w:left="720"/>
        <w:contextualSpacing/>
        <w:jc w:val="both"/>
        <w:rPr>
          <w:rFonts w:ascii="Verdana" w:hAnsi="Verdana" w:cs="Arial"/>
          <w:lang w:val="es-ES"/>
        </w:rPr>
      </w:pPr>
    </w:p>
    <w:p w14:paraId="162F4A14" w14:textId="77777777" w:rsidR="00FF26FC" w:rsidRPr="00FF26FC" w:rsidRDefault="00FF26FC" w:rsidP="00FF26FC">
      <w:pPr>
        <w:spacing w:after="120" w:line="276" w:lineRule="auto"/>
        <w:ind w:firstLine="708"/>
        <w:jc w:val="both"/>
        <w:rPr>
          <w:rFonts w:ascii="Verdana" w:hAnsi="Verdana" w:cs="Arial"/>
        </w:rPr>
      </w:pPr>
      <w:r w:rsidRPr="00FF26FC">
        <w:rPr>
          <w:rFonts w:ascii="Verdana" w:hAnsi="Verdana" w:cs="Arial"/>
        </w:rPr>
        <w:t xml:space="preserve">Las causales de rechazo de ofertas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w:t>
      </w:r>
    </w:p>
    <w:p w14:paraId="2F3995A4" w14:textId="77777777" w:rsidR="00FF26FC" w:rsidRPr="00FF26FC" w:rsidRDefault="00FF26FC" w:rsidP="00FF26FC">
      <w:pPr>
        <w:spacing w:after="120" w:line="276" w:lineRule="auto"/>
        <w:ind w:firstLine="708"/>
        <w:jc w:val="both"/>
        <w:rPr>
          <w:rFonts w:ascii="Verdana" w:hAnsi="Verdana" w:cs="Arial"/>
        </w:rPr>
      </w:pPr>
      <w:r w:rsidRPr="00FF26FC">
        <w:rPr>
          <w:rFonts w:ascii="Verdana" w:hAnsi="Verdana" w:cs="Arial"/>
        </w:rPr>
        <w:t xml:space="preserve">De conformidad con esta regla, el rechazo de la oferta procede cuando en ejercicio de la potestad verificadora se advierta que luego de agotar la posibilidad de subsanación o aclaración el proponente dejó de incluir información que afecta la capacidad residual.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p>
    <w:p w14:paraId="4F2E8D25" w14:textId="77777777" w:rsidR="00FF26FC" w:rsidRPr="00FF26FC" w:rsidRDefault="00FF26FC" w:rsidP="00FF26FC">
      <w:pPr>
        <w:tabs>
          <w:tab w:val="left" w:pos="426"/>
        </w:tabs>
        <w:spacing w:after="0" w:line="276" w:lineRule="auto"/>
        <w:jc w:val="both"/>
        <w:rPr>
          <w:rFonts w:ascii="Verdana" w:hAnsi="Verdana" w:cs="Arial"/>
        </w:rPr>
      </w:pPr>
      <w:r w:rsidRPr="00FF26FC">
        <w:rPr>
          <w:rFonts w:ascii="Arial" w:hAnsi="Arial" w:cs="Arial"/>
        </w:rPr>
        <w:tab/>
      </w:r>
      <w:r w:rsidRPr="00FF26FC">
        <w:rPr>
          <w:rFonts w:ascii="Arial" w:hAnsi="Arial" w:cs="Arial"/>
        </w:rPr>
        <w:tab/>
      </w:r>
      <w:r w:rsidRPr="00FF26FC">
        <w:rPr>
          <w:rFonts w:ascii="Verdana" w:hAnsi="Verdana" w:cs="Arial"/>
        </w:rPr>
        <w:t xml:space="preserve">Respecto a la consulta planteada acerca de la posibilidad de que una entidad estatal rechace la oferta de un proponente por no haber allegado las planillas de seguridad social para el cálculo de la Capacidad Técnica, debe </w:t>
      </w:r>
      <w:r w:rsidRPr="00FF26FC">
        <w:rPr>
          <w:rFonts w:ascii="Verdana" w:hAnsi="Verdana" w:cs="Arial"/>
        </w:rPr>
        <w:lastRenderedPageBreak/>
        <w:t xml:space="preserve">señarse que las Entidades Estatales, como directoras de sus procesos de contratación son autónomas en estipular en sus pliegos de condiciones o documentos equivalentes, las causales de rechazo que considere pertinente, siempre que no contradigan la Ley ni los principios que rigen en materia de contratación. Sobre el particular, debe tenerse en cuenta que el parágrafo 1 del artículo 5 de la Ley 1150 de 2011 señala:  </w:t>
      </w:r>
    </w:p>
    <w:p w14:paraId="47E992BE" w14:textId="77777777" w:rsidR="00FF26FC" w:rsidRPr="00FF26FC" w:rsidRDefault="00FF26FC" w:rsidP="00FF26FC">
      <w:pPr>
        <w:tabs>
          <w:tab w:val="left" w:pos="426"/>
        </w:tabs>
        <w:spacing w:after="0" w:line="276" w:lineRule="auto"/>
        <w:contextualSpacing/>
        <w:jc w:val="both"/>
        <w:rPr>
          <w:rFonts w:ascii="Arial" w:eastAsia="Times New Roman" w:hAnsi="Arial" w:cs="Arial"/>
          <w:spacing w:val="2"/>
          <w:lang w:eastAsia="es-CO"/>
        </w:rPr>
      </w:pPr>
    </w:p>
    <w:p w14:paraId="66AF55BE" w14:textId="77777777" w:rsidR="00FF26FC" w:rsidRPr="00FF26FC" w:rsidRDefault="00FF26FC" w:rsidP="00FF26FC">
      <w:pPr>
        <w:spacing w:after="0" w:line="240" w:lineRule="auto"/>
        <w:ind w:left="709" w:right="709"/>
        <w:contextualSpacing/>
        <w:jc w:val="both"/>
        <w:rPr>
          <w:rFonts w:ascii="Arial" w:eastAsia="Times New Roman" w:hAnsi="Arial" w:cs="Arial"/>
          <w:spacing w:val="2"/>
          <w:sz w:val="21"/>
          <w:szCs w:val="21"/>
          <w:lang w:eastAsia="es-CO"/>
        </w:rPr>
      </w:pPr>
      <w:r w:rsidRPr="00FF26FC">
        <w:rPr>
          <w:rFonts w:ascii="Arial" w:hAnsi="Arial" w:cs="Arial"/>
          <w:bCs/>
          <w:sz w:val="21"/>
          <w:szCs w:val="21"/>
        </w:rPr>
        <w:t>“</w:t>
      </w:r>
      <w:r w:rsidRPr="00FF26FC">
        <w:rPr>
          <w:rFonts w:ascii="Verdana" w:eastAsia="Times New Roman" w:hAnsi="Verdana" w:cs="Arial"/>
          <w:spacing w:val="2"/>
          <w:sz w:val="20"/>
          <w:szCs w:val="20"/>
          <w:lang w:eastAsia="es-CO"/>
        </w:rPr>
        <w:t xml:space="preserve">PARÁGRAFO 1o.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w:t>
      </w:r>
      <w:proofErr w:type="gramStart"/>
      <w:r w:rsidRPr="00FF26FC">
        <w:rPr>
          <w:rFonts w:ascii="Verdana" w:eastAsia="Times New Roman" w:hAnsi="Verdana" w:cs="Arial"/>
          <w:spacing w:val="2"/>
          <w:sz w:val="20"/>
          <w:szCs w:val="20"/>
          <w:lang w:eastAsia="es-CO"/>
        </w:rPr>
        <w:t>obstante</w:t>
      </w:r>
      <w:proofErr w:type="gramEnd"/>
      <w:r w:rsidRPr="00FF26FC">
        <w:rPr>
          <w:rFonts w:ascii="Verdana" w:eastAsia="Times New Roman" w:hAnsi="Verdana" w:cs="Arial"/>
          <w:spacing w:val="2"/>
          <w:sz w:val="20"/>
          <w:szCs w:val="20"/>
          <w:lang w:eastAsia="es-CO"/>
        </w:rPr>
        <w:t xml:space="preserve"> lo anterior, en aquellos procesos de selección en los que se utilice el mecanismo de subasta, deberán ser solicitados hasta el momento previo a su realización</w:t>
      </w:r>
      <w:r w:rsidRPr="00FF26FC">
        <w:rPr>
          <w:rFonts w:ascii="Verdana" w:hAnsi="Verdana" w:cs="Arial"/>
          <w:bCs/>
          <w:sz w:val="20"/>
          <w:szCs w:val="20"/>
        </w:rPr>
        <w:t>”</w:t>
      </w:r>
      <w:r w:rsidRPr="00FF26FC">
        <w:rPr>
          <w:rFonts w:ascii="Verdana" w:eastAsia="Times New Roman" w:hAnsi="Verdana" w:cs="Arial"/>
          <w:spacing w:val="2"/>
          <w:sz w:val="20"/>
          <w:szCs w:val="20"/>
          <w:lang w:eastAsia="es-CO"/>
        </w:rPr>
        <w:t>.</w:t>
      </w:r>
    </w:p>
    <w:p w14:paraId="6F79483E" w14:textId="77777777" w:rsidR="00FF26FC" w:rsidRPr="00FF26FC" w:rsidRDefault="00FF26FC" w:rsidP="00FF26FC">
      <w:pPr>
        <w:spacing w:after="0" w:line="276" w:lineRule="auto"/>
        <w:contextualSpacing/>
        <w:jc w:val="both"/>
        <w:rPr>
          <w:rFonts w:ascii="Verdana" w:eastAsia="Times New Roman" w:hAnsi="Verdana" w:cs="Arial"/>
          <w:spacing w:val="2"/>
          <w:lang w:eastAsia="es-CO"/>
        </w:rPr>
      </w:pPr>
    </w:p>
    <w:p w14:paraId="1AD553C8" w14:textId="77777777" w:rsidR="00FF26FC" w:rsidRPr="00FF26FC" w:rsidRDefault="00FF26FC" w:rsidP="00FF26FC">
      <w:pPr>
        <w:spacing w:after="120" w:line="276" w:lineRule="auto"/>
        <w:ind w:firstLine="709"/>
        <w:jc w:val="both"/>
        <w:rPr>
          <w:rFonts w:ascii="Verdana" w:hAnsi="Verdana" w:cs="Arial"/>
          <w:lang w:val="es-ES"/>
        </w:rPr>
      </w:pPr>
      <w:r w:rsidRPr="00FF26FC">
        <w:rPr>
          <w:rFonts w:ascii="Verdana" w:hAnsi="Verdana" w:cs="Arial"/>
          <w:lang w:val="es-ES"/>
        </w:rPr>
        <w:t>Se concluye que, si bien la administración cuenta con un espacio significativo de discrecionalidad al momento de elaborar los pliegos de condiciones, la misma se encuentra delimitada por los fines y principios de la contratación estatal. En este entendimiento, la administración no puede establecer en los pliegos de condiciones causales de rechazo que no tengan un fundamento legal o constitucional, y que carezcan de razonabilidad y proporcionalidad en relación con el objeto a contratar.</w:t>
      </w:r>
    </w:p>
    <w:p w14:paraId="04FBF0CF" w14:textId="77777777" w:rsidR="00FF26FC" w:rsidRPr="00FF26FC" w:rsidRDefault="00FF26FC" w:rsidP="00FF26FC">
      <w:pPr>
        <w:spacing w:after="120" w:line="276" w:lineRule="auto"/>
        <w:ind w:firstLine="709"/>
        <w:contextualSpacing/>
        <w:jc w:val="both"/>
        <w:rPr>
          <w:rFonts w:ascii="Verdana" w:hAnsi="Verdana" w:cs="Arial"/>
          <w:lang w:val="es-ES"/>
        </w:rPr>
      </w:pPr>
      <w:r w:rsidRPr="00FF26FC">
        <w:rPr>
          <w:rFonts w:ascii="Verdana" w:hAnsi="Verdana" w:cs="Arial"/>
        </w:rPr>
        <w:t xml:space="preserve">Sin perjuicio de lo anterior debe advertirse que el análisis requerido para establecer si la falta de un documento es o no causal de rechazo debe ser realizado por la entidad contratante en consideración a las particularidades y especificaciones del respectivo objeto contractual, y de los requisitos habilitantes solicitados en el pliego de condiciones. De esta manera, lo explicado en el presente concepto no puede ser interpretado como un pronunciamiento respecto del proceso contractual aludido en la petición, ni las afirmaciones aquí realizadas pueden ser interpretadas como juicios de valor sobre circunstancias relacionadas con los hechos que motivan la petición. </w:t>
      </w:r>
    </w:p>
    <w:p w14:paraId="5051DDCF" w14:textId="77777777" w:rsidR="00FF26FC" w:rsidRPr="00FF26FC" w:rsidRDefault="00FF26FC" w:rsidP="00FF26FC">
      <w:pPr>
        <w:spacing w:after="0" w:line="276" w:lineRule="auto"/>
        <w:contextualSpacing/>
        <w:jc w:val="both"/>
        <w:rPr>
          <w:rFonts w:ascii="Verdana" w:eastAsia="Times New Roman" w:hAnsi="Verdana" w:cs="Arial"/>
          <w:color w:val="000000"/>
          <w:lang w:val="es-ES_tradnl"/>
        </w:rPr>
      </w:pPr>
    </w:p>
    <w:p w14:paraId="6FB73945" w14:textId="77777777" w:rsidR="00FF26FC" w:rsidRPr="00FF26FC" w:rsidRDefault="00FF26FC" w:rsidP="00FF26FC">
      <w:pPr>
        <w:numPr>
          <w:ilvl w:val="0"/>
          <w:numId w:val="16"/>
        </w:numPr>
        <w:tabs>
          <w:tab w:val="left" w:pos="142"/>
          <w:tab w:val="left" w:pos="284"/>
        </w:tabs>
        <w:spacing w:after="0" w:line="276" w:lineRule="auto"/>
        <w:jc w:val="both"/>
        <w:rPr>
          <w:rFonts w:ascii="Verdana" w:eastAsia="Century Gothic" w:hAnsi="Verdana" w:cs="Century Gothic"/>
          <w:b/>
          <w:bCs/>
          <w:color w:val="000000"/>
          <w:lang w:val="es-ES"/>
        </w:rPr>
      </w:pPr>
      <w:r w:rsidRPr="00FF26FC">
        <w:rPr>
          <w:rFonts w:ascii="Verdana" w:eastAsia="Century Gothic" w:hAnsi="Verdana" w:cs="Century Gothic"/>
          <w:b/>
          <w:bCs/>
          <w:color w:val="000000"/>
          <w:lang w:val="es-ES"/>
        </w:rPr>
        <w:t>Referencias normativas, jurisprudenciales y otras fuentes:</w:t>
      </w:r>
    </w:p>
    <w:p w14:paraId="631CFB8F" w14:textId="77777777" w:rsidR="00FF26FC" w:rsidRPr="00FF26FC" w:rsidRDefault="00FF26FC" w:rsidP="00FF26FC">
      <w:pPr>
        <w:widowControl w:val="0"/>
        <w:autoSpaceDE w:val="0"/>
        <w:autoSpaceDN w:val="0"/>
        <w:spacing w:after="0" w:line="276" w:lineRule="auto"/>
        <w:jc w:val="both"/>
        <w:rPr>
          <w:rFonts w:ascii="Verdana" w:eastAsia="Times New Roman" w:hAnsi="Verdana" w:cs="Arial"/>
          <w:color w:val="000000"/>
        </w:rPr>
      </w:pPr>
    </w:p>
    <w:tbl>
      <w:tblPr>
        <w:tblStyle w:val="Tablaconcuadrcula"/>
        <w:tblW w:w="864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F26FC" w:rsidRPr="00FF26FC" w14:paraId="3F14B4BF" w14:textId="77777777" w:rsidTr="00CF6A4F">
        <w:trPr>
          <w:trHeight w:val="1762"/>
        </w:trPr>
        <w:tc>
          <w:tcPr>
            <w:tcW w:w="8647" w:type="dxa"/>
          </w:tcPr>
          <w:p w14:paraId="69EB8193" w14:textId="77777777" w:rsidR="00FF26FC" w:rsidRPr="00FF26FC" w:rsidRDefault="00FF26FC" w:rsidP="00FF26FC">
            <w:pPr>
              <w:numPr>
                <w:ilvl w:val="0"/>
                <w:numId w:val="17"/>
              </w:numPr>
              <w:spacing w:line="276" w:lineRule="auto"/>
              <w:ind w:left="357" w:hanging="357"/>
              <w:rPr>
                <w:rFonts w:ascii="Verdana" w:eastAsia="Arial" w:hAnsi="Verdana" w:cs="Arial"/>
                <w:lang w:val="es-ES" w:eastAsia="es-ES" w:bidi="es-ES"/>
              </w:rPr>
            </w:pPr>
            <w:r w:rsidRPr="00FF26FC">
              <w:rPr>
                <w:rFonts w:ascii="Verdana" w:eastAsia="Arial" w:hAnsi="Verdana" w:cs="Arial"/>
                <w:lang w:val="es-ES" w:eastAsia="es-ES" w:bidi="es-ES"/>
              </w:rPr>
              <w:lastRenderedPageBreak/>
              <w:t xml:space="preserve">Ley 1150 de 2007: Artículo 5 y 6. </w:t>
            </w:r>
          </w:p>
          <w:p w14:paraId="0AD6E26F" w14:textId="77777777" w:rsidR="00FF26FC" w:rsidRPr="00FF26FC" w:rsidRDefault="00FF26FC" w:rsidP="00FF26FC">
            <w:pPr>
              <w:numPr>
                <w:ilvl w:val="0"/>
                <w:numId w:val="17"/>
              </w:numPr>
              <w:spacing w:line="276" w:lineRule="auto"/>
              <w:ind w:left="357" w:hanging="357"/>
              <w:rPr>
                <w:rFonts w:ascii="Verdana" w:eastAsia="Calibri" w:hAnsi="Verdana" w:cs="Arial"/>
                <w:lang w:val="es-ES"/>
              </w:rPr>
            </w:pPr>
            <w:r w:rsidRPr="00FF26FC">
              <w:rPr>
                <w:rFonts w:ascii="Verdana" w:eastAsia="Calibri" w:hAnsi="Verdana" w:cs="Arial"/>
                <w:lang w:val="es-ES"/>
              </w:rPr>
              <w:t xml:space="preserve">Ley 1682 de 2013: Artículo 72. </w:t>
            </w:r>
          </w:p>
          <w:p w14:paraId="70B983BA" w14:textId="77777777" w:rsidR="00FF26FC" w:rsidRPr="00FF26FC" w:rsidRDefault="00FF26FC" w:rsidP="00FF26FC">
            <w:pPr>
              <w:numPr>
                <w:ilvl w:val="0"/>
                <w:numId w:val="17"/>
              </w:numPr>
              <w:spacing w:line="276" w:lineRule="auto"/>
              <w:ind w:left="357" w:hanging="357"/>
              <w:rPr>
                <w:rFonts w:ascii="Verdana" w:eastAsia="Calibri" w:hAnsi="Verdana" w:cs="Arial"/>
                <w:lang w:val="es-ES"/>
              </w:rPr>
            </w:pPr>
            <w:r w:rsidRPr="00FF26FC">
              <w:rPr>
                <w:rFonts w:ascii="Verdana" w:hAnsi="Verdana" w:cs="Arial"/>
                <w:lang w:val="es-ES"/>
              </w:rPr>
              <w:t xml:space="preserve">Decreto 1082 de 2015: Articulo 2.2.1.1.1.3.1. y </w:t>
            </w:r>
            <w:r w:rsidRPr="00FF26FC">
              <w:rPr>
                <w:rFonts w:ascii="Verdana" w:eastAsia="Calibri" w:hAnsi="Verdana" w:cs="Arial"/>
                <w:lang w:val="es-ES"/>
              </w:rPr>
              <w:t>2.2.1.1.1.6.4.</w:t>
            </w:r>
          </w:p>
          <w:p w14:paraId="17FF7ABF" w14:textId="77777777" w:rsidR="00FF26FC" w:rsidRPr="00FF26FC" w:rsidRDefault="00FF26FC" w:rsidP="00FF26FC">
            <w:pPr>
              <w:numPr>
                <w:ilvl w:val="0"/>
                <w:numId w:val="17"/>
              </w:numPr>
              <w:spacing w:line="276" w:lineRule="auto"/>
              <w:ind w:left="357" w:hanging="357"/>
              <w:jc w:val="both"/>
              <w:rPr>
                <w:rFonts w:ascii="Verdana" w:eastAsia="Calibri" w:hAnsi="Verdana" w:cs="Arial"/>
                <w:lang w:val="es-ES"/>
              </w:rPr>
            </w:pPr>
            <w:r w:rsidRPr="00FF26FC">
              <w:rPr>
                <w:rFonts w:ascii="Verdana" w:hAnsi="Verdana" w:cs="Arial"/>
                <w:lang w:val="es-ES"/>
              </w:rPr>
              <w:t xml:space="preserve">Guía para Determinar y Verificar la Capacidad Residual del Proponente en los Procesos de Contratación de Obra Pública. Disponible en: </w:t>
            </w:r>
            <w:hyperlink r:id="rId14" w:history="1">
              <w:r w:rsidRPr="00FF26FC">
                <w:rPr>
                  <w:rFonts w:ascii="Verdana" w:hAnsi="Verdana"/>
                  <w:color w:val="0000FF"/>
                  <w:u w:val="single"/>
                  <w:lang w:val="es-ES"/>
                </w:rPr>
                <w:t>https://www.colombiacompra.gov.co/sites/cce_public/files/cce_documents/cce-eicp-gi-22_guia_capacidad_residual_de_contratacion_v1_29-09-2023_.pdf</w:t>
              </w:r>
            </w:hyperlink>
            <w:r w:rsidRPr="00FF26FC">
              <w:rPr>
                <w:rFonts w:ascii="Verdana" w:hAnsi="Verdana"/>
                <w:lang w:val="es-ES"/>
              </w:rPr>
              <w:t xml:space="preserve"> </w:t>
            </w:r>
          </w:p>
        </w:tc>
      </w:tr>
    </w:tbl>
    <w:p w14:paraId="1866E88B" w14:textId="77777777" w:rsidR="00FF26FC" w:rsidRPr="00FF26FC" w:rsidRDefault="00FF26FC" w:rsidP="00FF26FC">
      <w:pPr>
        <w:widowControl w:val="0"/>
        <w:autoSpaceDE w:val="0"/>
        <w:autoSpaceDN w:val="0"/>
        <w:spacing w:after="0" w:line="276" w:lineRule="auto"/>
        <w:jc w:val="both"/>
        <w:rPr>
          <w:rFonts w:ascii="Verdana" w:eastAsia="Times New Roman" w:hAnsi="Verdana" w:cs="Arial"/>
          <w:color w:val="000000"/>
        </w:rPr>
      </w:pPr>
    </w:p>
    <w:p w14:paraId="3EF3D837" w14:textId="77777777" w:rsidR="00FF26FC" w:rsidRPr="00FF26FC" w:rsidRDefault="00FF26FC" w:rsidP="00FF26FC">
      <w:pPr>
        <w:numPr>
          <w:ilvl w:val="0"/>
          <w:numId w:val="16"/>
        </w:numPr>
        <w:tabs>
          <w:tab w:val="left" w:pos="142"/>
          <w:tab w:val="left" w:pos="284"/>
        </w:tabs>
        <w:spacing w:after="0" w:line="276" w:lineRule="auto"/>
        <w:jc w:val="both"/>
        <w:rPr>
          <w:rFonts w:ascii="Verdana" w:eastAsia="Century Gothic" w:hAnsi="Verdana" w:cs="Century Gothic"/>
          <w:b/>
          <w:bCs/>
          <w:color w:val="000000"/>
          <w:lang w:val="es-ES"/>
        </w:rPr>
      </w:pPr>
      <w:r w:rsidRPr="00FF26FC">
        <w:rPr>
          <w:rFonts w:ascii="Verdana" w:eastAsia="Century Gothic" w:hAnsi="Verdana" w:cs="Century Gothic"/>
          <w:b/>
          <w:bCs/>
          <w:color w:val="000000"/>
          <w:lang w:val="es-ES"/>
        </w:rPr>
        <w:t>Doctrina de la Agencia Nacional de Contratación Pública:</w:t>
      </w:r>
    </w:p>
    <w:p w14:paraId="2BBA86E8" w14:textId="77777777" w:rsidR="00FF26FC" w:rsidRPr="00FF26FC" w:rsidRDefault="00FF26FC" w:rsidP="00FF26FC">
      <w:pPr>
        <w:widowControl w:val="0"/>
        <w:autoSpaceDE w:val="0"/>
        <w:autoSpaceDN w:val="0"/>
        <w:spacing w:after="0" w:line="276" w:lineRule="auto"/>
        <w:jc w:val="both"/>
        <w:rPr>
          <w:rFonts w:ascii="Verdana" w:eastAsia="Times New Roman" w:hAnsi="Verdana" w:cs="Arial"/>
          <w:color w:val="000000"/>
        </w:rPr>
      </w:pPr>
    </w:p>
    <w:p w14:paraId="2DD62C5A" w14:textId="77777777" w:rsidR="00FF26FC" w:rsidRPr="00FF26FC" w:rsidRDefault="00FF26FC" w:rsidP="00FF26FC">
      <w:pPr>
        <w:widowControl w:val="0"/>
        <w:autoSpaceDE w:val="0"/>
        <w:autoSpaceDN w:val="0"/>
        <w:spacing w:after="0" w:line="276" w:lineRule="auto"/>
        <w:jc w:val="both"/>
        <w:rPr>
          <w:rFonts w:ascii="Verdana" w:eastAsia="Times New Roman" w:hAnsi="Verdana" w:cs="Arial"/>
          <w:color w:val="000000"/>
          <w:lang w:val="es-ES"/>
        </w:rPr>
      </w:pPr>
      <w:r w:rsidRPr="00FF26FC">
        <w:rPr>
          <w:rFonts w:ascii="Verdana" w:hAnsi="Verdana" w:cs="Arial"/>
          <w:shd w:val="clear" w:color="auto" w:fill="FFFFFF"/>
          <w:lang w:val="es-ES"/>
        </w:rPr>
        <w:t>La Agencia Nacional de Contratación Pública − Colombia Compra Eficiente se pronunció sobre las causales de rechazo incorporadas en los pliegos de condiciones, en los conceptos 2201913000007117 del 25 de septiembre de 2019, 2201913000009538 del 23 de diciembre de 2019, 20240531007971 del 31 de mayo de 2024, C- 716 del 30 de octubre de 2020, C-096 del 24 de marzo de 2021, C-056 del 20 de abril de 2021, C-078 del 15 de marzo de 2022, C-321 del 17 de mayo de 2022, C-113 del 22 de marzo de 2022, C-178, C-186 del 12 de abril de 2022, C-849 de 7 de diciembre de 2022, C- 053 de 28 de marzo de 2023, C-280 del 06 de junio de 2023, C-271 del 15 de agosto de 2023, C-406 del 2 de octubre de 2023 y C-342 de 2024, entre otros</w:t>
      </w:r>
      <w:r w:rsidRPr="00FF26FC">
        <w:rPr>
          <w:rFonts w:ascii="Verdana" w:eastAsia="Times New Roman" w:hAnsi="Verdana" w:cs="Arial"/>
          <w:color w:val="000000"/>
          <w:lang w:val="es-ES"/>
        </w:rPr>
        <w:t xml:space="preserve">. </w:t>
      </w:r>
    </w:p>
    <w:p w14:paraId="0C7049C5" w14:textId="77777777" w:rsidR="00FF26FC" w:rsidRPr="00FF26FC" w:rsidRDefault="00FF26FC" w:rsidP="00FF26FC">
      <w:pPr>
        <w:widowControl w:val="0"/>
        <w:autoSpaceDE w:val="0"/>
        <w:autoSpaceDN w:val="0"/>
        <w:spacing w:after="0" w:line="276" w:lineRule="auto"/>
        <w:jc w:val="both"/>
        <w:rPr>
          <w:rFonts w:ascii="Verdana" w:eastAsia="Times New Roman" w:hAnsi="Verdana" w:cs="Arial"/>
          <w:color w:val="000000"/>
          <w:lang w:val="es-ES"/>
        </w:rPr>
      </w:pPr>
    </w:p>
    <w:p w14:paraId="4ACAD292" w14:textId="77777777" w:rsidR="00FF26FC" w:rsidRPr="00FF26FC" w:rsidRDefault="00FF26FC" w:rsidP="00FF26FC">
      <w:pPr>
        <w:widowControl w:val="0"/>
        <w:autoSpaceDE w:val="0"/>
        <w:autoSpaceDN w:val="0"/>
        <w:spacing w:after="0" w:line="276" w:lineRule="auto"/>
        <w:jc w:val="both"/>
        <w:rPr>
          <w:rFonts w:ascii="Verdana" w:eastAsia="Times New Roman" w:hAnsi="Verdana" w:cs="Arial"/>
          <w:color w:val="000000"/>
          <w:lang w:val="es-ES"/>
        </w:rPr>
      </w:pPr>
      <w:r w:rsidRPr="00FF26FC">
        <w:rPr>
          <w:rFonts w:ascii="Verdana" w:hAnsi="Verdana"/>
          <w:shd w:val="clear" w:color="auto" w:fill="FFFFFF"/>
          <w:lang w:val="es-ES"/>
        </w:rPr>
        <w:t>Así mismo, la Agencia Nacional de Contratación Pública − Colombia Compra Eficiente se ha pronunciado sobre la capacidad residual, y la forma como esta se debe acreditar, en los conceptos 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w:t>
      </w:r>
      <w:r w:rsidRPr="00FF26FC">
        <w:rPr>
          <w:rFonts w:ascii="Verdana" w:hAnsi="Verdana" w:cs="Arial"/>
          <w:shd w:val="clear" w:color="auto" w:fill="FFFFFF"/>
          <w:lang w:val="es-ES"/>
        </w:rPr>
        <w:t xml:space="preserve"> </w:t>
      </w:r>
      <w:r w:rsidRPr="00FF26FC">
        <w:rPr>
          <w:rFonts w:ascii="Verdana" w:hAnsi="Verdana"/>
          <w:shd w:val="clear" w:color="auto" w:fill="FFFFFF"/>
          <w:lang w:val="es-ES"/>
        </w:rPr>
        <w:t xml:space="preserve">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w:t>
      </w:r>
      <w:r w:rsidRPr="00FF26FC">
        <w:rPr>
          <w:rFonts w:ascii="Verdana" w:hAnsi="Verdana"/>
          <w:shd w:val="clear" w:color="auto" w:fill="FFFFFF"/>
          <w:lang w:val="es-ES"/>
        </w:rPr>
        <w:lastRenderedPageBreak/>
        <w:t xml:space="preserve">C–392 del 5 de agosto de 2021, C–513 del 23 de septiembre de 2021, C–590 del 12 de octubre de 2021, C-068 del 9 de marzo de 2022, </w:t>
      </w:r>
      <w:r w:rsidRPr="00FF26FC">
        <w:rPr>
          <w:rFonts w:ascii="Verdana" w:hAnsi="Verdana"/>
          <w:shd w:val="clear" w:color="auto" w:fill="FFFFFF"/>
        </w:rPr>
        <w:t>C-220 del 22 de abril de 2022, C-306 de 16 de mayo de 2022, C-351 de 23 de mayo de 2022, C-392 del 16 de junio de 2022, C-402 del 28 de junio de 2022, C-463 del 19 de julio de 2022, C-670 del 19 de octubre de 2022, C-615 del 19 de agosto de 2022, C-767 del 15 de noviembre de 2022, C-775 del 11 de noviembre de 2022, C-323 del 22 de septiembre de 2023, C- 012 de 2025 entre otros.</w:t>
      </w:r>
      <w:r w:rsidRPr="00FF26FC">
        <w:rPr>
          <w:rFonts w:ascii="Verdana" w:hAnsi="Verdana" w:cs="Arial"/>
          <w:color w:val="1A1A1A" w:themeColor="background1" w:themeShade="1A"/>
          <w:lang w:val="es-ES"/>
        </w:rPr>
        <w:t xml:space="preserve"> </w:t>
      </w:r>
      <w:r w:rsidRPr="00FF26FC">
        <w:rPr>
          <w:rFonts w:ascii="Verdana" w:eastAsia="Times New Roman" w:hAnsi="Verdana" w:cs="Arial"/>
          <w:color w:val="000000"/>
          <w:lang w:val="es-ES"/>
        </w:rPr>
        <w:t xml:space="preserve">Accede a través del siguiente enlace: </w:t>
      </w:r>
      <w:hyperlink r:id="rId15" w:history="1">
        <w:r w:rsidRPr="00FF26FC">
          <w:rPr>
            <w:rFonts w:ascii="Verdana" w:eastAsia="Times New Roman" w:hAnsi="Verdana" w:cs="Arial"/>
            <w:color w:val="101BF8"/>
            <w:u w:val="single"/>
            <w:lang w:val="es-ES"/>
          </w:rPr>
          <w:t>https://relatoria.colombiacompra.gov.co/</w:t>
        </w:r>
      </w:hyperlink>
      <w:r w:rsidRPr="00FF26FC">
        <w:rPr>
          <w:rFonts w:ascii="Verdana" w:eastAsia="Times New Roman" w:hAnsi="Verdana" w:cs="Arial"/>
          <w:color w:val="000000"/>
          <w:lang w:val="es-ES"/>
        </w:rPr>
        <w:t xml:space="preserve">. </w:t>
      </w:r>
    </w:p>
    <w:p w14:paraId="61FD1A3B" w14:textId="77777777" w:rsidR="00FF26FC" w:rsidRPr="00FF26FC" w:rsidRDefault="00FF26FC" w:rsidP="00FF26FC">
      <w:pPr>
        <w:spacing w:after="0" w:line="276" w:lineRule="auto"/>
        <w:textAlignment w:val="baseline"/>
        <w:rPr>
          <w:rFonts w:ascii="Verdana" w:eastAsia="Times New Roman" w:hAnsi="Verdana" w:cs="Arial"/>
          <w:color w:val="000000"/>
          <w:lang w:val="es-ES"/>
        </w:rPr>
      </w:pPr>
    </w:p>
    <w:p w14:paraId="45E4388D" w14:textId="77777777" w:rsidR="00FF26FC" w:rsidRPr="00FF26FC" w:rsidRDefault="00FF26FC" w:rsidP="00FF26FC">
      <w:pPr>
        <w:spacing w:after="0" w:line="276" w:lineRule="auto"/>
        <w:jc w:val="both"/>
        <w:rPr>
          <w:rFonts w:ascii="Verdana" w:eastAsia="Calibri" w:hAnsi="Verdana" w:cs="Times New Roman"/>
        </w:rPr>
      </w:pPr>
      <w:r w:rsidRPr="00FF26FC">
        <w:rPr>
          <w:rFonts w:ascii="Verdana" w:eastAsia="Times New Roman" w:hAnsi="Verdana" w:cs="Arial"/>
          <w:color w:val="000000" w:themeColor="text1"/>
          <w:shd w:val="clear" w:color="auto" w:fill="FFFFFF"/>
        </w:rPr>
        <w:t>Le contamos que ya se encuentra disponible la </w:t>
      </w:r>
      <w:r w:rsidRPr="00FF26FC">
        <w:rPr>
          <w:rFonts w:ascii="Verdana" w:eastAsia="Times New Roman" w:hAnsi="Verdana" w:cs="Arial"/>
          <w:b/>
          <w:bCs/>
          <w:color w:val="000000" w:themeColor="text1"/>
          <w:shd w:val="clear" w:color="auto" w:fill="FFFFFF"/>
        </w:rPr>
        <w:t>Guía de lineamientos de transparencia y selección objetiva para el departamento de La Guajira – Objetivo sexto constitucional de la Sentencia T-302 del 2017. </w:t>
      </w:r>
      <w:r w:rsidRPr="00FF26FC">
        <w:rPr>
          <w:rFonts w:ascii="Verdana" w:eastAsia="Times New Roman" w:hAnsi="Verdana" w:cs="Arial"/>
          <w:color w:val="000000" w:themeColor="text1"/>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FF26FC">
        <w:rPr>
          <w:rFonts w:ascii="Verdana" w:eastAsia="Times New Roman" w:hAnsi="Verdana" w:cs="Arial"/>
          <w:color w:val="000000" w:themeColor="text1"/>
          <w:shd w:val="clear" w:color="auto" w:fill="FFFFFF"/>
        </w:rPr>
        <w:t>Wayúu</w:t>
      </w:r>
      <w:proofErr w:type="spellEnd"/>
      <w:r w:rsidRPr="00FF26FC">
        <w:rPr>
          <w:rFonts w:ascii="Verdana" w:eastAsia="Times New Roman" w:hAnsi="Verdana" w:cs="Arial"/>
          <w:color w:val="000000" w:themeColor="text1"/>
          <w:shd w:val="clear" w:color="auto" w:fill="FFFFFF"/>
        </w:rPr>
        <w:t>. Puede consultar la guía en el siguiente enlace: </w:t>
      </w:r>
      <w:hyperlink r:id="rId16" w:tgtFrame="_blank" w:tooltip="Dirección URL original: https://www.colombiacompra.gov.co/wp-content/uploads/2025/05/GUIA-DE-LINEAMIENTOS-DE-TRANSPARENCIA-Y-SELECCION-OBJETIVA-1.0.pdf. Haga clic o pulse si confía en este vínculo." w:history="1">
        <w:r w:rsidRPr="00FF26FC">
          <w:rPr>
            <w:rFonts w:ascii="Verdana" w:eastAsia="Times New Roman" w:hAnsi="Verdana" w:cs="Arial"/>
            <w:color w:val="000000" w:themeColor="text1"/>
            <w:u w:val="single"/>
            <w:shd w:val="clear" w:color="auto" w:fill="FFFFFF"/>
          </w:rPr>
          <w:t>Guía de lineamientos de transparencia y selección objetiva para el departamento de La Guajira – Objetivo sexto constitucional de la Sentencia T-302 del 2017</w:t>
        </w:r>
      </w:hyperlink>
    </w:p>
    <w:p w14:paraId="5F5A615F" w14:textId="77777777" w:rsidR="00FF26FC" w:rsidRPr="00FF26FC" w:rsidRDefault="00FF26FC" w:rsidP="00FF26FC">
      <w:pPr>
        <w:spacing w:after="0" w:line="276" w:lineRule="auto"/>
        <w:jc w:val="both"/>
        <w:rPr>
          <w:rFonts w:ascii="Verdana" w:eastAsia="Calibri" w:hAnsi="Verdana" w:cs="Times New Roman"/>
        </w:rPr>
      </w:pPr>
      <w:r w:rsidRPr="00FF26FC">
        <w:rPr>
          <w:rFonts w:ascii="Verdana" w:hAnsi="Verdana"/>
        </w:rPr>
        <w:t xml:space="preserve">Por último, lo invitamos a seguirnos en las redes sociales en las cuales se difunde información institucional: </w:t>
      </w:r>
    </w:p>
    <w:p w14:paraId="295665C9" w14:textId="77777777" w:rsidR="00FF26FC" w:rsidRPr="00FF26FC" w:rsidRDefault="00FF26FC" w:rsidP="00FF26FC">
      <w:pPr>
        <w:spacing w:after="0" w:line="276" w:lineRule="auto"/>
        <w:jc w:val="both"/>
        <w:rPr>
          <w:rFonts w:ascii="Verdana" w:hAnsi="Verdana"/>
        </w:rPr>
      </w:pPr>
    </w:p>
    <w:p w14:paraId="728B958D" w14:textId="77777777" w:rsidR="00FF26FC" w:rsidRPr="00FF26FC" w:rsidRDefault="00FF26FC" w:rsidP="00FF26FC">
      <w:pPr>
        <w:spacing w:after="0" w:line="276" w:lineRule="auto"/>
        <w:jc w:val="both"/>
        <w:rPr>
          <w:rFonts w:ascii="Verdana" w:hAnsi="Verdana"/>
        </w:rPr>
      </w:pPr>
      <w:r w:rsidRPr="00FF26FC">
        <w:rPr>
          <w:rFonts w:ascii="Verdana" w:hAnsi="Verdana"/>
        </w:rPr>
        <w:t xml:space="preserve">Twitter: </w:t>
      </w:r>
      <w:r w:rsidRPr="00FF26FC">
        <w:rPr>
          <w:rFonts w:ascii="Verdana" w:eastAsia="Calibri" w:hAnsi="Verdana" w:cs="Times New Roman"/>
          <w:color w:val="4472C4" w:themeColor="accent1"/>
          <w:u w:val="single"/>
        </w:rPr>
        <w:t>@colombiacompra</w:t>
      </w:r>
      <w:r w:rsidRPr="00FF26FC">
        <w:rPr>
          <w:rFonts w:ascii="Verdana" w:eastAsia="Calibri" w:hAnsi="Verdana" w:cs="Times New Roman"/>
          <w:color w:val="4472C4" w:themeColor="accent1"/>
        </w:rPr>
        <w:t xml:space="preserve"> </w:t>
      </w:r>
    </w:p>
    <w:p w14:paraId="6FF531A3" w14:textId="77777777" w:rsidR="00FF26FC" w:rsidRPr="00FF26FC" w:rsidRDefault="00FF26FC" w:rsidP="00FF26FC">
      <w:pPr>
        <w:spacing w:after="0" w:line="276" w:lineRule="auto"/>
        <w:jc w:val="both"/>
        <w:rPr>
          <w:rFonts w:ascii="Verdana" w:hAnsi="Verdana"/>
        </w:rPr>
      </w:pPr>
      <w:r w:rsidRPr="00FF26FC">
        <w:rPr>
          <w:rFonts w:ascii="Verdana" w:hAnsi="Verdana"/>
        </w:rPr>
        <w:t xml:space="preserve">Facebook: </w:t>
      </w:r>
      <w:proofErr w:type="spellStart"/>
      <w:r w:rsidRPr="00FF26FC">
        <w:rPr>
          <w:rFonts w:ascii="Verdana" w:eastAsia="Calibri" w:hAnsi="Verdana" w:cs="Times New Roman"/>
          <w:color w:val="4472C4" w:themeColor="accent1"/>
          <w:u w:val="single"/>
        </w:rPr>
        <w:t>ColombiaCompraEficiente</w:t>
      </w:r>
      <w:proofErr w:type="spellEnd"/>
    </w:p>
    <w:p w14:paraId="2C7E3E51" w14:textId="77777777" w:rsidR="00FF26FC" w:rsidRPr="00FF26FC" w:rsidRDefault="00FF26FC" w:rsidP="00FF26FC">
      <w:pPr>
        <w:spacing w:after="0" w:line="276" w:lineRule="auto"/>
        <w:jc w:val="both"/>
        <w:rPr>
          <w:rFonts w:ascii="Verdana" w:hAnsi="Verdana"/>
        </w:rPr>
      </w:pPr>
      <w:r w:rsidRPr="00FF26FC">
        <w:rPr>
          <w:rFonts w:ascii="Verdana" w:hAnsi="Verdana"/>
        </w:rPr>
        <w:t xml:space="preserve">LinkedIn: </w:t>
      </w:r>
      <w:r w:rsidRPr="00FF26FC">
        <w:rPr>
          <w:rFonts w:ascii="Verdana" w:eastAsia="Calibri" w:hAnsi="Verdana" w:cs="Times New Roman"/>
          <w:color w:val="4472C4" w:themeColor="accent1"/>
          <w:u w:val="single"/>
        </w:rPr>
        <w:t>Agencia Nacional de Contratación Pública - Colombia Compra Eficiente</w:t>
      </w:r>
      <w:r w:rsidRPr="00FF26FC">
        <w:rPr>
          <w:rFonts w:ascii="Verdana" w:eastAsia="Calibri" w:hAnsi="Verdana" w:cs="Times New Roman"/>
          <w:color w:val="4472C4" w:themeColor="accent1"/>
        </w:rPr>
        <w:t xml:space="preserve"> </w:t>
      </w:r>
      <w:r w:rsidRPr="00FF26FC">
        <w:rPr>
          <w:rFonts w:ascii="Verdana" w:hAnsi="Verdana"/>
        </w:rPr>
        <w:t xml:space="preserve">Instagram: </w:t>
      </w:r>
      <w:r w:rsidRPr="00FF26FC">
        <w:rPr>
          <w:rFonts w:ascii="Verdana" w:eastAsia="Calibri" w:hAnsi="Verdana" w:cs="Times New Roman"/>
          <w:color w:val="4472C4" w:themeColor="accent1"/>
          <w:u w:val="single"/>
        </w:rPr>
        <w:t>@colombiacompraeficiente_cce</w:t>
      </w:r>
    </w:p>
    <w:p w14:paraId="022965E6" w14:textId="77777777" w:rsidR="00FF26FC" w:rsidRPr="00FF26FC" w:rsidRDefault="00FF26FC" w:rsidP="00FF26FC">
      <w:pPr>
        <w:widowControl w:val="0"/>
        <w:autoSpaceDE w:val="0"/>
        <w:autoSpaceDN w:val="0"/>
        <w:spacing w:after="0" w:line="276" w:lineRule="auto"/>
        <w:jc w:val="both"/>
        <w:rPr>
          <w:rFonts w:ascii="Verdana" w:hAnsi="Verdana"/>
        </w:rPr>
      </w:pPr>
    </w:p>
    <w:p w14:paraId="0936CC13" w14:textId="77777777" w:rsidR="00FF26FC" w:rsidRPr="00FF26FC" w:rsidRDefault="00FF26FC" w:rsidP="00FF26FC">
      <w:pPr>
        <w:widowControl w:val="0"/>
        <w:autoSpaceDE w:val="0"/>
        <w:autoSpaceDN w:val="0"/>
        <w:spacing w:after="0" w:line="276" w:lineRule="auto"/>
        <w:jc w:val="both"/>
        <w:rPr>
          <w:rFonts w:ascii="Verdana" w:hAnsi="Verdana" w:cs="Arial"/>
          <w:lang w:val="es-ES_tradnl"/>
        </w:rPr>
      </w:pPr>
      <w:r w:rsidRPr="00FF26FC">
        <w:rPr>
          <w:rFonts w:ascii="Verdana" w:hAnsi="Verdana" w:cs="Arial"/>
        </w:rPr>
        <w:t xml:space="preserve">Este concepto tiene el alcance previsto en el artículo 28 del Código de Procedimiento Administrativo y de lo Contencioso Administrativo </w:t>
      </w:r>
      <w:r w:rsidRPr="00FF26FC">
        <w:rPr>
          <w:rFonts w:ascii="Verdana" w:hAnsi="Verdana" w:cs="Arial"/>
          <w:lang w:val="es-ES_tradnl"/>
        </w:rPr>
        <w:t>y las expresiones aquí utilizadas con mayúscula inicial deben ser entendidas con el significado que les otorga el artículo 2.2.1.1.1.3.1. del Decreto 1082 de 2015.</w:t>
      </w:r>
    </w:p>
    <w:p w14:paraId="163FAC21" w14:textId="77777777" w:rsidR="00FF26FC" w:rsidRPr="00FF26FC" w:rsidRDefault="00FF26FC" w:rsidP="00FF26FC">
      <w:pPr>
        <w:widowControl w:val="0"/>
        <w:autoSpaceDE w:val="0"/>
        <w:autoSpaceDN w:val="0"/>
        <w:spacing w:after="0" w:line="276" w:lineRule="auto"/>
        <w:jc w:val="both"/>
        <w:rPr>
          <w:rFonts w:ascii="Verdana" w:hAnsi="Verdana" w:cs="Arial"/>
        </w:rPr>
      </w:pPr>
    </w:p>
    <w:p w14:paraId="23BB3371" w14:textId="77777777" w:rsidR="00FF26FC" w:rsidRPr="00FF26FC" w:rsidRDefault="00FF26FC" w:rsidP="00FF26FC">
      <w:pPr>
        <w:spacing w:after="0" w:line="276" w:lineRule="auto"/>
        <w:rPr>
          <w:rFonts w:ascii="Verdana" w:hAnsi="Verdana" w:cs="Arial"/>
          <w:lang w:eastAsia="es-CO"/>
        </w:rPr>
      </w:pPr>
      <w:r w:rsidRPr="00FF26FC">
        <w:rPr>
          <w:rFonts w:ascii="Verdana" w:eastAsia="Times New Roman" w:hAnsi="Verdana" w:cs="Arial"/>
          <w:lang w:eastAsia="es-CO"/>
        </w:rPr>
        <w:t>Atentamente,</w:t>
      </w:r>
      <w:r w:rsidRPr="00FF26FC">
        <w:rPr>
          <w:rFonts w:ascii="Verdana" w:hAnsi="Verdana" w:cs="Arial"/>
          <w:lang w:eastAsia="es-CO"/>
        </w:rPr>
        <w:t xml:space="preserve"> </w:t>
      </w:r>
    </w:p>
    <w:p w14:paraId="5FB128E3" w14:textId="6A796162" w:rsidR="00FF26FC" w:rsidRDefault="00FF26FC" w:rsidP="00FF26FC">
      <w:pPr>
        <w:spacing w:line="276" w:lineRule="auto"/>
        <w:jc w:val="center"/>
        <w:rPr>
          <w:rFonts w:ascii="Verdana" w:hAnsi="Verdana"/>
          <w:noProof/>
        </w:rPr>
      </w:pPr>
    </w:p>
    <w:p w14:paraId="204A641F" w14:textId="77777777" w:rsidR="00F334DC" w:rsidRDefault="00F334DC" w:rsidP="00FF26FC">
      <w:pPr>
        <w:spacing w:line="276" w:lineRule="auto"/>
        <w:jc w:val="center"/>
        <w:rPr>
          <w:rFonts w:ascii="Verdana" w:hAnsi="Verdana" w:cs="Arial"/>
          <w:noProof/>
          <w:color w:val="000000"/>
          <w:lang w:val="es-ES_tradnl" w:eastAsia="es-CO"/>
        </w:rPr>
      </w:pPr>
    </w:p>
    <w:p w14:paraId="426DC5F2" w14:textId="084FB760" w:rsidR="00F334DC" w:rsidRPr="00FF26FC" w:rsidRDefault="00F334DC" w:rsidP="00FF26FC">
      <w:pPr>
        <w:spacing w:line="276" w:lineRule="auto"/>
        <w:jc w:val="center"/>
        <w:rPr>
          <w:rFonts w:ascii="Verdana" w:hAnsi="Verdana" w:cs="Arial"/>
          <w:color w:val="000000"/>
          <w:lang w:val="es-ES_tradnl" w:eastAsia="es-CO"/>
        </w:rPr>
      </w:pPr>
      <w:r w:rsidRPr="002C3AD6">
        <w:rPr>
          <w:rFonts w:ascii="Century Gothic" w:hAnsi="Century Gothic"/>
          <w:noProof/>
        </w:rPr>
        <w:lastRenderedPageBreak/>
        <w:drawing>
          <wp:inline distT="0" distB="0" distL="0" distR="0" wp14:anchorId="753A84E9" wp14:editId="6109D0D5">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F26FC" w:rsidRPr="00FF26FC" w14:paraId="34922B55" w14:textId="77777777" w:rsidTr="00CF6A4F">
        <w:trPr>
          <w:trHeight w:val="315"/>
        </w:trPr>
        <w:tc>
          <w:tcPr>
            <w:tcW w:w="893" w:type="dxa"/>
            <w:vAlign w:val="center"/>
            <w:hideMark/>
          </w:tcPr>
          <w:p w14:paraId="2A7A82D1" w14:textId="77777777" w:rsidR="00FF26FC" w:rsidRPr="00FF26FC" w:rsidRDefault="00FF26FC" w:rsidP="00FF26FC">
            <w:pPr>
              <w:contextualSpacing/>
              <w:rPr>
                <w:rFonts w:ascii="Verdana" w:eastAsia="Times New Roman" w:hAnsi="Verdana" w:cs="Arial"/>
                <w:color w:val="000000"/>
                <w:sz w:val="16"/>
                <w:szCs w:val="16"/>
                <w:lang w:val="es-ES" w:eastAsia="es-ES"/>
              </w:rPr>
            </w:pPr>
            <w:r w:rsidRPr="00FF26FC">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38F94EC3" w14:textId="77777777" w:rsidR="00FF26FC" w:rsidRPr="00FF26FC" w:rsidRDefault="00FF26FC" w:rsidP="00FF26FC">
            <w:pPr>
              <w:contextualSpacing/>
              <w:rPr>
                <w:rFonts w:ascii="Verdana" w:eastAsia="Arial" w:hAnsi="Verdana" w:cs="Arial"/>
                <w:color w:val="000000"/>
                <w:sz w:val="16"/>
                <w:szCs w:val="16"/>
              </w:rPr>
            </w:pPr>
            <w:proofErr w:type="spellStart"/>
            <w:r w:rsidRPr="00FF26FC">
              <w:rPr>
                <w:rFonts w:ascii="Verdana" w:eastAsia="Arial" w:hAnsi="Verdana" w:cs="Arial"/>
                <w:color w:val="000000"/>
                <w:sz w:val="16"/>
                <w:szCs w:val="16"/>
              </w:rPr>
              <w:t>Hector</w:t>
            </w:r>
            <w:proofErr w:type="spellEnd"/>
            <w:r w:rsidRPr="00FF26FC">
              <w:rPr>
                <w:rFonts w:ascii="Verdana" w:eastAsia="Arial" w:hAnsi="Verdana" w:cs="Arial"/>
                <w:color w:val="000000"/>
                <w:sz w:val="16"/>
                <w:szCs w:val="16"/>
              </w:rPr>
              <w:t xml:space="preserve"> Luis Quiñones </w:t>
            </w:r>
            <w:proofErr w:type="spellStart"/>
            <w:r w:rsidRPr="00FF26FC">
              <w:rPr>
                <w:rFonts w:ascii="Verdana" w:eastAsia="Arial" w:hAnsi="Verdana" w:cs="Arial"/>
                <w:color w:val="000000"/>
                <w:sz w:val="16"/>
                <w:szCs w:val="16"/>
              </w:rPr>
              <w:t>Quiñones</w:t>
            </w:r>
            <w:proofErr w:type="spellEnd"/>
          </w:p>
          <w:p w14:paraId="4F4F6994" w14:textId="77777777" w:rsidR="00FF26FC" w:rsidRPr="00FF26FC" w:rsidRDefault="00FF26FC" w:rsidP="00FF26FC">
            <w:pPr>
              <w:contextualSpacing/>
              <w:rPr>
                <w:rFonts w:ascii="Verdana" w:eastAsia="Arial" w:hAnsi="Verdana" w:cs="Arial"/>
                <w:color w:val="000000"/>
                <w:sz w:val="16"/>
                <w:szCs w:val="16"/>
              </w:rPr>
            </w:pPr>
            <w:r w:rsidRPr="00FF26FC">
              <w:rPr>
                <w:rFonts w:ascii="Verdana" w:eastAsia="Arial" w:hAnsi="Verdana" w:cs="Arial"/>
                <w:color w:val="000000"/>
                <w:sz w:val="16"/>
                <w:szCs w:val="16"/>
              </w:rPr>
              <w:t>Analista T2-02 de la Subdirección de Gestión Contractual</w:t>
            </w:r>
          </w:p>
        </w:tc>
      </w:tr>
      <w:tr w:rsidR="00FF26FC" w:rsidRPr="00FF26FC" w14:paraId="167D90C2" w14:textId="77777777" w:rsidTr="00CF6A4F">
        <w:trPr>
          <w:trHeight w:val="330"/>
        </w:trPr>
        <w:tc>
          <w:tcPr>
            <w:tcW w:w="893" w:type="dxa"/>
            <w:vAlign w:val="center"/>
            <w:hideMark/>
          </w:tcPr>
          <w:p w14:paraId="66952A2D" w14:textId="77777777" w:rsidR="00FF26FC" w:rsidRPr="00FF26FC" w:rsidRDefault="00FF26FC" w:rsidP="00FF26FC">
            <w:pPr>
              <w:contextualSpacing/>
              <w:rPr>
                <w:rFonts w:ascii="Verdana" w:eastAsia="Times New Roman" w:hAnsi="Verdana" w:cs="Arial"/>
                <w:color w:val="000000"/>
                <w:sz w:val="16"/>
                <w:szCs w:val="16"/>
                <w:lang w:val="es-ES" w:eastAsia="es-ES"/>
              </w:rPr>
            </w:pPr>
            <w:r w:rsidRPr="00FF26FC">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037FF970" w14:textId="77777777" w:rsidR="00FF26FC" w:rsidRPr="00FF26FC" w:rsidRDefault="00FF26FC" w:rsidP="00FF26FC">
            <w:pPr>
              <w:contextualSpacing/>
              <w:rPr>
                <w:rFonts w:ascii="Verdana" w:eastAsia="Times New Roman" w:hAnsi="Verdana" w:cs="Arial"/>
                <w:color w:val="000000"/>
                <w:sz w:val="16"/>
                <w:szCs w:val="16"/>
              </w:rPr>
            </w:pPr>
            <w:r w:rsidRPr="00FF26FC">
              <w:rPr>
                <w:rFonts w:ascii="Verdana" w:eastAsia="Times New Roman" w:hAnsi="Verdana" w:cs="Arial"/>
                <w:color w:val="000000"/>
                <w:sz w:val="16"/>
                <w:szCs w:val="16"/>
              </w:rPr>
              <w:t xml:space="preserve">Adriana </w:t>
            </w:r>
            <w:proofErr w:type="spellStart"/>
            <w:r w:rsidRPr="00FF26FC">
              <w:rPr>
                <w:rFonts w:ascii="Verdana" w:eastAsia="Times New Roman" w:hAnsi="Verdana" w:cs="Arial"/>
                <w:color w:val="000000"/>
                <w:sz w:val="16"/>
                <w:szCs w:val="16"/>
              </w:rPr>
              <w:t>Katerine</w:t>
            </w:r>
            <w:proofErr w:type="spellEnd"/>
            <w:r w:rsidRPr="00FF26FC">
              <w:rPr>
                <w:rFonts w:ascii="Verdana" w:eastAsia="Times New Roman" w:hAnsi="Verdana" w:cs="Arial"/>
                <w:color w:val="000000"/>
                <w:sz w:val="16"/>
                <w:szCs w:val="16"/>
              </w:rPr>
              <w:t xml:space="preserve"> López </w:t>
            </w:r>
          </w:p>
          <w:p w14:paraId="5F90DF2E" w14:textId="77777777" w:rsidR="00FF26FC" w:rsidRPr="00FF26FC" w:rsidRDefault="00FF26FC" w:rsidP="00FF26FC">
            <w:pPr>
              <w:contextualSpacing/>
              <w:textAlignment w:val="baseline"/>
              <w:rPr>
                <w:rFonts w:ascii="Verdana" w:eastAsia="Times New Roman" w:hAnsi="Verdana" w:cs="Arial"/>
                <w:color w:val="000000"/>
                <w:sz w:val="16"/>
                <w:szCs w:val="16"/>
              </w:rPr>
            </w:pPr>
            <w:r w:rsidRPr="00FF26FC">
              <w:rPr>
                <w:rFonts w:ascii="Verdana" w:eastAsia="Times New Roman" w:hAnsi="Verdana" w:cs="Arial"/>
                <w:color w:val="000000"/>
                <w:sz w:val="16"/>
                <w:szCs w:val="16"/>
              </w:rPr>
              <w:t>Contratista de la Subdirección de Gestión Contractual</w:t>
            </w:r>
          </w:p>
          <w:p w14:paraId="53CEC8F8" w14:textId="77777777" w:rsidR="00FF26FC" w:rsidRPr="00FF26FC" w:rsidRDefault="00FF26FC" w:rsidP="00FF26FC">
            <w:pPr>
              <w:contextualSpacing/>
              <w:textAlignment w:val="baseline"/>
              <w:rPr>
                <w:rFonts w:ascii="Verdana" w:eastAsia="Times New Roman" w:hAnsi="Verdana" w:cs="Arial"/>
                <w:color w:val="000000"/>
                <w:sz w:val="16"/>
                <w:szCs w:val="16"/>
              </w:rPr>
            </w:pPr>
            <w:r w:rsidRPr="00FF26FC">
              <w:rPr>
                <w:rFonts w:ascii="Verdana" w:eastAsia="Times New Roman" w:hAnsi="Verdana" w:cs="Arial"/>
                <w:color w:val="000000"/>
                <w:sz w:val="16"/>
                <w:szCs w:val="16"/>
              </w:rPr>
              <w:t>Alejandro Gamboa Cárdenas</w:t>
            </w:r>
          </w:p>
          <w:p w14:paraId="3F00A317" w14:textId="77777777" w:rsidR="00FF26FC" w:rsidRPr="00FF26FC" w:rsidRDefault="00FF26FC" w:rsidP="00FF26FC">
            <w:pPr>
              <w:contextualSpacing/>
              <w:textAlignment w:val="baseline"/>
              <w:rPr>
                <w:rFonts w:ascii="Verdana" w:eastAsia="Times New Roman" w:hAnsi="Verdana" w:cs="Arial"/>
                <w:color w:val="000000"/>
                <w:sz w:val="16"/>
                <w:szCs w:val="16"/>
              </w:rPr>
            </w:pPr>
            <w:r w:rsidRPr="00FF26FC">
              <w:rPr>
                <w:rFonts w:ascii="Verdana" w:eastAsia="Times New Roman" w:hAnsi="Verdana" w:cs="Arial"/>
                <w:color w:val="000000"/>
                <w:sz w:val="16"/>
                <w:szCs w:val="16"/>
              </w:rPr>
              <w:t xml:space="preserve">Contratista de la Subdirección de Gestión Contractual </w:t>
            </w:r>
          </w:p>
        </w:tc>
      </w:tr>
      <w:tr w:rsidR="00FF26FC" w:rsidRPr="00FF26FC" w14:paraId="5B8DCE61" w14:textId="77777777" w:rsidTr="00CF6A4F">
        <w:trPr>
          <w:trHeight w:val="300"/>
        </w:trPr>
        <w:tc>
          <w:tcPr>
            <w:tcW w:w="893" w:type="dxa"/>
            <w:vAlign w:val="center"/>
          </w:tcPr>
          <w:p w14:paraId="6A272F6D" w14:textId="77777777" w:rsidR="00FF26FC" w:rsidRPr="00FF26FC" w:rsidRDefault="00FF26FC" w:rsidP="00FF26FC">
            <w:pPr>
              <w:contextualSpacing/>
              <w:rPr>
                <w:rFonts w:ascii="Verdana" w:eastAsia="Times New Roman" w:hAnsi="Verdana" w:cs="Arial"/>
                <w:color w:val="000000"/>
                <w:sz w:val="16"/>
                <w:szCs w:val="16"/>
                <w:lang w:val="es-ES" w:eastAsia="es-ES"/>
              </w:rPr>
            </w:pPr>
            <w:r w:rsidRPr="00FF26FC">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7C535757" w14:textId="77777777" w:rsidR="00FF26FC" w:rsidRPr="00FF26FC" w:rsidRDefault="00FF26FC" w:rsidP="00FF26FC">
            <w:pPr>
              <w:contextualSpacing/>
              <w:rPr>
                <w:rFonts w:ascii="Verdana" w:eastAsia="Times New Roman" w:hAnsi="Verdana" w:cs="Arial"/>
                <w:color w:val="000000"/>
                <w:sz w:val="16"/>
                <w:szCs w:val="16"/>
              </w:rPr>
            </w:pPr>
            <w:r w:rsidRPr="00FF26FC">
              <w:rPr>
                <w:rFonts w:ascii="Verdana" w:eastAsia="Times New Roman" w:hAnsi="Verdana" w:cs="Arial"/>
                <w:color w:val="000000"/>
                <w:sz w:val="16"/>
                <w:szCs w:val="16"/>
              </w:rPr>
              <w:t xml:space="preserve">Carolina Quintero </w:t>
            </w:r>
            <w:proofErr w:type="spellStart"/>
            <w:r w:rsidRPr="00FF26FC">
              <w:rPr>
                <w:rFonts w:ascii="Verdana" w:eastAsia="Times New Roman" w:hAnsi="Verdana" w:cs="Arial"/>
                <w:color w:val="000000"/>
                <w:sz w:val="16"/>
                <w:szCs w:val="16"/>
              </w:rPr>
              <w:t>Gacharná</w:t>
            </w:r>
            <w:proofErr w:type="spellEnd"/>
          </w:p>
          <w:p w14:paraId="244A9048" w14:textId="77777777" w:rsidR="00FF26FC" w:rsidRPr="00FF26FC" w:rsidRDefault="00FF26FC" w:rsidP="00FF26FC">
            <w:pPr>
              <w:contextualSpacing/>
              <w:rPr>
                <w:rFonts w:ascii="Verdana" w:eastAsia="Times New Roman" w:hAnsi="Verdana" w:cs="Arial"/>
                <w:color w:val="000000"/>
                <w:sz w:val="16"/>
                <w:szCs w:val="16"/>
              </w:rPr>
            </w:pPr>
            <w:r w:rsidRPr="00FF26FC">
              <w:rPr>
                <w:rFonts w:ascii="Verdana" w:eastAsia="Times New Roman" w:hAnsi="Verdana" w:cs="Arial"/>
                <w:color w:val="000000"/>
                <w:sz w:val="16"/>
                <w:szCs w:val="16"/>
              </w:rPr>
              <w:t>Subdirectora de Gestión Contractual ANCP – CCE</w:t>
            </w:r>
          </w:p>
        </w:tc>
      </w:tr>
      <w:bookmarkEnd w:id="0"/>
    </w:tbl>
    <w:p w14:paraId="6A33503A" w14:textId="77777777" w:rsidR="00FF26FC" w:rsidRPr="00FF26FC" w:rsidRDefault="00FF26FC" w:rsidP="00FF26FC">
      <w:pPr>
        <w:spacing w:after="0" w:line="240" w:lineRule="auto"/>
        <w:textAlignment w:val="baseline"/>
        <w:rPr>
          <w:rFonts w:ascii="Verdana" w:eastAsia="Times New Roman" w:hAnsi="Verdana" w:cs="Segoe UI"/>
          <w:b/>
          <w:bCs/>
          <w:color w:val="46589C"/>
          <w:lang w:val="es-ES" w:eastAsia="es-CO"/>
        </w:rPr>
      </w:pPr>
    </w:p>
    <w:p w14:paraId="3900974D" w14:textId="77777777" w:rsidR="003D5B0D" w:rsidRPr="00FF26FC" w:rsidRDefault="003D5B0D" w:rsidP="004C6DFE">
      <w:pPr>
        <w:rPr>
          <w:lang w:val="es-ES"/>
        </w:rPr>
      </w:pPr>
    </w:p>
    <w:sectPr w:rsidR="003D5B0D" w:rsidRPr="00FF26FC"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D04A2" w14:textId="77777777" w:rsidR="00D97B84" w:rsidRDefault="00D97B84" w:rsidP="004A1847">
      <w:pPr>
        <w:spacing w:after="0" w:line="240" w:lineRule="auto"/>
      </w:pPr>
      <w:r>
        <w:separator/>
      </w:r>
    </w:p>
  </w:endnote>
  <w:endnote w:type="continuationSeparator" w:id="0">
    <w:p w14:paraId="0286BDC5" w14:textId="77777777" w:rsidR="00D97B84" w:rsidRDefault="00D97B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BA179" w14:textId="77777777" w:rsidR="00D97B84" w:rsidRDefault="00D97B84" w:rsidP="004A1847">
      <w:pPr>
        <w:spacing w:after="0" w:line="240" w:lineRule="auto"/>
      </w:pPr>
      <w:r>
        <w:separator/>
      </w:r>
    </w:p>
  </w:footnote>
  <w:footnote w:type="continuationSeparator" w:id="0">
    <w:p w14:paraId="7A84F380" w14:textId="77777777" w:rsidR="00D97B84" w:rsidRDefault="00D97B84" w:rsidP="004A1847">
      <w:pPr>
        <w:spacing w:after="0" w:line="240" w:lineRule="auto"/>
      </w:pPr>
      <w:r>
        <w:continuationSeparator/>
      </w:r>
    </w:p>
  </w:footnote>
  <w:footnote w:id="1">
    <w:p w14:paraId="36AFA128" w14:textId="77777777" w:rsidR="00FF26FC" w:rsidRPr="00BC5C37" w:rsidRDefault="00FF26FC" w:rsidP="00FF26FC">
      <w:pPr>
        <w:spacing w:after="0" w:line="240" w:lineRule="auto"/>
        <w:ind w:right="51" w:firstLine="720"/>
        <w:jc w:val="both"/>
        <w:rPr>
          <w:rFonts w:ascii="Verdana" w:hAnsi="Verdana" w:cs="Arial"/>
          <w:sz w:val="16"/>
          <w:szCs w:val="16"/>
        </w:rPr>
      </w:pPr>
      <w:r w:rsidRPr="00BC5C37">
        <w:rPr>
          <w:rStyle w:val="Refdenotaalpie"/>
          <w:rFonts w:ascii="Verdana" w:hAnsi="Verdana" w:cs="Arial"/>
          <w:sz w:val="16"/>
          <w:szCs w:val="16"/>
        </w:rPr>
        <w:footnoteRef/>
      </w:r>
      <w:r w:rsidRPr="00BC5C37">
        <w:rPr>
          <w:rFonts w:ascii="Verdana" w:hAnsi="Verdana" w:cs="Arial"/>
          <w:sz w:val="16"/>
          <w:szCs w:val="16"/>
        </w:rPr>
        <w:t xml:space="preserve"> 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BC5C37">
        <w:rPr>
          <w:rFonts w:ascii="Verdana" w:hAnsi="Verdana" w:cs="Arial"/>
          <w:spacing w:val="-14"/>
          <w:sz w:val="16"/>
          <w:szCs w:val="16"/>
        </w:rPr>
        <w:t xml:space="preserve"> </w:t>
      </w:r>
      <w:r w:rsidRPr="00BC5C37">
        <w:rPr>
          <w:rFonts w:ascii="Verdana" w:hAnsi="Verdana" w:cs="Arial"/>
          <w:sz w:val="16"/>
          <w:szCs w:val="16"/>
        </w:rPr>
        <w:t>utilizados. […]</w:t>
      </w:r>
    </w:p>
    <w:p w14:paraId="0AC6536D" w14:textId="77777777" w:rsidR="00FF26FC" w:rsidRDefault="00FF26FC" w:rsidP="00FF26FC">
      <w:pPr>
        <w:spacing w:after="0" w:line="240" w:lineRule="auto"/>
        <w:ind w:right="51" w:firstLine="708"/>
        <w:jc w:val="both"/>
        <w:rPr>
          <w:rFonts w:ascii="Verdana" w:hAnsi="Verdana" w:cs="Arial"/>
          <w:sz w:val="16"/>
          <w:szCs w:val="16"/>
        </w:rPr>
      </w:pPr>
      <w:r w:rsidRPr="00BC5C37">
        <w:rPr>
          <w:rFonts w:ascii="Verdana" w:hAnsi="Verdana" w:cs="Arial"/>
          <w:sz w:val="16"/>
          <w:szCs w:val="16"/>
        </w:rPr>
        <w:t>Capacidad Residual o K de Contratación: Aptitud de un oferente para cumplir oportuna y cabalmente con el objeto de un contrato de obra, sin que sus otros compromisos contractuales afecten su habilidad de cumplir con el contrato que está en proceso de selección”.</w:t>
      </w:r>
    </w:p>
    <w:p w14:paraId="757B328B" w14:textId="77777777" w:rsidR="00FF26FC" w:rsidRPr="00BC5C37" w:rsidRDefault="00FF26FC" w:rsidP="00FF26FC">
      <w:pPr>
        <w:spacing w:after="0" w:line="240" w:lineRule="auto"/>
        <w:ind w:right="51" w:firstLine="708"/>
        <w:jc w:val="both"/>
        <w:rPr>
          <w:rFonts w:ascii="Verdana" w:hAnsi="Verdana" w:cs="Arial"/>
          <w:sz w:val="16"/>
          <w:szCs w:val="16"/>
        </w:rPr>
      </w:pPr>
    </w:p>
  </w:footnote>
  <w:footnote w:id="2">
    <w:p w14:paraId="124EF64F" w14:textId="77777777" w:rsidR="00FF26FC" w:rsidRPr="004306FA" w:rsidRDefault="00FF26FC" w:rsidP="00FF26FC">
      <w:pPr>
        <w:pStyle w:val="NormalWeb"/>
        <w:shd w:val="clear" w:color="auto" w:fill="FFFFFF"/>
        <w:spacing w:before="0" w:beforeAutospacing="0" w:after="0" w:afterAutospacing="0"/>
        <w:ind w:firstLine="709"/>
        <w:rPr>
          <w:rFonts w:ascii="Verdana" w:hAnsi="Verdana" w:cs="Arial"/>
          <w:sz w:val="16"/>
          <w:szCs w:val="16"/>
        </w:rPr>
      </w:pPr>
      <w:r w:rsidRPr="004306FA">
        <w:rPr>
          <w:rStyle w:val="Refdenotaalpie"/>
          <w:rFonts w:ascii="Verdana" w:hAnsi="Verdana" w:cs="Arial"/>
          <w:sz w:val="16"/>
          <w:szCs w:val="16"/>
          <w:lang w:val="es-MX"/>
        </w:rPr>
        <w:footnoteRef/>
      </w:r>
      <w:r w:rsidRPr="004306FA">
        <w:rPr>
          <w:rStyle w:val="Refdenotaalpie"/>
          <w:rFonts w:ascii="Verdana" w:hAnsi="Verdana" w:cs="Arial"/>
          <w:sz w:val="16"/>
          <w:szCs w:val="16"/>
          <w:lang w:val="es-MX"/>
        </w:rPr>
        <w:t xml:space="preserve"> </w:t>
      </w:r>
      <w:r>
        <w:rPr>
          <w:rFonts w:ascii="Verdana" w:hAnsi="Verdana" w:cs="Arial"/>
          <w:sz w:val="16"/>
          <w:szCs w:val="16"/>
        </w:rPr>
        <w:t>“</w:t>
      </w:r>
      <w:r w:rsidRPr="004306FA">
        <w:rPr>
          <w:rFonts w:ascii="Verdana" w:hAnsi="Verdana" w:cs="Arial"/>
          <w:sz w:val="16"/>
          <w:szCs w:val="16"/>
        </w:rPr>
        <w:t>Artículo 2.2.1.1.1.6.4. Capacidad Residual: El interesado en celebrar contratos de obra pública con Entidades Estatales debe acreditar su Capacidad Residual o K de Contratación con los siguientes documentos:</w:t>
      </w:r>
    </w:p>
    <w:p w14:paraId="7A4BF941" w14:textId="77777777" w:rsidR="00FF26FC" w:rsidRPr="004306FA" w:rsidRDefault="00FF26FC" w:rsidP="00FF26FC">
      <w:pPr>
        <w:shd w:val="clear" w:color="auto" w:fill="FFFFFF"/>
        <w:spacing w:after="0" w:line="240" w:lineRule="auto"/>
        <w:ind w:firstLine="709"/>
        <w:jc w:val="both"/>
        <w:rPr>
          <w:rFonts w:ascii="Verdana" w:hAnsi="Verdana" w:cs="Arial"/>
          <w:sz w:val="16"/>
          <w:szCs w:val="16"/>
        </w:rPr>
      </w:pPr>
      <w:r w:rsidRPr="004306FA">
        <w:rPr>
          <w:rFonts w:ascii="Verdana" w:hAnsi="Verdana" w:cs="Arial"/>
          <w:sz w:val="16"/>
          <w:szCs w:val="16"/>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4FA63A88" w14:textId="77777777" w:rsidR="00FF26FC" w:rsidRPr="004306FA" w:rsidRDefault="00FF26FC" w:rsidP="00FF26FC">
      <w:pPr>
        <w:shd w:val="clear" w:color="auto" w:fill="FFFFFF"/>
        <w:spacing w:after="0" w:line="240" w:lineRule="auto"/>
        <w:ind w:firstLine="709"/>
        <w:jc w:val="both"/>
        <w:rPr>
          <w:rFonts w:ascii="Verdana" w:hAnsi="Verdana" w:cs="Arial"/>
          <w:sz w:val="16"/>
          <w:szCs w:val="16"/>
        </w:rPr>
      </w:pPr>
      <w:r w:rsidRPr="004306FA">
        <w:rPr>
          <w:rFonts w:ascii="Verdana" w:hAnsi="Verdana" w:cs="Arial"/>
          <w:sz w:val="16"/>
          <w:szCs w:val="16"/>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3720606E" w14:textId="77777777" w:rsidR="00FF26FC" w:rsidRPr="004306FA" w:rsidRDefault="00FF26FC" w:rsidP="00FF26FC">
      <w:pPr>
        <w:shd w:val="clear" w:color="auto" w:fill="FFFFFF"/>
        <w:spacing w:after="0" w:line="240" w:lineRule="auto"/>
        <w:ind w:firstLine="709"/>
        <w:jc w:val="both"/>
        <w:rPr>
          <w:rFonts w:ascii="Verdana" w:hAnsi="Verdana" w:cs="Arial"/>
          <w:sz w:val="16"/>
          <w:szCs w:val="16"/>
        </w:rPr>
      </w:pPr>
      <w:r w:rsidRPr="004306FA">
        <w:rPr>
          <w:rFonts w:ascii="Verdana" w:hAnsi="Verdana" w:cs="Arial"/>
          <w:sz w:val="16"/>
          <w:szCs w:val="16"/>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r>
        <w:rPr>
          <w:rFonts w:ascii="Verdana" w:hAnsi="Verdana" w:cs="Arial"/>
          <w:sz w:val="16"/>
          <w:szCs w:val="16"/>
        </w:rPr>
        <w:t>”</w:t>
      </w:r>
      <w:r w:rsidRPr="004306FA">
        <w:rPr>
          <w:rFonts w:ascii="Verdana" w:hAnsi="Verdana" w:cs="Arial"/>
          <w:sz w:val="16"/>
          <w:szCs w:val="16"/>
        </w:rPr>
        <w:t>.</w:t>
      </w:r>
    </w:p>
    <w:p w14:paraId="70201A73" w14:textId="77777777" w:rsidR="00FF26FC" w:rsidRPr="004306FA" w:rsidRDefault="00FF26FC" w:rsidP="00FF26FC">
      <w:pPr>
        <w:shd w:val="clear" w:color="auto" w:fill="FFFFFF"/>
        <w:spacing w:after="0" w:line="240" w:lineRule="auto"/>
        <w:ind w:firstLine="709"/>
        <w:jc w:val="both"/>
        <w:rPr>
          <w:rFonts w:ascii="Verdana" w:hAnsi="Verdana" w:cs="Arial"/>
          <w:sz w:val="16"/>
          <w:szCs w:val="16"/>
        </w:rPr>
      </w:pPr>
    </w:p>
  </w:footnote>
  <w:footnote w:id="3">
    <w:p w14:paraId="1AA39A5A" w14:textId="77777777" w:rsidR="00FF26FC" w:rsidRPr="004306FA" w:rsidRDefault="00FF26FC" w:rsidP="00FF26FC">
      <w:pPr>
        <w:spacing w:after="0" w:line="240" w:lineRule="auto"/>
        <w:ind w:firstLine="708"/>
        <w:jc w:val="both"/>
        <w:rPr>
          <w:rFonts w:ascii="Verdana" w:eastAsia="Calibri" w:hAnsi="Verdana" w:cs="Arial"/>
          <w:sz w:val="16"/>
          <w:szCs w:val="16"/>
        </w:rPr>
      </w:pPr>
      <w:r w:rsidRPr="004306FA">
        <w:rPr>
          <w:rStyle w:val="Refdenotaalpie"/>
          <w:rFonts w:ascii="Verdana" w:hAnsi="Verdana"/>
          <w:sz w:val="16"/>
          <w:szCs w:val="16"/>
        </w:rPr>
        <w:footnoteRef/>
      </w:r>
      <w:r w:rsidRPr="004306FA">
        <w:rPr>
          <w:rFonts w:ascii="Verdana" w:hAnsi="Verdana"/>
          <w:sz w:val="16"/>
          <w:szCs w:val="16"/>
        </w:rPr>
        <w:t xml:space="preserve"> </w:t>
      </w:r>
      <w:r w:rsidRPr="004306FA">
        <w:rPr>
          <w:rFonts w:ascii="Verdana" w:eastAsia="Calibri" w:hAnsi="Verdana" w:cs="Arial"/>
          <w:sz w:val="16"/>
          <w:szCs w:val="16"/>
        </w:rPr>
        <w:t xml:space="preserve">De conformidad con lo expuesto, la Agencia Nacional de Contratación Pública – Colombia Compra Eficiente, como ente rector del sistema de compra pública y en virtud del mandato legal, ha expedido la “Guía para determinar y verificar la Capacidad Residual del proponente en los Procesos de Contratación” con el propósito de otorgar una herramienta útil para la participación en los procesos de selección del sistema de compras públicas colombiano. En ella se ha puesto a disposición de las entidades y proponentes formatos, los cuales puede usar en desarrollo de su proceso, y estableció la metodología para el cálculo de la capacidad residual. La metodología resulta de obligatoria observancia tanto para entidades como oferentes en los procesos de contratación de obra pública y es orientadora para realizar el cálculo de la capacidad residual. </w:t>
      </w:r>
    </w:p>
    <w:p w14:paraId="116529D1" w14:textId="77777777" w:rsidR="00FF26FC" w:rsidRPr="004306FA" w:rsidRDefault="00FF26FC" w:rsidP="00FF26FC">
      <w:pPr>
        <w:pStyle w:val="Textonotapie"/>
        <w:rPr>
          <w:rFonts w:ascii="Verdana" w:hAnsi="Verdana"/>
          <w:sz w:val="16"/>
          <w:szCs w:val="16"/>
          <w:lang w:val="es-CO"/>
        </w:rPr>
      </w:pPr>
    </w:p>
  </w:footnote>
  <w:footnote w:id="4">
    <w:p w14:paraId="7101F676" w14:textId="77777777" w:rsidR="00FF26FC" w:rsidRPr="00BC5C37" w:rsidRDefault="00FF26FC" w:rsidP="00FF26FC">
      <w:pPr>
        <w:pStyle w:val="Textonotapie"/>
        <w:ind w:firstLine="708"/>
        <w:jc w:val="both"/>
        <w:rPr>
          <w:rFonts w:ascii="Verdana" w:hAnsi="Verdana"/>
          <w:sz w:val="16"/>
          <w:szCs w:val="16"/>
          <w:lang w:val="es-CO"/>
        </w:rPr>
      </w:pPr>
      <w:r w:rsidRPr="00BC5C37">
        <w:rPr>
          <w:rStyle w:val="Refdenotaalpie"/>
          <w:rFonts w:ascii="Verdana" w:hAnsi="Verdana"/>
          <w:sz w:val="16"/>
          <w:szCs w:val="16"/>
        </w:rPr>
        <w:footnoteRef/>
      </w:r>
      <w:r w:rsidRPr="00BC5C37">
        <w:rPr>
          <w:rFonts w:ascii="Verdana" w:hAnsi="Verdana"/>
          <w:sz w:val="16"/>
          <w:szCs w:val="16"/>
        </w:rPr>
        <w:t xml:space="preserve"> Consejo de Estado. Sección Tercera. Sentencia del 27 de abril de 2011. </w:t>
      </w:r>
      <w:proofErr w:type="spellStart"/>
      <w:r w:rsidRPr="00BC5C37">
        <w:rPr>
          <w:rFonts w:ascii="Verdana" w:hAnsi="Verdana"/>
          <w:sz w:val="16"/>
          <w:szCs w:val="16"/>
        </w:rPr>
        <w:t>Exp</w:t>
      </w:r>
      <w:proofErr w:type="spellEnd"/>
      <w:r w:rsidRPr="00BC5C37">
        <w:rPr>
          <w:rFonts w:ascii="Verdana" w:hAnsi="Verdana"/>
          <w:sz w:val="16"/>
          <w:szCs w:val="16"/>
        </w:rPr>
        <w:t>. 18.293. C.P. Ruth Stella Correa Palacio.</w:t>
      </w:r>
    </w:p>
  </w:footnote>
  <w:footnote w:id="5">
    <w:p w14:paraId="73590E44" w14:textId="77777777" w:rsidR="00FF26FC" w:rsidRDefault="00FF26FC" w:rsidP="00FF26FC">
      <w:pPr>
        <w:pStyle w:val="Textonotapie"/>
        <w:ind w:firstLine="708"/>
        <w:jc w:val="both"/>
        <w:rPr>
          <w:rFonts w:ascii="Verdana" w:hAnsi="Verdana"/>
          <w:sz w:val="16"/>
          <w:szCs w:val="16"/>
        </w:rPr>
      </w:pPr>
    </w:p>
    <w:p w14:paraId="3A853B38" w14:textId="77777777" w:rsidR="00FF26FC" w:rsidRDefault="00FF26FC" w:rsidP="00FF26FC">
      <w:pPr>
        <w:pStyle w:val="Textonotapie"/>
        <w:ind w:firstLine="708"/>
        <w:jc w:val="both"/>
        <w:rPr>
          <w:rFonts w:ascii="Verdana" w:hAnsi="Verdana"/>
          <w:sz w:val="16"/>
          <w:szCs w:val="16"/>
        </w:rPr>
      </w:pPr>
      <w:r w:rsidRPr="00BC5C37">
        <w:rPr>
          <w:rStyle w:val="Refdenotaalpie"/>
          <w:rFonts w:ascii="Verdana" w:hAnsi="Verdana"/>
          <w:sz w:val="16"/>
          <w:szCs w:val="16"/>
        </w:rPr>
        <w:footnoteRef/>
      </w:r>
      <w:r w:rsidRPr="00BC5C37">
        <w:rPr>
          <w:rFonts w:ascii="Verdana" w:hAnsi="Verdana"/>
          <w:sz w:val="16"/>
          <w:szCs w:val="16"/>
        </w:rPr>
        <w:t xml:space="preserve"> Consejo de Estado. Sección Tercera. Sentencia del 21 de noviembre de 2013 </w:t>
      </w:r>
      <w:proofErr w:type="spellStart"/>
      <w:r w:rsidRPr="00BC5C37">
        <w:rPr>
          <w:rFonts w:ascii="Verdana" w:hAnsi="Verdana"/>
          <w:sz w:val="16"/>
          <w:szCs w:val="16"/>
        </w:rPr>
        <w:t>Exp</w:t>
      </w:r>
      <w:proofErr w:type="spellEnd"/>
      <w:r w:rsidRPr="00BC5C37">
        <w:rPr>
          <w:rFonts w:ascii="Verdana" w:hAnsi="Verdana"/>
          <w:sz w:val="16"/>
          <w:szCs w:val="16"/>
        </w:rPr>
        <w:t>. 25397. C.P. Carlos Alberto</w:t>
      </w:r>
      <w:r>
        <w:rPr>
          <w:rFonts w:ascii="Verdana" w:hAnsi="Verdana"/>
          <w:sz w:val="16"/>
          <w:szCs w:val="16"/>
        </w:rPr>
        <w:t xml:space="preserve"> </w:t>
      </w:r>
      <w:r w:rsidRPr="00BC5C37">
        <w:rPr>
          <w:rFonts w:ascii="Verdana" w:hAnsi="Verdana"/>
          <w:sz w:val="16"/>
          <w:szCs w:val="16"/>
        </w:rPr>
        <w:t>Zambrano Barrera.</w:t>
      </w:r>
    </w:p>
    <w:p w14:paraId="243D9834" w14:textId="77777777" w:rsidR="00FF26FC" w:rsidRPr="004306FA" w:rsidRDefault="00FF26FC" w:rsidP="00FF26FC">
      <w:pPr>
        <w:pStyle w:val="Textonotapie"/>
        <w:ind w:firstLine="708"/>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2C9187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5255822" o:spid="_x0000_i1025" type="#_x0000_t75" style="width:11.25pt;height:11.25pt;visibility:visible;mso-wrap-style:square">
            <v:imagedata r:id="rId1" o:title=""/>
          </v:shape>
        </w:pict>
      </mc:Choice>
      <mc:Fallback>
        <w:drawing>
          <wp:inline distT="0" distB="0" distL="0" distR="0" wp14:anchorId="780448FD" wp14:editId="780448FE">
            <wp:extent cx="142875" cy="142875"/>
            <wp:effectExtent l="0" t="0" r="0" b="0"/>
            <wp:docPr id="45255822" name="Imagen 45255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34D3366"/>
    <w:multiLevelType w:val="hybridMultilevel"/>
    <w:tmpl w:val="05EEE7A0"/>
    <w:lvl w:ilvl="0" w:tplc="0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3986438"/>
    <w:multiLevelType w:val="hybridMultilevel"/>
    <w:tmpl w:val="627456F0"/>
    <w:lvl w:ilvl="0" w:tplc="C9DCBA6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1312443995">
    <w:abstractNumId w:val="9"/>
  </w:num>
  <w:num w:numId="18" w16cid:durableId="15035478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47F6"/>
    <w:rsid w:val="000C3B17"/>
    <w:rsid w:val="000D0334"/>
    <w:rsid w:val="000F6486"/>
    <w:rsid w:val="00125105"/>
    <w:rsid w:val="00127233"/>
    <w:rsid w:val="001511A0"/>
    <w:rsid w:val="001832C9"/>
    <w:rsid w:val="001C2576"/>
    <w:rsid w:val="001C41F0"/>
    <w:rsid w:val="001E37FA"/>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24FCF"/>
    <w:rsid w:val="003448F4"/>
    <w:rsid w:val="00374F5E"/>
    <w:rsid w:val="00377E3E"/>
    <w:rsid w:val="003A779E"/>
    <w:rsid w:val="003D0F4D"/>
    <w:rsid w:val="003D5B0D"/>
    <w:rsid w:val="003E0499"/>
    <w:rsid w:val="003F3941"/>
    <w:rsid w:val="00406575"/>
    <w:rsid w:val="00414C74"/>
    <w:rsid w:val="0042722E"/>
    <w:rsid w:val="00433FD6"/>
    <w:rsid w:val="0044528D"/>
    <w:rsid w:val="004A1847"/>
    <w:rsid w:val="004A305D"/>
    <w:rsid w:val="004A3AE1"/>
    <w:rsid w:val="004C6DFE"/>
    <w:rsid w:val="004F21C4"/>
    <w:rsid w:val="004F685F"/>
    <w:rsid w:val="005566E8"/>
    <w:rsid w:val="00574867"/>
    <w:rsid w:val="00591460"/>
    <w:rsid w:val="005B3816"/>
    <w:rsid w:val="005C3777"/>
    <w:rsid w:val="005C5CDC"/>
    <w:rsid w:val="005D476C"/>
    <w:rsid w:val="006219F8"/>
    <w:rsid w:val="00665D70"/>
    <w:rsid w:val="006900D9"/>
    <w:rsid w:val="00692493"/>
    <w:rsid w:val="00706C16"/>
    <w:rsid w:val="00756841"/>
    <w:rsid w:val="0075736F"/>
    <w:rsid w:val="007649AB"/>
    <w:rsid w:val="00771D0C"/>
    <w:rsid w:val="007833AC"/>
    <w:rsid w:val="007B268C"/>
    <w:rsid w:val="007B7171"/>
    <w:rsid w:val="007C0C0F"/>
    <w:rsid w:val="007C3DC2"/>
    <w:rsid w:val="007E5497"/>
    <w:rsid w:val="00801944"/>
    <w:rsid w:val="00806F5F"/>
    <w:rsid w:val="00820278"/>
    <w:rsid w:val="00837F61"/>
    <w:rsid w:val="00855674"/>
    <w:rsid w:val="00867F95"/>
    <w:rsid w:val="008843B6"/>
    <w:rsid w:val="008918C1"/>
    <w:rsid w:val="00891928"/>
    <w:rsid w:val="008A446D"/>
    <w:rsid w:val="008D180B"/>
    <w:rsid w:val="008E432D"/>
    <w:rsid w:val="008F0EA7"/>
    <w:rsid w:val="00915662"/>
    <w:rsid w:val="00923EEF"/>
    <w:rsid w:val="009419F9"/>
    <w:rsid w:val="0095685E"/>
    <w:rsid w:val="00961B09"/>
    <w:rsid w:val="00965334"/>
    <w:rsid w:val="0097093E"/>
    <w:rsid w:val="00974409"/>
    <w:rsid w:val="00986AC5"/>
    <w:rsid w:val="009A0DFA"/>
    <w:rsid w:val="009B2D26"/>
    <w:rsid w:val="009B5B78"/>
    <w:rsid w:val="009C71FA"/>
    <w:rsid w:val="009C72E7"/>
    <w:rsid w:val="009D3058"/>
    <w:rsid w:val="009F3A13"/>
    <w:rsid w:val="00A122D3"/>
    <w:rsid w:val="00A17F13"/>
    <w:rsid w:val="00A20739"/>
    <w:rsid w:val="00A33C78"/>
    <w:rsid w:val="00AB0ADB"/>
    <w:rsid w:val="00AB3B5C"/>
    <w:rsid w:val="00B01B1A"/>
    <w:rsid w:val="00B66319"/>
    <w:rsid w:val="00B72CD3"/>
    <w:rsid w:val="00B72FFF"/>
    <w:rsid w:val="00BC3D36"/>
    <w:rsid w:val="00BD7F72"/>
    <w:rsid w:val="00C04FB3"/>
    <w:rsid w:val="00C330EB"/>
    <w:rsid w:val="00C41061"/>
    <w:rsid w:val="00C754BE"/>
    <w:rsid w:val="00C76B1C"/>
    <w:rsid w:val="00CB6357"/>
    <w:rsid w:val="00CC1B26"/>
    <w:rsid w:val="00CF31E8"/>
    <w:rsid w:val="00D423A2"/>
    <w:rsid w:val="00D520D8"/>
    <w:rsid w:val="00D63AC2"/>
    <w:rsid w:val="00D6643C"/>
    <w:rsid w:val="00D7383B"/>
    <w:rsid w:val="00D74A30"/>
    <w:rsid w:val="00D97B84"/>
    <w:rsid w:val="00DA231B"/>
    <w:rsid w:val="00DC39FC"/>
    <w:rsid w:val="00DF5254"/>
    <w:rsid w:val="00E16408"/>
    <w:rsid w:val="00E20894"/>
    <w:rsid w:val="00E245AB"/>
    <w:rsid w:val="00E2764C"/>
    <w:rsid w:val="00E27F2E"/>
    <w:rsid w:val="00E31581"/>
    <w:rsid w:val="00E50AFE"/>
    <w:rsid w:val="00E75C92"/>
    <w:rsid w:val="00E771DC"/>
    <w:rsid w:val="00E8772A"/>
    <w:rsid w:val="00E90F6B"/>
    <w:rsid w:val="00E92C27"/>
    <w:rsid w:val="00E934E1"/>
    <w:rsid w:val="00EA0E3D"/>
    <w:rsid w:val="00EC38A7"/>
    <w:rsid w:val="00ED7384"/>
    <w:rsid w:val="00EE1AA8"/>
    <w:rsid w:val="00F31EDC"/>
    <w:rsid w:val="00F334DC"/>
    <w:rsid w:val="00F462B3"/>
    <w:rsid w:val="00F527DF"/>
    <w:rsid w:val="00F5664F"/>
    <w:rsid w:val="00F666C4"/>
    <w:rsid w:val="00F76AFC"/>
    <w:rsid w:val="00FA47C0"/>
    <w:rsid w:val="00FB5DD1"/>
    <w:rsid w:val="00FC2B5D"/>
    <w:rsid w:val="00FF1449"/>
    <w:rsid w:val="00FF26FC"/>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FF26FC"/>
    <w:pPr>
      <w:spacing w:line="240" w:lineRule="exact"/>
    </w:pPr>
    <w:rPr>
      <w:vertAlign w:val="superscript"/>
    </w:rPr>
  </w:style>
  <w:style w:type="character" w:customStyle="1" w:styleId="NormalWebCar">
    <w:name w:val="Normal (Web) Car"/>
    <w:link w:val="NormalWeb"/>
    <w:uiPriority w:val="99"/>
    <w:rsid w:val="00FF26F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hector.quinones%40colombiacompra.gov.co%7C7cfff6dece924643582c08dd97bfed90%7C7b09041e245149d08cb179d5e3d8c1be%7C0%7C0%7C638833572788740362%7CUnknown%7CTWFpbGZsb3d8eyJFbXB0eU1hcGkiOnRydWUsIlYiOiIwLjAuMDAwMCIsIlAiOiJXaW4zMiIsIkFOIjoiTWFpbCIsIldUIjoyfQ%3D%3D%7C0%7C%7C%7C&amp;sdata=XSJkbaGZxHKMtJ5wa5vvjyh2gGO6gM5y1R6f1%2FBNZ8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ahegame@outlook.com" TargetMode="External"/><Relationship Id="rId5" Type="http://schemas.openxmlformats.org/officeDocument/2006/relationships/styles" Target="styles.xml"/><Relationship Id="rId15" Type="http://schemas.openxmlformats.org/officeDocument/2006/relationships/hyperlink" Target="https://relatoria.colombiacompra.gov.co/"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ites/cce_public/files/cce_documents/cce-eicp-gi-22_guia_capacidad_residual_de_contratacion_v1_29-09-2023_.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B2742E2-0111-47D0-BE2F-710F5DEED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http://purl.org/dc/elements/1.1/"/>
    <ds:schemaRef ds:uri="http://schemas.microsoft.com/office/infopath/2007/PartnerControls"/>
    <ds:schemaRef ds:uri="9d85dbaf-23eb-4e57-a637-93dcacc8b1a1"/>
    <ds:schemaRef ds:uri="http://purl.org/dc/terms/"/>
    <ds:schemaRef ds:uri="http://schemas.openxmlformats.org/package/2006/metadata/core-properties"/>
    <ds:schemaRef ds:uri="a6cb9e4b-f1d1-4245-83ec-6cad768d538a"/>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4943</Words>
  <Characters>27190</Characters>
  <Application>Microsoft Office Word</Application>
  <DocSecurity>0</DocSecurity>
  <Lines>226</Lines>
  <Paragraphs>64</Paragraphs>
  <ScaleCrop>false</ScaleCrop>
  <Company/>
  <LinksUpToDate>false</LinksUpToDate>
  <CharactersWithSpaces>32069</CharactersWithSpaces>
  <SharedDoc>false</SharedDoc>
  <HLinks>
    <vt:vector size="24" baseType="variant">
      <vt:variant>
        <vt:i4>3211360</vt:i4>
      </vt:variant>
      <vt:variant>
        <vt:i4>9</vt:i4>
      </vt:variant>
      <vt:variant>
        <vt:i4>0</vt:i4>
      </vt:variant>
      <vt:variant>
        <vt:i4>5</vt:i4>
      </vt:variant>
      <vt:variant>
        <vt:lpwstr>https://nam02.safelinks.protection.outlook.com/?url=https%3A%2F%2Fwww.colombiacompra.gov.co%2Fwp-content%2Fuploads%2F2025%2F05%2FGUIA-DE-LINEAMIENTOS-DE-TRANSPARENCIA-Y-SELECCION-OBJETIVA-1.0.pdf&amp;data=05%7C02%7Chector.quinones%40colombiacompra.gov.co%7C7cfff6dece924643582c08dd97bfed90%7C7b09041e245149d08cb179d5e3d8c1be%7C0%7C0%7C638833572788740362%7CUnknown%7CTWFpbGZsb3d8eyJFbXB0eU1hcGkiOnRydWUsIlYiOiIwLjAuMDAwMCIsIlAiOiJXaW4zMiIsIkFOIjoiTWFpbCIsIldUIjoyfQ%3D%3D%7C0%7C%7C%7C&amp;sdata=XSJkbaGZxHKMtJ5wa5vvjyh2gGO6gM5y1R6f1%2FBNZ8o%3D&amp;reserved=0</vt:lpwstr>
      </vt:variant>
      <vt:variant>
        <vt:lpwstr/>
      </vt:variant>
      <vt:variant>
        <vt:i4>1900622</vt:i4>
      </vt:variant>
      <vt:variant>
        <vt:i4>6</vt:i4>
      </vt:variant>
      <vt:variant>
        <vt:i4>0</vt:i4>
      </vt:variant>
      <vt:variant>
        <vt:i4>5</vt:i4>
      </vt:variant>
      <vt:variant>
        <vt:lpwstr>https://relatoria.colombiacompra.gov.co/</vt:lpwstr>
      </vt:variant>
      <vt:variant>
        <vt:lpwstr/>
      </vt:variant>
      <vt:variant>
        <vt:i4>7340149</vt:i4>
      </vt:variant>
      <vt:variant>
        <vt:i4>3</vt:i4>
      </vt:variant>
      <vt:variant>
        <vt:i4>0</vt:i4>
      </vt:variant>
      <vt:variant>
        <vt:i4>5</vt:i4>
      </vt:variant>
      <vt:variant>
        <vt:lpwstr>https://www.colombiacompra.gov.co/sites/cce_public/files/cce_documents/cce-eicp-gi-22_guia_capacidad_residual_de_contratacion_v1_29-09-2023_.pdf</vt:lpwstr>
      </vt:variant>
      <vt:variant>
        <vt:lpwstr/>
      </vt:variant>
      <vt:variant>
        <vt:i4>327734</vt:i4>
      </vt:variant>
      <vt:variant>
        <vt:i4>0</vt:i4>
      </vt:variant>
      <vt:variant>
        <vt:i4>0</vt:i4>
      </vt:variant>
      <vt:variant>
        <vt:i4>5</vt:i4>
      </vt:variant>
      <vt:variant>
        <vt:lpwstr>mailto:rahegame@outlook.com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2025-06-24T14:41:00Z</dcterms:created>
  <dcterms:modified xsi:type="dcterms:W3CDTF">2025-06-24T14:41:00Z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