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4F1691FC" w:rsidR="00DE5124" w:rsidRPr="00883371" w:rsidRDefault="00DE5124" w:rsidP="00DE5124">
      <w:pPr>
        <w:jc w:val="right"/>
        <w:rPr>
          <w:rFonts w:ascii="Arial" w:hAnsi="Arial" w:cs="Arial"/>
          <w:b/>
          <w:sz w:val="16"/>
          <w:szCs w:val="16"/>
          <w:lang w:eastAsia="es-ES"/>
        </w:rPr>
      </w:pPr>
      <w:bookmarkStart w:id="0" w:name="_Hlk29548183"/>
      <w:bookmarkStart w:id="1" w:name="_Hlk28946138"/>
      <w:r w:rsidRPr="00883371">
        <w:rPr>
          <w:rFonts w:ascii="Arial" w:hAnsi="Arial" w:cs="Arial"/>
          <w:b/>
          <w:sz w:val="16"/>
          <w:szCs w:val="16"/>
          <w:lang w:eastAsia="es-ES"/>
        </w:rPr>
        <w:t>CCE-DES-FM-17</w:t>
      </w:r>
      <w:bookmarkEnd w:id="0"/>
      <w:bookmarkEnd w:id="1"/>
    </w:p>
    <w:p w14:paraId="768749E6" w14:textId="77777777" w:rsidR="00E216F2" w:rsidRPr="00883371" w:rsidRDefault="00E216F2" w:rsidP="00E216F2">
      <w:pPr>
        <w:rPr>
          <w:rFonts w:ascii="Arial" w:eastAsia="Calibri" w:hAnsi="Arial" w:cs="Arial"/>
          <w:b/>
          <w:bCs/>
          <w:sz w:val="22"/>
        </w:rPr>
      </w:pPr>
      <w:r w:rsidRPr="00883371">
        <w:rPr>
          <w:rFonts w:ascii="Arial" w:hAnsi="Arial" w:cs="Arial"/>
          <w:b/>
          <w:bCs/>
          <w:sz w:val="22"/>
        </w:rPr>
        <w:t xml:space="preserve">CONVENIOS INTERADMINISTRATIVOS </w:t>
      </w:r>
      <w:r w:rsidRPr="00883371">
        <w:rPr>
          <w:rFonts w:ascii="Arial" w:eastAsia="Calibri" w:hAnsi="Arial" w:cs="Arial"/>
          <w:b/>
          <w:bCs/>
          <w:sz w:val="22"/>
        </w:rPr>
        <w:t xml:space="preserve">– Definición </w:t>
      </w:r>
    </w:p>
    <w:p w14:paraId="3F2B047A" w14:textId="77777777" w:rsidR="00E216F2" w:rsidRPr="00883371" w:rsidRDefault="00E216F2" w:rsidP="00E216F2">
      <w:pPr>
        <w:rPr>
          <w:rFonts w:ascii="Arial" w:eastAsia="Calibri" w:hAnsi="Arial" w:cs="Arial"/>
          <w:b/>
          <w:sz w:val="22"/>
        </w:rPr>
      </w:pPr>
    </w:p>
    <w:p w14:paraId="705782FA" w14:textId="77777777" w:rsidR="00E216F2" w:rsidRPr="00883371" w:rsidRDefault="00E216F2" w:rsidP="00E216F2">
      <w:pPr>
        <w:spacing w:after="120"/>
        <w:jc w:val="both"/>
        <w:rPr>
          <w:rFonts w:ascii="Arial" w:eastAsia="Calibri" w:hAnsi="Arial" w:cs="Arial"/>
          <w:sz w:val="20"/>
          <w:szCs w:val="20"/>
        </w:rPr>
      </w:pPr>
      <w:r w:rsidRPr="00883371">
        <w:rPr>
          <w:rFonts w:ascii="Arial" w:eastAsia="Calibri" w:hAnsi="Arial" w:cs="Arial"/>
          <w:sz w:val="20"/>
          <w:szCs w:val="20"/>
        </w:rPr>
        <w:t>La tipología de contrato interadministrativo fue creada en la Ley 80 de 1993, a pesar de que dentro del texto de la misma no se realizó una definición o un desarrollo amplio respecto de este.  Dicha norma se refiere a los contratos interadministrativos al regular en su artículo 14 las facultades excepcionales de la administración, con el propósito exceptuar del ejercicio de las mismas a este tipo de contratos, tal como lo dispone el parágrafo de la norma.</w:t>
      </w:r>
    </w:p>
    <w:p w14:paraId="684895AC" w14:textId="77777777" w:rsidR="00E216F2" w:rsidRPr="00883371" w:rsidRDefault="00E216F2" w:rsidP="00E216F2">
      <w:pPr>
        <w:spacing w:after="120"/>
        <w:jc w:val="both"/>
        <w:rPr>
          <w:rFonts w:ascii="Arial" w:eastAsia="Calibri" w:hAnsi="Arial" w:cs="Arial"/>
          <w:sz w:val="20"/>
          <w:szCs w:val="20"/>
        </w:rPr>
      </w:pPr>
      <w:r w:rsidRPr="00883371">
        <w:rPr>
          <w:rFonts w:ascii="Arial" w:eastAsia="Calibri" w:hAnsi="Arial" w:cs="Arial"/>
          <w:sz w:val="20"/>
          <w:szCs w:val="20"/>
        </w:rPr>
        <w:t>Por su parte el Decreto 1082 de 2015 «Por medio del cual se expide el Decreto único reglamentario del sector administrativo de planeación nacional», calificó a los convenios o contratos interadministrativos como la contratación realizada entre entidades estatales.</w:t>
      </w:r>
    </w:p>
    <w:p w14:paraId="43A2D435" w14:textId="77777777" w:rsidR="00E216F2" w:rsidRPr="00883371" w:rsidRDefault="00E216F2" w:rsidP="00E216F2">
      <w:pPr>
        <w:jc w:val="both"/>
        <w:rPr>
          <w:rFonts w:ascii="Arial" w:eastAsia="Calibri" w:hAnsi="Arial" w:cs="Arial"/>
          <w:sz w:val="22"/>
        </w:rPr>
      </w:pPr>
      <w:r w:rsidRPr="00883371">
        <w:rPr>
          <w:rFonts w:ascii="Arial" w:hAnsi="Arial" w:cs="Arial"/>
          <w:sz w:val="20"/>
          <w:szCs w:val="20"/>
        </w:rPr>
        <w:t>E</w:t>
      </w:r>
      <w:r w:rsidRPr="00883371">
        <w:rPr>
          <w:rFonts w:ascii="Arial" w:eastAsia="Calibri" w:hAnsi="Arial" w:cs="Arial"/>
          <w:sz w:val="20"/>
          <w:szCs w:val="20"/>
        </w:rPr>
        <w:t xml:space="preserve">l contrato o el convenio interadministrativo es entonces el acuerdo donde concurre la voluntad de dos o más personas jurídicas de derecho público con la finalidad de cumplir, en el marco de sus objetivos misionales y sus competencias, con los fines del Estado. </w:t>
      </w:r>
    </w:p>
    <w:p w14:paraId="58B3BE3C" w14:textId="77777777" w:rsidR="00E216F2" w:rsidRPr="00883371" w:rsidRDefault="00E216F2" w:rsidP="00E216F2">
      <w:pPr>
        <w:jc w:val="both"/>
        <w:rPr>
          <w:rFonts w:ascii="Arial" w:hAnsi="Arial" w:cs="Arial"/>
          <w:b/>
          <w:bCs/>
          <w:sz w:val="22"/>
        </w:rPr>
      </w:pPr>
    </w:p>
    <w:p w14:paraId="0295DA7E" w14:textId="77777777" w:rsidR="00E216F2" w:rsidRPr="00883371" w:rsidRDefault="00E216F2" w:rsidP="00E216F2">
      <w:pPr>
        <w:jc w:val="both"/>
        <w:rPr>
          <w:rFonts w:ascii="Arial" w:eastAsia="Calibri" w:hAnsi="Arial" w:cs="Arial"/>
          <w:b/>
          <w:bCs/>
          <w:sz w:val="22"/>
        </w:rPr>
      </w:pPr>
      <w:r w:rsidRPr="00883371">
        <w:rPr>
          <w:rFonts w:ascii="Arial" w:hAnsi="Arial" w:cs="Arial"/>
          <w:b/>
          <w:bCs/>
          <w:sz w:val="22"/>
        </w:rPr>
        <w:t xml:space="preserve">CONVENIOS INTERADMINISTRATIVOS </w:t>
      </w:r>
      <w:r w:rsidRPr="00883371">
        <w:rPr>
          <w:rFonts w:ascii="Arial" w:eastAsia="Calibri" w:hAnsi="Arial" w:cs="Arial"/>
          <w:b/>
          <w:bCs/>
          <w:sz w:val="22"/>
        </w:rPr>
        <w:t xml:space="preserve">– Criterio orgánico – Régimen jurídico </w:t>
      </w:r>
    </w:p>
    <w:p w14:paraId="49EBCD51" w14:textId="77777777" w:rsidR="00E216F2" w:rsidRPr="00883371" w:rsidRDefault="00E216F2" w:rsidP="00E216F2">
      <w:pPr>
        <w:jc w:val="both"/>
        <w:rPr>
          <w:rFonts w:ascii="Arial" w:eastAsia="Calibri" w:hAnsi="Arial" w:cs="Arial"/>
          <w:sz w:val="20"/>
          <w:szCs w:val="20"/>
        </w:rPr>
      </w:pPr>
    </w:p>
    <w:p w14:paraId="76308972" w14:textId="77777777" w:rsidR="00E216F2" w:rsidRPr="00883371" w:rsidRDefault="00E216F2" w:rsidP="00E216F2">
      <w:pPr>
        <w:spacing w:after="120"/>
        <w:jc w:val="both"/>
        <w:rPr>
          <w:rFonts w:ascii="Arial" w:eastAsia="Calibri" w:hAnsi="Arial" w:cs="Arial"/>
          <w:sz w:val="20"/>
          <w:szCs w:val="20"/>
        </w:rPr>
      </w:pPr>
      <w:r w:rsidRPr="00883371">
        <w:rPr>
          <w:rFonts w:ascii="Arial" w:eastAsia="Calibri" w:hAnsi="Arial" w:cs="Arial"/>
          <w:sz w:val="20"/>
          <w:szCs w:val="20"/>
        </w:rPr>
        <w:t>Los contratos o convenios interadministrativos nominados en la Ley 80 de 1993 están determinados por un criterio orgánico, pues es necesario que los extremos de la relación contractual sean entidades estatales.</w:t>
      </w:r>
    </w:p>
    <w:p w14:paraId="3F15D645" w14:textId="77777777" w:rsidR="00E216F2" w:rsidRPr="00883371" w:rsidRDefault="00E216F2" w:rsidP="00E216F2">
      <w:pPr>
        <w:spacing w:after="120"/>
        <w:jc w:val="both"/>
        <w:rPr>
          <w:rFonts w:ascii="Arial" w:eastAsia="Calibri" w:hAnsi="Arial" w:cs="Arial"/>
          <w:sz w:val="20"/>
          <w:szCs w:val="20"/>
        </w:rPr>
      </w:pPr>
      <w:r w:rsidRPr="00883371">
        <w:rPr>
          <w:rFonts w:ascii="Arial" w:eastAsia="Calibri" w:hAnsi="Arial" w:cs="Arial"/>
          <w:sz w:val="20"/>
          <w:szCs w:val="20"/>
        </w:rPr>
        <w:t xml:space="preserve">El hecho de que los contratos o convenios interadministrativos estén previstos en la Ley 80 de 1993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conforme se de lo establecido en el literal c), […] la calidad de interadministrativo de un contrato o convenio no está determinada por la modalidad de selección utilizada para celebrarlo, la cual en los términos de la norma anterior debe ser establecida según el objeto y obligaciones del mismo. </w:t>
      </w:r>
    </w:p>
    <w:p w14:paraId="61BCE07D" w14:textId="77777777" w:rsidR="00E216F2" w:rsidRPr="00883371" w:rsidRDefault="00E216F2" w:rsidP="00A80922">
      <w:pPr>
        <w:pStyle w:val="Prrafodelista"/>
        <w:ind w:left="0"/>
        <w:jc w:val="both"/>
        <w:rPr>
          <w:rFonts w:ascii="Arial" w:eastAsia="Calibri" w:hAnsi="Arial" w:cs="Arial"/>
          <w:b/>
          <w:sz w:val="22"/>
          <w:szCs w:val="20"/>
          <w:lang w:val="es-ES"/>
        </w:rPr>
      </w:pPr>
    </w:p>
    <w:p w14:paraId="0BF7AEE6" w14:textId="6B9C2ED0" w:rsidR="00A80922" w:rsidRPr="00883371" w:rsidRDefault="00A80922" w:rsidP="00A80922">
      <w:pPr>
        <w:pStyle w:val="Prrafodelista"/>
        <w:ind w:left="0"/>
        <w:jc w:val="both"/>
        <w:rPr>
          <w:rFonts w:ascii="Arial" w:eastAsia="Calibri" w:hAnsi="Arial" w:cs="Arial"/>
          <w:b/>
          <w:sz w:val="22"/>
          <w:szCs w:val="20"/>
          <w:lang w:val="es-ES"/>
        </w:rPr>
      </w:pPr>
      <w:r w:rsidRPr="00883371">
        <w:rPr>
          <w:rFonts w:ascii="Arial" w:eastAsia="Calibri" w:hAnsi="Arial" w:cs="Arial"/>
          <w:b/>
          <w:sz w:val="22"/>
          <w:szCs w:val="20"/>
          <w:lang w:val="es-ES"/>
        </w:rPr>
        <w:t>SECOP – Deber de publicación – Finalidad – Principio de publicidad</w:t>
      </w:r>
    </w:p>
    <w:p w14:paraId="37FD7509" w14:textId="77777777" w:rsidR="00A80922" w:rsidRPr="00883371" w:rsidRDefault="00A80922" w:rsidP="00A80922">
      <w:pPr>
        <w:pStyle w:val="Prrafodelista"/>
        <w:ind w:left="0"/>
        <w:jc w:val="both"/>
        <w:rPr>
          <w:rFonts w:ascii="Arial" w:eastAsia="Calibri" w:hAnsi="Arial" w:cs="Arial"/>
          <w:b/>
          <w:sz w:val="22"/>
          <w:szCs w:val="20"/>
          <w:lang w:val="es-ES"/>
        </w:rPr>
      </w:pPr>
    </w:p>
    <w:p w14:paraId="117FBF0D" w14:textId="77777777" w:rsidR="00A80922" w:rsidRPr="00883371" w:rsidRDefault="00A80922" w:rsidP="00A80922">
      <w:pPr>
        <w:spacing w:after="120"/>
        <w:jc w:val="both"/>
        <w:rPr>
          <w:rFonts w:ascii="Arial" w:hAnsi="Arial" w:cs="Arial"/>
          <w:sz w:val="20"/>
          <w:szCs w:val="20"/>
          <w:lang w:val="es-ES"/>
        </w:rPr>
      </w:pPr>
      <w:r w:rsidRPr="00883371">
        <w:rPr>
          <w:rFonts w:ascii="Arial" w:hAnsi="Arial" w:cs="Arial"/>
          <w:sz w:val="20"/>
          <w:szCs w:val="20"/>
          <w:lang w:val="es-ES"/>
        </w:rPr>
        <w:t xml:space="preserve">[..]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general y que por tanto incumben a la ciudadanía.  </w:t>
      </w:r>
    </w:p>
    <w:p w14:paraId="6CD114F6" w14:textId="77777777" w:rsidR="00A80922" w:rsidRPr="00883371" w:rsidRDefault="00A80922" w:rsidP="009B3335">
      <w:pPr>
        <w:jc w:val="both"/>
        <w:rPr>
          <w:rFonts w:ascii="Arial" w:hAnsi="Arial" w:cs="Arial"/>
          <w:sz w:val="20"/>
          <w:szCs w:val="20"/>
          <w:lang w:val="es-ES"/>
        </w:rPr>
      </w:pPr>
      <w:r w:rsidRPr="00883371">
        <w:rPr>
          <w:rFonts w:ascii="Arial" w:hAnsi="Arial" w:cs="Arial"/>
          <w:sz w:val="20"/>
          <w:szCs w:val="20"/>
          <w:lang w:val="es-ES"/>
        </w:rPr>
        <w:t>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de las decisiones de la Administración Pública.</w:t>
      </w:r>
    </w:p>
    <w:p w14:paraId="28CDEBD6" w14:textId="77777777" w:rsidR="00944B47" w:rsidRPr="00883371" w:rsidRDefault="00944B47" w:rsidP="00AA2570">
      <w:pPr>
        <w:pStyle w:val="Prrafodelista"/>
        <w:spacing w:line="276" w:lineRule="auto"/>
        <w:ind w:left="0"/>
        <w:jc w:val="both"/>
        <w:rPr>
          <w:rFonts w:ascii="Arial" w:eastAsia="Calibri" w:hAnsi="Arial" w:cs="Arial"/>
          <w:b/>
          <w:sz w:val="20"/>
          <w:szCs w:val="20"/>
          <w:lang w:val="es-ES"/>
        </w:rPr>
      </w:pPr>
    </w:p>
    <w:p w14:paraId="1A4B7E63" w14:textId="77777777" w:rsidR="00A80922" w:rsidRPr="00883371" w:rsidRDefault="00A80922" w:rsidP="00A80922">
      <w:pPr>
        <w:spacing w:after="120"/>
        <w:jc w:val="both"/>
        <w:rPr>
          <w:rFonts w:ascii="Arial" w:hAnsi="Arial" w:cs="Arial"/>
          <w:b/>
          <w:bCs/>
          <w:sz w:val="22"/>
          <w:lang w:val="es-ES"/>
        </w:rPr>
      </w:pPr>
      <w:r w:rsidRPr="00883371">
        <w:rPr>
          <w:rFonts w:ascii="Arial" w:hAnsi="Arial" w:cs="Arial"/>
          <w:b/>
          <w:bCs/>
          <w:sz w:val="22"/>
          <w:lang w:val="es-ES"/>
        </w:rPr>
        <w:lastRenderedPageBreak/>
        <w:t>DOCUMENTOS DEL PROCESO – Noción – Deber de publicación – Proceso de contratación</w:t>
      </w:r>
    </w:p>
    <w:p w14:paraId="5D3C6252" w14:textId="77777777" w:rsidR="00A80922" w:rsidRPr="00883371" w:rsidRDefault="00A80922" w:rsidP="00A80922">
      <w:pPr>
        <w:spacing w:before="120" w:after="120"/>
        <w:jc w:val="both"/>
        <w:rPr>
          <w:rFonts w:ascii="Arial" w:eastAsia="Calibri" w:hAnsi="Arial" w:cs="Arial"/>
          <w:sz w:val="20"/>
          <w:szCs w:val="20"/>
          <w:lang w:val="es-ES"/>
        </w:rPr>
      </w:pPr>
      <w:r w:rsidRPr="00883371">
        <w:rPr>
          <w:rFonts w:ascii="Arial" w:eastAsia="Calibri" w:hAnsi="Arial" w:cs="Arial"/>
          <w:sz w:val="20"/>
          <w:szCs w:val="20"/>
          <w:lang w:val="es-ES"/>
        </w:rPr>
        <w:t xml:space="preserve">[…] el deber de publicidad de la actividad contractual de las entidades estatales no solo se encuentra regulado por el artículo 3 de la Ley 1150 de 2007 y el </w:t>
      </w:r>
      <w:r w:rsidRPr="00883371">
        <w:rPr>
          <w:rFonts w:ascii="Arial" w:eastAsia="Arial" w:hAnsi="Arial" w:cs="Arial"/>
          <w:sz w:val="20"/>
          <w:szCs w:val="20"/>
          <w:lang w:val="es-ES"/>
        </w:rPr>
        <w:t xml:space="preserve">artículo 2.2.1.1.1.7.1. del Decreto 1082 de 2015, sino que también se fundamenta en la Ley 1712 de 2014 y el Decreto 1081 de 2015, normas que no solo refuerzan y complementan al régimen de contratación estatal en materia de publicidad, sino que amplían el contenido obligacional de dicho deber al imponer la publicación de los procedimientos y la información relativa a la gestión contractual, sin el condicionamiento de tratarse de </w:t>
      </w:r>
      <w:r w:rsidRPr="00883371">
        <w:rPr>
          <w:rFonts w:ascii="Arial" w:eastAsia="Arial" w:hAnsi="Arial" w:cs="Arial"/>
          <w:i/>
          <w:iCs/>
          <w:sz w:val="20"/>
          <w:szCs w:val="20"/>
          <w:lang w:val="es-ES"/>
        </w:rPr>
        <w:t xml:space="preserve">Documentos del Procesos </w:t>
      </w:r>
      <w:r w:rsidRPr="00883371">
        <w:rPr>
          <w:rFonts w:ascii="Arial" w:eastAsia="Arial" w:hAnsi="Arial" w:cs="Arial"/>
          <w:sz w:val="20"/>
          <w:szCs w:val="20"/>
          <w:lang w:val="es-ES"/>
        </w:rPr>
        <w:t>expedidos por la entidad estatal.</w:t>
      </w:r>
    </w:p>
    <w:p w14:paraId="7094D321" w14:textId="77777777" w:rsidR="00A80922" w:rsidRPr="00883371" w:rsidRDefault="00A80922" w:rsidP="00A80922">
      <w:pPr>
        <w:spacing w:before="120"/>
        <w:jc w:val="both"/>
        <w:rPr>
          <w:rFonts w:ascii="Arial" w:eastAsia="Calibri" w:hAnsi="Arial" w:cs="Arial"/>
          <w:sz w:val="22"/>
          <w:lang w:val="es-ES"/>
        </w:rPr>
      </w:pPr>
      <w:r w:rsidRPr="00883371">
        <w:rPr>
          <w:rFonts w:ascii="Arial" w:eastAsia="Calibri" w:hAnsi="Arial" w:cs="Arial"/>
          <w:sz w:val="20"/>
          <w:szCs w:val="20"/>
          <w:lang w:val="es-ES"/>
        </w:rPr>
        <w:t xml:space="preserve">Esto quiere decir que las entidades estatales, además de los documentos y actos administrativos que expidan durante el </w:t>
      </w:r>
      <w:r w:rsidRPr="00883371">
        <w:rPr>
          <w:rFonts w:ascii="Arial" w:eastAsia="Calibri" w:hAnsi="Arial" w:cs="Arial"/>
          <w:i/>
          <w:iCs/>
          <w:sz w:val="20"/>
          <w:szCs w:val="20"/>
          <w:lang w:val="es-ES"/>
        </w:rPr>
        <w:t>Proceso de Contratación,</w:t>
      </w:r>
      <w:r w:rsidRPr="00883371">
        <w:rPr>
          <w:rFonts w:ascii="Arial" w:eastAsia="Calibri" w:hAnsi="Arial" w:cs="Arial"/>
          <w:sz w:val="20"/>
          <w:szCs w:val="20"/>
          <w:lang w:val="es-ES"/>
        </w:rPr>
        <w:t xml:space="preserve"> deberán publicar los documentos que desarrollan los procedimientos, incluso documentos que no necesariamente son expedidos por ellas pero que hacen parte del proceso, tales como las observaciones formuladas por la ciudadanía al proyecto de pliego de condiciones, o por los proponentes al informe de evaluación, aclaraciones a las ofertas realizadas por oferentes, así como a cualquier otra actuación que a pesar de no tener origen en la entidad estatal, ni encajar en estricto sentido dentro de lo que se entiende por </w:t>
      </w:r>
      <w:r w:rsidRPr="00883371">
        <w:rPr>
          <w:rFonts w:ascii="Arial" w:eastAsia="Calibri" w:hAnsi="Arial" w:cs="Arial"/>
          <w:i/>
          <w:iCs/>
          <w:sz w:val="20"/>
          <w:szCs w:val="20"/>
          <w:lang w:val="es-ES"/>
        </w:rPr>
        <w:t xml:space="preserve"> Documento del Proceso, </w:t>
      </w:r>
      <w:r w:rsidRPr="00883371">
        <w:rPr>
          <w:rFonts w:ascii="Arial" w:eastAsia="Calibri" w:hAnsi="Arial" w:cs="Arial"/>
          <w:sz w:val="20"/>
          <w:szCs w:val="20"/>
          <w:lang w:val="es-ES"/>
        </w:rPr>
        <w:t>hace parte del desarrollo del proceso de contratación, y que por disposición de la Ley de la transparencia y acceso a la información pública, deber ser publicada de manera proactiva por la entidad estatal</w:t>
      </w:r>
      <w:r w:rsidRPr="00883371">
        <w:rPr>
          <w:rFonts w:ascii="Arial" w:eastAsia="Calibri" w:hAnsi="Arial" w:cs="Arial"/>
          <w:sz w:val="22"/>
          <w:lang w:val="es-ES"/>
        </w:rPr>
        <w:t xml:space="preserve">.   </w:t>
      </w:r>
    </w:p>
    <w:p w14:paraId="70D18D6D" w14:textId="77777777" w:rsidR="00B26D02" w:rsidRPr="00883371" w:rsidRDefault="00B26D02" w:rsidP="008C0579">
      <w:pPr>
        <w:jc w:val="both"/>
        <w:rPr>
          <w:rFonts w:ascii="Arial" w:hAnsi="Arial" w:cs="Arial"/>
          <w:sz w:val="20"/>
          <w:szCs w:val="20"/>
          <w:lang w:val="es-ES"/>
        </w:rPr>
      </w:pPr>
    </w:p>
    <w:p w14:paraId="3F2D60AC" w14:textId="77777777" w:rsidR="00AA2570" w:rsidRPr="00883371" w:rsidRDefault="00AA2570" w:rsidP="008C0579">
      <w:pPr>
        <w:spacing w:line="276" w:lineRule="auto"/>
        <w:jc w:val="both"/>
        <w:rPr>
          <w:rFonts w:ascii="Arial" w:hAnsi="Arial" w:cs="Arial"/>
          <w:b/>
          <w:bCs/>
          <w:sz w:val="22"/>
          <w:lang w:val="es-ES"/>
        </w:rPr>
      </w:pPr>
      <w:r w:rsidRPr="00883371">
        <w:rPr>
          <w:rFonts w:ascii="Arial" w:hAnsi="Arial" w:cs="Arial"/>
          <w:b/>
          <w:bCs/>
          <w:sz w:val="22"/>
          <w:lang w:val="es-ES"/>
        </w:rPr>
        <w:t>PLAN ANUAL DE ADQUISICIONES – Publicación – Fundamento normativo</w:t>
      </w:r>
    </w:p>
    <w:p w14:paraId="4F55178B" w14:textId="77777777" w:rsidR="00AE5EFA" w:rsidRPr="00883371" w:rsidRDefault="00AE5EFA" w:rsidP="008C0579">
      <w:pPr>
        <w:jc w:val="both"/>
        <w:rPr>
          <w:rFonts w:ascii="Arial" w:eastAsia="Calibri" w:hAnsi="Arial" w:cs="Arial"/>
          <w:bCs/>
          <w:sz w:val="20"/>
          <w:szCs w:val="20"/>
          <w:lang w:val="es-ES_tradnl"/>
        </w:rPr>
      </w:pPr>
    </w:p>
    <w:p w14:paraId="24A14718" w14:textId="77777777" w:rsidR="00A80922" w:rsidRPr="00883371" w:rsidRDefault="00A80922" w:rsidP="00A80922">
      <w:pPr>
        <w:spacing w:after="120"/>
        <w:jc w:val="both"/>
        <w:rPr>
          <w:rFonts w:ascii="Arial" w:eastAsia="Calibri" w:hAnsi="Arial" w:cs="Arial"/>
          <w:bCs/>
          <w:sz w:val="20"/>
          <w:szCs w:val="20"/>
          <w:lang w:val="es-ES_tradnl"/>
        </w:rPr>
      </w:pPr>
      <w:r w:rsidRPr="00883371">
        <w:rPr>
          <w:rFonts w:ascii="Arial" w:eastAsia="Calibri" w:hAnsi="Arial" w:cs="Arial"/>
          <w:bCs/>
          <w:sz w:val="20"/>
          <w:szCs w:val="20"/>
          <w:lang w:val="es-ES_tradnl"/>
        </w:rPr>
        <w:t>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–radicado interno No. 2202013000003074–, este es un acto jurídico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19ED6059" w14:textId="0A09C7ED" w:rsidR="00944B47" w:rsidRPr="00883371" w:rsidRDefault="00A80922" w:rsidP="00A80922">
      <w:pPr>
        <w:jc w:val="both"/>
        <w:rPr>
          <w:rFonts w:ascii="Arial" w:eastAsia="Calibri" w:hAnsi="Arial" w:cs="Arial"/>
          <w:bCs/>
          <w:sz w:val="20"/>
          <w:szCs w:val="20"/>
          <w:lang w:val="es-ES_tradnl"/>
        </w:rPr>
      </w:pPr>
      <w:r w:rsidRPr="00883371">
        <w:rPr>
          <w:rFonts w:ascii="Arial" w:eastAsia="Calibri" w:hAnsi="Arial" w:cs="Arial"/>
          <w:bCs/>
          <w:sz w:val="20"/>
          <w:szCs w:val="20"/>
          <w:lang w:val="es-ES_tradnl"/>
        </w:rPr>
        <w:t>En ese sentido, el Plan Anual de Adquisiciones no forma parte de la noción de Documentos del Proceso, ni hace parte del Proceso de Contratación, conforme al artículo 2.2.1.1.1.3.1 del Decreto 1082 de 2015, por lo que el deber de publicarlo encuentra apoyo en normas distintas del artículo 2.2.1.1.1.7.1 Ibídem. Es el art. 74 de la Ley 1474 de 2011  el que dispone que a más tardar el 31 de enero de cada año las entidades deben publicar, en su página web, el Plan de Acción para el año siguiente; y el artículo 2.2.1.1.1.4.3  del Decreto 1082 de 2015 también exige publicarlo en la página web de la entidad y además en el SECOP; así como también lo indica el citado artículo 2.1.1.2.1.10 del Decreto 1081 de 2015.</w:t>
      </w:r>
    </w:p>
    <w:p w14:paraId="34477B88" w14:textId="77777777" w:rsidR="00A80922" w:rsidRPr="00883371" w:rsidRDefault="00A80922" w:rsidP="00A80922">
      <w:pPr>
        <w:jc w:val="both"/>
        <w:rPr>
          <w:rFonts w:ascii="Arial" w:eastAsia="Calibri" w:hAnsi="Arial" w:cs="Arial"/>
          <w:sz w:val="20"/>
          <w:szCs w:val="20"/>
          <w:lang w:val="es-ES"/>
        </w:rPr>
      </w:pPr>
    </w:p>
    <w:p w14:paraId="0B8543E5" w14:textId="300FC9D7" w:rsidR="00944B47" w:rsidRPr="00883371" w:rsidRDefault="00944B47" w:rsidP="00AA2570">
      <w:pPr>
        <w:jc w:val="both"/>
        <w:rPr>
          <w:rFonts w:ascii="Arial" w:eastAsia="Calibri" w:hAnsi="Arial" w:cs="Arial"/>
          <w:b/>
          <w:bCs/>
          <w:sz w:val="22"/>
          <w:lang w:val="es-CO"/>
        </w:rPr>
      </w:pPr>
      <w:r w:rsidRPr="00883371">
        <w:rPr>
          <w:rFonts w:ascii="Arial" w:eastAsia="Calibri" w:hAnsi="Arial" w:cs="Arial"/>
          <w:b/>
          <w:bCs/>
          <w:sz w:val="22"/>
          <w:lang w:val="es-CO"/>
        </w:rPr>
        <w:t xml:space="preserve">SECOP I </w:t>
      </w:r>
      <w:r w:rsidR="00AE5EFA" w:rsidRPr="00883371">
        <w:rPr>
          <w:rFonts w:ascii="Arial" w:eastAsia="Calibri" w:hAnsi="Arial" w:cs="Arial"/>
          <w:b/>
          <w:bCs/>
          <w:sz w:val="22"/>
          <w:lang w:val="es-CO"/>
        </w:rPr>
        <w:t>–</w:t>
      </w:r>
      <w:r w:rsidRPr="00883371">
        <w:rPr>
          <w:rFonts w:ascii="Arial" w:eastAsia="Calibri" w:hAnsi="Arial" w:cs="Arial"/>
          <w:b/>
          <w:bCs/>
          <w:sz w:val="22"/>
          <w:lang w:val="es-CO"/>
        </w:rPr>
        <w:t xml:space="preserve"> SECOP II – Naturaleza – </w:t>
      </w:r>
      <w:r w:rsidR="00955CFA" w:rsidRPr="00883371">
        <w:rPr>
          <w:rFonts w:ascii="Arial" w:eastAsia="Calibri" w:hAnsi="Arial" w:cs="Arial"/>
          <w:b/>
          <w:bCs/>
          <w:sz w:val="22"/>
          <w:lang w:val="es-CO"/>
        </w:rPr>
        <w:t xml:space="preserve">Medio de publicidad – </w:t>
      </w:r>
      <w:r w:rsidRPr="00883371">
        <w:rPr>
          <w:rFonts w:ascii="Arial" w:eastAsia="Calibri" w:hAnsi="Arial" w:cs="Arial"/>
          <w:b/>
          <w:bCs/>
          <w:sz w:val="22"/>
          <w:lang w:val="es-CO"/>
        </w:rPr>
        <w:t>Plataforma transaccional</w:t>
      </w:r>
    </w:p>
    <w:p w14:paraId="0F00AD85" w14:textId="77777777" w:rsidR="00944B47" w:rsidRPr="00883371" w:rsidRDefault="00944B47" w:rsidP="00944B47">
      <w:pPr>
        <w:jc w:val="both"/>
        <w:rPr>
          <w:rFonts w:ascii="Arial" w:eastAsia="Calibri" w:hAnsi="Arial" w:cs="Arial"/>
          <w:sz w:val="20"/>
          <w:szCs w:val="20"/>
        </w:rPr>
      </w:pPr>
    </w:p>
    <w:p w14:paraId="04168754" w14:textId="77777777" w:rsidR="00A80922" w:rsidRPr="00883371" w:rsidRDefault="00A80922" w:rsidP="00A80922">
      <w:pPr>
        <w:spacing w:after="120"/>
        <w:jc w:val="both"/>
        <w:rPr>
          <w:rFonts w:ascii="Arial" w:eastAsia="Calibri" w:hAnsi="Arial" w:cs="Arial"/>
          <w:sz w:val="20"/>
          <w:szCs w:val="20"/>
        </w:rPr>
      </w:pPr>
      <w:r w:rsidRPr="00883371">
        <w:rPr>
          <w:rFonts w:ascii="Arial" w:eastAsia="Calibri" w:hAnsi="Arial" w:cs="Arial"/>
          <w:sz w:val="20"/>
          <w:szCs w:val="20"/>
        </w:rPr>
        <w:t>La Agencia Nacional de Contratación Pública – Colombia Compra Eficiente tiene como función  administrar el SECOP , por lo cual se desarrolló la primera versión  de la plataforma ̶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4175B27" w14:textId="44FDC129" w:rsidR="00944B47" w:rsidRPr="00883371" w:rsidRDefault="00A80922" w:rsidP="00A80922">
      <w:pPr>
        <w:jc w:val="both"/>
        <w:rPr>
          <w:rFonts w:ascii="Arial" w:eastAsia="Calibri" w:hAnsi="Arial" w:cs="Arial"/>
          <w:sz w:val="20"/>
          <w:szCs w:val="20"/>
        </w:rPr>
      </w:pPr>
      <w:r w:rsidRPr="00883371">
        <w:rPr>
          <w:rFonts w:ascii="Arial" w:eastAsia="Calibri" w:hAnsi="Arial" w:cs="Arial"/>
          <w:sz w:val="20"/>
          <w:szCs w:val="20"/>
        </w:rPr>
        <w:lastRenderedPageBreak/>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55E81C55" w14:textId="77777777" w:rsidR="00A80922" w:rsidRPr="00883371" w:rsidRDefault="00A80922" w:rsidP="00A80922">
      <w:pPr>
        <w:jc w:val="both"/>
        <w:rPr>
          <w:rFonts w:ascii="Arial" w:eastAsia="Calibri" w:hAnsi="Arial" w:cs="Arial"/>
          <w:sz w:val="20"/>
          <w:szCs w:val="20"/>
          <w:lang w:val="es-ES"/>
        </w:rPr>
      </w:pPr>
    </w:p>
    <w:p w14:paraId="333E223D" w14:textId="77777777" w:rsidR="00AA2570" w:rsidRPr="00883371" w:rsidRDefault="00AA2570" w:rsidP="00AA2570">
      <w:pPr>
        <w:jc w:val="both"/>
        <w:rPr>
          <w:rFonts w:ascii="Arial" w:eastAsia="Calibri" w:hAnsi="Arial" w:cs="Arial"/>
          <w:b/>
          <w:bCs/>
          <w:sz w:val="22"/>
        </w:rPr>
      </w:pPr>
      <w:r w:rsidRPr="00883371">
        <w:rPr>
          <w:rFonts w:ascii="Arial" w:eastAsia="Calibri" w:hAnsi="Arial" w:cs="Arial"/>
          <w:b/>
          <w:bCs/>
          <w:sz w:val="22"/>
        </w:rPr>
        <w:t xml:space="preserve">SECOP II – Obligatoriedad </w:t>
      </w:r>
    </w:p>
    <w:p w14:paraId="71B442A4" w14:textId="77777777" w:rsidR="00AA2570" w:rsidRPr="00883371" w:rsidRDefault="00AA2570" w:rsidP="00AA2570">
      <w:pPr>
        <w:jc w:val="both"/>
        <w:rPr>
          <w:rFonts w:ascii="Arial" w:eastAsia="Calibri" w:hAnsi="Arial" w:cs="Arial"/>
          <w:sz w:val="20"/>
          <w:szCs w:val="20"/>
        </w:rPr>
      </w:pPr>
    </w:p>
    <w:p w14:paraId="6CF1E241" w14:textId="64C48804" w:rsidR="00944B47" w:rsidRPr="00883371" w:rsidRDefault="00AA2570" w:rsidP="00944B47">
      <w:pPr>
        <w:spacing w:after="120"/>
        <w:jc w:val="both"/>
        <w:rPr>
          <w:rFonts w:ascii="Arial" w:eastAsia="Calibri" w:hAnsi="Arial" w:cs="Arial"/>
          <w:sz w:val="20"/>
          <w:szCs w:val="20"/>
          <w:lang w:val="es-ES"/>
        </w:rPr>
      </w:pPr>
      <w:r w:rsidRPr="00883371">
        <w:rPr>
          <w:rFonts w:ascii="Arial" w:eastAsia="Calibri" w:hAnsi="Arial" w:cs="Arial"/>
          <w:sz w:val="20"/>
          <w:szCs w:val="20"/>
          <w:lang w:val="es-ES"/>
        </w:rPr>
        <w:t xml:space="preserve">[…] </w:t>
      </w:r>
      <w:r w:rsidR="00944B47" w:rsidRPr="00883371">
        <w:rPr>
          <w:rFonts w:ascii="Arial" w:eastAsia="Calibri" w:hAnsi="Arial" w:cs="Arial"/>
          <w:sz w:val="20"/>
          <w:szCs w:val="20"/>
          <w:lang w:val="es-ES"/>
        </w:rPr>
        <w:t xml:space="preserve">es del caso precisar que la obligación de realizar procesos de contratación a través de la plataforma SECOP II no depende del régimen contractual al que estén sometidas las entidades estatales que llevan a cabo los procesos, sino de lo dispuesto en las referidas circulares, por lo que tratándose de entidades respecto de las cuales la Circular Externa No. 1 de 2020 definió el uso obligatorio de la plataforma, no siendo exceptuadas en las circulares subsiguientes, no podrán excusarse en el sometimiento de régimen de contratación al derecho privado, para evitar utilizar la plataforma. </w:t>
      </w:r>
    </w:p>
    <w:p w14:paraId="1681DA24" w14:textId="7E4966D4" w:rsidR="00944B47" w:rsidRPr="00883371" w:rsidRDefault="00944B47" w:rsidP="008C0579">
      <w:pPr>
        <w:jc w:val="both"/>
        <w:rPr>
          <w:rFonts w:ascii="Arial" w:eastAsia="Calibri" w:hAnsi="Arial" w:cs="Arial"/>
          <w:sz w:val="20"/>
          <w:szCs w:val="20"/>
          <w:lang w:val="es-ES"/>
        </w:rPr>
      </w:pPr>
      <w:r w:rsidRPr="00883371">
        <w:rPr>
          <w:rFonts w:ascii="Arial" w:eastAsia="Calibri" w:hAnsi="Arial" w:cs="Arial"/>
          <w:sz w:val="20"/>
          <w:szCs w:val="20"/>
          <w:lang w:val="es-ES"/>
        </w:rPr>
        <w:t xml:space="preserve">En ese sentido, las entidades estatales incluidas en el Anexo 1 de la Circular Externa No. 1 de 2020,  ya sea que se encuentren sometidas o exceptuadas de las </w:t>
      </w:r>
      <w:proofErr w:type="spellStart"/>
      <w:r w:rsidRPr="00883371">
        <w:rPr>
          <w:rFonts w:ascii="Arial" w:eastAsia="Calibri" w:hAnsi="Arial" w:cs="Arial"/>
          <w:sz w:val="20"/>
          <w:szCs w:val="20"/>
          <w:lang w:val="es-ES"/>
        </w:rPr>
        <w:t>apliación</w:t>
      </w:r>
      <w:proofErr w:type="spellEnd"/>
      <w:r w:rsidRPr="00883371">
        <w:rPr>
          <w:rFonts w:ascii="Arial" w:eastAsia="Calibri" w:hAnsi="Arial" w:cs="Arial"/>
          <w:sz w:val="20"/>
          <w:szCs w:val="20"/>
          <w:lang w:val="es-ES"/>
        </w:rPr>
        <w:t xml:space="preserve"> de la Ley 80 de 1993, deben cumplir con el deber de dar publicidad a la actividad contractual con la publicación de los</w:t>
      </w:r>
      <w:r w:rsidRPr="00883371">
        <w:rPr>
          <w:rFonts w:ascii="Arial" w:eastAsia="Calibri" w:hAnsi="Arial" w:cs="Arial"/>
          <w:i/>
          <w:iCs/>
          <w:sz w:val="20"/>
          <w:szCs w:val="20"/>
          <w:lang w:val="es-ES"/>
        </w:rPr>
        <w:t xml:space="preserve"> Documentos del Proceso </w:t>
      </w:r>
      <w:r w:rsidRPr="00883371">
        <w:rPr>
          <w:rFonts w:ascii="Arial" w:eastAsia="Calibri" w:hAnsi="Arial" w:cs="Arial"/>
          <w:sz w:val="20"/>
          <w:szCs w:val="20"/>
          <w:lang w:val="es-ES"/>
        </w:rPr>
        <w:t xml:space="preserve">en el SECOP II, publicación que debe realizarse en tiempo real en atención a la naturaleza transaccional de esta plataforma. </w:t>
      </w:r>
    </w:p>
    <w:p w14:paraId="60FAC6B4" w14:textId="0FA5D29E" w:rsidR="00B26D02" w:rsidRPr="00883371" w:rsidRDefault="00B26D02" w:rsidP="008C0579">
      <w:pPr>
        <w:jc w:val="both"/>
        <w:rPr>
          <w:rFonts w:ascii="Arial" w:eastAsia="Calibri" w:hAnsi="Arial" w:cs="Arial"/>
          <w:sz w:val="20"/>
          <w:szCs w:val="20"/>
          <w:lang w:val="es-ES"/>
        </w:rPr>
      </w:pPr>
    </w:p>
    <w:p w14:paraId="4076C9D5" w14:textId="77777777" w:rsidR="00B26D02" w:rsidRPr="00883371" w:rsidRDefault="00B26D02" w:rsidP="00B26D02">
      <w:pPr>
        <w:spacing w:line="276" w:lineRule="auto"/>
        <w:jc w:val="both"/>
        <w:rPr>
          <w:rFonts w:ascii="Arial" w:hAnsi="Arial" w:cs="Arial"/>
          <w:b/>
          <w:bCs/>
          <w:sz w:val="22"/>
          <w:lang w:val="es-CO"/>
        </w:rPr>
      </w:pPr>
      <w:r w:rsidRPr="00883371">
        <w:rPr>
          <w:rFonts w:ascii="Arial" w:hAnsi="Arial" w:cs="Arial"/>
          <w:b/>
          <w:bCs/>
          <w:sz w:val="22"/>
          <w:lang w:val="es-CO"/>
        </w:rPr>
        <w:t>SECOP – Publicación – Documentos</w:t>
      </w:r>
    </w:p>
    <w:p w14:paraId="2829C8CC" w14:textId="77777777" w:rsidR="00B26D02" w:rsidRPr="00883371" w:rsidRDefault="00B26D02" w:rsidP="00B26D02">
      <w:pPr>
        <w:spacing w:line="276" w:lineRule="auto"/>
        <w:jc w:val="both"/>
        <w:rPr>
          <w:rFonts w:ascii="Arial" w:hAnsi="Arial" w:cs="Arial"/>
          <w:b/>
          <w:bCs/>
          <w:sz w:val="20"/>
          <w:szCs w:val="20"/>
          <w:lang w:val="es-CO"/>
        </w:rPr>
      </w:pPr>
    </w:p>
    <w:p w14:paraId="192115C2" w14:textId="4F034124" w:rsidR="009B7F9B" w:rsidRPr="00883371" w:rsidRDefault="00B26D02" w:rsidP="0031783A">
      <w:pPr>
        <w:jc w:val="both"/>
        <w:rPr>
          <w:rFonts w:ascii="Arial" w:hAnsi="Arial" w:cs="Arial"/>
          <w:sz w:val="20"/>
          <w:szCs w:val="20"/>
          <w:lang w:val="es-ES_tradnl"/>
        </w:rPr>
      </w:pPr>
      <w:r w:rsidRPr="00883371">
        <w:rPr>
          <w:rFonts w:ascii="Arial" w:hAnsi="Arial" w:cs="Arial"/>
          <w:sz w:val="20"/>
          <w:szCs w:val="20"/>
          <w:lang w:val="es-ES_tradnl"/>
        </w:rPr>
        <w:t xml:space="preserve">Las entidades públicas sometidas al Estatuto General de Contratación de la Administración Pública, a las que no </w:t>
      </w:r>
      <w:proofErr w:type="spellStart"/>
      <w:r w:rsidRPr="00883371">
        <w:rPr>
          <w:rFonts w:ascii="Arial" w:hAnsi="Arial" w:cs="Arial"/>
          <w:sz w:val="20"/>
          <w:szCs w:val="20"/>
          <w:lang w:val="es-ES_tradnl"/>
        </w:rPr>
        <w:t>correspoda</w:t>
      </w:r>
      <w:proofErr w:type="spellEnd"/>
      <w:r w:rsidRPr="00883371">
        <w:rPr>
          <w:rFonts w:ascii="Arial" w:hAnsi="Arial" w:cs="Arial"/>
          <w:sz w:val="20"/>
          <w:szCs w:val="20"/>
          <w:lang w:val="es-ES_tradnl"/>
        </w:rPr>
        <w:t xml:space="preserve"> gestionar sus procesos de contratación a través de la plataforma SECOP II, de conformidad con el artículo 3 de la Ley 1150 de 2007, desarrollado por el artículo 2.2.1.1.1.7.1 del Decreto 1082 de 2015, así como según el literal g) del artículo 11 de la Ley 1712 de 2014 y los artículos 2.1.1.2.1.7, 2.1.1.2.1.8, 2.1.1.2.1.9 y 2.1.1.2.1.10 del Decreto 1081 de 2015, deben publicar en SECOP I, además del Plan Anual de Adquisiciones, todos los documentos, actos administrativos o actuaciones producidos con ocasión del Proceso de Contratación, dentro de los tres (3) días hábiles siguientes a su expedición. Dentro de tales documentos encontramos, entre otros, los siguientes: i) el estudio de oportunidad y conveniencia; ii) los estudios y documentos previos –técnicos o no–; iii) el  aviso de convocatoria; iv) el proyecto de pliego de condiciones y las observaciones que le formulen; v) el pliego de condiciones o la invitación, así como las observaciones que se les realicen; vi) las actas de la audiencia de asignación de riesgos; vii) el acta de cierre del plazo para presentar ofertas; viii) las adendas; ix) la oferta del adjudicatario, así como las aclaraciones que se le realicen; x) el informe de precalificación y las observaciones que se formulen; xi) el informe de evaluación y las observaciones que se formulen; xii) las respuestas a las observaciones; xiii) el contrato y los otrosíes o modificaciones; xiv) el acta de inicio; xv) las garantías; xvi) el acta de liquidación; xvii) los actos administrativos expedidos con ocasión del procedimiento de selección o la ejecución del contrato, como las resoluciones de apertura, de adjudicación, las que se impongan multas, la cláusula penal o declaren la caducidad del contrato; xviii) los documentos de los procesos por incumplimiento contractual que se lleven a cabo conforme al artículo 86 de la Ley 1474 de 2011, como la citación, las pruebas que se practiquen, la resolución que resuelve la actuación y demás documentos que se produzcan; ix) las reclamaciones que presenten las partes y las respuestas que se expidan a las mismas; xx) las actas de entrega o recibo, xxi) los informes de supervisión y/o interventoría; xxii) en cuanto a la ejecución, de conformidad con el artículo 2.1.1.2.1.8 </w:t>
      </w:r>
      <w:r w:rsidRPr="00883371">
        <w:rPr>
          <w:rFonts w:ascii="Arial" w:hAnsi="Arial" w:cs="Arial"/>
          <w:sz w:val="20"/>
          <w:szCs w:val="20"/>
          <w:lang w:val="es-ES_tradnl"/>
        </w:rPr>
        <w:lastRenderedPageBreak/>
        <w:t>de Decreto 1081 de 2015, deberán publicarse las aprobaciones, autorizaciones, requerimientos o informes del supervisor o del interventor, que prueben la ejecución del contrato; xxiii) la liquidación unilateral y xxiv) en general cualquier otro documento producido o expedido con ocasión del Proceso de Contratación, sin importar quién sea su autor –la Administración o el contratista–, con excepción de los que pertenecen al marco de operaciones de bolsa de productos, expresamente excluidos de publicación por el artículo 2.2.1.1.1.7.1. del Decreto 1082 de 2015.</w:t>
      </w:r>
      <w:bookmarkStart w:id="2" w:name="_Hlk38283712"/>
      <w:bookmarkStart w:id="3" w:name="_Hlk38449610"/>
      <w:bookmarkStart w:id="4" w:name="_Hlk29890381"/>
    </w:p>
    <w:p w14:paraId="4AE6F08F" w14:textId="02A39AF3" w:rsidR="00985BB5" w:rsidRPr="00883371" w:rsidRDefault="00985BB5" w:rsidP="0031783A">
      <w:pPr>
        <w:jc w:val="both"/>
        <w:rPr>
          <w:rFonts w:ascii="Arial" w:hAnsi="Arial" w:cs="Arial"/>
          <w:sz w:val="20"/>
          <w:szCs w:val="20"/>
          <w:lang w:val="es-ES_tradnl"/>
        </w:rPr>
      </w:pPr>
    </w:p>
    <w:p w14:paraId="23CB0B72" w14:textId="77777777" w:rsidR="0035454C" w:rsidRPr="00883371" w:rsidRDefault="0035454C" w:rsidP="0035454C">
      <w:pPr>
        <w:autoSpaceDE w:val="0"/>
        <w:autoSpaceDN w:val="0"/>
        <w:adjustRightInd w:val="0"/>
        <w:rPr>
          <w:rFonts w:ascii="Arial" w:hAnsi="Arial" w:cs="Arial"/>
          <w:szCs w:val="24"/>
          <w:lang w:val="es-CO"/>
        </w:rPr>
      </w:pPr>
    </w:p>
    <w:p w14:paraId="7D0976DB" w14:textId="77777777" w:rsidR="00552547" w:rsidRPr="00883371" w:rsidRDefault="00552547" w:rsidP="00552547">
      <w:pPr>
        <w:rPr>
          <w:rFonts w:ascii="Arial" w:hAnsi="Arial" w:cs="Arial"/>
          <w:b/>
          <w:sz w:val="22"/>
        </w:rPr>
      </w:pPr>
      <w:r w:rsidRPr="00883371">
        <w:rPr>
          <w:rFonts w:ascii="Arial" w:hAnsi="Arial" w:cs="Arial"/>
          <w:sz w:val="22"/>
        </w:rPr>
        <w:t xml:space="preserve">Bogotá D.C., </w:t>
      </w:r>
      <w:r w:rsidRPr="00883371">
        <w:rPr>
          <w:rFonts w:ascii="Arial" w:hAnsi="Arial" w:cs="Arial"/>
          <w:b/>
          <w:sz w:val="22"/>
        </w:rPr>
        <w:t>##FechaActual</w:t>
      </w:r>
    </w:p>
    <w:p w14:paraId="6F21B886" w14:textId="77777777" w:rsidR="00552547" w:rsidRPr="00883371" w:rsidRDefault="00552547" w:rsidP="00552547">
      <w:pPr>
        <w:jc w:val="right"/>
        <w:rPr>
          <w:rFonts w:ascii="Arial" w:eastAsia="Calibri" w:hAnsi="Arial" w:cs="Arial"/>
          <w:sz w:val="22"/>
        </w:rPr>
      </w:pPr>
      <w:proofErr w:type="spellStart"/>
      <w:r w:rsidRPr="00883371">
        <w:rPr>
          <w:rFonts w:ascii="Arial" w:hAnsi="Arial" w:cs="Arial"/>
          <w:b/>
          <w:sz w:val="22"/>
        </w:rPr>
        <w:t>N°</w:t>
      </w:r>
      <w:proofErr w:type="spellEnd"/>
      <w:r w:rsidRPr="00883371">
        <w:rPr>
          <w:rFonts w:ascii="Arial" w:hAnsi="Arial" w:cs="Arial"/>
          <w:b/>
          <w:sz w:val="22"/>
        </w:rPr>
        <w:t xml:space="preserve"> Radicado: ##Respuesta</w:t>
      </w:r>
    </w:p>
    <w:p w14:paraId="3376EEB4" w14:textId="77777777" w:rsidR="009B7F9B" w:rsidRPr="00883371" w:rsidRDefault="009B7F9B" w:rsidP="009B7F9B">
      <w:pPr>
        <w:rPr>
          <w:rFonts w:ascii="Arial" w:eastAsia="Calibri" w:hAnsi="Arial" w:cs="Arial"/>
          <w:sz w:val="22"/>
        </w:rPr>
      </w:pPr>
    </w:p>
    <w:p w14:paraId="74B03CCA" w14:textId="16A1F612" w:rsidR="009B7F9B" w:rsidRPr="00883371" w:rsidRDefault="009B7F9B" w:rsidP="009B7F9B">
      <w:pPr>
        <w:rPr>
          <w:rFonts w:ascii="Arial" w:eastAsia="Calibri" w:hAnsi="Arial" w:cs="Arial"/>
          <w:sz w:val="22"/>
        </w:rPr>
      </w:pPr>
      <w:r w:rsidRPr="00883371">
        <w:rPr>
          <w:rFonts w:ascii="Arial" w:eastAsia="Calibri" w:hAnsi="Arial" w:cs="Arial"/>
          <w:sz w:val="22"/>
        </w:rPr>
        <w:t>Señor</w:t>
      </w:r>
    </w:p>
    <w:p w14:paraId="6E56B47D" w14:textId="0F3D43D5" w:rsidR="00552547" w:rsidRPr="00883371" w:rsidRDefault="00552547" w:rsidP="009B7F9B">
      <w:pPr>
        <w:rPr>
          <w:rFonts w:ascii="Arial" w:eastAsia="Calibri" w:hAnsi="Arial" w:cs="Arial"/>
          <w:b/>
          <w:sz w:val="22"/>
        </w:rPr>
      </w:pPr>
      <w:proofErr w:type="spellStart"/>
      <w:r w:rsidRPr="00883371">
        <w:rPr>
          <w:rFonts w:ascii="Arial" w:eastAsia="Calibri" w:hAnsi="Arial" w:cs="Arial"/>
          <w:b/>
          <w:sz w:val="22"/>
        </w:rPr>
        <w:t>Nicolay</w:t>
      </w:r>
      <w:proofErr w:type="spellEnd"/>
      <w:r w:rsidRPr="00883371">
        <w:rPr>
          <w:rFonts w:ascii="Arial" w:eastAsia="Calibri" w:hAnsi="Arial" w:cs="Arial"/>
          <w:b/>
          <w:sz w:val="22"/>
        </w:rPr>
        <w:t xml:space="preserve"> David O. </w:t>
      </w:r>
      <w:proofErr w:type="spellStart"/>
      <w:r w:rsidRPr="00883371">
        <w:rPr>
          <w:rFonts w:ascii="Arial" w:eastAsia="Calibri" w:hAnsi="Arial" w:cs="Arial"/>
          <w:b/>
          <w:sz w:val="22"/>
        </w:rPr>
        <w:t>Romanovsky</w:t>
      </w:r>
      <w:proofErr w:type="spellEnd"/>
      <w:r w:rsidRPr="00883371">
        <w:rPr>
          <w:rFonts w:ascii="Arial" w:eastAsia="Calibri" w:hAnsi="Arial" w:cs="Arial"/>
          <w:b/>
          <w:sz w:val="22"/>
        </w:rPr>
        <w:t xml:space="preserve"> Camacho </w:t>
      </w:r>
    </w:p>
    <w:p w14:paraId="62AAF159" w14:textId="38AD605D" w:rsidR="009B7F9B" w:rsidRPr="00883371" w:rsidRDefault="00AD299B" w:rsidP="009B7F9B">
      <w:pPr>
        <w:rPr>
          <w:rFonts w:ascii="Arial" w:eastAsia="Calibri" w:hAnsi="Arial" w:cs="Arial"/>
          <w:sz w:val="22"/>
        </w:rPr>
      </w:pPr>
      <w:r w:rsidRPr="00883371">
        <w:rPr>
          <w:rFonts w:ascii="Arial" w:eastAsia="Calibri" w:hAnsi="Arial" w:cs="Arial"/>
          <w:sz w:val="22"/>
        </w:rPr>
        <w:t>Bogotá D.C.</w:t>
      </w:r>
    </w:p>
    <w:p w14:paraId="52F9C018" w14:textId="77777777" w:rsidR="009B7F9B" w:rsidRPr="00883371" w:rsidRDefault="009B7F9B" w:rsidP="009B7F9B">
      <w:pPr>
        <w:rPr>
          <w:rFonts w:ascii="Arial" w:eastAsia="Calibri" w:hAnsi="Arial" w:cs="Arial"/>
          <w:sz w:val="22"/>
        </w:rPr>
      </w:pPr>
    </w:p>
    <w:p w14:paraId="2921B229" w14:textId="77777777" w:rsidR="009B7F9B" w:rsidRPr="00883371" w:rsidRDefault="009B7F9B" w:rsidP="009B7F9B">
      <w:pPr>
        <w:rPr>
          <w:rFonts w:ascii="Arial" w:eastAsia="Calibri" w:hAnsi="Arial" w:cs="Arial"/>
          <w:sz w:val="22"/>
        </w:rPr>
      </w:pPr>
    </w:p>
    <w:p w14:paraId="0CBC855F" w14:textId="5E218422" w:rsidR="009B7F9B" w:rsidRPr="00883371" w:rsidRDefault="00AE5EFA" w:rsidP="008C0579">
      <w:pPr>
        <w:rPr>
          <w:rFonts w:ascii="Arial" w:eastAsia="Calibri" w:hAnsi="Arial" w:cs="Arial"/>
          <w:b/>
          <w:sz w:val="22"/>
        </w:rPr>
      </w:pPr>
      <w:r w:rsidRPr="00883371">
        <w:rPr>
          <w:rFonts w:ascii="Arial" w:eastAsia="Calibri" w:hAnsi="Arial" w:cs="Arial"/>
          <w:b/>
          <w:sz w:val="22"/>
        </w:rPr>
        <w:t xml:space="preserve">                                            </w:t>
      </w:r>
      <w:r w:rsidR="009B7F9B" w:rsidRPr="000A4698">
        <w:rPr>
          <w:rFonts w:ascii="Arial" w:eastAsia="Calibri" w:hAnsi="Arial" w:cs="Arial"/>
          <w:b/>
          <w:sz w:val="22"/>
        </w:rPr>
        <w:t xml:space="preserve">Concepto C – </w:t>
      </w:r>
      <w:r w:rsidR="000A4698">
        <w:rPr>
          <w:rFonts w:ascii="Arial" w:eastAsia="Calibri" w:hAnsi="Arial" w:cs="Arial"/>
          <w:b/>
          <w:sz w:val="22"/>
        </w:rPr>
        <w:t>575</w:t>
      </w:r>
      <w:r w:rsidR="006E15C5" w:rsidRPr="000A4698">
        <w:rPr>
          <w:rFonts w:ascii="Arial" w:eastAsia="Calibri" w:hAnsi="Arial" w:cs="Arial"/>
          <w:b/>
          <w:sz w:val="22"/>
        </w:rPr>
        <w:t xml:space="preserve"> </w:t>
      </w:r>
      <w:r w:rsidR="009B7F9B" w:rsidRPr="000A4698">
        <w:rPr>
          <w:rFonts w:ascii="Arial" w:eastAsia="Calibri" w:hAnsi="Arial" w:cs="Arial"/>
          <w:b/>
          <w:sz w:val="22"/>
        </w:rPr>
        <w:t>de 2020</w:t>
      </w:r>
    </w:p>
    <w:p w14:paraId="232ADF37" w14:textId="77777777" w:rsidR="009B7F9B" w:rsidRPr="00883371" w:rsidRDefault="009B7F9B" w:rsidP="009B7F9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83371" w:rsidRPr="00883371" w14:paraId="2123D216" w14:textId="77777777" w:rsidTr="008007A7">
        <w:trPr>
          <w:trHeight w:val="1029"/>
        </w:trPr>
        <w:tc>
          <w:tcPr>
            <w:tcW w:w="2689" w:type="dxa"/>
            <w:hideMark/>
          </w:tcPr>
          <w:p w14:paraId="3EC1F9B4" w14:textId="77777777" w:rsidR="009B7F9B" w:rsidRPr="00883371" w:rsidRDefault="009B7F9B" w:rsidP="008007A7">
            <w:pPr>
              <w:rPr>
                <w:rFonts w:ascii="Arial" w:eastAsia="Calibri" w:hAnsi="Arial" w:cs="Arial"/>
                <w:sz w:val="22"/>
              </w:rPr>
            </w:pPr>
            <w:r w:rsidRPr="00883371">
              <w:rPr>
                <w:rFonts w:ascii="Arial" w:eastAsia="Calibri" w:hAnsi="Arial" w:cs="Arial"/>
                <w:b/>
                <w:sz w:val="22"/>
              </w:rPr>
              <w:t>Temas:</w:t>
            </w:r>
            <w:r w:rsidRPr="00883371">
              <w:rPr>
                <w:rFonts w:ascii="Arial" w:eastAsia="Calibri" w:hAnsi="Arial" w:cs="Arial"/>
                <w:sz w:val="22"/>
              </w:rPr>
              <w:t xml:space="preserve">              </w:t>
            </w:r>
          </w:p>
        </w:tc>
        <w:tc>
          <w:tcPr>
            <w:tcW w:w="6237" w:type="dxa"/>
            <w:hideMark/>
          </w:tcPr>
          <w:p w14:paraId="32953520" w14:textId="1A6A10AB" w:rsidR="009B7F9B" w:rsidRPr="00883371" w:rsidRDefault="00E216F2" w:rsidP="008C0579">
            <w:pPr>
              <w:spacing w:after="120"/>
              <w:jc w:val="both"/>
              <w:rPr>
                <w:rFonts w:ascii="Arial" w:eastAsia="Calibri" w:hAnsi="Arial" w:cs="Arial"/>
                <w:sz w:val="22"/>
                <w:lang w:val="es-CO"/>
              </w:rPr>
            </w:pPr>
            <w:r w:rsidRPr="00883371">
              <w:rPr>
                <w:rFonts w:ascii="Arial" w:eastAsia="Calibri" w:hAnsi="Arial" w:cs="Arial"/>
                <w:sz w:val="22"/>
              </w:rPr>
              <w:t xml:space="preserve">CONVENIOS INTERADMINISTRATIVOS – Definición / CONVENIOS INTERADMINISTRATIVOS – Criterio orgánico – Régimen jurídico / </w:t>
            </w:r>
            <w:r w:rsidR="009B7F9B" w:rsidRPr="00883371">
              <w:rPr>
                <w:rFonts w:ascii="Arial" w:eastAsia="Calibri" w:hAnsi="Arial" w:cs="Arial"/>
                <w:sz w:val="22"/>
              </w:rPr>
              <w:t>PRINCIPIO DE PUBLICIDAD – Noción – Acceso a la información pública / SECOP – Deber de publicación –  Finalidad – Principio de publicidad – Ejecución de recursos públicos / PLAN ANUAL DE ADQUISICIONES – Publicación – Fundamento normativo / SECOP I y SECOP II – Naturaleza – Medio de publicidad – Plataforma transaccional / SECOP II – Obligatoriedad</w:t>
            </w:r>
            <w:r w:rsidR="00492D50" w:rsidRPr="00883371">
              <w:rPr>
                <w:rFonts w:ascii="Arial" w:eastAsia="Calibri" w:hAnsi="Arial" w:cs="Arial"/>
                <w:sz w:val="22"/>
              </w:rPr>
              <w:t xml:space="preserve"> / SECOP – Publicación – Documentos </w:t>
            </w:r>
            <w:r w:rsidR="00985BB5" w:rsidRPr="00883371">
              <w:rPr>
                <w:rFonts w:ascii="Arial" w:eastAsia="Calibri" w:hAnsi="Arial" w:cs="Arial"/>
                <w:sz w:val="22"/>
              </w:rPr>
              <w:t>/ SECOP – Publicidad – Aclaraciones – Reserva</w:t>
            </w:r>
          </w:p>
        </w:tc>
      </w:tr>
      <w:tr w:rsidR="00842EFF" w:rsidRPr="00883371" w14:paraId="0EED7CDA" w14:textId="77777777" w:rsidTr="008007A7">
        <w:trPr>
          <w:trHeight w:val="264"/>
        </w:trPr>
        <w:tc>
          <w:tcPr>
            <w:tcW w:w="2689" w:type="dxa"/>
          </w:tcPr>
          <w:p w14:paraId="763F5813" w14:textId="77777777" w:rsidR="009B7F9B" w:rsidRPr="00883371" w:rsidRDefault="009B7F9B" w:rsidP="008007A7">
            <w:pPr>
              <w:rPr>
                <w:rFonts w:ascii="Arial" w:eastAsia="Calibri" w:hAnsi="Arial" w:cs="Arial"/>
                <w:b/>
                <w:sz w:val="22"/>
              </w:rPr>
            </w:pPr>
            <w:r w:rsidRPr="00883371">
              <w:rPr>
                <w:rFonts w:ascii="Arial" w:eastAsia="Calibri" w:hAnsi="Arial" w:cs="Arial"/>
                <w:b/>
                <w:sz w:val="22"/>
              </w:rPr>
              <w:t>Radicación:</w:t>
            </w:r>
            <w:r w:rsidRPr="00883371">
              <w:rPr>
                <w:rFonts w:ascii="Arial" w:eastAsia="Calibri" w:hAnsi="Arial" w:cs="Arial"/>
                <w:sz w:val="22"/>
              </w:rPr>
              <w:t xml:space="preserve">                              </w:t>
            </w:r>
          </w:p>
        </w:tc>
        <w:tc>
          <w:tcPr>
            <w:tcW w:w="6237" w:type="dxa"/>
          </w:tcPr>
          <w:p w14:paraId="7722D90B" w14:textId="32DD6FA6" w:rsidR="009B7F9B" w:rsidRPr="00883371" w:rsidRDefault="009B7F9B" w:rsidP="008007A7">
            <w:pPr>
              <w:jc w:val="both"/>
              <w:rPr>
                <w:rFonts w:ascii="Arial" w:eastAsia="Calibri" w:hAnsi="Arial" w:cs="Arial"/>
                <w:sz w:val="22"/>
              </w:rPr>
            </w:pPr>
            <w:r w:rsidRPr="00883371">
              <w:rPr>
                <w:rFonts w:ascii="Arial" w:eastAsia="Calibri" w:hAnsi="Arial" w:cs="Arial"/>
                <w:sz w:val="22"/>
              </w:rPr>
              <w:t xml:space="preserve">Respuesta consulta # </w:t>
            </w:r>
            <w:r w:rsidR="00AD299B" w:rsidRPr="00883371">
              <w:rPr>
                <w:rFonts w:ascii="Arial" w:eastAsia="Calibri" w:hAnsi="Arial" w:cs="Arial"/>
                <w:sz w:val="22"/>
              </w:rPr>
              <w:t>420201300000</w:t>
            </w:r>
            <w:r w:rsidR="00552547" w:rsidRPr="00883371">
              <w:rPr>
                <w:rFonts w:ascii="Arial" w:eastAsia="Calibri" w:hAnsi="Arial" w:cs="Arial"/>
                <w:sz w:val="22"/>
              </w:rPr>
              <w:t>7137</w:t>
            </w:r>
          </w:p>
        </w:tc>
      </w:tr>
    </w:tbl>
    <w:p w14:paraId="47DB626E" w14:textId="77777777" w:rsidR="009B7F9B" w:rsidRPr="00883371" w:rsidRDefault="009B7F9B" w:rsidP="008C0579">
      <w:pPr>
        <w:spacing w:line="276" w:lineRule="auto"/>
        <w:rPr>
          <w:rFonts w:ascii="Arial" w:eastAsia="Calibri" w:hAnsi="Arial" w:cs="Arial"/>
          <w:sz w:val="22"/>
        </w:rPr>
      </w:pPr>
    </w:p>
    <w:p w14:paraId="4EEEC9F2" w14:textId="77777777" w:rsidR="009B7F9B" w:rsidRPr="00883371" w:rsidRDefault="009B7F9B" w:rsidP="008C0579">
      <w:pPr>
        <w:spacing w:line="276" w:lineRule="auto"/>
        <w:rPr>
          <w:rFonts w:ascii="Arial" w:eastAsia="Calibri" w:hAnsi="Arial" w:cs="Arial"/>
          <w:sz w:val="22"/>
        </w:rPr>
      </w:pPr>
    </w:p>
    <w:p w14:paraId="39C63AA8" w14:textId="7B7DC8D7" w:rsidR="009B7F9B" w:rsidRPr="00883371" w:rsidRDefault="009B7F9B" w:rsidP="008C0579">
      <w:pPr>
        <w:spacing w:line="276" w:lineRule="auto"/>
        <w:rPr>
          <w:rFonts w:ascii="Arial" w:eastAsia="Calibri" w:hAnsi="Arial" w:cs="Arial"/>
          <w:sz w:val="22"/>
        </w:rPr>
      </w:pPr>
      <w:r w:rsidRPr="00883371">
        <w:rPr>
          <w:rFonts w:ascii="Arial" w:eastAsia="Calibri" w:hAnsi="Arial" w:cs="Arial"/>
          <w:sz w:val="22"/>
        </w:rPr>
        <w:t>Estimad</w:t>
      </w:r>
      <w:r w:rsidR="00552547" w:rsidRPr="00883371">
        <w:rPr>
          <w:rFonts w:ascii="Arial" w:eastAsia="Calibri" w:hAnsi="Arial" w:cs="Arial"/>
          <w:sz w:val="22"/>
        </w:rPr>
        <w:t>o</w:t>
      </w:r>
      <w:r w:rsidRPr="00883371">
        <w:rPr>
          <w:rFonts w:ascii="Arial" w:eastAsia="Calibri" w:hAnsi="Arial" w:cs="Arial"/>
          <w:sz w:val="22"/>
        </w:rPr>
        <w:t xml:space="preserve"> señor </w:t>
      </w:r>
      <w:proofErr w:type="spellStart"/>
      <w:r w:rsidR="00552547" w:rsidRPr="00883371">
        <w:rPr>
          <w:rFonts w:ascii="Arial" w:eastAsia="Calibri" w:hAnsi="Arial" w:cs="Arial"/>
          <w:sz w:val="22"/>
        </w:rPr>
        <w:t>Romanovsky</w:t>
      </w:r>
      <w:proofErr w:type="spellEnd"/>
      <w:r w:rsidR="006E15C5" w:rsidRPr="00883371">
        <w:rPr>
          <w:rFonts w:ascii="Arial" w:eastAsia="Calibri" w:hAnsi="Arial" w:cs="Arial"/>
          <w:sz w:val="22"/>
        </w:rPr>
        <w:t>,</w:t>
      </w:r>
    </w:p>
    <w:p w14:paraId="16CB4689" w14:textId="77777777" w:rsidR="009B7F9B" w:rsidRPr="00883371" w:rsidRDefault="009B7F9B" w:rsidP="009B7F9B">
      <w:pPr>
        <w:spacing w:line="276" w:lineRule="auto"/>
        <w:jc w:val="both"/>
        <w:rPr>
          <w:rFonts w:ascii="Arial" w:eastAsia="Calibri" w:hAnsi="Arial" w:cs="Arial"/>
          <w:sz w:val="22"/>
        </w:rPr>
      </w:pPr>
    </w:p>
    <w:p w14:paraId="0F5DA20E" w14:textId="40AF94FE" w:rsidR="009B7F9B" w:rsidRPr="00883371" w:rsidRDefault="009B7F9B" w:rsidP="009B7F9B">
      <w:pPr>
        <w:spacing w:line="276" w:lineRule="auto"/>
        <w:jc w:val="both"/>
        <w:rPr>
          <w:rFonts w:ascii="Arial" w:eastAsia="Calibri" w:hAnsi="Arial" w:cs="Arial"/>
          <w:sz w:val="22"/>
        </w:rPr>
      </w:pPr>
      <w:r w:rsidRPr="00883371">
        <w:rPr>
          <w:rFonts w:ascii="Arial" w:eastAsia="Calibri" w:hAnsi="Arial" w:cs="Arial"/>
          <w:sz w:val="22"/>
        </w:rPr>
        <w:t xml:space="preserve">La Agencia Nacional de Contratación Pública – Colombia Compra Eficiente responde su consulta del </w:t>
      </w:r>
      <w:r w:rsidR="00552547" w:rsidRPr="00883371">
        <w:rPr>
          <w:rFonts w:ascii="Arial" w:eastAsia="Calibri" w:hAnsi="Arial" w:cs="Arial"/>
          <w:sz w:val="22"/>
        </w:rPr>
        <w:t>19</w:t>
      </w:r>
      <w:r w:rsidR="00B133F1" w:rsidRPr="00883371">
        <w:rPr>
          <w:rFonts w:ascii="Arial" w:eastAsia="Calibri" w:hAnsi="Arial" w:cs="Arial"/>
          <w:sz w:val="22"/>
        </w:rPr>
        <w:t xml:space="preserve"> </w:t>
      </w:r>
      <w:r w:rsidRPr="00883371">
        <w:rPr>
          <w:rFonts w:ascii="Arial" w:eastAsia="Calibri" w:hAnsi="Arial" w:cs="Arial"/>
          <w:sz w:val="22"/>
        </w:rPr>
        <w:t xml:space="preserve">de </w:t>
      </w:r>
      <w:r w:rsidR="00B133F1" w:rsidRPr="00883371">
        <w:rPr>
          <w:rFonts w:ascii="Arial" w:eastAsia="Calibri" w:hAnsi="Arial" w:cs="Arial"/>
          <w:sz w:val="22"/>
        </w:rPr>
        <w:t>agosto</w:t>
      </w:r>
      <w:r w:rsidR="006E15C5" w:rsidRPr="00883371">
        <w:rPr>
          <w:rFonts w:ascii="Arial" w:eastAsia="Calibri" w:hAnsi="Arial" w:cs="Arial"/>
          <w:sz w:val="22"/>
        </w:rPr>
        <w:t xml:space="preserve"> </w:t>
      </w:r>
      <w:r w:rsidRPr="00883371">
        <w:rPr>
          <w:rFonts w:ascii="Arial" w:eastAsia="Calibri" w:hAnsi="Arial" w:cs="Arial"/>
          <w:sz w:val="22"/>
        </w:rPr>
        <w:t>de 2020, en ejercicio de la competencia otorgada por el numeral 5 del artículo 3 y por el numeral 8 del artículo 11 del Decreto 4170 de 2011.</w:t>
      </w:r>
    </w:p>
    <w:p w14:paraId="161EB3FA" w14:textId="77777777" w:rsidR="009B7F9B" w:rsidRPr="00883371" w:rsidRDefault="009B7F9B" w:rsidP="009B7F9B">
      <w:pPr>
        <w:spacing w:line="276" w:lineRule="auto"/>
        <w:jc w:val="both"/>
        <w:rPr>
          <w:rFonts w:ascii="Arial" w:eastAsia="Calibri" w:hAnsi="Arial" w:cs="Arial"/>
          <w:sz w:val="22"/>
        </w:rPr>
      </w:pPr>
    </w:p>
    <w:p w14:paraId="32EB3CD6" w14:textId="77777777" w:rsidR="009B7F9B" w:rsidRPr="00883371" w:rsidRDefault="009B7F9B" w:rsidP="009B7F9B">
      <w:pPr>
        <w:pStyle w:val="Prrafodelista"/>
        <w:numPr>
          <w:ilvl w:val="0"/>
          <w:numId w:val="8"/>
        </w:numPr>
        <w:tabs>
          <w:tab w:val="left" w:pos="284"/>
        </w:tabs>
        <w:spacing w:line="276" w:lineRule="auto"/>
        <w:ind w:left="0" w:firstLine="0"/>
        <w:rPr>
          <w:rFonts w:ascii="Arial" w:eastAsia="Calibri" w:hAnsi="Arial" w:cs="Arial"/>
          <w:b/>
          <w:sz w:val="22"/>
        </w:rPr>
      </w:pPr>
      <w:r w:rsidRPr="00883371">
        <w:rPr>
          <w:rFonts w:ascii="Arial" w:eastAsia="Calibri" w:hAnsi="Arial" w:cs="Arial"/>
          <w:b/>
          <w:sz w:val="22"/>
        </w:rPr>
        <w:t>Problemas planteados</w:t>
      </w:r>
    </w:p>
    <w:p w14:paraId="0589AE5E" w14:textId="77777777" w:rsidR="009B7F9B" w:rsidRPr="00883371" w:rsidRDefault="009B7F9B" w:rsidP="009B7F9B">
      <w:pPr>
        <w:pStyle w:val="Prrafodelista"/>
        <w:tabs>
          <w:tab w:val="left" w:pos="284"/>
        </w:tabs>
        <w:spacing w:line="276" w:lineRule="auto"/>
        <w:ind w:left="0"/>
        <w:rPr>
          <w:rFonts w:ascii="Arial" w:eastAsia="Calibri" w:hAnsi="Arial" w:cs="Arial"/>
          <w:b/>
          <w:sz w:val="22"/>
        </w:rPr>
      </w:pPr>
    </w:p>
    <w:p w14:paraId="0DF310B6" w14:textId="406068EE" w:rsidR="009B7F9B" w:rsidRPr="00883371" w:rsidRDefault="00BA740B" w:rsidP="00552547">
      <w:pPr>
        <w:autoSpaceDE w:val="0"/>
        <w:autoSpaceDN w:val="0"/>
        <w:adjustRightInd w:val="0"/>
        <w:spacing w:after="120" w:line="276" w:lineRule="auto"/>
        <w:jc w:val="both"/>
        <w:rPr>
          <w:rFonts w:ascii="Arial" w:hAnsi="Arial" w:cs="Arial"/>
          <w:sz w:val="22"/>
          <w:lang w:val="es-CO"/>
        </w:rPr>
      </w:pPr>
      <w:bookmarkStart w:id="5" w:name="_Hlk44670585"/>
      <w:r w:rsidRPr="00883371">
        <w:rPr>
          <w:rFonts w:ascii="Arial" w:eastAsia="Calibri" w:hAnsi="Arial" w:cs="Arial"/>
          <w:sz w:val="22"/>
        </w:rPr>
        <w:t xml:space="preserve">En </w:t>
      </w:r>
      <w:r w:rsidR="00552547" w:rsidRPr="00883371">
        <w:rPr>
          <w:rFonts w:ascii="Arial" w:eastAsia="Calibri" w:hAnsi="Arial" w:cs="Arial"/>
          <w:sz w:val="22"/>
        </w:rPr>
        <w:t>su petición del 19 de agosto de 2020</w:t>
      </w:r>
      <w:r w:rsidRPr="00883371">
        <w:rPr>
          <w:rFonts w:ascii="Arial" w:eastAsia="Calibri" w:hAnsi="Arial" w:cs="Arial"/>
          <w:sz w:val="22"/>
        </w:rPr>
        <w:t xml:space="preserve">, usted </w:t>
      </w:r>
      <w:r w:rsidR="00B133F1" w:rsidRPr="00883371">
        <w:rPr>
          <w:rFonts w:ascii="Arial" w:eastAsia="Calibri" w:hAnsi="Arial" w:cs="Arial"/>
          <w:sz w:val="22"/>
        </w:rPr>
        <w:t>formul</w:t>
      </w:r>
      <w:r w:rsidR="00552547" w:rsidRPr="00883371">
        <w:rPr>
          <w:rFonts w:ascii="Arial" w:eastAsia="Calibri" w:hAnsi="Arial" w:cs="Arial"/>
          <w:sz w:val="22"/>
        </w:rPr>
        <w:t>ó</w:t>
      </w:r>
      <w:r w:rsidR="00B133F1" w:rsidRPr="00883371">
        <w:rPr>
          <w:rFonts w:ascii="Arial" w:eastAsia="Calibri" w:hAnsi="Arial" w:cs="Arial"/>
          <w:sz w:val="22"/>
        </w:rPr>
        <w:t xml:space="preserve"> la siguiente pregunta</w:t>
      </w:r>
      <w:r w:rsidR="00752F9B" w:rsidRPr="00883371">
        <w:rPr>
          <w:rFonts w:ascii="Arial" w:eastAsia="Calibri" w:hAnsi="Arial" w:cs="Arial"/>
          <w:sz w:val="22"/>
        </w:rPr>
        <w:t>:</w:t>
      </w:r>
      <w:r w:rsidR="009B7F9B" w:rsidRPr="00883371">
        <w:rPr>
          <w:rFonts w:ascii="Arial" w:eastAsia="Calibri" w:hAnsi="Arial" w:cs="Arial"/>
          <w:sz w:val="22"/>
        </w:rPr>
        <w:t xml:space="preserve"> </w:t>
      </w:r>
      <w:bookmarkStart w:id="6" w:name="_Hlk40095622"/>
      <w:r w:rsidR="009B7F9B" w:rsidRPr="00883371">
        <w:rPr>
          <w:rFonts w:ascii="Arial" w:eastAsia="Calibri" w:hAnsi="Arial" w:cs="Arial"/>
          <w:sz w:val="22"/>
        </w:rPr>
        <w:t xml:space="preserve">«[…] </w:t>
      </w:r>
      <w:r w:rsidR="00552547" w:rsidRPr="00883371">
        <w:rPr>
          <w:rFonts w:ascii="Arial" w:hAnsi="Arial" w:cs="Arial"/>
          <w:sz w:val="22"/>
          <w:lang w:val="es-CO"/>
        </w:rPr>
        <w:t xml:space="preserve">es necesario publicar los </w:t>
      </w:r>
      <w:proofErr w:type="spellStart"/>
      <w:r w:rsidR="00552547" w:rsidRPr="00883371">
        <w:rPr>
          <w:rFonts w:ascii="Arial" w:hAnsi="Arial" w:cs="Arial"/>
          <w:sz w:val="22"/>
          <w:lang w:val="es-CO"/>
        </w:rPr>
        <w:t>covenio</w:t>
      </w:r>
      <w:proofErr w:type="spellEnd"/>
      <w:r w:rsidR="00552547" w:rsidRPr="00883371">
        <w:rPr>
          <w:rFonts w:ascii="Arial" w:hAnsi="Arial" w:cs="Arial"/>
          <w:sz w:val="22"/>
          <w:lang w:val="es-CO"/>
        </w:rPr>
        <w:t xml:space="preserve"> interadministrativos como los "marco", en los que se pactan condiciones generales sin que haya </w:t>
      </w:r>
      <w:proofErr w:type="spellStart"/>
      <w:r w:rsidR="00552547" w:rsidRPr="00883371">
        <w:rPr>
          <w:rFonts w:ascii="Arial" w:hAnsi="Arial" w:cs="Arial"/>
          <w:sz w:val="22"/>
          <w:lang w:val="es-CO"/>
        </w:rPr>
        <w:t>afectaciòn</w:t>
      </w:r>
      <w:proofErr w:type="spellEnd"/>
      <w:r w:rsidR="00552547" w:rsidRPr="00883371">
        <w:rPr>
          <w:rFonts w:ascii="Arial" w:hAnsi="Arial" w:cs="Arial"/>
          <w:sz w:val="22"/>
          <w:lang w:val="es-CO"/>
        </w:rPr>
        <w:t xml:space="preserve"> al presupuesto. </w:t>
      </w:r>
      <w:r w:rsidR="009B7F9B" w:rsidRPr="00883371">
        <w:rPr>
          <w:rFonts w:ascii="Arial" w:hAnsi="Arial" w:cs="Arial"/>
          <w:sz w:val="22"/>
          <w:lang w:val="es-CO"/>
        </w:rPr>
        <w:t>[…]».</w:t>
      </w:r>
      <w:bookmarkEnd w:id="5"/>
      <w:bookmarkEnd w:id="6"/>
    </w:p>
    <w:p w14:paraId="4DA65B36" w14:textId="05B884F9" w:rsidR="00552547" w:rsidRPr="00883371" w:rsidRDefault="00552547" w:rsidP="00E216F2">
      <w:pPr>
        <w:autoSpaceDE w:val="0"/>
        <w:autoSpaceDN w:val="0"/>
        <w:adjustRightInd w:val="0"/>
        <w:spacing w:after="120" w:line="276" w:lineRule="auto"/>
        <w:jc w:val="both"/>
        <w:rPr>
          <w:rFonts w:ascii="Arial" w:hAnsi="Arial" w:cs="Arial"/>
          <w:sz w:val="22"/>
          <w:lang w:val="es-CO"/>
        </w:rPr>
      </w:pPr>
      <w:r w:rsidRPr="00883371">
        <w:rPr>
          <w:rFonts w:ascii="Arial" w:hAnsi="Arial" w:cs="Arial"/>
          <w:sz w:val="22"/>
          <w:lang w:val="es-CO"/>
        </w:rPr>
        <w:lastRenderedPageBreak/>
        <w:tab/>
        <w:t xml:space="preserve">Respecto de dicha pregunta se solicitó aclaración de conformidad con lo dispuesto </w:t>
      </w:r>
      <w:r w:rsidR="005134C9" w:rsidRPr="00883371">
        <w:rPr>
          <w:rFonts w:ascii="Arial" w:hAnsi="Arial" w:cs="Arial"/>
          <w:sz w:val="22"/>
          <w:lang w:val="es-CO"/>
        </w:rPr>
        <w:t>en el artículo 19 de la Ley 1437 de 2011, la cual fue respondida vía correo electrónico en los siguientes términos «La consulta se eleva sobre aquellos convenios interadministrativos en las que las obligaciones que contraen las partes no son de índole pecuniario, por lo que no se afecta el presupuesto, no requieren CDP, no se incluyen en el Plan Anual de Adquisiciones. El término "marco" alude a los actos en los que se pactan las generalidades de una cooperación, como podría ser un memorando de entendimiento, o similares.</w:t>
      </w:r>
      <w:r w:rsidR="00E216F2" w:rsidRPr="00883371">
        <w:rPr>
          <w:rFonts w:ascii="Arial" w:hAnsi="Arial" w:cs="Arial"/>
          <w:sz w:val="22"/>
          <w:lang w:val="es-CO"/>
        </w:rPr>
        <w:t xml:space="preserve"> […] </w:t>
      </w:r>
      <w:r w:rsidR="005134C9" w:rsidRPr="00883371">
        <w:rPr>
          <w:rFonts w:ascii="Arial" w:hAnsi="Arial" w:cs="Arial"/>
          <w:sz w:val="22"/>
          <w:lang w:val="es-CO"/>
        </w:rPr>
        <w:t>En concreto, se consulta si es obligatoria la publicación en SECOP II de este tipo de contratos (costo 0)».</w:t>
      </w:r>
    </w:p>
    <w:p w14:paraId="1B1BBBA7" w14:textId="46DE82F4" w:rsidR="005F41C9" w:rsidRPr="00883371" w:rsidRDefault="005F41C9" w:rsidP="005134C9">
      <w:pPr>
        <w:autoSpaceDE w:val="0"/>
        <w:autoSpaceDN w:val="0"/>
        <w:adjustRightInd w:val="0"/>
        <w:spacing w:line="276" w:lineRule="auto"/>
        <w:jc w:val="both"/>
        <w:rPr>
          <w:rFonts w:ascii="Arial" w:hAnsi="Arial" w:cs="Arial"/>
          <w:sz w:val="22"/>
          <w:lang w:val="es-CO"/>
        </w:rPr>
      </w:pPr>
      <w:r w:rsidRPr="00883371">
        <w:rPr>
          <w:rFonts w:ascii="Arial" w:hAnsi="Arial" w:cs="Arial"/>
          <w:sz w:val="22"/>
          <w:lang w:val="es-CO"/>
        </w:rPr>
        <w:tab/>
        <w:t>Conforme a esto la pregunta que se resolverá en el presente concepto es la siguiente: ¿Deben publicarse en SECOP II los convenios interadministrativos celebrados sin asignación de recursos pecuniarios?</w:t>
      </w:r>
    </w:p>
    <w:p w14:paraId="1478A7F5" w14:textId="77777777" w:rsidR="009B7F9B" w:rsidRPr="00883371" w:rsidRDefault="009B7F9B" w:rsidP="009B7F9B">
      <w:pPr>
        <w:spacing w:line="276" w:lineRule="auto"/>
        <w:ind w:left="709" w:right="709"/>
        <w:jc w:val="both"/>
        <w:rPr>
          <w:rFonts w:ascii="Arial" w:eastAsia="Calibri" w:hAnsi="Arial" w:cs="Arial"/>
          <w:sz w:val="21"/>
          <w:szCs w:val="21"/>
        </w:rPr>
      </w:pPr>
    </w:p>
    <w:p w14:paraId="73D03073" w14:textId="079E6BD8" w:rsidR="009B7F9B" w:rsidRPr="00883371" w:rsidRDefault="009B7F9B" w:rsidP="009B7F9B">
      <w:pPr>
        <w:pStyle w:val="Prrafodelista"/>
        <w:numPr>
          <w:ilvl w:val="0"/>
          <w:numId w:val="8"/>
        </w:numPr>
        <w:tabs>
          <w:tab w:val="left" w:pos="284"/>
        </w:tabs>
        <w:spacing w:line="276" w:lineRule="auto"/>
        <w:ind w:left="0" w:firstLine="0"/>
        <w:rPr>
          <w:rFonts w:ascii="Arial" w:eastAsia="Calibri" w:hAnsi="Arial" w:cs="Arial"/>
          <w:b/>
          <w:sz w:val="22"/>
        </w:rPr>
      </w:pPr>
      <w:r w:rsidRPr="00883371">
        <w:rPr>
          <w:rFonts w:ascii="Arial" w:eastAsia="Calibri" w:hAnsi="Arial" w:cs="Arial"/>
          <w:b/>
          <w:sz w:val="22"/>
        </w:rPr>
        <w:t>Consideraciones</w:t>
      </w:r>
    </w:p>
    <w:p w14:paraId="23A5AC2B" w14:textId="77777777" w:rsidR="00E216F2" w:rsidRPr="00883371" w:rsidRDefault="00E216F2" w:rsidP="008C0579">
      <w:pPr>
        <w:pStyle w:val="Prrafodelista"/>
        <w:tabs>
          <w:tab w:val="left" w:pos="284"/>
        </w:tabs>
        <w:spacing w:after="120" w:line="276" w:lineRule="auto"/>
        <w:ind w:left="0"/>
        <w:jc w:val="both"/>
        <w:rPr>
          <w:rFonts w:ascii="Arial" w:eastAsia="Calibri" w:hAnsi="Arial" w:cs="Arial"/>
          <w:sz w:val="22"/>
          <w:lang w:val="es-ES"/>
        </w:rPr>
      </w:pPr>
    </w:p>
    <w:p w14:paraId="42AFAF98" w14:textId="51592390" w:rsidR="00E216F2" w:rsidRPr="00883371" w:rsidRDefault="008C0579" w:rsidP="00E216F2">
      <w:pPr>
        <w:pStyle w:val="Prrafodelista"/>
        <w:tabs>
          <w:tab w:val="left" w:pos="284"/>
        </w:tabs>
        <w:spacing w:after="120" w:line="276" w:lineRule="auto"/>
        <w:ind w:left="0"/>
        <w:contextualSpacing w:val="0"/>
        <w:jc w:val="both"/>
        <w:rPr>
          <w:rFonts w:ascii="Arial" w:eastAsia="Calibri" w:hAnsi="Arial" w:cs="Arial"/>
          <w:sz w:val="22"/>
          <w:lang w:val="es-ES"/>
        </w:rPr>
      </w:pPr>
      <w:r w:rsidRPr="00883371">
        <w:rPr>
          <w:rFonts w:ascii="Arial" w:eastAsia="Calibri" w:hAnsi="Arial" w:cs="Arial"/>
          <w:sz w:val="22"/>
          <w:lang w:val="es-ES"/>
        </w:rPr>
        <w:t xml:space="preserve">La Agencia Nacional de Contratación Pública – Colombia Compra </w:t>
      </w:r>
      <w:proofErr w:type="gramStart"/>
      <w:r w:rsidRPr="00883371">
        <w:rPr>
          <w:rFonts w:ascii="Arial" w:eastAsia="Calibri" w:hAnsi="Arial" w:cs="Arial"/>
          <w:sz w:val="22"/>
          <w:lang w:val="es-ES"/>
        </w:rPr>
        <w:t>Eficiente</w:t>
      </w:r>
      <w:r w:rsidR="00E216F2" w:rsidRPr="00883371">
        <w:rPr>
          <w:rFonts w:ascii="Arial" w:eastAsia="Calibri" w:hAnsi="Arial" w:cs="Arial"/>
          <w:sz w:val="22"/>
          <w:lang w:val="es-ES"/>
        </w:rPr>
        <w:t xml:space="preserve">  en</w:t>
      </w:r>
      <w:proofErr w:type="gramEnd"/>
      <w:r w:rsidR="00E216F2" w:rsidRPr="00883371">
        <w:rPr>
          <w:rFonts w:ascii="Arial" w:eastAsia="Calibri" w:hAnsi="Arial" w:cs="Arial"/>
          <w:sz w:val="22"/>
          <w:lang w:val="es-ES"/>
        </w:rPr>
        <w:t xml:space="preserve"> los conceptos  con radicados Nos. 4201913000006540 del 21 de octubre de 2019, C-023 del 13 de febrero de 2020, C-032 del 19 de febrero de 2020, C-086 y C-101 del 16 de marzo de 2020, entre otros, se pronunció respecto de la naturaleza jurídica y características de los convenios interadministrativos</w:t>
      </w:r>
    </w:p>
    <w:p w14:paraId="405BE03A" w14:textId="2DCF2748" w:rsidR="008C0579" w:rsidRPr="00883371" w:rsidRDefault="00E216F2" w:rsidP="008C0579">
      <w:pPr>
        <w:pStyle w:val="Prrafodelista"/>
        <w:tabs>
          <w:tab w:val="left" w:pos="284"/>
        </w:tabs>
        <w:spacing w:after="120" w:line="276" w:lineRule="auto"/>
        <w:ind w:left="0"/>
        <w:jc w:val="both"/>
        <w:rPr>
          <w:rFonts w:ascii="Arial" w:eastAsia="Calibri" w:hAnsi="Arial" w:cs="Arial"/>
          <w:b/>
          <w:sz w:val="22"/>
        </w:rPr>
      </w:pPr>
      <w:r w:rsidRPr="00883371">
        <w:rPr>
          <w:rFonts w:ascii="Arial" w:eastAsia="Calibri" w:hAnsi="Arial" w:cs="Arial"/>
          <w:sz w:val="22"/>
          <w:lang w:val="es-ES"/>
        </w:rPr>
        <w:tab/>
        <w:t xml:space="preserve">De otra parte, esta Agencia también </w:t>
      </w:r>
      <w:r w:rsidR="008C0579" w:rsidRPr="00883371">
        <w:rPr>
          <w:rFonts w:ascii="Arial" w:eastAsia="Calibri" w:hAnsi="Arial" w:cs="Arial"/>
          <w:sz w:val="22"/>
          <w:lang w:val="es-ES"/>
        </w:rPr>
        <w:t>ha tenido la oportunidad de estudiar en diferentes ocasiones los temas que se abordarán en el presente concepto, relacionados con la publicación de documentación contractual en la plataforma SECOP I. Así en el concepto con radicado No. 4201912000007253 del 4 de diciembre de 2019, reiterado en el concepto con radicado No. 4201912000007289 de la misma fecha, así como en el C-336 del 2 de junio de 2020, donde se estudió la publicidad de los procedimientos contractuales en el SECOP 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estudiaron temas como el SECOP I como medio de publicidad de las actuaciones contractuales y los documentos que deben publicarse en esta plataforma. Las posiciones expuestas en estos conceptos fueron unificadas en el concepto CU-367 del 23 de julio de 2020,</w:t>
      </w:r>
      <w:r w:rsidR="0069776B" w:rsidRPr="00883371">
        <w:rPr>
          <w:rFonts w:ascii="Arial" w:eastAsia="Calibri" w:hAnsi="Arial" w:cs="Arial"/>
          <w:sz w:val="22"/>
          <w:lang w:val="es-ES"/>
        </w:rPr>
        <w:t xml:space="preserve"> reiterado por los conceptos C-433 y C-474 del 24 de julio de 2020, </w:t>
      </w:r>
      <w:proofErr w:type="spellStart"/>
      <w:r w:rsidR="0069776B" w:rsidRPr="00883371">
        <w:rPr>
          <w:rFonts w:ascii="Arial" w:eastAsia="Calibri" w:hAnsi="Arial" w:cs="Arial"/>
          <w:sz w:val="22"/>
          <w:lang w:val="es-ES"/>
        </w:rPr>
        <w:t>asi</w:t>
      </w:r>
      <w:proofErr w:type="spellEnd"/>
      <w:r w:rsidR="0069776B" w:rsidRPr="00883371">
        <w:rPr>
          <w:rFonts w:ascii="Arial" w:eastAsia="Calibri" w:hAnsi="Arial" w:cs="Arial"/>
          <w:sz w:val="22"/>
          <w:lang w:val="es-ES"/>
        </w:rPr>
        <w:t xml:space="preserve"> como en el C-508 del 31 de julio de 2020. La tesis unificada</w:t>
      </w:r>
      <w:r w:rsidR="008C0579" w:rsidRPr="00883371">
        <w:rPr>
          <w:rFonts w:ascii="Arial" w:eastAsia="Calibri" w:hAnsi="Arial" w:cs="Arial"/>
          <w:sz w:val="22"/>
          <w:lang w:val="es-ES"/>
        </w:rPr>
        <w:t xml:space="preserve"> se reitera en el presente concepto.</w:t>
      </w:r>
    </w:p>
    <w:p w14:paraId="64DB223C" w14:textId="58DDADD3" w:rsidR="009B7F9B" w:rsidRPr="00883371" w:rsidRDefault="008C0579" w:rsidP="009B7F9B">
      <w:pPr>
        <w:widowControl w:val="0"/>
        <w:tabs>
          <w:tab w:val="left" w:pos="728"/>
        </w:tabs>
        <w:autoSpaceDE w:val="0"/>
        <w:autoSpaceDN w:val="0"/>
        <w:spacing w:after="120" w:line="276" w:lineRule="auto"/>
        <w:jc w:val="both"/>
        <w:rPr>
          <w:rFonts w:ascii="Arial" w:eastAsia="Arial" w:hAnsi="Arial" w:cs="Arial"/>
          <w:sz w:val="22"/>
          <w:lang w:val="es-ES"/>
        </w:rPr>
      </w:pPr>
      <w:r w:rsidRPr="00883371">
        <w:rPr>
          <w:rFonts w:ascii="Arial" w:eastAsia="Arial" w:hAnsi="Arial" w:cs="Arial"/>
          <w:sz w:val="22"/>
          <w:lang w:val="es-ES"/>
        </w:rPr>
        <w:tab/>
      </w:r>
      <w:r w:rsidR="009B7F9B" w:rsidRPr="00883371">
        <w:rPr>
          <w:rFonts w:ascii="Arial" w:eastAsia="Arial" w:hAnsi="Arial" w:cs="Arial"/>
          <w:sz w:val="22"/>
          <w:lang w:val="es-ES"/>
        </w:rPr>
        <w:t xml:space="preserve">La contratación pública comprende, entre otros aspectos, la toma de decisiones del gasto que las entidades realizan como ejecución de los recursos públicos asignados para </w:t>
      </w:r>
      <w:r w:rsidR="009B7F9B" w:rsidRPr="00883371">
        <w:rPr>
          <w:rFonts w:ascii="Arial" w:eastAsia="Arial" w:hAnsi="Arial" w:cs="Arial"/>
          <w:sz w:val="22"/>
          <w:lang w:val="es-ES"/>
        </w:rPr>
        <w:lastRenderedPageBreak/>
        <w:t>adquirir bienes, obras o servicios que satisfacen sus necesidades, y en esa medida cumplen el interés general, que es la finalidad que la ley les confía a través de las funciones que se les encomiendan.</w:t>
      </w:r>
    </w:p>
    <w:p w14:paraId="45BD47BD" w14:textId="77777777" w:rsidR="009B7F9B" w:rsidRPr="00883371" w:rsidRDefault="009B7F9B" w:rsidP="009B7F9B">
      <w:pPr>
        <w:widowControl w:val="0"/>
        <w:tabs>
          <w:tab w:val="left" w:pos="728"/>
        </w:tabs>
        <w:autoSpaceDE w:val="0"/>
        <w:autoSpaceDN w:val="0"/>
        <w:spacing w:after="120" w:line="276" w:lineRule="auto"/>
        <w:jc w:val="both"/>
        <w:rPr>
          <w:rFonts w:ascii="Arial" w:eastAsia="Arial" w:hAnsi="Arial" w:cs="Arial"/>
          <w:sz w:val="22"/>
          <w:lang w:val="es-ES"/>
        </w:rPr>
      </w:pPr>
      <w:r w:rsidRPr="00883371">
        <w:rPr>
          <w:rFonts w:ascii="Arial" w:eastAsia="Arial" w:hAnsi="Arial" w:cs="Arial"/>
          <w:sz w:val="22"/>
          <w:lang w:val="es-ES"/>
        </w:rPr>
        <w:tab/>
        <w:t>En ese sentido, teniendo en cuenta que mediante los procedimientos contractuales las entidades ejecutan recursos públicos y satisfacen el interés general, la normativa del sistema de compra pública –Ley 80 de 1993, Ley 1150 de 2007 y Decreto 1082 de 2015–, contiene los principios y procedimientos que rigen los contratos de las entidades estatales. Específicamente, el Estatuto General de Contratación de la Administración Pública –Ley 80 de 1993– se dirige a las entidades estatales que están relacionadas en su artículo 2</w:t>
      </w:r>
      <w:r w:rsidRPr="00883371">
        <w:rPr>
          <w:rFonts w:ascii="Arial" w:eastAsia="Arial" w:hAnsi="Arial" w:cs="Arial"/>
          <w:sz w:val="22"/>
          <w:vertAlign w:val="superscript"/>
          <w:lang w:val="es-ES"/>
        </w:rPr>
        <w:footnoteReference w:id="1"/>
      </w:r>
      <w:r w:rsidRPr="00883371">
        <w:rPr>
          <w:rFonts w:ascii="Arial" w:eastAsia="Arial" w:hAnsi="Arial" w:cs="Arial"/>
          <w:sz w:val="22"/>
          <w:lang w:val="es-ES"/>
        </w:rPr>
        <w:t>, con  lo cual se puede determinar quiénes deben cumplir los principios y obligaciones señalados en las normas citadas.</w:t>
      </w:r>
    </w:p>
    <w:p w14:paraId="097605BD" w14:textId="77777777" w:rsidR="009B7F9B" w:rsidRPr="00883371" w:rsidRDefault="009B7F9B" w:rsidP="009B7F9B">
      <w:pPr>
        <w:widowControl w:val="0"/>
        <w:tabs>
          <w:tab w:val="left" w:pos="728"/>
        </w:tabs>
        <w:autoSpaceDE w:val="0"/>
        <w:autoSpaceDN w:val="0"/>
        <w:spacing w:after="120" w:line="276" w:lineRule="auto"/>
        <w:jc w:val="both"/>
        <w:rPr>
          <w:rFonts w:ascii="Arial" w:eastAsia="Arial" w:hAnsi="Arial" w:cs="Arial"/>
          <w:sz w:val="22"/>
          <w:lang w:val="es-ES"/>
        </w:rPr>
      </w:pPr>
      <w:r w:rsidRPr="00883371">
        <w:rPr>
          <w:rFonts w:ascii="Arial" w:eastAsia="Arial" w:hAnsi="Arial" w:cs="Arial"/>
          <w:sz w:val="22"/>
          <w:lang w:val="es-ES"/>
        </w:rPr>
        <w:tab/>
        <w:t>El artículo 23 de la Ley 80 de 1993 regula los principios que rigen las actuaciones dentro de los procedimientos contractuales que adelantan las entidades</w:t>
      </w:r>
      <w:r w:rsidRPr="00883371">
        <w:rPr>
          <w:rFonts w:ascii="Arial" w:eastAsia="Arial" w:hAnsi="Arial" w:cs="Arial"/>
          <w:sz w:val="22"/>
          <w:vertAlign w:val="superscript"/>
          <w:lang w:val="es-ES"/>
        </w:rPr>
        <w:footnoteReference w:id="2"/>
      </w:r>
      <w:r w:rsidRPr="00883371">
        <w:rPr>
          <w:rFonts w:ascii="Arial" w:eastAsia="Arial" w:hAnsi="Arial" w:cs="Arial"/>
          <w:sz w:val="22"/>
          <w:lang w:val="es-ES"/>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883371">
        <w:rPr>
          <w:rFonts w:ascii="Arial" w:eastAsia="Arial" w:hAnsi="Arial" w:cs="Arial"/>
          <w:sz w:val="22"/>
          <w:vertAlign w:val="superscript"/>
          <w:lang w:val="es-ES"/>
        </w:rPr>
        <w:footnoteReference w:id="3"/>
      </w:r>
      <w:r w:rsidRPr="00883371">
        <w:rPr>
          <w:rFonts w:ascii="Arial" w:eastAsia="Arial" w:hAnsi="Arial" w:cs="Arial"/>
          <w:sz w:val="22"/>
          <w:lang w:val="es-ES"/>
        </w:rPr>
        <w:t xml:space="preserve">. De esta forma, las entidades </w:t>
      </w:r>
      <w:r w:rsidRPr="00883371">
        <w:rPr>
          <w:rFonts w:ascii="Arial" w:eastAsia="Arial" w:hAnsi="Arial" w:cs="Arial"/>
          <w:sz w:val="22"/>
          <w:lang w:val="es-ES"/>
        </w:rPr>
        <w:lastRenderedPageBreak/>
        <w:t>estatales deben publicar sus actuaciones de los procedimientos contractuales en el medio que ha definido el Estado para tal fin.</w:t>
      </w:r>
    </w:p>
    <w:p w14:paraId="2EA7CA7F" w14:textId="673254D4" w:rsidR="00E216F2" w:rsidRPr="00883371" w:rsidRDefault="009B7F9B" w:rsidP="00E216F2">
      <w:pPr>
        <w:spacing w:line="276" w:lineRule="auto"/>
        <w:jc w:val="both"/>
        <w:rPr>
          <w:rFonts w:ascii="Arial" w:eastAsia="Arial" w:hAnsi="Arial" w:cs="Arial"/>
          <w:bCs/>
          <w:sz w:val="22"/>
          <w:lang w:val="es-ES"/>
        </w:rPr>
      </w:pPr>
      <w:r w:rsidRPr="00883371">
        <w:rPr>
          <w:rFonts w:ascii="Arial" w:eastAsia="Arial" w:hAnsi="Arial" w:cs="Arial"/>
          <w:sz w:val="22"/>
          <w:lang w:val="es-ES"/>
        </w:rPr>
        <w:tab/>
        <w:t xml:space="preserve">Para resolver su consulta </w:t>
      </w:r>
      <w:r w:rsidR="00994553" w:rsidRPr="00883371">
        <w:rPr>
          <w:rFonts w:ascii="Arial" w:eastAsia="Arial" w:hAnsi="Arial" w:cs="Arial"/>
          <w:sz w:val="22"/>
          <w:lang w:val="es-ES"/>
        </w:rPr>
        <w:t xml:space="preserve">se abordarán las siguientes </w:t>
      </w:r>
      <w:proofErr w:type="gramStart"/>
      <w:r w:rsidR="00994553" w:rsidRPr="00883371">
        <w:rPr>
          <w:rFonts w:ascii="Arial" w:eastAsia="Arial" w:hAnsi="Arial" w:cs="Arial"/>
          <w:sz w:val="22"/>
          <w:lang w:val="es-ES"/>
        </w:rPr>
        <w:t xml:space="preserve">temáticas </w:t>
      </w:r>
      <w:r w:rsidRPr="00883371">
        <w:rPr>
          <w:rFonts w:ascii="Arial" w:eastAsia="Arial" w:hAnsi="Arial" w:cs="Arial"/>
          <w:sz w:val="22"/>
          <w:lang w:val="es-ES"/>
        </w:rPr>
        <w:t>:</w:t>
      </w:r>
      <w:proofErr w:type="gramEnd"/>
      <w:r w:rsidRPr="00883371">
        <w:rPr>
          <w:rFonts w:ascii="Arial" w:eastAsia="Arial" w:hAnsi="Arial" w:cs="Arial"/>
          <w:sz w:val="22"/>
          <w:lang w:val="es-ES"/>
        </w:rPr>
        <w:t xml:space="preserve"> </w:t>
      </w:r>
      <w:r w:rsidR="00E216F2" w:rsidRPr="00883371">
        <w:rPr>
          <w:rFonts w:ascii="Arial" w:eastAsia="Calibri" w:hAnsi="Arial" w:cs="Arial"/>
          <w:bCs/>
          <w:sz w:val="22"/>
        </w:rPr>
        <w:t xml:space="preserve">i) los convenios o contratos interadministrativos y su regulación; </w:t>
      </w:r>
      <w:proofErr w:type="spellStart"/>
      <w:r w:rsidR="00E216F2" w:rsidRPr="00883371">
        <w:rPr>
          <w:rFonts w:ascii="Arial" w:eastAsia="Calibri" w:hAnsi="Arial" w:cs="Arial"/>
          <w:bCs/>
          <w:sz w:val="22"/>
        </w:rPr>
        <w:t>ii</w:t>
      </w:r>
      <w:proofErr w:type="spellEnd"/>
      <w:r w:rsidR="00E216F2" w:rsidRPr="00883371">
        <w:rPr>
          <w:rFonts w:ascii="Arial" w:eastAsia="Calibri" w:hAnsi="Arial" w:cs="Arial"/>
          <w:bCs/>
          <w:sz w:val="22"/>
        </w:rPr>
        <w:t xml:space="preserve">) </w:t>
      </w:r>
      <w:r w:rsidR="00E216F2" w:rsidRPr="00883371">
        <w:rPr>
          <w:rFonts w:ascii="Arial" w:eastAsia="Arial" w:hAnsi="Arial" w:cs="Arial"/>
          <w:bCs/>
          <w:sz w:val="22"/>
          <w:lang w:val="es-ES"/>
        </w:rPr>
        <w:t xml:space="preserve">principio de publicidad y acceso a la información pública; </w:t>
      </w:r>
      <w:proofErr w:type="spellStart"/>
      <w:r w:rsidR="00E216F2" w:rsidRPr="00883371">
        <w:rPr>
          <w:rFonts w:ascii="Arial" w:eastAsia="Arial" w:hAnsi="Arial" w:cs="Arial"/>
          <w:bCs/>
          <w:sz w:val="22"/>
          <w:lang w:val="es-ES"/>
        </w:rPr>
        <w:t>iii</w:t>
      </w:r>
      <w:proofErr w:type="spellEnd"/>
      <w:r w:rsidR="00E216F2" w:rsidRPr="00883371">
        <w:rPr>
          <w:rFonts w:ascii="Arial" w:eastAsia="Arial" w:hAnsi="Arial" w:cs="Arial"/>
          <w:bCs/>
          <w:sz w:val="22"/>
          <w:lang w:val="es-ES"/>
        </w:rPr>
        <w:t>) p</w:t>
      </w:r>
      <w:r w:rsidR="00E216F2" w:rsidRPr="00883371">
        <w:rPr>
          <w:rFonts w:ascii="Arial" w:eastAsia="Calibri" w:hAnsi="Arial" w:cs="Arial"/>
          <w:bCs/>
          <w:sz w:val="22"/>
          <w:lang w:val="es-ES"/>
        </w:rPr>
        <w:t xml:space="preserve">rocedimientos contractuales, publicidad y documentos que deben publicar en el SECOP I las entidades estatales sometidas al Estatuto General de Contratación de la Administración Pública; y </w:t>
      </w:r>
      <w:proofErr w:type="spellStart"/>
      <w:r w:rsidR="00E216F2" w:rsidRPr="00883371">
        <w:rPr>
          <w:rFonts w:ascii="Arial" w:eastAsia="Calibri" w:hAnsi="Arial" w:cs="Arial"/>
          <w:bCs/>
          <w:sz w:val="22"/>
          <w:lang w:val="es-ES"/>
        </w:rPr>
        <w:t>iv</w:t>
      </w:r>
      <w:proofErr w:type="spellEnd"/>
      <w:r w:rsidR="00E216F2" w:rsidRPr="00883371">
        <w:rPr>
          <w:rFonts w:ascii="Arial" w:eastAsia="Calibri" w:hAnsi="Arial" w:cs="Arial"/>
          <w:bCs/>
          <w:sz w:val="22"/>
          <w:lang w:val="es-ES"/>
        </w:rPr>
        <w:t>) p</w:t>
      </w:r>
      <w:proofErr w:type="spellStart"/>
      <w:r w:rsidR="00E216F2" w:rsidRPr="00883371">
        <w:rPr>
          <w:rFonts w:ascii="Arial" w:eastAsia="Calibri" w:hAnsi="Arial" w:cs="Arial"/>
          <w:bCs/>
          <w:sz w:val="22"/>
        </w:rPr>
        <w:t>ublicidad</w:t>
      </w:r>
      <w:proofErr w:type="spellEnd"/>
      <w:r w:rsidR="00E216F2" w:rsidRPr="00883371">
        <w:rPr>
          <w:rFonts w:ascii="Arial" w:eastAsia="Calibri" w:hAnsi="Arial" w:cs="Arial"/>
          <w:bCs/>
          <w:sz w:val="22"/>
        </w:rPr>
        <w:t xml:space="preserve"> en las plataformas SECOP I y II.</w:t>
      </w:r>
    </w:p>
    <w:p w14:paraId="5BEFF799" w14:textId="6EE14133" w:rsidR="009B7F9B" w:rsidRPr="00883371" w:rsidRDefault="009B7F9B" w:rsidP="009B7F9B">
      <w:pPr>
        <w:widowControl w:val="0"/>
        <w:tabs>
          <w:tab w:val="left" w:pos="728"/>
        </w:tabs>
        <w:autoSpaceDE w:val="0"/>
        <w:autoSpaceDN w:val="0"/>
        <w:spacing w:line="276" w:lineRule="auto"/>
        <w:jc w:val="both"/>
        <w:rPr>
          <w:rFonts w:ascii="Arial" w:eastAsia="Arial" w:hAnsi="Arial" w:cs="Arial"/>
          <w:sz w:val="22"/>
          <w:lang w:val="es-ES"/>
        </w:rPr>
      </w:pPr>
    </w:p>
    <w:p w14:paraId="2E8BDB35" w14:textId="6765F0F4" w:rsidR="005134C9" w:rsidRPr="00883371" w:rsidRDefault="005134C9" w:rsidP="005134C9">
      <w:pPr>
        <w:pStyle w:val="Prrafodelista"/>
        <w:numPr>
          <w:ilvl w:val="1"/>
          <w:numId w:val="8"/>
        </w:numPr>
        <w:spacing w:line="276" w:lineRule="auto"/>
        <w:ind w:left="567" w:hanging="578"/>
        <w:jc w:val="both"/>
        <w:rPr>
          <w:rFonts w:ascii="Arial" w:eastAsia="Calibri" w:hAnsi="Arial" w:cs="Arial"/>
          <w:b/>
          <w:sz w:val="22"/>
        </w:rPr>
      </w:pPr>
      <w:r w:rsidRPr="00883371">
        <w:rPr>
          <w:rFonts w:ascii="Arial" w:eastAsia="Calibri" w:hAnsi="Arial" w:cs="Arial"/>
          <w:b/>
          <w:sz w:val="22"/>
        </w:rPr>
        <w:t xml:space="preserve">Los convenios o contratos interadministrativos y su regulación </w:t>
      </w:r>
    </w:p>
    <w:p w14:paraId="4665463D" w14:textId="77777777" w:rsidR="005134C9" w:rsidRPr="00883371" w:rsidRDefault="005134C9" w:rsidP="005134C9">
      <w:pPr>
        <w:jc w:val="both"/>
        <w:rPr>
          <w:rFonts w:ascii="Arial" w:eastAsia="Calibri" w:hAnsi="Arial" w:cs="Arial"/>
          <w:sz w:val="22"/>
        </w:rPr>
      </w:pPr>
    </w:p>
    <w:p w14:paraId="36445EAA" w14:textId="77777777" w:rsidR="005134C9" w:rsidRPr="00883371" w:rsidRDefault="005134C9" w:rsidP="005134C9">
      <w:pPr>
        <w:spacing w:after="120" w:line="276" w:lineRule="auto"/>
        <w:jc w:val="both"/>
        <w:rPr>
          <w:rFonts w:ascii="Arial" w:eastAsia="Calibri" w:hAnsi="Arial" w:cs="Arial"/>
          <w:sz w:val="22"/>
        </w:rPr>
      </w:pPr>
      <w:r w:rsidRPr="00883371">
        <w:rPr>
          <w:rFonts w:ascii="Arial" w:eastAsia="Calibri" w:hAnsi="Arial" w:cs="Arial"/>
          <w:sz w:val="22"/>
        </w:rPr>
        <w:t>La tipología de contrato interadministrativo fue creada en la Ley 80 de 1993, a pesar de que dentro del texto de la misma no se realizó una definición o un desarrollo amplio respecto de este.  Dicha norma se refiere a los contratos interadministrativos al regular en su artículo 14 las facultades excepcionales de la administración, con el propósito exceptuar del ejercicio de las mismas a este tipo de contratos, tal como lo dispone el parágrafo de la norma</w:t>
      </w:r>
      <w:r w:rsidRPr="00883371">
        <w:rPr>
          <w:rStyle w:val="Refdenotaalpie"/>
          <w:rFonts w:ascii="Arial" w:eastAsia="Calibri" w:hAnsi="Arial" w:cs="Arial"/>
          <w:sz w:val="22"/>
        </w:rPr>
        <w:footnoteReference w:id="4"/>
      </w:r>
      <w:r w:rsidRPr="00883371">
        <w:rPr>
          <w:rFonts w:ascii="Arial" w:eastAsia="Calibri" w:hAnsi="Arial" w:cs="Arial"/>
          <w:sz w:val="22"/>
        </w:rPr>
        <w:t xml:space="preserve">. </w:t>
      </w:r>
    </w:p>
    <w:p w14:paraId="77F064B0" w14:textId="77777777" w:rsidR="005134C9" w:rsidRPr="00883371" w:rsidRDefault="005134C9" w:rsidP="005134C9">
      <w:pPr>
        <w:spacing w:after="120" w:line="276" w:lineRule="auto"/>
        <w:ind w:firstLine="708"/>
        <w:jc w:val="both"/>
        <w:rPr>
          <w:rFonts w:ascii="Arial" w:eastAsia="Calibri" w:hAnsi="Arial" w:cs="Arial"/>
          <w:sz w:val="22"/>
        </w:rPr>
      </w:pPr>
      <w:r w:rsidRPr="00883371">
        <w:rPr>
          <w:rFonts w:ascii="Arial" w:eastAsia="Calibri" w:hAnsi="Arial" w:cs="Arial"/>
          <w:sz w:val="22"/>
        </w:rPr>
        <w:lastRenderedPageBreak/>
        <w:t>Por su parte el Decreto 1082 de 2015 «Por medio del cual se expide el Decreto único reglamentario del sector administrativo de planeación nacional», calificó a los convenios o contratos interadministrativos como la contratación realizada entre entidades estatales</w:t>
      </w:r>
      <w:r w:rsidRPr="00883371">
        <w:rPr>
          <w:rStyle w:val="Refdenotaalpie"/>
          <w:rFonts w:ascii="Arial" w:eastAsia="Calibri" w:hAnsi="Arial" w:cs="Arial"/>
          <w:sz w:val="22"/>
        </w:rPr>
        <w:footnoteReference w:id="5"/>
      </w:r>
      <w:r w:rsidRPr="00883371">
        <w:rPr>
          <w:rFonts w:ascii="Arial" w:eastAsia="Calibri" w:hAnsi="Arial" w:cs="Arial"/>
          <w:sz w:val="22"/>
        </w:rPr>
        <w:t>.</w:t>
      </w:r>
    </w:p>
    <w:p w14:paraId="5C53B856" w14:textId="77777777" w:rsidR="005134C9" w:rsidRPr="00883371" w:rsidRDefault="005134C9" w:rsidP="005134C9">
      <w:pPr>
        <w:spacing w:before="120" w:after="120" w:line="276" w:lineRule="auto"/>
        <w:jc w:val="both"/>
        <w:rPr>
          <w:rFonts w:ascii="Arial" w:eastAsia="Calibri" w:hAnsi="Arial" w:cs="Arial"/>
          <w:sz w:val="22"/>
        </w:rPr>
      </w:pPr>
      <w:r w:rsidRPr="00883371">
        <w:rPr>
          <w:rFonts w:ascii="Arial" w:hAnsi="Arial" w:cs="Arial"/>
          <w:sz w:val="22"/>
        </w:rPr>
        <w:tab/>
      </w:r>
      <w:r w:rsidRPr="00883371">
        <w:rPr>
          <w:rFonts w:ascii="Arial" w:eastAsia="Calibri" w:hAnsi="Arial" w:cs="Arial"/>
          <w:sz w:val="22"/>
        </w:rPr>
        <w:t>El contrato o el convenio interadministrativo es entonces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12D39396" w14:textId="77777777" w:rsidR="005134C9" w:rsidRPr="00883371" w:rsidRDefault="005134C9" w:rsidP="005134C9">
      <w:pPr>
        <w:spacing w:before="120" w:line="276" w:lineRule="auto"/>
        <w:ind w:firstLine="708"/>
        <w:jc w:val="both"/>
        <w:rPr>
          <w:rFonts w:ascii="Arial" w:eastAsia="Calibri" w:hAnsi="Arial" w:cs="Arial"/>
          <w:sz w:val="22"/>
        </w:rPr>
      </w:pPr>
      <w:r w:rsidRPr="00883371">
        <w:rPr>
          <w:rFonts w:ascii="Arial" w:eastAsia="Calibri" w:hAnsi="Arial" w:cs="Arial"/>
          <w:sz w:val="22"/>
        </w:rPr>
        <w:t>Ahora bien, el hecho de que los contratos o convenios interadministrativos estén previstos en la Ley 80 de 1993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conforme se de lo establecido en el literal c), numeral 4 del artículo 2 de la Ley 1150 de 2007:</w:t>
      </w:r>
    </w:p>
    <w:p w14:paraId="59D19AE3" w14:textId="77777777" w:rsidR="005134C9" w:rsidRPr="00883371" w:rsidRDefault="005134C9" w:rsidP="005134C9">
      <w:pPr>
        <w:spacing w:before="120" w:line="276" w:lineRule="auto"/>
        <w:ind w:firstLine="708"/>
        <w:jc w:val="both"/>
        <w:rPr>
          <w:rFonts w:ascii="Arial" w:hAnsi="Arial" w:cs="Arial"/>
          <w:sz w:val="22"/>
        </w:rPr>
      </w:pPr>
    </w:p>
    <w:p w14:paraId="592FD58C" w14:textId="77777777" w:rsidR="005134C9" w:rsidRPr="00883371" w:rsidRDefault="005134C9" w:rsidP="005134C9">
      <w:pPr>
        <w:ind w:left="709" w:right="709"/>
        <w:jc w:val="both"/>
        <w:rPr>
          <w:rFonts w:ascii="Arial" w:hAnsi="Arial" w:cs="Arial"/>
          <w:sz w:val="21"/>
          <w:szCs w:val="21"/>
        </w:rPr>
      </w:pPr>
      <w:r w:rsidRPr="00883371">
        <w:rPr>
          <w:rStyle w:val="Textoennegrita"/>
          <w:rFonts w:ascii="Arial" w:hAnsi="Arial" w:cs="Arial"/>
          <w:sz w:val="21"/>
          <w:szCs w:val="21"/>
        </w:rPr>
        <w:t>Artículo 2</w:t>
      </w:r>
      <w:r w:rsidRPr="00883371">
        <w:rPr>
          <w:rStyle w:val="Textoennegrita"/>
          <w:rFonts w:ascii="Arial" w:hAnsi="Arial" w:cs="Arial"/>
          <w:i/>
          <w:iCs/>
          <w:sz w:val="21"/>
          <w:szCs w:val="21"/>
        </w:rPr>
        <w:t>°.</w:t>
      </w:r>
      <w:r w:rsidRPr="00883371">
        <w:rPr>
          <w:rStyle w:val="nfasis"/>
          <w:rFonts w:ascii="Arial" w:hAnsi="Arial" w:cs="Arial"/>
          <w:sz w:val="21"/>
          <w:szCs w:val="21"/>
        </w:rPr>
        <w:t xml:space="preserve"> De las modalidades de selección. </w:t>
      </w:r>
      <w:r w:rsidRPr="00883371">
        <w:rPr>
          <w:rFonts w:ascii="Arial" w:hAnsi="Arial" w:cs="Arial"/>
          <w:sz w:val="21"/>
          <w:szCs w:val="21"/>
        </w:rPr>
        <w:t>La escogencia del contratista se efectuará con arreglo a las modalidades de selección de licitación pública, selección abreviada, concurso de méritos y contratación directa, con base en las siguientes reglas: </w:t>
      </w:r>
    </w:p>
    <w:p w14:paraId="1B2048F5" w14:textId="77777777" w:rsidR="005134C9" w:rsidRPr="00883371" w:rsidRDefault="005134C9" w:rsidP="005134C9">
      <w:pPr>
        <w:ind w:left="1" w:right="709" w:firstLine="708"/>
        <w:jc w:val="both"/>
        <w:rPr>
          <w:rFonts w:ascii="Arial" w:hAnsi="Arial" w:cs="Arial"/>
          <w:sz w:val="21"/>
          <w:szCs w:val="21"/>
        </w:rPr>
      </w:pPr>
    </w:p>
    <w:p w14:paraId="409BA476" w14:textId="77777777" w:rsidR="005134C9" w:rsidRPr="00883371" w:rsidRDefault="005134C9" w:rsidP="005134C9">
      <w:pPr>
        <w:ind w:left="1" w:right="709" w:firstLine="708"/>
        <w:jc w:val="both"/>
        <w:rPr>
          <w:rFonts w:ascii="Arial" w:hAnsi="Arial" w:cs="Arial"/>
          <w:sz w:val="21"/>
          <w:szCs w:val="21"/>
        </w:rPr>
      </w:pPr>
      <w:r w:rsidRPr="00883371">
        <w:rPr>
          <w:rFonts w:ascii="Arial" w:hAnsi="Arial" w:cs="Arial"/>
          <w:sz w:val="21"/>
          <w:szCs w:val="21"/>
        </w:rPr>
        <w:t>[…]</w:t>
      </w:r>
    </w:p>
    <w:p w14:paraId="2E012B52" w14:textId="77777777" w:rsidR="005134C9" w:rsidRPr="00883371" w:rsidRDefault="005134C9" w:rsidP="005134C9">
      <w:pPr>
        <w:ind w:left="709" w:right="709"/>
        <w:jc w:val="both"/>
        <w:rPr>
          <w:rFonts w:ascii="Arial" w:hAnsi="Arial" w:cs="Arial"/>
          <w:sz w:val="21"/>
          <w:szCs w:val="21"/>
        </w:rPr>
      </w:pPr>
    </w:p>
    <w:p w14:paraId="7DE7A434" w14:textId="77777777" w:rsidR="005134C9" w:rsidRPr="00883371" w:rsidRDefault="005134C9" w:rsidP="005134C9">
      <w:pPr>
        <w:ind w:left="709" w:right="709"/>
        <w:jc w:val="both"/>
        <w:rPr>
          <w:rFonts w:ascii="Arial" w:hAnsi="Arial" w:cs="Arial"/>
          <w:sz w:val="21"/>
          <w:szCs w:val="21"/>
        </w:rPr>
      </w:pPr>
      <w:r w:rsidRPr="00883371">
        <w:rPr>
          <w:rFonts w:ascii="Arial" w:hAnsi="Arial" w:cs="Arial"/>
          <w:sz w:val="21"/>
          <w:szCs w:val="21"/>
        </w:rPr>
        <w:t>4. </w:t>
      </w:r>
      <w:r w:rsidRPr="00883371">
        <w:rPr>
          <w:rStyle w:val="Textoennegrita"/>
          <w:rFonts w:ascii="Arial" w:hAnsi="Arial" w:cs="Arial"/>
          <w:sz w:val="21"/>
          <w:szCs w:val="21"/>
        </w:rPr>
        <w:t>Contratación directa. </w:t>
      </w:r>
      <w:r w:rsidRPr="00883371">
        <w:rPr>
          <w:rFonts w:ascii="Arial" w:hAnsi="Arial" w:cs="Arial"/>
          <w:sz w:val="21"/>
          <w:szCs w:val="21"/>
        </w:rPr>
        <w:t>La modalidad de selección de contratación directa, solamente procederá en los siguientes casos: </w:t>
      </w:r>
    </w:p>
    <w:p w14:paraId="3A9360AB" w14:textId="77777777" w:rsidR="005134C9" w:rsidRPr="00883371" w:rsidRDefault="005134C9" w:rsidP="005134C9">
      <w:pPr>
        <w:ind w:right="709" w:firstLine="708"/>
        <w:jc w:val="both"/>
        <w:rPr>
          <w:rFonts w:ascii="Arial" w:eastAsia="Calibri" w:hAnsi="Arial" w:cs="Arial"/>
          <w:sz w:val="21"/>
          <w:szCs w:val="21"/>
        </w:rPr>
      </w:pPr>
      <w:r w:rsidRPr="00883371">
        <w:rPr>
          <w:rFonts w:ascii="Arial" w:eastAsia="Calibri" w:hAnsi="Arial" w:cs="Arial"/>
          <w:sz w:val="21"/>
          <w:szCs w:val="21"/>
        </w:rPr>
        <w:t>[…]</w:t>
      </w:r>
    </w:p>
    <w:p w14:paraId="42F04AAD" w14:textId="77777777" w:rsidR="005134C9" w:rsidRPr="00883371" w:rsidRDefault="005134C9" w:rsidP="005134C9">
      <w:pPr>
        <w:ind w:left="709" w:right="709"/>
        <w:jc w:val="both"/>
        <w:rPr>
          <w:rFonts w:ascii="Arial" w:eastAsia="Times New Roman" w:hAnsi="Arial" w:cs="Arial"/>
          <w:sz w:val="21"/>
          <w:szCs w:val="21"/>
          <w:lang w:val="es-CO" w:eastAsia="es-CO"/>
        </w:rPr>
      </w:pPr>
    </w:p>
    <w:p w14:paraId="176D9E6D" w14:textId="77777777" w:rsidR="005134C9" w:rsidRPr="00883371" w:rsidRDefault="005134C9" w:rsidP="005134C9">
      <w:pPr>
        <w:ind w:left="709" w:right="709"/>
        <w:jc w:val="both"/>
        <w:rPr>
          <w:rFonts w:ascii="Arial" w:eastAsia="Times New Roman" w:hAnsi="Arial" w:cs="Arial"/>
          <w:sz w:val="21"/>
          <w:szCs w:val="21"/>
          <w:lang w:val="es-CO" w:eastAsia="es-CO"/>
        </w:rPr>
      </w:pPr>
      <w:r w:rsidRPr="00883371">
        <w:rPr>
          <w:rFonts w:ascii="Arial" w:eastAsia="Times New Roman" w:hAnsi="Arial" w:cs="Arial"/>
          <w:sz w:val="21"/>
          <w:szCs w:val="21"/>
          <w:lang w:val="es-CO" w:eastAsia="es-CO"/>
        </w:rPr>
        <w:t>c) Contratos interadministrativos, siempre que las obligaciones derivadas del mismo tengan relación directa con el objeto de la entidad ejecutora señalado en la ley o en sus reglamentos.  </w:t>
      </w:r>
    </w:p>
    <w:p w14:paraId="63636B53" w14:textId="77777777" w:rsidR="005134C9" w:rsidRPr="00883371" w:rsidRDefault="005134C9" w:rsidP="005134C9">
      <w:pPr>
        <w:ind w:left="709" w:right="709"/>
        <w:jc w:val="both"/>
        <w:rPr>
          <w:rFonts w:ascii="Arial" w:eastAsia="Times New Roman" w:hAnsi="Arial" w:cs="Arial"/>
          <w:sz w:val="21"/>
          <w:szCs w:val="21"/>
          <w:lang w:val="es-CO" w:eastAsia="es-CO"/>
        </w:rPr>
      </w:pPr>
      <w:r w:rsidRPr="00883371">
        <w:rPr>
          <w:rFonts w:ascii="Arial" w:eastAsia="Times New Roman" w:hAnsi="Arial" w:cs="Arial"/>
          <w:sz w:val="21"/>
          <w:szCs w:val="21"/>
          <w:lang w:val="es-CO" w:eastAsia="es-CO"/>
        </w:rPr>
        <w:t>  </w:t>
      </w:r>
    </w:p>
    <w:p w14:paraId="7819440A" w14:textId="77777777" w:rsidR="005134C9" w:rsidRPr="00883371" w:rsidRDefault="005134C9" w:rsidP="005134C9">
      <w:pPr>
        <w:ind w:left="709" w:right="709"/>
        <w:jc w:val="both"/>
        <w:rPr>
          <w:rFonts w:ascii="Arial" w:eastAsia="Times New Roman" w:hAnsi="Arial" w:cs="Arial"/>
          <w:sz w:val="21"/>
          <w:szCs w:val="21"/>
          <w:lang w:val="es-CO" w:eastAsia="es-CO"/>
        </w:rPr>
      </w:pPr>
      <w:r w:rsidRPr="00883371">
        <w:rPr>
          <w:rFonts w:ascii="Arial" w:eastAsia="Times New Roman" w:hAnsi="Arial" w:cs="Arial"/>
          <w:sz w:val="21"/>
          <w:szCs w:val="21"/>
          <w:lang w:val="es-CO" w:eastAsia="es-CO"/>
        </w:rPr>
        <w:t xml:space="preserve">Se exceptúan los contratos de obra, suministro, prestación de servicios de evaluación de conformidad respecto de las normas o reglamentos técnicos, encargos fiduciarios y fiducia pública cuando las instituciones de educación </w:t>
      </w:r>
      <w:r w:rsidRPr="00883371">
        <w:rPr>
          <w:rFonts w:ascii="Arial" w:eastAsia="Times New Roman" w:hAnsi="Arial" w:cs="Arial"/>
          <w:sz w:val="21"/>
          <w:szCs w:val="21"/>
          <w:lang w:val="es-CO" w:eastAsia="es-CO"/>
        </w:rPr>
        <w:lastRenderedPageBreak/>
        <w:t>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7C541B41" w14:textId="77777777" w:rsidR="005134C9" w:rsidRPr="00883371" w:rsidRDefault="005134C9" w:rsidP="005134C9">
      <w:pPr>
        <w:ind w:left="709" w:right="709"/>
        <w:jc w:val="both"/>
        <w:rPr>
          <w:rFonts w:ascii="Arial" w:eastAsia="Times New Roman" w:hAnsi="Arial" w:cs="Arial"/>
          <w:sz w:val="21"/>
          <w:szCs w:val="21"/>
          <w:lang w:val="es-CO" w:eastAsia="es-CO"/>
        </w:rPr>
      </w:pPr>
      <w:r w:rsidRPr="00883371">
        <w:rPr>
          <w:rFonts w:ascii="Arial" w:eastAsia="Times New Roman" w:hAnsi="Arial" w:cs="Arial"/>
          <w:sz w:val="21"/>
          <w:szCs w:val="21"/>
          <w:lang w:val="es-CO" w:eastAsia="es-CO"/>
        </w:rPr>
        <w:t>  </w:t>
      </w:r>
    </w:p>
    <w:p w14:paraId="41A694E8" w14:textId="77777777" w:rsidR="005134C9" w:rsidRPr="00883371" w:rsidRDefault="005134C9" w:rsidP="005134C9">
      <w:pPr>
        <w:ind w:left="709" w:right="709"/>
        <w:jc w:val="both"/>
        <w:rPr>
          <w:rFonts w:ascii="Arial" w:eastAsia="Times New Roman" w:hAnsi="Arial" w:cs="Arial"/>
          <w:sz w:val="21"/>
          <w:szCs w:val="21"/>
          <w:lang w:val="es-CO" w:eastAsia="es-CO"/>
        </w:rPr>
      </w:pPr>
      <w:r w:rsidRPr="00883371">
        <w:rPr>
          <w:rFonts w:ascii="Arial" w:eastAsia="Times New Roman" w:hAnsi="Arial" w:cs="Arial"/>
          <w:sz w:val="21"/>
          <w:szCs w:val="21"/>
          <w:lang w:val="es-CO" w:eastAsia="es-CO"/>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2EAB71B5" w14:textId="77777777" w:rsidR="005134C9" w:rsidRPr="00883371" w:rsidRDefault="005134C9" w:rsidP="005134C9">
      <w:pPr>
        <w:ind w:left="709" w:right="709"/>
        <w:jc w:val="both"/>
        <w:rPr>
          <w:rFonts w:ascii="Arial" w:eastAsia="Times New Roman" w:hAnsi="Arial" w:cs="Arial"/>
          <w:sz w:val="21"/>
          <w:szCs w:val="21"/>
          <w:lang w:val="es-CO" w:eastAsia="es-CO"/>
        </w:rPr>
      </w:pPr>
      <w:r w:rsidRPr="00883371">
        <w:rPr>
          <w:rFonts w:ascii="Arial" w:eastAsia="Times New Roman" w:hAnsi="Arial" w:cs="Arial"/>
          <w:sz w:val="21"/>
          <w:szCs w:val="21"/>
          <w:lang w:val="es-CO" w:eastAsia="es-CO"/>
        </w:rPr>
        <w:t>  </w:t>
      </w:r>
    </w:p>
    <w:p w14:paraId="0235F60A" w14:textId="77777777" w:rsidR="005134C9" w:rsidRPr="00883371" w:rsidRDefault="005134C9" w:rsidP="005134C9">
      <w:pPr>
        <w:ind w:left="709" w:right="709"/>
        <w:jc w:val="both"/>
        <w:rPr>
          <w:rFonts w:ascii="Arial" w:eastAsia="Times New Roman" w:hAnsi="Arial" w:cs="Arial"/>
          <w:sz w:val="21"/>
          <w:szCs w:val="21"/>
          <w:lang w:val="es-CO" w:eastAsia="es-CO"/>
        </w:rPr>
      </w:pPr>
      <w:r w:rsidRPr="00883371">
        <w:rPr>
          <w:rFonts w:ascii="Arial" w:eastAsia="Times New Roman" w:hAnsi="Arial" w:cs="Arial"/>
          <w:sz w:val="21"/>
          <w:szCs w:val="21"/>
          <w:lang w:val="es-CO" w:eastAsia="es-CO"/>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6B2C8378" w14:textId="77777777" w:rsidR="005134C9" w:rsidRPr="00883371" w:rsidRDefault="005134C9" w:rsidP="005134C9">
      <w:pPr>
        <w:ind w:left="709" w:right="709"/>
        <w:jc w:val="both"/>
        <w:rPr>
          <w:rFonts w:ascii="Arial" w:eastAsia="Times New Roman" w:hAnsi="Arial" w:cs="Arial"/>
          <w:sz w:val="21"/>
          <w:szCs w:val="21"/>
          <w:lang w:val="es-CO" w:eastAsia="es-CO"/>
        </w:rPr>
      </w:pPr>
    </w:p>
    <w:p w14:paraId="25BC8863" w14:textId="77777777" w:rsidR="005134C9" w:rsidRPr="00883371" w:rsidRDefault="005134C9" w:rsidP="005134C9">
      <w:pPr>
        <w:spacing w:before="120" w:after="120" w:line="276" w:lineRule="auto"/>
        <w:ind w:firstLine="708"/>
        <w:jc w:val="both"/>
        <w:rPr>
          <w:rFonts w:ascii="Arial" w:hAnsi="Arial" w:cs="Arial"/>
          <w:sz w:val="22"/>
        </w:rPr>
      </w:pPr>
      <w:r w:rsidRPr="00883371">
        <w:rPr>
          <w:rFonts w:ascii="Arial" w:eastAsia="Calibri" w:hAnsi="Arial" w:cs="Arial"/>
          <w:sz w:val="22"/>
        </w:rPr>
        <w:t xml:space="preserve">El artículo 2 de la Ley 1150 de 2007 en principio está dirigido a regular las modalidades de selección aplicables a los diferentes tipos de contratos estatales, sin embargo, al referirse a los convenios y contratos interadministrativos no solo dispone reglas de selección, sino que también establece como determinar el régimen aplicable a la ejecución de los pactos celebrados bajo esta modalidad contractual, estatuyendo la regla contenida en el numeral 4, literal c) inciso tercero, según la cual en los casos </w:t>
      </w:r>
      <w:r w:rsidRPr="00883371">
        <w:rPr>
          <w:rFonts w:ascii="Arial" w:hAnsi="Arial" w:cs="Arial"/>
          <w:sz w:val="22"/>
        </w:rPr>
        <w:t>en que el régimen aplicable a la contratación de la entidad ejecutora no sea el de la Ley 80 de 1993, la ejecución de dichos convenios o contratos estará sometida a dicha ley, salvo que la entidad ejecutora desarrolle su actividad en competencia con el sector privado o cuando la ejecución del contrato interadministrativo tenga relación directa con el desarrollo de la actividad de la entidad ejecutora.</w:t>
      </w:r>
    </w:p>
    <w:p w14:paraId="4CC8F6D6" w14:textId="77777777" w:rsidR="005134C9" w:rsidRPr="00883371" w:rsidRDefault="005134C9" w:rsidP="005134C9">
      <w:pPr>
        <w:spacing w:after="120" w:line="276" w:lineRule="auto"/>
        <w:ind w:firstLine="708"/>
        <w:jc w:val="both"/>
        <w:rPr>
          <w:rFonts w:ascii="Arial" w:eastAsia="Calibri" w:hAnsi="Arial" w:cs="Arial"/>
          <w:sz w:val="22"/>
        </w:rPr>
      </w:pPr>
      <w:r w:rsidRPr="00883371">
        <w:rPr>
          <w:rFonts w:ascii="Arial" w:eastAsia="Calibri" w:hAnsi="Arial" w:cs="Arial"/>
          <w:sz w:val="22"/>
        </w:rPr>
        <w:t>En ese orden de ideas, la calidad de interadministrativo de un contrato o convenio no está determinada por la modalidad de selección utilizada para celebrarlo, la cual en los términos de la norma anterior debe ser establecida según el objeto y obligaciones del mismo. Al respecto la anterior disposición establece que pueden celebrarse directamente siempre que las obligaciones derivadas del mismo tengan relación directa con el objeto de la entidad ejecutora señalado en la ley o en sus reglamentos, estableciéndose unas excepciones con relación a ciertos sujetos y objetos contractuales en los cuales debe acudirse a los procesos de licitación pública o selección abreviada regulados en los numerales 1 y 2 del artículo 2 de la Ley 1150 de 2007, supuestos en los que varía la modalidad de selección y no la naturaleza de contrato interadministrativo.</w:t>
      </w:r>
    </w:p>
    <w:p w14:paraId="54B24469" w14:textId="77777777" w:rsidR="005134C9" w:rsidRPr="00883371" w:rsidRDefault="005134C9" w:rsidP="005134C9">
      <w:pPr>
        <w:spacing w:before="120" w:after="120" w:line="276" w:lineRule="auto"/>
        <w:ind w:firstLine="708"/>
        <w:jc w:val="both"/>
        <w:rPr>
          <w:rFonts w:ascii="Arial" w:hAnsi="Arial" w:cs="Arial"/>
          <w:sz w:val="22"/>
        </w:rPr>
      </w:pPr>
      <w:r w:rsidRPr="00883371">
        <w:rPr>
          <w:rFonts w:ascii="Arial" w:hAnsi="Arial" w:cs="Arial"/>
          <w:sz w:val="22"/>
        </w:rPr>
        <w:lastRenderedPageBreak/>
        <w:t xml:space="preserve">Las anteriores consideraciones indican que, según el Estatuto General de la Contratación de la Administración Pública, los convenios interadministrativos son contratos estatales independientemente del régimen de contratación al que estén sometidas las partes entre quienes se celebra o de las normas por las que deba regirse su ejecución, siempre que se suscriban entre entidades que ostenten la calidad de estatales o de derecho público.  </w:t>
      </w:r>
    </w:p>
    <w:p w14:paraId="55F753B9" w14:textId="77777777" w:rsidR="005134C9" w:rsidRPr="00883371" w:rsidRDefault="005134C9" w:rsidP="005134C9">
      <w:pPr>
        <w:spacing w:before="120" w:after="120" w:line="276" w:lineRule="auto"/>
        <w:ind w:firstLine="708"/>
        <w:jc w:val="both"/>
        <w:rPr>
          <w:rFonts w:ascii="Arial" w:eastAsia="Calibri" w:hAnsi="Arial" w:cs="Arial"/>
          <w:sz w:val="22"/>
        </w:rPr>
      </w:pPr>
      <w:r w:rsidRPr="00883371">
        <w:rPr>
          <w:rFonts w:ascii="Arial" w:hAnsi="Arial" w:cs="Arial"/>
          <w:sz w:val="22"/>
        </w:rPr>
        <w:t>Con esto coincide lo expuesto por la</w:t>
      </w:r>
      <w:r w:rsidRPr="00883371">
        <w:rPr>
          <w:rFonts w:ascii="Arial" w:eastAsia="Calibri" w:hAnsi="Arial" w:cs="Arial"/>
          <w:sz w:val="22"/>
        </w:rPr>
        <w:t xml:space="preserve"> Corte Constitucional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territoriales» ̶  al manifestar 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0C53C969" w14:textId="77777777" w:rsidR="005134C9" w:rsidRPr="00883371" w:rsidRDefault="005134C9" w:rsidP="005134C9">
      <w:pPr>
        <w:spacing w:line="276" w:lineRule="auto"/>
        <w:ind w:firstLine="708"/>
        <w:jc w:val="both"/>
        <w:rPr>
          <w:rFonts w:ascii="Arial" w:eastAsia="Calibri" w:hAnsi="Arial" w:cs="Arial"/>
          <w:sz w:val="22"/>
        </w:rPr>
      </w:pPr>
      <w:r w:rsidRPr="00883371">
        <w:rPr>
          <w:rFonts w:ascii="Arial" w:eastAsia="Calibri" w:hAnsi="Arial" w:cs="Arial"/>
          <w:sz w:val="22"/>
        </w:rPr>
        <w:t>Atendiendo a la literalidad de las normas enunciadas, no cabe una interpretación diferente</w:t>
      </w:r>
      <w:r w:rsidRPr="00883371">
        <w:rPr>
          <w:rStyle w:val="Refdenotaalpie"/>
          <w:rFonts w:ascii="Arial" w:hAnsi="Arial" w:cs="Arial"/>
          <w:sz w:val="22"/>
        </w:rPr>
        <w:footnoteReference w:id="6"/>
      </w:r>
      <w:r w:rsidRPr="00883371">
        <w:rPr>
          <w:rFonts w:ascii="Arial" w:eastAsia="Calibri" w:hAnsi="Arial" w:cs="Arial"/>
          <w:sz w:val="22"/>
        </w:rPr>
        <w:t>, pues de acuerdo con lo anotado esta clase de contratos se definen por un criterio orgánico, por lo que uno de sus elementos esenciales es que en los extremos de la relación jurídico negocial concurran personas de derecho público, exigiéndose para su perfeccionamiento la existencia de un acuerdo sobre el objeto y la contraprestación elevado a escrito de conformidad con el inciso primero del artículo 41 de la Ley 80 de 1993</w:t>
      </w:r>
      <w:r w:rsidRPr="00883371">
        <w:rPr>
          <w:rStyle w:val="Refdenotaalpie"/>
          <w:rFonts w:ascii="Arial" w:eastAsia="Calibri" w:hAnsi="Arial" w:cs="Arial"/>
          <w:sz w:val="22"/>
        </w:rPr>
        <w:footnoteReference w:id="7"/>
      </w:r>
      <w:r w:rsidRPr="00883371">
        <w:rPr>
          <w:rFonts w:ascii="Arial" w:eastAsia="Calibri" w:hAnsi="Arial" w:cs="Arial"/>
          <w:sz w:val="22"/>
        </w:rPr>
        <w:t xml:space="preserve">. Adicionalmente, el Consejo de Estado frente al convenio interadministrativo ha precisado unas características relativas al contrato interadministrativo como negocio jurídico biliteral que suman algunas precisiones al análisis que hasta aquí se ha realizado: </w:t>
      </w:r>
    </w:p>
    <w:p w14:paraId="05627586" w14:textId="77777777" w:rsidR="005134C9" w:rsidRPr="00883371" w:rsidRDefault="005134C9" w:rsidP="005134C9">
      <w:pPr>
        <w:spacing w:line="276" w:lineRule="auto"/>
        <w:ind w:firstLine="708"/>
        <w:jc w:val="both"/>
        <w:rPr>
          <w:rFonts w:ascii="Arial" w:eastAsia="Calibri" w:hAnsi="Arial" w:cs="Arial"/>
          <w:sz w:val="22"/>
        </w:rPr>
      </w:pPr>
    </w:p>
    <w:p w14:paraId="2D4347E2" w14:textId="77777777" w:rsidR="005134C9" w:rsidRPr="00883371" w:rsidRDefault="005134C9" w:rsidP="005134C9">
      <w:pPr>
        <w:ind w:left="709" w:right="709"/>
        <w:jc w:val="both"/>
        <w:rPr>
          <w:rFonts w:ascii="Arial" w:eastAsia="Calibri" w:hAnsi="Arial" w:cs="Arial"/>
          <w:sz w:val="21"/>
          <w:szCs w:val="21"/>
        </w:rPr>
      </w:pPr>
      <w:r w:rsidRPr="00883371">
        <w:rPr>
          <w:rFonts w:ascii="Arial" w:eastAsia="Calibri" w:hAnsi="Arial" w:cs="Arial"/>
          <w:sz w:val="21"/>
          <w:szCs w:val="21"/>
        </w:rPr>
        <w:t>[…] se puede señalar que los convenios o contratos interadministrativos tienen como características principales las siguientes:</w:t>
      </w:r>
    </w:p>
    <w:p w14:paraId="09297768" w14:textId="77777777" w:rsidR="005134C9" w:rsidRPr="00883371" w:rsidRDefault="005134C9" w:rsidP="005134C9">
      <w:pPr>
        <w:ind w:left="709" w:right="709" w:firstLine="708"/>
        <w:jc w:val="both"/>
        <w:rPr>
          <w:rFonts w:ascii="Arial" w:eastAsia="Calibri" w:hAnsi="Arial" w:cs="Arial"/>
          <w:sz w:val="21"/>
          <w:szCs w:val="21"/>
        </w:rPr>
      </w:pPr>
    </w:p>
    <w:p w14:paraId="16D67D24" w14:textId="77777777" w:rsidR="005134C9" w:rsidRPr="00883371" w:rsidRDefault="005134C9" w:rsidP="005134C9">
      <w:pPr>
        <w:spacing w:before="120"/>
        <w:ind w:left="709" w:right="709"/>
        <w:jc w:val="both"/>
        <w:rPr>
          <w:rFonts w:ascii="Arial" w:eastAsia="Calibri" w:hAnsi="Arial" w:cs="Arial"/>
          <w:sz w:val="21"/>
          <w:szCs w:val="21"/>
        </w:rPr>
      </w:pPr>
      <w:r w:rsidRPr="00883371">
        <w:rPr>
          <w:rFonts w:ascii="Arial" w:eastAsia="Calibri" w:hAnsi="Arial" w:cs="Arial"/>
          <w:sz w:val="21"/>
          <w:szCs w:val="21"/>
        </w:rPr>
        <w:t>(i) constituyen verdaderos contratos en los términos del Código de Comercio cuando su objeto lo constituyen obligaciones patrimoniales; (</w:t>
      </w:r>
      <w:proofErr w:type="spellStart"/>
      <w:r w:rsidRPr="00883371">
        <w:rPr>
          <w:rFonts w:ascii="Arial" w:eastAsia="Calibri" w:hAnsi="Arial" w:cs="Arial"/>
          <w:sz w:val="21"/>
          <w:szCs w:val="21"/>
        </w:rPr>
        <w:t>ii</w:t>
      </w:r>
      <w:proofErr w:type="spellEnd"/>
      <w:r w:rsidRPr="00883371">
        <w:rPr>
          <w:rFonts w:ascii="Arial" w:eastAsia="Calibri" w:hAnsi="Arial" w:cs="Arial"/>
          <w:sz w:val="21"/>
          <w:szCs w:val="21"/>
        </w:rPr>
        <w:t>) tienen como fuente la autonomía contractual; (</w:t>
      </w:r>
      <w:proofErr w:type="spellStart"/>
      <w:r w:rsidRPr="00883371">
        <w:rPr>
          <w:rFonts w:ascii="Arial" w:eastAsia="Calibri" w:hAnsi="Arial" w:cs="Arial"/>
          <w:sz w:val="21"/>
          <w:szCs w:val="21"/>
        </w:rPr>
        <w:t>iii</w:t>
      </w:r>
      <w:proofErr w:type="spellEnd"/>
      <w:r w:rsidRPr="00883371">
        <w:rPr>
          <w:rFonts w:ascii="Arial" w:eastAsia="Calibri" w:hAnsi="Arial" w:cs="Arial"/>
          <w:sz w:val="21"/>
          <w:szCs w:val="21"/>
        </w:rPr>
        <w:t>) son contratos nominados puesto que están mencionados en la ley; (</w:t>
      </w:r>
      <w:proofErr w:type="spellStart"/>
      <w:r w:rsidRPr="00883371">
        <w:rPr>
          <w:rFonts w:ascii="Arial" w:eastAsia="Calibri" w:hAnsi="Arial" w:cs="Arial"/>
          <w:sz w:val="21"/>
          <w:szCs w:val="21"/>
        </w:rPr>
        <w:t>iv</w:t>
      </w:r>
      <w:proofErr w:type="spellEnd"/>
      <w:r w:rsidRPr="00883371">
        <w:rPr>
          <w:rFonts w:ascii="Arial" w:eastAsia="Calibri" w:hAnsi="Arial" w:cs="Arial"/>
          <w:sz w:val="21"/>
          <w:szCs w:val="21"/>
        </w:rPr>
        <w:t xml:space="preserve">) son contratos atípicos desde la perspectiva legal dado que se advierte la ausencia de unas normas que de manera detallada los disciplinen, los expliquen y los desarrollen, como sí las tienen los contratos típicos, por ejemplo compra venta, arrendamiento, mandato, etc. (v) la </w:t>
      </w:r>
      <w:r w:rsidRPr="00883371">
        <w:rPr>
          <w:rFonts w:ascii="Arial" w:eastAsia="Calibri" w:hAnsi="Arial" w:cs="Arial"/>
          <w:sz w:val="21"/>
          <w:szCs w:val="21"/>
        </w:rPr>
        <w:lastRenderedPageBreak/>
        <w:t>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883371">
        <w:rPr>
          <w:rFonts w:ascii="Arial" w:eastAsia="Calibri" w:hAnsi="Arial" w:cs="Arial"/>
          <w:sz w:val="21"/>
          <w:szCs w:val="21"/>
        </w:rPr>
        <w:t>vii</w:t>
      </w:r>
      <w:proofErr w:type="spellEnd"/>
      <w:r w:rsidRPr="00883371">
        <w:rPr>
          <w:rFonts w:ascii="Arial" w:eastAsia="Calibri" w:hAnsi="Arial" w:cs="Arial"/>
          <w:sz w:val="21"/>
          <w:szCs w:val="21"/>
        </w:rPr>
        <w:t>) persiguen una finalidad común a través de la realización de intereses compartidos entre las entidades vinculadas; (</w:t>
      </w:r>
      <w:proofErr w:type="spellStart"/>
      <w:r w:rsidRPr="00883371">
        <w:rPr>
          <w:rFonts w:ascii="Arial" w:eastAsia="Calibri" w:hAnsi="Arial" w:cs="Arial"/>
          <w:sz w:val="21"/>
          <w:szCs w:val="21"/>
        </w:rPr>
        <w:t>viii</w:t>
      </w:r>
      <w:proofErr w:type="spellEnd"/>
      <w:r w:rsidRPr="00883371">
        <w:rPr>
          <w:rFonts w:ascii="Arial" w:eastAsia="Calibri" w:hAnsi="Arial" w:cs="Arial"/>
          <w:sz w:val="21"/>
          <w:szCs w:val="21"/>
        </w:rPr>
        <w:t>) la acción mediante la cual se deben ventilar las diferencias que sobre el particular surjan es la de controversias contractuales</w:t>
      </w:r>
      <w:r w:rsidRPr="00883371">
        <w:rPr>
          <w:rStyle w:val="Refdenotaalpie"/>
          <w:rFonts w:ascii="Arial" w:eastAsia="Calibri" w:hAnsi="Arial" w:cs="Arial"/>
          <w:sz w:val="21"/>
          <w:szCs w:val="21"/>
        </w:rPr>
        <w:footnoteReference w:id="8"/>
      </w:r>
      <w:r w:rsidRPr="00883371">
        <w:rPr>
          <w:rFonts w:ascii="Arial" w:eastAsia="Calibri" w:hAnsi="Arial" w:cs="Arial"/>
          <w:sz w:val="21"/>
          <w:szCs w:val="21"/>
        </w:rPr>
        <w:t>.</w:t>
      </w:r>
    </w:p>
    <w:p w14:paraId="3D8B95EF" w14:textId="77777777" w:rsidR="005134C9" w:rsidRPr="00883371" w:rsidRDefault="005134C9" w:rsidP="005134C9">
      <w:pPr>
        <w:ind w:right="709"/>
        <w:jc w:val="both"/>
        <w:rPr>
          <w:rFonts w:ascii="Arial" w:eastAsia="Calibri" w:hAnsi="Arial" w:cs="Arial"/>
          <w:sz w:val="21"/>
          <w:szCs w:val="21"/>
        </w:rPr>
      </w:pPr>
    </w:p>
    <w:p w14:paraId="2F03D315" w14:textId="77777777" w:rsidR="005134C9" w:rsidRPr="00883371" w:rsidRDefault="005134C9" w:rsidP="005134C9">
      <w:pPr>
        <w:spacing w:before="120" w:line="276" w:lineRule="auto"/>
        <w:ind w:firstLine="708"/>
        <w:jc w:val="both"/>
        <w:rPr>
          <w:rFonts w:ascii="Arial" w:eastAsia="Calibri" w:hAnsi="Arial" w:cs="Arial"/>
          <w:sz w:val="22"/>
        </w:rPr>
      </w:pPr>
      <w:r w:rsidRPr="00883371">
        <w:rPr>
          <w:rFonts w:ascii="Arial" w:eastAsia="Calibri" w:hAnsi="Arial" w:cs="Arial"/>
          <w:sz w:val="22"/>
        </w:rPr>
        <w:t xml:space="preserve">En ese sentido, los convenios interadministrativos se caracterizan entre otras cosas, porque los sujetos que en él intervienen persiguen una finalidad común, que por tratarse de entidades públicas esta necesariamente relacionada con el cumplimiento de los fines del Estado o de los objetivos y funciones administrativas que tienen asignados ya sea por la ley y el reglamento, o tratándose de entidades descentralizadas indirectas por los actos que las constituyen o sus estatutos. </w:t>
      </w:r>
    </w:p>
    <w:p w14:paraId="40C59DA0" w14:textId="77777777" w:rsidR="005134C9" w:rsidRPr="00883371" w:rsidRDefault="005134C9" w:rsidP="005134C9">
      <w:pPr>
        <w:spacing w:before="120" w:line="276" w:lineRule="auto"/>
        <w:ind w:firstLine="708"/>
        <w:jc w:val="both"/>
        <w:rPr>
          <w:rFonts w:ascii="Arial" w:eastAsia="Calibri" w:hAnsi="Arial" w:cs="Arial"/>
          <w:sz w:val="22"/>
        </w:rPr>
      </w:pPr>
      <w:r w:rsidRPr="00883371">
        <w:rPr>
          <w:rFonts w:ascii="Arial" w:eastAsia="Calibri" w:hAnsi="Arial" w:cs="Arial"/>
          <w:sz w:val="22"/>
        </w:rPr>
        <w:t xml:space="preserve">A ello obedece la modalidad de selección que la ley permite aplicar de manera general para su celebración, ya que comporta un grado de excepcionalidad frente a las demás tipologías contractuales, donde los sujetos no están restringidos a una cualificación particular y aplican otras modalidades de selección. </w:t>
      </w:r>
    </w:p>
    <w:p w14:paraId="783CEA86" w14:textId="6D493B22" w:rsidR="005134C9" w:rsidRPr="00883371" w:rsidRDefault="005134C9" w:rsidP="005134C9">
      <w:pPr>
        <w:spacing w:before="120" w:line="276" w:lineRule="auto"/>
        <w:ind w:firstLine="708"/>
        <w:jc w:val="both"/>
        <w:rPr>
          <w:rFonts w:ascii="Arial" w:eastAsia="Calibri" w:hAnsi="Arial" w:cs="Arial"/>
          <w:sz w:val="22"/>
        </w:rPr>
      </w:pPr>
      <w:r w:rsidRPr="00883371">
        <w:rPr>
          <w:rFonts w:ascii="Arial" w:eastAsia="Calibri" w:hAnsi="Arial" w:cs="Arial"/>
          <w:sz w:val="22"/>
        </w:rPr>
        <w:t>Así pues, conforme a lo expuesto en el acápite anterior, los fondos mixtos al ser entidades descentralizadas indirectas tienen la calidad de entidades públicas de conformidad con el artículo 2 de Ley 80 de 1993</w:t>
      </w:r>
      <w:r w:rsidRPr="00883371">
        <w:rPr>
          <w:rStyle w:val="Refdenotaalpie"/>
          <w:rFonts w:ascii="Arial" w:eastAsia="Calibri" w:hAnsi="Arial" w:cs="Arial"/>
          <w:sz w:val="22"/>
        </w:rPr>
        <w:footnoteReference w:id="9"/>
      </w:r>
      <w:r w:rsidRPr="00883371">
        <w:rPr>
          <w:rFonts w:ascii="Arial" w:eastAsia="Calibri" w:hAnsi="Arial" w:cs="Arial"/>
          <w:sz w:val="22"/>
        </w:rPr>
        <w:t>, indiferentemente del porcentaje de participación pública que involucren, por lo que estos tienen la posibilidad de suscribir convenios interadministrativos con otras entidades pública sin importar cual sea su régimen de contratación.</w:t>
      </w:r>
    </w:p>
    <w:p w14:paraId="38B6928E" w14:textId="77777777" w:rsidR="00571567" w:rsidRPr="00883371" w:rsidRDefault="005134C9" w:rsidP="005134C9">
      <w:pPr>
        <w:spacing w:before="120" w:line="276" w:lineRule="auto"/>
        <w:ind w:firstLine="708"/>
        <w:jc w:val="both"/>
        <w:rPr>
          <w:rFonts w:ascii="Arial" w:eastAsia="Calibri" w:hAnsi="Arial" w:cs="Arial"/>
          <w:sz w:val="22"/>
        </w:rPr>
      </w:pPr>
      <w:r w:rsidRPr="00883371">
        <w:rPr>
          <w:rFonts w:ascii="Arial" w:eastAsia="Calibri" w:hAnsi="Arial" w:cs="Arial"/>
          <w:sz w:val="22"/>
        </w:rPr>
        <w:t>Los convenios o contratos interadministrativos, dada su calidad de contratos estatale</w:t>
      </w:r>
      <w:r w:rsidR="00571567" w:rsidRPr="00883371">
        <w:rPr>
          <w:rFonts w:ascii="Arial" w:eastAsia="Calibri" w:hAnsi="Arial" w:cs="Arial"/>
          <w:sz w:val="22"/>
        </w:rPr>
        <w:t>s, regulados por el Estatuto General de Contratación de la Administración Pública,</w:t>
      </w:r>
      <w:r w:rsidRPr="00883371">
        <w:rPr>
          <w:rFonts w:ascii="Arial" w:eastAsia="Calibri" w:hAnsi="Arial" w:cs="Arial"/>
          <w:sz w:val="22"/>
        </w:rPr>
        <w:t xml:space="preserve"> son pactos </w:t>
      </w:r>
      <w:r w:rsidR="001B2288" w:rsidRPr="00883371">
        <w:rPr>
          <w:rFonts w:ascii="Arial" w:eastAsia="Calibri" w:hAnsi="Arial" w:cs="Arial"/>
          <w:sz w:val="22"/>
        </w:rPr>
        <w:t>de los que devienen obligaciones para las partes, independientemente de que estas puedan tener o no una connotación pecuniaria, o de que se trate de un convenio en el que las partes aúnan esfuerzos</w:t>
      </w:r>
      <w:r w:rsidR="00571567" w:rsidRPr="00883371">
        <w:rPr>
          <w:rFonts w:ascii="Arial" w:eastAsia="Calibri" w:hAnsi="Arial" w:cs="Arial"/>
          <w:sz w:val="22"/>
        </w:rPr>
        <w:t xml:space="preserve"> materiales</w:t>
      </w:r>
      <w:r w:rsidR="001B2288" w:rsidRPr="00883371">
        <w:rPr>
          <w:rFonts w:ascii="Arial" w:eastAsia="Calibri" w:hAnsi="Arial" w:cs="Arial"/>
          <w:sz w:val="22"/>
        </w:rPr>
        <w:t xml:space="preserve"> sin que se asignen</w:t>
      </w:r>
      <w:r w:rsidR="00571567" w:rsidRPr="00883371">
        <w:rPr>
          <w:rFonts w:ascii="Arial" w:eastAsia="Calibri" w:hAnsi="Arial" w:cs="Arial"/>
          <w:sz w:val="22"/>
        </w:rPr>
        <w:t xml:space="preserve"> o ejecuten</w:t>
      </w:r>
      <w:r w:rsidR="001B2288" w:rsidRPr="00883371">
        <w:rPr>
          <w:rFonts w:ascii="Arial" w:eastAsia="Calibri" w:hAnsi="Arial" w:cs="Arial"/>
          <w:sz w:val="22"/>
        </w:rPr>
        <w:t xml:space="preserve"> recursos</w:t>
      </w:r>
      <w:r w:rsidR="00571567" w:rsidRPr="00883371">
        <w:rPr>
          <w:rFonts w:ascii="Arial" w:eastAsia="Calibri" w:hAnsi="Arial" w:cs="Arial"/>
          <w:sz w:val="22"/>
        </w:rPr>
        <w:t xml:space="preserve"> en </w:t>
      </w:r>
      <w:r w:rsidR="00571567" w:rsidRPr="00883371">
        <w:rPr>
          <w:rFonts w:ascii="Arial" w:eastAsia="Calibri" w:hAnsi="Arial" w:cs="Arial"/>
          <w:sz w:val="22"/>
        </w:rPr>
        <w:lastRenderedPageBreak/>
        <w:t>dinero</w:t>
      </w:r>
      <w:r w:rsidR="001B2288" w:rsidRPr="00883371">
        <w:rPr>
          <w:rFonts w:ascii="Arial" w:eastAsia="Calibri" w:hAnsi="Arial" w:cs="Arial"/>
          <w:sz w:val="22"/>
        </w:rPr>
        <w:t>. En ese sentido, los compromisos que adquieren las entidades estatales en virtud de la suscripción de un convenio tienen el carácter obl</w:t>
      </w:r>
      <w:r w:rsidR="00571567" w:rsidRPr="00883371">
        <w:rPr>
          <w:rFonts w:ascii="Arial" w:eastAsia="Calibri" w:hAnsi="Arial" w:cs="Arial"/>
          <w:sz w:val="22"/>
        </w:rPr>
        <w:t xml:space="preserve">igaciones contractuales. </w:t>
      </w:r>
    </w:p>
    <w:p w14:paraId="4605A7D5" w14:textId="3655AC79" w:rsidR="00A14A37" w:rsidRPr="00883371" w:rsidRDefault="00571567" w:rsidP="00A14A37">
      <w:pPr>
        <w:spacing w:before="120" w:line="276" w:lineRule="auto"/>
        <w:ind w:firstLine="708"/>
        <w:jc w:val="both"/>
        <w:rPr>
          <w:rFonts w:ascii="Helvetica" w:hAnsi="Helvetica"/>
          <w:sz w:val="23"/>
          <w:szCs w:val="23"/>
          <w:shd w:val="clear" w:color="auto" w:fill="FFFFFF"/>
        </w:rPr>
      </w:pPr>
      <w:r w:rsidRPr="00883371">
        <w:rPr>
          <w:rFonts w:ascii="Arial" w:eastAsia="Calibri" w:hAnsi="Arial" w:cs="Arial"/>
          <w:sz w:val="22"/>
        </w:rPr>
        <w:t xml:space="preserve">Lo anterior debe ser tenido en cuenta en orden de diferenciar a los convenios de otras modalidades de acuerdo entre entidades estatales </w:t>
      </w:r>
      <w:r w:rsidR="00A14A37" w:rsidRPr="00883371">
        <w:rPr>
          <w:rFonts w:ascii="Arial" w:eastAsia="Calibri" w:hAnsi="Arial" w:cs="Arial"/>
          <w:sz w:val="22"/>
        </w:rPr>
        <w:t xml:space="preserve">no regulados </w:t>
      </w:r>
      <w:r w:rsidR="00A14A37" w:rsidRPr="00883371">
        <w:rPr>
          <w:rFonts w:ascii="Helvetica" w:hAnsi="Helvetica"/>
          <w:sz w:val="23"/>
          <w:szCs w:val="23"/>
          <w:shd w:val="clear" w:color="auto" w:fill="FFFFFF"/>
        </w:rPr>
        <w:t xml:space="preserve">el </w:t>
      </w:r>
      <w:r w:rsidR="00A14A37" w:rsidRPr="00883371">
        <w:rPr>
          <w:rFonts w:ascii="Arial" w:eastAsia="Calibri" w:hAnsi="Arial" w:cs="Arial"/>
          <w:sz w:val="22"/>
        </w:rPr>
        <w:t xml:space="preserve">Estatuto General de Contratación de la Administración Pública,  </w:t>
      </w:r>
      <w:r w:rsidRPr="00883371">
        <w:rPr>
          <w:rFonts w:ascii="Arial" w:eastAsia="Calibri" w:hAnsi="Arial" w:cs="Arial"/>
          <w:sz w:val="22"/>
        </w:rPr>
        <w:t xml:space="preserve">como los </w:t>
      </w:r>
      <w:r w:rsidRPr="00883371">
        <w:rPr>
          <w:rFonts w:ascii="Helvetica" w:hAnsi="Helvetica"/>
          <w:sz w:val="23"/>
          <w:szCs w:val="23"/>
          <w:shd w:val="clear" w:color="auto" w:fill="FFFFFF"/>
        </w:rPr>
        <w:t xml:space="preserve">memorandos de entendimiento o cartas de intención, acuerdos que suelen </w:t>
      </w:r>
      <w:r w:rsidR="00A14A37" w:rsidRPr="00883371">
        <w:rPr>
          <w:rFonts w:ascii="Helvetica" w:hAnsi="Helvetica"/>
          <w:sz w:val="23"/>
          <w:szCs w:val="23"/>
          <w:shd w:val="clear" w:color="auto" w:fill="FFFFFF"/>
        </w:rPr>
        <w:t xml:space="preserve">suscribir entidades estatales para </w:t>
      </w:r>
      <w:r w:rsidRPr="00883371">
        <w:rPr>
          <w:rFonts w:ascii="Helvetica" w:hAnsi="Helvetica"/>
          <w:sz w:val="23"/>
          <w:szCs w:val="23"/>
          <w:shd w:val="clear" w:color="auto" w:fill="FFFFFF"/>
        </w:rPr>
        <w:t xml:space="preserve">lograr el cumplimiento de </w:t>
      </w:r>
      <w:r w:rsidR="00A14A37" w:rsidRPr="00883371">
        <w:rPr>
          <w:rFonts w:ascii="Helvetica" w:hAnsi="Helvetica"/>
          <w:sz w:val="23"/>
          <w:szCs w:val="23"/>
          <w:shd w:val="clear" w:color="auto" w:fill="FFFFFF"/>
        </w:rPr>
        <w:t>determinados</w:t>
      </w:r>
      <w:r w:rsidRPr="00883371">
        <w:rPr>
          <w:rFonts w:ascii="Helvetica" w:hAnsi="Helvetica"/>
          <w:sz w:val="23"/>
          <w:szCs w:val="23"/>
          <w:shd w:val="clear" w:color="auto" w:fill="FFFFFF"/>
        </w:rPr>
        <w:t xml:space="preserve"> fines</w:t>
      </w:r>
      <w:r w:rsidR="00A14A37" w:rsidRPr="00883371">
        <w:rPr>
          <w:rFonts w:ascii="Helvetica" w:hAnsi="Helvetica"/>
          <w:sz w:val="23"/>
          <w:szCs w:val="23"/>
          <w:shd w:val="clear" w:color="auto" w:fill="FFFFFF"/>
        </w:rPr>
        <w:t>, en virtud de los cuales se estipulan compromisos programáticos basados en declaraciones de intención, lo cuales no tienen el carácter de obligaciones contractuales,</w:t>
      </w:r>
      <w:r w:rsidR="005F41C9" w:rsidRPr="00883371">
        <w:rPr>
          <w:rFonts w:ascii="Helvetica" w:hAnsi="Helvetica"/>
          <w:sz w:val="23"/>
          <w:szCs w:val="23"/>
          <w:shd w:val="clear" w:color="auto" w:fill="FFFFFF"/>
        </w:rPr>
        <w:t xml:space="preserve"> y están regulados por las normas que establecen el ejercicio de las funciones de las entidades involucradas. </w:t>
      </w:r>
      <w:r w:rsidR="00A14A37" w:rsidRPr="00883371">
        <w:rPr>
          <w:rFonts w:ascii="Helvetica" w:hAnsi="Helvetica"/>
          <w:sz w:val="23"/>
          <w:szCs w:val="23"/>
          <w:shd w:val="clear" w:color="auto" w:fill="FFFFFF"/>
        </w:rPr>
        <w:t xml:space="preserve"> </w:t>
      </w:r>
    </w:p>
    <w:p w14:paraId="0FC65D20" w14:textId="312208DA" w:rsidR="00883371" w:rsidRPr="00883371" w:rsidRDefault="00883371" w:rsidP="00A14A37">
      <w:pPr>
        <w:spacing w:before="120" w:line="276" w:lineRule="auto"/>
        <w:ind w:firstLine="708"/>
        <w:jc w:val="both"/>
        <w:rPr>
          <w:rFonts w:ascii="Helvetica" w:hAnsi="Helvetica"/>
          <w:sz w:val="23"/>
          <w:szCs w:val="23"/>
          <w:shd w:val="clear" w:color="auto" w:fill="FFFFFF"/>
        </w:rPr>
      </w:pPr>
      <w:r w:rsidRPr="00883371">
        <w:rPr>
          <w:rFonts w:ascii="Helvetica" w:hAnsi="Helvetica"/>
          <w:sz w:val="23"/>
          <w:szCs w:val="23"/>
          <w:shd w:val="clear" w:color="auto" w:fill="FFFFFF"/>
        </w:rPr>
        <w:t xml:space="preserve">En conclusión, mientras convenios interadministrativos constituyen una tipología de contrato estatal regulada por el </w:t>
      </w:r>
      <w:proofErr w:type="spellStart"/>
      <w:r w:rsidRPr="00883371">
        <w:rPr>
          <w:rFonts w:ascii="Arial" w:eastAsia="Calibri" w:hAnsi="Arial" w:cs="Arial"/>
          <w:sz w:val="22"/>
        </w:rPr>
        <w:t>el</w:t>
      </w:r>
      <w:proofErr w:type="spellEnd"/>
      <w:r w:rsidRPr="00883371">
        <w:rPr>
          <w:rFonts w:ascii="Arial" w:eastAsia="Calibri" w:hAnsi="Arial" w:cs="Arial"/>
          <w:sz w:val="22"/>
        </w:rPr>
        <w:t xml:space="preserve"> Estatuto General de Contratación de la Administración Pública, </w:t>
      </w:r>
      <w:proofErr w:type="spellStart"/>
      <w:r w:rsidRPr="00883371">
        <w:rPr>
          <w:rFonts w:ascii="Arial" w:eastAsia="Calibri" w:hAnsi="Arial" w:cs="Arial"/>
          <w:sz w:val="22"/>
        </w:rPr>
        <w:t>determninada</w:t>
      </w:r>
      <w:proofErr w:type="spellEnd"/>
      <w:r w:rsidRPr="00883371">
        <w:rPr>
          <w:rFonts w:ascii="Arial" w:eastAsia="Calibri" w:hAnsi="Arial" w:cs="Arial"/>
          <w:sz w:val="22"/>
        </w:rPr>
        <w:t xml:space="preserve"> por un criterio orgánico, en virtud del cual las partes son entidades estatales que adquieren unas obligaciones  de naturaleza contractual en virtud de su suscripción, a diferencia de los memorandos de entendimiento o cartas de intención que son acuerdos suscritos entre entidades estatales, que al no generar obligaciones de entre los suscribientes, sino lineamientos generales dirigidos a ser </w:t>
      </w:r>
      <w:proofErr w:type="spellStart"/>
      <w:r w:rsidRPr="00883371">
        <w:rPr>
          <w:rFonts w:ascii="Arial" w:eastAsia="Calibri" w:hAnsi="Arial" w:cs="Arial"/>
          <w:sz w:val="22"/>
        </w:rPr>
        <w:t>concredos</w:t>
      </w:r>
      <w:proofErr w:type="spellEnd"/>
      <w:r w:rsidRPr="00883371">
        <w:rPr>
          <w:rFonts w:ascii="Arial" w:eastAsia="Calibri" w:hAnsi="Arial" w:cs="Arial"/>
          <w:sz w:val="22"/>
        </w:rPr>
        <w:t xml:space="preserve"> en un acuerdo final, no se encuentran sometidos por al mencionado estatuto, no </w:t>
      </w:r>
      <w:proofErr w:type="spellStart"/>
      <w:r w:rsidRPr="00883371">
        <w:rPr>
          <w:rFonts w:ascii="Arial" w:eastAsia="Calibri" w:hAnsi="Arial" w:cs="Arial"/>
          <w:sz w:val="22"/>
        </w:rPr>
        <w:t>siendoles</w:t>
      </w:r>
      <w:proofErr w:type="spellEnd"/>
      <w:r w:rsidRPr="00883371">
        <w:rPr>
          <w:rFonts w:ascii="Arial" w:eastAsia="Calibri" w:hAnsi="Arial" w:cs="Arial"/>
          <w:sz w:val="22"/>
        </w:rPr>
        <w:t xml:space="preserve"> aplicables las solemnidades que requeridas para la celebración y ejecución de contratos estatales.</w:t>
      </w:r>
    </w:p>
    <w:p w14:paraId="3AADB228" w14:textId="77777777" w:rsidR="005F41C9" w:rsidRPr="00883371" w:rsidRDefault="005F41C9" w:rsidP="005134C9">
      <w:pPr>
        <w:widowControl w:val="0"/>
        <w:tabs>
          <w:tab w:val="left" w:pos="728"/>
        </w:tabs>
        <w:autoSpaceDE w:val="0"/>
        <w:autoSpaceDN w:val="0"/>
        <w:spacing w:line="276" w:lineRule="auto"/>
        <w:jc w:val="both"/>
        <w:rPr>
          <w:rFonts w:ascii="Arial" w:eastAsia="Arial" w:hAnsi="Arial" w:cs="Arial"/>
          <w:sz w:val="22"/>
          <w:lang w:val="es-ES"/>
        </w:rPr>
      </w:pPr>
    </w:p>
    <w:p w14:paraId="1FFA97A1" w14:textId="05B2939F" w:rsidR="009B7F9B" w:rsidRPr="00883371" w:rsidRDefault="009B7F9B" w:rsidP="00D12042">
      <w:pPr>
        <w:pStyle w:val="Prrafodelista"/>
        <w:widowControl w:val="0"/>
        <w:numPr>
          <w:ilvl w:val="1"/>
          <w:numId w:val="8"/>
        </w:numPr>
        <w:tabs>
          <w:tab w:val="left" w:pos="728"/>
        </w:tabs>
        <w:autoSpaceDE w:val="0"/>
        <w:autoSpaceDN w:val="0"/>
        <w:spacing w:line="276" w:lineRule="auto"/>
        <w:ind w:left="709"/>
        <w:jc w:val="both"/>
        <w:rPr>
          <w:rFonts w:ascii="Arial" w:eastAsia="Arial" w:hAnsi="Arial" w:cs="Arial"/>
          <w:b/>
          <w:bCs/>
          <w:sz w:val="22"/>
          <w:lang w:val="es-ES"/>
        </w:rPr>
      </w:pPr>
      <w:r w:rsidRPr="00883371">
        <w:rPr>
          <w:rFonts w:ascii="Arial" w:eastAsia="Arial" w:hAnsi="Arial" w:cs="Arial"/>
          <w:b/>
          <w:bCs/>
          <w:sz w:val="22"/>
          <w:lang w:val="es-ES"/>
        </w:rPr>
        <w:t xml:space="preserve">Principio de publicidad y acceso a la información pública </w:t>
      </w:r>
    </w:p>
    <w:p w14:paraId="618C0518" w14:textId="77777777" w:rsidR="00107E4D" w:rsidRPr="00883371" w:rsidRDefault="00107E4D" w:rsidP="00107E4D">
      <w:pPr>
        <w:pStyle w:val="Prrafodelista"/>
        <w:widowControl w:val="0"/>
        <w:tabs>
          <w:tab w:val="left" w:pos="728"/>
        </w:tabs>
        <w:autoSpaceDE w:val="0"/>
        <w:autoSpaceDN w:val="0"/>
        <w:spacing w:line="276" w:lineRule="auto"/>
        <w:ind w:left="1080"/>
        <w:jc w:val="both"/>
        <w:rPr>
          <w:rFonts w:ascii="Arial" w:eastAsia="Arial" w:hAnsi="Arial" w:cs="Arial"/>
          <w:b/>
          <w:bCs/>
          <w:sz w:val="22"/>
          <w:lang w:val="es-ES"/>
        </w:rPr>
      </w:pPr>
    </w:p>
    <w:p w14:paraId="53BF6E87" w14:textId="77777777" w:rsidR="00107E4D" w:rsidRPr="00883371" w:rsidRDefault="00107E4D" w:rsidP="00107E4D">
      <w:pPr>
        <w:widowControl w:val="0"/>
        <w:tabs>
          <w:tab w:val="left" w:pos="728"/>
        </w:tabs>
        <w:autoSpaceDE w:val="0"/>
        <w:autoSpaceDN w:val="0"/>
        <w:spacing w:line="276" w:lineRule="auto"/>
        <w:jc w:val="both"/>
        <w:rPr>
          <w:rFonts w:ascii="Arial" w:eastAsia="Arial" w:hAnsi="Arial" w:cs="Arial"/>
          <w:b/>
          <w:sz w:val="22"/>
          <w:lang w:val="es-ES"/>
        </w:rPr>
      </w:pPr>
      <w:r w:rsidRPr="00883371">
        <w:rPr>
          <w:rFonts w:ascii="Arial" w:eastAsia="Arial" w:hAnsi="Arial" w:cs="Arial"/>
          <w:sz w:val="22"/>
          <w:lang w:val="es-ES"/>
        </w:rPr>
        <w:t xml:space="preserve">Para la Corte Constitucional el principio de publicidad es la garantía de las personas de conocer las actuaciones judiciales y administrativas y con base en ese conocimiento tener la posibilidad de exigir que se realicen conforme a la ley: </w:t>
      </w:r>
    </w:p>
    <w:p w14:paraId="72001239" w14:textId="77777777" w:rsidR="00107E4D" w:rsidRPr="00883371" w:rsidRDefault="00107E4D" w:rsidP="00107E4D">
      <w:pPr>
        <w:widowControl w:val="0"/>
        <w:tabs>
          <w:tab w:val="left" w:pos="728"/>
        </w:tabs>
        <w:autoSpaceDE w:val="0"/>
        <w:autoSpaceDN w:val="0"/>
        <w:spacing w:line="276" w:lineRule="auto"/>
        <w:jc w:val="both"/>
        <w:rPr>
          <w:rFonts w:ascii="Arial" w:eastAsia="Arial" w:hAnsi="Arial" w:cs="Arial"/>
          <w:sz w:val="22"/>
          <w:lang w:val="es-ES"/>
        </w:rPr>
      </w:pPr>
    </w:p>
    <w:p w14:paraId="1F787B9B" w14:textId="0AAC69B0" w:rsidR="00107E4D" w:rsidRPr="00883371" w:rsidRDefault="00107E4D" w:rsidP="009B3335">
      <w:pPr>
        <w:widowControl w:val="0"/>
        <w:tabs>
          <w:tab w:val="left" w:pos="728"/>
        </w:tabs>
        <w:autoSpaceDE w:val="0"/>
        <w:autoSpaceDN w:val="0"/>
        <w:spacing w:after="120"/>
        <w:ind w:left="709" w:right="709"/>
        <w:jc w:val="both"/>
        <w:rPr>
          <w:rFonts w:ascii="Arial" w:eastAsia="Arial" w:hAnsi="Arial" w:cs="Arial"/>
          <w:sz w:val="21"/>
          <w:szCs w:val="21"/>
          <w:lang w:val="es-ES"/>
        </w:rPr>
      </w:pPr>
      <w:r w:rsidRPr="00883371">
        <w:rPr>
          <w:rFonts w:ascii="Arial" w:eastAsia="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6C2AB5E2" w14:textId="77777777" w:rsidR="00107E4D" w:rsidRPr="00883371" w:rsidRDefault="00107E4D" w:rsidP="00107E4D">
      <w:pPr>
        <w:widowControl w:val="0"/>
        <w:tabs>
          <w:tab w:val="left" w:pos="728"/>
        </w:tabs>
        <w:autoSpaceDE w:val="0"/>
        <w:autoSpaceDN w:val="0"/>
        <w:ind w:left="709" w:right="709"/>
        <w:jc w:val="both"/>
        <w:rPr>
          <w:rFonts w:ascii="Arial" w:eastAsia="Arial" w:hAnsi="Arial" w:cs="Arial"/>
          <w:sz w:val="21"/>
          <w:szCs w:val="21"/>
          <w:lang w:val="es-ES"/>
        </w:rPr>
      </w:pPr>
      <w:r w:rsidRPr="00883371">
        <w:rPr>
          <w:rFonts w:ascii="Arial" w:eastAsia="Arial" w:hAnsi="Arial" w:cs="Arial"/>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883371">
        <w:rPr>
          <w:rFonts w:ascii="Arial" w:eastAsia="Arial" w:hAnsi="Arial" w:cs="Arial"/>
          <w:sz w:val="21"/>
          <w:szCs w:val="21"/>
          <w:vertAlign w:val="superscript"/>
          <w:lang w:val="es-ES"/>
        </w:rPr>
        <w:footnoteReference w:id="10"/>
      </w:r>
      <w:r w:rsidRPr="00883371">
        <w:rPr>
          <w:rFonts w:ascii="Arial" w:eastAsia="Arial" w:hAnsi="Arial" w:cs="Arial"/>
          <w:sz w:val="21"/>
          <w:szCs w:val="21"/>
          <w:lang w:val="es-ES"/>
        </w:rPr>
        <w:t>.</w:t>
      </w:r>
    </w:p>
    <w:p w14:paraId="3D90915E" w14:textId="77777777" w:rsidR="00107E4D" w:rsidRPr="00883371" w:rsidRDefault="00107E4D" w:rsidP="00107E4D">
      <w:pPr>
        <w:widowControl w:val="0"/>
        <w:tabs>
          <w:tab w:val="left" w:pos="728"/>
        </w:tabs>
        <w:autoSpaceDE w:val="0"/>
        <w:autoSpaceDN w:val="0"/>
        <w:spacing w:line="276" w:lineRule="auto"/>
        <w:jc w:val="both"/>
        <w:rPr>
          <w:rFonts w:ascii="Arial" w:eastAsia="Arial" w:hAnsi="Arial" w:cs="Arial"/>
          <w:sz w:val="22"/>
          <w:lang w:val="es-ES"/>
        </w:rPr>
      </w:pPr>
    </w:p>
    <w:p w14:paraId="6E259D23" w14:textId="77777777" w:rsidR="00107E4D" w:rsidRPr="00883371"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883371">
        <w:rPr>
          <w:rFonts w:ascii="Arial" w:eastAsia="Arial" w:hAnsi="Arial" w:cs="Arial"/>
          <w:sz w:val="22"/>
          <w:lang w:val="es-ES"/>
        </w:rPr>
        <w:tab/>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883371">
        <w:rPr>
          <w:rFonts w:ascii="Arial" w:eastAsia="Arial" w:hAnsi="Arial" w:cs="Arial"/>
          <w:sz w:val="22"/>
          <w:vertAlign w:val="superscript"/>
          <w:lang w:val="es-ES"/>
        </w:rPr>
        <w:footnoteReference w:id="11"/>
      </w:r>
      <w:r w:rsidRPr="00883371">
        <w:rPr>
          <w:rFonts w:ascii="Arial" w:eastAsia="Arial" w:hAnsi="Arial" w:cs="Arial"/>
          <w:sz w:val="22"/>
          <w:lang w:val="es-ES"/>
        </w:rPr>
        <w:t xml:space="preserve">. </w:t>
      </w:r>
    </w:p>
    <w:p w14:paraId="340A2753" w14:textId="77777777" w:rsidR="00107E4D" w:rsidRPr="00883371"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883371">
        <w:rPr>
          <w:rFonts w:ascii="Arial" w:eastAsia="Arial" w:hAnsi="Arial" w:cs="Arial"/>
          <w:sz w:val="22"/>
          <w:lang w:val="es-ES"/>
        </w:rPr>
        <w:tab/>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883371">
        <w:rPr>
          <w:rFonts w:ascii="Arial" w:eastAsia="Arial" w:hAnsi="Arial" w:cs="Arial"/>
          <w:sz w:val="22"/>
          <w:vertAlign w:val="superscript"/>
          <w:lang w:val="es-ES"/>
        </w:rPr>
        <w:footnoteReference w:id="12"/>
      </w:r>
      <w:r w:rsidRPr="00883371">
        <w:rPr>
          <w:rFonts w:ascii="Arial" w:eastAsia="Arial" w:hAnsi="Arial" w:cs="Arial"/>
          <w:sz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04936C4E" w14:textId="77777777" w:rsidR="00107E4D" w:rsidRPr="00883371"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883371">
        <w:rPr>
          <w:rFonts w:ascii="Arial" w:eastAsia="Arial" w:hAnsi="Arial" w:cs="Arial"/>
          <w:sz w:val="22"/>
          <w:lang w:val="es-ES"/>
        </w:rPr>
        <w:tab/>
        <w:t>La ley citada establece, en el literal e) del artículo 9, que los sujetos obligados, que son todas las entidades públicas</w:t>
      </w:r>
      <w:r w:rsidRPr="00883371">
        <w:rPr>
          <w:rFonts w:ascii="Arial" w:eastAsia="Arial" w:hAnsi="Arial" w:cs="Arial"/>
          <w:sz w:val="22"/>
          <w:vertAlign w:val="superscript"/>
          <w:lang w:val="es-ES"/>
        </w:rPr>
        <w:footnoteReference w:id="13"/>
      </w:r>
      <w:r w:rsidRPr="00883371">
        <w:rPr>
          <w:rFonts w:ascii="Arial" w:eastAsia="Arial" w:hAnsi="Arial" w:cs="Arial"/>
          <w:sz w:val="22"/>
          <w:lang w:val="es-ES"/>
        </w:rPr>
        <w:t xml:space="preserve">, deben publicar la información relativa a su contratación. </w:t>
      </w:r>
      <w:r w:rsidRPr="00883371">
        <w:rPr>
          <w:rFonts w:ascii="Arial" w:eastAsia="Arial" w:hAnsi="Arial" w:cs="Arial"/>
          <w:sz w:val="22"/>
          <w:lang w:val="es-ES"/>
        </w:rPr>
        <w:lastRenderedPageBreak/>
        <w:t>Esta obligación fue  en principio desarrollada por el  Decreto 103 de 2015, hoy compilado en el Decreto Único Reglamentario 1081 de 2015</w:t>
      </w:r>
      <w:r w:rsidRPr="00883371">
        <w:rPr>
          <w:rFonts w:ascii="Arial" w:eastAsia="Arial" w:hAnsi="Arial" w:cs="Arial"/>
          <w:sz w:val="22"/>
          <w:vertAlign w:val="superscript"/>
          <w:lang w:val="es-ES"/>
        </w:rPr>
        <w:footnoteReference w:id="14"/>
      </w:r>
      <w:r w:rsidRPr="00883371">
        <w:rPr>
          <w:rFonts w:ascii="Arial" w:eastAsia="Arial" w:hAnsi="Arial" w:cs="Arial"/>
          <w:sz w:val="22"/>
          <w:lang w:val="es-ES"/>
        </w:rPr>
        <w:t>, el cual dispuso que la publicación de la información contractual de los sujetos obligados, que contratan con cargo a recursos públicos, debe hacerse en el Sistema Electrónico de Contratación Pública –SECOP–.</w:t>
      </w:r>
    </w:p>
    <w:p w14:paraId="26AE94F3" w14:textId="77777777" w:rsidR="00107E4D" w:rsidRPr="00883371"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883371">
        <w:rPr>
          <w:rFonts w:ascii="Arial" w:eastAsia="Arial" w:hAnsi="Arial" w:cs="Arial"/>
          <w:sz w:val="22"/>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1294F2FD" w14:textId="77777777" w:rsidR="00107E4D" w:rsidRPr="00883371"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883371">
        <w:rPr>
          <w:rFonts w:ascii="Arial" w:eastAsia="Arial" w:hAnsi="Arial" w:cs="Arial"/>
          <w:sz w:val="22"/>
          <w:lang w:val="es-ES"/>
        </w:rPr>
        <w:tab/>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883371">
        <w:rPr>
          <w:rFonts w:ascii="Arial" w:eastAsia="Arial" w:hAnsi="Arial" w:cs="Arial"/>
          <w:sz w:val="22"/>
          <w:vertAlign w:val="superscript"/>
          <w:lang w:val="es-ES"/>
        </w:rPr>
        <w:footnoteReference w:id="15"/>
      </w:r>
      <w:r w:rsidRPr="00883371">
        <w:rPr>
          <w:rFonts w:ascii="Arial" w:eastAsia="Arial" w:hAnsi="Arial" w:cs="Arial"/>
          <w:sz w:val="22"/>
          <w:lang w:val="es-ES"/>
        </w:rPr>
        <w:t>.</w:t>
      </w:r>
    </w:p>
    <w:p w14:paraId="773A9D0A" w14:textId="77777777" w:rsidR="00107E4D" w:rsidRPr="00883371" w:rsidRDefault="00107E4D" w:rsidP="00107E4D">
      <w:pPr>
        <w:widowControl w:val="0"/>
        <w:tabs>
          <w:tab w:val="left" w:pos="728"/>
        </w:tabs>
        <w:autoSpaceDE w:val="0"/>
        <w:autoSpaceDN w:val="0"/>
        <w:spacing w:line="276" w:lineRule="auto"/>
        <w:jc w:val="both"/>
        <w:rPr>
          <w:rFonts w:ascii="Arial" w:hAnsi="Arial" w:cs="Arial"/>
          <w:sz w:val="22"/>
          <w:lang w:val="es-ES"/>
        </w:rPr>
      </w:pPr>
      <w:r w:rsidRPr="00883371">
        <w:rPr>
          <w:rFonts w:ascii="Arial" w:eastAsia="Arial" w:hAnsi="Arial" w:cs="Arial"/>
          <w:sz w:val="22"/>
          <w:lang w:val="es-ES"/>
        </w:rPr>
        <w:tab/>
      </w:r>
      <w:r w:rsidRPr="00883371">
        <w:rPr>
          <w:rFonts w:ascii="Arial" w:hAnsi="Arial" w:cs="Arial"/>
          <w:sz w:val="22"/>
          <w:lang w:val="es-ES"/>
        </w:rPr>
        <w:t xml:space="preserve"> 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883371">
        <w:rPr>
          <w:rFonts w:ascii="Arial" w:hAnsi="Arial" w:cs="Arial"/>
          <w:sz w:val="22"/>
          <w:vertAlign w:val="superscript"/>
          <w:lang w:val="es-ES"/>
        </w:rPr>
        <w:footnoteReference w:id="16"/>
      </w:r>
      <w:r w:rsidRPr="00883371">
        <w:rPr>
          <w:rFonts w:ascii="Arial" w:hAnsi="Arial" w:cs="Arial"/>
          <w:sz w:val="22"/>
          <w:lang w:val="es-ES"/>
        </w:rPr>
        <w:t>,  lo que permite controlar las actuaciones y decisiones de la Administración y el cumplimiento de los demás principios de la contratación pública. Así lo confirma el Consejo de Estado, analizando el principio de publicidad:</w:t>
      </w:r>
    </w:p>
    <w:p w14:paraId="1EA76D44" w14:textId="77777777" w:rsidR="00107E4D" w:rsidRPr="00883371" w:rsidRDefault="00107E4D" w:rsidP="009B3335">
      <w:pPr>
        <w:ind w:left="709" w:right="709"/>
        <w:jc w:val="both"/>
        <w:rPr>
          <w:rFonts w:ascii="Arial" w:hAnsi="Arial" w:cs="Arial"/>
          <w:sz w:val="22"/>
          <w:lang w:val="es-ES"/>
        </w:rPr>
      </w:pPr>
    </w:p>
    <w:p w14:paraId="57D9A301" w14:textId="135F35DE" w:rsidR="00107E4D" w:rsidRPr="00883371" w:rsidRDefault="00107E4D">
      <w:pPr>
        <w:spacing w:after="120"/>
        <w:ind w:left="709" w:right="709"/>
        <w:jc w:val="both"/>
        <w:rPr>
          <w:rFonts w:ascii="Arial" w:hAnsi="Arial" w:cs="Arial"/>
          <w:sz w:val="21"/>
          <w:szCs w:val="21"/>
          <w:lang w:val="es-ES"/>
        </w:rPr>
      </w:pPr>
      <w:r w:rsidRPr="00883371">
        <w:rPr>
          <w:rFonts w:ascii="Arial" w:hAnsi="Arial" w:cs="Arial"/>
          <w:sz w:val="21"/>
          <w:szCs w:val="21"/>
          <w:lang w:val="es-ES"/>
        </w:rPr>
        <w:lastRenderedPageBreak/>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20FFD7D3" w14:textId="46A25094" w:rsidR="00107E4D" w:rsidRPr="00883371" w:rsidRDefault="00107E4D">
      <w:pPr>
        <w:spacing w:after="120"/>
        <w:ind w:left="709" w:right="709"/>
        <w:jc w:val="both"/>
        <w:rPr>
          <w:rFonts w:ascii="Arial" w:hAnsi="Arial" w:cs="Arial"/>
          <w:sz w:val="21"/>
          <w:szCs w:val="21"/>
          <w:lang w:val="es-ES"/>
        </w:rPr>
      </w:pPr>
      <w:r w:rsidRPr="00883371">
        <w:rPr>
          <w:rFonts w:ascii="Arial" w:hAnsi="Arial" w:cs="Arial"/>
          <w:sz w:val="21"/>
          <w:szCs w:val="21"/>
          <w:lang w:val="es-ES"/>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120774EC" w14:textId="77777777" w:rsidR="00107E4D" w:rsidRPr="00883371" w:rsidRDefault="00107E4D" w:rsidP="009B3335">
      <w:pPr>
        <w:ind w:left="709" w:right="709"/>
        <w:jc w:val="both"/>
        <w:rPr>
          <w:rFonts w:ascii="Arial" w:hAnsi="Arial" w:cs="Arial"/>
          <w:sz w:val="21"/>
          <w:szCs w:val="21"/>
          <w:lang w:val="es-ES"/>
        </w:rPr>
      </w:pPr>
      <w:r w:rsidRPr="00883371">
        <w:rPr>
          <w:rFonts w:ascii="Arial" w:hAnsi="Arial" w:cs="Arial"/>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883371">
        <w:rPr>
          <w:rFonts w:ascii="Arial" w:hAnsi="Arial" w:cs="Arial"/>
          <w:sz w:val="21"/>
          <w:szCs w:val="21"/>
          <w:vertAlign w:val="superscript"/>
          <w:lang w:val="es-ES"/>
        </w:rPr>
        <w:footnoteReference w:id="17"/>
      </w:r>
      <w:r w:rsidRPr="00883371">
        <w:rPr>
          <w:rFonts w:ascii="Arial" w:hAnsi="Arial" w:cs="Arial"/>
          <w:sz w:val="21"/>
          <w:szCs w:val="21"/>
          <w:lang w:val="es-ES"/>
        </w:rPr>
        <w:t>.</w:t>
      </w:r>
    </w:p>
    <w:p w14:paraId="431D4F36" w14:textId="77777777" w:rsidR="00107E4D" w:rsidRPr="00883371" w:rsidRDefault="00107E4D" w:rsidP="009B3335">
      <w:pPr>
        <w:ind w:left="709" w:right="709"/>
        <w:jc w:val="both"/>
        <w:rPr>
          <w:rFonts w:ascii="Arial" w:hAnsi="Arial" w:cs="Arial"/>
          <w:sz w:val="22"/>
          <w:lang w:val="es-ES"/>
        </w:rPr>
      </w:pPr>
    </w:p>
    <w:p w14:paraId="56749D69" w14:textId="77777777" w:rsidR="00107E4D" w:rsidRPr="00883371" w:rsidRDefault="00107E4D" w:rsidP="00107E4D">
      <w:pPr>
        <w:spacing w:after="120" w:line="276" w:lineRule="auto"/>
        <w:ind w:firstLine="709"/>
        <w:jc w:val="both"/>
        <w:rPr>
          <w:rFonts w:ascii="Arial" w:hAnsi="Arial" w:cs="Arial"/>
          <w:sz w:val="22"/>
          <w:lang w:val="es-ES"/>
        </w:rPr>
      </w:pPr>
      <w:r w:rsidRPr="00883371">
        <w:rPr>
          <w:rFonts w:ascii="Arial" w:hAnsi="Arial" w:cs="Arial"/>
          <w:sz w:val="22"/>
          <w:lang w:val="es-ES"/>
        </w:rPr>
        <w:t xml:space="preserve">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 </w:t>
      </w:r>
    </w:p>
    <w:p w14:paraId="52C7BA55" w14:textId="77777777" w:rsidR="00107E4D" w:rsidRPr="00883371" w:rsidRDefault="00107E4D" w:rsidP="00107E4D">
      <w:pPr>
        <w:spacing w:after="120" w:line="276" w:lineRule="auto"/>
        <w:ind w:firstLine="709"/>
        <w:jc w:val="both"/>
        <w:rPr>
          <w:rFonts w:ascii="Arial" w:hAnsi="Arial" w:cs="Arial"/>
          <w:sz w:val="22"/>
          <w:lang w:val="es-ES"/>
        </w:rPr>
      </w:pPr>
      <w:r w:rsidRPr="00883371">
        <w:rPr>
          <w:rFonts w:ascii="Arial" w:hAnsi="Arial" w:cs="Arial"/>
          <w:sz w:val="22"/>
          <w:lang w:val="es-ES"/>
        </w:rPr>
        <w:t xml:space="preserve">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general  y que por tanto incumben a la ciudadanía.  </w:t>
      </w:r>
    </w:p>
    <w:p w14:paraId="53442C04" w14:textId="77777777" w:rsidR="00107E4D" w:rsidRPr="00883371" w:rsidRDefault="00107E4D" w:rsidP="00107E4D">
      <w:pPr>
        <w:spacing w:line="276" w:lineRule="auto"/>
        <w:ind w:firstLine="709"/>
        <w:jc w:val="both"/>
        <w:rPr>
          <w:rFonts w:ascii="Arial" w:hAnsi="Arial" w:cs="Arial"/>
          <w:sz w:val="22"/>
          <w:lang w:val="es-ES"/>
        </w:rPr>
      </w:pPr>
      <w:r w:rsidRPr="00883371">
        <w:rPr>
          <w:rFonts w:ascii="Arial" w:hAnsi="Arial" w:cs="Arial"/>
          <w:sz w:val="22"/>
          <w:lang w:val="es-ES"/>
        </w:rPr>
        <w:t xml:space="preserve"> 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w:t>
      </w:r>
      <w:r w:rsidRPr="00883371">
        <w:rPr>
          <w:rFonts w:ascii="Arial" w:hAnsi="Arial" w:cs="Arial"/>
          <w:sz w:val="22"/>
          <w:lang w:val="es-ES"/>
        </w:rPr>
        <w:lastRenderedPageBreak/>
        <w:t>contratación, esto comoquiera que el objetivo del deber de dar publicidad a las actuaciones contractuales es materializar el derecho a conocer e intervenir de las decisiones de la Administración Pública.</w:t>
      </w:r>
    </w:p>
    <w:p w14:paraId="55DFF81A" w14:textId="77777777" w:rsidR="00842EFF" w:rsidRPr="00883371" w:rsidRDefault="00842EFF" w:rsidP="009B7F9B">
      <w:pPr>
        <w:spacing w:line="276" w:lineRule="auto"/>
        <w:jc w:val="both"/>
        <w:rPr>
          <w:rFonts w:ascii="Arial" w:eastAsia="Calibri" w:hAnsi="Arial" w:cs="Arial"/>
          <w:b/>
          <w:bCs/>
          <w:sz w:val="22"/>
          <w:lang w:val="es-ES"/>
        </w:rPr>
      </w:pPr>
    </w:p>
    <w:p w14:paraId="4C3DEEEA" w14:textId="7B8D1045" w:rsidR="00107E4D" w:rsidRPr="00883371" w:rsidRDefault="00107E4D" w:rsidP="00107E4D">
      <w:pPr>
        <w:spacing w:line="276" w:lineRule="auto"/>
        <w:jc w:val="both"/>
        <w:rPr>
          <w:rFonts w:ascii="Arial" w:eastAsia="Calibri" w:hAnsi="Arial" w:cs="Arial"/>
          <w:b/>
          <w:sz w:val="22"/>
          <w:lang w:val="es-ES"/>
        </w:rPr>
      </w:pPr>
      <w:r w:rsidRPr="00883371">
        <w:rPr>
          <w:rFonts w:ascii="Arial" w:eastAsia="Calibri" w:hAnsi="Arial" w:cs="Arial"/>
          <w:b/>
          <w:bCs/>
          <w:sz w:val="22"/>
          <w:lang w:val="es-ES"/>
        </w:rPr>
        <w:t>2.</w:t>
      </w:r>
      <w:r w:rsidR="00994553" w:rsidRPr="00883371">
        <w:rPr>
          <w:rFonts w:ascii="Arial" w:eastAsia="Calibri" w:hAnsi="Arial" w:cs="Arial"/>
          <w:b/>
          <w:bCs/>
          <w:sz w:val="22"/>
          <w:lang w:val="es-ES"/>
        </w:rPr>
        <w:t>3</w:t>
      </w:r>
      <w:r w:rsidRPr="00883371">
        <w:rPr>
          <w:rFonts w:ascii="Arial" w:eastAsia="Calibri" w:hAnsi="Arial" w:cs="Arial"/>
          <w:b/>
          <w:bCs/>
          <w:sz w:val="22"/>
          <w:lang w:val="es-ES"/>
        </w:rPr>
        <w:t xml:space="preserve">. </w:t>
      </w:r>
      <w:r w:rsidRPr="00883371">
        <w:rPr>
          <w:rFonts w:ascii="Arial" w:eastAsia="Calibri" w:hAnsi="Arial" w:cs="Arial"/>
          <w:b/>
          <w:sz w:val="22"/>
          <w:lang w:val="es-ES"/>
        </w:rPr>
        <w:t>Procedimientos contractuales, publicidad y documentos que deben publicar en el SECOP I las entidades estatales sometidas al Estatuto General de Contratación de la Administración Pública</w:t>
      </w:r>
    </w:p>
    <w:p w14:paraId="7F036D22" w14:textId="77777777" w:rsidR="00107E4D" w:rsidRPr="00883371" w:rsidRDefault="00107E4D" w:rsidP="00107E4D">
      <w:pPr>
        <w:spacing w:line="276" w:lineRule="auto"/>
        <w:ind w:left="360"/>
        <w:contextualSpacing/>
        <w:jc w:val="both"/>
        <w:rPr>
          <w:rFonts w:ascii="Arial" w:hAnsi="Arial" w:cs="Arial"/>
          <w:b/>
          <w:sz w:val="22"/>
          <w:lang w:val="es-ES"/>
        </w:rPr>
      </w:pPr>
    </w:p>
    <w:p w14:paraId="2BFFA2A3" w14:textId="66DCC1BC" w:rsidR="00D12042" w:rsidRPr="00883371" w:rsidRDefault="00D12042" w:rsidP="00D12042">
      <w:pPr>
        <w:spacing w:line="276" w:lineRule="auto"/>
        <w:contextualSpacing/>
        <w:jc w:val="both"/>
        <w:rPr>
          <w:rFonts w:ascii="Arial" w:hAnsi="Arial" w:cs="Arial"/>
          <w:sz w:val="22"/>
          <w:lang w:val="es-ES"/>
        </w:rPr>
      </w:pPr>
      <w:r w:rsidRPr="00883371">
        <w:rPr>
          <w:rFonts w:ascii="Arial" w:hAnsi="Arial" w:cs="Arial"/>
          <w:sz w:val="22"/>
          <w:lang w:val="es-ES"/>
        </w:rPr>
        <w:t xml:space="preserve">La Agencia Nacional de Contratación Pública </w:t>
      </w:r>
      <w:r w:rsidR="00137A10" w:rsidRPr="00883371">
        <w:rPr>
          <w:rFonts w:ascii="Arial" w:hAnsi="Arial" w:cs="Arial"/>
          <w:sz w:val="22"/>
          <w:lang w:val="es-ES"/>
        </w:rPr>
        <w:t>–</w:t>
      </w:r>
      <w:r w:rsidRPr="00883371">
        <w:rPr>
          <w:rFonts w:ascii="Arial" w:hAnsi="Arial" w:cs="Arial"/>
          <w:sz w:val="22"/>
          <w:lang w:val="es-ES"/>
        </w:rPr>
        <w:t xml:space="preserve"> Colombia Compra Eficiente, en el concepto con radicado No. 4201912000007253 del 4 de diciembre de 2019, reiterado en el concepto con radicado No. 4201912000007289 de la misma fecha, estudió la publicidad de los procedimientos contractuales de las entidades en el SECOP I, respecto de entidades regidas por el Estatuto General de Contratación de la Administración Pública. La tesis desarrollada se expone y complementa a continuación</w:t>
      </w:r>
      <w:r w:rsidRPr="00883371">
        <w:rPr>
          <w:rStyle w:val="Refdenotaalpie"/>
          <w:rFonts w:ascii="Arial" w:hAnsi="Arial" w:cs="Arial"/>
          <w:sz w:val="22"/>
          <w:lang w:val="es-ES"/>
        </w:rPr>
        <w:footnoteReference w:id="18"/>
      </w:r>
      <w:r w:rsidRPr="00883371">
        <w:rPr>
          <w:rFonts w:ascii="Arial" w:hAnsi="Arial" w:cs="Arial"/>
          <w:sz w:val="22"/>
          <w:lang w:val="es-ES"/>
        </w:rPr>
        <w:t>:</w:t>
      </w:r>
    </w:p>
    <w:p w14:paraId="090F1D9C" w14:textId="77777777" w:rsidR="00D12042" w:rsidRPr="00883371" w:rsidRDefault="00D12042" w:rsidP="00D12042">
      <w:pPr>
        <w:spacing w:before="120" w:after="120" w:line="276" w:lineRule="auto"/>
        <w:ind w:firstLine="708"/>
        <w:jc w:val="both"/>
        <w:rPr>
          <w:rFonts w:ascii="Arial" w:eastAsia="Calibri" w:hAnsi="Arial" w:cs="Arial"/>
          <w:sz w:val="22"/>
          <w:lang w:val="es-ES"/>
        </w:rPr>
      </w:pPr>
      <w:r w:rsidRPr="00883371">
        <w:rPr>
          <w:rFonts w:ascii="Arial" w:eastAsia="Calibri" w:hAnsi="Arial" w:cs="Arial"/>
          <w:sz w:val="22"/>
          <w:lang w:val="es-ES"/>
        </w:rPr>
        <w:t>El procedimiento de contratación de las entidades es reglado, es decir, no es discrecional y se deben consultar las normas que lo rigen para determinar la forma que la ley prevé para adelantarlo. Por consiguiente, las principales normas son: la Ley 80 de 1993, la Ley 1150 de 2007  ̶ Estatuto General de Contratación de la Administración Pública ̶  y el Decreto 1082 de 2015, que es reglamentario y concreta cada modalidad de selección, señalando las reglas o pasos a seguir para celebrar el contrato estatal</w:t>
      </w:r>
      <w:r w:rsidRPr="00883371">
        <w:rPr>
          <w:rFonts w:ascii="Arial" w:eastAsia="Calibri" w:hAnsi="Arial" w:cs="Arial"/>
          <w:sz w:val="22"/>
          <w:vertAlign w:val="superscript"/>
          <w:lang w:val="es-ES"/>
        </w:rPr>
        <w:footnoteReference w:id="19"/>
      </w:r>
      <w:r w:rsidRPr="00883371">
        <w:rPr>
          <w:rFonts w:ascii="Arial" w:eastAsia="Calibri" w:hAnsi="Arial" w:cs="Arial"/>
          <w:sz w:val="22"/>
          <w:lang w:val="es-ES"/>
        </w:rPr>
        <w:t>. Por consiguiente, para que los documentos de la actividad contractual se conozcan la entidad debe publicarlos, sin importar la modalidad de selección.</w:t>
      </w:r>
    </w:p>
    <w:p w14:paraId="23EFADB5" w14:textId="77777777" w:rsidR="00D12042" w:rsidRPr="00883371" w:rsidRDefault="00D12042" w:rsidP="00D12042">
      <w:pPr>
        <w:widowControl w:val="0"/>
        <w:autoSpaceDE w:val="0"/>
        <w:autoSpaceDN w:val="0"/>
        <w:spacing w:line="276" w:lineRule="auto"/>
        <w:ind w:right="49" w:firstLine="708"/>
        <w:jc w:val="both"/>
        <w:rPr>
          <w:rFonts w:ascii="Arial" w:eastAsia="Arial" w:hAnsi="Arial" w:cs="Arial"/>
          <w:sz w:val="22"/>
          <w:lang w:val="es-ES"/>
        </w:rPr>
      </w:pPr>
      <w:r w:rsidRPr="00883371">
        <w:rPr>
          <w:rFonts w:ascii="Arial" w:eastAsia="Arial" w:hAnsi="Arial" w:cs="Arial"/>
          <w:sz w:val="22"/>
          <w:lang w:val="es-ES"/>
        </w:rPr>
        <w:t xml:space="preserve">El artículo 3 de la Ley 1150 de 2007 señala que los actos relacionados con los procedimientos de contratación de las entidades estatales pueden ser electrónicos, al igual que su publicidad, por lo que el Gobierno nacional debe definir los medios para desarrolla </w:t>
      </w:r>
      <w:r w:rsidRPr="00883371">
        <w:rPr>
          <w:rFonts w:ascii="Arial" w:eastAsia="Arial" w:hAnsi="Arial" w:cs="Arial"/>
          <w:sz w:val="22"/>
          <w:lang w:val="es-ES"/>
        </w:rPr>
        <w:lastRenderedPageBreak/>
        <w:t>dicha publicidad, y tiene la obligación de desarrollar el SECOP</w:t>
      </w:r>
      <w:r w:rsidRPr="00883371">
        <w:rPr>
          <w:rFonts w:ascii="Arial" w:eastAsia="Arial" w:hAnsi="Arial" w:cs="Arial"/>
          <w:sz w:val="22"/>
          <w:vertAlign w:val="superscript"/>
          <w:lang w:val="es-ES"/>
        </w:rPr>
        <w:footnoteReference w:id="20"/>
      </w:r>
      <w:r w:rsidRPr="00883371">
        <w:rPr>
          <w:rFonts w:ascii="Arial" w:eastAsia="Arial" w:hAnsi="Arial" w:cs="Arial"/>
          <w:sz w:val="22"/>
          <w:lang w:val="es-ES"/>
        </w:rPr>
        <w:t>. Este sistema debe contar con la información oficial de los procedimientos contractuales de las entidades, de lo cual será la única fuente, que al ser de interés público ameritan su conocimiento por parte de la ciudadanía, más aún cuando involucran la inversión de recursos públicos y el correlativo derecho de la ciudadanía de conocer cómo se invierten y controlar que el objetivo sea la satisfacción de sus necesidades.</w:t>
      </w:r>
    </w:p>
    <w:p w14:paraId="3CE7CFE5" w14:textId="77777777" w:rsidR="00D12042" w:rsidRPr="00883371" w:rsidRDefault="00D12042" w:rsidP="00D12042">
      <w:pPr>
        <w:widowControl w:val="0"/>
        <w:autoSpaceDE w:val="0"/>
        <w:autoSpaceDN w:val="0"/>
        <w:spacing w:before="120" w:line="276" w:lineRule="auto"/>
        <w:ind w:right="306" w:firstLine="709"/>
        <w:jc w:val="both"/>
        <w:rPr>
          <w:rFonts w:ascii="Arial" w:eastAsia="Arial" w:hAnsi="Arial" w:cs="Arial"/>
          <w:sz w:val="22"/>
          <w:lang w:val="es-ES"/>
        </w:rPr>
      </w:pPr>
      <w:r w:rsidRPr="00883371">
        <w:rPr>
          <w:rFonts w:ascii="Arial" w:eastAsia="Arial" w:hAnsi="Arial" w:cs="Arial"/>
          <w:sz w:val="22"/>
          <w:lang w:val="es-ES"/>
        </w:rPr>
        <w:t>La norma citada genera un cambio en la contratación pública, ámbito en el que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w:t>
      </w:r>
    </w:p>
    <w:p w14:paraId="241F678C" w14:textId="77777777" w:rsidR="00D12042" w:rsidRPr="00883371" w:rsidRDefault="00D12042" w:rsidP="00D12042">
      <w:pPr>
        <w:widowControl w:val="0"/>
        <w:autoSpaceDE w:val="0"/>
        <w:autoSpaceDN w:val="0"/>
        <w:spacing w:before="120" w:line="276" w:lineRule="auto"/>
        <w:ind w:right="306" w:firstLine="709"/>
        <w:jc w:val="both"/>
        <w:rPr>
          <w:rFonts w:ascii="Arial" w:eastAsia="Arial" w:hAnsi="Arial" w:cs="Arial"/>
          <w:sz w:val="22"/>
          <w:lang w:val="es-ES"/>
        </w:rPr>
      </w:pPr>
      <w:r w:rsidRPr="00883371">
        <w:rPr>
          <w:rFonts w:ascii="Arial" w:eastAsia="Arial" w:hAnsi="Arial" w:cs="Arial"/>
          <w:sz w:val="22"/>
          <w:lang w:val="es-ES"/>
        </w:rPr>
        <w:t>La Corte Constitucional, en la sentencia C-711 del 12 de septiembre de 2011, con ponencia del Magistrado Mauricio González Cuervo, hizo énfasis en la transición de la actividad contractual impresa que se publicaba en el Diario Único de Contratación, a una contratación pública electrónica desarrollada mediante el SECOP:</w:t>
      </w:r>
    </w:p>
    <w:p w14:paraId="63D43A27" w14:textId="77777777" w:rsidR="00D12042" w:rsidRPr="00883371" w:rsidRDefault="00D12042" w:rsidP="00D12042">
      <w:pPr>
        <w:widowControl w:val="0"/>
        <w:autoSpaceDE w:val="0"/>
        <w:autoSpaceDN w:val="0"/>
        <w:rPr>
          <w:rFonts w:ascii="Arial" w:eastAsia="Arial" w:hAnsi="Arial" w:cs="Arial"/>
          <w:sz w:val="25"/>
          <w:lang w:val="es-ES"/>
        </w:rPr>
      </w:pPr>
    </w:p>
    <w:p w14:paraId="0FB41B83" w14:textId="3E012456" w:rsidR="00D12042" w:rsidRPr="00883371" w:rsidRDefault="00D12042" w:rsidP="009B3335">
      <w:pPr>
        <w:widowControl w:val="0"/>
        <w:autoSpaceDE w:val="0"/>
        <w:autoSpaceDN w:val="0"/>
        <w:spacing w:after="120"/>
        <w:ind w:left="709" w:right="709"/>
        <w:jc w:val="both"/>
        <w:rPr>
          <w:rFonts w:ascii="Arial" w:eastAsia="Arial" w:hAnsi="Arial" w:cs="Arial"/>
          <w:sz w:val="20"/>
          <w:lang w:val="es-ES"/>
        </w:rPr>
      </w:pPr>
      <w:r w:rsidRPr="00883371">
        <w:rPr>
          <w:rFonts w:ascii="Arial" w:eastAsia="Arial" w:hAnsi="Arial" w:cs="Arial"/>
          <w:sz w:val="21"/>
          <w:lang w:val="es-ES"/>
        </w:rPr>
        <w:t xml:space="preserve">En cuanto a que la supresión de la publicación en el Diario Único de Contratación fuese necesaria, y en consecuencia ajena al ámbito de las facultades extraordinarias conferidas, se concluye que, si bien la publicación de los </w:t>
      </w:r>
      <w:r w:rsidRPr="00883371">
        <w:rPr>
          <w:rFonts w:ascii="Arial" w:eastAsia="Arial" w:hAnsi="Arial" w:cs="Arial"/>
          <w:sz w:val="21"/>
          <w:lang w:val="es-ES"/>
        </w:rPr>
        <w:lastRenderedPageBreak/>
        <w:t>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w:t>
      </w:r>
      <w:r w:rsidRPr="00883371">
        <w:rPr>
          <w:rFonts w:ascii="Arial" w:eastAsia="Arial" w:hAnsi="Arial" w:cs="Arial"/>
          <w:spacing w:val="-6"/>
          <w:sz w:val="21"/>
          <w:lang w:val="es-ES"/>
        </w:rPr>
        <w:t xml:space="preserve"> </w:t>
      </w:r>
      <w:r w:rsidRPr="00883371">
        <w:rPr>
          <w:rFonts w:ascii="Arial" w:eastAsia="Arial" w:hAnsi="Arial" w:cs="Arial"/>
          <w:sz w:val="21"/>
          <w:lang w:val="es-ES"/>
        </w:rPr>
        <w:t>estatal.</w:t>
      </w:r>
    </w:p>
    <w:p w14:paraId="0B902318" w14:textId="77777777" w:rsidR="00D12042" w:rsidRPr="00883371" w:rsidRDefault="00D12042" w:rsidP="00D12042">
      <w:pPr>
        <w:widowControl w:val="0"/>
        <w:autoSpaceDE w:val="0"/>
        <w:autoSpaceDN w:val="0"/>
        <w:spacing w:before="1"/>
        <w:ind w:left="709" w:right="709"/>
        <w:jc w:val="both"/>
        <w:rPr>
          <w:rFonts w:ascii="Arial" w:eastAsia="Arial" w:hAnsi="Arial" w:cs="Arial"/>
          <w:sz w:val="21"/>
          <w:lang w:val="es-ES"/>
        </w:rPr>
      </w:pPr>
      <w:r w:rsidRPr="00883371">
        <w:rPr>
          <w:rFonts w:ascii="Arial" w:eastAsia="Arial" w:hAnsi="Arial" w:cs="Arial"/>
          <w:sz w:val="21"/>
          <w:lang w:val="es-ES"/>
        </w:rPr>
        <w:t xml:space="preserve">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w:t>
      </w:r>
      <w:r w:rsidRPr="00883371">
        <w:rPr>
          <w:rFonts w:ascii="Arial" w:eastAsia="Arial" w:hAnsi="Arial" w:cs="Arial"/>
          <w:spacing w:val="-3"/>
          <w:sz w:val="21"/>
          <w:lang w:val="es-ES"/>
        </w:rPr>
        <w:t xml:space="preserve">Y, </w:t>
      </w:r>
      <w:r w:rsidRPr="00883371">
        <w:rPr>
          <w:rFonts w:ascii="Arial" w:eastAsia="Arial" w:hAnsi="Arial" w:cs="Arial"/>
          <w:sz w:val="21"/>
          <w:lang w:val="es-ES"/>
        </w:rPr>
        <w:t>de conteras, suple algunas de las limitaciones de las que adolecía el Diario Único de Contratación, en términos de cobertura geográfica, de cantidad de ejemplares y de posibilidad de acceso por parte de la</w:t>
      </w:r>
      <w:r w:rsidRPr="00883371">
        <w:rPr>
          <w:rFonts w:ascii="Arial" w:eastAsia="Arial" w:hAnsi="Arial" w:cs="Arial"/>
          <w:spacing w:val="-4"/>
          <w:sz w:val="21"/>
          <w:lang w:val="es-ES"/>
        </w:rPr>
        <w:t xml:space="preserve"> </w:t>
      </w:r>
      <w:r w:rsidRPr="00883371">
        <w:rPr>
          <w:rFonts w:ascii="Arial" w:eastAsia="Arial" w:hAnsi="Arial" w:cs="Arial"/>
          <w:sz w:val="21"/>
          <w:lang w:val="es-ES"/>
        </w:rPr>
        <w:t>ciudadanía.</w:t>
      </w:r>
    </w:p>
    <w:p w14:paraId="339F1388" w14:textId="77777777" w:rsidR="00D12042" w:rsidRPr="00883371" w:rsidRDefault="00D12042" w:rsidP="00D12042">
      <w:pPr>
        <w:widowControl w:val="0"/>
        <w:autoSpaceDE w:val="0"/>
        <w:autoSpaceDN w:val="0"/>
        <w:spacing w:before="1" w:line="276" w:lineRule="auto"/>
        <w:ind w:right="307"/>
        <w:jc w:val="both"/>
        <w:rPr>
          <w:rFonts w:ascii="Arial" w:eastAsia="Arial" w:hAnsi="Arial" w:cs="Arial"/>
          <w:sz w:val="22"/>
          <w:lang w:val="es-ES"/>
        </w:rPr>
      </w:pPr>
    </w:p>
    <w:p w14:paraId="78BD0AA4" w14:textId="2A6524CD" w:rsidR="00D12042" w:rsidRPr="00883371"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883371">
        <w:rPr>
          <w:rFonts w:ascii="Arial" w:eastAsia="Arial" w:hAnsi="Arial" w:cs="Arial"/>
          <w:sz w:val="22"/>
          <w:lang w:val="es-ES"/>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w:t>
      </w:r>
    </w:p>
    <w:p w14:paraId="074E254D" w14:textId="77777777" w:rsidR="00D12042" w:rsidRPr="00883371"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883371">
        <w:rPr>
          <w:rFonts w:ascii="Arial" w:eastAsia="Arial" w:hAnsi="Arial" w:cs="Arial"/>
          <w:sz w:val="22"/>
          <w:lang w:val="es-ES"/>
        </w:rPr>
        <w:t xml:space="preserve">La expresión </w:t>
      </w:r>
      <w:r w:rsidRPr="00883371">
        <w:rPr>
          <w:rFonts w:ascii="Arial" w:eastAsia="Arial" w:hAnsi="Arial" w:cs="Arial"/>
          <w:i/>
          <w:iCs/>
          <w:sz w:val="22"/>
          <w:lang w:val="es-ES"/>
        </w:rPr>
        <w:t>Documentos del Proceso</w:t>
      </w:r>
      <w:r w:rsidRPr="00883371">
        <w:rPr>
          <w:rFonts w:ascii="Arial" w:eastAsia="Arial" w:hAnsi="Arial" w:cs="Arial"/>
          <w:sz w:val="22"/>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5BF9A7DA" w14:textId="77777777" w:rsidR="00D12042" w:rsidRPr="00883371"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883371">
        <w:rPr>
          <w:rFonts w:ascii="Arial" w:eastAsia="Arial" w:hAnsi="Arial" w:cs="Arial"/>
          <w:sz w:val="22"/>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883371">
        <w:rPr>
          <w:rFonts w:ascii="Arial" w:eastAsia="Arial" w:hAnsi="Arial" w:cs="Arial"/>
          <w:i/>
          <w:iCs/>
          <w:sz w:val="22"/>
          <w:lang w:val="es-ES"/>
        </w:rPr>
        <w:t>Ibídem</w:t>
      </w:r>
      <w:r w:rsidRPr="00883371">
        <w:rPr>
          <w:rFonts w:ascii="Arial" w:eastAsia="Arial" w:hAnsi="Arial" w:cs="Arial"/>
          <w:sz w:val="22"/>
          <w:lang w:val="es-ES"/>
        </w:rPr>
        <w:t xml:space="preserve"> recoge en la noción de </w:t>
      </w:r>
      <w:r w:rsidRPr="00883371">
        <w:rPr>
          <w:rFonts w:ascii="Arial" w:eastAsia="Arial" w:hAnsi="Arial" w:cs="Arial"/>
          <w:i/>
          <w:iCs/>
          <w:sz w:val="22"/>
          <w:lang w:val="es-ES"/>
        </w:rPr>
        <w:t>Documentos del Proceso</w:t>
      </w:r>
      <w:r w:rsidRPr="00883371">
        <w:rPr>
          <w:rFonts w:ascii="Arial" w:eastAsia="Arial" w:hAnsi="Arial" w:cs="Arial"/>
          <w:sz w:val="22"/>
          <w:lang w:val="es-ES"/>
        </w:rPr>
        <w:t xml:space="preserve"> «cualquier otro documento expedido por la Entidad Estatal durante el </w:t>
      </w:r>
      <w:r w:rsidRPr="00883371">
        <w:rPr>
          <w:rFonts w:ascii="Arial" w:eastAsia="Arial" w:hAnsi="Arial" w:cs="Arial"/>
          <w:i/>
          <w:iCs/>
          <w:sz w:val="22"/>
          <w:lang w:val="es-ES"/>
        </w:rPr>
        <w:t>Proceso de Contratación»</w:t>
      </w:r>
      <w:r w:rsidRPr="00883371">
        <w:rPr>
          <w:rFonts w:ascii="Arial" w:eastAsia="Arial" w:hAnsi="Arial" w:cs="Arial"/>
          <w:sz w:val="22"/>
          <w:lang w:val="es-ES"/>
        </w:rPr>
        <w:t xml:space="preserve">. Este mismo artículo define la expresión </w:t>
      </w:r>
      <w:r w:rsidRPr="00883371">
        <w:rPr>
          <w:rFonts w:ascii="Arial" w:eastAsia="Arial" w:hAnsi="Arial" w:cs="Arial"/>
          <w:i/>
          <w:iCs/>
          <w:sz w:val="22"/>
          <w:lang w:val="es-ES"/>
        </w:rPr>
        <w:t>Proceso de Contratación</w:t>
      </w:r>
      <w:r w:rsidRPr="00883371">
        <w:rPr>
          <w:rFonts w:ascii="Arial" w:eastAsia="Arial" w:hAnsi="Arial" w:cs="Arial"/>
          <w:sz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13A94ED5" w14:textId="77777777" w:rsidR="00D12042" w:rsidRPr="00883371"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883371">
        <w:rPr>
          <w:rFonts w:ascii="Arial" w:eastAsia="Arial" w:hAnsi="Arial" w:cs="Arial"/>
          <w:sz w:val="22"/>
          <w:lang w:val="es-ES"/>
        </w:rPr>
        <w:t xml:space="preserve">Nótese que la norma hace referencia a los documentos «expedidos por la entidad estatal» durante el proceso de contratación, excluyendo de la noción de </w:t>
      </w:r>
      <w:r w:rsidRPr="00883371">
        <w:rPr>
          <w:rFonts w:ascii="Arial" w:eastAsia="Arial" w:hAnsi="Arial" w:cs="Arial"/>
          <w:i/>
          <w:iCs/>
          <w:sz w:val="22"/>
          <w:lang w:val="es-ES"/>
        </w:rPr>
        <w:t>Documentos del Proceso</w:t>
      </w:r>
      <w:r w:rsidRPr="00883371">
        <w:rPr>
          <w:rFonts w:ascii="Arial" w:eastAsia="Arial" w:hAnsi="Arial" w:cs="Arial"/>
          <w:sz w:val="22"/>
          <w:lang w:val="es-ES"/>
        </w:rPr>
        <w:t xml:space="preserve"> los expedidos por un sujeto distinto a la entidad, salvo la oferta, la cual se incluye </w:t>
      </w:r>
      <w:r w:rsidRPr="00883371">
        <w:rPr>
          <w:rFonts w:ascii="Arial" w:eastAsia="Arial" w:hAnsi="Arial" w:cs="Arial"/>
          <w:sz w:val="22"/>
          <w:lang w:val="es-ES"/>
        </w:rPr>
        <w:lastRenderedPageBreak/>
        <w:t xml:space="preserve">expresamente en el artículo 2.2.1.1.1.3.1. </w:t>
      </w:r>
    </w:p>
    <w:p w14:paraId="614205C9" w14:textId="77777777" w:rsidR="00D12042" w:rsidRPr="00883371"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883371">
        <w:rPr>
          <w:rFonts w:ascii="Arial" w:eastAsia="Arial" w:hAnsi="Arial" w:cs="Arial"/>
          <w:sz w:val="22"/>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883371">
        <w:rPr>
          <w:rFonts w:ascii="Arial" w:eastAsia="Arial" w:hAnsi="Arial" w:cs="Arial"/>
          <w:i/>
          <w:iCs/>
          <w:sz w:val="22"/>
          <w:lang w:val="es-ES"/>
        </w:rPr>
        <w:t>Proceso de Contratación</w:t>
      </w:r>
      <w:r w:rsidRPr="00883371">
        <w:rPr>
          <w:rFonts w:ascii="Arial" w:eastAsia="Arial" w:hAnsi="Arial" w:cs="Arial"/>
          <w:sz w:val="22"/>
          <w:lang w:val="es-ES"/>
        </w:rPr>
        <w:t xml:space="preserve">,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w:t>
      </w:r>
      <w:proofErr w:type="spellStart"/>
      <w:r w:rsidRPr="00883371">
        <w:rPr>
          <w:rFonts w:ascii="Arial" w:eastAsia="Arial" w:hAnsi="Arial" w:cs="Arial"/>
          <w:sz w:val="22"/>
          <w:lang w:val="es-ES"/>
        </w:rPr>
        <w:t>postcontractual</w:t>
      </w:r>
      <w:proofErr w:type="spellEnd"/>
      <w:r w:rsidRPr="00883371">
        <w:rPr>
          <w:rFonts w:ascii="Arial" w:eastAsia="Arial" w:hAnsi="Arial" w:cs="Arial"/>
          <w:sz w:val="22"/>
          <w:lang w:val="es-ES"/>
        </w:rPr>
        <w:t xml:space="preserve"> deberán ser publicados en SECOP dentro de los tres (3) días siguientes a su expedición, para  cumplir el deber de publicidad regulado por el artículo 2.2.1.1.1.7.1. del Decreto 1082 de 2015.</w:t>
      </w:r>
    </w:p>
    <w:p w14:paraId="3CE4EA01" w14:textId="77777777" w:rsidR="00D12042" w:rsidRPr="00883371"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883371">
        <w:rPr>
          <w:rFonts w:ascii="Arial" w:eastAsia="Arial" w:hAnsi="Arial" w:cs="Arial"/>
          <w:sz w:val="22"/>
          <w:lang w:val="es-ES"/>
        </w:rPr>
        <w:t xml:space="preserve">En todo caso, de conformidad con la segunda parte del inciso primero del artículo 2.2.1.1.1.7.1 </w:t>
      </w:r>
      <w:r w:rsidRPr="00883371">
        <w:rPr>
          <w:rFonts w:ascii="Arial" w:eastAsia="Arial" w:hAnsi="Arial" w:cs="Arial"/>
          <w:i/>
          <w:iCs/>
          <w:sz w:val="22"/>
          <w:lang w:val="es-ES"/>
        </w:rPr>
        <w:t>Ibídem</w:t>
      </w:r>
      <w:r w:rsidRPr="00883371">
        <w:rPr>
          <w:rFonts w:ascii="Arial" w:eastAsia="Arial" w:hAnsi="Arial" w:cs="Arial"/>
          <w:sz w:val="22"/>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883371">
        <w:rPr>
          <w:rFonts w:ascii="Arial" w:eastAsia="Arial" w:hAnsi="Arial" w:cs="Arial"/>
          <w:i/>
          <w:iCs/>
          <w:sz w:val="22"/>
          <w:lang w:val="es-ES"/>
        </w:rPr>
        <w:t xml:space="preserve"> </w:t>
      </w:r>
      <w:r w:rsidRPr="00883371">
        <w:rPr>
          <w:rFonts w:ascii="Arial" w:eastAsia="Arial" w:hAnsi="Arial" w:cs="Arial"/>
          <w:sz w:val="22"/>
          <w:lang w:val="es-ES"/>
        </w:rPr>
        <w:t>Del deber de publicidad, de conformidad con la tercera parte del inciso primero de la referida norma, también se encuentran exentos los documentos de las operaciones que se realicen en bolsa de productos.</w:t>
      </w:r>
    </w:p>
    <w:p w14:paraId="34F1F71D" w14:textId="77777777" w:rsidR="00D12042" w:rsidRPr="00883371"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883371">
        <w:rPr>
          <w:rFonts w:ascii="Arial" w:eastAsia="Arial" w:hAnsi="Arial" w:cs="Arial"/>
          <w:sz w:val="22"/>
          <w:lang w:val="es-ES"/>
        </w:rPr>
        <w:t xml:space="preserve"> El inciso segundo del artículo 2.2.1.1.1.7.1 </w:t>
      </w:r>
      <w:proofErr w:type="spellStart"/>
      <w:r w:rsidRPr="00883371">
        <w:rPr>
          <w:rFonts w:ascii="Arial" w:eastAsia="Arial" w:hAnsi="Arial" w:cs="Arial"/>
          <w:i/>
          <w:iCs/>
          <w:sz w:val="22"/>
          <w:lang w:val="es-ES"/>
        </w:rPr>
        <w:t>ejusdem</w:t>
      </w:r>
      <w:proofErr w:type="spellEnd"/>
      <w:r w:rsidRPr="00883371">
        <w:rPr>
          <w:rFonts w:ascii="Arial" w:eastAsia="Arial" w:hAnsi="Arial" w:cs="Arial"/>
          <w:i/>
          <w:iCs/>
          <w:sz w:val="22"/>
          <w:lang w:val="es-ES"/>
        </w:rPr>
        <w:t xml:space="preserve">, </w:t>
      </w:r>
      <w:r w:rsidRPr="00883371">
        <w:rPr>
          <w:rFonts w:ascii="Arial" w:eastAsia="Arial" w:hAnsi="Arial" w:cs="Arial"/>
          <w:sz w:val="22"/>
          <w:lang w:val="es-ES"/>
        </w:rPr>
        <w:t xml:space="preserve">hace explícito el deber de las entidades estatales de publicar el aviso de convocatoria con el objeto de que los interesados formulen observaciones al proyecto de pliego de condiciones o soliciten aclaraciones en los términos del artículo </w:t>
      </w:r>
      <w:r w:rsidRPr="00883371">
        <w:rPr>
          <w:rFonts w:ascii="Arial" w:hAnsi="Arial" w:cs="Arial"/>
          <w:sz w:val="22"/>
          <w:lang w:val="es-ES"/>
        </w:rPr>
        <w:t xml:space="preserve">2.2.1.1.2.1.4, deber que hace extensivo a la invitación </w:t>
      </w:r>
      <w:r w:rsidRPr="00883371">
        <w:rPr>
          <w:rFonts w:ascii="Arial" w:eastAsia="Arial" w:hAnsi="Arial" w:cs="Arial"/>
          <w:sz w:val="22"/>
          <w:lang w:val="es-ES"/>
        </w:rPr>
        <w:t xml:space="preserve">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 </w:t>
      </w:r>
    </w:p>
    <w:p w14:paraId="41A1E9B4" w14:textId="77777777" w:rsidR="00D12042" w:rsidRPr="00883371"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883371">
        <w:rPr>
          <w:rFonts w:ascii="Arial" w:eastAsia="Arial" w:hAnsi="Arial" w:cs="Arial"/>
          <w:sz w:val="22"/>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883371">
        <w:rPr>
          <w:rFonts w:ascii="Arial" w:eastAsia="Arial" w:hAnsi="Arial" w:cs="Arial"/>
          <w:i/>
          <w:iCs/>
          <w:sz w:val="22"/>
          <w:lang w:val="es-ES"/>
        </w:rPr>
        <w:t>Proceso de Contratación</w:t>
      </w:r>
      <w:r w:rsidRPr="00883371">
        <w:rPr>
          <w:rFonts w:ascii="Arial" w:eastAsia="Arial" w:hAnsi="Arial" w:cs="Arial"/>
          <w:sz w:val="22"/>
          <w:lang w:val="es-ES"/>
        </w:rPr>
        <w:t xml:space="preserve"> expedidos durante las etapas precontractual, de ejecución y </w:t>
      </w:r>
      <w:proofErr w:type="spellStart"/>
      <w:r w:rsidRPr="00883371">
        <w:rPr>
          <w:rFonts w:ascii="Arial" w:eastAsia="Arial" w:hAnsi="Arial" w:cs="Arial"/>
          <w:sz w:val="22"/>
          <w:lang w:val="es-ES"/>
        </w:rPr>
        <w:t>postcontractual</w:t>
      </w:r>
      <w:proofErr w:type="spellEnd"/>
      <w:r w:rsidRPr="00883371">
        <w:rPr>
          <w:rFonts w:ascii="Arial" w:eastAsia="Arial" w:hAnsi="Arial" w:cs="Arial"/>
          <w:sz w:val="22"/>
          <w:lang w:val="es-ES"/>
        </w:rPr>
        <w:t>, dentro de los tres (3) días hábiles siguientes a su producción</w:t>
      </w:r>
      <w:r w:rsidRPr="00883371">
        <w:rPr>
          <w:rStyle w:val="Refdenotaalpie"/>
          <w:rFonts w:ascii="Arial" w:eastAsia="Arial" w:hAnsi="Arial" w:cs="Arial"/>
          <w:sz w:val="22"/>
          <w:lang w:val="es-ES"/>
        </w:rPr>
        <w:footnoteReference w:id="21"/>
      </w:r>
      <w:r w:rsidRPr="00883371">
        <w:rPr>
          <w:rFonts w:ascii="Arial" w:eastAsia="Arial" w:hAnsi="Arial" w:cs="Arial"/>
          <w:sz w:val="22"/>
          <w:lang w:val="es-ES"/>
        </w:rPr>
        <w:t xml:space="preserve">, deber que </w:t>
      </w:r>
      <w:r w:rsidRPr="00883371">
        <w:rPr>
          <w:rFonts w:ascii="Arial" w:eastAsia="Arial" w:hAnsi="Arial" w:cs="Arial"/>
          <w:sz w:val="22"/>
          <w:lang w:val="es-ES"/>
        </w:rPr>
        <w:lastRenderedPageBreak/>
        <w:t>aplica a todas las modalidades de selección y entidades regidas por el Estatuto General de Contratación de la Administración Pública, y del que solo se encuentran excluidas las ofertas ganadoras y los documentos expedidos en el marco de operaciones de bolsa de productos.</w:t>
      </w:r>
    </w:p>
    <w:p w14:paraId="7B8F73E1" w14:textId="77777777" w:rsidR="00D12042" w:rsidRPr="00883371" w:rsidRDefault="00D12042" w:rsidP="00D12042">
      <w:pPr>
        <w:spacing w:before="120" w:after="120" w:line="276" w:lineRule="auto"/>
        <w:ind w:firstLine="709"/>
        <w:jc w:val="both"/>
        <w:rPr>
          <w:rFonts w:ascii="Arial" w:eastAsia="Calibri" w:hAnsi="Arial" w:cs="Arial"/>
          <w:sz w:val="22"/>
          <w:lang w:val="es-ES"/>
        </w:rPr>
      </w:pPr>
      <w:r w:rsidRPr="00883371">
        <w:rPr>
          <w:rFonts w:ascii="Arial" w:eastAsia="Calibri" w:hAnsi="Arial" w:cs="Arial"/>
          <w:sz w:val="22"/>
          <w:lang w:val="es-ES"/>
        </w:rPr>
        <w:t xml:space="preserve">No obstante, el deber de publicar los documentos relacionados con la contratación no se encuentra regulado solamente por las normas del Estatuto General de Contratación  de la Administración Pública, ya que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2.1.1.2.1.7, que las entidades deberán publicar en el SECOP </w:t>
      </w:r>
      <w:r w:rsidRPr="00883371">
        <w:rPr>
          <w:rFonts w:ascii="Arial" w:hAnsi="Arial" w:cs="Arial"/>
          <w:sz w:val="22"/>
          <w:lang w:val="es-ES"/>
        </w:rPr>
        <w:t>la información de su gestión contractual</w:t>
      </w:r>
      <w:r w:rsidRPr="00883371">
        <w:rPr>
          <w:rStyle w:val="Refdenotaalpie"/>
          <w:rFonts w:ascii="Arial" w:hAnsi="Arial" w:cs="Arial"/>
          <w:sz w:val="22"/>
          <w:lang w:val="es-ES"/>
        </w:rPr>
        <w:footnoteReference w:id="22"/>
      </w:r>
      <w:r w:rsidRPr="00883371">
        <w:rPr>
          <w:rFonts w:ascii="Arial" w:eastAsia="Calibri" w:hAnsi="Arial" w:cs="Arial"/>
          <w:sz w:val="22"/>
          <w:lang w:val="es-ES"/>
        </w:rPr>
        <w:t xml:space="preserve">. Por su parte, el artículo 2.1.1.2.1.9 expresa que las entidades deberán publicar los procedimientos, lineamientos y políticas en materia de adquisición, que no son otros que los previstos en el manual de contratación, el cual debe publicarse en el sitio web del sujeto </w:t>
      </w:r>
      <w:r w:rsidRPr="00883371">
        <w:rPr>
          <w:rFonts w:ascii="Arial" w:eastAsia="Calibri" w:hAnsi="Arial" w:cs="Arial"/>
          <w:sz w:val="22"/>
          <w:lang w:val="es-ES"/>
        </w:rPr>
        <w:lastRenderedPageBreak/>
        <w:t>obligado</w:t>
      </w:r>
      <w:r w:rsidRPr="00883371">
        <w:rPr>
          <w:rStyle w:val="Refdenotaalpie"/>
          <w:rFonts w:ascii="Arial" w:eastAsia="Calibri" w:hAnsi="Arial" w:cs="Arial"/>
          <w:sz w:val="22"/>
          <w:lang w:val="es-ES"/>
        </w:rPr>
        <w:footnoteReference w:id="23"/>
      </w:r>
      <w:r w:rsidRPr="00883371">
        <w:rPr>
          <w:rFonts w:ascii="Arial" w:eastAsia="Calibri" w:hAnsi="Arial" w:cs="Arial"/>
          <w:sz w:val="22"/>
          <w:lang w:val="es-ES"/>
        </w:rPr>
        <w:t>. El artículo 2.1.1.2.1.10 establece la obligación que tienen las entidades de publicar en el SECOP el Plan Anual de Adquisiciones</w:t>
      </w:r>
      <w:r w:rsidRPr="00883371">
        <w:rPr>
          <w:rStyle w:val="Refdenotaalpie"/>
          <w:rFonts w:ascii="Arial" w:eastAsia="Calibri" w:hAnsi="Arial" w:cs="Arial"/>
          <w:sz w:val="22"/>
          <w:lang w:val="es-ES"/>
        </w:rPr>
        <w:footnoteReference w:id="24"/>
      </w:r>
      <w:r w:rsidRPr="00883371">
        <w:rPr>
          <w:rFonts w:ascii="Arial" w:eastAsia="Calibri" w:hAnsi="Arial" w:cs="Arial"/>
          <w:sz w:val="22"/>
          <w:lang w:val="es-ES"/>
        </w:rPr>
        <w:t xml:space="preserve">. </w:t>
      </w:r>
    </w:p>
    <w:p w14:paraId="495D889B" w14:textId="77777777" w:rsidR="00D12042" w:rsidRPr="00883371" w:rsidRDefault="00D12042" w:rsidP="00D12042">
      <w:pPr>
        <w:spacing w:before="120" w:after="120" w:line="276" w:lineRule="auto"/>
        <w:ind w:firstLine="709"/>
        <w:jc w:val="both"/>
        <w:rPr>
          <w:rFonts w:ascii="Arial" w:eastAsia="Calibri" w:hAnsi="Arial" w:cs="Arial"/>
          <w:sz w:val="22"/>
          <w:lang w:val="es-ES"/>
        </w:rPr>
      </w:pPr>
      <w:r w:rsidRPr="00883371">
        <w:rPr>
          <w:rFonts w:ascii="Arial" w:eastAsia="Calibri" w:hAnsi="Arial" w:cs="Arial"/>
          <w:sz w:val="22"/>
          <w:lang w:val="es-ES"/>
        </w:rPr>
        <w:t xml:space="preserve">De otro lado, el artículo 2.1.1.2.1.8, establece los efectos de </w:t>
      </w:r>
      <w:r w:rsidRPr="00883371">
        <w:rPr>
          <w:rFonts w:ascii="Arial" w:hAnsi="Arial" w:cs="Arial"/>
          <w:sz w:val="22"/>
          <w:lang w:val="es-ES"/>
        </w:rPr>
        <w:t>la obligación contenida en el literal g) del artículo 11 de la Ley 1712 de 2014, en relación con los documentos producidos durante la ejecución del contrato, señalando que se</w:t>
      </w:r>
      <w:r w:rsidRPr="00883371">
        <w:rPr>
          <w:rFonts w:ascii="Arial" w:eastAsia="Calibri" w:hAnsi="Arial" w:cs="Arial"/>
          <w:sz w:val="22"/>
          <w:lang w:val="es-ES"/>
        </w:rPr>
        <w:t xml:space="preserve"> deben publicar las aprobaciones, autorizaciones, requerimientos o informes del supervisor o interventor, que prueben la ejecución del contrato</w:t>
      </w:r>
      <w:r w:rsidRPr="00883371">
        <w:rPr>
          <w:rStyle w:val="Refdenotaalpie"/>
          <w:rFonts w:ascii="Arial" w:eastAsia="Calibri" w:hAnsi="Arial" w:cs="Arial"/>
          <w:sz w:val="22"/>
          <w:lang w:val="es-ES"/>
        </w:rPr>
        <w:footnoteReference w:id="25"/>
      </w:r>
      <w:r w:rsidRPr="00883371">
        <w:rPr>
          <w:rFonts w:ascii="Arial" w:eastAsia="Calibri" w:hAnsi="Arial" w:cs="Arial"/>
          <w:sz w:val="22"/>
          <w:lang w:val="es-ES"/>
        </w:rPr>
        <w:t>.</w:t>
      </w:r>
    </w:p>
    <w:p w14:paraId="244E848B" w14:textId="77777777" w:rsidR="00D12042" w:rsidRPr="00883371" w:rsidRDefault="00D12042" w:rsidP="00D12042">
      <w:pPr>
        <w:spacing w:before="120" w:after="120" w:line="276" w:lineRule="auto"/>
        <w:ind w:firstLine="709"/>
        <w:jc w:val="both"/>
        <w:rPr>
          <w:rFonts w:ascii="Arial" w:eastAsia="Calibri" w:hAnsi="Arial" w:cs="Arial"/>
          <w:sz w:val="22"/>
          <w:lang w:val="es-ES"/>
        </w:rPr>
      </w:pPr>
      <w:r w:rsidRPr="00883371">
        <w:rPr>
          <w:rFonts w:ascii="Arial" w:eastAsia="Calibri" w:hAnsi="Arial" w:cs="Arial"/>
          <w:sz w:val="22"/>
          <w:lang w:val="es-ES"/>
        </w:rPr>
        <w:t xml:space="preserve">En ese orden, el deber de publicar la actividad contractual de las entidades estatales no solo está regulado en el artículo 3 de la Ley 1150 de 2007, y en el </w:t>
      </w:r>
      <w:r w:rsidRPr="00883371">
        <w:rPr>
          <w:rFonts w:ascii="Arial" w:eastAsia="Arial" w:hAnsi="Arial" w:cs="Arial"/>
          <w:sz w:val="22"/>
          <w:lang w:val="es-ES"/>
        </w:rPr>
        <w:t xml:space="preserve">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883371">
        <w:rPr>
          <w:rFonts w:ascii="Arial" w:eastAsia="Arial" w:hAnsi="Arial" w:cs="Arial"/>
          <w:i/>
          <w:iCs/>
          <w:sz w:val="22"/>
          <w:lang w:val="es-ES"/>
        </w:rPr>
        <w:t xml:space="preserve">Documentos del Proceso </w:t>
      </w:r>
      <w:r w:rsidRPr="00883371">
        <w:rPr>
          <w:rFonts w:ascii="Arial" w:eastAsia="Arial" w:hAnsi="Arial" w:cs="Arial"/>
          <w:sz w:val="22"/>
          <w:lang w:val="es-ES"/>
        </w:rPr>
        <w:t>expedidos por la «entidad estatal».</w:t>
      </w:r>
    </w:p>
    <w:p w14:paraId="733F80FD" w14:textId="77777777" w:rsidR="00D12042" w:rsidRPr="00883371" w:rsidRDefault="00D12042" w:rsidP="00D12042">
      <w:pPr>
        <w:spacing w:before="120" w:after="120" w:line="276" w:lineRule="auto"/>
        <w:ind w:firstLine="709"/>
        <w:jc w:val="both"/>
        <w:rPr>
          <w:rFonts w:ascii="Arial" w:eastAsia="Calibri" w:hAnsi="Arial" w:cs="Arial"/>
          <w:sz w:val="22"/>
          <w:lang w:val="es-ES"/>
        </w:rPr>
      </w:pPr>
      <w:r w:rsidRPr="00883371">
        <w:rPr>
          <w:rFonts w:ascii="Arial" w:eastAsia="Calibri" w:hAnsi="Arial" w:cs="Arial"/>
          <w:sz w:val="22"/>
          <w:lang w:val="es-ES"/>
        </w:rPr>
        <w:t xml:space="preserve">Las publicaciones que corresponde efectuar a las entidades estatales, como sujetos obligados por la normativa de la transparencia y acceso a la información pública, en particular en lo referente a la información contractual, antes que una derogación o </w:t>
      </w:r>
      <w:r w:rsidRPr="00883371">
        <w:rPr>
          <w:rFonts w:ascii="Arial" w:eastAsia="Calibri" w:hAnsi="Arial" w:cs="Arial"/>
          <w:sz w:val="22"/>
          <w:lang w:val="es-ES"/>
        </w:rPr>
        <w:lastRenderedPageBreak/>
        <w:t xml:space="preserve">subrogación del contenido del deber de publicidad regulado por el EGCAP, suponen una ampliación de su alcance, que lo hace trascender de la simple publicación de la información «producida por la entidad estatal» asociada a la noción de </w:t>
      </w:r>
      <w:r w:rsidRPr="00883371">
        <w:rPr>
          <w:rFonts w:ascii="Arial" w:eastAsia="Calibri" w:hAnsi="Arial" w:cs="Arial"/>
          <w:i/>
          <w:iCs/>
          <w:sz w:val="22"/>
          <w:lang w:val="es-ES"/>
        </w:rPr>
        <w:t>Documentos del Proceso.</w:t>
      </w:r>
      <w:r w:rsidRPr="00883371">
        <w:rPr>
          <w:rFonts w:ascii="Arial" w:hAnsi="Arial" w:cs="Arial"/>
          <w:sz w:val="22"/>
          <w:lang w:val="es-ES"/>
        </w:rPr>
        <w:t xml:space="preserve"> Esto</w:t>
      </w:r>
      <w:r w:rsidRPr="00883371">
        <w:rPr>
          <w:rFonts w:ascii="Arial" w:eastAsia="Calibri" w:hAnsi="Arial" w:cs="Arial"/>
          <w:i/>
          <w:iCs/>
          <w:sz w:val="22"/>
          <w:lang w:val="es-ES"/>
        </w:rPr>
        <w:t xml:space="preserve"> </w:t>
      </w:r>
      <w:r w:rsidRPr="00883371">
        <w:rPr>
          <w:rFonts w:ascii="Arial" w:eastAsia="Calibri" w:hAnsi="Arial" w:cs="Arial"/>
          <w:sz w:val="22"/>
          <w:lang w:val="es-ES"/>
        </w:rPr>
        <w:t xml:space="preserve">en la medida en que, al establecerse la obligación de publicar los «procedimientos» y la «información de la gestión contractual» en el SECOP, se incorporó una visión omnicomprensiva de la actividad contractual que debe publicarse, comoquiera que la noción de procedimiento debe asimilarse a la de </w:t>
      </w:r>
      <w:r w:rsidRPr="00883371">
        <w:rPr>
          <w:rFonts w:ascii="Arial" w:eastAsia="Calibri" w:hAnsi="Arial" w:cs="Arial"/>
          <w:i/>
          <w:iCs/>
          <w:sz w:val="22"/>
          <w:lang w:val="es-ES"/>
        </w:rPr>
        <w:t>Proceso de Contratación,</w:t>
      </w:r>
      <w:r w:rsidRPr="00883371">
        <w:rPr>
          <w:rFonts w:ascii="Arial" w:eastAsia="Calibri" w:hAnsi="Arial" w:cs="Arial"/>
          <w:sz w:val="22"/>
          <w:lang w:val="es-ES"/>
        </w:rPr>
        <w:t xml:space="preserve"> lo que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66446876" w14:textId="4CDBC551" w:rsidR="00D12042" w:rsidRPr="00883371" w:rsidRDefault="00D12042" w:rsidP="00D12042">
      <w:pPr>
        <w:spacing w:before="120" w:after="120" w:line="276" w:lineRule="auto"/>
        <w:ind w:firstLine="709"/>
        <w:jc w:val="both"/>
        <w:rPr>
          <w:rFonts w:ascii="Arial" w:eastAsia="Calibri" w:hAnsi="Arial" w:cs="Arial"/>
          <w:sz w:val="22"/>
          <w:lang w:val="es-ES"/>
        </w:rPr>
      </w:pPr>
      <w:r w:rsidRPr="00883371">
        <w:rPr>
          <w:rFonts w:ascii="Arial" w:eastAsia="Calibri" w:hAnsi="Arial" w:cs="Arial"/>
          <w:sz w:val="22"/>
          <w:lang w:val="es-ES"/>
        </w:rPr>
        <w:t>Esto quiere decir que las entidades estatales, además de los documentos y actos administrativos –de trámite o definitivos– que expiden durante los procedimientos de contratación</w:t>
      </w:r>
      <w:r w:rsidRPr="00883371">
        <w:rPr>
          <w:rFonts w:ascii="Arial" w:eastAsia="Calibri" w:hAnsi="Arial" w:cs="Arial"/>
          <w:i/>
          <w:iCs/>
          <w:sz w:val="22"/>
          <w:lang w:val="es-ES"/>
        </w:rPr>
        <w:t>,</w:t>
      </w:r>
      <w:r w:rsidRPr="00883371">
        <w:rPr>
          <w:rFonts w:ascii="Arial" w:eastAsia="Calibri" w:hAnsi="Arial" w:cs="Arial"/>
          <w:sz w:val="22"/>
          <w:lang w:val="es-ES"/>
        </w:rPr>
        <w:t xml:space="preserve"> deben publicar los documentos que los impulsan y materializan, incluso los que no produce la entidad, pero que hacen parte del procedimiento, como las observaciones formuladas por la ciudadanía al proyecto de pliego de condiciones, o por los proponentes al informe de evaluación, aclaraciones a las ofertas realizadas por los oferentes, y cualquier otra actuación que a pesar de no tener origen en la entidad estatal, ni caber en estricto sentido en lo que se entiende con la expresión</w:t>
      </w:r>
      <w:r w:rsidRPr="00883371">
        <w:rPr>
          <w:rFonts w:ascii="Arial" w:eastAsia="Calibri" w:hAnsi="Arial" w:cs="Arial"/>
          <w:i/>
          <w:iCs/>
          <w:sz w:val="22"/>
          <w:lang w:val="es-ES"/>
        </w:rPr>
        <w:t xml:space="preserve"> Documento del Proceso, </w:t>
      </w:r>
      <w:r w:rsidRPr="00883371">
        <w:rPr>
          <w:rFonts w:ascii="Arial" w:eastAsia="Calibri" w:hAnsi="Arial" w:cs="Arial"/>
          <w:sz w:val="22"/>
          <w:lang w:val="es-ES"/>
        </w:rPr>
        <w:t xml:space="preserve">hace parte de su desarrollo, y que por disposición de la Ley de transparencia y acceso a la información pública, debe publicar la entidad de manera proactiva.   </w:t>
      </w:r>
    </w:p>
    <w:p w14:paraId="69686F20" w14:textId="77777777" w:rsidR="00D12042" w:rsidRPr="00883371" w:rsidRDefault="00D12042" w:rsidP="00D12042">
      <w:pPr>
        <w:spacing w:before="120" w:after="120" w:line="276" w:lineRule="auto"/>
        <w:ind w:firstLine="709"/>
        <w:jc w:val="both"/>
        <w:rPr>
          <w:rFonts w:ascii="Arial" w:eastAsia="Calibri" w:hAnsi="Arial" w:cs="Arial"/>
          <w:sz w:val="22"/>
          <w:lang w:val="es-ES"/>
        </w:rPr>
      </w:pPr>
      <w:r w:rsidRPr="00883371">
        <w:rPr>
          <w:rFonts w:ascii="Arial" w:eastAsia="Calibri" w:hAnsi="Arial" w:cs="Arial"/>
          <w:sz w:val="22"/>
          <w:lang w:val="es-ES"/>
        </w:rPr>
        <w:t xml:space="preserve">Ahora, 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 como, por ejemplo, el término de publicación y la excepción de publicación de los documentos de las operaciones que se celebren en bolsa de productos, conforme al </w:t>
      </w:r>
      <w:r w:rsidRPr="00883371">
        <w:rPr>
          <w:rFonts w:ascii="Arial" w:eastAsia="Arial" w:hAnsi="Arial" w:cs="Arial"/>
          <w:sz w:val="22"/>
          <w:lang w:val="es-ES"/>
        </w:rPr>
        <w:t>artículo 2.2.1.1.1.7.1. del Decreto 1082 de 2015.</w:t>
      </w:r>
    </w:p>
    <w:p w14:paraId="667C0CEB" w14:textId="77777777" w:rsidR="00D12042" w:rsidRPr="00883371" w:rsidRDefault="00D12042" w:rsidP="00D12042">
      <w:pPr>
        <w:spacing w:before="120" w:after="120" w:line="276" w:lineRule="auto"/>
        <w:ind w:firstLine="709"/>
        <w:jc w:val="both"/>
        <w:rPr>
          <w:rFonts w:ascii="Arial" w:eastAsia="Calibri" w:hAnsi="Arial" w:cs="Arial"/>
          <w:sz w:val="22"/>
          <w:lang w:val="es-ES"/>
        </w:rPr>
      </w:pPr>
      <w:r w:rsidRPr="00883371">
        <w:rPr>
          <w:rFonts w:ascii="Arial" w:eastAsia="Calibri" w:hAnsi="Arial" w:cs="Arial"/>
          <w:sz w:val="22"/>
          <w:lang w:val="es-ES"/>
        </w:rPr>
        <w:t xml:space="preserve">De conformidad con lo anterior, esta interpretación de las disposiciones analizadas permite incorporar al EGCAP importantes principios desarrollados por la normativa de la transparencia y acceso a la información pública, como los de </w:t>
      </w:r>
      <w:r w:rsidRPr="00883371">
        <w:rPr>
          <w:rStyle w:val="nfasis"/>
          <w:rFonts w:ascii="Arial" w:hAnsi="Arial" w:cs="Arial"/>
          <w:sz w:val="22"/>
          <w:lang w:val="es-ES"/>
        </w:rPr>
        <w:t xml:space="preserve">máxima publicidad para un </w:t>
      </w:r>
      <w:r w:rsidRPr="00883371">
        <w:rPr>
          <w:rStyle w:val="nfasis"/>
          <w:rFonts w:ascii="Arial" w:hAnsi="Arial" w:cs="Arial"/>
          <w:sz w:val="22"/>
          <w:lang w:val="es-ES"/>
        </w:rPr>
        <w:lastRenderedPageBreak/>
        <w:t>titular universal</w:t>
      </w:r>
      <w:r w:rsidRPr="00883371">
        <w:rPr>
          <w:rStyle w:val="Refdenotaalpie"/>
          <w:rFonts w:ascii="Arial" w:hAnsi="Arial" w:cs="Arial"/>
          <w:i/>
          <w:iCs/>
          <w:sz w:val="22"/>
          <w:lang w:val="es-ES"/>
        </w:rPr>
        <w:footnoteReference w:id="26"/>
      </w:r>
      <w:r w:rsidRPr="00883371">
        <w:rPr>
          <w:rStyle w:val="nfasis"/>
          <w:rFonts w:ascii="Arial" w:hAnsi="Arial" w:cs="Arial"/>
          <w:sz w:val="22"/>
          <w:lang w:val="es-ES"/>
        </w:rPr>
        <w:t>, transparencia, facilitación y divulgación proactiva de la información</w:t>
      </w:r>
      <w:r w:rsidRPr="00883371">
        <w:rPr>
          <w:rStyle w:val="Refdenotaalpie"/>
          <w:rFonts w:ascii="Arial" w:hAnsi="Arial" w:cs="Arial"/>
          <w:i/>
          <w:iCs/>
          <w:sz w:val="22"/>
          <w:lang w:val="es-ES"/>
        </w:rPr>
        <w:footnoteReference w:id="27"/>
      </w:r>
      <w:r w:rsidRPr="00883371">
        <w:rPr>
          <w:rStyle w:val="nfasis"/>
          <w:rFonts w:ascii="Arial" w:hAnsi="Arial" w:cs="Arial"/>
          <w:sz w:val="22"/>
          <w:lang w:val="es-ES"/>
        </w:rPr>
        <w:t xml:space="preserve">, </w:t>
      </w:r>
      <w:r w:rsidRPr="00883371">
        <w:rPr>
          <w:rStyle w:val="nfasis"/>
          <w:rFonts w:ascii="Arial" w:hAnsi="Arial" w:cs="Arial"/>
          <w:i w:val="0"/>
          <w:iCs w:val="0"/>
          <w:sz w:val="22"/>
          <w:lang w:val="es-ES"/>
        </w:rPr>
        <w:t xml:space="preserve"> porque al ampliarse la actividad contractual sobre la que recae el deber de publicación, se divulga un mayor volumen de información, que de por sí es pública, mediante un mecanismo  como el SECOP, que facilita el acceso a la misma desde cualquier dispositivo con acceso a internet, garantizando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   </w:t>
      </w:r>
    </w:p>
    <w:p w14:paraId="40087B99" w14:textId="77777777" w:rsidR="00D12042" w:rsidRPr="00883371" w:rsidRDefault="00D12042" w:rsidP="00D12042">
      <w:pPr>
        <w:spacing w:before="120" w:after="120" w:line="276" w:lineRule="auto"/>
        <w:ind w:firstLine="709"/>
        <w:jc w:val="both"/>
        <w:rPr>
          <w:rFonts w:ascii="Arial" w:eastAsia="Calibri" w:hAnsi="Arial" w:cs="Arial"/>
          <w:sz w:val="22"/>
          <w:lang w:val="es-ES"/>
        </w:rPr>
      </w:pPr>
      <w:r w:rsidRPr="00883371">
        <w:rPr>
          <w:rFonts w:ascii="Arial" w:eastAsia="Calibri" w:hAnsi="Arial" w:cs="Arial"/>
          <w:bCs/>
          <w:sz w:val="22"/>
          <w:lang w:val="es-ES"/>
        </w:rPr>
        <w:t>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w:t>
      </w:r>
      <w:r w:rsidRPr="00883371">
        <w:rPr>
          <w:rFonts w:ascii="Arial" w:hAnsi="Arial" w:cs="Arial"/>
          <w:sz w:val="22"/>
          <w:lang w:val="es-ES"/>
        </w:rPr>
        <w:t>radicado interno No.</w:t>
      </w:r>
      <w:r w:rsidRPr="00883371">
        <w:rPr>
          <w:rFonts w:ascii="Arial" w:hAnsi="Arial" w:cs="Arial"/>
          <w:lang w:val="es-ES"/>
        </w:rPr>
        <w:t xml:space="preserve"> </w:t>
      </w:r>
      <w:r w:rsidRPr="00883371">
        <w:rPr>
          <w:rFonts w:ascii="Arial" w:eastAsia="Calibri" w:hAnsi="Arial" w:cs="Arial"/>
          <w:bCs/>
          <w:sz w:val="22"/>
          <w:lang w:val="es-ES"/>
        </w:rPr>
        <w:t xml:space="preserve">2202013000003074–, </w:t>
      </w:r>
      <w:r w:rsidRPr="00883371">
        <w:rPr>
          <w:rFonts w:ascii="Arial" w:eastAsia="Calibri" w:hAnsi="Arial" w:cs="Arial"/>
          <w:sz w:val="22"/>
          <w:lang w:val="es-ES"/>
        </w:rPr>
        <w:t>este es un acto jurídico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207A6976" w14:textId="77777777" w:rsidR="00D12042" w:rsidRPr="00883371" w:rsidRDefault="00D12042" w:rsidP="00D12042">
      <w:pPr>
        <w:spacing w:after="120" w:line="276" w:lineRule="auto"/>
        <w:ind w:firstLine="709"/>
        <w:jc w:val="both"/>
        <w:rPr>
          <w:rStyle w:val="Textoennegrita"/>
          <w:rFonts w:ascii="Arial" w:hAnsi="Arial" w:cs="Arial"/>
          <w:b w:val="0"/>
          <w:bCs w:val="0"/>
          <w:sz w:val="22"/>
          <w:lang w:val="es-ES"/>
        </w:rPr>
      </w:pPr>
      <w:r w:rsidRPr="00883371">
        <w:rPr>
          <w:rFonts w:ascii="Arial" w:eastAsia="Calibri" w:hAnsi="Arial" w:cs="Arial"/>
          <w:sz w:val="22"/>
          <w:lang w:val="es-ES"/>
        </w:rPr>
        <w:t xml:space="preserve">En ese sentido, el Plan Anual de Adquisiciones no forma parte de la noción de </w:t>
      </w:r>
      <w:r w:rsidRPr="00883371">
        <w:rPr>
          <w:rFonts w:ascii="Arial" w:eastAsia="Calibri" w:hAnsi="Arial" w:cs="Arial"/>
          <w:i/>
          <w:iCs/>
          <w:sz w:val="22"/>
          <w:lang w:val="es-ES"/>
        </w:rPr>
        <w:t xml:space="preserve">Documentos del Proceso, </w:t>
      </w:r>
      <w:r w:rsidRPr="00883371">
        <w:rPr>
          <w:rFonts w:ascii="Arial" w:eastAsia="Calibri" w:hAnsi="Arial" w:cs="Arial"/>
          <w:sz w:val="22"/>
          <w:lang w:val="es-ES"/>
        </w:rPr>
        <w:t xml:space="preserve">ni hace parte del </w:t>
      </w:r>
      <w:r w:rsidRPr="00883371">
        <w:rPr>
          <w:rFonts w:ascii="Arial" w:eastAsia="Calibri" w:hAnsi="Arial" w:cs="Arial"/>
          <w:i/>
          <w:iCs/>
          <w:sz w:val="22"/>
          <w:lang w:val="es-ES"/>
        </w:rPr>
        <w:t>Proce</w:t>
      </w:r>
      <w:r w:rsidRPr="00883371">
        <w:rPr>
          <w:rFonts w:ascii="Arial" w:eastAsia="Calibri" w:hAnsi="Arial" w:cs="Arial"/>
          <w:sz w:val="22"/>
          <w:lang w:val="es-ES"/>
        </w:rPr>
        <w:t xml:space="preserve">so </w:t>
      </w:r>
      <w:r w:rsidRPr="00883371">
        <w:rPr>
          <w:rFonts w:ascii="Arial" w:eastAsia="Calibri" w:hAnsi="Arial" w:cs="Arial"/>
          <w:i/>
          <w:iCs/>
          <w:sz w:val="22"/>
          <w:lang w:val="es-ES"/>
        </w:rPr>
        <w:t>de Contratación,</w:t>
      </w:r>
      <w:r w:rsidRPr="00883371">
        <w:rPr>
          <w:rFonts w:ascii="Arial" w:eastAsia="Calibri" w:hAnsi="Arial" w:cs="Arial"/>
          <w:sz w:val="22"/>
          <w:lang w:val="es-ES"/>
        </w:rPr>
        <w:t xml:space="preserve"> conforme al artículo 2.2.1.1.1.3.1 del Decreto 1082 de 2015, por lo que el deber de publicarlo encuentra apoyo en normas distintas del artículo 2.2.1.1.1.7.1 </w:t>
      </w:r>
      <w:r w:rsidRPr="00883371">
        <w:rPr>
          <w:rFonts w:ascii="Arial" w:eastAsia="Calibri" w:hAnsi="Arial" w:cs="Arial"/>
          <w:i/>
          <w:iCs/>
          <w:sz w:val="22"/>
          <w:lang w:val="es-ES"/>
        </w:rPr>
        <w:t xml:space="preserve">Ibídem. </w:t>
      </w:r>
      <w:r w:rsidRPr="00883371">
        <w:rPr>
          <w:rFonts w:ascii="Arial" w:eastAsia="Calibri" w:hAnsi="Arial" w:cs="Arial"/>
          <w:sz w:val="22"/>
          <w:lang w:val="es-ES"/>
        </w:rPr>
        <w:t xml:space="preserve">Es el artículo 74 de la Ley 1474 de </w:t>
      </w:r>
      <w:r w:rsidRPr="00883371">
        <w:rPr>
          <w:rFonts w:ascii="Arial" w:eastAsia="Calibri" w:hAnsi="Arial" w:cs="Arial"/>
          <w:sz w:val="22"/>
          <w:lang w:val="es-ES"/>
        </w:rPr>
        <w:lastRenderedPageBreak/>
        <w:t>2011</w:t>
      </w:r>
      <w:r w:rsidRPr="00883371">
        <w:rPr>
          <w:rStyle w:val="Refdenotaalpie"/>
          <w:rFonts w:ascii="Arial" w:eastAsia="Calibri" w:hAnsi="Arial" w:cs="Arial"/>
          <w:sz w:val="22"/>
          <w:lang w:val="es-ES"/>
        </w:rPr>
        <w:footnoteReference w:id="28"/>
      </w:r>
      <w:r w:rsidRPr="00883371">
        <w:rPr>
          <w:rFonts w:ascii="Arial" w:eastAsia="Calibri" w:hAnsi="Arial" w:cs="Arial"/>
          <w:sz w:val="22"/>
          <w:lang w:val="es-ES"/>
        </w:rPr>
        <w:t xml:space="preserve"> el que dispone que </w:t>
      </w:r>
      <w:r w:rsidRPr="00883371">
        <w:rPr>
          <w:rFonts w:ascii="Arial" w:hAnsi="Arial" w:cs="Arial"/>
          <w:sz w:val="22"/>
          <w:lang w:val="es-ES"/>
        </w:rPr>
        <w:t xml:space="preserve">a más tardar el 31 de enero de cada año las entidades deben publicar, en su página web, el Plan de Acción para el año siguiente; y el artículo </w:t>
      </w:r>
      <w:r w:rsidRPr="00883371">
        <w:rPr>
          <w:rStyle w:val="Textoennegrita"/>
          <w:rFonts w:ascii="Arial" w:hAnsi="Arial" w:cs="Arial"/>
          <w:b w:val="0"/>
          <w:bCs w:val="0"/>
          <w:sz w:val="22"/>
          <w:lang w:val="es-ES"/>
        </w:rPr>
        <w:t>2.2.1.1.1.4.3</w:t>
      </w:r>
      <w:r w:rsidRPr="00883371">
        <w:rPr>
          <w:rStyle w:val="Refdenotaalpie"/>
          <w:rFonts w:ascii="Arial" w:hAnsi="Arial" w:cs="Arial"/>
          <w:sz w:val="22"/>
          <w:lang w:val="es-ES"/>
        </w:rPr>
        <w:footnoteReference w:id="29"/>
      </w:r>
      <w:r w:rsidRPr="00883371">
        <w:rPr>
          <w:rStyle w:val="Textoennegrita"/>
          <w:rFonts w:ascii="Arial" w:hAnsi="Arial" w:cs="Arial"/>
          <w:sz w:val="22"/>
          <w:lang w:val="es-ES"/>
        </w:rPr>
        <w:t xml:space="preserve"> </w:t>
      </w:r>
      <w:r w:rsidRPr="00883371">
        <w:rPr>
          <w:rStyle w:val="Textoennegrita"/>
          <w:rFonts w:ascii="Arial" w:hAnsi="Arial" w:cs="Arial"/>
          <w:b w:val="0"/>
          <w:bCs w:val="0"/>
          <w:sz w:val="22"/>
          <w:lang w:val="es-ES"/>
        </w:rPr>
        <w:t>del Decreto 1082 de 2015 también exige publicarlo en la página web de la entidad y además en el SECOP; así como también lo indica el citado artículo 2.1.1.2.1.10 del Decreto 1081 de 2015.</w:t>
      </w:r>
    </w:p>
    <w:p w14:paraId="132C9548" w14:textId="6C36A5B5" w:rsidR="00D12042" w:rsidRPr="00883371" w:rsidRDefault="00D12042" w:rsidP="00D12042">
      <w:pPr>
        <w:spacing w:after="120" w:line="276" w:lineRule="auto"/>
        <w:ind w:firstLine="709"/>
        <w:jc w:val="both"/>
        <w:rPr>
          <w:rFonts w:ascii="Arial" w:eastAsia="Arial" w:hAnsi="Arial" w:cs="Arial"/>
          <w:sz w:val="22"/>
          <w:lang w:val="es-ES"/>
        </w:rPr>
      </w:pPr>
      <w:r w:rsidRPr="00883371">
        <w:rPr>
          <w:rStyle w:val="Textoennegrita"/>
          <w:rFonts w:ascii="Arial" w:hAnsi="Arial" w:cs="Arial"/>
          <w:b w:val="0"/>
          <w:bCs w:val="0"/>
          <w:sz w:val="22"/>
          <w:lang w:val="es-ES"/>
        </w:rPr>
        <w:t xml:space="preserve">En conclusión, con base en los fundamentos normativos y argumentos expuestos, además del Plan Anual de Adquisiciones, las entidades estatales regidas por el EGCAP deberán publicar en SECOP, entre otros, los siguientes documentos expedidos con ocasión del </w:t>
      </w:r>
      <w:r w:rsidRPr="00883371">
        <w:rPr>
          <w:rStyle w:val="Textoennegrita"/>
          <w:rFonts w:ascii="Arial" w:hAnsi="Arial" w:cs="Arial"/>
          <w:b w:val="0"/>
          <w:bCs w:val="0"/>
          <w:i/>
          <w:iCs/>
          <w:sz w:val="22"/>
          <w:lang w:val="es-ES"/>
        </w:rPr>
        <w:t>proceso de contratación</w:t>
      </w:r>
      <w:r w:rsidRPr="00883371">
        <w:rPr>
          <w:rStyle w:val="Textoennegrita"/>
          <w:rFonts w:ascii="Arial" w:hAnsi="Arial" w:cs="Arial"/>
          <w:b w:val="0"/>
          <w:bCs w:val="0"/>
          <w:sz w:val="22"/>
          <w:lang w:val="es-ES"/>
        </w:rPr>
        <w:t xml:space="preserve">: i) el estudio de oportunidad y conveniencia; ii) </w:t>
      </w:r>
      <w:r w:rsidRPr="00883371">
        <w:rPr>
          <w:rFonts w:ascii="Arial" w:hAnsi="Arial" w:cs="Arial"/>
          <w:sz w:val="22"/>
          <w:lang w:val="es-ES"/>
        </w:rPr>
        <w:t xml:space="preserve">los estudios y documentos previos –técnicos o no–; iii) el  aviso de convocatoria; iv) el proyecto de pliego de condiciones y las observaciones que le formulen; v) el pliego de condiciones o la invitación, así como las observaciones que se les realicen; vi) las actas de la audiencia de asignación de riesgos; vii) el acta de cierre del plazo para presentar ofertas; viii) las adendas; ix) en  procesos cuya publicación deba realizarse en SECOP I, la oferta del adjudicatario y las aclaraciones que se le realicen; x) el informe de precalificación y las observaciones que se formulen; xi) el informe de evaluación y las observaciones que se formulen; xii) las respuestas a las observaciones; xiii) el contrato y los otrosíes o modificaciones; xiv) el acta de inicio; xv) las garantías; xvi) el acta de liquidación; xvii) los actos administrativos expedidos con ocasión del procedimiento de selección o la ejecución del contrato, como las resoluciones de apertura, de adjudicación, las que se impongan multas, la cláusula penal o declaren la caducidad del contrato; xviii) los documentos de los procesos por incumplimiento contractual que se lleven a cabo conforme al artículo 86 de la Ley 1474 de 2011, como la citación, las pruebas que se practiquen, la resolución que resuelve la actuación y demás documentos que se produzcan; ix) las reclamaciones que presenten las partes y las respuestas que se expidan a las mismas; xx) las actas de entrega o recibo, xxi) los informes de supervisión y/o interventoría; xxii) en cuanto a la ejecución, de conformidad con el artículo 2.1.1.2.1.8 de Decreto 1081 de 2015, deberán publicarse las </w:t>
      </w:r>
      <w:r w:rsidRPr="00883371">
        <w:rPr>
          <w:rFonts w:ascii="Arial" w:hAnsi="Arial" w:cs="Arial"/>
          <w:sz w:val="22"/>
          <w:lang w:val="es-ES"/>
        </w:rPr>
        <w:lastRenderedPageBreak/>
        <w:t xml:space="preserve">aprobaciones, autorizaciones, requerimientos o informes del supervisor o del interventor, que prueben la ejecución del contrato; xxiii) la liquidación unilateral; y xxiv) en general cualquier otro documento producido o expedido con ocasión del </w:t>
      </w:r>
      <w:r w:rsidRPr="00883371">
        <w:rPr>
          <w:rFonts w:ascii="Arial" w:hAnsi="Arial" w:cs="Arial"/>
          <w:i/>
          <w:iCs/>
          <w:sz w:val="22"/>
          <w:lang w:val="es-ES"/>
        </w:rPr>
        <w:t>Proceso de Contratación</w:t>
      </w:r>
      <w:r w:rsidRPr="00883371">
        <w:rPr>
          <w:rFonts w:ascii="Arial" w:hAnsi="Arial" w:cs="Arial"/>
          <w:sz w:val="22"/>
          <w:lang w:val="es-ES"/>
        </w:rPr>
        <w:t>, sin importar quién sea su autor –la Administración o el contratista–, con excepción de los que pertenecen a</w:t>
      </w:r>
      <w:r w:rsidRPr="00883371">
        <w:rPr>
          <w:rFonts w:ascii="Arial" w:eastAsia="Arial" w:hAnsi="Arial" w:cs="Arial"/>
          <w:sz w:val="22"/>
          <w:lang w:val="es-ES"/>
        </w:rPr>
        <w:t xml:space="preserve">l marco de operaciones de bolsa de productos, expresamente excluidos de publicación por el artículo 2.2.1.1.1.7.1. del Decreto 1082 de 2015. </w:t>
      </w:r>
    </w:p>
    <w:p w14:paraId="3067B496" w14:textId="7D6CD400" w:rsidR="00D12042" w:rsidRPr="00883371" w:rsidRDefault="00D12042" w:rsidP="007D19CE">
      <w:pPr>
        <w:spacing w:after="120" w:line="276" w:lineRule="auto"/>
        <w:ind w:firstLine="709"/>
        <w:jc w:val="both"/>
        <w:rPr>
          <w:rFonts w:ascii="Arial" w:hAnsi="Arial" w:cs="Arial"/>
          <w:sz w:val="22"/>
          <w:lang w:val="es-ES"/>
        </w:rPr>
      </w:pPr>
      <w:r w:rsidRPr="00883371">
        <w:rPr>
          <w:rFonts w:ascii="Arial" w:hAnsi="Arial" w:cs="Arial"/>
          <w:sz w:val="22"/>
          <w:lang w:val="es-ES"/>
        </w:rPr>
        <w:t>Sin perjuicio de lo anterior, no debe perderse de vista que en virtud del principio de transparencia, específicamente por cuenta de lo dispuesto en el numeral 4 del artículo 24 de la Ley 80 de 1993</w:t>
      </w:r>
      <w:r w:rsidRPr="00883371">
        <w:rPr>
          <w:rStyle w:val="Refdenotaalpie"/>
          <w:rFonts w:ascii="Arial" w:hAnsi="Arial" w:cs="Arial"/>
          <w:sz w:val="22"/>
          <w:lang w:val="es-ES"/>
        </w:rPr>
        <w:footnoteReference w:id="30"/>
      </w:r>
      <w:r w:rsidRPr="00883371">
        <w:rPr>
          <w:rFonts w:ascii="Arial" w:hAnsi="Arial" w:cs="Arial"/>
          <w:sz w:val="22"/>
          <w:lang w:val="es-ES"/>
        </w:rPr>
        <w:t>, así como por el principio de máxima publicidad establecido en el artículo 2 de la Ley 1712 de 2014</w:t>
      </w:r>
      <w:r w:rsidRPr="00883371">
        <w:rPr>
          <w:rStyle w:val="Refdenotaalpie"/>
          <w:rFonts w:ascii="Arial" w:hAnsi="Arial" w:cs="Arial"/>
          <w:sz w:val="22"/>
          <w:lang w:val="es-ES"/>
        </w:rPr>
        <w:footnoteReference w:id="31"/>
      </w:r>
      <w:r w:rsidRPr="00883371">
        <w:rPr>
          <w:rFonts w:ascii="Arial" w:hAnsi="Arial" w:cs="Arial"/>
          <w:sz w:val="22"/>
          <w:lang w:val="es-ES"/>
        </w:rPr>
        <w:t>, el contenido del expediente en el que reposa la actuación es información pública, independientemente de si se trata de documentos que deban  ser publicados en SECOP, razón por la que pueden ser objeto de solicitud de copias, en ejercicio del derecho de petición, en cualquier momento del proceso de selección, en la medida en que las normas señaladas no imponen ningún condicionamiento, así que podrán solicitarlas cualquier persona, dentro de lo que cabe la vigilancia de la contratación pública, cuestión que podría interesar a cualquier ciudadano</w:t>
      </w:r>
      <w:r w:rsidRPr="00883371">
        <w:rPr>
          <w:rStyle w:val="Refdenotaalpie"/>
          <w:rFonts w:ascii="Arial" w:hAnsi="Arial" w:cs="Arial"/>
          <w:sz w:val="22"/>
          <w:lang w:val="es-ES"/>
        </w:rPr>
        <w:footnoteReference w:id="32"/>
      </w:r>
      <w:r w:rsidRPr="00883371">
        <w:rPr>
          <w:rFonts w:ascii="Arial" w:hAnsi="Arial" w:cs="Arial"/>
          <w:sz w:val="22"/>
          <w:lang w:val="es-ES"/>
        </w:rPr>
        <w:t>. Esta posibilidad solo se encuentra limitada respecto de la documentación que tenga la calidad de reservada</w:t>
      </w:r>
      <w:r w:rsidRPr="00883371">
        <w:rPr>
          <w:rFonts w:ascii="Arial" w:hAnsi="Arial" w:cs="Arial"/>
          <w:sz w:val="22"/>
          <w:vertAlign w:val="superscript"/>
          <w:lang w:val="es-ES"/>
        </w:rPr>
        <w:footnoteReference w:id="33"/>
      </w:r>
      <w:r w:rsidRPr="00883371">
        <w:rPr>
          <w:rFonts w:ascii="Arial" w:hAnsi="Arial" w:cs="Arial"/>
          <w:sz w:val="22"/>
          <w:lang w:val="es-ES"/>
        </w:rPr>
        <w:t xml:space="preserve">, que deberá </w:t>
      </w:r>
      <w:r w:rsidRPr="00883371">
        <w:rPr>
          <w:rFonts w:ascii="Arial" w:hAnsi="Arial" w:cs="Arial"/>
          <w:sz w:val="22"/>
          <w:lang w:val="es-ES"/>
        </w:rPr>
        <w:lastRenderedPageBreak/>
        <w:t>someterse al tratamiento establecido en el</w:t>
      </w:r>
      <w:r w:rsidR="008242C7" w:rsidRPr="00883371">
        <w:rPr>
          <w:rFonts w:ascii="Arial" w:hAnsi="Arial" w:cs="Arial"/>
          <w:sz w:val="22"/>
          <w:lang w:val="es-ES"/>
        </w:rPr>
        <w:t xml:space="preserve"> tercer inciso del</w:t>
      </w:r>
      <w:r w:rsidRPr="00883371">
        <w:rPr>
          <w:rFonts w:ascii="Arial" w:hAnsi="Arial" w:cs="Arial"/>
          <w:sz w:val="22"/>
          <w:lang w:val="es-ES"/>
        </w:rPr>
        <w:t xml:space="preserve"> artículo 36 del CPACA</w:t>
      </w:r>
      <w:r w:rsidR="008242C7" w:rsidRPr="00883371">
        <w:rPr>
          <w:rStyle w:val="Refdenotaalpie"/>
          <w:rFonts w:ascii="Arial" w:hAnsi="Arial" w:cs="Arial"/>
          <w:sz w:val="22"/>
          <w:lang w:val="es-ES"/>
        </w:rPr>
        <w:footnoteReference w:id="34"/>
      </w:r>
      <w:r w:rsidRPr="00883371">
        <w:rPr>
          <w:rFonts w:ascii="Arial" w:hAnsi="Arial" w:cs="Arial"/>
          <w:sz w:val="22"/>
          <w:lang w:val="es-ES"/>
        </w:rPr>
        <w:t>, en lo relativo a la formación de cuadernos separados</w:t>
      </w:r>
      <w:r w:rsidRPr="00883371">
        <w:rPr>
          <w:rFonts w:ascii="Arial" w:hAnsi="Arial" w:cs="Arial"/>
          <w:sz w:val="22"/>
          <w:vertAlign w:val="superscript"/>
          <w:lang w:val="es-ES"/>
        </w:rPr>
        <w:footnoteReference w:id="35"/>
      </w:r>
      <w:r w:rsidRPr="00883371">
        <w:rPr>
          <w:rFonts w:ascii="Arial" w:hAnsi="Arial" w:cs="Arial"/>
          <w:sz w:val="22"/>
          <w:lang w:val="es-ES"/>
        </w:rPr>
        <w:t>.</w:t>
      </w:r>
    </w:p>
    <w:p w14:paraId="71D9EC7D" w14:textId="115ECB47" w:rsidR="007D19CE" w:rsidRPr="00883371" w:rsidRDefault="007D19CE" w:rsidP="00DF3106">
      <w:pPr>
        <w:spacing w:after="120" w:line="276" w:lineRule="auto"/>
        <w:ind w:firstLine="709"/>
        <w:jc w:val="both"/>
        <w:rPr>
          <w:rFonts w:ascii="Arial" w:hAnsi="Arial" w:cs="Arial"/>
          <w:sz w:val="22"/>
        </w:rPr>
      </w:pPr>
      <w:r w:rsidRPr="00883371">
        <w:rPr>
          <w:rFonts w:ascii="Arial" w:hAnsi="Arial" w:cs="Arial"/>
          <w:sz w:val="22"/>
          <w:lang w:val="es-ES"/>
        </w:rPr>
        <w:t>Conforme a lo anterior, las aclaraciones efectuadas por los proponentes ante los requerimientos realizados por la entidad estatal en virtud del artículo 2.2.1.1.2.2.4 del Decreto 1082 de 2015</w:t>
      </w:r>
      <w:r w:rsidRPr="00883371">
        <w:rPr>
          <w:rStyle w:val="Refdenotaalpie"/>
          <w:rFonts w:ascii="Arial" w:hAnsi="Arial" w:cs="Arial"/>
          <w:sz w:val="22"/>
          <w:lang w:val="es-ES"/>
        </w:rPr>
        <w:footnoteReference w:id="36"/>
      </w:r>
      <w:r w:rsidRPr="00883371">
        <w:rPr>
          <w:rFonts w:ascii="Arial" w:hAnsi="Arial" w:cs="Arial"/>
          <w:sz w:val="22"/>
          <w:lang w:val="es-ES"/>
        </w:rPr>
        <w:t xml:space="preserve">, </w:t>
      </w:r>
      <w:r w:rsidR="008242C7" w:rsidRPr="00883371">
        <w:rPr>
          <w:rFonts w:ascii="Arial" w:hAnsi="Arial" w:cs="Arial"/>
          <w:sz w:val="22"/>
          <w:lang w:val="es-ES"/>
        </w:rPr>
        <w:t xml:space="preserve">en principio, deben ser publicadas en el SECOP, comoquiera que </w:t>
      </w:r>
      <w:r w:rsidR="008242C7" w:rsidRPr="00883371">
        <w:rPr>
          <w:rFonts w:ascii="Arial" w:hAnsi="Arial" w:cs="Arial"/>
          <w:sz w:val="22"/>
          <w:lang w:val="es-ES"/>
        </w:rPr>
        <w:lastRenderedPageBreak/>
        <w:t xml:space="preserve">son documentos expedidos con ocasión del </w:t>
      </w:r>
      <w:r w:rsidR="008242C7" w:rsidRPr="00883371">
        <w:rPr>
          <w:rFonts w:ascii="Arial" w:hAnsi="Arial" w:cs="Arial"/>
          <w:i/>
          <w:iCs/>
          <w:sz w:val="22"/>
          <w:lang w:val="es-ES"/>
        </w:rPr>
        <w:t xml:space="preserve">Proceso de Contratación. </w:t>
      </w:r>
      <w:r w:rsidR="008242C7" w:rsidRPr="00883371">
        <w:rPr>
          <w:rFonts w:ascii="Arial" w:hAnsi="Arial" w:cs="Arial"/>
          <w:sz w:val="22"/>
          <w:lang w:val="es-ES"/>
        </w:rPr>
        <w:t xml:space="preserve">No obstante, </w:t>
      </w:r>
      <w:r w:rsidR="004F49DA" w:rsidRPr="00883371">
        <w:rPr>
          <w:rFonts w:ascii="Arial" w:hAnsi="Arial" w:cs="Arial"/>
          <w:sz w:val="22"/>
          <w:lang w:val="es-ES"/>
        </w:rPr>
        <w:t xml:space="preserve">puede suceder que </w:t>
      </w:r>
      <w:r w:rsidR="008242C7" w:rsidRPr="00883371">
        <w:rPr>
          <w:rFonts w:ascii="Arial" w:hAnsi="Arial" w:cs="Arial"/>
          <w:sz w:val="22"/>
          <w:lang w:val="es-ES"/>
        </w:rPr>
        <w:t xml:space="preserve">dentro del contenido de </w:t>
      </w:r>
      <w:proofErr w:type="gramStart"/>
      <w:r w:rsidR="008242C7" w:rsidRPr="00883371">
        <w:rPr>
          <w:rFonts w:ascii="Arial" w:hAnsi="Arial" w:cs="Arial"/>
          <w:sz w:val="22"/>
          <w:lang w:val="es-ES"/>
        </w:rPr>
        <w:t>la  aclaración</w:t>
      </w:r>
      <w:proofErr w:type="gramEnd"/>
      <w:r w:rsidR="008242C7" w:rsidRPr="00883371">
        <w:rPr>
          <w:rFonts w:ascii="Arial" w:hAnsi="Arial" w:cs="Arial"/>
          <w:sz w:val="22"/>
          <w:lang w:val="es-ES"/>
        </w:rPr>
        <w:t xml:space="preserve"> dada por el proponente se evidenci</w:t>
      </w:r>
      <w:r w:rsidR="004F49DA" w:rsidRPr="00883371">
        <w:rPr>
          <w:rFonts w:ascii="Arial" w:hAnsi="Arial" w:cs="Arial"/>
          <w:sz w:val="22"/>
          <w:lang w:val="es-ES"/>
        </w:rPr>
        <w:t>e</w:t>
      </w:r>
      <w:r w:rsidR="008242C7" w:rsidRPr="00883371">
        <w:rPr>
          <w:rFonts w:ascii="Arial" w:hAnsi="Arial" w:cs="Arial"/>
          <w:sz w:val="22"/>
          <w:lang w:val="es-ES"/>
        </w:rPr>
        <w:t xml:space="preserve"> información que tenga el carácter de reservada</w:t>
      </w:r>
      <w:r w:rsidR="000C733A" w:rsidRPr="00883371">
        <w:rPr>
          <w:rFonts w:ascii="Arial" w:hAnsi="Arial" w:cs="Arial"/>
          <w:sz w:val="22"/>
          <w:lang w:val="es-ES"/>
        </w:rPr>
        <w:t xml:space="preserve"> de conformidad con la Constitución y la ley</w:t>
      </w:r>
      <w:r w:rsidR="004F49DA" w:rsidRPr="00883371">
        <w:rPr>
          <w:rFonts w:ascii="Arial" w:hAnsi="Arial" w:cs="Arial"/>
          <w:sz w:val="22"/>
          <w:lang w:val="es-ES"/>
        </w:rPr>
        <w:t xml:space="preserve"> en los términos del artículo 24 del CPACA, o cuya publicidad pudiese atentar contra los derechos d</w:t>
      </w:r>
      <w:r w:rsidR="004F49DA" w:rsidRPr="00883371">
        <w:rPr>
          <w:rFonts w:ascii="Arial" w:hAnsi="Arial" w:cs="Arial"/>
          <w:sz w:val="22"/>
        </w:rPr>
        <w:t>e toda persona a la intimidad</w:t>
      </w:r>
      <w:r w:rsidR="004F49DA" w:rsidRPr="00883371">
        <w:rPr>
          <w:rFonts w:ascii="Arial" w:hAnsi="Arial" w:cs="Arial"/>
          <w:sz w:val="22"/>
          <w:lang w:val="es-ES"/>
        </w:rPr>
        <w:t>, v</w:t>
      </w:r>
      <w:r w:rsidR="004F49DA" w:rsidRPr="00883371">
        <w:rPr>
          <w:rFonts w:ascii="Arial" w:hAnsi="Arial" w:cs="Arial"/>
          <w:sz w:val="22"/>
        </w:rPr>
        <w:t>ida, salud, seguridad o los secretos comerciales, industriales y profesionales de conformidad con el artículo 18 de la Ley 1712 de 2014</w:t>
      </w:r>
      <w:r w:rsidR="004F49DA" w:rsidRPr="00883371">
        <w:rPr>
          <w:rStyle w:val="Refdenotaalpie"/>
          <w:rFonts w:ascii="Arial" w:hAnsi="Arial" w:cs="Arial"/>
          <w:sz w:val="22"/>
        </w:rPr>
        <w:footnoteReference w:id="37"/>
      </w:r>
      <w:r w:rsidR="00DF3106" w:rsidRPr="00883371">
        <w:rPr>
          <w:rFonts w:ascii="Arial" w:hAnsi="Arial" w:cs="Arial"/>
          <w:sz w:val="22"/>
        </w:rPr>
        <w:t xml:space="preserve">. </w:t>
      </w:r>
    </w:p>
    <w:p w14:paraId="7CA90CC0" w14:textId="456498B8" w:rsidR="00DF3106" w:rsidRPr="00883371" w:rsidRDefault="00DF3106" w:rsidP="00DF3106">
      <w:pPr>
        <w:spacing w:after="120" w:line="276" w:lineRule="auto"/>
        <w:ind w:firstLine="709"/>
        <w:jc w:val="both"/>
        <w:rPr>
          <w:rFonts w:ascii="Arial" w:hAnsi="Arial" w:cs="Arial"/>
          <w:sz w:val="22"/>
        </w:rPr>
      </w:pPr>
      <w:r w:rsidRPr="00883371">
        <w:rPr>
          <w:rFonts w:ascii="Arial" w:hAnsi="Arial" w:cs="Arial"/>
          <w:sz w:val="22"/>
        </w:rPr>
        <w:t xml:space="preserve">En tales eventos, al estar restringida la publicidad y acceso a la información, la entidad deberá abstenerse de publicar en el SECOP la información correspondiente, y dar a la misma el tratamiento establecido en el inciso tercero del artículo 36 del CPACA, depositando el respectivo documento en un cuaderno separado del cuaderno principal en el que se desarrolla el proceso de contratación. </w:t>
      </w:r>
    </w:p>
    <w:p w14:paraId="3F43A702" w14:textId="054187F8" w:rsidR="00DF3106" w:rsidRPr="00883371" w:rsidRDefault="00DF3106" w:rsidP="00E216F2">
      <w:pPr>
        <w:spacing w:line="276" w:lineRule="auto"/>
        <w:ind w:firstLine="709"/>
        <w:jc w:val="both"/>
        <w:rPr>
          <w:rFonts w:ascii="Arial" w:hAnsi="Arial" w:cs="Arial"/>
          <w:sz w:val="22"/>
          <w:lang w:val="es-ES"/>
        </w:rPr>
      </w:pPr>
      <w:r w:rsidRPr="00883371">
        <w:rPr>
          <w:rFonts w:ascii="Arial" w:hAnsi="Arial" w:cs="Arial"/>
          <w:sz w:val="22"/>
        </w:rPr>
        <w:t>En todo caso, correspo</w:t>
      </w:r>
      <w:r w:rsidR="004C1F63" w:rsidRPr="00883371">
        <w:rPr>
          <w:rFonts w:ascii="Arial" w:hAnsi="Arial" w:cs="Arial"/>
          <w:sz w:val="22"/>
        </w:rPr>
        <w:t>n</w:t>
      </w:r>
      <w:r w:rsidRPr="00883371">
        <w:rPr>
          <w:rFonts w:ascii="Arial" w:hAnsi="Arial" w:cs="Arial"/>
          <w:sz w:val="22"/>
        </w:rPr>
        <w:t xml:space="preserve">derá a la </w:t>
      </w:r>
      <w:r w:rsidR="004C1F63" w:rsidRPr="00883371">
        <w:rPr>
          <w:rFonts w:ascii="Arial" w:hAnsi="Arial" w:cs="Arial"/>
          <w:sz w:val="22"/>
        </w:rPr>
        <w:t>entidad determinar si la información suministrada por el proponente en su aclaración se encuentra o no sometida a reserva de conformidad con la Constitución y la Ley. De no estar restringida su publicidad deberá proceder conforme a la regla general derivada d</w:t>
      </w:r>
      <w:r w:rsidR="004C1F63" w:rsidRPr="00883371">
        <w:rPr>
          <w:rFonts w:ascii="Arial" w:eastAsia="Calibri" w:hAnsi="Arial" w:cs="Arial"/>
          <w:sz w:val="22"/>
          <w:lang w:val="es-ES"/>
        </w:rPr>
        <w:t>e los artículos 3 de la Ley 1150 de 2007, 11 literal g de la Ley 1712 de 2014, 2.2.1.1.1.7.1 del Decreto 1082 de 2015,  2.1.1.2.1.7, 2.1.1.2.1.8, 2.1.1.2.1.9 y 2.1.1.2.1.10 del Decreto 1081 de 2015, que impone su publicación en el SECOP</w:t>
      </w:r>
      <w:r w:rsidR="00034AE1" w:rsidRPr="00883371">
        <w:rPr>
          <w:rFonts w:ascii="Arial" w:eastAsia="Calibri" w:hAnsi="Arial" w:cs="Arial"/>
          <w:sz w:val="22"/>
          <w:lang w:val="es-ES"/>
        </w:rPr>
        <w:t xml:space="preserve"> II</w:t>
      </w:r>
      <w:r w:rsidR="004C1F63" w:rsidRPr="00883371">
        <w:rPr>
          <w:rFonts w:ascii="Arial" w:eastAsia="Calibri" w:hAnsi="Arial" w:cs="Arial"/>
          <w:sz w:val="22"/>
          <w:lang w:val="es-ES"/>
        </w:rPr>
        <w:t>.</w:t>
      </w:r>
    </w:p>
    <w:p w14:paraId="75F23696" w14:textId="01BA5D87" w:rsidR="00994553" w:rsidRPr="00883371" w:rsidRDefault="00994553" w:rsidP="0077764F">
      <w:pPr>
        <w:spacing w:line="276" w:lineRule="auto"/>
        <w:jc w:val="both"/>
        <w:rPr>
          <w:rFonts w:ascii="Arial" w:eastAsia="Calibri" w:hAnsi="Arial" w:cs="Arial"/>
          <w:b/>
          <w:sz w:val="22"/>
        </w:rPr>
      </w:pPr>
    </w:p>
    <w:p w14:paraId="65A2BEB6" w14:textId="2F7B2E94" w:rsidR="00883371" w:rsidRPr="00883371" w:rsidRDefault="00883371" w:rsidP="0077764F">
      <w:pPr>
        <w:spacing w:line="276" w:lineRule="auto"/>
        <w:jc w:val="both"/>
        <w:rPr>
          <w:rFonts w:ascii="Arial" w:eastAsia="Calibri" w:hAnsi="Arial" w:cs="Arial"/>
          <w:b/>
          <w:sz w:val="22"/>
        </w:rPr>
      </w:pPr>
    </w:p>
    <w:p w14:paraId="23B6A1CF" w14:textId="306A44F6" w:rsidR="00883371" w:rsidRPr="00883371" w:rsidRDefault="00883371" w:rsidP="0077764F">
      <w:pPr>
        <w:spacing w:line="276" w:lineRule="auto"/>
        <w:jc w:val="both"/>
        <w:rPr>
          <w:rFonts w:ascii="Arial" w:eastAsia="Calibri" w:hAnsi="Arial" w:cs="Arial"/>
          <w:b/>
          <w:sz w:val="22"/>
        </w:rPr>
      </w:pPr>
    </w:p>
    <w:p w14:paraId="77E46522" w14:textId="77777777" w:rsidR="00883371" w:rsidRPr="00883371" w:rsidRDefault="00883371" w:rsidP="0077764F">
      <w:pPr>
        <w:spacing w:line="276" w:lineRule="auto"/>
        <w:jc w:val="both"/>
        <w:rPr>
          <w:rFonts w:ascii="Arial" w:eastAsia="Calibri" w:hAnsi="Arial" w:cs="Arial"/>
          <w:b/>
          <w:sz w:val="22"/>
        </w:rPr>
      </w:pPr>
    </w:p>
    <w:p w14:paraId="6841C124" w14:textId="66AC2AC8" w:rsidR="0077764F" w:rsidRPr="00883371" w:rsidRDefault="0077764F" w:rsidP="0077764F">
      <w:pPr>
        <w:spacing w:line="276" w:lineRule="auto"/>
        <w:jc w:val="both"/>
        <w:rPr>
          <w:rFonts w:ascii="Arial" w:eastAsia="Calibri" w:hAnsi="Arial" w:cs="Arial"/>
          <w:b/>
          <w:sz w:val="22"/>
        </w:rPr>
      </w:pPr>
      <w:r w:rsidRPr="00883371">
        <w:rPr>
          <w:rFonts w:ascii="Arial" w:eastAsia="Calibri" w:hAnsi="Arial" w:cs="Arial"/>
          <w:b/>
          <w:sz w:val="22"/>
        </w:rPr>
        <w:t xml:space="preserve">2.4 Publicidad en las plataformas SECOP I y II </w:t>
      </w:r>
    </w:p>
    <w:p w14:paraId="3D9B71A6" w14:textId="77777777" w:rsidR="0077764F" w:rsidRPr="00883371" w:rsidRDefault="0077764F" w:rsidP="0077764F">
      <w:pPr>
        <w:spacing w:line="276" w:lineRule="auto"/>
        <w:jc w:val="both"/>
        <w:rPr>
          <w:rFonts w:ascii="Arial" w:eastAsia="Calibri" w:hAnsi="Arial" w:cs="Arial"/>
          <w:b/>
          <w:sz w:val="16"/>
          <w:szCs w:val="16"/>
        </w:rPr>
      </w:pPr>
    </w:p>
    <w:p w14:paraId="0F63B28B" w14:textId="77777777" w:rsidR="0077764F" w:rsidRPr="00883371" w:rsidRDefault="0077764F" w:rsidP="0077764F">
      <w:pPr>
        <w:spacing w:after="120" w:line="276" w:lineRule="auto"/>
        <w:jc w:val="both"/>
        <w:rPr>
          <w:rFonts w:ascii="Arial" w:eastAsia="Calibri" w:hAnsi="Arial" w:cs="Arial"/>
          <w:sz w:val="22"/>
          <w:lang w:val="es-ES"/>
        </w:rPr>
      </w:pPr>
      <w:r w:rsidRPr="00883371">
        <w:rPr>
          <w:rFonts w:ascii="Arial" w:eastAsia="Calibri" w:hAnsi="Arial" w:cs="Arial"/>
          <w:sz w:val="22"/>
          <w:lang w:val="es-ES"/>
        </w:rPr>
        <w:t>La Agencia Nacional de Contratación Pública – Colombia Compra Eficiente tiene como función  administrar el SECOP</w:t>
      </w:r>
      <w:r w:rsidRPr="00883371">
        <w:rPr>
          <w:rStyle w:val="Refdenotaalpie"/>
          <w:rFonts w:ascii="Arial" w:eastAsia="Calibri" w:hAnsi="Arial" w:cs="Arial"/>
          <w:sz w:val="22"/>
          <w:lang w:val="es-ES"/>
        </w:rPr>
        <w:footnoteReference w:id="38"/>
      </w:r>
      <w:r w:rsidRPr="00883371">
        <w:rPr>
          <w:rFonts w:ascii="Arial" w:eastAsia="Calibri" w:hAnsi="Arial" w:cs="Arial"/>
          <w:sz w:val="22"/>
          <w:lang w:val="es-ES"/>
        </w:rPr>
        <w:t xml:space="preserve">, por lo cual se desarrolló la primera versión  de la </w:t>
      </w:r>
      <w:r w:rsidRPr="00883371">
        <w:rPr>
          <w:rFonts w:ascii="Arial" w:eastAsia="Calibri" w:hAnsi="Arial" w:cs="Arial"/>
          <w:sz w:val="22"/>
          <w:lang w:val="es-ES"/>
        </w:rPr>
        <w:lastRenderedPageBreak/>
        <w:t>plataforma –SECOP I– , que solo funciona como medio de publicidad, es decir, no es transaccional, lo que significa que el procedimiento contractual ocurre fuera de la plataforma, a través de un expediente físico en la entidad, pero las actuaciones y los documentos se convierten en electrónicos para ser cargados a la plataforma, por quien tenga la función dentro de la entidad, de acuerdo con su organización interna.</w:t>
      </w:r>
    </w:p>
    <w:p w14:paraId="7EC52BAD" w14:textId="77777777" w:rsidR="0077764F" w:rsidRPr="00883371" w:rsidRDefault="0077764F" w:rsidP="0077764F">
      <w:pPr>
        <w:spacing w:before="120" w:after="120" w:line="276" w:lineRule="auto"/>
        <w:ind w:firstLine="708"/>
        <w:jc w:val="both"/>
        <w:rPr>
          <w:rFonts w:ascii="Arial" w:eastAsia="Calibri" w:hAnsi="Arial" w:cs="Arial"/>
          <w:sz w:val="22"/>
          <w:lang w:val="es-ES"/>
        </w:rPr>
      </w:pPr>
      <w:r w:rsidRPr="00883371">
        <w:rPr>
          <w:rFonts w:ascii="Arial" w:eastAsia="Calibri" w:hAnsi="Arial" w:cs="Arial"/>
          <w:sz w:val="22"/>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D2979FD" w14:textId="77777777" w:rsidR="0077764F" w:rsidRPr="00883371" w:rsidRDefault="0077764F" w:rsidP="0077764F">
      <w:pPr>
        <w:spacing w:before="120" w:after="120" w:line="276" w:lineRule="auto"/>
        <w:ind w:firstLine="708"/>
        <w:jc w:val="both"/>
        <w:rPr>
          <w:rFonts w:ascii="Arial" w:eastAsia="Calibri" w:hAnsi="Arial" w:cs="Arial"/>
          <w:sz w:val="22"/>
          <w:lang w:val="es-ES"/>
        </w:rPr>
      </w:pPr>
      <w:r w:rsidRPr="00883371">
        <w:rPr>
          <w:rFonts w:ascii="Arial" w:eastAsia="Calibri" w:hAnsi="Arial" w:cs="Arial"/>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w:t>
      </w:r>
    </w:p>
    <w:p w14:paraId="6B39DFB6" w14:textId="77777777" w:rsidR="0077764F" w:rsidRPr="00883371" w:rsidRDefault="0077764F" w:rsidP="0077764F">
      <w:pPr>
        <w:spacing w:before="120" w:after="120" w:line="276" w:lineRule="auto"/>
        <w:ind w:firstLine="708"/>
        <w:jc w:val="both"/>
        <w:rPr>
          <w:rFonts w:ascii="Arial" w:eastAsia="Calibri" w:hAnsi="Arial" w:cs="Arial"/>
          <w:sz w:val="22"/>
          <w:lang w:val="es-ES"/>
        </w:rPr>
      </w:pPr>
      <w:r w:rsidRPr="00883371">
        <w:rPr>
          <w:rFonts w:ascii="Arial" w:eastAsia="Calibri" w:hAnsi="Arial" w:cs="Arial"/>
          <w:sz w:val="22"/>
          <w:lang w:val="es-ES"/>
        </w:rPr>
        <w:t xml:space="preserve">Con anterioridad a estas circulares se expidieron la Circular Externa No. 1 de 2013, que regula la publicación en SECOP I de las entidades que contratan con cargo a recursos públicos, y la Circular Externa No. 20 de 2015, que reguló la </w:t>
      </w:r>
      <w:r w:rsidRPr="00883371">
        <w:rPr>
          <w:rFonts w:ascii="Arial" w:hAnsi="Arial" w:cs="Arial"/>
          <w:sz w:val="22"/>
          <w:lang w:val="es-ES"/>
        </w:rPr>
        <w:t>publicidad de la actividad contractual de las empresas industriales y comerciales del Estado, las sociedades de economía mixta y las empresas de servicios públicos domiciliarios que en su actividad comercial están en situación de competencia.</w:t>
      </w:r>
    </w:p>
    <w:p w14:paraId="26482C40" w14:textId="77777777" w:rsidR="0077764F" w:rsidRPr="00883371" w:rsidRDefault="0077764F" w:rsidP="0077764F">
      <w:pPr>
        <w:spacing w:before="120" w:after="120" w:line="276" w:lineRule="auto"/>
        <w:ind w:firstLine="708"/>
        <w:jc w:val="both"/>
        <w:rPr>
          <w:rFonts w:ascii="Arial" w:eastAsia="Calibri" w:hAnsi="Arial" w:cs="Arial"/>
          <w:sz w:val="22"/>
          <w:lang w:val="es-ES"/>
        </w:rPr>
      </w:pPr>
      <w:r w:rsidRPr="00883371">
        <w:rPr>
          <w:rFonts w:ascii="Arial" w:eastAsia="Calibri" w:hAnsi="Arial" w:cs="Arial"/>
          <w:sz w:val="22"/>
          <w:lang w:val="es-ES"/>
        </w:rPr>
        <w:t>El SECOP II, entonces, empezó a ser de uso obligatorio solo para las entidades mencionadas en el Anexo 1 de la Circular Externa No. 1 de 2019, y por ende el SECOP I cumple únicamente la función de repositorio de información.</w:t>
      </w:r>
    </w:p>
    <w:p w14:paraId="39D652B7" w14:textId="77777777" w:rsidR="0077764F" w:rsidRPr="00883371" w:rsidRDefault="0077764F" w:rsidP="0077764F">
      <w:pPr>
        <w:spacing w:before="120" w:after="120" w:line="276" w:lineRule="auto"/>
        <w:ind w:firstLine="708"/>
        <w:jc w:val="both"/>
        <w:rPr>
          <w:rFonts w:ascii="Arial" w:eastAsia="Calibri" w:hAnsi="Arial" w:cs="Arial"/>
          <w:sz w:val="22"/>
          <w:lang w:val="es-ES"/>
        </w:rPr>
      </w:pPr>
      <w:r w:rsidRPr="00883371">
        <w:rPr>
          <w:rFonts w:ascii="Arial" w:eastAsia="Calibri" w:hAnsi="Arial" w:cs="Arial"/>
          <w:sz w:val="22"/>
          <w:lang w:val="es-ES"/>
        </w:rPr>
        <w:t xml:space="preserve">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w:t>
      </w:r>
    </w:p>
    <w:p w14:paraId="6E300A8C" w14:textId="77777777" w:rsidR="0077764F" w:rsidRPr="00883371" w:rsidRDefault="0077764F" w:rsidP="0077764F">
      <w:pPr>
        <w:spacing w:before="120" w:after="120" w:line="276" w:lineRule="auto"/>
        <w:ind w:firstLine="708"/>
        <w:jc w:val="both"/>
        <w:rPr>
          <w:rFonts w:ascii="Arial" w:eastAsia="Calibri" w:hAnsi="Arial" w:cs="Arial"/>
          <w:sz w:val="22"/>
          <w:lang w:val="es-ES"/>
        </w:rPr>
      </w:pPr>
      <w:r w:rsidRPr="00883371">
        <w:rPr>
          <w:rFonts w:ascii="Arial" w:eastAsia="Calibri" w:hAnsi="Arial" w:cs="Arial"/>
          <w:sz w:val="22"/>
          <w:lang w:val="es-ES"/>
        </w:rPr>
        <w:lastRenderedPageBreak/>
        <w:t>Con todo, de acuerdo con lo que se dispuso en la Circular Externa No. 3 de 2020, existen dos grupos de entidades que se excluyeron de dicho plazo.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 Los primeros, porque a la fecha de expedición de la Circular Externa No. 3 no alcanzaron a capacitarse en el uso de la plataforma SECOP II, por lo que se prorrogó el plazo para que se capacitaran en dos meses, correspondiéndoles gestionar sus procesos en SECOP II a partir del 1 de junio de 2020. Los segundos tienen en común un contexto de conectividad en el que «las velocidades de carga son insuficientes para operar la plataforma en [sus] territorios», esto es, problemas de capacidad técnica de las redes, razón por la que se le permitió seguir gestionando sus procesos en medio físico, pero cumpliendo con el deber de publicidad a través de SECOP I.</w:t>
      </w:r>
    </w:p>
    <w:p w14:paraId="4411956B" w14:textId="77777777" w:rsidR="0077764F" w:rsidRPr="00883371" w:rsidRDefault="0077764F" w:rsidP="00E216F2">
      <w:pPr>
        <w:spacing w:before="120" w:line="276" w:lineRule="auto"/>
        <w:ind w:firstLine="708"/>
        <w:jc w:val="both"/>
        <w:rPr>
          <w:rFonts w:ascii="Arial" w:eastAsia="Calibri" w:hAnsi="Arial" w:cs="Arial"/>
          <w:b/>
          <w:sz w:val="22"/>
          <w:lang w:val="es-ES"/>
        </w:rPr>
      </w:pPr>
      <w:r w:rsidRPr="00883371">
        <w:rPr>
          <w:rFonts w:ascii="Arial" w:eastAsia="Calibri" w:hAnsi="Arial" w:cs="Arial"/>
          <w:sz w:val="22"/>
          <w:lang w:val="es-ES"/>
        </w:rPr>
        <w:t>Es del caso precisar que la obligación de realizar procesos de contratación a través de la plataforma SECOP II está asociada a la inclusión de las entidades estatales en los anexos de las referidas circulares, por lo que tratándose de entidades respecto de las cuales la Circular Externa No. 1 de 2019 definió el uso obligatorio de la plataforma, no siendo exceptuadas en circulares subsiguientes, deberán hacer uso de la plataforma. En ese sentido, las entidades estatales incluidas en el Anexo 1 de la Circular Externa No. 1 de 2019, deben cumplir con el deber de evidenciar la actividad contractual con la publicación de los</w:t>
      </w:r>
      <w:r w:rsidRPr="00883371">
        <w:rPr>
          <w:rFonts w:ascii="Arial" w:eastAsia="Calibri" w:hAnsi="Arial" w:cs="Arial"/>
          <w:i/>
          <w:iCs/>
          <w:sz w:val="22"/>
          <w:lang w:val="es-ES"/>
        </w:rPr>
        <w:t xml:space="preserve"> Documentos del Proceso </w:t>
      </w:r>
      <w:r w:rsidRPr="00883371">
        <w:rPr>
          <w:rFonts w:ascii="Arial" w:eastAsia="Calibri" w:hAnsi="Arial" w:cs="Arial"/>
          <w:sz w:val="22"/>
          <w:lang w:val="es-ES"/>
        </w:rPr>
        <w:t>y los actos administrativos del</w:t>
      </w:r>
      <w:r w:rsidRPr="00883371">
        <w:rPr>
          <w:rFonts w:ascii="Arial" w:eastAsia="Calibri" w:hAnsi="Arial" w:cs="Arial"/>
          <w:i/>
          <w:iCs/>
          <w:sz w:val="22"/>
          <w:lang w:val="es-ES"/>
        </w:rPr>
        <w:t xml:space="preserve"> Proceso de Contratación </w:t>
      </w:r>
      <w:r w:rsidRPr="00883371">
        <w:rPr>
          <w:rFonts w:ascii="Arial" w:eastAsia="Calibri" w:hAnsi="Arial" w:cs="Arial"/>
          <w:sz w:val="22"/>
          <w:lang w:val="es-ES"/>
        </w:rPr>
        <w:t>en el SECOP II.</w:t>
      </w:r>
    </w:p>
    <w:p w14:paraId="5BA6BB6B" w14:textId="77777777" w:rsidR="00923029" w:rsidRPr="00883371" w:rsidRDefault="00923029" w:rsidP="009B7F9B">
      <w:pPr>
        <w:pStyle w:val="Prrafodelista"/>
        <w:tabs>
          <w:tab w:val="left" w:pos="284"/>
        </w:tabs>
        <w:spacing w:line="276" w:lineRule="auto"/>
        <w:ind w:left="0"/>
        <w:jc w:val="both"/>
        <w:rPr>
          <w:rFonts w:ascii="Arial" w:eastAsia="Calibri" w:hAnsi="Arial" w:cs="Arial"/>
          <w:b/>
          <w:sz w:val="22"/>
          <w:lang w:val="es-ES"/>
        </w:rPr>
      </w:pPr>
    </w:p>
    <w:p w14:paraId="39997576" w14:textId="0B5875AA" w:rsidR="009B7F9B" w:rsidRPr="00883371" w:rsidRDefault="009B7F9B" w:rsidP="009B7F9B">
      <w:pPr>
        <w:pStyle w:val="Prrafodelista"/>
        <w:tabs>
          <w:tab w:val="left" w:pos="284"/>
        </w:tabs>
        <w:spacing w:line="276" w:lineRule="auto"/>
        <w:ind w:left="0"/>
        <w:jc w:val="both"/>
        <w:rPr>
          <w:rFonts w:ascii="Arial" w:eastAsia="Calibri" w:hAnsi="Arial" w:cs="Arial"/>
          <w:sz w:val="22"/>
          <w:lang w:val="es-ES_tradnl"/>
        </w:rPr>
      </w:pPr>
      <w:r w:rsidRPr="00883371">
        <w:rPr>
          <w:rFonts w:ascii="Arial" w:eastAsia="Calibri" w:hAnsi="Arial" w:cs="Arial"/>
          <w:b/>
          <w:sz w:val="22"/>
          <w:lang w:val="es-ES_tradnl"/>
        </w:rPr>
        <w:t>3. Respuesta</w:t>
      </w:r>
    </w:p>
    <w:p w14:paraId="4F3C0942" w14:textId="77777777" w:rsidR="009B7F9B" w:rsidRPr="00883371" w:rsidRDefault="009B7F9B" w:rsidP="009B7F9B">
      <w:pPr>
        <w:spacing w:line="276" w:lineRule="auto"/>
        <w:ind w:left="709" w:right="709"/>
        <w:jc w:val="both"/>
        <w:rPr>
          <w:rFonts w:ascii="Arial" w:eastAsia="Calibri" w:hAnsi="Arial" w:cs="Arial"/>
          <w:i/>
          <w:sz w:val="22"/>
          <w:lang w:val="es-ES_tradnl"/>
        </w:rPr>
      </w:pPr>
    </w:p>
    <w:p w14:paraId="198A96D5" w14:textId="72AC71B8" w:rsidR="00492D50" w:rsidRPr="00883371" w:rsidRDefault="0077764F" w:rsidP="00923029">
      <w:pPr>
        <w:ind w:left="709" w:right="709"/>
        <w:jc w:val="both"/>
        <w:rPr>
          <w:rFonts w:ascii="Arial" w:hAnsi="Arial" w:cs="Arial"/>
          <w:sz w:val="22"/>
          <w:lang w:val="es-CO"/>
        </w:rPr>
      </w:pPr>
      <w:r w:rsidRPr="00883371">
        <w:rPr>
          <w:rFonts w:ascii="Arial" w:hAnsi="Arial" w:cs="Arial"/>
          <w:sz w:val="22"/>
          <w:lang w:val="es-CO"/>
        </w:rPr>
        <w:t>¿Deben publicarse en SECOP II los convenios interadministrativos celebrados sin asignación de recursos pecuniarios?</w:t>
      </w:r>
    </w:p>
    <w:p w14:paraId="5C9384B2" w14:textId="77777777" w:rsidR="0077764F" w:rsidRPr="00883371" w:rsidRDefault="0077764F" w:rsidP="00923029">
      <w:pPr>
        <w:ind w:left="709" w:right="709"/>
        <w:jc w:val="both"/>
        <w:rPr>
          <w:rFonts w:ascii="Arial" w:eastAsia="Calibri" w:hAnsi="Arial" w:cs="Arial"/>
          <w:sz w:val="21"/>
          <w:szCs w:val="21"/>
          <w:lang w:val="es-ES_tradnl"/>
        </w:rPr>
      </w:pPr>
    </w:p>
    <w:p w14:paraId="101A7696" w14:textId="22568D63" w:rsidR="004C1F63" w:rsidRPr="00883371" w:rsidRDefault="004C1F63" w:rsidP="004C1F63">
      <w:pPr>
        <w:spacing w:before="120" w:after="120" w:line="276" w:lineRule="auto"/>
        <w:jc w:val="both"/>
        <w:rPr>
          <w:rFonts w:ascii="Arial" w:eastAsia="Arial" w:hAnsi="Arial" w:cs="Arial"/>
          <w:sz w:val="22"/>
          <w:lang w:val="es-ES"/>
        </w:rPr>
      </w:pPr>
      <w:bookmarkStart w:id="8" w:name="_Hlk46401513"/>
      <w:r w:rsidRPr="00883371">
        <w:rPr>
          <w:rFonts w:ascii="Arial" w:eastAsia="Calibri" w:hAnsi="Arial" w:cs="Arial"/>
          <w:sz w:val="22"/>
          <w:lang w:val="es-ES"/>
        </w:rPr>
        <w:t xml:space="preserve">Las entidades públicas sometidas al Estatuto General de Contratación de la Administración Pública, que en virtud de su inclusión en el Anexo 1 de la Circular Externa No. 1 de 2019 expedida por la Agencia Nacional de Contratación Pública – Colombia Compra Eficiente, deban gestionar sus procesos de contratación a través de la plataforma SECOP II, de conformidad con el artículo 3 de la Ley 1150 de 2007, desarrollado por el artículo 2.2.1.1.1.7.1 del Decreto 1082 de 2015, así como según el literal g) del artículo 11 de la Ley 1712 de 2014 y los artículos 2.1.1.2.1.7, 2.1.1.2.1.8, 2.1.1.2.1.9 y 2.1.1.2.1.10 del Decreto 1081 de 2015, deben publicar en dicha plataforma, además del Plan Anual de </w:t>
      </w:r>
      <w:r w:rsidRPr="00883371">
        <w:rPr>
          <w:rFonts w:ascii="Arial" w:eastAsia="Calibri" w:hAnsi="Arial" w:cs="Arial"/>
          <w:sz w:val="22"/>
          <w:lang w:val="es-ES"/>
        </w:rPr>
        <w:lastRenderedPageBreak/>
        <w:t xml:space="preserve">Adquisiciones, todos los documentos, actos administrativos o actuaciones producidas con ocasión del </w:t>
      </w:r>
      <w:r w:rsidRPr="00883371">
        <w:rPr>
          <w:rFonts w:ascii="Arial" w:eastAsia="Calibri" w:hAnsi="Arial" w:cs="Arial"/>
          <w:i/>
          <w:iCs/>
          <w:sz w:val="22"/>
          <w:lang w:val="es-ES"/>
        </w:rPr>
        <w:t>Proceso de Contratación</w:t>
      </w:r>
      <w:r w:rsidRPr="00883371">
        <w:rPr>
          <w:rFonts w:ascii="Arial" w:hAnsi="Arial" w:cs="Arial"/>
          <w:sz w:val="22"/>
          <w:lang w:val="es-ES"/>
        </w:rPr>
        <w:t>, sin importar quién sea su autor –la Administración o el contratista–, con excepción de los que pertenecen a</w:t>
      </w:r>
      <w:r w:rsidRPr="00883371">
        <w:rPr>
          <w:rFonts w:ascii="Arial" w:eastAsia="Arial" w:hAnsi="Arial" w:cs="Arial"/>
          <w:sz w:val="22"/>
          <w:lang w:val="es-ES"/>
        </w:rPr>
        <w:t>l marco de operaciones de bolsa de productos, expresamente excluidos de publicación por el artículo 2.2.1.1.1.7.1. del Decreto 1082 de 2015</w:t>
      </w:r>
      <w:r w:rsidR="00034AE1" w:rsidRPr="00883371">
        <w:rPr>
          <w:rFonts w:ascii="Arial" w:eastAsia="Arial" w:hAnsi="Arial" w:cs="Arial"/>
          <w:sz w:val="22"/>
          <w:lang w:val="es-ES"/>
        </w:rPr>
        <w:t>.</w:t>
      </w:r>
    </w:p>
    <w:p w14:paraId="6D7AD7F1" w14:textId="2AB2F065" w:rsidR="0077764F" w:rsidRPr="00883371" w:rsidRDefault="0077764F" w:rsidP="004C1F63">
      <w:pPr>
        <w:spacing w:before="120" w:after="120" w:line="276" w:lineRule="auto"/>
        <w:jc w:val="both"/>
        <w:rPr>
          <w:rFonts w:ascii="Arial" w:eastAsia="Arial" w:hAnsi="Arial" w:cs="Arial"/>
          <w:sz w:val="22"/>
          <w:lang w:val="es-ES"/>
        </w:rPr>
      </w:pPr>
      <w:r w:rsidRPr="00883371">
        <w:rPr>
          <w:rFonts w:ascii="Arial" w:eastAsia="Arial" w:hAnsi="Arial" w:cs="Arial"/>
          <w:sz w:val="22"/>
          <w:lang w:val="es-ES"/>
        </w:rPr>
        <w:tab/>
        <w:t xml:space="preserve">En el marco de dicha obligación las entidades estales están obligadas a gestionar y publicar a través de SECOP II, los convenios interadministrativos que celebren, independientemente de si estos son celebrados </w:t>
      </w:r>
      <w:r w:rsidR="00994553" w:rsidRPr="00883371">
        <w:rPr>
          <w:rFonts w:ascii="Arial" w:eastAsia="Arial" w:hAnsi="Arial" w:cs="Arial"/>
          <w:sz w:val="22"/>
          <w:lang w:val="es-ES"/>
        </w:rPr>
        <w:t>con o sin asignación de recursos pecuniarios. En caso de no estar incluidas las correspondientes entidades dentro del Anexo 1 de la Circular No. 1 de 2019, la publicación del respectivo convenio deberá realizarse en la plataforma SECOP I.</w:t>
      </w:r>
      <w:r w:rsidRPr="00883371">
        <w:rPr>
          <w:rFonts w:ascii="Arial" w:eastAsia="Arial" w:hAnsi="Arial" w:cs="Arial"/>
          <w:sz w:val="22"/>
          <w:lang w:val="es-ES"/>
        </w:rPr>
        <w:t xml:space="preserve">  </w:t>
      </w:r>
    </w:p>
    <w:bookmarkEnd w:id="8"/>
    <w:p w14:paraId="151F89FF" w14:textId="3C7FC68E" w:rsidR="009B7F9B" w:rsidRPr="00883371" w:rsidRDefault="008C7ACF" w:rsidP="009B7F9B">
      <w:pPr>
        <w:spacing w:line="276" w:lineRule="auto"/>
        <w:jc w:val="both"/>
        <w:rPr>
          <w:rFonts w:ascii="Arial" w:eastAsia="Calibri" w:hAnsi="Arial" w:cs="Arial"/>
          <w:sz w:val="22"/>
          <w:lang w:val="es-ES"/>
        </w:rPr>
      </w:pPr>
      <w:r w:rsidRPr="00883371">
        <w:rPr>
          <w:rFonts w:ascii="Arial" w:eastAsia="Calibri" w:hAnsi="Arial" w:cs="Arial"/>
          <w:sz w:val="22"/>
          <w:lang w:val="es-ES"/>
        </w:rPr>
        <w:tab/>
      </w:r>
    </w:p>
    <w:p w14:paraId="75FDC6B6" w14:textId="61F90CC3" w:rsidR="009B7F9B" w:rsidRPr="00883371" w:rsidRDefault="0031783A" w:rsidP="009B7F9B">
      <w:pPr>
        <w:spacing w:line="276" w:lineRule="auto"/>
        <w:jc w:val="both"/>
        <w:rPr>
          <w:rFonts w:ascii="Arial" w:eastAsia="Calibri" w:hAnsi="Arial" w:cs="Arial"/>
          <w:sz w:val="22"/>
        </w:rPr>
      </w:pPr>
      <w:r w:rsidRPr="00883371">
        <w:rPr>
          <w:noProof/>
          <w:lang w:val="es-ES_tradnl" w:eastAsia="es-ES_tradnl"/>
        </w:rPr>
        <w:drawing>
          <wp:anchor distT="0" distB="0" distL="114300" distR="114300" simplePos="0" relativeHeight="251661312" behindDoc="0" locked="0" layoutInCell="1" allowOverlap="1" wp14:anchorId="6F500063" wp14:editId="37618313">
            <wp:simplePos x="0" y="0"/>
            <wp:positionH relativeFrom="margin">
              <wp:posOffset>1434465</wp:posOffset>
            </wp:positionH>
            <wp:positionV relativeFrom="paragraph">
              <wp:posOffset>352425</wp:posOffset>
            </wp:positionV>
            <wp:extent cx="2720340" cy="1553845"/>
            <wp:effectExtent l="0" t="0" r="3810" b="825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20340" cy="1553845"/>
                    </a:xfrm>
                    <a:prstGeom prst="rect">
                      <a:avLst/>
                    </a:prstGeom>
                  </pic:spPr>
                </pic:pic>
              </a:graphicData>
            </a:graphic>
            <wp14:sizeRelH relativeFrom="page">
              <wp14:pctWidth>0</wp14:pctWidth>
            </wp14:sizeRelH>
            <wp14:sizeRelV relativeFrom="page">
              <wp14:pctHeight>0</wp14:pctHeight>
            </wp14:sizeRelV>
          </wp:anchor>
        </w:drawing>
      </w:r>
      <w:r w:rsidR="009B7F9B" w:rsidRPr="00883371">
        <w:rPr>
          <w:rFonts w:ascii="Arial" w:eastAsia="Calibri" w:hAnsi="Arial" w:cs="Arial"/>
          <w:sz w:val="22"/>
        </w:rPr>
        <w:t>Este concepto tiene el alcance previsto en el artículo 28 del Código de Procedimiento Administrativo y de lo Contencioso Administrativo.</w:t>
      </w:r>
    </w:p>
    <w:p w14:paraId="23BD3479" w14:textId="49D09536" w:rsidR="009B7F9B" w:rsidRPr="00883371" w:rsidRDefault="009B7F9B" w:rsidP="009B7F9B">
      <w:pPr>
        <w:spacing w:line="276" w:lineRule="auto"/>
        <w:jc w:val="both"/>
        <w:rPr>
          <w:rFonts w:ascii="Arial" w:eastAsia="Times New Roman" w:hAnsi="Arial" w:cs="Arial"/>
          <w:sz w:val="22"/>
          <w:lang w:eastAsia="es-CO"/>
        </w:rPr>
      </w:pPr>
      <w:r w:rsidRPr="00883371">
        <w:rPr>
          <w:rFonts w:ascii="Arial" w:hAnsi="Arial" w:cs="Arial"/>
          <w:noProof/>
          <w:lang w:val="es-ES_tradnl" w:eastAsia="es-ES_tradnl"/>
        </w:rPr>
        <w:drawing>
          <wp:anchor distT="0" distB="0" distL="114300" distR="114300" simplePos="0" relativeHeight="251660288" behindDoc="0" locked="0" layoutInCell="1" allowOverlap="1" wp14:anchorId="0AD56C08" wp14:editId="389E1EC9">
            <wp:simplePos x="0" y="0"/>
            <wp:positionH relativeFrom="margin">
              <wp:posOffset>1503680</wp:posOffset>
            </wp:positionH>
            <wp:positionV relativeFrom="paragraph">
              <wp:posOffset>13970</wp:posOffset>
            </wp:positionV>
            <wp:extent cx="2441575" cy="120015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val="0"/>
                        </a:ext>
                      </a:extLst>
                    </a:blip>
                    <a:srcRect l="7570" t="5293" r="8247" b="4695"/>
                    <a:stretch>
                      <a:fillRect/>
                    </a:stretch>
                  </pic:blipFill>
                  <pic:spPr bwMode="auto">
                    <a:xfrm>
                      <a:off x="0" y="0"/>
                      <a:ext cx="2441575"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71">
        <w:rPr>
          <w:rFonts w:ascii="Arial" w:eastAsia="Calibri" w:hAnsi="Arial" w:cs="Arial"/>
          <w:noProof/>
          <w:sz w:val="22"/>
          <w:lang w:val="es-ES_tradnl" w:eastAsia="es-ES_tradnl"/>
        </w:rPr>
        <mc:AlternateContent>
          <mc:Choice Requires="wps">
            <w:drawing>
              <wp:anchor distT="0" distB="0" distL="114300" distR="114300" simplePos="0" relativeHeight="251659264" behindDoc="0" locked="0" layoutInCell="1" allowOverlap="1" wp14:anchorId="250FE17C" wp14:editId="6D4A0B11">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7D6582CD"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05pt" to="48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strokecolor="#dbdbdb">
                <w10:wrap anchorx="page"/>
              </v:line>
            </w:pict>
          </mc:Fallback>
        </mc:AlternateContent>
      </w:r>
    </w:p>
    <w:p w14:paraId="2C92BF47" w14:textId="77777777" w:rsidR="009B7F9B" w:rsidRPr="00883371" w:rsidRDefault="009B7F9B" w:rsidP="009B7F9B">
      <w:pPr>
        <w:spacing w:line="276" w:lineRule="auto"/>
        <w:jc w:val="both"/>
        <w:rPr>
          <w:rFonts w:ascii="Arial" w:hAnsi="Arial" w:cs="Arial"/>
          <w:sz w:val="22"/>
          <w:szCs w:val="20"/>
        </w:rPr>
      </w:pPr>
      <w:r w:rsidRPr="00883371">
        <w:rPr>
          <w:rFonts w:ascii="Arial" w:eastAsia="Times New Roman" w:hAnsi="Arial" w:cs="Arial"/>
          <w:sz w:val="22"/>
          <w:lang w:eastAsia="es-CO"/>
        </w:rPr>
        <w:t>Atentamente,</w:t>
      </w:r>
    </w:p>
    <w:p w14:paraId="14C0DEE9" w14:textId="77777777" w:rsidR="009B7F9B" w:rsidRPr="00883371" w:rsidRDefault="009B7F9B" w:rsidP="009B7F9B">
      <w:pPr>
        <w:pStyle w:val="NormalWeb"/>
        <w:spacing w:before="0" w:beforeAutospacing="0" w:after="0" w:afterAutospacing="0"/>
        <w:jc w:val="center"/>
        <w:rPr>
          <w:rFonts w:ascii="Arial" w:hAnsi="Arial" w:cs="Arial"/>
          <w:sz w:val="22"/>
          <w:szCs w:val="20"/>
          <w:lang w:val="es-MX"/>
        </w:rPr>
      </w:pPr>
    </w:p>
    <w:p w14:paraId="46345B7F" w14:textId="77777777" w:rsidR="009B7F9B" w:rsidRPr="00883371" w:rsidRDefault="009B7F9B" w:rsidP="009B7F9B">
      <w:pPr>
        <w:spacing w:after="18"/>
        <w:jc w:val="center"/>
        <w:rPr>
          <w:rFonts w:ascii="Arial" w:eastAsia="Times New Roman" w:hAnsi="Arial" w:cs="Arial"/>
          <w:sz w:val="18"/>
          <w:szCs w:val="20"/>
          <w:lang w:eastAsia="es-CO"/>
        </w:rPr>
      </w:pPr>
    </w:p>
    <w:p w14:paraId="61A70295" w14:textId="77777777" w:rsidR="009B7F9B" w:rsidRPr="00883371" w:rsidRDefault="009B7F9B" w:rsidP="009B7F9B">
      <w:pPr>
        <w:spacing w:after="18"/>
        <w:jc w:val="center"/>
        <w:rPr>
          <w:rFonts w:ascii="Arial" w:eastAsia="Times New Roman" w:hAnsi="Arial" w:cs="Arial"/>
          <w:sz w:val="18"/>
          <w:szCs w:val="20"/>
          <w:lang w:eastAsia="es-CO"/>
        </w:rPr>
      </w:pPr>
    </w:p>
    <w:p w14:paraId="5F1AFA19" w14:textId="77777777" w:rsidR="009B7F9B" w:rsidRPr="00883371" w:rsidRDefault="009B7F9B" w:rsidP="009B7F9B">
      <w:pPr>
        <w:spacing w:after="18"/>
        <w:jc w:val="center"/>
        <w:rPr>
          <w:rFonts w:ascii="Arial" w:eastAsia="Times New Roman" w:hAnsi="Arial" w:cs="Arial"/>
          <w:sz w:val="18"/>
          <w:szCs w:val="20"/>
          <w:lang w:eastAsia="es-CO"/>
        </w:rPr>
      </w:pPr>
    </w:p>
    <w:p w14:paraId="28F98778" w14:textId="77777777" w:rsidR="009B7F9B" w:rsidRPr="00883371" w:rsidRDefault="009B7F9B" w:rsidP="009B7F9B">
      <w:pPr>
        <w:spacing w:after="18"/>
        <w:jc w:val="center"/>
        <w:rPr>
          <w:rFonts w:ascii="Arial" w:eastAsia="Times New Roman" w:hAnsi="Arial" w:cs="Arial"/>
          <w:sz w:val="18"/>
          <w:szCs w:val="20"/>
          <w:lang w:eastAsia="es-CO"/>
        </w:rPr>
      </w:pPr>
    </w:p>
    <w:p w14:paraId="07CEE023" w14:textId="77777777" w:rsidR="009B7F9B" w:rsidRPr="00883371" w:rsidRDefault="009B7F9B" w:rsidP="009B7F9B">
      <w:pPr>
        <w:spacing w:after="18"/>
        <w:jc w:val="center"/>
        <w:rPr>
          <w:rFonts w:ascii="Arial" w:eastAsia="Times New Roman" w:hAnsi="Arial" w:cs="Arial"/>
          <w:sz w:val="18"/>
          <w:szCs w:val="20"/>
          <w:lang w:eastAsia="es-CO"/>
        </w:rPr>
      </w:pPr>
    </w:p>
    <w:p w14:paraId="26795484" w14:textId="77777777" w:rsidR="009B7F9B" w:rsidRPr="00883371" w:rsidRDefault="009B7F9B" w:rsidP="009B7F9B">
      <w:pPr>
        <w:spacing w:after="18"/>
        <w:jc w:val="center"/>
        <w:rPr>
          <w:rFonts w:ascii="Arial" w:eastAsia="Times New Roman" w:hAnsi="Arial" w:cs="Arial"/>
          <w:sz w:val="18"/>
          <w:szCs w:val="20"/>
          <w:lang w:eastAsia="es-CO"/>
        </w:rPr>
      </w:pPr>
    </w:p>
    <w:p w14:paraId="17AC0F77" w14:textId="77777777" w:rsidR="009B7F9B" w:rsidRPr="00883371" w:rsidRDefault="009B7F9B" w:rsidP="009B7F9B">
      <w:pPr>
        <w:spacing w:after="18"/>
        <w:jc w:val="center"/>
        <w:rPr>
          <w:rFonts w:ascii="Arial" w:eastAsia="Times New Roman" w:hAnsi="Arial" w:cs="Arial"/>
          <w:sz w:val="18"/>
          <w:szCs w:val="20"/>
          <w:lang w:eastAsia="es-CO"/>
        </w:rPr>
      </w:pPr>
    </w:p>
    <w:tbl>
      <w:tblPr>
        <w:tblStyle w:val="Tablaconcuadrcula"/>
        <w:tblpPr w:leftFromText="141" w:rightFromText="141" w:vertAnchor="text" w:horzAnchor="margin" w:tblpY="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883371" w:rsidRPr="00883371" w14:paraId="55F0DD75" w14:textId="77777777" w:rsidTr="0031783A">
        <w:trPr>
          <w:trHeight w:val="286"/>
        </w:trPr>
        <w:tc>
          <w:tcPr>
            <w:tcW w:w="817" w:type="dxa"/>
            <w:vAlign w:val="center"/>
          </w:tcPr>
          <w:p w14:paraId="5F7D1FE7" w14:textId="77777777" w:rsidR="0031783A" w:rsidRPr="00883371" w:rsidRDefault="0031783A" w:rsidP="0031783A">
            <w:pPr>
              <w:rPr>
                <w:rFonts w:ascii="Arial" w:eastAsia="Times New Roman" w:hAnsi="Arial" w:cs="Arial"/>
                <w:sz w:val="14"/>
                <w:szCs w:val="14"/>
                <w:lang w:eastAsia="es-ES"/>
              </w:rPr>
            </w:pPr>
            <w:r w:rsidRPr="00883371">
              <w:rPr>
                <w:rFonts w:ascii="Arial" w:eastAsia="Times New Roman" w:hAnsi="Arial" w:cs="Arial"/>
                <w:sz w:val="14"/>
                <w:szCs w:val="14"/>
                <w:lang w:eastAsia="es-ES"/>
              </w:rPr>
              <w:t>Elaboró:</w:t>
            </w:r>
          </w:p>
        </w:tc>
        <w:tc>
          <w:tcPr>
            <w:tcW w:w="4445" w:type="dxa"/>
            <w:tcBorders>
              <w:bottom w:val="dotted" w:sz="4" w:space="0" w:color="7F7F7F" w:themeColor="text1" w:themeTint="80"/>
            </w:tcBorders>
            <w:vAlign w:val="center"/>
          </w:tcPr>
          <w:p w14:paraId="5E3DD8BA" w14:textId="77777777" w:rsidR="0031783A" w:rsidRPr="00883371" w:rsidRDefault="0031783A" w:rsidP="0031783A">
            <w:pPr>
              <w:rPr>
                <w:rFonts w:ascii="Arial" w:eastAsia="Times New Roman" w:hAnsi="Arial" w:cs="Arial"/>
                <w:sz w:val="14"/>
                <w:szCs w:val="14"/>
                <w:lang w:eastAsia="es-ES"/>
              </w:rPr>
            </w:pPr>
            <w:r w:rsidRPr="00883371">
              <w:rPr>
                <w:rFonts w:ascii="Arial" w:eastAsia="Times New Roman" w:hAnsi="Arial" w:cs="Arial"/>
                <w:sz w:val="14"/>
                <w:szCs w:val="14"/>
                <w:lang w:eastAsia="es-ES"/>
              </w:rPr>
              <w:t>Alejandro Sarmiento Cantillo</w:t>
            </w:r>
          </w:p>
          <w:p w14:paraId="05B0426C" w14:textId="77777777" w:rsidR="0031783A" w:rsidRPr="00883371" w:rsidRDefault="0031783A" w:rsidP="0031783A">
            <w:pPr>
              <w:rPr>
                <w:rFonts w:ascii="Arial" w:eastAsia="Times New Roman" w:hAnsi="Arial" w:cs="Arial"/>
                <w:sz w:val="14"/>
                <w:szCs w:val="14"/>
                <w:lang w:eastAsia="es-ES"/>
              </w:rPr>
            </w:pPr>
            <w:r w:rsidRPr="00883371">
              <w:rPr>
                <w:rFonts w:ascii="Arial" w:eastAsia="Times New Roman" w:hAnsi="Arial" w:cs="Arial"/>
                <w:sz w:val="14"/>
                <w:szCs w:val="14"/>
                <w:lang w:eastAsia="es-ES"/>
              </w:rPr>
              <w:t>Contratista de la Subdirección de Gestión Contractual</w:t>
            </w:r>
          </w:p>
        </w:tc>
      </w:tr>
      <w:tr w:rsidR="00883371" w:rsidRPr="00883371" w14:paraId="76CE22F8" w14:textId="77777777" w:rsidTr="0031783A">
        <w:trPr>
          <w:trHeight w:val="299"/>
        </w:trPr>
        <w:tc>
          <w:tcPr>
            <w:tcW w:w="817" w:type="dxa"/>
            <w:vAlign w:val="center"/>
          </w:tcPr>
          <w:p w14:paraId="146CC280" w14:textId="77777777" w:rsidR="0031783A" w:rsidRPr="00883371" w:rsidRDefault="0031783A" w:rsidP="0031783A">
            <w:pPr>
              <w:rPr>
                <w:rFonts w:ascii="Arial" w:eastAsia="Times New Roman" w:hAnsi="Arial" w:cs="Arial"/>
                <w:sz w:val="14"/>
                <w:szCs w:val="14"/>
                <w:lang w:eastAsia="es-ES"/>
              </w:rPr>
            </w:pPr>
            <w:r w:rsidRPr="00883371">
              <w:rPr>
                <w:rFonts w:ascii="Arial" w:eastAsia="Times New Roman" w:hAnsi="Arial" w:cs="Arial"/>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6D61D73D" w14:textId="77777777" w:rsidR="008A3F2A" w:rsidRPr="00883371" w:rsidRDefault="008A3F2A" w:rsidP="008A3F2A">
            <w:pPr>
              <w:rPr>
                <w:rFonts w:ascii="Arial" w:eastAsia="Times New Roman" w:hAnsi="Arial" w:cs="Arial"/>
                <w:sz w:val="14"/>
                <w:szCs w:val="14"/>
                <w:lang w:eastAsia="es-ES"/>
              </w:rPr>
            </w:pPr>
            <w:r w:rsidRPr="00883371">
              <w:rPr>
                <w:rFonts w:ascii="Arial" w:eastAsia="Times New Roman" w:hAnsi="Arial" w:cs="Arial"/>
                <w:sz w:val="14"/>
                <w:szCs w:val="14"/>
                <w:lang w:eastAsia="es-ES"/>
              </w:rPr>
              <w:t>Fabián Gonzalo Marín Cortés</w:t>
            </w:r>
          </w:p>
          <w:p w14:paraId="434CDD2F" w14:textId="5D8B310D" w:rsidR="0031783A" w:rsidRPr="00883371" w:rsidRDefault="008A3F2A" w:rsidP="008A3F2A">
            <w:pPr>
              <w:rPr>
                <w:rFonts w:ascii="Arial" w:eastAsia="Times New Roman" w:hAnsi="Arial" w:cs="Arial"/>
                <w:sz w:val="14"/>
                <w:szCs w:val="14"/>
                <w:lang w:eastAsia="es-ES"/>
              </w:rPr>
            </w:pPr>
            <w:r w:rsidRPr="00883371">
              <w:rPr>
                <w:rFonts w:ascii="Arial" w:eastAsia="Times New Roman" w:hAnsi="Arial" w:cs="Arial"/>
                <w:sz w:val="14"/>
                <w:szCs w:val="14"/>
                <w:lang w:eastAsia="es-ES"/>
              </w:rPr>
              <w:t>Subdirector de Gestión Contractual</w:t>
            </w:r>
          </w:p>
        </w:tc>
      </w:tr>
      <w:tr w:rsidR="00883371" w:rsidRPr="00883371" w14:paraId="6DA61CDC" w14:textId="77777777" w:rsidTr="0031783A">
        <w:trPr>
          <w:trHeight w:val="272"/>
        </w:trPr>
        <w:tc>
          <w:tcPr>
            <w:tcW w:w="817" w:type="dxa"/>
            <w:vAlign w:val="center"/>
          </w:tcPr>
          <w:p w14:paraId="5D208E8F" w14:textId="77777777" w:rsidR="0031783A" w:rsidRPr="00883371" w:rsidRDefault="0031783A" w:rsidP="0031783A">
            <w:pPr>
              <w:rPr>
                <w:rFonts w:ascii="Arial" w:eastAsia="Times New Roman" w:hAnsi="Arial" w:cs="Arial"/>
                <w:sz w:val="14"/>
                <w:szCs w:val="14"/>
                <w:lang w:eastAsia="es-ES"/>
              </w:rPr>
            </w:pPr>
            <w:r w:rsidRPr="00883371">
              <w:rPr>
                <w:rFonts w:ascii="Arial" w:eastAsia="Times New Roman" w:hAnsi="Arial" w:cs="Arial"/>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4509F790" w14:textId="77777777" w:rsidR="0031783A" w:rsidRPr="00883371" w:rsidRDefault="0031783A" w:rsidP="0031783A">
            <w:pPr>
              <w:rPr>
                <w:rFonts w:ascii="Arial" w:eastAsia="Times New Roman" w:hAnsi="Arial" w:cs="Arial"/>
                <w:sz w:val="14"/>
                <w:szCs w:val="14"/>
                <w:lang w:eastAsia="es-ES"/>
              </w:rPr>
            </w:pPr>
            <w:r w:rsidRPr="00883371">
              <w:rPr>
                <w:rFonts w:ascii="Arial" w:eastAsia="Times New Roman" w:hAnsi="Arial" w:cs="Arial"/>
                <w:sz w:val="14"/>
                <w:szCs w:val="14"/>
                <w:lang w:eastAsia="es-ES"/>
              </w:rPr>
              <w:t>Fabián Gonzalo Marín Cortés</w:t>
            </w:r>
          </w:p>
          <w:p w14:paraId="2A6B3391" w14:textId="77777777" w:rsidR="0031783A" w:rsidRPr="00883371" w:rsidRDefault="0031783A" w:rsidP="0031783A">
            <w:pPr>
              <w:rPr>
                <w:rFonts w:ascii="Arial" w:eastAsia="Times New Roman" w:hAnsi="Arial" w:cs="Arial"/>
                <w:sz w:val="14"/>
                <w:szCs w:val="14"/>
                <w:lang w:eastAsia="es-ES"/>
              </w:rPr>
            </w:pPr>
            <w:r w:rsidRPr="00883371">
              <w:rPr>
                <w:rFonts w:ascii="Arial" w:eastAsia="Times New Roman" w:hAnsi="Arial" w:cs="Arial"/>
                <w:sz w:val="14"/>
                <w:szCs w:val="14"/>
                <w:lang w:eastAsia="es-ES"/>
              </w:rPr>
              <w:t>Subdirector de Gestión Contractual</w:t>
            </w:r>
          </w:p>
        </w:tc>
      </w:tr>
    </w:tbl>
    <w:p w14:paraId="3EDA14F5" w14:textId="77777777" w:rsidR="009B7F9B" w:rsidRPr="00883371" w:rsidRDefault="009B7F9B" w:rsidP="009B7F9B">
      <w:pPr>
        <w:spacing w:after="18"/>
        <w:jc w:val="center"/>
        <w:rPr>
          <w:rFonts w:ascii="Arial" w:eastAsia="Times New Roman" w:hAnsi="Arial" w:cs="Arial"/>
          <w:sz w:val="18"/>
          <w:szCs w:val="20"/>
          <w:lang w:eastAsia="es-CO"/>
        </w:rPr>
      </w:pPr>
    </w:p>
    <w:p w14:paraId="4F62D4D8" w14:textId="77777777" w:rsidR="009B7F9B" w:rsidRPr="00883371" w:rsidRDefault="009B7F9B" w:rsidP="009B7F9B">
      <w:pPr>
        <w:rPr>
          <w:rFonts w:ascii="Arial" w:hAnsi="Arial" w:cs="Arial"/>
        </w:rPr>
      </w:pPr>
    </w:p>
    <w:bookmarkEnd w:id="2"/>
    <w:bookmarkEnd w:id="3"/>
    <w:p w14:paraId="47BB1636" w14:textId="77777777" w:rsidR="009B7F9B" w:rsidRPr="00883371" w:rsidRDefault="009B7F9B" w:rsidP="009B7F9B"/>
    <w:bookmarkEnd w:id="4"/>
    <w:p w14:paraId="35B56F46" w14:textId="77777777" w:rsidR="00746E08" w:rsidRPr="00883371" w:rsidRDefault="00746E08" w:rsidP="00746E08">
      <w:pPr>
        <w:rPr>
          <w:rFonts w:ascii="Arial" w:eastAsia="Times New Roman" w:hAnsi="Arial" w:cs="Arial"/>
          <w:sz w:val="16"/>
          <w:szCs w:val="16"/>
          <w:lang w:eastAsia="es-ES"/>
        </w:rPr>
      </w:pPr>
    </w:p>
    <w:sectPr w:rsidR="00746E08" w:rsidRPr="00883371" w:rsidSect="00015765">
      <w:headerReference w:type="default" r:id="rId13"/>
      <w:footerReference w:type="default" r:id="rId14"/>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7ABD16" w14:textId="77777777" w:rsidR="003A3FC5" w:rsidRDefault="003A3FC5">
      <w:r>
        <w:separator/>
      </w:r>
    </w:p>
  </w:endnote>
  <w:endnote w:type="continuationSeparator" w:id="0">
    <w:p w14:paraId="50BA7B33" w14:textId="77777777" w:rsidR="003A3FC5" w:rsidRDefault="003A3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CB14C70" w:rsidR="001E291F" w:rsidRDefault="001E291F" w:rsidP="00322937">
    <w:pPr>
      <w:pStyle w:val="Sinespaciado"/>
      <w:jc w:val="right"/>
      <w:rPr>
        <w:rFonts w:ascii="Arial" w:hAnsi="Arial" w:cs="Arial"/>
        <w:sz w:val="18"/>
        <w:szCs w:val="18"/>
      </w:rPr>
    </w:pPr>
  </w:p>
  <w:p w14:paraId="7A3785F3" w14:textId="2EF28465" w:rsidR="001E291F" w:rsidRPr="00E15059" w:rsidRDefault="001E291F" w:rsidP="00FE42ED">
    <w:pPr>
      <w:pStyle w:val="Piedepgina"/>
      <w:jc w:val="right"/>
      <w:rPr>
        <w:rFonts w:ascii="Arial" w:hAnsi="Arial" w:cs="Arial"/>
        <w:color w:val="7F7F7F"/>
        <w:sz w:val="16"/>
        <w:szCs w:val="16"/>
      </w:rPr>
    </w:pPr>
    <w:r w:rsidRPr="00E15059">
      <w:rPr>
        <w:rFonts w:ascii="Arial" w:hAnsi="Arial" w:cs="Arial"/>
        <w:bCs/>
        <w:color w:val="7F7F7F"/>
        <w:sz w:val="16"/>
        <w:szCs w:val="16"/>
      </w:rPr>
      <w:t xml:space="preserve">Página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PAGE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w:t>
    </w:r>
    <w:r w:rsidRPr="00E15059">
      <w:rPr>
        <w:rFonts w:ascii="Arial" w:hAnsi="Arial" w:cs="Arial"/>
        <w:b/>
        <w:bCs/>
        <w:color w:val="7F7F7F"/>
        <w:sz w:val="16"/>
        <w:szCs w:val="16"/>
      </w:rPr>
      <w:fldChar w:fldCharType="end"/>
    </w:r>
    <w:r w:rsidRPr="00E15059">
      <w:rPr>
        <w:rFonts w:ascii="Arial" w:hAnsi="Arial" w:cs="Arial"/>
        <w:color w:val="7F7F7F"/>
        <w:sz w:val="16"/>
        <w:szCs w:val="16"/>
      </w:rPr>
      <w:t xml:space="preserve"> de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NUMPAGES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14</w:t>
    </w:r>
    <w:r w:rsidRPr="00E15059">
      <w:rPr>
        <w:rFonts w:ascii="Arial" w:hAnsi="Arial" w:cs="Arial"/>
        <w:b/>
        <w:bCs/>
        <w:color w:val="7F7F7F"/>
        <w:sz w:val="16"/>
        <w:szCs w:val="16"/>
      </w:rPr>
      <w:fldChar w:fldCharType="end"/>
    </w:r>
  </w:p>
  <w:p w14:paraId="48FC6A04" w14:textId="5FD1A7C9" w:rsidR="001E291F" w:rsidRDefault="001E291F"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E291F" w:rsidRDefault="001E291F" w:rsidP="007B0854">
    <w:pPr>
      <w:pStyle w:val="Piedepgina"/>
      <w:jc w:val="center"/>
      <w:rPr>
        <w:lang w:val="es-ES"/>
      </w:rPr>
    </w:pPr>
  </w:p>
  <w:p w14:paraId="6C0EFC49" w14:textId="77777777" w:rsidR="001E291F" w:rsidRPr="007B0854" w:rsidRDefault="001E291F" w:rsidP="007B0854">
    <w:pPr>
      <w:pStyle w:val="Piedepgina"/>
      <w:jc w:val="center"/>
      <w:rPr>
        <w:lang w:val="es-ES"/>
      </w:rPr>
    </w:pPr>
  </w:p>
  <w:p w14:paraId="7DC37BF5" w14:textId="77777777" w:rsidR="001E291F" w:rsidRDefault="001E29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AF3E4C" w14:textId="77777777" w:rsidR="003A3FC5" w:rsidRDefault="003A3FC5">
      <w:r>
        <w:separator/>
      </w:r>
    </w:p>
  </w:footnote>
  <w:footnote w:type="continuationSeparator" w:id="0">
    <w:p w14:paraId="0B416804" w14:textId="77777777" w:rsidR="003A3FC5" w:rsidRDefault="003A3FC5">
      <w:r>
        <w:continuationSeparator/>
      </w:r>
    </w:p>
  </w:footnote>
  <w:footnote w:id="1">
    <w:p w14:paraId="4C976DC8" w14:textId="77777777" w:rsidR="009B7F9B" w:rsidRPr="000C0FED" w:rsidRDefault="009B7F9B" w:rsidP="009B7F9B">
      <w:pPr>
        <w:spacing w:before="73"/>
        <w:ind w:right="49" w:firstLine="708"/>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«Artículo 2. De la definición de entidades, servidores y servicios públicos. Para los solos efectos de esta ley:</w:t>
      </w:r>
    </w:p>
    <w:p w14:paraId="685B6CFE" w14:textId="77777777" w:rsidR="009B7F9B" w:rsidRPr="000C0FED" w:rsidRDefault="009B7F9B" w:rsidP="009B7F9B">
      <w:pPr>
        <w:spacing w:before="1"/>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»1. Se denominan entidades estatales:</w:t>
      </w:r>
    </w:p>
    <w:p w14:paraId="1671363A"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1B94D123" w14:textId="36A2E6F2" w:rsidR="009B7F9B" w:rsidRPr="000C0FED" w:rsidRDefault="009B7F9B" w:rsidP="008C0579">
      <w:pPr>
        <w:ind w:right="49" w:firstLine="708"/>
        <w:jc w:val="both"/>
      </w:pPr>
      <w:r w:rsidRPr="000C0FED">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organismos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dependencias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del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Estado</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que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la</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ley</w:t>
      </w:r>
      <w:r w:rsidRPr="000C0FED">
        <w:rPr>
          <w:rFonts w:ascii="Arial" w:hAnsi="Arial" w:cs="Arial"/>
          <w:color w:val="000000" w:themeColor="text1"/>
          <w:spacing w:val="-6"/>
          <w:sz w:val="19"/>
          <w:szCs w:val="19"/>
        </w:rPr>
        <w:t xml:space="preserve"> </w:t>
      </w:r>
      <w:r w:rsidRPr="000C0FED">
        <w:rPr>
          <w:rFonts w:ascii="Arial" w:hAnsi="Arial" w:cs="Arial"/>
          <w:color w:val="000000" w:themeColor="text1"/>
          <w:sz w:val="19"/>
          <w:szCs w:val="19"/>
        </w:rPr>
        <w:t>otorgue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capacidad</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para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celebrar</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contratos».</w:t>
      </w:r>
    </w:p>
  </w:footnote>
  <w:footnote w:id="2">
    <w:p w14:paraId="3727FDC3" w14:textId="77777777" w:rsidR="009B7F9B" w:rsidRPr="000C0FED" w:rsidRDefault="009B7F9B" w:rsidP="009B7F9B">
      <w:pPr>
        <w:pStyle w:val="Textonotapie"/>
        <w:ind w:left="284" w:right="49" w:firstLine="436"/>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w:t>
      </w:r>
      <w:bookmarkStart w:id="7" w:name="_Hlk40436633"/>
      <w:r w:rsidRPr="000C0FED">
        <w:rPr>
          <w:rFonts w:ascii="Arial" w:hAnsi="Arial" w:cs="Arial"/>
          <w:color w:val="000000" w:themeColor="text1"/>
          <w:sz w:val="19"/>
          <w:szCs w:val="19"/>
        </w:rPr>
        <w:t>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bookmarkEnd w:id="7"/>
    </w:p>
    <w:p w14:paraId="143EF7B6" w14:textId="77777777" w:rsidR="009B7F9B" w:rsidRPr="000C0FED" w:rsidRDefault="009B7F9B" w:rsidP="009B7F9B">
      <w:pPr>
        <w:pStyle w:val="Textonotapie"/>
        <w:ind w:right="49"/>
        <w:rPr>
          <w:rFonts w:ascii="Arial" w:hAnsi="Arial" w:cs="Arial"/>
          <w:color w:val="000000" w:themeColor="text1"/>
          <w:sz w:val="19"/>
          <w:szCs w:val="19"/>
          <w:lang w:val="es-CO"/>
        </w:rPr>
      </w:pPr>
    </w:p>
  </w:footnote>
  <w:footnote w:id="3">
    <w:p w14:paraId="4EB1BABD" w14:textId="77777777" w:rsidR="009B7F9B" w:rsidRPr="000C0FED" w:rsidRDefault="009B7F9B" w:rsidP="009B7F9B">
      <w:pPr>
        <w:spacing w:before="1"/>
        <w:ind w:left="300" w:right="49" w:firstLine="420"/>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«Articulo 24. Del principio de transparencia. En virtud de este principio: </w:t>
      </w:r>
    </w:p>
    <w:p w14:paraId="1355B24A" w14:textId="77777777" w:rsidR="009B7F9B" w:rsidRPr="000C0FED" w:rsidRDefault="009B7F9B" w:rsidP="009B7F9B">
      <w:pPr>
        <w:spacing w:before="1"/>
        <w:ind w:left="300" w:right="49" w:firstLine="420"/>
        <w:rPr>
          <w:rFonts w:ascii="Arial" w:hAnsi="Arial" w:cs="Arial"/>
          <w:color w:val="000000" w:themeColor="text1"/>
          <w:sz w:val="19"/>
          <w:szCs w:val="19"/>
          <w:lang w:val="es-ES"/>
        </w:rPr>
      </w:pPr>
      <w:r w:rsidRPr="000C0FED">
        <w:rPr>
          <w:rFonts w:ascii="Arial" w:hAnsi="Arial" w:cs="Arial"/>
          <w:color w:val="000000" w:themeColor="text1"/>
          <w:sz w:val="19"/>
          <w:szCs w:val="19"/>
        </w:rPr>
        <w:t>[…]</w:t>
      </w:r>
    </w:p>
    <w:p w14:paraId="59A57B40" w14:textId="77777777" w:rsidR="009B7F9B" w:rsidRPr="000C0FED" w:rsidRDefault="009B7F9B" w:rsidP="009B7F9B">
      <w:pPr>
        <w:ind w:left="16" w:right="49" w:firstLine="692"/>
        <w:jc w:val="both"/>
        <w:rPr>
          <w:rFonts w:ascii="Arial" w:hAnsi="Arial" w:cs="Arial"/>
          <w:color w:val="000000" w:themeColor="text1"/>
          <w:sz w:val="19"/>
          <w:szCs w:val="19"/>
        </w:rPr>
      </w:pPr>
      <w:r w:rsidRPr="000C0FED">
        <w:rPr>
          <w:rFonts w:ascii="Arial" w:hAnsi="Arial" w:cs="Arial"/>
          <w:color w:val="000000" w:themeColor="text1"/>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3C763332"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14:paraId="1D86B7C2" w14:textId="275AAB0C" w:rsidR="009B7F9B" w:rsidRPr="000C0FED" w:rsidRDefault="009B7F9B" w:rsidP="009B3335">
      <w:pPr>
        <w:ind w:right="49" w:firstLine="708"/>
        <w:jc w:val="both"/>
      </w:pPr>
      <w:r w:rsidRPr="000C0FED">
        <w:rPr>
          <w:rFonts w:ascii="Arial" w:hAnsi="Arial" w:cs="Arial"/>
          <w:color w:val="000000" w:themeColor="text1"/>
          <w:sz w:val="19"/>
          <w:szCs w:val="19"/>
        </w:rPr>
        <w:t>»4. Las autoridades expedirán a costa de aquellas personas que demuestren interés legítimo, copias de las actuaciones y propuestas recibidas, respetando la reserva de que gocen legalmente las patentes, procedimientos y privilegios. [...]”.</w:t>
      </w:r>
    </w:p>
  </w:footnote>
  <w:footnote w:id="4">
    <w:p w14:paraId="53FE09FE" w14:textId="77777777" w:rsidR="005134C9" w:rsidRDefault="005134C9" w:rsidP="005134C9">
      <w:pPr>
        <w:pStyle w:val="Textonotapie"/>
        <w:ind w:firstLine="709"/>
        <w:jc w:val="both"/>
        <w:rPr>
          <w:rFonts w:ascii="Arial" w:hAnsi="Arial" w:cs="Arial"/>
          <w:color w:val="000000" w:themeColor="text1"/>
          <w:sz w:val="18"/>
          <w:szCs w:val="18"/>
        </w:rPr>
      </w:pPr>
      <w:r>
        <w:rPr>
          <w:rStyle w:val="Refdenotaalpie"/>
          <w:rFonts w:ascii="Arial" w:hAnsi="Arial" w:cs="Arial"/>
          <w:color w:val="000000" w:themeColor="text1"/>
          <w:sz w:val="18"/>
          <w:szCs w:val="18"/>
        </w:rPr>
        <w:footnoteRef/>
      </w:r>
      <w:r>
        <w:rPr>
          <w:rFonts w:ascii="Arial" w:hAnsi="Arial" w:cs="Arial"/>
          <w:color w:val="000000" w:themeColor="text1"/>
          <w:sz w:val="18"/>
          <w:szCs w:val="18"/>
        </w:rPr>
        <w:t xml:space="preserve"> «Artículo 14. De los medios que pueden utilizar las entidades estatales para el cumplimiento del objeto contractual. Para el cumplimiento de los fines de la contratación, las entidades estatales al celebrar un contrato: </w:t>
      </w:r>
    </w:p>
    <w:p w14:paraId="53D24417" w14:textId="77777777" w:rsidR="005134C9" w:rsidRDefault="005134C9" w:rsidP="005134C9">
      <w:pPr>
        <w:pStyle w:val="Textonotapie"/>
        <w:ind w:firstLine="709"/>
        <w:jc w:val="both"/>
        <w:rPr>
          <w:rFonts w:ascii="Arial" w:hAnsi="Arial" w:cs="Arial"/>
          <w:color w:val="000000" w:themeColor="text1"/>
          <w:sz w:val="18"/>
          <w:szCs w:val="18"/>
        </w:rPr>
      </w:pPr>
      <w:r>
        <w:rPr>
          <w:rFonts w:ascii="Arial" w:hAnsi="Arial" w:cs="Arial"/>
          <w:color w:val="000000" w:themeColor="text1"/>
          <w:sz w:val="18"/>
          <w:szCs w:val="18"/>
        </w:rPr>
        <w:t xml:space="preserve">» 1o. Tendrán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podrán, en los casos previstos en el numeral 2o. de este artículo, interpretar los documentos contractuales y las estipulaciones en ellos convenidas, introducir modificaciones a lo contratado y, cuando las condiciones particulares de la prestación así lo exijan, terminar unilateralmente el contrato celebrado. </w:t>
      </w:r>
    </w:p>
    <w:p w14:paraId="448B18FF" w14:textId="77777777" w:rsidR="005134C9" w:rsidRDefault="005134C9" w:rsidP="005134C9">
      <w:pPr>
        <w:pStyle w:val="Textonotapie"/>
        <w:ind w:firstLine="709"/>
        <w:jc w:val="both"/>
        <w:rPr>
          <w:rFonts w:ascii="Arial" w:hAnsi="Arial" w:cs="Arial"/>
          <w:color w:val="000000" w:themeColor="text1"/>
          <w:sz w:val="18"/>
          <w:szCs w:val="18"/>
        </w:rPr>
      </w:pPr>
    </w:p>
    <w:p w14:paraId="274AC508" w14:textId="77777777" w:rsidR="005134C9" w:rsidRDefault="005134C9" w:rsidP="005134C9">
      <w:pPr>
        <w:pStyle w:val="Textonotapie"/>
        <w:ind w:firstLine="709"/>
        <w:jc w:val="both"/>
        <w:rPr>
          <w:rFonts w:ascii="Arial" w:hAnsi="Arial" w:cs="Arial"/>
          <w:color w:val="000000" w:themeColor="text1"/>
          <w:sz w:val="18"/>
          <w:szCs w:val="18"/>
        </w:rPr>
      </w:pPr>
      <w:r>
        <w:rPr>
          <w:rFonts w:ascii="Arial" w:hAnsi="Arial" w:cs="Arial"/>
          <w:color w:val="000000" w:themeColor="text1"/>
          <w:sz w:val="18"/>
          <w:szCs w:val="18"/>
        </w:rPr>
        <w:t>[…]</w:t>
      </w:r>
    </w:p>
    <w:p w14:paraId="7A7587F0" w14:textId="77777777" w:rsidR="005134C9" w:rsidRDefault="005134C9" w:rsidP="005134C9">
      <w:pPr>
        <w:pStyle w:val="Textonotapie"/>
        <w:ind w:firstLine="709"/>
        <w:jc w:val="both"/>
        <w:rPr>
          <w:rFonts w:ascii="Arial" w:hAnsi="Arial" w:cs="Arial"/>
          <w:color w:val="000000" w:themeColor="text1"/>
          <w:sz w:val="18"/>
          <w:szCs w:val="18"/>
        </w:rPr>
      </w:pPr>
    </w:p>
    <w:p w14:paraId="09ECFFB2" w14:textId="77777777" w:rsidR="005134C9" w:rsidRDefault="005134C9" w:rsidP="005134C9">
      <w:pPr>
        <w:pStyle w:val="Textonotapie"/>
        <w:ind w:firstLine="709"/>
        <w:jc w:val="both"/>
        <w:rPr>
          <w:rFonts w:ascii="Arial" w:hAnsi="Arial" w:cs="Arial"/>
          <w:color w:val="000000" w:themeColor="text1"/>
          <w:sz w:val="18"/>
          <w:szCs w:val="18"/>
        </w:rPr>
      </w:pPr>
      <w:r>
        <w:rPr>
          <w:rFonts w:ascii="Arial" w:hAnsi="Arial" w:cs="Arial"/>
          <w:color w:val="000000" w:themeColor="text1"/>
          <w:sz w:val="18"/>
          <w:szCs w:val="18"/>
        </w:rPr>
        <w:t>» Parágrafo. 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w:t>
      </w:r>
    </w:p>
    <w:p w14:paraId="641A0CBB" w14:textId="77777777" w:rsidR="005134C9" w:rsidRDefault="005134C9" w:rsidP="005134C9">
      <w:pPr>
        <w:pStyle w:val="Textonotapie"/>
        <w:ind w:firstLine="709"/>
        <w:jc w:val="both"/>
        <w:rPr>
          <w:rFonts w:ascii="Arial" w:hAnsi="Arial" w:cs="Arial"/>
          <w:color w:val="000000" w:themeColor="text1"/>
          <w:sz w:val="18"/>
          <w:szCs w:val="18"/>
          <w:lang w:val="es-CO"/>
        </w:rPr>
      </w:pPr>
    </w:p>
  </w:footnote>
  <w:footnote w:id="5">
    <w:p w14:paraId="56673D32" w14:textId="77777777" w:rsidR="005134C9" w:rsidRDefault="005134C9" w:rsidP="005134C9">
      <w:pPr>
        <w:pStyle w:val="Textonotapie"/>
        <w:ind w:firstLine="708"/>
        <w:jc w:val="both"/>
        <w:rPr>
          <w:rFonts w:ascii="Arial" w:hAnsi="Arial" w:cs="Arial"/>
          <w:color w:val="000000" w:themeColor="text1"/>
          <w:sz w:val="18"/>
          <w:szCs w:val="18"/>
        </w:rPr>
      </w:pPr>
      <w:r>
        <w:rPr>
          <w:rStyle w:val="Refdenotaalpie"/>
          <w:rFonts w:ascii="Arial" w:hAnsi="Arial" w:cs="Arial"/>
          <w:color w:val="000000" w:themeColor="text1"/>
          <w:sz w:val="18"/>
          <w:szCs w:val="18"/>
        </w:rPr>
        <w:footnoteRef/>
      </w:r>
      <w:r>
        <w:rPr>
          <w:rFonts w:ascii="Arial" w:hAnsi="Arial" w:cs="Arial"/>
          <w:color w:val="000000" w:themeColor="text1"/>
          <w:sz w:val="18"/>
          <w:szCs w:val="18"/>
        </w:rPr>
        <w:t xml:space="preserve"> «Artículo 2.2.1.2.1.4.4. Convenios o contratos interadministrativos. La modalidad de selección para la contratación entre Entidades Estatales es la contratación directa; y en consecuencia, le es aplicable lo establecido en el artículo 2.2.1.2.1.4.1 del presente decreto.</w:t>
      </w:r>
    </w:p>
    <w:p w14:paraId="51A38A25" w14:textId="77777777" w:rsidR="005134C9" w:rsidRDefault="005134C9" w:rsidP="005134C9">
      <w:pPr>
        <w:pStyle w:val="Textonotapie"/>
        <w:ind w:firstLine="708"/>
        <w:jc w:val="both"/>
        <w:rPr>
          <w:rFonts w:ascii="Arial" w:hAnsi="Arial" w:cs="Arial"/>
          <w:color w:val="000000" w:themeColor="text1"/>
          <w:sz w:val="18"/>
          <w:szCs w:val="18"/>
        </w:rPr>
      </w:pPr>
      <w:r>
        <w:rPr>
          <w:rFonts w:ascii="Arial" w:hAnsi="Arial" w:cs="Arial"/>
          <w:color w:val="000000" w:themeColor="text1"/>
          <w:sz w:val="18"/>
          <w:szCs w:val="18"/>
        </w:rPr>
        <w:t>» 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09F78543" w14:textId="77777777" w:rsidR="005134C9" w:rsidRDefault="005134C9" w:rsidP="005134C9">
      <w:pPr>
        <w:pStyle w:val="Textonotapie"/>
        <w:jc w:val="both"/>
        <w:rPr>
          <w:rFonts w:ascii="Arial" w:hAnsi="Arial" w:cs="Arial"/>
          <w:color w:val="000000" w:themeColor="text1"/>
          <w:sz w:val="18"/>
          <w:szCs w:val="18"/>
        </w:rPr>
      </w:pPr>
    </w:p>
  </w:footnote>
  <w:footnote w:id="6">
    <w:p w14:paraId="77C00A51" w14:textId="77777777" w:rsidR="005134C9" w:rsidRDefault="005134C9" w:rsidP="005134C9">
      <w:pPr>
        <w:pStyle w:val="Textonotapie"/>
        <w:ind w:firstLine="708"/>
        <w:jc w:val="both"/>
        <w:rPr>
          <w:rFonts w:ascii="Arial" w:hAnsi="Arial" w:cs="Arial"/>
          <w:color w:val="000000" w:themeColor="text1"/>
          <w:sz w:val="18"/>
          <w:szCs w:val="18"/>
        </w:rPr>
      </w:pPr>
      <w:r>
        <w:rPr>
          <w:rStyle w:val="Refdenotaalpie"/>
          <w:rFonts w:ascii="Arial" w:hAnsi="Arial" w:cs="Arial"/>
          <w:color w:val="000000" w:themeColor="text1"/>
          <w:sz w:val="18"/>
          <w:szCs w:val="18"/>
        </w:rPr>
        <w:footnoteRef/>
      </w:r>
      <w:r>
        <w:rPr>
          <w:rFonts w:ascii="Arial" w:hAnsi="Arial" w:cs="Arial"/>
          <w:color w:val="000000" w:themeColor="text1"/>
          <w:sz w:val="18"/>
          <w:szCs w:val="18"/>
        </w:rPr>
        <w:t xml:space="preserve"> Código Civil: «Artículo 27. Cuando el sentido de la ley sea claro, no se desatenderá su tenor a pretexto de consultar su espíritu».</w:t>
      </w:r>
    </w:p>
    <w:p w14:paraId="1D58C15C" w14:textId="77777777" w:rsidR="005134C9" w:rsidRDefault="005134C9" w:rsidP="005134C9">
      <w:pPr>
        <w:pStyle w:val="Textonotapie"/>
        <w:ind w:firstLine="708"/>
        <w:jc w:val="both"/>
        <w:rPr>
          <w:rFonts w:ascii="Arial" w:hAnsi="Arial" w:cs="Arial"/>
          <w:color w:val="000000" w:themeColor="text1"/>
          <w:sz w:val="18"/>
          <w:szCs w:val="18"/>
          <w:lang w:val="es-ES"/>
        </w:rPr>
      </w:pPr>
    </w:p>
  </w:footnote>
  <w:footnote w:id="7">
    <w:p w14:paraId="70FEAAAE" w14:textId="77777777" w:rsidR="005134C9" w:rsidRDefault="005134C9" w:rsidP="005134C9">
      <w:pPr>
        <w:pStyle w:val="Textonotapie"/>
        <w:ind w:firstLine="708"/>
        <w:jc w:val="both"/>
        <w:rPr>
          <w:rFonts w:ascii="Arial" w:hAnsi="Arial" w:cs="Arial"/>
          <w:color w:val="000000" w:themeColor="text1"/>
          <w:sz w:val="18"/>
          <w:szCs w:val="18"/>
        </w:rPr>
      </w:pPr>
      <w:r>
        <w:rPr>
          <w:rStyle w:val="Refdenotaalpie"/>
          <w:rFonts w:ascii="Arial" w:hAnsi="Arial" w:cs="Arial"/>
          <w:color w:val="000000" w:themeColor="text1"/>
          <w:sz w:val="18"/>
          <w:szCs w:val="18"/>
        </w:rPr>
        <w:footnoteRef/>
      </w:r>
      <w:r>
        <w:rPr>
          <w:rFonts w:ascii="Arial" w:hAnsi="Arial" w:cs="Arial"/>
          <w:color w:val="000000" w:themeColor="text1"/>
          <w:sz w:val="18"/>
          <w:szCs w:val="18"/>
        </w:rPr>
        <w:t xml:space="preserve"> Ley 80 de 1993: «Artículo 41. Del perfeccionamiento del contrato. Los contratos del Estado se perfeccionan cuando se logre acuerdo sobre el objeto y la contraprestación y éste se eleve a escrito. […]».</w:t>
      </w:r>
    </w:p>
    <w:p w14:paraId="74E6C141" w14:textId="77777777" w:rsidR="005134C9" w:rsidRDefault="005134C9" w:rsidP="005134C9">
      <w:pPr>
        <w:pStyle w:val="Textonotapie"/>
        <w:jc w:val="both"/>
        <w:rPr>
          <w:rFonts w:ascii="Arial" w:hAnsi="Arial" w:cs="Arial"/>
          <w:color w:val="000000" w:themeColor="text1"/>
          <w:sz w:val="18"/>
          <w:szCs w:val="18"/>
          <w:lang w:val="es-ES"/>
        </w:rPr>
      </w:pPr>
    </w:p>
  </w:footnote>
  <w:footnote w:id="8">
    <w:p w14:paraId="5390D81E" w14:textId="77777777" w:rsidR="005134C9" w:rsidRDefault="005134C9" w:rsidP="005134C9">
      <w:pPr>
        <w:pStyle w:val="Textonotapie"/>
        <w:ind w:firstLine="708"/>
        <w:jc w:val="both"/>
        <w:rPr>
          <w:rFonts w:ascii="Arial" w:hAnsi="Arial" w:cs="Arial"/>
          <w:color w:val="000000" w:themeColor="text1"/>
          <w:sz w:val="18"/>
          <w:szCs w:val="18"/>
        </w:rPr>
      </w:pPr>
      <w:r>
        <w:rPr>
          <w:rStyle w:val="Refdenotaalpie"/>
          <w:rFonts w:ascii="Arial" w:hAnsi="Arial" w:cs="Arial"/>
          <w:color w:val="000000" w:themeColor="text1"/>
          <w:sz w:val="18"/>
          <w:szCs w:val="18"/>
        </w:rPr>
        <w:footnoteRef/>
      </w:r>
      <w:r>
        <w:rPr>
          <w:rFonts w:ascii="Arial" w:hAnsi="Arial" w:cs="Arial"/>
          <w:color w:val="000000" w:themeColor="text1"/>
          <w:sz w:val="18"/>
          <w:szCs w:val="18"/>
        </w:rPr>
        <w:t xml:space="preserve"> Consejo de Estado. Sección Tercera. Sentencia del 23 de junio de 2010. Radicación No. 66001-23-31-000-1998-00261-01(17.860). Consejero Ponente: Mauricio Fajardo Gómez.</w:t>
      </w:r>
    </w:p>
    <w:p w14:paraId="76BFDA53" w14:textId="77777777" w:rsidR="005134C9" w:rsidRDefault="005134C9" w:rsidP="005134C9">
      <w:pPr>
        <w:pStyle w:val="Textonotapie"/>
        <w:ind w:firstLine="708"/>
        <w:jc w:val="both"/>
        <w:rPr>
          <w:rFonts w:ascii="Arial" w:hAnsi="Arial" w:cs="Arial"/>
          <w:color w:val="000000" w:themeColor="text1"/>
          <w:sz w:val="18"/>
          <w:szCs w:val="18"/>
          <w:lang w:val="es-ES"/>
        </w:rPr>
      </w:pPr>
    </w:p>
  </w:footnote>
  <w:footnote w:id="9">
    <w:p w14:paraId="3927A3C7" w14:textId="77777777" w:rsidR="005134C9" w:rsidRDefault="005134C9" w:rsidP="005134C9">
      <w:pPr>
        <w:pStyle w:val="Textonotapie"/>
        <w:ind w:firstLine="708"/>
        <w:jc w:val="both"/>
        <w:rPr>
          <w:rFonts w:ascii="Arial" w:hAnsi="Arial" w:cs="Arial"/>
          <w:color w:val="000000" w:themeColor="text1"/>
          <w:sz w:val="18"/>
          <w:szCs w:val="18"/>
          <w:lang w:val="es-CO"/>
        </w:rPr>
      </w:pPr>
      <w:r>
        <w:rPr>
          <w:rStyle w:val="Refdenotaalpie"/>
          <w:rFonts w:ascii="Arial" w:hAnsi="Arial" w:cs="Arial"/>
          <w:color w:val="000000" w:themeColor="text1"/>
          <w:sz w:val="18"/>
          <w:szCs w:val="18"/>
        </w:rPr>
        <w:footnoteRef/>
      </w:r>
      <w:r>
        <w:rPr>
          <w:rFonts w:ascii="Arial" w:hAnsi="Arial" w:cs="Arial"/>
          <w:color w:val="000000" w:themeColor="text1"/>
          <w:sz w:val="18"/>
          <w:szCs w:val="18"/>
        </w:rPr>
        <w:t xml:space="preserve"> </w:t>
      </w:r>
      <w:r>
        <w:rPr>
          <w:rFonts w:ascii="Arial" w:hAnsi="Arial" w:cs="Arial"/>
          <w:color w:val="000000" w:themeColor="text1"/>
          <w:sz w:val="18"/>
          <w:szCs w:val="18"/>
          <w:lang w:val="es-CO"/>
        </w:rPr>
        <w:t xml:space="preserve">«Artículo 2o. De la definición de entidades, servidores y servicios públicos. Para los solos efectos de esta ley: </w:t>
      </w:r>
    </w:p>
    <w:p w14:paraId="40C2EC6C" w14:textId="77777777" w:rsidR="005134C9" w:rsidRDefault="005134C9" w:rsidP="005134C9">
      <w:pPr>
        <w:pStyle w:val="Textonotapie"/>
        <w:ind w:firstLine="708"/>
        <w:jc w:val="both"/>
        <w:rPr>
          <w:rFonts w:ascii="Arial" w:hAnsi="Arial" w:cs="Arial"/>
          <w:color w:val="000000" w:themeColor="text1"/>
          <w:sz w:val="18"/>
          <w:szCs w:val="18"/>
          <w:lang w:val="es-CO"/>
        </w:rPr>
      </w:pPr>
      <w:r>
        <w:rPr>
          <w:rFonts w:ascii="Arial" w:hAnsi="Arial" w:cs="Arial"/>
          <w:color w:val="000000" w:themeColor="text1"/>
          <w:sz w:val="18"/>
          <w:szCs w:val="18"/>
          <w:lang w:val="es-CO"/>
        </w:rPr>
        <w:t xml:space="preserve">» 1o. Se denominan entidades estatales: </w:t>
      </w:r>
    </w:p>
    <w:p w14:paraId="10F4D0FD" w14:textId="77777777" w:rsidR="005134C9" w:rsidRDefault="005134C9" w:rsidP="005134C9">
      <w:pPr>
        <w:pStyle w:val="Textonotapie"/>
        <w:ind w:firstLine="708"/>
        <w:jc w:val="both"/>
        <w:rPr>
          <w:rFonts w:ascii="Arial" w:hAnsi="Arial" w:cs="Arial"/>
          <w:color w:val="000000" w:themeColor="text1"/>
          <w:sz w:val="18"/>
          <w:szCs w:val="18"/>
          <w:lang w:val="es-CO"/>
        </w:rPr>
      </w:pPr>
      <w:r>
        <w:rPr>
          <w:rFonts w:ascii="Arial" w:hAnsi="Arial" w:cs="Arial"/>
          <w:color w:val="000000" w:themeColor="text1"/>
          <w:sz w:val="18"/>
          <w:szCs w:val="18"/>
          <w:lang w:val="es-CO"/>
        </w:rPr>
        <w:t>»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footnote>
  <w:footnote w:id="10">
    <w:p w14:paraId="795966D2"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Corte Constitucional. Sentencia C- 341 del 4 de junio de 2014. M. P. Mauricio González Cuervo.</w:t>
      </w:r>
    </w:p>
    <w:p w14:paraId="75CA9087"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11">
    <w:p w14:paraId="77179030"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E037919"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Lo anterior, sin perjuicio de las publicaciones previstas en el numeral 3 del artículo 30 de la Ley 80 de 1993.</w:t>
      </w:r>
    </w:p>
    <w:p w14:paraId="46499111"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0F4F22FA"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69FD9694"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08689BA" w14:textId="77777777" w:rsidR="00107E4D" w:rsidRPr="00851936" w:rsidRDefault="00107E4D" w:rsidP="00107E4D">
      <w:pPr>
        <w:pStyle w:val="Textonotapie"/>
        <w:ind w:right="49"/>
        <w:jc w:val="both"/>
        <w:rPr>
          <w:rFonts w:ascii="Arial" w:hAnsi="Arial" w:cs="Arial"/>
          <w:color w:val="000000" w:themeColor="text1"/>
          <w:sz w:val="19"/>
          <w:szCs w:val="19"/>
        </w:rPr>
      </w:pPr>
    </w:p>
  </w:footnote>
  <w:footnote w:id="12">
    <w:p w14:paraId="045E75DF"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6DCA28F"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13">
    <w:p w14:paraId="49552AC8"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3570489"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1C55D95C"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14">
    <w:p w14:paraId="24804CE1"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vertAlign w:val="superscript"/>
          <w:lang w:val="es-ES" w:eastAsia="es-ES"/>
        </w:rPr>
        <w:footnoteRef/>
      </w:r>
      <w:r w:rsidRPr="00851936">
        <w:rPr>
          <w:rFonts w:ascii="Arial" w:hAnsi="Arial" w:cs="Arial"/>
          <w:color w:val="000000" w:themeColor="text1"/>
          <w:sz w:val="19"/>
          <w:szCs w:val="19"/>
          <w:vertAlign w:val="superscript"/>
          <w:lang w:val="es-ES" w:eastAsia="es-ES"/>
        </w:rPr>
        <w:t xml:space="preserve"> </w:t>
      </w:r>
      <w:r w:rsidRPr="00851936">
        <w:rPr>
          <w:rFonts w:ascii="Arial" w:hAnsi="Arial" w:cs="Arial"/>
          <w:color w:val="000000" w:themeColor="text1"/>
          <w:sz w:val="19"/>
          <w:szCs w:val="19"/>
          <w:lang w:val="es-ES" w:eastAsia="es-ES"/>
        </w:rPr>
        <w:t>«</w:t>
      </w:r>
      <w:r w:rsidRPr="00851936">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9121EE4" w14:textId="77777777" w:rsidR="00107E4D" w:rsidRPr="00851936" w:rsidRDefault="00107E4D" w:rsidP="00107E4D">
      <w:pPr>
        <w:pStyle w:val="Textonotapie"/>
        <w:ind w:right="49" w:firstLine="709"/>
        <w:jc w:val="both"/>
        <w:rPr>
          <w:rFonts w:ascii="Arial" w:hAnsi="Arial" w:cs="Arial"/>
          <w:color w:val="000000" w:themeColor="text1"/>
          <w:sz w:val="19"/>
          <w:szCs w:val="19"/>
          <w:lang w:val="es-ES" w:eastAsia="es-ES"/>
        </w:rPr>
      </w:pPr>
      <w:r w:rsidRPr="00851936">
        <w:rPr>
          <w:rFonts w:ascii="Arial" w:hAnsi="Arial" w:cs="Arial"/>
          <w:color w:val="000000" w:themeColor="text1"/>
          <w:sz w:val="19"/>
          <w:szCs w:val="19"/>
        </w:rPr>
        <w:t>[…].</w:t>
      </w:r>
    </w:p>
    <w:p w14:paraId="38438782" w14:textId="5C60C233" w:rsidR="00107E4D" w:rsidRPr="00851936" w:rsidRDefault="00107E4D">
      <w:pPr>
        <w:pStyle w:val="Textonotapie"/>
        <w:ind w:right="49" w:firstLine="709"/>
        <w:jc w:val="both"/>
        <w:rPr>
          <w:rFonts w:ascii="Arial" w:hAnsi="Arial" w:cs="Arial"/>
          <w:color w:val="000000" w:themeColor="text1"/>
          <w:sz w:val="19"/>
          <w:szCs w:val="19"/>
          <w:lang w:val="es-ES" w:eastAsia="es-ES"/>
        </w:rPr>
      </w:pPr>
      <w:r w:rsidRPr="00851936">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15">
    <w:p w14:paraId="11B257D4"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w:t>
      </w:r>
      <w:r w:rsidRPr="00851936">
        <w:rPr>
          <w:rFonts w:ascii="Arial" w:hAnsi="Arial" w:cs="Arial"/>
          <w:color w:val="000000" w:themeColor="text1"/>
          <w:sz w:val="19"/>
          <w:szCs w:val="19"/>
          <w:lang w:val="es-ES" w:eastAsia="es-ES"/>
        </w:rPr>
        <w:t xml:space="preserve">orte Constitucional. Sentencia C-274 de 9 de mayo de 2013. M.P. María Victoria Calle Correa. </w:t>
      </w:r>
    </w:p>
    <w:p w14:paraId="01E00C14"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16">
    <w:p w14:paraId="0B3C0741"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211F1FFC" w14:textId="07070C60" w:rsidR="00107E4D" w:rsidRPr="00851936" w:rsidRDefault="00107E4D" w:rsidP="009B3335">
      <w:pPr>
        <w:pStyle w:val="Textonotapie"/>
        <w:ind w:right="49" w:firstLine="708"/>
        <w:jc w:val="both"/>
        <w:rPr>
          <w:rFonts w:ascii="Arial" w:hAnsi="Arial" w:cs="Arial"/>
          <w:color w:val="000000" w:themeColor="text1"/>
          <w:sz w:val="19"/>
          <w:szCs w:val="19"/>
          <w:lang w:val="es-ES"/>
        </w:rPr>
      </w:pPr>
      <w:r w:rsidRPr="00851936">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17">
    <w:p w14:paraId="421ABD5B"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Consejo de Estado. Sección Tercera. Sentencia del 14 de diciembre de 2007. Exp. 24.715. C.P. Ruth Stella Correa Palacio.</w:t>
      </w:r>
    </w:p>
    <w:p w14:paraId="16DF3419" w14:textId="77777777" w:rsidR="00107E4D" w:rsidRPr="00851936" w:rsidRDefault="00107E4D" w:rsidP="00107E4D">
      <w:pPr>
        <w:pStyle w:val="Textonotapie"/>
        <w:ind w:right="49" w:firstLine="708"/>
        <w:jc w:val="both"/>
        <w:rPr>
          <w:rFonts w:ascii="Arial" w:hAnsi="Arial" w:cs="Arial"/>
          <w:color w:val="000000" w:themeColor="text1"/>
          <w:sz w:val="19"/>
          <w:szCs w:val="19"/>
          <w:lang w:val="es-ES"/>
        </w:rPr>
      </w:pPr>
      <w:r w:rsidRPr="00851936">
        <w:rPr>
          <w:rFonts w:ascii="Arial" w:hAnsi="Arial" w:cs="Arial"/>
          <w:color w:val="000000" w:themeColor="text1"/>
          <w:sz w:val="19"/>
          <w:szCs w:val="19"/>
        </w:rPr>
        <w:t xml:space="preserve"> </w:t>
      </w:r>
    </w:p>
  </w:footnote>
  <w:footnote w:id="18">
    <w:p w14:paraId="1587B8A2"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El siguiente análisis se realiza únicamente respecto de las entidades sometidas al Estatuto General de Contratación de la Administración Pública. Sobre el deber de publicación de la actividad contractual de las entidades excluidas de dicho régimen de contratación, esta Agencia expidió el concepto CU–003 del 15 de enero de 2020 –radicado No. 2202013000000164–.</w:t>
      </w:r>
    </w:p>
    <w:p w14:paraId="12C2E609" w14:textId="77777777" w:rsidR="00D12042" w:rsidRPr="00851936" w:rsidRDefault="00D12042" w:rsidP="00D12042">
      <w:pPr>
        <w:pStyle w:val="Textonotapie"/>
        <w:ind w:firstLine="708"/>
        <w:rPr>
          <w:rFonts w:ascii="Arial" w:hAnsi="Arial" w:cs="Arial"/>
          <w:sz w:val="19"/>
          <w:szCs w:val="19"/>
          <w:lang w:val="es-CO"/>
        </w:rPr>
      </w:pPr>
    </w:p>
  </w:footnote>
  <w:footnote w:id="19">
    <w:p w14:paraId="59FFB02C"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1167E12"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16EF5C92"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7BF1352" w14:textId="77777777" w:rsidR="00D12042" w:rsidRPr="00851936" w:rsidRDefault="00D12042" w:rsidP="00D12042">
      <w:pPr>
        <w:pStyle w:val="Textonotapie"/>
        <w:ind w:right="49"/>
        <w:jc w:val="both"/>
        <w:rPr>
          <w:rFonts w:ascii="Arial" w:hAnsi="Arial" w:cs="Arial"/>
          <w:color w:val="000000" w:themeColor="text1"/>
          <w:sz w:val="19"/>
          <w:szCs w:val="19"/>
          <w:lang w:val="es-ES"/>
        </w:rPr>
      </w:pPr>
    </w:p>
  </w:footnote>
  <w:footnote w:id="20">
    <w:p w14:paraId="78551929" w14:textId="77777777" w:rsidR="00D12042" w:rsidRPr="00851936" w:rsidRDefault="00D12042" w:rsidP="00D12042">
      <w:pPr>
        <w:spacing w:before="76"/>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851936">
        <w:rPr>
          <w:rFonts w:ascii="Arial" w:hAnsi="Arial" w:cs="Arial"/>
          <w:color w:val="000000" w:themeColor="text1"/>
          <w:spacing w:val="-3"/>
          <w:sz w:val="19"/>
          <w:szCs w:val="19"/>
        </w:rPr>
        <w:t xml:space="preserve"> </w:t>
      </w:r>
      <w:r w:rsidRPr="00851936">
        <w:rPr>
          <w:rFonts w:ascii="Arial" w:hAnsi="Arial" w:cs="Arial"/>
          <w:color w:val="000000" w:themeColor="text1"/>
          <w:sz w:val="19"/>
          <w:szCs w:val="19"/>
        </w:rPr>
        <w:t>Nacional.</w:t>
      </w:r>
    </w:p>
    <w:p w14:paraId="73B33B25"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»Lo anterior, sin perjuicio de las publicaciones previstas en el numeral 3 del artículo 30 de la Ley 80 de 1993.</w:t>
      </w:r>
    </w:p>
    <w:p w14:paraId="3DF0E105"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»Con el fin de materializar los objetivos a que se refiere el inciso anterior, el Gobierno Nacional desarrollará el Sistema Electrónico para la Contratación Pública, Secop, el cual:</w:t>
      </w:r>
    </w:p>
    <w:p w14:paraId="5CF549EB"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»a) Dispondrá de las funcionalidades tecnológicas para realizar procesos de contratación electrónicos bajo los métodos de selección señalados en el artículo 2o de la presente ley según lo defina el reglamento;</w:t>
      </w:r>
    </w:p>
    <w:p w14:paraId="492192B0"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»b) Servirá de punto único de ingreso de información y de generación de reportes para las entidades estatales y la ciudadanía;</w:t>
      </w:r>
    </w:p>
    <w:p w14:paraId="28054D5E"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6E75EA69"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3CAEA120" w14:textId="77777777" w:rsidR="00D12042" w:rsidRPr="00851936" w:rsidRDefault="00D12042" w:rsidP="00D12042">
      <w:pPr>
        <w:pStyle w:val="Textonotapie"/>
        <w:ind w:right="49"/>
        <w:jc w:val="both"/>
        <w:rPr>
          <w:rFonts w:ascii="Arial" w:hAnsi="Arial" w:cs="Arial"/>
          <w:color w:val="000000" w:themeColor="text1"/>
          <w:sz w:val="19"/>
          <w:szCs w:val="19"/>
        </w:rPr>
      </w:pPr>
    </w:p>
  </w:footnote>
  <w:footnote w:id="21">
    <w:p w14:paraId="3FB44444" w14:textId="34727D4B" w:rsidR="00D12042" w:rsidRPr="00851936" w:rsidRDefault="00D12042" w:rsidP="00950C49">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w:t>
      </w:r>
      <w:r>
        <w:rPr>
          <w:rFonts w:ascii="Arial" w:hAnsi="Arial" w:cs="Arial"/>
          <w:sz w:val="19"/>
          <w:szCs w:val="19"/>
        </w:rPr>
        <w:t>,</w:t>
      </w:r>
      <w:r w:rsidRPr="00851936">
        <w:rPr>
          <w:rFonts w:ascii="Arial" w:hAnsi="Arial" w:cs="Arial"/>
          <w:sz w:val="19"/>
          <w:szCs w:val="19"/>
        </w:rPr>
        <w:t xml:space="preserve"> son relevantes las consideraciones expuestas por esta </w:t>
      </w:r>
      <w:r>
        <w:rPr>
          <w:rFonts w:ascii="Arial" w:hAnsi="Arial" w:cs="Arial"/>
          <w:sz w:val="19"/>
          <w:szCs w:val="19"/>
        </w:rPr>
        <w:t>Subdirección</w:t>
      </w:r>
      <w:r w:rsidRPr="00851936">
        <w:rPr>
          <w:rFonts w:ascii="Arial" w:hAnsi="Arial" w:cs="Arial"/>
          <w:sz w:val="19"/>
          <w:szCs w:val="19"/>
        </w:rPr>
        <w:t xml:space="preserve"> en el concepto C-160 del 3 de abril de 2020 –radicado No. 2202013000002420–, donde se expuso que «[…] los días hábiles se determinan según la entidad, ya que </w:t>
      </w:r>
      <w:r>
        <w:rPr>
          <w:rFonts w:ascii="Arial" w:hAnsi="Arial" w:cs="Arial"/>
          <w:sz w:val="19"/>
          <w:szCs w:val="19"/>
        </w:rPr>
        <w:t>“</w:t>
      </w:r>
      <w:r w:rsidRPr="00851936">
        <w:rPr>
          <w:rFonts w:ascii="Arial" w:hAnsi="Arial" w:cs="Arial"/>
          <w:sz w:val="19"/>
          <w:szCs w:val="19"/>
        </w:rPr>
        <w:t>cada entidad pública establece la jornada laboral, a través de su reglamento interno, dando certeza sobre los días que atienden al público, e indirectamente definiendo qué día es hábil en determinada institución</w:t>
      </w:r>
      <w:r>
        <w:rPr>
          <w:rFonts w:ascii="Arial" w:hAnsi="Arial" w:cs="Arial"/>
          <w:sz w:val="19"/>
          <w:szCs w:val="19"/>
        </w:rPr>
        <w:t>”</w:t>
      </w:r>
      <w:r w:rsidRPr="00851936">
        <w:rPr>
          <w:rFonts w:ascii="Arial" w:hAnsi="Arial" w:cs="Arial"/>
          <w:sz w:val="19"/>
          <w:szCs w:val="19"/>
        </w:rPr>
        <w:t>,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footnote>
  <w:footnote w:id="22">
    <w:p w14:paraId="01ABB628" w14:textId="77777777" w:rsidR="00D12042" w:rsidRPr="00851936" w:rsidRDefault="00D12042" w:rsidP="00D12042">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Decreto 1081 de 2015 «</w:t>
      </w:r>
      <w:r w:rsidRPr="00851936">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377BAA7" w14:textId="77777777" w:rsidR="00D12042" w:rsidRPr="00851936" w:rsidRDefault="00D12042" w:rsidP="00D12042">
      <w:pPr>
        <w:jc w:val="both"/>
        <w:rPr>
          <w:rFonts w:ascii="Arial" w:eastAsia="Times New Roman" w:hAnsi="Arial" w:cs="Arial"/>
          <w:color w:val="000000"/>
          <w:sz w:val="19"/>
          <w:szCs w:val="19"/>
          <w:lang w:val="es-CO" w:eastAsia="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13407343" w14:textId="77777777" w:rsidR="00D12042" w:rsidRPr="00851936" w:rsidRDefault="00D12042" w:rsidP="00D12042">
      <w:pPr>
        <w:jc w:val="both"/>
        <w:rPr>
          <w:rFonts w:ascii="Arial" w:hAnsi="Arial" w:cs="Arial"/>
          <w:sz w:val="19"/>
          <w:szCs w:val="19"/>
          <w:lang w:val="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»Los sujetos obligados que contratan con recursos públicos y recursos privados, deben publicar la información de su gestión contractual con cargo a recursos públicos en el Sistema Electrónico para la Contratación Pública (SECOP)</w:t>
      </w:r>
      <w:r w:rsidRPr="00851936">
        <w:rPr>
          <w:rFonts w:ascii="Arial" w:hAnsi="Arial" w:cs="Arial"/>
          <w:sz w:val="19"/>
          <w:szCs w:val="19"/>
          <w:lang w:val="es-CO"/>
        </w:rPr>
        <w:t>».</w:t>
      </w:r>
    </w:p>
    <w:p w14:paraId="2A928C9C" w14:textId="77777777" w:rsidR="00D12042" w:rsidRPr="00851936" w:rsidRDefault="00D12042" w:rsidP="00D12042">
      <w:pPr>
        <w:jc w:val="both"/>
        <w:rPr>
          <w:rFonts w:ascii="Arial" w:eastAsia="Times New Roman" w:hAnsi="Arial" w:cs="Arial"/>
          <w:color w:val="000000"/>
          <w:sz w:val="19"/>
          <w:szCs w:val="19"/>
          <w:lang w:val="es-CO" w:eastAsia="es-CO"/>
        </w:rPr>
      </w:pPr>
    </w:p>
  </w:footnote>
  <w:footnote w:id="23">
    <w:p w14:paraId="53290A26"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w:t>
      </w:r>
      <w:r w:rsidRPr="00D0322C">
        <w:rPr>
          <w:rFonts w:ascii="Arial" w:hAnsi="Arial" w:cs="Arial"/>
          <w:color w:val="000000" w:themeColor="text1"/>
          <w:sz w:val="19"/>
          <w:szCs w:val="19"/>
        </w:rPr>
        <w:t>procedimientos, lineamientos y políticas en</w:t>
      </w:r>
      <w:r w:rsidRPr="00851936">
        <w:rPr>
          <w:rFonts w:ascii="Arial" w:hAnsi="Arial" w:cs="Arial"/>
          <w:color w:val="000000" w:themeColor="text1"/>
          <w:sz w:val="19"/>
          <w:szCs w:val="19"/>
        </w:rPr>
        <w:t xml:space="preserve">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14:paraId="68772699" w14:textId="77777777" w:rsidR="00D12042" w:rsidRPr="00851936" w:rsidRDefault="00D12042" w:rsidP="00D12042">
      <w:pPr>
        <w:pStyle w:val="Textonotapie"/>
        <w:ind w:right="49" w:firstLine="709"/>
        <w:jc w:val="both"/>
        <w:rPr>
          <w:rFonts w:ascii="Arial" w:hAnsi="Arial" w:cs="Arial"/>
          <w:color w:val="000000" w:themeColor="text1"/>
          <w:sz w:val="19"/>
          <w:szCs w:val="19"/>
        </w:rPr>
      </w:pPr>
    </w:p>
  </w:footnote>
  <w:footnote w:id="24">
    <w:p w14:paraId="3E10B0C5"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215A52B4"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»Los sujetos obligados que no contratan con cargo a recursos públicos no están obligados a publicar su Plan Anual de Adquisiciones. </w:t>
      </w:r>
    </w:p>
    <w:p w14:paraId="212394C4"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6ECFD18D" w14:textId="273D657D" w:rsidR="00D12042" w:rsidRPr="00851936" w:rsidRDefault="00D12042">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25">
    <w:p w14:paraId="628B583E" w14:textId="796B2B92" w:rsidR="00D12042" w:rsidRPr="00851936" w:rsidRDefault="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w:t>
      </w:r>
      <w:r w:rsidRPr="00D0322C">
        <w:rPr>
          <w:rFonts w:ascii="Arial" w:hAnsi="Arial" w:cs="Arial"/>
          <w:color w:val="000000" w:themeColor="text1"/>
          <w:sz w:val="19"/>
          <w:szCs w:val="19"/>
        </w:rPr>
        <w:t>aprobaciones, autorizaciones, requerimientos o informes del supervisor o del interventor,</w:t>
      </w:r>
      <w:r w:rsidRPr="00851936">
        <w:rPr>
          <w:rFonts w:ascii="Arial" w:hAnsi="Arial" w:cs="Arial"/>
          <w:color w:val="000000" w:themeColor="text1"/>
          <w:sz w:val="19"/>
          <w:szCs w:val="19"/>
        </w:rPr>
        <w:t xml:space="preserve"> que prueben la ejecución del contrato».</w:t>
      </w:r>
    </w:p>
  </w:footnote>
  <w:footnote w:id="26">
    <w:p w14:paraId="16C53012" w14:textId="77777777" w:rsidR="00D12042" w:rsidRPr="00851936" w:rsidRDefault="00D12042" w:rsidP="00D12042">
      <w:pPr>
        <w:pStyle w:val="Textonotapie"/>
        <w:ind w:firstLine="708"/>
        <w:jc w:val="both"/>
        <w:rPr>
          <w:rFonts w:ascii="Arial" w:hAnsi="Arial" w:cs="Arial"/>
          <w:sz w:val="19"/>
          <w:szCs w:val="19"/>
          <w:lang w:val="es-CO"/>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27">
    <w:p w14:paraId="25D1EB72" w14:textId="77777777" w:rsidR="00D12042" w:rsidRPr="00851936" w:rsidRDefault="00D12042" w:rsidP="00D12042">
      <w:pPr>
        <w:pStyle w:val="Textonotapie"/>
        <w:rPr>
          <w:rFonts w:ascii="Arial" w:hAnsi="Arial" w:cs="Arial"/>
          <w:sz w:val="19"/>
          <w:szCs w:val="19"/>
        </w:rPr>
      </w:pPr>
    </w:p>
    <w:p w14:paraId="01424424" w14:textId="77777777" w:rsidR="00D12042" w:rsidRPr="00851936" w:rsidRDefault="00D12042" w:rsidP="00D12042">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w:t>
      </w:r>
      <w:r w:rsidRPr="00851936">
        <w:rPr>
          <w:rStyle w:val="PiedepginaCar"/>
          <w:rFonts w:ascii="Arial" w:hAnsi="Arial" w:cs="Arial"/>
          <w:color w:val="000000"/>
          <w:sz w:val="19"/>
          <w:szCs w:val="19"/>
        </w:rPr>
        <w:t xml:space="preserve"> </w:t>
      </w:r>
      <w:r w:rsidRPr="00851936">
        <w:rPr>
          <w:rFonts w:ascii="Arial" w:hAnsi="Arial" w:cs="Arial"/>
          <w:color w:val="000000"/>
          <w:sz w:val="19"/>
          <w:szCs w:val="19"/>
        </w:rPr>
        <w:t>Artículo 3°.Otros principios de la transparencia y acceso a la información pública. En la interpretación del derecho de acceso a la información se deberá adoptar un criterio de razonabilidad y proporcionalidad, así como aplicar los siguientes principios: </w:t>
      </w:r>
    </w:p>
    <w:p w14:paraId="663CD6BE"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470723AC"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 </w:t>
      </w:r>
    </w:p>
    <w:p w14:paraId="77F04AF5"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Principio de facilitación. En virtud de este principio los sujetos obligados deberán facilitar el ejercicio del derecho de acceso a la información pública, excluyendo exigencias o requisitos que puedan obstruirlo o impedirlo. </w:t>
      </w:r>
    </w:p>
    <w:p w14:paraId="58789229"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p>
    <w:p w14:paraId="2F53F6A3" w14:textId="1F7384F7" w:rsidR="00D12042" w:rsidRPr="00851936" w:rsidRDefault="00D12042" w:rsidP="009B3335">
      <w:pPr>
        <w:jc w:val="both"/>
        <w:rPr>
          <w:lang w:val="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 xml:space="preserve">» </w:t>
      </w:r>
      <w:r w:rsidRPr="008C71CB">
        <w:rPr>
          <w:rFonts w:ascii="Arial" w:eastAsia="Times New Roman" w:hAnsi="Arial" w:cs="Arial"/>
          <w:color w:val="000000"/>
          <w:sz w:val="19"/>
          <w:szCs w:val="19"/>
          <w:lang w:val="es-CO" w:eastAsia="es-CO"/>
        </w:rPr>
        <w:t>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w:t>
      </w:r>
      <w:r w:rsidRPr="00851936">
        <w:rPr>
          <w:rFonts w:ascii="Arial" w:eastAsia="Times New Roman" w:hAnsi="Arial" w:cs="Arial"/>
          <w:color w:val="000000"/>
          <w:sz w:val="19"/>
          <w:szCs w:val="19"/>
          <w:lang w:val="es-CO" w:eastAsia="es-CO"/>
        </w:rPr>
        <w:t xml:space="preserve"> […]».</w:t>
      </w:r>
    </w:p>
  </w:footnote>
  <w:footnote w:id="28">
    <w:p w14:paraId="43299877" w14:textId="77777777" w:rsidR="00D12042" w:rsidRPr="00851936" w:rsidRDefault="00D12042" w:rsidP="00D12042">
      <w:pPr>
        <w:pStyle w:val="Textonotapie"/>
        <w:ind w:firstLine="708"/>
        <w:jc w:val="both"/>
        <w:rPr>
          <w:rFonts w:ascii="Arial" w:hAnsi="Arial" w:cs="Arial"/>
          <w:color w:val="000000" w:themeColor="text1"/>
          <w:sz w:val="19"/>
          <w:szCs w:val="19"/>
          <w:lang w:val="es-CO"/>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1474 de 2011 «</w:t>
      </w:r>
      <w:r w:rsidRPr="00851936">
        <w:rPr>
          <w:rFonts w:ascii="Arial" w:hAnsi="Arial" w:cs="Arial"/>
          <w:color w:val="000000" w:themeColor="text1"/>
          <w:sz w:val="19"/>
          <w:szCs w:val="19"/>
          <w:lang w:val="es-CO"/>
        </w:rPr>
        <w:t>Artículo 74. </w:t>
      </w:r>
      <w:r w:rsidRPr="00851936">
        <w:rPr>
          <w:rFonts w:ascii="Arial" w:hAnsi="Arial" w:cs="Arial"/>
          <w:i/>
          <w:iCs/>
          <w:color w:val="000000" w:themeColor="text1"/>
          <w:sz w:val="19"/>
          <w:szCs w:val="19"/>
          <w:lang w:val="es-CO"/>
        </w:rPr>
        <w:t>Plan de acción de las entidades públicas</w:t>
      </w:r>
      <w:r w:rsidRPr="00851936">
        <w:rPr>
          <w:rFonts w:ascii="Arial" w:hAnsi="Arial" w:cs="Arial"/>
          <w:color w:val="000000" w:themeColor="text1"/>
          <w:sz w:val="19"/>
          <w:szCs w:val="19"/>
          <w:lang w:val="es-CO"/>
        </w:rPr>
        <w:t>.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w:t>
      </w:r>
    </w:p>
    <w:p w14:paraId="2DCAF17C"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t>»A partir del año siguiente, el Plan de Acción deberá estar acompañado del informe de gestión del año inmediatamente anterior. </w:t>
      </w:r>
    </w:p>
    <w:p w14:paraId="5D9EFD3C"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t>»Igualmente publicarán por dicho medio su presupuesto debidamente desagregado, así como las modificaciones a este o a su desagregación. </w:t>
      </w:r>
    </w:p>
    <w:p w14:paraId="3765C2CF"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t>»Parágrafo. Las empresas industriales y comerciales del Estado y las Sociedades de Economía Mixta estarán exentas de publicar la información relacionada con sus proyectos de inversión». </w:t>
      </w:r>
    </w:p>
    <w:p w14:paraId="55EF5B23" w14:textId="77777777" w:rsidR="00D12042" w:rsidRPr="00851936" w:rsidRDefault="00D12042" w:rsidP="00D12042">
      <w:pPr>
        <w:pStyle w:val="Textonotapie"/>
        <w:jc w:val="both"/>
        <w:rPr>
          <w:rFonts w:ascii="Arial" w:hAnsi="Arial" w:cs="Arial"/>
          <w:color w:val="000000" w:themeColor="text1"/>
          <w:sz w:val="19"/>
          <w:szCs w:val="19"/>
          <w:lang w:val="es-CO"/>
        </w:rPr>
      </w:pPr>
    </w:p>
  </w:footnote>
  <w:footnote w:id="29">
    <w:p w14:paraId="5A8822AF" w14:textId="77777777" w:rsidR="00D12042" w:rsidRPr="00851936" w:rsidRDefault="00D12042" w:rsidP="00D12042">
      <w:pPr>
        <w:pStyle w:val="Textonotapie"/>
        <w:ind w:firstLine="708"/>
        <w:jc w:val="both"/>
        <w:rPr>
          <w:rFonts w:ascii="Arial" w:hAnsi="Arial" w:cs="Arial"/>
          <w:color w:val="000000" w:themeColor="text1"/>
          <w:sz w:val="19"/>
          <w:szCs w:val="19"/>
          <w:lang w:val="es-CO"/>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2015«Artículo 2.2.1.1.1.4.3. Publicación del Plan Anual de Adquisiciones. La Entidad Estatal debe publicar su Plan Anual de Adquisiciones y las actualizaciones del mismo en su página web y en el SECOP, en la forma que para el efecto disponga Colombia Compra Eficiente».</w:t>
      </w:r>
    </w:p>
  </w:footnote>
  <w:footnote w:id="30">
    <w:p w14:paraId="39008E79"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80 de 1993 «Artículo 24. Del principio de transparencia. En virtud de este principio: </w:t>
      </w:r>
    </w:p>
    <w:p w14:paraId="65669431" w14:textId="77777777" w:rsidR="00D12042" w:rsidRPr="00851936" w:rsidRDefault="00D12042" w:rsidP="00D12042">
      <w:pPr>
        <w:pStyle w:val="Textonotapie"/>
        <w:ind w:firstLine="708"/>
        <w:jc w:val="both"/>
        <w:rPr>
          <w:rFonts w:ascii="Arial" w:hAnsi="Arial" w:cs="Arial"/>
          <w:sz w:val="19"/>
          <w:szCs w:val="19"/>
        </w:rPr>
      </w:pPr>
      <w:r w:rsidRPr="00851936">
        <w:rPr>
          <w:rFonts w:ascii="Arial" w:hAnsi="Arial" w:cs="Arial"/>
          <w:sz w:val="19"/>
          <w:szCs w:val="19"/>
        </w:rPr>
        <w:t>[…]</w:t>
      </w:r>
    </w:p>
    <w:p w14:paraId="2B500CA5"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3901DE8C"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31">
    <w:p w14:paraId="4155560E" w14:textId="1E28B457" w:rsidR="00D12042" w:rsidRDefault="00D12042" w:rsidP="009B3335">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p w14:paraId="1A9B304B" w14:textId="77777777" w:rsidR="00E31E01" w:rsidRPr="00851936" w:rsidRDefault="00E31E01" w:rsidP="009B3335">
      <w:pPr>
        <w:pStyle w:val="Textonotapie"/>
        <w:ind w:firstLine="708"/>
        <w:jc w:val="both"/>
        <w:rPr>
          <w:rFonts w:ascii="Arial" w:hAnsi="Arial" w:cs="Arial"/>
          <w:sz w:val="19"/>
          <w:szCs w:val="19"/>
          <w:lang w:val="es-CO"/>
        </w:rPr>
      </w:pPr>
    </w:p>
  </w:footnote>
  <w:footnote w:id="32">
    <w:p w14:paraId="01D31BE0"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MATALLANA CAMACHO Ernesto. Manual de Contratación de la Administración Pública. Reforma a la Ley 80 de 1993. Universidad Externado de Colombia, Cuarta edición, 2015, pp 139.</w:t>
      </w:r>
    </w:p>
    <w:p w14:paraId="1AE10A1D"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33">
    <w:p w14:paraId="464DB4AF"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1437 de 2011 «Artículo 24.Informaciones y documentos reservados.Solo tendrán carácter reservado las informaciones y documentos expresamente sometidos a reserva por la Constitución Política o la ley, y en especial:  </w:t>
      </w:r>
    </w:p>
    <w:p w14:paraId="2E196642"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»1. Los relacionados con la defensa o seguridad nacionales.  </w:t>
      </w:r>
    </w:p>
    <w:p w14:paraId="1F74ACCC"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»2. Las instrucciones en materia diplomática o sobre negociaciones reservadas.  </w:t>
      </w:r>
    </w:p>
    <w:p w14:paraId="5A15D823"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311A23D"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689CABD"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»5. Los datos referentes a la información financiera y comercial, en los términos de la Ley Estatutaria 1266 de 2008.  </w:t>
      </w:r>
    </w:p>
    <w:p w14:paraId="0F338091"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»6. Los protegidos por el secreto comercial o industrial, así como los planes estratégicos de las empresas públicas de servicios públicos.  </w:t>
      </w:r>
    </w:p>
    <w:p w14:paraId="45D7EE3A"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»7. Los amparados por el secreto profesional.  </w:t>
      </w:r>
    </w:p>
    <w:p w14:paraId="07DAFFB7"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»8. Los datos genéticos humanos.  </w:t>
      </w:r>
    </w:p>
    <w:p w14:paraId="7790BE62"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06E4AA92" w14:textId="77777777" w:rsidR="00D12042" w:rsidRPr="00851936" w:rsidRDefault="00D12042" w:rsidP="00D12042">
      <w:pPr>
        <w:pStyle w:val="Textonotapie"/>
        <w:ind w:firstLine="708"/>
        <w:rPr>
          <w:rFonts w:ascii="Arial" w:hAnsi="Arial" w:cs="Arial"/>
          <w:sz w:val="19"/>
          <w:szCs w:val="19"/>
        </w:rPr>
      </w:pPr>
    </w:p>
  </w:footnote>
  <w:footnote w:id="34">
    <w:p w14:paraId="3591D264" w14:textId="1C5A25CD" w:rsidR="008242C7" w:rsidRPr="008242C7" w:rsidRDefault="008242C7" w:rsidP="008242C7">
      <w:pPr>
        <w:pStyle w:val="Textonotapie"/>
        <w:ind w:firstLine="708"/>
        <w:jc w:val="both"/>
        <w:rPr>
          <w:rFonts w:ascii="Arial" w:hAnsi="Arial" w:cs="Arial"/>
          <w:sz w:val="19"/>
          <w:szCs w:val="19"/>
        </w:rPr>
      </w:pPr>
      <w:r w:rsidRPr="008242C7">
        <w:rPr>
          <w:rStyle w:val="Refdenotaalpie"/>
          <w:rFonts w:ascii="Arial" w:hAnsi="Arial" w:cs="Arial"/>
          <w:sz w:val="19"/>
          <w:szCs w:val="19"/>
        </w:rPr>
        <w:footnoteRef/>
      </w:r>
      <w:r w:rsidRPr="008242C7">
        <w:rPr>
          <w:rFonts w:ascii="Arial" w:hAnsi="Arial" w:cs="Arial"/>
          <w:sz w:val="19"/>
          <w:szCs w:val="19"/>
        </w:rPr>
        <w:t xml:space="preserve"> Ley 1437 de 2011 «Artículo 36. Formación y examen de expedientes. Los documentos y diligencias relacionados con una misma actuación se organizarán en un solo expediente, al cual se acumularán, con el fin de evitar decisiones contradictorias, de oficio o a petición de interesado, cualesquiera otros que se tramiten ante la misma autoridad.</w:t>
      </w:r>
    </w:p>
    <w:p w14:paraId="7BB560B4" w14:textId="3213851E" w:rsidR="008242C7" w:rsidRPr="008242C7" w:rsidRDefault="008242C7" w:rsidP="008242C7">
      <w:pPr>
        <w:pStyle w:val="Textonotapie"/>
        <w:ind w:firstLine="708"/>
        <w:jc w:val="both"/>
        <w:rPr>
          <w:rFonts w:ascii="Arial" w:hAnsi="Arial" w:cs="Arial"/>
          <w:sz w:val="19"/>
          <w:szCs w:val="19"/>
        </w:rPr>
      </w:pPr>
      <w:r w:rsidRPr="008242C7">
        <w:rPr>
          <w:rFonts w:ascii="Arial" w:hAnsi="Arial" w:cs="Arial"/>
          <w:sz w:val="19"/>
          <w:szCs w:val="19"/>
        </w:rPr>
        <w:t>»Si las actuaciones se tramitaren ante distintas autoridades, la acumulación se hará en la entidad u organismo donde se realizó la primera actuación. Si alguna de ellas se opone a la acumulación, podrá acudirse, sin más trámite, al mecanismo de definición de competencias administrativas.</w:t>
      </w:r>
    </w:p>
    <w:p w14:paraId="0FFBB893" w14:textId="5421DC76" w:rsidR="008242C7" w:rsidRPr="008242C7" w:rsidRDefault="008242C7" w:rsidP="008242C7">
      <w:pPr>
        <w:pStyle w:val="Textonotapie"/>
        <w:ind w:firstLine="708"/>
        <w:jc w:val="both"/>
        <w:rPr>
          <w:rFonts w:ascii="Arial" w:hAnsi="Arial" w:cs="Arial"/>
          <w:sz w:val="19"/>
          <w:szCs w:val="19"/>
        </w:rPr>
      </w:pPr>
      <w:r w:rsidRPr="008242C7">
        <w:rPr>
          <w:rFonts w:ascii="Arial" w:hAnsi="Arial" w:cs="Arial"/>
          <w:sz w:val="19"/>
          <w:szCs w:val="19"/>
        </w:rPr>
        <w:t>»Con los documentos que por mandato de la Constitución Política o de la ley tengan el carácter de reservados y obren dentro de un expediente, se hará cuaderno separado.</w:t>
      </w:r>
    </w:p>
    <w:p w14:paraId="530E0181" w14:textId="457F881D" w:rsidR="008242C7" w:rsidRPr="008242C7" w:rsidRDefault="008242C7" w:rsidP="008242C7">
      <w:pPr>
        <w:pStyle w:val="Textonotapie"/>
        <w:ind w:firstLine="708"/>
        <w:jc w:val="both"/>
        <w:rPr>
          <w:rFonts w:ascii="Arial" w:hAnsi="Arial" w:cs="Arial"/>
          <w:sz w:val="19"/>
          <w:szCs w:val="19"/>
        </w:rPr>
      </w:pPr>
      <w:r w:rsidRPr="008242C7">
        <w:rPr>
          <w:rFonts w:ascii="Arial" w:hAnsi="Arial" w:cs="Arial"/>
          <w:sz w:val="19"/>
          <w:szCs w:val="19"/>
        </w:rPr>
        <w:t>»Cualquier persona tendrá derecho a examinar los expedientes en el estado en que se encuentren, salvo los documentos o cuadernos sujetos a reserva y a obtener copias y certificaciones sobre los mismos, las cuales se entregarán en los plazos señalados en el artículo 14».</w:t>
      </w:r>
    </w:p>
    <w:p w14:paraId="45DBBFF8" w14:textId="77777777" w:rsidR="008242C7" w:rsidRPr="008242C7" w:rsidRDefault="008242C7" w:rsidP="008242C7">
      <w:pPr>
        <w:pStyle w:val="Textonotapie"/>
        <w:rPr>
          <w:lang w:val="es-CO"/>
        </w:rPr>
      </w:pPr>
    </w:p>
  </w:footnote>
  <w:footnote w:id="35">
    <w:p w14:paraId="5F5DC58F" w14:textId="54CDD268" w:rsidR="007D52CB" w:rsidRPr="00851936" w:rsidRDefault="00D12042" w:rsidP="00D12042">
      <w:pPr>
        <w:pStyle w:val="Textonotapie"/>
        <w:ind w:firstLine="708"/>
        <w:jc w:val="both"/>
        <w:rPr>
          <w:rFonts w:ascii="Arial" w:eastAsia="Calibri"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851936">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271335E4" w14:textId="77777777" w:rsidR="00D12042" w:rsidRPr="00851936" w:rsidRDefault="00D12042" w:rsidP="009B3335">
      <w:pPr>
        <w:pStyle w:val="Textonotapie"/>
        <w:ind w:firstLine="708"/>
        <w:jc w:val="both"/>
        <w:rPr>
          <w:rFonts w:ascii="Arial" w:hAnsi="Arial" w:cs="Arial"/>
          <w:sz w:val="19"/>
          <w:szCs w:val="19"/>
        </w:rPr>
      </w:pPr>
    </w:p>
  </w:footnote>
  <w:footnote w:id="36">
    <w:p w14:paraId="599372AB" w14:textId="6E889B9E" w:rsidR="007D19CE" w:rsidRPr="007D19CE" w:rsidRDefault="007D19CE" w:rsidP="007D19CE">
      <w:pPr>
        <w:pStyle w:val="Textonotapie"/>
        <w:ind w:firstLine="708"/>
        <w:jc w:val="both"/>
        <w:rPr>
          <w:rFonts w:ascii="Arial" w:hAnsi="Arial" w:cs="Arial"/>
          <w:sz w:val="19"/>
          <w:szCs w:val="19"/>
          <w:lang w:val="es-CO"/>
        </w:rPr>
      </w:pPr>
      <w:r w:rsidRPr="007D19CE">
        <w:rPr>
          <w:rStyle w:val="Refdenotaalpie"/>
          <w:rFonts w:ascii="Arial" w:hAnsi="Arial" w:cs="Arial"/>
          <w:sz w:val="19"/>
          <w:szCs w:val="19"/>
        </w:rPr>
        <w:footnoteRef/>
      </w:r>
      <w:r w:rsidRPr="007D19CE">
        <w:rPr>
          <w:rFonts w:ascii="Arial" w:hAnsi="Arial" w:cs="Arial"/>
          <w:sz w:val="19"/>
          <w:szCs w:val="19"/>
        </w:rPr>
        <w:t xml:space="preserve"> </w:t>
      </w:r>
      <w:r w:rsidRPr="007D19CE">
        <w:rPr>
          <w:rFonts w:ascii="Arial" w:hAnsi="Arial" w:cs="Arial"/>
          <w:sz w:val="19"/>
          <w:szCs w:val="19"/>
          <w:lang w:val="es-CO"/>
        </w:rPr>
        <w:t xml:space="preserve">Decreto 1082 de 2015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 </w:t>
      </w:r>
    </w:p>
    <w:p w14:paraId="6E54D293" w14:textId="3CF84519" w:rsidR="007D19CE" w:rsidRPr="007D19CE" w:rsidRDefault="007D19CE" w:rsidP="008242C7">
      <w:pPr>
        <w:pStyle w:val="Textonotapie"/>
        <w:ind w:firstLine="708"/>
        <w:jc w:val="both"/>
        <w:rPr>
          <w:rFonts w:ascii="Arial" w:hAnsi="Arial" w:cs="Arial"/>
          <w:sz w:val="19"/>
          <w:szCs w:val="19"/>
          <w:lang w:val="es-CO"/>
        </w:rPr>
      </w:pPr>
      <w:r w:rsidRPr="007D19CE">
        <w:rPr>
          <w:rFonts w:ascii="Arial" w:hAnsi="Arial" w:cs="Arial"/>
          <w:sz w:val="19"/>
          <w:szCs w:val="19"/>
          <w:lang w:val="es-CO"/>
        </w:rPr>
        <w:t xml:space="preserve">»Cuando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 </w:t>
      </w:r>
    </w:p>
    <w:p w14:paraId="347FD9CC" w14:textId="62C41F75" w:rsidR="007D19CE" w:rsidRPr="007D19CE" w:rsidRDefault="007D19CE" w:rsidP="007D19CE">
      <w:pPr>
        <w:pStyle w:val="Textonotapie"/>
        <w:ind w:firstLine="708"/>
        <w:jc w:val="both"/>
        <w:rPr>
          <w:lang w:val="es-CO"/>
        </w:rPr>
      </w:pPr>
      <w:r w:rsidRPr="007D19CE">
        <w:rPr>
          <w:rFonts w:ascii="Arial" w:hAnsi="Arial" w:cs="Arial"/>
          <w:sz w:val="19"/>
          <w:szCs w:val="19"/>
          <w:lang w:val="es-CO"/>
        </w:rPr>
        <w:t>»En la subasta inversa esta disposición es aplicable sobre el precio obtenido al final de la misma».</w:t>
      </w:r>
    </w:p>
  </w:footnote>
  <w:footnote w:id="37">
    <w:p w14:paraId="2A11D42C" w14:textId="5DD42226" w:rsidR="004F49DA" w:rsidRPr="001348F1" w:rsidRDefault="004F49DA" w:rsidP="001348F1">
      <w:pPr>
        <w:pStyle w:val="Textonotapie"/>
        <w:ind w:firstLine="708"/>
        <w:jc w:val="both"/>
        <w:rPr>
          <w:rFonts w:ascii="Arial" w:hAnsi="Arial" w:cs="Arial"/>
          <w:sz w:val="19"/>
          <w:szCs w:val="19"/>
          <w:lang w:val="es-CO"/>
        </w:rPr>
      </w:pPr>
      <w:r w:rsidRPr="001348F1">
        <w:rPr>
          <w:rStyle w:val="Refdenotaalpie"/>
          <w:rFonts w:ascii="Arial" w:hAnsi="Arial" w:cs="Arial"/>
          <w:sz w:val="19"/>
          <w:szCs w:val="19"/>
        </w:rPr>
        <w:footnoteRef/>
      </w:r>
      <w:r w:rsidRPr="001348F1">
        <w:rPr>
          <w:rFonts w:ascii="Arial" w:hAnsi="Arial" w:cs="Arial"/>
          <w:sz w:val="19"/>
          <w:szCs w:val="19"/>
        </w:rPr>
        <w:t xml:space="preserve"> </w:t>
      </w:r>
      <w:r w:rsidRPr="001348F1">
        <w:rPr>
          <w:rFonts w:ascii="Arial" w:hAnsi="Arial" w:cs="Arial"/>
          <w:sz w:val="19"/>
          <w:szCs w:val="19"/>
          <w:lang w:val="es-CO"/>
        </w:rPr>
        <w:t xml:space="preserve">Ley 1712 de 2014 «Artículo 18. Información exceptuada por daño de derechos a personas naturales o jurídicas. Es toda aquella información pública clasificada, cuyo acceso podrá ser rechazado o denegado de manera motivada y por escrito, siempre que el acceso pudiere causar un daño a los siguientes derechos:  </w:t>
      </w:r>
    </w:p>
    <w:p w14:paraId="07138D3E" w14:textId="13DE879B" w:rsidR="004F49DA" w:rsidRPr="001348F1" w:rsidRDefault="001348F1" w:rsidP="001348F1">
      <w:pPr>
        <w:pStyle w:val="Textonotapie"/>
        <w:ind w:firstLine="708"/>
        <w:jc w:val="both"/>
        <w:rPr>
          <w:rFonts w:ascii="Arial" w:hAnsi="Arial" w:cs="Arial"/>
          <w:sz w:val="19"/>
          <w:szCs w:val="19"/>
          <w:lang w:val="es-CO"/>
        </w:rPr>
      </w:pPr>
      <w:r w:rsidRPr="001348F1">
        <w:rPr>
          <w:rFonts w:ascii="Arial" w:hAnsi="Arial" w:cs="Arial"/>
          <w:sz w:val="19"/>
          <w:szCs w:val="19"/>
          <w:lang w:val="es-CO"/>
        </w:rPr>
        <w:t>»</w:t>
      </w:r>
      <w:r w:rsidR="004F49DA" w:rsidRPr="001348F1">
        <w:rPr>
          <w:rFonts w:ascii="Arial" w:hAnsi="Arial" w:cs="Arial"/>
          <w:sz w:val="19"/>
          <w:szCs w:val="19"/>
          <w:lang w:val="es-CO"/>
        </w:rPr>
        <w:t xml:space="preserve">a) El derecho de toda persona a la intimidad, bajo las limitaciones propias que impone la condición de servidor público, en concordancia con lo estipulado por el artículo 24 de la Ley 1437 de 2011 </w:t>
      </w:r>
    </w:p>
    <w:p w14:paraId="2B87BF2C" w14:textId="5D4A88C4" w:rsidR="004F49DA" w:rsidRPr="001348F1" w:rsidRDefault="001348F1" w:rsidP="001348F1">
      <w:pPr>
        <w:pStyle w:val="Textonotapie"/>
        <w:ind w:firstLine="708"/>
        <w:jc w:val="both"/>
        <w:rPr>
          <w:rFonts w:ascii="Arial" w:hAnsi="Arial" w:cs="Arial"/>
          <w:sz w:val="19"/>
          <w:szCs w:val="19"/>
          <w:lang w:val="es-CO"/>
        </w:rPr>
      </w:pPr>
      <w:r w:rsidRPr="001348F1">
        <w:rPr>
          <w:rFonts w:ascii="Arial" w:hAnsi="Arial" w:cs="Arial"/>
          <w:sz w:val="19"/>
          <w:szCs w:val="19"/>
          <w:lang w:val="es-CO"/>
        </w:rPr>
        <w:t>»</w:t>
      </w:r>
      <w:r w:rsidR="004F49DA" w:rsidRPr="001348F1">
        <w:rPr>
          <w:rFonts w:ascii="Arial" w:hAnsi="Arial" w:cs="Arial"/>
          <w:sz w:val="19"/>
          <w:szCs w:val="19"/>
          <w:lang w:val="es-CO"/>
        </w:rPr>
        <w:t xml:space="preserve">b) El derecho de toda persona a la vida, la salud o la seguridad. </w:t>
      </w:r>
    </w:p>
    <w:p w14:paraId="60E5FD53" w14:textId="05C357AD" w:rsidR="004F49DA" w:rsidRPr="001348F1" w:rsidRDefault="001348F1" w:rsidP="001348F1">
      <w:pPr>
        <w:pStyle w:val="Textonotapie"/>
        <w:ind w:firstLine="708"/>
        <w:jc w:val="both"/>
        <w:rPr>
          <w:rFonts w:ascii="Arial" w:hAnsi="Arial" w:cs="Arial"/>
          <w:sz w:val="19"/>
          <w:szCs w:val="19"/>
          <w:lang w:val="es-CO"/>
        </w:rPr>
      </w:pPr>
      <w:r w:rsidRPr="001348F1">
        <w:rPr>
          <w:rFonts w:ascii="Arial" w:hAnsi="Arial" w:cs="Arial"/>
          <w:sz w:val="19"/>
          <w:szCs w:val="19"/>
          <w:lang w:val="es-CO"/>
        </w:rPr>
        <w:t>»</w:t>
      </w:r>
      <w:r w:rsidR="004F49DA" w:rsidRPr="001348F1">
        <w:rPr>
          <w:rFonts w:ascii="Arial" w:hAnsi="Arial" w:cs="Arial"/>
          <w:sz w:val="19"/>
          <w:szCs w:val="19"/>
          <w:lang w:val="es-CO"/>
        </w:rPr>
        <w:t xml:space="preserve">c) Los secretos comerciales, industriales y profesionales. </w:t>
      </w:r>
    </w:p>
    <w:p w14:paraId="1A1A24AF" w14:textId="77AF906C" w:rsidR="004F49DA" w:rsidRPr="004F49DA" w:rsidRDefault="001348F1" w:rsidP="001348F1">
      <w:pPr>
        <w:pStyle w:val="Textonotapie"/>
        <w:ind w:firstLine="708"/>
        <w:jc w:val="both"/>
        <w:rPr>
          <w:lang w:val="es-CO"/>
        </w:rPr>
      </w:pPr>
      <w:r w:rsidRPr="001348F1">
        <w:rPr>
          <w:rFonts w:ascii="Arial" w:hAnsi="Arial" w:cs="Arial"/>
          <w:sz w:val="19"/>
          <w:szCs w:val="19"/>
          <w:lang w:val="es-CO"/>
        </w:rPr>
        <w:t>»</w:t>
      </w:r>
      <w:r w:rsidR="004F49DA" w:rsidRPr="001348F1">
        <w:rPr>
          <w:rFonts w:ascii="Arial" w:hAnsi="Arial" w:cs="Arial"/>
          <w:sz w:val="19"/>
          <w:szCs w:val="19"/>
          <w:lang w:val="es-CO"/>
        </w:rPr>
        <w:t>Parágrafo. Estas excepciones tienen una duración ilimitada y no deberán aplicarse cuando la persona natural o jurídica ha consentido en la revelación de sus datos personales o privados o bien cuando es claro que la información fue entregada como parte de aquella información que debe estar bajo el régimen de publicidad aplicable</w:t>
      </w:r>
      <w:r w:rsidRPr="001348F1">
        <w:rPr>
          <w:rFonts w:ascii="Arial" w:hAnsi="Arial" w:cs="Arial"/>
          <w:sz w:val="19"/>
          <w:szCs w:val="19"/>
          <w:lang w:val="es-CO"/>
        </w:rPr>
        <w:t>»</w:t>
      </w:r>
      <w:r w:rsidR="004F49DA" w:rsidRPr="001348F1">
        <w:rPr>
          <w:rFonts w:ascii="Arial" w:hAnsi="Arial" w:cs="Arial"/>
          <w:sz w:val="19"/>
          <w:szCs w:val="19"/>
          <w:lang w:val="es-CO"/>
        </w:rPr>
        <w:t>.</w:t>
      </w:r>
    </w:p>
  </w:footnote>
  <w:footnote w:id="38">
    <w:p w14:paraId="719E0DBF" w14:textId="77777777" w:rsidR="0077764F" w:rsidRPr="00851936" w:rsidRDefault="0077764F" w:rsidP="0077764F">
      <w:pPr>
        <w:pStyle w:val="Textonotapie"/>
        <w:ind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r>
        <w:rPr>
          <w:rFonts w:ascii="Arial" w:hAnsi="Arial" w:cs="Arial"/>
          <w:color w:val="000000" w:themeColor="text1"/>
          <w:sz w:val="19"/>
          <w:szCs w:val="19"/>
        </w:rPr>
        <w:t xml:space="preserve"> </w:t>
      </w:r>
      <w:r w:rsidRPr="00851936">
        <w:rPr>
          <w:rFonts w:ascii="Arial" w:hAnsi="Arial" w:cs="Arial"/>
          <w:color w:val="000000" w:themeColor="text1"/>
          <w:sz w:val="19"/>
          <w:szCs w:val="19"/>
        </w:rPr>
        <w:t>[...]</w:t>
      </w:r>
    </w:p>
    <w:p w14:paraId="57825D75" w14:textId="77777777" w:rsidR="0077764F" w:rsidRPr="00851936" w:rsidRDefault="0077764F" w:rsidP="0077764F">
      <w:pPr>
        <w:pStyle w:val="Textonotapie"/>
        <w:ind w:firstLine="708"/>
        <w:jc w:val="both"/>
        <w:rPr>
          <w:rFonts w:ascii="Arial" w:hAnsi="Arial" w:cs="Arial"/>
          <w:color w:val="000000" w:themeColor="text1"/>
          <w:sz w:val="19"/>
          <w:szCs w:val="19"/>
        </w:rPr>
      </w:pPr>
      <w:r w:rsidRPr="00851936">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D67BD5" w:rsidR="001E291F" w:rsidRDefault="001E291F">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9AC509" w14:textId="77777777" w:rsidR="001E291F" w:rsidRDefault="001E29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16B719D7"/>
    <w:multiLevelType w:val="hybridMultilevel"/>
    <w:tmpl w:val="F7C62A52"/>
    <w:lvl w:ilvl="0" w:tplc="7220BD2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40FD58EC"/>
    <w:multiLevelType w:val="multilevel"/>
    <w:tmpl w:val="51A22B1A"/>
    <w:lvl w:ilvl="0">
      <w:start w:val="1"/>
      <w:numFmt w:val="decimal"/>
      <w:lvlText w:val="%1."/>
      <w:lvlJc w:val="left"/>
      <w:pPr>
        <w:ind w:left="543" w:hanging="24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728" w:hanging="428"/>
      </w:pPr>
      <w:rPr>
        <w:rFonts w:ascii="Arial" w:eastAsia="Arial" w:hAnsi="Arial" w:cs="Arial" w:hint="default"/>
        <w:b/>
        <w:bCs/>
        <w:spacing w:val="-2"/>
        <w:w w:val="100"/>
        <w:sz w:val="22"/>
        <w:szCs w:val="22"/>
        <w:lang w:val="es-ES" w:eastAsia="en-US" w:bidi="ar-SA"/>
      </w:rPr>
    </w:lvl>
    <w:lvl w:ilvl="2">
      <w:numFmt w:val="bullet"/>
      <w:lvlText w:val="•"/>
      <w:lvlJc w:val="left"/>
      <w:pPr>
        <w:ind w:left="1700" w:hanging="428"/>
      </w:pPr>
      <w:rPr>
        <w:lang w:val="es-ES" w:eastAsia="en-US" w:bidi="ar-SA"/>
      </w:rPr>
    </w:lvl>
    <w:lvl w:ilvl="3">
      <w:numFmt w:val="bullet"/>
      <w:lvlText w:val="•"/>
      <w:lvlJc w:val="left"/>
      <w:pPr>
        <w:ind w:left="2680" w:hanging="428"/>
      </w:pPr>
      <w:rPr>
        <w:lang w:val="es-ES" w:eastAsia="en-US" w:bidi="ar-SA"/>
      </w:rPr>
    </w:lvl>
    <w:lvl w:ilvl="4">
      <w:numFmt w:val="bullet"/>
      <w:lvlText w:val="•"/>
      <w:lvlJc w:val="left"/>
      <w:pPr>
        <w:ind w:left="3660" w:hanging="428"/>
      </w:pPr>
      <w:rPr>
        <w:lang w:val="es-ES" w:eastAsia="en-US" w:bidi="ar-SA"/>
      </w:rPr>
    </w:lvl>
    <w:lvl w:ilvl="5">
      <w:numFmt w:val="bullet"/>
      <w:lvlText w:val="•"/>
      <w:lvlJc w:val="left"/>
      <w:pPr>
        <w:ind w:left="4640" w:hanging="428"/>
      </w:pPr>
      <w:rPr>
        <w:lang w:val="es-ES" w:eastAsia="en-US" w:bidi="ar-SA"/>
      </w:rPr>
    </w:lvl>
    <w:lvl w:ilvl="6">
      <w:numFmt w:val="bullet"/>
      <w:lvlText w:val="•"/>
      <w:lvlJc w:val="left"/>
      <w:pPr>
        <w:ind w:left="5620" w:hanging="428"/>
      </w:pPr>
      <w:rPr>
        <w:lang w:val="es-ES" w:eastAsia="en-US" w:bidi="ar-SA"/>
      </w:rPr>
    </w:lvl>
    <w:lvl w:ilvl="7">
      <w:numFmt w:val="bullet"/>
      <w:lvlText w:val="•"/>
      <w:lvlJc w:val="left"/>
      <w:pPr>
        <w:ind w:left="6600" w:hanging="428"/>
      </w:pPr>
      <w:rPr>
        <w:lang w:val="es-ES" w:eastAsia="en-US" w:bidi="ar-SA"/>
      </w:rPr>
    </w:lvl>
    <w:lvl w:ilvl="8">
      <w:numFmt w:val="bullet"/>
      <w:lvlText w:val="•"/>
      <w:lvlJc w:val="left"/>
      <w:pPr>
        <w:ind w:left="7580" w:hanging="428"/>
      </w:pPr>
      <w:rPr>
        <w:lang w:val="es-ES" w:eastAsia="en-US" w:bidi="ar-SA"/>
      </w:rPr>
    </w:lvl>
  </w:abstractNum>
  <w:abstractNum w:abstractNumId="9"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BEB731B"/>
    <w:multiLevelType w:val="hybridMultilevel"/>
    <w:tmpl w:val="5BAC283E"/>
    <w:lvl w:ilvl="0" w:tplc="24CCF18E">
      <w:start w:val="1"/>
      <w:numFmt w:val="lowerLetter"/>
      <w:lvlText w:val="%1)"/>
      <w:lvlJc w:val="left"/>
      <w:pPr>
        <w:ind w:left="555" w:hanging="255"/>
      </w:pPr>
      <w:rPr>
        <w:rFonts w:ascii="Arial" w:eastAsia="Arial" w:hAnsi="Arial" w:cs="Arial" w:hint="default"/>
        <w:b/>
        <w:bCs/>
        <w:spacing w:val="-1"/>
        <w:w w:val="100"/>
        <w:sz w:val="22"/>
        <w:szCs w:val="22"/>
        <w:lang w:val="es-ES" w:eastAsia="en-US" w:bidi="ar-SA"/>
      </w:rPr>
    </w:lvl>
    <w:lvl w:ilvl="1" w:tplc="5CA836AC">
      <w:numFmt w:val="bullet"/>
      <w:lvlText w:val="•"/>
      <w:lvlJc w:val="left"/>
      <w:pPr>
        <w:ind w:left="1458" w:hanging="255"/>
      </w:pPr>
      <w:rPr>
        <w:lang w:val="es-ES" w:eastAsia="en-US" w:bidi="ar-SA"/>
      </w:rPr>
    </w:lvl>
    <w:lvl w:ilvl="2" w:tplc="D5605412">
      <w:numFmt w:val="bullet"/>
      <w:lvlText w:val="•"/>
      <w:lvlJc w:val="left"/>
      <w:pPr>
        <w:ind w:left="2356" w:hanging="255"/>
      </w:pPr>
      <w:rPr>
        <w:lang w:val="es-ES" w:eastAsia="en-US" w:bidi="ar-SA"/>
      </w:rPr>
    </w:lvl>
    <w:lvl w:ilvl="3" w:tplc="9A6456BA">
      <w:numFmt w:val="bullet"/>
      <w:lvlText w:val="•"/>
      <w:lvlJc w:val="left"/>
      <w:pPr>
        <w:ind w:left="3254" w:hanging="255"/>
      </w:pPr>
      <w:rPr>
        <w:lang w:val="es-ES" w:eastAsia="en-US" w:bidi="ar-SA"/>
      </w:rPr>
    </w:lvl>
    <w:lvl w:ilvl="4" w:tplc="9AD8D76A">
      <w:numFmt w:val="bullet"/>
      <w:lvlText w:val="•"/>
      <w:lvlJc w:val="left"/>
      <w:pPr>
        <w:ind w:left="4152" w:hanging="255"/>
      </w:pPr>
      <w:rPr>
        <w:lang w:val="es-ES" w:eastAsia="en-US" w:bidi="ar-SA"/>
      </w:rPr>
    </w:lvl>
    <w:lvl w:ilvl="5" w:tplc="AE7E9A82">
      <w:numFmt w:val="bullet"/>
      <w:lvlText w:val="•"/>
      <w:lvlJc w:val="left"/>
      <w:pPr>
        <w:ind w:left="5050" w:hanging="255"/>
      </w:pPr>
      <w:rPr>
        <w:lang w:val="es-ES" w:eastAsia="en-US" w:bidi="ar-SA"/>
      </w:rPr>
    </w:lvl>
    <w:lvl w:ilvl="6" w:tplc="F6723F7E">
      <w:numFmt w:val="bullet"/>
      <w:lvlText w:val="•"/>
      <w:lvlJc w:val="left"/>
      <w:pPr>
        <w:ind w:left="5948" w:hanging="255"/>
      </w:pPr>
      <w:rPr>
        <w:lang w:val="es-ES" w:eastAsia="en-US" w:bidi="ar-SA"/>
      </w:rPr>
    </w:lvl>
    <w:lvl w:ilvl="7" w:tplc="2138E968">
      <w:numFmt w:val="bullet"/>
      <w:lvlText w:val="•"/>
      <w:lvlJc w:val="left"/>
      <w:pPr>
        <w:ind w:left="6846" w:hanging="255"/>
      </w:pPr>
      <w:rPr>
        <w:lang w:val="es-ES" w:eastAsia="en-US" w:bidi="ar-SA"/>
      </w:rPr>
    </w:lvl>
    <w:lvl w:ilvl="8" w:tplc="D73816CA">
      <w:numFmt w:val="bullet"/>
      <w:lvlText w:val="•"/>
      <w:lvlJc w:val="left"/>
      <w:pPr>
        <w:ind w:left="7744" w:hanging="255"/>
      </w:pPr>
      <w:rPr>
        <w:lang w:val="es-ES" w:eastAsia="en-US" w:bidi="ar-SA"/>
      </w:rPr>
    </w:lvl>
  </w:abstractNum>
  <w:abstractNum w:abstractNumId="1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6"/>
  </w:num>
  <w:num w:numId="2">
    <w:abstractNumId w:val="5"/>
  </w:num>
  <w:num w:numId="3">
    <w:abstractNumId w:val="10"/>
  </w:num>
  <w:num w:numId="4">
    <w:abstractNumId w:val="11"/>
  </w:num>
  <w:num w:numId="5">
    <w:abstractNumId w:val="1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
  </w:num>
  <w:num w:numId="9">
    <w:abstractNumId w:val="19"/>
  </w:num>
  <w:num w:numId="10">
    <w:abstractNumId w:val="2"/>
  </w:num>
  <w:num w:numId="11">
    <w:abstractNumId w:val="7"/>
  </w:num>
  <w:num w:numId="12">
    <w:abstractNumId w:val="17"/>
  </w:num>
  <w:num w:numId="13">
    <w:abstractNumId w:val="9"/>
  </w:num>
  <w:num w:numId="14">
    <w:abstractNumId w:val="14"/>
  </w:num>
  <w:num w:numId="15">
    <w:abstractNumId w:val="18"/>
  </w:num>
  <w:num w:numId="16">
    <w:abstractNumId w:val="3"/>
  </w:num>
  <w:num w:numId="17">
    <w:abstractNumId w:val="13"/>
  </w:num>
  <w:num w:numId="18">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15"/>
    <w:lvlOverride w:ilvl="0">
      <w:startOverride w:val="1"/>
    </w:lvlOverride>
    <w:lvlOverride w:ilvl="1"/>
    <w:lvlOverride w:ilvl="2"/>
    <w:lvlOverride w:ilvl="3"/>
    <w:lvlOverride w:ilvl="4"/>
    <w:lvlOverride w:ilvl="5"/>
    <w:lvlOverride w:ilvl="6"/>
    <w:lvlOverride w:ilvl="7"/>
    <w:lvlOverride w:ilv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98E"/>
    <w:rsid w:val="00026ED4"/>
    <w:rsid w:val="00027148"/>
    <w:rsid w:val="000301BA"/>
    <w:rsid w:val="00030433"/>
    <w:rsid w:val="000311E0"/>
    <w:rsid w:val="000318B0"/>
    <w:rsid w:val="000330B0"/>
    <w:rsid w:val="000339C2"/>
    <w:rsid w:val="00034AE1"/>
    <w:rsid w:val="00035138"/>
    <w:rsid w:val="00035494"/>
    <w:rsid w:val="00035582"/>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3696"/>
    <w:rsid w:val="00054590"/>
    <w:rsid w:val="00054B19"/>
    <w:rsid w:val="00055DFA"/>
    <w:rsid w:val="000562F0"/>
    <w:rsid w:val="00057463"/>
    <w:rsid w:val="00060081"/>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586A"/>
    <w:rsid w:val="0009735A"/>
    <w:rsid w:val="00097C6C"/>
    <w:rsid w:val="000A0439"/>
    <w:rsid w:val="000A064C"/>
    <w:rsid w:val="000A09D2"/>
    <w:rsid w:val="000A2BAB"/>
    <w:rsid w:val="000A3A91"/>
    <w:rsid w:val="000A3C4E"/>
    <w:rsid w:val="000A3CBD"/>
    <w:rsid w:val="000A426B"/>
    <w:rsid w:val="000A4698"/>
    <w:rsid w:val="000A4AAE"/>
    <w:rsid w:val="000A502E"/>
    <w:rsid w:val="000A511D"/>
    <w:rsid w:val="000A5BD3"/>
    <w:rsid w:val="000A6122"/>
    <w:rsid w:val="000A628F"/>
    <w:rsid w:val="000A66F3"/>
    <w:rsid w:val="000A7B03"/>
    <w:rsid w:val="000B0465"/>
    <w:rsid w:val="000B0F5D"/>
    <w:rsid w:val="000B0FB0"/>
    <w:rsid w:val="000B103F"/>
    <w:rsid w:val="000B258E"/>
    <w:rsid w:val="000B2850"/>
    <w:rsid w:val="000B2CB3"/>
    <w:rsid w:val="000B359C"/>
    <w:rsid w:val="000B38BD"/>
    <w:rsid w:val="000B41A7"/>
    <w:rsid w:val="000B49DF"/>
    <w:rsid w:val="000B4D45"/>
    <w:rsid w:val="000B5520"/>
    <w:rsid w:val="000B5E82"/>
    <w:rsid w:val="000B626B"/>
    <w:rsid w:val="000B70B5"/>
    <w:rsid w:val="000B7851"/>
    <w:rsid w:val="000B7F0E"/>
    <w:rsid w:val="000C076A"/>
    <w:rsid w:val="000C0FED"/>
    <w:rsid w:val="000C1102"/>
    <w:rsid w:val="000C1707"/>
    <w:rsid w:val="000C1873"/>
    <w:rsid w:val="000C190D"/>
    <w:rsid w:val="000C26DF"/>
    <w:rsid w:val="000C32A6"/>
    <w:rsid w:val="000C44C9"/>
    <w:rsid w:val="000C4AA1"/>
    <w:rsid w:val="000C6BC4"/>
    <w:rsid w:val="000C6E4B"/>
    <w:rsid w:val="000C733A"/>
    <w:rsid w:val="000C739C"/>
    <w:rsid w:val="000C73C7"/>
    <w:rsid w:val="000C7A3B"/>
    <w:rsid w:val="000D0ACC"/>
    <w:rsid w:val="000D12B9"/>
    <w:rsid w:val="000D22FB"/>
    <w:rsid w:val="000D30A6"/>
    <w:rsid w:val="000D343E"/>
    <w:rsid w:val="000D479C"/>
    <w:rsid w:val="000D4C50"/>
    <w:rsid w:val="000D5B32"/>
    <w:rsid w:val="000D6318"/>
    <w:rsid w:val="000D6359"/>
    <w:rsid w:val="000D65F5"/>
    <w:rsid w:val="000D6AFB"/>
    <w:rsid w:val="000D71EE"/>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4323"/>
    <w:rsid w:val="000F4CD3"/>
    <w:rsid w:val="000F6C08"/>
    <w:rsid w:val="000F7072"/>
    <w:rsid w:val="0010237D"/>
    <w:rsid w:val="0010274B"/>
    <w:rsid w:val="00102E6B"/>
    <w:rsid w:val="00103915"/>
    <w:rsid w:val="001039BF"/>
    <w:rsid w:val="00103A69"/>
    <w:rsid w:val="00104161"/>
    <w:rsid w:val="001054A2"/>
    <w:rsid w:val="00107A30"/>
    <w:rsid w:val="00107E4D"/>
    <w:rsid w:val="0011003B"/>
    <w:rsid w:val="001104F6"/>
    <w:rsid w:val="00111CD1"/>
    <w:rsid w:val="00113B52"/>
    <w:rsid w:val="0011502D"/>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27A8F"/>
    <w:rsid w:val="00130DC6"/>
    <w:rsid w:val="00131ABE"/>
    <w:rsid w:val="0013213A"/>
    <w:rsid w:val="0013442F"/>
    <w:rsid w:val="00134845"/>
    <w:rsid w:val="001348F1"/>
    <w:rsid w:val="00134F34"/>
    <w:rsid w:val="0013525C"/>
    <w:rsid w:val="0013543D"/>
    <w:rsid w:val="001356ED"/>
    <w:rsid w:val="0013612A"/>
    <w:rsid w:val="00137A10"/>
    <w:rsid w:val="00137D19"/>
    <w:rsid w:val="00137FFA"/>
    <w:rsid w:val="001436C6"/>
    <w:rsid w:val="00143855"/>
    <w:rsid w:val="001444AE"/>
    <w:rsid w:val="0014671C"/>
    <w:rsid w:val="001468EF"/>
    <w:rsid w:val="001470D6"/>
    <w:rsid w:val="00150664"/>
    <w:rsid w:val="001513DE"/>
    <w:rsid w:val="001519CE"/>
    <w:rsid w:val="0015261D"/>
    <w:rsid w:val="001528CC"/>
    <w:rsid w:val="00152F23"/>
    <w:rsid w:val="00152F4E"/>
    <w:rsid w:val="0015312F"/>
    <w:rsid w:val="00154129"/>
    <w:rsid w:val="00156251"/>
    <w:rsid w:val="00156953"/>
    <w:rsid w:val="00156B65"/>
    <w:rsid w:val="00156F1B"/>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986"/>
    <w:rsid w:val="00180CAE"/>
    <w:rsid w:val="00181312"/>
    <w:rsid w:val="00181B42"/>
    <w:rsid w:val="00181CA0"/>
    <w:rsid w:val="0018230E"/>
    <w:rsid w:val="00184602"/>
    <w:rsid w:val="001868F6"/>
    <w:rsid w:val="00186FD1"/>
    <w:rsid w:val="00187267"/>
    <w:rsid w:val="001876F7"/>
    <w:rsid w:val="0019180F"/>
    <w:rsid w:val="00193107"/>
    <w:rsid w:val="00193E9B"/>
    <w:rsid w:val="001945BB"/>
    <w:rsid w:val="00194762"/>
    <w:rsid w:val="001952FD"/>
    <w:rsid w:val="00195D3C"/>
    <w:rsid w:val="00195EB8"/>
    <w:rsid w:val="00195F16"/>
    <w:rsid w:val="0019617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41C"/>
    <w:rsid w:val="001A650A"/>
    <w:rsid w:val="001A6CA1"/>
    <w:rsid w:val="001A7116"/>
    <w:rsid w:val="001B0444"/>
    <w:rsid w:val="001B0B4F"/>
    <w:rsid w:val="001B1203"/>
    <w:rsid w:val="001B2288"/>
    <w:rsid w:val="001B34CF"/>
    <w:rsid w:val="001B39D9"/>
    <w:rsid w:val="001B4048"/>
    <w:rsid w:val="001B5CE7"/>
    <w:rsid w:val="001B666C"/>
    <w:rsid w:val="001B6906"/>
    <w:rsid w:val="001B731D"/>
    <w:rsid w:val="001B7466"/>
    <w:rsid w:val="001B7F08"/>
    <w:rsid w:val="001C0184"/>
    <w:rsid w:val="001C1F9C"/>
    <w:rsid w:val="001C4350"/>
    <w:rsid w:val="001C4593"/>
    <w:rsid w:val="001C4DED"/>
    <w:rsid w:val="001C61C0"/>
    <w:rsid w:val="001C62A1"/>
    <w:rsid w:val="001C79BB"/>
    <w:rsid w:val="001D0FF9"/>
    <w:rsid w:val="001D17D9"/>
    <w:rsid w:val="001D1E85"/>
    <w:rsid w:val="001D262B"/>
    <w:rsid w:val="001D3276"/>
    <w:rsid w:val="001D32CB"/>
    <w:rsid w:val="001D378D"/>
    <w:rsid w:val="001D3846"/>
    <w:rsid w:val="001D46FE"/>
    <w:rsid w:val="001D4AE9"/>
    <w:rsid w:val="001D60D3"/>
    <w:rsid w:val="001D646A"/>
    <w:rsid w:val="001D69DD"/>
    <w:rsid w:val="001E0375"/>
    <w:rsid w:val="001E10A7"/>
    <w:rsid w:val="001E175B"/>
    <w:rsid w:val="001E1C24"/>
    <w:rsid w:val="001E26AB"/>
    <w:rsid w:val="001E291F"/>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72A"/>
    <w:rsid w:val="002139DE"/>
    <w:rsid w:val="00213A09"/>
    <w:rsid w:val="00213F0E"/>
    <w:rsid w:val="00215255"/>
    <w:rsid w:val="00216F80"/>
    <w:rsid w:val="0021710C"/>
    <w:rsid w:val="0022149D"/>
    <w:rsid w:val="0022247B"/>
    <w:rsid w:val="002225BB"/>
    <w:rsid w:val="002238F9"/>
    <w:rsid w:val="00224081"/>
    <w:rsid w:val="00224F1E"/>
    <w:rsid w:val="0022670B"/>
    <w:rsid w:val="0022729A"/>
    <w:rsid w:val="002275F8"/>
    <w:rsid w:val="00230AE4"/>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446"/>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376"/>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3FBF"/>
    <w:rsid w:val="0029401E"/>
    <w:rsid w:val="002941B8"/>
    <w:rsid w:val="00295308"/>
    <w:rsid w:val="00295E32"/>
    <w:rsid w:val="00295E57"/>
    <w:rsid w:val="00296460"/>
    <w:rsid w:val="00296463"/>
    <w:rsid w:val="002969BC"/>
    <w:rsid w:val="00297C23"/>
    <w:rsid w:val="002A0043"/>
    <w:rsid w:val="002A0D45"/>
    <w:rsid w:val="002A21F0"/>
    <w:rsid w:val="002A2269"/>
    <w:rsid w:val="002A23F7"/>
    <w:rsid w:val="002A4169"/>
    <w:rsid w:val="002A5C49"/>
    <w:rsid w:val="002A6616"/>
    <w:rsid w:val="002B0068"/>
    <w:rsid w:val="002B0C19"/>
    <w:rsid w:val="002B1137"/>
    <w:rsid w:val="002B1235"/>
    <w:rsid w:val="002B16D4"/>
    <w:rsid w:val="002B1D91"/>
    <w:rsid w:val="002B26D6"/>
    <w:rsid w:val="002B2E33"/>
    <w:rsid w:val="002B353D"/>
    <w:rsid w:val="002B3AE9"/>
    <w:rsid w:val="002B53B8"/>
    <w:rsid w:val="002B56A6"/>
    <w:rsid w:val="002B5A46"/>
    <w:rsid w:val="002B690C"/>
    <w:rsid w:val="002B69EA"/>
    <w:rsid w:val="002B716D"/>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6FD"/>
    <w:rsid w:val="002D0829"/>
    <w:rsid w:val="002D12FC"/>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113"/>
    <w:rsid w:val="003049D5"/>
    <w:rsid w:val="00304EC8"/>
    <w:rsid w:val="003057B2"/>
    <w:rsid w:val="0030664E"/>
    <w:rsid w:val="00307459"/>
    <w:rsid w:val="00310F6E"/>
    <w:rsid w:val="0031128F"/>
    <w:rsid w:val="00312877"/>
    <w:rsid w:val="00313382"/>
    <w:rsid w:val="003138FF"/>
    <w:rsid w:val="0031396A"/>
    <w:rsid w:val="00313A60"/>
    <w:rsid w:val="003144A3"/>
    <w:rsid w:val="00317691"/>
    <w:rsid w:val="0031783A"/>
    <w:rsid w:val="0032017B"/>
    <w:rsid w:val="003204D3"/>
    <w:rsid w:val="00320603"/>
    <w:rsid w:val="0032206C"/>
    <w:rsid w:val="00322271"/>
    <w:rsid w:val="00322937"/>
    <w:rsid w:val="00322BA2"/>
    <w:rsid w:val="0032311F"/>
    <w:rsid w:val="0032519A"/>
    <w:rsid w:val="003252D8"/>
    <w:rsid w:val="003259F0"/>
    <w:rsid w:val="00325A3A"/>
    <w:rsid w:val="00327B71"/>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54C"/>
    <w:rsid w:val="003545EF"/>
    <w:rsid w:val="00354D4B"/>
    <w:rsid w:val="0035533F"/>
    <w:rsid w:val="00355B83"/>
    <w:rsid w:val="00356359"/>
    <w:rsid w:val="003564A6"/>
    <w:rsid w:val="0035653A"/>
    <w:rsid w:val="0035671F"/>
    <w:rsid w:val="0035753D"/>
    <w:rsid w:val="0036037E"/>
    <w:rsid w:val="00360C2B"/>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0D3D"/>
    <w:rsid w:val="003A14F0"/>
    <w:rsid w:val="003A1700"/>
    <w:rsid w:val="003A24C2"/>
    <w:rsid w:val="003A317B"/>
    <w:rsid w:val="003A39E3"/>
    <w:rsid w:val="003A3FC5"/>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825"/>
    <w:rsid w:val="003B4C76"/>
    <w:rsid w:val="003B4DDA"/>
    <w:rsid w:val="003B50BD"/>
    <w:rsid w:val="003B51CB"/>
    <w:rsid w:val="003B5432"/>
    <w:rsid w:val="003B608E"/>
    <w:rsid w:val="003B67A2"/>
    <w:rsid w:val="003B6DC7"/>
    <w:rsid w:val="003B71D8"/>
    <w:rsid w:val="003B74FA"/>
    <w:rsid w:val="003C010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D4E6B"/>
    <w:rsid w:val="003D741C"/>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2B9F"/>
    <w:rsid w:val="00402CC5"/>
    <w:rsid w:val="00404D7A"/>
    <w:rsid w:val="00404F7E"/>
    <w:rsid w:val="0040503E"/>
    <w:rsid w:val="00406553"/>
    <w:rsid w:val="00407A8A"/>
    <w:rsid w:val="00407EFE"/>
    <w:rsid w:val="00410806"/>
    <w:rsid w:val="004110C1"/>
    <w:rsid w:val="004118D9"/>
    <w:rsid w:val="00411FA4"/>
    <w:rsid w:val="00412F7D"/>
    <w:rsid w:val="00413E4A"/>
    <w:rsid w:val="0041629E"/>
    <w:rsid w:val="00416CE1"/>
    <w:rsid w:val="00416F9D"/>
    <w:rsid w:val="00422B39"/>
    <w:rsid w:val="00423AD3"/>
    <w:rsid w:val="00423F9F"/>
    <w:rsid w:val="00425CA8"/>
    <w:rsid w:val="00426DF2"/>
    <w:rsid w:val="00430285"/>
    <w:rsid w:val="00431738"/>
    <w:rsid w:val="00432555"/>
    <w:rsid w:val="0043379B"/>
    <w:rsid w:val="0043379F"/>
    <w:rsid w:val="00434D34"/>
    <w:rsid w:val="00436122"/>
    <w:rsid w:val="00436487"/>
    <w:rsid w:val="00436701"/>
    <w:rsid w:val="0043673A"/>
    <w:rsid w:val="00436CF2"/>
    <w:rsid w:val="00436EE1"/>
    <w:rsid w:val="0044094B"/>
    <w:rsid w:val="00441949"/>
    <w:rsid w:val="00441E6D"/>
    <w:rsid w:val="0044219E"/>
    <w:rsid w:val="0044228D"/>
    <w:rsid w:val="004422D6"/>
    <w:rsid w:val="00446012"/>
    <w:rsid w:val="00446133"/>
    <w:rsid w:val="00446954"/>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7A81"/>
    <w:rsid w:val="00457BC1"/>
    <w:rsid w:val="00460729"/>
    <w:rsid w:val="00460D59"/>
    <w:rsid w:val="004613DB"/>
    <w:rsid w:val="004616A9"/>
    <w:rsid w:val="004617CF"/>
    <w:rsid w:val="00461DA2"/>
    <w:rsid w:val="004625D0"/>
    <w:rsid w:val="00462C5C"/>
    <w:rsid w:val="00463469"/>
    <w:rsid w:val="00463CBF"/>
    <w:rsid w:val="00464836"/>
    <w:rsid w:val="00464867"/>
    <w:rsid w:val="00464BE7"/>
    <w:rsid w:val="004651EF"/>
    <w:rsid w:val="00466347"/>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2D50"/>
    <w:rsid w:val="00493E5B"/>
    <w:rsid w:val="0049440E"/>
    <w:rsid w:val="00494646"/>
    <w:rsid w:val="00495988"/>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A7BC6"/>
    <w:rsid w:val="004B0381"/>
    <w:rsid w:val="004B0502"/>
    <w:rsid w:val="004B09FE"/>
    <w:rsid w:val="004B0C80"/>
    <w:rsid w:val="004B0EF1"/>
    <w:rsid w:val="004B323E"/>
    <w:rsid w:val="004B4965"/>
    <w:rsid w:val="004B680F"/>
    <w:rsid w:val="004B708C"/>
    <w:rsid w:val="004B72C6"/>
    <w:rsid w:val="004B7962"/>
    <w:rsid w:val="004C0F66"/>
    <w:rsid w:val="004C1F63"/>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1BF8"/>
    <w:rsid w:val="004F262A"/>
    <w:rsid w:val="004F2B88"/>
    <w:rsid w:val="004F49DA"/>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9D9"/>
    <w:rsid w:val="00503C30"/>
    <w:rsid w:val="00504CFE"/>
    <w:rsid w:val="005056EE"/>
    <w:rsid w:val="0050666F"/>
    <w:rsid w:val="0051074C"/>
    <w:rsid w:val="00510814"/>
    <w:rsid w:val="00510D99"/>
    <w:rsid w:val="00510FCA"/>
    <w:rsid w:val="00511E1C"/>
    <w:rsid w:val="0051256D"/>
    <w:rsid w:val="00512F6A"/>
    <w:rsid w:val="005134C9"/>
    <w:rsid w:val="00513A64"/>
    <w:rsid w:val="00513AF2"/>
    <w:rsid w:val="00514118"/>
    <w:rsid w:val="00514281"/>
    <w:rsid w:val="0051450C"/>
    <w:rsid w:val="005148D7"/>
    <w:rsid w:val="005158B4"/>
    <w:rsid w:val="0051637C"/>
    <w:rsid w:val="005174FC"/>
    <w:rsid w:val="00517B77"/>
    <w:rsid w:val="00520096"/>
    <w:rsid w:val="00520B7C"/>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47D71"/>
    <w:rsid w:val="00552547"/>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567"/>
    <w:rsid w:val="00571FD6"/>
    <w:rsid w:val="00572591"/>
    <w:rsid w:val="005728F1"/>
    <w:rsid w:val="00572C3A"/>
    <w:rsid w:val="00572F5F"/>
    <w:rsid w:val="00573D5D"/>
    <w:rsid w:val="00574143"/>
    <w:rsid w:val="00574BA4"/>
    <w:rsid w:val="00574E90"/>
    <w:rsid w:val="005756AA"/>
    <w:rsid w:val="005763C1"/>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899"/>
    <w:rsid w:val="005B0D75"/>
    <w:rsid w:val="005B15CA"/>
    <w:rsid w:val="005B1993"/>
    <w:rsid w:val="005B39DB"/>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4966"/>
    <w:rsid w:val="005E529C"/>
    <w:rsid w:val="005E5B57"/>
    <w:rsid w:val="005E6118"/>
    <w:rsid w:val="005E640D"/>
    <w:rsid w:val="005E7395"/>
    <w:rsid w:val="005F197B"/>
    <w:rsid w:val="005F1B4D"/>
    <w:rsid w:val="005F1F78"/>
    <w:rsid w:val="005F2102"/>
    <w:rsid w:val="005F2642"/>
    <w:rsid w:val="005F26E3"/>
    <w:rsid w:val="005F3AEA"/>
    <w:rsid w:val="005F41C9"/>
    <w:rsid w:val="005F46B6"/>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546"/>
    <w:rsid w:val="00607888"/>
    <w:rsid w:val="00610361"/>
    <w:rsid w:val="006105EA"/>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40D"/>
    <w:rsid w:val="00625F19"/>
    <w:rsid w:val="00627BEE"/>
    <w:rsid w:val="00627CE3"/>
    <w:rsid w:val="00630258"/>
    <w:rsid w:val="00630A35"/>
    <w:rsid w:val="00630B32"/>
    <w:rsid w:val="00630FDF"/>
    <w:rsid w:val="006313F4"/>
    <w:rsid w:val="006317D9"/>
    <w:rsid w:val="00632269"/>
    <w:rsid w:val="0063261F"/>
    <w:rsid w:val="00633262"/>
    <w:rsid w:val="006338A8"/>
    <w:rsid w:val="00633DBF"/>
    <w:rsid w:val="00633E03"/>
    <w:rsid w:val="00633EC0"/>
    <w:rsid w:val="00634350"/>
    <w:rsid w:val="0063508B"/>
    <w:rsid w:val="006350E6"/>
    <w:rsid w:val="00636D35"/>
    <w:rsid w:val="0064058D"/>
    <w:rsid w:val="006441E9"/>
    <w:rsid w:val="006449C3"/>
    <w:rsid w:val="00644ADC"/>
    <w:rsid w:val="00645159"/>
    <w:rsid w:val="006453C1"/>
    <w:rsid w:val="00645CF8"/>
    <w:rsid w:val="006464BC"/>
    <w:rsid w:val="0064734D"/>
    <w:rsid w:val="00647C3A"/>
    <w:rsid w:val="00650347"/>
    <w:rsid w:val="00650FDB"/>
    <w:rsid w:val="0065118A"/>
    <w:rsid w:val="0065154D"/>
    <w:rsid w:val="00651659"/>
    <w:rsid w:val="00654AD5"/>
    <w:rsid w:val="00655371"/>
    <w:rsid w:val="00655552"/>
    <w:rsid w:val="00656997"/>
    <w:rsid w:val="00656BD3"/>
    <w:rsid w:val="00656C7D"/>
    <w:rsid w:val="00660450"/>
    <w:rsid w:val="006609AB"/>
    <w:rsid w:val="006613B1"/>
    <w:rsid w:val="00662F65"/>
    <w:rsid w:val="00663314"/>
    <w:rsid w:val="0066452D"/>
    <w:rsid w:val="00664556"/>
    <w:rsid w:val="00664EBA"/>
    <w:rsid w:val="00665553"/>
    <w:rsid w:val="006660FA"/>
    <w:rsid w:val="00666303"/>
    <w:rsid w:val="0066696D"/>
    <w:rsid w:val="006676AA"/>
    <w:rsid w:val="00667FD6"/>
    <w:rsid w:val="00670AFD"/>
    <w:rsid w:val="006715BC"/>
    <w:rsid w:val="00672379"/>
    <w:rsid w:val="006726C7"/>
    <w:rsid w:val="006732EF"/>
    <w:rsid w:val="006745D9"/>
    <w:rsid w:val="00675DAA"/>
    <w:rsid w:val="0067671D"/>
    <w:rsid w:val="00676959"/>
    <w:rsid w:val="0067719F"/>
    <w:rsid w:val="00677428"/>
    <w:rsid w:val="00680ACA"/>
    <w:rsid w:val="00680CD0"/>
    <w:rsid w:val="00680EE3"/>
    <w:rsid w:val="006811A6"/>
    <w:rsid w:val="00681957"/>
    <w:rsid w:val="00685196"/>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9776B"/>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1211"/>
    <w:rsid w:val="006B2D2D"/>
    <w:rsid w:val="006B340F"/>
    <w:rsid w:val="006B4131"/>
    <w:rsid w:val="006B419C"/>
    <w:rsid w:val="006B4A03"/>
    <w:rsid w:val="006B4BC9"/>
    <w:rsid w:val="006B5232"/>
    <w:rsid w:val="006B5469"/>
    <w:rsid w:val="006B5E52"/>
    <w:rsid w:val="006B6D5F"/>
    <w:rsid w:val="006B7C79"/>
    <w:rsid w:val="006C02B8"/>
    <w:rsid w:val="006C12D6"/>
    <w:rsid w:val="006C16C4"/>
    <w:rsid w:val="006C1883"/>
    <w:rsid w:val="006C1A9B"/>
    <w:rsid w:val="006C1E20"/>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3F40"/>
    <w:rsid w:val="006D4D3E"/>
    <w:rsid w:val="006D50BE"/>
    <w:rsid w:val="006D524B"/>
    <w:rsid w:val="006D532A"/>
    <w:rsid w:val="006D6BBC"/>
    <w:rsid w:val="006D7687"/>
    <w:rsid w:val="006E0572"/>
    <w:rsid w:val="006E15C5"/>
    <w:rsid w:val="006E178E"/>
    <w:rsid w:val="006E321E"/>
    <w:rsid w:val="006E3401"/>
    <w:rsid w:val="006E3C68"/>
    <w:rsid w:val="006E4184"/>
    <w:rsid w:val="006E4ED6"/>
    <w:rsid w:val="006E5518"/>
    <w:rsid w:val="006E691B"/>
    <w:rsid w:val="006E7BD4"/>
    <w:rsid w:val="006F0339"/>
    <w:rsid w:val="006F1C0D"/>
    <w:rsid w:val="006F2A0F"/>
    <w:rsid w:val="006F2C91"/>
    <w:rsid w:val="006F3A9B"/>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174"/>
    <w:rsid w:val="0075094E"/>
    <w:rsid w:val="007509D3"/>
    <w:rsid w:val="00751421"/>
    <w:rsid w:val="00751E94"/>
    <w:rsid w:val="007522E8"/>
    <w:rsid w:val="007526B2"/>
    <w:rsid w:val="00752F9B"/>
    <w:rsid w:val="007559ED"/>
    <w:rsid w:val="0075604B"/>
    <w:rsid w:val="0075647A"/>
    <w:rsid w:val="00756A3D"/>
    <w:rsid w:val="00757208"/>
    <w:rsid w:val="00760526"/>
    <w:rsid w:val="007609CC"/>
    <w:rsid w:val="00761A6B"/>
    <w:rsid w:val="00761DBC"/>
    <w:rsid w:val="00762634"/>
    <w:rsid w:val="00762AEC"/>
    <w:rsid w:val="007633CC"/>
    <w:rsid w:val="007634AD"/>
    <w:rsid w:val="00764D4E"/>
    <w:rsid w:val="00764E67"/>
    <w:rsid w:val="00765694"/>
    <w:rsid w:val="00765B48"/>
    <w:rsid w:val="00767F50"/>
    <w:rsid w:val="00770CEE"/>
    <w:rsid w:val="00770F51"/>
    <w:rsid w:val="0077377C"/>
    <w:rsid w:val="0077470A"/>
    <w:rsid w:val="00775007"/>
    <w:rsid w:val="007759E8"/>
    <w:rsid w:val="00776709"/>
    <w:rsid w:val="0077764F"/>
    <w:rsid w:val="0078122E"/>
    <w:rsid w:val="00781331"/>
    <w:rsid w:val="00782053"/>
    <w:rsid w:val="00782878"/>
    <w:rsid w:val="00783027"/>
    <w:rsid w:val="007839BF"/>
    <w:rsid w:val="00783AEB"/>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1526"/>
    <w:rsid w:val="007B204E"/>
    <w:rsid w:val="007B2571"/>
    <w:rsid w:val="007B2D62"/>
    <w:rsid w:val="007B3524"/>
    <w:rsid w:val="007B3CCE"/>
    <w:rsid w:val="007B4540"/>
    <w:rsid w:val="007B495B"/>
    <w:rsid w:val="007B5414"/>
    <w:rsid w:val="007B58F4"/>
    <w:rsid w:val="007B6EA2"/>
    <w:rsid w:val="007B7CED"/>
    <w:rsid w:val="007C097B"/>
    <w:rsid w:val="007C2094"/>
    <w:rsid w:val="007C256E"/>
    <w:rsid w:val="007C3FAF"/>
    <w:rsid w:val="007C552A"/>
    <w:rsid w:val="007C5D1C"/>
    <w:rsid w:val="007C643C"/>
    <w:rsid w:val="007C72EC"/>
    <w:rsid w:val="007C755B"/>
    <w:rsid w:val="007D0056"/>
    <w:rsid w:val="007D02FD"/>
    <w:rsid w:val="007D0313"/>
    <w:rsid w:val="007D0FED"/>
    <w:rsid w:val="007D19CE"/>
    <w:rsid w:val="007D2D49"/>
    <w:rsid w:val="007D2E15"/>
    <w:rsid w:val="007D2FC7"/>
    <w:rsid w:val="007D319C"/>
    <w:rsid w:val="007D52CB"/>
    <w:rsid w:val="007D543F"/>
    <w:rsid w:val="007D5A5A"/>
    <w:rsid w:val="007D5C8F"/>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2C7"/>
    <w:rsid w:val="0082471E"/>
    <w:rsid w:val="00824BA7"/>
    <w:rsid w:val="008255B9"/>
    <w:rsid w:val="0082606C"/>
    <w:rsid w:val="00827527"/>
    <w:rsid w:val="0083119B"/>
    <w:rsid w:val="008317CC"/>
    <w:rsid w:val="008325CA"/>
    <w:rsid w:val="00833494"/>
    <w:rsid w:val="0083389E"/>
    <w:rsid w:val="00833D10"/>
    <w:rsid w:val="00836AC5"/>
    <w:rsid w:val="00836EAB"/>
    <w:rsid w:val="0084011C"/>
    <w:rsid w:val="00840625"/>
    <w:rsid w:val="0084146C"/>
    <w:rsid w:val="008415E3"/>
    <w:rsid w:val="008422C6"/>
    <w:rsid w:val="00842EFF"/>
    <w:rsid w:val="008434CF"/>
    <w:rsid w:val="00843A94"/>
    <w:rsid w:val="00843B34"/>
    <w:rsid w:val="00844611"/>
    <w:rsid w:val="00845FC8"/>
    <w:rsid w:val="008502CC"/>
    <w:rsid w:val="008502F9"/>
    <w:rsid w:val="0085092D"/>
    <w:rsid w:val="00850C0A"/>
    <w:rsid w:val="00850F79"/>
    <w:rsid w:val="0085136E"/>
    <w:rsid w:val="0085175C"/>
    <w:rsid w:val="00851933"/>
    <w:rsid w:val="00853B4B"/>
    <w:rsid w:val="00853CE7"/>
    <w:rsid w:val="00854029"/>
    <w:rsid w:val="00854370"/>
    <w:rsid w:val="008548AC"/>
    <w:rsid w:val="00855F56"/>
    <w:rsid w:val="00856420"/>
    <w:rsid w:val="008576FC"/>
    <w:rsid w:val="008605DD"/>
    <w:rsid w:val="00861CBE"/>
    <w:rsid w:val="008629DE"/>
    <w:rsid w:val="00863B45"/>
    <w:rsid w:val="00864F2E"/>
    <w:rsid w:val="00866D4C"/>
    <w:rsid w:val="00867267"/>
    <w:rsid w:val="0086772B"/>
    <w:rsid w:val="00867FA2"/>
    <w:rsid w:val="00870445"/>
    <w:rsid w:val="00870E1A"/>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371"/>
    <w:rsid w:val="0088373F"/>
    <w:rsid w:val="00883844"/>
    <w:rsid w:val="00884680"/>
    <w:rsid w:val="008847A7"/>
    <w:rsid w:val="00890802"/>
    <w:rsid w:val="00890A55"/>
    <w:rsid w:val="00890A9A"/>
    <w:rsid w:val="00891993"/>
    <w:rsid w:val="00891DEC"/>
    <w:rsid w:val="00894248"/>
    <w:rsid w:val="008948DF"/>
    <w:rsid w:val="00894E41"/>
    <w:rsid w:val="00895565"/>
    <w:rsid w:val="00895A22"/>
    <w:rsid w:val="00895D71"/>
    <w:rsid w:val="00896B8A"/>
    <w:rsid w:val="0089774F"/>
    <w:rsid w:val="008977E5"/>
    <w:rsid w:val="00897CFE"/>
    <w:rsid w:val="008A0392"/>
    <w:rsid w:val="008A0BE8"/>
    <w:rsid w:val="008A0D56"/>
    <w:rsid w:val="008A113A"/>
    <w:rsid w:val="008A1C8C"/>
    <w:rsid w:val="008A210F"/>
    <w:rsid w:val="008A22FB"/>
    <w:rsid w:val="008A24D7"/>
    <w:rsid w:val="008A265E"/>
    <w:rsid w:val="008A2781"/>
    <w:rsid w:val="008A36B6"/>
    <w:rsid w:val="008A3F2A"/>
    <w:rsid w:val="008A4788"/>
    <w:rsid w:val="008A5F52"/>
    <w:rsid w:val="008A66DC"/>
    <w:rsid w:val="008A6EB9"/>
    <w:rsid w:val="008A7F4C"/>
    <w:rsid w:val="008B0946"/>
    <w:rsid w:val="008B1B8A"/>
    <w:rsid w:val="008B2228"/>
    <w:rsid w:val="008B2CF7"/>
    <w:rsid w:val="008B365E"/>
    <w:rsid w:val="008B423D"/>
    <w:rsid w:val="008B6CE8"/>
    <w:rsid w:val="008B721F"/>
    <w:rsid w:val="008B7830"/>
    <w:rsid w:val="008B7AE1"/>
    <w:rsid w:val="008C0576"/>
    <w:rsid w:val="008C0579"/>
    <w:rsid w:val="008C0E1F"/>
    <w:rsid w:val="008C1250"/>
    <w:rsid w:val="008C193F"/>
    <w:rsid w:val="008C1A17"/>
    <w:rsid w:val="008C33B6"/>
    <w:rsid w:val="008C39D2"/>
    <w:rsid w:val="008C66F3"/>
    <w:rsid w:val="008C73D8"/>
    <w:rsid w:val="008C75C7"/>
    <w:rsid w:val="008C7ACF"/>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42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73B"/>
    <w:rsid w:val="009209D7"/>
    <w:rsid w:val="0092194E"/>
    <w:rsid w:val="0092226D"/>
    <w:rsid w:val="009222B7"/>
    <w:rsid w:val="00923029"/>
    <w:rsid w:val="00923BC1"/>
    <w:rsid w:val="009242FF"/>
    <w:rsid w:val="0092483A"/>
    <w:rsid w:val="00925E4F"/>
    <w:rsid w:val="00927679"/>
    <w:rsid w:val="00930062"/>
    <w:rsid w:val="00934A68"/>
    <w:rsid w:val="00934C73"/>
    <w:rsid w:val="00935C90"/>
    <w:rsid w:val="00936CF1"/>
    <w:rsid w:val="009371C8"/>
    <w:rsid w:val="009403A7"/>
    <w:rsid w:val="00940C04"/>
    <w:rsid w:val="009415ED"/>
    <w:rsid w:val="009420E0"/>
    <w:rsid w:val="00942F3F"/>
    <w:rsid w:val="00944B47"/>
    <w:rsid w:val="00944F0D"/>
    <w:rsid w:val="00944F8A"/>
    <w:rsid w:val="0094508D"/>
    <w:rsid w:val="00945684"/>
    <w:rsid w:val="00946F67"/>
    <w:rsid w:val="00947A1C"/>
    <w:rsid w:val="00947A56"/>
    <w:rsid w:val="00950059"/>
    <w:rsid w:val="0095044E"/>
    <w:rsid w:val="00950C49"/>
    <w:rsid w:val="009525B7"/>
    <w:rsid w:val="009528AE"/>
    <w:rsid w:val="009530E8"/>
    <w:rsid w:val="0095335C"/>
    <w:rsid w:val="00953647"/>
    <w:rsid w:val="0095385A"/>
    <w:rsid w:val="00954553"/>
    <w:rsid w:val="00954EA8"/>
    <w:rsid w:val="00955930"/>
    <w:rsid w:val="00955B7F"/>
    <w:rsid w:val="00955CFA"/>
    <w:rsid w:val="009578E8"/>
    <w:rsid w:val="00960168"/>
    <w:rsid w:val="009602A1"/>
    <w:rsid w:val="00961252"/>
    <w:rsid w:val="00962706"/>
    <w:rsid w:val="0096275E"/>
    <w:rsid w:val="00962DAD"/>
    <w:rsid w:val="009646C1"/>
    <w:rsid w:val="00964E57"/>
    <w:rsid w:val="009650ED"/>
    <w:rsid w:val="009651B8"/>
    <w:rsid w:val="009667F1"/>
    <w:rsid w:val="00966AFD"/>
    <w:rsid w:val="00966E63"/>
    <w:rsid w:val="00970386"/>
    <w:rsid w:val="00970B51"/>
    <w:rsid w:val="009719B0"/>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5BB5"/>
    <w:rsid w:val="009865B6"/>
    <w:rsid w:val="0098671F"/>
    <w:rsid w:val="00987147"/>
    <w:rsid w:val="00987301"/>
    <w:rsid w:val="00990126"/>
    <w:rsid w:val="00990AEE"/>
    <w:rsid w:val="00990BFE"/>
    <w:rsid w:val="009910EF"/>
    <w:rsid w:val="009916DA"/>
    <w:rsid w:val="00992F84"/>
    <w:rsid w:val="00993FD7"/>
    <w:rsid w:val="00994553"/>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B3335"/>
    <w:rsid w:val="009B4380"/>
    <w:rsid w:val="009B52BF"/>
    <w:rsid w:val="009B7F9B"/>
    <w:rsid w:val="009C117E"/>
    <w:rsid w:val="009C1D7D"/>
    <w:rsid w:val="009C4ADA"/>
    <w:rsid w:val="009C50EC"/>
    <w:rsid w:val="009C5F58"/>
    <w:rsid w:val="009C75FC"/>
    <w:rsid w:val="009C7E94"/>
    <w:rsid w:val="009D01FA"/>
    <w:rsid w:val="009D1D2F"/>
    <w:rsid w:val="009D38B3"/>
    <w:rsid w:val="009D4730"/>
    <w:rsid w:val="009D5015"/>
    <w:rsid w:val="009D5269"/>
    <w:rsid w:val="009D531C"/>
    <w:rsid w:val="009D62C3"/>
    <w:rsid w:val="009D68DA"/>
    <w:rsid w:val="009E1D2D"/>
    <w:rsid w:val="009E405A"/>
    <w:rsid w:val="009E4815"/>
    <w:rsid w:val="009E4B65"/>
    <w:rsid w:val="009E4C76"/>
    <w:rsid w:val="009E4EDE"/>
    <w:rsid w:val="009E6031"/>
    <w:rsid w:val="009E680D"/>
    <w:rsid w:val="009E6D63"/>
    <w:rsid w:val="009E721A"/>
    <w:rsid w:val="009E754A"/>
    <w:rsid w:val="009F0250"/>
    <w:rsid w:val="009F0BD0"/>
    <w:rsid w:val="009F228F"/>
    <w:rsid w:val="009F2950"/>
    <w:rsid w:val="009F2B05"/>
    <w:rsid w:val="009F4A5A"/>
    <w:rsid w:val="009F5299"/>
    <w:rsid w:val="009F59C2"/>
    <w:rsid w:val="009F5E32"/>
    <w:rsid w:val="009F70B9"/>
    <w:rsid w:val="009F739F"/>
    <w:rsid w:val="009F74DF"/>
    <w:rsid w:val="009F7B0A"/>
    <w:rsid w:val="00A0089B"/>
    <w:rsid w:val="00A013D8"/>
    <w:rsid w:val="00A01EAA"/>
    <w:rsid w:val="00A02035"/>
    <w:rsid w:val="00A02AD6"/>
    <w:rsid w:val="00A03AEC"/>
    <w:rsid w:val="00A04EE8"/>
    <w:rsid w:val="00A054E0"/>
    <w:rsid w:val="00A06104"/>
    <w:rsid w:val="00A1084D"/>
    <w:rsid w:val="00A11AF8"/>
    <w:rsid w:val="00A11E7B"/>
    <w:rsid w:val="00A11E97"/>
    <w:rsid w:val="00A131B4"/>
    <w:rsid w:val="00A13947"/>
    <w:rsid w:val="00A14083"/>
    <w:rsid w:val="00A147D1"/>
    <w:rsid w:val="00A14A37"/>
    <w:rsid w:val="00A14C37"/>
    <w:rsid w:val="00A14C5B"/>
    <w:rsid w:val="00A155F8"/>
    <w:rsid w:val="00A16471"/>
    <w:rsid w:val="00A167C9"/>
    <w:rsid w:val="00A16841"/>
    <w:rsid w:val="00A16A18"/>
    <w:rsid w:val="00A211E3"/>
    <w:rsid w:val="00A219D9"/>
    <w:rsid w:val="00A229B7"/>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3585"/>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565"/>
    <w:rsid w:val="00A75CEF"/>
    <w:rsid w:val="00A775B0"/>
    <w:rsid w:val="00A77BDA"/>
    <w:rsid w:val="00A80922"/>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570"/>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336"/>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C676E"/>
    <w:rsid w:val="00AD0A12"/>
    <w:rsid w:val="00AD1929"/>
    <w:rsid w:val="00AD299B"/>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568"/>
    <w:rsid w:val="00AE47F2"/>
    <w:rsid w:val="00AE5421"/>
    <w:rsid w:val="00AE5765"/>
    <w:rsid w:val="00AE5C0E"/>
    <w:rsid w:val="00AE5EFA"/>
    <w:rsid w:val="00AE6C4D"/>
    <w:rsid w:val="00AE7AE2"/>
    <w:rsid w:val="00AF04FE"/>
    <w:rsid w:val="00AF051E"/>
    <w:rsid w:val="00AF14AC"/>
    <w:rsid w:val="00AF1BDF"/>
    <w:rsid w:val="00AF2089"/>
    <w:rsid w:val="00AF2347"/>
    <w:rsid w:val="00AF2EDF"/>
    <w:rsid w:val="00AF3EEF"/>
    <w:rsid w:val="00AF5AE0"/>
    <w:rsid w:val="00AF6FB3"/>
    <w:rsid w:val="00AF7517"/>
    <w:rsid w:val="00B013A4"/>
    <w:rsid w:val="00B0190E"/>
    <w:rsid w:val="00B025C2"/>
    <w:rsid w:val="00B041C7"/>
    <w:rsid w:val="00B04E78"/>
    <w:rsid w:val="00B05815"/>
    <w:rsid w:val="00B071E7"/>
    <w:rsid w:val="00B07667"/>
    <w:rsid w:val="00B0787E"/>
    <w:rsid w:val="00B07987"/>
    <w:rsid w:val="00B07C17"/>
    <w:rsid w:val="00B10353"/>
    <w:rsid w:val="00B1150B"/>
    <w:rsid w:val="00B11581"/>
    <w:rsid w:val="00B11815"/>
    <w:rsid w:val="00B12932"/>
    <w:rsid w:val="00B133F1"/>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6D02"/>
    <w:rsid w:val="00B26D54"/>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1937"/>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3B68"/>
    <w:rsid w:val="00B5535C"/>
    <w:rsid w:val="00B5621C"/>
    <w:rsid w:val="00B56B4F"/>
    <w:rsid w:val="00B5777D"/>
    <w:rsid w:val="00B57868"/>
    <w:rsid w:val="00B61183"/>
    <w:rsid w:val="00B61C7A"/>
    <w:rsid w:val="00B63872"/>
    <w:rsid w:val="00B639D0"/>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77C16"/>
    <w:rsid w:val="00B80451"/>
    <w:rsid w:val="00B80B50"/>
    <w:rsid w:val="00B8158A"/>
    <w:rsid w:val="00B822A7"/>
    <w:rsid w:val="00B85762"/>
    <w:rsid w:val="00B8638A"/>
    <w:rsid w:val="00B8652C"/>
    <w:rsid w:val="00B87D98"/>
    <w:rsid w:val="00B9068D"/>
    <w:rsid w:val="00B90BE1"/>
    <w:rsid w:val="00B91B8E"/>
    <w:rsid w:val="00B936F3"/>
    <w:rsid w:val="00B93D22"/>
    <w:rsid w:val="00B94EDD"/>
    <w:rsid w:val="00B96F29"/>
    <w:rsid w:val="00B9789B"/>
    <w:rsid w:val="00BA010A"/>
    <w:rsid w:val="00BA0355"/>
    <w:rsid w:val="00BA0FCE"/>
    <w:rsid w:val="00BA129F"/>
    <w:rsid w:val="00BA1474"/>
    <w:rsid w:val="00BA1AB9"/>
    <w:rsid w:val="00BA22A9"/>
    <w:rsid w:val="00BA2829"/>
    <w:rsid w:val="00BA2D67"/>
    <w:rsid w:val="00BA369B"/>
    <w:rsid w:val="00BA36EE"/>
    <w:rsid w:val="00BA4319"/>
    <w:rsid w:val="00BA47FF"/>
    <w:rsid w:val="00BA6769"/>
    <w:rsid w:val="00BA6CAD"/>
    <w:rsid w:val="00BA6E6A"/>
    <w:rsid w:val="00BA740B"/>
    <w:rsid w:val="00BA75DE"/>
    <w:rsid w:val="00BB00EC"/>
    <w:rsid w:val="00BB061D"/>
    <w:rsid w:val="00BB07A4"/>
    <w:rsid w:val="00BB17F0"/>
    <w:rsid w:val="00BB18AE"/>
    <w:rsid w:val="00BB21F4"/>
    <w:rsid w:val="00BB2914"/>
    <w:rsid w:val="00BB29E9"/>
    <w:rsid w:val="00BB3081"/>
    <w:rsid w:val="00BB315C"/>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D7AEF"/>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430"/>
    <w:rsid w:val="00C0077D"/>
    <w:rsid w:val="00C00969"/>
    <w:rsid w:val="00C00BB1"/>
    <w:rsid w:val="00C01378"/>
    <w:rsid w:val="00C03ACB"/>
    <w:rsid w:val="00C03EFE"/>
    <w:rsid w:val="00C0464D"/>
    <w:rsid w:val="00C07794"/>
    <w:rsid w:val="00C113FE"/>
    <w:rsid w:val="00C11A27"/>
    <w:rsid w:val="00C1281E"/>
    <w:rsid w:val="00C13000"/>
    <w:rsid w:val="00C149B0"/>
    <w:rsid w:val="00C15753"/>
    <w:rsid w:val="00C17545"/>
    <w:rsid w:val="00C227EF"/>
    <w:rsid w:val="00C22BD5"/>
    <w:rsid w:val="00C24368"/>
    <w:rsid w:val="00C252EE"/>
    <w:rsid w:val="00C25D13"/>
    <w:rsid w:val="00C260FC"/>
    <w:rsid w:val="00C30364"/>
    <w:rsid w:val="00C30E74"/>
    <w:rsid w:val="00C313BC"/>
    <w:rsid w:val="00C3362A"/>
    <w:rsid w:val="00C33983"/>
    <w:rsid w:val="00C34032"/>
    <w:rsid w:val="00C34B29"/>
    <w:rsid w:val="00C40657"/>
    <w:rsid w:val="00C407B5"/>
    <w:rsid w:val="00C4125C"/>
    <w:rsid w:val="00C431CD"/>
    <w:rsid w:val="00C435A3"/>
    <w:rsid w:val="00C43CE3"/>
    <w:rsid w:val="00C45E88"/>
    <w:rsid w:val="00C47864"/>
    <w:rsid w:val="00C47AAC"/>
    <w:rsid w:val="00C500EE"/>
    <w:rsid w:val="00C50145"/>
    <w:rsid w:val="00C53019"/>
    <w:rsid w:val="00C53A37"/>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1E66"/>
    <w:rsid w:val="00C82114"/>
    <w:rsid w:val="00C82E66"/>
    <w:rsid w:val="00C84E96"/>
    <w:rsid w:val="00C854BD"/>
    <w:rsid w:val="00C87152"/>
    <w:rsid w:val="00C87C7E"/>
    <w:rsid w:val="00C91051"/>
    <w:rsid w:val="00C91108"/>
    <w:rsid w:val="00C917EA"/>
    <w:rsid w:val="00C91A60"/>
    <w:rsid w:val="00C9247E"/>
    <w:rsid w:val="00C940BE"/>
    <w:rsid w:val="00C95E8B"/>
    <w:rsid w:val="00C9605A"/>
    <w:rsid w:val="00C964EC"/>
    <w:rsid w:val="00C966DA"/>
    <w:rsid w:val="00C96CF7"/>
    <w:rsid w:val="00C9701D"/>
    <w:rsid w:val="00C9745F"/>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D4"/>
    <w:rsid w:val="00CD32E6"/>
    <w:rsid w:val="00CD34CF"/>
    <w:rsid w:val="00CD3FD2"/>
    <w:rsid w:val="00CD4605"/>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4478"/>
    <w:rsid w:val="00CF5C30"/>
    <w:rsid w:val="00CF5DBF"/>
    <w:rsid w:val="00CF74E8"/>
    <w:rsid w:val="00D00C29"/>
    <w:rsid w:val="00D01760"/>
    <w:rsid w:val="00D02423"/>
    <w:rsid w:val="00D02462"/>
    <w:rsid w:val="00D02736"/>
    <w:rsid w:val="00D03FDC"/>
    <w:rsid w:val="00D04ADE"/>
    <w:rsid w:val="00D054B8"/>
    <w:rsid w:val="00D0571D"/>
    <w:rsid w:val="00D07D4A"/>
    <w:rsid w:val="00D07FC4"/>
    <w:rsid w:val="00D100F4"/>
    <w:rsid w:val="00D10F1C"/>
    <w:rsid w:val="00D11160"/>
    <w:rsid w:val="00D11353"/>
    <w:rsid w:val="00D1196A"/>
    <w:rsid w:val="00D11CEB"/>
    <w:rsid w:val="00D11DF5"/>
    <w:rsid w:val="00D12042"/>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5723"/>
    <w:rsid w:val="00D267A0"/>
    <w:rsid w:val="00D27895"/>
    <w:rsid w:val="00D27B09"/>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4622"/>
    <w:rsid w:val="00D4505E"/>
    <w:rsid w:val="00D4544E"/>
    <w:rsid w:val="00D461FA"/>
    <w:rsid w:val="00D46FBE"/>
    <w:rsid w:val="00D514F0"/>
    <w:rsid w:val="00D55DB3"/>
    <w:rsid w:val="00D56875"/>
    <w:rsid w:val="00D5776B"/>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475C"/>
    <w:rsid w:val="00D7509A"/>
    <w:rsid w:val="00D762D6"/>
    <w:rsid w:val="00D77217"/>
    <w:rsid w:val="00D77451"/>
    <w:rsid w:val="00D777BB"/>
    <w:rsid w:val="00D82C7C"/>
    <w:rsid w:val="00D82CE5"/>
    <w:rsid w:val="00D83799"/>
    <w:rsid w:val="00D83F17"/>
    <w:rsid w:val="00D850E6"/>
    <w:rsid w:val="00D861D6"/>
    <w:rsid w:val="00D86DC5"/>
    <w:rsid w:val="00D87B43"/>
    <w:rsid w:val="00D9148F"/>
    <w:rsid w:val="00D92BBB"/>
    <w:rsid w:val="00D941AA"/>
    <w:rsid w:val="00D944DD"/>
    <w:rsid w:val="00D960C0"/>
    <w:rsid w:val="00D97434"/>
    <w:rsid w:val="00DA0BD3"/>
    <w:rsid w:val="00DA1356"/>
    <w:rsid w:val="00DA18BE"/>
    <w:rsid w:val="00DA1D25"/>
    <w:rsid w:val="00DA218C"/>
    <w:rsid w:val="00DA2A01"/>
    <w:rsid w:val="00DA2B3E"/>
    <w:rsid w:val="00DA2B96"/>
    <w:rsid w:val="00DA41D6"/>
    <w:rsid w:val="00DA4D63"/>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48A"/>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D78C4"/>
    <w:rsid w:val="00DD7CF2"/>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106"/>
    <w:rsid w:val="00DF35ED"/>
    <w:rsid w:val="00DF3701"/>
    <w:rsid w:val="00DF395B"/>
    <w:rsid w:val="00DF5138"/>
    <w:rsid w:val="00DF59D7"/>
    <w:rsid w:val="00DF6159"/>
    <w:rsid w:val="00DF6328"/>
    <w:rsid w:val="00DF6566"/>
    <w:rsid w:val="00DF7A6C"/>
    <w:rsid w:val="00DF7F96"/>
    <w:rsid w:val="00E026BB"/>
    <w:rsid w:val="00E060C4"/>
    <w:rsid w:val="00E06860"/>
    <w:rsid w:val="00E10178"/>
    <w:rsid w:val="00E1071A"/>
    <w:rsid w:val="00E10EE8"/>
    <w:rsid w:val="00E125D0"/>
    <w:rsid w:val="00E13306"/>
    <w:rsid w:val="00E13AB8"/>
    <w:rsid w:val="00E13BC5"/>
    <w:rsid w:val="00E13F51"/>
    <w:rsid w:val="00E14E0D"/>
    <w:rsid w:val="00E15059"/>
    <w:rsid w:val="00E152E0"/>
    <w:rsid w:val="00E164E5"/>
    <w:rsid w:val="00E170F8"/>
    <w:rsid w:val="00E17401"/>
    <w:rsid w:val="00E20C03"/>
    <w:rsid w:val="00E216F2"/>
    <w:rsid w:val="00E2184C"/>
    <w:rsid w:val="00E21A8B"/>
    <w:rsid w:val="00E21FD3"/>
    <w:rsid w:val="00E2279C"/>
    <w:rsid w:val="00E22B02"/>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1E01"/>
    <w:rsid w:val="00E32180"/>
    <w:rsid w:val="00E32C94"/>
    <w:rsid w:val="00E32E87"/>
    <w:rsid w:val="00E33A7D"/>
    <w:rsid w:val="00E33B62"/>
    <w:rsid w:val="00E35C0F"/>
    <w:rsid w:val="00E3688E"/>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8EA"/>
    <w:rsid w:val="00E61D16"/>
    <w:rsid w:val="00E622FB"/>
    <w:rsid w:val="00E62F4F"/>
    <w:rsid w:val="00E631D8"/>
    <w:rsid w:val="00E63AE5"/>
    <w:rsid w:val="00E63CDB"/>
    <w:rsid w:val="00E63D0C"/>
    <w:rsid w:val="00E66B9A"/>
    <w:rsid w:val="00E67283"/>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146"/>
    <w:rsid w:val="00EA3271"/>
    <w:rsid w:val="00EA40A3"/>
    <w:rsid w:val="00EA477B"/>
    <w:rsid w:val="00EA4CA9"/>
    <w:rsid w:val="00EA5137"/>
    <w:rsid w:val="00EA572E"/>
    <w:rsid w:val="00EA5C4C"/>
    <w:rsid w:val="00EA63D2"/>
    <w:rsid w:val="00EA666F"/>
    <w:rsid w:val="00EB0DE5"/>
    <w:rsid w:val="00EB174C"/>
    <w:rsid w:val="00EB27F2"/>
    <w:rsid w:val="00EB340D"/>
    <w:rsid w:val="00EB5921"/>
    <w:rsid w:val="00EB5C48"/>
    <w:rsid w:val="00EB5CEA"/>
    <w:rsid w:val="00EB76C1"/>
    <w:rsid w:val="00EB7A25"/>
    <w:rsid w:val="00EC268B"/>
    <w:rsid w:val="00EC33B9"/>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870"/>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18E6"/>
    <w:rsid w:val="00F22404"/>
    <w:rsid w:val="00F22646"/>
    <w:rsid w:val="00F22D50"/>
    <w:rsid w:val="00F22D7A"/>
    <w:rsid w:val="00F23493"/>
    <w:rsid w:val="00F23E6E"/>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67FA5"/>
    <w:rsid w:val="00F70A57"/>
    <w:rsid w:val="00F7112F"/>
    <w:rsid w:val="00F712ED"/>
    <w:rsid w:val="00F716B8"/>
    <w:rsid w:val="00F717B7"/>
    <w:rsid w:val="00F72A15"/>
    <w:rsid w:val="00F72F33"/>
    <w:rsid w:val="00F737DB"/>
    <w:rsid w:val="00F7412B"/>
    <w:rsid w:val="00F7432F"/>
    <w:rsid w:val="00F745A5"/>
    <w:rsid w:val="00F74F25"/>
    <w:rsid w:val="00F762C6"/>
    <w:rsid w:val="00F80305"/>
    <w:rsid w:val="00F8048F"/>
    <w:rsid w:val="00F82893"/>
    <w:rsid w:val="00F83838"/>
    <w:rsid w:val="00F83FF2"/>
    <w:rsid w:val="00F842D9"/>
    <w:rsid w:val="00F84691"/>
    <w:rsid w:val="00F84899"/>
    <w:rsid w:val="00F855B7"/>
    <w:rsid w:val="00F859F0"/>
    <w:rsid w:val="00F87254"/>
    <w:rsid w:val="00F87C3E"/>
    <w:rsid w:val="00F911D4"/>
    <w:rsid w:val="00F915D0"/>
    <w:rsid w:val="00F91C32"/>
    <w:rsid w:val="00F91F95"/>
    <w:rsid w:val="00F925F7"/>
    <w:rsid w:val="00F9299C"/>
    <w:rsid w:val="00F92AB5"/>
    <w:rsid w:val="00F93036"/>
    <w:rsid w:val="00F95277"/>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238"/>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6B72"/>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069"/>
    <w:rsid w:val="00FF543C"/>
    <w:rsid w:val="00FF5A12"/>
    <w:rsid w:val="00FF660C"/>
    <w:rsid w:val="00FF6E90"/>
    <w:rsid w:val="00FF75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2B023469-1321-4589-A670-BCF48668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E150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 w:type="character" w:customStyle="1" w:styleId="Ttulo1Car">
    <w:name w:val="Título 1 Car"/>
    <w:basedOn w:val="Fuentedeprrafopredeter"/>
    <w:link w:val="Ttulo1"/>
    <w:uiPriority w:val="9"/>
    <w:rsid w:val="00E15059"/>
    <w:rPr>
      <w:rFonts w:asciiTheme="majorHAnsi" w:eastAsiaTheme="majorEastAsia" w:hAnsiTheme="majorHAnsi" w:cstheme="majorBidi"/>
      <w:color w:val="365F91"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82921743">
      <w:bodyDiv w:val="1"/>
      <w:marLeft w:val="0"/>
      <w:marRight w:val="0"/>
      <w:marTop w:val="0"/>
      <w:marBottom w:val="0"/>
      <w:divBdr>
        <w:top w:val="none" w:sz="0" w:space="0" w:color="auto"/>
        <w:left w:val="none" w:sz="0" w:space="0" w:color="auto"/>
        <w:bottom w:val="none" w:sz="0" w:space="0" w:color="auto"/>
        <w:right w:val="none" w:sz="0" w:space="0" w:color="auto"/>
      </w:divBdr>
    </w:div>
    <w:div w:id="1315632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384718795">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561259137">
      <w:bodyDiv w:val="1"/>
      <w:marLeft w:val="0"/>
      <w:marRight w:val="0"/>
      <w:marTop w:val="0"/>
      <w:marBottom w:val="0"/>
      <w:divBdr>
        <w:top w:val="none" w:sz="0" w:space="0" w:color="auto"/>
        <w:left w:val="none" w:sz="0" w:space="0" w:color="auto"/>
        <w:bottom w:val="none" w:sz="0" w:space="0" w:color="auto"/>
        <w:right w:val="none" w:sz="0" w:space="0" w:color="auto"/>
      </w:divBdr>
    </w:div>
    <w:div w:id="596520694">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7845173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2975339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616804">
      <w:bodyDiv w:val="1"/>
      <w:marLeft w:val="0"/>
      <w:marRight w:val="0"/>
      <w:marTop w:val="0"/>
      <w:marBottom w:val="0"/>
      <w:divBdr>
        <w:top w:val="none" w:sz="0" w:space="0" w:color="auto"/>
        <w:left w:val="none" w:sz="0" w:space="0" w:color="auto"/>
        <w:bottom w:val="none" w:sz="0" w:space="0" w:color="auto"/>
        <w:right w:val="none" w:sz="0" w:space="0" w:color="auto"/>
      </w:divBdr>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08307252">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37013707">
      <w:bodyDiv w:val="1"/>
      <w:marLeft w:val="0"/>
      <w:marRight w:val="0"/>
      <w:marTop w:val="0"/>
      <w:marBottom w:val="0"/>
      <w:divBdr>
        <w:top w:val="none" w:sz="0" w:space="0" w:color="auto"/>
        <w:left w:val="none" w:sz="0" w:space="0" w:color="auto"/>
        <w:bottom w:val="none" w:sz="0" w:space="0" w:color="auto"/>
        <w:right w:val="none" w:sz="0" w:space="0" w:color="auto"/>
      </w:divBdr>
    </w:div>
    <w:div w:id="127081549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394699259">
      <w:bodyDiv w:val="1"/>
      <w:marLeft w:val="0"/>
      <w:marRight w:val="0"/>
      <w:marTop w:val="0"/>
      <w:marBottom w:val="0"/>
      <w:divBdr>
        <w:top w:val="none" w:sz="0" w:space="0" w:color="auto"/>
        <w:left w:val="none" w:sz="0" w:space="0" w:color="auto"/>
        <w:bottom w:val="none" w:sz="0" w:space="0" w:color="auto"/>
        <w:right w:val="none" w:sz="0" w:space="0" w:color="auto"/>
      </w:divBdr>
    </w:div>
    <w:div w:id="1428112701">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07356194">
      <w:bodyDiv w:val="1"/>
      <w:marLeft w:val="0"/>
      <w:marRight w:val="0"/>
      <w:marTop w:val="0"/>
      <w:marBottom w:val="0"/>
      <w:divBdr>
        <w:top w:val="none" w:sz="0" w:space="0" w:color="auto"/>
        <w:left w:val="none" w:sz="0" w:space="0" w:color="auto"/>
        <w:bottom w:val="none" w:sz="0" w:space="0" w:color="auto"/>
        <w:right w:val="none" w:sz="0" w:space="0" w:color="auto"/>
      </w:divBdr>
    </w:div>
    <w:div w:id="1510295183">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72079723">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765026887">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44196729">
      <w:bodyDiv w:val="1"/>
      <w:marLeft w:val="0"/>
      <w:marRight w:val="0"/>
      <w:marTop w:val="0"/>
      <w:marBottom w:val="0"/>
      <w:divBdr>
        <w:top w:val="none" w:sz="0" w:space="0" w:color="auto"/>
        <w:left w:val="none" w:sz="0" w:space="0" w:color="auto"/>
        <w:bottom w:val="none" w:sz="0" w:space="0" w:color="auto"/>
        <w:right w:val="none" w:sz="0" w:space="0" w:color="auto"/>
      </w:divBdr>
    </w:div>
    <w:div w:id="1863980287">
      <w:bodyDiv w:val="1"/>
      <w:marLeft w:val="0"/>
      <w:marRight w:val="0"/>
      <w:marTop w:val="0"/>
      <w:marBottom w:val="0"/>
      <w:divBdr>
        <w:top w:val="none" w:sz="0" w:space="0" w:color="auto"/>
        <w:left w:val="none" w:sz="0" w:space="0" w:color="auto"/>
        <w:bottom w:val="none" w:sz="0" w:space="0" w:color="auto"/>
        <w:right w:val="none" w:sz="0" w:space="0" w:color="auto"/>
      </w:divBdr>
    </w:div>
    <w:div w:id="1946305563">
      <w:bodyDiv w:val="1"/>
      <w:marLeft w:val="0"/>
      <w:marRight w:val="0"/>
      <w:marTop w:val="0"/>
      <w:marBottom w:val="0"/>
      <w:divBdr>
        <w:top w:val="none" w:sz="0" w:space="0" w:color="auto"/>
        <w:left w:val="none" w:sz="0" w:space="0" w:color="auto"/>
        <w:bottom w:val="none" w:sz="0" w:space="0" w:color="auto"/>
        <w:right w:val="none" w:sz="0" w:space="0" w:color="auto"/>
      </w:divBdr>
    </w:div>
    <w:div w:id="1979139934">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094350044">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A2596F-8EEC-FC41-8476-B6209923A44E}">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10150</Words>
  <Characters>55828</Characters>
  <Application>Microsoft Office Word</Application>
  <DocSecurity>0</DocSecurity>
  <Lines>465</Lines>
  <Paragraphs>131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Alejandro Sarmiento</cp:lastModifiedBy>
  <cp:revision>2</cp:revision>
  <cp:lastPrinted>2020-01-30T15:05:00Z</cp:lastPrinted>
  <dcterms:created xsi:type="dcterms:W3CDTF">2020-08-27T21:49:00Z</dcterms:created>
  <dcterms:modified xsi:type="dcterms:W3CDTF">2020-08-27T21:49:00Z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