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B8260" w14:textId="77777777" w:rsidR="00CC6605" w:rsidRPr="008F1FB6" w:rsidRDefault="00CC6605" w:rsidP="00CC6605">
      <w:pPr>
        <w:spacing w:after="0" w:line="276" w:lineRule="auto"/>
        <w:jc w:val="both"/>
        <w:rPr>
          <w:rFonts w:ascii="Verdana" w:eastAsia="Calibri" w:hAnsi="Verdana" w:cs="Arial"/>
          <w:lang w:val="es-ES" w:eastAsia="es-ES"/>
        </w:rPr>
      </w:pPr>
    </w:p>
    <w:p w14:paraId="34DCD8AE" w14:textId="77777777" w:rsidR="00D17677" w:rsidRDefault="00D17677" w:rsidP="007F3220">
      <w:pPr>
        <w:spacing w:after="0" w:line="240" w:lineRule="auto"/>
        <w:contextualSpacing/>
        <w:jc w:val="both"/>
        <w:rPr>
          <w:rFonts w:ascii="Verdana" w:eastAsia="Calibri" w:hAnsi="Verdana" w:cs="Arial"/>
          <w:b/>
          <w:bCs/>
          <w:lang w:val="es-ES" w:eastAsia="es-ES"/>
        </w:rPr>
      </w:pPr>
      <w:r w:rsidRPr="007F3220">
        <w:rPr>
          <w:rFonts w:ascii="Verdana" w:eastAsia="Calibri" w:hAnsi="Verdana" w:cs="Arial"/>
          <w:b/>
          <w:bCs/>
          <w:lang w:val="es-ES" w:eastAsia="es-ES"/>
        </w:rPr>
        <w:t>DETERMINACIÓN DEL VALOR DEL CONTRATO – Etapa de planeación – Metodologías – Factores que inciden</w:t>
      </w:r>
    </w:p>
    <w:p w14:paraId="0A6638F2" w14:textId="77777777" w:rsidR="007F3220" w:rsidRDefault="007F3220" w:rsidP="007F3220">
      <w:pPr>
        <w:spacing w:after="0" w:line="240" w:lineRule="auto"/>
        <w:contextualSpacing/>
        <w:jc w:val="both"/>
        <w:rPr>
          <w:rFonts w:ascii="Verdana" w:eastAsia="Calibri" w:hAnsi="Verdana" w:cs="Arial"/>
          <w:b/>
          <w:bCs/>
          <w:lang w:val="es-ES" w:eastAsia="es-ES"/>
        </w:rPr>
      </w:pPr>
    </w:p>
    <w:p w14:paraId="4CFC90EC" w14:textId="77777777" w:rsidR="007F3220" w:rsidRPr="007F3220" w:rsidRDefault="007F3220" w:rsidP="007F3220">
      <w:pPr>
        <w:spacing w:after="0" w:line="240" w:lineRule="auto"/>
        <w:contextualSpacing/>
        <w:jc w:val="both"/>
        <w:rPr>
          <w:rFonts w:ascii="Verdana" w:eastAsia="Calibri" w:hAnsi="Verdana" w:cs="Arial"/>
          <w:color w:val="000000" w:themeColor="text1"/>
          <w:sz w:val="20"/>
          <w:szCs w:val="20"/>
          <w:lang w:val="es-ES"/>
        </w:rPr>
      </w:pPr>
      <w:r w:rsidRPr="007F3220">
        <w:rPr>
          <w:rFonts w:ascii="Verdana" w:eastAsia="Calibri" w:hAnsi="Verdana" w:cs="Arial"/>
          <w:color w:val="000000" w:themeColor="text1"/>
          <w:sz w:val="20"/>
          <w:szCs w:val="20"/>
          <w:lang w:val="es-ES"/>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7F3220">
        <w:rPr>
          <w:rFonts w:ascii="Verdana" w:eastAsia="Calibri" w:hAnsi="Verdana" w:cs="Arial"/>
          <w:color w:val="000000" w:themeColor="text1"/>
          <w:sz w:val="20"/>
          <w:szCs w:val="20"/>
          <w:lang w:val="es-ES"/>
        </w:rPr>
        <w:t>ii</w:t>
      </w:r>
      <w:proofErr w:type="spellEnd"/>
      <w:r w:rsidRPr="007F3220">
        <w:rPr>
          <w:rFonts w:ascii="Verdana" w:eastAsia="Calibri" w:hAnsi="Verdana" w:cs="Arial"/>
          <w:color w:val="000000" w:themeColor="text1"/>
          <w:sz w:val="20"/>
          <w:szCs w:val="20"/>
          <w:lang w:val="es-ES"/>
        </w:rPr>
        <w:t xml:space="preserve">) el precio global –que equivale al monto total, por la realización integral del objeto del contrato, sin discriminar unidades–, y </w:t>
      </w:r>
      <w:proofErr w:type="spellStart"/>
      <w:r w:rsidRPr="007F3220">
        <w:rPr>
          <w:rFonts w:ascii="Verdana" w:eastAsia="Calibri" w:hAnsi="Verdana" w:cs="Arial"/>
          <w:color w:val="000000" w:themeColor="text1"/>
          <w:sz w:val="20"/>
          <w:szCs w:val="20"/>
          <w:lang w:val="es-ES"/>
        </w:rPr>
        <w:t>iii</w:t>
      </w:r>
      <w:proofErr w:type="spellEnd"/>
      <w:r w:rsidRPr="007F3220">
        <w:rPr>
          <w:rFonts w:ascii="Verdana" w:eastAsia="Calibri" w:hAnsi="Verdana" w:cs="Arial"/>
          <w:color w:val="000000" w:themeColor="text1"/>
          <w:sz w:val="20"/>
          <w:szCs w:val="20"/>
          <w:lang w:val="es-ES"/>
        </w:rPr>
        <w:t>) la administración delegada de recursos –en la que se distinguen los costos de inversión de los honorarios del administrador–.</w:t>
      </w:r>
    </w:p>
    <w:p w14:paraId="54A4AFE4" w14:textId="77777777" w:rsidR="007F3220" w:rsidRPr="007F3220" w:rsidRDefault="007F3220" w:rsidP="007F3220">
      <w:pPr>
        <w:spacing w:after="0" w:line="240" w:lineRule="auto"/>
        <w:contextualSpacing/>
        <w:jc w:val="both"/>
        <w:rPr>
          <w:rFonts w:ascii="Verdana" w:eastAsia="Calibri" w:hAnsi="Verdana" w:cs="Arial"/>
          <w:b/>
          <w:bCs/>
          <w:lang w:val="es-ES" w:eastAsia="es-ES"/>
        </w:rPr>
      </w:pPr>
    </w:p>
    <w:p w14:paraId="5496E31F" w14:textId="5698463E" w:rsidR="00D17677" w:rsidRDefault="00D17677" w:rsidP="007F3220">
      <w:pPr>
        <w:spacing w:after="0" w:line="240" w:lineRule="auto"/>
        <w:contextualSpacing/>
        <w:jc w:val="both"/>
        <w:rPr>
          <w:rFonts w:ascii="Verdana" w:eastAsia="Calibri" w:hAnsi="Verdana" w:cs="Arial"/>
          <w:b/>
          <w:bCs/>
        </w:rPr>
      </w:pPr>
      <w:r w:rsidRPr="007F3220">
        <w:rPr>
          <w:rFonts w:ascii="Verdana" w:eastAsia="Calibri" w:hAnsi="Verdana" w:cs="Arial"/>
          <w:b/>
          <w:bCs/>
          <w:lang w:val="es-ES" w:eastAsia="es-ES"/>
        </w:rPr>
        <w:t xml:space="preserve">SISTEMA DE FACTOR MULTIPLICADOR – Noción – </w:t>
      </w:r>
      <w:r w:rsidRPr="007F3220">
        <w:rPr>
          <w:rFonts w:ascii="Verdana" w:eastAsia="Calibri" w:hAnsi="Verdana" w:cs="Arial"/>
          <w:b/>
          <w:bCs/>
        </w:rPr>
        <w:t>Cuadro detallado de conceptos</w:t>
      </w:r>
    </w:p>
    <w:p w14:paraId="04ED2F3E" w14:textId="77777777" w:rsidR="007F3220" w:rsidRDefault="007F3220" w:rsidP="007F3220">
      <w:pPr>
        <w:spacing w:after="0" w:line="240" w:lineRule="auto"/>
        <w:contextualSpacing/>
        <w:jc w:val="both"/>
        <w:rPr>
          <w:rFonts w:ascii="Verdana" w:hAnsi="Verdana" w:cs="Arial"/>
          <w:lang w:val="es-ES_tradnl"/>
        </w:rPr>
      </w:pPr>
    </w:p>
    <w:p w14:paraId="3BDFFC6E" w14:textId="688855BE" w:rsidR="007F3220" w:rsidRPr="007F3220" w:rsidRDefault="007F3220" w:rsidP="007F3220">
      <w:pPr>
        <w:spacing w:after="0" w:line="240" w:lineRule="auto"/>
        <w:contextualSpacing/>
        <w:jc w:val="both"/>
        <w:rPr>
          <w:rFonts w:ascii="Verdana" w:hAnsi="Verdana" w:cs="Arial"/>
          <w:sz w:val="20"/>
          <w:szCs w:val="20"/>
        </w:rPr>
      </w:pPr>
      <w:r w:rsidRPr="007F3220">
        <w:rPr>
          <w:rFonts w:ascii="Verdana" w:hAnsi="Verdana" w:cs="Arial"/>
          <w:sz w:val="20"/>
          <w:szCs w:val="20"/>
          <w:lang w:val="es-ES_tradnl"/>
        </w:rPr>
        <w:t xml:space="preserve">[…] </w:t>
      </w:r>
      <w:r w:rsidRPr="007F3220">
        <w:rPr>
          <w:rFonts w:ascii="Verdana" w:hAnsi="Verdana" w:cs="Arial"/>
          <w:sz w:val="20"/>
          <w:szCs w:val="20"/>
        </w:rPr>
        <w:t xml:space="preserve">De cualquier modo, la práctica contractual evidencia que el factor multiplicador es una metodología frecuente para establecer el precio en los contratos de interventoría. Esta metodología permite imputar al contrato los costos directos asociados a prestaciones laborales y sociales del personal vinculado con carácter exclusivo al proyecto, la utilidad del ingeniero y los costos de administración relacionados con el personal, afectando el valor parcial de la oferta por un factor multiplicador. De esta manera se obtiene un subtotal de costos directos a partir de la sumatoria de los valores correspondientes a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 </w:t>
      </w:r>
    </w:p>
    <w:p w14:paraId="41730816" w14:textId="77777777" w:rsidR="007F3220" w:rsidRPr="007F3220" w:rsidRDefault="007F3220" w:rsidP="007F3220">
      <w:pPr>
        <w:spacing w:after="0" w:line="240" w:lineRule="auto"/>
        <w:contextualSpacing/>
        <w:jc w:val="both"/>
        <w:rPr>
          <w:rFonts w:ascii="Verdana" w:hAnsi="Verdana" w:cs="Arial"/>
          <w:sz w:val="20"/>
          <w:szCs w:val="20"/>
        </w:rPr>
      </w:pPr>
    </w:p>
    <w:p w14:paraId="1AE3D5BD" w14:textId="514E3C7A" w:rsidR="007F3220" w:rsidRPr="007F3220" w:rsidRDefault="007F3220" w:rsidP="007F3220">
      <w:pPr>
        <w:spacing w:after="0" w:line="240" w:lineRule="auto"/>
        <w:contextualSpacing/>
        <w:jc w:val="both"/>
        <w:rPr>
          <w:rFonts w:ascii="Verdana" w:eastAsia="Arial" w:hAnsi="Verdana" w:cs="Arial"/>
          <w:color w:val="000000"/>
          <w:kern w:val="2"/>
          <w:sz w:val="20"/>
          <w:szCs w:val="20"/>
          <w14:ligatures w14:val="standardContextual"/>
        </w:rPr>
      </w:pPr>
      <w:r w:rsidRPr="007F3220">
        <w:rPr>
          <w:rFonts w:ascii="Verdana" w:hAnsi="Verdana" w:cs="Arial"/>
          <w:sz w:val="20"/>
          <w:szCs w:val="20"/>
        </w:rPr>
        <w:t xml:space="preserve">En este orden de ideas el factor multiplicador no está ligado a nivel normativo con el sistema de precios unitarios. Sin embargo, su metodología es de común utilización en contratos que optan por este, en la medida en que esta solo incluye los costos directos e indirectos asociados al </w:t>
      </w:r>
      <w:r w:rsidRPr="007F3220">
        <w:rPr>
          <w:rFonts w:ascii="Verdana" w:hAnsi="Verdana" w:cs="Arial"/>
          <w:i/>
          <w:iCs/>
          <w:sz w:val="20"/>
          <w:szCs w:val="20"/>
        </w:rPr>
        <w:t>personal</w:t>
      </w:r>
      <w:r w:rsidRPr="007F3220">
        <w:rPr>
          <w:rFonts w:ascii="Verdana" w:hAnsi="Verdana" w:cs="Arial"/>
          <w:sz w:val="20"/>
          <w:szCs w:val="20"/>
        </w:rPr>
        <w:t>, más no incluye los otros costos directos e indirectos en los que puede incurrir el contratista, por lo que deben incorporarse en el valor del contrato y en las propuestas económicas de manera separada a los costos de personal afectados por el factor multiplicador, ya sea mediante el sistema de precios unitarios o mediante partidas globales adicionales a las referentes al factor multiplicador.</w:t>
      </w:r>
    </w:p>
    <w:p w14:paraId="4213A7E2" w14:textId="318B7BF8" w:rsidR="007F3220" w:rsidRPr="007F3220" w:rsidRDefault="007F3220" w:rsidP="007F3220">
      <w:pPr>
        <w:spacing w:after="0" w:line="240" w:lineRule="auto"/>
        <w:contextualSpacing/>
        <w:jc w:val="both"/>
        <w:rPr>
          <w:rFonts w:ascii="Verdana" w:eastAsia="Calibri" w:hAnsi="Verdana" w:cs="Arial"/>
          <w:b/>
          <w:bCs/>
        </w:rPr>
      </w:pPr>
    </w:p>
    <w:p w14:paraId="7F4D7E9C" w14:textId="427AEA51" w:rsidR="00D17677" w:rsidRPr="007F3220" w:rsidRDefault="00D17677" w:rsidP="007F3220">
      <w:pPr>
        <w:spacing w:after="0" w:line="240" w:lineRule="auto"/>
        <w:contextualSpacing/>
        <w:jc w:val="both"/>
        <w:rPr>
          <w:rFonts w:ascii="Verdana" w:eastAsia="Geomanist Light" w:hAnsi="Verdana" w:cs="Arial"/>
          <w:b/>
          <w:bCs/>
          <w:sz w:val="20"/>
          <w:szCs w:val="20"/>
          <w:lang w:val="es-MX"/>
        </w:rPr>
      </w:pPr>
      <w:r w:rsidRPr="007F3220">
        <w:rPr>
          <w:rFonts w:ascii="Verdana" w:eastAsia="Calibri" w:hAnsi="Verdana" w:cs="Arial"/>
          <w:b/>
          <w:bCs/>
          <w:color w:val="000000"/>
        </w:rPr>
        <w:t xml:space="preserve">DETERMINACIÓN DE COSTOS </w:t>
      </w:r>
      <w:r w:rsidR="007F3220">
        <w:rPr>
          <w:rFonts w:ascii="Verdana" w:eastAsia="Calibri" w:hAnsi="Verdana" w:cs="Arial"/>
          <w:b/>
          <w:bCs/>
          <w:color w:val="000000"/>
        </w:rPr>
        <w:t>–</w:t>
      </w:r>
      <w:r w:rsidRPr="007F3220">
        <w:rPr>
          <w:rFonts w:ascii="Verdana" w:eastAsia="Calibri" w:hAnsi="Verdana" w:cs="Arial"/>
          <w:b/>
          <w:bCs/>
          <w:color w:val="000000"/>
        </w:rPr>
        <w:t xml:space="preserve"> </w:t>
      </w:r>
      <w:r w:rsidR="007F3220">
        <w:rPr>
          <w:rFonts w:ascii="Verdana" w:eastAsia="Calibri" w:hAnsi="Verdana" w:cs="Arial"/>
          <w:b/>
          <w:bCs/>
          <w:color w:val="000000"/>
        </w:rPr>
        <w:t xml:space="preserve">Personal – </w:t>
      </w:r>
      <w:r w:rsidRPr="007F3220">
        <w:rPr>
          <w:rFonts w:ascii="Verdana" w:eastAsia="Calibri" w:hAnsi="Verdana" w:cs="Arial"/>
          <w:b/>
          <w:bCs/>
          <w:color w:val="000000"/>
        </w:rPr>
        <w:t>Concepto C-250 de 2023.</w:t>
      </w:r>
    </w:p>
    <w:p w14:paraId="2BE635A3" w14:textId="77777777" w:rsidR="007F3220" w:rsidRDefault="007F3220" w:rsidP="007F3220">
      <w:pPr>
        <w:spacing w:after="0" w:line="240" w:lineRule="auto"/>
        <w:contextualSpacing/>
        <w:jc w:val="both"/>
        <w:rPr>
          <w:rFonts w:ascii="Verdana" w:eastAsia="Arial" w:hAnsi="Verdana" w:cs="Arial"/>
          <w:color w:val="000000"/>
          <w:kern w:val="2"/>
          <w14:ligatures w14:val="standardContextual"/>
        </w:rPr>
      </w:pPr>
    </w:p>
    <w:p w14:paraId="00240A4F" w14:textId="4C13BA7D" w:rsidR="007F3220" w:rsidRPr="007F3220" w:rsidRDefault="007F3220" w:rsidP="007F3220">
      <w:pPr>
        <w:spacing w:after="0" w:line="240" w:lineRule="auto"/>
        <w:contextualSpacing/>
        <w:jc w:val="both"/>
        <w:rPr>
          <w:rFonts w:ascii="Verdana" w:eastAsia="Arial" w:hAnsi="Verdana" w:cs="Arial"/>
          <w:color w:val="000000"/>
          <w:kern w:val="2"/>
          <w:sz w:val="20"/>
          <w:szCs w:val="20"/>
          <w14:ligatures w14:val="standardContextual"/>
        </w:rPr>
      </w:pPr>
      <w:r w:rsidRPr="007F3220">
        <w:rPr>
          <w:rFonts w:ascii="Verdana" w:eastAsia="Arial" w:hAnsi="Verdana" w:cs="Arial"/>
          <w:color w:val="000000"/>
          <w:kern w:val="2"/>
          <w:sz w:val="20"/>
          <w:szCs w:val="20"/>
          <w14:ligatures w14:val="standardContextual"/>
        </w:rPr>
        <w:t>Ahora bien, teniendo en cuenta lo expuesto en su consulta, los costos asociados al personal requerido para ejecutar el contrato son un aspecto que entra a determinar su precio, por lo que son un tema para considerar al hacer el ofrecimiento económico en la etapa de presentación de ofertas, con sujeción al mecanismo para determinar el precio que determine la entidad en el pliego de condiciones. En ese sentido, cuando una entidad incorpora, por ejemplo, el mecanismo del factor multiplicador debe incluir las reglas para que estos sean considerados por los proponentes, de suerte que incluyan los costos asociados al personal para la ejecución del contrato en concordancia con el equipo de trabajo exigido, el cual debe atender unas condiciones y perfiles específicos establecidos en los Documentos del Proceso. Las reglas que discrecionalmente deben establecer las Entidades Estatales en los pliegos de condiciones para regular los mencionados aspectos son las que en últimas determinan qué tipo de contratación de personal es la que corresponde realizar al contratista para ejecutar el proyecto, así como la posibilidad de que los costos de dicha contratación–ya sea laboral o por prestación de servicios–, se incorporen al precio del contrato, por la vía del factor multiplicador aplicado para hacer la oferta económica.</w:t>
      </w:r>
    </w:p>
    <w:p w14:paraId="2FBEADE5" w14:textId="77777777" w:rsidR="007F3220" w:rsidRPr="007F3220" w:rsidRDefault="007F3220" w:rsidP="007F3220">
      <w:pPr>
        <w:spacing w:after="0" w:line="240" w:lineRule="auto"/>
        <w:contextualSpacing/>
        <w:jc w:val="both"/>
        <w:rPr>
          <w:rFonts w:ascii="Verdana" w:eastAsia="Calibri" w:hAnsi="Verdana" w:cs="Arial"/>
          <w:sz w:val="20"/>
          <w:szCs w:val="20"/>
          <w:lang w:val="es-ES" w:eastAsia="es-ES"/>
        </w:rPr>
      </w:pPr>
    </w:p>
    <w:p w14:paraId="03236BE4" w14:textId="73B2DC69" w:rsidR="007F3220" w:rsidRDefault="007F3220" w:rsidP="007F3220">
      <w:pPr>
        <w:spacing w:after="0" w:line="240" w:lineRule="auto"/>
        <w:contextualSpacing/>
        <w:jc w:val="both"/>
        <w:rPr>
          <w:rFonts w:ascii="Verdana" w:eastAsia="Calibri" w:hAnsi="Verdana" w:cs="Arial"/>
          <w:color w:val="000000"/>
          <w:sz w:val="20"/>
          <w:szCs w:val="20"/>
        </w:rPr>
      </w:pPr>
      <w:r w:rsidRPr="007F3220">
        <w:rPr>
          <w:rFonts w:ascii="Verdana" w:eastAsia="Calibri" w:hAnsi="Verdana" w:cs="Arial"/>
          <w:sz w:val="20"/>
          <w:szCs w:val="20"/>
          <w:lang w:val="es-ES" w:eastAsia="es-ES"/>
        </w:rPr>
        <w:t xml:space="preserve">[…] </w:t>
      </w:r>
      <w:r w:rsidRPr="007F3220">
        <w:rPr>
          <w:rFonts w:ascii="Verdana" w:eastAsia="Calibri" w:hAnsi="Verdana" w:cs="Arial"/>
          <w:sz w:val="20"/>
          <w:szCs w:val="20"/>
        </w:rPr>
        <w:t xml:space="preserve">Por otra parte, es necesario que los costos sean correctamente documentados y justificados, así las cosas, se recomienda la presentación de facturas y comprobantes de pago que demuestren la ejecución de </w:t>
      </w:r>
      <w:proofErr w:type="gramStart"/>
      <w:r w:rsidRPr="007F3220">
        <w:rPr>
          <w:rFonts w:ascii="Verdana" w:eastAsia="Calibri" w:hAnsi="Verdana" w:cs="Arial"/>
          <w:sz w:val="20"/>
          <w:szCs w:val="20"/>
        </w:rPr>
        <w:t>los mismos</w:t>
      </w:r>
      <w:proofErr w:type="gramEnd"/>
      <w:r w:rsidRPr="007F3220">
        <w:rPr>
          <w:rFonts w:ascii="Verdana" w:eastAsia="Calibri" w:hAnsi="Verdana" w:cs="Arial"/>
          <w:sz w:val="20"/>
          <w:szCs w:val="20"/>
        </w:rPr>
        <w:t xml:space="preserve">. </w:t>
      </w:r>
      <w:r w:rsidRPr="007F3220">
        <w:rPr>
          <w:rFonts w:ascii="Verdana" w:eastAsia="Arial" w:hAnsi="Verdana" w:cs="Arial"/>
          <w:color w:val="000000"/>
          <w:kern w:val="2"/>
          <w:sz w:val="20"/>
          <w:szCs w:val="20"/>
          <w14:ligatures w14:val="standardContextual"/>
        </w:rPr>
        <w:t xml:space="preserve">Asi, por ejemplo, </w:t>
      </w:r>
      <w:r w:rsidRPr="007F3220">
        <w:rPr>
          <w:rFonts w:ascii="Verdana" w:eastAsia="Calibri" w:hAnsi="Verdana" w:cs="Arial"/>
          <w:color w:val="000000"/>
          <w:sz w:val="20"/>
          <w:szCs w:val="20"/>
          <w:lang w:val="es-MX"/>
        </w:rPr>
        <w:t xml:space="preserve">en virtud de lo indicado en el concepto </w:t>
      </w:r>
      <w:r w:rsidRPr="007F3220">
        <w:rPr>
          <w:rFonts w:ascii="Verdana" w:eastAsia="Calibri" w:hAnsi="Verdana" w:cs="Arial"/>
          <w:color w:val="000000"/>
          <w:sz w:val="20"/>
          <w:szCs w:val="20"/>
        </w:rPr>
        <w:t xml:space="preserve">C-250 de 2023, si el factor multiplicador se usa para determinar costos, el contratista debe demostrar el gasto de cada componente. Si ciertos costos no se generan (por ejemplo, si el personal no requiere prestaciones), el contrato debería modificarse para reducir el porcentaje correspondiente. Si la interventoría presentó un informe de proyección de gastos, pero este no fue parte del contrato, la entidad aún puede exigirle soportes de gastos reales. Si los costos directos (ejemplo: nómina, laboratorios, etc.) son menores a lo presupuestado, el saldo no ejecutado debería liberarse y no ser facturado sin justificación. Los valores facturados deben corresponder a costos reales soportados. </w:t>
      </w:r>
    </w:p>
    <w:p w14:paraId="0FA42B41" w14:textId="77777777" w:rsidR="00627B6F" w:rsidRDefault="00627B6F" w:rsidP="007F3220">
      <w:pPr>
        <w:spacing w:after="0" w:line="240" w:lineRule="auto"/>
        <w:contextualSpacing/>
        <w:jc w:val="both"/>
        <w:rPr>
          <w:rFonts w:ascii="Verdana" w:eastAsia="Calibri" w:hAnsi="Verdana" w:cs="Arial"/>
          <w:color w:val="000000"/>
          <w:sz w:val="20"/>
          <w:szCs w:val="20"/>
        </w:rPr>
      </w:pPr>
    </w:p>
    <w:p w14:paraId="7C536DF9" w14:textId="77777777" w:rsidR="00627B6F" w:rsidRDefault="00627B6F" w:rsidP="007F3220">
      <w:pPr>
        <w:spacing w:after="0" w:line="240" w:lineRule="auto"/>
        <w:contextualSpacing/>
        <w:jc w:val="both"/>
        <w:rPr>
          <w:rFonts w:ascii="Verdana" w:eastAsia="Calibri" w:hAnsi="Verdana" w:cs="Arial"/>
          <w:color w:val="000000"/>
          <w:sz w:val="20"/>
          <w:szCs w:val="20"/>
        </w:rPr>
      </w:pPr>
    </w:p>
    <w:p w14:paraId="7C974684" w14:textId="77777777" w:rsidR="00627B6F" w:rsidRPr="007F3220" w:rsidRDefault="00627B6F" w:rsidP="007F3220">
      <w:pPr>
        <w:spacing w:after="0" w:line="240" w:lineRule="auto"/>
        <w:contextualSpacing/>
        <w:jc w:val="both"/>
        <w:rPr>
          <w:rFonts w:ascii="Verdana" w:eastAsia="Arial" w:hAnsi="Verdana" w:cs="Arial"/>
          <w:color w:val="000000"/>
          <w:kern w:val="2"/>
          <w:sz w:val="20"/>
          <w:szCs w:val="20"/>
          <w14:ligatures w14:val="standardContextual"/>
        </w:rPr>
      </w:pPr>
    </w:p>
    <w:p w14:paraId="260E8E29" w14:textId="77777777" w:rsidR="007F3220" w:rsidRPr="007F3220" w:rsidRDefault="007F3220" w:rsidP="007F3220">
      <w:pPr>
        <w:spacing w:after="0" w:line="240" w:lineRule="auto"/>
        <w:rPr>
          <w:rFonts w:ascii="Verdana" w:eastAsia="Geomanist Light" w:hAnsi="Verdana" w:cs="Arial"/>
          <w:color w:val="201F1E"/>
          <w:sz w:val="20"/>
          <w:szCs w:val="20"/>
          <w:lang w:val="es-MX"/>
        </w:rPr>
      </w:pPr>
      <w:r w:rsidRPr="007F3220">
        <w:rPr>
          <w:rFonts w:ascii="Verdana" w:eastAsia="Geomanist Light" w:hAnsi="Verdana" w:cs="Arial"/>
          <w:color w:val="000000" w:themeColor="text1"/>
          <w:sz w:val="20"/>
          <w:szCs w:val="20"/>
          <w:lang w:val="es-MX"/>
        </w:rPr>
        <w:t>Bogotá D.C., </w:t>
      </w:r>
      <w:r w:rsidRPr="007F3220">
        <w:rPr>
          <w:rFonts w:ascii="Verdana" w:eastAsia="Geomanist Light" w:hAnsi="Verdana" w:cs="Arial"/>
          <w:color w:val="201F1E"/>
          <w:sz w:val="20"/>
          <w:szCs w:val="20"/>
          <w:lang w:val="es-MX"/>
        </w:rPr>
        <w:t>18 de Julio de 2025</w:t>
      </w:r>
    </w:p>
    <w:p w14:paraId="0CEC5B88" w14:textId="00EEBA89" w:rsidR="00D17677" w:rsidRDefault="00D17677" w:rsidP="00CC6605">
      <w:pPr>
        <w:spacing w:after="0" w:line="276" w:lineRule="auto"/>
        <w:jc w:val="both"/>
        <w:rPr>
          <w:rFonts w:ascii="Verdana" w:eastAsia="Calibri" w:hAnsi="Verdana" w:cs="Arial"/>
          <w:lang w:val="es-ES" w:eastAsia="es-ES"/>
        </w:rPr>
      </w:pPr>
    </w:p>
    <w:p w14:paraId="08288673" w14:textId="77777777" w:rsidR="007F3220" w:rsidRDefault="007F3220" w:rsidP="00CC6605">
      <w:pPr>
        <w:spacing w:after="0" w:line="276" w:lineRule="auto"/>
        <w:jc w:val="both"/>
        <w:rPr>
          <w:rFonts w:ascii="Verdana" w:eastAsia="Calibri" w:hAnsi="Verdana" w:cs="Arial"/>
          <w:lang w:val="es-ES" w:eastAsia="es-ES"/>
        </w:rPr>
      </w:pPr>
    </w:p>
    <w:p w14:paraId="359C7C5A" w14:textId="77777777" w:rsidR="007F3220" w:rsidRDefault="007F3220" w:rsidP="00CC6605">
      <w:pPr>
        <w:spacing w:after="0" w:line="276" w:lineRule="auto"/>
        <w:jc w:val="both"/>
        <w:rPr>
          <w:rFonts w:ascii="Verdana" w:eastAsia="Calibri" w:hAnsi="Verdana" w:cs="Arial"/>
          <w:lang w:val="es-ES" w:eastAsia="es-ES"/>
        </w:rPr>
      </w:pPr>
    </w:p>
    <w:p w14:paraId="7EA3C1AA" w14:textId="77777777" w:rsidR="007F3220" w:rsidRDefault="007F3220" w:rsidP="00CC6605">
      <w:pPr>
        <w:spacing w:after="0" w:line="276" w:lineRule="auto"/>
        <w:jc w:val="both"/>
        <w:rPr>
          <w:rFonts w:ascii="Verdana" w:eastAsia="Calibri" w:hAnsi="Verdana" w:cs="Arial"/>
          <w:lang w:val="es-ES" w:eastAsia="es-ES"/>
        </w:rPr>
      </w:pPr>
    </w:p>
    <w:p w14:paraId="0011BA0D" w14:textId="77777777" w:rsidR="007F3220" w:rsidRDefault="007F3220" w:rsidP="00CC6605">
      <w:pPr>
        <w:spacing w:after="0" w:line="276" w:lineRule="auto"/>
        <w:jc w:val="both"/>
        <w:rPr>
          <w:rFonts w:ascii="Verdana" w:eastAsia="Calibri" w:hAnsi="Verdana" w:cs="Arial"/>
          <w:lang w:val="es-ES" w:eastAsia="es-ES"/>
        </w:rPr>
      </w:pPr>
    </w:p>
    <w:p w14:paraId="05C953E5" w14:textId="77777777" w:rsidR="007F3220" w:rsidRDefault="007F3220" w:rsidP="00CC6605">
      <w:pPr>
        <w:spacing w:after="0" w:line="276" w:lineRule="auto"/>
        <w:jc w:val="both"/>
        <w:rPr>
          <w:rFonts w:ascii="Verdana" w:eastAsia="Calibri" w:hAnsi="Verdana" w:cs="Arial"/>
          <w:lang w:val="es-ES" w:eastAsia="es-ES"/>
        </w:rPr>
      </w:pPr>
    </w:p>
    <w:p w14:paraId="10938C24" w14:textId="77777777" w:rsidR="007F3220" w:rsidRDefault="007F3220" w:rsidP="00CC6605">
      <w:pPr>
        <w:spacing w:after="0" w:line="276" w:lineRule="auto"/>
        <w:jc w:val="both"/>
        <w:rPr>
          <w:rFonts w:ascii="Verdana" w:eastAsia="Calibri" w:hAnsi="Verdana" w:cs="Arial"/>
          <w:lang w:val="es-ES" w:eastAsia="es-ES"/>
        </w:rPr>
      </w:pPr>
    </w:p>
    <w:p w14:paraId="072BF53E" w14:textId="77777777" w:rsidR="007F3220" w:rsidRDefault="007F3220" w:rsidP="00CC6605">
      <w:pPr>
        <w:spacing w:after="0" w:line="276" w:lineRule="auto"/>
        <w:jc w:val="both"/>
        <w:rPr>
          <w:rFonts w:ascii="Verdana" w:eastAsia="Calibri" w:hAnsi="Verdana" w:cs="Arial"/>
          <w:lang w:val="es-ES" w:eastAsia="es-ES"/>
        </w:rPr>
      </w:pPr>
    </w:p>
    <w:p w14:paraId="18055EF3" w14:textId="77777777" w:rsidR="007F3220" w:rsidRDefault="007F3220" w:rsidP="00CC6605">
      <w:pPr>
        <w:spacing w:after="0" w:line="276" w:lineRule="auto"/>
        <w:jc w:val="both"/>
        <w:rPr>
          <w:rFonts w:ascii="Verdana" w:eastAsia="Calibri" w:hAnsi="Verdana" w:cs="Arial"/>
          <w:lang w:val="es-ES" w:eastAsia="es-ES"/>
        </w:rPr>
      </w:pPr>
    </w:p>
    <w:p w14:paraId="3A95D8AA" w14:textId="77777777" w:rsidR="007F3220" w:rsidRDefault="007F3220" w:rsidP="00CC6605">
      <w:pPr>
        <w:spacing w:after="0" w:line="276" w:lineRule="auto"/>
        <w:jc w:val="both"/>
        <w:rPr>
          <w:rFonts w:ascii="Verdana" w:eastAsia="Calibri" w:hAnsi="Verdana" w:cs="Arial"/>
          <w:lang w:val="es-ES" w:eastAsia="es-ES"/>
        </w:rPr>
      </w:pPr>
    </w:p>
    <w:p w14:paraId="0CDA6C24" w14:textId="77777777" w:rsidR="007F3220" w:rsidRDefault="007F3220" w:rsidP="007F3220">
      <w:pPr>
        <w:spacing w:after="0" w:line="276" w:lineRule="auto"/>
        <w:rPr>
          <w:rFonts w:ascii="Verdana" w:eastAsia="Geomanist Light" w:hAnsi="Verdana" w:cs="Arial"/>
          <w:color w:val="000000" w:themeColor="text1"/>
          <w:lang w:val="es-MX"/>
        </w:rPr>
      </w:pPr>
    </w:p>
    <w:p w14:paraId="122D0933" w14:textId="4F29ACE3" w:rsidR="007F3220" w:rsidRPr="00593A5F" w:rsidRDefault="007F3220" w:rsidP="007F3220">
      <w:pPr>
        <w:spacing w:after="0" w:line="276"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t>Bogotá D.C., </w:t>
      </w:r>
      <w:r>
        <w:rPr>
          <w:rFonts w:ascii="Verdana" w:eastAsia="Geomanist Light" w:hAnsi="Verdana" w:cs="Arial"/>
          <w:color w:val="201F1E"/>
          <w:lang w:val="es-MX"/>
        </w:rPr>
        <w:t>18 de Julio de 2025</w:t>
      </w:r>
    </w:p>
    <w:p w14:paraId="71B6F049" w14:textId="77777777" w:rsidR="007F3220" w:rsidRDefault="007F3220" w:rsidP="00CC6605">
      <w:pPr>
        <w:spacing w:after="0" w:line="276" w:lineRule="auto"/>
        <w:jc w:val="both"/>
        <w:rPr>
          <w:rFonts w:ascii="Verdana" w:eastAsia="Calibri" w:hAnsi="Verdana" w:cs="Arial"/>
          <w:lang w:val="es-ES" w:eastAsia="es-ES"/>
        </w:rPr>
      </w:pPr>
    </w:p>
    <w:p w14:paraId="24554EEE" w14:textId="21A5D3B1" w:rsidR="00CC6605" w:rsidRPr="008F1FB6" w:rsidRDefault="00D17677" w:rsidP="00CC6605">
      <w:pPr>
        <w:spacing w:after="0" w:line="276" w:lineRule="auto"/>
        <w:jc w:val="both"/>
        <w:rPr>
          <w:rFonts w:ascii="Verdana" w:eastAsia="Calibri" w:hAnsi="Verdana" w:cs="Arial"/>
          <w:lang w:val="es-ES" w:eastAsia="es-ES"/>
        </w:rPr>
      </w:pPr>
      <w:r>
        <w:rPr>
          <w:rFonts w:ascii="Verdana" w:eastAsia="Calibri" w:hAnsi="Verdana" w:cs="Arial"/>
          <w:b/>
          <w:noProof/>
          <w:lang w:eastAsia="es-ES_tradnl"/>
        </w:rPr>
        <w:drawing>
          <wp:anchor distT="0" distB="0" distL="114300" distR="114300" simplePos="0" relativeHeight="251658240" behindDoc="0" locked="0" layoutInCell="1" allowOverlap="1" wp14:anchorId="7E768501" wp14:editId="4E1C3F1D">
            <wp:simplePos x="0" y="0"/>
            <wp:positionH relativeFrom="column">
              <wp:posOffset>2859578</wp:posOffset>
            </wp:positionH>
            <wp:positionV relativeFrom="paragraph">
              <wp:posOffset>24130</wp:posOffset>
            </wp:positionV>
            <wp:extent cx="2655570" cy="714375"/>
            <wp:effectExtent l="0" t="0" r="0" b="0"/>
            <wp:wrapSquare wrapText="bothSides"/>
            <wp:docPr id="872159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159595" name="Picture 87215959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5570" cy="714375"/>
                    </a:xfrm>
                    <a:prstGeom prst="rect">
                      <a:avLst/>
                    </a:prstGeom>
                  </pic:spPr>
                </pic:pic>
              </a:graphicData>
            </a:graphic>
            <wp14:sizeRelH relativeFrom="page">
              <wp14:pctWidth>0</wp14:pctWidth>
            </wp14:sizeRelH>
            <wp14:sizeRelV relativeFrom="page">
              <wp14:pctHeight>0</wp14:pctHeight>
            </wp14:sizeRelV>
          </wp:anchor>
        </w:drawing>
      </w:r>
      <w:r w:rsidR="00CC6605" w:rsidRPr="008F1FB6">
        <w:rPr>
          <w:rFonts w:ascii="Verdana" w:eastAsia="Calibri" w:hAnsi="Verdana" w:cs="Arial"/>
          <w:lang w:val="es-ES" w:eastAsia="es-ES"/>
        </w:rPr>
        <w:t>Señor</w:t>
      </w:r>
    </w:p>
    <w:p w14:paraId="77C1C0D2" w14:textId="65B340DE" w:rsidR="00CC6605" w:rsidRDefault="00CC6605" w:rsidP="00CC6605">
      <w:pPr>
        <w:spacing w:after="0" w:line="276" w:lineRule="auto"/>
        <w:rPr>
          <w:rFonts w:ascii="Verdana" w:eastAsia="Calibri" w:hAnsi="Verdana" w:cs="Arial"/>
          <w:b/>
          <w:lang w:eastAsia="es-ES_tradnl"/>
        </w:rPr>
      </w:pPr>
      <w:r>
        <w:rPr>
          <w:rFonts w:ascii="Verdana" w:eastAsia="Calibri" w:hAnsi="Verdana" w:cs="Arial"/>
          <w:b/>
          <w:lang w:eastAsia="es-ES_tradnl"/>
        </w:rPr>
        <w:t>Juan Vanegas</w:t>
      </w:r>
    </w:p>
    <w:p w14:paraId="5F0F399D" w14:textId="310C6E02" w:rsidR="00CC6605" w:rsidRPr="00137BC3" w:rsidRDefault="00CC6605" w:rsidP="00CC6605">
      <w:pPr>
        <w:spacing w:after="0" w:line="276" w:lineRule="auto"/>
        <w:rPr>
          <w:rFonts w:ascii="Verdana" w:eastAsia="Calibri" w:hAnsi="Verdana" w:cs="Arial"/>
          <w:lang w:eastAsia="es-ES_tradnl"/>
        </w:rPr>
      </w:pPr>
      <w:r w:rsidRPr="00137BC3">
        <w:rPr>
          <w:rFonts w:ascii="Verdana" w:eastAsia="Calibri" w:hAnsi="Verdana" w:cs="Arial"/>
          <w:lang w:eastAsia="es-ES_tradnl"/>
        </w:rPr>
        <w:t xml:space="preserve">jf@vua.com.co </w:t>
      </w:r>
    </w:p>
    <w:p w14:paraId="662229A7" w14:textId="77777777" w:rsidR="00CC6605" w:rsidRDefault="00CC6605" w:rsidP="00CC6605">
      <w:pPr>
        <w:spacing w:after="0" w:line="276" w:lineRule="auto"/>
        <w:rPr>
          <w:rFonts w:ascii="Verdana" w:eastAsia="Calibri" w:hAnsi="Verdana" w:cs="Arial"/>
          <w:b/>
          <w:bCs/>
          <w:color w:val="000000"/>
          <w:lang w:val="es-ES_tradnl" w:eastAsia="es-ES_tradnl"/>
        </w:rPr>
      </w:pPr>
      <w:r w:rsidRPr="00593A5F">
        <w:rPr>
          <w:rFonts w:ascii="Verdana" w:eastAsia="Geomanist Light" w:hAnsi="Verdana" w:cs="Arial"/>
          <w:color w:val="000000" w:themeColor="text1"/>
          <w:lang w:val="es-MX"/>
        </w:rPr>
        <w:t>Bogotá D.C.</w:t>
      </w:r>
    </w:p>
    <w:p w14:paraId="47A4E1E8" w14:textId="77777777" w:rsidR="00CC6605" w:rsidRPr="008F1FB6" w:rsidRDefault="00CC6605" w:rsidP="00CC6605">
      <w:pPr>
        <w:spacing w:after="0" w:line="276"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C6605" w:rsidRPr="008F1FB6" w14:paraId="3AD363FD" w14:textId="77777777" w:rsidTr="00675AF5">
        <w:trPr>
          <w:trHeight w:val="480"/>
        </w:trPr>
        <w:tc>
          <w:tcPr>
            <w:tcW w:w="2689" w:type="dxa"/>
          </w:tcPr>
          <w:p w14:paraId="1B7B4CE3" w14:textId="77777777" w:rsidR="00CC6605" w:rsidRPr="008F1FB6" w:rsidRDefault="00CC6605" w:rsidP="00675AF5">
            <w:pPr>
              <w:spacing w:line="276" w:lineRule="auto"/>
              <w:jc w:val="both"/>
              <w:rPr>
                <w:rFonts w:ascii="Verdana" w:eastAsia="Calibri" w:hAnsi="Verdana" w:cs="Arial"/>
                <w:b/>
                <w:bCs/>
                <w:color w:val="7030A0"/>
                <w:lang w:val="es-ES_tradnl" w:eastAsia="es-ES_tradnl"/>
              </w:rPr>
            </w:pPr>
          </w:p>
        </w:tc>
        <w:tc>
          <w:tcPr>
            <w:tcW w:w="6100" w:type="dxa"/>
          </w:tcPr>
          <w:p w14:paraId="64415E81" w14:textId="77777777" w:rsidR="00CC6605" w:rsidRPr="008F1FB6" w:rsidRDefault="00CC6605" w:rsidP="00675AF5">
            <w:pPr>
              <w:spacing w:line="276" w:lineRule="auto"/>
              <w:jc w:val="both"/>
              <w:rPr>
                <w:rFonts w:ascii="Verdana" w:eastAsia="Calibri" w:hAnsi="Verdana" w:cs="Arial"/>
                <w:b/>
                <w:bCs/>
                <w:color w:val="7030A0"/>
                <w:lang w:val="es-ES" w:eastAsia="es-ES"/>
              </w:rPr>
            </w:pPr>
            <w:r w:rsidRPr="008F1FB6">
              <w:rPr>
                <w:rFonts w:ascii="Verdana" w:eastAsia="Calibri" w:hAnsi="Verdana" w:cs="Arial"/>
                <w:b/>
                <w:bCs/>
                <w:lang w:val="es-ES" w:eastAsia="es-ES"/>
              </w:rPr>
              <w:t>Concepto C-</w:t>
            </w:r>
            <w:r>
              <w:rPr>
                <w:rFonts w:ascii="Verdana" w:eastAsia="Calibri" w:hAnsi="Verdana" w:cs="Arial"/>
                <w:b/>
                <w:bCs/>
                <w:lang w:val="es-ES" w:eastAsia="es-ES"/>
              </w:rPr>
              <w:t>577</w:t>
            </w:r>
            <w:r w:rsidRPr="008F1FB6">
              <w:rPr>
                <w:rFonts w:ascii="Verdana" w:eastAsia="Calibri" w:hAnsi="Verdana" w:cs="Arial"/>
                <w:b/>
                <w:bCs/>
                <w:color w:val="7030A0"/>
                <w:lang w:val="es-ES" w:eastAsia="es-ES"/>
              </w:rPr>
              <w:t xml:space="preserve"> </w:t>
            </w:r>
            <w:r w:rsidRPr="008F1FB6">
              <w:rPr>
                <w:rFonts w:ascii="Verdana" w:eastAsia="Calibri" w:hAnsi="Verdana" w:cs="Arial"/>
                <w:b/>
                <w:bCs/>
                <w:lang w:val="es-ES" w:eastAsia="es-ES"/>
              </w:rPr>
              <w:t>de 2025</w:t>
            </w:r>
          </w:p>
        </w:tc>
      </w:tr>
      <w:tr w:rsidR="00CC6605" w:rsidRPr="008F1FB6" w14:paraId="469C80ED" w14:textId="77777777" w:rsidTr="00675AF5">
        <w:trPr>
          <w:trHeight w:val="884"/>
        </w:trPr>
        <w:tc>
          <w:tcPr>
            <w:tcW w:w="2689" w:type="dxa"/>
          </w:tcPr>
          <w:p w14:paraId="5AAFB4AE" w14:textId="77777777" w:rsidR="00CC6605" w:rsidRPr="008F1FB6" w:rsidRDefault="00CC6605" w:rsidP="00675AF5">
            <w:pPr>
              <w:spacing w:line="276" w:lineRule="auto"/>
              <w:jc w:val="both"/>
              <w:rPr>
                <w:rFonts w:ascii="Verdana" w:eastAsia="Calibri" w:hAnsi="Verdana" w:cs="Arial"/>
                <w:color w:val="000000"/>
                <w:lang w:val="es-ES_tradnl" w:eastAsia="es-ES_tradnl"/>
              </w:rPr>
            </w:pPr>
            <w:r w:rsidRPr="008F1FB6">
              <w:rPr>
                <w:rFonts w:ascii="Verdana" w:eastAsia="Calibri" w:hAnsi="Verdana" w:cs="Arial"/>
                <w:b/>
                <w:color w:val="000000"/>
                <w:lang w:val="es-ES_tradnl" w:eastAsia="es-ES_tradnl"/>
              </w:rPr>
              <w:t>Temas:</w:t>
            </w:r>
            <w:r w:rsidRPr="008F1FB6">
              <w:rPr>
                <w:rFonts w:ascii="Verdana" w:eastAsia="Calibri" w:hAnsi="Verdana" w:cs="Arial"/>
                <w:color w:val="000000"/>
                <w:lang w:val="es-ES_tradnl" w:eastAsia="es-ES_tradnl"/>
              </w:rPr>
              <w:t xml:space="preserve">                   </w:t>
            </w:r>
          </w:p>
        </w:tc>
        <w:tc>
          <w:tcPr>
            <w:tcW w:w="6100" w:type="dxa"/>
          </w:tcPr>
          <w:p w14:paraId="21B353E6" w14:textId="37E4584C" w:rsidR="00CC6605" w:rsidRPr="00AF3A6C" w:rsidRDefault="00CC6605" w:rsidP="00675AF5">
            <w:pPr>
              <w:jc w:val="both"/>
              <w:rPr>
                <w:rFonts w:ascii="Verdana" w:eastAsia="Geomanist Light" w:hAnsi="Verdana" w:cs="Arial"/>
                <w:sz w:val="20"/>
                <w:szCs w:val="20"/>
                <w:lang w:val="es-MX"/>
              </w:rPr>
            </w:pPr>
            <w:r w:rsidRPr="00DC1DF5">
              <w:rPr>
                <w:rFonts w:ascii="Verdana" w:eastAsia="Calibri" w:hAnsi="Verdana" w:cs="Arial"/>
                <w:lang w:val="es-ES" w:eastAsia="es-ES"/>
              </w:rPr>
              <w:t xml:space="preserve">DETERMINACIÓN DEL VALOR DEL CONTRATO – Etapa de planeación – Metodologías – Factores que inciden / </w:t>
            </w:r>
            <w:r w:rsidRPr="00603EE1">
              <w:rPr>
                <w:rFonts w:ascii="Verdana" w:eastAsia="Calibri" w:hAnsi="Verdana" w:cs="Arial"/>
                <w:lang w:val="es-ES" w:eastAsia="es-ES"/>
              </w:rPr>
              <w:t xml:space="preserve">SISTEMA DE FACTOR MULTIPLICADOR – Noción </w:t>
            </w:r>
            <w:r w:rsidR="00D17677" w:rsidRPr="00603EE1">
              <w:rPr>
                <w:rFonts w:ascii="Verdana" w:eastAsia="Calibri" w:hAnsi="Verdana" w:cs="Arial"/>
                <w:lang w:val="es-ES" w:eastAsia="es-ES"/>
              </w:rPr>
              <w:t>–</w:t>
            </w:r>
            <w:r>
              <w:rPr>
                <w:rFonts w:ascii="Verdana" w:eastAsia="Calibri" w:hAnsi="Verdana" w:cs="Arial"/>
              </w:rPr>
              <w:t xml:space="preserve"> cuadro detallado de conceptos</w:t>
            </w:r>
            <w:r w:rsidR="00D9770B">
              <w:rPr>
                <w:rFonts w:ascii="Verdana" w:eastAsia="Calibri" w:hAnsi="Verdana" w:cs="Arial"/>
              </w:rPr>
              <w:t xml:space="preserve"> </w:t>
            </w:r>
            <w:r w:rsidR="00D17677" w:rsidRPr="00DC1DF5">
              <w:rPr>
                <w:rFonts w:ascii="Verdana" w:eastAsia="Calibri" w:hAnsi="Verdana" w:cs="Arial"/>
                <w:lang w:val="es-ES" w:eastAsia="es-ES"/>
              </w:rPr>
              <w:t>/</w:t>
            </w:r>
            <w:r>
              <w:rPr>
                <w:rFonts w:ascii="Verdana" w:eastAsia="Calibri" w:hAnsi="Verdana" w:cs="Arial"/>
              </w:rPr>
              <w:t xml:space="preserve"> </w:t>
            </w:r>
            <w:r w:rsidRPr="00AF3A6C">
              <w:rPr>
                <w:rFonts w:ascii="Verdana" w:eastAsia="Calibri" w:hAnsi="Verdana" w:cs="Arial"/>
                <w:color w:val="000000"/>
              </w:rPr>
              <w:t xml:space="preserve">DETERMINACIÓN DE COSTOS - </w:t>
            </w:r>
            <w:r w:rsidR="00D9770B">
              <w:rPr>
                <w:rFonts w:ascii="Verdana" w:eastAsia="Calibri" w:hAnsi="Verdana" w:cs="Arial"/>
                <w:color w:val="000000"/>
              </w:rPr>
              <w:t>C</w:t>
            </w:r>
            <w:r w:rsidRPr="00AF3A6C">
              <w:rPr>
                <w:rFonts w:ascii="Verdana" w:eastAsia="Calibri" w:hAnsi="Verdana" w:cs="Arial"/>
                <w:color w:val="000000"/>
              </w:rPr>
              <w:t>oncepto C-250 de 2023.</w:t>
            </w:r>
          </w:p>
          <w:p w14:paraId="77A66C7A" w14:textId="77777777" w:rsidR="00CC6605" w:rsidRPr="008F1FB6" w:rsidRDefault="00CC6605" w:rsidP="00675AF5">
            <w:pPr>
              <w:spacing w:line="276" w:lineRule="auto"/>
              <w:jc w:val="both"/>
              <w:rPr>
                <w:rFonts w:ascii="Verdana" w:eastAsia="Calibri" w:hAnsi="Verdana" w:cs="Arial"/>
                <w:lang w:val="es-ES" w:eastAsia="es-ES"/>
              </w:rPr>
            </w:pPr>
          </w:p>
        </w:tc>
      </w:tr>
      <w:tr w:rsidR="00CC6605" w:rsidRPr="008F1FB6" w14:paraId="512DE286" w14:textId="77777777" w:rsidTr="00675AF5">
        <w:tc>
          <w:tcPr>
            <w:tcW w:w="2689" w:type="dxa"/>
          </w:tcPr>
          <w:p w14:paraId="7D0AE0A1" w14:textId="77777777" w:rsidR="00CC6605" w:rsidRPr="008F1FB6" w:rsidRDefault="00CC6605" w:rsidP="00675AF5">
            <w:pPr>
              <w:spacing w:line="276" w:lineRule="auto"/>
              <w:jc w:val="both"/>
              <w:rPr>
                <w:rFonts w:ascii="Verdana" w:eastAsia="Calibri" w:hAnsi="Verdana" w:cs="Arial"/>
                <w:b/>
                <w:color w:val="000000" w:themeColor="text1"/>
                <w:lang w:val="es-ES_tradnl" w:eastAsia="es-ES_tradnl"/>
              </w:rPr>
            </w:pPr>
            <w:r w:rsidRPr="008F1FB6">
              <w:rPr>
                <w:rFonts w:ascii="Verdana" w:eastAsia="Calibri" w:hAnsi="Verdana" w:cs="Arial"/>
                <w:b/>
                <w:color w:val="000000" w:themeColor="text1"/>
                <w:lang w:val="es-ES_tradnl" w:eastAsia="es-ES_tradnl"/>
              </w:rPr>
              <w:t>Radicación:</w:t>
            </w:r>
            <w:r w:rsidRPr="008F1FB6">
              <w:rPr>
                <w:rFonts w:ascii="Verdana" w:eastAsia="Calibri" w:hAnsi="Verdana" w:cs="Arial"/>
                <w:color w:val="000000" w:themeColor="text1"/>
                <w:lang w:val="es-ES_tradnl" w:eastAsia="es-ES_tradnl"/>
              </w:rPr>
              <w:t xml:space="preserve">               </w:t>
            </w:r>
          </w:p>
        </w:tc>
        <w:tc>
          <w:tcPr>
            <w:tcW w:w="6100" w:type="dxa"/>
          </w:tcPr>
          <w:p w14:paraId="25588D35" w14:textId="77777777" w:rsidR="00CC6605" w:rsidRPr="008F1FB6" w:rsidRDefault="00CC6605" w:rsidP="00675AF5">
            <w:pPr>
              <w:spacing w:line="276" w:lineRule="auto"/>
              <w:jc w:val="both"/>
              <w:rPr>
                <w:rFonts w:ascii="Verdana" w:eastAsia="Calibri" w:hAnsi="Verdana" w:cs="Arial"/>
                <w:color w:val="000000" w:themeColor="text1"/>
                <w:lang w:val="es-ES_tradnl" w:eastAsia="es-ES_tradnl"/>
              </w:rPr>
            </w:pPr>
            <w:r w:rsidRPr="008F1FB6">
              <w:rPr>
                <w:rFonts w:ascii="Verdana" w:eastAsia="Calibri" w:hAnsi="Verdana" w:cs="Arial"/>
                <w:color w:val="000000" w:themeColor="text1"/>
                <w:lang w:val="es-ES_tradnl" w:eastAsia="es-ES_tradnl"/>
              </w:rPr>
              <w:t>Respuesta a consulta con radicado No.</w:t>
            </w:r>
            <w:r>
              <w:t xml:space="preserve"> </w:t>
            </w:r>
            <w:r w:rsidRPr="00137BC3">
              <w:rPr>
                <w:rFonts w:ascii="Verdana" w:eastAsia="Calibri" w:hAnsi="Verdana" w:cs="Arial"/>
                <w:color w:val="000000" w:themeColor="text1"/>
                <w:lang w:val="es-ES_tradnl" w:eastAsia="es-ES_tradnl"/>
              </w:rPr>
              <w:t>1_2025_06_10_005720</w:t>
            </w:r>
            <w:r w:rsidRPr="008F1FB6">
              <w:rPr>
                <w:rFonts w:ascii="Verdana" w:eastAsia="Calibri" w:hAnsi="Verdana" w:cs="Arial"/>
                <w:color w:val="000000" w:themeColor="text1"/>
                <w:lang w:val="es-ES_tradnl" w:eastAsia="es-ES_tradnl"/>
              </w:rPr>
              <w:t xml:space="preserve"> </w:t>
            </w:r>
            <w:r w:rsidRPr="008F1FB6">
              <w:rPr>
                <w:rFonts w:ascii="Verdana" w:eastAsia="Calibri" w:hAnsi="Verdana" w:cs="Arial"/>
                <w:color w:val="000000" w:themeColor="text1"/>
                <w:lang w:eastAsia="es-ES_tradnl"/>
              </w:rPr>
              <w:br/>
            </w:r>
          </w:p>
        </w:tc>
      </w:tr>
    </w:tbl>
    <w:p w14:paraId="68581854" w14:textId="77777777" w:rsidR="00CC6605" w:rsidRPr="008F1FB6" w:rsidRDefault="00CC6605" w:rsidP="00CC6605">
      <w:pPr>
        <w:spacing w:after="0" w:line="276" w:lineRule="auto"/>
        <w:jc w:val="both"/>
        <w:rPr>
          <w:rFonts w:ascii="Verdana" w:eastAsia="Calibri" w:hAnsi="Verdana" w:cs="Arial"/>
          <w:color w:val="000000"/>
          <w:lang w:val="es-ES_tradnl" w:eastAsia="es-ES_tradnl"/>
        </w:rPr>
      </w:pPr>
    </w:p>
    <w:p w14:paraId="16AA2CB4" w14:textId="77777777" w:rsidR="00CC6605" w:rsidRPr="008F1FB6" w:rsidRDefault="00CC6605" w:rsidP="00CC6605">
      <w:pPr>
        <w:spacing w:after="0" w:line="276" w:lineRule="auto"/>
        <w:jc w:val="both"/>
        <w:rPr>
          <w:rFonts w:ascii="Verdana" w:eastAsia="Calibri" w:hAnsi="Verdana" w:cs="Arial"/>
          <w:color w:val="000000"/>
          <w:lang w:val="es-ES_tradnl" w:eastAsia="es-ES_tradnl"/>
        </w:rPr>
      </w:pPr>
    </w:p>
    <w:p w14:paraId="1981B53B" w14:textId="77777777" w:rsidR="00CC6605" w:rsidRPr="008F1FB6" w:rsidRDefault="00CC6605" w:rsidP="00CC6605">
      <w:pPr>
        <w:spacing w:after="0" w:line="276" w:lineRule="auto"/>
        <w:jc w:val="both"/>
        <w:rPr>
          <w:rFonts w:ascii="Verdana" w:eastAsia="Calibri" w:hAnsi="Verdana" w:cs="Arial"/>
          <w:color w:val="000000" w:themeColor="text1"/>
          <w:lang w:val="es-ES" w:eastAsia="es-ES"/>
        </w:rPr>
      </w:pPr>
      <w:r w:rsidRPr="008F1FB6">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8F1FB6">
        <w:rPr>
          <w:rFonts w:ascii="Verdana" w:eastAsia="Calibri" w:hAnsi="Verdana" w:cs="Arial"/>
          <w:color w:val="000000" w:themeColor="text1"/>
          <w:lang w:val="es-ES" w:eastAsia="es-ES"/>
        </w:rPr>
        <w:t xml:space="preserve"> </w:t>
      </w:r>
      <w:r w:rsidRPr="008F1FB6">
        <w:rPr>
          <w:rFonts w:ascii="Verdana" w:eastAsia="Calibri" w:hAnsi="Verdana" w:cs="Arial"/>
          <w:color w:val="000000"/>
          <w:lang w:val="es-ES_tradnl" w:eastAsia="es-ES_tradnl"/>
        </w:rPr>
        <w:t xml:space="preserve">señor </w:t>
      </w:r>
      <w:r>
        <w:rPr>
          <w:rFonts w:ascii="Verdana" w:eastAsia="Calibri" w:hAnsi="Verdana" w:cs="Arial"/>
          <w:color w:val="000000"/>
          <w:lang w:val="es-ES_tradnl" w:eastAsia="es-ES_tradnl"/>
        </w:rPr>
        <w:t>Vanegas</w:t>
      </w:r>
      <w:r w:rsidRPr="008F1FB6">
        <w:rPr>
          <w:rFonts w:ascii="Verdana" w:eastAsia="Calibri" w:hAnsi="Verdana" w:cs="Arial"/>
          <w:color w:val="000000"/>
          <w:lang w:val="es-ES_tradnl" w:eastAsia="es-ES_tradnl"/>
        </w:rPr>
        <w:t>:</w:t>
      </w:r>
      <w:r w:rsidRPr="008F1FB6">
        <w:rPr>
          <w:rFonts w:ascii="Verdana" w:eastAsia="Calibri" w:hAnsi="Verdana" w:cs="Arial"/>
          <w:color w:val="000000" w:themeColor="text1"/>
          <w:lang w:val="es-ES" w:eastAsia="es-ES"/>
        </w:rPr>
        <w:t xml:space="preserve"> </w:t>
      </w:r>
    </w:p>
    <w:p w14:paraId="201268FC" w14:textId="77777777" w:rsidR="00CC6605" w:rsidRPr="008F1FB6" w:rsidRDefault="00CC6605" w:rsidP="00CC6605">
      <w:pPr>
        <w:tabs>
          <w:tab w:val="left" w:pos="3768"/>
        </w:tabs>
        <w:spacing w:after="0" w:line="276" w:lineRule="auto"/>
        <w:jc w:val="both"/>
        <w:rPr>
          <w:rFonts w:ascii="Verdana" w:eastAsia="Calibri" w:hAnsi="Verdana" w:cs="Arial"/>
          <w:color w:val="000000" w:themeColor="text1"/>
          <w:lang w:val="es-ES" w:eastAsia="es-ES"/>
        </w:rPr>
      </w:pPr>
      <w:r w:rsidRPr="008F1FB6">
        <w:rPr>
          <w:rFonts w:ascii="Verdana" w:eastAsia="Calibri" w:hAnsi="Verdana" w:cs="Arial"/>
          <w:color w:val="000000" w:themeColor="text1"/>
          <w:lang w:val="es-ES" w:eastAsia="es-ES"/>
        </w:rPr>
        <w:tab/>
      </w:r>
    </w:p>
    <w:p w14:paraId="7D524922" w14:textId="77777777" w:rsidR="00CC6605" w:rsidRPr="008F1FB6" w:rsidRDefault="00CC6605" w:rsidP="00CC6605">
      <w:pPr>
        <w:spacing w:after="0" w:line="276" w:lineRule="auto"/>
        <w:jc w:val="both"/>
        <w:rPr>
          <w:rFonts w:ascii="Verdana" w:eastAsia="Calibri" w:hAnsi="Verdana" w:cs="Arial"/>
          <w:color w:val="000000" w:themeColor="text1"/>
          <w:lang w:val="es-ES" w:eastAsia="es-ES"/>
        </w:rPr>
      </w:pPr>
      <w:r w:rsidRPr="008F1FB6">
        <w:rPr>
          <w:rFonts w:ascii="Verdana" w:eastAsia="Calibri" w:hAnsi="Verdana" w:cs="Arial"/>
          <w:color w:val="000000" w:themeColor="text1"/>
          <w:lang w:val="es-ES" w:eastAsia="es-ES"/>
        </w:rPr>
        <w:t>En ejercicio de la competencia otorgada por los artículos 3, numeral 5º, y 11, numeral 8º, del Decreto Ley 4170 de 2011,</w:t>
      </w:r>
      <w:r w:rsidRPr="008F1FB6">
        <w:rPr>
          <w:rFonts w:ascii="Verdana" w:eastAsia="Arial MT" w:hAnsi="Verdana" w:cs="Arial MT"/>
          <w:lang w:val="es-ES" w:eastAsia="es-ES"/>
        </w:rPr>
        <w:t xml:space="preserve"> </w:t>
      </w:r>
      <w:r w:rsidRPr="008F1FB6">
        <w:rPr>
          <w:rFonts w:ascii="Verdana" w:hAnsi="Verdana" w:cs="Arial"/>
        </w:rPr>
        <w:t xml:space="preserve">así como lo establecido en el artículo 4 de la Resolución 1707 de 2018 expedida por esta Entidad, </w:t>
      </w:r>
      <w:r w:rsidRPr="008F1FB6">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10</w:t>
      </w:r>
      <w:r w:rsidRPr="008F1FB6">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junio</w:t>
      </w:r>
      <w:r w:rsidRPr="008F1FB6">
        <w:rPr>
          <w:rFonts w:ascii="Verdana" w:eastAsia="Calibri" w:hAnsi="Verdana" w:cs="Arial"/>
          <w:color w:val="000000" w:themeColor="text1"/>
          <w:lang w:val="es-ES" w:eastAsia="es-ES"/>
        </w:rPr>
        <w:t xml:space="preserve"> de 2025, en la cual manifiesta lo siguiente: </w:t>
      </w:r>
    </w:p>
    <w:p w14:paraId="58CCA964" w14:textId="77777777" w:rsidR="00CC6605" w:rsidRPr="008F1FB6" w:rsidRDefault="00CC6605" w:rsidP="00CC6605">
      <w:pPr>
        <w:spacing w:after="0" w:line="276" w:lineRule="auto"/>
        <w:jc w:val="both"/>
        <w:rPr>
          <w:rFonts w:ascii="Verdana" w:eastAsia="Calibri" w:hAnsi="Verdana" w:cs="Arial"/>
          <w:color w:val="000000" w:themeColor="text1"/>
          <w:lang w:val="es-ES" w:eastAsia="es-ES"/>
        </w:rPr>
      </w:pPr>
    </w:p>
    <w:p w14:paraId="3E8B4DE6" w14:textId="77777777" w:rsidR="00CC6605" w:rsidRPr="00FA64C6" w:rsidRDefault="00CC6605" w:rsidP="00CC6605">
      <w:pPr>
        <w:spacing w:after="0" w:line="276" w:lineRule="auto"/>
        <w:ind w:left="709" w:right="709"/>
        <w:jc w:val="both"/>
        <w:rPr>
          <w:rFonts w:ascii="Verdana" w:eastAsia="Century Gothic" w:hAnsi="Verdana" w:cs="Century Gothic"/>
          <w:color w:val="000000" w:themeColor="text1"/>
          <w:sz w:val="20"/>
          <w:szCs w:val="20"/>
        </w:rPr>
      </w:pPr>
      <w:bookmarkStart w:id="0" w:name="_Hlk95313578"/>
      <w:r w:rsidRPr="008F1FB6">
        <w:rPr>
          <w:rFonts w:ascii="Verdana" w:eastAsia="Century Gothic" w:hAnsi="Verdana" w:cs="Century Gothic"/>
          <w:color w:val="000000" w:themeColor="text1"/>
          <w:sz w:val="20"/>
          <w:szCs w:val="20"/>
          <w:lang w:val="es-ES"/>
        </w:rPr>
        <w:t>“</w:t>
      </w:r>
      <w:bookmarkEnd w:id="0"/>
      <w:r w:rsidRPr="00FA64C6">
        <w:rPr>
          <w:rFonts w:ascii="Verdana" w:eastAsia="Century Gothic" w:hAnsi="Verdana" w:cs="Century Gothic"/>
          <w:i/>
          <w:iCs/>
          <w:color w:val="000000" w:themeColor="text1"/>
          <w:sz w:val="21"/>
          <w:szCs w:val="21"/>
        </w:rPr>
        <w:t xml:space="preserve">Bajo la premisa que el contratista </w:t>
      </w:r>
      <w:proofErr w:type="spellStart"/>
      <w:r w:rsidRPr="00FA64C6">
        <w:rPr>
          <w:rFonts w:ascii="Verdana" w:eastAsia="Century Gothic" w:hAnsi="Verdana" w:cs="Century Gothic"/>
          <w:i/>
          <w:iCs/>
          <w:color w:val="000000" w:themeColor="text1"/>
          <w:sz w:val="21"/>
          <w:szCs w:val="21"/>
        </w:rPr>
        <w:t>público</w:t>
      </w:r>
      <w:proofErr w:type="spellEnd"/>
      <w:r w:rsidRPr="00FA64C6">
        <w:rPr>
          <w:rFonts w:ascii="Verdana" w:eastAsia="Century Gothic" w:hAnsi="Verdana" w:cs="Century Gothic"/>
          <w:i/>
          <w:iCs/>
          <w:color w:val="000000" w:themeColor="text1"/>
          <w:sz w:val="21"/>
          <w:szCs w:val="21"/>
        </w:rPr>
        <w:t xml:space="preserve"> de </w:t>
      </w:r>
      <w:proofErr w:type="spellStart"/>
      <w:r w:rsidRPr="00FA64C6">
        <w:rPr>
          <w:rFonts w:ascii="Verdana" w:eastAsia="Century Gothic" w:hAnsi="Verdana" w:cs="Century Gothic"/>
          <w:i/>
          <w:iCs/>
          <w:color w:val="000000" w:themeColor="text1"/>
          <w:sz w:val="21"/>
          <w:szCs w:val="21"/>
        </w:rPr>
        <w:t>consultoría</w:t>
      </w:r>
      <w:proofErr w:type="spellEnd"/>
      <w:r w:rsidRPr="00FA64C6">
        <w:rPr>
          <w:rFonts w:ascii="Verdana" w:eastAsia="Century Gothic" w:hAnsi="Verdana" w:cs="Century Gothic"/>
          <w:i/>
          <w:iCs/>
          <w:color w:val="000000" w:themeColor="text1"/>
          <w:sz w:val="21"/>
          <w:szCs w:val="21"/>
        </w:rPr>
        <w:t xml:space="preserve"> o </w:t>
      </w:r>
      <w:proofErr w:type="spellStart"/>
      <w:r w:rsidRPr="00FA64C6">
        <w:rPr>
          <w:rFonts w:ascii="Verdana" w:eastAsia="Century Gothic" w:hAnsi="Verdana" w:cs="Century Gothic"/>
          <w:i/>
          <w:iCs/>
          <w:color w:val="000000" w:themeColor="text1"/>
          <w:sz w:val="21"/>
          <w:szCs w:val="21"/>
        </w:rPr>
        <w:t>interventoría</w:t>
      </w:r>
      <w:proofErr w:type="spellEnd"/>
      <w:r w:rsidRPr="00FA64C6">
        <w:rPr>
          <w:rFonts w:ascii="Verdana" w:eastAsia="Century Gothic" w:hAnsi="Verdana" w:cs="Century Gothic"/>
          <w:i/>
          <w:iCs/>
          <w:color w:val="000000" w:themeColor="text1"/>
          <w:sz w:val="21"/>
          <w:szCs w:val="21"/>
        </w:rPr>
        <w:t xml:space="preserve"> tiene libertad y autonomía para fijar libremente el valor de </w:t>
      </w:r>
      <w:proofErr w:type="spellStart"/>
      <w:r w:rsidRPr="00FA64C6">
        <w:rPr>
          <w:rFonts w:ascii="Verdana" w:eastAsia="Century Gothic" w:hAnsi="Verdana" w:cs="Century Gothic"/>
          <w:i/>
          <w:iCs/>
          <w:color w:val="000000" w:themeColor="text1"/>
          <w:sz w:val="21"/>
          <w:szCs w:val="21"/>
        </w:rPr>
        <w:t>remuneración</w:t>
      </w:r>
      <w:proofErr w:type="spellEnd"/>
      <w:r w:rsidRPr="00FA64C6">
        <w:rPr>
          <w:rFonts w:ascii="Verdana" w:eastAsia="Century Gothic" w:hAnsi="Verdana" w:cs="Century Gothic"/>
          <w:i/>
          <w:iCs/>
          <w:color w:val="000000" w:themeColor="text1"/>
          <w:sz w:val="21"/>
          <w:szCs w:val="21"/>
        </w:rPr>
        <w:t xml:space="preserve"> del personal a su cargo; PREGUNTA 1: ¿es </w:t>
      </w:r>
      <w:proofErr w:type="spellStart"/>
      <w:r w:rsidRPr="00FA64C6">
        <w:rPr>
          <w:rFonts w:ascii="Verdana" w:eastAsia="Century Gothic" w:hAnsi="Verdana" w:cs="Century Gothic"/>
          <w:i/>
          <w:iCs/>
          <w:color w:val="000000" w:themeColor="text1"/>
          <w:sz w:val="21"/>
          <w:szCs w:val="21"/>
        </w:rPr>
        <w:t>lícito</w:t>
      </w:r>
      <w:proofErr w:type="spellEnd"/>
      <w:r w:rsidRPr="00FA64C6">
        <w:rPr>
          <w:rFonts w:ascii="Verdana" w:eastAsia="Century Gothic" w:hAnsi="Verdana" w:cs="Century Gothic"/>
          <w:i/>
          <w:iCs/>
          <w:color w:val="000000" w:themeColor="text1"/>
          <w:sz w:val="21"/>
          <w:szCs w:val="21"/>
        </w:rPr>
        <w:t xml:space="preserve"> que el contratista consultor o interventor oferte un valor determinado a la contratante por el personal y remunerar a dicho personal por un valor menor o inferior? PREGUNTA 2: ¿la diferencia de valor entre el valor ofertado por el personal a la entidad pública contratante y el valor de </w:t>
      </w:r>
      <w:proofErr w:type="spellStart"/>
      <w:r w:rsidRPr="00FA64C6">
        <w:rPr>
          <w:rFonts w:ascii="Verdana" w:eastAsia="Century Gothic" w:hAnsi="Verdana" w:cs="Century Gothic"/>
          <w:i/>
          <w:iCs/>
          <w:color w:val="000000" w:themeColor="text1"/>
          <w:sz w:val="21"/>
          <w:szCs w:val="21"/>
        </w:rPr>
        <w:t>remuneración</w:t>
      </w:r>
      <w:proofErr w:type="spellEnd"/>
      <w:r w:rsidRPr="00FA64C6">
        <w:rPr>
          <w:rFonts w:ascii="Verdana" w:eastAsia="Century Gothic" w:hAnsi="Verdana" w:cs="Century Gothic"/>
          <w:i/>
          <w:iCs/>
          <w:color w:val="000000" w:themeColor="text1"/>
          <w:sz w:val="21"/>
          <w:szCs w:val="21"/>
        </w:rPr>
        <w:t xml:space="preserve"> (menor al ofertado) del personal a su cargo </w:t>
      </w:r>
      <w:proofErr w:type="spellStart"/>
      <w:r w:rsidRPr="00FA64C6">
        <w:rPr>
          <w:rFonts w:ascii="Verdana" w:eastAsia="Century Gothic" w:hAnsi="Verdana" w:cs="Century Gothic"/>
          <w:i/>
          <w:iCs/>
          <w:color w:val="000000" w:themeColor="text1"/>
          <w:sz w:val="21"/>
          <w:szCs w:val="21"/>
        </w:rPr>
        <w:t>según</w:t>
      </w:r>
      <w:proofErr w:type="spellEnd"/>
      <w:r w:rsidRPr="00FA64C6">
        <w:rPr>
          <w:rFonts w:ascii="Verdana" w:eastAsia="Century Gothic" w:hAnsi="Verdana" w:cs="Century Gothic"/>
          <w:i/>
          <w:iCs/>
          <w:color w:val="000000" w:themeColor="text1"/>
          <w:sz w:val="21"/>
          <w:szCs w:val="21"/>
        </w:rPr>
        <w:t xml:space="preserve"> el </w:t>
      </w:r>
      <w:r w:rsidRPr="00FA64C6">
        <w:rPr>
          <w:rFonts w:ascii="Verdana" w:eastAsia="Century Gothic" w:hAnsi="Verdana" w:cs="Century Gothic"/>
          <w:i/>
          <w:iCs/>
          <w:color w:val="000000" w:themeColor="text1"/>
          <w:sz w:val="21"/>
          <w:szCs w:val="21"/>
        </w:rPr>
        <w:lastRenderedPageBreak/>
        <w:t xml:space="preserve">pacto privado entre ellas, dicha diferencia, ¿se puede considerar una utilidad </w:t>
      </w:r>
      <w:proofErr w:type="spellStart"/>
      <w:r w:rsidRPr="00FA64C6">
        <w:rPr>
          <w:rFonts w:ascii="Verdana" w:eastAsia="Century Gothic" w:hAnsi="Verdana" w:cs="Century Gothic"/>
          <w:i/>
          <w:iCs/>
          <w:color w:val="000000" w:themeColor="text1"/>
          <w:sz w:val="21"/>
          <w:szCs w:val="21"/>
        </w:rPr>
        <w:t>lícita</w:t>
      </w:r>
      <w:proofErr w:type="spellEnd"/>
      <w:r w:rsidRPr="00FA64C6">
        <w:rPr>
          <w:rFonts w:ascii="Verdana" w:eastAsia="Century Gothic" w:hAnsi="Verdana" w:cs="Century Gothic"/>
          <w:i/>
          <w:iCs/>
          <w:color w:val="000000" w:themeColor="text1"/>
          <w:sz w:val="21"/>
          <w:szCs w:val="21"/>
        </w:rPr>
        <w:t xml:space="preserve"> para el contratista consultor o interventor</w:t>
      </w:r>
      <w:r w:rsidRPr="00FA64C6">
        <w:rPr>
          <w:rFonts w:ascii="Verdana" w:eastAsia="Century Gothic" w:hAnsi="Verdana" w:cs="Century Gothic"/>
          <w:i/>
          <w:iCs/>
          <w:color w:val="000000" w:themeColor="text1"/>
          <w:sz w:val="20"/>
          <w:szCs w:val="20"/>
        </w:rPr>
        <w:t>?</w:t>
      </w:r>
      <w:r w:rsidRPr="00FA64C6">
        <w:rPr>
          <w:rFonts w:ascii="Verdana" w:eastAsia="Century Gothic" w:hAnsi="Verdana" w:cs="Century Gothic"/>
          <w:color w:val="000000" w:themeColor="text1"/>
          <w:sz w:val="20"/>
          <w:szCs w:val="20"/>
        </w:rPr>
        <w:t>”</w:t>
      </w:r>
    </w:p>
    <w:p w14:paraId="013851F7" w14:textId="77777777" w:rsidR="00CC6605" w:rsidRPr="008F1FB6" w:rsidRDefault="00CC6605" w:rsidP="00CC6605">
      <w:pPr>
        <w:spacing w:before="120" w:after="120" w:line="276" w:lineRule="auto"/>
        <w:ind w:firstLine="709"/>
        <w:jc w:val="both"/>
        <w:rPr>
          <w:rFonts w:ascii="Verdana" w:eastAsia="Calibri" w:hAnsi="Verdana" w:cs="Arial"/>
          <w:color w:val="000000"/>
          <w:szCs w:val="24"/>
          <w:lang w:val="es-ES_tradnl" w:eastAsia="es-ES_tradnl"/>
        </w:rPr>
      </w:pPr>
      <w:r w:rsidRPr="008F1FB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F1FB6">
        <w:rPr>
          <w:rFonts w:ascii="Verdana" w:eastAsia="Calibri" w:hAnsi="Verdana" w:cs="Arial"/>
          <w:color w:val="000000"/>
          <w:szCs w:val="24"/>
          <w:lang w:val="es-ES_tradnl" w:eastAsia="es-ES_tradnl"/>
        </w:rPr>
        <w:tab/>
      </w:r>
    </w:p>
    <w:p w14:paraId="68AD294D" w14:textId="77777777" w:rsidR="00CC6605" w:rsidRPr="008F1FB6" w:rsidRDefault="00CC6605" w:rsidP="00CC6605">
      <w:pPr>
        <w:spacing w:after="0" w:line="276" w:lineRule="auto"/>
        <w:ind w:firstLine="709"/>
        <w:jc w:val="both"/>
        <w:rPr>
          <w:rFonts w:ascii="Verdana" w:eastAsia="Calibri" w:hAnsi="Verdana" w:cs="Arial"/>
          <w:color w:val="000000"/>
          <w:lang w:val="es-ES" w:eastAsia="es-ES"/>
        </w:rPr>
      </w:pPr>
      <w:r w:rsidRPr="008F1FB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8F1FB6">
        <w:rPr>
          <w:rFonts w:ascii="Verdana" w:eastAsia="Calibri" w:hAnsi="Verdana" w:cs="Arial"/>
          <w:color w:val="7030A0"/>
          <w:lang w:val="es-ES" w:eastAsia="es-ES"/>
        </w:rPr>
        <w:t xml:space="preserve"> </w:t>
      </w:r>
      <w:r w:rsidRPr="008F1FB6">
        <w:rPr>
          <w:rFonts w:ascii="Verdana" w:eastAsia="Calibri" w:hAnsi="Verdana" w:cs="Arial"/>
          <w:color w:val="000000"/>
          <w:lang w:val="es-ES" w:eastAsia="es-ES"/>
        </w:rPr>
        <w:t>jurídico</w:t>
      </w:r>
      <w:r w:rsidRPr="008F1FB6">
        <w:rPr>
          <w:rFonts w:ascii="Verdana" w:eastAsia="Calibri" w:hAnsi="Verdana" w:cs="Arial"/>
          <w:color w:val="7030A0"/>
          <w:lang w:val="es-ES" w:eastAsia="es-ES"/>
        </w:rPr>
        <w:t xml:space="preserve"> </w:t>
      </w:r>
      <w:r w:rsidRPr="008F1FB6">
        <w:rPr>
          <w:rFonts w:ascii="Verdana" w:eastAsia="Calibri" w:hAnsi="Verdana" w:cs="Arial"/>
          <w:color w:val="000000"/>
          <w:lang w:val="es-ES" w:eastAsia="es-ES"/>
        </w:rPr>
        <w:t xml:space="preserve">de su consulta. </w:t>
      </w:r>
    </w:p>
    <w:p w14:paraId="56164E22" w14:textId="77777777" w:rsidR="00CC6605" w:rsidRPr="008F1FB6" w:rsidRDefault="00CC6605" w:rsidP="00CC6605">
      <w:pPr>
        <w:spacing w:after="0" w:line="276" w:lineRule="auto"/>
        <w:ind w:firstLine="709"/>
        <w:jc w:val="both"/>
        <w:rPr>
          <w:rFonts w:ascii="Verdana" w:eastAsia="Calibri" w:hAnsi="Verdana" w:cs="Arial"/>
          <w:color w:val="000000"/>
          <w:lang w:val="es-ES" w:eastAsia="es-ES"/>
        </w:rPr>
      </w:pPr>
    </w:p>
    <w:p w14:paraId="30C04784" w14:textId="77777777" w:rsidR="00CC6605" w:rsidRPr="008F1FB6" w:rsidRDefault="00CC6605" w:rsidP="00CC660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F1FB6">
        <w:rPr>
          <w:rFonts w:ascii="Verdana" w:eastAsia="Century Gothic" w:hAnsi="Verdana" w:cs="Century Gothic"/>
          <w:b/>
          <w:bCs/>
        </w:rPr>
        <w:t>Problema planteado:</w:t>
      </w:r>
    </w:p>
    <w:p w14:paraId="5B8472A3" w14:textId="77777777" w:rsidR="00CC6605" w:rsidRPr="008F1FB6" w:rsidRDefault="00CC6605" w:rsidP="00CC6605">
      <w:pPr>
        <w:tabs>
          <w:tab w:val="left" w:pos="426"/>
        </w:tabs>
        <w:spacing w:after="0" w:line="276" w:lineRule="auto"/>
        <w:jc w:val="both"/>
        <w:rPr>
          <w:rFonts w:ascii="Verdana" w:eastAsia="Century Gothic" w:hAnsi="Verdana" w:cs="Century Gothic"/>
          <w:lang w:val="es-ES"/>
        </w:rPr>
      </w:pPr>
    </w:p>
    <w:p w14:paraId="032EAF56" w14:textId="5EA16EF4" w:rsidR="00CC6605" w:rsidRDefault="00CC6605" w:rsidP="00CC6605">
      <w:pPr>
        <w:spacing w:after="0" w:line="276" w:lineRule="auto"/>
        <w:jc w:val="both"/>
        <w:rPr>
          <w:rFonts w:ascii="Verdana" w:eastAsia="Century Gothic" w:hAnsi="Verdana" w:cs="Century Gothic"/>
          <w:color w:val="7030A0"/>
        </w:rPr>
      </w:pPr>
      <w:r w:rsidRPr="008F1FB6">
        <w:rPr>
          <w:rFonts w:ascii="Verdana" w:eastAsia="Century Gothic" w:hAnsi="Verdana" w:cs="Century Gothic"/>
        </w:rPr>
        <w:t xml:space="preserve">De acuerdo con el contenido de su solicitud, esta Agencia resolverá el siguiente problema jurídico: </w:t>
      </w:r>
      <w:r w:rsidRPr="00C23CEB">
        <w:rPr>
          <w:rFonts w:ascii="Verdana" w:eastAsia="Century Gothic" w:hAnsi="Verdana" w:cs="Century Gothic"/>
        </w:rPr>
        <w:t>¿</w:t>
      </w:r>
      <w:r>
        <w:rPr>
          <w:rFonts w:ascii="Verdana" w:eastAsia="Century Gothic" w:hAnsi="Verdana" w:cs="Century Gothic"/>
        </w:rPr>
        <w:t xml:space="preserve">Cuáles son los parámetros para la </w:t>
      </w:r>
      <w:r w:rsidR="007C0739">
        <w:rPr>
          <w:rFonts w:ascii="Verdana" w:eastAsia="Century Gothic" w:hAnsi="Verdana" w:cs="Century Gothic"/>
        </w:rPr>
        <w:t>estimación</w:t>
      </w:r>
      <w:r>
        <w:rPr>
          <w:rFonts w:ascii="Verdana" w:eastAsia="Century Gothic" w:hAnsi="Verdana" w:cs="Century Gothic"/>
        </w:rPr>
        <w:t xml:space="preserve"> de precios y la verificación de su ejecución en los contratos de consultoría?</w:t>
      </w:r>
      <w:r>
        <w:rPr>
          <w:rFonts w:ascii="Verdana" w:eastAsia="Century Gothic" w:hAnsi="Verdana" w:cs="Century Gothic"/>
          <w:color w:val="7030A0"/>
        </w:rPr>
        <w:t xml:space="preserve"> </w:t>
      </w:r>
    </w:p>
    <w:p w14:paraId="31091ABC" w14:textId="77777777" w:rsidR="00CC6605" w:rsidRPr="008F1FB6" w:rsidRDefault="00CC6605" w:rsidP="00CC6605">
      <w:pPr>
        <w:spacing w:after="0" w:line="276" w:lineRule="auto"/>
        <w:jc w:val="both"/>
        <w:rPr>
          <w:rFonts w:ascii="Verdana" w:eastAsia="Calibri" w:hAnsi="Verdana" w:cs="Arial"/>
          <w:color w:val="7030A0"/>
          <w:lang w:val="es-ES"/>
        </w:rPr>
      </w:pPr>
    </w:p>
    <w:p w14:paraId="45536362" w14:textId="77777777" w:rsidR="00CC6605" w:rsidRPr="008F1FB6" w:rsidRDefault="00CC6605" w:rsidP="00CC660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Respuesta:</w:t>
      </w:r>
    </w:p>
    <w:p w14:paraId="2B188337" w14:textId="77777777" w:rsidR="00CC6605" w:rsidRPr="008F1FB6" w:rsidRDefault="00CC6605" w:rsidP="00CC660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C6605" w:rsidRPr="008F1FB6" w14:paraId="1D5C73B4" w14:textId="77777777" w:rsidTr="00155AE5">
        <w:tc>
          <w:tcPr>
            <w:tcW w:w="8828" w:type="dxa"/>
          </w:tcPr>
          <w:p w14:paraId="666E9BEF" w14:textId="21B00182" w:rsidR="00CC6605" w:rsidRDefault="00CC6605" w:rsidP="00FC3910">
            <w:pPr>
              <w:spacing w:before="120" w:after="120" w:line="276" w:lineRule="auto"/>
              <w:jc w:val="both"/>
              <w:rPr>
                <w:rFonts w:ascii="Verdana" w:eastAsia="Calibri" w:hAnsi="Verdana"/>
                <w:lang w:val="es-ES"/>
              </w:rPr>
            </w:pPr>
            <w:r>
              <w:rPr>
                <w:rFonts w:ascii="Verdana" w:eastAsia="Calibri" w:hAnsi="Verdana" w:cs="Arial"/>
                <w:lang w:val="es-ES"/>
              </w:rPr>
              <w:t xml:space="preserve">Los sistemas de fijación de precios no son </w:t>
            </w:r>
            <w:r w:rsidRPr="00BE3090">
              <w:rPr>
                <w:rFonts w:ascii="Verdana" w:eastAsia="Calibri" w:hAnsi="Verdana" w:cs="Arial"/>
                <w:lang w:val="es-ES"/>
              </w:rPr>
              <w:t>asuntos expresamente regulado</w:t>
            </w:r>
            <w:r w:rsidR="00FC3910">
              <w:rPr>
                <w:rFonts w:ascii="Verdana" w:eastAsia="Calibri" w:hAnsi="Verdana" w:cs="Arial"/>
                <w:lang w:val="es-ES"/>
              </w:rPr>
              <w:t>s</w:t>
            </w:r>
            <w:r w:rsidRPr="00BE3090">
              <w:rPr>
                <w:rFonts w:ascii="Verdana" w:eastAsia="Calibri" w:hAnsi="Verdana" w:cs="Arial"/>
                <w:lang w:val="es-ES"/>
              </w:rPr>
              <w:t xml:space="preserve"> en las disposiciones legales o reglamentarias que integran la normativa contractual del Estado. En ese sentido, </w:t>
            </w:r>
            <w:r>
              <w:rPr>
                <w:rFonts w:ascii="Verdana" w:eastAsia="Calibri" w:hAnsi="Verdana" w:cs="Arial"/>
                <w:lang w:val="es-ES"/>
              </w:rPr>
              <w:t>l</w:t>
            </w:r>
            <w:r w:rsidRPr="00BE3090">
              <w:rPr>
                <w:rFonts w:ascii="Verdana" w:eastAsia="Calibri" w:hAnsi="Verdana" w:cs="Arial"/>
                <w:lang w:val="es-ES"/>
              </w:rPr>
              <w:t>as metodologías para la configuración del precio de</w:t>
            </w:r>
            <w:r>
              <w:rPr>
                <w:rFonts w:ascii="Verdana" w:eastAsia="Calibri" w:hAnsi="Verdana" w:cs="Arial"/>
                <w:lang w:val="es-ES"/>
              </w:rPr>
              <w:t>l</w:t>
            </w:r>
            <w:r w:rsidRPr="00BE3090">
              <w:rPr>
                <w:rFonts w:ascii="Verdana" w:eastAsia="Calibri" w:hAnsi="Verdana" w:cs="Arial"/>
                <w:lang w:val="es-ES"/>
              </w:rPr>
              <w:t xml:space="preserve"> contrato, </w:t>
            </w:r>
            <w:r>
              <w:rPr>
                <w:rFonts w:ascii="Verdana" w:eastAsia="Calibri" w:hAnsi="Verdana" w:cs="Arial"/>
                <w:lang w:val="es-ES"/>
              </w:rPr>
              <w:t xml:space="preserve">que son </w:t>
            </w:r>
            <w:r w:rsidRPr="00BE3090">
              <w:rPr>
                <w:rFonts w:ascii="Verdana" w:eastAsia="Calibri" w:hAnsi="Verdana" w:cs="Arial"/>
                <w:lang w:val="es-ES"/>
              </w:rPr>
              <w:t>determinantes para la elaboración de la propuesta económica, no proceden de la ley ni del reglamento, sino de la costumbr</w:t>
            </w:r>
            <w:r>
              <w:rPr>
                <w:rFonts w:ascii="Verdana" w:eastAsia="Calibri" w:hAnsi="Verdana" w:cs="Arial"/>
                <w:lang w:val="es-ES"/>
              </w:rPr>
              <w:t>e</w:t>
            </w:r>
            <w:r w:rsidRPr="00BE3090">
              <w:rPr>
                <w:rFonts w:ascii="Verdana" w:eastAsia="Times New Roman" w:hAnsi="Verdana" w:cs="Arial"/>
                <w:bCs/>
                <w:lang w:val="es-ES_tradnl" w:eastAsia="es-CO"/>
              </w:rPr>
              <w:t>.</w:t>
            </w:r>
            <w:r>
              <w:rPr>
                <w:rFonts w:ascii="Verdana" w:eastAsia="Times New Roman" w:hAnsi="Verdana" w:cs="Arial"/>
                <w:bCs/>
                <w:lang w:val="es-ES_tradnl" w:eastAsia="es-CO"/>
              </w:rPr>
              <w:t xml:space="preserve"> Las entidades gozan de autonomía para la estructuración de las condiciones </w:t>
            </w:r>
            <w:r w:rsidRPr="006849F1">
              <w:rPr>
                <w:rFonts w:ascii="Verdana" w:eastAsia="Calibri" w:hAnsi="Verdana"/>
                <w:lang w:val="es-ES"/>
              </w:rPr>
              <w:t>del negocio jurídico, determina</w:t>
            </w:r>
            <w:r>
              <w:rPr>
                <w:rFonts w:ascii="Verdana" w:eastAsia="Calibri" w:hAnsi="Verdana"/>
                <w:lang w:val="es-ES"/>
              </w:rPr>
              <w:t>n</w:t>
            </w:r>
            <w:r w:rsidRPr="006849F1">
              <w:rPr>
                <w:rFonts w:ascii="Verdana" w:eastAsia="Calibri" w:hAnsi="Verdana"/>
                <w:lang w:val="es-ES"/>
              </w:rPr>
              <w:t>do el sistema más apropiado para satisfacer los fines de la contratación</w:t>
            </w:r>
            <w:r>
              <w:rPr>
                <w:rFonts w:ascii="Verdana" w:eastAsia="Calibri" w:hAnsi="Verdana"/>
                <w:lang w:val="es-ES"/>
              </w:rPr>
              <w:t xml:space="preserve"> y</w:t>
            </w:r>
            <w:r w:rsidRPr="006849F1">
              <w:rPr>
                <w:rFonts w:ascii="Verdana" w:eastAsia="Calibri" w:hAnsi="Verdana"/>
                <w:lang w:val="es-ES"/>
              </w:rPr>
              <w:t xml:space="preserve"> respetando los límites previstos en el </w:t>
            </w:r>
            <w:r w:rsidRPr="006849F1">
              <w:rPr>
                <w:rFonts w:ascii="Verdana" w:eastAsia="Calibri" w:hAnsi="Verdana"/>
                <w:lang w:val="es-ES"/>
              </w:rPr>
              <w:lastRenderedPageBreak/>
              <w:t xml:space="preserve">ordenamiento. De ahí que cuenten con la discrecionalidad para disponer en los documentos del proceso la aplicación de </w:t>
            </w:r>
            <w:r>
              <w:rPr>
                <w:rFonts w:ascii="Verdana" w:eastAsia="Calibri" w:hAnsi="Verdana"/>
                <w:lang w:val="es-ES"/>
              </w:rPr>
              <w:t xml:space="preserve">determinadas </w:t>
            </w:r>
            <w:r w:rsidRPr="006849F1">
              <w:rPr>
                <w:rFonts w:ascii="Verdana" w:eastAsia="Calibri" w:hAnsi="Verdana"/>
                <w:lang w:val="es-ES"/>
              </w:rPr>
              <w:t>metodologías, siempre que resulten adecuadas y proporcionales al objeto del contrato.</w:t>
            </w:r>
          </w:p>
          <w:p w14:paraId="3C61208D" w14:textId="0C9DD474" w:rsidR="00CC6605" w:rsidRDefault="00CC6605" w:rsidP="00675AF5">
            <w:pPr>
              <w:spacing w:after="120" w:line="276" w:lineRule="auto"/>
              <w:ind w:firstLine="733"/>
              <w:jc w:val="both"/>
              <w:rPr>
                <w:rFonts w:ascii="Verdana" w:hAnsi="Verdana" w:cs="Arial"/>
              </w:rPr>
            </w:pPr>
            <w:r>
              <w:rPr>
                <w:rFonts w:ascii="Verdana" w:hAnsi="Verdana" w:cs="Arial"/>
                <w:lang w:val="es-ES_tradnl"/>
              </w:rPr>
              <w:t xml:space="preserve">Considerando el tema de su consulta, se resalta que </w:t>
            </w:r>
            <w:r w:rsidRPr="007F7944">
              <w:rPr>
                <w:rFonts w:ascii="Verdana" w:hAnsi="Verdana" w:cs="Arial"/>
                <w:lang w:val="es-ES_tradnl"/>
              </w:rPr>
              <w:t>para la determinación de los costos de los contratos de consultoría y la presentación de ofertas en procesos de concurso de méritos es común y aceptada la utilización del mecanismo del factor multiplicador</w:t>
            </w:r>
            <w:r>
              <w:rPr>
                <w:rFonts w:ascii="Verdana" w:hAnsi="Verdana" w:cs="Arial"/>
                <w:lang w:val="es-ES_tradnl"/>
              </w:rPr>
              <w:t>.</w:t>
            </w:r>
            <w:r>
              <w:rPr>
                <w:rFonts w:ascii="Verdana" w:hAnsi="Verdana" w:cs="Arial"/>
              </w:rPr>
              <w:t xml:space="preserve"> </w:t>
            </w:r>
            <w:r w:rsidR="00375E4E">
              <w:rPr>
                <w:rFonts w:ascii="Verdana" w:hAnsi="Verdana" w:cs="Arial"/>
              </w:rPr>
              <w:t>E</w:t>
            </w:r>
            <w:r>
              <w:rPr>
                <w:rFonts w:ascii="Verdana" w:hAnsi="Verdana" w:cs="Arial"/>
              </w:rPr>
              <w:t xml:space="preserve">sta metodología </w:t>
            </w:r>
            <w:r w:rsidR="00375E4E">
              <w:rPr>
                <w:rFonts w:ascii="Verdana" w:hAnsi="Verdana" w:cs="Arial"/>
              </w:rPr>
              <w:t xml:space="preserve">también </w:t>
            </w:r>
            <w:r>
              <w:rPr>
                <w:rFonts w:ascii="Verdana" w:hAnsi="Verdana" w:cs="Arial"/>
              </w:rPr>
              <w:t>resulta razonable y común en la práctica de los contratos de interventoría, pues son una modalidad del contrato de consultoría. E</w:t>
            </w:r>
            <w:r w:rsidR="00921498">
              <w:rPr>
                <w:rFonts w:ascii="Verdana" w:hAnsi="Verdana" w:cs="Arial"/>
              </w:rPr>
              <w:t>l factor multiplicador</w:t>
            </w:r>
            <w:r>
              <w:rPr>
                <w:rFonts w:ascii="Verdana" w:hAnsi="Verdana" w:cs="Arial"/>
              </w:rPr>
              <w:t xml:space="preserve"> </w:t>
            </w:r>
            <w:r w:rsidRPr="004F607E">
              <w:rPr>
                <w:rFonts w:ascii="Verdana" w:hAnsi="Verdana" w:cs="Arial"/>
              </w:rPr>
              <w:t>permite imputar al contrato los costos directos</w:t>
            </w:r>
            <w:r>
              <w:rPr>
                <w:rFonts w:ascii="Verdana" w:hAnsi="Verdana" w:cs="Arial"/>
              </w:rPr>
              <w:t xml:space="preserve"> </w:t>
            </w:r>
            <w:r w:rsidRPr="00167C84">
              <w:rPr>
                <w:rFonts w:ascii="Verdana" w:hAnsi="Verdana" w:cs="Arial"/>
              </w:rPr>
              <w:t xml:space="preserve">asociados a </w:t>
            </w:r>
            <w:r>
              <w:rPr>
                <w:rFonts w:ascii="Verdana" w:hAnsi="Verdana" w:cs="Arial"/>
              </w:rPr>
              <w:t>prestaciones laborales y sociales</w:t>
            </w:r>
            <w:r w:rsidRPr="00167C84">
              <w:rPr>
                <w:rFonts w:ascii="Verdana" w:hAnsi="Verdana" w:cs="Arial"/>
              </w:rPr>
              <w:t xml:space="preserve"> del personal vinculado con carácter exclusivo al proyecto, la utilidad del ingeniero y los costos</w:t>
            </w:r>
            <w:r>
              <w:rPr>
                <w:rFonts w:ascii="Verdana" w:hAnsi="Verdana" w:cs="Arial"/>
              </w:rPr>
              <w:t xml:space="preserve"> </w:t>
            </w:r>
            <w:r w:rsidRPr="00167C84">
              <w:rPr>
                <w:rFonts w:ascii="Verdana" w:hAnsi="Verdana" w:cs="Arial"/>
              </w:rPr>
              <w:t>de administración</w:t>
            </w:r>
            <w:r>
              <w:rPr>
                <w:rFonts w:ascii="Verdana" w:hAnsi="Verdana" w:cs="Arial"/>
              </w:rPr>
              <w:t xml:space="preserve"> relacionados con el personal</w:t>
            </w:r>
            <w:r w:rsidRPr="00167C84">
              <w:rPr>
                <w:rFonts w:ascii="Verdana" w:hAnsi="Verdana" w:cs="Arial"/>
              </w:rPr>
              <w:t>, afectando el valor parcial de la oferta por un factor multiplicador</w:t>
            </w:r>
            <w:r>
              <w:rPr>
                <w:rFonts w:ascii="Verdana" w:hAnsi="Verdana" w:cs="Arial"/>
              </w:rPr>
              <w:t>. De esta manera, solo suele incluir los costos directos e indirectos asociados al personal.</w:t>
            </w:r>
          </w:p>
          <w:p w14:paraId="752A9D4E" w14:textId="006C66D0" w:rsidR="00CC6605" w:rsidRDefault="00CC6605" w:rsidP="00675AF5">
            <w:pPr>
              <w:snapToGrid w:val="0"/>
              <w:spacing w:before="120" w:after="120" w:line="276" w:lineRule="auto"/>
              <w:ind w:firstLine="709"/>
              <w:jc w:val="both"/>
              <w:rPr>
                <w:rFonts w:ascii="Verdana" w:eastAsia="Arial" w:hAnsi="Verdana" w:cs="Arial"/>
                <w:color w:val="000000"/>
                <w:kern w:val="2"/>
                <w14:ligatures w14:val="standardContextual"/>
              </w:rPr>
            </w:pPr>
            <w:r>
              <w:rPr>
                <w:rFonts w:ascii="Verdana" w:eastAsia="Arial" w:hAnsi="Verdana" w:cs="Arial"/>
                <w:color w:val="000000"/>
                <w:kern w:val="2"/>
                <w14:ligatures w14:val="standardContextual"/>
              </w:rPr>
              <w:t>Ahora bien, l</w:t>
            </w:r>
            <w:r w:rsidRPr="00576583">
              <w:rPr>
                <w:rFonts w:ascii="Verdana" w:eastAsia="Arial" w:hAnsi="Verdana" w:cs="Arial"/>
                <w:color w:val="000000"/>
                <w:kern w:val="2"/>
                <w14:ligatures w14:val="standardContextual"/>
              </w:rPr>
              <w:t xml:space="preserve">os costos asociados al personal requerido para ejecutar el contrato son un aspecto que entra a determinar su precio, por lo que son un tema para considerar al hacer el ofrecimiento económico en la etapa de presentación de ofertas, con sujeción al mecanismo para determinar el precio que </w:t>
            </w:r>
            <w:r>
              <w:rPr>
                <w:rFonts w:ascii="Verdana" w:eastAsia="Arial" w:hAnsi="Verdana" w:cs="Arial"/>
                <w:color w:val="000000"/>
                <w:kern w:val="2"/>
                <w14:ligatures w14:val="standardContextual"/>
              </w:rPr>
              <w:t xml:space="preserve">establezca </w:t>
            </w:r>
            <w:r w:rsidRPr="00576583">
              <w:rPr>
                <w:rFonts w:ascii="Verdana" w:eastAsia="Arial" w:hAnsi="Verdana" w:cs="Arial"/>
                <w:color w:val="000000"/>
                <w:kern w:val="2"/>
                <w14:ligatures w14:val="standardContextual"/>
              </w:rPr>
              <w:t>la entidad en el pliego de condiciones. En ese sentido, cuando una entidad incorpora</w:t>
            </w:r>
            <w:r>
              <w:rPr>
                <w:rFonts w:ascii="Verdana" w:eastAsia="Arial" w:hAnsi="Verdana" w:cs="Arial"/>
                <w:color w:val="000000"/>
                <w:kern w:val="2"/>
                <w14:ligatures w14:val="standardContextual"/>
              </w:rPr>
              <w:t>, por ejemplo,</w:t>
            </w:r>
            <w:r w:rsidRPr="00576583">
              <w:rPr>
                <w:rFonts w:ascii="Verdana" w:eastAsia="Arial" w:hAnsi="Verdana" w:cs="Arial"/>
                <w:color w:val="000000"/>
                <w:kern w:val="2"/>
                <w14:ligatures w14:val="standardContextual"/>
              </w:rPr>
              <w:t xml:space="preserve"> el mecanismo del factor multiplicador debe incluir las reglas para que estos sean considerados por los proponentes, de suerte que incluyan los costos asociados al personal para la ejecución del contrato en concordancia con el equipo de trabajo exigido, el cual debe atender unas condiciones y perfiles específicos establecidos en los Documentos del Proceso. Las reglas que discrecionalmente deben establecer las </w:t>
            </w:r>
            <w:r>
              <w:rPr>
                <w:rFonts w:ascii="Verdana" w:eastAsia="Arial" w:hAnsi="Verdana" w:cs="Arial"/>
                <w:color w:val="000000"/>
                <w:kern w:val="2"/>
                <w14:ligatures w14:val="standardContextual"/>
              </w:rPr>
              <w:t>E</w:t>
            </w:r>
            <w:r w:rsidRPr="00576583">
              <w:rPr>
                <w:rFonts w:ascii="Verdana" w:eastAsia="Arial" w:hAnsi="Verdana" w:cs="Arial"/>
                <w:color w:val="000000"/>
                <w:kern w:val="2"/>
                <w14:ligatures w14:val="standardContextual"/>
              </w:rPr>
              <w:t xml:space="preserve">ntidades </w:t>
            </w:r>
            <w:r>
              <w:rPr>
                <w:rFonts w:ascii="Verdana" w:eastAsia="Arial" w:hAnsi="Verdana" w:cs="Arial"/>
                <w:color w:val="000000"/>
                <w:kern w:val="2"/>
                <w14:ligatures w14:val="standardContextual"/>
              </w:rPr>
              <w:t>E</w:t>
            </w:r>
            <w:r w:rsidRPr="00576583">
              <w:rPr>
                <w:rFonts w:ascii="Verdana" w:eastAsia="Arial" w:hAnsi="Verdana" w:cs="Arial"/>
                <w:color w:val="000000"/>
                <w:kern w:val="2"/>
                <w14:ligatures w14:val="standardContextual"/>
              </w:rPr>
              <w:t>statales en los pliegos de condiciones para regular los mencionados aspectos son las que en últimas determinan qu</w:t>
            </w:r>
            <w:r>
              <w:rPr>
                <w:rFonts w:ascii="Verdana" w:eastAsia="Arial" w:hAnsi="Verdana" w:cs="Arial"/>
                <w:color w:val="000000"/>
                <w:kern w:val="2"/>
                <w14:ligatures w14:val="standardContextual"/>
              </w:rPr>
              <w:t>é</w:t>
            </w:r>
            <w:r w:rsidRPr="00576583">
              <w:rPr>
                <w:rFonts w:ascii="Verdana" w:eastAsia="Arial" w:hAnsi="Verdana" w:cs="Arial"/>
                <w:color w:val="000000"/>
                <w:kern w:val="2"/>
                <w14:ligatures w14:val="standardContextual"/>
              </w:rPr>
              <w:t xml:space="preserve"> tipo de contratación de personal es la que corresponde realizar al contratista para ejecutar el proyecto, así como la posibilidad de que los costos de dicha contratación–ya sea laboral o por prestación de servicios– se incorporen al precio del contrato, por la vía del factor multiplicador aplicado para hacer la oferta económica.</w:t>
            </w:r>
          </w:p>
          <w:p w14:paraId="7EE1C29A" w14:textId="13E7DBE2" w:rsidR="00CC6605" w:rsidRDefault="00CC6605" w:rsidP="00675AF5">
            <w:pPr>
              <w:snapToGrid w:val="0"/>
              <w:spacing w:before="120" w:after="120" w:line="276" w:lineRule="auto"/>
              <w:ind w:firstLine="709"/>
              <w:jc w:val="both"/>
              <w:rPr>
                <w:rFonts w:ascii="Verdana" w:eastAsia="Arial" w:hAnsi="Verdana" w:cs="Arial"/>
                <w:color w:val="000000"/>
                <w:kern w:val="2"/>
                <w14:ligatures w14:val="standardContextual"/>
              </w:rPr>
            </w:pPr>
            <w:r>
              <w:rPr>
                <w:rFonts w:ascii="Verdana" w:eastAsia="Calibri" w:hAnsi="Verdana" w:cs="Arial"/>
              </w:rPr>
              <w:t xml:space="preserve">Por otra parte, es necesario que los costos </w:t>
            </w:r>
            <w:r w:rsidRPr="00E42537">
              <w:rPr>
                <w:rFonts w:ascii="Verdana" w:eastAsia="Calibri" w:hAnsi="Verdana" w:cs="Arial"/>
              </w:rPr>
              <w:t>sean correctamente documentados y justificados</w:t>
            </w:r>
            <w:r>
              <w:rPr>
                <w:rFonts w:ascii="Verdana" w:eastAsia="Calibri" w:hAnsi="Verdana" w:cs="Arial"/>
              </w:rPr>
              <w:t xml:space="preserve">, por lo que se recomienda la </w:t>
            </w:r>
            <w:r w:rsidRPr="00DB4441">
              <w:rPr>
                <w:rFonts w:ascii="Verdana" w:eastAsia="Calibri" w:hAnsi="Verdana" w:cs="Arial"/>
              </w:rPr>
              <w:t>presenta</w:t>
            </w:r>
            <w:r>
              <w:rPr>
                <w:rFonts w:ascii="Verdana" w:eastAsia="Calibri" w:hAnsi="Verdana" w:cs="Arial"/>
              </w:rPr>
              <w:t>ción de</w:t>
            </w:r>
            <w:r w:rsidRPr="00DB4441">
              <w:rPr>
                <w:rFonts w:ascii="Verdana" w:eastAsia="Calibri" w:hAnsi="Verdana" w:cs="Arial"/>
              </w:rPr>
              <w:t xml:space="preserve"> facturas y comprobantes de pago que demuestren la ejecución </w:t>
            </w:r>
            <w:r>
              <w:rPr>
                <w:rFonts w:ascii="Verdana" w:eastAsia="Calibri" w:hAnsi="Verdana" w:cs="Arial"/>
              </w:rPr>
              <w:t xml:space="preserve">de </w:t>
            </w:r>
            <w:proofErr w:type="gramStart"/>
            <w:r>
              <w:rPr>
                <w:rFonts w:ascii="Verdana" w:eastAsia="Calibri" w:hAnsi="Verdana" w:cs="Arial"/>
              </w:rPr>
              <w:t>los mismos</w:t>
            </w:r>
            <w:proofErr w:type="gramEnd"/>
            <w:r w:rsidRPr="00DB4441">
              <w:rPr>
                <w:rFonts w:ascii="Verdana" w:eastAsia="Calibri" w:hAnsi="Verdana" w:cs="Arial"/>
              </w:rPr>
              <w:t xml:space="preserve">. </w:t>
            </w:r>
            <w:r>
              <w:rPr>
                <w:rFonts w:ascii="Verdana" w:eastAsia="Arial" w:hAnsi="Verdana" w:cs="Arial"/>
                <w:color w:val="000000"/>
                <w:kern w:val="2"/>
                <w14:ligatures w14:val="standardContextual"/>
              </w:rPr>
              <w:t xml:space="preserve">Asi, por ejemplo, </w:t>
            </w:r>
            <w:r w:rsidRPr="002A7F81">
              <w:rPr>
                <w:rFonts w:ascii="Verdana" w:eastAsia="Calibri" w:hAnsi="Verdana" w:cs="Arial"/>
                <w:color w:val="000000"/>
              </w:rPr>
              <w:t xml:space="preserve">si el factor multiplicador se usa para determinar costos, el </w:t>
            </w:r>
            <w:r w:rsidRPr="002A7F81">
              <w:rPr>
                <w:rFonts w:ascii="Verdana" w:eastAsia="Calibri" w:hAnsi="Verdana" w:cs="Arial"/>
                <w:color w:val="000000"/>
              </w:rPr>
              <w:lastRenderedPageBreak/>
              <w:t xml:space="preserve">contratista debe demostrar el gasto de cada componente. Si ciertos costos no se generan (por ejemplo, si el personal no requiere prestaciones), el contrato debería modificarse para reducir el </w:t>
            </w:r>
            <w:r>
              <w:rPr>
                <w:rFonts w:ascii="Verdana" w:eastAsia="Calibri" w:hAnsi="Verdana" w:cs="Arial"/>
                <w:color w:val="000000"/>
              </w:rPr>
              <w:t>porcentaje</w:t>
            </w:r>
            <w:r w:rsidRPr="002A7F81">
              <w:rPr>
                <w:rFonts w:ascii="Verdana" w:eastAsia="Calibri" w:hAnsi="Verdana" w:cs="Arial"/>
                <w:color w:val="000000"/>
              </w:rPr>
              <w:t xml:space="preserve"> correspondiente.</w:t>
            </w:r>
            <w:r>
              <w:rPr>
                <w:rFonts w:ascii="Verdana" w:eastAsia="Calibri" w:hAnsi="Verdana" w:cs="Arial"/>
                <w:color w:val="000000"/>
              </w:rPr>
              <w:t xml:space="preserve"> </w:t>
            </w:r>
            <w:r w:rsidRPr="002A7F81">
              <w:rPr>
                <w:rFonts w:ascii="Verdana" w:eastAsia="Calibri" w:hAnsi="Verdana" w:cs="Arial"/>
                <w:color w:val="000000"/>
              </w:rPr>
              <w:t>Si la interventoría presentó un informe de proyección de gastos, pero este no fue parte del contrato, la entidad aún puede exigirle soportes de gastos reales. Si los costos directos (ejemplo: nómina, laboratorios</w:t>
            </w:r>
            <w:r>
              <w:rPr>
                <w:rFonts w:ascii="Verdana" w:eastAsia="Calibri" w:hAnsi="Verdana" w:cs="Arial"/>
                <w:color w:val="000000"/>
              </w:rPr>
              <w:t>, etc.</w:t>
            </w:r>
            <w:r w:rsidRPr="002A7F81">
              <w:rPr>
                <w:rFonts w:ascii="Verdana" w:eastAsia="Calibri" w:hAnsi="Verdana" w:cs="Arial"/>
                <w:color w:val="000000"/>
              </w:rPr>
              <w:t>) son menores a lo presupuestado, el saldo no ejecutado debería liberarse y no ser facturado sin justificación.</w:t>
            </w:r>
            <w:r>
              <w:rPr>
                <w:rFonts w:ascii="Verdana" w:eastAsia="Calibri" w:hAnsi="Verdana" w:cs="Arial"/>
                <w:color w:val="000000"/>
              </w:rPr>
              <w:t xml:space="preserve"> </w:t>
            </w:r>
            <w:r w:rsidR="00491F09">
              <w:rPr>
                <w:rFonts w:ascii="Verdana" w:eastAsia="Calibri" w:hAnsi="Verdana" w:cs="Arial"/>
                <w:color w:val="000000"/>
              </w:rPr>
              <w:t>L</w:t>
            </w:r>
            <w:r w:rsidRPr="002A7F81">
              <w:rPr>
                <w:rFonts w:ascii="Verdana" w:eastAsia="Calibri" w:hAnsi="Verdana" w:cs="Arial"/>
                <w:color w:val="000000"/>
              </w:rPr>
              <w:t xml:space="preserve">os valores facturados deben corresponder a costos reales soportados. </w:t>
            </w:r>
          </w:p>
          <w:p w14:paraId="35F38528" w14:textId="2331EFA7" w:rsidR="00CC6605" w:rsidRDefault="00CC6605" w:rsidP="00675AF5">
            <w:pPr>
              <w:snapToGrid w:val="0"/>
              <w:spacing w:before="120" w:after="120" w:line="276" w:lineRule="auto"/>
              <w:ind w:firstLine="709"/>
              <w:jc w:val="both"/>
              <w:rPr>
                <w:rFonts w:ascii="Verdana" w:eastAsia="Arial" w:hAnsi="Verdana" w:cs="Arial"/>
                <w:color w:val="000000"/>
                <w:kern w:val="2"/>
                <w14:ligatures w14:val="standardContextual"/>
              </w:rPr>
            </w:pPr>
            <w:r w:rsidRPr="001B1E8B">
              <w:rPr>
                <w:rFonts w:ascii="Verdana" w:eastAsia="Calibri" w:hAnsi="Verdana" w:cs="Arial"/>
                <w:color w:val="000000"/>
              </w:rPr>
              <w:t xml:space="preserve">En conclusión, cuando la Entidad Estatal haga uso del factor multiplicador, </w:t>
            </w:r>
            <w:r>
              <w:rPr>
                <w:rFonts w:ascii="Verdana" w:eastAsia="Calibri" w:hAnsi="Verdana" w:cs="Arial"/>
                <w:color w:val="000000"/>
              </w:rPr>
              <w:t xml:space="preserve">o metodologías similares, </w:t>
            </w:r>
            <w:r w:rsidRPr="001B1E8B">
              <w:rPr>
                <w:rFonts w:ascii="Verdana" w:eastAsia="Calibri" w:hAnsi="Verdana" w:cs="Arial"/>
                <w:color w:val="000000"/>
              </w:rPr>
              <w:t>debe asegurarse de ejercer una buena vigilancia de la ejecución contractual, con el fin de poder realizar adecuadamente la auditoría de los costos del contrato para pagar sólo aquello</w:t>
            </w:r>
            <w:r w:rsidR="000527CA">
              <w:rPr>
                <w:rFonts w:ascii="Verdana" w:eastAsia="Calibri" w:hAnsi="Verdana" w:cs="Arial"/>
                <w:color w:val="000000"/>
              </w:rPr>
              <w:t>s</w:t>
            </w:r>
            <w:r w:rsidRPr="001B1E8B">
              <w:rPr>
                <w:rFonts w:ascii="Verdana" w:eastAsia="Calibri" w:hAnsi="Verdana" w:cs="Arial"/>
                <w:color w:val="000000"/>
              </w:rPr>
              <w:t xml:space="preserve"> que se hayan causado efectivamente.</w:t>
            </w:r>
            <w:r>
              <w:rPr>
                <w:rFonts w:ascii="Verdana" w:eastAsia="Calibri" w:hAnsi="Verdana" w:cs="Arial"/>
                <w:color w:val="000000"/>
              </w:rPr>
              <w:t xml:space="preserve"> </w:t>
            </w:r>
            <w:r w:rsidRPr="001B1E8B">
              <w:rPr>
                <w:rFonts w:ascii="Verdana" w:eastAsia="Calibri" w:hAnsi="Verdana" w:cs="Arial"/>
                <w:color w:val="000000"/>
              </w:rPr>
              <w:t>Por tanto, podrán verificarse los soportes contables, administrativos y financieros de la ejecución, ya que la Entidad Estatal sólo debe pagar aquellos costos que hubieran sido pagados por el contratista so pena de que se configure un enriquecimiento sin causa de su parte</w:t>
            </w:r>
            <w:r>
              <w:rPr>
                <w:rFonts w:ascii="Verdana" w:eastAsia="Calibri" w:hAnsi="Verdana" w:cs="Arial"/>
                <w:color w:val="000000"/>
              </w:rPr>
              <w:t>.</w:t>
            </w:r>
          </w:p>
          <w:p w14:paraId="5A482912" w14:textId="77777777" w:rsidR="00CC6605" w:rsidRPr="007F70CB" w:rsidRDefault="00CC6605" w:rsidP="00675AF5">
            <w:pPr>
              <w:snapToGrid w:val="0"/>
              <w:spacing w:before="120" w:after="120" w:line="276" w:lineRule="auto"/>
              <w:ind w:firstLine="708"/>
              <w:jc w:val="both"/>
              <w:rPr>
                <w:rFonts w:ascii="Verdana" w:eastAsia="Arial" w:hAnsi="Verdana" w:cs="Arial"/>
                <w:color w:val="000000"/>
                <w:kern w:val="2"/>
                <w14:ligatures w14:val="standardContextual"/>
              </w:rPr>
            </w:pPr>
            <w:r>
              <w:rPr>
                <w:rFonts w:ascii="Verdana" w:hAnsi="Verdana" w:cs="Arial"/>
                <w:bCs/>
                <w:color w:val="000000" w:themeColor="text1"/>
              </w:rPr>
              <w:t xml:space="preserve">De cualquier modo, al </w:t>
            </w:r>
            <w:r w:rsidRPr="00523EE3">
              <w:rPr>
                <w:rFonts w:ascii="Verdana" w:hAnsi="Verdana" w:cs="Arial"/>
                <w:bCs/>
                <w:color w:val="000000" w:themeColor="text1"/>
              </w:rPr>
              <w:t xml:space="preserve">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w:t>
            </w:r>
            <w:r>
              <w:rPr>
                <w:rFonts w:ascii="Verdana" w:hAnsi="Verdana" w:cs="Arial"/>
                <w:bCs/>
                <w:color w:val="000000" w:themeColor="text1"/>
              </w:rPr>
              <w:t>atender las necesidades de la entidad pública</w:t>
            </w:r>
            <w:r w:rsidRPr="00523EE3">
              <w:rPr>
                <w:rFonts w:ascii="Verdana" w:hAnsi="Verdana" w:cs="Arial"/>
                <w:bCs/>
                <w:color w:val="000000" w:themeColor="text1"/>
              </w:rPr>
              <w:t>.</w:t>
            </w:r>
          </w:p>
        </w:tc>
      </w:tr>
    </w:tbl>
    <w:p w14:paraId="7ECF83E6" w14:textId="77777777" w:rsidR="00CC6605" w:rsidRPr="008F1FB6" w:rsidRDefault="00CC6605" w:rsidP="00CC6605">
      <w:pPr>
        <w:tabs>
          <w:tab w:val="left" w:pos="142"/>
          <w:tab w:val="left" w:pos="284"/>
        </w:tabs>
        <w:spacing w:after="0" w:line="276" w:lineRule="auto"/>
        <w:jc w:val="both"/>
        <w:rPr>
          <w:rFonts w:ascii="Verdana" w:eastAsia="Century Gothic" w:hAnsi="Verdana" w:cs="Century Gothic"/>
          <w:b/>
          <w:bCs/>
          <w:lang w:val="es-ES"/>
        </w:rPr>
      </w:pPr>
    </w:p>
    <w:p w14:paraId="7A0401A4" w14:textId="77777777" w:rsidR="00CC6605" w:rsidRPr="008F1FB6" w:rsidRDefault="00CC6605" w:rsidP="00CC660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Razones de la respuesta:</w:t>
      </w:r>
    </w:p>
    <w:p w14:paraId="06BFF0C9" w14:textId="77777777" w:rsidR="00CC6605" w:rsidRPr="008F1FB6" w:rsidRDefault="00CC6605" w:rsidP="00CC6605">
      <w:pPr>
        <w:spacing w:after="0" w:line="276" w:lineRule="auto"/>
        <w:jc w:val="both"/>
        <w:rPr>
          <w:rFonts w:ascii="Verdana" w:eastAsia="Calibri" w:hAnsi="Verdana" w:cs="Arial"/>
          <w:color w:val="7030A0"/>
          <w:lang w:val="es-ES"/>
        </w:rPr>
      </w:pPr>
    </w:p>
    <w:p w14:paraId="0C84FA68" w14:textId="77777777" w:rsidR="00CC6605" w:rsidRDefault="00CC6605" w:rsidP="00CC6605">
      <w:pPr>
        <w:spacing w:after="0" w:line="276" w:lineRule="auto"/>
        <w:jc w:val="both"/>
        <w:rPr>
          <w:rFonts w:ascii="Verdana" w:eastAsia="Calibri" w:hAnsi="Verdana" w:cs="Arial"/>
          <w:lang w:val="es-ES"/>
        </w:rPr>
      </w:pPr>
      <w:r w:rsidRPr="008F1FB6">
        <w:rPr>
          <w:rFonts w:ascii="Verdana" w:eastAsia="Calibri" w:hAnsi="Verdana" w:cs="Arial"/>
          <w:lang w:val="es-ES"/>
        </w:rPr>
        <w:t xml:space="preserve">Lo anterior se sustenta en las siguientes consideraciones: </w:t>
      </w:r>
    </w:p>
    <w:p w14:paraId="648721C6" w14:textId="77777777" w:rsidR="00CC6605" w:rsidRDefault="00CC6605" w:rsidP="00CC6605">
      <w:pPr>
        <w:spacing w:after="0" w:line="276" w:lineRule="auto"/>
        <w:jc w:val="both"/>
        <w:rPr>
          <w:rFonts w:ascii="Verdana" w:eastAsia="Calibri" w:hAnsi="Verdana" w:cs="Arial"/>
          <w:lang w:val="es-ES"/>
        </w:rPr>
      </w:pPr>
    </w:p>
    <w:p w14:paraId="2F279966" w14:textId="77777777" w:rsidR="00CC6605" w:rsidRPr="006C0D6B" w:rsidRDefault="00CC6605" w:rsidP="00CC6605">
      <w:pPr>
        <w:spacing w:after="120" w:line="276" w:lineRule="auto"/>
        <w:jc w:val="both"/>
        <w:rPr>
          <w:rFonts w:ascii="Verdana" w:eastAsia="Calibri" w:hAnsi="Verdana" w:cs="Arial"/>
          <w:color w:val="000000" w:themeColor="text1"/>
          <w:lang w:val="es-ES"/>
        </w:rPr>
      </w:pPr>
      <w:r w:rsidRPr="006C0D6B">
        <w:rPr>
          <w:rFonts w:ascii="Verdana" w:eastAsia="Calibri" w:hAnsi="Verdana" w:cs="Arial"/>
          <w:color w:val="000000" w:themeColor="text1"/>
          <w:lang w:val="es-ES"/>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w:t>
      </w:r>
      <w:r w:rsidRPr="006C0D6B">
        <w:rPr>
          <w:rFonts w:ascii="Verdana" w:eastAsia="Calibri" w:hAnsi="Verdana" w:cs="Arial"/>
          <w:color w:val="000000" w:themeColor="text1"/>
          <w:lang w:val="es-ES"/>
        </w:rPr>
        <w:lastRenderedPageBreak/>
        <w:t>estipular el precio. Tal metodología generalmente depende del tipo de contrato, pues hay algunas modalidades más comunes en los de obra pública; otras más utilizadas en los de prestación de servicios y otras más indicadas para los de concesión, por mencionar algunos ejemplos. No hay</w:t>
      </w:r>
      <w:r>
        <w:rPr>
          <w:rFonts w:ascii="Verdana" w:eastAsia="Calibri" w:hAnsi="Verdana" w:cs="Arial"/>
          <w:color w:val="000000" w:themeColor="text1"/>
          <w:lang w:val="es-ES"/>
        </w:rPr>
        <w:t xml:space="preserve"> </w:t>
      </w:r>
      <w:r w:rsidRPr="006C0D6B">
        <w:rPr>
          <w:rFonts w:ascii="Verdana" w:eastAsia="Calibri" w:hAnsi="Verdana" w:cs="Arial"/>
          <w:color w:val="000000" w:themeColor="text1"/>
          <w:lang w:val="es-ES"/>
        </w:rPr>
        <w:t xml:space="preserve">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6C0D6B">
        <w:rPr>
          <w:rFonts w:ascii="Verdana" w:eastAsia="Calibri" w:hAnsi="Verdana" w:cs="Arial"/>
          <w:color w:val="000000" w:themeColor="text1"/>
          <w:lang w:val="es-ES"/>
        </w:rPr>
        <w:t>ii</w:t>
      </w:r>
      <w:proofErr w:type="spellEnd"/>
      <w:r w:rsidRPr="006C0D6B">
        <w:rPr>
          <w:rFonts w:ascii="Verdana" w:eastAsia="Calibri" w:hAnsi="Verdana" w:cs="Arial"/>
          <w:color w:val="000000" w:themeColor="text1"/>
          <w:lang w:val="es-ES"/>
        </w:rPr>
        <w:t xml:space="preserve">) el precio global –que equivale al monto total, por la realización integral del objeto del contrato, sin discriminar unidades–, y </w:t>
      </w:r>
      <w:proofErr w:type="spellStart"/>
      <w:r w:rsidRPr="006C0D6B">
        <w:rPr>
          <w:rFonts w:ascii="Verdana" w:eastAsia="Calibri" w:hAnsi="Verdana" w:cs="Arial"/>
          <w:color w:val="000000" w:themeColor="text1"/>
          <w:lang w:val="es-ES"/>
        </w:rPr>
        <w:t>iii</w:t>
      </w:r>
      <w:proofErr w:type="spellEnd"/>
      <w:r w:rsidRPr="006C0D6B">
        <w:rPr>
          <w:rFonts w:ascii="Verdana" w:eastAsia="Calibri" w:hAnsi="Verdana" w:cs="Arial"/>
          <w:color w:val="000000" w:themeColor="text1"/>
          <w:lang w:val="es-ES"/>
        </w:rPr>
        <w:t>) la administración delegada de recursos –en la que se distinguen los costos de inversión de los honorarios del administrador–.</w:t>
      </w:r>
    </w:p>
    <w:p w14:paraId="1D34AA2F" w14:textId="77777777" w:rsidR="00CC6605" w:rsidRDefault="00CC6605" w:rsidP="00CC6605">
      <w:pPr>
        <w:spacing w:after="120" w:line="276" w:lineRule="auto"/>
        <w:ind w:firstLine="709"/>
        <w:jc w:val="both"/>
        <w:rPr>
          <w:rFonts w:ascii="Verdana" w:eastAsia="Times New Roman" w:hAnsi="Verdana" w:cs="Arial"/>
          <w:bCs/>
          <w:lang w:val="es-ES_tradnl" w:eastAsia="es-CO"/>
        </w:rPr>
      </w:pPr>
      <w:r w:rsidRPr="00BE3090">
        <w:rPr>
          <w:rFonts w:ascii="Verdana" w:eastAsia="Calibri" w:hAnsi="Verdana" w:cs="Arial"/>
          <w:lang w:val="es-ES"/>
        </w:rPr>
        <w:t>Por ello, las Entidades Estatales en la etapa previa a la contratación, es decir en la fase de planeación y, dependiendo de la tipología contractual, determinarán la metodología mediante la cual realizarán el cálculo del valor o precio del contrato apoyándose</w:t>
      </w:r>
      <w:r>
        <w:rPr>
          <w:rFonts w:ascii="Verdana" w:eastAsia="Calibri" w:hAnsi="Verdana" w:cs="Arial"/>
          <w:lang w:val="es-ES"/>
        </w:rPr>
        <w:t>,</w:t>
      </w:r>
      <w:r w:rsidRPr="00BE3090">
        <w:rPr>
          <w:rFonts w:ascii="Verdana" w:eastAsia="Calibri" w:hAnsi="Verdana" w:cs="Arial"/>
          <w:lang w:val="es-ES"/>
        </w:rPr>
        <w:t xml:space="preserve"> entre otros aspectos, en la costumbre mercantil o el conocimiento impartido en ciencias como la ingeniería, de las que son propias los sistemas de precios unitarios y </w:t>
      </w:r>
      <w:r>
        <w:rPr>
          <w:rFonts w:ascii="Verdana" w:eastAsia="Calibri" w:hAnsi="Verdana" w:cs="Arial"/>
          <w:lang w:val="es-ES"/>
        </w:rPr>
        <w:t>la metodología</w:t>
      </w:r>
      <w:r w:rsidRPr="00BE3090">
        <w:rPr>
          <w:rFonts w:ascii="Verdana" w:eastAsia="Calibri" w:hAnsi="Verdana" w:cs="Arial"/>
          <w:lang w:val="es-ES"/>
        </w:rPr>
        <w:t xml:space="preserve"> del factor multiplicador. Sin embargo, es preciso aclarar </w:t>
      </w:r>
      <w:r>
        <w:rPr>
          <w:rFonts w:ascii="Verdana" w:eastAsia="Calibri" w:hAnsi="Verdana" w:cs="Arial"/>
          <w:lang w:val="es-ES"/>
        </w:rPr>
        <w:t xml:space="preserve">que estos sistemas de fijación de precios no son </w:t>
      </w:r>
      <w:r w:rsidRPr="00BE3090">
        <w:rPr>
          <w:rFonts w:ascii="Verdana" w:eastAsia="Calibri" w:hAnsi="Verdana" w:cs="Arial"/>
          <w:lang w:val="es-ES"/>
        </w:rPr>
        <w:t xml:space="preserve">asuntos expresamente regulados en el conjunto de las disposiciones legales o reglamentarias que integran la normativa contractual del Estado, pues </w:t>
      </w:r>
      <w:r>
        <w:rPr>
          <w:rFonts w:ascii="Verdana" w:eastAsia="Calibri" w:hAnsi="Verdana" w:cs="Arial"/>
          <w:lang w:val="es-ES"/>
        </w:rPr>
        <w:t>su</w:t>
      </w:r>
      <w:r w:rsidRPr="00BE3090">
        <w:rPr>
          <w:rFonts w:ascii="Verdana" w:eastAsia="Calibri" w:hAnsi="Verdana" w:cs="Arial"/>
          <w:lang w:val="es-ES"/>
        </w:rPr>
        <w:t xml:space="preserve"> justificación procede incluso de la formación universitaria que reciben los ingenieros, a quienes se les enseña esta metodología para elaborar las ofertas. En ese sentido, estas metodologías para la configuración del precio de</w:t>
      </w:r>
      <w:r>
        <w:rPr>
          <w:rFonts w:ascii="Verdana" w:eastAsia="Calibri" w:hAnsi="Verdana" w:cs="Arial"/>
          <w:lang w:val="es-ES"/>
        </w:rPr>
        <w:t>l</w:t>
      </w:r>
      <w:r w:rsidRPr="00BE3090">
        <w:rPr>
          <w:rFonts w:ascii="Verdana" w:eastAsia="Calibri" w:hAnsi="Verdana" w:cs="Arial"/>
          <w:lang w:val="es-ES"/>
        </w:rPr>
        <w:t xml:space="preserve"> contrato, </w:t>
      </w:r>
      <w:r>
        <w:rPr>
          <w:rFonts w:ascii="Verdana" w:eastAsia="Calibri" w:hAnsi="Verdana" w:cs="Arial"/>
          <w:lang w:val="es-ES"/>
        </w:rPr>
        <w:t xml:space="preserve">que son </w:t>
      </w:r>
      <w:r w:rsidRPr="00BE3090">
        <w:rPr>
          <w:rFonts w:ascii="Verdana" w:eastAsia="Calibri" w:hAnsi="Verdana" w:cs="Arial"/>
          <w:lang w:val="es-ES"/>
        </w:rPr>
        <w:t>determinantes para la elaboración de la propuesta económica, no proceden de la ley ni del reglamento, sino de la costumbre</w:t>
      </w:r>
      <w:r w:rsidRPr="00BE3090">
        <w:rPr>
          <w:rFonts w:ascii="Verdana" w:eastAsia="Times New Roman" w:hAnsi="Verdana" w:cs="Arial"/>
          <w:vertAlign w:val="superscript"/>
          <w:lang w:val="es-ES_tradnl" w:eastAsia="es-CO"/>
        </w:rPr>
        <w:footnoteReference w:id="2"/>
      </w:r>
      <w:r w:rsidRPr="00BE3090">
        <w:rPr>
          <w:rFonts w:ascii="Verdana" w:eastAsia="Times New Roman" w:hAnsi="Verdana" w:cs="Arial"/>
          <w:bCs/>
          <w:lang w:val="es-ES_tradnl" w:eastAsia="es-CO"/>
        </w:rPr>
        <w:t>.</w:t>
      </w:r>
    </w:p>
    <w:p w14:paraId="08719589" w14:textId="77777777" w:rsidR="00CC6605" w:rsidRDefault="00CC6605" w:rsidP="00CC6605">
      <w:pPr>
        <w:spacing w:after="120" w:line="276" w:lineRule="auto"/>
        <w:ind w:firstLine="709"/>
        <w:jc w:val="both"/>
        <w:rPr>
          <w:rFonts w:ascii="Verdana" w:eastAsia="Calibri" w:hAnsi="Verdana"/>
          <w:lang w:val="es-ES"/>
        </w:rPr>
      </w:pPr>
      <w:r w:rsidRPr="00BE3090">
        <w:rPr>
          <w:rFonts w:ascii="Verdana" w:eastAsia="Calibri" w:hAnsi="Verdana"/>
          <w:lang w:val="es-ES"/>
        </w:rPr>
        <w:t>Conforme a lo anterior</w:t>
      </w:r>
      <w:r w:rsidRPr="006849F1">
        <w:rPr>
          <w:rFonts w:ascii="Verdana" w:eastAsia="Calibri" w:hAnsi="Verdana"/>
          <w:lang w:val="es-ES"/>
        </w:rPr>
        <w:t>, el principal sustento para que las Entidades Estatales sujetas al E</w:t>
      </w:r>
      <w:r>
        <w:rPr>
          <w:rFonts w:ascii="Verdana" w:eastAsia="Calibri" w:hAnsi="Verdana"/>
          <w:lang w:val="es-ES"/>
        </w:rPr>
        <w:t xml:space="preserve">statuto </w:t>
      </w:r>
      <w:r w:rsidRPr="006849F1">
        <w:rPr>
          <w:rFonts w:ascii="Verdana" w:eastAsia="Calibri" w:hAnsi="Verdana"/>
          <w:lang w:val="es-ES"/>
        </w:rPr>
        <w:t>G</w:t>
      </w:r>
      <w:r>
        <w:rPr>
          <w:rFonts w:ascii="Verdana" w:eastAsia="Calibri" w:hAnsi="Verdana"/>
          <w:lang w:val="es-ES"/>
        </w:rPr>
        <w:t xml:space="preserve">eneral de </w:t>
      </w:r>
      <w:r w:rsidRPr="006849F1">
        <w:rPr>
          <w:rFonts w:ascii="Verdana" w:eastAsia="Calibri" w:hAnsi="Verdana"/>
          <w:lang w:val="es-ES"/>
        </w:rPr>
        <w:t>C</w:t>
      </w:r>
      <w:r>
        <w:rPr>
          <w:rFonts w:ascii="Verdana" w:eastAsia="Calibri" w:hAnsi="Verdana"/>
          <w:lang w:val="es-ES"/>
        </w:rPr>
        <w:t xml:space="preserve">ontratación de la </w:t>
      </w:r>
      <w:r w:rsidRPr="006849F1">
        <w:rPr>
          <w:rFonts w:ascii="Verdana" w:eastAsia="Calibri" w:hAnsi="Verdana"/>
          <w:lang w:val="es-ES"/>
        </w:rPr>
        <w:t>A</w:t>
      </w:r>
      <w:r>
        <w:rPr>
          <w:rFonts w:ascii="Verdana" w:eastAsia="Calibri" w:hAnsi="Verdana"/>
          <w:lang w:val="es-ES"/>
        </w:rPr>
        <w:t xml:space="preserve">dministración </w:t>
      </w:r>
      <w:r w:rsidRPr="006849F1">
        <w:rPr>
          <w:rFonts w:ascii="Verdana" w:eastAsia="Calibri" w:hAnsi="Verdana"/>
          <w:lang w:val="es-ES"/>
        </w:rPr>
        <w:t>P</w:t>
      </w:r>
      <w:r>
        <w:rPr>
          <w:rFonts w:ascii="Verdana" w:eastAsia="Calibri" w:hAnsi="Verdana"/>
          <w:lang w:val="es-ES"/>
        </w:rPr>
        <w:t>ública (EGCAP)</w:t>
      </w:r>
      <w:r w:rsidRPr="006849F1">
        <w:rPr>
          <w:rFonts w:ascii="Verdana" w:eastAsia="Calibri" w:hAnsi="Verdana"/>
          <w:lang w:val="es-ES"/>
        </w:rPr>
        <w:t>, como las excluidas de este, apliquen las referidas metodologías,</w:t>
      </w:r>
      <w:r>
        <w:rPr>
          <w:rFonts w:ascii="Verdana" w:eastAsia="Calibri" w:hAnsi="Verdana"/>
          <w:lang w:val="es-ES"/>
        </w:rPr>
        <w:t xml:space="preserve"> </w:t>
      </w:r>
      <w:r w:rsidRPr="006849F1">
        <w:rPr>
          <w:rFonts w:ascii="Verdana" w:eastAsia="Calibri" w:hAnsi="Verdana"/>
          <w:lang w:val="es-ES"/>
        </w:rPr>
        <w:t>es la autonomía de la que gozan para la estructuración de las condiciones del negocio jurídico, determina</w:t>
      </w:r>
      <w:r>
        <w:rPr>
          <w:rFonts w:ascii="Verdana" w:eastAsia="Calibri" w:hAnsi="Verdana"/>
          <w:lang w:val="es-ES"/>
        </w:rPr>
        <w:t>n</w:t>
      </w:r>
      <w:r w:rsidRPr="006849F1">
        <w:rPr>
          <w:rFonts w:ascii="Verdana" w:eastAsia="Calibri" w:hAnsi="Verdana"/>
          <w:lang w:val="es-ES"/>
        </w:rPr>
        <w:t>do el sistema más apropiado para satisfacer los fines de la contratación</w:t>
      </w:r>
      <w:r>
        <w:rPr>
          <w:rFonts w:ascii="Verdana" w:eastAsia="Calibri" w:hAnsi="Verdana"/>
          <w:lang w:val="es-ES"/>
        </w:rPr>
        <w:t xml:space="preserve"> y</w:t>
      </w:r>
      <w:r w:rsidRPr="006849F1">
        <w:rPr>
          <w:rFonts w:ascii="Verdana" w:eastAsia="Calibri" w:hAnsi="Verdana"/>
          <w:lang w:val="es-ES"/>
        </w:rPr>
        <w:t xml:space="preserve"> respetando los límites previstos en el ordenamiento. De ahí que las entidades cuenten con la discrecionalidad para </w:t>
      </w:r>
      <w:r w:rsidRPr="006849F1">
        <w:rPr>
          <w:rFonts w:ascii="Verdana" w:eastAsia="Calibri" w:hAnsi="Verdana"/>
          <w:lang w:val="es-ES"/>
        </w:rPr>
        <w:lastRenderedPageBreak/>
        <w:t>disponer en los documentos del proceso la aplicación de metodologías como el sistema de precios unitarios y el sistema del factor multiplicador, siempre que resulten adecuadas y proporcionales al objeto del contrato.</w:t>
      </w:r>
    </w:p>
    <w:p w14:paraId="08824EB0" w14:textId="77777777" w:rsidR="00CC6605" w:rsidRPr="00B5788F" w:rsidRDefault="00CC6605" w:rsidP="00CC6605">
      <w:pPr>
        <w:spacing w:after="120" w:line="276" w:lineRule="auto"/>
        <w:ind w:firstLine="708"/>
        <w:jc w:val="both"/>
        <w:rPr>
          <w:rFonts w:ascii="Verdana" w:eastAsia="Calibri" w:hAnsi="Verdana" w:cs="Arial"/>
        </w:rPr>
      </w:pPr>
      <w:r>
        <w:rPr>
          <w:rFonts w:ascii="Verdana" w:hAnsi="Verdana" w:cs="Arial"/>
          <w:lang w:val="es-ES_tradnl"/>
        </w:rPr>
        <w:t>Ahora bien</w:t>
      </w:r>
      <w:r w:rsidRPr="007F7944">
        <w:rPr>
          <w:rFonts w:ascii="Verdana" w:hAnsi="Verdana" w:cs="Arial"/>
          <w:lang w:val="es-ES_tradnl"/>
        </w:rPr>
        <w:t xml:space="preserve">, </w:t>
      </w:r>
      <w:r>
        <w:rPr>
          <w:rFonts w:ascii="Verdana" w:hAnsi="Verdana" w:cs="Arial"/>
          <w:lang w:val="es-ES_tradnl"/>
        </w:rPr>
        <w:t xml:space="preserve">considerando el tema de su consulta, se resalta que </w:t>
      </w:r>
      <w:r w:rsidRPr="007F7944">
        <w:rPr>
          <w:rFonts w:ascii="Verdana" w:hAnsi="Verdana" w:cs="Arial"/>
          <w:lang w:val="es-ES_tradnl"/>
        </w:rPr>
        <w:t>para la determinación de los costos de los contratos de consultoría y la presentación de ofertas en procesos de concurso de méritos es común y aceptada la utilización del mecanismo del factor multiplicador</w:t>
      </w:r>
      <w:r>
        <w:rPr>
          <w:rFonts w:ascii="Verdana" w:hAnsi="Verdana" w:cs="Arial"/>
          <w:lang w:val="es-ES_tradnl"/>
        </w:rPr>
        <w:t>.</w:t>
      </w:r>
      <w:r w:rsidRPr="00F03B52">
        <w:rPr>
          <w:rFonts w:ascii="Verdana" w:hAnsi="Verdana" w:cs="Arial"/>
        </w:rPr>
        <w:t xml:space="preserve"> </w:t>
      </w:r>
      <w:r w:rsidRPr="00167C84">
        <w:rPr>
          <w:rFonts w:ascii="Verdana" w:hAnsi="Verdana" w:cs="Arial"/>
        </w:rPr>
        <w:t>Esta metodología</w:t>
      </w:r>
      <w:r>
        <w:rPr>
          <w:rFonts w:ascii="Verdana" w:hAnsi="Verdana" w:cs="Arial"/>
        </w:rPr>
        <w:t>,</w:t>
      </w:r>
      <w:r w:rsidRPr="00167C84">
        <w:rPr>
          <w:rFonts w:ascii="Verdana" w:hAnsi="Verdana" w:cs="Arial"/>
        </w:rPr>
        <w:t xml:space="preserve"> al igual que el AIU</w:t>
      </w:r>
      <w:r>
        <w:rPr>
          <w:rFonts w:ascii="Verdana" w:hAnsi="Verdana" w:cs="Arial"/>
        </w:rPr>
        <w:t>,</w:t>
      </w:r>
      <w:r w:rsidRPr="00167C84">
        <w:rPr>
          <w:rFonts w:ascii="Verdana" w:hAnsi="Verdana" w:cs="Arial"/>
        </w:rPr>
        <w:t xml:space="preserve"> no se encuentra hoy día regulada en el ordenamiento jurídico, sin embargo, la misma estuvo en su momento reglamenta en el Decreto 1552 de 1983</w:t>
      </w:r>
      <w:r w:rsidRPr="00167C84">
        <w:rPr>
          <w:rStyle w:val="Refdenotaalpie"/>
          <w:rFonts w:ascii="Verdana" w:hAnsi="Verdana" w:cs="Arial"/>
        </w:rPr>
        <w:footnoteReference w:id="3"/>
      </w:r>
      <w:r w:rsidRPr="00167C84">
        <w:rPr>
          <w:rFonts w:ascii="Verdana" w:hAnsi="Verdana" w:cs="Arial"/>
        </w:rPr>
        <w:t>, norma referente al desarrollo de proceso concursos para la selección de consultores, antes de la entrada en vigor de la Ley 80 de 1993.</w:t>
      </w:r>
      <w:r w:rsidRPr="00B5788F">
        <w:rPr>
          <w:rFonts w:ascii="Verdana" w:eastAsia="Calibri" w:hAnsi="Verdana" w:cs="Arial"/>
          <w:lang w:val="es-ES"/>
        </w:rPr>
        <w:t xml:space="preserve"> El artículo 33 del Decreto 1522 de 1983 establecía que el costo total de contrato de consultoría debía </w:t>
      </w:r>
      <w:r w:rsidRPr="00167C84">
        <w:rPr>
          <w:rFonts w:ascii="Verdana" w:eastAsia="Calibri" w:hAnsi="Verdana" w:cs="Arial"/>
          <w:i/>
          <w:iCs/>
          <w:lang w:val="es-ES"/>
        </w:rPr>
        <w:t xml:space="preserve">“[…] </w:t>
      </w:r>
      <w:r w:rsidRPr="00167C84">
        <w:rPr>
          <w:rFonts w:ascii="Verdana" w:eastAsia="Calibri" w:hAnsi="Verdana" w:cs="Arial"/>
          <w:i/>
          <w:iCs/>
        </w:rPr>
        <w:t>cubrir íntegramente los costos directos derivados de la ejecución de la consultoría y el estimado de los indirectos y la utilidad del consultor”</w:t>
      </w:r>
      <w:r w:rsidRPr="00B5788F">
        <w:rPr>
          <w:rStyle w:val="Refdenotaalpie"/>
          <w:rFonts w:ascii="Verdana" w:eastAsia="Calibri" w:hAnsi="Verdana" w:cs="Arial"/>
          <w:i/>
          <w:iCs/>
        </w:rPr>
        <w:footnoteReference w:id="4"/>
      </w:r>
      <w:r w:rsidRPr="00B5788F">
        <w:rPr>
          <w:rFonts w:ascii="Verdana" w:eastAsia="Calibri" w:hAnsi="Verdana" w:cs="Arial"/>
        </w:rPr>
        <w:t xml:space="preserve">, mientras que el segundo inciso del artículo 34 señalaba </w:t>
      </w:r>
      <w:r w:rsidRPr="00167C84">
        <w:rPr>
          <w:rFonts w:ascii="Verdana" w:eastAsia="Calibri" w:hAnsi="Verdana" w:cs="Arial"/>
          <w:i/>
          <w:iCs/>
        </w:rPr>
        <w:t>“Para cubrir los costos de provisión laboral prestacional, los costos indirectos y la utilidad del consultor, podrá utilizarse el método del factor multiplicador. Este consiste en un factor que, aplicado a los costos directos de personal, arroja un monto que cubre los anteriormente mencionados”</w:t>
      </w:r>
      <w:r w:rsidRPr="00B5788F">
        <w:rPr>
          <w:rStyle w:val="Refdenotaalpie"/>
          <w:rFonts w:ascii="Verdana" w:eastAsia="Calibri" w:hAnsi="Verdana" w:cs="Arial"/>
          <w:i/>
          <w:iCs/>
        </w:rPr>
        <w:footnoteReference w:id="5"/>
      </w:r>
      <w:r w:rsidRPr="00167C84">
        <w:rPr>
          <w:rFonts w:ascii="Verdana" w:eastAsia="Calibri" w:hAnsi="Verdana" w:cs="Arial"/>
          <w:i/>
          <w:iCs/>
        </w:rPr>
        <w:t xml:space="preserve">.  </w:t>
      </w:r>
    </w:p>
    <w:p w14:paraId="0A1165F8" w14:textId="77777777" w:rsidR="00CC6605" w:rsidRPr="000C2611" w:rsidRDefault="00CC6605" w:rsidP="00CC6605">
      <w:pPr>
        <w:spacing w:after="120" w:line="276" w:lineRule="auto"/>
        <w:ind w:firstLine="709"/>
        <w:jc w:val="both"/>
        <w:rPr>
          <w:rFonts w:ascii="Verdana" w:hAnsi="Verdana" w:cs="Arial"/>
        </w:rPr>
      </w:pPr>
      <w:r w:rsidRPr="00B5788F">
        <w:rPr>
          <w:rFonts w:ascii="Verdana" w:eastAsia="Calibri" w:hAnsi="Verdana" w:cs="Arial"/>
        </w:rPr>
        <w:lastRenderedPageBreak/>
        <w:t xml:space="preserve">Esta normativa no se encuentra vigente al haber sido derogada por el Decreto 2326 de 1995, las disposiciones que hoy día regulan los concursos de méritos no establecen una regulación análoga a la de los artículos 33 y 34 del Decreto 1522 de 1993, que </w:t>
      </w:r>
      <w:r>
        <w:rPr>
          <w:rFonts w:ascii="Verdana" w:eastAsia="Calibri" w:hAnsi="Verdana" w:cs="Arial"/>
        </w:rPr>
        <w:t xml:space="preserve">se refiera de </w:t>
      </w:r>
      <w:r w:rsidRPr="00B5788F">
        <w:rPr>
          <w:rFonts w:ascii="Verdana" w:eastAsia="Calibri" w:hAnsi="Verdana" w:cs="Arial"/>
        </w:rPr>
        <w:t xml:space="preserve">manera detallada </w:t>
      </w:r>
      <w:r>
        <w:rPr>
          <w:rFonts w:ascii="Verdana" w:eastAsia="Calibri" w:hAnsi="Verdana" w:cs="Arial"/>
        </w:rPr>
        <w:t xml:space="preserve">a </w:t>
      </w:r>
      <w:r w:rsidRPr="00B5788F">
        <w:rPr>
          <w:rFonts w:ascii="Verdana" w:eastAsia="Calibri" w:hAnsi="Verdana" w:cs="Arial"/>
        </w:rPr>
        <w:t xml:space="preserve">la forma </w:t>
      </w:r>
      <w:r>
        <w:rPr>
          <w:rFonts w:ascii="Verdana" w:eastAsia="Calibri" w:hAnsi="Verdana" w:cs="Arial"/>
        </w:rPr>
        <w:t>para</w:t>
      </w:r>
      <w:r w:rsidRPr="00B5788F">
        <w:rPr>
          <w:rFonts w:ascii="Verdana" w:eastAsia="Calibri" w:hAnsi="Verdana" w:cs="Arial"/>
        </w:rPr>
        <w:t xml:space="preserve"> determinar el valor de los contratos de consultoría. Sin embargo, su análisis ofrece ciertas claridades en torno a c</w:t>
      </w:r>
      <w:r>
        <w:rPr>
          <w:rFonts w:ascii="Verdana" w:eastAsia="Calibri" w:hAnsi="Verdana" w:cs="Arial"/>
        </w:rPr>
        <w:t>ó</w:t>
      </w:r>
      <w:r w:rsidRPr="00B5788F">
        <w:rPr>
          <w:rFonts w:ascii="Verdana" w:eastAsia="Calibri" w:hAnsi="Verdana" w:cs="Arial"/>
        </w:rPr>
        <w:t>mo se ha incorporado el sistema del factor multiplicador en la práctica contractual en vigencia de las Leyes 80 de 1993 y 1150 de 2007, reglamentadas en el Decreto 1082 de 2015, cuerpos normativos que si bien no se refieren de manera expresa al uso del factor multiplicador, tampoco restringen su uso en el marco de la discrecionalidad que les asiste a las Entidades Estatales para determinar el valor de los contratos estatales que desarrollan</w:t>
      </w:r>
      <w:r w:rsidRPr="00167C84">
        <w:rPr>
          <w:rStyle w:val="Refdenotaalpie"/>
          <w:rFonts w:ascii="Verdana" w:hAnsi="Verdana" w:cs="Arial"/>
        </w:rPr>
        <w:footnoteReference w:id="6"/>
      </w:r>
      <w:r w:rsidRPr="00B5788F">
        <w:rPr>
          <w:rFonts w:ascii="Verdana" w:eastAsia="Calibri" w:hAnsi="Verdana" w:cs="Arial"/>
        </w:rPr>
        <w:t xml:space="preserve">. </w:t>
      </w:r>
    </w:p>
    <w:p w14:paraId="58819F21" w14:textId="77777777" w:rsidR="00CC6605" w:rsidRPr="006849F1" w:rsidRDefault="00CC6605" w:rsidP="00CC6605">
      <w:pPr>
        <w:spacing w:after="120" w:line="276" w:lineRule="auto"/>
        <w:ind w:firstLine="709"/>
        <w:jc w:val="both"/>
        <w:rPr>
          <w:rFonts w:ascii="Verdana" w:eastAsia="Calibri" w:hAnsi="Verdana" w:cs="Arial"/>
          <w:lang w:val="es-ES"/>
        </w:rPr>
      </w:pPr>
      <w:r>
        <w:rPr>
          <w:rFonts w:ascii="Verdana" w:hAnsi="Verdana" w:cs="Arial"/>
        </w:rPr>
        <w:t xml:space="preserve">De otra parte, en torno a la aplicación del factor multiplicador en contratos de interventoría, se estima que la misma resulta razonable y común en la práctica en tanto estos son una modalidad del contrato de consultoría, a luz de lo dispuesto en el artículo 32, numeral 2 de la Ley 80 de 1993 de 1993. No obstante, </w:t>
      </w:r>
      <w:r w:rsidRPr="00B24B6E">
        <w:rPr>
          <w:rFonts w:ascii="Verdana" w:hAnsi="Verdana" w:cs="Arial"/>
        </w:rPr>
        <w:t>en</w:t>
      </w:r>
      <w:r>
        <w:rPr>
          <w:rFonts w:ascii="Verdana" w:hAnsi="Verdana" w:cs="Arial"/>
        </w:rPr>
        <w:t xml:space="preserve"> la medida en que</w:t>
      </w:r>
      <w:r w:rsidRPr="00B24B6E">
        <w:rPr>
          <w:rFonts w:ascii="Verdana" w:hAnsi="Verdana" w:cs="Arial"/>
        </w:rPr>
        <w:t xml:space="preserve"> las Entidades Estatales gozan de discrecionalidad para determinar el valor del contrato, la forma de pago y la retribución </w:t>
      </w:r>
      <w:proofErr w:type="gramStart"/>
      <w:r w:rsidRPr="00B24B6E">
        <w:rPr>
          <w:rFonts w:ascii="Verdana" w:hAnsi="Verdana" w:cs="Arial"/>
        </w:rPr>
        <w:t>del mismo</w:t>
      </w:r>
      <w:proofErr w:type="gramEnd"/>
      <w:r w:rsidRPr="00B24B6E">
        <w:rPr>
          <w:rFonts w:ascii="Verdana" w:hAnsi="Verdana" w:cs="Arial"/>
        </w:rPr>
        <w:t xml:space="preserve">, bien podrían optar por aplicar </w:t>
      </w:r>
      <w:r>
        <w:rPr>
          <w:rFonts w:ascii="Verdana" w:hAnsi="Verdana" w:cs="Arial"/>
        </w:rPr>
        <w:t>otras</w:t>
      </w:r>
      <w:r w:rsidRPr="00B24B6E">
        <w:rPr>
          <w:rFonts w:ascii="Verdana" w:hAnsi="Verdana" w:cs="Arial"/>
        </w:rPr>
        <w:t xml:space="preserve"> metodología</w:t>
      </w:r>
      <w:r>
        <w:rPr>
          <w:rFonts w:ascii="Verdana" w:hAnsi="Verdana" w:cs="Arial"/>
        </w:rPr>
        <w:t>s, por ejemplo, el AIU.</w:t>
      </w:r>
    </w:p>
    <w:p w14:paraId="7FC28C20" w14:textId="77777777" w:rsidR="00CC6605" w:rsidRDefault="00CC6605" w:rsidP="00CC6605">
      <w:pPr>
        <w:spacing w:after="120" w:line="276" w:lineRule="auto"/>
        <w:ind w:firstLine="709"/>
        <w:jc w:val="both"/>
        <w:rPr>
          <w:rFonts w:ascii="Verdana" w:hAnsi="Verdana" w:cs="Arial"/>
        </w:rPr>
      </w:pPr>
      <w:r>
        <w:rPr>
          <w:rFonts w:ascii="Verdana" w:hAnsi="Verdana" w:cs="Arial"/>
        </w:rPr>
        <w:t xml:space="preserve">De cualquier modo, la práctica contractual evidencia que el factor multiplicador es una metodología frecuente para establecer el precio en los contratos de interventoría. Esta metodología </w:t>
      </w:r>
      <w:r w:rsidRPr="004F607E">
        <w:rPr>
          <w:rFonts w:ascii="Verdana" w:hAnsi="Verdana" w:cs="Arial"/>
        </w:rPr>
        <w:t>permite imputar al contrato los costos directos</w:t>
      </w:r>
      <w:r>
        <w:rPr>
          <w:rFonts w:ascii="Verdana" w:hAnsi="Verdana" w:cs="Arial"/>
        </w:rPr>
        <w:t xml:space="preserve"> </w:t>
      </w:r>
      <w:r w:rsidRPr="00167C84">
        <w:rPr>
          <w:rFonts w:ascii="Verdana" w:hAnsi="Verdana" w:cs="Arial"/>
        </w:rPr>
        <w:t xml:space="preserve">asociados a </w:t>
      </w:r>
      <w:r>
        <w:rPr>
          <w:rFonts w:ascii="Verdana" w:hAnsi="Verdana" w:cs="Arial"/>
        </w:rPr>
        <w:t>prestaciones laborales y sociales</w:t>
      </w:r>
      <w:r w:rsidRPr="00167C84">
        <w:rPr>
          <w:rFonts w:ascii="Verdana" w:hAnsi="Verdana" w:cs="Arial"/>
        </w:rPr>
        <w:t xml:space="preserve"> del personal vinculado con carácter exclusivo al proyecto, la utilidad del ingeniero y los costos</w:t>
      </w:r>
      <w:r>
        <w:rPr>
          <w:rFonts w:ascii="Verdana" w:hAnsi="Verdana" w:cs="Arial"/>
        </w:rPr>
        <w:t xml:space="preserve"> </w:t>
      </w:r>
      <w:r w:rsidRPr="00167C84">
        <w:rPr>
          <w:rFonts w:ascii="Verdana" w:hAnsi="Verdana" w:cs="Arial"/>
        </w:rPr>
        <w:t>de administración</w:t>
      </w:r>
      <w:r>
        <w:rPr>
          <w:rFonts w:ascii="Verdana" w:hAnsi="Verdana" w:cs="Arial"/>
        </w:rPr>
        <w:t xml:space="preserve"> relacionados con el personal</w:t>
      </w:r>
      <w:r w:rsidRPr="00167C84">
        <w:rPr>
          <w:rFonts w:ascii="Verdana" w:hAnsi="Verdana" w:cs="Arial"/>
        </w:rPr>
        <w:t xml:space="preserve">, afectando el valor parcial de la </w:t>
      </w:r>
      <w:r w:rsidRPr="00167C84">
        <w:rPr>
          <w:rFonts w:ascii="Verdana" w:hAnsi="Verdana" w:cs="Arial"/>
        </w:rPr>
        <w:lastRenderedPageBreak/>
        <w:t>oferta por un factor multiplicador</w:t>
      </w:r>
      <w:r w:rsidRPr="00167C84">
        <w:rPr>
          <w:rStyle w:val="Refdenotaalpie"/>
          <w:rFonts w:ascii="Verdana" w:hAnsi="Verdana" w:cs="Arial"/>
        </w:rPr>
        <w:footnoteReference w:id="7"/>
      </w:r>
      <w:r w:rsidRPr="00167C84">
        <w:rPr>
          <w:rFonts w:ascii="Verdana" w:hAnsi="Verdana" w:cs="Arial"/>
        </w:rPr>
        <w:t xml:space="preserve">. De esta manera se obtiene un subtotal de costos directos a partir de la sumatoria de los valores correspondientes </w:t>
      </w:r>
      <w:r>
        <w:rPr>
          <w:rFonts w:ascii="Verdana" w:hAnsi="Verdana" w:cs="Arial"/>
        </w:rPr>
        <w:t xml:space="preserve">a </w:t>
      </w:r>
      <w:r w:rsidRPr="00167C84">
        <w:rPr>
          <w:rFonts w:ascii="Verdana" w:hAnsi="Verdana" w:cs="Arial"/>
        </w:rPr>
        <w:t xml:space="preserve">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 </w:t>
      </w:r>
    </w:p>
    <w:p w14:paraId="6586B157" w14:textId="77777777" w:rsidR="00CC6605" w:rsidRPr="00D3322D" w:rsidRDefault="00CC6605" w:rsidP="00CC6605">
      <w:pPr>
        <w:spacing w:before="120" w:after="120" w:line="276" w:lineRule="auto"/>
        <w:ind w:firstLine="709"/>
        <w:jc w:val="both"/>
        <w:rPr>
          <w:rFonts w:ascii="Verdana" w:eastAsia="Arial" w:hAnsi="Verdana" w:cs="Arial"/>
          <w:color w:val="000000"/>
          <w:kern w:val="2"/>
          <w14:ligatures w14:val="standardContextual"/>
        </w:rPr>
      </w:pPr>
      <w:r w:rsidRPr="003648D3">
        <w:rPr>
          <w:rFonts w:ascii="Verdana" w:hAnsi="Verdana" w:cs="Arial"/>
        </w:rPr>
        <w:t xml:space="preserve">En este orden de ideas el </w:t>
      </w:r>
      <w:r w:rsidRPr="00D3322D">
        <w:rPr>
          <w:rFonts w:ascii="Verdana" w:hAnsi="Verdana" w:cs="Arial"/>
        </w:rPr>
        <w:t>factor multiplicador</w:t>
      </w:r>
      <w:r w:rsidRPr="003648D3">
        <w:rPr>
          <w:rFonts w:ascii="Verdana" w:hAnsi="Verdana" w:cs="Arial"/>
        </w:rPr>
        <w:t xml:space="preserve"> no está ligado a nivel normativo con el sistema de precios unitarios. Sin embargo, su metodología es de común utilización en contratos que optan por este, en la medida en que esta solo incluye los costos directos e indirectos asociados al </w:t>
      </w:r>
      <w:r w:rsidRPr="00D3322D">
        <w:rPr>
          <w:rFonts w:ascii="Verdana" w:hAnsi="Verdana" w:cs="Arial"/>
          <w:i/>
          <w:iCs/>
        </w:rPr>
        <w:t>personal</w:t>
      </w:r>
      <w:r w:rsidRPr="003648D3">
        <w:rPr>
          <w:rFonts w:ascii="Verdana" w:hAnsi="Verdana" w:cs="Arial"/>
        </w:rPr>
        <w:t>, más no incluye los otros costos directos e indirectos en los que puede incurrir el contratista, por lo que deben incorporarse en el valor del contrato y en las propuestas económicas de manera separada a los costos de personal afectados por el factor multiplicador, ya sea mediante el sistema de precios unitarios o mediante partidas globales adicionales a las referentes al factor multiplicador</w:t>
      </w:r>
      <w:r>
        <w:rPr>
          <w:rFonts w:ascii="Verdana" w:hAnsi="Verdana" w:cs="Arial"/>
        </w:rPr>
        <w:t>.</w:t>
      </w:r>
    </w:p>
    <w:p w14:paraId="7B4E5169" w14:textId="77777777" w:rsidR="00CC6605" w:rsidRDefault="00CC6605" w:rsidP="00CC6605">
      <w:pPr>
        <w:snapToGrid w:val="0"/>
        <w:spacing w:before="120" w:after="120" w:line="276" w:lineRule="auto"/>
        <w:ind w:firstLine="709"/>
        <w:jc w:val="both"/>
        <w:rPr>
          <w:rFonts w:ascii="Verdana" w:hAnsi="Verdana" w:cs="Arial"/>
        </w:rPr>
      </w:pPr>
      <w:r w:rsidRPr="004F607E">
        <w:rPr>
          <w:rFonts w:ascii="Verdana" w:hAnsi="Verdana" w:cs="Arial"/>
        </w:rPr>
        <w:t xml:space="preserve">Es importante indicar que, en la medida en que </w:t>
      </w:r>
      <w:r>
        <w:rPr>
          <w:rFonts w:ascii="Verdana" w:hAnsi="Verdana" w:cs="Arial"/>
        </w:rPr>
        <w:t xml:space="preserve">ni </w:t>
      </w:r>
      <w:r w:rsidRPr="004F607E">
        <w:rPr>
          <w:rFonts w:ascii="Verdana" w:hAnsi="Verdana" w:cs="Arial"/>
        </w:rPr>
        <w:t>el factor multiplica</w:t>
      </w:r>
      <w:r>
        <w:rPr>
          <w:rFonts w:ascii="Verdana" w:hAnsi="Verdana" w:cs="Arial"/>
        </w:rPr>
        <w:t>dor ni otras metodologías</w:t>
      </w:r>
      <w:r w:rsidRPr="004F607E">
        <w:rPr>
          <w:rFonts w:ascii="Verdana" w:hAnsi="Verdana" w:cs="Arial"/>
        </w:rPr>
        <w:t xml:space="preserve"> se aplican en virtud de una normativa en particular, sino en atención a la discrecionalidad de las Entidades Estatales para establecer el valor y forma de pago de los contratos que celebran, así</w:t>
      </w:r>
      <w:r>
        <w:rPr>
          <w:rFonts w:ascii="Verdana" w:hAnsi="Verdana" w:cs="Arial"/>
        </w:rPr>
        <w:t xml:space="preserve"> como de la autonomía de los proponentes para presentar sus ofertas en el marco de Procesos de Contratación, su aplicación no está limitada a un tipo contractual en específico o a sistema para la determinación del precio. Sin embargo, es preciso indicar que, de acuerdo con lo hasta ahora explicado, el factor multiplicador solo suele incluir los costos directos e indirectos asociados al personal, más no incluye los otros costos directos en los que puede incurrir el contratista –</w:t>
      </w:r>
      <w:r w:rsidRPr="00167C84">
        <w:rPr>
          <w:rFonts w:ascii="Verdana" w:hAnsi="Verdana" w:cs="Arial"/>
          <w:i/>
          <w:iCs/>
        </w:rPr>
        <w:t>v.g.</w:t>
      </w:r>
      <w:r>
        <w:rPr>
          <w:rFonts w:ascii="Verdana" w:hAnsi="Verdana" w:cs="Arial"/>
        </w:rPr>
        <w:t xml:space="preserve"> </w:t>
      </w:r>
      <w:r w:rsidRPr="005E08C3">
        <w:rPr>
          <w:rFonts w:ascii="Verdana" w:hAnsi="Verdana" w:cs="Arial"/>
        </w:rPr>
        <w:t>insumos requeridos para la ejecución del contrato,</w:t>
      </w:r>
      <w:r>
        <w:rPr>
          <w:rFonts w:ascii="Verdana" w:hAnsi="Verdana" w:cs="Arial"/>
        </w:rPr>
        <w:t xml:space="preserve"> transporte, acarreos, alquiler de equipos, etc.–, así como tampoco incluye los costos indirectos diferentes a los del personal, los cuales también podrían presentarse de acuerdo con el objeto del contrato, por </w:t>
      </w:r>
      <w:r>
        <w:rPr>
          <w:rFonts w:ascii="Verdana" w:hAnsi="Verdana" w:cs="Arial"/>
        </w:rPr>
        <w:lastRenderedPageBreak/>
        <w:t>lo que deben incorporarse en el valor del contrato y en las propuestas económicas de manera separada a los costos de personal afectados por el factor multiplicador, ya sea mediante el sistema de precios unitarios o mediante partidas globales adicionales a las referentes al factor multiplicador.</w:t>
      </w:r>
    </w:p>
    <w:p w14:paraId="06961E30" w14:textId="77777777" w:rsidR="00CC6605" w:rsidRDefault="00CC6605" w:rsidP="00CC6605">
      <w:pPr>
        <w:snapToGrid w:val="0"/>
        <w:spacing w:before="120" w:after="120" w:line="276" w:lineRule="auto"/>
        <w:ind w:firstLine="709"/>
        <w:jc w:val="both"/>
        <w:rPr>
          <w:rFonts w:ascii="Verdana" w:eastAsia="Arial" w:hAnsi="Verdana" w:cs="Arial"/>
          <w:color w:val="000000"/>
          <w:kern w:val="2"/>
          <w14:ligatures w14:val="standardContextual"/>
        </w:rPr>
      </w:pPr>
      <w:r>
        <w:rPr>
          <w:rFonts w:ascii="Verdana" w:eastAsia="Arial" w:hAnsi="Verdana" w:cs="Arial"/>
          <w:color w:val="000000"/>
          <w:kern w:val="2"/>
          <w14:ligatures w14:val="standardContextual"/>
        </w:rPr>
        <w:t>Ahora bien, teniendo en cuenta lo expuesto en su consulta, l</w:t>
      </w:r>
      <w:r w:rsidRPr="00576583">
        <w:rPr>
          <w:rFonts w:ascii="Verdana" w:eastAsia="Arial" w:hAnsi="Verdana" w:cs="Arial"/>
          <w:color w:val="000000"/>
          <w:kern w:val="2"/>
          <w14:ligatures w14:val="standardContextual"/>
        </w:rPr>
        <w:t xml:space="preserve">os costos asociados al personal requerido para ejecutar el contrato son un aspecto que entra a determinar su precio, por lo que son un tema para considerar al hacer el ofrecimiento económico en la etapa de presentación de ofertas, con sujeción al mecanismo para determinar el precio que </w:t>
      </w:r>
      <w:r>
        <w:rPr>
          <w:rFonts w:ascii="Verdana" w:eastAsia="Arial" w:hAnsi="Verdana" w:cs="Arial"/>
          <w:color w:val="000000"/>
          <w:kern w:val="2"/>
          <w14:ligatures w14:val="standardContextual"/>
        </w:rPr>
        <w:t>determine</w:t>
      </w:r>
      <w:r w:rsidRPr="00576583">
        <w:rPr>
          <w:rFonts w:ascii="Verdana" w:eastAsia="Arial" w:hAnsi="Verdana" w:cs="Arial"/>
          <w:color w:val="000000"/>
          <w:kern w:val="2"/>
          <w14:ligatures w14:val="standardContextual"/>
        </w:rPr>
        <w:t xml:space="preserve"> la entidad en el pliego de condiciones. En ese sentido, cuando una entidad incorpora</w:t>
      </w:r>
      <w:r>
        <w:rPr>
          <w:rFonts w:ascii="Verdana" w:eastAsia="Arial" w:hAnsi="Verdana" w:cs="Arial"/>
          <w:color w:val="000000"/>
          <w:kern w:val="2"/>
          <w14:ligatures w14:val="standardContextual"/>
        </w:rPr>
        <w:t>, por ejemplo,</w:t>
      </w:r>
      <w:r w:rsidRPr="00576583">
        <w:rPr>
          <w:rFonts w:ascii="Verdana" w:eastAsia="Arial" w:hAnsi="Verdana" w:cs="Arial"/>
          <w:color w:val="000000"/>
          <w:kern w:val="2"/>
          <w14:ligatures w14:val="standardContextual"/>
        </w:rPr>
        <w:t xml:space="preserve"> el mecanismo del factor multiplicador debe incluir las reglas para que estos sean considerados por los proponentes, de suerte que incluyan los costos asociados al personal para la ejecución del contrato en concordancia con el equipo de trabajo exigido, el cual debe atender unas condiciones y perfiles específicos establecidos en los Documentos del Proceso. Las reglas que discrecionalmente deben establecer las </w:t>
      </w:r>
      <w:r>
        <w:rPr>
          <w:rFonts w:ascii="Verdana" w:eastAsia="Arial" w:hAnsi="Verdana" w:cs="Arial"/>
          <w:color w:val="000000"/>
          <w:kern w:val="2"/>
          <w14:ligatures w14:val="standardContextual"/>
        </w:rPr>
        <w:t>E</w:t>
      </w:r>
      <w:r w:rsidRPr="00576583">
        <w:rPr>
          <w:rFonts w:ascii="Verdana" w:eastAsia="Arial" w:hAnsi="Verdana" w:cs="Arial"/>
          <w:color w:val="000000"/>
          <w:kern w:val="2"/>
          <w14:ligatures w14:val="standardContextual"/>
        </w:rPr>
        <w:t xml:space="preserve">ntidades </w:t>
      </w:r>
      <w:r>
        <w:rPr>
          <w:rFonts w:ascii="Verdana" w:eastAsia="Arial" w:hAnsi="Verdana" w:cs="Arial"/>
          <w:color w:val="000000"/>
          <w:kern w:val="2"/>
          <w14:ligatures w14:val="standardContextual"/>
        </w:rPr>
        <w:t>E</w:t>
      </w:r>
      <w:r w:rsidRPr="00576583">
        <w:rPr>
          <w:rFonts w:ascii="Verdana" w:eastAsia="Arial" w:hAnsi="Verdana" w:cs="Arial"/>
          <w:color w:val="000000"/>
          <w:kern w:val="2"/>
          <w14:ligatures w14:val="standardContextual"/>
        </w:rPr>
        <w:t>statales en los pliegos de condiciones para regular los mencionados aspectos son las que en últimas determinan qu</w:t>
      </w:r>
      <w:r>
        <w:rPr>
          <w:rFonts w:ascii="Verdana" w:eastAsia="Arial" w:hAnsi="Verdana" w:cs="Arial"/>
          <w:color w:val="000000"/>
          <w:kern w:val="2"/>
          <w14:ligatures w14:val="standardContextual"/>
        </w:rPr>
        <w:t>é</w:t>
      </w:r>
      <w:r w:rsidRPr="00576583">
        <w:rPr>
          <w:rFonts w:ascii="Verdana" w:eastAsia="Arial" w:hAnsi="Verdana" w:cs="Arial"/>
          <w:color w:val="000000"/>
          <w:kern w:val="2"/>
          <w14:ligatures w14:val="standardContextual"/>
        </w:rPr>
        <w:t xml:space="preserve"> tipo de contratación de personal es la que corresponde realizar al contratista para ejecutar el proyecto, así como la posibilidad de que los costos de dicha contratación–ya sea laboral o por prestación de servicios–, se incorporen al precio del contrato, por la vía del factor multiplicador aplicado para hacer la oferta económica.</w:t>
      </w:r>
    </w:p>
    <w:p w14:paraId="4810C06C" w14:textId="77777777" w:rsidR="00CC6605" w:rsidRDefault="00CC6605" w:rsidP="00CC6605">
      <w:pPr>
        <w:snapToGrid w:val="0"/>
        <w:spacing w:before="120" w:after="120" w:line="276" w:lineRule="auto"/>
        <w:ind w:firstLine="709"/>
        <w:jc w:val="both"/>
        <w:rPr>
          <w:rFonts w:ascii="Verdana" w:eastAsia="Arial" w:hAnsi="Verdana" w:cs="Arial"/>
          <w:color w:val="000000"/>
          <w:kern w:val="2"/>
          <w14:ligatures w14:val="standardContextual"/>
        </w:rPr>
      </w:pPr>
      <w:r>
        <w:rPr>
          <w:rFonts w:ascii="Verdana" w:eastAsia="Calibri" w:hAnsi="Verdana" w:cs="Arial"/>
        </w:rPr>
        <w:t>Es de precisar que, en la verificación d</w:t>
      </w:r>
      <w:r w:rsidRPr="00224CBF">
        <w:rPr>
          <w:rFonts w:ascii="Verdana" w:eastAsia="Calibri" w:hAnsi="Verdana" w:cs="Arial"/>
        </w:rPr>
        <w:t>el cumplimiento de los costos y gastos asociados al contrato</w:t>
      </w:r>
      <w:r>
        <w:rPr>
          <w:rFonts w:ascii="Verdana" w:eastAsia="Calibri" w:hAnsi="Verdana" w:cs="Arial"/>
        </w:rPr>
        <w:t>,</w:t>
      </w:r>
      <w:r w:rsidRPr="00224CBF">
        <w:rPr>
          <w:rFonts w:ascii="Verdana" w:eastAsia="Calibri" w:hAnsi="Verdana" w:cs="Arial"/>
        </w:rPr>
        <w:t xml:space="preserve"> </w:t>
      </w:r>
      <w:r>
        <w:rPr>
          <w:rFonts w:ascii="Verdana" w:eastAsia="Calibri" w:hAnsi="Verdana" w:cs="Arial"/>
        </w:rPr>
        <w:t>no existe restricción alguna para poder</w:t>
      </w:r>
      <w:r w:rsidRPr="00224CBF">
        <w:rPr>
          <w:rFonts w:ascii="Verdana" w:eastAsia="Calibri" w:hAnsi="Verdana" w:cs="Arial"/>
        </w:rPr>
        <w:t xml:space="preserve"> elaborar un cuadro detallado que desglos</w:t>
      </w:r>
      <w:r>
        <w:rPr>
          <w:rFonts w:ascii="Verdana" w:eastAsia="Calibri" w:hAnsi="Verdana" w:cs="Arial"/>
        </w:rPr>
        <w:t>e</w:t>
      </w:r>
      <w:r w:rsidRPr="00224CBF">
        <w:rPr>
          <w:rFonts w:ascii="Verdana" w:eastAsia="Calibri" w:hAnsi="Verdana" w:cs="Arial"/>
        </w:rPr>
        <w:t xml:space="preserve"> los conceptos del factor multiplicador. Además, si se detectan omisiones, el cuadro podría ajustarse, siempre que se justifique y se cuente con la aprobación de la entidad.</w:t>
      </w:r>
      <w:r>
        <w:rPr>
          <w:rFonts w:ascii="Verdana" w:eastAsia="Calibri" w:hAnsi="Verdana" w:cs="Arial"/>
        </w:rPr>
        <w:t xml:space="preserve"> Por su parte, s</w:t>
      </w:r>
      <w:r w:rsidRPr="009727DB">
        <w:rPr>
          <w:rFonts w:ascii="Verdana" w:eastAsia="Calibri" w:hAnsi="Verdana" w:cs="Arial"/>
        </w:rPr>
        <w:t xml:space="preserve">i la entidad solo definió el </w:t>
      </w:r>
      <w:r>
        <w:rPr>
          <w:rFonts w:ascii="Verdana" w:eastAsia="Calibri" w:hAnsi="Verdana" w:cs="Arial"/>
        </w:rPr>
        <w:t>porcentaje</w:t>
      </w:r>
      <w:r w:rsidRPr="009727DB">
        <w:rPr>
          <w:rFonts w:ascii="Verdana" w:eastAsia="Calibri" w:hAnsi="Verdana" w:cs="Arial"/>
        </w:rPr>
        <w:t xml:space="preserve"> del factor multiplicador sin detalle</w:t>
      </w:r>
      <w:r>
        <w:rPr>
          <w:rFonts w:ascii="Verdana" w:eastAsia="Calibri" w:hAnsi="Verdana" w:cs="Arial"/>
        </w:rPr>
        <w:t xml:space="preserve">, la supervisión </w:t>
      </w:r>
      <w:r w:rsidRPr="009727DB">
        <w:rPr>
          <w:rFonts w:ascii="Verdana" w:eastAsia="Calibri" w:hAnsi="Verdana" w:cs="Arial"/>
        </w:rPr>
        <w:t xml:space="preserve">puede </w:t>
      </w:r>
      <w:r>
        <w:rPr>
          <w:rFonts w:ascii="Verdana" w:eastAsia="Calibri" w:hAnsi="Verdana" w:cs="Arial"/>
        </w:rPr>
        <w:t xml:space="preserve">efectuar el seguimiento </w:t>
      </w:r>
      <w:r w:rsidRPr="009727DB">
        <w:rPr>
          <w:rFonts w:ascii="Verdana" w:eastAsia="Calibri" w:hAnsi="Verdana" w:cs="Arial"/>
        </w:rPr>
        <w:t>solicita</w:t>
      </w:r>
      <w:r>
        <w:rPr>
          <w:rFonts w:ascii="Verdana" w:eastAsia="Calibri" w:hAnsi="Verdana" w:cs="Arial"/>
        </w:rPr>
        <w:t>ndo</w:t>
      </w:r>
      <w:r w:rsidRPr="009727DB">
        <w:rPr>
          <w:rFonts w:ascii="Verdana" w:eastAsia="Calibri" w:hAnsi="Verdana" w:cs="Arial"/>
        </w:rPr>
        <w:t xml:space="preserve"> informes detallados sobre la ejecución de los gastos asociados al factor multiplicador. </w:t>
      </w:r>
      <w:r>
        <w:rPr>
          <w:rFonts w:ascii="Verdana" w:eastAsia="Calibri" w:hAnsi="Verdana" w:cs="Arial"/>
        </w:rPr>
        <w:t>De cualquier modo, r</w:t>
      </w:r>
      <w:r w:rsidRPr="009727DB">
        <w:rPr>
          <w:rFonts w:ascii="Verdana" w:eastAsia="Calibri" w:hAnsi="Verdana" w:cs="Arial"/>
        </w:rPr>
        <w:t>especto a la reasignación de valores dentro del factor multiplicador, no se pueden trasladar saldos de un concepto a otro sin aprobación de la entidad. Por ejemplo, si queda saldo en prestaciones sociales, no puede destinarse a gastos administrativos o utilidad sin una modificación contractual.</w:t>
      </w:r>
    </w:p>
    <w:p w14:paraId="45B2D6C9" w14:textId="6784AA3A" w:rsidR="00CC6605" w:rsidRDefault="00CC6605" w:rsidP="00CC6605">
      <w:pPr>
        <w:snapToGrid w:val="0"/>
        <w:spacing w:before="120" w:after="120" w:line="276" w:lineRule="auto"/>
        <w:ind w:firstLine="709"/>
        <w:jc w:val="both"/>
        <w:rPr>
          <w:rFonts w:ascii="Verdana" w:eastAsia="Arial" w:hAnsi="Verdana" w:cs="Arial"/>
          <w:color w:val="000000"/>
          <w:kern w:val="2"/>
          <w14:ligatures w14:val="standardContextual"/>
        </w:rPr>
      </w:pPr>
      <w:r>
        <w:rPr>
          <w:rFonts w:ascii="Verdana" w:eastAsia="Calibri" w:hAnsi="Verdana" w:cs="Arial"/>
        </w:rPr>
        <w:t xml:space="preserve">Por otra parte, es necesario que los costos </w:t>
      </w:r>
      <w:r w:rsidRPr="00E42537">
        <w:rPr>
          <w:rFonts w:ascii="Verdana" w:eastAsia="Calibri" w:hAnsi="Verdana" w:cs="Arial"/>
        </w:rPr>
        <w:t>sean correctamente documentados y justificados</w:t>
      </w:r>
      <w:r>
        <w:rPr>
          <w:rFonts w:ascii="Verdana" w:eastAsia="Calibri" w:hAnsi="Verdana" w:cs="Arial"/>
        </w:rPr>
        <w:t xml:space="preserve">, así las cosas, se recomienda la </w:t>
      </w:r>
      <w:r w:rsidRPr="00DB4441">
        <w:rPr>
          <w:rFonts w:ascii="Verdana" w:eastAsia="Calibri" w:hAnsi="Verdana" w:cs="Arial"/>
        </w:rPr>
        <w:t>presenta</w:t>
      </w:r>
      <w:r>
        <w:rPr>
          <w:rFonts w:ascii="Verdana" w:eastAsia="Calibri" w:hAnsi="Verdana" w:cs="Arial"/>
        </w:rPr>
        <w:t>ción de</w:t>
      </w:r>
      <w:r w:rsidRPr="00DB4441">
        <w:rPr>
          <w:rFonts w:ascii="Verdana" w:eastAsia="Calibri" w:hAnsi="Verdana" w:cs="Arial"/>
        </w:rPr>
        <w:t xml:space="preserve"> </w:t>
      </w:r>
      <w:r w:rsidRPr="00DB4441">
        <w:rPr>
          <w:rFonts w:ascii="Verdana" w:eastAsia="Calibri" w:hAnsi="Verdana" w:cs="Arial"/>
        </w:rPr>
        <w:lastRenderedPageBreak/>
        <w:t xml:space="preserve">facturas y comprobantes de pago que demuestren la ejecución </w:t>
      </w:r>
      <w:r>
        <w:rPr>
          <w:rFonts w:ascii="Verdana" w:eastAsia="Calibri" w:hAnsi="Verdana" w:cs="Arial"/>
        </w:rPr>
        <w:t xml:space="preserve">de </w:t>
      </w:r>
      <w:proofErr w:type="gramStart"/>
      <w:r>
        <w:rPr>
          <w:rFonts w:ascii="Verdana" w:eastAsia="Calibri" w:hAnsi="Verdana" w:cs="Arial"/>
        </w:rPr>
        <w:t>los mismos</w:t>
      </w:r>
      <w:proofErr w:type="gramEnd"/>
      <w:r w:rsidRPr="00DB4441">
        <w:rPr>
          <w:rFonts w:ascii="Verdana" w:eastAsia="Calibri" w:hAnsi="Verdana" w:cs="Arial"/>
        </w:rPr>
        <w:t xml:space="preserve">. </w:t>
      </w:r>
      <w:r>
        <w:rPr>
          <w:rFonts w:ascii="Verdana" w:eastAsia="Arial" w:hAnsi="Verdana" w:cs="Arial"/>
          <w:color w:val="000000"/>
          <w:kern w:val="2"/>
          <w14:ligatures w14:val="standardContextual"/>
        </w:rPr>
        <w:t xml:space="preserve">Asi, por ejemplo, </w:t>
      </w:r>
      <w:r>
        <w:rPr>
          <w:rFonts w:ascii="Verdana" w:eastAsia="Calibri" w:hAnsi="Verdana" w:cs="Arial"/>
          <w:color w:val="000000"/>
          <w:lang w:val="es-MX"/>
        </w:rPr>
        <w:t xml:space="preserve">en virtud de lo indicado en el concepto </w:t>
      </w:r>
      <w:r w:rsidRPr="002A7F81">
        <w:rPr>
          <w:rFonts w:ascii="Verdana" w:eastAsia="Calibri" w:hAnsi="Verdana" w:cs="Arial"/>
          <w:color w:val="000000"/>
        </w:rPr>
        <w:t xml:space="preserve">C-250 de 2023, si el factor multiplicador se usa para determinar costos, el contratista debe demostrar el gasto de cada componente. Si ciertos costos no se generan (por ejemplo, si el personal no requiere prestaciones), el contrato debería modificarse para reducir el </w:t>
      </w:r>
      <w:r>
        <w:rPr>
          <w:rFonts w:ascii="Verdana" w:eastAsia="Calibri" w:hAnsi="Verdana" w:cs="Arial"/>
          <w:color w:val="000000"/>
        </w:rPr>
        <w:t>porcentaje</w:t>
      </w:r>
      <w:r w:rsidRPr="002A7F81">
        <w:rPr>
          <w:rFonts w:ascii="Verdana" w:eastAsia="Calibri" w:hAnsi="Verdana" w:cs="Arial"/>
          <w:color w:val="000000"/>
        </w:rPr>
        <w:t xml:space="preserve"> correspondiente.</w:t>
      </w:r>
      <w:r>
        <w:rPr>
          <w:rFonts w:ascii="Verdana" w:eastAsia="Calibri" w:hAnsi="Verdana" w:cs="Arial"/>
          <w:color w:val="000000"/>
        </w:rPr>
        <w:t xml:space="preserve"> </w:t>
      </w:r>
      <w:r w:rsidRPr="002A7F81">
        <w:rPr>
          <w:rFonts w:ascii="Verdana" w:eastAsia="Calibri" w:hAnsi="Verdana" w:cs="Arial"/>
          <w:color w:val="000000"/>
        </w:rPr>
        <w:t>Si la interventoría presentó un informe de proyección de gastos, pero este no fue parte del contrato, la entidad aún puede exigirle soportes de gastos reales. Si los costos directos (ejemplo: nómina, laboratorios</w:t>
      </w:r>
      <w:r>
        <w:rPr>
          <w:rFonts w:ascii="Verdana" w:eastAsia="Calibri" w:hAnsi="Verdana" w:cs="Arial"/>
          <w:color w:val="000000"/>
        </w:rPr>
        <w:t>, etc.</w:t>
      </w:r>
      <w:r w:rsidRPr="002A7F81">
        <w:rPr>
          <w:rFonts w:ascii="Verdana" w:eastAsia="Calibri" w:hAnsi="Verdana" w:cs="Arial"/>
          <w:color w:val="000000"/>
        </w:rPr>
        <w:t>) son menores a lo presupuestado, el saldo no ejecutado debería liberarse y no ser facturado sin justificación.</w:t>
      </w:r>
      <w:r>
        <w:rPr>
          <w:rFonts w:ascii="Verdana" w:eastAsia="Calibri" w:hAnsi="Verdana" w:cs="Arial"/>
          <w:color w:val="000000"/>
        </w:rPr>
        <w:t xml:space="preserve"> </w:t>
      </w:r>
      <w:r w:rsidR="00675AF5">
        <w:rPr>
          <w:rFonts w:ascii="Verdana" w:eastAsia="Calibri" w:hAnsi="Verdana" w:cs="Arial"/>
          <w:color w:val="000000"/>
        </w:rPr>
        <w:t>L</w:t>
      </w:r>
      <w:r w:rsidRPr="002A7F81">
        <w:rPr>
          <w:rFonts w:ascii="Verdana" w:eastAsia="Calibri" w:hAnsi="Verdana" w:cs="Arial"/>
          <w:color w:val="000000"/>
        </w:rPr>
        <w:t xml:space="preserve">os valores facturados deben corresponder a costos reales soportados. </w:t>
      </w:r>
    </w:p>
    <w:p w14:paraId="78E6B7E8" w14:textId="288AC556" w:rsidR="00CC6605" w:rsidRDefault="00CC6605" w:rsidP="00CC6605">
      <w:pPr>
        <w:snapToGrid w:val="0"/>
        <w:spacing w:before="120" w:after="120" w:line="276" w:lineRule="auto"/>
        <w:ind w:firstLine="709"/>
        <w:jc w:val="both"/>
        <w:rPr>
          <w:rFonts w:ascii="Verdana" w:eastAsia="Arial" w:hAnsi="Verdana" w:cs="Arial"/>
          <w:color w:val="000000"/>
          <w:kern w:val="2"/>
          <w14:ligatures w14:val="standardContextual"/>
        </w:rPr>
      </w:pPr>
      <w:r w:rsidRPr="001B1E8B">
        <w:rPr>
          <w:rFonts w:ascii="Verdana" w:eastAsia="Calibri" w:hAnsi="Verdana" w:cs="Arial"/>
          <w:color w:val="000000"/>
        </w:rPr>
        <w:t xml:space="preserve">En conclusión, cuando la Entidad Estatal haga uso del factor multiplicador, </w:t>
      </w:r>
      <w:r>
        <w:rPr>
          <w:rFonts w:ascii="Verdana" w:eastAsia="Calibri" w:hAnsi="Verdana" w:cs="Arial"/>
          <w:color w:val="000000"/>
        </w:rPr>
        <w:t xml:space="preserve">o metodologías similares, </w:t>
      </w:r>
      <w:r w:rsidRPr="001B1E8B">
        <w:rPr>
          <w:rFonts w:ascii="Verdana" w:eastAsia="Calibri" w:hAnsi="Verdana" w:cs="Arial"/>
          <w:color w:val="000000"/>
        </w:rPr>
        <w:t>debe asegurarse de ejercer una buena vigilancia de la ejecución contractual, con el fin de poder realizar adecuadamente la auditoría de los costos del contrato para pagar sólo aquello</w:t>
      </w:r>
      <w:r w:rsidR="004554CB">
        <w:rPr>
          <w:rFonts w:ascii="Verdana" w:eastAsia="Calibri" w:hAnsi="Verdana" w:cs="Arial"/>
          <w:color w:val="000000"/>
        </w:rPr>
        <w:t>s</w:t>
      </w:r>
      <w:r w:rsidRPr="001B1E8B">
        <w:rPr>
          <w:rFonts w:ascii="Verdana" w:eastAsia="Calibri" w:hAnsi="Verdana" w:cs="Arial"/>
          <w:color w:val="000000"/>
        </w:rPr>
        <w:t xml:space="preserve"> que se hayan causado efectivamente.</w:t>
      </w:r>
      <w:r>
        <w:rPr>
          <w:rFonts w:ascii="Verdana" w:eastAsia="Calibri" w:hAnsi="Verdana" w:cs="Arial"/>
          <w:color w:val="000000"/>
        </w:rPr>
        <w:t xml:space="preserve"> </w:t>
      </w:r>
      <w:r w:rsidRPr="001B1E8B">
        <w:rPr>
          <w:rFonts w:ascii="Verdana" w:eastAsia="Calibri" w:hAnsi="Verdana" w:cs="Arial"/>
          <w:color w:val="000000"/>
        </w:rPr>
        <w:t>Por tanto, podrán verificarse los soportes contables, administrativos y financieros de la ejecución, ya que la Entidad Estatal sólo debe pagar aquellos costos que hubieran sido pagados por el contratista so pena de que se configure un enriquecimiento sin causa de su parte</w:t>
      </w:r>
      <w:r>
        <w:rPr>
          <w:rFonts w:ascii="Verdana" w:eastAsia="Calibri" w:hAnsi="Verdana" w:cs="Arial"/>
          <w:color w:val="000000"/>
        </w:rPr>
        <w:t>.</w:t>
      </w:r>
    </w:p>
    <w:p w14:paraId="462A25C8" w14:textId="77777777" w:rsidR="00CC6605" w:rsidRDefault="00CC6605" w:rsidP="00CC6605">
      <w:pPr>
        <w:snapToGrid w:val="0"/>
        <w:spacing w:before="120" w:after="120" w:line="276" w:lineRule="auto"/>
        <w:ind w:firstLine="708"/>
        <w:jc w:val="both"/>
        <w:rPr>
          <w:rFonts w:ascii="Verdana" w:eastAsia="Arial" w:hAnsi="Verdana" w:cs="Arial"/>
          <w:color w:val="000000"/>
          <w:kern w:val="2"/>
          <w14:ligatures w14:val="standardContextual"/>
        </w:rPr>
      </w:pPr>
      <w:r>
        <w:rPr>
          <w:rFonts w:ascii="Verdana" w:eastAsia="Arial" w:hAnsi="Verdana" w:cs="Arial"/>
          <w:color w:val="000000"/>
          <w:kern w:val="2"/>
          <w14:ligatures w14:val="standardContextual"/>
        </w:rPr>
        <w:t xml:space="preserve">Sin perjuicio de lo anterior, se resalta que la aplicación de las metodologías fijadas para determinar el precio y presentar la oferta económica en el marco de los procesos dependen de lo que se estipule en los Documentos del Proceso y en el clausulado del contrato. En cada caso, la entidad deberá determinar la metodología que resulte apropiada para establecer los costos asociados al personal. Los mecanismos que se pacten podrán suponer la verificación de los costos que efectivamente asuma el contratista frente al personal, de conformidad con lo estipulado en su oferta. </w:t>
      </w:r>
    </w:p>
    <w:p w14:paraId="59F85614" w14:textId="77777777" w:rsidR="00CC6605" w:rsidRPr="00A8227A" w:rsidRDefault="00CC6605" w:rsidP="00CC6605">
      <w:pPr>
        <w:snapToGrid w:val="0"/>
        <w:spacing w:before="120" w:after="120" w:line="276" w:lineRule="auto"/>
        <w:ind w:firstLine="708"/>
        <w:jc w:val="both"/>
        <w:rPr>
          <w:rFonts w:ascii="Verdana" w:eastAsia="Arial" w:hAnsi="Verdana" w:cs="Arial"/>
          <w:color w:val="000000"/>
          <w:kern w:val="2"/>
          <w14:ligatures w14:val="standardContextual"/>
        </w:rPr>
      </w:pPr>
      <w:r>
        <w:rPr>
          <w:rFonts w:ascii="Verdana" w:hAnsi="Verdana" w:cs="Arial"/>
          <w:bCs/>
          <w:color w:val="000000" w:themeColor="text1"/>
        </w:rPr>
        <w:t xml:space="preserve">De cualquier modo, al </w:t>
      </w:r>
      <w:r w:rsidRPr="00523EE3">
        <w:rPr>
          <w:rFonts w:ascii="Verdana" w:hAnsi="Verdana" w:cs="Arial"/>
          <w:bCs/>
          <w:color w:val="000000" w:themeColor="text1"/>
        </w:rPr>
        <w:t xml:space="preserve">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w:t>
      </w:r>
      <w:r>
        <w:rPr>
          <w:rFonts w:ascii="Verdana" w:hAnsi="Verdana" w:cs="Arial"/>
          <w:bCs/>
          <w:color w:val="000000" w:themeColor="text1"/>
        </w:rPr>
        <w:t>atender las necesidades de la entidad pública</w:t>
      </w:r>
      <w:r w:rsidRPr="00523EE3">
        <w:rPr>
          <w:rFonts w:ascii="Verdana" w:hAnsi="Verdana" w:cs="Arial"/>
          <w:bCs/>
          <w:color w:val="000000" w:themeColor="text1"/>
        </w:rPr>
        <w:t>.</w:t>
      </w:r>
    </w:p>
    <w:p w14:paraId="270B10BD" w14:textId="77777777" w:rsidR="00CC6605" w:rsidRPr="008F1FB6" w:rsidRDefault="00CC6605" w:rsidP="00CC6605">
      <w:pPr>
        <w:widowControl w:val="0"/>
        <w:autoSpaceDE w:val="0"/>
        <w:autoSpaceDN w:val="0"/>
        <w:spacing w:after="0" w:line="276" w:lineRule="auto"/>
        <w:jc w:val="both"/>
        <w:rPr>
          <w:rFonts w:ascii="Verdana" w:hAnsi="Verdana" w:cs="Arial"/>
        </w:rPr>
      </w:pPr>
    </w:p>
    <w:p w14:paraId="6E8DE378" w14:textId="77777777" w:rsidR="00CC6605" w:rsidRPr="008F1FB6" w:rsidRDefault="00CC6605" w:rsidP="00CC660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lastRenderedPageBreak/>
        <w:t>Referencias normativas, jurisprudenciales y otras fuentes:</w:t>
      </w:r>
    </w:p>
    <w:p w14:paraId="545C775E" w14:textId="77777777" w:rsidR="00CC6605" w:rsidRPr="008F1FB6" w:rsidRDefault="00CC6605" w:rsidP="00CC660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C6605" w:rsidRPr="008F1FB6" w14:paraId="4EF06F30" w14:textId="77777777" w:rsidTr="00675AF5">
        <w:trPr>
          <w:trHeight w:val="870"/>
        </w:trPr>
        <w:tc>
          <w:tcPr>
            <w:tcW w:w="8647" w:type="dxa"/>
          </w:tcPr>
          <w:p w14:paraId="7A5C25E4" w14:textId="77777777" w:rsidR="00CC6605" w:rsidRPr="00876210" w:rsidRDefault="00CC6605" w:rsidP="00CC6605">
            <w:pPr>
              <w:pStyle w:val="Prrafodelista"/>
              <w:numPr>
                <w:ilvl w:val="0"/>
                <w:numId w:val="17"/>
              </w:numPr>
              <w:spacing w:before="120" w:after="120"/>
              <w:contextualSpacing w:val="0"/>
              <w:jc w:val="both"/>
              <w:rPr>
                <w:rFonts w:ascii="Verdana" w:eastAsia="Calibri" w:hAnsi="Verdana" w:cs="Arial"/>
              </w:rPr>
            </w:pPr>
            <w:r w:rsidRPr="000752A9">
              <w:rPr>
                <w:rFonts w:ascii="Verdana" w:hAnsi="Verdana" w:cs="Arial"/>
              </w:rPr>
              <w:t>Ley 80 de 1993, artículo 32</w:t>
            </w:r>
            <w:r>
              <w:rPr>
                <w:rFonts w:ascii="Verdana" w:hAnsi="Verdana" w:cs="Arial"/>
              </w:rPr>
              <w:t>.</w:t>
            </w:r>
          </w:p>
          <w:p w14:paraId="3C268660" w14:textId="77777777" w:rsidR="00CC6605" w:rsidRPr="00876210" w:rsidRDefault="00CC6605" w:rsidP="00CC6605">
            <w:pPr>
              <w:pStyle w:val="Prrafodelista"/>
              <w:numPr>
                <w:ilvl w:val="0"/>
                <w:numId w:val="17"/>
              </w:numPr>
              <w:spacing w:before="120" w:after="120"/>
              <w:contextualSpacing w:val="0"/>
              <w:jc w:val="both"/>
              <w:rPr>
                <w:rFonts w:ascii="Verdana" w:eastAsia="Calibri" w:hAnsi="Verdana" w:cs="Arial"/>
              </w:rPr>
            </w:pPr>
            <w:r w:rsidRPr="000752A9">
              <w:rPr>
                <w:rFonts w:ascii="Verdana" w:eastAsia="Calibri" w:hAnsi="Verdana" w:cs="Arial"/>
              </w:rPr>
              <w:t>Código Civil, Artículo 1849.</w:t>
            </w:r>
          </w:p>
          <w:p w14:paraId="2CFDF61B" w14:textId="77777777" w:rsidR="00CC6605" w:rsidRPr="00876210" w:rsidRDefault="00CC6605" w:rsidP="00CC6605">
            <w:pPr>
              <w:pStyle w:val="Prrafodelista"/>
              <w:numPr>
                <w:ilvl w:val="0"/>
                <w:numId w:val="17"/>
              </w:numPr>
              <w:spacing w:before="120" w:after="120"/>
              <w:contextualSpacing w:val="0"/>
              <w:jc w:val="both"/>
              <w:rPr>
                <w:rFonts w:ascii="Verdana" w:eastAsia="Calibri" w:hAnsi="Verdana"/>
              </w:rPr>
            </w:pPr>
            <w:r w:rsidRPr="000752A9">
              <w:rPr>
                <w:rFonts w:ascii="Verdana" w:hAnsi="Verdana"/>
              </w:rPr>
              <w:t xml:space="preserve">Decreto 1082 de 2015 </w:t>
            </w:r>
            <w:r w:rsidRPr="000752A9">
              <w:rPr>
                <w:rFonts w:ascii="Verdana" w:eastAsia="Calibri" w:hAnsi="Verdana"/>
              </w:rPr>
              <w:t>el artículo 2.2.1.1.2.1.1</w:t>
            </w:r>
            <w:r>
              <w:rPr>
                <w:rFonts w:ascii="Verdana" w:eastAsia="Calibri" w:hAnsi="Verdana"/>
              </w:rPr>
              <w:t>.</w:t>
            </w:r>
          </w:p>
          <w:p w14:paraId="25D72C7F" w14:textId="77777777" w:rsidR="00CC6605" w:rsidRPr="00876210" w:rsidRDefault="00CC6605" w:rsidP="00CC6605">
            <w:pPr>
              <w:pStyle w:val="Prrafodelista"/>
              <w:numPr>
                <w:ilvl w:val="0"/>
                <w:numId w:val="17"/>
              </w:numPr>
              <w:spacing w:before="120" w:after="120"/>
              <w:contextualSpacing w:val="0"/>
              <w:jc w:val="both"/>
              <w:rPr>
                <w:rFonts w:ascii="Verdana" w:hAnsi="Verdana" w:cs="Arial"/>
              </w:rPr>
            </w:pPr>
            <w:r w:rsidRPr="000752A9">
              <w:rPr>
                <w:rFonts w:ascii="Verdana" w:hAnsi="Verdana" w:cs="Arial"/>
              </w:rPr>
              <w:t>Consejo de Estado, Sección Tercera, Subsección A sentencia de 19 de julio de 2018, M.P. Marta Nubia Velázquez Rico, Rad. 2013-01826(57.576)</w:t>
            </w:r>
          </w:p>
          <w:p w14:paraId="4AD2D0F0" w14:textId="77777777" w:rsidR="00CC6605" w:rsidRPr="00876210" w:rsidRDefault="00CC6605" w:rsidP="00CC6605">
            <w:pPr>
              <w:pStyle w:val="Prrafodelista"/>
              <w:numPr>
                <w:ilvl w:val="0"/>
                <w:numId w:val="17"/>
              </w:numPr>
              <w:spacing w:before="120" w:after="120"/>
              <w:contextualSpacing w:val="0"/>
              <w:jc w:val="both"/>
              <w:rPr>
                <w:rFonts w:ascii="Verdana" w:eastAsia="Calibri" w:hAnsi="Verdana" w:cs="Arial"/>
                <w:lang w:eastAsia="es-ES"/>
              </w:rPr>
            </w:pPr>
            <w:r w:rsidRPr="126F9D36">
              <w:rPr>
                <w:rFonts w:ascii="Verdana" w:eastAsia="Calibri" w:hAnsi="Verdana" w:cs="Arial"/>
                <w:lang w:eastAsia="es-ES"/>
              </w:rPr>
              <w:t xml:space="preserve">CONSEJO DE ESTADO. Sección Tercera. Subsección B. Sentencia del 29 de febrero de 2012. </w:t>
            </w:r>
            <w:proofErr w:type="spellStart"/>
            <w:r w:rsidRPr="126F9D36">
              <w:rPr>
                <w:rFonts w:ascii="Verdana" w:eastAsia="Calibri" w:hAnsi="Verdana" w:cs="Arial"/>
                <w:lang w:eastAsia="es-ES"/>
              </w:rPr>
              <w:t>Exp</w:t>
            </w:r>
            <w:proofErr w:type="spellEnd"/>
            <w:r w:rsidRPr="126F9D36">
              <w:rPr>
                <w:rFonts w:ascii="Verdana" w:eastAsia="Calibri" w:hAnsi="Verdana" w:cs="Arial"/>
                <w:lang w:eastAsia="es-ES"/>
              </w:rPr>
              <w:t xml:space="preserve">. 16371, C.P. Danilo Rojas </w:t>
            </w:r>
            <w:proofErr w:type="spellStart"/>
            <w:r w:rsidRPr="126F9D36">
              <w:rPr>
                <w:rFonts w:ascii="Verdana" w:eastAsia="Calibri" w:hAnsi="Verdana" w:cs="Arial"/>
                <w:lang w:eastAsia="es-ES"/>
              </w:rPr>
              <w:t>Betancourth</w:t>
            </w:r>
            <w:proofErr w:type="spellEnd"/>
            <w:r w:rsidRPr="126F9D36">
              <w:rPr>
                <w:rFonts w:ascii="Verdana" w:eastAsia="Calibri" w:hAnsi="Verdana" w:cs="Arial"/>
                <w:lang w:eastAsia="es-ES"/>
              </w:rPr>
              <w:t>.</w:t>
            </w:r>
          </w:p>
          <w:p w14:paraId="14A667FF" w14:textId="77777777" w:rsidR="00CC6605" w:rsidRPr="00876210" w:rsidRDefault="00CC6605" w:rsidP="00CC6605">
            <w:pPr>
              <w:pStyle w:val="Textonotapie"/>
              <w:numPr>
                <w:ilvl w:val="0"/>
                <w:numId w:val="17"/>
              </w:numPr>
              <w:spacing w:before="120" w:after="120"/>
              <w:jc w:val="both"/>
              <w:rPr>
                <w:rFonts w:ascii="Verdana" w:hAnsi="Verdana" w:cs="Arial"/>
                <w:sz w:val="22"/>
                <w:szCs w:val="22"/>
                <w:lang w:val="es-ES"/>
              </w:rPr>
            </w:pPr>
            <w:r w:rsidRPr="000752A9">
              <w:rPr>
                <w:rFonts w:ascii="Verdana" w:hAnsi="Verdana" w:cs="Arial"/>
                <w:sz w:val="22"/>
                <w:szCs w:val="22"/>
                <w:lang w:val="es-ES"/>
              </w:rPr>
              <w:t xml:space="preserve">MARÍN CORTÉS, Fabián G. El precio. Ed. Librería Jurídica Sánchez R. Ltda. y Centro de Estudios de Derecho Administrativo, Medellín, 2012, p. 60. </w:t>
            </w:r>
          </w:p>
        </w:tc>
      </w:tr>
    </w:tbl>
    <w:p w14:paraId="78E65E33" w14:textId="77777777" w:rsidR="00CC6605" w:rsidRPr="008F1FB6" w:rsidRDefault="00CC6605" w:rsidP="00CC6605">
      <w:pPr>
        <w:widowControl w:val="0"/>
        <w:autoSpaceDE w:val="0"/>
        <w:autoSpaceDN w:val="0"/>
        <w:spacing w:after="0" w:line="276" w:lineRule="auto"/>
        <w:jc w:val="both"/>
        <w:rPr>
          <w:rFonts w:ascii="Verdana" w:hAnsi="Verdana" w:cs="Arial"/>
        </w:rPr>
      </w:pPr>
    </w:p>
    <w:p w14:paraId="38B8BB98" w14:textId="77777777" w:rsidR="00CC6605" w:rsidRPr="008F1FB6" w:rsidRDefault="00CC6605" w:rsidP="00CC660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Doctrina de la Agencia Nacional de Contratación Pública:</w:t>
      </w:r>
    </w:p>
    <w:p w14:paraId="220193CE" w14:textId="77777777" w:rsidR="00CC6605" w:rsidRPr="008F1FB6" w:rsidRDefault="00CC6605" w:rsidP="00CC6605">
      <w:pPr>
        <w:widowControl w:val="0"/>
        <w:autoSpaceDE w:val="0"/>
        <w:autoSpaceDN w:val="0"/>
        <w:spacing w:after="0" w:line="276" w:lineRule="auto"/>
        <w:jc w:val="both"/>
        <w:rPr>
          <w:rFonts w:ascii="Verdana" w:hAnsi="Verdana" w:cs="Arial"/>
        </w:rPr>
      </w:pPr>
    </w:p>
    <w:p w14:paraId="31901AA8" w14:textId="77777777" w:rsidR="00CC6605" w:rsidRPr="00F9120E" w:rsidRDefault="00CC6605" w:rsidP="00CC6605">
      <w:pPr>
        <w:spacing w:after="0" w:line="276" w:lineRule="auto"/>
        <w:contextualSpacing/>
        <w:jc w:val="both"/>
        <w:rPr>
          <w:rFonts w:ascii="Verdana" w:eastAsia="Calibri" w:hAnsi="Verdana" w:cs="Arial"/>
          <w:b/>
          <w:bCs/>
          <w:lang w:val="es-ES" w:eastAsia="es-ES"/>
        </w:rPr>
      </w:pPr>
      <w:r w:rsidRPr="00F9120E">
        <w:rPr>
          <w:rStyle w:val="normaltextrun"/>
          <w:rFonts w:ascii="Verdana" w:hAnsi="Verdana" w:cs="Arial"/>
          <w:color w:val="000000" w:themeColor="text1"/>
          <w:shd w:val="clear" w:color="auto" w:fill="FFFFFF"/>
          <w:lang w:val="es-ES"/>
        </w:rPr>
        <w:t>La Agencia Nacional de Contratación Pública – Colombia Compra Eficiente se ha referido</w:t>
      </w:r>
      <w:r w:rsidRPr="00BD004E">
        <w:rPr>
          <w:rFonts w:ascii="Verdana" w:hAnsi="Verdana" w:cs="Arial"/>
        </w:rPr>
        <w:t xml:space="preserve"> </w:t>
      </w:r>
      <w:r>
        <w:rPr>
          <w:rFonts w:ascii="Verdana" w:hAnsi="Verdana" w:cs="Arial"/>
        </w:rPr>
        <w:t xml:space="preserve">a </w:t>
      </w:r>
      <w:r w:rsidRPr="006849F1">
        <w:rPr>
          <w:rFonts w:ascii="Verdana" w:hAnsi="Verdana" w:cs="Arial"/>
          <w:shd w:val="clear" w:color="auto" w:fill="FFFFFF"/>
          <w:lang w:val="es-ES"/>
        </w:rPr>
        <w:t>la determinación del precio o valor en los contratos estatales en los conceptos</w:t>
      </w:r>
      <w:r w:rsidRPr="006849F1">
        <w:rPr>
          <w:rFonts w:ascii="Verdana" w:hAnsi="Verdana" w:cs="Calibri"/>
          <w:shd w:val="clear" w:color="auto" w:fill="FFFFFF"/>
        </w:rPr>
        <w:t xml:space="preserve"> </w:t>
      </w:r>
      <w:r w:rsidRPr="006849F1">
        <w:rPr>
          <w:rFonts w:ascii="Verdana" w:hAnsi="Verdana" w:cs="Arial"/>
          <w:shd w:val="clear" w:color="auto" w:fill="FFFFFF"/>
          <w:lang w:val="es-ES"/>
        </w:rPr>
        <w:t xml:space="preserve">C-064 del 28 de febrero de 2020, C-150 del 18 de marzo de 2020, C-075 del 26 de marzo de 2020, C-180 del 13 de abril de 2020, C-344 del 26 de mayo de 2020, C-765 del 7 de enero de 2021, C-411 del 17 de agosto de 2021, C-650 del 22 de diciembre de 2021, C-238 del 27 de abril de 2022, C-432 del 13 de julio de 2022, C-590 del 20 de septiembre de 2022, C-716 del 15 de noviembre de 2022, C-114 del 4 de mayo de 2023, C-198 del 16 de junio de 2023, C-250 del 31 de julio de 2023 </w:t>
      </w:r>
      <w:r>
        <w:rPr>
          <w:rFonts w:ascii="Verdana" w:hAnsi="Verdana" w:cs="Arial"/>
          <w:shd w:val="clear" w:color="auto" w:fill="FFFFFF"/>
          <w:lang w:val="es-ES"/>
        </w:rPr>
        <w:t xml:space="preserve">, </w:t>
      </w:r>
      <w:r w:rsidRPr="006849F1">
        <w:rPr>
          <w:rFonts w:ascii="Verdana" w:hAnsi="Verdana" w:cs="Arial"/>
          <w:shd w:val="clear" w:color="auto" w:fill="FFFFFF"/>
          <w:lang w:val="es-ES"/>
        </w:rPr>
        <w:t>C-288 del 14 de julio de 2023,</w:t>
      </w:r>
      <w:r>
        <w:rPr>
          <w:rFonts w:ascii="Verdana" w:hAnsi="Verdana" w:cs="Arial"/>
          <w:shd w:val="clear" w:color="auto" w:fill="FFFFFF"/>
          <w:lang w:val="es-ES"/>
        </w:rPr>
        <w:t xml:space="preserve"> C-167 del 23 de julio de 2024, C-1018 del 6 de enero de 2025 y C-212 del 28 de marzo de 2025,</w:t>
      </w:r>
      <w:r w:rsidRPr="006849F1">
        <w:rPr>
          <w:rFonts w:ascii="Verdana" w:hAnsi="Verdana" w:cs="Arial"/>
          <w:shd w:val="clear" w:color="auto" w:fill="FFFFFF"/>
          <w:lang w:val="es-ES"/>
        </w:rPr>
        <w:t xml:space="preserve"> </w:t>
      </w:r>
      <w:r w:rsidRPr="00F9120E">
        <w:rPr>
          <w:rFonts w:ascii="Verdana" w:eastAsia="Calibri" w:hAnsi="Verdana" w:cs="Arial"/>
          <w:lang w:val="es-ES" w:eastAsia="es-ES"/>
        </w:rPr>
        <w:t xml:space="preserve">entre otros. </w:t>
      </w:r>
      <w:r w:rsidRPr="00F9120E">
        <w:rPr>
          <w:rFonts w:ascii="Verdana" w:hAnsi="Verdana" w:cs="Arial"/>
          <w:color w:val="000000" w:themeColor="text1"/>
          <w:shd w:val="clear" w:color="auto" w:fill="FFFFFF"/>
          <w:lang w:val="es-ES"/>
        </w:rPr>
        <w:t xml:space="preserve">Estos </w:t>
      </w:r>
      <w:r w:rsidRPr="00F9120E">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1" w:history="1">
        <w:r w:rsidRPr="00F9120E">
          <w:rPr>
            <w:rStyle w:val="Hipervnculo"/>
            <w:rFonts w:ascii="Verdana" w:hAnsi="Verdana" w:cs="Arial"/>
            <w:shd w:val="clear" w:color="auto" w:fill="FFFFFF"/>
            <w:lang w:val="es-ES"/>
          </w:rPr>
          <w:t>https://relatoria.colombiacompra.gov.co/busqueda/conceptos</w:t>
        </w:r>
      </w:hyperlink>
      <w:r w:rsidRPr="00F9120E">
        <w:rPr>
          <w:rStyle w:val="Hipervnculo"/>
          <w:rFonts w:ascii="Verdana" w:hAnsi="Verdana"/>
          <w:lang w:val="es-ES"/>
        </w:rPr>
        <w:t>.</w:t>
      </w:r>
      <w:r w:rsidRPr="00F9120E">
        <w:rPr>
          <w:rStyle w:val="normaltextrun"/>
          <w:rFonts w:ascii="Verdana" w:hAnsi="Verdana" w:cs="Arial"/>
          <w:color w:val="000000" w:themeColor="text1"/>
          <w:shd w:val="clear" w:color="auto" w:fill="FFFFFF"/>
          <w:lang w:val="es-ES"/>
        </w:rPr>
        <w:t xml:space="preserve">  </w:t>
      </w:r>
    </w:p>
    <w:p w14:paraId="005B6A30" w14:textId="77777777" w:rsidR="00CC6605" w:rsidRPr="00F9120E" w:rsidRDefault="00CC6605" w:rsidP="00CC6605">
      <w:pPr>
        <w:spacing w:after="0" w:line="276" w:lineRule="auto"/>
        <w:contextualSpacing/>
        <w:jc w:val="both"/>
        <w:rPr>
          <w:rFonts w:ascii="Verdana" w:hAnsi="Verdana"/>
          <w:lang w:val="es-ES"/>
        </w:rPr>
      </w:pPr>
    </w:p>
    <w:p w14:paraId="4E056E08" w14:textId="77777777" w:rsidR="00CC6605" w:rsidRPr="00F9120E" w:rsidRDefault="00CC6605" w:rsidP="00CC6605">
      <w:pPr>
        <w:spacing w:after="0" w:line="276" w:lineRule="auto"/>
        <w:contextualSpacing/>
        <w:jc w:val="both"/>
        <w:rPr>
          <w:rFonts w:ascii="Verdana" w:hAnsi="Verdana"/>
          <w:lang w:val="es-ES"/>
        </w:rPr>
      </w:pPr>
      <w:r w:rsidRPr="00F9120E">
        <w:rPr>
          <w:rFonts w:ascii="Verdana" w:hAnsi="Verdana"/>
          <w:lang w:val="es-ES"/>
        </w:rPr>
        <w:t>También le contamos que ya se encuentra disponible la </w:t>
      </w:r>
      <w:r w:rsidRPr="00F9120E">
        <w:rPr>
          <w:rFonts w:ascii="Verdana" w:hAnsi="Verdana"/>
          <w:b/>
          <w:bCs/>
          <w:lang w:val="es-ES"/>
        </w:rPr>
        <w:t>Guía de lineamientos de transparencia y selección objetiva para el departamento de La Guajira – Objetivo sexto constitucional de la Sentencia T-302 del 2017. </w:t>
      </w:r>
      <w:r w:rsidRPr="00F9120E">
        <w:rPr>
          <w:rFonts w:ascii="Verdana" w:hAnsi="Verdana"/>
          <w:lang w:val="es-ES"/>
        </w:rPr>
        <w:t xml:space="preserve">Esta Guía se expedide en el marco del cumplimiento de la orden proferida por la Honorable Corte Constitucional en la Sentencia T-302 del 2017. Con su implementación se busca contribuir a la superación del Estado de Cosas </w:t>
      </w:r>
      <w:r w:rsidRPr="00F9120E">
        <w:rPr>
          <w:rFonts w:ascii="Verdana" w:hAnsi="Verdana"/>
          <w:lang w:val="es-ES"/>
        </w:rPr>
        <w:lastRenderedPageBreak/>
        <w:t xml:space="preserve">Inconstitucional declarado por la situación de vulneración masiva y recurrente de los derechos fundamentales de los niños y de las niñas del Pueblo </w:t>
      </w:r>
      <w:proofErr w:type="spellStart"/>
      <w:r w:rsidRPr="00F9120E">
        <w:rPr>
          <w:rFonts w:ascii="Verdana" w:hAnsi="Verdana"/>
          <w:lang w:val="es-ES"/>
        </w:rPr>
        <w:t>Wayúu</w:t>
      </w:r>
      <w:proofErr w:type="spellEnd"/>
      <w:r w:rsidRPr="00F9120E">
        <w:rPr>
          <w:rFonts w:ascii="Verdana" w:hAnsi="Verdana"/>
          <w:lang w:val="es-ES"/>
        </w:rPr>
        <w:t>. Puede consultar la guía en el siguiente enlace: </w:t>
      </w:r>
      <w:hyperlink r:id="rId12" w:tgtFrame="_blank" w:tooltip="Original URL: https://www.colombiacompra.gov.co/wp-content/uploads/2025/05/GUIA-DE-LINEAMIENTOS-DE-TRANSPARENCIA-Y-SELECCION-OBJETIVA-1.0.pdf. Click or tap if you trust this link." w:history="1">
        <w:r w:rsidRPr="00F9120E">
          <w:rPr>
            <w:rStyle w:val="Hipervnculo"/>
            <w:rFonts w:ascii="Verdana" w:hAnsi="Verdana"/>
            <w:lang w:val="es-ES"/>
          </w:rPr>
          <w:t>Guía de lineamientos de transparencia y selección objetiva para el departamento de La Guajira – Objetivo sexto constitucional de la Sentencia T-302 del 2017</w:t>
        </w:r>
      </w:hyperlink>
      <w:r w:rsidRPr="00F9120E">
        <w:rPr>
          <w:rFonts w:ascii="Verdana" w:hAnsi="Verdana"/>
          <w:u w:val="single"/>
          <w:lang w:val="es-ES"/>
        </w:rPr>
        <w:t>"</w:t>
      </w:r>
    </w:p>
    <w:p w14:paraId="415B0465" w14:textId="77777777" w:rsidR="00CC6605" w:rsidRPr="00F9120E" w:rsidRDefault="00CC6605" w:rsidP="00CC6605">
      <w:pPr>
        <w:spacing w:after="0" w:line="276" w:lineRule="auto"/>
        <w:contextualSpacing/>
        <w:jc w:val="both"/>
        <w:rPr>
          <w:rFonts w:ascii="Verdana" w:hAnsi="Verdana"/>
          <w:lang w:val="es-ES"/>
        </w:rPr>
      </w:pPr>
    </w:p>
    <w:p w14:paraId="5BC47699" w14:textId="77777777" w:rsidR="00CC6605" w:rsidRPr="00F9120E" w:rsidRDefault="00CC6605" w:rsidP="00CC6605">
      <w:pPr>
        <w:spacing w:after="0" w:line="276" w:lineRule="auto"/>
        <w:contextualSpacing/>
        <w:jc w:val="both"/>
        <w:rPr>
          <w:rFonts w:ascii="Verdana" w:hAnsi="Verdana"/>
          <w:lang w:val="es-ES"/>
        </w:rPr>
      </w:pPr>
      <w:r w:rsidRPr="00F9120E">
        <w:rPr>
          <w:rFonts w:ascii="Verdana" w:hAnsi="Verdana"/>
          <w:lang w:val="es-ES"/>
        </w:rPr>
        <w:t xml:space="preserve">Por último, lo invitamos a seguirnos en las redes sociales en las cuales se difunde información institucional: </w:t>
      </w:r>
    </w:p>
    <w:p w14:paraId="1B06B89B" w14:textId="77777777" w:rsidR="00CC6605" w:rsidRPr="00F9120E" w:rsidRDefault="00CC6605" w:rsidP="00CC6605">
      <w:pPr>
        <w:spacing w:after="0" w:line="276" w:lineRule="auto"/>
        <w:contextualSpacing/>
        <w:jc w:val="both"/>
        <w:rPr>
          <w:rFonts w:ascii="Verdana" w:hAnsi="Verdana"/>
          <w:lang w:val="es-ES"/>
        </w:rPr>
      </w:pPr>
    </w:p>
    <w:p w14:paraId="6BE4D0CC" w14:textId="77777777" w:rsidR="00CC6605" w:rsidRPr="00F9120E" w:rsidRDefault="00CC6605" w:rsidP="00CC6605">
      <w:pPr>
        <w:spacing w:after="0" w:line="276" w:lineRule="auto"/>
        <w:contextualSpacing/>
        <w:jc w:val="both"/>
        <w:rPr>
          <w:rFonts w:ascii="Verdana" w:hAnsi="Verdana"/>
          <w:lang w:val="es-ES"/>
        </w:rPr>
      </w:pPr>
      <w:r w:rsidRPr="00F9120E">
        <w:rPr>
          <w:rFonts w:ascii="Verdana" w:hAnsi="Verdana"/>
          <w:lang w:val="es-ES"/>
        </w:rPr>
        <w:t xml:space="preserve">Twitter: </w:t>
      </w:r>
      <w:r w:rsidRPr="00F9120E">
        <w:rPr>
          <w:rStyle w:val="Hipervnculo"/>
          <w:rFonts w:ascii="Verdana" w:hAnsi="Verdana" w:cs="Arial"/>
          <w:shd w:val="clear" w:color="auto" w:fill="FFFFFF"/>
          <w:lang w:val="es-ES"/>
        </w:rPr>
        <w:t>@colombiacompra</w:t>
      </w:r>
      <w:r w:rsidRPr="00F9120E">
        <w:rPr>
          <w:rFonts w:ascii="Verdana" w:hAnsi="Verdana"/>
          <w:color w:val="4472C4" w:themeColor="accent1"/>
          <w:lang w:val="es-ES"/>
        </w:rPr>
        <w:t xml:space="preserve"> </w:t>
      </w:r>
    </w:p>
    <w:p w14:paraId="442B0EAE" w14:textId="77777777" w:rsidR="00CC6605" w:rsidRPr="00F9120E" w:rsidRDefault="00CC6605" w:rsidP="00CC6605">
      <w:pPr>
        <w:spacing w:after="0" w:line="276" w:lineRule="auto"/>
        <w:contextualSpacing/>
        <w:jc w:val="both"/>
        <w:rPr>
          <w:rFonts w:ascii="Verdana" w:hAnsi="Verdana"/>
          <w:lang w:val="es-ES"/>
        </w:rPr>
      </w:pPr>
      <w:r w:rsidRPr="00F9120E">
        <w:rPr>
          <w:rFonts w:ascii="Verdana" w:hAnsi="Verdana"/>
          <w:lang w:val="es-ES"/>
        </w:rPr>
        <w:t xml:space="preserve">Facebook: </w:t>
      </w:r>
      <w:proofErr w:type="spellStart"/>
      <w:r w:rsidRPr="00F9120E">
        <w:rPr>
          <w:rStyle w:val="Hipervnculo"/>
          <w:rFonts w:ascii="Verdana" w:hAnsi="Verdana" w:cs="Arial"/>
          <w:shd w:val="clear" w:color="auto" w:fill="FFFFFF"/>
          <w:lang w:val="es-ES"/>
        </w:rPr>
        <w:t>ColombiaCompraEficiente</w:t>
      </w:r>
      <w:proofErr w:type="spellEnd"/>
    </w:p>
    <w:p w14:paraId="42DF0AB1" w14:textId="77777777" w:rsidR="00CC6605" w:rsidRPr="00F9120E" w:rsidRDefault="00CC6605" w:rsidP="00CC6605">
      <w:pPr>
        <w:spacing w:after="0" w:line="276" w:lineRule="auto"/>
        <w:contextualSpacing/>
        <w:jc w:val="both"/>
        <w:rPr>
          <w:rFonts w:ascii="Verdana" w:hAnsi="Verdana"/>
          <w:lang w:val="es-ES"/>
        </w:rPr>
      </w:pPr>
      <w:r w:rsidRPr="00F9120E">
        <w:rPr>
          <w:rFonts w:ascii="Verdana" w:hAnsi="Verdana"/>
          <w:lang w:val="es-ES"/>
        </w:rPr>
        <w:t xml:space="preserve">LinkedIn: </w:t>
      </w:r>
      <w:r w:rsidRPr="00F9120E">
        <w:rPr>
          <w:rStyle w:val="Hipervnculo"/>
          <w:rFonts w:ascii="Verdana" w:hAnsi="Verdana" w:cs="Arial"/>
          <w:shd w:val="clear" w:color="auto" w:fill="FFFFFF"/>
          <w:lang w:val="es-ES"/>
        </w:rPr>
        <w:t xml:space="preserve">Agencia Nacional de Contratación Pública - Colombia Compra Eficiente </w:t>
      </w:r>
      <w:r w:rsidRPr="00F9120E">
        <w:rPr>
          <w:rFonts w:ascii="Verdana" w:hAnsi="Verdana"/>
          <w:lang w:val="es-ES"/>
        </w:rPr>
        <w:t xml:space="preserve">Instagram: </w:t>
      </w:r>
      <w:r w:rsidRPr="00F9120E">
        <w:rPr>
          <w:rStyle w:val="Hipervnculo"/>
          <w:rFonts w:ascii="Verdana" w:hAnsi="Verdana" w:cs="Arial"/>
          <w:shd w:val="clear" w:color="auto" w:fill="FFFFFF"/>
          <w:lang w:val="es-ES"/>
        </w:rPr>
        <w:t>@colombiacompraeficiente_cce</w:t>
      </w:r>
    </w:p>
    <w:p w14:paraId="01AA0E35" w14:textId="77777777" w:rsidR="00CC6605" w:rsidRPr="00F9120E" w:rsidRDefault="00CC6605" w:rsidP="00CC6605">
      <w:pPr>
        <w:widowControl w:val="0"/>
        <w:autoSpaceDE w:val="0"/>
        <w:autoSpaceDN w:val="0"/>
        <w:spacing w:after="0" w:line="276" w:lineRule="auto"/>
        <w:contextualSpacing/>
        <w:jc w:val="both"/>
        <w:rPr>
          <w:rFonts w:ascii="Verdana" w:hAnsi="Verdana" w:cs="Arial"/>
          <w:color w:val="000000" w:themeColor="text1"/>
          <w:lang w:val="es-ES"/>
        </w:rPr>
      </w:pPr>
    </w:p>
    <w:p w14:paraId="73EFBBED" w14:textId="77777777" w:rsidR="00CC6605" w:rsidRPr="00F9120E" w:rsidRDefault="00CC6605" w:rsidP="00CC6605">
      <w:pPr>
        <w:widowControl w:val="0"/>
        <w:autoSpaceDE w:val="0"/>
        <w:autoSpaceDN w:val="0"/>
        <w:spacing w:after="0" w:line="276" w:lineRule="auto"/>
        <w:contextualSpacing/>
        <w:jc w:val="both"/>
        <w:rPr>
          <w:rFonts w:ascii="Verdana" w:hAnsi="Verdana" w:cs="Arial"/>
          <w:color w:val="000000" w:themeColor="text1"/>
          <w:lang w:val="es-ES"/>
        </w:rPr>
      </w:pPr>
      <w:r w:rsidRPr="00F9120E">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F096789" w14:textId="77777777" w:rsidR="00CC6605" w:rsidRPr="00F9120E" w:rsidRDefault="00CC6605" w:rsidP="00CC6605">
      <w:pPr>
        <w:spacing w:before="240" w:after="0" w:line="276" w:lineRule="auto"/>
        <w:rPr>
          <w:rFonts w:ascii="Verdana" w:hAnsi="Verdana" w:cs="Arial"/>
          <w:color w:val="000000" w:themeColor="text1"/>
          <w:lang w:val="es-ES" w:eastAsia="es-CO"/>
        </w:rPr>
      </w:pPr>
      <w:r w:rsidRPr="00F9120E">
        <w:rPr>
          <w:rFonts w:ascii="Verdana" w:eastAsia="Times New Roman" w:hAnsi="Verdana" w:cs="Arial"/>
          <w:color w:val="000000" w:themeColor="text1"/>
          <w:lang w:val="es-ES" w:eastAsia="es-CO"/>
        </w:rPr>
        <w:t>Atentamente,</w:t>
      </w:r>
      <w:r w:rsidRPr="00F9120E">
        <w:rPr>
          <w:rFonts w:ascii="Verdana" w:hAnsi="Verdana" w:cs="Arial"/>
          <w:color w:val="000000" w:themeColor="text1"/>
          <w:lang w:val="es-ES" w:eastAsia="es-CO"/>
        </w:rPr>
        <w:t xml:space="preserve"> </w:t>
      </w:r>
    </w:p>
    <w:p w14:paraId="36D5E27D" w14:textId="4DBFA404" w:rsidR="00CC6605" w:rsidRPr="008F1FB6" w:rsidRDefault="008D4F1F" w:rsidP="00CC6605">
      <w:pPr>
        <w:spacing w:line="276" w:lineRule="auto"/>
        <w:jc w:val="center"/>
        <w:rPr>
          <w:rFonts w:ascii="Verdana" w:hAnsi="Verdana" w:cs="Arial"/>
          <w:color w:val="000000"/>
          <w:lang w:val="es-ES_tradnl" w:eastAsia="es-CO"/>
        </w:rPr>
      </w:pPr>
      <w:r>
        <w:rPr>
          <w:noProof/>
        </w:rPr>
        <w:drawing>
          <wp:inline distT="0" distB="0" distL="0" distR="0" wp14:anchorId="4C040E43" wp14:editId="52A3EDE4">
            <wp:extent cx="3771429" cy="1400000"/>
            <wp:effectExtent l="0" t="0" r="635" b="0"/>
            <wp:docPr id="31330902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09024" name="Imagen 1" descr="Texto&#10;&#10;El contenido generado por IA puede ser incorrecto."/>
                    <pic:cNvPicPr/>
                  </pic:nvPicPr>
                  <pic:blipFill>
                    <a:blip r:embed="rId13"/>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C6605" w:rsidRPr="003751C7" w14:paraId="7B28C5CD" w14:textId="77777777" w:rsidTr="00675AF5">
        <w:trPr>
          <w:trHeight w:val="315"/>
        </w:trPr>
        <w:tc>
          <w:tcPr>
            <w:tcW w:w="893" w:type="dxa"/>
            <w:vAlign w:val="center"/>
            <w:hideMark/>
          </w:tcPr>
          <w:p w14:paraId="465EA895" w14:textId="77777777" w:rsidR="00CC6605" w:rsidRPr="003751C7" w:rsidRDefault="00CC6605" w:rsidP="00675AF5">
            <w:pPr>
              <w:spacing w:line="276" w:lineRule="auto"/>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876276F" w14:textId="77777777" w:rsidR="00CC6605" w:rsidRPr="00FF1EF8" w:rsidRDefault="00CC6605" w:rsidP="00675AF5">
            <w:pPr>
              <w:spacing w:line="276" w:lineRule="auto"/>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27D395DB" w14:textId="77777777" w:rsidR="00CC6605" w:rsidRPr="003751C7" w:rsidRDefault="00CC6605" w:rsidP="00675AF5">
            <w:pPr>
              <w:spacing w:line="276" w:lineRule="auto"/>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CC6605" w:rsidRPr="003751C7" w14:paraId="7BE30347" w14:textId="77777777" w:rsidTr="00675AF5">
        <w:trPr>
          <w:trHeight w:val="330"/>
        </w:trPr>
        <w:tc>
          <w:tcPr>
            <w:tcW w:w="893" w:type="dxa"/>
            <w:vAlign w:val="center"/>
            <w:hideMark/>
          </w:tcPr>
          <w:p w14:paraId="6639421B" w14:textId="77777777" w:rsidR="00CC6605" w:rsidRPr="003751C7" w:rsidRDefault="00CC6605" w:rsidP="00675AF5">
            <w:pPr>
              <w:spacing w:line="276" w:lineRule="auto"/>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DA9F0BB" w14:textId="77777777" w:rsidR="00CC6605" w:rsidRPr="00B6469F" w:rsidRDefault="00CC6605" w:rsidP="00675AF5">
            <w:pPr>
              <w:spacing w:line="276" w:lineRule="auto"/>
              <w:contextualSpacing/>
              <w:textAlignment w:val="baseline"/>
              <w:rPr>
                <w:rFonts w:ascii="Verdana" w:eastAsia="Times New Roman" w:hAnsi="Verdana" w:cs="Arial"/>
                <w:sz w:val="16"/>
                <w:szCs w:val="16"/>
                <w:lang w:val="es-ES" w:eastAsia="es-ES_tradnl"/>
              </w:rPr>
            </w:pPr>
            <w:r w:rsidRPr="00B6469F">
              <w:rPr>
                <w:rFonts w:ascii="Verdana" w:eastAsia="Times New Roman" w:hAnsi="Verdana" w:cs="Arial"/>
                <w:sz w:val="16"/>
                <w:szCs w:val="16"/>
                <w:lang w:val="es-ES" w:eastAsia="es-ES_tradnl"/>
              </w:rPr>
              <w:t>Alejandro Sarmiento Cantillo</w:t>
            </w:r>
          </w:p>
          <w:p w14:paraId="3B85177E" w14:textId="77777777" w:rsidR="00CC6605" w:rsidRPr="003751C7" w:rsidRDefault="00CC6605" w:rsidP="00675AF5">
            <w:pPr>
              <w:pStyle w:val="paragraph"/>
              <w:spacing w:before="0" w:beforeAutospacing="0" w:after="0" w:afterAutospacing="0" w:line="276" w:lineRule="auto"/>
              <w:contextualSpacing/>
              <w:textAlignment w:val="baseline"/>
              <w:rPr>
                <w:rFonts w:ascii="Verdana" w:hAnsi="Verdana" w:cs="Segoe UI"/>
                <w:sz w:val="16"/>
                <w:szCs w:val="16"/>
              </w:rPr>
            </w:pPr>
            <w:r w:rsidRPr="00B6469F">
              <w:rPr>
                <w:rFonts w:ascii="Verdana" w:hAnsi="Verdana" w:cs="Arial"/>
                <w:sz w:val="16"/>
                <w:szCs w:val="16"/>
                <w:lang w:val="es-ES"/>
              </w:rPr>
              <w:t xml:space="preserve">Gestor T1 – 15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CC6605" w:rsidRPr="003751C7" w14:paraId="4ED9E2AC" w14:textId="77777777" w:rsidTr="00675AF5">
        <w:trPr>
          <w:trHeight w:val="300"/>
        </w:trPr>
        <w:tc>
          <w:tcPr>
            <w:tcW w:w="893" w:type="dxa"/>
            <w:vAlign w:val="center"/>
          </w:tcPr>
          <w:p w14:paraId="4F01B813" w14:textId="77777777" w:rsidR="00CC6605" w:rsidRPr="003751C7" w:rsidRDefault="00CC6605" w:rsidP="00675AF5">
            <w:pPr>
              <w:spacing w:line="276" w:lineRule="auto"/>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FFF7F5B" w14:textId="77777777" w:rsidR="00CC6605" w:rsidRPr="003751C7" w:rsidRDefault="00CC6605" w:rsidP="00675AF5">
            <w:pPr>
              <w:spacing w:line="276" w:lineRule="auto"/>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57C5805A" w14:textId="77777777" w:rsidR="00CC6605" w:rsidRPr="003751C7" w:rsidRDefault="00CC6605" w:rsidP="00675AF5">
            <w:pPr>
              <w:spacing w:line="276" w:lineRule="auto"/>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17D9C27E" w14:textId="77777777" w:rsidR="00CC6605" w:rsidRPr="008F1FB6" w:rsidRDefault="00CC6605" w:rsidP="00CC6605">
      <w:pPr>
        <w:spacing w:line="276" w:lineRule="auto"/>
        <w:rPr>
          <w:rFonts w:ascii="Verdana" w:hAnsi="Verdana"/>
        </w:rPr>
      </w:pPr>
    </w:p>
    <w:p w14:paraId="3900974D" w14:textId="77777777" w:rsidR="003D5B0D" w:rsidRPr="00CC6605" w:rsidRDefault="003D5B0D" w:rsidP="00CC6605"/>
    <w:sectPr w:rsidR="003D5B0D" w:rsidRPr="00CC6605"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2203D" w14:textId="77777777" w:rsidR="00583AB0" w:rsidRDefault="00583AB0" w:rsidP="004A1847">
      <w:pPr>
        <w:spacing w:after="0" w:line="240" w:lineRule="auto"/>
      </w:pPr>
      <w:r>
        <w:separator/>
      </w:r>
    </w:p>
  </w:endnote>
  <w:endnote w:type="continuationSeparator" w:id="0">
    <w:p w14:paraId="1F4937AD" w14:textId="77777777" w:rsidR="00583AB0" w:rsidRDefault="00583AB0" w:rsidP="004A1847">
      <w:pPr>
        <w:spacing w:after="0" w:line="240" w:lineRule="auto"/>
      </w:pPr>
      <w:r>
        <w:continuationSeparator/>
      </w:r>
    </w:p>
  </w:endnote>
  <w:endnote w:type="continuationNotice" w:id="1">
    <w:p w14:paraId="5AE75199" w14:textId="77777777" w:rsidR="00583AB0" w:rsidRDefault="00583A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51631" w14:textId="77777777" w:rsidR="00583AB0" w:rsidRDefault="00583AB0" w:rsidP="004A1847">
      <w:pPr>
        <w:spacing w:after="0" w:line="240" w:lineRule="auto"/>
      </w:pPr>
      <w:r>
        <w:separator/>
      </w:r>
    </w:p>
  </w:footnote>
  <w:footnote w:type="continuationSeparator" w:id="0">
    <w:p w14:paraId="274D7840" w14:textId="77777777" w:rsidR="00583AB0" w:rsidRDefault="00583AB0" w:rsidP="004A1847">
      <w:pPr>
        <w:spacing w:after="0" w:line="240" w:lineRule="auto"/>
      </w:pPr>
      <w:r>
        <w:continuationSeparator/>
      </w:r>
    </w:p>
  </w:footnote>
  <w:footnote w:type="continuationNotice" w:id="1">
    <w:p w14:paraId="5C5D098B" w14:textId="77777777" w:rsidR="00583AB0" w:rsidRDefault="00583AB0">
      <w:pPr>
        <w:spacing w:after="0" w:line="240" w:lineRule="auto"/>
      </w:pPr>
    </w:p>
  </w:footnote>
  <w:footnote w:id="2">
    <w:p w14:paraId="44E5DD53" w14:textId="77777777" w:rsidR="00CC6605" w:rsidRPr="00167C84" w:rsidRDefault="00CC6605" w:rsidP="00CC6605">
      <w:pPr>
        <w:pStyle w:val="Textonotapie"/>
        <w:contextualSpacing/>
        <w:jc w:val="both"/>
        <w:rPr>
          <w:rFonts w:ascii="Verdana" w:hAnsi="Verdana" w:cs="Arial"/>
          <w:color w:val="000000" w:themeColor="text1"/>
          <w:sz w:val="16"/>
          <w:szCs w:val="16"/>
          <w:lang w:val="es-ES"/>
        </w:rPr>
      </w:pPr>
      <w:r w:rsidRPr="00167C84">
        <w:rPr>
          <w:rStyle w:val="Refdenotaalpie"/>
          <w:rFonts w:ascii="Verdana" w:hAnsi="Verdana" w:cs="Arial"/>
          <w:color w:val="000000" w:themeColor="text1"/>
          <w:sz w:val="16"/>
          <w:szCs w:val="16"/>
        </w:rPr>
        <w:footnoteRef/>
      </w:r>
      <w:r w:rsidRPr="00167C84">
        <w:rPr>
          <w:rFonts w:ascii="Verdana" w:hAnsi="Verdana" w:cs="Arial"/>
          <w:color w:val="000000" w:themeColor="text1"/>
          <w:sz w:val="16"/>
          <w:szCs w:val="16"/>
        </w:rPr>
        <w:t xml:space="preserve"> </w:t>
      </w:r>
      <w:r w:rsidRPr="004779A0">
        <w:rPr>
          <w:rFonts w:ascii="Verdana" w:hAnsi="Verdana" w:cs="Arial"/>
          <w:color w:val="000000" w:themeColor="text1"/>
          <w:sz w:val="16"/>
          <w:szCs w:val="16"/>
        </w:rPr>
        <w:t xml:space="preserve">MARÍN CORTÉS, Fabian G., El precio. Serie: Las Cláusulas del Contrato Estatal, Ed. Jurídica Sánchez R. Bogotá, 2012. </w:t>
      </w:r>
      <w:r w:rsidRPr="00167C84">
        <w:rPr>
          <w:rFonts w:ascii="Verdana" w:hAnsi="Verdana" w:cs="Arial"/>
          <w:color w:val="000000" w:themeColor="text1"/>
          <w:sz w:val="16"/>
          <w:szCs w:val="16"/>
          <w:lang w:val="es-ES"/>
        </w:rPr>
        <w:t>pp. 64-65.</w:t>
      </w:r>
    </w:p>
  </w:footnote>
  <w:footnote w:id="3">
    <w:p w14:paraId="416884AE" w14:textId="77777777" w:rsidR="00CC6605" w:rsidRPr="00167C84" w:rsidRDefault="00CC6605" w:rsidP="00CC6605">
      <w:pPr>
        <w:pStyle w:val="Textonotapie"/>
        <w:ind w:firstLine="708"/>
        <w:contextualSpacing/>
        <w:jc w:val="both"/>
        <w:rPr>
          <w:rFonts w:ascii="Verdana" w:hAnsi="Verdana" w:cs="Arial"/>
          <w:sz w:val="16"/>
          <w:szCs w:val="16"/>
        </w:rPr>
      </w:pPr>
      <w:r w:rsidRPr="00167C84">
        <w:rPr>
          <w:rStyle w:val="Refdenotaalpie"/>
          <w:rFonts w:ascii="Verdana" w:hAnsi="Verdana" w:cs="Arial"/>
          <w:sz w:val="16"/>
          <w:szCs w:val="16"/>
        </w:rPr>
        <w:footnoteRef/>
      </w:r>
      <w:r w:rsidRPr="00167C84">
        <w:rPr>
          <w:rFonts w:ascii="Verdana" w:hAnsi="Verdana" w:cs="Arial"/>
          <w:sz w:val="16"/>
          <w:szCs w:val="16"/>
        </w:rPr>
        <w:t xml:space="preserve"> El factor multiplicador se encontraba regulado en los artículos 33, 34 y 35 del Decreto 1522 de 1983, “Por el cual se dictan normas sobre registro de proponentes y concurso de méritos”. No obstante, este reglamento fue posteriormente derogado por el Decreto 2326 de 1995, "Por el cual se reglamenta la Ley 80 de 1993 en cuanto a los Concursos para la selección de consultores de diseño, planos, anteproyectos y proyectos arquitectónicos, se hace una adición al Decreto 1584 de 1994 y se dictan otras disposiciones".</w:t>
      </w:r>
    </w:p>
  </w:footnote>
  <w:footnote w:id="4">
    <w:p w14:paraId="61B6E4A5" w14:textId="77777777" w:rsidR="00CC6605" w:rsidRPr="00167C84" w:rsidRDefault="00CC6605" w:rsidP="00CC6605">
      <w:pPr>
        <w:pStyle w:val="Textonotapie"/>
        <w:ind w:firstLine="708"/>
        <w:contextualSpacing/>
        <w:jc w:val="both"/>
        <w:rPr>
          <w:rFonts w:ascii="Verdana" w:hAnsi="Verdana"/>
          <w:sz w:val="16"/>
          <w:szCs w:val="16"/>
        </w:rPr>
      </w:pPr>
      <w:r w:rsidRPr="00167C84">
        <w:rPr>
          <w:rStyle w:val="Refdenotaalpie"/>
          <w:rFonts w:ascii="Verdana" w:hAnsi="Verdana"/>
          <w:sz w:val="16"/>
          <w:szCs w:val="16"/>
        </w:rPr>
        <w:footnoteRef/>
      </w:r>
      <w:r w:rsidRPr="00167C84">
        <w:rPr>
          <w:rFonts w:ascii="Verdana" w:hAnsi="Verdana"/>
          <w:sz w:val="16"/>
          <w:szCs w:val="16"/>
        </w:rPr>
        <w:t xml:space="preserve">Decreto 1523 de 1983: “Artículo 33. Costo del contrato de consultoría.  El costo total del contrato debe cubrir íntegramente los costos directos derivados de la ejecución de la consultoría y el estimado de los indirectos y la utilidad del consultor. </w:t>
      </w:r>
    </w:p>
    <w:p w14:paraId="406E7B30" w14:textId="77777777" w:rsidR="00CC6605" w:rsidRPr="00167C84" w:rsidRDefault="00CC6605" w:rsidP="00CC6605">
      <w:pPr>
        <w:pStyle w:val="Textonotapie"/>
        <w:ind w:firstLine="708"/>
        <w:contextualSpacing/>
        <w:jc w:val="both"/>
        <w:rPr>
          <w:rFonts w:ascii="Verdana" w:hAnsi="Verdana"/>
          <w:sz w:val="16"/>
          <w:szCs w:val="16"/>
        </w:rPr>
      </w:pPr>
      <w:r w:rsidRPr="00167C84">
        <w:rPr>
          <w:rFonts w:ascii="Verdana" w:hAnsi="Verdana"/>
          <w:sz w:val="16"/>
          <w:szCs w:val="16"/>
        </w:rPr>
        <w:t xml:space="preserve">Para definir el costo del contrato, los de operación del consultor se clasificarán así: </w:t>
      </w:r>
    </w:p>
    <w:p w14:paraId="6978B3D5" w14:textId="77777777" w:rsidR="00CC6605" w:rsidRPr="00167C84" w:rsidRDefault="00CC6605" w:rsidP="00CC6605">
      <w:pPr>
        <w:pStyle w:val="Textonotapie"/>
        <w:ind w:firstLine="708"/>
        <w:contextualSpacing/>
        <w:jc w:val="both"/>
        <w:rPr>
          <w:rFonts w:ascii="Verdana" w:hAnsi="Verdana"/>
          <w:sz w:val="16"/>
          <w:szCs w:val="16"/>
        </w:rPr>
      </w:pPr>
      <w:r w:rsidRPr="00167C84">
        <w:rPr>
          <w:rFonts w:ascii="Verdana" w:hAnsi="Verdana"/>
          <w:sz w:val="16"/>
          <w:szCs w:val="16"/>
        </w:rPr>
        <w:t xml:space="preserve">Costos directos del personal del proyecto. Los cuales están constituidos por los salarios del personal profesional, técnico y auxiliar asignado para ejecutar labores directamente en el contrato. </w:t>
      </w:r>
    </w:p>
    <w:p w14:paraId="5697D296" w14:textId="77777777" w:rsidR="00CC6605" w:rsidRPr="00167C84" w:rsidRDefault="00CC6605" w:rsidP="00CC6605">
      <w:pPr>
        <w:pStyle w:val="Textonotapie"/>
        <w:ind w:firstLine="708"/>
        <w:contextualSpacing/>
        <w:jc w:val="both"/>
        <w:rPr>
          <w:rFonts w:ascii="Verdana" w:hAnsi="Verdana"/>
          <w:sz w:val="16"/>
          <w:szCs w:val="16"/>
        </w:rPr>
      </w:pPr>
      <w:r w:rsidRPr="00167C84">
        <w:rPr>
          <w:rFonts w:ascii="Verdana" w:hAnsi="Verdana"/>
          <w:sz w:val="16"/>
          <w:szCs w:val="16"/>
        </w:rPr>
        <w:t xml:space="preserve">El personal aquí incluido debe tener vinculación laboral con el consultor; sus prestaciones sociales o laborales se presentarán en forma separada y se cubrirán con el factor multiplicador cuando se utilice este sistema de cálculo. </w:t>
      </w:r>
    </w:p>
    <w:p w14:paraId="1976A707" w14:textId="77777777" w:rsidR="00CC6605" w:rsidRPr="00167C84" w:rsidRDefault="00CC6605" w:rsidP="00CC6605">
      <w:pPr>
        <w:pStyle w:val="Textonotapie"/>
        <w:ind w:firstLine="708"/>
        <w:contextualSpacing/>
        <w:jc w:val="both"/>
        <w:rPr>
          <w:rFonts w:ascii="Verdana" w:hAnsi="Verdana"/>
          <w:sz w:val="16"/>
          <w:szCs w:val="16"/>
        </w:rPr>
      </w:pPr>
      <w:r w:rsidRPr="00167C84">
        <w:rPr>
          <w:rFonts w:ascii="Verdana" w:hAnsi="Verdana"/>
          <w:sz w:val="16"/>
          <w:szCs w:val="16"/>
        </w:rPr>
        <w:t xml:space="preserve">Otros costos directos. En estos costos se incluyen el de otros insumos requeridos para la ejecución del contrato, tales como honorarios por servicios pagados por el consultor, gastos de viaje, acarreos y transportes, alquiler de equipos, suministros de material y los insumos que se presupuesten como necesarios para la normal ejecución del a contrato. </w:t>
      </w:r>
    </w:p>
    <w:p w14:paraId="77F2658C" w14:textId="77777777" w:rsidR="00CC6605" w:rsidRPr="00167C84" w:rsidRDefault="00CC6605" w:rsidP="00CC6605">
      <w:pPr>
        <w:pStyle w:val="Textonotapie"/>
        <w:ind w:firstLine="708"/>
        <w:contextualSpacing/>
        <w:jc w:val="both"/>
        <w:rPr>
          <w:rFonts w:ascii="Verdana" w:hAnsi="Verdana"/>
          <w:sz w:val="16"/>
          <w:szCs w:val="16"/>
        </w:rPr>
      </w:pPr>
      <w:r w:rsidRPr="00167C84">
        <w:rPr>
          <w:rFonts w:ascii="Verdana" w:hAnsi="Verdana"/>
          <w:sz w:val="16"/>
          <w:szCs w:val="16"/>
        </w:rPr>
        <w:t xml:space="preserve">Costos indirectos. Corresponden a aquellos gastos que tiene la organización del consultor para poder ofrecer la disponibilidad de su servicio. </w:t>
      </w:r>
    </w:p>
    <w:p w14:paraId="292E99EE" w14:textId="77777777" w:rsidR="00CC6605" w:rsidRPr="00167C84" w:rsidRDefault="00CC6605" w:rsidP="00CC6605">
      <w:pPr>
        <w:pStyle w:val="Textonotapie"/>
        <w:ind w:firstLine="708"/>
        <w:contextualSpacing/>
        <w:jc w:val="both"/>
        <w:rPr>
          <w:rFonts w:ascii="Verdana" w:hAnsi="Verdana"/>
          <w:sz w:val="16"/>
          <w:szCs w:val="16"/>
        </w:rPr>
      </w:pPr>
      <w:r w:rsidRPr="00167C84">
        <w:rPr>
          <w:rFonts w:ascii="Verdana" w:hAnsi="Verdana"/>
          <w:sz w:val="16"/>
          <w:szCs w:val="16"/>
        </w:rPr>
        <w:t>Utilidad. Es el beneficio económico que recibe el consultor por ejecutar el contrato”.</w:t>
      </w:r>
    </w:p>
  </w:footnote>
  <w:footnote w:id="5">
    <w:p w14:paraId="7BD412DA" w14:textId="77777777" w:rsidR="00CC6605" w:rsidRPr="00167C84" w:rsidRDefault="00CC6605" w:rsidP="00CC6605">
      <w:pPr>
        <w:pStyle w:val="Textonotapie"/>
        <w:ind w:firstLine="708"/>
        <w:contextualSpacing/>
        <w:jc w:val="both"/>
        <w:rPr>
          <w:rFonts w:ascii="Verdana" w:hAnsi="Verdana"/>
          <w:sz w:val="16"/>
          <w:szCs w:val="16"/>
        </w:rPr>
      </w:pPr>
      <w:r w:rsidRPr="00167C84">
        <w:rPr>
          <w:rStyle w:val="Refdenotaalpie"/>
          <w:rFonts w:ascii="Verdana" w:hAnsi="Verdana"/>
          <w:sz w:val="16"/>
          <w:szCs w:val="16"/>
        </w:rPr>
        <w:footnoteRef/>
      </w:r>
      <w:r w:rsidRPr="00167C84">
        <w:rPr>
          <w:rFonts w:ascii="Verdana" w:hAnsi="Verdana"/>
          <w:sz w:val="16"/>
          <w:szCs w:val="16"/>
        </w:rPr>
        <w:t xml:space="preserve"> Decreto 1523 de 1983: “Artículo 34. Factores y criterios sobre costos de la consultoría. En el cálculo de los costos directos se tendrá como guía, cuando éstas existan, las tarifas que con aprobación del Gobierno se hayan determinado por las asociaciones que tengan el carácter de cuerpo consultivo del mismo o, en defecto de aquellas, por las tarifas que determine la entidad delegada para tal efecto por el Gobierno. </w:t>
      </w:r>
    </w:p>
    <w:p w14:paraId="11E43BC5" w14:textId="77777777" w:rsidR="00CC6605" w:rsidRPr="00167C84" w:rsidRDefault="00CC6605" w:rsidP="00CC6605">
      <w:pPr>
        <w:pStyle w:val="Textonotapie"/>
        <w:ind w:firstLine="708"/>
        <w:contextualSpacing/>
        <w:jc w:val="both"/>
        <w:rPr>
          <w:rFonts w:ascii="Verdana" w:hAnsi="Verdana"/>
          <w:sz w:val="16"/>
          <w:szCs w:val="16"/>
        </w:rPr>
      </w:pPr>
      <w:r w:rsidRPr="00167C84">
        <w:rPr>
          <w:rFonts w:ascii="Verdana" w:hAnsi="Verdana"/>
          <w:sz w:val="16"/>
          <w:szCs w:val="16"/>
        </w:rPr>
        <w:t xml:space="preserve">Para cubrir los costos de provisión laboral prestacional, los costos indirectos y la utilidad del consultor, podrá utilizarse el método del factor multiplicador. Este consiste en un factor que, aplicado a los costos directos de personal, arroja un monto que cubre los anteriormente mencionados. Adicionalmente, podrá reconocerse hasta un diez por ciento (10%) de los otros costos directos para cubrir los gastos de administración de </w:t>
      </w:r>
      <w:proofErr w:type="gramStart"/>
      <w:r w:rsidRPr="00167C84">
        <w:rPr>
          <w:rFonts w:ascii="Verdana" w:hAnsi="Verdana"/>
          <w:sz w:val="16"/>
          <w:szCs w:val="16"/>
        </w:rPr>
        <w:t>los mismos</w:t>
      </w:r>
      <w:proofErr w:type="gramEnd"/>
      <w:r w:rsidRPr="00167C84">
        <w:rPr>
          <w:rFonts w:ascii="Verdana" w:hAnsi="Verdana"/>
          <w:sz w:val="16"/>
          <w:szCs w:val="16"/>
        </w:rPr>
        <w:t xml:space="preserve">. </w:t>
      </w:r>
    </w:p>
    <w:p w14:paraId="7BD5B0BB" w14:textId="77777777" w:rsidR="00CC6605" w:rsidRPr="00167C84" w:rsidRDefault="00CC6605" w:rsidP="00CC6605">
      <w:pPr>
        <w:pStyle w:val="Textonotapie"/>
        <w:ind w:firstLine="708"/>
        <w:contextualSpacing/>
        <w:jc w:val="both"/>
        <w:rPr>
          <w:rFonts w:ascii="Verdana" w:hAnsi="Verdana"/>
          <w:sz w:val="16"/>
          <w:szCs w:val="16"/>
        </w:rPr>
      </w:pPr>
      <w:r w:rsidRPr="00167C84">
        <w:rPr>
          <w:rFonts w:ascii="Verdana" w:hAnsi="Verdana"/>
          <w:sz w:val="16"/>
          <w:szCs w:val="16"/>
        </w:rPr>
        <w:t xml:space="preserve">La entidad contratante podrá utilizar otros métodos técnicos que reflejen, sobre base cierta, el costo del contrato”.  </w:t>
      </w:r>
    </w:p>
  </w:footnote>
  <w:footnote w:id="6">
    <w:p w14:paraId="4FE9F0AA" w14:textId="77777777" w:rsidR="00CC6605" w:rsidRPr="00167C84" w:rsidRDefault="00CC6605" w:rsidP="00CC6605">
      <w:pPr>
        <w:pStyle w:val="Textonotapie"/>
        <w:ind w:firstLine="708"/>
        <w:contextualSpacing/>
        <w:jc w:val="both"/>
        <w:rPr>
          <w:rFonts w:ascii="Verdana" w:hAnsi="Verdana" w:cs="Arial"/>
          <w:sz w:val="16"/>
          <w:szCs w:val="16"/>
          <w:lang w:val="es-ES"/>
        </w:rPr>
      </w:pPr>
      <w:r w:rsidRPr="00167C84">
        <w:rPr>
          <w:rStyle w:val="Refdenotaalpie"/>
          <w:rFonts w:ascii="Verdana" w:hAnsi="Verdana" w:cs="Arial"/>
          <w:sz w:val="16"/>
          <w:szCs w:val="16"/>
        </w:rPr>
        <w:footnoteRef/>
      </w:r>
      <w:r w:rsidRPr="00167C84">
        <w:rPr>
          <w:rFonts w:ascii="Verdana" w:hAnsi="Verdana" w:cs="Arial"/>
          <w:sz w:val="16"/>
          <w:szCs w:val="16"/>
        </w:rPr>
        <w:t xml:space="preserve">Frente a ello, esta Agencia en respuesta a consulta del 27 de septiembre de 2017, indicó, </w:t>
      </w:r>
      <w:r w:rsidRPr="00167C84">
        <w:rPr>
          <w:rFonts w:ascii="Verdana" w:eastAsia="Calibri" w:hAnsi="Verdana" w:cs="Arial"/>
          <w:sz w:val="16"/>
          <w:szCs w:val="16"/>
        </w:rPr>
        <w:t>«</w:t>
      </w:r>
      <w:r w:rsidRPr="00167C84">
        <w:rPr>
          <w:rFonts w:ascii="Verdana" w:hAnsi="Verdana" w:cs="Arial"/>
          <w:sz w:val="16"/>
          <w:szCs w:val="16"/>
        </w:rPr>
        <w:t>en los concursos de méritos no es obligatorio aplicar el factor multiplicador debido a que no existe norma vigente que lo haya previsto de manera expresa en la forma de pago de los contratos de consultoría y/o interventoría. Pero es viable jurídicamente utilizar el factor multiplicador como fórmula para la determinación de los costos del contrato, caso en el cual, el contratista debe demostrar el gasto de todos los componentes de costo que se tuvieron en cuenta para determinarlo</w:t>
      </w:r>
      <w:r w:rsidRPr="00167C84">
        <w:rPr>
          <w:rFonts w:ascii="Verdana" w:eastAsia="Calibri" w:hAnsi="Verdana" w:cs="Arial"/>
          <w:sz w:val="16"/>
          <w:szCs w:val="16"/>
        </w:rPr>
        <w:t>»</w:t>
      </w:r>
      <w:r w:rsidRPr="00167C84">
        <w:rPr>
          <w:rFonts w:ascii="Verdana" w:hAnsi="Verdana" w:cs="Arial"/>
          <w:sz w:val="16"/>
          <w:szCs w:val="16"/>
        </w:rPr>
        <w:t xml:space="preserve"> </w:t>
      </w:r>
      <w:r w:rsidRPr="00167C84">
        <w:rPr>
          <w:rFonts w:ascii="Verdana" w:hAnsi="Verdana" w:cs="Arial"/>
          <w:sz w:val="16"/>
          <w:szCs w:val="16"/>
          <w:lang w:val="es-ES"/>
        </w:rPr>
        <w:t xml:space="preserve">Radicación: Respuesta a consulta #4201714000006240 Temas: Contrato de consultoría Tipo de asunto consultado: Cómo se aplica y evalúa el factor multiplicador. Este concepto a su vez fue reiterado en los conceptos </w:t>
      </w:r>
    </w:p>
  </w:footnote>
  <w:footnote w:id="7">
    <w:p w14:paraId="5CC297FA" w14:textId="77777777" w:rsidR="00CC6605" w:rsidRPr="00167C84" w:rsidRDefault="00CC6605" w:rsidP="00CC6605">
      <w:pPr>
        <w:pStyle w:val="Textonotapie"/>
        <w:ind w:firstLine="708"/>
        <w:contextualSpacing/>
        <w:jc w:val="both"/>
        <w:rPr>
          <w:rFonts w:ascii="Verdana" w:hAnsi="Verdana" w:cs="Arial"/>
          <w:sz w:val="16"/>
          <w:szCs w:val="16"/>
          <w:lang w:val="es-ES"/>
        </w:rPr>
      </w:pPr>
      <w:r w:rsidRPr="00167C84">
        <w:rPr>
          <w:rStyle w:val="Refdenotaalpie"/>
          <w:rFonts w:ascii="Verdana" w:hAnsi="Verdana" w:cs="Arial"/>
          <w:sz w:val="16"/>
          <w:szCs w:val="16"/>
        </w:rPr>
        <w:footnoteRef/>
      </w:r>
      <w:r w:rsidRPr="00167C84">
        <w:rPr>
          <w:rFonts w:ascii="Verdana" w:hAnsi="Verdana" w:cs="Arial"/>
          <w:sz w:val="16"/>
          <w:szCs w:val="16"/>
        </w:rPr>
        <w:t xml:space="preserve">Frente a ello, esta Agencia en respuesta a consulta del 27 de septiembre de 2017, indicó, </w:t>
      </w:r>
      <w:r w:rsidRPr="00167C84">
        <w:rPr>
          <w:rFonts w:ascii="Verdana" w:eastAsia="Calibri" w:hAnsi="Verdana" w:cs="Arial"/>
          <w:sz w:val="16"/>
          <w:szCs w:val="16"/>
        </w:rPr>
        <w:t>«</w:t>
      </w:r>
      <w:r w:rsidRPr="00167C84">
        <w:rPr>
          <w:rFonts w:ascii="Verdana" w:hAnsi="Verdana" w:cs="Arial"/>
          <w:sz w:val="16"/>
          <w:szCs w:val="16"/>
        </w:rPr>
        <w:t>en los concursos de méritos no es obligatorio aplicar el factor multiplicador debido a que no existe norma vigente que lo haya previsto de manera expresa en la forma de pago de los contratos de consultoría y/o interventoría. Pero es viable jurídicamente utilizar el factor multiplicador como fórmula para la determinación de los costos del contrato, caso en el cual, el contratista debe demostrar el gasto de todos los componentes de costo que se tuvieron en cuenta para determinarlo</w:t>
      </w:r>
      <w:r w:rsidRPr="00167C84">
        <w:rPr>
          <w:rFonts w:ascii="Verdana" w:eastAsia="Calibri" w:hAnsi="Verdana" w:cs="Arial"/>
          <w:sz w:val="16"/>
          <w:szCs w:val="16"/>
        </w:rPr>
        <w:t>»</w:t>
      </w:r>
      <w:r w:rsidRPr="00167C84">
        <w:rPr>
          <w:rFonts w:ascii="Verdana" w:hAnsi="Verdana" w:cs="Arial"/>
          <w:sz w:val="16"/>
          <w:szCs w:val="16"/>
        </w:rPr>
        <w:t xml:space="preserve"> </w:t>
      </w:r>
      <w:r w:rsidRPr="00167C84">
        <w:rPr>
          <w:rFonts w:ascii="Verdana" w:hAnsi="Verdana" w:cs="Arial"/>
          <w:sz w:val="16"/>
          <w:szCs w:val="16"/>
          <w:lang w:val="es-ES"/>
        </w:rPr>
        <w:t>Radicación: Respuesta a consulta #4201714000006240 Temas: Contrato de consultoría Tipo de asunto consultado: Cómo se aplica y evalúa el factor multiplicador.</w:t>
      </w:r>
    </w:p>
    <w:p w14:paraId="304D3314" w14:textId="77777777" w:rsidR="00CC6605" w:rsidRPr="00167C84" w:rsidRDefault="00CC6605" w:rsidP="00CC6605">
      <w:pPr>
        <w:pStyle w:val="Textonotapie"/>
        <w:ind w:firstLine="708"/>
        <w:contextualSpacing/>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5pt;height: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27CA"/>
    <w:rsid w:val="00061B2A"/>
    <w:rsid w:val="00082362"/>
    <w:rsid w:val="000A02F1"/>
    <w:rsid w:val="000A683E"/>
    <w:rsid w:val="000B19B9"/>
    <w:rsid w:val="000D0334"/>
    <w:rsid w:val="000D64A6"/>
    <w:rsid w:val="000F6486"/>
    <w:rsid w:val="00125105"/>
    <w:rsid w:val="00127233"/>
    <w:rsid w:val="001511A0"/>
    <w:rsid w:val="00155AE5"/>
    <w:rsid w:val="00157DE6"/>
    <w:rsid w:val="001E4177"/>
    <w:rsid w:val="001F7DC6"/>
    <w:rsid w:val="002121AF"/>
    <w:rsid w:val="002421BB"/>
    <w:rsid w:val="00245AE8"/>
    <w:rsid w:val="0025796E"/>
    <w:rsid w:val="002707A2"/>
    <w:rsid w:val="00292024"/>
    <w:rsid w:val="002951A0"/>
    <w:rsid w:val="00295D51"/>
    <w:rsid w:val="002962BC"/>
    <w:rsid w:val="002A093D"/>
    <w:rsid w:val="002A0DD0"/>
    <w:rsid w:val="002A49AC"/>
    <w:rsid w:val="002A64FD"/>
    <w:rsid w:val="002C7A84"/>
    <w:rsid w:val="002E4FD9"/>
    <w:rsid w:val="002F0A7A"/>
    <w:rsid w:val="00320B32"/>
    <w:rsid w:val="00322A85"/>
    <w:rsid w:val="00324168"/>
    <w:rsid w:val="0032554C"/>
    <w:rsid w:val="00335B2C"/>
    <w:rsid w:val="003375BF"/>
    <w:rsid w:val="003448F4"/>
    <w:rsid w:val="00365A60"/>
    <w:rsid w:val="003673D8"/>
    <w:rsid w:val="003712EE"/>
    <w:rsid w:val="00374F5E"/>
    <w:rsid w:val="00375E4E"/>
    <w:rsid w:val="00377E3E"/>
    <w:rsid w:val="003A779E"/>
    <w:rsid w:val="003A7FF4"/>
    <w:rsid w:val="003D0F4D"/>
    <w:rsid w:val="003D4A21"/>
    <w:rsid w:val="003D5B0D"/>
    <w:rsid w:val="003E0499"/>
    <w:rsid w:val="003F3941"/>
    <w:rsid w:val="003F5ED6"/>
    <w:rsid w:val="003F77E1"/>
    <w:rsid w:val="00406575"/>
    <w:rsid w:val="00414C74"/>
    <w:rsid w:val="0042722E"/>
    <w:rsid w:val="0044528D"/>
    <w:rsid w:val="004554CB"/>
    <w:rsid w:val="0048349D"/>
    <w:rsid w:val="00491F09"/>
    <w:rsid w:val="004A1847"/>
    <w:rsid w:val="004A305D"/>
    <w:rsid w:val="004F21C4"/>
    <w:rsid w:val="004F685F"/>
    <w:rsid w:val="00547737"/>
    <w:rsid w:val="005566E8"/>
    <w:rsid w:val="00557ECC"/>
    <w:rsid w:val="00574867"/>
    <w:rsid w:val="00583AB0"/>
    <w:rsid w:val="0058678F"/>
    <w:rsid w:val="00591460"/>
    <w:rsid w:val="005B3816"/>
    <w:rsid w:val="005C3777"/>
    <w:rsid w:val="005C5CDC"/>
    <w:rsid w:val="005D476C"/>
    <w:rsid w:val="006219F8"/>
    <w:rsid w:val="00627B6F"/>
    <w:rsid w:val="0063038E"/>
    <w:rsid w:val="00665D70"/>
    <w:rsid w:val="00675AF5"/>
    <w:rsid w:val="006900D9"/>
    <w:rsid w:val="006A54B1"/>
    <w:rsid w:val="00706C16"/>
    <w:rsid w:val="00756841"/>
    <w:rsid w:val="007649AB"/>
    <w:rsid w:val="00771D0C"/>
    <w:rsid w:val="007833AC"/>
    <w:rsid w:val="007B268C"/>
    <w:rsid w:val="007B7171"/>
    <w:rsid w:val="007C0739"/>
    <w:rsid w:val="007C0C0F"/>
    <w:rsid w:val="007C3DC2"/>
    <w:rsid w:val="007D2B04"/>
    <w:rsid w:val="007E5497"/>
    <w:rsid w:val="007F3220"/>
    <w:rsid w:val="00806F5F"/>
    <w:rsid w:val="008076E2"/>
    <w:rsid w:val="00807CAB"/>
    <w:rsid w:val="0081625C"/>
    <w:rsid w:val="00820278"/>
    <w:rsid w:val="00844DD9"/>
    <w:rsid w:val="00867F95"/>
    <w:rsid w:val="008843B6"/>
    <w:rsid w:val="00891928"/>
    <w:rsid w:val="008A446D"/>
    <w:rsid w:val="008D180B"/>
    <w:rsid w:val="008D4F1F"/>
    <w:rsid w:val="008F0EA7"/>
    <w:rsid w:val="008F2757"/>
    <w:rsid w:val="00921498"/>
    <w:rsid w:val="00923EEF"/>
    <w:rsid w:val="009240E7"/>
    <w:rsid w:val="009419F9"/>
    <w:rsid w:val="00942B51"/>
    <w:rsid w:val="00946E06"/>
    <w:rsid w:val="0095685E"/>
    <w:rsid w:val="00961053"/>
    <w:rsid w:val="00961B09"/>
    <w:rsid w:val="00965334"/>
    <w:rsid w:val="0097093E"/>
    <w:rsid w:val="00975B7F"/>
    <w:rsid w:val="00986AC5"/>
    <w:rsid w:val="009A0DFA"/>
    <w:rsid w:val="009B1C66"/>
    <w:rsid w:val="009B2D26"/>
    <w:rsid w:val="009C30EF"/>
    <w:rsid w:val="009C71FA"/>
    <w:rsid w:val="009C72E7"/>
    <w:rsid w:val="009D3058"/>
    <w:rsid w:val="009D31C4"/>
    <w:rsid w:val="009F3A13"/>
    <w:rsid w:val="00A122D3"/>
    <w:rsid w:val="00A17F13"/>
    <w:rsid w:val="00A20739"/>
    <w:rsid w:val="00A33C78"/>
    <w:rsid w:val="00A95FB1"/>
    <w:rsid w:val="00AA1FCE"/>
    <w:rsid w:val="00AB0ADB"/>
    <w:rsid w:val="00AC01E6"/>
    <w:rsid w:val="00AC2C6E"/>
    <w:rsid w:val="00B01B1A"/>
    <w:rsid w:val="00B41D10"/>
    <w:rsid w:val="00B66319"/>
    <w:rsid w:val="00B72CD3"/>
    <w:rsid w:val="00B72FFF"/>
    <w:rsid w:val="00B81B21"/>
    <w:rsid w:val="00BB7A27"/>
    <w:rsid w:val="00BC3D36"/>
    <w:rsid w:val="00BD7F72"/>
    <w:rsid w:val="00BE389D"/>
    <w:rsid w:val="00C04FB3"/>
    <w:rsid w:val="00C330EB"/>
    <w:rsid w:val="00C41061"/>
    <w:rsid w:val="00C754BE"/>
    <w:rsid w:val="00C76B1C"/>
    <w:rsid w:val="00CB6357"/>
    <w:rsid w:val="00CC1B26"/>
    <w:rsid w:val="00CC6605"/>
    <w:rsid w:val="00D01CC5"/>
    <w:rsid w:val="00D17677"/>
    <w:rsid w:val="00D423A2"/>
    <w:rsid w:val="00D520D8"/>
    <w:rsid w:val="00D63AC2"/>
    <w:rsid w:val="00D716B3"/>
    <w:rsid w:val="00D7383B"/>
    <w:rsid w:val="00D80282"/>
    <w:rsid w:val="00D9770B"/>
    <w:rsid w:val="00DA231B"/>
    <w:rsid w:val="00DC39FC"/>
    <w:rsid w:val="00DF5254"/>
    <w:rsid w:val="00E050EB"/>
    <w:rsid w:val="00E16408"/>
    <w:rsid w:val="00E16FA5"/>
    <w:rsid w:val="00E20894"/>
    <w:rsid w:val="00E245AB"/>
    <w:rsid w:val="00E2764C"/>
    <w:rsid w:val="00E27F2E"/>
    <w:rsid w:val="00E50AFE"/>
    <w:rsid w:val="00E75C92"/>
    <w:rsid w:val="00E771DC"/>
    <w:rsid w:val="00E81692"/>
    <w:rsid w:val="00E8772A"/>
    <w:rsid w:val="00E90F6B"/>
    <w:rsid w:val="00E92C27"/>
    <w:rsid w:val="00EA0E3D"/>
    <w:rsid w:val="00EC38A7"/>
    <w:rsid w:val="00ED7384"/>
    <w:rsid w:val="00EE1AA8"/>
    <w:rsid w:val="00F31EDC"/>
    <w:rsid w:val="00F462B3"/>
    <w:rsid w:val="00F56002"/>
    <w:rsid w:val="00F5664F"/>
    <w:rsid w:val="00F578D1"/>
    <w:rsid w:val="00F666C4"/>
    <w:rsid w:val="00F76AFC"/>
    <w:rsid w:val="00FA47C0"/>
    <w:rsid w:val="00FA64C6"/>
    <w:rsid w:val="00FB5DD1"/>
    <w:rsid w:val="00FC2B5D"/>
    <w:rsid w:val="00FC3910"/>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034CBD9-535D-674D-AD26-FF3791159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C660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C660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D5FDC8FE-CC83-4394-B49F-9D195604F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4917</Words>
  <Characters>27048</Characters>
  <Application>Microsoft Office Word</Application>
  <DocSecurity>0</DocSecurity>
  <Lines>225</Lines>
  <Paragraphs>63</Paragraphs>
  <ScaleCrop>false</ScaleCrop>
  <Company/>
  <LinksUpToDate>false</LinksUpToDate>
  <CharactersWithSpaces>31902</CharactersWithSpaces>
  <SharedDoc>false</SharedDoc>
  <HLinks>
    <vt:vector size="12" baseType="variant">
      <vt:variant>
        <vt:i4>8126526</vt:i4>
      </vt:variant>
      <vt:variant>
        <vt:i4>3</vt:i4>
      </vt:variant>
      <vt:variant>
        <vt:i4>0</vt:i4>
      </vt:variant>
      <vt:variant>
        <vt:i4>5</vt:i4>
      </vt:variant>
      <vt:variant>
        <vt:lpwstr>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2025-07-21T22:25:00Z</dcterms:created>
  <dcterms:modified xsi:type="dcterms:W3CDTF">2025-07-21T22:25:00Z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