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BC6C87" w:rsidP="00E80F98" w:rsidRDefault="00BC6C87" w14:paraId="392414A3" w14:textId="77777777">
      <w:pPr>
        <w:spacing w:after="0" w:line="240" w:lineRule="auto"/>
        <w:rPr>
          <w:rFonts w:ascii="Verdana" w:hAnsi="Verdana" w:eastAsia="Geomanist Light" w:cs="Arial"/>
          <w:lang w:val="es-MX"/>
        </w:rPr>
      </w:pPr>
    </w:p>
    <w:p w:rsidR="00BC6C87" w:rsidP="00E80F98" w:rsidRDefault="00BC6C87" w14:paraId="6D6EFBEB" w14:textId="77777777">
      <w:pPr>
        <w:spacing w:after="0" w:line="240" w:lineRule="auto"/>
        <w:rPr>
          <w:rFonts w:ascii="Verdana" w:hAnsi="Verdana" w:eastAsia="Geomanist Light" w:cs="Arial"/>
          <w:lang w:val="es-MX"/>
        </w:rPr>
      </w:pPr>
    </w:p>
    <w:p w:rsidR="00BC6C87" w:rsidP="00E80F98" w:rsidRDefault="00BC6C87" w14:paraId="415A6892" w14:textId="77777777">
      <w:pPr>
        <w:spacing w:after="0" w:line="240" w:lineRule="auto"/>
        <w:rPr>
          <w:rFonts w:ascii="Verdana" w:hAnsi="Verdana" w:eastAsia="Geomanist Light" w:cs="Arial"/>
          <w:lang w:val="es-MX"/>
        </w:rPr>
      </w:pPr>
    </w:p>
    <w:p w:rsidRPr="00BC6C87" w:rsidR="00BC6C87" w:rsidP="00BC6C87" w:rsidRDefault="00BC6C87" w14:paraId="36889746" w14:textId="77777777">
      <w:pPr>
        <w:spacing w:after="0" w:line="240" w:lineRule="auto"/>
        <w:jc w:val="both"/>
        <w:rPr>
          <w:rFonts w:ascii="Verdana" w:hAnsi="Verdana" w:eastAsia="Geomanist Light" w:cs="Arial"/>
          <w:b/>
          <w:lang w:val="es-ES_tradnl"/>
        </w:rPr>
      </w:pPr>
      <w:r w:rsidRPr="00BC6C87">
        <w:rPr>
          <w:rFonts w:ascii="Verdana" w:hAnsi="Verdana" w:eastAsia="Geomanist Light" w:cs="Arial"/>
          <w:b/>
          <w:lang w:val="es-ES_tradnl"/>
        </w:rPr>
        <w:t xml:space="preserve">LIQUIDACIÓN DEL CONTRATO – Definición – Objetivo </w:t>
      </w:r>
    </w:p>
    <w:p w:rsidRPr="00BC6C87" w:rsidR="00BC6C87" w:rsidP="00BC6C87" w:rsidRDefault="00BC6C87" w14:paraId="31201A11" w14:textId="77777777">
      <w:pPr>
        <w:spacing w:after="0" w:line="240" w:lineRule="auto"/>
        <w:jc w:val="both"/>
        <w:rPr>
          <w:rFonts w:ascii="Verdana" w:hAnsi="Verdana" w:eastAsia="Geomanist Light" w:cs="Arial"/>
          <w:b/>
          <w:lang w:val="es-ES_tradnl"/>
        </w:rPr>
      </w:pPr>
    </w:p>
    <w:p w:rsidRPr="00BC6C87" w:rsidR="00BC6C87" w:rsidP="7F41951F" w:rsidRDefault="00BC6C87" w14:paraId="3794DC83" w14:textId="77777777" w14:noSpellErr="1">
      <w:pPr>
        <w:spacing w:after="0" w:line="240" w:lineRule="auto"/>
        <w:jc w:val="both"/>
        <w:rPr>
          <w:rFonts w:ascii="Verdana" w:hAnsi="Verdana" w:eastAsia="Geomanist Light" w:cs="Arial"/>
          <w:lang w:val="es-ES"/>
        </w:rPr>
      </w:pPr>
      <w:r w:rsidRPr="7F41951F" w:rsidR="00BC6C87">
        <w:rPr>
          <w:rFonts w:ascii="Verdana" w:hAnsi="Verdana" w:eastAsia="Geomanist Light" w:cs="Arial"/>
          <w:lang w:val="es-ES"/>
        </w:rPr>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7F41951F" w:rsidR="00BC6C87">
        <w:rPr>
          <w:rFonts w:ascii="Verdana" w:hAnsi="Verdana" w:eastAsia="Geomanist Light" w:cs="Arial"/>
          <w:i w:val="1"/>
          <w:iCs w:val="1"/>
          <w:lang w:val="es-ES"/>
        </w:rPr>
        <w:t>liquidar</w:t>
      </w:r>
      <w:r w:rsidRPr="7F41951F" w:rsidR="00BC6C87">
        <w:rPr>
          <w:rFonts w:ascii="Verdana" w:hAnsi="Verdana" w:eastAsia="Geomanist Light" w:cs="Arial"/>
          <w:lang w:val="es-ES"/>
        </w:rPr>
        <w:t xml:space="preserve"> supone un ajuste en relación con las cuentas y el estado de cumplimiento del contrato estatal y, por otro, que la </w:t>
      </w:r>
      <w:r w:rsidRPr="7F41951F" w:rsidR="00BC6C87">
        <w:rPr>
          <w:rFonts w:ascii="Verdana" w:hAnsi="Verdana" w:eastAsia="Geomanist Light" w:cs="Arial"/>
          <w:i w:val="1"/>
          <w:iCs w:val="1"/>
          <w:lang w:val="es-ES"/>
        </w:rPr>
        <w:t>liquidación</w:t>
      </w:r>
      <w:r w:rsidRPr="7F41951F" w:rsidR="00BC6C87">
        <w:rPr>
          <w:rFonts w:ascii="Verdana" w:hAnsi="Verdana" w:eastAsia="Geomanist Light" w:cs="Arial"/>
          <w:lang w:val="es-ES"/>
        </w:rPr>
        <w:t xml:space="preserve"> debe incluir el análisis de las condiciones de calidad y oportunidad en la entrega de los bienes, obras o servicios, así como el balance económico y el comportamiento financiero del negocio.</w:t>
      </w:r>
    </w:p>
    <w:p w:rsidR="00BC6C87" w:rsidP="00E80F98" w:rsidRDefault="00BC6C87" w14:paraId="4414EFF4" w14:textId="77777777">
      <w:pPr>
        <w:spacing w:after="0" w:line="240" w:lineRule="auto"/>
        <w:rPr>
          <w:rFonts w:ascii="Verdana" w:hAnsi="Verdana" w:eastAsia="Geomanist Light" w:cs="Arial"/>
          <w:lang w:val="es-MX"/>
        </w:rPr>
      </w:pPr>
    </w:p>
    <w:p w:rsidR="00BC6C87" w:rsidP="00E80F98" w:rsidRDefault="00BC6C87" w14:paraId="0E0A2E54" w14:textId="77777777">
      <w:pPr>
        <w:spacing w:after="0" w:line="240" w:lineRule="auto"/>
        <w:rPr>
          <w:rFonts w:ascii="Verdana" w:hAnsi="Verdana" w:eastAsia="Geomanist Light" w:cs="Arial"/>
          <w:lang w:val="es-MX"/>
        </w:rPr>
      </w:pPr>
    </w:p>
    <w:p w:rsidR="00BC6C87" w:rsidP="00E80F98" w:rsidRDefault="00BC6C87" w14:paraId="1345E141" w14:textId="77777777">
      <w:pPr>
        <w:spacing w:after="0" w:line="240" w:lineRule="auto"/>
        <w:rPr>
          <w:rFonts w:ascii="Verdana" w:hAnsi="Verdana" w:eastAsia="Geomanist Light" w:cs="Arial"/>
          <w:lang w:val="es-MX"/>
        </w:rPr>
      </w:pPr>
    </w:p>
    <w:p w:rsidR="00BC6C87" w:rsidP="00E80F98" w:rsidRDefault="00BC6C87" w14:paraId="60EC2386" w14:textId="77777777">
      <w:pPr>
        <w:spacing w:after="0" w:line="240" w:lineRule="auto"/>
        <w:rPr>
          <w:rFonts w:ascii="Verdana" w:hAnsi="Verdana" w:eastAsia="Geomanist Light" w:cs="Arial"/>
          <w:lang w:val="es-MX"/>
        </w:rPr>
      </w:pPr>
    </w:p>
    <w:p w:rsidR="00BC6C87" w:rsidP="00E80F98" w:rsidRDefault="00BC6C87" w14:paraId="675E9D54" w14:textId="77777777">
      <w:pPr>
        <w:spacing w:after="0" w:line="240" w:lineRule="auto"/>
        <w:rPr>
          <w:rFonts w:ascii="Verdana" w:hAnsi="Verdana" w:eastAsia="Geomanist Light" w:cs="Arial"/>
          <w:lang w:val="es-MX"/>
        </w:rPr>
      </w:pPr>
    </w:p>
    <w:p w:rsidR="00BC6C87" w:rsidP="00E80F98" w:rsidRDefault="00BC6C87" w14:paraId="63F5FE04" w14:textId="77777777">
      <w:pPr>
        <w:spacing w:after="0" w:line="240" w:lineRule="auto"/>
        <w:rPr>
          <w:rFonts w:ascii="Verdana" w:hAnsi="Verdana" w:eastAsia="Geomanist Light" w:cs="Arial"/>
          <w:lang w:val="es-MX"/>
        </w:rPr>
      </w:pPr>
    </w:p>
    <w:p w:rsidR="00BC6C87" w:rsidP="00E80F98" w:rsidRDefault="00BC6C87" w14:paraId="0C9F96EA" w14:textId="77777777">
      <w:pPr>
        <w:spacing w:after="0" w:line="240" w:lineRule="auto"/>
        <w:rPr>
          <w:rFonts w:ascii="Verdana" w:hAnsi="Verdana" w:eastAsia="Geomanist Light" w:cs="Arial"/>
          <w:lang w:val="es-MX"/>
        </w:rPr>
      </w:pPr>
    </w:p>
    <w:p w:rsidR="00BC6C87" w:rsidP="00E80F98" w:rsidRDefault="00BC6C87" w14:paraId="3B1D385F" w14:textId="77777777">
      <w:pPr>
        <w:spacing w:after="0" w:line="240" w:lineRule="auto"/>
        <w:rPr>
          <w:rFonts w:ascii="Verdana" w:hAnsi="Verdana" w:eastAsia="Geomanist Light" w:cs="Arial"/>
          <w:lang w:val="es-MX"/>
        </w:rPr>
      </w:pPr>
    </w:p>
    <w:p w:rsidR="00BC6C87" w:rsidP="00E80F98" w:rsidRDefault="00BC6C87" w14:paraId="3A762749" w14:textId="77777777">
      <w:pPr>
        <w:spacing w:after="0" w:line="240" w:lineRule="auto"/>
        <w:rPr>
          <w:rFonts w:ascii="Verdana" w:hAnsi="Verdana" w:eastAsia="Geomanist Light" w:cs="Arial"/>
          <w:lang w:val="es-MX"/>
        </w:rPr>
      </w:pPr>
    </w:p>
    <w:p w:rsidR="00BC6C87" w:rsidP="00E80F98" w:rsidRDefault="00BC6C87" w14:paraId="353F1C9D" w14:textId="77777777">
      <w:pPr>
        <w:spacing w:after="0" w:line="240" w:lineRule="auto"/>
        <w:rPr>
          <w:rFonts w:ascii="Verdana" w:hAnsi="Verdana" w:eastAsia="Geomanist Light" w:cs="Arial"/>
          <w:lang w:val="es-MX"/>
        </w:rPr>
      </w:pPr>
    </w:p>
    <w:p w:rsidR="00BC6C87" w:rsidP="00E80F98" w:rsidRDefault="00BC6C87" w14:paraId="2485A597" w14:textId="77777777">
      <w:pPr>
        <w:spacing w:after="0" w:line="240" w:lineRule="auto"/>
        <w:rPr>
          <w:rFonts w:ascii="Verdana" w:hAnsi="Verdana" w:eastAsia="Geomanist Light" w:cs="Arial"/>
          <w:lang w:val="es-MX"/>
        </w:rPr>
      </w:pPr>
    </w:p>
    <w:p w:rsidR="00BC6C87" w:rsidP="00E80F98" w:rsidRDefault="00BC6C87" w14:paraId="28269F8D" w14:textId="77777777">
      <w:pPr>
        <w:spacing w:after="0" w:line="240" w:lineRule="auto"/>
        <w:rPr>
          <w:rFonts w:ascii="Verdana" w:hAnsi="Verdana" w:eastAsia="Geomanist Light" w:cs="Arial"/>
          <w:lang w:val="es-MX"/>
        </w:rPr>
      </w:pPr>
    </w:p>
    <w:p w:rsidR="00BC6C87" w:rsidP="00E80F98" w:rsidRDefault="00BC6C87" w14:paraId="2C4DFE43" w14:textId="77777777">
      <w:pPr>
        <w:spacing w:after="0" w:line="240" w:lineRule="auto"/>
        <w:rPr>
          <w:rFonts w:ascii="Verdana" w:hAnsi="Verdana" w:eastAsia="Geomanist Light" w:cs="Arial"/>
          <w:lang w:val="es-MX"/>
        </w:rPr>
      </w:pPr>
    </w:p>
    <w:p w:rsidR="00BC6C87" w:rsidP="00E80F98" w:rsidRDefault="00BC6C87" w14:paraId="35E290B2" w14:textId="77777777">
      <w:pPr>
        <w:spacing w:after="0" w:line="240" w:lineRule="auto"/>
        <w:rPr>
          <w:rFonts w:ascii="Verdana" w:hAnsi="Verdana" w:eastAsia="Geomanist Light" w:cs="Arial"/>
          <w:lang w:val="es-MX"/>
        </w:rPr>
      </w:pPr>
    </w:p>
    <w:p w:rsidR="00BC6C87" w:rsidP="00E80F98" w:rsidRDefault="00BC6C87" w14:paraId="5AA11861" w14:textId="77777777">
      <w:pPr>
        <w:spacing w:after="0" w:line="240" w:lineRule="auto"/>
        <w:rPr>
          <w:rFonts w:ascii="Verdana" w:hAnsi="Verdana" w:eastAsia="Geomanist Light" w:cs="Arial"/>
          <w:lang w:val="es-MX"/>
        </w:rPr>
      </w:pPr>
    </w:p>
    <w:p w:rsidR="00BC6C87" w:rsidP="00E80F98" w:rsidRDefault="00BC6C87" w14:paraId="0347A72F" w14:textId="77777777">
      <w:pPr>
        <w:spacing w:after="0" w:line="240" w:lineRule="auto"/>
        <w:rPr>
          <w:rFonts w:ascii="Verdana" w:hAnsi="Verdana" w:eastAsia="Geomanist Light" w:cs="Arial"/>
          <w:lang w:val="es-MX"/>
        </w:rPr>
      </w:pPr>
    </w:p>
    <w:p w:rsidR="00BC6C87" w:rsidP="00E80F98" w:rsidRDefault="00BC6C87" w14:paraId="721A9760" w14:textId="77777777">
      <w:pPr>
        <w:spacing w:after="0" w:line="240" w:lineRule="auto"/>
        <w:rPr>
          <w:rFonts w:ascii="Verdana" w:hAnsi="Verdana" w:eastAsia="Geomanist Light" w:cs="Arial"/>
          <w:lang w:val="es-MX"/>
        </w:rPr>
      </w:pPr>
    </w:p>
    <w:p w:rsidR="00BC6C87" w:rsidP="00E80F98" w:rsidRDefault="00BC6C87" w14:paraId="66FC0C68" w14:textId="77777777">
      <w:pPr>
        <w:spacing w:after="0" w:line="240" w:lineRule="auto"/>
        <w:rPr>
          <w:rFonts w:ascii="Verdana" w:hAnsi="Verdana" w:eastAsia="Geomanist Light" w:cs="Arial"/>
          <w:lang w:val="es-MX"/>
        </w:rPr>
      </w:pPr>
    </w:p>
    <w:p w:rsidR="00BC6C87" w:rsidP="00E80F98" w:rsidRDefault="00BC6C87" w14:paraId="13C837FA" w14:textId="77777777">
      <w:pPr>
        <w:spacing w:after="0" w:line="240" w:lineRule="auto"/>
        <w:rPr>
          <w:rFonts w:ascii="Verdana" w:hAnsi="Verdana" w:eastAsia="Geomanist Light" w:cs="Arial"/>
          <w:lang w:val="es-MX"/>
        </w:rPr>
      </w:pPr>
    </w:p>
    <w:p w:rsidR="00BC6C87" w:rsidP="00E80F98" w:rsidRDefault="00BC6C87" w14:paraId="4FD1AC7D" w14:textId="77777777">
      <w:pPr>
        <w:spacing w:after="0" w:line="240" w:lineRule="auto"/>
        <w:rPr>
          <w:rFonts w:ascii="Verdana" w:hAnsi="Verdana" w:eastAsia="Geomanist Light" w:cs="Arial"/>
          <w:lang w:val="es-MX"/>
        </w:rPr>
      </w:pPr>
    </w:p>
    <w:p w:rsidR="00BC6C87" w:rsidP="00E80F98" w:rsidRDefault="00BC6C87" w14:paraId="721E635A" w14:textId="77777777">
      <w:pPr>
        <w:spacing w:after="0" w:line="240" w:lineRule="auto"/>
        <w:rPr>
          <w:rFonts w:ascii="Verdana" w:hAnsi="Verdana" w:eastAsia="Geomanist Light" w:cs="Arial"/>
          <w:lang w:val="es-MX"/>
        </w:rPr>
      </w:pPr>
    </w:p>
    <w:p w:rsidR="00BC6C87" w:rsidP="00E80F98" w:rsidRDefault="00BC6C87" w14:paraId="4706BD70" w14:textId="77777777">
      <w:pPr>
        <w:spacing w:after="0" w:line="240" w:lineRule="auto"/>
        <w:rPr>
          <w:rFonts w:ascii="Verdana" w:hAnsi="Verdana" w:eastAsia="Geomanist Light" w:cs="Arial"/>
          <w:lang w:val="es-MX"/>
        </w:rPr>
      </w:pPr>
    </w:p>
    <w:p w:rsidR="00BC6C87" w:rsidP="00E80F98" w:rsidRDefault="00BC6C87" w14:paraId="1CEC5E66" w14:textId="77777777">
      <w:pPr>
        <w:spacing w:after="0" w:line="240" w:lineRule="auto"/>
        <w:rPr>
          <w:rFonts w:ascii="Verdana" w:hAnsi="Verdana" w:eastAsia="Geomanist Light" w:cs="Arial"/>
          <w:lang w:val="es-MX"/>
        </w:rPr>
      </w:pPr>
    </w:p>
    <w:p w:rsidR="00BC6C87" w:rsidP="00E80F98" w:rsidRDefault="00BC6C87" w14:paraId="743F721E" w14:textId="77777777">
      <w:pPr>
        <w:spacing w:after="0" w:line="240" w:lineRule="auto"/>
        <w:rPr>
          <w:rFonts w:ascii="Verdana" w:hAnsi="Verdana" w:eastAsia="Geomanist Light" w:cs="Arial"/>
          <w:lang w:val="es-MX"/>
        </w:rPr>
      </w:pPr>
    </w:p>
    <w:p w:rsidR="00BC6C87" w:rsidP="00E80F98" w:rsidRDefault="00BC6C87" w14:paraId="3545F080" w14:textId="77777777">
      <w:pPr>
        <w:spacing w:after="0" w:line="240" w:lineRule="auto"/>
        <w:rPr>
          <w:rFonts w:ascii="Verdana" w:hAnsi="Verdana" w:eastAsia="Geomanist Light" w:cs="Arial"/>
          <w:lang w:val="es-MX"/>
        </w:rPr>
      </w:pPr>
    </w:p>
    <w:p w:rsidR="00BC6C87" w:rsidP="00E80F98" w:rsidRDefault="00BC6C87" w14:paraId="3A966F57" w14:textId="77777777">
      <w:pPr>
        <w:spacing w:after="0" w:line="240" w:lineRule="auto"/>
        <w:rPr>
          <w:rFonts w:ascii="Verdana" w:hAnsi="Verdana" w:eastAsia="Geomanist Light" w:cs="Arial"/>
          <w:lang w:val="es-MX"/>
        </w:rPr>
      </w:pPr>
    </w:p>
    <w:p w:rsidR="00BC6C87" w:rsidP="00E80F98" w:rsidRDefault="00BC6C87" w14:paraId="3B911060" w14:textId="77777777">
      <w:pPr>
        <w:spacing w:after="0" w:line="240" w:lineRule="auto"/>
        <w:rPr>
          <w:rFonts w:ascii="Verdana" w:hAnsi="Verdana" w:eastAsia="Geomanist Light" w:cs="Arial"/>
          <w:lang w:val="es-MX"/>
        </w:rPr>
      </w:pPr>
    </w:p>
    <w:p w:rsidR="00BC6C87" w:rsidP="00E80F98" w:rsidRDefault="00BC6C87" w14:paraId="4CC1991E" w14:textId="77777777">
      <w:pPr>
        <w:spacing w:after="0" w:line="240" w:lineRule="auto"/>
        <w:rPr>
          <w:rFonts w:ascii="Verdana" w:hAnsi="Verdana" w:eastAsia="Geomanist Light" w:cs="Arial"/>
          <w:lang w:val="es-MX"/>
        </w:rPr>
      </w:pPr>
    </w:p>
    <w:p w:rsidR="00BC6C87" w:rsidP="00E80F98" w:rsidRDefault="00BC6C87" w14:paraId="5D39F4CC" w14:textId="77777777">
      <w:pPr>
        <w:spacing w:after="0" w:line="240" w:lineRule="auto"/>
        <w:rPr>
          <w:rFonts w:ascii="Verdana" w:hAnsi="Verdana" w:eastAsia="Geomanist Light" w:cs="Arial"/>
          <w:lang w:val="es-MX"/>
        </w:rPr>
      </w:pPr>
    </w:p>
    <w:p w:rsidR="00BC6C87" w:rsidP="00E80F98" w:rsidRDefault="00BC6C87" w14:paraId="72E835AC" w14:textId="77777777">
      <w:pPr>
        <w:spacing w:after="0" w:line="240" w:lineRule="auto"/>
        <w:rPr>
          <w:rFonts w:ascii="Verdana" w:hAnsi="Verdana" w:eastAsia="Geomanist Light" w:cs="Arial"/>
          <w:lang w:val="es-MX"/>
        </w:rPr>
      </w:pPr>
    </w:p>
    <w:p w:rsidR="00BC6C87" w:rsidP="00E80F98" w:rsidRDefault="00BC6C87" w14:paraId="69A118E0" w14:textId="77777777">
      <w:pPr>
        <w:spacing w:after="0" w:line="240" w:lineRule="auto"/>
        <w:rPr>
          <w:rFonts w:ascii="Verdana" w:hAnsi="Verdana" w:eastAsia="Geomanist Light" w:cs="Arial"/>
          <w:lang w:val="es-MX"/>
        </w:rPr>
      </w:pPr>
    </w:p>
    <w:p w:rsidRPr="009322DA" w:rsidR="00E80F98" w:rsidP="00E80F98" w:rsidRDefault="00E80F98" w14:paraId="6DC09294" w14:textId="644439C4">
      <w:pPr>
        <w:spacing w:after="0" w:line="240" w:lineRule="auto"/>
        <w:rPr>
          <w:rFonts w:ascii="Verdana" w:hAnsi="Verdana" w:eastAsia="Geomanist Light" w:cs="Arial"/>
          <w:lang w:val="es-MX"/>
        </w:rPr>
      </w:pPr>
      <w:r w:rsidRPr="009322DA">
        <w:rPr>
          <w:rFonts w:ascii="Verdana" w:hAnsi="Verdana" w:eastAsia="Geomanist Light" w:cs="Arial"/>
          <w:lang w:val="es-MX"/>
        </w:rPr>
        <w:t>Bogotá D.C., [Día] de [</w:t>
      </w:r>
      <w:proofErr w:type="spellStart"/>
      <w:r w:rsidRPr="009322DA">
        <w:rPr>
          <w:rFonts w:ascii="Verdana" w:hAnsi="Verdana" w:eastAsia="Geomanist Light" w:cs="Arial"/>
          <w:lang w:val="es-MX"/>
        </w:rPr>
        <w:t>Mes.NombreCapitalizado</w:t>
      </w:r>
      <w:proofErr w:type="spellEnd"/>
      <w:r w:rsidRPr="009322DA">
        <w:rPr>
          <w:rFonts w:ascii="Verdana" w:hAnsi="Verdana" w:eastAsia="Geomanist Light" w:cs="Arial"/>
          <w:lang w:val="es-MX"/>
        </w:rPr>
        <w:t>] de [Año]</w:t>
      </w:r>
    </w:p>
    <w:p w:rsidR="00E80F98" w:rsidP="00E80F98" w:rsidRDefault="00E80F98" w14:paraId="0FC423BE" w14:textId="1A2407A3">
      <w:pPr>
        <w:spacing w:after="0" w:line="240" w:lineRule="auto"/>
        <w:jc w:val="both"/>
        <w:rPr>
          <w:rFonts w:ascii="Verdana" w:hAnsi="Verdana" w:eastAsia="Calibri" w:cs="Arial"/>
          <w:lang w:val="es-ES"/>
        </w:rPr>
      </w:pPr>
    </w:p>
    <w:p w:rsidR="00BC6C87" w:rsidP="00E80F98" w:rsidRDefault="00BC6C87" w14:paraId="279D1022" w14:textId="7345C53D">
      <w:pPr>
        <w:spacing w:after="0" w:line="240" w:lineRule="auto"/>
        <w:jc w:val="both"/>
        <w:rPr>
          <w:rFonts w:ascii="Verdana" w:hAnsi="Verdana" w:eastAsia="Calibri" w:cs="Arial"/>
          <w:lang w:val="es-ES"/>
        </w:rPr>
      </w:pPr>
      <w:r w:rsidRPr="00BC6C87">
        <w:rPr>
          <w:rFonts w:ascii="Verdana" w:hAnsi="Verdana" w:eastAsia="Calibri" w:cs="Arial"/>
          <w:lang w:val="es-ES"/>
        </w:rPr>
        <w:drawing>
          <wp:anchor distT="0" distB="0" distL="114300" distR="114300" simplePos="0" relativeHeight="251658240" behindDoc="1" locked="0" layoutInCell="1" allowOverlap="1" wp14:anchorId="325CD1DF" wp14:editId="5E37088D">
            <wp:simplePos x="0" y="0"/>
            <wp:positionH relativeFrom="column">
              <wp:posOffset>2684145</wp:posOffset>
            </wp:positionH>
            <wp:positionV relativeFrom="paragraph">
              <wp:posOffset>8890</wp:posOffset>
            </wp:positionV>
            <wp:extent cx="3715268" cy="1124107"/>
            <wp:effectExtent l="0" t="0" r="0" b="0"/>
            <wp:wrapTight wrapText="bothSides">
              <wp:wrapPolygon edited="0">
                <wp:start x="0" y="0"/>
                <wp:lineTo x="0" y="21234"/>
                <wp:lineTo x="21489" y="21234"/>
                <wp:lineTo x="21489" y="0"/>
                <wp:lineTo x="0" y="0"/>
              </wp:wrapPolygon>
            </wp:wrapTight>
            <wp:docPr id="143221491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214913"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715268" cy="1124107"/>
                    </a:xfrm>
                    <a:prstGeom prst="rect">
                      <a:avLst/>
                    </a:prstGeom>
                  </pic:spPr>
                </pic:pic>
              </a:graphicData>
            </a:graphic>
          </wp:anchor>
        </w:drawing>
      </w:r>
    </w:p>
    <w:p w:rsidR="00BC6C87" w:rsidP="00E80F98" w:rsidRDefault="00BC6C87" w14:paraId="19AC6337" w14:textId="77777777">
      <w:pPr>
        <w:spacing w:after="0" w:line="240" w:lineRule="auto"/>
        <w:jc w:val="both"/>
        <w:rPr>
          <w:rFonts w:ascii="Verdana" w:hAnsi="Verdana" w:eastAsia="Calibri" w:cs="Arial"/>
          <w:lang w:val="es-ES"/>
        </w:rPr>
      </w:pPr>
    </w:p>
    <w:p w:rsidR="00BC6C87" w:rsidP="00E80F98" w:rsidRDefault="00BC6C87" w14:paraId="5C62EEF6" w14:textId="77777777">
      <w:pPr>
        <w:spacing w:after="0" w:line="240" w:lineRule="auto"/>
        <w:jc w:val="both"/>
        <w:rPr>
          <w:rFonts w:ascii="Verdana" w:hAnsi="Verdana" w:eastAsia="Calibri" w:cs="Arial"/>
          <w:lang w:val="es-ES"/>
        </w:rPr>
      </w:pPr>
    </w:p>
    <w:p w:rsidR="00BC6C87" w:rsidP="00E80F98" w:rsidRDefault="00BC6C87" w14:paraId="05463E2F" w14:textId="77777777">
      <w:pPr>
        <w:spacing w:after="0" w:line="240" w:lineRule="auto"/>
        <w:jc w:val="both"/>
        <w:rPr>
          <w:rFonts w:ascii="Verdana" w:hAnsi="Verdana" w:eastAsia="Calibri" w:cs="Arial"/>
          <w:lang w:val="es-ES"/>
        </w:rPr>
      </w:pPr>
    </w:p>
    <w:p w:rsidR="00BC6C87" w:rsidP="00E80F98" w:rsidRDefault="00BC6C87" w14:paraId="230C9446" w14:textId="77777777">
      <w:pPr>
        <w:spacing w:after="0" w:line="240" w:lineRule="auto"/>
        <w:jc w:val="both"/>
        <w:rPr>
          <w:rFonts w:ascii="Verdana" w:hAnsi="Verdana" w:eastAsia="Calibri" w:cs="Arial"/>
          <w:lang w:val="es-ES"/>
        </w:rPr>
      </w:pPr>
    </w:p>
    <w:p w:rsidRPr="009322DA" w:rsidR="00E80F98" w:rsidP="00E80F98" w:rsidRDefault="00E80F98" w14:paraId="5FFDC7FC" w14:textId="77777777">
      <w:pPr>
        <w:spacing w:after="0" w:line="240" w:lineRule="auto"/>
        <w:rPr>
          <w:rFonts w:ascii="Verdana" w:hAnsi="Verdana" w:eastAsia="Calibri" w:cs="Arial"/>
          <w:lang w:val="es-MX" w:eastAsia="es-ES"/>
        </w:rPr>
      </w:pPr>
    </w:p>
    <w:p w:rsidRPr="009322DA" w:rsidR="00E80F98" w:rsidP="00E80F98" w:rsidRDefault="00E80F98" w14:paraId="25EDE697" w14:textId="77777777">
      <w:pPr>
        <w:spacing w:after="0" w:line="240" w:lineRule="auto"/>
        <w:rPr>
          <w:rFonts w:ascii="Verdana" w:hAnsi="Verdana" w:eastAsia="Calibri" w:cs="Arial"/>
          <w:lang w:val="es-MX" w:eastAsia="es-ES"/>
        </w:rPr>
      </w:pPr>
      <w:r w:rsidRPr="009322DA">
        <w:rPr>
          <w:rFonts w:ascii="Verdana" w:hAnsi="Verdana" w:eastAsia="Calibri" w:cs="Arial"/>
          <w:lang w:val="es-MX" w:eastAsia="es-ES"/>
        </w:rPr>
        <w:t>Señor</w:t>
      </w:r>
      <w:r>
        <w:rPr>
          <w:rFonts w:ascii="Verdana" w:hAnsi="Verdana" w:eastAsia="Calibri" w:cs="Arial"/>
          <w:lang w:val="es-MX" w:eastAsia="es-ES"/>
        </w:rPr>
        <w:t>a</w:t>
      </w:r>
    </w:p>
    <w:p w:rsidRPr="009322DA" w:rsidR="00E80F98" w:rsidP="00E80F98" w:rsidRDefault="00E80F98" w14:paraId="32B3F2BE" w14:textId="77777777">
      <w:pPr>
        <w:spacing w:after="0" w:line="240" w:lineRule="auto"/>
        <w:rPr>
          <w:rFonts w:ascii="Verdana" w:hAnsi="Verdana" w:eastAsia="Calibri" w:cs="Arial"/>
          <w:b/>
          <w:bCs/>
          <w:lang w:val="es-MX" w:eastAsia="es-ES"/>
        </w:rPr>
      </w:pPr>
      <w:r>
        <w:rPr>
          <w:rFonts w:ascii="Verdana" w:hAnsi="Verdana" w:eastAsia="Calibri" w:cs="Arial"/>
          <w:b/>
          <w:bCs/>
          <w:lang w:val="es-MX" w:eastAsia="es-ES"/>
        </w:rPr>
        <w:t>Magda Valencia Cardona</w:t>
      </w:r>
    </w:p>
    <w:p w:rsidRPr="009322DA" w:rsidR="00E80F98" w:rsidP="00E80F98" w:rsidRDefault="00E80F98" w14:paraId="3C742C3B" w14:textId="77777777">
      <w:pPr>
        <w:spacing w:after="0" w:line="240" w:lineRule="auto"/>
        <w:rPr>
          <w:rFonts w:ascii="Verdana" w:hAnsi="Verdana" w:eastAsia="Calibri" w:cs="Arial"/>
          <w:lang w:val="es-MX" w:eastAsia="es-ES"/>
        </w:rPr>
      </w:pPr>
      <w:hyperlink w:history="1" r:id="rId12">
        <w:r w:rsidRPr="000609E9">
          <w:rPr>
            <w:rStyle w:val="Hipervnculo"/>
            <w:rFonts w:ascii="Verdana" w:hAnsi="Verdana" w:eastAsia="Calibri" w:cs="Arial"/>
            <w:lang w:val="es-MX" w:eastAsia="es-ES"/>
          </w:rPr>
          <w:t>controlinterno@mistrato-risaralda.gov.co</w:t>
        </w:r>
      </w:hyperlink>
    </w:p>
    <w:p w:rsidRPr="009322DA" w:rsidR="00E80F98" w:rsidP="00E80F98" w:rsidRDefault="00E80F98" w14:paraId="4FD198AB" w14:textId="77777777">
      <w:pPr>
        <w:spacing w:after="0" w:line="240" w:lineRule="auto"/>
        <w:rPr>
          <w:rFonts w:ascii="Verdana" w:hAnsi="Verdana" w:eastAsia="Calibri" w:cs="Arial"/>
          <w:b/>
          <w:bCs/>
          <w:lang w:val="es-ES" w:eastAsia="es-ES"/>
        </w:rPr>
      </w:pPr>
      <w:proofErr w:type="spellStart"/>
      <w:r>
        <w:rPr>
          <w:rFonts w:ascii="Verdana" w:hAnsi="Verdana" w:eastAsia="Calibri" w:cs="Arial"/>
          <w:lang w:val="es-MX" w:eastAsia="es-ES"/>
        </w:rPr>
        <w:t>Mistrato</w:t>
      </w:r>
      <w:proofErr w:type="spellEnd"/>
      <w:r>
        <w:rPr>
          <w:rFonts w:ascii="Verdana" w:hAnsi="Verdana" w:eastAsia="Calibri" w:cs="Arial"/>
          <w:lang w:val="es-MX" w:eastAsia="es-ES"/>
        </w:rPr>
        <w:t>, Risaralda</w:t>
      </w:r>
    </w:p>
    <w:p w:rsidRPr="009322DA" w:rsidR="00E80F98" w:rsidP="00E80F98" w:rsidRDefault="00E80F98" w14:paraId="36DAABAB" w14:textId="77777777">
      <w:pPr>
        <w:spacing w:after="0" w:line="240" w:lineRule="auto"/>
        <w:rPr>
          <w:rFonts w:ascii="Verdana" w:hAnsi="Verdana" w:eastAsia="Calibri" w:cs="Arial"/>
          <w:b/>
          <w:bCs/>
          <w:lang w:val="es-ES_tradnl" w:eastAsia="es-ES_tradnl"/>
        </w:rPr>
      </w:pPr>
    </w:p>
    <w:p w:rsidRPr="009322DA" w:rsidR="00E80F98" w:rsidP="00E80F98" w:rsidRDefault="00E80F98" w14:paraId="7DF886E6" w14:textId="77777777">
      <w:pPr>
        <w:spacing w:after="0" w:line="240" w:lineRule="auto"/>
        <w:rPr>
          <w:rFonts w:ascii="Verdana" w:hAnsi="Verdana" w:eastAsia="Calibri" w:cs="Arial"/>
          <w:b/>
          <w:bCs/>
          <w:lang w:val="es-ES_tradnl" w:eastAsia="es-ES_tradnl"/>
        </w:rPr>
      </w:pPr>
    </w:p>
    <w:tbl>
      <w:tblPr>
        <w:tblStyle w:val="Tablaconcuadrcula1"/>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9322DA" w:rsidR="00E80F98" w:rsidTr="00EB47BA" w14:paraId="0375C76A" w14:textId="77777777">
        <w:trPr>
          <w:trHeight w:val="884"/>
        </w:trPr>
        <w:tc>
          <w:tcPr>
            <w:tcW w:w="2689" w:type="dxa"/>
          </w:tcPr>
          <w:p w:rsidRPr="009322DA" w:rsidR="00E80F98" w:rsidP="00EB47BA" w:rsidRDefault="00E80F98" w14:paraId="425C2635" w14:textId="77777777">
            <w:pPr>
              <w:jc w:val="both"/>
              <w:rPr>
                <w:rFonts w:ascii="Verdana" w:hAnsi="Verdana" w:cs="Arial"/>
                <w:b/>
                <w:bCs/>
                <w:lang w:val="es-ES_tradnl" w:eastAsia="es-ES_tradnl"/>
              </w:rPr>
            </w:pPr>
          </w:p>
        </w:tc>
        <w:tc>
          <w:tcPr>
            <w:tcW w:w="6100" w:type="dxa"/>
            <w:hideMark/>
          </w:tcPr>
          <w:p w:rsidRPr="009322DA" w:rsidR="00E80F98" w:rsidP="00EB47BA" w:rsidRDefault="00E80F98" w14:paraId="64329472" w14:textId="46841C3F">
            <w:pPr>
              <w:jc w:val="both"/>
              <w:rPr>
                <w:rFonts w:ascii="Verdana" w:hAnsi="Verdana" w:cs="Arial"/>
                <w:b/>
                <w:bCs/>
                <w:lang w:val="es-ES" w:eastAsia="es-ES"/>
              </w:rPr>
            </w:pPr>
            <w:r w:rsidRPr="009322DA">
              <w:rPr>
                <w:rFonts w:ascii="Verdana" w:hAnsi="Verdana" w:cs="Arial"/>
                <w:b/>
                <w:bCs/>
                <w:lang w:val="es-ES" w:eastAsia="es-ES"/>
              </w:rPr>
              <w:t xml:space="preserve">Concepto </w:t>
            </w:r>
            <w:r w:rsidR="00304414">
              <w:rPr>
                <w:rFonts w:ascii="Verdana" w:hAnsi="Verdana" w:cs="Arial"/>
                <w:b/>
                <w:bCs/>
                <w:lang w:val="es-ES" w:eastAsia="es-ES"/>
              </w:rPr>
              <w:t>C-579</w:t>
            </w:r>
            <w:r w:rsidRPr="009322DA">
              <w:rPr>
                <w:rFonts w:ascii="Verdana" w:hAnsi="Verdana" w:cs="Arial"/>
                <w:b/>
                <w:bCs/>
                <w:lang w:val="es-ES" w:eastAsia="es-ES"/>
              </w:rPr>
              <w:t xml:space="preserve"> de 2024</w:t>
            </w:r>
          </w:p>
        </w:tc>
      </w:tr>
      <w:tr w:rsidRPr="009322DA" w:rsidR="00E80F98" w:rsidTr="00EB47BA" w14:paraId="662D1C06" w14:textId="77777777">
        <w:trPr>
          <w:trHeight w:val="884"/>
        </w:trPr>
        <w:tc>
          <w:tcPr>
            <w:tcW w:w="2689" w:type="dxa"/>
            <w:hideMark/>
          </w:tcPr>
          <w:p w:rsidRPr="009322DA" w:rsidR="00E80F98" w:rsidP="00EB47BA" w:rsidRDefault="00E80F98" w14:paraId="586FD37F" w14:textId="77777777">
            <w:pPr>
              <w:jc w:val="both"/>
              <w:rPr>
                <w:rFonts w:ascii="Verdana" w:hAnsi="Verdana" w:cs="Arial"/>
                <w:lang w:val="es-ES_tradnl" w:eastAsia="es-ES_tradnl"/>
              </w:rPr>
            </w:pPr>
            <w:r w:rsidRPr="009322DA">
              <w:rPr>
                <w:rFonts w:ascii="Verdana" w:hAnsi="Verdana" w:cs="Arial"/>
                <w:b/>
                <w:lang w:val="es-ES_tradnl" w:eastAsia="es-ES_tradnl"/>
              </w:rPr>
              <w:t>Temas:</w:t>
            </w:r>
            <w:r w:rsidRPr="009322DA">
              <w:rPr>
                <w:rFonts w:ascii="Verdana" w:hAnsi="Verdana" w:cs="Arial"/>
                <w:lang w:val="es-ES_tradnl" w:eastAsia="es-ES_tradnl"/>
              </w:rPr>
              <w:t xml:space="preserve">                   </w:t>
            </w:r>
          </w:p>
        </w:tc>
        <w:tc>
          <w:tcPr>
            <w:tcW w:w="6100" w:type="dxa"/>
          </w:tcPr>
          <w:p w:rsidR="00E80F98" w:rsidP="00EB47BA" w:rsidRDefault="00E80F98" w14:paraId="55118C7F" w14:textId="77777777">
            <w:pPr>
              <w:jc w:val="both"/>
              <w:rPr>
                <w:rFonts w:ascii="Verdana" w:hAnsi="Verdana" w:eastAsia="Calibri" w:cs="Arial"/>
                <w:bCs/>
                <w:lang w:val="es-MX" w:eastAsia="es-ES"/>
              </w:rPr>
            </w:pPr>
            <w:r w:rsidRPr="002A43BA">
              <w:rPr>
                <w:rFonts w:ascii="Verdana" w:hAnsi="Verdana" w:eastAsia="Calibri" w:cs="Arial"/>
                <w:bCs/>
                <w:lang w:val="es-MX" w:eastAsia="es-ES"/>
              </w:rPr>
              <w:t>LIQUIDACIÓN DEL CONTRATO – Definición – Objetivo / LIQUIDACIÓN DEL CONTRATO – Normativa / LIQUIDACIÓN DEL CONTRATO – Oportunidad</w:t>
            </w:r>
          </w:p>
          <w:p w:rsidRPr="00EB3000" w:rsidR="00E80F98" w:rsidP="00EB47BA" w:rsidRDefault="00E80F98" w14:paraId="1D47CA6B" w14:textId="77777777">
            <w:pPr>
              <w:jc w:val="both"/>
              <w:rPr>
                <w:rFonts w:ascii="Verdana" w:hAnsi="Verdana" w:cs="Arial"/>
                <w:lang w:val="es-ES_tradnl" w:eastAsia="es-ES"/>
              </w:rPr>
            </w:pPr>
          </w:p>
        </w:tc>
      </w:tr>
      <w:tr w:rsidRPr="009322DA" w:rsidR="00E80F98" w:rsidTr="00EB47BA" w14:paraId="69132314" w14:textId="77777777">
        <w:tc>
          <w:tcPr>
            <w:tcW w:w="2689" w:type="dxa"/>
            <w:hideMark/>
          </w:tcPr>
          <w:p w:rsidRPr="009322DA" w:rsidR="00E80F98" w:rsidP="00EB47BA" w:rsidRDefault="00E80F98" w14:paraId="6B98F203" w14:textId="77777777">
            <w:pPr>
              <w:jc w:val="both"/>
              <w:rPr>
                <w:rFonts w:ascii="Verdana" w:hAnsi="Verdana" w:cs="Arial"/>
                <w:b/>
                <w:lang w:val="es-ES_tradnl" w:eastAsia="es-ES_tradnl"/>
              </w:rPr>
            </w:pPr>
            <w:r w:rsidRPr="009322DA">
              <w:rPr>
                <w:rFonts w:ascii="Verdana" w:hAnsi="Verdana" w:cs="Arial"/>
                <w:b/>
                <w:lang w:val="es-ES_tradnl" w:eastAsia="es-ES_tradnl"/>
              </w:rPr>
              <w:t>Radicación:</w:t>
            </w:r>
            <w:r w:rsidRPr="009322DA">
              <w:rPr>
                <w:rFonts w:ascii="Verdana" w:hAnsi="Verdana" w:cs="Arial"/>
                <w:lang w:val="es-ES_tradnl" w:eastAsia="es-ES_tradnl"/>
              </w:rPr>
              <w:t xml:space="preserve">               </w:t>
            </w:r>
          </w:p>
        </w:tc>
        <w:tc>
          <w:tcPr>
            <w:tcW w:w="6100" w:type="dxa"/>
          </w:tcPr>
          <w:p w:rsidRPr="002A43BA" w:rsidR="00E80F98" w:rsidP="00EB47BA" w:rsidRDefault="00E80F98" w14:paraId="65894324" w14:textId="77777777">
            <w:pPr>
              <w:jc w:val="both"/>
              <w:rPr>
                <w:rFonts w:ascii="Verdana" w:hAnsi="Verdana"/>
                <w:b/>
                <w:bCs/>
                <w:lang w:eastAsia="es-ES_tradnl"/>
              </w:rPr>
            </w:pPr>
            <w:r w:rsidRPr="009322DA">
              <w:rPr>
                <w:rFonts w:ascii="Verdana" w:hAnsi="Verdana" w:cs="Arial"/>
                <w:lang w:val="es-ES_tradnl" w:eastAsia="es-ES_tradnl"/>
              </w:rPr>
              <w:t xml:space="preserve">Respuesta a consulta con radicado No. </w:t>
            </w:r>
            <w:r w:rsidRPr="002A43BA">
              <w:rPr>
                <w:rFonts w:ascii="Verdana" w:hAnsi="Verdana"/>
                <w:lang w:eastAsia="es-ES_tradnl"/>
              </w:rPr>
              <w:t>P20240910009199</w:t>
            </w:r>
          </w:p>
          <w:p w:rsidRPr="00347A72" w:rsidR="00E80F98" w:rsidP="00EB47BA" w:rsidRDefault="00E80F98" w14:paraId="5DE1A533" w14:textId="77777777">
            <w:pPr>
              <w:jc w:val="both"/>
              <w:rPr>
                <w:rFonts w:ascii="Verdana" w:hAnsi="Verdana"/>
                <w:b/>
                <w:bCs/>
                <w:lang w:eastAsia="es-ES_tradnl"/>
              </w:rPr>
            </w:pPr>
          </w:p>
          <w:p w:rsidRPr="009322DA" w:rsidR="00E80F98" w:rsidP="00EB47BA" w:rsidRDefault="00E80F98" w14:paraId="348B8FA9" w14:textId="77777777">
            <w:pPr>
              <w:jc w:val="both"/>
              <w:rPr>
                <w:rFonts w:ascii="Verdana" w:hAnsi="Verdana" w:cs="Arial"/>
                <w:lang w:val="es-ES_tradnl" w:eastAsia="es-ES_tradnl"/>
              </w:rPr>
            </w:pPr>
          </w:p>
        </w:tc>
      </w:tr>
    </w:tbl>
    <w:p w:rsidRPr="009322DA" w:rsidR="00E80F98" w:rsidP="00E80F98" w:rsidRDefault="00E80F98" w14:paraId="1E35AA8F" w14:textId="77777777">
      <w:pPr>
        <w:spacing w:after="0" w:line="240" w:lineRule="auto"/>
        <w:jc w:val="both"/>
        <w:rPr>
          <w:rFonts w:ascii="Verdana" w:hAnsi="Verdana" w:eastAsia="Calibri" w:cs="Arial"/>
          <w:lang w:val="es-ES_tradnl" w:eastAsia="es-ES_tradnl"/>
        </w:rPr>
      </w:pPr>
    </w:p>
    <w:p w:rsidRPr="009322DA" w:rsidR="00E80F98" w:rsidP="00E80F98" w:rsidRDefault="00E80F98" w14:paraId="0BDCDFD5" w14:textId="77777777">
      <w:pPr>
        <w:spacing w:after="0" w:line="240" w:lineRule="auto"/>
        <w:jc w:val="both"/>
        <w:rPr>
          <w:rFonts w:ascii="Verdana" w:hAnsi="Verdana" w:eastAsia="Calibri" w:cs="Arial"/>
          <w:lang w:val="es-ES_tradnl" w:eastAsia="es-ES_tradnl"/>
        </w:rPr>
      </w:pPr>
    </w:p>
    <w:p w:rsidRPr="009322DA" w:rsidR="00E80F98" w:rsidP="00E80F98" w:rsidRDefault="00E80F98" w14:paraId="3383A47A" w14:textId="77777777">
      <w:pPr>
        <w:spacing w:after="0" w:line="276" w:lineRule="auto"/>
        <w:jc w:val="both"/>
        <w:rPr>
          <w:rFonts w:ascii="Verdana" w:hAnsi="Verdana" w:eastAsia="Calibri" w:cs="Arial"/>
          <w:lang w:val="es-ES" w:eastAsia="es-ES"/>
        </w:rPr>
      </w:pPr>
      <w:r w:rsidRPr="009322DA">
        <w:rPr>
          <w:rFonts w:ascii="Verdana" w:hAnsi="Verdana" w:eastAsia="Calibri" w:cs="Arial"/>
          <w:lang w:val="es-ES" w:eastAsia="es-ES"/>
        </w:rPr>
        <w:t>Estimad</w:t>
      </w:r>
      <w:r>
        <w:rPr>
          <w:rFonts w:ascii="Verdana" w:hAnsi="Verdana" w:eastAsia="Calibri" w:cs="Arial"/>
          <w:lang w:val="es-ES" w:eastAsia="es-ES"/>
        </w:rPr>
        <w:t>a</w:t>
      </w:r>
      <w:r w:rsidRPr="009322DA">
        <w:rPr>
          <w:rFonts w:ascii="Verdana" w:hAnsi="Verdana" w:eastAsia="Calibri" w:cs="Arial"/>
          <w:lang w:val="es-ES" w:eastAsia="es-ES"/>
        </w:rPr>
        <w:t xml:space="preserve"> señor</w:t>
      </w:r>
      <w:r>
        <w:rPr>
          <w:rFonts w:ascii="Verdana" w:hAnsi="Verdana" w:eastAsia="Calibri" w:cs="Arial"/>
          <w:lang w:val="es-ES" w:eastAsia="es-ES"/>
        </w:rPr>
        <w:t>a Valencia</w:t>
      </w:r>
      <w:r w:rsidRPr="009322DA">
        <w:rPr>
          <w:rFonts w:ascii="Verdana" w:hAnsi="Verdana" w:eastAsia="Calibri" w:cs="Arial"/>
          <w:lang w:val="es-ES" w:eastAsia="es-ES"/>
        </w:rPr>
        <w:t xml:space="preserve">: </w:t>
      </w:r>
    </w:p>
    <w:p w:rsidRPr="009322DA" w:rsidR="00E80F98" w:rsidP="00E80F98" w:rsidRDefault="00E80F98" w14:paraId="5C49BBB4" w14:textId="77777777">
      <w:pPr>
        <w:tabs>
          <w:tab w:val="left" w:pos="3768"/>
        </w:tabs>
        <w:spacing w:after="0" w:line="276" w:lineRule="auto"/>
        <w:jc w:val="both"/>
        <w:rPr>
          <w:rFonts w:ascii="Verdana" w:hAnsi="Verdana" w:eastAsia="Calibri" w:cs="Arial"/>
          <w:lang w:val="es-ES" w:eastAsia="es-ES"/>
        </w:rPr>
      </w:pPr>
      <w:r w:rsidRPr="009322DA">
        <w:rPr>
          <w:rFonts w:ascii="Verdana" w:hAnsi="Verdana" w:eastAsia="Calibri" w:cs="Arial"/>
          <w:lang w:val="es-ES" w:eastAsia="es-ES"/>
        </w:rPr>
        <w:tab/>
      </w:r>
    </w:p>
    <w:p w:rsidRPr="009322DA" w:rsidR="00E80F98" w:rsidP="00E80F98" w:rsidRDefault="00E80F98" w14:paraId="13B2CB00" w14:textId="77777777">
      <w:pPr>
        <w:spacing w:after="0" w:line="276" w:lineRule="auto"/>
        <w:jc w:val="both"/>
        <w:rPr>
          <w:rFonts w:ascii="Verdana" w:hAnsi="Verdana" w:eastAsia="Calibri" w:cs="Arial"/>
          <w:lang w:val="es-ES" w:eastAsia="es-ES"/>
        </w:rPr>
      </w:pPr>
      <w:r w:rsidRPr="009322DA">
        <w:rPr>
          <w:rFonts w:ascii="Verdana" w:hAnsi="Verdana" w:eastAsia="Calibri" w:cs="Arial"/>
          <w:lang w:val="es-ES" w:eastAsia="es-ES"/>
        </w:rPr>
        <w:t>En ejercicio de la competencia otorgada por los artículos 3, numeral 5º, y 11, numeral 8º, del Decreto Ley 4170 de 2011,</w:t>
      </w:r>
      <w:r w:rsidRPr="009322DA">
        <w:rPr>
          <w:rFonts w:ascii="Verdana" w:hAnsi="Verdana" w:eastAsia="Arial MT" w:cs="Arial MT"/>
          <w:lang w:val="es-ES" w:eastAsia="es-ES"/>
        </w:rPr>
        <w:t xml:space="preserve"> </w:t>
      </w:r>
      <w:r w:rsidRPr="009322DA">
        <w:rPr>
          <w:rFonts w:ascii="Verdana" w:hAnsi="Verdana" w:eastAsia="Calibri" w:cs="Arial"/>
        </w:rPr>
        <w:t xml:space="preserve">así como lo establecido en el artículo 4 de la Resolución 1707 de 2018 expedida por esta Entidad, </w:t>
      </w:r>
      <w:r w:rsidRPr="009322DA">
        <w:rPr>
          <w:rFonts w:ascii="Verdana" w:hAnsi="Verdana" w:eastAsia="Calibri" w:cs="Arial"/>
          <w:lang w:val="es-ES" w:eastAsia="es-ES"/>
        </w:rPr>
        <w:t xml:space="preserve">la Agencia Nacional de Contratación Pública – Colombia Compra Eficiente– responde su solicitud de consulta de fecha </w:t>
      </w:r>
      <w:r>
        <w:rPr>
          <w:rFonts w:ascii="Verdana" w:hAnsi="Verdana" w:eastAsia="Calibri" w:cs="Arial"/>
          <w:lang w:val="es-ES" w:eastAsia="es-ES"/>
        </w:rPr>
        <w:t>10</w:t>
      </w:r>
      <w:r w:rsidRPr="009322DA">
        <w:rPr>
          <w:rFonts w:ascii="Verdana" w:hAnsi="Verdana" w:eastAsia="Calibri" w:cs="Arial"/>
          <w:lang w:val="es-ES" w:eastAsia="es-ES"/>
        </w:rPr>
        <w:t xml:space="preserve"> de </w:t>
      </w:r>
      <w:r>
        <w:rPr>
          <w:rFonts w:ascii="Verdana" w:hAnsi="Verdana" w:eastAsia="Calibri" w:cs="Arial"/>
          <w:lang w:val="es-ES" w:eastAsia="es-ES"/>
        </w:rPr>
        <w:t>septiembre</w:t>
      </w:r>
      <w:r w:rsidRPr="009322DA">
        <w:rPr>
          <w:rFonts w:ascii="Verdana" w:hAnsi="Verdana" w:eastAsia="Calibri" w:cs="Arial"/>
          <w:lang w:val="es-ES" w:eastAsia="es-ES"/>
        </w:rPr>
        <w:t xml:space="preserve"> de 2024, en la cual manifiesta lo siguiente: </w:t>
      </w:r>
    </w:p>
    <w:p w:rsidRPr="009322DA" w:rsidR="00E80F98" w:rsidP="00E80F98" w:rsidRDefault="00E80F98" w14:paraId="4D2273F9" w14:textId="77777777">
      <w:pPr>
        <w:spacing w:after="0" w:line="240" w:lineRule="auto"/>
        <w:ind w:left="709" w:right="709"/>
        <w:jc w:val="both"/>
        <w:rPr>
          <w:rFonts w:ascii="Verdana" w:hAnsi="Verdana" w:eastAsia="Century Gothic" w:cs="Century Gothic"/>
          <w:sz w:val="20"/>
          <w:szCs w:val="20"/>
          <w:lang w:val="es-ES"/>
        </w:rPr>
      </w:pPr>
      <w:bookmarkStart w:name="_Hlk95313578" w:id="0"/>
    </w:p>
    <w:p w:rsidRPr="009D4BCF" w:rsidR="00E80F98" w:rsidP="00E80F98" w:rsidRDefault="00E80F98" w14:paraId="3DC80168" w14:textId="77777777">
      <w:pPr>
        <w:spacing w:line="240" w:lineRule="auto"/>
        <w:ind w:left="709" w:right="709"/>
        <w:jc w:val="both"/>
        <w:rPr>
          <w:rFonts w:ascii="Verdana" w:hAnsi="Verdana" w:eastAsia="Century Gothic" w:cs="Century Gothic"/>
          <w:i/>
          <w:iCs/>
          <w:sz w:val="20"/>
          <w:szCs w:val="20"/>
        </w:rPr>
      </w:pPr>
      <w:r w:rsidRPr="00772836">
        <w:rPr>
          <w:rFonts w:ascii="Verdana" w:hAnsi="Verdana" w:eastAsia="Century Gothic" w:cs="Century Gothic"/>
          <w:i/>
          <w:iCs/>
          <w:sz w:val="20"/>
          <w:szCs w:val="20"/>
          <w:lang w:val="es-ES"/>
        </w:rPr>
        <w:t>“</w:t>
      </w:r>
      <w:r>
        <w:rPr>
          <w:rFonts w:ascii="Verdana" w:hAnsi="Verdana" w:eastAsia="Century Gothic" w:cs="Century Gothic"/>
          <w:i/>
          <w:iCs/>
          <w:sz w:val="20"/>
          <w:szCs w:val="20"/>
        </w:rPr>
        <w:t>A la fecha se está realizando auditoría interna área de contratación he tenido dificultad referente a la contratación de los contratos, algunas personas de la entidad argumentan que los contratos de prestación de servicios no se deben liquidar, me gustaría que ustedes como ente de control me asesoren referente al tema de la liquidación de los contratos (prestación de servicios, obra, suministros) y tiempo oportuno para hacer las liquidaciones</w:t>
      </w:r>
      <w:r w:rsidRPr="009D4BCF">
        <w:rPr>
          <w:rFonts w:ascii="Verdana" w:hAnsi="Verdana" w:eastAsia="Century Gothic" w:cs="Century Gothic"/>
          <w:i/>
          <w:iCs/>
          <w:sz w:val="20"/>
          <w:szCs w:val="20"/>
        </w:rPr>
        <w:t>”</w:t>
      </w:r>
      <w:bookmarkEnd w:id="0"/>
      <w:r w:rsidRPr="009D4BCF">
        <w:rPr>
          <w:rFonts w:ascii="Verdana" w:hAnsi="Verdana" w:eastAsia="Century Gothic" w:cs="Century Gothic"/>
          <w:i/>
          <w:iCs/>
          <w:sz w:val="20"/>
          <w:szCs w:val="20"/>
        </w:rPr>
        <w:t>.</w:t>
      </w:r>
    </w:p>
    <w:p w:rsidRPr="00D6203F" w:rsidR="00E80F98" w:rsidP="00E80F98" w:rsidRDefault="00E80F98" w14:paraId="3CEAC67A" w14:textId="77777777">
      <w:pPr>
        <w:spacing w:line="240" w:lineRule="auto"/>
        <w:ind w:left="709" w:right="709"/>
        <w:jc w:val="both"/>
        <w:rPr>
          <w:rFonts w:ascii="Verdana" w:hAnsi="Verdana" w:eastAsia="Calibri" w:cs="Arial"/>
          <w:i/>
          <w:iCs/>
          <w:sz w:val="20"/>
          <w:szCs w:val="20"/>
          <w:shd w:val="clear" w:color="auto" w:fill="FFFFFF"/>
        </w:rPr>
      </w:pPr>
    </w:p>
    <w:p w:rsidRPr="009322DA" w:rsidR="00E80F98" w:rsidP="00E80F98" w:rsidRDefault="00E80F98" w14:paraId="15CD0C0B" w14:textId="77777777">
      <w:pPr>
        <w:spacing w:after="120" w:line="276" w:lineRule="auto"/>
        <w:ind w:firstLine="709"/>
        <w:jc w:val="both"/>
        <w:rPr>
          <w:rFonts w:ascii="Verdana" w:hAnsi="Verdana" w:eastAsia="Calibri" w:cs="Arial"/>
          <w:szCs w:val="24"/>
          <w:lang w:val="es-ES_tradnl" w:eastAsia="es-ES_tradnl"/>
        </w:rPr>
      </w:pPr>
      <w:r w:rsidRPr="009322DA">
        <w:rPr>
          <w:rFonts w:ascii="Verdana" w:hAnsi="Verdana" w:eastAsia="Calibri"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hAnsi="Verdana" w:eastAsia="Calibri" w:cs="Arial"/>
          <w:szCs w:val="24"/>
          <w:lang w:val="es-ES_tradnl" w:eastAsia="es-ES_tradnl"/>
        </w:rPr>
        <w:tab/>
      </w:r>
    </w:p>
    <w:p w:rsidRPr="009322DA" w:rsidR="00E80F98" w:rsidP="00E80F98" w:rsidRDefault="00E80F98" w14:paraId="7653ADAD" w14:textId="77777777">
      <w:pPr>
        <w:spacing w:after="0" w:line="276" w:lineRule="auto"/>
        <w:ind w:firstLine="708"/>
        <w:jc w:val="both"/>
        <w:rPr>
          <w:rFonts w:ascii="Verdana" w:hAnsi="Verdana" w:eastAsia="Calibri" w:cs="Arial"/>
          <w:lang w:val="es-ES" w:eastAsia="es-ES"/>
        </w:rPr>
      </w:pPr>
      <w:r w:rsidRPr="009322DA">
        <w:rPr>
          <w:rFonts w:ascii="Verdana" w:hAnsi="Verdana" w:eastAsia="Calibri"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Pr="009322DA" w:rsidR="00E80F98" w:rsidP="00E80F98" w:rsidRDefault="00E80F98" w14:paraId="033AC215" w14:textId="77777777">
      <w:pPr>
        <w:spacing w:after="0" w:line="276" w:lineRule="auto"/>
        <w:ind w:firstLine="709"/>
        <w:jc w:val="both"/>
        <w:rPr>
          <w:rFonts w:ascii="Verdana" w:hAnsi="Verdana" w:eastAsia="Calibri" w:cs="Arial"/>
          <w:lang w:val="es-ES" w:eastAsia="es-ES"/>
        </w:rPr>
      </w:pPr>
    </w:p>
    <w:p w:rsidRPr="009322DA" w:rsidR="00E80F98" w:rsidP="00E80F98" w:rsidRDefault="00E80F98" w14:paraId="00345967" w14:textId="77777777">
      <w:pPr>
        <w:numPr>
          <w:ilvl w:val="0"/>
          <w:numId w:val="16"/>
        </w:numPr>
        <w:tabs>
          <w:tab w:val="left" w:pos="142"/>
          <w:tab w:val="left" w:pos="284"/>
        </w:tabs>
        <w:spacing w:after="0" w:line="276" w:lineRule="auto"/>
        <w:ind w:left="0" w:firstLine="0"/>
        <w:contextualSpacing/>
        <w:jc w:val="both"/>
        <w:rPr>
          <w:rFonts w:ascii="Verdana" w:hAnsi="Verdana" w:eastAsia="Century Gothic" w:cs="Century Gothic"/>
          <w:b/>
          <w:bCs/>
          <w:lang w:val="es-ES"/>
        </w:rPr>
      </w:pPr>
      <w:r w:rsidRPr="009322DA">
        <w:rPr>
          <w:rFonts w:ascii="Verdana" w:hAnsi="Verdana" w:eastAsia="Century Gothic" w:cs="Century Gothic"/>
          <w:b/>
          <w:bCs/>
          <w:lang w:val="es-ES"/>
        </w:rPr>
        <w:t>Problema planteado:</w:t>
      </w:r>
    </w:p>
    <w:p w:rsidRPr="009322DA" w:rsidR="00E80F98" w:rsidP="00E80F98" w:rsidRDefault="00E80F98" w14:paraId="7356799E" w14:textId="77777777">
      <w:pPr>
        <w:tabs>
          <w:tab w:val="left" w:pos="426"/>
        </w:tabs>
        <w:spacing w:after="0" w:line="276" w:lineRule="auto"/>
        <w:jc w:val="both"/>
        <w:rPr>
          <w:rFonts w:ascii="Verdana" w:hAnsi="Verdana" w:eastAsia="Century Gothic" w:cs="Century Gothic"/>
          <w:lang w:val="es-ES"/>
        </w:rPr>
      </w:pPr>
    </w:p>
    <w:p w:rsidR="00E80F98" w:rsidP="00E80F98" w:rsidRDefault="00E80F98" w14:paraId="578491E3" w14:textId="77777777">
      <w:pPr>
        <w:spacing w:after="0" w:line="276" w:lineRule="auto"/>
        <w:jc w:val="both"/>
        <w:rPr>
          <w:rFonts w:ascii="Verdana" w:hAnsi="Verdana" w:eastAsia="Century Gothic" w:cs="Century Gothic"/>
        </w:rPr>
      </w:pPr>
      <w:r w:rsidRPr="009322DA">
        <w:rPr>
          <w:rFonts w:ascii="Verdana" w:hAnsi="Verdana" w:eastAsia="Century Gothic" w:cs="Century Gothic"/>
        </w:rPr>
        <w:t>De acuerdo con el contenido de su solicitud, esta Agencia resolverá los siguientes problemas jurídicos:</w:t>
      </w:r>
      <w:r>
        <w:rPr>
          <w:rFonts w:ascii="Verdana" w:hAnsi="Verdana" w:eastAsia="Century Gothic" w:cs="Century Gothic"/>
        </w:rPr>
        <w:t xml:space="preserve"> </w:t>
      </w:r>
    </w:p>
    <w:p w:rsidR="00E80F98" w:rsidP="00E80F98" w:rsidRDefault="00E80F98" w14:paraId="13DD85E9" w14:textId="77777777">
      <w:pPr>
        <w:spacing w:after="0" w:line="276" w:lineRule="auto"/>
        <w:jc w:val="both"/>
        <w:rPr>
          <w:rFonts w:ascii="Verdana" w:hAnsi="Verdana" w:eastAsia="Century Gothic" w:cs="Century Gothic"/>
        </w:rPr>
      </w:pPr>
    </w:p>
    <w:p w:rsidR="00E80F98" w:rsidP="00E80F98" w:rsidRDefault="00E80F98" w14:paraId="34670A52" w14:textId="77777777">
      <w:pPr>
        <w:pStyle w:val="Prrafodelista"/>
        <w:numPr>
          <w:ilvl w:val="0"/>
          <w:numId w:val="19"/>
        </w:numPr>
        <w:spacing w:after="0" w:line="276" w:lineRule="auto"/>
        <w:jc w:val="both"/>
        <w:rPr>
          <w:rFonts w:ascii="Verdana" w:hAnsi="Verdana" w:eastAsia="Century Gothic" w:cs="Century Gothic"/>
        </w:rPr>
      </w:pPr>
      <w:r w:rsidRPr="002A43BA">
        <w:rPr>
          <w:rFonts w:ascii="Verdana" w:hAnsi="Verdana" w:eastAsia="Century Gothic" w:cs="Century Gothic"/>
        </w:rPr>
        <w:t xml:space="preserve">¿Cuáles son los plazos para liquidar un contrato estatal? </w:t>
      </w:r>
    </w:p>
    <w:p w:rsidRPr="002A43BA" w:rsidR="00E80F98" w:rsidP="00E80F98" w:rsidRDefault="00E80F98" w14:paraId="7003BAFC" w14:textId="77777777">
      <w:pPr>
        <w:pStyle w:val="Prrafodelista"/>
        <w:numPr>
          <w:ilvl w:val="0"/>
          <w:numId w:val="19"/>
        </w:numPr>
        <w:spacing w:after="0" w:line="276" w:lineRule="auto"/>
        <w:jc w:val="both"/>
        <w:rPr>
          <w:rFonts w:ascii="Verdana" w:hAnsi="Verdana" w:eastAsia="Century Gothic" w:cs="Century Gothic"/>
        </w:rPr>
      </w:pPr>
      <w:r w:rsidRPr="002A43BA">
        <w:rPr>
          <w:rFonts w:ascii="Verdana" w:hAnsi="Verdana" w:eastAsia="Century Gothic" w:cs="Century Gothic"/>
        </w:rPr>
        <w:t>¿Los contratos de prestación de servicios se deben liquidar?</w:t>
      </w:r>
    </w:p>
    <w:p w:rsidRPr="009322DA" w:rsidR="00E80F98" w:rsidP="00E80F98" w:rsidRDefault="00E80F98" w14:paraId="5A295586" w14:textId="77777777">
      <w:pPr>
        <w:spacing w:after="0" w:line="276" w:lineRule="auto"/>
        <w:jc w:val="both"/>
        <w:rPr>
          <w:rFonts w:ascii="Verdana" w:hAnsi="Verdana" w:eastAsia="Calibri" w:cs="Arial"/>
          <w:lang w:val="es-ES"/>
        </w:rPr>
      </w:pPr>
    </w:p>
    <w:p w:rsidR="00E80F98" w:rsidP="00E80F98" w:rsidRDefault="00E80F98" w14:paraId="7EC2D8CE" w14:textId="77777777">
      <w:pPr>
        <w:numPr>
          <w:ilvl w:val="0"/>
          <w:numId w:val="16"/>
        </w:numPr>
        <w:tabs>
          <w:tab w:val="left" w:pos="142"/>
          <w:tab w:val="left" w:pos="284"/>
        </w:tabs>
        <w:spacing w:after="0" w:line="276" w:lineRule="auto"/>
        <w:ind w:left="0" w:firstLine="0"/>
        <w:contextualSpacing/>
        <w:jc w:val="both"/>
        <w:rPr>
          <w:rFonts w:ascii="Verdana" w:hAnsi="Verdana" w:eastAsia="Century Gothic" w:cs="Century Gothic"/>
          <w:b/>
          <w:bCs/>
          <w:lang w:val="es-ES"/>
        </w:rPr>
      </w:pPr>
      <w:r w:rsidRPr="009322DA">
        <w:rPr>
          <w:rFonts w:ascii="Verdana" w:hAnsi="Verdana" w:eastAsia="Century Gothic" w:cs="Century Gothic"/>
          <w:b/>
          <w:bCs/>
          <w:lang w:val="es-ES"/>
        </w:rPr>
        <w:t>Respuesta:</w:t>
      </w:r>
    </w:p>
    <w:p w:rsidRPr="009322DA" w:rsidR="00E80F98" w:rsidP="00E80F98" w:rsidRDefault="00E80F98" w14:paraId="140462F4" w14:textId="77777777">
      <w:pPr>
        <w:tabs>
          <w:tab w:val="left" w:pos="142"/>
          <w:tab w:val="left" w:pos="284"/>
        </w:tabs>
        <w:spacing w:after="0" w:line="276" w:lineRule="auto"/>
        <w:contextualSpacing/>
        <w:jc w:val="both"/>
        <w:rPr>
          <w:rFonts w:ascii="Verdana" w:hAnsi="Verdana" w:eastAsia="Century Gothic" w:cs="Century Gothic"/>
          <w:b/>
          <w:bCs/>
          <w:lang w:val="es-ES"/>
        </w:rPr>
      </w:pPr>
    </w:p>
    <w:tbl>
      <w:tblPr>
        <w:tblStyle w:val="Tablaconcuadrcula1"/>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9322DA" w:rsidR="00E80F98" w:rsidTr="00EB47BA" w14:paraId="31A2C7F0" w14:textId="77777777">
        <w:tc>
          <w:tcPr>
            <w:tcW w:w="8828" w:type="dxa"/>
            <w:tcBorders>
              <w:top w:val="dotted" w:color="auto" w:sz="4" w:space="0"/>
              <w:left w:val="dotted" w:color="auto" w:sz="4" w:space="0"/>
              <w:bottom w:val="dotted" w:color="auto" w:sz="4" w:space="0"/>
              <w:right w:val="dotted" w:color="auto" w:sz="4" w:space="0"/>
            </w:tcBorders>
          </w:tcPr>
          <w:p w:rsidRPr="002A43BA" w:rsidR="00E80F98" w:rsidP="00E80F98" w:rsidRDefault="00E80F98" w14:paraId="0754F7E5" w14:textId="77777777">
            <w:pPr>
              <w:pStyle w:val="Prrafodelista"/>
              <w:numPr>
                <w:ilvl w:val="0"/>
                <w:numId w:val="18"/>
              </w:numPr>
              <w:spacing w:after="120" w:line="276" w:lineRule="auto"/>
              <w:jc w:val="both"/>
              <w:rPr>
                <w:rFonts w:ascii="Verdana" w:hAnsi="Verdana" w:eastAsia="Calibri" w:cs="Arial"/>
              </w:rPr>
            </w:pPr>
            <w:r w:rsidRPr="002A43BA">
              <w:rPr>
                <w:rFonts w:ascii="Verdana" w:hAnsi="Verdana" w:eastAsia="Calibri" w:cs="Arial"/>
              </w:rPr>
              <w:t xml:space="preserve">La etapa de liquidación cuenta con unos plazos específicos establecidos por el artículo 11 de la Ley 1150 de 2007: </w:t>
            </w:r>
            <w:r>
              <w:rPr>
                <w:rFonts w:ascii="Verdana" w:hAnsi="Verdana" w:eastAsia="Calibri" w:cs="Arial"/>
              </w:rPr>
              <w:t>a</w:t>
            </w:r>
            <w:r w:rsidRPr="002A43BA">
              <w:rPr>
                <w:rFonts w:ascii="Verdana" w:hAnsi="Verdana" w:eastAsia="Calibri" w:cs="Arial"/>
              </w:rPr>
              <w:t xml:space="preserve">) el plazo convencionalmente establecido por las partes o, en su ausencia, el término supletivo establecido para la liquidación bilateral de 4 meses; </w:t>
            </w:r>
            <w:r>
              <w:rPr>
                <w:rFonts w:ascii="Verdana" w:hAnsi="Verdana" w:eastAsia="Calibri" w:cs="Arial"/>
              </w:rPr>
              <w:t>b</w:t>
            </w:r>
            <w:r w:rsidRPr="002A43BA">
              <w:rPr>
                <w:rFonts w:ascii="Verdana" w:hAnsi="Verdana" w:eastAsia="Calibri" w:cs="Arial"/>
              </w:rPr>
              <w:t xml:space="preserve">) uno siguiente de 2 meses para realizar la liquidación de forma unilateral por parte de la Entidad Estatal, y </w:t>
            </w:r>
            <w:r>
              <w:rPr>
                <w:rFonts w:ascii="Verdana" w:hAnsi="Verdana" w:eastAsia="Calibri" w:cs="Arial"/>
              </w:rPr>
              <w:t>c</w:t>
            </w:r>
            <w:r w:rsidRPr="002A43BA">
              <w:rPr>
                <w:rFonts w:ascii="Verdana" w:hAnsi="Verdana" w:eastAsia="Calibri" w:cs="Arial"/>
              </w:rPr>
              <w:t xml:space="preserve">) vencidos estos plazos, existe la posibilidad de liquidar de mutuo acuerdo o unilateralmente el contrato dentro de los 2 años siguientes, sin perjuicio de acudir a un proceso donde se pretenda la liquidación judicial. </w:t>
            </w:r>
          </w:p>
          <w:p w:rsidRPr="002A43BA" w:rsidR="00E80F98" w:rsidP="00EB47BA" w:rsidRDefault="00E80F98" w14:paraId="61B6CA15" w14:textId="77777777">
            <w:pPr>
              <w:pStyle w:val="Prrafodelista"/>
              <w:spacing w:after="120" w:line="276" w:lineRule="auto"/>
              <w:ind w:left="1080"/>
              <w:jc w:val="both"/>
              <w:rPr>
                <w:rFonts w:ascii="Verdana" w:hAnsi="Verdana" w:eastAsia="Calibri" w:cs="Arial"/>
              </w:rPr>
            </w:pPr>
          </w:p>
          <w:p w:rsidRPr="004F44AA" w:rsidR="00E80F98" w:rsidP="00E80F98" w:rsidRDefault="00E80F98" w14:paraId="3C7362D1" w14:textId="77777777">
            <w:pPr>
              <w:pStyle w:val="Prrafodelista"/>
              <w:numPr>
                <w:ilvl w:val="0"/>
                <w:numId w:val="18"/>
              </w:numPr>
              <w:spacing w:after="120" w:line="276" w:lineRule="auto"/>
              <w:jc w:val="both"/>
              <w:rPr>
                <w:rFonts w:ascii="Verdana" w:hAnsi="Verdana" w:eastAsia="Calibri" w:cs="Arial"/>
              </w:rPr>
            </w:pPr>
            <w:r w:rsidRPr="002A43BA">
              <w:rPr>
                <w:rFonts w:ascii="Verdana" w:hAnsi="Verdana" w:eastAsia="Calibri" w:cs="Arial"/>
              </w:rPr>
              <w:t>Sin embargo, es necesario resaltar que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 , así como la probabilidad de que puedan surgir diferencias durante la ejecución del contrato; sin perjuicio de que, como se indicó, todos los contratos estatales de tracto sucesivo o aquellos cuya ejecución se prolongue en el tiempo siempre deban liquidarse, convirtiéndose en estos contratos en una cláusula de la naturaleza, conforme a la clasificación prevista en el Código Civil.</w:t>
            </w:r>
          </w:p>
        </w:tc>
      </w:tr>
    </w:tbl>
    <w:p w:rsidRPr="009322DA" w:rsidR="00E80F98" w:rsidP="00E80F98" w:rsidRDefault="00E80F98" w14:paraId="4CDD1E20" w14:textId="77777777">
      <w:pPr>
        <w:tabs>
          <w:tab w:val="left" w:pos="142"/>
          <w:tab w:val="left" w:pos="284"/>
        </w:tabs>
        <w:spacing w:after="0" w:line="276" w:lineRule="auto"/>
        <w:jc w:val="both"/>
        <w:rPr>
          <w:rFonts w:ascii="Verdana" w:hAnsi="Verdana" w:eastAsia="Century Gothic" w:cs="Century Gothic"/>
          <w:b/>
          <w:bCs/>
          <w:lang w:val="es-ES"/>
        </w:rPr>
      </w:pPr>
    </w:p>
    <w:p w:rsidRPr="009322DA" w:rsidR="00E80F98" w:rsidP="00E80F98" w:rsidRDefault="00E80F98" w14:paraId="59D98698" w14:textId="77777777">
      <w:pPr>
        <w:tabs>
          <w:tab w:val="left" w:pos="142"/>
          <w:tab w:val="left" w:pos="284"/>
        </w:tabs>
        <w:spacing w:after="0" w:line="276" w:lineRule="auto"/>
        <w:jc w:val="both"/>
        <w:rPr>
          <w:rFonts w:ascii="Verdana" w:hAnsi="Verdana" w:eastAsia="Century Gothic" w:cs="Century Gothic"/>
          <w:b/>
          <w:bCs/>
          <w:lang w:val="es-ES"/>
        </w:rPr>
      </w:pPr>
    </w:p>
    <w:p w:rsidRPr="009322DA" w:rsidR="00E80F98" w:rsidP="00E80F98" w:rsidRDefault="00E80F98" w14:paraId="090D4E50" w14:textId="77777777">
      <w:pPr>
        <w:numPr>
          <w:ilvl w:val="0"/>
          <w:numId w:val="16"/>
        </w:numPr>
        <w:tabs>
          <w:tab w:val="left" w:pos="142"/>
          <w:tab w:val="left" w:pos="284"/>
        </w:tabs>
        <w:spacing w:after="0" w:line="276" w:lineRule="auto"/>
        <w:ind w:left="0" w:firstLine="0"/>
        <w:contextualSpacing/>
        <w:jc w:val="both"/>
        <w:rPr>
          <w:rFonts w:ascii="Verdana" w:hAnsi="Verdana" w:eastAsia="Century Gothic" w:cs="Century Gothic"/>
          <w:b/>
          <w:bCs/>
          <w:lang w:val="es-ES"/>
        </w:rPr>
      </w:pPr>
      <w:r w:rsidRPr="009322DA">
        <w:rPr>
          <w:rFonts w:ascii="Verdana" w:hAnsi="Verdana" w:eastAsia="Century Gothic" w:cs="Century Gothic"/>
          <w:b/>
          <w:bCs/>
          <w:lang w:val="es-ES"/>
        </w:rPr>
        <w:t>Razones de la respuesta:</w:t>
      </w:r>
    </w:p>
    <w:p w:rsidRPr="009322DA" w:rsidR="00E80F98" w:rsidP="00E80F98" w:rsidRDefault="00E80F98" w14:paraId="5E82056A" w14:textId="77777777">
      <w:pPr>
        <w:spacing w:after="0" w:line="276" w:lineRule="auto"/>
        <w:jc w:val="both"/>
        <w:rPr>
          <w:rFonts w:ascii="Verdana" w:hAnsi="Verdana" w:eastAsia="Calibri" w:cs="Arial"/>
          <w:lang w:val="es-ES"/>
        </w:rPr>
      </w:pPr>
    </w:p>
    <w:p w:rsidR="00E80F98" w:rsidP="00E80F98" w:rsidRDefault="00E80F98" w14:paraId="3D168FBF" w14:textId="77777777">
      <w:pPr>
        <w:spacing w:after="0" w:line="276" w:lineRule="auto"/>
        <w:jc w:val="both"/>
        <w:rPr>
          <w:rFonts w:ascii="Verdana" w:hAnsi="Verdana" w:eastAsia="Calibri" w:cs="Arial"/>
          <w:lang w:val="es-ES"/>
        </w:rPr>
      </w:pPr>
      <w:r w:rsidRPr="009322DA">
        <w:rPr>
          <w:rFonts w:ascii="Verdana" w:hAnsi="Verdana" w:eastAsia="Calibri" w:cs="Arial"/>
          <w:lang w:val="es-ES"/>
        </w:rPr>
        <w:t xml:space="preserve">Lo anterior se sustenta en las siguientes consideraciones: </w:t>
      </w:r>
    </w:p>
    <w:p w:rsidR="00E80F98" w:rsidP="00E80F98" w:rsidRDefault="00E80F98" w14:paraId="25955CDE" w14:textId="77777777">
      <w:pPr>
        <w:spacing w:after="0" w:line="276" w:lineRule="auto"/>
        <w:jc w:val="both"/>
        <w:rPr>
          <w:rFonts w:ascii="Verdana" w:hAnsi="Verdana" w:eastAsia="Calibri" w:cs="Arial"/>
          <w:lang w:val="es-ES"/>
        </w:rPr>
      </w:pPr>
    </w:p>
    <w:p w:rsidRPr="00F80DEF" w:rsidR="00E80F98" w:rsidP="00E80F98" w:rsidRDefault="00E80F98" w14:paraId="6E187940" w14:textId="77777777">
      <w:pPr>
        <w:pStyle w:val="Prrafodelista"/>
        <w:numPr>
          <w:ilvl w:val="0"/>
          <w:numId w:val="21"/>
        </w:numPr>
        <w:jc w:val="both"/>
        <w:rPr>
          <w:rFonts w:ascii="Verdana" w:hAnsi="Verdana" w:eastAsia="Calibri" w:cs="Arial"/>
          <w:bCs/>
          <w:color w:val="000000"/>
        </w:rPr>
      </w:pPr>
      <w:r w:rsidRPr="00F80DEF">
        <w:rPr>
          <w:rFonts w:ascii="Verdana" w:hAnsi="Verdana" w:eastAsia="Calibri" w:cs="Arial"/>
          <w:bCs/>
          <w:color w:val="000000"/>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rsidRPr="00F80DEF" w:rsidR="00E80F98" w:rsidP="00E80F98" w:rsidRDefault="00E80F98" w14:paraId="3BF08CD4" w14:textId="77777777">
      <w:pPr>
        <w:ind w:left="1416"/>
        <w:jc w:val="both"/>
        <w:rPr>
          <w:rFonts w:ascii="Verdana" w:hAnsi="Verdana" w:eastAsia="Calibri" w:cs="Arial"/>
          <w:bCs/>
          <w:color w:val="000000"/>
          <w:sz w:val="20"/>
          <w:szCs w:val="20"/>
          <w:lang w:val="es-ES"/>
        </w:rPr>
      </w:pPr>
      <w:r w:rsidRPr="00F80DEF">
        <w:rPr>
          <w:rFonts w:ascii="Verdana" w:hAnsi="Verdana" w:eastAsia="Calibri" w:cs="Arial"/>
          <w:bCs/>
          <w:color w:val="000000"/>
          <w:sz w:val="20"/>
          <w:szCs w:val="20"/>
          <w:lang w:val="es-ES"/>
        </w:rPr>
        <w:t xml:space="preserve">“La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w:t>
      </w:r>
      <w:r w:rsidRPr="00F80DEF">
        <w:rPr>
          <w:rFonts w:ascii="Verdana" w:hAnsi="Verdana" w:eastAsia="Calibri" w:cs="Arial"/>
          <w:bCs/>
          <w:color w:val="000000"/>
          <w:sz w:val="20"/>
          <w:szCs w:val="20"/>
          <w:lang w:val="es-ES"/>
        </w:rPr>
        <w:t>partes para poner fin a las divergencias presentadas y poder declararse a paz y salvo</w:t>
      </w:r>
      <w:r w:rsidRPr="00F80DEF">
        <w:rPr>
          <w:rFonts w:ascii="Verdana" w:hAnsi="Verdana" w:eastAsia="Calibri" w:cs="Arial"/>
          <w:bCs/>
          <w:color w:val="000000"/>
          <w:sz w:val="10"/>
          <w:szCs w:val="10"/>
          <w:lang w:val="es-ES"/>
        </w:rPr>
        <w:footnoteReference w:id="1"/>
      </w:r>
      <w:r w:rsidRPr="00F80DEF">
        <w:rPr>
          <w:rFonts w:ascii="Verdana" w:hAnsi="Verdana" w:eastAsia="Calibri" w:cs="Arial"/>
          <w:bCs/>
          <w:color w:val="000000"/>
          <w:sz w:val="20"/>
          <w:szCs w:val="20"/>
          <w:lang w:val="es-ES"/>
        </w:rPr>
        <w:t>.”</w:t>
      </w:r>
    </w:p>
    <w:p w:rsidRPr="00F80DEF" w:rsidR="00E80F98" w:rsidP="00E80F98" w:rsidRDefault="00E80F98" w14:paraId="16576F2B" w14:textId="77777777">
      <w:pPr>
        <w:jc w:val="both"/>
        <w:rPr>
          <w:rFonts w:ascii="Verdana" w:hAnsi="Verdana" w:eastAsia="Calibri" w:cs="Arial"/>
          <w:bCs/>
          <w:color w:val="000000"/>
          <w:lang w:val="es-ES_tradnl"/>
        </w:rPr>
      </w:pPr>
    </w:p>
    <w:p w:rsidRPr="00F80DEF" w:rsidR="00E80F98" w:rsidP="00E80F98" w:rsidRDefault="00E80F98" w14:paraId="33508968" w14:textId="77777777">
      <w:pPr>
        <w:numPr>
          <w:ilvl w:val="0"/>
          <w:numId w:val="20"/>
        </w:numPr>
        <w:jc w:val="both"/>
        <w:rPr>
          <w:rFonts w:ascii="Verdana" w:hAnsi="Verdana" w:eastAsia="Calibri" w:cs="Arial"/>
          <w:bCs/>
          <w:color w:val="000000"/>
          <w:lang w:val="es-ES"/>
        </w:rPr>
      </w:pPr>
      <w:r w:rsidRPr="00F80DEF">
        <w:rPr>
          <w:rFonts w:ascii="Verdana" w:hAnsi="Verdana" w:eastAsia="Calibri" w:cs="Arial"/>
          <w:bCs/>
          <w:color w:val="000000"/>
          <w:lang w:val="es-ES"/>
        </w:rPr>
        <w:t>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F80DEF">
        <w:rPr>
          <w:rFonts w:ascii="Verdana" w:hAnsi="Verdana" w:eastAsia="Calibri" w:cs="Arial"/>
          <w:bCs/>
          <w:color w:val="000000"/>
          <w:lang w:val="es-ES"/>
        </w:rPr>
        <w:footnoteReference w:id="2"/>
      </w:r>
      <w:r w:rsidRPr="00F80DEF">
        <w:rPr>
          <w:rFonts w:ascii="Verdana" w:hAnsi="Verdana" w:eastAsia="Calibri" w:cs="Arial"/>
          <w:bCs/>
          <w:color w:val="000000"/>
          <w:lang w:val="es-ES"/>
        </w:rPr>
        <w:t>, así como la probabilidad de que puedan surgir diferencias durante la ejecución del contrato; sin perjuicio de que, como se indicó, todos los contratos estatales de tracto sucesivo o aquellos cuya ejecución se prolongue en el tiempo siempre deban liquidarse, convirtiéndose en estos contratos en una cláusula de la naturaleza, conforme a la clasificación prevista en el Código Civil.</w:t>
      </w:r>
    </w:p>
    <w:p w:rsidRPr="00F80DEF" w:rsidR="00E80F98" w:rsidP="00E80F98" w:rsidRDefault="00E80F98" w14:paraId="33B42AE1" w14:textId="77777777">
      <w:pPr>
        <w:jc w:val="both"/>
        <w:rPr>
          <w:rFonts w:ascii="Verdana" w:hAnsi="Verdana" w:eastAsia="Calibri" w:cs="Arial"/>
          <w:bCs/>
          <w:color w:val="000000"/>
          <w:lang w:val="es-ES"/>
        </w:rPr>
      </w:pPr>
    </w:p>
    <w:p w:rsidRPr="00F80DEF" w:rsidR="00E80F98" w:rsidP="00E80F98" w:rsidRDefault="00E80F98" w14:paraId="21DDDA40" w14:textId="77777777">
      <w:pPr>
        <w:numPr>
          <w:ilvl w:val="0"/>
          <w:numId w:val="20"/>
        </w:numPr>
        <w:jc w:val="both"/>
        <w:rPr>
          <w:rFonts w:ascii="Verdana" w:hAnsi="Verdana" w:eastAsia="Calibri" w:cs="Arial"/>
          <w:bCs/>
          <w:color w:val="000000"/>
          <w:lang w:val="es-ES"/>
        </w:rPr>
      </w:pPr>
      <w:r w:rsidRPr="00F80DEF">
        <w:rPr>
          <w:rFonts w:ascii="Verdana" w:hAnsi="Verdana" w:eastAsia="Calibri" w:cs="Arial"/>
          <w:bCs/>
          <w:color w:val="000000"/>
          <w:lang w:val="es-ES"/>
        </w:rPr>
        <w:t>El artículo 11 de la Ley 1150 de 2007</w:t>
      </w:r>
      <w:r w:rsidRPr="00F80DEF">
        <w:rPr>
          <w:rFonts w:ascii="Verdana" w:hAnsi="Verdana" w:eastAsia="Calibri" w:cs="Arial"/>
          <w:bCs/>
          <w:color w:val="000000"/>
          <w:lang w:val="es-ES"/>
        </w:rPr>
        <w:footnoteReference w:id="3"/>
      </w:r>
      <w:r w:rsidRPr="00F80DEF">
        <w:rPr>
          <w:rFonts w:ascii="Verdana" w:hAnsi="Verdana" w:eastAsia="Calibri" w:cs="Arial"/>
          <w:bCs/>
          <w:color w:val="000000"/>
          <w:lang w:val="es-ES"/>
        </w:rPr>
        <w:t xml:space="preserve"> contiene las reglas de tipo procedimental para liquidar los contratos estatales, las cuales se pasan a explicar. En primer lugar, en ejercicio de la autonomía de la voluntad y de conformidad con los criterios de la naturaleza, objeto y plazo del contrato, la entidad puede definir en el pliego de condiciones o en el contrato el </w:t>
      </w:r>
      <w:r w:rsidRPr="00F80DEF">
        <w:rPr>
          <w:rFonts w:ascii="Verdana" w:hAnsi="Verdana" w:eastAsia="Calibri" w:cs="Arial"/>
          <w:bCs/>
          <w:color w:val="000000"/>
          <w:lang w:val="es-ES"/>
        </w:rPr>
        <w:t xml:space="preserve">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00F80DEF">
        <w:rPr>
          <w:rFonts w:ascii="Verdana" w:hAnsi="Verdana" w:eastAsia="Calibri" w:cs="Arial"/>
          <w:bCs/>
          <w:color w:val="000000"/>
          <w:lang w:val="es-ES"/>
        </w:rPr>
        <w:t>ii</w:t>
      </w:r>
      <w:proofErr w:type="spellEnd"/>
      <w:r w:rsidRPr="00F80DEF">
        <w:rPr>
          <w:rFonts w:ascii="Verdana" w:hAnsi="Verdana" w:eastAsia="Calibri" w:cs="Arial"/>
          <w:bCs/>
          <w:color w:val="000000"/>
          <w:lang w:val="es-ES"/>
        </w:rPr>
        <w:t xml:space="preserve">) la expedición del acto administrativo que ordene la terminación del contrato; o, </w:t>
      </w:r>
      <w:proofErr w:type="spellStart"/>
      <w:r w:rsidRPr="00F80DEF">
        <w:rPr>
          <w:rFonts w:ascii="Verdana" w:hAnsi="Verdana" w:eastAsia="Calibri" w:cs="Arial"/>
          <w:bCs/>
          <w:color w:val="000000"/>
          <w:lang w:val="es-ES"/>
        </w:rPr>
        <w:t>iii</w:t>
      </w:r>
      <w:proofErr w:type="spellEnd"/>
      <w:r w:rsidRPr="00F80DEF">
        <w:rPr>
          <w:rFonts w:ascii="Verdana" w:hAnsi="Verdana" w:eastAsia="Calibri" w:cs="Arial"/>
          <w:bCs/>
          <w:color w:val="000000"/>
          <w:lang w:val="es-ES"/>
        </w:rPr>
        <w:t>) la fecha del acuerdo que disponga la terminación del contrato.</w:t>
      </w:r>
    </w:p>
    <w:p w:rsidRPr="00F80DEF" w:rsidR="00E80F98" w:rsidP="00E80F98" w:rsidRDefault="00E80F98" w14:paraId="570A7AED" w14:textId="77777777">
      <w:pPr>
        <w:jc w:val="both"/>
        <w:rPr>
          <w:rFonts w:ascii="Verdana" w:hAnsi="Verdana" w:eastAsia="Calibri" w:cs="Arial"/>
          <w:bCs/>
          <w:color w:val="000000"/>
          <w:lang w:val="es-ES"/>
        </w:rPr>
      </w:pPr>
    </w:p>
    <w:p w:rsidRPr="00F80DEF" w:rsidR="00E80F98" w:rsidP="00E80F98" w:rsidRDefault="00E80F98" w14:paraId="481AC059" w14:textId="77777777">
      <w:pPr>
        <w:numPr>
          <w:ilvl w:val="0"/>
          <w:numId w:val="20"/>
        </w:numPr>
        <w:jc w:val="both"/>
        <w:rPr>
          <w:rFonts w:ascii="Verdana" w:hAnsi="Verdana" w:eastAsia="Calibri" w:cs="Arial"/>
          <w:bCs/>
          <w:color w:val="000000"/>
          <w:lang w:val="es-MX"/>
        </w:rPr>
      </w:pPr>
      <w:r w:rsidRPr="00F80DEF">
        <w:rPr>
          <w:rFonts w:ascii="Verdana" w:hAnsi="Verdana" w:eastAsia="Calibri" w:cs="Arial"/>
          <w:bCs/>
          <w:color w:val="000000"/>
          <w:lang w:val="es-MX"/>
        </w:rPr>
        <w:t>El mismo artículo 11 de la Ley 1150 de 2007 señala que la liquidación de mutuo acuerdo deberá realizar dentro del plazo previsto en “los pliegos de condiciones o sus equivalentes, o dentro del que acuerden las partes para el efecto”. Para dilucidar a qué se refiere la norma con “equivalentes” resulta necesario tener presente que el pliego de condiciones es un documento contentivo de las reglas aplicables a un determinado proceso de selección, que “materializa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administrativo de selección del contratista, como del contrato a celebrar”</w:t>
      </w:r>
      <w:r w:rsidRPr="00F80DEF">
        <w:rPr>
          <w:rFonts w:ascii="Verdana" w:hAnsi="Verdana" w:eastAsia="Calibri" w:cs="Arial"/>
          <w:bCs/>
          <w:color w:val="000000"/>
          <w:lang w:val="es-MX"/>
        </w:rPr>
        <w:footnoteReference w:id="4"/>
      </w:r>
      <w:r w:rsidRPr="00F80DEF">
        <w:rPr>
          <w:rFonts w:ascii="Verdana" w:hAnsi="Verdana" w:eastAsia="Calibri" w:cs="Arial"/>
          <w:bCs/>
          <w:color w:val="000000"/>
          <w:lang w:val="es-MX"/>
        </w:rPr>
        <w:t>. A partir de tales características debe determinarse la equivalencia de un documento con un pliego de condiciones, la cual se puede ejemplificar claramente con la invitación a participar en los procesos de mínima cuantía</w:t>
      </w:r>
      <w:r w:rsidRPr="00F80DEF">
        <w:rPr>
          <w:rFonts w:ascii="Verdana" w:hAnsi="Verdana" w:eastAsia="Calibri" w:cs="Arial"/>
          <w:bCs/>
          <w:color w:val="000000"/>
          <w:lang w:val="es-MX"/>
        </w:rPr>
        <w:footnoteReference w:id="5"/>
      </w:r>
      <w:r w:rsidRPr="00F80DEF">
        <w:rPr>
          <w:rFonts w:ascii="Verdana" w:hAnsi="Verdana" w:eastAsia="Calibri" w:cs="Arial"/>
          <w:bCs/>
          <w:color w:val="000000"/>
          <w:lang w:val="es-MX"/>
        </w:rPr>
        <w:t xml:space="preserve">, documento dentro del cual la entidad contratante debe fijar las reglas aplicables al procedimiento de selección, cumpliendo con la función del pliego de condiciones. En tal sentido, es un documento «equivalente» del mismo en los términos del artículo 11 </w:t>
      </w:r>
      <w:proofErr w:type="spellStart"/>
      <w:r w:rsidRPr="00F80DEF">
        <w:rPr>
          <w:rFonts w:ascii="Verdana" w:hAnsi="Verdana" w:eastAsia="Calibri" w:cs="Arial"/>
          <w:bCs/>
          <w:i/>
          <w:iCs/>
          <w:color w:val="000000"/>
          <w:lang w:val="es-MX"/>
        </w:rPr>
        <w:t>Ibídem</w:t>
      </w:r>
      <w:proofErr w:type="spellEnd"/>
      <w:r w:rsidRPr="00F80DEF">
        <w:rPr>
          <w:rFonts w:ascii="Verdana" w:hAnsi="Verdana" w:eastAsia="Calibri" w:cs="Arial"/>
          <w:bCs/>
          <w:i/>
          <w:iCs/>
          <w:color w:val="000000"/>
          <w:lang w:val="es-MX"/>
        </w:rPr>
        <w:t>,</w:t>
      </w:r>
      <w:r w:rsidRPr="00F80DEF">
        <w:rPr>
          <w:rFonts w:ascii="Verdana" w:hAnsi="Verdana" w:eastAsia="Calibri" w:cs="Arial"/>
          <w:bCs/>
          <w:color w:val="000000"/>
          <w:lang w:val="es-MX"/>
        </w:rPr>
        <w:t xml:space="preserve"> dentro del cual es viable establecer el plazo para la liquidación de mutuo acuerdo. </w:t>
      </w:r>
    </w:p>
    <w:p w:rsidRPr="00F80DEF" w:rsidR="00E80F98" w:rsidP="00E80F98" w:rsidRDefault="00E80F98" w14:paraId="4551DF89" w14:textId="77777777">
      <w:pPr>
        <w:jc w:val="both"/>
        <w:rPr>
          <w:rFonts w:ascii="Verdana" w:hAnsi="Verdana" w:eastAsia="Calibri" w:cs="Arial"/>
          <w:bCs/>
          <w:color w:val="000000"/>
          <w:lang w:val="es-MX"/>
        </w:rPr>
      </w:pPr>
    </w:p>
    <w:p w:rsidRPr="00F80DEF" w:rsidR="00E80F98" w:rsidP="00E80F98" w:rsidRDefault="00E80F98" w14:paraId="70F9765D" w14:textId="77777777">
      <w:pPr>
        <w:numPr>
          <w:ilvl w:val="0"/>
          <w:numId w:val="20"/>
        </w:numPr>
        <w:jc w:val="both"/>
        <w:rPr>
          <w:rFonts w:ascii="Verdana" w:hAnsi="Verdana" w:eastAsia="Calibri" w:cs="Arial"/>
          <w:bCs/>
          <w:color w:val="000000"/>
          <w:lang w:val="es-MX"/>
        </w:rPr>
      </w:pPr>
      <w:r w:rsidRPr="00F80DEF">
        <w:rPr>
          <w:rFonts w:ascii="Verdana" w:hAnsi="Verdana" w:eastAsia="Calibri" w:cs="Arial"/>
          <w:bCs/>
          <w:color w:val="000000"/>
          <w:lang w:val="es-MX"/>
        </w:rPr>
        <w:t>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F80DEF">
        <w:rPr>
          <w:rFonts w:ascii="Verdana" w:hAnsi="Verdana" w:eastAsia="Calibri" w:cs="Arial"/>
          <w:bCs/>
          <w:color w:val="000000"/>
          <w:lang w:val="es-MX"/>
        </w:rPr>
        <w:footnoteReference w:id="6"/>
      </w:r>
      <w:r w:rsidRPr="00F80DEF">
        <w:rPr>
          <w:rFonts w:ascii="Verdana" w:hAnsi="Verdana" w:eastAsia="Calibri" w:cs="Arial"/>
          <w:bCs/>
          <w:color w:val="000000"/>
          <w:lang w:val="es-MX"/>
        </w:rPr>
        <w:t>, lo cual implica que las mismas se desarrollen en procura de la economía y la celeridad</w:t>
      </w:r>
      <w:r w:rsidRPr="00F80DEF">
        <w:rPr>
          <w:rFonts w:ascii="Verdana" w:hAnsi="Verdana" w:eastAsia="Calibri" w:cs="Arial"/>
          <w:bCs/>
          <w:color w:val="000000"/>
          <w:lang w:val="es-MX"/>
        </w:rPr>
        <w:footnoteReference w:id="7"/>
      </w:r>
      <w:r w:rsidRPr="00F80DEF">
        <w:rPr>
          <w:rFonts w:ascii="Verdana" w:hAnsi="Verdana" w:eastAsia="Calibri" w:cs="Arial"/>
          <w:bCs/>
          <w:color w:val="000000"/>
          <w:lang w:val="es-MX"/>
        </w:rPr>
        <w:t>. Esto significa que, en ejercicio de la facultad que les asiste para fijar el plazo para la liquidación bilateral, las partes deben actuar en garantía de estos principios, por lo que el término que se acuerde debe ser fijado de manera razonable.</w:t>
      </w:r>
    </w:p>
    <w:p w:rsidRPr="00F80DEF" w:rsidR="00E80F98" w:rsidP="00E80F98" w:rsidRDefault="00E80F98" w14:paraId="2D3EC7B2" w14:textId="77777777">
      <w:pPr>
        <w:jc w:val="both"/>
        <w:rPr>
          <w:rFonts w:ascii="Verdana" w:hAnsi="Verdana" w:eastAsia="Calibri" w:cs="Arial"/>
          <w:bCs/>
          <w:color w:val="000000"/>
          <w:lang w:val="es-MX"/>
        </w:rPr>
      </w:pPr>
    </w:p>
    <w:p w:rsidRPr="00F80DEF" w:rsidR="00E80F98" w:rsidP="00E80F98" w:rsidRDefault="00E80F98" w14:paraId="5C7FBF85" w14:textId="77777777">
      <w:pPr>
        <w:numPr>
          <w:ilvl w:val="0"/>
          <w:numId w:val="20"/>
        </w:numPr>
        <w:jc w:val="both"/>
        <w:rPr>
          <w:rFonts w:ascii="Verdana" w:hAnsi="Verdana" w:eastAsia="Calibri" w:cs="Arial"/>
          <w:bCs/>
          <w:color w:val="000000"/>
          <w:lang w:val="es-MX"/>
        </w:rPr>
      </w:pPr>
      <w:r w:rsidRPr="00F80DEF">
        <w:rPr>
          <w:rFonts w:ascii="Verdana" w:hAnsi="Verdana" w:eastAsia="Calibri" w:cs="Arial"/>
          <w:bCs/>
          <w:color w:val="000000"/>
          <w:lang w:val="es-MX"/>
        </w:rPr>
        <w:t xml:space="preserve">Si no es posible efectuar la liquidación de manera bilateral, el ordenamiento jurídico prevé una facultad, de carácter subsidiario, para que la Entidad Estatal realice la liquidación unilateralmente. En relación </w:t>
      </w:r>
      <w:r w:rsidRPr="00F80DEF">
        <w:rPr>
          <w:rFonts w:ascii="Verdana" w:hAnsi="Verdana" w:eastAsia="Calibri" w:cs="Arial"/>
          <w:bCs/>
          <w:color w:val="000000"/>
          <w:lang w:val="es-MX"/>
        </w:rPr>
        <w:t>con este aspecto, la Sala de Consulta y Servicio Civil del Consejo de Estado, en concepto del 28 de junio de 2016</w:t>
      </w:r>
      <w:r w:rsidRPr="00F80DEF">
        <w:rPr>
          <w:rFonts w:ascii="Verdana" w:hAnsi="Verdana" w:eastAsia="Calibri" w:cs="Arial"/>
          <w:bCs/>
          <w:color w:val="000000"/>
          <w:lang w:val="es-MX"/>
        </w:rPr>
        <w:footnoteReference w:id="8"/>
      </w:r>
      <w:r w:rsidRPr="00F80DEF">
        <w:rPr>
          <w:rFonts w:ascii="Verdana" w:hAnsi="Verdana" w:eastAsia="Calibri" w:cs="Arial"/>
          <w:bCs/>
          <w:color w:val="000000"/>
          <w:lang w:val="es-MX"/>
        </w:rPr>
        <w:t>, manifestó que:  </w:t>
      </w:r>
    </w:p>
    <w:p w:rsidR="00E80F98" w:rsidP="00E80F98" w:rsidRDefault="00E80F98" w14:paraId="2BE33293" w14:textId="77777777">
      <w:pPr>
        <w:ind w:left="1068"/>
        <w:jc w:val="both"/>
        <w:rPr>
          <w:rFonts w:ascii="Verdana" w:hAnsi="Verdana" w:eastAsia="Calibri" w:cs="Arial"/>
          <w:bCs/>
          <w:color w:val="000000"/>
          <w:sz w:val="20"/>
          <w:szCs w:val="20"/>
          <w:lang w:val="es-MX"/>
        </w:rPr>
      </w:pPr>
      <w:r w:rsidRPr="00F80DEF">
        <w:rPr>
          <w:rFonts w:ascii="Verdana" w:hAnsi="Verdana" w:eastAsia="Calibri" w:cs="Arial"/>
          <w:bCs/>
          <w:color w:val="000000"/>
          <w:sz w:val="20"/>
          <w:szCs w:val="20"/>
          <w:lang w:val="es-MX"/>
        </w:rPr>
        <w:t>“[…]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   </w:t>
      </w:r>
    </w:p>
    <w:p w:rsidRPr="00F80DEF" w:rsidR="00E80F98" w:rsidP="00E80F98" w:rsidRDefault="00E80F98" w14:paraId="46180266" w14:textId="77777777">
      <w:pPr>
        <w:ind w:left="1068"/>
        <w:jc w:val="both"/>
        <w:rPr>
          <w:rFonts w:ascii="Verdana" w:hAnsi="Verdana" w:eastAsia="Calibri" w:cs="Arial"/>
          <w:bCs/>
          <w:color w:val="000000"/>
          <w:sz w:val="20"/>
          <w:szCs w:val="20"/>
          <w:lang w:val="es-MX"/>
        </w:rPr>
      </w:pPr>
    </w:p>
    <w:p w:rsidRPr="00F80DEF" w:rsidR="00E80F98" w:rsidP="00E80F98" w:rsidRDefault="00E80F98" w14:paraId="2220EA75" w14:textId="77777777">
      <w:pPr>
        <w:pStyle w:val="Prrafodelista"/>
        <w:numPr>
          <w:ilvl w:val="0"/>
          <w:numId w:val="22"/>
        </w:numPr>
        <w:jc w:val="both"/>
        <w:rPr>
          <w:rFonts w:ascii="Verdana" w:hAnsi="Verdana" w:eastAsia="Calibri" w:cs="Arial"/>
          <w:bCs/>
          <w:color w:val="000000"/>
          <w:lang w:val="es-MX"/>
        </w:rPr>
      </w:pPr>
      <w:r w:rsidRPr="00F80DEF">
        <w:rPr>
          <w:rFonts w:ascii="Verdana" w:hAnsi="Verdana" w:eastAsia="Calibri" w:cs="Arial"/>
          <w:bCs/>
          <w:color w:val="000000"/>
          <w:lang w:val="es-MX"/>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rsidRPr="00F80DEF" w:rsidR="00E80F98" w:rsidP="00E80F98" w:rsidRDefault="00E80F98" w14:paraId="63CF5774" w14:textId="77777777">
      <w:pPr>
        <w:jc w:val="both"/>
        <w:rPr>
          <w:rFonts w:ascii="Verdana" w:hAnsi="Verdana" w:eastAsia="Calibri" w:cs="Arial"/>
          <w:bCs/>
          <w:color w:val="000000"/>
          <w:lang w:val="es-MX"/>
        </w:rPr>
      </w:pPr>
    </w:p>
    <w:p w:rsidRPr="009322DA" w:rsidR="00E80F98" w:rsidP="00E80F98" w:rsidRDefault="00E80F98" w14:paraId="245AEBE3" w14:textId="77777777">
      <w:pPr>
        <w:jc w:val="both"/>
        <w:rPr>
          <w:rFonts w:ascii="Verdana" w:hAnsi="Verdana" w:eastAsia="Calibri" w:cs="Arial"/>
          <w:b/>
          <w:bCs/>
        </w:rPr>
      </w:pPr>
      <w:r w:rsidRPr="009322DA">
        <w:rPr>
          <w:rFonts w:ascii="Verdana" w:hAnsi="Verdana" w:eastAsia="Calibri" w:cs="Arial"/>
          <w:b/>
          <w:bCs/>
        </w:rPr>
        <w:t>4. Referencias</w:t>
      </w:r>
      <w:r>
        <w:rPr>
          <w:rFonts w:ascii="Verdana" w:hAnsi="Verdana" w:eastAsia="Calibri" w:cs="Arial"/>
          <w:b/>
          <w:bCs/>
        </w:rPr>
        <w:t xml:space="preserve"> </w:t>
      </w:r>
      <w:r w:rsidRPr="009322DA">
        <w:rPr>
          <w:rFonts w:ascii="Verdana" w:hAnsi="Verdana" w:eastAsia="Calibri" w:cs="Arial"/>
          <w:b/>
          <w:bCs/>
        </w:rPr>
        <w:t>normativas, jurisprudenciales y otras fuentes:</w:t>
      </w:r>
    </w:p>
    <w:tbl>
      <w:tblPr>
        <w:tblStyle w:val="Tablaconcuadrcula1"/>
        <w:tblW w:w="8640"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0"/>
      </w:tblGrid>
      <w:tr w:rsidRPr="009322DA" w:rsidR="00E80F98" w:rsidTr="00EB47BA" w14:paraId="7C651A24" w14:textId="77777777">
        <w:trPr>
          <w:trHeight w:val="1068"/>
        </w:trPr>
        <w:tc>
          <w:tcPr>
            <w:tcW w:w="8647" w:type="dxa"/>
            <w:tcBorders>
              <w:top w:val="dotted" w:color="auto" w:sz="4" w:space="0"/>
              <w:left w:val="dotted" w:color="auto" w:sz="4" w:space="0"/>
              <w:bottom w:val="dotted" w:color="auto" w:sz="4" w:space="0"/>
              <w:right w:val="dotted" w:color="auto" w:sz="4" w:space="0"/>
            </w:tcBorders>
          </w:tcPr>
          <w:p w:rsidRPr="00F80DEF" w:rsidR="00E80F98" w:rsidP="00E80F98" w:rsidRDefault="00E80F98" w14:paraId="4F1828C6" w14:textId="77777777">
            <w:pPr>
              <w:widowControl w:val="0"/>
              <w:numPr>
                <w:ilvl w:val="0"/>
                <w:numId w:val="17"/>
              </w:numPr>
              <w:autoSpaceDE w:val="0"/>
              <w:autoSpaceDN w:val="0"/>
              <w:spacing w:after="120" w:line="276" w:lineRule="auto"/>
              <w:contextualSpacing/>
              <w:jc w:val="both"/>
              <w:rPr>
                <w:rFonts w:ascii="Verdana" w:hAnsi="Verdana" w:cs="Arial"/>
                <w:lang w:val="es-MX"/>
              </w:rPr>
            </w:pPr>
            <w:r w:rsidRPr="00F80DEF">
              <w:rPr>
                <w:rFonts w:ascii="Verdana" w:hAnsi="Verdana" w:cs="Arial"/>
                <w:lang w:val="es-MX"/>
              </w:rPr>
              <w:t xml:space="preserve">Ley 80 de 1993, artículo 60 modificado por el artículo 217 del Decreto 019 de 2012. </w:t>
            </w:r>
          </w:p>
          <w:p w:rsidRPr="00F80DEF" w:rsidR="00E80F98" w:rsidP="00E80F98" w:rsidRDefault="00E80F98" w14:paraId="6CE10E71" w14:textId="77777777">
            <w:pPr>
              <w:widowControl w:val="0"/>
              <w:numPr>
                <w:ilvl w:val="0"/>
                <w:numId w:val="17"/>
              </w:numPr>
              <w:autoSpaceDE w:val="0"/>
              <w:autoSpaceDN w:val="0"/>
              <w:spacing w:after="120" w:line="276" w:lineRule="auto"/>
              <w:contextualSpacing/>
              <w:jc w:val="both"/>
              <w:rPr>
                <w:rFonts w:ascii="Verdana" w:hAnsi="Verdana" w:cs="Arial"/>
                <w:lang w:val="es-MX"/>
              </w:rPr>
            </w:pPr>
            <w:r w:rsidRPr="00F80DEF">
              <w:rPr>
                <w:rFonts w:ascii="Verdana" w:hAnsi="Verdana" w:cs="Arial"/>
                <w:lang w:val="es-MX"/>
              </w:rPr>
              <w:t>Ley 1150 de 2007, artículo 11.</w:t>
            </w:r>
          </w:p>
          <w:p w:rsidRPr="00F80DEF" w:rsidR="00E80F98" w:rsidP="00E80F98" w:rsidRDefault="00E80F98" w14:paraId="10F3EF14" w14:textId="77777777">
            <w:pPr>
              <w:widowControl w:val="0"/>
              <w:numPr>
                <w:ilvl w:val="0"/>
                <w:numId w:val="17"/>
              </w:numPr>
              <w:autoSpaceDE w:val="0"/>
              <w:autoSpaceDN w:val="0"/>
              <w:spacing w:after="120" w:line="276" w:lineRule="auto"/>
              <w:contextualSpacing/>
              <w:jc w:val="both"/>
              <w:rPr>
                <w:rFonts w:ascii="Verdana" w:hAnsi="Verdana" w:cs="Arial"/>
                <w:lang w:val="es-MX"/>
              </w:rPr>
            </w:pPr>
            <w:r w:rsidRPr="00F80DEF">
              <w:rPr>
                <w:rFonts w:ascii="Verdana" w:hAnsi="Verdana" w:cs="Arial"/>
                <w:lang w:val="es-MX"/>
              </w:rPr>
              <w:t xml:space="preserve">Jurisprudencia del Consejo de Estado. Disponible en: </w:t>
            </w:r>
            <w:hyperlink w:history="1" r:id="rId13">
              <w:r w:rsidRPr="006421CD">
                <w:rPr>
                  <w:rStyle w:val="Hipervnculo"/>
                  <w:rFonts w:ascii="Verdana" w:hAnsi="Verdana" w:cs="Arial"/>
                  <w:lang w:val="es-MX"/>
                </w:rPr>
                <w:t>https://relatoria.colombiacompra.gov.co/providencias-consejo-de-estado/</w:t>
              </w:r>
            </w:hyperlink>
            <w:r>
              <w:rPr>
                <w:rFonts w:ascii="Verdana" w:hAnsi="Verdana" w:cs="Arial"/>
                <w:lang w:val="es-MX"/>
              </w:rPr>
              <w:t xml:space="preserve"> </w:t>
            </w:r>
            <w:r w:rsidRPr="00F80DEF">
              <w:rPr>
                <w:rFonts w:ascii="Verdana" w:hAnsi="Verdana" w:cs="Arial"/>
                <w:lang w:val="es-MX"/>
              </w:rPr>
              <w:t xml:space="preserve"> </w:t>
            </w:r>
          </w:p>
          <w:p w:rsidRPr="00F80DEF" w:rsidR="00E80F98" w:rsidP="00E80F98" w:rsidRDefault="00E80F98" w14:paraId="792786A3" w14:textId="77777777">
            <w:pPr>
              <w:widowControl w:val="0"/>
              <w:numPr>
                <w:ilvl w:val="0"/>
                <w:numId w:val="17"/>
              </w:numPr>
              <w:autoSpaceDE w:val="0"/>
              <w:autoSpaceDN w:val="0"/>
              <w:spacing w:after="120" w:line="276" w:lineRule="auto"/>
              <w:contextualSpacing/>
              <w:jc w:val="both"/>
              <w:rPr>
                <w:rFonts w:ascii="Verdana" w:hAnsi="Verdana" w:cs="Arial"/>
                <w:lang w:val="es-MX"/>
              </w:rPr>
            </w:pPr>
            <w:r w:rsidRPr="00F80DEF">
              <w:rPr>
                <w:rFonts w:ascii="Verdana" w:hAnsi="Verdana" w:cs="Arial"/>
                <w:lang w:val="es-MX"/>
              </w:rPr>
              <w:t xml:space="preserve">Guías y manuales expedidos por la ANCP-CCE. Disponible en: </w:t>
            </w:r>
            <w:hyperlink w:history="1" r:id="rId14">
              <w:r w:rsidRPr="006421CD">
                <w:rPr>
                  <w:rStyle w:val="Hipervnculo"/>
                  <w:rFonts w:ascii="Verdana" w:hAnsi="Verdana" w:cs="Arial"/>
                  <w:lang w:val="es-MX"/>
                </w:rPr>
                <w:t>https://www.colombiacompra.gov.co/manuales-guias-y-pliegos-tipo/manuales-y-guias</w:t>
              </w:r>
            </w:hyperlink>
            <w:r>
              <w:rPr>
                <w:rFonts w:ascii="Verdana" w:hAnsi="Verdana" w:cs="Arial"/>
                <w:lang w:val="es-MX"/>
              </w:rPr>
              <w:t xml:space="preserve"> </w:t>
            </w:r>
          </w:p>
        </w:tc>
      </w:tr>
    </w:tbl>
    <w:p w:rsidRPr="009322DA" w:rsidR="00E80F98" w:rsidP="00E80F98" w:rsidRDefault="00E80F98" w14:paraId="4DA8CBE4" w14:textId="77777777">
      <w:pPr>
        <w:tabs>
          <w:tab w:val="left" w:pos="142"/>
          <w:tab w:val="left" w:pos="284"/>
        </w:tabs>
        <w:spacing w:after="0" w:line="276" w:lineRule="auto"/>
        <w:jc w:val="both"/>
        <w:rPr>
          <w:rFonts w:ascii="Verdana" w:hAnsi="Verdana" w:eastAsia="Calibri" w:cs="Arial"/>
        </w:rPr>
      </w:pPr>
    </w:p>
    <w:p w:rsidR="00E80F98" w:rsidP="00E80F98" w:rsidRDefault="00E80F98" w14:paraId="5FA2CA8F" w14:textId="77777777">
      <w:pPr>
        <w:tabs>
          <w:tab w:val="left" w:pos="142"/>
          <w:tab w:val="left" w:pos="284"/>
        </w:tabs>
        <w:spacing w:after="0" w:line="276" w:lineRule="auto"/>
        <w:jc w:val="both"/>
        <w:rPr>
          <w:rFonts w:ascii="Verdana" w:hAnsi="Verdana" w:eastAsia="Century Gothic" w:cs="Century Gothic"/>
          <w:b/>
          <w:bCs/>
          <w:lang w:val="es-ES"/>
        </w:rPr>
      </w:pPr>
      <w:r w:rsidRPr="00196A7A">
        <w:rPr>
          <w:rFonts w:ascii="Verdana" w:hAnsi="Verdana" w:eastAsia="Calibri" w:cs="Arial"/>
          <w:b/>
          <w:bCs/>
        </w:rPr>
        <w:t>5.</w:t>
      </w:r>
      <w:r>
        <w:rPr>
          <w:rFonts w:ascii="Verdana" w:hAnsi="Verdana" w:eastAsia="Calibri" w:cs="Arial"/>
          <w:b/>
          <w:bCs/>
        </w:rPr>
        <w:t xml:space="preserve"> </w:t>
      </w:r>
      <w:r w:rsidRPr="00196A7A">
        <w:rPr>
          <w:rFonts w:ascii="Verdana" w:hAnsi="Verdana" w:eastAsia="Century Gothic" w:cs="Century Gothic"/>
          <w:b/>
          <w:bCs/>
          <w:lang w:val="es-ES"/>
        </w:rPr>
        <w:t>Doctrina</w:t>
      </w:r>
      <w:r w:rsidRPr="009322DA">
        <w:rPr>
          <w:rFonts w:ascii="Verdana" w:hAnsi="Verdana" w:eastAsia="Century Gothic" w:cs="Century Gothic"/>
          <w:b/>
          <w:bCs/>
          <w:lang w:val="es-ES"/>
        </w:rPr>
        <w:t xml:space="preserve"> de la Agencia Nacional de Contratación Pública:</w:t>
      </w:r>
    </w:p>
    <w:p w:rsidRPr="009322DA" w:rsidR="00E80F98" w:rsidP="00E80F98" w:rsidRDefault="00E80F98" w14:paraId="0341BCE6" w14:textId="77777777">
      <w:pPr>
        <w:tabs>
          <w:tab w:val="left" w:pos="142"/>
          <w:tab w:val="left" w:pos="284"/>
        </w:tabs>
        <w:spacing w:after="0" w:line="276" w:lineRule="auto"/>
        <w:jc w:val="both"/>
        <w:rPr>
          <w:rFonts w:ascii="Verdana" w:hAnsi="Verdana" w:eastAsia="Century Gothic" w:cs="Century Gothic"/>
          <w:b/>
          <w:bCs/>
          <w:lang w:val="es-ES"/>
        </w:rPr>
      </w:pPr>
    </w:p>
    <w:p w:rsidR="00E83B93" w:rsidP="00E80F98" w:rsidRDefault="00E80F98" w14:paraId="11415DC3" w14:textId="1086C889">
      <w:pPr>
        <w:spacing w:after="0" w:line="276" w:lineRule="auto"/>
        <w:jc w:val="both"/>
        <w:rPr>
          <w:rFonts w:ascii="Verdana" w:hAnsi="Verdana" w:eastAsia="Calibri" w:cs="Arial"/>
          <w:color w:val="000000" w:themeColor="text1"/>
          <w:shd w:val="clear" w:color="auto" w:fill="FFFFFF"/>
        </w:rPr>
      </w:pPr>
      <w:r w:rsidRPr="00F80DEF">
        <w:rPr>
          <w:rFonts w:ascii="Verdana" w:hAnsi="Verdana" w:cs="Arial"/>
          <w:shd w:val="clear" w:color="auto" w:fill="FFFFFF"/>
        </w:rPr>
        <w:t>L</w:t>
      </w:r>
      <w:r w:rsidRPr="00F80DEF">
        <w:rPr>
          <w:rFonts w:ascii="Verdana" w:hAnsi="Verdana" w:cs="Arial"/>
          <w:shd w:val="clear" w:color="auto" w:fill="FFFFFF"/>
          <w:lang w:val="es-ES"/>
        </w:rPr>
        <w:t xml:space="preserve">a Agencia Nacional de Contratación Pública – Colombia Compra Eficiente, en los conceptos </w:t>
      </w:r>
      <w:r w:rsidRPr="00F80DEF">
        <w:rPr>
          <w:rFonts w:ascii="Verdana" w:hAnsi="Verdana" w:cs="Arial"/>
          <w:shd w:val="clear" w:color="auto" w:fill="FFFFFF"/>
        </w:rPr>
        <w:t xml:space="preserve">4201912000004908 del 27 de septiembre de 2019, CU-028 de 25 </w:t>
      </w:r>
      <w:r w:rsidRPr="00F80DEF">
        <w:rPr>
          <w:rFonts w:ascii="Verdana" w:hAnsi="Verdana" w:cs="Arial"/>
          <w:shd w:val="clear" w:color="auto" w:fill="FFFFFF"/>
        </w:rPr>
        <w:t>de febrero de 2020, C-221 de 21 de abril de 2020, C-078 del 17 de marzo de 2021, C-220 del 18 de mayo de 2021, C-548 del 5 de octubre de 2021</w:t>
      </w:r>
      <w:r>
        <w:rPr>
          <w:rFonts w:ascii="Verdana" w:hAnsi="Verdana" w:cs="Arial"/>
          <w:shd w:val="clear" w:color="auto" w:fill="FFFFFF"/>
        </w:rPr>
        <w:t>,</w:t>
      </w:r>
      <w:r w:rsidRPr="00F80DEF">
        <w:rPr>
          <w:rFonts w:ascii="Verdana" w:hAnsi="Verdana" w:cs="Arial"/>
          <w:shd w:val="clear" w:color="auto" w:fill="FFFFFF"/>
        </w:rPr>
        <w:t xml:space="preserve"> C-739 del 29 de noviembre de 2022</w:t>
      </w:r>
      <w:r>
        <w:rPr>
          <w:rFonts w:ascii="Verdana" w:hAnsi="Verdana" w:cs="Arial"/>
          <w:shd w:val="clear" w:color="auto" w:fill="FFFFFF"/>
        </w:rPr>
        <w:t xml:space="preserve"> y C</w:t>
      </w:r>
      <w:r w:rsidRPr="00F80DEF">
        <w:rPr>
          <w:rFonts w:ascii="Verdana" w:hAnsi="Verdana" w:cs="Arial"/>
          <w:shd w:val="clear" w:color="auto" w:fill="FFFFFF"/>
        </w:rPr>
        <w:t>-</w:t>
      </w:r>
      <w:r>
        <w:rPr>
          <w:rFonts w:ascii="Verdana" w:hAnsi="Verdana" w:cs="Arial"/>
          <w:shd w:val="clear" w:color="auto" w:fill="FFFFFF"/>
        </w:rPr>
        <w:t>144 de 2024</w:t>
      </w:r>
      <w:r w:rsidRPr="00F80DEF">
        <w:rPr>
          <w:rFonts w:ascii="Verdana" w:hAnsi="Verdana" w:cs="Arial"/>
          <w:shd w:val="clear" w:color="auto" w:fill="FFFFFF"/>
          <w:lang w:val="es-ES"/>
        </w:rPr>
        <w:t>, analizó la etapa de liquidación</w:t>
      </w:r>
      <w:r w:rsidRPr="00EA761C">
        <w:rPr>
          <w:rStyle w:val="normaltextrun"/>
          <w:rFonts w:ascii="Verdana" w:hAnsi="Verdana" w:cs="Arial"/>
          <w:shd w:val="clear" w:color="auto" w:fill="FFFFFF"/>
          <w:lang w:val="es-ES"/>
        </w:rPr>
        <w:t xml:space="preserve">. </w:t>
      </w:r>
      <w:r w:rsidRPr="008328CE">
        <w:rPr>
          <w:rFonts w:ascii="Verdana" w:hAnsi="Verdana" w:eastAsia="Calibri"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w:tgtFrame="_blank" w:tooltip="Dirección URL original: https://relatoria.colombiacompra.gov.co/. Haga clic o pulse si confía en este vínculo." w:history="1" r:id="rId15">
        <w:r w:rsidRPr="008328CE">
          <w:rPr>
            <w:rStyle w:val="Hipervnculo"/>
            <w:rFonts w:ascii="Verdana" w:hAnsi="Verdana" w:eastAsia="Calibri" w:cs="Arial"/>
            <w:color w:val="000000" w:themeColor="text1"/>
            <w:shd w:val="clear" w:color="auto" w:fill="FFFFFF"/>
          </w:rPr>
          <w:t>https://relatoria.colombiacompra.gov.co</w:t>
        </w:r>
      </w:hyperlink>
      <w:r w:rsidR="00E83B93">
        <w:rPr>
          <w:rStyle w:val="Hipervnculo"/>
          <w:rFonts w:ascii="Verdana" w:hAnsi="Verdana" w:eastAsia="Calibri" w:cs="Arial"/>
          <w:color w:val="000000" w:themeColor="text1"/>
          <w:shd w:val="clear" w:color="auto" w:fill="FFFFFF"/>
        </w:rPr>
        <w:t>/</w:t>
      </w:r>
    </w:p>
    <w:p w:rsidRPr="008328CE" w:rsidR="00E80F98" w:rsidP="00E80F98" w:rsidRDefault="00E83B93" w14:paraId="0BF87B14" w14:textId="2B96DD2D">
      <w:pPr>
        <w:spacing w:after="0" w:line="276" w:lineRule="auto"/>
        <w:jc w:val="both"/>
        <w:rPr>
          <w:rFonts w:ascii="Verdana" w:hAnsi="Verdana" w:eastAsia="Calibri" w:cs="Arial"/>
          <w:color w:val="000000" w:themeColor="text1"/>
          <w:shd w:val="clear" w:color="auto" w:fill="FFFFFF"/>
        </w:rPr>
      </w:pPr>
      <w:r w:rsidRPr="00E83B93">
        <w:rPr>
          <w:rFonts w:ascii="Verdana" w:hAnsi="Verdana" w:eastAsia="Calibri" w:cs="Arial"/>
          <w:color w:val="000000" w:themeColor="text1"/>
          <w:shd w:val="clear" w:color="auto" w:fill="FFFFFF"/>
        </w:rPr>
        <w:t xml:space="preserve">Te invitamos a revisar la cuarta edición del Boletín de Relatoría de </w:t>
      </w:r>
      <w:proofErr w:type="gramStart"/>
      <w:r w:rsidRPr="00E83B93">
        <w:rPr>
          <w:rFonts w:ascii="Verdana" w:hAnsi="Verdana" w:eastAsia="Calibri" w:cs="Arial"/>
          <w:color w:val="000000" w:themeColor="text1"/>
          <w:shd w:val="clear" w:color="auto" w:fill="FFFFFF"/>
        </w:rPr>
        <w:t>2024,  en</w:t>
      </w:r>
      <w:proofErr w:type="gramEnd"/>
      <w:r w:rsidRPr="00E83B93">
        <w:rPr>
          <w:rFonts w:ascii="Verdana" w:hAnsi="Verdana" w:eastAsia="Calibri" w:cs="Arial"/>
          <w:color w:val="000000" w:themeColor="text1"/>
          <w:shd w:val="clear" w:color="auto" w:fill="FFFFFF"/>
        </w:rPr>
        <w:t xml:space="preserve">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w:tgtFrame="_blank" w:tooltip="Dirección URL original: https://www.colombiacompra.gov.co/sala-de-prensa/boletin-digital/boletin-de-relatoria-2024-iv. Haga clic o pulse si confía en este vínculo." w:history="1" r:id="rId16">
        <w:r w:rsidRPr="00E83B93">
          <w:rPr>
            <w:rStyle w:val="Hipervnculo"/>
            <w:rFonts w:ascii="Verdana" w:hAnsi="Verdana" w:eastAsia="Calibri" w:cs="Arial"/>
            <w:shd w:val="clear" w:color="auto" w:fill="FFFFFF"/>
          </w:rPr>
          <w:t>BOLETÍN DE RELATORÍA 2024 – IV | Colombia Compra Eficiente | Agencia Nacional de Contratación Pública</w:t>
        </w:r>
      </w:hyperlink>
    </w:p>
    <w:p w:rsidRPr="009322DA" w:rsidR="00E80F98" w:rsidP="00E80F98" w:rsidRDefault="00E80F98" w14:paraId="56967899" w14:textId="77777777">
      <w:pPr>
        <w:spacing w:after="0" w:line="276" w:lineRule="auto"/>
        <w:jc w:val="both"/>
        <w:rPr>
          <w:rFonts w:ascii="Verdana" w:hAnsi="Verdana" w:eastAsia="Calibri" w:cs="Arial"/>
          <w:color w:val="FF0000"/>
          <w:shd w:val="clear" w:color="auto" w:fill="FFFFFF"/>
        </w:rPr>
      </w:pPr>
    </w:p>
    <w:p w:rsidRPr="009322DA" w:rsidR="00E80F98" w:rsidP="00E80F98" w:rsidRDefault="00E80F98" w14:paraId="659D573E" w14:textId="77777777">
      <w:pPr>
        <w:spacing w:after="0" w:line="240" w:lineRule="auto"/>
        <w:jc w:val="both"/>
        <w:rPr>
          <w:rFonts w:ascii="Calibri" w:hAnsi="Calibri" w:eastAsia="Calibri" w:cs="Times New Roman"/>
        </w:rPr>
      </w:pPr>
      <w:r w:rsidRPr="0044528D">
        <w:rPr>
          <w:rFonts w:ascii="Verdana" w:hAnsi="Verdana"/>
        </w:rPr>
        <w:t xml:space="preserve">Por último, lo invitamos a seguirnos en las redes sociales en las cuales se difunde información institucional: </w:t>
      </w:r>
    </w:p>
    <w:p w:rsidRPr="0044528D" w:rsidR="00E80F98" w:rsidP="00E80F98" w:rsidRDefault="00E80F98" w14:paraId="6028D5FD" w14:textId="77777777">
      <w:pPr>
        <w:spacing w:after="0" w:line="240" w:lineRule="auto"/>
        <w:jc w:val="both"/>
        <w:rPr>
          <w:rFonts w:ascii="Verdana" w:hAnsi="Verdana"/>
        </w:rPr>
      </w:pPr>
    </w:p>
    <w:p w:rsidRPr="0044528D" w:rsidR="00E80F98" w:rsidP="00E80F98" w:rsidRDefault="00E80F98" w14:paraId="19A63D67" w14:textId="77777777">
      <w:pPr>
        <w:spacing w:after="0" w:line="240" w:lineRule="auto"/>
        <w:jc w:val="both"/>
        <w:rPr>
          <w:rFonts w:ascii="Verdana" w:hAnsi="Verdana"/>
        </w:rPr>
      </w:pPr>
      <w:r w:rsidRPr="0044528D">
        <w:rPr>
          <w:rFonts w:ascii="Verdana" w:hAnsi="Verdana"/>
        </w:rPr>
        <w:t xml:space="preserve">Twitter: </w:t>
      </w:r>
      <w:r w:rsidRPr="009322DA">
        <w:rPr>
          <w:rFonts w:ascii="Verdana" w:hAnsi="Verdana" w:eastAsia="Calibri" w:cs="Times New Roman"/>
          <w:color w:val="4472C4" w:themeColor="accent1"/>
          <w:u w:val="single"/>
        </w:rPr>
        <w:t>@colombiacompra</w:t>
      </w:r>
      <w:r w:rsidRPr="009322DA">
        <w:rPr>
          <w:rFonts w:ascii="Verdana" w:hAnsi="Verdana" w:eastAsia="Calibri" w:cs="Times New Roman"/>
          <w:color w:val="4472C4" w:themeColor="accent1"/>
        </w:rPr>
        <w:t xml:space="preserve"> </w:t>
      </w:r>
    </w:p>
    <w:p w:rsidRPr="0044528D" w:rsidR="00E80F98" w:rsidP="00E80F98" w:rsidRDefault="00E80F98" w14:paraId="198E60E0" w14:textId="77777777">
      <w:pPr>
        <w:spacing w:after="0" w:line="240" w:lineRule="auto"/>
        <w:jc w:val="both"/>
        <w:rPr>
          <w:rFonts w:ascii="Verdana" w:hAnsi="Verdana"/>
        </w:rPr>
      </w:pPr>
      <w:r w:rsidRPr="0044528D">
        <w:rPr>
          <w:rFonts w:ascii="Verdana" w:hAnsi="Verdana"/>
        </w:rPr>
        <w:t xml:space="preserve">Facebook: </w:t>
      </w:r>
      <w:proofErr w:type="spellStart"/>
      <w:r w:rsidRPr="009322DA">
        <w:rPr>
          <w:rFonts w:ascii="Verdana" w:hAnsi="Verdana" w:eastAsia="Calibri" w:cs="Times New Roman"/>
          <w:color w:val="4472C4" w:themeColor="accent1"/>
          <w:u w:val="single"/>
        </w:rPr>
        <w:t>ColombiaCompraEficiente</w:t>
      </w:r>
      <w:proofErr w:type="spellEnd"/>
    </w:p>
    <w:p w:rsidRPr="0044528D" w:rsidR="00E80F98" w:rsidP="00E80F98" w:rsidRDefault="00E80F98" w14:paraId="06273DA8" w14:textId="77777777">
      <w:pPr>
        <w:spacing w:after="0" w:line="240" w:lineRule="auto"/>
        <w:jc w:val="both"/>
        <w:rPr>
          <w:rFonts w:ascii="Verdana" w:hAnsi="Verdana"/>
        </w:rPr>
      </w:pPr>
      <w:r w:rsidRPr="0044528D">
        <w:rPr>
          <w:rFonts w:ascii="Verdana" w:hAnsi="Verdana"/>
        </w:rPr>
        <w:t xml:space="preserve">LinkedIn: </w:t>
      </w:r>
      <w:r w:rsidRPr="009322DA">
        <w:rPr>
          <w:rFonts w:ascii="Verdana" w:hAnsi="Verdana" w:eastAsia="Calibri" w:cs="Times New Roman"/>
          <w:color w:val="4472C4" w:themeColor="accent1"/>
          <w:u w:val="single"/>
        </w:rPr>
        <w:t>Agencia Nacional de Contratación Pública - Colombia Compra Eficiente</w:t>
      </w:r>
      <w:r w:rsidRPr="009322DA">
        <w:rPr>
          <w:rFonts w:ascii="Verdana" w:hAnsi="Verdana" w:eastAsia="Calibri" w:cs="Times New Roman"/>
          <w:color w:val="4472C4" w:themeColor="accent1"/>
        </w:rPr>
        <w:t xml:space="preserve"> </w:t>
      </w:r>
      <w:r w:rsidRPr="0044528D">
        <w:rPr>
          <w:rFonts w:ascii="Verdana" w:hAnsi="Verdana"/>
        </w:rPr>
        <w:t xml:space="preserve">Instagram: </w:t>
      </w:r>
      <w:r w:rsidRPr="009322DA">
        <w:rPr>
          <w:rFonts w:ascii="Verdana" w:hAnsi="Verdana" w:eastAsia="Calibri" w:cs="Times New Roman"/>
          <w:color w:val="4472C4" w:themeColor="accent1"/>
          <w:u w:val="single"/>
        </w:rPr>
        <w:t>@colombiacompraeficiente_cce</w:t>
      </w:r>
    </w:p>
    <w:p w:rsidRPr="0044528D" w:rsidR="00E80F98" w:rsidP="00E80F98" w:rsidRDefault="00E80F98" w14:paraId="2A750610" w14:textId="77777777">
      <w:pPr>
        <w:widowControl w:val="0"/>
        <w:autoSpaceDE w:val="0"/>
        <w:autoSpaceDN w:val="0"/>
        <w:spacing w:after="0" w:line="276" w:lineRule="auto"/>
        <w:jc w:val="both"/>
        <w:rPr>
          <w:rFonts w:ascii="Verdana" w:hAnsi="Verdana"/>
        </w:rPr>
      </w:pPr>
    </w:p>
    <w:p w:rsidRPr="009322DA" w:rsidR="00E80F98" w:rsidP="00E80F98" w:rsidRDefault="00E80F98" w14:paraId="667657D8" w14:textId="77777777">
      <w:pPr>
        <w:widowControl w:val="0"/>
        <w:autoSpaceDE w:val="0"/>
        <w:autoSpaceDN w:val="0"/>
        <w:spacing w:after="0" w:line="276" w:lineRule="auto"/>
        <w:jc w:val="both"/>
        <w:rPr>
          <w:rFonts w:ascii="Verdana" w:hAnsi="Verdana" w:eastAsia="Calibri" w:cs="Arial"/>
          <w:lang w:val="es-ES_tradnl"/>
        </w:rPr>
      </w:pPr>
      <w:r w:rsidRPr="009322DA">
        <w:rPr>
          <w:rFonts w:ascii="Verdana" w:hAnsi="Verdana" w:eastAsia="Calibri" w:cs="Arial"/>
        </w:rPr>
        <w:t>Este concepto tiene el alcance previsto en el artículo 28 del Código de Procedimiento Administrativo y de lo Contencioso Administrativo.</w:t>
      </w:r>
    </w:p>
    <w:p w:rsidRPr="009322DA" w:rsidR="00E80F98" w:rsidP="00E80F98" w:rsidRDefault="00E80F98" w14:paraId="6514F6F9" w14:textId="77777777">
      <w:pPr>
        <w:widowControl w:val="0"/>
        <w:autoSpaceDE w:val="0"/>
        <w:autoSpaceDN w:val="0"/>
        <w:spacing w:after="0" w:line="276" w:lineRule="auto"/>
        <w:jc w:val="both"/>
        <w:rPr>
          <w:rFonts w:ascii="Verdana" w:hAnsi="Verdana" w:eastAsia="Calibri" w:cs="Arial"/>
        </w:rPr>
      </w:pPr>
    </w:p>
    <w:p w:rsidRPr="009322DA" w:rsidR="00E80F98" w:rsidP="00E80F98" w:rsidRDefault="00E80F98" w14:paraId="705391CF" w14:textId="77777777">
      <w:pPr>
        <w:spacing w:after="0" w:line="240" w:lineRule="auto"/>
        <w:rPr>
          <w:rFonts w:ascii="Verdana" w:hAnsi="Verdana" w:eastAsia="Calibri" w:cs="Arial"/>
          <w:lang w:eastAsia="es-CO"/>
        </w:rPr>
      </w:pPr>
      <w:r w:rsidRPr="009322DA">
        <w:rPr>
          <w:rFonts w:ascii="Verdana" w:hAnsi="Verdana" w:eastAsia="Times New Roman" w:cs="Arial"/>
          <w:lang w:eastAsia="es-CO"/>
        </w:rPr>
        <w:t>Atentamente,</w:t>
      </w:r>
      <w:r w:rsidRPr="009322DA">
        <w:rPr>
          <w:rFonts w:ascii="Verdana" w:hAnsi="Verdana" w:eastAsia="Calibri" w:cs="Arial"/>
          <w:lang w:eastAsia="es-CO"/>
        </w:rPr>
        <w:t xml:space="preserve"> </w:t>
      </w:r>
    </w:p>
    <w:p w:rsidRPr="009322DA" w:rsidR="00E80F98" w:rsidP="00E80F98" w:rsidRDefault="00BC6C87" w14:paraId="510DACDB" w14:textId="55C4D6E1">
      <w:pPr>
        <w:spacing w:line="276" w:lineRule="auto"/>
        <w:jc w:val="center"/>
        <w:rPr>
          <w:rFonts w:ascii="Verdana" w:hAnsi="Verdana" w:eastAsia="Calibri" w:cs="Arial"/>
          <w:color w:val="000000"/>
          <w:lang w:val="es-ES_tradnl" w:eastAsia="es-CO"/>
        </w:rPr>
      </w:pPr>
      <w:r w:rsidRPr="002C3AD6">
        <w:rPr>
          <w:rFonts w:ascii="Century Gothic" w:hAnsi="Century Gothic"/>
          <w:noProof/>
        </w:rPr>
        <w:drawing>
          <wp:inline distT="0" distB="0" distL="0" distR="0" wp14:anchorId="49C5D411" wp14:editId="2EA6CEB1">
            <wp:extent cx="3474720" cy="1289858"/>
            <wp:effectExtent l="0" t="0" r="0" b="571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485373" cy="1293813"/>
                    </a:xfrm>
                    <a:prstGeom prst="rect">
                      <a:avLst/>
                    </a:prstGeom>
                  </pic:spPr>
                </pic:pic>
              </a:graphicData>
            </a:graphic>
          </wp:inline>
        </w:drawing>
      </w:r>
    </w:p>
    <w:tbl>
      <w:tblPr>
        <w:tblStyle w:val="Tablaconcuadrcula1"/>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9322DA" w:rsidR="00E80F98" w:rsidTr="00EB47BA" w14:paraId="107874B0" w14:textId="77777777">
        <w:trPr>
          <w:trHeight w:val="315"/>
        </w:trPr>
        <w:tc>
          <w:tcPr>
            <w:tcW w:w="893" w:type="dxa"/>
            <w:vAlign w:val="center"/>
            <w:hideMark/>
          </w:tcPr>
          <w:p w:rsidRPr="009322DA" w:rsidR="00E80F98" w:rsidP="00EB47BA" w:rsidRDefault="00E80F98" w14:paraId="14AD34BD" w14:textId="77777777">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9322DA" w:rsidR="00E80F98" w:rsidP="00EB47BA" w:rsidRDefault="00E80F98" w14:paraId="53CCEEB5" w14:textId="77777777">
            <w:pPr>
              <w:spacing w:after="255"/>
              <w:contextualSpacing/>
              <w:rPr>
                <w:rFonts w:ascii="Verdana" w:hAnsi="Verdana" w:eastAsia="Arial" w:cs="Arial"/>
                <w:sz w:val="16"/>
                <w:szCs w:val="16"/>
              </w:rPr>
            </w:pPr>
            <w:r w:rsidRPr="009322DA">
              <w:rPr>
                <w:rFonts w:ascii="Verdana" w:hAnsi="Verdana"/>
                <w:sz w:val="16"/>
                <w:szCs w:val="16"/>
              </w:rPr>
              <w:t>Juan Manuel Avendaño Robles</w:t>
            </w:r>
          </w:p>
          <w:p w:rsidRPr="009322DA" w:rsidR="00E80F98" w:rsidP="00EB47BA" w:rsidRDefault="00E80F98" w14:paraId="77EE6A7F" w14:textId="77777777">
            <w:pPr>
              <w:spacing w:after="255"/>
              <w:contextualSpacing/>
              <w:rPr>
                <w:rFonts w:ascii="Verdana" w:hAnsi="Verdana" w:eastAsia="Arial" w:cs="Arial"/>
                <w:sz w:val="16"/>
                <w:szCs w:val="16"/>
              </w:rPr>
            </w:pPr>
            <w:r w:rsidRPr="009322DA">
              <w:rPr>
                <w:rFonts w:ascii="Verdana" w:hAnsi="Verdana" w:eastAsia="Arial" w:cs="Arial"/>
                <w:sz w:val="16"/>
                <w:szCs w:val="16"/>
              </w:rPr>
              <w:t>Contratista de la Subdirección de Gestión Contractual</w:t>
            </w:r>
          </w:p>
        </w:tc>
      </w:tr>
      <w:tr w:rsidRPr="009322DA" w:rsidR="00E80F98" w:rsidTr="00EB47BA" w14:paraId="3BD17F3C" w14:textId="77777777">
        <w:trPr>
          <w:trHeight w:val="330"/>
        </w:trPr>
        <w:tc>
          <w:tcPr>
            <w:tcW w:w="893" w:type="dxa"/>
            <w:vAlign w:val="center"/>
            <w:hideMark/>
          </w:tcPr>
          <w:p w:rsidRPr="009322DA" w:rsidR="00E80F98" w:rsidP="00EB47BA" w:rsidRDefault="00E80F98" w14:paraId="782142CD" w14:textId="77777777">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F80DEF" w:rsidR="00E80F98" w:rsidP="00EB47BA" w:rsidRDefault="00E80F98" w14:paraId="2F0C9B86" w14:textId="77777777">
            <w:pPr>
              <w:contextualSpacing/>
              <w:textAlignment w:val="baseline"/>
              <w:rPr>
                <w:rFonts w:ascii="Verdana" w:hAnsi="Verdana" w:eastAsia="Times New Roman" w:cs="Arial"/>
                <w:sz w:val="16"/>
                <w:szCs w:val="16"/>
                <w:lang w:eastAsia="es-ES_tradnl"/>
              </w:rPr>
            </w:pPr>
            <w:r w:rsidRPr="00F80DEF">
              <w:rPr>
                <w:rFonts w:ascii="Verdana" w:hAnsi="Verdana" w:eastAsia="Times New Roman" w:cs="Arial"/>
                <w:sz w:val="16"/>
                <w:szCs w:val="16"/>
                <w:lang w:eastAsia="es-ES_tradnl"/>
              </w:rPr>
              <w:t>Ju</w:t>
            </w:r>
            <w:r w:rsidRPr="00F80DEF">
              <w:rPr>
                <w:rFonts w:ascii="Verdana" w:hAnsi="Verdana" w:eastAsia="Times New Roman"/>
                <w:sz w:val="16"/>
                <w:szCs w:val="16"/>
                <w:lang w:eastAsia="es-ES_tradnl"/>
              </w:rPr>
              <w:t>an David Cárdenas Cabezas</w:t>
            </w:r>
          </w:p>
          <w:p w:rsidRPr="00F80DEF" w:rsidR="00E80F98" w:rsidP="00EB47BA" w:rsidRDefault="00E80F98" w14:paraId="11B730A2" w14:textId="77777777">
            <w:pPr>
              <w:contextualSpacing/>
              <w:textAlignment w:val="baseline"/>
              <w:rPr>
                <w:rFonts w:ascii="Verdana" w:hAnsi="Verdana" w:eastAsia="Times New Roman" w:cs="Segoe UI"/>
                <w:sz w:val="16"/>
                <w:szCs w:val="16"/>
                <w:lang w:eastAsia="es-ES_tradnl"/>
              </w:rPr>
            </w:pPr>
            <w:r w:rsidRPr="00F80DEF">
              <w:rPr>
                <w:rFonts w:ascii="Verdana" w:hAnsi="Verdana" w:eastAsia="Times New Roman" w:cs="Arial"/>
                <w:sz w:val="16"/>
                <w:szCs w:val="16"/>
                <w:lang w:eastAsia="es-ES_tradnl"/>
              </w:rPr>
              <w:t>Contratista de la Subdirección de Gestión Contractual</w:t>
            </w:r>
          </w:p>
        </w:tc>
      </w:tr>
      <w:tr w:rsidRPr="009322DA" w:rsidR="00E80F98" w:rsidTr="00EB47BA" w14:paraId="45DEA13A" w14:textId="77777777">
        <w:trPr>
          <w:trHeight w:val="300"/>
        </w:trPr>
        <w:tc>
          <w:tcPr>
            <w:tcW w:w="893" w:type="dxa"/>
            <w:vAlign w:val="center"/>
            <w:hideMark/>
          </w:tcPr>
          <w:p w:rsidRPr="009322DA" w:rsidR="00E80F98" w:rsidP="00EB47BA" w:rsidRDefault="00E80F98" w14:paraId="6F0AE61A" w14:textId="77777777">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9322DA" w:rsidR="00E80F98" w:rsidP="00EB47BA" w:rsidRDefault="00E80F98" w14:paraId="102A7453" w14:textId="77777777">
            <w:pPr>
              <w:spacing w:after="255"/>
              <w:contextualSpacing/>
              <w:rPr>
                <w:rFonts w:ascii="Verdana" w:hAnsi="Verdana" w:cs="Arial"/>
                <w:sz w:val="16"/>
                <w:szCs w:val="16"/>
                <w:lang w:val="pt-BR" w:eastAsia="es-ES"/>
              </w:rPr>
            </w:pPr>
            <w:r w:rsidRPr="009322DA">
              <w:rPr>
                <w:rFonts w:ascii="Verdana" w:hAnsi="Verdana" w:cs="Arial"/>
                <w:sz w:val="16"/>
                <w:szCs w:val="16"/>
                <w:lang w:val="pt-BR" w:eastAsia="es-ES"/>
              </w:rPr>
              <w:t>Carolina Quintero Gacharná</w:t>
            </w:r>
          </w:p>
          <w:p w:rsidRPr="009322DA" w:rsidR="00E80F98" w:rsidP="00EB47BA" w:rsidRDefault="00E80F98" w14:paraId="47BD57D0" w14:textId="77777777">
            <w:pPr>
              <w:spacing w:after="255"/>
              <w:contextualSpacing/>
              <w:rPr>
                <w:rFonts w:ascii="Verdana" w:hAnsi="Verdana" w:cs="Arial"/>
                <w:sz w:val="16"/>
                <w:szCs w:val="16"/>
                <w:lang w:val="pt-BR" w:eastAsia="es-ES"/>
              </w:rPr>
            </w:pPr>
            <w:r w:rsidRPr="009322DA">
              <w:rPr>
                <w:rFonts w:ascii="Verdana" w:hAnsi="Verdana" w:cs="Arial"/>
                <w:sz w:val="16"/>
                <w:szCs w:val="16"/>
                <w:lang w:eastAsia="es-ES"/>
              </w:rPr>
              <w:t>Subdirectora</w:t>
            </w:r>
            <w:r w:rsidRPr="009322DA">
              <w:rPr>
                <w:rFonts w:ascii="Verdana" w:hAnsi="Verdana" w:cs="Arial"/>
                <w:sz w:val="16"/>
                <w:szCs w:val="16"/>
                <w:lang w:val="pt-BR" w:eastAsia="es-ES"/>
              </w:rPr>
              <w:t xml:space="preserve"> de Gestión Contractual ANCP – CCE</w:t>
            </w:r>
          </w:p>
        </w:tc>
      </w:tr>
    </w:tbl>
    <w:p w:rsidRPr="00E80F98" w:rsidR="00127233" w:rsidP="00BC6C87" w:rsidRDefault="00127233" w14:paraId="0F293BF4" w14:textId="7BBFAB11"/>
    <w:sectPr w:rsidRPr="00E80F98" w:rsidR="00127233" w:rsidSect="007C0C0F">
      <w:headerReference w:type="default" r:id="rId18"/>
      <w:footerReference w:type="default" r:id="rId19"/>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62BC0" w:rsidP="004A1847" w:rsidRDefault="00A62BC0" w14:paraId="236C4242" w14:textId="77777777">
      <w:pPr>
        <w:spacing w:after="0" w:line="240" w:lineRule="auto"/>
      </w:pPr>
      <w:r>
        <w:separator/>
      </w:r>
    </w:p>
  </w:endnote>
  <w:endnote w:type="continuationSeparator" w:id="0">
    <w:p w:rsidR="00A62BC0" w:rsidP="004A1847" w:rsidRDefault="00A62BC0" w14:paraId="49346CC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62BC0" w:rsidP="004A1847" w:rsidRDefault="00A62BC0" w14:paraId="2EFBC019" w14:textId="77777777">
      <w:pPr>
        <w:spacing w:after="0" w:line="240" w:lineRule="auto"/>
      </w:pPr>
      <w:r>
        <w:separator/>
      </w:r>
    </w:p>
  </w:footnote>
  <w:footnote w:type="continuationSeparator" w:id="0">
    <w:p w:rsidR="00A62BC0" w:rsidP="004A1847" w:rsidRDefault="00A62BC0" w14:paraId="63517406" w14:textId="77777777">
      <w:pPr>
        <w:spacing w:after="0" w:line="240" w:lineRule="auto"/>
      </w:pPr>
      <w:r>
        <w:continuationSeparator/>
      </w:r>
    </w:p>
  </w:footnote>
  <w:footnote w:id="1">
    <w:p w:rsidRPr="00541D6E" w:rsidR="00E80F98" w:rsidP="00E80F98" w:rsidRDefault="00E80F98" w14:paraId="53ABD833" w14:textId="77777777">
      <w:pPr>
        <w:pStyle w:val="Textonotapie"/>
        <w:ind w:firstLine="708"/>
        <w:jc w:val="both"/>
        <w:rPr>
          <w:rFonts w:ascii="Verdana" w:hAnsi="Verdana" w:cs="Arial"/>
          <w:color w:val="000000" w:themeColor="text1"/>
          <w:sz w:val="16"/>
          <w:szCs w:val="16"/>
        </w:rPr>
      </w:pPr>
      <w:r w:rsidRPr="00541D6E">
        <w:rPr>
          <w:rStyle w:val="Refdenotaalpie"/>
          <w:rFonts w:ascii="Verdana" w:hAnsi="Verdana" w:cs="Arial"/>
          <w:color w:val="000000" w:themeColor="text1"/>
          <w:sz w:val="16"/>
          <w:szCs w:val="16"/>
        </w:rPr>
        <w:footnoteRef/>
      </w:r>
      <w:r w:rsidRPr="00541D6E">
        <w:rPr>
          <w:rFonts w:ascii="Verdana" w:hAnsi="Verdana" w:cs="Arial"/>
          <w:color w:val="000000" w:themeColor="text1"/>
          <w:sz w:val="16"/>
          <w:szCs w:val="16"/>
        </w:rPr>
        <w:t xml:space="preserve"> EXPÓSITO VÉLEZ. Juan Carlos. Forma y contenido del contrato estatal, p. 90.</w:t>
      </w:r>
    </w:p>
    <w:p w:rsidRPr="00541D6E" w:rsidR="00E80F98" w:rsidP="00E80F98" w:rsidRDefault="00E80F98" w14:paraId="02920E0C" w14:textId="77777777">
      <w:pPr>
        <w:pStyle w:val="Textonotapie"/>
        <w:ind w:firstLine="708"/>
        <w:jc w:val="both"/>
        <w:rPr>
          <w:rFonts w:ascii="Verdana" w:hAnsi="Verdana" w:cs="Arial"/>
          <w:color w:val="000000" w:themeColor="text1"/>
          <w:sz w:val="16"/>
          <w:szCs w:val="16"/>
        </w:rPr>
      </w:pPr>
    </w:p>
  </w:footnote>
  <w:footnote w:id="2">
    <w:p w:rsidRPr="00541D6E" w:rsidR="00E80F98" w:rsidP="00E80F98" w:rsidRDefault="00E80F98" w14:paraId="38319CF4" w14:textId="77777777">
      <w:pPr>
        <w:pStyle w:val="Textonotapie"/>
        <w:ind w:firstLine="708"/>
        <w:jc w:val="both"/>
        <w:rPr>
          <w:rFonts w:ascii="Verdana" w:hAnsi="Verdana" w:cs="Arial"/>
          <w:color w:val="000000" w:themeColor="text1"/>
          <w:sz w:val="16"/>
          <w:szCs w:val="16"/>
        </w:rPr>
      </w:pPr>
      <w:r w:rsidRPr="00541D6E">
        <w:rPr>
          <w:rStyle w:val="Refdenotaalpie"/>
          <w:rFonts w:ascii="Verdana" w:hAnsi="Verdana" w:cs="Arial"/>
          <w:color w:val="000000" w:themeColor="text1"/>
          <w:sz w:val="16"/>
          <w:szCs w:val="16"/>
        </w:rPr>
        <w:footnoteRef/>
      </w:r>
      <w:r w:rsidRPr="00541D6E">
        <w:rPr>
          <w:rFonts w:ascii="Verdana" w:hAnsi="Verdana" w:cs="Arial"/>
          <w:color w:val="000000" w:themeColor="text1"/>
          <w:sz w:val="16"/>
          <w:szCs w:val="16"/>
        </w:rPr>
        <w:t xml:space="preserve"> CONSEJO DE ESTADO, Sala de Consulta y Servicio Civil. Radicado No. 1453. Concepto de 6 de agosto de 2003. MP. Augusto Trejos.</w:t>
      </w:r>
    </w:p>
    <w:p w:rsidRPr="00541D6E" w:rsidR="00E80F98" w:rsidP="00E80F98" w:rsidRDefault="00E80F98" w14:paraId="625F1821" w14:textId="77777777">
      <w:pPr>
        <w:pStyle w:val="Textonotapie"/>
        <w:ind w:firstLine="708"/>
        <w:jc w:val="both"/>
        <w:rPr>
          <w:rFonts w:ascii="Verdana" w:hAnsi="Verdana" w:cs="Arial"/>
          <w:color w:val="000000" w:themeColor="text1"/>
          <w:sz w:val="16"/>
          <w:szCs w:val="16"/>
        </w:rPr>
      </w:pPr>
    </w:p>
  </w:footnote>
  <w:footnote w:id="3">
    <w:p w:rsidRPr="00541D6E" w:rsidR="00E80F98" w:rsidP="00E80F98" w:rsidRDefault="00E80F98" w14:paraId="752D9283" w14:textId="77777777">
      <w:pPr>
        <w:pStyle w:val="Textonotapie"/>
        <w:ind w:firstLine="708"/>
        <w:jc w:val="both"/>
        <w:rPr>
          <w:rFonts w:ascii="Verdana" w:hAnsi="Verdana" w:cs="Arial"/>
          <w:color w:val="000000" w:themeColor="text1"/>
          <w:sz w:val="16"/>
          <w:szCs w:val="16"/>
          <w:lang w:val="es-ES"/>
        </w:rPr>
      </w:pPr>
      <w:r w:rsidRPr="00541D6E">
        <w:rPr>
          <w:rStyle w:val="Refdenotaalpie"/>
          <w:rFonts w:ascii="Verdana" w:hAnsi="Verdana" w:cs="Arial"/>
          <w:color w:val="000000" w:themeColor="text1"/>
          <w:sz w:val="16"/>
          <w:szCs w:val="16"/>
        </w:rPr>
        <w:footnoteRef/>
      </w:r>
      <w:r w:rsidRPr="00541D6E">
        <w:rPr>
          <w:rFonts w:ascii="Verdana" w:hAnsi="Verdana" w:cs="Arial"/>
          <w:color w:val="000000" w:themeColor="text1"/>
          <w:sz w:val="16"/>
          <w:szCs w:val="16"/>
        </w:rPr>
        <w:t xml:space="preserve"> </w:t>
      </w:r>
      <w:r w:rsidRPr="00541D6E">
        <w:rPr>
          <w:rFonts w:ascii="Verdana" w:hAnsi="Verdana" w:cs="Arial"/>
          <w:color w:val="000000" w:themeColor="text1"/>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rsidRPr="00541D6E" w:rsidR="00E80F98" w:rsidP="00E80F98" w:rsidRDefault="00E80F98" w14:paraId="705A9456" w14:textId="77777777">
      <w:pPr>
        <w:pStyle w:val="Textonotapie"/>
        <w:ind w:firstLine="708"/>
        <w:jc w:val="both"/>
        <w:rPr>
          <w:rFonts w:ascii="Verdana" w:hAnsi="Verdana" w:cs="Arial"/>
          <w:color w:val="000000" w:themeColor="text1"/>
          <w:sz w:val="16"/>
          <w:szCs w:val="16"/>
          <w:lang w:val="es-ES"/>
        </w:rPr>
      </w:pPr>
      <w:r w:rsidRPr="00541D6E">
        <w:rPr>
          <w:rFonts w:ascii="Verdana" w:hAnsi="Verdana" w:cs="Arial"/>
          <w:color w:val="000000" w:themeColor="text1"/>
          <w:sz w:val="16"/>
          <w:szCs w:val="16"/>
          <w:lang w:val="es-ES"/>
        </w:rPr>
        <w:t>“ 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rsidRPr="00541D6E" w:rsidR="00E80F98" w:rsidP="00E80F98" w:rsidRDefault="00E80F98" w14:paraId="5DF9A50C" w14:textId="77777777">
      <w:pPr>
        <w:pStyle w:val="Textonotapie"/>
        <w:ind w:firstLine="708"/>
        <w:jc w:val="both"/>
        <w:rPr>
          <w:rFonts w:ascii="Verdana" w:hAnsi="Verdana" w:cs="Arial"/>
          <w:color w:val="000000" w:themeColor="text1"/>
          <w:sz w:val="16"/>
          <w:szCs w:val="16"/>
          <w:lang w:val="es-ES"/>
        </w:rPr>
      </w:pPr>
      <w:r w:rsidRPr="00541D6E">
        <w:rPr>
          <w:rFonts w:ascii="Verdana" w:hAnsi="Verdana" w:cs="Arial"/>
          <w:color w:val="000000" w:themeColor="text1"/>
          <w:sz w:val="16"/>
          <w:szCs w:val="16"/>
          <w:lang w:val="es-ES"/>
        </w:rPr>
        <w:t>“ 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rsidRPr="00541D6E" w:rsidR="00E80F98" w:rsidP="00E80F98" w:rsidRDefault="00E80F98" w14:paraId="4D3D964C" w14:textId="77777777">
      <w:pPr>
        <w:pStyle w:val="Textonotapie"/>
        <w:ind w:firstLine="708"/>
        <w:jc w:val="both"/>
        <w:rPr>
          <w:rFonts w:ascii="Verdana" w:hAnsi="Verdana" w:cs="Arial"/>
          <w:color w:val="000000" w:themeColor="text1"/>
          <w:sz w:val="16"/>
          <w:szCs w:val="16"/>
          <w:lang w:val="es-ES"/>
        </w:rPr>
      </w:pPr>
      <w:r w:rsidRPr="00541D6E">
        <w:rPr>
          <w:rFonts w:ascii="Verdana" w:hAnsi="Verdana" w:cs="Arial"/>
          <w:color w:val="000000" w:themeColor="text1"/>
          <w:sz w:val="16"/>
          <w:szCs w:val="16"/>
          <w:lang w:val="es-ES"/>
        </w:rPr>
        <w:t>“ Los contratistas tendrán derecho a efectuar salvedades a la liquidación por mutuo acuerdo, y en este evento la liquidación unilateral solo procederá en relación con los aspectos que no hayan sido objeto de acuerdo».</w:t>
      </w:r>
    </w:p>
  </w:footnote>
  <w:footnote w:id="4">
    <w:p w:rsidRPr="00541D6E" w:rsidR="00E80F98" w:rsidP="00E80F98" w:rsidRDefault="00E80F98" w14:paraId="4EBBD2C0" w14:textId="77777777">
      <w:pPr>
        <w:pStyle w:val="Textonotapie"/>
        <w:ind w:firstLine="709"/>
        <w:jc w:val="both"/>
        <w:rPr>
          <w:rFonts w:ascii="Verdana" w:hAnsi="Verdana" w:cs="Arial"/>
          <w:color w:val="000000" w:themeColor="text1"/>
          <w:sz w:val="16"/>
          <w:szCs w:val="16"/>
        </w:rPr>
      </w:pPr>
      <w:r w:rsidRPr="00541D6E">
        <w:rPr>
          <w:rStyle w:val="Refdenotaalpie"/>
          <w:rFonts w:ascii="Verdana" w:hAnsi="Verdana" w:cs="Arial"/>
          <w:color w:val="000000" w:themeColor="text1"/>
          <w:sz w:val="16"/>
          <w:szCs w:val="16"/>
        </w:rPr>
        <w:footnoteRef/>
      </w:r>
      <w:r w:rsidRPr="00541D6E">
        <w:rPr>
          <w:rFonts w:ascii="Verdana" w:hAnsi="Verdana" w:cs="Arial"/>
          <w:color w:val="000000" w:themeColor="text1"/>
          <w:sz w:val="16"/>
          <w:szCs w:val="16"/>
        </w:rPr>
        <w:t xml:space="preserve"> CONSEJO DE ESTADO, Sección Tercera, Subsección C, Sentencia del 24 de julio de 2013, radicado No. 25.642, Consejero Ponente Enrique Gil Botero.</w:t>
      </w:r>
    </w:p>
    <w:p w:rsidRPr="00541D6E" w:rsidR="00E80F98" w:rsidP="00E80F98" w:rsidRDefault="00E80F98" w14:paraId="1690F43B" w14:textId="77777777">
      <w:pPr>
        <w:pStyle w:val="Textonotapie"/>
        <w:ind w:firstLine="709"/>
        <w:jc w:val="both"/>
        <w:rPr>
          <w:rFonts w:ascii="Verdana" w:hAnsi="Verdana" w:cs="Arial"/>
          <w:color w:val="000000" w:themeColor="text1"/>
          <w:sz w:val="16"/>
          <w:szCs w:val="16"/>
          <w:lang w:val="es-CO"/>
        </w:rPr>
      </w:pPr>
    </w:p>
  </w:footnote>
  <w:footnote w:id="5">
    <w:p w:rsidRPr="00541D6E" w:rsidR="00E80F98" w:rsidP="00E80F98" w:rsidRDefault="00E80F98" w14:paraId="51F6452A" w14:textId="77777777">
      <w:pPr>
        <w:pStyle w:val="NormalWeb"/>
        <w:spacing w:after="0"/>
        <w:ind w:firstLine="709"/>
        <w:jc w:val="both"/>
        <w:rPr>
          <w:rFonts w:ascii="Verdana" w:hAnsi="Verdana" w:cs="Arial"/>
          <w:color w:val="000000" w:themeColor="text1"/>
          <w:sz w:val="16"/>
          <w:szCs w:val="16"/>
        </w:rPr>
      </w:pPr>
      <w:r w:rsidRPr="00541D6E">
        <w:rPr>
          <w:rStyle w:val="Refdenotaalpie"/>
          <w:rFonts w:ascii="Verdana" w:hAnsi="Verdana" w:cs="Arial"/>
          <w:color w:val="000000" w:themeColor="text1"/>
          <w:sz w:val="16"/>
          <w:szCs w:val="16"/>
        </w:rPr>
        <w:footnoteRef/>
      </w:r>
      <w:r w:rsidRPr="00541D6E">
        <w:rPr>
          <w:rFonts w:ascii="Verdana" w:hAnsi="Verdana" w:cs="Arial"/>
          <w:color w:val="000000" w:themeColor="text1"/>
          <w:sz w:val="16"/>
          <w:szCs w:val="16"/>
        </w:rPr>
        <w:t xml:space="preserve"> Decreto 1082 de 2015 “</w:t>
      </w:r>
      <w:r w:rsidRPr="00541D6E">
        <w:rPr>
          <w:rStyle w:val="Textoennegrita"/>
          <w:rFonts w:ascii="Verdana" w:hAnsi="Verdana" w:cs="Arial"/>
          <w:color w:val="000000" w:themeColor="text1"/>
          <w:sz w:val="16"/>
          <w:szCs w:val="16"/>
        </w:rPr>
        <w:t>Artículo 2.2.1.2.1.5.2. </w:t>
      </w:r>
      <w:r w:rsidRPr="00541D6E">
        <w:rPr>
          <w:rStyle w:val="nfasis"/>
          <w:rFonts w:ascii="Verdana" w:hAnsi="Verdana" w:cs="Arial" w:eastAsiaTheme="minorEastAsia"/>
          <w:color w:val="000000" w:themeColor="text1"/>
          <w:sz w:val="16"/>
          <w:szCs w:val="16"/>
        </w:rPr>
        <w:t>Procedimiento para la contratación de mínima cuantía. </w:t>
      </w:r>
      <w:r w:rsidRPr="00541D6E">
        <w:rPr>
          <w:rFonts w:ascii="Verdana" w:hAnsi="Verdana" w:cs="Arial"/>
          <w:color w:val="000000" w:themeColor="text1"/>
          <w:sz w:val="16"/>
          <w:szCs w:val="16"/>
        </w:rPr>
        <w:t>Las siguientes reglas son aplicables a la contratación cuyo valor no excede del 10% de la menor cuantía de la Entidad Estatal, independientemente de su objeto: </w:t>
      </w:r>
    </w:p>
    <w:p w:rsidRPr="00541D6E" w:rsidR="00E80F98" w:rsidP="00E80F98" w:rsidRDefault="00E80F98" w14:paraId="6FC82BE7" w14:textId="77777777">
      <w:pPr>
        <w:pStyle w:val="NormalWeb"/>
        <w:spacing w:after="0"/>
        <w:jc w:val="both"/>
        <w:rPr>
          <w:rFonts w:ascii="Verdana" w:hAnsi="Verdana" w:cs="Arial"/>
          <w:color w:val="000000" w:themeColor="text1"/>
          <w:sz w:val="16"/>
          <w:szCs w:val="16"/>
        </w:rPr>
      </w:pPr>
      <w:r w:rsidRPr="00541D6E">
        <w:rPr>
          <w:rFonts w:ascii="Verdana" w:hAnsi="Verdana" w:cs="Arial"/>
          <w:color w:val="000000" w:themeColor="text1"/>
          <w:sz w:val="16"/>
          <w:szCs w:val="16"/>
        </w:rPr>
        <w:t>  </w:t>
      </w:r>
      <w:r w:rsidRPr="00541D6E">
        <w:rPr>
          <w:rFonts w:ascii="Verdana" w:hAnsi="Verdana" w:cs="Arial"/>
          <w:color w:val="000000" w:themeColor="text1"/>
          <w:sz w:val="16"/>
          <w:szCs w:val="16"/>
        </w:rPr>
        <w:tab/>
      </w:r>
      <w:r w:rsidRPr="00541D6E">
        <w:rPr>
          <w:rFonts w:ascii="Verdana" w:hAnsi="Verdana" w:cs="Arial"/>
          <w:color w:val="000000" w:themeColor="text1"/>
          <w:sz w:val="16"/>
          <w:szCs w:val="16"/>
        </w:rPr>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p w:rsidRPr="00541D6E" w:rsidR="00E80F98" w:rsidP="00E80F98" w:rsidRDefault="00E80F98" w14:paraId="6D494057" w14:textId="77777777">
      <w:pPr>
        <w:pStyle w:val="NormalWeb"/>
        <w:spacing w:after="0"/>
        <w:jc w:val="both"/>
        <w:rPr>
          <w:rFonts w:ascii="Verdana" w:hAnsi="Verdana" w:cs="Arial"/>
          <w:color w:val="000000" w:themeColor="text1"/>
          <w:sz w:val="16"/>
          <w:szCs w:val="16"/>
        </w:rPr>
      </w:pPr>
    </w:p>
  </w:footnote>
  <w:footnote w:id="6">
    <w:p w:rsidRPr="00541D6E" w:rsidR="00E80F98" w:rsidP="00E80F98" w:rsidRDefault="00E80F98" w14:paraId="2E363A86" w14:textId="77777777">
      <w:pPr>
        <w:pStyle w:val="Textonotapie"/>
        <w:ind w:firstLine="709"/>
        <w:jc w:val="both"/>
        <w:rPr>
          <w:rFonts w:ascii="Verdana" w:hAnsi="Verdana" w:cs="Arial"/>
          <w:color w:val="000000" w:themeColor="text1"/>
          <w:sz w:val="16"/>
          <w:szCs w:val="16"/>
        </w:rPr>
      </w:pPr>
      <w:r w:rsidRPr="00541D6E">
        <w:rPr>
          <w:rStyle w:val="Refdenotaalpie"/>
          <w:rFonts w:ascii="Verdana" w:hAnsi="Verdana" w:cs="Arial"/>
          <w:color w:val="000000" w:themeColor="text1"/>
          <w:sz w:val="16"/>
          <w:szCs w:val="16"/>
        </w:rPr>
        <w:footnoteRef/>
      </w:r>
      <w:r w:rsidRPr="00541D6E">
        <w:rPr>
          <w:rFonts w:ascii="Verdana" w:hAnsi="Verdana" w:cs="Arial"/>
          <w:color w:val="000000" w:themeColor="text1"/>
          <w:sz w:val="16"/>
          <w:szCs w:val="16"/>
        </w:rPr>
        <w:t xml:space="preserve"> Ley 80 de 1993 “</w:t>
      </w:r>
      <w:r w:rsidRPr="00541D6E">
        <w:rPr>
          <w:rStyle w:val="Textoennegrita"/>
          <w:rFonts w:ascii="Verdana" w:hAnsi="Verdana" w:cs="Arial"/>
          <w:color w:val="000000" w:themeColor="text1"/>
          <w:sz w:val="16"/>
          <w:szCs w:val="16"/>
        </w:rPr>
        <w:t>Artículo 77. De la normatividad aplicable en las actuaciones administrativas.</w:t>
      </w:r>
      <w:r w:rsidRPr="00541D6E">
        <w:rPr>
          <w:rFonts w:ascii="Verdana" w:hAnsi="Verdana" w:cs="Arial"/>
          <w:color w:val="000000" w:themeColor="text1"/>
          <w:sz w:val="16"/>
          <w:szCs w:val="16"/>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 </w:t>
      </w:r>
    </w:p>
  </w:footnote>
  <w:footnote w:id="7">
    <w:p w:rsidRPr="00541D6E" w:rsidR="00E80F98" w:rsidP="00E80F98" w:rsidRDefault="00E80F98" w14:paraId="716FF653" w14:textId="77777777">
      <w:pPr>
        <w:pStyle w:val="NormalWeb"/>
        <w:spacing w:after="0"/>
        <w:ind w:firstLine="709"/>
        <w:jc w:val="both"/>
        <w:rPr>
          <w:rFonts w:ascii="Verdana" w:hAnsi="Verdana" w:cs="Arial"/>
          <w:color w:val="000000" w:themeColor="text1"/>
          <w:sz w:val="16"/>
          <w:szCs w:val="16"/>
        </w:rPr>
      </w:pPr>
      <w:r w:rsidRPr="00541D6E">
        <w:rPr>
          <w:rStyle w:val="Refdenotaalpie"/>
          <w:rFonts w:ascii="Verdana" w:hAnsi="Verdana" w:cs="Arial"/>
          <w:color w:val="000000" w:themeColor="text1"/>
          <w:sz w:val="16"/>
          <w:szCs w:val="16"/>
        </w:rPr>
        <w:footnoteRef/>
      </w:r>
      <w:r w:rsidRPr="00541D6E">
        <w:rPr>
          <w:rFonts w:ascii="Verdana" w:hAnsi="Verdana" w:cs="Arial"/>
          <w:color w:val="000000" w:themeColor="text1"/>
          <w:sz w:val="16"/>
          <w:szCs w:val="16"/>
        </w:rPr>
        <w:t xml:space="preserve"> Ley 80 de 1993 “</w:t>
      </w:r>
      <w:r w:rsidRPr="00541D6E">
        <w:rPr>
          <w:rStyle w:val="Textoennegrita"/>
          <w:rFonts w:ascii="Verdana" w:hAnsi="Verdana" w:cs="Arial"/>
          <w:color w:val="000000" w:themeColor="text1"/>
          <w:sz w:val="16"/>
          <w:szCs w:val="16"/>
        </w:rPr>
        <w:t>Artículo 25. Del principio de economía.</w:t>
      </w:r>
      <w:r w:rsidRPr="00541D6E">
        <w:rPr>
          <w:rFonts w:ascii="Verdana" w:hAnsi="Verdana" w:cs="Arial"/>
          <w:color w:val="000000" w:themeColor="text1"/>
          <w:sz w:val="16"/>
          <w:szCs w:val="16"/>
        </w:rPr>
        <w:t> En virtud de este principio: </w:t>
      </w:r>
    </w:p>
    <w:p w:rsidRPr="00541D6E" w:rsidR="00E80F98" w:rsidP="00E80F98" w:rsidRDefault="00E80F98" w14:paraId="6F49D193" w14:textId="77777777">
      <w:pPr>
        <w:pStyle w:val="NormalWeb"/>
        <w:spacing w:after="0"/>
        <w:ind w:firstLine="709"/>
        <w:jc w:val="both"/>
        <w:rPr>
          <w:rFonts w:ascii="Verdana" w:hAnsi="Verdana" w:cs="Arial"/>
          <w:color w:val="000000" w:themeColor="text1"/>
          <w:sz w:val="16"/>
          <w:szCs w:val="16"/>
        </w:rPr>
      </w:pPr>
      <w:r w:rsidRPr="00541D6E">
        <w:rPr>
          <w:rFonts w:ascii="Verdana" w:hAnsi="Verdana" w:cs="Arial"/>
          <w:color w:val="000000" w:themeColor="text1"/>
          <w:sz w:val="16"/>
          <w:szCs w:val="16"/>
        </w:rPr>
        <w:t>[…]</w:t>
      </w:r>
    </w:p>
    <w:p w:rsidRPr="00541D6E" w:rsidR="00E80F98" w:rsidP="00E80F98" w:rsidRDefault="00E80F98" w14:paraId="7DF9E551" w14:textId="77777777">
      <w:pPr>
        <w:pStyle w:val="NormalWeb"/>
        <w:spacing w:after="0"/>
        <w:ind w:firstLine="709"/>
        <w:jc w:val="both"/>
        <w:rPr>
          <w:rFonts w:ascii="Verdana" w:hAnsi="Verdana" w:cs="Arial"/>
          <w:color w:val="000000" w:themeColor="text1"/>
          <w:sz w:val="16"/>
          <w:szCs w:val="16"/>
        </w:rPr>
      </w:pPr>
      <w:r w:rsidRPr="00541D6E">
        <w:rPr>
          <w:rFonts w:ascii="Verdana" w:hAnsi="Verdana" w:cs="Arial"/>
          <w:color w:val="000000" w:themeColor="text1"/>
          <w:sz w:val="16"/>
          <w:szCs w:val="16"/>
        </w:rPr>
        <w:t>“4o. Los trámites se adelantarán con austeridad de tiempo, medios y gastos y se impedirán las dilaciones y los retardos en la ejecución del contrato. </w:t>
      </w:r>
    </w:p>
    <w:p w:rsidRPr="00541D6E" w:rsidR="00E80F98" w:rsidP="00E80F98" w:rsidRDefault="00E80F98" w14:paraId="76DF4A6F" w14:textId="77777777">
      <w:pPr>
        <w:pStyle w:val="NormalWeb"/>
        <w:spacing w:after="0"/>
        <w:jc w:val="both"/>
        <w:rPr>
          <w:rFonts w:ascii="Verdana" w:hAnsi="Verdana" w:cs="Arial"/>
          <w:color w:val="000000" w:themeColor="text1"/>
          <w:sz w:val="16"/>
          <w:szCs w:val="16"/>
        </w:rPr>
      </w:pPr>
      <w:r w:rsidRPr="00541D6E">
        <w:rPr>
          <w:rFonts w:ascii="Verdana" w:hAnsi="Verdana" w:cs="Arial"/>
          <w:color w:val="000000" w:themeColor="text1"/>
          <w:sz w:val="16"/>
          <w:szCs w:val="16"/>
        </w:rPr>
        <w:t>  </w:t>
      </w:r>
      <w:r w:rsidRPr="00541D6E">
        <w:rPr>
          <w:rFonts w:ascii="Verdana" w:hAnsi="Verdana" w:cs="Arial"/>
          <w:color w:val="000000" w:themeColor="text1"/>
          <w:sz w:val="16"/>
          <w:szCs w:val="16"/>
        </w:rPr>
        <w:tab/>
      </w:r>
      <w:r w:rsidRPr="00541D6E">
        <w:rPr>
          <w:rFonts w:ascii="Verdana" w:hAnsi="Verdana" w:cs="Arial"/>
          <w:color w:val="000000" w:themeColor="text1"/>
          <w:sz w:val="16"/>
          <w:szCs w:val="16"/>
        </w:rPr>
        <w:t>“5o. Se adoptarán procedimientos que garanticen la pronta solución de las diferencias y controversias que con motivo de la celebración y ejecución del contrato se presenten […]”.</w:t>
      </w:r>
    </w:p>
  </w:footnote>
  <w:footnote w:id="8">
    <w:p w:rsidRPr="00541D6E" w:rsidR="00E80F98" w:rsidP="00E80F98" w:rsidRDefault="00E80F98" w14:paraId="6F3787D2" w14:textId="77777777">
      <w:pPr>
        <w:pStyle w:val="Textonotapie"/>
        <w:ind w:firstLine="708"/>
        <w:jc w:val="both"/>
        <w:rPr>
          <w:rFonts w:ascii="Verdana" w:hAnsi="Verdana" w:cs="Arial"/>
          <w:color w:val="000000" w:themeColor="text1"/>
          <w:sz w:val="16"/>
          <w:szCs w:val="16"/>
        </w:rPr>
      </w:pPr>
      <w:r w:rsidRPr="00541D6E">
        <w:rPr>
          <w:rStyle w:val="Refdenotaalpie"/>
          <w:rFonts w:ascii="Verdana" w:hAnsi="Verdana" w:cs="Arial"/>
          <w:color w:val="000000" w:themeColor="text1"/>
          <w:sz w:val="16"/>
          <w:szCs w:val="16"/>
        </w:rPr>
        <w:footnoteRef/>
      </w:r>
      <w:r w:rsidRPr="00541D6E">
        <w:rPr>
          <w:rFonts w:ascii="Verdana" w:hAnsi="Verdana" w:cs="Arial"/>
          <w:color w:val="000000" w:themeColor="text1"/>
          <w:sz w:val="16"/>
          <w:szCs w:val="16"/>
        </w:rPr>
        <w:t xml:space="preserve"> CONSEJO DE ESTADO. Sala de Consulta y Servicio Civil. Concepto de 28 de Junio de 2016. Radicación: 2253. C.P. Álvaro Namén Vargas. </w:t>
      </w:r>
    </w:p>
    <w:p w:rsidRPr="00D15703" w:rsidR="00E80F98" w:rsidP="00E80F98" w:rsidRDefault="00E80F98" w14:paraId="40627B1A" w14:textId="77777777">
      <w:pPr>
        <w:pStyle w:val="Textonotapie"/>
        <w:ind w:firstLine="708"/>
        <w:jc w:val="both"/>
        <w:rPr>
          <w:rFonts w:ascii="Arial" w:hAnsi="Arial"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60" style="width:10.8pt;height:10.8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07445982"/>
    <w:multiLevelType w:val="hybridMultilevel"/>
    <w:tmpl w:val="D5A0D24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19BC7074"/>
    <w:multiLevelType w:val="hybridMultilevel"/>
    <w:tmpl w:val="548E4D16"/>
    <w:lvl w:ilvl="0" w:tplc="2950546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2" w15:restartNumberingAfterBreak="0">
    <w:nsid w:val="4FDA11BD"/>
    <w:multiLevelType w:val="hybridMultilevel"/>
    <w:tmpl w:val="42BEF8B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3" w15:restartNumberingAfterBreak="0">
    <w:nsid w:val="5CB31985"/>
    <w:multiLevelType w:val="hybridMultilevel"/>
    <w:tmpl w:val="C0F4035C"/>
    <w:lvl w:ilvl="0" w:tplc="1B420D7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5" w15:restartNumberingAfterBreak="0">
    <w:nsid w:val="67BD047C"/>
    <w:multiLevelType w:val="hybridMultilevel"/>
    <w:tmpl w:val="900228A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7"/>
  </w:num>
  <w:num w:numId="8" w16cid:durableId="152644682">
    <w:abstractNumId w:val="17"/>
  </w:num>
  <w:num w:numId="9" w16cid:durableId="1317221377">
    <w:abstractNumId w:val="9"/>
  </w:num>
  <w:num w:numId="10" w16cid:durableId="1471245386">
    <w:abstractNumId w:val="16"/>
  </w:num>
  <w:num w:numId="11" w16cid:durableId="289172385">
    <w:abstractNumId w:val="10"/>
  </w:num>
  <w:num w:numId="12" w16cid:durableId="1470781324">
    <w:abstractNumId w:val="1"/>
  </w:num>
  <w:num w:numId="13" w16cid:durableId="1512908409">
    <w:abstractNumId w:val="5"/>
  </w:num>
  <w:num w:numId="14" w16cid:durableId="895897244">
    <w:abstractNumId w:val="19"/>
  </w:num>
  <w:num w:numId="15" w16cid:durableId="390349800">
    <w:abstractNumId w:val="14"/>
  </w:num>
  <w:num w:numId="16" w16cid:durableId="20281739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9089576">
    <w:abstractNumId w:val="11"/>
  </w:num>
  <w:num w:numId="18" w16cid:durableId="510485053">
    <w:abstractNumId w:val="4"/>
  </w:num>
  <w:num w:numId="19" w16cid:durableId="1321957370">
    <w:abstractNumId w:val="13"/>
  </w:num>
  <w:num w:numId="20" w16cid:durableId="354035714">
    <w:abstractNumId w:val="3"/>
  </w:num>
  <w:num w:numId="21" w16cid:durableId="2025521580">
    <w:abstractNumId w:val="12"/>
  </w:num>
  <w:num w:numId="22" w16cid:durableId="1838886980">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8686D"/>
    <w:rsid w:val="000A683E"/>
    <w:rsid w:val="000B19B9"/>
    <w:rsid w:val="000D0334"/>
    <w:rsid w:val="000F6486"/>
    <w:rsid w:val="00125105"/>
    <w:rsid w:val="00127233"/>
    <w:rsid w:val="001E4177"/>
    <w:rsid w:val="001F7DC6"/>
    <w:rsid w:val="002421BB"/>
    <w:rsid w:val="0025796E"/>
    <w:rsid w:val="002609E1"/>
    <w:rsid w:val="002707A2"/>
    <w:rsid w:val="002951A0"/>
    <w:rsid w:val="002962BC"/>
    <w:rsid w:val="002A093D"/>
    <w:rsid w:val="002A0DD0"/>
    <w:rsid w:val="002A49AC"/>
    <w:rsid w:val="002A64FD"/>
    <w:rsid w:val="002C7A84"/>
    <w:rsid w:val="002E4FD9"/>
    <w:rsid w:val="00304414"/>
    <w:rsid w:val="00322A85"/>
    <w:rsid w:val="00324168"/>
    <w:rsid w:val="003448F4"/>
    <w:rsid w:val="00374F5E"/>
    <w:rsid w:val="00377E3E"/>
    <w:rsid w:val="00381FEF"/>
    <w:rsid w:val="003A26D1"/>
    <w:rsid w:val="003A779E"/>
    <w:rsid w:val="003D0F4D"/>
    <w:rsid w:val="003D5B0D"/>
    <w:rsid w:val="003E0499"/>
    <w:rsid w:val="003F3941"/>
    <w:rsid w:val="00406575"/>
    <w:rsid w:val="0042722E"/>
    <w:rsid w:val="0044528D"/>
    <w:rsid w:val="004A1847"/>
    <w:rsid w:val="004A305D"/>
    <w:rsid w:val="004F21C4"/>
    <w:rsid w:val="004F685F"/>
    <w:rsid w:val="00541D6E"/>
    <w:rsid w:val="005566E8"/>
    <w:rsid w:val="00574867"/>
    <w:rsid w:val="00591460"/>
    <w:rsid w:val="00592628"/>
    <w:rsid w:val="005C3777"/>
    <w:rsid w:val="005C5CDC"/>
    <w:rsid w:val="005D476C"/>
    <w:rsid w:val="005D571F"/>
    <w:rsid w:val="00610812"/>
    <w:rsid w:val="006219F8"/>
    <w:rsid w:val="00650FF7"/>
    <w:rsid w:val="00665D70"/>
    <w:rsid w:val="00671DAC"/>
    <w:rsid w:val="006900D9"/>
    <w:rsid w:val="006D12F8"/>
    <w:rsid w:val="00706C16"/>
    <w:rsid w:val="0072412A"/>
    <w:rsid w:val="00756841"/>
    <w:rsid w:val="007649AB"/>
    <w:rsid w:val="00771D0C"/>
    <w:rsid w:val="007833AC"/>
    <w:rsid w:val="007B268C"/>
    <w:rsid w:val="007B7171"/>
    <w:rsid w:val="007C0C0F"/>
    <w:rsid w:val="007C3DC2"/>
    <w:rsid w:val="007E5497"/>
    <w:rsid w:val="00806F5F"/>
    <w:rsid w:val="00820278"/>
    <w:rsid w:val="008843B6"/>
    <w:rsid w:val="00891928"/>
    <w:rsid w:val="008A446D"/>
    <w:rsid w:val="008D13DA"/>
    <w:rsid w:val="008D180B"/>
    <w:rsid w:val="008F0EA7"/>
    <w:rsid w:val="00923EEF"/>
    <w:rsid w:val="009419F9"/>
    <w:rsid w:val="0095685E"/>
    <w:rsid w:val="00961B09"/>
    <w:rsid w:val="00965334"/>
    <w:rsid w:val="0097093E"/>
    <w:rsid w:val="009A0DFA"/>
    <w:rsid w:val="009B2D26"/>
    <w:rsid w:val="009C71FA"/>
    <w:rsid w:val="009C72E7"/>
    <w:rsid w:val="009D3058"/>
    <w:rsid w:val="009F3A13"/>
    <w:rsid w:val="00A04625"/>
    <w:rsid w:val="00A122D3"/>
    <w:rsid w:val="00A17F13"/>
    <w:rsid w:val="00A20739"/>
    <w:rsid w:val="00A33C78"/>
    <w:rsid w:val="00A62BC0"/>
    <w:rsid w:val="00AB0ADB"/>
    <w:rsid w:val="00B01B1A"/>
    <w:rsid w:val="00B72CD3"/>
    <w:rsid w:val="00B72FFF"/>
    <w:rsid w:val="00BC3D36"/>
    <w:rsid w:val="00BC6C87"/>
    <w:rsid w:val="00BD7F72"/>
    <w:rsid w:val="00C04FB3"/>
    <w:rsid w:val="00C330EB"/>
    <w:rsid w:val="00C71CDC"/>
    <w:rsid w:val="00C754BE"/>
    <w:rsid w:val="00C76B1C"/>
    <w:rsid w:val="00CB6357"/>
    <w:rsid w:val="00CC1B26"/>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0F98"/>
    <w:rsid w:val="00E83B93"/>
    <w:rsid w:val="00E8772A"/>
    <w:rsid w:val="00E90F6B"/>
    <w:rsid w:val="00E92C27"/>
    <w:rsid w:val="00EA0E3D"/>
    <w:rsid w:val="00EC38A7"/>
    <w:rsid w:val="00EE1AA8"/>
    <w:rsid w:val="00EF28CE"/>
    <w:rsid w:val="00EF6424"/>
    <w:rsid w:val="00F31EDC"/>
    <w:rsid w:val="00F462B3"/>
    <w:rsid w:val="00F5664F"/>
    <w:rsid w:val="00F666C4"/>
    <w:rsid w:val="00F76AFC"/>
    <w:rsid w:val="00FA47C0"/>
    <w:rsid w:val="00FB5DD1"/>
    <w:rsid w:val="00FC2B5D"/>
    <w:rsid w:val="00FF1449"/>
    <w:rsid w:val="5CEADB7B"/>
    <w:rsid w:val="7F41951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E80F98"/>
    <w:pPr>
      <w:spacing w:line="240" w:lineRule="exact"/>
    </w:pPr>
    <w:rPr>
      <w:vertAlign w:val="superscript"/>
    </w:rPr>
  </w:style>
  <w:style w:type="table" w:styleId="Tablaconcuadrcula1" w:customStyle="1">
    <w:name w:val="Tabla con cuadrícula1"/>
    <w:basedOn w:val="Tablanormal"/>
    <w:next w:val="Tablaconcuadrcula"/>
    <w:uiPriority w:val="39"/>
    <w:qFormat/>
    <w:rsid w:val="00E80F9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0F98"/>
    <w:rPr>
      <w:rFonts w:ascii="Geomanist Light" w:hAnsi="Geomanist Light"/>
      <w:lang w:val="es-ES"/>
    </w:rPr>
  </w:style>
  <w:style w:type="character" w:styleId="Textoennegrita">
    <w:name w:val="Strong"/>
    <w:basedOn w:val="Fuentedeprrafopredeter"/>
    <w:uiPriority w:val="22"/>
    <w:qFormat/>
    <w:rsid w:val="00E80F98"/>
    <w:rPr>
      <w:b/>
      <w:bCs/>
    </w:rPr>
  </w:style>
  <w:style w:type="character" w:styleId="nfasis">
    <w:name w:val="Emphasis"/>
    <w:basedOn w:val="Fuentedeprrafopredeter"/>
    <w:uiPriority w:val="20"/>
    <w:qFormat/>
    <w:rsid w:val="00E80F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61057691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relatoria.colombiacompra.gov.co/providencias-consejo-de-estado/"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controlinterno@mistrato-risaralda.gov.co" TargetMode="External" Id="rId12" /><Relationship Type="http://schemas.openxmlformats.org/officeDocument/2006/relationships/image" Target="media/image3.png" Id="rId17" /><Relationship Type="http://schemas.openxmlformats.org/officeDocument/2006/relationships/customXml" Target="../customXml/item2.xml" Id="rId2" /><Relationship Type="http://schemas.openxmlformats.org/officeDocument/2006/relationships/hyperlink" Target="https://nam02.safelinks.protection.outlook.com/?url=https%3A%2F%2Fwww.colombiacompra.gov.co%2Fsala-de-prensa%2Fboletin-digital%2Fboletin-de-relatoria-2024-iv&amp;data=05%7C02%7Cjuan.avendano%40colombiacompra.gov.co%7C616b83c3423e4d31151908dce489c00d%7C7b09041e245149d08cb179d5e3d8c1be%7C0%7C0%7C638636527541272440%7CUnknown%7CTWFpbGZsb3d8eyJWIjoiMC4wLjAwMDAiLCJQIjoiV2luMzIiLCJBTiI6Ik1haWwiLCJXVCI6Mn0%3D%7C0%7C%7C%7C&amp;sdata=VOv0vUywNxNx7YXgqlxhlII5V3j%2Ffeq3dcExMx1BZ1g%3D&amp;reserved=0"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olombiacompra.gov.co/manuales-guias-y-pliegos-tipo/manuales-y-guias"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9750EF1-95F2-4ACC-9BAB-ECDAE57A2DEF}">
  <ds:schemaRefs>
    <ds:schemaRef ds:uri="http://schemas.openxmlformats.org/officeDocument/2006/bibliography"/>
  </ds:schemaRefs>
</ds:datastoreItem>
</file>

<file path=customXml/itemProps2.xml><?xml version="1.0" encoding="utf-8"?>
<ds:datastoreItem xmlns:ds="http://schemas.openxmlformats.org/officeDocument/2006/customXml" ds:itemID="{8981359C-48EB-40C1-A0BB-E605AA73E4C9}"/>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Betty Elena Díaz Fernandez</lastModifiedBy>
  <revision>3</revision>
  <lastPrinted>2023-01-10T21:18:00.0000000Z</lastPrinted>
  <dcterms:created xsi:type="dcterms:W3CDTF">2024-10-23T20:11:00.0000000Z</dcterms:created>
  <dcterms:modified xsi:type="dcterms:W3CDTF">2024-10-28T00:50:02.4207262Z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