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77777777" w:rsidR="00DD5B04" w:rsidRPr="00222BE8" w:rsidRDefault="00DD5B04" w:rsidP="00DF76A2">
      <w:pPr>
        <w:jc w:val="both"/>
        <w:rPr>
          <w:rFonts w:ascii="Arial" w:eastAsia="Calibri" w:hAnsi="Arial" w:cs="Arial"/>
          <w:b/>
          <w:color w:val="000000" w:themeColor="text1"/>
          <w:sz w:val="20"/>
          <w:szCs w:val="20"/>
          <w:lang w:val="es-ES_tradnl"/>
        </w:rPr>
      </w:pPr>
      <w:bookmarkStart w:id="0" w:name="_Hlk28946138"/>
      <w:bookmarkStart w:id="1" w:name="_Hlk29548183"/>
    </w:p>
    <w:bookmarkEnd w:id="0"/>
    <w:bookmarkEnd w:id="1"/>
    <w:p w14:paraId="1BED658F" w14:textId="77777777" w:rsidR="00F02D25" w:rsidRPr="00222BE8" w:rsidRDefault="00F02D25" w:rsidP="00DF76A2">
      <w:pPr>
        <w:jc w:val="both"/>
        <w:rPr>
          <w:rFonts w:ascii="Arial" w:eastAsia="Calibri" w:hAnsi="Arial" w:cs="Arial"/>
          <w:b/>
          <w:bCs/>
          <w:color w:val="000000" w:themeColor="text1"/>
          <w:sz w:val="22"/>
          <w:lang w:val="es-ES_tradnl"/>
        </w:rPr>
      </w:pPr>
    </w:p>
    <w:p w14:paraId="7926A895" w14:textId="38D7F5AC" w:rsidR="00DD5B04" w:rsidRPr="00222BE8" w:rsidRDefault="00ED72E9" w:rsidP="00DF76A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FIDUCIA MERCANTIL</w:t>
      </w:r>
      <w:r w:rsidR="00DD5B04"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Concepto</w:t>
      </w:r>
      <w:r w:rsidR="0031088E" w:rsidRPr="00222BE8">
        <w:rPr>
          <w:rFonts w:ascii="Arial" w:eastAsia="Calibri" w:hAnsi="Arial" w:cs="Arial"/>
          <w:b/>
          <w:bCs/>
          <w:color w:val="000000" w:themeColor="text1"/>
          <w:sz w:val="22"/>
          <w:lang w:val="es-ES_tradnl"/>
        </w:rPr>
        <w:t xml:space="preserve"> ― </w:t>
      </w:r>
      <w:r w:rsidR="00400002">
        <w:rPr>
          <w:rFonts w:ascii="Arial" w:eastAsia="Calibri" w:hAnsi="Arial" w:cs="Arial"/>
          <w:b/>
          <w:bCs/>
          <w:color w:val="000000" w:themeColor="text1"/>
          <w:sz w:val="22"/>
          <w:lang w:val="es-ES_tradnl"/>
        </w:rPr>
        <w:t>Características</w:t>
      </w:r>
    </w:p>
    <w:p w14:paraId="5B1E4A7F" w14:textId="77777777" w:rsidR="00DD5B04" w:rsidRPr="00222BE8" w:rsidRDefault="00DD5B04" w:rsidP="00DF76A2">
      <w:pPr>
        <w:jc w:val="both"/>
        <w:rPr>
          <w:rFonts w:ascii="Arial" w:eastAsia="Calibri" w:hAnsi="Arial" w:cs="Arial"/>
          <w:b/>
          <w:bCs/>
          <w:color w:val="000000" w:themeColor="text1"/>
          <w:sz w:val="20"/>
          <w:szCs w:val="20"/>
          <w:lang w:val="es-ES_tradnl"/>
        </w:rPr>
      </w:pPr>
    </w:p>
    <w:p w14:paraId="66CAA1DD" w14:textId="5AD00787" w:rsidR="009D1A14" w:rsidRDefault="00400002" w:rsidP="00400002">
      <w:pPr>
        <w:tabs>
          <w:tab w:val="left" w:pos="709"/>
        </w:tabs>
        <w:jc w:val="both"/>
        <w:rPr>
          <w:rFonts w:ascii="Arial" w:hAnsi="Arial" w:cs="Arial"/>
          <w:color w:val="000000" w:themeColor="text1"/>
          <w:sz w:val="20"/>
          <w:szCs w:val="20"/>
          <w:lang w:val="es-ES_tradnl"/>
        </w:rPr>
      </w:pPr>
      <w:r w:rsidRPr="00400002">
        <w:rPr>
          <w:rFonts w:ascii="Arial" w:hAnsi="Arial" w:cs="Arial"/>
          <w:color w:val="000000" w:themeColor="text1"/>
          <w:sz w:val="20"/>
          <w:szCs w:val="20"/>
          <w:lang w:val="es-ES_tradnl"/>
        </w:rPr>
        <w:t>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ii) la transferencia de los bienes fideicomitidos</w:t>
      </w:r>
      <w:r>
        <w:rPr>
          <w:rFonts w:ascii="Arial" w:hAnsi="Arial" w:cs="Arial"/>
          <w:color w:val="000000" w:themeColor="text1"/>
          <w:sz w:val="20"/>
          <w:szCs w:val="20"/>
          <w:lang w:val="es-ES_tradnl"/>
        </w:rPr>
        <w:t>.</w:t>
      </w:r>
    </w:p>
    <w:p w14:paraId="6F737FF4" w14:textId="2063DC37" w:rsidR="00400002" w:rsidRDefault="00400002" w:rsidP="00DF76A2">
      <w:pPr>
        <w:tabs>
          <w:tab w:val="left" w:pos="709"/>
        </w:tabs>
        <w:spacing w:line="276" w:lineRule="auto"/>
        <w:jc w:val="both"/>
        <w:rPr>
          <w:rFonts w:ascii="Arial" w:eastAsia="Arial" w:hAnsi="Arial" w:cs="Arial"/>
          <w:sz w:val="20"/>
          <w:szCs w:val="20"/>
          <w:lang w:val="es-ES_tradnl"/>
        </w:rPr>
      </w:pPr>
    </w:p>
    <w:p w14:paraId="593124BA" w14:textId="5B3D1CCC" w:rsidR="00400002" w:rsidRPr="00222BE8" w:rsidRDefault="00400002" w:rsidP="0040000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FIDUCIA MERCANTIL</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Fiducia pública</w:t>
      </w:r>
      <w:r w:rsidRPr="00222BE8">
        <w:rPr>
          <w:rFonts w:ascii="Arial" w:eastAsia="Calibri" w:hAnsi="Arial" w:cs="Arial"/>
          <w:b/>
          <w:bCs/>
          <w:color w:val="000000" w:themeColor="text1"/>
          <w:sz w:val="22"/>
          <w:lang w:val="es-ES_tradnl"/>
        </w:rPr>
        <w:t xml:space="preserve"> ― </w:t>
      </w:r>
      <w:r w:rsidR="003E6E0B">
        <w:rPr>
          <w:rFonts w:ascii="Arial" w:eastAsia="Calibri" w:hAnsi="Arial" w:cs="Arial"/>
          <w:b/>
          <w:bCs/>
          <w:color w:val="000000" w:themeColor="text1"/>
          <w:sz w:val="22"/>
          <w:lang w:val="es-ES_tradnl"/>
        </w:rPr>
        <w:t xml:space="preserve">Patrimonio autónomo </w:t>
      </w:r>
      <w:r w:rsidR="003E6E0B" w:rsidRPr="00222BE8">
        <w:rPr>
          <w:rFonts w:ascii="Arial" w:eastAsia="Calibri" w:hAnsi="Arial" w:cs="Arial"/>
          <w:b/>
          <w:bCs/>
          <w:color w:val="000000" w:themeColor="text1"/>
          <w:sz w:val="22"/>
          <w:lang w:val="es-ES_tradnl"/>
        </w:rPr>
        <w:t>―</w:t>
      </w:r>
      <w:r w:rsidR="003E6E0B">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Diferencias</w:t>
      </w:r>
    </w:p>
    <w:p w14:paraId="3203DC8F" w14:textId="06F466BB" w:rsidR="00400002" w:rsidRPr="00400002" w:rsidRDefault="00400002" w:rsidP="00400002">
      <w:pPr>
        <w:tabs>
          <w:tab w:val="left" w:pos="709"/>
        </w:tabs>
        <w:jc w:val="both"/>
        <w:rPr>
          <w:rFonts w:ascii="Arial" w:hAnsi="Arial" w:cs="Arial"/>
          <w:color w:val="000000" w:themeColor="text1"/>
          <w:sz w:val="20"/>
          <w:szCs w:val="20"/>
          <w:lang w:val="es-ES_tradnl"/>
        </w:rPr>
      </w:pPr>
    </w:p>
    <w:p w14:paraId="017947DE" w14:textId="60B54B55" w:rsidR="00400002" w:rsidRPr="00400002" w:rsidRDefault="00400002" w:rsidP="00400002">
      <w:pPr>
        <w:tabs>
          <w:tab w:val="left" w:pos="709"/>
        </w:tabs>
        <w:jc w:val="both"/>
        <w:rPr>
          <w:rFonts w:ascii="Arial" w:hAnsi="Arial" w:cs="Arial"/>
          <w:color w:val="000000" w:themeColor="text1"/>
          <w:sz w:val="20"/>
          <w:szCs w:val="20"/>
          <w:lang w:val="es-ES_tradnl"/>
        </w:rPr>
      </w:pPr>
      <w:r w:rsidRPr="00400002">
        <w:rPr>
          <w:rFonts w:ascii="Arial" w:hAnsi="Arial" w:cs="Arial"/>
          <w:color w:val="000000" w:themeColor="text1"/>
          <w:sz w:val="20"/>
          <w:szCs w:val="20"/>
          <w:lang w:val="es-ES_tradnl"/>
        </w:rPr>
        <w:t>Dadas estas características particulares, 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oficial». Así lo consideró la Corte Constitucional, en la sentencia C-086 de 1995 –expedida con ponencia del Magistrado Vladimiro Naranjo Mesa–, al señalar que la Ley 80 de 1993 creó un contrato nuevo y autónomo al del Código de Comercio.</w:t>
      </w:r>
    </w:p>
    <w:p w14:paraId="6915B979" w14:textId="509025F0" w:rsidR="00400002" w:rsidRDefault="00400002" w:rsidP="00DF76A2">
      <w:pPr>
        <w:tabs>
          <w:tab w:val="left" w:pos="709"/>
        </w:tabs>
        <w:spacing w:line="276" w:lineRule="auto"/>
        <w:jc w:val="both"/>
        <w:rPr>
          <w:rFonts w:ascii="Arial" w:eastAsia="Arial" w:hAnsi="Arial" w:cs="Arial"/>
          <w:sz w:val="20"/>
          <w:szCs w:val="20"/>
          <w:lang w:val="es-ES_tradnl"/>
        </w:rPr>
      </w:pPr>
    </w:p>
    <w:p w14:paraId="025957B4" w14:textId="33A417EB" w:rsidR="00AB726C" w:rsidRPr="00222BE8" w:rsidRDefault="00AB726C" w:rsidP="00AB726C">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CONTRATO INTERADMINISTRATIVO</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Concepto</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 xml:space="preserve">Régimen </w:t>
      </w:r>
      <w:r w:rsidRPr="00222BE8">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Criterio orgánico</w:t>
      </w:r>
    </w:p>
    <w:p w14:paraId="450C4254" w14:textId="6EAD98BA" w:rsidR="00AB726C" w:rsidRDefault="00AB726C" w:rsidP="00DF76A2">
      <w:pPr>
        <w:tabs>
          <w:tab w:val="left" w:pos="709"/>
        </w:tabs>
        <w:spacing w:line="276" w:lineRule="auto"/>
        <w:jc w:val="both"/>
        <w:rPr>
          <w:rFonts w:ascii="Arial" w:eastAsia="Arial" w:hAnsi="Arial" w:cs="Arial"/>
          <w:sz w:val="20"/>
          <w:szCs w:val="20"/>
          <w:lang w:val="es-ES_tradnl"/>
        </w:rPr>
      </w:pPr>
    </w:p>
    <w:p w14:paraId="03F9F360" w14:textId="5E04AF64" w:rsidR="00AB726C" w:rsidRPr="00AB726C" w:rsidRDefault="00AB726C" w:rsidP="00534B59">
      <w:pPr>
        <w:tabs>
          <w:tab w:val="left" w:pos="709"/>
        </w:tabs>
        <w:spacing w:after="120"/>
        <w:jc w:val="both"/>
        <w:rPr>
          <w:rFonts w:ascii="Arial" w:hAnsi="Arial" w:cs="Arial"/>
          <w:color w:val="000000" w:themeColor="text1"/>
          <w:sz w:val="20"/>
          <w:szCs w:val="20"/>
          <w:lang w:val="es-ES_tradnl"/>
        </w:rPr>
      </w:pPr>
      <w:r w:rsidRPr="00AB726C">
        <w:rPr>
          <w:rFonts w:ascii="Arial" w:hAnsi="Arial" w:cs="Arial"/>
          <w:color w:val="000000" w:themeColor="text1"/>
          <w:sz w:val="20"/>
          <w:szCs w:val="20"/>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p>
    <w:p w14:paraId="14C8FB14" w14:textId="53289643" w:rsidR="00AB726C" w:rsidRDefault="00AB726C" w:rsidP="00AB726C">
      <w:pPr>
        <w:tabs>
          <w:tab w:val="left" w:pos="709"/>
        </w:tabs>
        <w:jc w:val="both"/>
        <w:rPr>
          <w:rFonts w:ascii="Arial" w:hAnsi="Arial" w:cs="Arial"/>
          <w:color w:val="000000" w:themeColor="text1"/>
          <w:sz w:val="20"/>
          <w:szCs w:val="20"/>
          <w:lang w:val="es-ES_tradnl"/>
        </w:rPr>
      </w:pPr>
      <w:r w:rsidRPr="00AB726C">
        <w:rPr>
          <w:rFonts w:ascii="Arial" w:hAnsi="Arial" w:cs="Arial"/>
          <w:color w:val="000000" w:themeColor="text1"/>
          <w:sz w:val="20"/>
          <w:szCs w:val="20"/>
          <w:lang w:val="es-ES_tradnl"/>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71971EA" w14:textId="0633F53A" w:rsidR="00AF6CA6" w:rsidRDefault="00AF6CA6" w:rsidP="00AB726C">
      <w:pPr>
        <w:tabs>
          <w:tab w:val="left" w:pos="709"/>
        </w:tabs>
        <w:jc w:val="both"/>
        <w:rPr>
          <w:rFonts w:ascii="Arial" w:hAnsi="Arial" w:cs="Arial"/>
          <w:color w:val="000000" w:themeColor="text1"/>
          <w:sz w:val="20"/>
          <w:szCs w:val="20"/>
          <w:lang w:val="es-ES_tradnl"/>
        </w:rPr>
      </w:pPr>
    </w:p>
    <w:p w14:paraId="26E3E115" w14:textId="12E6F47A" w:rsidR="00AF6CA6" w:rsidRPr="00222BE8" w:rsidRDefault="00AF6CA6" w:rsidP="00AF6CA6">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REGÍMENES ESPECIALES</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Contratación estatal</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 xml:space="preserve">Derecho privado </w:t>
      </w:r>
      <w:r w:rsidRPr="00222BE8">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Principios de </w:t>
      </w:r>
      <w:r w:rsidR="00C009A0">
        <w:rPr>
          <w:rFonts w:ascii="Arial" w:eastAsia="Calibri" w:hAnsi="Arial" w:cs="Arial"/>
          <w:b/>
          <w:bCs/>
          <w:color w:val="000000" w:themeColor="text1"/>
          <w:sz w:val="22"/>
          <w:lang w:val="es-ES_tradnl"/>
        </w:rPr>
        <w:t>d</w:t>
      </w:r>
      <w:r>
        <w:rPr>
          <w:rFonts w:ascii="Arial" w:eastAsia="Calibri" w:hAnsi="Arial" w:cs="Arial"/>
          <w:b/>
          <w:bCs/>
          <w:color w:val="000000" w:themeColor="text1"/>
          <w:sz w:val="22"/>
          <w:lang w:val="es-ES_tradnl"/>
        </w:rPr>
        <w:t>erecho administrativo</w:t>
      </w:r>
    </w:p>
    <w:p w14:paraId="12537609" w14:textId="3AAE075F" w:rsidR="00AF6CA6" w:rsidRDefault="00AF6CA6" w:rsidP="00AB726C">
      <w:pPr>
        <w:tabs>
          <w:tab w:val="left" w:pos="709"/>
        </w:tabs>
        <w:jc w:val="both"/>
        <w:rPr>
          <w:rFonts w:ascii="Arial" w:hAnsi="Arial" w:cs="Arial"/>
          <w:color w:val="000000" w:themeColor="text1"/>
          <w:sz w:val="20"/>
          <w:szCs w:val="20"/>
          <w:lang w:val="es-ES_tradnl"/>
        </w:rPr>
      </w:pPr>
    </w:p>
    <w:p w14:paraId="3FDB8D2E" w14:textId="15247803" w:rsidR="00AF6CA6" w:rsidRDefault="00AF6CA6" w:rsidP="00AF6CA6">
      <w:pPr>
        <w:tabs>
          <w:tab w:val="left" w:pos="709"/>
        </w:tabs>
        <w:jc w:val="both"/>
        <w:rPr>
          <w:rFonts w:ascii="Arial" w:hAnsi="Arial" w:cs="Arial"/>
          <w:color w:val="000000" w:themeColor="text1"/>
          <w:sz w:val="20"/>
          <w:szCs w:val="20"/>
          <w:lang w:val="es-ES_tradnl"/>
        </w:rPr>
      </w:pPr>
      <w:r w:rsidRPr="00AF6CA6">
        <w:rPr>
          <w:rFonts w:ascii="Arial"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178DBADE" w14:textId="66C79AA7" w:rsidR="00AF6CA6" w:rsidRDefault="00AF6CA6" w:rsidP="00534B59">
      <w:pPr>
        <w:tabs>
          <w:tab w:val="left" w:pos="709"/>
        </w:tabs>
        <w:spacing w:after="120"/>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241C0902" w14:textId="399AE096" w:rsidR="009116CE" w:rsidRPr="009116CE" w:rsidRDefault="009116CE" w:rsidP="009116CE">
      <w:pPr>
        <w:tabs>
          <w:tab w:val="left" w:pos="709"/>
        </w:tabs>
        <w:jc w:val="both"/>
        <w:rPr>
          <w:rFonts w:ascii="Arial" w:hAnsi="Arial" w:cs="Arial"/>
          <w:color w:val="000000" w:themeColor="text1"/>
          <w:sz w:val="20"/>
          <w:szCs w:val="20"/>
          <w:lang w:val="es-ES_tradnl"/>
        </w:rPr>
      </w:pPr>
      <w:r w:rsidRPr="009116CE">
        <w:rPr>
          <w:rFonts w:ascii="Arial" w:hAnsi="Arial" w:cs="Arial"/>
          <w:color w:val="000000" w:themeColor="text1"/>
          <w:sz w:val="20"/>
          <w:szCs w:val="20"/>
          <w:lang w:val="es-ES_tradnl"/>
        </w:rPr>
        <w:t xml:space="preserve">No obstante, las entidades de régimen especial deben satisfacer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w:t>
      </w:r>
    </w:p>
    <w:p w14:paraId="1284D79B" w14:textId="6410F8B3" w:rsidR="00AF6CA6" w:rsidRDefault="00AF6CA6" w:rsidP="00AF6CA6">
      <w:pPr>
        <w:tabs>
          <w:tab w:val="left" w:pos="709"/>
        </w:tabs>
        <w:jc w:val="both"/>
        <w:rPr>
          <w:rFonts w:ascii="Arial" w:hAnsi="Arial" w:cs="Arial"/>
          <w:color w:val="000000" w:themeColor="text1"/>
          <w:sz w:val="20"/>
          <w:szCs w:val="20"/>
          <w:lang w:val="es-ES_tradnl"/>
        </w:rPr>
      </w:pPr>
    </w:p>
    <w:p w14:paraId="006FBD73" w14:textId="67650004" w:rsidR="009116CE" w:rsidRPr="00222BE8" w:rsidRDefault="009116CE" w:rsidP="009116CE">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MANUALES DE CONTRATACIÓN</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Reglamentos</w:t>
      </w:r>
      <w:r w:rsidRPr="00222BE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 xml:space="preserve">Límites </w:t>
      </w:r>
      <w:r w:rsidRPr="00222BE8">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Reserva de ley</w:t>
      </w:r>
    </w:p>
    <w:p w14:paraId="43E1C031" w14:textId="77777777" w:rsidR="009116CE" w:rsidRPr="009116CE" w:rsidRDefault="009116CE" w:rsidP="00534B59">
      <w:pPr>
        <w:spacing w:after="120"/>
        <w:jc w:val="both"/>
        <w:rPr>
          <w:rFonts w:ascii="Arial" w:eastAsia="Calibri" w:hAnsi="Arial" w:cs="Arial"/>
          <w:color w:val="000000" w:themeColor="text1"/>
          <w:sz w:val="20"/>
          <w:szCs w:val="20"/>
          <w:lang w:val="es-ES_tradnl"/>
        </w:rPr>
      </w:pPr>
      <w:r w:rsidRPr="009116CE">
        <w:rPr>
          <w:rFonts w:ascii="Arial" w:eastAsia="Calibri" w:hAnsi="Arial" w:cs="Arial"/>
          <w:color w:val="000000" w:themeColor="text1"/>
          <w:sz w:val="20"/>
          <w:szCs w:val="20"/>
          <w:lang w:val="es-ES_tradnl"/>
        </w:rPr>
        <w:lastRenderedPageBreak/>
        <w:t xml:space="preserve">Según se indicó anteriormente, las entidades estatales que, por disposición legal, cuentan con un régimen especial, exceptuado del Estatuto General de Contratación de la Administración Pública –Leyes 80 de 1993, 1150 de 2007 y normas complementarias– pueden expedir un reglamento interno de contratación – comúnmente denominado </w:t>
      </w:r>
      <w:r w:rsidRPr="009116CE">
        <w:rPr>
          <w:rFonts w:ascii="Arial" w:eastAsia="Calibri" w:hAnsi="Arial" w:cs="Arial"/>
          <w:i/>
          <w:color w:val="000000" w:themeColor="text1"/>
          <w:sz w:val="20"/>
          <w:szCs w:val="20"/>
          <w:lang w:val="es-ES_tradnl"/>
        </w:rPr>
        <w:t>manual de contratación</w:t>
      </w:r>
      <w:r w:rsidRPr="009116CE">
        <w:rPr>
          <w:rFonts w:ascii="Arial" w:eastAsia="Calibri" w:hAnsi="Arial" w:cs="Arial"/>
          <w:color w:val="000000" w:themeColor="text1"/>
          <w:sz w:val="20"/>
          <w:szCs w:val="20"/>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13D294A2" w14:textId="00564D99" w:rsidR="009116CE" w:rsidRPr="009116CE" w:rsidRDefault="009116CE" w:rsidP="009116CE">
      <w:pPr>
        <w:jc w:val="both"/>
        <w:rPr>
          <w:rFonts w:ascii="Arial" w:eastAsia="Calibri" w:hAnsi="Arial" w:cs="Arial"/>
          <w:color w:val="000000" w:themeColor="text1"/>
          <w:sz w:val="20"/>
          <w:szCs w:val="20"/>
          <w:lang w:val="es-ES_tradnl"/>
        </w:rPr>
      </w:pPr>
      <w:r w:rsidRPr="009116CE">
        <w:rPr>
          <w:rFonts w:ascii="Arial" w:eastAsia="Calibri" w:hAnsi="Arial" w:cs="Arial"/>
          <w:color w:val="000000" w:themeColor="text1"/>
          <w:sz w:val="20"/>
          <w:szCs w:val="20"/>
          <w:lang w:val="es-ES_tradnl"/>
        </w:rPr>
        <w:t>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y procedimientos para su imposición, iii) causales de inhabilidad e incompatibilidad, iv) el principio de anualidad del gasto, y v)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11D42DD3" w14:textId="77777777" w:rsidR="00AB726C" w:rsidRPr="00222BE8" w:rsidRDefault="00AB726C" w:rsidP="00AB726C">
      <w:pPr>
        <w:tabs>
          <w:tab w:val="left" w:pos="709"/>
        </w:tabs>
        <w:jc w:val="both"/>
        <w:rPr>
          <w:rFonts w:ascii="Arial" w:eastAsia="Arial" w:hAnsi="Arial" w:cs="Arial"/>
          <w:sz w:val="20"/>
          <w:szCs w:val="20"/>
          <w:lang w:val="es-ES_tradnl"/>
        </w:rPr>
      </w:pPr>
    </w:p>
    <w:p w14:paraId="4E5C1D62" w14:textId="280F408F" w:rsidR="00DD5B04" w:rsidRPr="00222BE8" w:rsidRDefault="00DD5B04" w:rsidP="00DF76A2">
      <w:pPr>
        <w:spacing w:line="276" w:lineRule="auto"/>
        <w:jc w:val="both"/>
        <w:rPr>
          <w:rFonts w:ascii="Arial" w:eastAsia="Calibri" w:hAnsi="Arial" w:cs="Arial"/>
          <w:noProof/>
          <w:color w:val="000000" w:themeColor="text1"/>
          <w:sz w:val="20"/>
          <w:lang w:val="es-ES_tradnl"/>
        </w:rPr>
      </w:pPr>
      <w:r w:rsidRPr="00222BE8">
        <w:rPr>
          <w:rFonts w:ascii="Arial" w:hAnsi="Arial" w:cs="Arial"/>
          <w:noProof/>
          <w:color w:val="000000" w:themeColor="text1"/>
          <w:sz w:val="22"/>
          <w:lang w:val="es-ES_tradnl"/>
        </w:rPr>
        <w:t xml:space="preserve">Bogotá D.C., </w:t>
      </w:r>
      <w:r w:rsidR="00EC366D">
        <w:rPr>
          <w:rFonts w:ascii="Arial" w:hAnsi="Arial" w:cs="Arial"/>
          <w:b/>
          <w:noProof/>
          <w:color w:val="000000" w:themeColor="text1"/>
          <w:sz w:val="22"/>
          <w:lang w:val="es-ES_tradnl"/>
        </w:rPr>
        <w:t>21/09/2020</w:t>
      </w:r>
    </w:p>
    <w:p w14:paraId="3EE008C6" w14:textId="577F7BA4" w:rsidR="00DD5B04" w:rsidRPr="00222BE8" w:rsidRDefault="00DD5B04" w:rsidP="002A1A58">
      <w:pPr>
        <w:spacing w:line="276" w:lineRule="auto"/>
        <w:jc w:val="right"/>
        <w:rPr>
          <w:rFonts w:ascii="Arial" w:hAnsi="Arial" w:cs="Arial"/>
          <w:b/>
          <w:noProof/>
          <w:color w:val="000000" w:themeColor="text1"/>
          <w:sz w:val="22"/>
          <w:lang w:val="es-ES_tradnl"/>
        </w:rPr>
      </w:pPr>
      <w:r w:rsidRPr="00222BE8">
        <w:rPr>
          <w:rFonts w:ascii="Arial" w:hAnsi="Arial" w:cs="Arial"/>
          <w:b/>
          <w:noProof/>
          <w:color w:val="000000" w:themeColor="text1"/>
          <w:sz w:val="22"/>
          <w:lang w:val="es-ES_tradnl"/>
        </w:rPr>
        <w:t xml:space="preserve">N° Radicado: </w:t>
      </w:r>
      <w:r w:rsidR="003D15D0">
        <w:rPr>
          <w:rFonts w:ascii="Arial" w:hAnsi="Arial" w:cs="Arial"/>
          <w:b/>
          <w:noProof/>
          <w:color w:val="000000" w:themeColor="text1"/>
          <w:sz w:val="22"/>
          <w:lang w:val="es-ES_tradnl"/>
        </w:rPr>
        <w:t>22</w:t>
      </w:r>
      <w:r w:rsidR="00856A01">
        <w:rPr>
          <w:rFonts w:ascii="Arial" w:hAnsi="Arial" w:cs="Arial"/>
          <w:b/>
          <w:noProof/>
          <w:color w:val="000000" w:themeColor="text1"/>
          <w:sz w:val="22"/>
          <w:lang w:val="es-ES_tradnl"/>
        </w:rPr>
        <w:t>02013000009068</w:t>
      </w:r>
    </w:p>
    <w:p w14:paraId="33BD7B68" w14:textId="77777777" w:rsidR="00DD5B04" w:rsidRPr="00222BE8" w:rsidRDefault="00DD5B04" w:rsidP="00DF76A2">
      <w:pPr>
        <w:jc w:val="both"/>
        <w:rPr>
          <w:rFonts w:ascii="Arial" w:hAnsi="Arial" w:cs="Arial"/>
          <w:b/>
          <w:color w:val="000000" w:themeColor="text1"/>
          <w:sz w:val="22"/>
          <w:lang w:val="es-ES_tradnl"/>
        </w:rPr>
      </w:pPr>
    </w:p>
    <w:p w14:paraId="073418B4" w14:textId="19909555" w:rsidR="00DD5B04" w:rsidRPr="00222BE8" w:rsidRDefault="00DD5B04" w:rsidP="00DF76A2">
      <w:pPr>
        <w:jc w:val="both"/>
        <w:rPr>
          <w:rFonts w:ascii="Arial" w:eastAsia="Calibri" w:hAnsi="Arial" w:cs="Arial"/>
          <w:color w:val="000000" w:themeColor="text1"/>
          <w:sz w:val="22"/>
          <w:lang w:val="es-ES_tradnl"/>
        </w:rPr>
      </w:pPr>
    </w:p>
    <w:p w14:paraId="5ABDB039" w14:textId="77777777" w:rsidR="00F02D25" w:rsidRPr="00222BE8" w:rsidRDefault="00F02D25" w:rsidP="00DF76A2">
      <w:pPr>
        <w:jc w:val="both"/>
        <w:rPr>
          <w:rFonts w:ascii="Arial" w:eastAsia="Calibri" w:hAnsi="Arial" w:cs="Arial"/>
          <w:color w:val="000000" w:themeColor="text1"/>
          <w:sz w:val="22"/>
          <w:lang w:val="es-ES_tradnl"/>
        </w:rPr>
      </w:pPr>
    </w:p>
    <w:p w14:paraId="74A475A6" w14:textId="0A20C22B"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Señor</w:t>
      </w:r>
    </w:p>
    <w:p w14:paraId="6011130B" w14:textId="40A70B79" w:rsidR="00AE1990" w:rsidRPr="00222BE8" w:rsidRDefault="00F40992" w:rsidP="00DF76A2">
      <w:pPr>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Camilo Enrique Álvarez Hernández</w:t>
      </w:r>
    </w:p>
    <w:p w14:paraId="5E9E4CD6" w14:textId="4F1126FA"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Ciudad</w:t>
      </w:r>
    </w:p>
    <w:p w14:paraId="79F69118" w14:textId="77777777" w:rsidR="00DD5B04" w:rsidRPr="00222BE8" w:rsidRDefault="00DD5B04" w:rsidP="00DF76A2">
      <w:pPr>
        <w:jc w:val="both"/>
        <w:rPr>
          <w:rFonts w:ascii="Arial" w:eastAsia="Calibri" w:hAnsi="Arial" w:cs="Arial"/>
          <w:color w:val="000000" w:themeColor="text1"/>
          <w:sz w:val="22"/>
          <w:lang w:val="es-ES_tradnl"/>
        </w:rPr>
      </w:pPr>
    </w:p>
    <w:p w14:paraId="03294061" w14:textId="77777777" w:rsidR="00DD5B04" w:rsidRPr="00222BE8" w:rsidRDefault="00DD5B04" w:rsidP="00DF76A2">
      <w:pPr>
        <w:jc w:val="both"/>
        <w:rPr>
          <w:rFonts w:ascii="Arial" w:eastAsia="Calibri" w:hAnsi="Arial" w:cs="Arial"/>
          <w:color w:val="000000" w:themeColor="text1"/>
          <w:sz w:val="22"/>
          <w:lang w:val="es-ES_tradnl"/>
        </w:rPr>
      </w:pPr>
    </w:p>
    <w:p w14:paraId="60978A0D" w14:textId="294F1917" w:rsidR="00DD5B04" w:rsidRPr="00222BE8" w:rsidRDefault="00DD5B04" w:rsidP="002A1A58">
      <w:pPr>
        <w:jc w:val="center"/>
        <w:rPr>
          <w:rFonts w:ascii="Arial" w:eastAsia="Calibri" w:hAnsi="Arial" w:cs="Arial"/>
          <w:b/>
          <w:bCs/>
          <w:color w:val="000000" w:themeColor="text1"/>
          <w:sz w:val="22"/>
          <w:lang w:val="es-ES_tradnl"/>
        </w:rPr>
      </w:pPr>
      <w:r w:rsidRPr="00222BE8">
        <w:rPr>
          <w:rFonts w:ascii="Arial" w:eastAsia="Calibri" w:hAnsi="Arial" w:cs="Arial"/>
          <w:b/>
          <w:bCs/>
          <w:color w:val="000000" w:themeColor="text1"/>
          <w:sz w:val="22"/>
          <w:lang w:val="es-ES_tradnl"/>
        </w:rPr>
        <w:t>Concepto C</w:t>
      </w:r>
      <w:r w:rsidR="00FE144E" w:rsidRPr="00222BE8">
        <w:rPr>
          <w:rFonts w:ascii="Arial" w:eastAsia="Calibri" w:hAnsi="Arial" w:cs="Arial"/>
          <w:b/>
          <w:bCs/>
          <w:color w:val="000000" w:themeColor="text1"/>
          <w:sz w:val="22"/>
          <w:lang w:val="es-ES_tradnl"/>
        </w:rPr>
        <w:t xml:space="preserve"> </w:t>
      </w:r>
      <w:r w:rsidRPr="00222BE8">
        <w:rPr>
          <w:rFonts w:ascii="Arial" w:eastAsia="Calibri" w:hAnsi="Arial" w:cs="Arial"/>
          <w:b/>
          <w:bCs/>
          <w:color w:val="000000" w:themeColor="text1"/>
          <w:sz w:val="22"/>
          <w:lang w:val="es-ES_tradnl"/>
        </w:rPr>
        <w:t xml:space="preserve">‒ </w:t>
      </w:r>
      <w:r w:rsidR="00AE1990" w:rsidRPr="00222BE8">
        <w:rPr>
          <w:rFonts w:ascii="Arial" w:eastAsia="Calibri" w:hAnsi="Arial" w:cs="Arial"/>
          <w:b/>
          <w:bCs/>
          <w:color w:val="000000" w:themeColor="text1"/>
          <w:sz w:val="22"/>
          <w:lang w:val="es-ES_tradnl"/>
        </w:rPr>
        <w:t>5</w:t>
      </w:r>
      <w:r w:rsidR="00AE7686" w:rsidRPr="00222BE8">
        <w:rPr>
          <w:rFonts w:ascii="Arial" w:eastAsia="Calibri" w:hAnsi="Arial" w:cs="Arial"/>
          <w:b/>
          <w:bCs/>
          <w:color w:val="000000" w:themeColor="text1"/>
          <w:sz w:val="22"/>
          <w:lang w:val="es-ES_tradnl"/>
        </w:rPr>
        <w:t>81</w:t>
      </w:r>
      <w:r w:rsidR="00B52697" w:rsidRPr="00222BE8">
        <w:rPr>
          <w:rFonts w:ascii="Arial" w:eastAsia="Calibri" w:hAnsi="Arial" w:cs="Arial"/>
          <w:b/>
          <w:bCs/>
          <w:color w:val="000000" w:themeColor="text1"/>
          <w:sz w:val="22"/>
          <w:lang w:val="es-ES_tradnl"/>
        </w:rPr>
        <w:t xml:space="preserve"> </w:t>
      </w:r>
      <w:r w:rsidRPr="00222BE8">
        <w:rPr>
          <w:rFonts w:ascii="Arial" w:eastAsia="Calibri" w:hAnsi="Arial" w:cs="Arial"/>
          <w:b/>
          <w:bCs/>
          <w:color w:val="000000" w:themeColor="text1"/>
          <w:sz w:val="22"/>
          <w:lang w:val="es-ES_tradnl"/>
        </w:rPr>
        <w:t>de 2020</w:t>
      </w:r>
    </w:p>
    <w:p w14:paraId="3097F323" w14:textId="3A1E6C73" w:rsidR="00DD5B04" w:rsidRPr="00222BE8" w:rsidRDefault="00DD5B04" w:rsidP="00DF76A2">
      <w:pPr>
        <w:jc w:val="both"/>
        <w:rPr>
          <w:rFonts w:ascii="Arial" w:eastAsia="Calibri" w:hAnsi="Arial" w:cs="Arial"/>
          <w:color w:val="000000" w:themeColor="text1"/>
          <w:sz w:val="22"/>
          <w:lang w:val="es-ES_tradnl"/>
        </w:rPr>
      </w:pPr>
    </w:p>
    <w:p w14:paraId="3C334747" w14:textId="77777777" w:rsidR="00F02D25" w:rsidRPr="00222BE8" w:rsidRDefault="00F02D25" w:rsidP="00DF76A2">
      <w:pPr>
        <w:jc w:val="both"/>
        <w:rPr>
          <w:rFonts w:ascii="Arial" w:eastAsia="Calibri" w:hAnsi="Arial" w:cs="Arial"/>
          <w:color w:val="000000" w:themeColor="text1"/>
          <w:sz w:val="22"/>
          <w:lang w:val="es-ES_tradnl"/>
        </w:rPr>
      </w:pPr>
    </w:p>
    <w:p w14:paraId="50574B19" w14:textId="77777777" w:rsidR="00DD5B04" w:rsidRPr="00222BE8" w:rsidRDefault="00DD5B04" w:rsidP="00DF76A2">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222BE8" w14:paraId="10318206" w14:textId="77777777" w:rsidTr="00083F1B">
        <w:tc>
          <w:tcPr>
            <w:tcW w:w="2689" w:type="dxa"/>
          </w:tcPr>
          <w:p w14:paraId="3FE8DF90" w14:textId="77777777"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b/>
                <w:color w:val="000000" w:themeColor="text1"/>
                <w:sz w:val="22"/>
                <w:lang w:val="es-ES_tradnl"/>
              </w:rPr>
              <w:t>Temas:</w:t>
            </w:r>
            <w:r w:rsidRPr="00222BE8">
              <w:rPr>
                <w:rFonts w:ascii="Arial" w:eastAsia="Calibri" w:hAnsi="Arial" w:cs="Arial"/>
                <w:color w:val="000000" w:themeColor="text1"/>
                <w:sz w:val="22"/>
                <w:lang w:val="es-ES_tradnl"/>
              </w:rPr>
              <w:t xml:space="preserve">                                      </w:t>
            </w:r>
          </w:p>
        </w:tc>
        <w:tc>
          <w:tcPr>
            <w:tcW w:w="6237" w:type="dxa"/>
          </w:tcPr>
          <w:p w14:paraId="63D57D37" w14:textId="618479F4" w:rsidR="00DD5B04" w:rsidRPr="00222BE8" w:rsidRDefault="001E780A" w:rsidP="00DF76A2">
            <w:pPr>
              <w:jc w:val="both"/>
              <w:rPr>
                <w:rFonts w:ascii="Arial" w:eastAsia="Calibri" w:hAnsi="Arial" w:cs="Arial"/>
                <w:color w:val="000000" w:themeColor="text1"/>
                <w:sz w:val="22"/>
                <w:lang w:val="es-ES_tradnl"/>
              </w:rPr>
            </w:pPr>
            <w:r w:rsidRPr="001E780A">
              <w:rPr>
                <w:rFonts w:ascii="Arial" w:eastAsia="Calibri" w:hAnsi="Arial" w:cs="Arial"/>
                <w:color w:val="000000" w:themeColor="text1"/>
                <w:sz w:val="22"/>
                <w:lang w:val="es-ES_tradnl"/>
              </w:rPr>
              <w:t>FIDUCIA MERCANTIL ― Concepto ― Características</w:t>
            </w:r>
            <w:r w:rsidR="00787F5E" w:rsidRPr="00222BE8">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 </w:t>
            </w:r>
            <w:r w:rsidRPr="001E780A">
              <w:rPr>
                <w:rFonts w:ascii="Arial" w:eastAsia="Calibri" w:hAnsi="Arial" w:cs="Arial"/>
                <w:color w:val="000000" w:themeColor="text1"/>
                <w:sz w:val="22"/>
                <w:lang w:val="es-ES_tradnl"/>
              </w:rPr>
              <w:t>FIDUCIA MERCANTIL ― Fiducia pública ― Patrimonio autónomo</w:t>
            </w:r>
            <w:r>
              <w:rPr>
                <w:rFonts w:ascii="Arial" w:eastAsia="Calibri" w:hAnsi="Arial" w:cs="Arial"/>
                <w:color w:val="000000" w:themeColor="text1"/>
                <w:sz w:val="22"/>
                <w:lang w:val="es-ES_tradnl"/>
              </w:rPr>
              <w:t xml:space="preserve"> </w:t>
            </w:r>
            <w:r w:rsidRPr="001E780A">
              <w:rPr>
                <w:rFonts w:ascii="Arial" w:eastAsia="Calibri" w:hAnsi="Arial" w:cs="Arial"/>
                <w:color w:val="000000" w:themeColor="text1"/>
                <w:sz w:val="22"/>
                <w:lang w:val="es-ES_tradnl"/>
              </w:rPr>
              <w:t>―</w:t>
            </w:r>
            <w:r w:rsidR="00145282">
              <w:rPr>
                <w:rFonts w:ascii="Arial" w:eastAsia="Calibri" w:hAnsi="Arial" w:cs="Arial"/>
                <w:color w:val="000000" w:themeColor="text1"/>
                <w:sz w:val="22"/>
                <w:lang w:val="es-ES_tradnl"/>
              </w:rPr>
              <w:t xml:space="preserve"> </w:t>
            </w:r>
            <w:r w:rsidRPr="001E780A">
              <w:rPr>
                <w:rFonts w:ascii="Arial" w:eastAsia="Calibri" w:hAnsi="Arial" w:cs="Arial"/>
                <w:color w:val="000000" w:themeColor="text1"/>
                <w:sz w:val="22"/>
                <w:lang w:val="es-ES_tradnl"/>
              </w:rPr>
              <w:t>Diferencias</w:t>
            </w:r>
            <w:r>
              <w:rPr>
                <w:rFonts w:ascii="Arial" w:eastAsia="Calibri" w:hAnsi="Arial" w:cs="Arial"/>
                <w:color w:val="000000" w:themeColor="text1"/>
                <w:sz w:val="22"/>
                <w:lang w:val="es-ES_tradnl"/>
              </w:rPr>
              <w:t xml:space="preserve"> / </w:t>
            </w:r>
            <w:r w:rsidRPr="001E780A">
              <w:rPr>
                <w:rFonts w:ascii="Arial" w:eastAsia="Calibri" w:hAnsi="Arial" w:cs="Arial"/>
                <w:color w:val="000000" w:themeColor="text1"/>
                <w:sz w:val="22"/>
                <w:lang w:val="es-ES_tradnl"/>
              </w:rPr>
              <w:t>CONTRATO INTERADMINISTRATIVO ― Concepto ― Régimen ― Criterio orgánico</w:t>
            </w:r>
            <w:r>
              <w:rPr>
                <w:rFonts w:ascii="Arial" w:eastAsia="Calibri" w:hAnsi="Arial" w:cs="Arial"/>
                <w:color w:val="000000" w:themeColor="text1"/>
                <w:sz w:val="22"/>
                <w:lang w:val="es-ES_tradnl"/>
              </w:rPr>
              <w:t xml:space="preserve"> / </w:t>
            </w:r>
            <w:r w:rsidRPr="001E780A">
              <w:rPr>
                <w:rFonts w:ascii="Arial" w:eastAsia="Calibri" w:hAnsi="Arial" w:cs="Arial"/>
                <w:color w:val="000000" w:themeColor="text1"/>
                <w:sz w:val="22"/>
                <w:lang w:val="es-ES_tradnl"/>
              </w:rPr>
              <w:t>REGÍMENES ESPECIALES ― Contratación estatal ― Derecho privado ― Principios de derecho administrativo</w:t>
            </w:r>
            <w:r>
              <w:rPr>
                <w:rFonts w:ascii="Arial" w:eastAsia="Calibri" w:hAnsi="Arial" w:cs="Arial"/>
                <w:color w:val="000000" w:themeColor="text1"/>
                <w:sz w:val="22"/>
                <w:lang w:val="es-ES_tradnl"/>
              </w:rPr>
              <w:t xml:space="preserve"> / </w:t>
            </w:r>
            <w:r w:rsidRPr="001E780A">
              <w:rPr>
                <w:rFonts w:ascii="Arial" w:eastAsia="Calibri" w:hAnsi="Arial" w:cs="Arial"/>
                <w:color w:val="000000" w:themeColor="text1"/>
                <w:sz w:val="22"/>
                <w:lang w:val="es-ES_tradnl"/>
              </w:rPr>
              <w:t>MANUALES DE CONTRATACIÓN ― Reglamentos ― Límites ― Reserva de ley</w:t>
            </w:r>
            <w:r w:rsidR="00B23FD9" w:rsidRPr="00222BE8">
              <w:rPr>
                <w:rFonts w:ascii="Arial" w:eastAsia="Calibri" w:hAnsi="Arial" w:cs="Arial"/>
                <w:color w:val="000000" w:themeColor="text1"/>
                <w:sz w:val="22"/>
                <w:lang w:val="es-ES_tradnl"/>
              </w:rPr>
              <w:t>.</w:t>
            </w:r>
          </w:p>
        </w:tc>
      </w:tr>
      <w:tr w:rsidR="00DD5B04" w:rsidRPr="00222BE8" w14:paraId="60E06E0C" w14:textId="77777777" w:rsidTr="00083F1B">
        <w:tc>
          <w:tcPr>
            <w:tcW w:w="2689" w:type="dxa"/>
          </w:tcPr>
          <w:p w14:paraId="5655C7E4" w14:textId="77777777" w:rsidR="00DD5B04" w:rsidRPr="00222BE8" w:rsidRDefault="00DD5B04" w:rsidP="00DF76A2">
            <w:pPr>
              <w:spacing w:before="12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Radicación:</w:t>
            </w:r>
            <w:r w:rsidRPr="00222BE8">
              <w:rPr>
                <w:rFonts w:ascii="Arial" w:eastAsia="Calibri" w:hAnsi="Arial" w:cs="Arial"/>
                <w:color w:val="000000" w:themeColor="text1"/>
                <w:sz w:val="22"/>
                <w:lang w:val="es-ES_tradnl"/>
              </w:rPr>
              <w:t xml:space="preserve">                              </w:t>
            </w:r>
          </w:p>
        </w:tc>
        <w:tc>
          <w:tcPr>
            <w:tcW w:w="6237" w:type="dxa"/>
          </w:tcPr>
          <w:p w14:paraId="33E25A02" w14:textId="74CA85DF" w:rsidR="00DD5B04" w:rsidRPr="00222BE8" w:rsidRDefault="00DD5B04" w:rsidP="00DF76A2">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Respuesta</w:t>
            </w:r>
            <w:r w:rsidR="008100F7" w:rsidRPr="00222BE8">
              <w:rPr>
                <w:rFonts w:ascii="Arial" w:eastAsia="Calibri" w:hAnsi="Arial" w:cs="Arial"/>
                <w:color w:val="000000" w:themeColor="text1"/>
                <w:sz w:val="22"/>
                <w:lang w:val="es-ES_tradnl"/>
              </w:rPr>
              <w:t xml:space="preserve"> </w:t>
            </w:r>
            <w:r w:rsidR="00CA5812" w:rsidRPr="00222BE8">
              <w:rPr>
                <w:rFonts w:ascii="Arial" w:eastAsia="Calibri" w:hAnsi="Arial" w:cs="Arial"/>
                <w:color w:val="000000" w:themeColor="text1"/>
                <w:sz w:val="22"/>
                <w:lang w:val="es-ES_tradnl"/>
              </w:rPr>
              <w:t xml:space="preserve">a </w:t>
            </w:r>
            <w:r w:rsidRPr="00222BE8">
              <w:rPr>
                <w:rFonts w:ascii="Arial" w:eastAsia="Calibri" w:hAnsi="Arial" w:cs="Arial"/>
                <w:color w:val="000000" w:themeColor="text1"/>
                <w:sz w:val="22"/>
                <w:lang w:val="es-ES_tradnl"/>
              </w:rPr>
              <w:t>consulta</w:t>
            </w:r>
            <w:r w:rsidR="008022C9" w:rsidRPr="00222BE8">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 </w:t>
            </w:r>
            <w:r w:rsidR="00F4387B" w:rsidRPr="00222BE8">
              <w:rPr>
                <w:rFonts w:ascii="Arial" w:eastAsia="Calibri" w:hAnsi="Arial" w:cs="Arial"/>
                <w:color w:val="000000" w:themeColor="text1"/>
                <w:sz w:val="22"/>
                <w:lang w:val="es-ES_tradnl"/>
              </w:rPr>
              <w:t>4202013000007320</w:t>
            </w:r>
          </w:p>
          <w:p w14:paraId="0DA3D2F3" w14:textId="77777777" w:rsidR="00DD5B04" w:rsidRPr="00222BE8" w:rsidRDefault="00DD5B04" w:rsidP="00DF76A2">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 </w:t>
            </w:r>
          </w:p>
        </w:tc>
      </w:tr>
    </w:tbl>
    <w:p w14:paraId="064E3305" w14:textId="2A010781" w:rsidR="00F02D25" w:rsidRPr="00222BE8" w:rsidRDefault="00F02D25" w:rsidP="00DF76A2">
      <w:pPr>
        <w:jc w:val="both"/>
        <w:rPr>
          <w:rFonts w:ascii="Arial" w:eastAsia="Calibri" w:hAnsi="Arial" w:cs="Arial"/>
          <w:color w:val="000000" w:themeColor="text1"/>
          <w:sz w:val="22"/>
          <w:lang w:val="es-ES_tradnl"/>
        </w:rPr>
      </w:pPr>
    </w:p>
    <w:p w14:paraId="1A1303EE" w14:textId="5DD12FAE" w:rsidR="007552DB" w:rsidRPr="00222BE8" w:rsidRDefault="007552DB" w:rsidP="00DF76A2">
      <w:pPr>
        <w:jc w:val="both"/>
        <w:rPr>
          <w:rFonts w:ascii="Arial" w:eastAsia="Calibri" w:hAnsi="Arial" w:cs="Arial"/>
          <w:color w:val="000000" w:themeColor="text1"/>
          <w:sz w:val="22"/>
          <w:lang w:val="es-ES_tradnl"/>
        </w:rPr>
      </w:pPr>
    </w:p>
    <w:p w14:paraId="3D1F1089" w14:textId="77777777" w:rsidR="005305E5" w:rsidRPr="00222BE8" w:rsidRDefault="005305E5" w:rsidP="00DF76A2">
      <w:pPr>
        <w:jc w:val="both"/>
        <w:rPr>
          <w:rFonts w:ascii="Arial" w:eastAsia="Calibri" w:hAnsi="Arial" w:cs="Arial"/>
          <w:color w:val="000000" w:themeColor="text1"/>
          <w:sz w:val="22"/>
          <w:lang w:val="es-ES_tradnl"/>
        </w:rPr>
      </w:pPr>
    </w:p>
    <w:p w14:paraId="30BB5B67" w14:textId="1AB7DE3F" w:rsidR="00DD5B04" w:rsidRPr="00222BE8" w:rsidRDefault="00DD5B04" w:rsidP="00DF76A2">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Estimad</w:t>
      </w:r>
      <w:r w:rsidR="005D2EB2" w:rsidRPr="00222BE8">
        <w:rPr>
          <w:rFonts w:ascii="Arial" w:eastAsia="Calibri" w:hAnsi="Arial" w:cs="Arial"/>
          <w:color w:val="000000" w:themeColor="text1"/>
          <w:sz w:val="22"/>
          <w:lang w:val="es-ES_tradnl"/>
        </w:rPr>
        <w:t>o</w:t>
      </w:r>
      <w:r w:rsidRPr="00222BE8">
        <w:rPr>
          <w:rFonts w:ascii="Arial" w:eastAsia="Calibri" w:hAnsi="Arial" w:cs="Arial"/>
          <w:color w:val="000000" w:themeColor="text1"/>
          <w:sz w:val="22"/>
          <w:lang w:val="es-ES_tradnl"/>
        </w:rPr>
        <w:t xml:space="preserve"> señor </w:t>
      </w:r>
      <w:r w:rsidR="008A6A55" w:rsidRPr="00222BE8">
        <w:rPr>
          <w:rFonts w:ascii="Arial" w:eastAsia="Calibri" w:hAnsi="Arial" w:cs="Arial"/>
          <w:color w:val="000000" w:themeColor="text1"/>
          <w:sz w:val="22"/>
          <w:lang w:val="es-ES_tradnl"/>
        </w:rPr>
        <w:t>Álvarez</w:t>
      </w:r>
      <w:r w:rsidRPr="00222BE8">
        <w:rPr>
          <w:rFonts w:ascii="Arial" w:eastAsia="Calibri" w:hAnsi="Arial" w:cs="Arial"/>
          <w:color w:val="000000" w:themeColor="text1"/>
          <w:sz w:val="22"/>
          <w:lang w:val="es-ES_tradnl"/>
        </w:rPr>
        <w:t>:</w:t>
      </w:r>
    </w:p>
    <w:p w14:paraId="1EAE5543" w14:textId="77777777" w:rsidR="00DD5B04" w:rsidRPr="00222BE8" w:rsidRDefault="00DD5B04" w:rsidP="00DF76A2">
      <w:pPr>
        <w:jc w:val="both"/>
        <w:rPr>
          <w:rFonts w:ascii="Arial" w:eastAsia="Calibri" w:hAnsi="Arial" w:cs="Arial"/>
          <w:color w:val="000000" w:themeColor="text1"/>
          <w:sz w:val="22"/>
          <w:lang w:val="es-ES_tradnl"/>
        </w:rPr>
      </w:pPr>
    </w:p>
    <w:p w14:paraId="2109B2D3" w14:textId="3F71D77F" w:rsidR="00DD5B04" w:rsidRPr="00222BE8" w:rsidRDefault="00DD5B04" w:rsidP="00DF76A2">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4D3BD1" w:rsidRPr="00222BE8">
        <w:rPr>
          <w:rFonts w:ascii="Arial" w:eastAsia="Calibri" w:hAnsi="Arial" w:cs="Arial"/>
          <w:color w:val="000000" w:themeColor="text1"/>
          <w:sz w:val="22"/>
          <w:lang w:val="es-ES_tradnl"/>
        </w:rPr>
        <w:t>25</w:t>
      </w:r>
      <w:r w:rsidR="00FD4AF3" w:rsidRPr="00222BE8">
        <w:rPr>
          <w:rFonts w:ascii="Arial" w:eastAsia="Calibri" w:hAnsi="Arial" w:cs="Arial"/>
          <w:color w:val="000000" w:themeColor="text1"/>
          <w:sz w:val="22"/>
          <w:lang w:val="es-ES_tradnl"/>
        </w:rPr>
        <w:t xml:space="preserve"> de </w:t>
      </w:r>
      <w:r w:rsidR="00ED1F03" w:rsidRPr="00222BE8">
        <w:rPr>
          <w:rFonts w:ascii="Arial" w:eastAsia="Calibri" w:hAnsi="Arial" w:cs="Arial"/>
          <w:color w:val="000000" w:themeColor="text1"/>
          <w:sz w:val="22"/>
          <w:lang w:val="es-ES_tradnl"/>
        </w:rPr>
        <w:t>agosto</w:t>
      </w:r>
      <w:r w:rsidRPr="00222BE8">
        <w:rPr>
          <w:rFonts w:ascii="Arial" w:eastAsia="Calibri" w:hAnsi="Arial" w:cs="Arial"/>
          <w:color w:val="000000" w:themeColor="text1"/>
          <w:sz w:val="22"/>
          <w:lang w:val="es-ES_tradnl"/>
        </w:rPr>
        <w:t xml:space="preserve"> del</w:t>
      </w:r>
      <w:r w:rsidR="007E74BF" w:rsidRPr="00222BE8">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2020</w:t>
      </w:r>
      <w:r w:rsidR="00FD4AF3" w:rsidRPr="00222BE8">
        <w:rPr>
          <w:rFonts w:ascii="Arial" w:eastAsia="Calibri" w:hAnsi="Arial" w:cs="Arial"/>
          <w:color w:val="000000" w:themeColor="text1"/>
          <w:sz w:val="22"/>
          <w:lang w:val="es-ES_tradnl"/>
        </w:rPr>
        <w:t>.</w:t>
      </w:r>
    </w:p>
    <w:p w14:paraId="0C1E0712" w14:textId="77777777" w:rsidR="00DD5B04" w:rsidRPr="00222BE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222BE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 xml:space="preserve">Problema planteado </w:t>
      </w:r>
    </w:p>
    <w:p w14:paraId="224B43D3" w14:textId="77777777" w:rsidR="00DD5B04" w:rsidRPr="00222BE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3423FE3" w14:textId="0FC37780" w:rsidR="0013695C" w:rsidRPr="00222BE8" w:rsidRDefault="00DD5B04" w:rsidP="00DF76A2">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Usted realiza la</w:t>
      </w:r>
      <w:r w:rsidR="00E66FF9" w:rsidRPr="00222BE8">
        <w:rPr>
          <w:rFonts w:ascii="Arial" w:hAnsi="Arial" w:cs="Arial"/>
          <w:color w:val="000000" w:themeColor="text1"/>
          <w:sz w:val="22"/>
          <w:lang w:val="es-ES_tradnl"/>
        </w:rPr>
        <w:t>s</w:t>
      </w:r>
      <w:r w:rsidRPr="00222BE8">
        <w:rPr>
          <w:rFonts w:ascii="Arial" w:hAnsi="Arial" w:cs="Arial"/>
          <w:color w:val="000000" w:themeColor="text1"/>
          <w:sz w:val="22"/>
          <w:lang w:val="es-ES_tradnl"/>
        </w:rPr>
        <w:t xml:space="preserve"> siguiente</w:t>
      </w:r>
      <w:r w:rsidR="00E66FF9" w:rsidRPr="00222BE8">
        <w:rPr>
          <w:rFonts w:ascii="Arial" w:hAnsi="Arial" w:cs="Arial"/>
          <w:color w:val="000000" w:themeColor="text1"/>
          <w:sz w:val="22"/>
          <w:lang w:val="es-ES_tradnl"/>
        </w:rPr>
        <w:t>s</w:t>
      </w:r>
      <w:r w:rsidRPr="00222BE8">
        <w:rPr>
          <w:rFonts w:ascii="Arial" w:hAnsi="Arial" w:cs="Arial"/>
          <w:color w:val="000000" w:themeColor="text1"/>
          <w:sz w:val="22"/>
          <w:lang w:val="es-ES_tradnl"/>
        </w:rPr>
        <w:t xml:space="preserve"> pregunta</w:t>
      </w:r>
      <w:r w:rsidR="00E66FF9" w:rsidRPr="00222BE8">
        <w:rPr>
          <w:rFonts w:ascii="Arial" w:hAnsi="Arial" w:cs="Arial"/>
          <w:color w:val="000000" w:themeColor="text1"/>
          <w:sz w:val="22"/>
          <w:lang w:val="es-ES_tradnl"/>
        </w:rPr>
        <w:t>s</w:t>
      </w:r>
      <w:r w:rsidR="00C04BDB" w:rsidRPr="00222BE8">
        <w:rPr>
          <w:rFonts w:ascii="Arial" w:hAnsi="Arial" w:cs="Arial"/>
          <w:color w:val="000000" w:themeColor="text1"/>
          <w:sz w:val="22"/>
          <w:lang w:val="es-ES_tradnl"/>
        </w:rPr>
        <w:t>:</w:t>
      </w:r>
    </w:p>
    <w:p w14:paraId="58CC285D" w14:textId="2B3560D6" w:rsidR="00BC68B4" w:rsidRPr="00222BE8" w:rsidRDefault="00BC68B4" w:rsidP="00DF76A2">
      <w:pPr>
        <w:spacing w:line="276" w:lineRule="auto"/>
        <w:jc w:val="both"/>
        <w:rPr>
          <w:rFonts w:ascii="Arial" w:hAnsi="Arial" w:cs="Arial"/>
          <w:color w:val="000000" w:themeColor="text1"/>
          <w:sz w:val="22"/>
          <w:lang w:val="es-ES_tradnl"/>
        </w:rPr>
      </w:pPr>
    </w:p>
    <w:p w14:paraId="739198D1" w14:textId="6F30244C" w:rsidR="005C5D3D" w:rsidRPr="00222BE8" w:rsidRDefault="00BC68B4"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106259" w:rsidRPr="00222BE8">
        <w:rPr>
          <w:rFonts w:ascii="Arial" w:hAnsi="Arial" w:cs="Arial"/>
          <w:color w:val="000000" w:themeColor="text1"/>
          <w:sz w:val="22"/>
          <w:lang w:val="es-ES_tradnl"/>
        </w:rPr>
        <w:t>1.</w:t>
      </w:r>
      <w:r w:rsidR="00001A1C"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¿Es jurídicamente viable suscribir un convenio interadministrativo entre una entidad pública del orden nacional y una entidad fiduciaria, cuya naturaleza jurídica es la de una entidad estatal en los términos del artículo 2° de la Ley 80 de 1993, cuando ésta</w:t>
      </w:r>
      <w:r w:rsidR="005C5D3D" w:rsidRPr="00222BE8">
        <w:rPr>
          <w:rFonts w:ascii="Arial" w:hAnsi="Arial" w:cs="Arial"/>
          <w:color w:val="000000" w:themeColor="text1"/>
          <w:sz w:val="22"/>
          <w:lang w:val="es-ES_tradnl"/>
        </w:rPr>
        <w:t xml:space="preserve"> actúa en calidad de vocera y administradora de un patrimonio autónomo cuyo régimen de contratación se rige por el derecho privado?</w:t>
      </w:r>
    </w:p>
    <w:p w14:paraId="17D3DE40" w14:textId="77777777" w:rsidR="00C1159D" w:rsidRPr="00222BE8" w:rsidRDefault="00C1159D" w:rsidP="00DF76A2">
      <w:pPr>
        <w:ind w:left="709" w:right="709"/>
        <w:jc w:val="both"/>
        <w:rPr>
          <w:rFonts w:ascii="Arial" w:hAnsi="Arial" w:cs="Arial"/>
          <w:color w:val="000000" w:themeColor="text1"/>
          <w:sz w:val="22"/>
          <w:lang w:val="es-ES_tradnl"/>
        </w:rPr>
      </w:pPr>
    </w:p>
    <w:p w14:paraId="39D0BE8B" w14:textId="2B632A60" w:rsidR="00BC68B4"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5C5D3D" w:rsidRPr="00222BE8">
        <w:rPr>
          <w:rFonts w:ascii="Arial" w:hAnsi="Arial" w:cs="Arial"/>
          <w:color w:val="000000" w:themeColor="text1"/>
          <w:sz w:val="22"/>
          <w:lang w:val="es-ES_tradnl"/>
        </w:rPr>
        <w:t xml:space="preserve">Lo anterior, teniendo en cuenta que la Sala de Consulta y Servicio Civil del Consejo de Estado, en concepto radicado No. 11001-03-06-000-2014-00172-00(2222) del 13 de mayo de 2015, concluye que el </w:t>
      </w:r>
      <w:r w:rsidR="00311D52" w:rsidRPr="00222BE8">
        <w:rPr>
          <w:rFonts w:ascii="Arial" w:hAnsi="Arial" w:cs="Arial"/>
          <w:color w:val="000000" w:themeColor="text1"/>
          <w:sz w:val="22"/>
          <w:lang w:val="es-ES_tradnl"/>
        </w:rPr>
        <w:t>régimen</w:t>
      </w:r>
      <w:r w:rsidR="005C5D3D" w:rsidRPr="00222BE8">
        <w:rPr>
          <w:rFonts w:ascii="Arial" w:hAnsi="Arial" w:cs="Arial"/>
          <w:color w:val="000000" w:themeColor="text1"/>
          <w:sz w:val="22"/>
          <w:lang w:val="es-ES_tradnl"/>
        </w:rPr>
        <w:t xml:space="preserve"> legal de los contratos que celebren las fiduciarias estatales con terceros, en su </w:t>
      </w:r>
      <w:r w:rsidR="00311D52" w:rsidRPr="00222BE8">
        <w:rPr>
          <w:rFonts w:ascii="Arial" w:hAnsi="Arial" w:cs="Arial"/>
          <w:color w:val="000000" w:themeColor="text1"/>
          <w:sz w:val="22"/>
          <w:lang w:val="es-ES_tradnl"/>
        </w:rPr>
        <w:t>condición</w:t>
      </w:r>
      <w:r w:rsidR="005C5D3D" w:rsidRPr="00222BE8">
        <w:rPr>
          <w:rFonts w:ascii="Arial" w:hAnsi="Arial" w:cs="Arial"/>
          <w:color w:val="000000" w:themeColor="text1"/>
          <w:sz w:val="22"/>
          <w:lang w:val="es-ES_tradnl"/>
        </w:rPr>
        <w:t xml:space="preserve"> de administradoras, voceras y/o representantes de los patrimonios </w:t>
      </w:r>
      <w:r w:rsidR="00311D52" w:rsidRPr="00222BE8">
        <w:rPr>
          <w:rFonts w:ascii="Arial" w:hAnsi="Arial" w:cs="Arial"/>
          <w:color w:val="000000" w:themeColor="text1"/>
          <w:sz w:val="22"/>
          <w:lang w:val="es-ES_tradnl"/>
        </w:rPr>
        <w:t>autónomos</w:t>
      </w:r>
      <w:r w:rsidR="005C5D3D" w:rsidRPr="00222BE8">
        <w:rPr>
          <w:rFonts w:ascii="Arial" w:hAnsi="Arial" w:cs="Arial"/>
          <w:color w:val="000000" w:themeColor="text1"/>
          <w:sz w:val="22"/>
          <w:lang w:val="es-ES_tradnl"/>
        </w:rPr>
        <w:t xml:space="preserve"> que han sido confiados a su </w:t>
      </w:r>
      <w:r w:rsidR="00311D52" w:rsidRPr="00222BE8">
        <w:rPr>
          <w:rFonts w:ascii="Arial" w:hAnsi="Arial" w:cs="Arial"/>
          <w:color w:val="000000" w:themeColor="text1"/>
          <w:sz w:val="22"/>
          <w:lang w:val="es-ES_tradnl"/>
        </w:rPr>
        <w:t>gestión</w:t>
      </w:r>
      <w:r w:rsidR="005C5D3D" w:rsidRPr="00222BE8">
        <w:rPr>
          <w:rFonts w:ascii="Arial" w:hAnsi="Arial" w:cs="Arial"/>
          <w:color w:val="000000" w:themeColor="text1"/>
          <w:sz w:val="22"/>
          <w:lang w:val="es-ES_tradnl"/>
        </w:rPr>
        <w:t>, es el derecho privado, puesto que corresponde al desarrollo de su actividad comercial.</w:t>
      </w:r>
    </w:p>
    <w:p w14:paraId="5883E665" w14:textId="572A96E4" w:rsidR="00106259" w:rsidRPr="00222BE8" w:rsidRDefault="00106259" w:rsidP="00DF76A2">
      <w:pPr>
        <w:ind w:left="709" w:right="709"/>
        <w:jc w:val="both"/>
        <w:rPr>
          <w:rFonts w:ascii="Arial" w:hAnsi="Arial" w:cs="Arial"/>
          <w:color w:val="000000" w:themeColor="text1"/>
          <w:sz w:val="22"/>
          <w:lang w:val="es-ES_tradnl"/>
        </w:rPr>
      </w:pPr>
    </w:p>
    <w:p w14:paraId="388E3073" w14:textId="40E34061" w:rsidR="00106259"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106259" w:rsidRPr="00222BE8">
        <w:rPr>
          <w:rFonts w:ascii="Arial" w:hAnsi="Arial" w:cs="Arial"/>
          <w:color w:val="000000" w:themeColor="text1"/>
          <w:sz w:val="22"/>
          <w:lang w:val="es-ES_tradnl"/>
        </w:rPr>
        <w:t>2.</w:t>
      </w:r>
      <w:r w:rsidRPr="00222BE8">
        <w:rPr>
          <w:rFonts w:ascii="Arial" w:hAnsi="Arial" w:cs="Arial"/>
          <w:color w:val="000000" w:themeColor="text1"/>
          <w:sz w:val="22"/>
          <w:lang w:val="es-ES_tradnl"/>
        </w:rPr>
        <w:t xml:space="preserve"> </w:t>
      </w:r>
      <w:r w:rsidR="00106259" w:rsidRPr="00222BE8">
        <w:rPr>
          <w:rFonts w:ascii="Arial" w:hAnsi="Arial" w:cs="Arial"/>
          <w:color w:val="000000" w:themeColor="text1"/>
          <w:sz w:val="22"/>
          <w:lang w:val="es-ES_tradnl"/>
        </w:rPr>
        <w:t>¿Es viable jurídicamente interpretar que un fondo especial sin personería jurídica creado mediante ley con las características indicadas líneas arriba, y que no reparte utilidades, es asimilable al tipo de entidades mencionadas en el artículo 38 de la Ley 9 de 1989, para efectos de celebrar un contrato de comodato con una entidad pública del orden nacional?</w:t>
      </w:r>
    </w:p>
    <w:p w14:paraId="71CCBDE1" w14:textId="77777777" w:rsidR="00C03305" w:rsidRPr="00222BE8" w:rsidRDefault="00C03305" w:rsidP="00DF76A2">
      <w:pPr>
        <w:ind w:left="709" w:right="709"/>
        <w:jc w:val="both"/>
        <w:rPr>
          <w:rFonts w:ascii="Arial" w:hAnsi="Arial" w:cs="Arial"/>
          <w:color w:val="000000" w:themeColor="text1"/>
          <w:sz w:val="22"/>
          <w:lang w:val="es-ES_tradnl"/>
        </w:rPr>
      </w:pPr>
    </w:p>
    <w:p w14:paraId="17EB9FBE" w14:textId="69298F25" w:rsidR="00106259"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106259" w:rsidRPr="00222BE8">
        <w:rPr>
          <w:rFonts w:ascii="Arial" w:hAnsi="Arial" w:cs="Arial"/>
          <w:color w:val="000000" w:themeColor="text1"/>
          <w:sz w:val="22"/>
          <w:lang w:val="es-ES_tradnl"/>
        </w:rPr>
        <w:t>Dicha norma establece que:</w:t>
      </w:r>
      <w:r w:rsidR="00C03305" w:rsidRPr="00222BE8">
        <w:rPr>
          <w:rFonts w:ascii="Arial" w:hAnsi="Arial" w:cs="Arial"/>
          <w:color w:val="000000" w:themeColor="text1"/>
          <w:sz w:val="22"/>
          <w:lang w:val="es-ES_tradnl"/>
        </w:rPr>
        <w:t xml:space="preserve"> </w:t>
      </w:r>
      <w:r w:rsidR="006E4D5B" w:rsidRPr="00222BE8">
        <w:rPr>
          <w:rFonts w:ascii="Arial" w:hAnsi="Arial" w:cs="Arial"/>
          <w:i/>
          <w:iCs/>
          <w:color w:val="000000" w:themeColor="text1"/>
          <w:sz w:val="22"/>
          <w:lang w:val="es-ES_tradnl"/>
        </w:rPr>
        <w:t>“</w:t>
      </w:r>
      <w:r w:rsidR="00106259" w:rsidRPr="00222BE8">
        <w:rPr>
          <w:rFonts w:ascii="Arial" w:hAnsi="Arial" w:cs="Arial"/>
          <w:i/>
          <w:iCs/>
          <w:color w:val="000000" w:themeColor="text1"/>
          <w:sz w:val="22"/>
          <w:lang w:val="es-ES_tradnl"/>
        </w:rPr>
        <w:t xml:space="preserve">[l]as entidades públicas no podrán dar en comodato sus inmuebles sino únicamente a otras entidades públicas, sindicatos, cooperativas, asociaciones y fundaciones que no repartan utilidades entre sus asociados o fundadores ni adjudiquen sus activos en el momento de su liquidación a los mismos, juntas de acción comunal, fondos de empleados y las demás que puedan asimilarse a las anteriores, </w:t>
      </w:r>
      <w:r w:rsidR="006F4CB0" w:rsidRPr="00222BE8">
        <w:rPr>
          <w:rFonts w:ascii="Arial" w:hAnsi="Arial" w:cs="Arial"/>
          <w:i/>
          <w:iCs/>
          <w:color w:val="000000" w:themeColor="text1"/>
          <w:sz w:val="22"/>
          <w:lang w:val="es-ES_tradnl"/>
        </w:rPr>
        <w:t>y por un término máximo de cinco (5) años, renovables. (…)</w:t>
      </w:r>
      <w:r w:rsidR="009A38AB" w:rsidRPr="00222BE8">
        <w:rPr>
          <w:rFonts w:ascii="Arial" w:hAnsi="Arial" w:cs="Arial"/>
          <w:i/>
          <w:iCs/>
          <w:color w:val="000000" w:themeColor="text1"/>
          <w:sz w:val="22"/>
          <w:lang w:val="es-ES_tradnl"/>
        </w:rPr>
        <w:t>”</w:t>
      </w:r>
      <w:r w:rsidR="00C959BD" w:rsidRPr="00222BE8">
        <w:rPr>
          <w:rFonts w:ascii="Arial" w:hAnsi="Arial" w:cs="Arial"/>
          <w:color w:val="000000" w:themeColor="text1"/>
          <w:sz w:val="22"/>
          <w:lang w:val="es-ES_tradnl"/>
        </w:rPr>
        <w:t>.</w:t>
      </w:r>
    </w:p>
    <w:p w14:paraId="1DB91AEC" w14:textId="2E9AC3D7" w:rsidR="00C959BD" w:rsidRPr="00222BE8" w:rsidRDefault="00C959BD" w:rsidP="00DF76A2">
      <w:pPr>
        <w:ind w:left="709" w:right="709"/>
        <w:jc w:val="both"/>
        <w:rPr>
          <w:rFonts w:ascii="Arial" w:hAnsi="Arial" w:cs="Arial"/>
          <w:color w:val="000000" w:themeColor="text1"/>
          <w:sz w:val="22"/>
          <w:lang w:val="es-ES_tradnl"/>
        </w:rPr>
      </w:pPr>
    </w:p>
    <w:p w14:paraId="0257E55A" w14:textId="7A656A56" w:rsidR="00B44746"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B44746" w:rsidRPr="00222BE8">
        <w:rPr>
          <w:rFonts w:ascii="Arial" w:hAnsi="Arial" w:cs="Arial"/>
          <w:color w:val="000000" w:themeColor="text1"/>
          <w:sz w:val="22"/>
          <w:lang w:val="es-ES_tradnl"/>
        </w:rPr>
        <w:t xml:space="preserve">3. En caso de que la respuesta a la consulta anterior sea afirmativa, ¿es jurídicamente viable que un fondo especial con las características indicadas, celebre un contrato de comodato con una entidad estatal? En particular, </w:t>
      </w:r>
      <w:r w:rsidR="00B44746" w:rsidRPr="00222BE8">
        <w:rPr>
          <w:rFonts w:ascii="Arial" w:hAnsi="Arial" w:cs="Arial"/>
          <w:color w:val="000000" w:themeColor="text1"/>
          <w:sz w:val="22"/>
          <w:lang w:val="es-ES_tradnl"/>
        </w:rPr>
        <w:lastRenderedPageBreak/>
        <w:t>¿bajo qué modalidad de contratación podría celebrarse dicho contrato de comodato?</w:t>
      </w:r>
    </w:p>
    <w:p w14:paraId="2195BBAA" w14:textId="084D266D" w:rsidR="00FC05A0" w:rsidRPr="00222BE8" w:rsidRDefault="00FC05A0" w:rsidP="00DF76A2">
      <w:pPr>
        <w:ind w:left="709" w:right="709"/>
        <w:jc w:val="both"/>
        <w:rPr>
          <w:rFonts w:ascii="Arial" w:hAnsi="Arial" w:cs="Arial"/>
          <w:color w:val="000000" w:themeColor="text1"/>
          <w:sz w:val="22"/>
          <w:lang w:val="es-ES_tradnl"/>
        </w:rPr>
      </w:pPr>
    </w:p>
    <w:p w14:paraId="12C7E9E2" w14:textId="255295BF" w:rsidR="00FC05A0"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FC05A0" w:rsidRPr="00222BE8">
        <w:rPr>
          <w:rFonts w:ascii="Arial" w:hAnsi="Arial" w:cs="Arial"/>
          <w:color w:val="000000" w:themeColor="text1"/>
          <w:sz w:val="22"/>
          <w:lang w:val="es-ES_tradnl"/>
        </w:rPr>
        <w:t>4.</w:t>
      </w:r>
      <w:r w:rsidRPr="00222BE8">
        <w:rPr>
          <w:rFonts w:ascii="Arial" w:hAnsi="Arial" w:cs="Arial"/>
          <w:color w:val="000000" w:themeColor="text1"/>
          <w:sz w:val="22"/>
          <w:lang w:val="es-ES_tradnl"/>
        </w:rPr>
        <w:t xml:space="preserve"> </w:t>
      </w:r>
      <w:r w:rsidR="00FC05A0" w:rsidRPr="00222BE8">
        <w:rPr>
          <w:rFonts w:ascii="Arial" w:hAnsi="Arial" w:cs="Arial"/>
          <w:color w:val="000000" w:themeColor="text1"/>
          <w:sz w:val="22"/>
          <w:lang w:val="es-ES_tradnl"/>
        </w:rPr>
        <w:t>¿Es jurídicamente viable aplicar el literal (i) del numeral 4o del artículo 2o de la Ley 1150 de 2007, cuando la entidad pública va a suscribir un contrato de arrendamiento en calidad de arrendataria con un patrimonio autónomo con las características indicadas líneas arriba?</w:t>
      </w:r>
    </w:p>
    <w:p w14:paraId="7545C47C" w14:textId="108FCB47" w:rsidR="00FC05A0" w:rsidRPr="00222BE8" w:rsidRDefault="00FC05A0" w:rsidP="00DF76A2">
      <w:pPr>
        <w:ind w:left="709" w:right="709"/>
        <w:jc w:val="both"/>
        <w:rPr>
          <w:rFonts w:ascii="Arial" w:hAnsi="Arial" w:cs="Arial"/>
          <w:color w:val="000000" w:themeColor="text1"/>
          <w:sz w:val="22"/>
          <w:lang w:val="es-ES_tradnl"/>
        </w:rPr>
      </w:pPr>
    </w:p>
    <w:p w14:paraId="1C1A0B08" w14:textId="6C47834C" w:rsidR="00FC05A0"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FC05A0" w:rsidRPr="00222BE8">
        <w:rPr>
          <w:rFonts w:ascii="Arial" w:hAnsi="Arial" w:cs="Arial"/>
          <w:color w:val="000000" w:themeColor="text1"/>
          <w:sz w:val="22"/>
          <w:lang w:val="es-ES_tradnl"/>
        </w:rPr>
        <w:t>5. ¿Es viable jurídicamente, en el marco de un contrato de arrendamiento donde la entidad estatal actúa como arrendataria, pactar la forma de pago en especie a través de la realización de mejoras locativas, atendiendo lo dispuesto en el artículo 40 de la Ley 80 de 1993?</w:t>
      </w:r>
    </w:p>
    <w:p w14:paraId="1A63D922" w14:textId="77777777" w:rsidR="00FC05A0" w:rsidRPr="00222BE8" w:rsidRDefault="00FC05A0" w:rsidP="00DF76A2">
      <w:pPr>
        <w:ind w:left="709" w:right="709"/>
        <w:jc w:val="both"/>
        <w:rPr>
          <w:rFonts w:ascii="Arial" w:hAnsi="Arial" w:cs="Arial"/>
          <w:color w:val="000000" w:themeColor="text1"/>
          <w:sz w:val="22"/>
          <w:lang w:val="es-ES_tradnl"/>
        </w:rPr>
      </w:pPr>
    </w:p>
    <w:p w14:paraId="3307A966" w14:textId="0E84DC52" w:rsidR="00D16A8B"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FC05A0" w:rsidRPr="00222BE8">
        <w:rPr>
          <w:rFonts w:ascii="Arial" w:hAnsi="Arial" w:cs="Arial"/>
          <w:color w:val="000000" w:themeColor="text1"/>
          <w:sz w:val="22"/>
          <w:lang w:val="es-ES_tradnl"/>
        </w:rPr>
        <w:t>Lo anterior, bajo el entendido que dicha norma dispone que las entidades pueden celebrar todo tipo de contratos permitidos en la ley y la autonomía de la voluntad que se requieran para el cumplimiento de los fines estatales, siempre que no sean contrarios a la Constitución, la ley, el orden público y a los principios y finalidades de la administración pública. Al respecto, podría considerarse procedente que una estipulación de pago en especie de un contrato de arrendamiento encaminado a</w:t>
      </w:r>
      <w:r w:rsidR="00D16A8B" w:rsidRPr="00222BE8">
        <w:rPr>
          <w:rFonts w:ascii="Arial" w:hAnsi="Arial" w:cs="Arial"/>
          <w:color w:val="000000" w:themeColor="text1"/>
          <w:sz w:val="22"/>
          <w:lang w:val="es-ES_tradnl"/>
        </w:rPr>
        <w:t xml:space="preserve"> cumplir los funciones de un fondo creado por la ley, no resulta contrario a la Constitución, la ley, el orden público y a los principios y finalidades de la administración pública.</w:t>
      </w:r>
    </w:p>
    <w:p w14:paraId="323A7BB4" w14:textId="77777777" w:rsidR="00D16A8B" w:rsidRPr="00222BE8" w:rsidRDefault="00D16A8B" w:rsidP="00DF76A2">
      <w:pPr>
        <w:ind w:left="709" w:right="709"/>
        <w:jc w:val="both"/>
        <w:rPr>
          <w:rFonts w:ascii="Arial" w:hAnsi="Arial" w:cs="Arial"/>
          <w:color w:val="000000" w:themeColor="text1"/>
          <w:sz w:val="22"/>
          <w:lang w:val="es-ES_tradnl"/>
        </w:rPr>
      </w:pPr>
    </w:p>
    <w:p w14:paraId="47FA765C" w14:textId="52ED0F39" w:rsidR="00D16A8B" w:rsidRPr="00222BE8" w:rsidRDefault="009A2435"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D16A8B" w:rsidRPr="00222BE8">
        <w:rPr>
          <w:rFonts w:ascii="Arial" w:hAnsi="Arial" w:cs="Arial"/>
          <w:color w:val="000000" w:themeColor="text1"/>
          <w:sz w:val="22"/>
          <w:lang w:val="es-ES_tradnl"/>
        </w:rPr>
        <w:t>6.</w:t>
      </w:r>
      <w:r w:rsidR="00923F56" w:rsidRPr="00222BE8">
        <w:rPr>
          <w:rFonts w:ascii="Arial" w:hAnsi="Arial" w:cs="Arial"/>
          <w:color w:val="000000" w:themeColor="text1"/>
          <w:sz w:val="22"/>
          <w:lang w:val="es-ES_tradnl"/>
        </w:rPr>
        <w:t xml:space="preserve"> </w:t>
      </w:r>
      <w:r w:rsidR="00D16A8B" w:rsidRPr="00222BE8">
        <w:rPr>
          <w:rFonts w:ascii="Arial" w:hAnsi="Arial" w:cs="Arial"/>
          <w:color w:val="000000" w:themeColor="text1"/>
          <w:sz w:val="22"/>
          <w:lang w:val="es-ES_tradnl"/>
        </w:rPr>
        <w:t>En caso de ser viable lo consultado en la pregunta anterior ¿Sería aplicable la causal de contratación establecida en el literal (i) del numeral 4o del artículo 2o de la Ley 1150 de 2007?</w:t>
      </w:r>
    </w:p>
    <w:p w14:paraId="3F8B31CB" w14:textId="77777777" w:rsidR="00D16A8B" w:rsidRPr="00222BE8" w:rsidRDefault="00D16A8B" w:rsidP="00DF76A2">
      <w:pPr>
        <w:ind w:left="709" w:right="709"/>
        <w:jc w:val="both"/>
        <w:rPr>
          <w:rFonts w:ascii="Arial" w:hAnsi="Arial" w:cs="Arial"/>
          <w:color w:val="000000" w:themeColor="text1"/>
          <w:sz w:val="22"/>
          <w:lang w:val="es-ES_tradnl"/>
        </w:rPr>
      </w:pPr>
    </w:p>
    <w:p w14:paraId="77760A94" w14:textId="6B6DE076" w:rsidR="00FC05A0" w:rsidRPr="00222BE8" w:rsidRDefault="00923F56" w:rsidP="00DF76A2">
      <w:pPr>
        <w:ind w:left="709" w:right="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w:t>
      </w:r>
      <w:r w:rsidR="00D16A8B" w:rsidRPr="00222BE8">
        <w:rPr>
          <w:rFonts w:ascii="Arial" w:hAnsi="Arial" w:cs="Arial"/>
          <w:color w:val="000000" w:themeColor="text1"/>
          <w:sz w:val="22"/>
          <w:lang w:val="es-ES_tradnl"/>
        </w:rPr>
        <w:t>7. En caso de que los reglamentos establecidos por los fondos especiales con las características indicadas, e.g. manuales de contratación, establezcan expresamente la posibilidad de contratar de forma directa con entidades públicas, ¿dichos manuales pueden ser aplicables, o deben prevalecer las normas de la Ley 80 de 1993, Ley 1150 de 2007, así como las demás que resulten aplicables en materia de contratación pública?»</w:t>
      </w:r>
      <w:r w:rsidR="00C54A3A" w:rsidRPr="00222BE8">
        <w:rPr>
          <w:rFonts w:ascii="Arial" w:hAnsi="Arial" w:cs="Arial"/>
          <w:color w:val="000000" w:themeColor="text1"/>
          <w:sz w:val="22"/>
          <w:lang w:val="es-ES_tradnl"/>
        </w:rPr>
        <w:t>.</w:t>
      </w:r>
    </w:p>
    <w:p w14:paraId="099E2063" w14:textId="77777777" w:rsidR="00DD5B04" w:rsidRPr="00222BE8" w:rsidRDefault="00DD5B04" w:rsidP="00DF76A2">
      <w:pPr>
        <w:tabs>
          <w:tab w:val="left" w:pos="426"/>
        </w:tabs>
        <w:spacing w:line="276" w:lineRule="auto"/>
        <w:jc w:val="both"/>
        <w:rPr>
          <w:rFonts w:ascii="Arial" w:eastAsia="Calibri" w:hAnsi="Arial" w:cs="Arial"/>
          <w:color w:val="000000" w:themeColor="text1"/>
          <w:sz w:val="22"/>
          <w:lang w:val="es-ES_tradnl"/>
        </w:rPr>
      </w:pPr>
    </w:p>
    <w:p w14:paraId="124D2DCA" w14:textId="77777777" w:rsidR="00DD5B04" w:rsidRPr="00222BE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Consideraciones</w:t>
      </w:r>
    </w:p>
    <w:p w14:paraId="35E25E39" w14:textId="77777777" w:rsidR="00DD5B04" w:rsidRPr="00222BE8" w:rsidRDefault="00DD5B04" w:rsidP="00DF76A2">
      <w:pPr>
        <w:spacing w:line="276" w:lineRule="auto"/>
        <w:jc w:val="both"/>
        <w:rPr>
          <w:rFonts w:ascii="Arial" w:eastAsia="Calibri" w:hAnsi="Arial" w:cs="Arial"/>
          <w:color w:val="000000" w:themeColor="text1"/>
          <w:sz w:val="20"/>
          <w:szCs w:val="20"/>
          <w:lang w:val="es-ES_tradnl"/>
        </w:rPr>
      </w:pPr>
    </w:p>
    <w:p w14:paraId="1E8326F9" w14:textId="560E7153" w:rsidR="00C833B4" w:rsidRPr="00222BE8" w:rsidRDefault="00DD5B04" w:rsidP="00DF76A2">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Para resolver </w:t>
      </w:r>
      <w:r w:rsidR="00E97A3F" w:rsidRPr="00222BE8">
        <w:rPr>
          <w:rFonts w:ascii="Arial" w:eastAsia="Calibri" w:hAnsi="Arial" w:cs="Arial"/>
          <w:color w:val="000000" w:themeColor="text1"/>
          <w:sz w:val="22"/>
          <w:lang w:val="es-ES_tradnl"/>
        </w:rPr>
        <w:t>su consulta, se analizarán los siguientes temas:</w:t>
      </w:r>
      <w:r w:rsidR="004E2A35" w:rsidRPr="00222BE8">
        <w:rPr>
          <w:rFonts w:ascii="Arial" w:eastAsia="Calibri" w:hAnsi="Arial" w:cs="Arial"/>
          <w:color w:val="000000" w:themeColor="text1"/>
          <w:sz w:val="22"/>
          <w:lang w:val="es-ES_tradnl"/>
        </w:rPr>
        <w:t xml:space="preserve"> </w:t>
      </w:r>
      <w:r w:rsidR="005F72E9" w:rsidRPr="00222BE8">
        <w:rPr>
          <w:rFonts w:ascii="Arial" w:eastAsia="Calibri" w:hAnsi="Arial" w:cs="Arial"/>
          <w:color w:val="000000" w:themeColor="text1"/>
          <w:sz w:val="22"/>
          <w:lang w:val="es-ES_tradnl"/>
        </w:rPr>
        <w:t>i)</w:t>
      </w:r>
      <w:r w:rsidR="003A2AA1" w:rsidRPr="00222BE8">
        <w:rPr>
          <w:rFonts w:ascii="Arial" w:eastAsia="Calibri" w:hAnsi="Arial" w:cs="Arial"/>
          <w:color w:val="000000" w:themeColor="text1"/>
          <w:sz w:val="22"/>
          <w:lang w:val="es-ES_tradnl"/>
        </w:rPr>
        <w:t xml:space="preserve"> contrato de fiducia</w:t>
      </w:r>
      <w:r w:rsidR="00D03D2D" w:rsidRPr="00222BE8">
        <w:rPr>
          <w:rFonts w:ascii="Arial" w:eastAsia="Calibri" w:hAnsi="Arial" w:cs="Arial"/>
          <w:color w:val="000000" w:themeColor="text1"/>
          <w:sz w:val="22"/>
          <w:lang w:val="es-ES_tradnl"/>
        </w:rPr>
        <w:t xml:space="preserve"> mercantil</w:t>
      </w:r>
      <w:r w:rsidR="009170D3" w:rsidRPr="00222BE8">
        <w:rPr>
          <w:rFonts w:ascii="Arial" w:eastAsia="Calibri" w:hAnsi="Arial" w:cs="Arial"/>
          <w:color w:val="000000" w:themeColor="text1"/>
          <w:sz w:val="22"/>
          <w:lang w:val="es-ES_tradnl"/>
        </w:rPr>
        <w:t xml:space="preserve"> y capacidad contractual de los patrimonios autónomos</w:t>
      </w:r>
      <w:r w:rsidR="00A15621" w:rsidRPr="00222BE8">
        <w:rPr>
          <w:rFonts w:ascii="Arial" w:eastAsia="Calibri" w:hAnsi="Arial" w:cs="Arial"/>
          <w:color w:val="000000" w:themeColor="text1"/>
          <w:sz w:val="22"/>
          <w:lang w:val="es-ES_tradnl"/>
        </w:rPr>
        <w:t xml:space="preserve">, </w:t>
      </w:r>
      <w:r w:rsidR="002B1342" w:rsidRPr="00222BE8">
        <w:rPr>
          <w:rFonts w:ascii="Arial" w:eastAsia="Calibri" w:hAnsi="Arial" w:cs="Arial"/>
          <w:color w:val="000000" w:themeColor="text1"/>
          <w:sz w:val="22"/>
          <w:lang w:val="es-ES_tradnl"/>
        </w:rPr>
        <w:t>ii)</w:t>
      </w:r>
      <w:r w:rsidR="003A2AA1" w:rsidRPr="00222BE8">
        <w:rPr>
          <w:rFonts w:ascii="Arial" w:eastAsia="Calibri" w:hAnsi="Arial" w:cs="Arial"/>
          <w:color w:val="000000" w:themeColor="text1"/>
          <w:sz w:val="22"/>
          <w:lang w:val="es-ES_tradnl"/>
        </w:rPr>
        <w:t xml:space="preserve"> </w:t>
      </w:r>
      <w:r w:rsidR="00607A37" w:rsidRPr="00222BE8">
        <w:rPr>
          <w:rFonts w:ascii="Arial" w:eastAsia="Calibri" w:hAnsi="Arial" w:cs="Arial"/>
          <w:color w:val="000000" w:themeColor="text1"/>
          <w:sz w:val="22"/>
          <w:lang w:val="es-ES_tradnl"/>
        </w:rPr>
        <w:t>concepto</w:t>
      </w:r>
      <w:r w:rsidR="003E2F55">
        <w:rPr>
          <w:rFonts w:ascii="Arial" w:eastAsia="Calibri" w:hAnsi="Arial" w:cs="Arial"/>
          <w:color w:val="000000" w:themeColor="text1"/>
          <w:sz w:val="22"/>
          <w:lang w:val="es-ES_tradnl"/>
        </w:rPr>
        <w:t xml:space="preserve"> de </w:t>
      </w:r>
      <w:r w:rsidR="003E2F55" w:rsidRPr="00222BE8">
        <w:rPr>
          <w:rFonts w:ascii="Arial" w:eastAsia="Calibri" w:hAnsi="Arial" w:cs="Arial"/>
          <w:color w:val="000000" w:themeColor="text1"/>
          <w:sz w:val="22"/>
          <w:lang w:val="es-ES_tradnl"/>
        </w:rPr>
        <w:t xml:space="preserve">contrato interadministrativo </w:t>
      </w:r>
      <w:r w:rsidR="00607A37" w:rsidRPr="00222BE8">
        <w:rPr>
          <w:rFonts w:ascii="Arial" w:eastAsia="Calibri" w:hAnsi="Arial" w:cs="Arial"/>
          <w:color w:val="000000" w:themeColor="text1"/>
          <w:sz w:val="22"/>
          <w:lang w:val="es-ES_tradnl"/>
        </w:rPr>
        <w:t xml:space="preserve">y régimen jurídico </w:t>
      </w:r>
      <w:r w:rsidR="000C5861" w:rsidRPr="00222BE8">
        <w:rPr>
          <w:rFonts w:ascii="Arial" w:eastAsia="Calibri" w:hAnsi="Arial" w:cs="Arial"/>
          <w:color w:val="000000" w:themeColor="text1"/>
          <w:sz w:val="22"/>
          <w:lang w:val="es-ES_tradnl"/>
        </w:rPr>
        <w:t>aplicable</w:t>
      </w:r>
      <w:r w:rsidR="00D35C0E" w:rsidRPr="00222BE8">
        <w:rPr>
          <w:rFonts w:ascii="Arial" w:eastAsia="Calibri" w:hAnsi="Arial" w:cs="Arial"/>
          <w:color w:val="000000" w:themeColor="text1"/>
          <w:sz w:val="22"/>
          <w:lang w:val="es-ES_tradnl"/>
        </w:rPr>
        <w:t xml:space="preserve">, </w:t>
      </w:r>
      <w:r w:rsidR="00A15621" w:rsidRPr="00222BE8">
        <w:rPr>
          <w:rFonts w:ascii="Arial" w:eastAsia="Calibri" w:hAnsi="Arial" w:cs="Arial"/>
          <w:color w:val="000000" w:themeColor="text1"/>
          <w:sz w:val="22"/>
          <w:lang w:val="es-ES_tradnl"/>
        </w:rPr>
        <w:t>iii) consideraciones sobre los regímenes especiales</w:t>
      </w:r>
      <w:r w:rsidR="00E1397F" w:rsidRPr="00222BE8">
        <w:rPr>
          <w:rFonts w:ascii="Arial" w:eastAsia="Calibri" w:hAnsi="Arial" w:cs="Arial"/>
          <w:color w:val="000000" w:themeColor="text1"/>
          <w:sz w:val="22"/>
          <w:lang w:val="es-ES_tradnl"/>
        </w:rPr>
        <w:t xml:space="preserve"> en la contratación estatal</w:t>
      </w:r>
      <w:r w:rsidR="00DB4292" w:rsidRPr="00222BE8">
        <w:rPr>
          <w:rFonts w:ascii="Arial" w:eastAsia="Calibri" w:hAnsi="Arial" w:cs="Arial"/>
          <w:color w:val="000000" w:themeColor="text1"/>
          <w:sz w:val="22"/>
          <w:lang w:val="es-ES_tradnl"/>
        </w:rPr>
        <w:t xml:space="preserve"> y iv) </w:t>
      </w:r>
      <w:r w:rsidR="00B81E6F" w:rsidRPr="00222BE8">
        <w:rPr>
          <w:rFonts w:ascii="Arial" w:eastAsia="Calibri" w:hAnsi="Arial" w:cs="Arial"/>
          <w:color w:val="000000" w:themeColor="text1"/>
          <w:sz w:val="22"/>
          <w:lang w:val="es-ES_tradnl"/>
        </w:rPr>
        <w:t xml:space="preserve">naturaleza y límites de los </w:t>
      </w:r>
      <w:r w:rsidR="00DB4292" w:rsidRPr="00222BE8">
        <w:rPr>
          <w:rFonts w:ascii="Arial" w:eastAsia="Calibri" w:hAnsi="Arial" w:cs="Arial"/>
          <w:color w:val="000000" w:themeColor="text1"/>
          <w:sz w:val="22"/>
          <w:lang w:val="es-ES_tradnl"/>
        </w:rPr>
        <w:t>manuales</w:t>
      </w:r>
      <w:r w:rsidR="00B81E6F" w:rsidRPr="00222BE8">
        <w:rPr>
          <w:rFonts w:ascii="Arial" w:eastAsia="Calibri" w:hAnsi="Arial" w:cs="Arial"/>
          <w:color w:val="000000" w:themeColor="text1"/>
          <w:sz w:val="22"/>
          <w:lang w:val="es-ES_tradnl"/>
        </w:rPr>
        <w:t xml:space="preserve"> </w:t>
      </w:r>
      <w:r w:rsidR="00DB4292" w:rsidRPr="00222BE8">
        <w:rPr>
          <w:rFonts w:ascii="Arial" w:eastAsia="Calibri" w:hAnsi="Arial" w:cs="Arial"/>
          <w:color w:val="000000" w:themeColor="text1"/>
          <w:sz w:val="22"/>
          <w:lang w:val="es-ES_tradnl"/>
        </w:rPr>
        <w:t>internos de contratación</w:t>
      </w:r>
      <w:r w:rsidR="00B81E6F" w:rsidRPr="00222BE8">
        <w:rPr>
          <w:rFonts w:ascii="Arial" w:eastAsia="Calibri" w:hAnsi="Arial" w:cs="Arial"/>
          <w:color w:val="000000" w:themeColor="text1"/>
          <w:sz w:val="22"/>
          <w:lang w:val="es-ES_tradnl"/>
        </w:rPr>
        <w:t xml:space="preserve"> de las entidades </w:t>
      </w:r>
      <w:r w:rsidR="00DC15BA" w:rsidRPr="00222BE8">
        <w:rPr>
          <w:rFonts w:ascii="Arial" w:eastAsia="Calibri" w:hAnsi="Arial" w:cs="Arial"/>
          <w:color w:val="000000" w:themeColor="text1"/>
          <w:sz w:val="22"/>
          <w:lang w:val="es-ES_tradnl"/>
        </w:rPr>
        <w:t>exceptuadas de la aplicación del Estatuto General de Contratación de la Administración Pública</w:t>
      </w:r>
      <w:r w:rsidR="00B81E6F" w:rsidRPr="00222BE8">
        <w:rPr>
          <w:rFonts w:ascii="Arial" w:eastAsia="Calibri" w:hAnsi="Arial" w:cs="Arial"/>
          <w:color w:val="000000" w:themeColor="text1"/>
          <w:sz w:val="22"/>
          <w:lang w:val="es-ES_tradnl"/>
        </w:rPr>
        <w:t>.</w:t>
      </w:r>
      <w:r w:rsidR="00DB4292" w:rsidRPr="00222BE8">
        <w:rPr>
          <w:rFonts w:ascii="Arial" w:eastAsia="Calibri" w:hAnsi="Arial" w:cs="Arial"/>
          <w:color w:val="000000" w:themeColor="text1"/>
          <w:sz w:val="22"/>
          <w:lang w:val="es-ES_tradnl"/>
        </w:rPr>
        <w:t xml:space="preserve"> </w:t>
      </w:r>
    </w:p>
    <w:p w14:paraId="68B81BFB" w14:textId="58B88C75" w:rsidR="00CB5578" w:rsidRPr="00222BE8" w:rsidRDefault="00C0285F" w:rsidP="00DF76A2">
      <w:pPr>
        <w:spacing w:before="120" w:line="276" w:lineRule="auto"/>
        <w:ind w:firstLine="709"/>
        <w:jc w:val="both"/>
        <w:rPr>
          <w:rFonts w:ascii="Arial" w:hAnsi="Arial" w:cs="Arial"/>
          <w:color w:val="000000" w:themeColor="text1"/>
          <w:sz w:val="22"/>
          <w:lang w:val="es-ES_tradnl"/>
        </w:rPr>
      </w:pPr>
      <w:r w:rsidRPr="00222BE8">
        <w:rPr>
          <w:rFonts w:ascii="Arial" w:eastAsia="Calibri" w:hAnsi="Arial" w:cs="Arial"/>
          <w:color w:val="000000" w:themeColor="text1"/>
          <w:sz w:val="22"/>
          <w:lang w:val="es-ES_tradnl"/>
        </w:rPr>
        <w:t>L</w:t>
      </w:r>
      <w:r w:rsidR="00A078FB" w:rsidRPr="00222BE8">
        <w:rPr>
          <w:rFonts w:ascii="Arial" w:hAnsi="Arial" w:cs="Arial"/>
          <w:color w:val="000000" w:themeColor="text1"/>
          <w:sz w:val="22"/>
          <w:lang w:val="es-ES_tradnl"/>
        </w:rPr>
        <w:t>a Agencia Nacional de Contratación Pública ― Colombia Compra Eficiente</w:t>
      </w:r>
      <w:r w:rsidRPr="00222BE8">
        <w:rPr>
          <w:rFonts w:ascii="Arial" w:hAnsi="Arial" w:cs="Arial"/>
          <w:color w:val="000000" w:themeColor="text1"/>
          <w:sz w:val="22"/>
          <w:lang w:val="es-ES_tradnl"/>
        </w:rPr>
        <w:t xml:space="preserve"> se </w:t>
      </w:r>
      <w:r w:rsidR="000263F0" w:rsidRPr="00222BE8">
        <w:rPr>
          <w:rFonts w:ascii="Arial" w:hAnsi="Arial" w:cs="Arial"/>
          <w:color w:val="000000" w:themeColor="text1"/>
          <w:sz w:val="22"/>
          <w:lang w:val="es-ES_tradnl"/>
        </w:rPr>
        <w:t>pronunció</w:t>
      </w:r>
      <w:r w:rsidRPr="00222BE8">
        <w:rPr>
          <w:rFonts w:ascii="Arial" w:hAnsi="Arial" w:cs="Arial"/>
          <w:color w:val="000000" w:themeColor="text1"/>
          <w:sz w:val="22"/>
          <w:lang w:val="es-ES_tradnl"/>
        </w:rPr>
        <w:t xml:space="preserve"> sobre</w:t>
      </w:r>
      <w:r w:rsidR="00E36345" w:rsidRPr="00222BE8">
        <w:rPr>
          <w:rFonts w:ascii="Arial" w:hAnsi="Arial" w:cs="Arial"/>
          <w:color w:val="000000" w:themeColor="text1"/>
          <w:sz w:val="22"/>
          <w:lang w:val="es-ES_tradnl"/>
        </w:rPr>
        <w:t xml:space="preserve"> el contrato de fiducia mercantil</w:t>
      </w:r>
      <w:r w:rsidR="005C57BA" w:rsidRPr="00222BE8">
        <w:rPr>
          <w:rFonts w:ascii="Arial" w:hAnsi="Arial" w:cs="Arial"/>
          <w:color w:val="000000" w:themeColor="text1"/>
          <w:sz w:val="22"/>
          <w:lang w:val="es-ES_tradnl"/>
        </w:rPr>
        <w:t xml:space="preserve"> y la capacidad contractual d</w:t>
      </w:r>
      <w:r w:rsidR="009761ED" w:rsidRPr="00222BE8">
        <w:rPr>
          <w:rFonts w:ascii="Arial" w:hAnsi="Arial" w:cs="Arial"/>
          <w:color w:val="000000" w:themeColor="text1"/>
          <w:sz w:val="22"/>
          <w:lang w:val="es-ES_tradnl"/>
        </w:rPr>
        <w:t xml:space="preserve">el patrimonio </w:t>
      </w:r>
      <w:r w:rsidR="009761ED" w:rsidRPr="00222BE8">
        <w:rPr>
          <w:rFonts w:ascii="Arial" w:hAnsi="Arial" w:cs="Arial"/>
          <w:color w:val="000000" w:themeColor="text1"/>
          <w:sz w:val="22"/>
          <w:lang w:val="es-ES_tradnl"/>
        </w:rPr>
        <w:lastRenderedPageBreak/>
        <w:t>autónomo</w:t>
      </w:r>
      <w:r w:rsidR="005C57BA" w:rsidRPr="00222BE8">
        <w:rPr>
          <w:rFonts w:ascii="Arial" w:hAnsi="Arial" w:cs="Arial"/>
          <w:color w:val="000000" w:themeColor="text1"/>
          <w:sz w:val="22"/>
          <w:lang w:val="es-ES_tradnl"/>
        </w:rPr>
        <w:t xml:space="preserve"> derivado de dicho contrato</w:t>
      </w:r>
      <w:r w:rsidR="009761ED" w:rsidRPr="00222BE8">
        <w:rPr>
          <w:rFonts w:ascii="Arial" w:hAnsi="Arial" w:cs="Arial"/>
          <w:color w:val="000000" w:themeColor="text1"/>
          <w:sz w:val="22"/>
          <w:lang w:val="es-ES_tradnl"/>
        </w:rPr>
        <w:t xml:space="preserve"> en los conceptos con radicado No. </w:t>
      </w:r>
      <w:r w:rsidR="00F41596" w:rsidRPr="00222BE8">
        <w:rPr>
          <w:rFonts w:ascii="Arial" w:hAnsi="Arial" w:cs="Arial"/>
          <w:color w:val="000000" w:themeColor="text1"/>
          <w:sz w:val="22"/>
          <w:lang w:val="es-ES_tradnl"/>
        </w:rPr>
        <w:t>2201913000005645</w:t>
      </w:r>
      <w:r w:rsidR="00020F8F" w:rsidRPr="00222BE8">
        <w:rPr>
          <w:rStyle w:val="Refdenotaalpie"/>
          <w:rFonts w:ascii="Arial" w:hAnsi="Arial" w:cs="Arial"/>
          <w:color w:val="000000" w:themeColor="text1"/>
          <w:sz w:val="22"/>
          <w:lang w:val="es-ES_tradnl"/>
        </w:rPr>
        <w:footnoteReference w:id="2"/>
      </w:r>
      <w:r w:rsidR="00313748" w:rsidRPr="00222BE8">
        <w:rPr>
          <w:rFonts w:ascii="Arial" w:hAnsi="Arial" w:cs="Arial"/>
          <w:color w:val="000000" w:themeColor="text1"/>
          <w:sz w:val="22"/>
          <w:lang w:val="es-ES_tradnl"/>
        </w:rPr>
        <w:t xml:space="preserve"> del 8 de agosto de 2019</w:t>
      </w:r>
      <w:r w:rsidR="00F41596" w:rsidRPr="00222BE8">
        <w:rPr>
          <w:rFonts w:ascii="Arial" w:hAnsi="Arial" w:cs="Arial"/>
          <w:color w:val="000000" w:themeColor="text1"/>
          <w:sz w:val="22"/>
          <w:lang w:val="es-ES_tradnl"/>
        </w:rPr>
        <w:t xml:space="preserve"> y </w:t>
      </w:r>
      <w:r w:rsidR="009761ED" w:rsidRPr="00222BE8">
        <w:rPr>
          <w:rFonts w:ascii="Arial" w:hAnsi="Arial" w:cs="Arial"/>
          <w:color w:val="000000" w:themeColor="text1"/>
          <w:sz w:val="22"/>
          <w:lang w:val="es-ES_tradnl"/>
        </w:rPr>
        <w:t>2201913000008612</w:t>
      </w:r>
      <w:r w:rsidR="00020F8F" w:rsidRPr="00222BE8">
        <w:rPr>
          <w:rStyle w:val="Refdenotaalpie"/>
          <w:rFonts w:ascii="Arial" w:hAnsi="Arial" w:cs="Arial"/>
          <w:color w:val="000000" w:themeColor="text1"/>
          <w:sz w:val="22"/>
          <w:lang w:val="es-ES_tradnl"/>
        </w:rPr>
        <w:footnoteReference w:id="3"/>
      </w:r>
      <w:r w:rsidR="009761ED" w:rsidRPr="00222BE8">
        <w:rPr>
          <w:rFonts w:ascii="Arial" w:hAnsi="Arial" w:cs="Arial"/>
          <w:color w:val="000000" w:themeColor="text1"/>
          <w:sz w:val="22"/>
          <w:lang w:val="es-ES_tradnl"/>
        </w:rPr>
        <w:t xml:space="preserve"> del 19 de noviembre de 2019</w:t>
      </w:r>
      <w:r w:rsidR="0043683F" w:rsidRPr="00222BE8">
        <w:rPr>
          <w:rFonts w:ascii="Arial" w:hAnsi="Arial" w:cs="Arial"/>
          <w:color w:val="000000" w:themeColor="text1"/>
          <w:sz w:val="22"/>
          <w:lang w:val="es-ES_tradnl"/>
        </w:rPr>
        <w:t>. Igualmente, abordó la definición, las características y la regulación de los contratos interadministrativos en los conceptos con radicado</w:t>
      </w:r>
      <w:r w:rsidR="008C3E2A" w:rsidRPr="00222BE8">
        <w:rPr>
          <w:rFonts w:ascii="Arial" w:hAnsi="Arial" w:cs="Arial"/>
          <w:color w:val="000000" w:themeColor="text1"/>
          <w:sz w:val="22"/>
          <w:lang w:val="es-ES_tradnl"/>
        </w:rPr>
        <w:t>:</w:t>
      </w:r>
      <w:r w:rsidR="00014624" w:rsidRPr="00222BE8">
        <w:rPr>
          <w:rFonts w:ascii="Arial" w:hAnsi="Arial" w:cs="Arial"/>
          <w:color w:val="000000" w:themeColor="text1"/>
          <w:sz w:val="22"/>
          <w:lang w:val="es-ES_tradnl"/>
        </w:rPr>
        <w:t xml:space="preserve"> C-023</w:t>
      </w:r>
      <w:r w:rsidR="00F30400" w:rsidRPr="00222BE8">
        <w:rPr>
          <w:rFonts w:ascii="Arial" w:hAnsi="Arial" w:cs="Arial"/>
          <w:color w:val="000000" w:themeColor="text1"/>
          <w:sz w:val="22"/>
          <w:lang w:val="es-ES_tradnl"/>
        </w:rPr>
        <w:t xml:space="preserve"> del 13 de febrero de 2020</w:t>
      </w:r>
      <w:r w:rsidR="004B5E2D" w:rsidRPr="00222BE8">
        <w:rPr>
          <w:rFonts w:ascii="Arial" w:hAnsi="Arial" w:cs="Arial"/>
          <w:color w:val="000000" w:themeColor="text1"/>
          <w:sz w:val="22"/>
          <w:lang w:val="es-ES_tradnl"/>
        </w:rPr>
        <w:t xml:space="preserve">, </w:t>
      </w:r>
      <w:r w:rsidR="00F71397" w:rsidRPr="00222BE8">
        <w:rPr>
          <w:rFonts w:ascii="Arial" w:hAnsi="Arial" w:cs="Arial"/>
          <w:color w:val="000000" w:themeColor="text1"/>
          <w:sz w:val="22"/>
          <w:lang w:val="es-ES_tradnl"/>
        </w:rPr>
        <w:t xml:space="preserve">C-086 del </w:t>
      </w:r>
      <w:r w:rsidR="000777E7" w:rsidRPr="00222BE8">
        <w:rPr>
          <w:rFonts w:ascii="Arial" w:hAnsi="Arial" w:cs="Arial"/>
          <w:color w:val="000000" w:themeColor="text1"/>
          <w:sz w:val="22"/>
          <w:lang w:val="es-ES_tradnl"/>
        </w:rPr>
        <w:t>16 de marzo de 2020</w:t>
      </w:r>
      <w:r w:rsidR="00440DB0" w:rsidRPr="00222BE8">
        <w:rPr>
          <w:rFonts w:ascii="Arial" w:hAnsi="Arial" w:cs="Arial"/>
          <w:color w:val="000000" w:themeColor="text1"/>
          <w:sz w:val="22"/>
          <w:lang w:val="es-ES_tradnl"/>
        </w:rPr>
        <w:t xml:space="preserve">, C-101 del 16 de marzo de 2020, </w:t>
      </w:r>
      <w:r w:rsidR="0028663B" w:rsidRPr="00222BE8">
        <w:rPr>
          <w:rFonts w:ascii="Arial" w:hAnsi="Arial" w:cs="Arial"/>
          <w:color w:val="000000" w:themeColor="text1"/>
          <w:sz w:val="22"/>
          <w:lang w:val="es-ES_tradnl"/>
        </w:rPr>
        <w:t>C-157 del 17 de marzo de 2020</w:t>
      </w:r>
      <w:r w:rsidR="00D5616F" w:rsidRPr="00222BE8">
        <w:rPr>
          <w:rFonts w:ascii="Arial" w:hAnsi="Arial" w:cs="Arial"/>
          <w:color w:val="000000" w:themeColor="text1"/>
          <w:sz w:val="22"/>
          <w:lang w:val="es-ES_tradnl"/>
        </w:rPr>
        <w:t>, C-158 del 3 de abril de 2020</w:t>
      </w:r>
      <w:r w:rsidR="00582480" w:rsidRPr="00222BE8">
        <w:rPr>
          <w:rFonts w:ascii="Arial" w:hAnsi="Arial" w:cs="Arial"/>
          <w:color w:val="000000" w:themeColor="text1"/>
          <w:sz w:val="22"/>
          <w:lang w:val="es-ES_tradnl"/>
        </w:rPr>
        <w:t xml:space="preserve"> y C-227 del 7 de abril de 2020.</w:t>
      </w:r>
      <w:r w:rsidR="00E53BCA" w:rsidRPr="00222BE8">
        <w:rPr>
          <w:rFonts w:ascii="Arial" w:hAnsi="Arial" w:cs="Arial"/>
          <w:color w:val="000000" w:themeColor="text1"/>
          <w:sz w:val="22"/>
          <w:lang w:val="es-ES_tradnl"/>
        </w:rPr>
        <w:t xml:space="preserve"> Del mismo modo</w:t>
      </w:r>
      <w:r w:rsidR="004836FE" w:rsidRPr="00222BE8">
        <w:rPr>
          <w:rFonts w:ascii="Arial" w:hAnsi="Arial" w:cs="Arial"/>
          <w:color w:val="000000" w:themeColor="text1"/>
          <w:sz w:val="22"/>
          <w:lang w:val="es-ES_tradnl"/>
        </w:rPr>
        <w:t xml:space="preserve">, estudió el alcance de los manuales internos de contratación de las entidades </w:t>
      </w:r>
      <w:r w:rsidR="008C3E2A" w:rsidRPr="00222BE8">
        <w:rPr>
          <w:rFonts w:ascii="Arial" w:hAnsi="Arial" w:cs="Arial"/>
          <w:color w:val="000000" w:themeColor="text1"/>
          <w:sz w:val="22"/>
          <w:lang w:val="es-ES_tradnl"/>
        </w:rPr>
        <w:t xml:space="preserve">exceptuadas de la aplicación del Estatuto General de Contratación de la Administración Pública en los conceptos con radicado: </w:t>
      </w:r>
      <w:r w:rsidR="00E31A4A" w:rsidRPr="00222BE8">
        <w:rPr>
          <w:rFonts w:ascii="Arial" w:hAnsi="Arial" w:cs="Arial"/>
          <w:color w:val="000000" w:themeColor="text1"/>
          <w:sz w:val="22"/>
          <w:lang w:val="es-ES_tradnl"/>
        </w:rPr>
        <w:t xml:space="preserve">C-147 del 17 de marzo de 2020, </w:t>
      </w:r>
      <w:r w:rsidR="00261715" w:rsidRPr="00222BE8">
        <w:rPr>
          <w:rFonts w:ascii="Arial" w:hAnsi="Arial" w:cs="Arial"/>
          <w:color w:val="000000" w:themeColor="text1"/>
          <w:sz w:val="22"/>
          <w:lang w:val="es-ES_tradnl"/>
        </w:rPr>
        <w:t>C-157 del 17 de marzo de 2020,</w:t>
      </w:r>
      <w:r w:rsidR="00B5196C" w:rsidRPr="00222BE8">
        <w:rPr>
          <w:rFonts w:ascii="Arial" w:hAnsi="Arial" w:cs="Arial"/>
          <w:color w:val="000000" w:themeColor="text1"/>
          <w:sz w:val="22"/>
          <w:lang w:val="es-ES_tradnl"/>
        </w:rPr>
        <w:t xml:space="preserve"> C-191</w:t>
      </w:r>
      <w:r w:rsidR="0054275A" w:rsidRPr="00222BE8">
        <w:rPr>
          <w:rFonts w:ascii="Arial" w:hAnsi="Arial" w:cs="Arial"/>
          <w:color w:val="000000" w:themeColor="text1"/>
          <w:sz w:val="22"/>
          <w:lang w:val="es-ES_tradnl"/>
        </w:rPr>
        <w:t xml:space="preserve"> del 16 de marzo de 2020 y </w:t>
      </w:r>
      <w:r w:rsidR="007573E1" w:rsidRPr="00222BE8">
        <w:rPr>
          <w:rFonts w:ascii="Arial" w:hAnsi="Arial" w:cs="Arial"/>
          <w:color w:val="000000" w:themeColor="text1"/>
          <w:sz w:val="22"/>
          <w:lang w:val="es-ES_tradnl"/>
        </w:rPr>
        <w:t xml:space="preserve">C-168 del </w:t>
      </w:r>
      <w:r w:rsidR="00A71EA7" w:rsidRPr="00222BE8">
        <w:rPr>
          <w:rFonts w:ascii="Arial" w:hAnsi="Arial" w:cs="Arial"/>
          <w:color w:val="000000" w:themeColor="text1"/>
          <w:sz w:val="22"/>
          <w:lang w:val="es-ES_tradnl"/>
        </w:rPr>
        <w:t xml:space="preserve">31 de marzo de 2020, </w:t>
      </w:r>
      <w:r w:rsidR="00857E78" w:rsidRPr="00222BE8">
        <w:rPr>
          <w:rFonts w:ascii="Arial" w:hAnsi="Arial" w:cs="Arial"/>
          <w:color w:val="000000" w:themeColor="text1"/>
          <w:sz w:val="22"/>
          <w:lang w:val="es-ES_tradnl"/>
        </w:rPr>
        <w:t>C-158 del 3 de abril de 2020</w:t>
      </w:r>
      <w:r w:rsidR="00FB731C" w:rsidRPr="00222BE8">
        <w:rPr>
          <w:rFonts w:ascii="Arial" w:hAnsi="Arial" w:cs="Arial"/>
          <w:color w:val="000000" w:themeColor="text1"/>
          <w:sz w:val="22"/>
          <w:lang w:val="es-ES_tradnl"/>
        </w:rPr>
        <w:t xml:space="preserve">. Las tesis expuestas en aquellas oportunidades se </w:t>
      </w:r>
      <w:r w:rsidR="00CE020E" w:rsidRPr="00222BE8">
        <w:rPr>
          <w:rFonts w:ascii="Arial" w:hAnsi="Arial" w:cs="Arial"/>
          <w:color w:val="000000" w:themeColor="text1"/>
          <w:sz w:val="22"/>
          <w:lang w:val="es-ES_tradnl"/>
        </w:rPr>
        <w:t>reitera</w:t>
      </w:r>
      <w:r w:rsidR="00FB731C" w:rsidRPr="00222BE8">
        <w:rPr>
          <w:rFonts w:ascii="Arial" w:hAnsi="Arial" w:cs="Arial"/>
          <w:color w:val="000000" w:themeColor="text1"/>
          <w:sz w:val="22"/>
          <w:lang w:val="es-ES_tradnl"/>
        </w:rPr>
        <w:t>n</w:t>
      </w:r>
      <w:r w:rsidR="00CE020E" w:rsidRPr="00222BE8">
        <w:rPr>
          <w:rFonts w:ascii="Arial" w:hAnsi="Arial" w:cs="Arial"/>
          <w:color w:val="000000" w:themeColor="text1"/>
          <w:sz w:val="22"/>
          <w:lang w:val="es-ES_tradnl"/>
        </w:rPr>
        <w:t xml:space="preserve"> a continuación y se complementa</w:t>
      </w:r>
      <w:r w:rsidR="00FB731C" w:rsidRPr="00222BE8">
        <w:rPr>
          <w:rFonts w:ascii="Arial" w:hAnsi="Arial" w:cs="Arial"/>
          <w:color w:val="000000" w:themeColor="text1"/>
          <w:sz w:val="22"/>
          <w:lang w:val="es-ES_tradnl"/>
        </w:rPr>
        <w:t>n</w:t>
      </w:r>
      <w:r w:rsidR="00CE020E" w:rsidRPr="00222BE8">
        <w:rPr>
          <w:rFonts w:ascii="Arial" w:hAnsi="Arial" w:cs="Arial"/>
          <w:color w:val="000000" w:themeColor="text1"/>
          <w:sz w:val="22"/>
          <w:lang w:val="es-ES_tradnl"/>
        </w:rPr>
        <w:t xml:space="preserve"> con algunas ideas relacionadas con la consulta objeto de análisis.</w:t>
      </w:r>
    </w:p>
    <w:p w14:paraId="1D3899FF" w14:textId="1C351F8B" w:rsidR="0093194F" w:rsidRPr="00222BE8" w:rsidRDefault="0093194F" w:rsidP="00DF76A2">
      <w:pPr>
        <w:tabs>
          <w:tab w:val="left" w:pos="0"/>
        </w:tabs>
        <w:spacing w:line="276" w:lineRule="auto"/>
        <w:jc w:val="both"/>
        <w:rPr>
          <w:rFonts w:ascii="Arial" w:eastAsia="Calibri" w:hAnsi="Arial" w:cs="Arial"/>
          <w:b/>
          <w:color w:val="000000" w:themeColor="text1"/>
          <w:sz w:val="22"/>
          <w:lang w:val="es-ES_tradnl"/>
        </w:rPr>
      </w:pPr>
    </w:p>
    <w:p w14:paraId="3D07C654" w14:textId="5A015C22" w:rsidR="00110F61" w:rsidRPr="00222BE8" w:rsidRDefault="00110F61" w:rsidP="00DF76A2">
      <w:pPr>
        <w:tabs>
          <w:tab w:val="left" w:pos="0"/>
        </w:tabs>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 xml:space="preserve">2.1. </w:t>
      </w:r>
      <w:r w:rsidR="00DD2A62" w:rsidRPr="00222BE8">
        <w:rPr>
          <w:rFonts w:ascii="Arial" w:eastAsia="Calibri" w:hAnsi="Arial" w:cs="Arial"/>
          <w:b/>
          <w:color w:val="000000" w:themeColor="text1"/>
          <w:sz w:val="22"/>
          <w:lang w:val="es-ES_tradnl"/>
        </w:rPr>
        <w:t>C</w:t>
      </w:r>
      <w:r w:rsidR="00D03D2D" w:rsidRPr="00222BE8">
        <w:rPr>
          <w:rFonts w:ascii="Arial" w:eastAsia="Calibri" w:hAnsi="Arial" w:cs="Arial"/>
          <w:b/>
          <w:color w:val="000000" w:themeColor="text1"/>
          <w:sz w:val="22"/>
          <w:lang w:val="es-ES_tradnl"/>
        </w:rPr>
        <w:t>ontrato de fiducia mercantil</w:t>
      </w:r>
      <w:r w:rsidR="00DD2A62" w:rsidRPr="00222BE8">
        <w:rPr>
          <w:rFonts w:ascii="Arial" w:eastAsia="Calibri" w:hAnsi="Arial" w:cs="Arial"/>
          <w:b/>
          <w:color w:val="000000" w:themeColor="text1"/>
          <w:sz w:val="22"/>
          <w:lang w:val="es-ES_tradnl"/>
        </w:rPr>
        <w:t xml:space="preserve"> y la capacidad contractual del patrimonio autónomo</w:t>
      </w:r>
    </w:p>
    <w:p w14:paraId="798BA0F7" w14:textId="7CAB1E76" w:rsidR="00110F61" w:rsidRPr="00222BE8" w:rsidRDefault="00110F61" w:rsidP="00DF76A2">
      <w:pPr>
        <w:tabs>
          <w:tab w:val="left" w:pos="0"/>
        </w:tabs>
        <w:spacing w:line="276" w:lineRule="auto"/>
        <w:jc w:val="both"/>
        <w:rPr>
          <w:rFonts w:ascii="Arial" w:eastAsia="Calibri" w:hAnsi="Arial" w:cs="Arial"/>
          <w:b/>
          <w:color w:val="000000" w:themeColor="text1"/>
          <w:sz w:val="22"/>
          <w:lang w:val="es-ES_tradnl"/>
        </w:rPr>
      </w:pPr>
    </w:p>
    <w:p w14:paraId="6173FF3B" w14:textId="2A2CC97F" w:rsidR="006D712D" w:rsidRPr="00222BE8" w:rsidRDefault="007C7C43" w:rsidP="00E86DC2">
      <w:pPr>
        <w:pStyle w:val="Textoindependiente"/>
        <w:spacing w:after="0"/>
        <w:jc w:val="both"/>
        <w:rPr>
          <w:rFonts w:ascii="Arial" w:hAnsi="Arial" w:cs="Arial"/>
          <w:lang w:val="es-ES_tradnl"/>
        </w:rPr>
      </w:pPr>
      <w:r w:rsidRPr="00222BE8">
        <w:rPr>
          <w:rFonts w:ascii="Arial" w:hAnsi="Arial" w:cs="Arial"/>
          <w:lang w:val="es-ES_tradnl"/>
        </w:rPr>
        <w:t>Esta Subdirección</w:t>
      </w:r>
      <w:r w:rsidR="004B5BE7" w:rsidRPr="00222BE8">
        <w:rPr>
          <w:rFonts w:ascii="Arial" w:hAnsi="Arial" w:cs="Arial"/>
          <w:lang w:val="es-ES_tradnl"/>
        </w:rPr>
        <w:t>,</w:t>
      </w:r>
      <w:r w:rsidRPr="00222BE8">
        <w:rPr>
          <w:rFonts w:ascii="Arial" w:hAnsi="Arial" w:cs="Arial"/>
          <w:lang w:val="es-ES_tradnl"/>
        </w:rPr>
        <w:t xml:space="preserve"> en</w:t>
      </w:r>
      <w:r w:rsidR="00413262" w:rsidRPr="00222BE8">
        <w:rPr>
          <w:rFonts w:ascii="Arial" w:hAnsi="Arial" w:cs="Arial"/>
          <w:lang w:val="es-ES_tradnl"/>
        </w:rPr>
        <w:t xml:space="preserve"> </w:t>
      </w:r>
      <w:r w:rsidRPr="00222BE8">
        <w:rPr>
          <w:rFonts w:ascii="Arial" w:hAnsi="Arial" w:cs="Arial"/>
          <w:lang w:val="es-ES_tradnl"/>
        </w:rPr>
        <w:t>Concepto</w:t>
      </w:r>
      <w:r w:rsidR="00413262" w:rsidRPr="00222BE8">
        <w:rPr>
          <w:rFonts w:ascii="Arial" w:hAnsi="Arial" w:cs="Arial"/>
          <w:lang w:val="es-ES_tradnl"/>
        </w:rPr>
        <w:t xml:space="preserve"> con radicado </w:t>
      </w:r>
      <w:r w:rsidR="009761ED" w:rsidRPr="00222BE8">
        <w:rPr>
          <w:rFonts w:ascii="Arial" w:hAnsi="Arial" w:cs="Arial"/>
          <w:lang w:val="es-ES_tradnl"/>
        </w:rPr>
        <w:t xml:space="preserve">No. </w:t>
      </w:r>
      <w:r w:rsidR="00413262" w:rsidRPr="00222BE8">
        <w:rPr>
          <w:rFonts w:ascii="Arial" w:hAnsi="Arial" w:cs="Arial"/>
          <w:lang w:val="es-ES_tradnl"/>
        </w:rPr>
        <w:t xml:space="preserve">2201913000008612 del </w:t>
      </w:r>
      <w:r w:rsidR="00E36345" w:rsidRPr="00222BE8">
        <w:rPr>
          <w:rFonts w:ascii="Arial" w:hAnsi="Arial" w:cs="Arial"/>
          <w:lang w:val="es-ES_tradnl"/>
        </w:rPr>
        <w:t xml:space="preserve">19 de noviembre de 2019, indicó que </w:t>
      </w:r>
      <w:r w:rsidR="00E86DC2" w:rsidRPr="00222BE8">
        <w:rPr>
          <w:rFonts w:ascii="Arial" w:hAnsi="Arial" w:cs="Arial"/>
          <w:lang w:val="es-ES_tradnl"/>
        </w:rPr>
        <w:t>e</w:t>
      </w:r>
      <w:r w:rsidR="006D712D" w:rsidRPr="00222BE8">
        <w:rPr>
          <w:rFonts w:ascii="Arial" w:hAnsi="Arial" w:cs="Arial"/>
          <w:lang w:val="es-ES_tradnl"/>
        </w:rPr>
        <w:t>l Código de Comercio define el contrato de fiducia mercantil en su artículo 1</w:t>
      </w:r>
      <w:r w:rsidR="00E86DC2" w:rsidRPr="00222BE8">
        <w:rPr>
          <w:rFonts w:ascii="Arial" w:hAnsi="Arial" w:cs="Arial"/>
          <w:lang w:val="es-ES_tradnl"/>
        </w:rPr>
        <w:t>.</w:t>
      </w:r>
      <w:r w:rsidR="006D712D" w:rsidRPr="00222BE8">
        <w:rPr>
          <w:rFonts w:ascii="Arial" w:hAnsi="Arial" w:cs="Arial"/>
          <w:lang w:val="es-ES_tradnl"/>
        </w:rPr>
        <w:t>226, estableciendo como elementos característicos del negocio jurídico: i) la existencia de al menos dos sujetos</w:t>
      </w:r>
      <w:r w:rsidR="00C14FF6">
        <w:rPr>
          <w:rFonts w:ascii="Arial" w:hAnsi="Arial" w:cs="Arial"/>
          <w:lang w:val="es-ES_tradnl"/>
        </w:rPr>
        <w:t xml:space="preserve">: </w:t>
      </w:r>
      <w:r w:rsidR="006D712D" w:rsidRPr="00222BE8">
        <w:rPr>
          <w:rFonts w:ascii="Arial" w:hAnsi="Arial" w:cs="Arial"/>
          <w:lang w:val="es-ES_tradnl"/>
        </w:rPr>
        <w:t>fiduciante y fiduciario y ii) la transferencia de los bienes fideicomitidos, con el siguiente tenor:</w:t>
      </w:r>
    </w:p>
    <w:p w14:paraId="78D16245" w14:textId="77777777" w:rsidR="00E86DC2" w:rsidRPr="00222BE8" w:rsidRDefault="00E86DC2" w:rsidP="00DF76A2">
      <w:pPr>
        <w:ind w:left="1008" w:right="956"/>
        <w:jc w:val="both"/>
        <w:rPr>
          <w:rFonts w:ascii="Arial" w:hAnsi="Arial" w:cs="Arial"/>
          <w:sz w:val="21"/>
          <w:lang w:val="es-ES_tradnl"/>
        </w:rPr>
      </w:pPr>
    </w:p>
    <w:p w14:paraId="0BEFFC9D" w14:textId="6C90D975" w:rsidR="00940477" w:rsidRPr="00222BE8" w:rsidRDefault="006D712D" w:rsidP="00940477">
      <w:pPr>
        <w:ind w:left="709" w:right="709"/>
        <w:jc w:val="both"/>
        <w:rPr>
          <w:rFonts w:ascii="Arial" w:hAnsi="Arial" w:cs="Arial"/>
          <w:sz w:val="21"/>
          <w:lang w:val="es-ES_tradnl"/>
        </w:rPr>
      </w:pPr>
      <w:r w:rsidRPr="00222BE8">
        <w:rPr>
          <w:rFonts w:ascii="Arial" w:hAnsi="Arial"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222BE8">
        <w:rPr>
          <w:rFonts w:ascii="Arial" w:hAnsi="Arial" w:cs="Arial"/>
          <w:spacing w:val="-5"/>
          <w:sz w:val="21"/>
          <w:lang w:val="es-ES_tradnl"/>
        </w:rPr>
        <w:t xml:space="preserve"> </w:t>
      </w:r>
      <w:r w:rsidRPr="00222BE8">
        <w:rPr>
          <w:rFonts w:ascii="Arial" w:hAnsi="Arial" w:cs="Arial"/>
          <w:sz w:val="21"/>
          <w:lang w:val="es-ES_tradnl"/>
        </w:rPr>
        <w:t>fideicomisario.</w:t>
      </w:r>
    </w:p>
    <w:p w14:paraId="47F58B99" w14:textId="77777777" w:rsidR="00940477" w:rsidRPr="00222BE8" w:rsidRDefault="00940477" w:rsidP="00940477">
      <w:pPr>
        <w:ind w:left="709" w:right="709"/>
        <w:jc w:val="both"/>
        <w:rPr>
          <w:rFonts w:ascii="Arial" w:hAnsi="Arial" w:cs="Arial"/>
          <w:sz w:val="21"/>
          <w:lang w:val="es-ES_tradnl"/>
        </w:rPr>
      </w:pPr>
    </w:p>
    <w:p w14:paraId="4C73CF70" w14:textId="4D8FFD5E" w:rsidR="006D712D" w:rsidRPr="00222BE8" w:rsidRDefault="006D712D" w:rsidP="00940477">
      <w:pPr>
        <w:ind w:left="709" w:right="709"/>
        <w:jc w:val="both"/>
        <w:rPr>
          <w:rFonts w:ascii="Arial" w:hAnsi="Arial" w:cs="Arial"/>
          <w:sz w:val="21"/>
          <w:lang w:val="es-ES_tradnl"/>
        </w:rPr>
      </w:pPr>
      <w:r w:rsidRPr="00222BE8">
        <w:rPr>
          <w:rFonts w:ascii="Arial" w:hAnsi="Arial" w:cs="Arial"/>
          <w:sz w:val="21"/>
          <w:lang w:val="es-ES_tradnl"/>
        </w:rPr>
        <w:t>Una persona puede ser al mismo tiempo fiduciante y beneficiario.</w:t>
      </w:r>
    </w:p>
    <w:p w14:paraId="27F7E820" w14:textId="77777777" w:rsidR="00940477" w:rsidRPr="00222BE8" w:rsidRDefault="00940477" w:rsidP="00940477">
      <w:pPr>
        <w:ind w:left="709" w:right="709"/>
        <w:jc w:val="both"/>
        <w:rPr>
          <w:rFonts w:ascii="Arial" w:hAnsi="Arial" w:cs="Arial"/>
          <w:sz w:val="21"/>
          <w:lang w:val="es-ES_tradnl"/>
        </w:rPr>
      </w:pPr>
    </w:p>
    <w:p w14:paraId="11E9D9A7" w14:textId="77777777" w:rsidR="006D712D" w:rsidRPr="00222BE8" w:rsidRDefault="006D712D" w:rsidP="00940477">
      <w:pPr>
        <w:ind w:left="709" w:right="709"/>
        <w:jc w:val="both"/>
        <w:rPr>
          <w:rFonts w:ascii="Arial" w:hAnsi="Arial" w:cs="Arial"/>
          <w:sz w:val="21"/>
          <w:lang w:val="es-ES_tradnl"/>
        </w:rPr>
      </w:pPr>
      <w:r w:rsidRPr="00222BE8">
        <w:rPr>
          <w:rFonts w:ascii="Arial" w:hAnsi="Arial" w:cs="Arial"/>
          <w:sz w:val="21"/>
          <w:lang w:val="es-ES_tradnl"/>
        </w:rPr>
        <w:t>Solo los establecimientos de crédito y las sociedades fiduciarias, especialmente autorizados por la Superintendencia Bancaria, podrán tener la calidad de fiduciarios.</w:t>
      </w:r>
    </w:p>
    <w:p w14:paraId="534F869A" w14:textId="77777777" w:rsidR="006D712D" w:rsidRPr="00222BE8" w:rsidRDefault="006D712D" w:rsidP="00534B59">
      <w:pPr>
        <w:pStyle w:val="Textoindependiente"/>
        <w:spacing w:before="2" w:after="0" w:line="240" w:lineRule="auto"/>
        <w:ind w:left="709" w:right="709"/>
        <w:jc w:val="both"/>
        <w:rPr>
          <w:rFonts w:ascii="Arial" w:hAnsi="Arial" w:cs="Arial"/>
          <w:sz w:val="21"/>
          <w:lang w:val="es-ES_tradnl"/>
        </w:rPr>
      </w:pPr>
    </w:p>
    <w:p w14:paraId="22933D4E" w14:textId="2BC1185E" w:rsidR="00EC7637" w:rsidRPr="00222BE8" w:rsidRDefault="006D712D" w:rsidP="00EC7637">
      <w:pPr>
        <w:pStyle w:val="Textoindependiente"/>
        <w:ind w:firstLine="709"/>
        <w:jc w:val="both"/>
        <w:rPr>
          <w:rFonts w:ascii="Arial" w:hAnsi="Arial" w:cs="Arial"/>
          <w:lang w:val="es-ES_tradnl"/>
        </w:rPr>
      </w:pPr>
      <w:r w:rsidRPr="00222BE8">
        <w:rPr>
          <w:rFonts w:ascii="Arial" w:hAnsi="Arial" w:cs="Arial"/>
          <w:lang w:val="es-ES_tradnl"/>
        </w:rPr>
        <w:t xml:space="preserve">Dadas estas características particulares, el contrato de fiducia mercantil es diferente del contrato de fiducia pública, regulado en </w:t>
      </w:r>
      <w:r w:rsidR="00940477" w:rsidRPr="00222BE8">
        <w:rPr>
          <w:rFonts w:ascii="Arial" w:hAnsi="Arial" w:cs="Arial"/>
          <w:lang w:val="es-ES_tradnl"/>
        </w:rPr>
        <w:t xml:space="preserve">el </w:t>
      </w:r>
      <w:r w:rsidR="00FE72A0" w:rsidRPr="00222BE8">
        <w:rPr>
          <w:rFonts w:ascii="Arial" w:hAnsi="Arial" w:cs="Arial"/>
          <w:lang w:val="es-ES_tradnl"/>
        </w:rPr>
        <w:t xml:space="preserve">numeral 5º del </w:t>
      </w:r>
      <w:r w:rsidR="00940477" w:rsidRPr="00222BE8">
        <w:rPr>
          <w:rFonts w:ascii="Arial" w:hAnsi="Arial" w:cs="Arial"/>
          <w:lang w:val="es-ES_tradnl"/>
        </w:rPr>
        <w:t>artículo 32 de la</w:t>
      </w:r>
      <w:r w:rsidRPr="00222BE8">
        <w:rPr>
          <w:rFonts w:ascii="Arial" w:hAnsi="Arial" w:cs="Arial"/>
          <w:lang w:val="es-ES_tradnl"/>
        </w:rPr>
        <w:t xml:space="preserve"> Ley 80 de 1993</w:t>
      </w:r>
      <w:r w:rsidRPr="00222BE8">
        <w:rPr>
          <w:rStyle w:val="Refdenotaalpie"/>
          <w:rFonts w:ascii="Arial" w:hAnsi="Arial" w:cs="Arial"/>
          <w:lang w:val="es-ES_tradnl"/>
        </w:rPr>
        <w:footnoteReference w:id="4"/>
      </w:r>
      <w:r w:rsidRPr="00222BE8">
        <w:rPr>
          <w:rFonts w:ascii="Arial" w:hAnsi="Arial" w:cs="Arial"/>
          <w:lang w:val="es-ES_tradnl"/>
        </w:rPr>
        <w:t>, pues este</w:t>
      </w:r>
      <w:r w:rsidR="00E60B5F" w:rsidRPr="00222BE8">
        <w:rPr>
          <w:rFonts w:ascii="Arial" w:hAnsi="Arial" w:cs="Arial"/>
          <w:spacing w:val="52"/>
          <w:lang w:val="es-ES_tradnl"/>
        </w:rPr>
        <w:t xml:space="preserve"> </w:t>
      </w:r>
      <w:r w:rsidRPr="00222BE8">
        <w:rPr>
          <w:rFonts w:ascii="Arial" w:hAnsi="Arial" w:cs="Arial"/>
          <w:lang w:val="es-ES_tradnl"/>
        </w:rPr>
        <w:t xml:space="preserve">último </w:t>
      </w:r>
      <w:r w:rsidR="00831026">
        <w:rPr>
          <w:rFonts w:ascii="Arial" w:hAnsi="Arial" w:cs="Arial"/>
          <w:lang w:val="es-ES_tradnl"/>
        </w:rPr>
        <w:t>«</w:t>
      </w:r>
      <w:r w:rsidRPr="00222BE8">
        <w:rPr>
          <w:rFonts w:ascii="Arial" w:hAnsi="Arial" w:cs="Arial"/>
          <w:lang w:val="es-ES_tradnl"/>
        </w:rPr>
        <w:t xml:space="preserve">nunca implicará transferencia de dominio sobre bienes o recursos </w:t>
      </w:r>
      <w:r w:rsidRPr="00222BE8">
        <w:rPr>
          <w:rFonts w:ascii="Arial" w:hAnsi="Arial" w:cs="Arial"/>
          <w:lang w:val="es-ES_tradnl"/>
        </w:rPr>
        <w:lastRenderedPageBreak/>
        <w:t>estatales, ni constituirá patrimonio autónomo del propio de la respectiva entidad oficial</w:t>
      </w:r>
      <w:r w:rsidR="00831026">
        <w:rPr>
          <w:rFonts w:ascii="Arial" w:hAnsi="Arial" w:cs="Arial"/>
          <w:lang w:val="es-ES_tradnl"/>
        </w:rPr>
        <w:t>»</w:t>
      </w:r>
      <w:r w:rsidRPr="00222BE8">
        <w:rPr>
          <w:rFonts w:ascii="Arial" w:hAnsi="Arial" w:cs="Arial"/>
          <w:lang w:val="es-ES_tradnl"/>
        </w:rPr>
        <w:t xml:space="preserve">. </w:t>
      </w:r>
      <w:r w:rsidR="00E60B5F" w:rsidRPr="00222BE8">
        <w:rPr>
          <w:rFonts w:ascii="Arial" w:hAnsi="Arial" w:cs="Arial"/>
          <w:lang w:val="es-ES_tradnl"/>
        </w:rPr>
        <w:t>Así lo consideró l</w:t>
      </w:r>
      <w:r w:rsidRPr="00222BE8">
        <w:rPr>
          <w:rFonts w:ascii="Arial" w:hAnsi="Arial" w:cs="Arial"/>
          <w:lang w:val="es-ES_tradnl"/>
        </w:rPr>
        <w:t>a Corte Constitucional, en la sentencia C-086 de 1995</w:t>
      </w:r>
      <w:r w:rsidR="00E60B5F" w:rsidRPr="00222BE8">
        <w:rPr>
          <w:rFonts w:ascii="Arial" w:hAnsi="Arial" w:cs="Arial"/>
          <w:lang w:val="es-ES_tradnl"/>
        </w:rPr>
        <w:t xml:space="preserve"> –</w:t>
      </w:r>
      <w:r w:rsidR="00E36C86" w:rsidRPr="00222BE8">
        <w:rPr>
          <w:rFonts w:ascii="Arial" w:hAnsi="Arial" w:cs="Arial"/>
          <w:lang w:val="es-ES_tradnl"/>
        </w:rPr>
        <w:t>expedida con ponencia del Magistrado</w:t>
      </w:r>
      <w:r w:rsidRPr="00222BE8">
        <w:rPr>
          <w:rFonts w:ascii="Arial" w:hAnsi="Arial" w:cs="Arial"/>
          <w:lang w:val="es-ES_tradnl"/>
        </w:rPr>
        <w:t xml:space="preserve"> Vladimiro Naranjo Mesa</w:t>
      </w:r>
      <w:r w:rsidR="00E36C86" w:rsidRPr="00222BE8">
        <w:rPr>
          <w:rFonts w:ascii="Arial" w:hAnsi="Arial" w:cs="Arial"/>
          <w:lang w:val="es-ES_tradnl"/>
        </w:rPr>
        <w:t>–</w:t>
      </w:r>
      <w:r w:rsidRPr="00222BE8">
        <w:rPr>
          <w:rFonts w:ascii="Arial" w:hAnsi="Arial" w:cs="Arial"/>
          <w:lang w:val="es-ES_tradnl"/>
        </w:rPr>
        <w:t xml:space="preserve">, </w:t>
      </w:r>
      <w:r w:rsidR="00E36C86" w:rsidRPr="00222BE8">
        <w:rPr>
          <w:rFonts w:ascii="Arial" w:hAnsi="Arial" w:cs="Arial"/>
          <w:lang w:val="es-ES_tradnl"/>
        </w:rPr>
        <w:t>al señalar</w:t>
      </w:r>
      <w:r w:rsidRPr="00222BE8">
        <w:rPr>
          <w:rFonts w:ascii="Arial" w:hAnsi="Arial" w:cs="Arial"/>
          <w:lang w:val="es-ES_tradnl"/>
        </w:rPr>
        <w:t xml:space="preserve"> que la Ley 80 de 1993 creó un contrato nuevo y autónomo al del Código de</w:t>
      </w:r>
      <w:r w:rsidRPr="00222BE8">
        <w:rPr>
          <w:rFonts w:ascii="Arial" w:hAnsi="Arial" w:cs="Arial"/>
          <w:spacing w:val="-27"/>
          <w:lang w:val="es-ES_tradnl"/>
        </w:rPr>
        <w:t xml:space="preserve"> </w:t>
      </w:r>
      <w:r w:rsidRPr="00222BE8">
        <w:rPr>
          <w:rFonts w:ascii="Arial" w:hAnsi="Arial" w:cs="Arial"/>
          <w:lang w:val="es-ES_tradnl"/>
        </w:rPr>
        <w:t>Comercio</w:t>
      </w:r>
      <w:r w:rsidR="00E36C86" w:rsidRPr="00222BE8">
        <w:rPr>
          <w:rStyle w:val="Refdenotaalpie"/>
          <w:rFonts w:ascii="Arial" w:hAnsi="Arial" w:cs="Arial"/>
          <w:lang w:val="es-ES_tradnl"/>
        </w:rPr>
        <w:footnoteReference w:id="5"/>
      </w:r>
      <w:r w:rsidR="00E36C86" w:rsidRPr="00222BE8">
        <w:rPr>
          <w:rFonts w:ascii="Arial" w:hAnsi="Arial" w:cs="Arial"/>
          <w:lang w:val="es-ES_tradnl"/>
        </w:rPr>
        <w:t>.</w:t>
      </w:r>
    </w:p>
    <w:p w14:paraId="55EF65AA" w14:textId="73DDFCE7" w:rsidR="00D31FF9" w:rsidRPr="00222BE8" w:rsidRDefault="006D712D" w:rsidP="00EA5669">
      <w:pPr>
        <w:pStyle w:val="Textoindependiente"/>
        <w:ind w:firstLine="709"/>
        <w:jc w:val="both"/>
        <w:rPr>
          <w:rFonts w:ascii="Arial" w:hAnsi="Arial" w:cs="Arial"/>
          <w:lang w:val="es-ES_tradnl"/>
        </w:rPr>
      </w:pPr>
      <w:r w:rsidRPr="00222BE8">
        <w:rPr>
          <w:rFonts w:ascii="Arial" w:hAnsi="Arial" w:cs="Arial"/>
          <w:lang w:val="es-ES_tradnl"/>
        </w:rPr>
        <w:lastRenderedPageBreak/>
        <w:t>De la jurisprudencia constitucional se entiende que las entidades estatales pueden suscribir contratos de fiducia mercantil</w:t>
      </w:r>
      <w:r w:rsidR="00EC7637" w:rsidRPr="00222BE8">
        <w:rPr>
          <w:rFonts w:ascii="Arial" w:hAnsi="Arial" w:cs="Arial"/>
          <w:lang w:val="es-ES_tradnl"/>
        </w:rPr>
        <w:t>.</w:t>
      </w:r>
      <w:r w:rsidRPr="00222BE8">
        <w:rPr>
          <w:rFonts w:ascii="Arial" w:hAnsi="Arial" w:cs="Arial"/>
          <w:lang w:val="es-ES_tradnl"/>
        </w:rPr>
        <w:t xml:space="preserve"> </w:t>
      </w:r>
      <w:r w:rsidR="00EC7637" w:rsidRPr="00222BE8">
        <w:rPr>
          <w:rFonts w:ascii="Arial" w:hAnsi="Arial" w:cs="Arial"/>
          <w:lang w:val="es-ES_tradnl"/>
        </w:rPr>
        <w:t>S</w:t>
      </w:r>
      <w:r w:rsidRPr="00222BE8">
        <w:rPr>
          <w:rFonts w:ascii="Arial" w:hAnsi="Arial" w:cs="Arial"/>
          <w:lang w:val="es-ES_tradnl"/>
        </w:rPr>
        <w:t>in embargo, la Sala de Consulta y Servicio Civil del Consejo de Estado, en concepto del 4 de marzo de 1998, con radicado número 1</w:t>
      </w:r>
      <w:r w:rsidR="00BF2AD4">
        <w:rPr>
          <w:rFonts w:ascii="Arial" w:hAnsi="Arial" w:cs="Arial"/>
          <w:lang w:val="es-ES_tradnl"/>
        </w:rPr>
        <w:t>.</w:t>
      </w:r>
      <w:r w:rsidRPr="00222BE8">
        <w:rPr>
          <w:rFonts w:ascii="Arial" w:hAnsi="Arial" w:cs="Arial"/>
          <w:lang w:val="es-ES_tradnl"/>
        </w:rPr>
        <w:t>074</w:t>
      </w:r>
      <w:r w:rsidR="00616C2B" w:rsidRPr="00222BE8">
        <w:rPr>
          <w:rFonts w:ascii="Arial" w:hAnsi="Arial" w:cs="Arial"/>
          <w:lang w:val="es-ES_tradnl"/>
        </w:rPr>
        <w:t xml:space="preserve"> –C</w:t>
      </w:r>
      <w:r w:rsidRPr="00222BE8">
        <w:rPr>
          <w:rFonts w:ascii="Arial" w:hAnsi="Arial" w:cs="Arial"/>
          <w:lang w:val="es-ES_tradnl"/>
        </w:rPr>
        <w:t xml:space="preserve">onsejero </w:t>
      </w:r>
      <w:r w:rsidR="00616C2B" w:rsidRPr="00222BE8">
        <w:rPr>
          <w:rFonts w:ascii="Arial" w:hAnsi="Arial" w:cs="Arial"/>
          <w:lang w:val="es-ES_tradnl"/>
        </w:rPr>
        <w:t>P</w:t>
      </w:r>
      <w:r w:rsidRPr="00222BE8">
        <w:rPr>
          <w:rFonts w:ascii="Arial" w:hAnsi="Arial" w:cs="Arial"/>
          <w:lang w:val="es-ES_tradnl"/>
        </w:rPr>
        <w:t>onente</w:t>
      </w:r>
      <w:r w:rsidR="00616C2B" w:rsidRPr="00222BE8">
        <w:rPr>
          <w:rFonts w:ascii="Arial" w:hAnsi="Arial" w:cs="Arial"/>
          <w:lang w:val="es-ES_tradnl"/>
        </w:rPr>
        <w:t>:</w:t>
      </w:r>
      <w:r w:rsidRPr="00222BE8">
        <w:rPr>
          <w:rFonts w:ascii="Arial" w:hAnsi="Arial" w:cs="Arial"/>
          <w:lang w:val="es-ES_tradnl"/>
        </w:rPr>
        <w:t xml:space="preserve"> Cesar Hoyos Salazar</w:t>
      </w:r>
      <w:r w:rsidR="00616C2B" w:rsidRPr="00222BE8">
        <w:rPr>
          <w:rFonts w:ascii="Arial" w:hAnsi="Arial" w:cs="Arial"/>
          <w:lang w:val="es-ES_tradnl"/>
        </w:rPr>
        <w:t>–</w:t>
      </w:r>
      <w:r w:rsidRPr="00222BE8">
        <w:rPr>
          <w:rFonts w:ascii="Arial" w:hAnsi="Arial" w:cs="Arial"/>
          <w:lang w:val="es-ES_tradnl"/>
        </w:rPr>
        <w:t>, consider</w:t>
      </w:r>
      <w:r w:rsidR="00616C2B" w:rsidRPr="00222BE8">
        <w:rPr>
          <w:rFonts w:ascii="Arial" w:hAnsi="Arial" w:cs="Arial"/>
          <w:lang w:val="es-ES_tradnl"/>
        </w:rPr>
        <w:t>ó</w:t>
      </w:r>
      <w:r w:rsidRPr="00222BE8">
        <w:rPr>
          <w:rFonts w:ascii="Arial" w:hAnsi="Arial" w:cs="Arial"/>
          <w:lang w:val="es-ES_tradnl"/>
        </w:rPr>
        <w:t xml:space="preserve"> que la Ley 80 de 1993 tiene como objetivo restringir los negocios fiduciarios que pueden celebrar los entes públicos, y por ello, a pesar de que el contrato de fiducia p</w:t>
      </w:r>
      <w:r w:rsidR="00827CC0" w:rsidRPr="00222BE8">
        <w:rPr>
          <w:rFonts w:ascii="Arial" w:hAnsi="Arial" w:cs="Arial"/>
          <w:lang w:val="es-ES_tradnl"/>
        </w:rPr>
        <w:t>ú</w:t>
      </w:r>
      <w:r w:rsidRPr="00222BE8">
        <w:rPr>
          <w:rFonts w:ascii="Arial" w:hAnsi="Arial" w:cs="Arial"/>
          <w:lang w:val="es-ES_tradnl"/>
        </w:rPr>
        <w:t>blica es diferente al de fiducia mercantil, la constitución de patrimonios autónomos</w:t>
      </w:r>
      <w:r w:rsidR="00EA5669">
        <w:rPr>
          <w:rFonts w:ascii="Arial" w:hAnsi="Arial" w:cs="Arial"/>
          <w:lang w:val="es-ES_tradnl"/>
        </w:rPr>
        <w:t xml:space="preserve"> </w:t>
      </w:r>
      <w:r w:rsidRPr="00222BE8">
        <w:rPr>
          <w:rFonts w:ascii="Arial" w:hAnsi="Arial" w:cs="Arial"/>
          <w:lang w:val="es-ES_tradnl"/>
        </w:rPr>
        <w:t>por parte de entidades estatales</w:t>
      </w:r>
      <w:r w:rsidR="00EA5669">
        <w:rPr>
          <w:rFonts w:ascii="Arial" w:hAnsi="Arial" w:cs="Arial"/>
          <w:lang w:val="es-ES_tradnl"/>
        </w:rPr>
        <w:t xml:space="preserve"> </w:t>
      </w:r>
      <w:r w:rsidRPr="00222BE8">
        <w:rPr>
          <w:rFonts w:ascii="Arial" w:hAnsi="Arial" w:cs="Arial"/>
          <w:lang w:val="es-ES_tradnl"/>
        </w:rPr>
        <w:t xml:space="preserve">solamente debe darse en virtud de una autorización legal, como es el caso de </w:t>
      </w:r>
      <w:r w:rsidR="00BF2AD4">
        <w:rPr>
          <w:rFonts w:ascii="Arial" w:hAnsi="Arial" w:cs="Arial"/>
          <w:lang w:val="es-ES_tradnl"/>
        </w:rPr>
        <w:t xml:space="preserve">los </w:t>
      </w:r>
      <w:r w:rsidRPr="00222BE8">
        <w:rPr>
          <w:rFonts w:ascii="Arial" w:hAnsi="Arial" w:cs="Arial"/>
          <w:lang w:val="es-ES_tradnl"/>
        </w:rPr>
        <w:t>procesos de titularización de activos e inversiones, tal como lo autoriza expresamente el parágrafo 2 del artículo 41 de la Ley 80 de 1993</w:t>
      </w:r>
      <w:r w:rsidR="00D31FF9" w:rsidRPr="00222BE8">
        <w:rPr>
          <w:rStyle w:val="Refdenotaalpie"/>
          <w:rFonts w:ascii="Arial" w:hAnsi="Arial" w:cs="Arial"/>
          <w:lang w:val="es-ES_tradnl"/>
        </w:rPr>
        <w:footnoteReference w:id="6"/>
      </w:r>
      <w:r w:rsidRPr="00222BE8">
        <w:rPr>
          <w:rFonts w:ascii="Arial" w:hAnsi="Arial" w:cs="Arial"/>
          <w:lang w:val="es-ES_tradnl"/>
        </w:rPr>
        <w:t>.</w:t>
      </w:r>
    </w:p>
    <w:p w14:paraId="0A1F7B41" w14:textId="67154364" w:rsidR="00026608" w:rsidRPr="00222BE8" w:rsidRDefault="006D712D" w:rsidP="00026608">
      <w:pPr>
        <w:pStyle w:val="Textoindependiente"/>
        <w:ind w:firstLine="709"/>
        <w:jc w:val="both"/>
        <w:rPr>
          <w:rFonts w:ascii="Arial" w:hAnsi="Arial" w:cs="Arial"/>
          <w:lang w:val="es-ES_tradnl"/>
        </w:rPr>
      </w:pPr>
      <w:r w:rsidRPr="00222BE8">
        <w:rPr>
          <w:rFonts w:ascii="Arial" w:hAnsi="Arial" w:cs="Arial"/>
          <w:lang w:val="es-ES_tradnl"/>
        </w:rPr>
        <w:t>La Agencia Nacional de Contratación P</w:t>
      </w:r>
      <w:r w:rsidR="00D31FF9" w:rsidRPr="00222BE8">
        <w:rPr>
          <w:rFonts w:ascii="Arial" w:hAnsi="Arial" w:cs="Arial"/>
          <w:lang w:val="es-ES_tradnl"/>
        </w:rPr>
        <w:t>ú</w:t>
      </w:r>
      <w:r w:rsidRPr="00222BE8">
        <w:rPr>
          <w:rFonts w:ascii="Arial" w:hAnsi="Arial" w:cs="Arial"/>
          <w:lang w:val="es-ES_tradnl"/>
        </w:rPr>
        <w:t xml:space="preserve">blica – Colombia Compra Eficiente comparte esta posición, y por tanto considera que la constitución de patrimonios autónomos, por parte de entidades estatales solo puede darse en virtud de una disposición legal expresa. </w:t>
      </w:r>
      <w:r w:rsidR="000E5110">
        <w:rPr>
          <w:rFonts w:ascii="Arial" w:hAnsi="Arial" w:cs="Arial"/>
          <w:lang w:val="es-ES_tradnl"/>
        </w:rPr>
        <w:t>En efecto, e</w:t>
      </w:r>
      <w:r w:rsidRPr="00222BE8">
        <w:rPr>
          <w:rFonts w:ascii="Arial" w:hAnsi="Arial" w:cs="Arial"/>
          <w:lang w:val="es-ES_tradnl"/>
        </w:rPr>
        <w:t>n respuesta a la consulta</w:t>
      </w:r>
      <w:r w:rsidR="00EA63EF">
        <w:rPr>
          <w:rFonts w:ascii="Arial" w:hAnsi="Arial" w:cs="Arial"/>
          <w:lang w:val="es-ES_tradnl"/>
        </w:rPr>
        <w:t xml:space="preserve"> con radicado</w:t>
      </w:r>
      <w:r w:rsidRPr="00222BE8">
        <w:rPr>
          <w:rFonts w:ascii="Arial" w:hAnsi="Arial" w:cs="Arial"/>
          <w:lang w:val="es-ES_tradnl"/>
        </w:rPr>
        <w:t xml:space="preserve"> </w:t>
      </w:r>
      <w:r w:rsidR="00EA63EF">
        <w:rPr>
          <w:rFonts w:ascii="Arial" w:hAnsi="Arial" w:cs="Arial"/>
          <w:lang w:val="es-ES_tradnl"/>
        </w:rPr>
        <w:t xml:space="preserve">No. </w:t>
      </w:r>
      <w:r w:rsidRPr="00222BE8">
        <w:rPr>
          <w:rFonts w:ascii="Arial" w:hAnsi="Arial" w:cs="Arial"/>
          <w:lang w:val="es-ES_tradnl"/>
        </w:rPr>
        <w:t>4201912000004359</w:t>
      </w:r>
      <w:r w:rsidR="00EA63EF">
        <w:rPr>
          <w:rFonts w:ascii="Arial" w:hAnsi="Arial" w:cs="Arial"/>
          <w:lang w:val="es-ES_tradnl"/>
        </w:rPr>
        <w:t xml:space="preserve"> y</w:t>
      </w:r>
      <w:r w:rsidRPr="00222BE8">
        <w:rPr>
          <w:rFonts w:ascii="Arial" w:hAnsi="Arial" w:cs="Arial"/>
          <w:lang w:val="es-ES_tradnl"/>
        </w:rPr>
        <w:t xml:space="preserve"> con radicado de salida</w:t>
      </w:r>
      <w:r w:rsidR="00EA63EF">
        <w:rPr>
          <w:rFonts w:ascii="Arial" w:hAnsi="Arial" w:cs="Arial"/>
          <w:lang w:val="es-ES_tradnl"/>
        </w:rPr>
        <w:t xml:space="preserve"> No. </w:t>
      </w:r>
      <w:r w:rsidRPr="00222BE8">
        <w:rPr>
          <w:rFonts w:ascii="Arial" w:hAnsi="Arial" w:cs="Arial"/>
          <w:lang w:val="es-ES_tradnl"/>
        </w:rPr>
        <w:t>2201913000005645 del 8 de agosto de 2019, esta Agencia manifestó</w:t>
      </w:r>
      <w:r w:rsidRPr="00222BE8">
        <w:rPr>
          <w:rFonts w:ascii="Arial" w:hAnsi="Arial" w:cs="Arial"/>
          <w:spacing w:val="-7"/>
          <w:lang w:val="es-ES_tradnl"/>
        </w:rPr>
        <w:t xml:space="preserve"> </w:t>
      </w:r>
      <w:r w:rsidRPr="00222BE8">
        <w:rPr>
          <w:rFonts w:ascii="Arial" w:hAnsi="Arial" w:cs="Arial"/>
          <w:lang w:val="es-ES_tradnl"/>
        </w:rPr>
        <w:t>que:</w:t>
      </w:r>
      <w:r w:rsidR="00026608" w:rsidRPr="00222BE8">
        <w:rPr>
          <w:rFonts w:ascii="Arial" w:hAnsi="Arial" w:cs="Arial"/>
          <w:lang w:val="es-ES_tradnl"/>
        </w:rPr>
        <w:t xml:space="preserve"> «</w:t>
      </w:r>
      <w:r w:rsidRPr="00222BE8">
        <w:rPr>
          <w:rFonts w:ascii="Arial" w:hAnsi="Arial" w:cs="Arial"/>
          <w:lang w:val="es-ES_tradnl"/>
        </w:rPr>
        <w:t>Es posible que una entidad estatal celebre un contrato de fiducia mercantil y con él se constituya un patrimonio autónomo, siempre que una norma especial lo autorice. Esta fiducia mercantil es diferente a la fiducia p</w:t>
      </w:r>
      <w:r w:rsidR="00365D3A">
        <w:rPr>
          <w:rFonts w:ascii="Arial" w:hAnsi="Arial" w:cs="Arial"/>
          <w:lang w:val="es-ES_tradnl"/>
        </w:rPr>
        <w:t>ú</w:t>
      </w:r>
      <w:r w:rsidRPr="00222BE8">
        <w:rPr>
          <w:rFonts w:ascii="Arial" w:hAnsi="Arial" w:cs="Arial"/>
          <w:lang w:val="es-ES_tradnl"/>
        </w:rPr>
        <w:t xml:space="preserve">blica definida en el artículo 32 de la Ley 80 </w:t>
      </w:r>
      <w:r w:rsidRPr="00222BE8">
        <w:rPr>
          <w:rFonts w:ascii="Arial" w:hAnsi="Arial" w:cs="Arial"/>
          <w:lang w:val="es-ES_tradnl"/>
        </w:rPr>
        <w:lastRenderedPageBreak/>
        <w:t>de 1993 y se rige por las disposiciones comerciales y civiles pertinentes, salvo en los aspectos particularmente regulados en la Ley 80 de 1993</w:t>
      </w:r>
      <w:r w:rsidR="00026608" w:rsidRPr="00222BE8">
        <w:rPr>
          <w:rFonts w:ascii="Arial" w:hAnsi="Arial" w:cs="Arial"/>
          <w:lang w:val="es-ES_tradnl"/>
        </w:rPr>
        <w:t>»</w:t>
      </w:r>
      <w:r w:rsidRPr="00222BE8">
        <w:rPr>
          <w:rFonts w:ascii="Arial" w:hAnsi="Arial" w:cs="Arial"/>
          <w:lang w:val="es-ES_tradnl"/>
        </w:rPr>
        <w:t>.</w:t>
      </w:r>
    </w:p>
    <w:p w14:paraId="7FFB34CD" w14:textId="61FE0BD2" w:rsidR="00026608" w:rsidRPr="00222BE8" w:rsidRDefault="006D712D" w:rsidP="00026608">
      <w:pPr>
        <w:pStyle w:val="Textoindependiente"/>
        <w:ind w:firstLine="709"/>
        <w:jc w:val="both"/>
        <w:rPr>
          <w:rFonts w:ascii="Arial" w:hAnsi="Arial" w:cs="Arial"/>
          <w:lang w:val="es-ES_tradnl"/>
        </w:rPr>
      </w:pPr>
      <w:r w:rsidRPr="00222BE8">
        <w:rPr>
          <w:rFonts w:ascii="Arial" w:hAnsi="Arial" w:cs="Arial"/>
          <w:lang w:val="es-ES_tradnl"/>
        </w:rPr>
        <w:t>El artículo 67 de la Ley 1955 de 2019</w:t>
      </w:r>
      <w:r w:rsidRPr="00222BE8">
        <w:rPr>
          <w:rStyle w:val="Refdenotaalpie"/>
          <w:rFonts w:ascii="Arial" w:hAnsi="Arial" w:cs="Arial"/>
          <w:lang w:val="es-ES_tradnl"/>
        </w:rPr>
        <w:footnoteReference w:id="7"/>
      </w:r>
      <w:r w:rsidRPr="00222BE8">
        <w:rPr>
          <w:rFonts w:ascii="Arial" w:hAnsi="Arial" w:cs="Arial"/>
          <w:position w:val="7"/>
          <w:lang w:val="es-ES_tradnl"/>
        </w:rPr>
        <w:t xml:space="preserve"> </w:t>
      </w:r>
      <w:r w:rsidRPr="00222BE8">
        <w:rPr>
          <w:rFonts w:ascii="Arial" w:hAnsi="Arial" w:cs="Arial"/>
          <w:lang w:val="es-ES_tradnl"/>
        </w:rPr>
        <w:t>es otro ejemplo de una norma que expresamente autoriza celebra</w:t>
      </w:r>
      <w:r w:rsidR="000E5110">
        <w:rPr>
          <w:rFonts w:ascii="Arial" w:hAnsi="Arial" w:cs="Arial"/>
          <w:lang w:val="es-ES_tradnl"/>
        </w:rPr>
        <w:t>r</w:t>
      </w:r>
      <w:r w:rsidRPr="00222BE8">
        <w:rPr>
          <w:rFonts w:ascii="Arial" w:hAnsi="Arial" w:cs="Arial"/>
          <w:lang w:val="es-ES_tradnl"/>
        </w:rPr>
        <w:t xml:space="preserve"> un contrato de fiducia mercantil, pues dispone que los recursos del proyecto Aeropuerto del Café – AEROCAFÉ se ejecutarán a través de un patrimonio autónomo, constituido por la Aeronáutica Civil. Sobre ese caso, Colombia Compra Eficiente, en el mismo concepto citado, </w:t>
      </w:r>
      <w:r w:rsidR="000E5110">
        <w:rPr>
          <w:rFonts w:ascii="Arial" w:hAnsi="Arial" w:cs="Arial"/>
          <w:lang w:val="es-ES_tradnl"/>
        </w:rPr>
        <w:t>afirmó</w:t>
      </w:r>
      <w:r w:rsidRPr="00222BE8">
        <w:rPr>
          <w:rFonts w:ascii="Arial" w:hAnsi="Arial" w:cs="Arial"/>
          <w:lang w:val="es-ES_tradnl"/>
        </w:rPr>
        <w:t xml:space="preserve"> que la constitución y administración del patrimonio autónomo no puede darse en abstracto, sino atendiendo rigurosamente la ley que lo</w:t>
      </w:r>
      <w:r w:rsidRPr="00222BE8">
        <w:rPr>
          <w:rFonts w:ascii="Arial" w:hAnsi="Arial" w:cs="Arial"/>
          <w:spacing w:val="-33"/>
          <w:lang w:val="es-ES_tradnl"/>
        </w:rPr>
        <w:t xml:space="preserve"> </w:t>
      </w:r>
      <w:r w:rsidRPr="00222BE8">
        <w:rPr>
          <w:rFonts w:ascii="Arial" w:hAnsi="Arial" w:cs="Arial"/>
          <w:lang w:val="es-ES_tradnl"/>
        </w:rPr>
        <w:t>autoriza:</w:t>
      </w:r>
      <w:r w:rsidR="008F3DD9" w:rsidRPr="00222BE8">
        <w:rPr>
          <w:rFonts w:ascii="Arial" w:hAnsi="Arial" w:cs="Arial"/>
          <w:lang w:val="es-ES_tradnl"/>
        </w:rPr>
        <w:t xml:space="preserve"> «</w:t>
      </w:r>
      <w:r w:rsidRPr="00222BE8">
        <w:rPr>
          <w:rFonts w:ascii="Arial" w:hAnsi="Arial" w:cs="Arial"/>
          <w:lang w:val="es-ES_tradnl"/>
        </w:rPr>
        <w:t>Dado que la ley ha determinado que la Aeronáutica Civil es la encargada de constituir un patrimonio autónomo para administrar los recursos de AEROCAFE, en caso de suscribir un contrato de fiducia mercantil debe circunscribirse estrictamente a lo definido en la Ley</w:t>
      </w:r>
      <w:r w:rsidR="008F3DD9" w:rsidRPr="00222BE8">
        <w:rPr>
          <w:rFonts w:ascii="Arial" w:hAnsi="Arial" w:cs="Arial"/>
          <w:lang w:val="es-ES_tradnl"/>
        </w:rPr>
        <w:t>»</w:t>
      </w:r>
      <w:r w:rsidRPr="00222BE8">
        <w:rPr>
          <w:rFonts w:ascii="Arial" w:hAnsi="Arial" w:cs="Arial"/>
          <w:lang w:val="es-ES_tradnl"/>
        </w:rPr>
        <w:t>.</w:t>
      </w:r>
    </w:p>
    <w:p w14:paraId="1A78BC1A" w14:textId="6A185193" w:rsidR="00026608" w:rsidRPr="00222BE8" w:rsidRDefault="006D712D" w:rsidP="00026608">
      <w:pPr>
        <w:pStyle w:val="Textoindependiente"/>
        <w:ind w:firstLine="709"/>
        <w:jc w:val="both"/>
        <w:rPr>
          <w:rFonts w:ascii="Arial" w:hAnsi="Arial" w:cs="Arial"/>
          <w:lang w:val="es-ES_tradnl"/>
        </w:rPr>
      </w:pPr>
      <w:r w:rsidRPr="00222BE8">
        <w:rPr>
          <w:rFonts w:ascii="Arial" w:hAnsi="Arial" w:cs="Arial"/>
          <w:lang w:val="es-ES_tradnl"/>
        </w:rPr>
        <w:t>También en este caso la misma Ley 1955 de 2019 define el régimen de contratación derivad</w:t>
      </w:r>
      <w:r w:rsidR="000E5110">
        <w:rPr>
          <w:rFonts w:ascii="Arial" w:hAnsi="Arial" w:cs="Arial"/>
          <w:lang w:val="es-ES_tradnl"/>
        </w:rPr>
        <w:t>o</w:t>
      </w:r>
      <w:r w:rsidRPr="00222BE8">
        <w:rPr>
          <w:rFonts w:ascii="Arial" w:hAnsi="Arial" w:cs="Arial"/>
          <w:lang w:val="es-ES_tradnl"/>
        </w:rPr>
        <w:t xml:space="preserve"> del patrimonio autónomo para el proyecto AEROCAFE, pues el articulo 67 dispone: </w:t>
      </w:r>
      <w:r w:rsidR="005C7F3E">
        <w:rPr>
          <w:rFonts w:ascii="Arial" w:hAnsi="Arial" w:cs="Arial"/>
          <w:lang w:val="es-ES_tradnl"/>
        </w:rPr>
        <w:t>«</w:t>
      </w:r>
      <w:r w:rsidRPr="00222BE8">
        <w:rPr>
          <w:rFonts w:ascii="Arial" w:hAnsi="Arial" w:cs="Arial"/>
          <w:lang w:val="es-ES_tradnl"/>
        </w:rPr>
        <w:t>El régimen de contratación y administración de sus recursos se regirá por el derecho privado, con plena observancia de los principios de transparencia, economía, igualdad y publicidad, definidos por la Constitución y la Ley</w:t>
      </w:r>
      <w:r w:rsidR="005C7F3E">
        <w:rPr>
          <w:rFonts w:ascii="Arial" w:hAnsi="Arial" w:cs="Arial"/>
          <w:lang w:val="es-ES_tradnl"/>
        </w:rPr>
        <w:t>»</w:t>
      </w:r>
      <w:r w:rsidRPr="00222BE8">
        <w:rPr>
          <w:rFonts w:ascii="Arial" w:hAnsi="Arial" w:cs="Arial"/>
          <w:lang w:val="es-ES_tradnl"/>
        </w:rPr>
        <w:t>. Así mismo, las normas en particular deben establecer reglas específicas para cada patrimonio autónomo.</w:t>
      </w:r>
    </w:p>
    <w:p w14:paraId="7C4277FF" w14:textId="51A678D4" w:rsidR="00026608" w:rsidRPr="00222BE8" w:rsidRDefault="006D712D" w:rsidP="00026608">
      <w:pPr>
        <w:pStyle w:val="Textoindependiente"/>
        <w:ind w:firstLine="709"/>
        <w:jc w:val="both"/>
        <w:rPr>
          <w:rFonts w:ascii="Arial" w:hAnsi="Arial" w:cs="Arial"/>
          <w:lang w:val="es-ES_tradnl"/>
        </w:rPr>
      </w:pPr>
      <w:r w:rsidRPr="00222BE8">
        <w:rPr>
          <w:rFonts w:ascii="Arial" w:hAnsi="Arial" w:cs="Arial"/>
          <w:lang w:val="es-ES_tradnl"/>
        </w:rPr>
        <w:t>En caso de que no exista norma que autorice la fiducia mercantil</w:t>
      </w:r>
      <w:r w:rsidR="000E5110">
        <w:rPr>
          <w:rFonts w:ascii="Arial" w:hAnsi="Arial" w:cs="Arial"/>
          <w:lang w:val="es-ES_tradnl"/>
        </w:rPr>
        <w:t>,</w:t>
      </w:r>
      <w:r w:rsidRPr="00222BE8">
        <w:rPr>
          <w:rFonts w:ascii="Arial" w:hAnsi="Arial" w:cs="Arial"/>
          <w:lang w:val="es-ES_tradnl"/>
        </w:rPr>
        <w:t xml:space="preserve"> se está ante un negocio fiduciario que debe respetar lo establecido por el numeral 5 del artículo 32 de la Ley 80 de 1993, que entre sus reglas dispone: </w:t>
      </w:r>
      <w:r w:rsidR="005C7F3E">
        <w:rPr>
          <w:rFonts w:ascii="Arial" w:hAnsi="Arial" w:cs="Arial"/>
          <w:lang w:val="es-ES_tradnl"/>
        </w:rPr>
        <w:t>«</w:t>
      </w:r>
      <w:r w:rsidRPr="00222BE8">
        <w:rPr>
          <w:rFonts w:ascii="Arial" w:hAnsi="Arial" w:cs="Arial"/>
          <w:lang w:val="es-ES_tradnl"/>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r w:rsidR="005C7F3E">
        <w:rPr>
          <w:rFonts w:ascii="Arial" w:hAnsi="Arial" w:cs="Arial"/>
          <w:lang w:val="es-ES_tradnl"/>
        </w:rPr>
        <w:t>»</w:t>
      </w:r>
      <w:r w:rsidRPr="00222BE8">
        <w:rPr>
          <w:rFonts w:ascii="Arial" w:hAnsi="Arial" w:cs="Arial"/>
          <w:lang w:val="es-ES_tradnl"/>
        </w:rPr>
        <w:t xml:space="preserve"> y </w:t>
      </w:r>
      <w:r w:rsidR="005C7F3E">
        <w:rPr>
          <w:rFonts w:ascii="Arial" w:hAnsi="Arial" w:cs="Arial"/>
          <w:lang w:val="es-ES_tradnl"/>
        </w:rPr>
        <w:t>«</w:t>
      </w:r>
      <w:r w:rsidRPr="00222BE8">
        <w:rPr>
          <w:rFonts w:ascii="Arial" w:hAnsi="Arial" w:cs="Arial"/>
          <w:lang w:val="es-ES_tradnl"/>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r w:rsidR="005C7F3E">
        <w:rPr>
          <w:rFonts w:ascii="Arial" w:hAnsi="Arial" w:cs="Arial"/>
          <w:lang w:val="es-ES_tradnl"/>
        </w:rPr>
        <w:t>»</w:t>
      </w:r>
      <w:r w:rsidRPr="00222BE8">
        <w:rPr>
          <w:rFonts w:ascii="Arial" w:hAnsi="Arial" w:cs="Arial"/>
          <w:lang w:val="es-ES_tradnl"/>
        </w:rPr>
        <w:t>.</w:t>
      </w:r>
    </w:p>
    <w:p w14:paraId="65A53C97" w14:textId="41FE6FE2" w:rsidR="00151B99" w:rsidRPr="00222BE8" w:rsidRDefault="006D712D" w:rsidP="00151B99">
      <w:pPr>
        <w:pStyle w:val="Textoindependiente"/>
        <w:ind w:firstLine="709"/>
        <w:jc w:val="both"/>
        <w:rPr>
          <w:rFonts w:ascii="Arial" w:hAnsi="Arial" w:cs="Arial"/>
          <w:lang w:val="es-ES_tradnl"/>
        </w:rPr>
      </w:pPr>
      <w:r w:rsidRPr="00222BE8">
        <w:rPr>
          <w:rFonts w:ascii="Arial" w:hAnsi="Arial" w:cs="Arial"/>
          <w:lang w:val="es-ES_tradnl"/>
        </w:rPr>
        <w:lastRenderedPageBreak/>
        <w:t>La Ley 80 de 1993 permite realizar negocios fiduciarios, siempre que tengan por objeto la administración o el manejo de los recursos vinculados a los contratos estatales</w:t>
      </w:r>
      <w:r w:rsidR="00AF4E92">
        <w:rPr>
          <w:rFonts w:ascii="Arial" w:hAnsi="Arial" w:cs="Arial"/>
          <w:lang w:val="es-ES_tradnl"/>
        </w:rPr>
        <w:t>.</w:t>
      </w:r>
      <w:r w:rsidRPr="00222BE8">
        <w:rPr>
          <w:rFonts w:ascii="Arial" w:hAnsi="Arial" w:cs="Arial"/>
          <w:lang w:val="es-ES_tradnl"/>
        </w:rPr>
        <w:t xml:space="preserve"> </w:t>
      </w:r>
      <w:r w:rsidR="00AF4E92">
        <w:rPr>
          <w:rFonts w:ascii="Arial" w:hAnsi="Arial" w:cs="Arial"/>
          <w:lang w:val="es-ES_tradnl"/>
        </w:rPr>
        <w:t>A</w:t>
      </w:r>
      <w:r w:rsidRPr="00222BE8">
        <w:rPr>
          <w:rFonts w:ascii="Arial" w:hAnsi="Arial" w:cs="Arial"/>
          <w:lang w:val="es-ES_tradnl"/>
        </w:rPr>
        <w:t>demás</w:t>
      </w:r>
      <w:r w:rsidR="00AF4E92">
        <w:rPr>
          <w:rFonts w:ascii="Arial" w:hAnsi="Arial" w:cs="Arial"/>
          <w:lang w:val="es-ES_tradnl"/>
        </w:rPr>
        <w:t>,</w:t>
      </w:r>
      <w:r w:rsidRPr="00222BE8">
        <w:rPr>
          <w:rFonts w:ascii="Arial" w:hAnsi="Arial" w:cs="Arial"/>
          <w:lang w:val="es-ES_tradnl"/>
        </w:rPr>
        <w:t xml:space="preserve"> </w:t>
      </w:r>
      <w:r w:rsidR="00AF4E92">
        <w:rPr>
          <w:rFonts w:ascii="Arial" w:hAnsi="Arial" w:cs="Arial"/>
          <w:lang w:val="es-ES_tradnl"/>
        </w:rPr>
        <w:t xml:space="preserve">la </w:t>
      </w:r>
      <w:r w:rsidR="00AF4E92" w:rsidRPr="00222BE8">
        <w:rPr>
          <w:rFonts w:ascii="Arial" w:hAnsi="Arial" w:cs="Arial"/>
          <w:lang w:val="es-ES_tradnl"/>
        </w:rPr>
        <w:t xml:space="preserve">Sala Consulta y Servicio Civil </w:t>
      </w:r>
      <w:r w:rsidR="00AF4E92">
        <w:rPr>
          <w:rFonts w:ascii="Arial" w:hAnsi="Arial" w:cs="Arial"/>
          <w:lang w:val="es-ES_tradnl"/>
        </w:rPr>
        <w:t>d</w:t>
      </w:r>
      <w:r w:rsidRPr="00222BE8">
        <w:rPr>
          <w:rFonts w:ascii="Arial" w:hAnsi="Arial" w:cs="Arial"/>
          <w:lang w:val="es-ES_tradnl"/>
        </w:rPr>
        <w:t>el Consejo de Estado,</w:t>
      </w:r>
      <w:r w:rsidR="00AF4E92">
        <w:rPr>
          <w:rFonts w:ascii="Arial" w:hAnsi="Arial" w:cs="Arial"/>
          <w:lang w:val="es-ES_tradnl"/>
        </w:rPr>
        <w:t xml:space="preserve"> </w:t>
      </w:r>
      <w:r w:rsidRPr="00222BE8">
        <w:rPr>
          <w:rFonts w:ascii="Arial" w:hAnsi="Arial" w:cs="Arial"/>
          <w:lang w:val="es-ES_tradnl"/>
        </w:rPr>
        <w:t xml:space="preserve">en concepto del 4 de marzo de 1998, antes citado, también </w:t>
      </w:r>
      <w:r w:rsidR="000E5110">
        <w:rPr>
          <w:rFonts w:ascii="Arial" w:hAnsi="Arial" w:cs="Arial"/>
          <w:lang w:val="es-ES_tradnl"/>
        </w:rPr>
        <w:t>señaló</w:t>
      </w:r>
      <w:r w:rsidRPr="00222BE8">
        <w:rPr>
          <w:rFonts w:ascii="Arial" w:hAnsi="Arial" w:cs="Arial"/>
          <w:lang w:val="es-ES_tradnl"/>
        </w:rPr>
        <w:t xml:space="preserve"> otras características del negocio fiduciario que pueden celebrar autónomamente las entidades estatales, que no son otras que las del estatuto general de contratación y en forma supletiva el Código de Comercio</w:t>
      </w:r>
      <w:r w:rsidR="00580D6D" w:rsidRPr="00222BE8">
        <w:rPr>
          <w:rStyle w:val="Refdenotaalpie"/>
          <w:rFonts w:ascii="Arial" w:hAnsi="Arial" w:cs="Arial"/>
          <w:lang w:val="es-ES_tradnl"/>
        </w:rPr>
        <w:footnoteReference w:id="8"/>
      </w:r>
      <w:r w:rsidR="00151B99" w:rsidRPr="00222BE8">
        <w:rPr>
          <w:rFonts w:ascii="Arial" w:hAnsi="Arial" w:cs="Arial"/>
          <w:lang w:val="es-ES_tradnl"/>
        </w:rPr>
        <w:t xml:space="preserve">. </w:t>
      </w:r>
      <w:r w:rsidRPr="00222BE8">
        <w:rPr>
          <w:rFonts w:ascii="Arial" w:hAnsi="Arial" w:cs="Arial"/>
          <w:lang w:val="es-ES_tradnl"/>
        </w:rPr>
        <w:t xml:space="preserve">Hay que agregar que la contratación derivada de negocios fiduciarios se rige por el Estatuto General de la Contratación </w:t>
      </w:r>
      <w:r w:rsidR="000E5110">
        <w:rPr>
          <w:rFonts w:ascii="Arial" w:hAnsi="Arial" w:cs="Arial"/>
          <w:lang w:val="es-ES_tradnl"/>
        </w:rPr>
        <w:t xml:space="preserve">de la Administración </w:t>
      </w:r>
      <w:r w:rsidRPr="00222BE8">
        <w:rPr>
          <w:rFonts w:ascii="Arial" w:hAnsi="Arial" w:cs="Arial"/>
          <w:lang w:val="es-ES_tradnl"/>
        </w:rPr>
        <w:t xml:space="preserve">Pública, como lo establece el artículo 32: </w:t>
      </w:r>
      <w:r w:rsidR="00D12D82">
        <w:rPr>
          <w:rFonts w:ascii="Arial" w:hAnsi="Arial" w:cs="Arial"/>
          <w:lang w:val="es-ES_tradnl"/>
        </w:rPr>
        <w:t>«</w:t>
      </w:r>
      <w:r w:rsidRPr="00222BE8">
        <w:rPr>
          <w:rFonts w:ascii="Arial" w:hAnsi="Arial" w:cs="Arial"/>
          <w:lang w:val="es-ES_tradnl"/>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r w:rsidR="00D12D82">
        <w:rPr>
          <w:rFonts w:ascii="Arial" w:hAnsi="Arial" w:cs="Arial"/>
          <w:lang w:val="es-ES_tradnl"/>
        </w:rPr>
        <w:t>»</w:t>
      </w:r>
      <w:r w:rsidRPr="00222BE8">
        <w:rPr>
          <w:rFonts w:ascii="Arial" w:hAnsi="Arial" w:cs="Arial"/>
          <w:lang w:val="es-ES_tradnl"/>
        </w:rPr>
        <w:t>; en consecuencia, salvo que alguna ley especial permita que el patrimonio autónomo actúe de forma diferente, la contratación derivada del contrato fiduciario se regirá por la Ley 80 de</w:t>
      </w:r>
      <w:r w:rsidRPr="00222BE8">
        <w:rPr>
          <w:rFonts w:ascii="Arial" w:hAnsi="Arial" w:cs="Arial"/>
          <w:spacing w:val="-13"/>
          <w:lang w:val="es-ES_tradnl"/>
        </w:rPr>
        <w:t xml:space="preserve"> </w:t>
      </w:r>
      <w:r w:rsidRPr="00222BE8">
        <w:rPr>
          <w:rFonts w:ascii="Arial" w:hAnsi="Arial" w:cs="Arial"/>
          <w:lang w:val="es-ES_tradnl"/>
        </w:rPr>
        <w:t>1993.</w:t>
      </w:r>
    </w:p>
    <w:p w14:paraId="18C0B636" w14:textId="6AE26C0B" w:rsidR="00551D68" w:rsidRPr="00222BE8" w:rsidRDefault="006D712D" w:rsidP="00551D68">
      <w:pPr>
        <w:pStyle w:val="Textoindependiente"/>
        <w:ind w:firstLine="709"/>
        <w:jc w:val="both"/>
        <w:rPr>
          <w:rFonts w:ascii="Arial" w:hAnsi="Arial" w:cs="Arial"/>
          <w:lang w:val="es-ES_tradnl"/>
        </w:rPr>
      </w:pPr>
      <w:r w:rsidRPr="00222BE8">
        <w:rPr>
          <w:rFonts w:ascii="Arial" w:hAnsi="Arial" w:cs="Arial"/>
          <w:lang w:val="es-ES_tradnl"/>
        </w:rPr>
        <w:t>Se entiende que las entidades estatales pueden entregar el manejo de recursos con el fin de hacer pagos o desembolsos derivados de un contrato estatal, ya sea por fiducia pública o encargo fiduciario</w:t>
      </w:r>
      <w:r w:rsidR="00DF3889">
        <w:rPr>
          <w:rFonts w:ascii="Arial" w:hAnsi="Arial" w:cs="Arial"/>
          <w:lang w:val="es-ES_tradnl"/>
        </w:rPr>
        <w:t>.</w:t>
      </w:r>
      <w:r w:rsidRPr="00222BE8">
        <w:rPr>
          <w:rFonts w:ascii="Arial" w:hAnsi="Arial" w:cs="Arial"/>
          <w:lang w:val="es-ES_tradnl"/>
        </w:rPr>
        <w:t xml:space="preserve"> Sin embargo, el inciso 7, del numeral 5, del articulo 32 de la Ley 80 de 1993, prohíbe que se constituya patrimonio autónomo en virtud de estos negocios fiduciarios</w:t>
      </w:r>
      <w:r w:rsidR="00DF3889">
        <w:rPr>
          <w:rFonts w:ascii="Arial" w:hAnsi="Arial" w:cs="Arial"/>
          <w:lang w:val="es-ES_tradnl"/>
        </w:rPr>
        <w:t>.</w:t>
      </w:r>
      <w:r w:rsidRPr="00222BE8">
        <w:rPr>
          <w:rFonts w:ascii="Arial" w:hAnsi="Arial" w:cs="Arial"/>
          <w:lang w:val="es-ES_tradnl"/>
        </w:rPr>
        <w:t xml:space="preserve"> </w:t>
      </w:r>
      <w:r w:rsidR="00DF3889">
        <w:rPr>
          <w:rFonts w:ascii="Arial" w:hAnsi="Arial" w:cs="Arial"/>
          <w:lang w:val="es-ES_tradnl"/>
        </w:rPr>
        <w:t>E</w:t>
      </w:r>
      <w:r w:rsidRPr="00222BE8">
        <w:rPr>
          <w:rFonts w:ascii="Arial" w:hAnsi="Arial" w:cs="Arial"/>
          <w:lang w:val="es-ES_tradnl"/>
        </w:rPr>
        <w:t xml:space="preserve">n estos casos la entidad estatal mantiene la propiedad de los recursos y por ello </w:t>
      </w:r>
      <w:r w:rsidR="00DF3889">
        <w:rPr>
          <w:rFonts w:ascii="Arial" w:hAnsi="Arial" w:cs="Arial"/>
          <w:lang w:val="es-ES_tradnl"/>
        </w:rPr>
        <w:t>conserva</w:t>
      </w:r>
      <w:r w:rsidRPr="00222BE8">
        <w:rPr>
          <w:rFonts w:ascii="Arial" w:hAnsi="Arial" w:cs="Arial"/>
          <w:lang w:val="es-ES_tradnl"/>
        </w:rPr>
        <w:t xml:space="preserve"> el control sobre ellos.</w:t>
      </w:r>
      <w:r w:rsidR="00551D68" w:rsidRPr="00222BE8">
        <w:rPr>
          <w:rFonts w:ascii="Arial" w:hAnsi="Arial" w:cs="Arial"/>
          <w:lang w:val="es-ES_tradnl"/>
        </w:rPr>
        <w:t xml:space="preserve"> </w:t>
      </w:r>
      <w:r w:rsidRPr="00222BE8">
        <w:rPr>
          <w:rFonts w:ascii="Arial" w:hAnsi="Arial" w:cs="Arial"/>
          <w:lang w:val="es-ES_tradnl"/>
        </w:rPr>
        <w:t xml:space="preserve">Solo en </w:t>
      </w:r>
      <w:r w:rsidR="00DF3889">
        <w:rPr>
          <w:rFonts w:ascii="Arial" w:hAnsi="Arial" w:cs="Arial"/>
          <w:lang w:val="es-ES_tradnl"/>
        </w:rPr>
        <w:t>supuestos</w:t>
      </w:r>
      <w:r w:rsidRPr="00222BE8">
        <w:rPr>
          <w:rFonts w:ascii="Arial" w:hAnsi="Arial" w:cs="Arial"/>
          <w:lang w:val="es-ES_tradnl"/>
        </w:rPr>
        <w:t xml:space="preserve"> excepcionales</w:t>
      </w:r>
      <w:r w:rsidR="00F346ED">
        <w:rPr>
          <w:rFonts w:ascii="Arial" w:hAnsi="Arial" w:cs="Arial"/>
          <w:lang w:val="es-ES_tradnl"/>
        </w:rPr>
        <w:t xml:space="preserve">, en los que </w:t>
      </w:r>
      <w:r w:rsidRPr="00222BE8">
        <w:rPr>
          <w:rFonts w:ascii="Arial" w:hAnsi="Arial" w:cs="Arial"/>
          <w:lang w:val="es-ES_tradnl"/>
        </w:rPr>
        <w:t>exista autorización legal expresa, ciertas entidades estatales podrán transferir la propiedad de recursos públicos a un patrimonio autónomo. Incluso esta transferencia de propiedad debe tener una finalidad específica y la entidad mantiene la obligación de vigilar que se cumplan los fines estatales por los cuales se contrató. En consecuencia, la entidad estatal no debe perder el control de los recursos entregados al patrimonio autónomo.</w:t>
      </w:r>
    </w:p>
    <w:p w14:paraId="08CECF17" w14:textId="56D5C5F8" w:rsidR="008C2CAC" w:rsidRPr="00222BE8" w:rsidRDefault="006D712D" w:rsidP="008C2CAC">
      <w:pPr>
        <w:pStyle w:val="Textoindependiente"/>
        <w:ind w:firstLine="709"/>
        <w:jc w:val="both"/>
        <w:rPr>
          <w:rFonts w:ascii="Arial" w:hAnsi="Arial" w:cs="Arial"/>
          <w:lang w:val="es-ES_tradnl"/>
        </w:rPr>
      </w:pPr>
      <w:r w:rsidRPr="00222BE8">
        <w:rPr>
          <w:rFonts w:ascii="Arial" w:hAnsi="Arial" w:cs="Arial"/>
          <w:lang w:val="es-ES_tradnl"/>
        </w:rPr>
        <w:t xml:space="preserve">El concepto de la Contraloría General de la República, </w:t>
      </w:r>
      <w:r w:rsidR="00F346ED">
        <w:rPr>
          <w:rFonts w:ascii="Arial" w:hAnsi="Arial" w:cs="Arial"/>
          <w:lang w:val="es-ES_tradnl"/>
        </w:rPr>
        <w:t xml:space="preserve">con </w:t>
      </w:r>
      <w:r w:rsidRPr="00222BE8">
        <w:rPr>
          <w:rFonts w:ascii="Arial" w:hAnsi="Arial" w:cs="Arial"/>
          <w:lang w:val="es-ES_tradnl"/>
        </w:rPr>
        <w:t>radicado 2006EE62754 del 6 de diciembre de 2006, reiterado en concepto OJ-CGR 084 de 2017</w:t>
      </w:r>
      <w:r w:rsidRPr="00222BE8">
        <w:rPr>
          <w:rStyle w:val="Refdenotaalpie"/>
          <w:rFonts w:ascii="Arial" w:hAnsi="Arial" w:cs="Arial"/>
          <w:lang w:val="es-ES_tradnl"/>
        </w:rPr>
        <w:footnoteReference w:id="9"/>
      </w:r>
      <w:r w:rsidRPr="00222BE8">
        <w:rPr>
          <w:rFonts w:ascii="Arial" w:hAnsi="Arial" w:cs="Arial"/>
          <w:lang w:val="es-ES_tradnl"/>
        </w:rPr>
        <w:t xml:space="preserve">, considera que la </w:t>
      </w:r>
      <w:r w:rsidRPr="00222BE8">
        <w:rPr>
          <w:rFonts w:ascii="Arial" w:hAnsi="Arial" w:cs="Arial"/>
          <w:lang w:val="es-ES_tradnl"/>
        </w:rPr>
        <w:lastRenderedPageBreak/>
        <w:t>transferencia de recursos no implica dominio pleno de ellos por parte del fiduciario</w:t>
      </w:r>
      <w:r w:rsidRPr="00222BE8">
        <w:rPr>
          <w:rStyle w:val="Refdenotaalpie"/>
          <w:rFonts w:ascii="Arial" w:hAnsi="Arial" w:cs="Arial"/>
          <w:lang w:val="es-ES_tradnl"/>
        </w:rPr>
        <w:footnoteReference w:id="10"/>
      </w:r>
      <w:r w:rsidRPr="00222BE8">
        <w:rPr>
          <w:rFonts w:ascii="Arial" w:hAnsi="Arial" w:cs="Arial"/>
          <w:lang w:val="es-ES_tradnl"/>
        </w:rPr>
        <w:t>, sino que tiene un carácter instrumental</w:t>
      </w:r>
      <w:r w:rsidR="00FC15EB">
        <w:rPr>
          <w:rFonts w:ascii="Arial" w:hAnsi="Arial" w:cs="Arial"/>
          <w:lang w:val="es-ES_tradnl"/>
        </w:rPr>
        <w:t>. P</w:t>
      </w:r>
      <w:r w:rsidRPr="00222BE8">
        <w:rPr>
          <w:rFonts w:ascii="Arial" w:hAnsi="Arial" w:cs="Arial"/>
          <w:lang w:val="es-ES_tradnl"/>
        </w:rPr>
        <w:t>or ello el administrador del patrimonio autónomo no tiene facultad de disponer libremente de los recursos públicos</w:t>
      </w:r>
      <w:r w:rsidR="00CC69EC" w:rsidRPr="00222BE8">
        <w:rPr>
          <w:rStyle w:val="Refdenotaalpie"/>
          <w:rFonts w:ascii="Arial" w:hAnsi="Arial" w:cs="Arial"/>
          <w:lang w:val="es-ES_tradnl"/>
        </w:rPr>
        <w:footnoteReference w:id="11"/>
      </w:r>
      <w:r w:rsidR="00CC69EC" w:rsidRPr="00222BE8">
        <w:rPr>
          <w:rFonts w:ascii="Arial" w:hAnsi="Arial" w:cs="Arial"/>
          <w:lang w:val="es-ES_tradnl"/>
        </w:rPr>
        <w:t>.</w:t>
      </w:r>
    </w:p>
    <w:p w14:paraId="1F2D51A1" w14:textId="64AA8701" w:rsidR="008C2CAC" w:rsidRPr="00222BE8" w:rsidRDefault="006D712D" w:rsidP="008C2CAC">
      <w:pPr>
        <w:pStyle w:val="Textoindependiente"/>
        <w:ind w:firstLine="709"/>
        <w:jc w:val="both"/>
        <w:rPr>
          <w:rFonts w:ascii="Arial" w:hAnsi="Arial" w:cs="Arial"/>
          <w:lang w:val="es-ES_tradnl"/>
        </w:rPr>
      </w:pPr>
      <w:r w:rsidRPr="00222BE8">
        <w:rPr>
          <w:rFonts w:ascii="Arial" w:hAnsi="Arial" w:cs="Arial"/>
          <w:lang w:val="es-ES_tradnl"/>
        </w:rPr>
        <w:t>Finalmente, en cualquier negocio fiduciario, por orden del artículo 1</w:t>
      </w:r>
      <w:r w:rsidR="008C2CAC" w:rsidRPr="00222BE8">
        <w:rPr>
          <w:rFonts w:ascii="Arial" w:hAnsi="Arial" w:cs="Arial"/>
          <w:lang w:val="es-ES_tradnl"/>
        </w:rPr>
        <w:t>.</w:t>
      </w:r>
      <w:r w:rsidRPr="00222BE8">
        <w:rPr>
          <w:rFonts w:ascii="Arial" w:hAnsi="Arial" w:cs="Arial"/>
          <w:lang w:val="es-ES_tradnl"/>
        </w:rPr>
        <w:t>234 del Código de Comercio</w:t>
      </w:r>
      <w:r w:rsidRPr="00222BE8">
        <w:rPr>
          <w:rStyle w:val="Refdenotaalpie"/>
          <w:rFonts w:ascii="Arial" w:hAnsi="Arial" w:cs="Arial"/>
          <w:lang w:val="es-ES_tradnl"/>
        </w:rPr>
        <w:footnoteReference w:id="12"/>
      </w:r>
      <w:r w:rsidRPr="00222BE8">
        <w:rPr>
          <w:rFonts w:ascii="Arial" w:hAnsi="Arial" w:cs="Arial"/>
          <w:lang w:val="es-ES_tradnl"/>
        </w:rPr>
        <w:t xml:space="preserve">, es deber indelegable de la sociedad fiduciaria, </w:t>
      </w:r>
      <w:r w:rsidR="0001406B">
        <w:rPr>
          <w:rFonts w:ascii="Arial" w:hAnsi="Arial" w:cs="Arial"/>
          <w:lang w:val="es-ES_tradnl"/>
        </w:rPr>
        <w:t>«</w:t>
      </w:r>
      <w:r w:rsidRPr="00222BE8">
        <w:rPr>
          <w:rFonts w:ascii="Arial" w:hAnsi="Arial" w:cs="Arial"/>
          <w:lang w:val="es-ES_tradnl"/>
        </w:rPr>
        <w:t>rendir cuentas comprobadas de su gestión al beneficiario cada seis meses</w:t>
      </w:r>
      <w:r w:rsidR="0001406B">
        <w:rPr>
          <w:rFonts w:ascii="Arial" w:hAnsi="Arial" w:cs="Arial"/>
          <w:lang w:val="es-ES_tradnl"/>
        </w:rPr>
        <w:t>»</w:t>
      </w:r>
      <w:r w:rsidRPr="00222BE8">
        <w:rPr>
          <w:rFonts w:ascii="Arial" w:hAnsi="Arial" w:cs="Arial"/>
          <w:lang w:val="es-ES_tradnl"/>
        </w:rPr>
        <w:t xml:space="preserve"> y simultáneamente el fiduciante tiene el derecho de </w:t>
      </w:r>
      <w:r w:rsidR="0001406B">
        <w:rPr>
          <w:rFonts w:ascii="Arial" w:hAnsi="Arial" w:cs="Arial"/>
          <w:lang w:val="es-ES_tradnl"/>
        </w:rPr>
        <w:t>«</w:t>
      </w:r>
      <w:r w:rsidRPr="00222BE8">
        <w:rPr>
          <w:rFonts w:ascii="Arial" w:hAnsi="Arial" w:cs="Arial"/>
          <w:lang w:val="es-ES_tradnl"/>
        </w:rPr>
        <w:t>exigir rendición de cuentas</w:t>
      </w:r>
      <w:r w:rsidR="0001406B">
        <w:rPr>
          <w:rFonts w:ascii="Arial" w:hAnsi="Arial" w:cs="Arial"/>
          <w:lang w:val="es-ES_tradnl"/>
        </w:rPr>
        <w:t>»</w:t>
      </w:r>
      <w:r w:rsidRPr="00222BE8">
        <w:rPr>
          <w:rFonts w:ascii="Arial" w:hAnsi="Arial" w:cs="Arial"/>
          <w:lang w:val="es-ES_tradnl"/>
        </w:rPr>
        <w:t>, según lo consigna el artículo 1</w:t>
      </w:r>
      <w:r w:rsidR="0001406B">
        <w:rPr>
          <w:rFonts w:ascii="Arial" w:hAnsi="Arial" w:cs="Arial"/>
          <w:lang w:val="es-ES_tradnl"/>
        </w:rPr>
        <w:t>.</w:t>
      </w:r>
      <w:r w:rsidRPr="00222BE8">
        <w:rPr>
          <w:rFonts w:ascii="Arial" w:hAnsi="Arial" w:cs="Arial"/>
          <w:lang w:val="es-ES_tradnl"/>
        </w:rPr>
        <w:t xml:space="preserve">236 del mismo </w:t>
      </w:r>
      <w:r w:rsidR="0001406B">
        <w:rPr>
          <w:rFonts w:ascii="Arial" w:hAnsi="Arial" w:cs="Arial"/>
          <w:lang w:val="es-ES_tradnl"/>
        </w:rPr>
        <w:t>C</w:t>
      </w:r>
      <w:r w:rsidRPr="00222BE8">
        <w:rPr>
          <w:rFonts w:ascii="Arial" w:hAnsi="Arial" w:cs="Arial"/>
          <w:lang w:val="es-ES_tradnl"/>
        </w:rPr>
        <w:t>ódigo</w:t>
      </w:r>
      <w:r w:rsidRPr="00222BE8">
        <w:rPr>
          <w:rStyle w:val="Refdenotaalpie"/>
          <w:rFonts w:ascii="Arial" w:hAnsi="Arial" w:cs="Arial"/>
          <w:lang w:val="es-ES_tradnl"/>
        </w:rPr>
        <w:footnoteReference w:id="13"/>
      </w:r>
      <w:r w:rsidRPr="00222BE8">
        <w:rPr>
          <w:rFonts w:ascii="Arial" w:hAnsi="Arial" w:cs="Arial"/>
          <w:lang w:val="es-ES_tradnl"/>
        </w:rPr>
        <w:t>. Por ello la entidad no pierde la vigilancia sobre los recursos</w:t>
      </w:r>
      <w:r w:rsidRPr="00222BE8">
        <w:rPr>
          <w:rFonts w:ascii="Arial" w:hAnsi="Arial" w:cs="Arial"/>
          <w:spacing w:val="-26"/>
          <w:lang w:val="es-ES_tradnl"/>
        </w:rPr>
        <w:t xml:space="preserve"> </w:t>
      </w:r>
      <w:r w:rsidRPr="00222BE8">
        <w:rPr>
          <w:rFonts w:ascii="Arial" w:hAnsi="Arial" w:cs="Arial"/>
          <w:lang w:val="es-ES_tradnl"/>
        </w:rPr>
        <w:t>públicos.</w:t>
      </w:r>
    </w:p>
    <w:p w14:paraId="1D0998CC" w14:textId="16B67B98" w:rsidR="00802F9E" w:rsidRPr="00222BE8" w:rsidRDefault="006D712D" w:rsidP="00802F9E">
      <w:pPr>
        <w:pStyle w:val="Textoindependiente"/>
        <w:ind w:firstLine="709"/>
        <w:jc w:val="both"/>
        <w:rPr>
          <w:rFonts w:ascii="Arial" w:hAnsi="Arial" w:cs="Arial"/>
          <w:lang w:val="es-ES_tradnl"/>
        </w:rPr>
      </w:pPr>
      <w:r w:rsidRPr="00222BE8">
        <w:rPr>
          <w:rFonts w:ascii="Arial" w:hAnsi="Arial" w:cs="Arial"/>
          <w:lang w:val="es-ES_tradnl"/>
        </w:rPr>
        <w:t>En síntesis, las entidades estatales mantienen el control y vigilancia de la correcta ejecución de los recursos entregados a la fiducia</w:t>
      </w:r>
      <w:r w:rsidR="00244058">
        <w:rPr>
          <w:rFonts w:ascii="Arial" w:hAnsi="Arial" w:cs="Arial"/>
          <w:lang w:val="es-ES_tradnl"/>
        </w:rPr>
        <w:t>. S</w:t>
      </w:r>
      <w:r w:rsidRPr="00222BE8">
        <w:rPr>
          <w:rFonts w:ascii="Arial" w:hAnsi="Arial" w:cs="Arial"/>
          <w:lang w:val="es-ES_tradnl"/>
        </w:rPr>
        <w:t>in embargo, la responsabilidad disciplinaria o fiscal por hechos relacionados dependerá de cada situación particular</w:t>
      </w:r>
      <w:r w:rsidR="00244058">
        <w:rPr>
          <w:rFonts w:ascii="Arial" w:hAnsi="Arial" w:cs="Arial"/>
          <w:lang w:val="es-ES_tradnl"/>
        </w:rPr>
        <w:t>.</w:t>
      </w:r>
      <w:r w:rsidRPr="00222BE8">
        <w:rPr>
          <w:rFonts w:ascii="Arial" w:hAnsi="Arial" w:cs="Arial"/>
          <w:lang w:val="es-ES_tradnl"/>
        </w:rPr>
        <w:t xml:space="preserve"> </w:t>
      </w:r>
      <w:r w:rsidR="00244058">
        <w:rPr>
          <w:rFonts w:ascii="Arial" w:hAnsi="Arial" w:cs="Arial"/>
          <w:lang w:val="es-ES_tradnl"/>
        </w:rPr>
        <w:t>L</w:t>
      </w:r>
      <w:r w:rsidRPr="00222BE8">
        <w:rPr>
          <w:rFonts w:ascii="Arial" w:hAnsi="Arial" w:cs="Arial"/>
          <w:lang w:val="es-ES_tradnl"/>
        </w:rPr>
        <w:t>os organismos de control respectivos son los competentes para pronunciarse al respecto y no la Agencia Nacional de Contratación Pública.</w:t>
      </w:r>
    </w:p>
    <w:p w14:paraId="5D49F19E" w14:textId="4231C555" w:rsidR="003B6F4D" w:rsidRPr="00222BE8" w:rsidRDefault="006D712D" w:rsidP="00BD02CC">
      <w:pPr>
        <w:pStyle w:val="Textoindependiente"/>
        <w:spacing w:after="0"/>
        <w:ind w:firstLine="709"/>
        <w:jc w:val="both"/>
        <w:rPr>
          <w:rFonts w:ascii="Arial" w:hAnsi="Arial" w:cs="Arial"/>
          <w:lang w:val="es-ES_tradnl"/>
        </w:rPr>
      </w:pPr>
      <w:r w:rsidRPr="00222BE8">
        <w:rPr>
          <w:rFonts w:ascii="Arial" w:hAnsi="Arial" w:cs="Arial"/>
          <w:lang w:val="es-ES_tradnl"/>
        </w:rPr>
        <w:t>Aun cuando existen casos donde es posible constituir patrimonio</w:t>
      </w:r>
      <w:r w:rsidR="00C455C1">
        <w:rPr>
          <w:rFonts w:ascii="Arial" w:hAnsi="Arial" w:cs="Arial"/>
          <w:lang w:val="es-ES_tradnl"/>
        </w:rPr>
        <w:t>s</w:t>
      </w:r>
      <w:r w:rsidRPr="00222BE8">
        <w:rPr>
          <w:rFonts w:ascii="Arial" w:hAnsi="Arial" w:cs="Arial"/>
          <w:lang w:val="es-ES_tradnl"/>
        </w:rPr>
        <w:t xml:space="preserve"> autónomo</w:t>
      </w:r>
      <w:r w:rsidR="00C455C1">
        <w:rPr>
          <w:rFonts w:ascii="Arial" w:hAnsi="Arial" w:cs="Arial"/>
          <w:lang w:val="es-ES_tradnl"/>
        </w:rPr>
        <w:t>s</w:t>
      </w:r>
      <w:r w:rsidRPr="00222BE8">
        <w:rPr>
          <w:rFonts w:ascii="Arial" w:hAnsi="Arial" w:cs="Arial"/>
          <w:lang w:val="es-ES_tradnl"/>
        </w:rPr>
        <w:t xml:space="preserve"> por parte de entidades estatales, a menos que la ley que </w:t>
      </w:r>
      <w:r w:rsidR="00F12AF8">
        <w:rPr>
          <w:rFonts w:ascii="Arial" w:hAnsi="Arial" w:cs="Arial"/>
          <w:lang w:val="es-ES_tradnl"/>
        </w:rPr>
        <w:t xml:space="preserve">lo </w:t>
      </w:r>
      <w:r w:rsidRPr="00222BE8">
        <w:rPr>
          <w:rFonts w:ascii="Arial" w:hAnsi="Arial" w:cs="Arial"/>
          <w:lang w:val="es-ES_tradnl"/>
        </w:rPr>
        <w:t xml:space="preserve">autorice diga otra cosa, se debe </w:t>
      </w:r>
      <w:r w:rsidRPr="00222BE8">
        <w:rPr>
          <w:rFonts w:ascii="Arial" w:hAnsi="Arial" w:cs="Arial"/>
          <w:lang w:val="es-ES_tradnl"/>
        </w:rPr>
        <w:lastRenderedPageBreak/>
        <w:t xml:space="preserve">respetar el artículo 32 de la Ley 80 de 1993, según el cual: </w:t>
      </w:r>
      <w:r w:rsidR="00F12AF8">
        <w:rPr>
          <w:rFonts w:ascii="Arial" w:hAnsi="Arial" w:cs="Arial"/>
          <w:lang w:val="es-ES_tradnl"/>
        </w:rPr>
        <w:t>«</w:t>
      </w:r>
      <w:r w:rsidRPr="00222BE8">
        <w:rPr>
          <w:rFonts w:ascii="Arial" w:hAnsi="Arial" w:cs="Arial"/>
          <w:lang w:val="es-ES_tradnl"/>
        </w:rPr>
        <w:t>en ningún caso las entidades públicas fideicomitentes podrán delegar en las sociedades fiduciarias la adjudicación de los contratos que se celebren en desarrollo del encargo o de la fiducia pública</w:t>
      </w:r>
      <w:r w:rsidR="00F12AF8">
        <w:rPr>
          <w:rFonts w:ascii="Arial" w:hAnsi="Arial" w:cs="Arial"/>
          <w:lang w:val="es-ES_tradnl"/>
        </w:rPr>
        <w:t>».</w:t>
      </w:r>
    </w:p>
    <w:p w14:paraId="712B7BCD" w14:textId="77777777" w:rsidR="00BD02CC" w:rsidRDefault="00BD02CC" w:rsidP="00112774">
      <w:pPr>
        <w:spacing w:line="276" w:lineRule="auto"/>
        <w:jc w:val="both"/>
        <w:rPr>
          <w:rFonts w:ascii="Arial" w:eastAsia="Calibri" w:hAnsi="Arial" w:cs="Arial"/>
          <w:b/>
          <w:color w:val="000000" w:themeColor="text1"/>
          <w:sz w:val="22"/>
          <w:lang w:val="es-ES_tradnl"/>
        </w:rPr>
      </w:pPr>
    </w:p>
    <w:p w14:paraId="228F41F3" w14:textId="0A6C209A" w:rsidR="00112774" w:rsidRPr="00222BE8" w:rsidRDefault="00112774" w:rsidP="00112774">
      <w:pPr>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2.2. Contratos interadministrativos. Concepto y régimen jurídico aplicable</w:t>
      </w:r>
    </w:p>
    <w:p w14:paraId="6CE1DABF" w14:textId="77777777" w:rsidR="00112774" w:rsidRPr="00222BE8" w:rsidRDefault="00112774" w:rsidP="00112774">
      <w:pPr>
        <w:spacing w:line="276" w:lineRule="auto"/>
        <w:jc w:val="both"/>
        <w:rPr>
          <w:rFonts w:ascii="Arial" w:eastAsia="Calibri" w:hAnsi="Arial" w:cs="Arial"/>
          <w:color w:val="000000" w:themeColor="text1"/>
          <w:sz w:val="22"/>
          <w:lang w:val="es-ES_tradnl"/>
        </w:rPr>
      </w:pPr>
    </w:p>
    <w:p w14:paraId="2F91B890" w14:textId="0EDD9C14" w:rsidR="00112774" w:rsidRPr="00222BE8" w:rsidRDefault="00112774" w:rsidP="00112774">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Los procedimientos contractuales mediante los cuales las entidades</w:t>
      </w:r>
      <w:r w:rsidR="00036E03">
        <w:rPr>
          <w:rFonts w:ascii="Arial" w:eastAsia="Calibri" w:hAnsi="Arial" w:cs="Arial"/>
          <w:color w:val="000000" w:themeColor="text1"/>
          <w:sz w:val="22"/>
          <w:lang w:val="es-ES_tradnl"/>
        </w:rPr>
        <w:t xml:space="preserve"> estatales sometidas al Esta</w:t>
      </w:r>
      <w:r w:rsidR="00EC5DA3">
        <w:rPr>
          <w:rFonts w:ascii="Arial" w:eastAsia="Calibri" w:hAnsi="Arial" w:cs="Arial"/>
          <w:color w:val="000000" w:themeColor="text1"/>
          <w:sz w:val="22"/>
          <w:lang w:val="es-ES_tradnl"/>
        </w:rPr>
        <w:t xml:space="preserve">tuto General de Contratación de la Administración Pública </w:t>
      </w:r>
      <w:r w:rsidRPr="00222BE8">
        <w:rPr>
          <w:rFonts w:ascii="Arial" w:eastAsia="Calibri" w:hAnsi="Arial" w:cs="Arial"/>
          <w:color w:val="000000" w:themeColor="text1"/>
          <w:sz w:val="22"/>
          <w:lang w:val="es-ES_tradnl"/>
        </w:rPr>
        <w:t>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de 1993</w:t>
      </w:r>
      <w:r w:rsidR="00DE082D">
        <w:rPr>
          <w:rFonts w:ascii="Arial" w:eastAsia="Calibri" w:hAnsi="Arial" w:cs="Arial"/>
          <w:color w:val="000000" w:themeColor="text1"/>
          <w:sz w:val="22"/>
          <w:lang w:val="es-ES_tradnl"/>
        </w:rPr>
        <w:t>, Ley 1150 de 2007 y normas complementarias</w:t>
      </w:r>
      <w:r w:rsidRPr="00222BE8">
        <w:rPr>
          <w:rFonts w:ascii="Arial" w:eastAsia="Calibri" w:hAnsi="Arial" w:cs="Arial"/>
          <w:color w:val="000000" w:themeColor="text1"/>
          <w:sz w:val="22"/>
          <w:lang w:val="es-ES_tradnl"/>
        </w:rPr>
        <w:t>― se aplica a las entidades estatales relacionadas en el artículo 2</w:t>
      </w:r>
      <w:r w:rsidRPr="00222BE8">
        <w:rPr>
          <w:rStyle w:val="Refdenotaalpie"/>
          <w:rFonts w:ascii="Arial" w:eastAsia="Calibri" w:hAnsi="Arial" w:cs="Arial"/>
          <w:color w:val="000000" w:themeColor="text1"/>
          <w:sz w:val="22"/>
          <w:lang w:val="es-ES_tradnl"/>
        </w:rPr>
        <w:footnoteReference w:id="14"/>
      </w:r>
      <w:r w:rsidRPr="00222BE8">
        <w:rPr>
          <w:rFonts w:ascii="Arial" w:eastAsia="Calibri" w:hAnsi="Arial" w:cs="Arial"/>
          <w:color w:val="000000" w:themeColor="text1"/>
          <w:sz w:val="22"/>
          <w:lang w:val="es-ES_tradnl"/>
        </w:rPr>
        <w:t xml:space="preserve">, con lo cual se puede determinar quiénes deben cumplir los principios y obligaciones señalados en las normas citadas. </w:t>
      </w:r>
    </w:p>
    <w:p w14:paraId="04624ACD" w14:textId="0D0315E1"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Los procedimientos de contratación se estructuran a partir de las modalidades de selección, y al </w:t>
      </w:r>
      <w:r w:rsidR="00E36E77">
        <w:rPr>
          <w:rFonts w:ascii="Arial" w:eastAsia="Calibri" w:hAnsi="Arial" w:cs="Arial"/>
          <w:color w:val="000000" w:themeColor="text1"/>
          <w:sz w:val="22"/>
          <w:lang w:val="es-ES_tradnl"/>
        </w:rPr>
        <w:t>revisar</w:t>
      </w:r>
      <w:r w:rsidRPr="00222BE8">
        <w:rPr>
          <w:rFonts w:ascii="Arial" w:eastAsia="Calibri" w:hAnsi="Arial" w:cs="Arial"/>
          <w:color w:val="000000" w:themeColor="text1"/>
          <w:sz w:val="22"/>
          <w:lang w:val="es-ES_tradnl"/>
        </w:rPr>
        <w:t xml:space="preserve"> las normas citadas se observa que contienen los procedimientos para adelantarlas y las reglas de cada modalidad: licitación pública, selección abreviada, concurso de méritos, contratación directa y mínima cuantía</w:t>
      </w:r>
      <w:r w:rsidRPr="00222BE8">
        <w:rPr>
          <w:rStyle w:val="Refdenotaalpie"/>
          <w:rFonts w:ascii="Arial" w:eastAsia="Calibri" w:hAnsi="Arial" w:cs="Arial"/>
          <w:color w:val="000000" w:themeColor="text1"/>
          <w:sz w:val="22"/>
          <w:lang w:val="es-ES_tradnl"/>
        </w:rPr>
        <w:footnoteReference w:id="15"/>
      </w:r>
      <w:r w:rsidRPr="00222BE8">
        <w:rPr>
          <w:rFonts w:ascii="Arial" w:eastAsia="Calibri" w:hAnsi="Arial" w:cs="Arial"/>
          <w:color w:val="000000" w:themeColor="text1"/>
          <w:sz w:val="22"/>
          <w:lang w:val="es-ES_tradnl"/>
        </w:rPr>
        <w:t xml:space="preserve">. </w:t>
      </w:r>
    </w:p>
    <w:p w14:paraId="49DC4FD2" w14:textId="77777777"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w:t>
      </w:r>
      <w:r w:rsidRPr="00222BE8">
        <w:rPr>
          <w:rFonts w:ascii="Arial" w:eastAsia="Calibri" w:hAnsi="Arial" w:cs="Arial"/>
          <w:color w:val="000000" w:themeColor="text1"/>
          <w:sz w:val="22"/>
          <w:lang w:val="es-ES_tradnl"/>
        </w:rPr>
        <w:lastRenderedPageBreak/>
        <w:t xml:space="preserve">gobernar un esquema contractual eficiente, es el de modular las modalidades de selección en razón a las características del objeto». </w:t>
      </w:r>
    </w:p>
    <w:p w14:paraId="23EF11B8" w14:textId="77777777" w:rsidR="00112774" w:rsidRPr="00222BE8" w:rsidRDefault="00112774" w:rsidP="00112774">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222BE8">
        <w:rPr>
          <w:rStyle w:val="Refdenotaalpie"/>
          <w:rFonts w:ascii="Arial" w:eastAsia="Calibri" w:hAnsi="Arial" w:cs="Arial"/>
          <w:color w:val="000000" w:themeColor="text1"/>
          <w:sz w:val="22"/>
          <w:lang w:val="es-ES_tradnl"/>
        </w:rPr>
        <w:footnoteReference w:id="16"/>
      </w:r>
      <w:r w:rsidRPr="00222BE8">
        <w:rPr>
          <w:rFonts w:ascii="Arial" w:eastAsia="Calibri" w:hAnsi="Arial" w:cs="Arial"/>
          <w:color w:val="000000" w:themeColor="text1"/>
          <w:sz w:val="22"/>
          <w:lang w:val="es-ES_tradnl"/>
        </w:rPr>
        <w:t>.</w:t>
      </w:r>
    </w:p>
    <w:p w14:paraId="25877EEF" w14:textId="77777777" w:rsidR="00112774" w:rsidRPr="00222BE8" w:rsidRDefault="00112774" w:rsidP="00112774">
      <w:pPr>
        <w:spacing w:before="120" w:after="120" w:line="276" w:lineRule="auto"/>
        <w:jc w:val="both"/>
        <w:rPr>
          <w:rFonts w:ascii="Arial" w:eastAsia="Calibri" w:hAnsi="Arial" w:cs="Arial"/>
          <w:color w:val="000000" w:themeColor="text1"/>
          <w:sz w:val="22"/>
          <w:lang w:val="es-ES_tradnl"/>
        </w:rPr>
      </w:pPr>
      <w:r w:rsidRPr="00222BE8">
        <w:rPr>
          <w:rFonts w:ascii="Arial" w:hAnsi="Arial" w:cs="Arial"/>
          <w:color w:val="000000" w:themeColor="text1"/>
          <w:sz w:val="22"/>
          <w:lang w:val="es-ES_tradnl"/>
        </w:rPr>
        <w:tab/>
      </w:r>
      <w:r w:rsidRPr="00222BE8">
        <w:rPr>
          <w:rFonts w:ascii="Arial" w:eastAsia="Calibri" w:hAnsi="Arial" w:cs="Arial"/>
          <w:color w:val="000000" w:themeColor="text1"/>
          <w:sz w:val="22"/>
          <w:lang w:val="es-ES_tradnl"/>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5A1D6E6A" w14:textId="582B273E" w:rsidR="00112774" w:rsidRPr="00222BE8" w:rsidRDefault="00112774" w:rsidP="00112774">
      <w:pPr>
        <w:spacing w:before="120" w:after="120" w:line="276" w:lineRule="auto"/>
        <w:ind w:firstLine="708"/>
        <w:jc w:val="both"/>
        <w:rPr>
          <w:rFonts w:ascii="Arial" w:hAnsi="Arial" w:cs="Arial"/>
          <w:color w:val="000000" w:themeColor="text1"/>
          <w:sz w:val="22"/>
          <w:lang w:val="es-ES_tradnl"/>
        </w:rPr>
      </w:pPr>
      <w:r w:rsidRPr="00222BE8">
        <w:rPr>
          <w:rFonts w:ascii="Arial" w:eastAsia="Calibri" w:hAnsi="Arial" w:cs="Arial"/>
          <w:color w:val="000000" w:themeColor="text1"/>
          <w:sz w:val="22"/>
          <w:lang w:val="es-ES_tradnl"/>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w:t>
      </w:r>
      <w:r w:rsidRPr="00654AB3">
        <w:rPr>
          <w:rFonts w:ascii="Arial" w:eastAsia="Calibri" w:hAnsi="Arial" w:cs="Arial"/>
          <w:color w:val="000000" w:themeColor="text1"/>
          <w:sz w:val="22"/>
          <w:lang w:val="es-ES_tradnl"/>
        </w:rPr>
        <w:t>caso en el cual su ejecución estará sometida a la Ley 80 de 1993</w:t>
      </w:r>
      <w:r w:rsidR="00C95EC9">
        <w:rPr>
          <w:rFonts w:ascii="Arial" w:eastAsia="Calibri" w:hAnsi="Arial" w:cs="Arial"/>
          <w:color w:val="000000" w:themeColor="text1"/>
          <w:sz w:val="22"/>
          <w:lang w:val="es-ES_tradnl"/>
        </w:rPr>
        <w:t>.</w:t>
      </w:r>
    </w:p>
    <w:p w14:paraId="3621BF4F" w14:textId="1CA7CACF"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w:t>
      </w:r>
      <w:r w:rsidR="00654AB3">
        <w:rPr>
          <w:rFonts w:ascii="Arial" w:eastAsia="Calibri" w:hAnsi="Arial" w:cs="Arial"/>
          <w:color w:val="000000" w:themeColor="text1"/>
          <w:sz w:val="22"/>
          <w:lang w:val="es-ES_tradnl"/>
        </w:rPr>
        <w:t>susceptible de pluralidad de oferentes</w:t>
      </w:r>
      <w:r w:rsidRPr="00222BE8">
        <w:rPr>
          <w:rStyle w:val="Refdenotaalpie"/>
          <w:rFonts w:ascii="Arial" w:eastAsia="Calibri" w:hAnsi="Arial" w:cs="Arial"/>
          <w:color w:val="000000" w:themeColor="text1"/>
          <w:sz w:val="22"/>
          <w:lang w:val="es-ES_tradnl"/>
        </w:rPr>
        <w:footnoteReference w:id="17"/>
      </w:r>
      <w:r w:rsidRPr="00222BE8">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47B51BA1" w14:textId="77777777"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lastRenderedPageBreak/>
        <w:t>Además, es necesario tener en cuenta que para que un contrato o convenio interadministrativo exista debe cumplir con los siguientes elementos: acuerdo sobre el objeto y la contraprestación y que conste por escrito</w:t>
      </w:r>
      <w:r w:rsidRPr="00222BE8">
        <w:rPr>
          <w:rStyle w:val="Refdenotaalpie"/>
          <w:rFonts w:ascii="Arial" w:eastAsia="Calibri" w:hAnsi="Arial" w:cs="Arial"/>
          <w:color w:val="000000" w:themeColor="text1"/>
          <w:sz w:val="22"/>
          <w:lang w:val="es-ES_tradnl"/>
        </w:rPr>
        <w:footnoteReference w:id="18"/>
      </w:r>
      <w:r w:rsidRPr="00222BE8">
        <w:rPr>
          <w:rFonts w:ascii="Arial" w:eastAsia="Calibri" w:hAnsi="Arial" w:cs="Arial"/>
          <w:color w:val="000000" w:themeColor="text1"/>
          <w:sz w:val="22"/>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9F1D8D7" w14:textId="66220E26"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La Corte Constitucional expresó</w:t>
      </w:r>
      <w:r w:rsidR="00654AB3">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1E18726B" w14:textId="216E4DA7" w:rsidR="00112774" w:rsidRPr="00222BE8" w:rsidRDefault="00112774" w:rsidP="00112774">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Así las cosas, y atendiendo a la literalidad de las normas enunciadas, no cabe una interpretación diferente</w:t>
      </w:r>
      <w:r w:rsidRPr="00222BE8">
        <w:rPr>
          <w:rStyle w:val="Refdenotaalpie"/>
          <w:rFonts w:ascii="Arial" w:hAnsi="Arial" w:cs="Arial"/>
          <w:color w:val="000000" w:themeColor="text1"/>
          <w:sz w:val="22"/>
          <w:lang w:val="es-ES_tradnl"/>
        </w:rPr>
        <w:footnoteReference w:id="19"/>
      </w:r>
      <w:r w:rsidRPr="00222BE8">
        <w:rPr>
          <w:rFonts w:ascii="Arial" w:eastAsia="Calibri" w:hAnsi="Arial" w:cs="Arial"/>
          <w:color w:val="000000" w:themeColor="text1"/>
          <w:sz w:val="22"/>
          <w:lang w:val="es-ES_tradnl"/>
        </w:rPr>
        <w:t>, pues</w:t>
      </w:r>
      <w:r w:rsidR="00FD1994">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de acuerdo con lo anotado</w:t>
      </w:r>
      <w:r w:rsidR="00FD1994">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AEA4332" w14:textId="77777777" w:rsidR="00112774" w:rsidRPr="00222BE8" w:rsidRDefault="00112774" w:rsidP="00112774">
      <w:pPr>
        <w:ind w:left="709" w:right="709"/>
        <w:jc w:val="both"/>
        <w:rPr>
          <w:rFonts w:ascii="Arial" w:eastAsia="Calibri" w:hAnsi="Arial" w:cs="Arial"/>
          <w:color w:val="000000" w:themeColor="text1"/>
          <w:sz w:val="21"/>
          <w:szCs w:val="21"/>
          <w:lang w:val="es-ES_tradnl"/>
        </w:rPr>
      </w:pPr>
    </w:p>
    <w:p w14:paraId="7820A436" w14:textId="77777777" w:rsidR="00112774" w:rsidRPr="00222BE8" w:rsidRDefault="00112774" w:rsidP="00112774">
      <w:pPr>
        <w:ind w:left="709" w:right="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1"/>
          <w:szCs w:val="21"/>
          <w:lang w:val="es-ES_tradnl"/>
        </w:rPr>
        <w:t>[…]se puede señalar que los convenios o contratos interadministrativos tienen como características principales las siguientes:</w:t>
      </w:r>
    </w:p>
    <w:p w14:paraId="17489DA9" w14:textId="77777777" w:rsidR="00112774" w:rsidRPr="00222BE8" w:rsidRDefault="00112774" w:rsidP="00112774">
      <w:pPr>
        <w:ind w:left="709" w:right="709" w:firstLine="708"/>
        <w:jc w:val="both"/>
        <w:rPr>
          <w:rFonts w:ascii="Arial" w:eastAsia="Calibri" w:hAnsi="Arial" w:cs="Arial"/>
          <w:color w:val="000000" w:themeColor="text1"/>
          <w:sz w:val="21"/>
          <w:szCs w:val="21"/>
          <w:lang w:val="es-ES_tradnl"/>
        </w:rPr>
      </w:pPr>
    </w:p>
    <w:p w14:paraId="57D5218D" w14:textId="77777777" w:rsidR="00112774" w:rsidRPr="00222BE8" w:rsidRDefault="00112774" w:rsidP="00112774">
      <w:pPr>
        <w:ind w:left="709" w:right="709"/>
        <w:jc w:val="both"/>
        <w:rPr>
          <w:rFonts w:ascii="Arial" w:eastAsia="Calibri" w:hAnsi="Arial" w:cs="Arial"/>
          <w:color w:val="000000" w:themeColor="text1"/>
          <w:sz w:val="21"/>
          <w:szCs w:val="21"/>
          <w:lang w:val="es-ES_tradnl"/>
        </w:rPr>
      </w:pPr>
      <w:r w:rsidRPr="00222BE8">
        <w:rPr>
          <w:rFonts w:ascii="Arial" w:eastAsia="Calibri" w:hAnsi="Arial" w:cs="Arial"/>
          <w:color w:val="000000" w:themeColor="text1"/>
          <w:sz w:val="21"/>
          <w:szCs w:val="21"/>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w:t>
      </w:r>
      <w:r w:rsidRPr="00222BE8">
        <w:rPr>
          <w:rFonts w:ascii="Arial" w:eastAsia="Calibri" w:hAnsi="Arial" w:cs="Arial"/>
          <w:color w:val="000000" w:themeColor="text1"/>
          <w:sz w:val="21"/>
          <w:szCs w:val="21"/>
          <w:lang w:val="es-ES_tradnl"/>
        </w:rPr>
        <w:lastRenderedPageBreak/>
        <w:t>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22BE8">
        <w:rPr>
          <w:rStyle w:val="Refdenotaalpie"/>
          <w:rFonts w:ascii="Arial" w:eastAsia="Calibri" w:hAnsi="Arial" w:cs="Arial"/>
          <w:color w:val="000000" w:themeColor="text1"/>
          <w:sz w:val="21"/>
          <w:szCs w:val="21"/>
          <w:lang w:val="es-ES_tradnl"/>
        </w:rPr>
        <w:footnoteReference w:id="20"/>
      </w:r>
      <w:r w:rsidRPr="00222BE8">
        <w:rPr>
          <w:rFonts w:ascii="Arial" w:eastAsia="Calibri" w:hAnsi="Arial" w:cs="Arial"/>
          <w:color w:val="000000" w:themeColor="text1"/>
          <w:sz w:val="21"/>
          <w:szCs w:val="21"/>
          <w:lang w:val="es-ES_tradnl"/>
        </w:rPr>
        <w:t>.</w:t>
      </w:r>
    </w:p>
    <w:p w14:paraId="2675112A" w14:textId="77777777" w:rsidR="00112774" w:rsidRPr="00222BE8" w:rsidRDefault="00112774" w:rsidP="00112774">
      <w:pPr>
        <w:ind w:right="709"/>
        <w:jc w:val="both"/>
        <w:rPr>
          <w:rFonts w:ascii="Arial" w:eastAsia="Calibri" w:hAnsi="Arial" w:cs="Arial"/>
          <w:color w:val="000000" w:themeColor="text1"/>
          <w:sz w:val="21"/>
          <w:szCs w:val="21"/>
          <w:lang w:val="es-ES_tradnl"/>
        </w:rPr>
      </w:pPr>
    </w:p>
    <w:p w14:paraId="74204428" w14:textId="77777777" w:rsidR="00112774" w:rsidRPr="00222BE8" w:rsidRDefault="00112774" w:rsidP="00112774">
      <w:pPr>
        <w:spacing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p>
    <w:p w14:paraId="14E3B2D0" w14:textId="3F871D59"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El Estatuto General de Contratación de la Administración Pública establece la contratación directa como la modalidad de selección aplicable para </w:t>
      </w:r>
      <w:r w:rsidR="00BE5333">
        <w:rPr>
          <w:rFonts w:ascii="Arial" w:eastAsia="Calibri" w:hAnsi="Arial" w:cs="Arial"/>
          <w:color w:val="000000" w:themeColor="text1"/>
          <w:sz w:val="22"/>
          <w:lang w:val="es-ES_tradnl"/>
        </w:rPr>
        <w:t>celebrar</w:t>
      </w:r>
      <w:r w:rsidRPr="00222BE8">
        <w:rPr>
          <w:rFonts w:ascii="Arial" w:eastAsia="Calibri" w:hAnsi="Arial" w:cs="Arial"/>
          <w:color w:val="000000" w:themeColor="text1"/>
          <w:sz w:val="22"/>
          <w:lang w:val="es-ES_tradnl"/>
        </w:rPr>
        <w:t xml:space="preserve"> los contratos interadministrativos. </w:t>
      </w:r>
    </w:p>
    <w:p w14:paraId="7E4F87D6" w14:textId="3D7DA910"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La contratación directa es una modalidad de aplicación restrictiva, esto es, solo procede por las causales señaladas taxativamente en el numeral 4 del artículo 2 de la Ley 1150 de 2007, ya que es una excepción a</w:t>
      </w:r>
      <w:r w:rsidR="00CE53CC">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l</w:t>
      </w:r>
      <w:r w:rsidR="00CE53CC">
        <w:rPr>
          <w:rFonts w:ascii="Arial" w:eastAsia="Calibri" w:hAnsi="Arial" w:cs="Arial"/>
          <w:color w:val="000000" w:themeColor="text1"/>
          <w:sz w:val="22"/>
          <w:lang w:val="es-ES_tradnl"/>
        </w:rPr>
        <w:t>os</w:t>
      </w:r>
      <w:r w:rsidRPr="00222BE8">
        <w:rPr>
          <w:rFonts w:ascii="Arial" w:eastAsia="Calibri" w:hAnsi="Arial" w:cs="Arial"/>
          <w:color w:val="000000" w:themeColor="text1"/>
          <w:sz w:val="22"/>
          <w:lang w:val="es-ES_tradnl"/>
        </w:rPr>
        <w:t xml:space="preserve"> principio</w:t>
      </w:r>
      <w:r w:rsidR="00CE53CC">
        <w:rPr>
          <w:rFonts w:ascii="Arial" w:eastAsia="Calibri" w:hAnsi="Arial" w:cs="Arial"/>
          <w:color w:val="000000" w:themeColor="text1"/>
          <w:sz w:val="22"/>
          <w:lang w:val="es-ES_tradnl"/>
        </w:rPr>
        <w:t>s</w:t>
      </w:r>
      <w:r w:rsidRPr="00222BE8">
        <w:rPr>
          <w:rFonts w:ascii="Arial" w:eastAsia="Calibri" w:hAnsi="Arial" w:cs="Arial"/>
          <w:color w:val="000000" w:themeColor="text1"/>
          <w:sz w:val="22"/>
          <w:lang w:val="es-ES_tradnl"/>
        </w:rPr>
        <w:t xml:space="preserve"> de libre concurrencia y libre competencia</w:t>
      </w:r>
      <w:r w:rsidR="00CE53CC">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que aplica</w:t>
      </w:r>
      <w:r w:rsidR="00CE53CC">
        <w:rPr>
          <w:rFonts w:ascii="Arial" w:eastAsia="Calibri" w:hAnsi="Arial" w:cs="Arial"/>
          <w:color w:val="000000" w:themeColor="text1"/>
          <w:sz w:val="22"/>
          <w:lang w:val="es-ES_tradnl"/>
        </w:rPr>
        <w:t>n</w:t>
      </w:r>
      <w:r w:rsidRPr="00222BE8">
        <w:rPr>
          <w:rFonts w:ascii="Arial" w:eastAsia="Calibri" w:hAnsi="Arial" w:cs="Arial"/>
          <w:color w:val="000000" w:themeColor="text1"/>
          <w:sz w:val="22"/>
          <w:lang w:val="es-ES_tradnl"/>
        </w:rPr>
        <w:t xml:space="preserve"> a los procedimientos de contratación, para que cualquier persona interesada en satisfacer la necesidad de una entidad</w:t>
      </w:r>
      <w:r w:rsidR="002B48DB">
        <w:rPr>
          <w:rFonts w:ascii="Arial" w:eastAsia="Calibri" w:hAnsi="Arial" w:cs="Arial"/>
          <w:color w:val="000000" w:themeColor="text1"/>
          <w:sz w:val="22"/>
          <w:lang w:val="es-ES_tradnl"/>
        </w:rPr>
        <w:t xml:space="preserve"> estatal</w:t>
      </w:r>
      <w:r w:rsidRPr="00222BE8">
        <w:rPr>
          <w:rFonts w:ascii="Arial" w:eastAsia="Calibri" w:hAnsi="Arial" w:cs="Arial"/>
          <w:color w:val="000000" w:themeColor="text1"/>
          <w:sz w:val="22"/>
          <w:lang w:val="es-ES_tradnl"/>
        </w:rPr>
        <w:t xml:space="preserve"> pueda presentar una oferta. En la contratación directa no es necesario que la entidad</w:t>
      </w:r>
      <w:r w:rsidR="002B48DB">
        <w:rPr>
          <w:rFonts w:ascii="Arial" w:eastAsia="Calibri" w:hAnsi="Arial" w:cs="Arial"/>
          <w:color w:val="000000" w:themeColor="text1"/>
          <w:sz w:val="22"/>
          <w:lang w:val="es-ES_tradnl"/>
        </w:rPr>
        <w:t xml:space="preserve"> estatal</w:t>
      </w:r>
      <w:r w:rsidRPr="00222BE8">
        <w:rPr>
          <w:rFonts w:ascii="Arial" w:eastAsia="Calibri" w:hAnsi="Arial" w:cs="Arial"/>
          <w:color w:val="000000" w:themeColor="text1"/>
          <w:sz w:val="22"/>
          <w:lang w:val="es-ES_tradnl"/>
        </w:rPr>
        <w:t xml:space="preserve"> reciba más de una oferta, la cual proviene de la persona que la entidad señala directamente y la invita a ofertar el servicio que requiere.</w:t>
      </w:r>
    </w:p>
    <w:p w14:paraId="4C1B1860" w14:textId="77777777"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4682E9A0" w14:textId="77777777" w:rsidR="00112774" w:rsidRPr="00222BE8" w:rsidRDefault="00112774" w:rsidP="00112774">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w:t>
      </w:r>
      <w:r w:rsidRPr="00222BE8">
        <w:rPr>
          <w:rFonts w:ascii="Arial" w:eastAsia="Calibri" w:hAnsi="Arial" w:cs="Arial"/>
          <w:color w:val="000000" w:themeColor="text1"/>
          <w:sz w:val="22"/>
          <w:lang w:val="es-ES_tradnl"/>
        </w:rPr>
        <w:lastRenderedPageBreak/>
        <w:t>contratación directa. Al respecto, el Consejo de Estado indicó frente a la modalidad de selección de contratación directa que:</w:t>
      </w:r>
    </w:p>
    <w:p w14:paraId="2749754B" w14:textId="77777777" w:rsidR="00112774" w:rsidRPr="00222BE8" w:rsidRDefault="00112774" w:rsidP="00112774">
      <w:pPr>
        <w:ind w:left="709" w:right="709"/>
        <w:jc w:val="both"/>
        <w:rPr>
          <w:rFonts w:ascii="Arial" w:hAnsi="Arial" w:cs="Arial"/>
          <w:color w:val="000000" w:themeColor="text1"/>
          <w:sz w:val="21"/>
          <w:szCs w:val="21"/>
          <w:lang w:val="es-ES_tradnl"/>
        </w:rPr>
      </w:pPr>
    </w:p>
    <w:p w14:paraId="482593BD" w14:textId="55F17DED" w:rsidR="00112774" w:rsidRPr="00222BE8" w:rsidRDefault="00112774" w:rsidP="00112774">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 xml:space="preserve">[...] No obstante, si bien la administración tiene la posibilidad de celebrar este tipo de contratos, sin acudir a licitación o concurso público, tal libertad no es absoluta, toda vez que en la selección del contratista se </w:t>
      </w:r>
      <w:r w:rsidR="00CB1FFE">
        <w:rPr>
          <w:rFonts w:ascii="Arial" w:hAnsi="Arial" w:cs="Arial"/>
          <w:color w:val="000000" w:themeColor="text1"/>
          <w:sz w:val="21"/>
          <w:szCs w:val="21"/>
          <w:lang w:val="es-ES_tradnl"/>
        </w:rPr>
        <w:t>«</w:t>
      </w:r>
      <w:r w:rsidRPr="00222BE8">
        <w:rPr>
          <w:rFonts w:ascii="Arial" w:hAnsi="Arial" w:cs="Arial"/>
          <w:color w:val="000000" w:themeColor="text1"/>
          <w:sz w:val="21"/>
          <w:szCs w:val="21"/>
          <w:lang w:val="es-ES_tradnl"/>
        </w:rPr>
        <w:t>deberá garantizar el cumplimiento de los principios de economía, transparencia y en especial el deber de selección objetiva, establecidos en la Ley 80 de 1993</w:t>
      </w:r>
      <w:r w:rsidR="00CB1FFE">
        <w:rPr>
          <w:rFonts w:ascii="Arial" w:hAnsi="Arial" w:cs="Arial"/>
          <w:color w:val="000000" w:themeColor="text1"/>
          <w:sz w:val="21"/>
          <w:szCs w:val="21"/>
          <w:lang w:val="es-ES_tradnl"/>
        </w:rPr>
        <w:t>»</w:t>
      </w:r>
      <w:r w:rsidRPr="00222BE8">
        <w:rPr>
          <w:rFonts w:ascii="Arial" w:hAnsi="Arial" w:cs="Arial"/>
          <w:color w:val="000000" w:themeColor="text1"/>
          <w:sz w:val="21"/>
          <w:szCs w:val="21"/>
          <w:lang w:val="es-ES_tradnl"/>
        </w:rPr>
        <w:t>.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r w:rsidRPr="00A01852">
        <w:rPr>
          <w:rFonts w:ascii="Arial" w:hAnsi="Arial" w:cs="Arial"/>
          <w:color w:val="000000" w:themeColor="text1"/>
          <w:vertAlign w:val="superscript"/>
          <w:lang w:val="es-ES_tradnl"/>
        </w:rPr>
        <w:footnoteReference w:id="21"/>
      </w:r>
      <w:r w:rsidR="00A01852">
        <w:rPr>
          <w:rFonts w:ascii="Arial" w:hAnsi="Arial" w:cs="Arial"/>
          <w:color w:val="000000" w:themeColor="text1"/>
          <w:sz w:val="21"/>
          <w:szCs w:val="21"/>
          <w:lang w:val="es-ES_tradnl"/>
        </w:rPr>
        <w:t xml:space="preserve">. </w:t>
      </w:r>
    </w:p>
    <w:p w14:paraId="64A19D2A" w14:textId="77777777" w:rsidR="00112774" w:rsidRPr="00222BE8" w:rsidRDefault="00112774" w:rsidP="00112774">
      <w:pPr>
        <w:spacing w:line="276" w:lineRule="auto"/>
        <w:ind w:firstLine="709"/>
        <w:jc w:val="both"/>
        <w:rPr>
          <w:rFonts w:ascii="Arial" w:eastAsia="Calibri" w:hAnsi="Arial" w:cs="Arial"/>
          <w:color w:val="000000" w:themeColor="text1"/>
          <w:sz w:val="22"/>
          <w:lang w:val="es-ES_tradnl"/>
        </w:rPr>
      </w:pPr>
    </w:p>
    <w:p w14:paraId="2717367E" w14:textId="3DF38AE0" w:rsidR="00112774" w:rsidRPr="00222BE8" w:rsidRDefault="00112774" w:rsidP="00112774">
      <w:pPr>
        <w:spacing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w:t>
      </w:r>
      <w:r w:rsidR="005C0429">
        <w:rPr>
          <w:rFonts w:ascii="Arial" w:eastAsia="Calibri" w:hAnsi="Arial" w:cs="Arial"/>
          <w:color w:val="000000" w:themeColor="text1"/>
          <w:sz w:val="22"/>
          <w:lang w:val="es-ES_tradnl"/>
        </w:rPr>
        <w:t xml:space="preserve">la </w:t>
      </w:r>
      <w:r w:rsidRPr="00222BE8">
        <w:rPr>
          <w:rFonts w:ascii="Arial" w:eastAsia="Calibri" w:hAnsi="Arial" w:cs="Arial"/>
          <w:color w:val="000000" w:themeColor="text1"/>
          <w:sz w:val="22"/>
          <w:lang w:val="es-ES_tradnl"/>
        </w:rPr>
        <w:t xml:space="preserve">contratación directa: </w:t>
      </w:r>
    </w:p>
    <w:p w14:paraId="40923845" w14:textId="77777777" w:rsidR="00112774" w:rsidRPr="00222BE8" w:rsidRDefault="00112774" w:rsidP="00112774">
      <w:pPr>
        <w:spacing w:line="276" w:lineRule="auto"/>
        <w:ind w:firstLine="709"/>
        <w:jc w:val="both"/>
        <w:rPr>
          <w:rFonts w:ascii="Arial" w:hAnsi="Arial" w:cs="Arial"/>
          <w:color w:val="000000" w:themeColor="text1"/>
          <w:sz w:val="20"/>
          <w:szCs w:val="20"/>
          <w:lang w:val="es-ES_tradnl"/>
        </w:rPr>
      </w:pPr>
    </w:p>
    <w:p w14:paraId="44858742" w14:textId="33E44F49" w:rsidR="00112774" w:rsidRPr="00222BE8" w:rsidRDefault="00112774" w:rsidP="00112774">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w:t>
      </w:r>
      <w:r w:rsidR="00CB1FFE">
        <w:rPr>
          <w:rFonts w:ascii="Arial" w:hAnsi="Arial" w:cs="Arial"/>
          <w:color w:val="000000" w:themeColor="text1"/>
          <w:sz w:val="21"/>
          <w:szCs w:val="21"/>
          <w:lang w:val="es-ES_tradnl"/>
        </w:rPr>
        <w:t>«</w:t>
      </w:r>
      <w:r w:rsidRPr="00222BE8">
        <w:rPr>
          <w:rFonts w:ascii="Arial" w:hAnsi="Arial" w:cs="Arial"/>
          <w:color w:val="000000" w:themeColor="text1"/>
          <w:sz w:val="21"/>
          <w:szCs w:val="21"/>
          <w:lang w:val="es-ES_tradnl"/>
        </w:rPr>
        <w:t>contratación directa</w:t>
      </w:r>
      <w:r w:rsidR="00CB1FFE">
        <w:rPr>
          <w:rFonts w:ascii="Arial" w:hAnsi="Arial" w:cs="Arial"/>
          <w:color w:val="000000" w:themeColor="text1"/>
          <w:sz w:val="21"/>
          <w:szCs w:val="21"/>
          <w:lang w:val="es-ES_tradnl"/>
        </w:rPr>
        <w:t>»</w:t>
      </w:r>
      <w:r w:rsidRPr="00222BE8">
        <w:rPr>
          <w:rFonts w:ascii="Arial" w:hAnsi="Arial" w:cs="Arial"/>
          <w:color w:val="000000" w:themeColor="text1"/>
          <w:sz w:val="21"/>
          <w:szCs w:val="21"/>
          <w:lang w:val="es-ES_tradnl"/>
        </w:rPr>
        <w:t xml:space="preserve"> es sinónimo de cualquier sistema diferente de la licitación pública, y no del procedimiento especial regulado por la ley 80 de 1993</w:t>
      </w:r>
      <w:r w:rsidRPr="00222BE8">
        <w:rPr>
          <w:rStyle w:val="Refdenotaalpie"/>
          <w:rFonts w:ascii="Arial" w:hAnsi="Arial" w:cs="Arial"/>
          <w:color w:val="000000" w:themeColor="text1"/>
          <w:sz w:val="21"/>
          <w:szCs w:val="21"/>
          <w:lang w:val="es-ES_tradnl"/>
        </w:rPr>
        <w:footnoteReference w:id="22"/>
      </w:r>
      <w:r w:rsidRPr="00222BE8">
        <w:rPr>
          <w:rFonts w:ascii="Arial" w:hAnsi="Arial" w:cs="Arial"/>
          <w:color w:val="000000" w:themeColor="text1"/>
          <w:sz w:val="21"/>
          <w:szCs w:val="21"/>
          <w:lang w:val="es-ES_tradnl"/>
        </w:rPr>
        <w:t>.</w:t>
      </w:r>
    </w:p>
    <w:p w14:paraId="51A2C0CC" w14:textId="77777777" w:rsidR="00112774" w:rsidRPr="00222BE8" w:rsidRDefault="00112774" w:rsidP="00112774">
      <w:pPr>
        <w:spacing w:line="276" w:lineRule="auto"/>
        <w:ind w:firstLine="709"/>
        <w:jc w:val="both"/>
        <w:rPr>
          <w:rFonts w:ascii="Arial" w:hAnsi="Arial" w:cs="Arial"/>
          <w:color w:val="000000" w:themeColor="text1"/>
          <w:sz w:val="20"/>
          <w:szCs w:val="20"/>
          <w:lang w:val="es-ES_tradnl"/>
        </w:rPr>
      </w:pPr>
    </w:p>
    <w:p w14:paraId="6BCB396F" w14:textId="023FB8EC"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w:t>
      </w:r>
      <w:r w:rsidRPr="00222BE8">
        <w:rPr>
          <w:rFonts w:ascii="Arial" w:eastAsia="Calibri" w:hAnsi="Arial" w:cs="Arial"/>
          <w:color w:val="000000" w:themeColor="text1"/>
          <w:sz w:val="22"/>
          <w:lang w:val="es-ES_tradnl"/>
        </w:rPr>
        <w:lastRenderedPageBreak/>
        <w:t>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w:t>
      </w:r>
      <w:r w:rsidR="0050284E">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222BE8">
        <w:rPr>
          <w:rStyle w:val="Refdenotaalpie"/>
          <w:rFonts w:ascii="Arial" w:eastAsia="Calibri" w:hAnsi="Arial" w:cs="Arial"/>
          <w:color w:val="000000" w:themeColor="text1"/>
          <w:sz w:val="22"/>
          <w:lang w:val="es-ES_tradnl"/>
        </w:rPr>
        <w:footnoteReference w:id="23"/>
      </w:r>
      <w:r w:rsidRPr="00222BE8">
        <w:rPr>
          <w:rFonts w:ascii="Arial" w:eastAsia="Calibri" w:hAnsi="Arial" w:cs="Arial"/>
          <w:color w:val="000000" w:themeColor="text1"/>
          <w:sz w:val="22"/>
          <w:lang w:val="es-ES_tradnl"/>
        </w:rPr>
        <w:t>.</w:t>
      </w:r>
    </w:p>
    <w:p w14:paraId="6E6743AB" w14:textId="2C9DD6C2"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w:t>
      </w:r>
      <w:r w:rsidR="003A4A8E">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numeral 4, artículo 2 </w:t>
      </w:r>
      <w:r w:rsidR="003A4A8E" w:rsidRPr="00222BE8">
        <w:rPr>
          <w:rFonts w:ascii="Arial" w:eastAsia="Calibri" w:hAnsi="Arial" w:cs="Arial"/>
          <w:color w:val="000000" w:themeColor="text1"/>
          <w:sz w:val="22"/>
          <w:lang w:val="es-ES_tradnl"/>
        </w:rPr>
        <w:t>ibídem</w:t>
      </w:r>
      <w:r w:rsidRPr="00222BE8">
        <w:rPr>
          <w:rFonts w:ascii="Arial" w:eastAsia="Calibri" w:hAnsi="Arial" w:cs="Arial"/>
          <w:color w:val="000000" w:themeColor="text1"/>
          <w:sz w:val="22"/>
          <w:lang w:val="es-ES_tradnl"/>
        </w:rPr>
        <w:t>: «Estarán exceptuados de la figura del contrato interadministrativo, los contratos de seguro de las entidades estatales».</w:t>
      </w:r>
    </w:p>
    <w:p w14:paraId="0A9BEA24" w14:textId="58C281DA" w:rsidR="00112774" w:rsidRPr="00222BE8" w:rsidRDefault="00112774" w:rsidP="00112774">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Así las cosas, la Ley no limitó la celebración de contratos interadministrativos a la modalidad de selección de contratación directa</w:t>
      </w:r>
      <w:r w:rsidR="003A4A8E">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solo estableció, excepcionalmente, su celebración de manera directa</w:t>
      </w:r>
      <w:r w:rsidR="003A4A8E">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w:t>
      </w:r>
      <w:r w:rsidR="00CB1FFE">
        <w:rPr>
          <w:rFonts w:ascii="Arial" w:eastAsia="Calibri" w:hAnsi="Arial" w:cs="Arial"/>
          <w:color w:val="000000" w:themeColor="text1"/>
          <w:sz w:val="22"/>
          <w:lang w:val="es-ES_tradnl"/>
        </w:rPr>
        <w:t>de una pluralidad de</w:t>
      </w:r>
      <w:r w:rsidRPr="00222BE8">
        <w:rPr>
          <w:rFonts w:ascii="Arial" w:eastAsia="Calibri" w:hAnsi="Arial" w:cs="Arial"/>
          <w:color w:val="000000" w:themeColor="text1"/>
          <w:sz w:val="22"/>
          <w:lang w:val="es-ES_tradnl"/>
        </w:rPr>
        <w:t xml:space="preserve"> interesados en ofertar, es decir, a través de las otras modalidades de selección previstas en la Ley 1150 de 2007 diferentes a la de contratación directa, pues, como se indicó, la existencia de un contrato interadministrativo no está determinada por la modalidad de </w:t>
      </w:r>
      <w:r w:rsidRPr="00222BE8">
        <w:rPr>
          <w:rFonts w:ascii="Arial" w:eastAsia="Calibri" w:hAnsi="Arial" w:cs="Arial"/>
          <w:color w:val="000000" w:themeColor="text1"/>
          <w:sz w:val="22"/>
          <w:lang w:val="es-ES_tradnl"/>
        </w:rPr>
        <w:lastRenderedPageBreak/>
        <w:t>selección sino, entre otras cosas, de la calidad de las partes que lo suscriben, es decir, debe tratarse de entidades estatales.</w:t>
      </w:r>
    </w:p>
    <w:p w14:paraId="6F09D873" w14:textId="48341E62" w:rsidR="00BC17CC" w:rsidRPr="00222BE8" w:rsidRDefault="00112774" w:rsidP="00CF4AF7">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Por otra parte, el artículo 7 de la Ley 1150 de 2007 establece que en los contratos interadministrativos las garantías no serán obligatorias</w:t>
      </w:r>
      <w:r w:rsidRPr="00222BE8">
        <w:rPr>
          <w:rStyle w:val="Refdenotaalpie"/>
          <w:rFonts w:ascii="Arial" w:eastAsia="Calibri" w:hAnsi="Arial" w:cs="Arial"/>
          <w:color w:val="000000" w:themeColor="text1"/>
          <w:sz w:val="22"/>
          <w:lang w:val="es-ES_tradnl"/>
        </w:rPr>
        <w:footnoteReference w:id="24"/>
      </w:r>
      <w:r w:rsidRPr="00222BE8">
        <w:rPr>
          <w:rFonts w:ascii="Arial" w:eastAsia="Calibri" w:hAnsi="Arial" w:cs="Arial"/>
          <w:color w:val="000000" w:themeColor="text1"/>
          <w:sz w:val="22"/>
          <w:lang w:val="es-ES_tradnl"/>
        </w:rPr>
        <w:t>. En el mismo sentido, el Decreto 1082 de 2015 prevé que en los convenios interadministrativos la exigencia de garantías no es obligatoria, y la justificación para exigirlas o no debe estar en los estudios previos</w:t>
      </w:r>
      <w:r w:rsidRPr="00222BE8">
        <w:rPr>
          <w:rStyle w:val="Refdenotaalpie"/>
          <w:rFonts w:ascii="Arial" w:eastAsia="Calibri" w:hAnsi="Arial" w:cs="Arial"/>
          <w:color w:val="000000" w:themeColor="text1"/>
          <w:sz w:val="22"/>
          <w:lang w:val="es-ES_tradnl"/>
        </w:rPr>
        <w:footnoteReference w:id="25"/>
      </w:r>
      <w:r w:rsidRPr="00222BE8">
        <w:rPr>
          <w:rFonts w:ascii="Arial" w:eastAsia="Calibri" w:hAnsi="Arial" w:cs="Arial"/>
          <w:color w:val="000000" w:themeColor="text1"/>
          <w:sz w:val="22"/>
          <w:lang w:val="es-ES_tradnl"/>
        </w:rPr>
        <w:t>.</w:t>
      </w:r>
    </w:p>
    <w:p w14:paraId="746CEBF7" w14:textId="493AB78C" w:rsidR="00BC17CC" w:rsidRPr="00222BE8" w:rsidRDefault="00BC17CC" w:rsidP="00BC17CC">
      <w:pPr>
        <w:spacing w:before="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Como se explicó, la celebración de contratos interadministrativos es una causal de contratación directa que obedece, antes que nada, a la naturaleza de las partes; es decir para la cual, en principio, no interesa el objeto del contrato, pudiendo ser de obra pública, de consultoría, de suministro, de prestación de servicios, de arrendamiento, etc. Se dice que, en principio no es relevante el objeto del contrato, porque el artículo 2º, numeral 4º, literal c), en su segundo inciso –transcrito en el acápite anterior–, establece una excepción a dicha regla, al prohibir que determinados contratos interadministrativos se celebren con ciertas entidades</w:t>
      </w:r>
      <w:r w:rsidR="00EC6B3E">
        <w:rPr>
          <w:rFonts w:ascii="Arial" w:eastAsia="Calibri" w:hAnsi="Arial" w:cs="Arial"/>
          <w:color w:val="000000" w:themeColor="text1"/>
          <w:sz w:val="22"/>
          <w:lang w:val="es-ES_tradnl"/>
        </w:rPr>
        <w:t xml:space="preserve">, </w:t>
      </w:r>
      <w:r w:rsidRPr="00222BE8">
        <w:rPr>
          <w:rFonts w:ascii="Arial" w:eastAsia="Calibri" w:hAnsi="Arial" w:cs="Arial"/>
          <w:color w:val="000000" w:themeColor="text1"/>
          <w:sz w:val="22"/>
          <w:lang w:val="es-ES_tradnl"/>
        </w:rPr>
        <w:t xml:space="preserve">si no se ha adelantado antes el correspondiente proceso de licitación pública o selección abreviada. Estos objetos, se recuerda, son «los contratos de obra, suministro, prestación de servicios de evaluación de conformidad respecto de las normas o reglamentos técnicos, encargos fiduciarios y fiducia pública». </w:t>
      </w:r>
    </w:p>
    <w:p w14:paraId="1DC308A2" w14:textId="77777777" w:rsidR="00845AE3" w:rsidRDefault="00845AE3" w:rsidP="00762440">
      <w:pPr>
        <w:spacing w:line="276" w:lineRule="auto"/>
        <w:jc w:val="both"/>
        <w:rPr>
          <w:rFonts w:ascii="Arial" w:hAnsi="Arial" w:cs="Arial"/>
          <w:b/>
          <w:color w:val="000000" w:themeColor="text1"/>
          <w:sz w:val="22"/>
          <w:lang w:val="es-ES_tradnl"/>
        </w:rPr>
      </w:pPr>
    </w:p>
    <w:p w14:paraId="71499E6E" w14:textId="2BA616BD" w:rsidR="00762440" w:rsidRPr="00222BE8" w:rsidRDefault="00762440" w:rsidP="00762440">
      <w:pPr>
        <w:spacing w:line="276" w:lineRule="auto"/>
        <w:jc w:val="both"/>
        <w:rPr>
          <w:rFonts w:ascii="Arial" w:hAnsi="Arial" w:cs="Arial"/>
          <w:b/>
          <w:color w:val="000000" w:themeColor="text1"/>
          <w:sz w:val="22"/>
          <w:lang w:val="es-ES_tradnl"/>
        </w:rPr>
      </w:pPr>
      <w:r w:rsidRPr="00222BE8">
        <w:rPr>
          <w:rFonts w:ascii="Arial" w:hAnsi="Arial" w:cs="Arial"/>
          <w:b/>
          <w:color w:val="000000" w:themeColor="text1"/>
          <w:sz w:val="22"/>
          <w:lang w:val="es-ES_tradnl"/>
        </w:rPr>
        <w:t>2.</w:t>
      </w:r>
      <w:r w:rsidR="007A2341" w:rsidRPr="00222BE8">
        <w:rPr>
          <w:rFonts w:ascii="Arial" w:hAnsi="Arial" w:cs="Arial"/>
          <w:b/>
          <w:color w:val="000000" w:themeColor="text1"/>
          <w:sz w:val="22"/>
          <w:lang w:val="es-ES_tradnl"/>
        </w:rPr>
        <w:t xml:space="preserve">3. </w:t>
      </w:r>
      <w:r w:rsidRPr="00222BE8">
        <w:rPr>
          <w:rFonts w:ascii="Arial" w:hAnsi="Arial" w:cs="Arial"/>
          <w:b/>
          <w:color w:val="000000" w:themeColor="text1"/>
          <w:sz w:val="22"/>
          <w:lang w:val="es-ES_tradnl"/>
        </w:rPr>
        <w:t>Regímenes especiales en la contratación estatal. Excepciones al Estatuto General de Contratación de la Administración Pública: derecho privado matizado por las reglas y principios del derecho administrativo</w:t>
      </w:r>
    </w:p>
    <w:p w14:paraId="304FC58B" w14:textId="77777777" w:rsidR="00762440" w:rsidRPr="00222BE8" w:rsidRDefault="00762440" w:rsidP="00762440">
      <w:pPr>
        <w:tabs>
          <w:tab w:val="left" w:pos="426"/>
        </w:tabs>
        <w:spacing w:line="276" w:lineRule="auto"/>
        <w:jc w:val="both"/>
        <w:rPr>
          <w:rFonts w:ascii="Arial" w:eastAsia="Calibri" w:hAnsi="Arial" w:cs="Arial"/>
          <w:b/>
          <w:color w:val="000000" w:themeColor="text1"/>
          <w:sz w:val="22"/>
          <w:lang w:val="es-ES_tradnl"/>
        </w:rPr>
      </w:pPr>
    </w:p>
    <w:p w14:paraId="7F5A2867" w14:textId="77777777" w:rsidR="00762440" w:rsidRPr="00222BE8" w:rsidRDefault="00762440" w:rsidP="00762440">
      <w:pPr>
        <w:tabs>
          <w:tab w:val="left" w:pos="426"/>
        </w:tabs>
        <w:spacing w:line="276" w:lineRule="auto"/>
        <w:jc w:val="both"/>
        <w:rPr>
          <w:rFonts w:ascii="Arial" w:eastAsia="Calibri" w:hAnsi="Arial" w:cs="Arial"/>
          <w:b/>
          <w:color w:val="000000" w:themeColor="text1"/>
          <w:sz w:val="22"/>
          <w:lang w:val="es-ES_tradnl"/>
        </w:rPr>
      </w:pPr>
      <w:r w:rsidRPr="00222BE8">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para su desarrollo, esto es, el derecho privado, lo cual </w:t>
      </w:r>
      <w:r w:rsidRPr="00222BE8">
        <w:rPr>
          <w:rFonts w:ascii="Arial" w:eastAsia="Calibri" w:hAnsi="Arial" w:cs="Arial"/>
          <w:color w:val="000000" w:themeColor="text1"/>
          <w:sz w:val="22"/>
          <w:lang w:val="es-ES_tradnl"/>
        </w:rPr>
        <w:lastRenderedPageBreak/>
        <w:t>está determinado en las normas de creación de las entidades de régimen especial y en sus manuales de contratación.</w:t>
      </w:r>
    </w:p>
    <w:p w14:paraId="40CCFF7D" w14:textId="77777777" w:rsidR="00762440" w:rsidRPr="00222BE8" w:rsidRDefault="00762440" w:rsidP="00762440">
      <w:pPr>
        <w:spacing w:before="120" w:after="120"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222BE8">
        <w:rPr>
          <w:rStyle w:val="Refdenotaalpie"/>
          <w:rFonts w:ascii="Arial" w:eastAsia="Calibri" w:hAnsi="Arial" w:cs="Arial"/>
          <w:color w:val="000000" w:themeColor="text1"/>
          <w:sz w:val="22"/>
          <w:lang w:val="es-ES_tradnl"/>
        </w:rPr>
        <w:footnoteReference w:id="26"/>
      </w:r>
      <w:r w:rsidRPr="00222BE8">
        <w:rPr>
          <w:rFonts w:ascii="Arial" w:eastAsia="Calibri" w:hAnsi="Arial" w:cs="Arial"/>
          <w:color w:val="000000" w:themeColor="text1"/>
          <w:sz w:val="22"/>
          <w:lang w:val="es-ES_tradnl"/>
        </w:rPr>
        <w:t>.</w:t>
      </w:r>
    </w:p>
    <w:p w14:paraId="137232DB" w14:textId="4C5615A0" w:rsidR="00762440" w:rsidRPr="00222BE8" w:rsidRDefault="00762440" w:rsidP="00762440">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b/>
        <w:t xml:space="preserve">No obstante, las entidades de régimen especial </w:t>
      </w:r>
      <w:r w:rsidR="00F74AE8">
        <w:rPr>
          <w:rFonts w:ascii="Arial" w:eastAsia="Calibri" w:hAnsi="Arial" w:cs="Arial"/>
          <w:color w:val="000000" w:themeColor="text1"/>
          <w:sz w:val="22"/>
          <w:lang w:val="es-ES_tradnl"/>
        </w:rPr>
        <w:t>deben satisfacer</w:t>
      </w:r>
      <w:r w:rsidRPr="00222BE8">
        <w:rPr>
          <w:rFonts w:ascii="Arial" w:eastAsia="Calibri" w:hAnsi="Arial" w:cs="Arial"/>
          <w:color w:val="000000" w:themeColor="text1"/>
          <w:sz w:val="22"/>
          <w:lang w:val="es-ES_tradnl"/>
        </w:rPr>
        <w:t xml:space="preserve"> una finalidad pública y utilizan recursos públicos para lograrlo, por lo que no son ajenas a los principios de la función administrativa y el control fiscal, entre otras reglas dispuestas en la normativa de contratación pública</w:t>
      </w:r>
      <w:r w:rsidR="00064FA7">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que son trasversales a todas las entidades, sin importar su régimen </w:t>
      </w:r>
      <w:r w:rsidR="00B9138F">
        <w:rPr>
          <w:rFonts w:ascii="Arial" w:eastAsia="Calibri" w:hAnsi="Arial" w:cs="Arial"/>
          <w:color w:val="000000" w:themeColor="text1"/>
          <w:sz w:val="22"/>
          <w:lang w:val="es-ES_tradnl"/>
        </w:rPr>
        <w:t>contractual</w:t>
      </w:r>
      <w:r w:rsidRPr="00222BE8">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r w:rsidR="00064FA7">
        <w:rPr>
          <w:rFonts w:ascii="Arial" w:eastAsia="Calibri" w:hAnsi="Arial" w:cs="Arial"/>
          <w:color w:val="000000" w:themeColor="text1"/>
          <w:sz w:val="22"/>
          <w:lang w:val="es-ES_tradnl"/>
        </w:rPr>
        <w:t>, así</w:t>
      </w:r>
      <w:r w:rsidRPr="00222BE8">
        <w:rPr>
          <w:rFonts w:ascii="Arial" w:eastAsia="Calibri" w:hAnsi="Arial" w:cs="Arial"/>
          <w:color w:val="000000" w:themeColor="text1"/>
          <w:sz w:val="22"/>
          <w:lang w:val="es-ES_tradnl"/>
        </w:rPr>
        <w:t>:</w:t>
      </w:r>
    </w:p>
    <w:p w14:paraId="1F15CA3C" w14:textId="77777777" w:rsidR="00762440" w:rsidRPr="00222BE8" w:rsidRDefault="00762440" w:rsidP="00762440">
      <w:pPr>
        <w:jc w:val="both"/>
        <w:rPr>
          <w:rFonts w:ascii="Arial" w:eastAsia="Calibri" w:hAnsi="Arial" w:cs="Arial"/>
          <w:color w:val="000000" w:themeColor="text1"/>
          <w:sz w:val="22"/>
          <w:lang w:val="es-ES_tradnl"/>
        </w:rPr>
      </w:pPr>
    </w:p>
    <w:p w14:paraId="21FC2F00" w14:textId="77777777" w:rsidR="00762440" w:rsidRPr="00222BE8" w:rsidRDefault="00762440" w:rsidP="00762440">
      <w:pPr>
        <w:ind w:left="709" w:right="709"/>
        <w:jc w:val="both"/>
        <w:rPr>
          <w:rFonts w:ascii="Arial" w:eastAsia="Calibri" w:hAnsi="Arial" w:cs="Arial"/>
          <w:color w:val="000000" w:themeColor="text1"/>
          <w:sz w:val="21"/>
          <w:szCs w:val="21"/>
          <w:lang w:val="es-ES_tradnl"/>
        </w:rPr>
      </w:pPr>
      <w:r w:rsidRPr="00222BE8">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2A3C640" w14:textId="77777777" w:rsidR="00762440" w:rsidRPr="00222BE8" w:rsidRDefault="00762440" w:rsidP="00762440">
      <w:pPr>
        <w:ind w:left="709" w:right="709"/>
        <w:jc w:val="both"/>
        <w:rPr>
          <w:rFonts w:ascii="Arial" w:eastAsia="Calibri" w:hAnsi="Arial" w:cs="Arial"/>
          <w:color w:val="000000" w:themeColor="text1"/>
          <w:sz w:val="21"/>
          <w:szCs w:val="21"/>
          <w:lang w:val="es-ES_tradnl"/>
        </w:rPr>
      </w:pPr>
    </w:p>
    <w:p w14:paraId="3FF96861" w14:textId="77777777" w:rsidR="00762440" w:rsidRPr="00222BE8" w:rsidRDefault="00762440" w:rsidP="00762440">
      <w:pPr>
        <w:ind w:left="709" w:right="709"/>
        <w:jc w:val="both"/>
        <w:rPr>
          <w:rFonts w:ascii="Arial" w:eastAsia="Calibri" w:hAnsi="Arial" w:cs="Arial"/>
          <w:color w:val="000000" w:themeColor="text1"/>
          <w:sz w:val="21"/>
          <w:szCs w:val="21"/>
          <w:lang w:val="es-ES_tradnl"/>
        </w:rPr>
      </w:pPr>
      <w:r w:rsidRPr="00222BE8">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5E2636FD" w14:textId="77777777" w:rsidR="00762440" w:rsidRPr="00222BE8" w:rsidRDefault="00762440" w:rsidP="00762440">
      <w:pPr>
        <w:ind w:left="709" w:right="709"/>
        <w:jc w:val="both"/>
        <w:rPr>
          <w:rFonts w:ascii="Arial" w:eastAsia="Calibri" w:hAnsi="Arial" w:cs="Arial"/>
          <w:color w:val="000000" w:themeColor="text1"/>
          <w:sz w:val="21"/>
          <w:szCs w:val="21"/>
          <w:lang w:val="es-ES_tradnl"/>
        </w:rPr>
      </w:pPr>
    </w:p>
    <w:p w14:paraId="7B187B5F" w14:textId="77777777" w:rsidR="00762440" w:rsidRPr="00222BE8" w:rsidRDefault="00762440" w:rsidP="00762440">
      <w:pPr>
        <w:ind w:left="709" w:right="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w:t>
      </w:r>
      <w:r w:rsidRPr="00222BE8">
        <w:rPr>
          <w:rFonts w:ascii="Arial" w:eastAsia="Calibri" w:hAnsi="Arial" w:cs="Arial"/>
          <w:color w:val="000000" w:themeColor="text1"/>
          <w:sz w:val="21"/>
          <w:szCs w:val="21"/>
          <w:lang w:val="es-ES_tradnl"/>
        </w:rPr>
        <w:lastRenderedPageBreak/>
        <w:t>de acceso a los negocios del Estado, la trasparencia y en general los demás valores propios de la gestión de lo público</w:t>
      </w:r>
      <w:r w:rsidRPr="00222BE8">
        <w:rPr>
          <w:rStyle w:val="Refdenotaalpie"/>
          <w:rFonts w:ascii="Arial" w:eastAsia="Calibri" w:hAnsi="Arial" w:cs="Arial"/>
          <w:color w:val="000000" w:themeColor="text1"/>
          <w:sz w:val="22"/>
          <w:lang w:val="es-ES_tradnl"/>
        </w:rPr>
        <w:footnoteReference w:id="27"/>
      </w:r>
      <w:r w:rsidRPr="00222BE8">
        <w:rPr>
          <w:rFonts w:ascii="Arial" w:eastAsia="Calibri" w:hAnsi="Arial" w:cs="Arial"/>
          <w:color w:val="000000" w:themeColor="text1"/>
          <w:sz w:val="22"/>
          <w:lang w:val="es-ES_tradnl"/>
        </w:rPr>
        <w:t>.</w:t>
      </w:r>
    </w:p>
    <w:p w14:paraId="7541E831" w14:textId="77777777" w:rsidR="00762440" w:rsidRPr="00222BE8" w:rsidRDefault="00762440" w:rsidP="00762440">
      <w:pPr>
        <w:spacing w:line="276" w:lineRule="auto"/>
        <w:jc w:val="both"/>
        <w:rPr>
          <w:rFonts w:ascii="Arial" w:eastAsia="Calibri" w:hAnsi="Arial" w:cs="Arial"/>
          <w:color w:val="000000" w:themeColor="text1"/>
          <w:sz w:val="22"/>
          <w:lang w:val="es-ES_tradnl"/>
        </w:rPr>
      </w:pPr>
    </w:p>
    <w:p w14:paraId="7C75833A" w14:textId="4CFF98AB" w:rsidR="00762440" w:rsidRPr="00222BE8" w:rsidRDefault="00762440" w:rsidP="00AB00FB">
      <w:pPr>
        <w:spacing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w:t>
      </w:r>
    </w:p>
    <w:p w14:paraId="433849C5" w14:textId="3F0210CA" w:rsidR="00762440" w:rsidRPr="00222BE8" w:rsidRDefault="00762440" w:rsidP="00762440">
      <w:pPr>
        <w:spacing w:before="120" w:after="120" w:line="276" w:lineRule="auto"/>
        <w:ind w:firstLine="708"/>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w:t>
      </w:r>
      <w:r w:rsidR="005473C0">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en la sección Régimen Especial</w:t>
      </w:r>
      <w:r w:rsidR="005473C0">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hacer uso del clasificador de bienes y servicios de las Naciones Unidas, reportar inhabilidades e incompatibilidades de los proveedores de la entidad y analizar el sector económico de los oferentes, entre otras.</w:t>
      </w:r>
    </w:p>
    <w:p w14:paraId="6172F497" w14:textId="4CBA270C" w:rsidR="00762440" w:rsidRPr="00222BE8" w:rsidRDefault="00762440" w:rsidP="00762440">
      <w:pPr>
        <w:spacing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Además, se debe tener en cuenta que las cláusulas excepcionales no están contempladas en el derecho común. Estas se encuentran limitadas no solo al uso del Estatuto General de Contratación de la Administración Pública</w:t>
      </w:r>
      <w:r w:rsidR="00A4104A">
        <w:rPr>
          <w:rFonts w:ascii="Arial" w:eastAsia="Calibri" w:hAnsi="Arial" w:cs="Arial"/>
          <w:color w:val="000000" w:themeColor="text1"/>
          <w:sz w:val="22"/>
          <w:lang w:val="es-ES_tradnl"/>
        </w:rPr>
        <w:t>,</w:t>
      </w:r>
      <w:r w:rsidRPr="00222BE8">
        <w:rPr>
          <w:rFonts w:ascii="Arial" w:eastAsia="Calibri" w:hAnsi="Arial" w:cs="Arial"/>
          <w:color w:val="000000" w:themeColor="text1"/>
          <w:sz w:val="22"/>
          <w:lang w:val="es-ES_tradnl"/>
        </w:rPr>
        <w:t xml:space="preserve"> sino a algunos tipos de contratos específicos. En ese sentido, la única forma en que una entidad sujeta a un régimen especial pueda usar estas cláusulas es si </w:t>
      </w:r>
      <w:r w:rsidR="00B84232">
        <w:rPr>
          <w:rFonts w:ascii="Arial" w:eastAsia="Calibri" w:hAnsi="Arial" w:cs="Arial"/>
          <w:color w:val="000000" w:themeColor="text1"/>
          <w:sz w:val="22"/>
          <w:lang w:val="es-ES_tradnl"/>
        </w:rPr>
        <w:t>una ley la faculta para ello</w:t>
      </w:r>
      <w:r w:rsidRPr="00222BE8">
        <w:rPr>
          <w:rFonts w:ascii="Arial" w:eastAsia="Calibri" w:hAnsi="Arial" w:cs="Arial"/>
          <w:color w:val="000000" w:themeColor="text1"/>
          <w:sz w:val="22"/>
          <w:lang w:val="es-ES_tradnl"/>
        </w:rPr>
        <w:t xml:space="preserve">. De modo que si una </w:t>
      </w:r>
      <w:r w:rsidR="00B84232">
        <w:rPr>
          <w:rFonts w:ascii="Arial" w:eastAsia="Calibri" w:hAnsi="Arial" w:cs="Arial"/>
          <w:color w:val="000000" w:themeColor="text1"/>
          <w:sz w:val="22"/>
          <w:lang w:val="es-ES_tradnl"/>
        </w:rPr>
        <w:t>e</w:t>
      </w:r>
      <w:r w:rsidRPr="00222BE8">
        <w:rPr>
          <w:rFonts w:ascii="Arial" w:eastAsia="Calibri" w:hAnsi="Arial" w:cs="Arial"/>
          <w:color w:val="000000" w:themeColor="text1"/>
          <w:sz w:val="22"/>
          <w:lang w:val="es-ES_tradnl"/>
        </w:rPr>
        <w:t>ntidad sujeta al régimen especial requiere sancionar o dar por terminado el contrato, debe acudir al juez competente</w:t>
      </w:r>
      <w:r w:rsidRPr="00222BE8">
        <w:rPr>
          <w:rStyle w:val="Refdenotaalpie"/>
          <w:rFonts w:ascii="Arial" w:eastAsia="Calibri" w:hAnsi="Arial" w:cs="Arial"/>
          <w:color w:val="000000" w:themeColor="text1"/>
          <w:sz w:val="22"/>
          <w:lang w:val="es-ES_tradnl"/>
        </w:rPr>
        <w:footnoteReference w:id="28"/>
      </w:r>
      <w:r w:rsidRPr="00222BE8">
        <w:rPr>
          <w:rFonts w:ascii="Arial" w:eastAsia="Calibri" w:hAnsi="Arial" w:cs="Arial"/>
          <w:color w:val="000000" w:themeColor="text1"/>
          <w:sz w:val="22"/>
          <w:lang w:val="es-ES_tradnl"/>
        </w:rPr>
        <w:t>.</w:t>
      </w:r>
    </w:p>
    <w:p w14:paraId="121E1F86" w14:textId="77777777" w:rsidR="00762440" w:rsidRPr="00222BE8" w:rsidRDefault="00762440" w:rsidP="00762440">
      <w:pPr>
        <w:spacing w:line="276" w:lineRule="auto"/>
        <w:jc w:val="both"/>
        <w:rPr>
          <w:rFonts w:ascii="Arial" w:eastAsia="Calibri" w:hAnsi="Arial" w:cs="Arial"/>
          <w:color w:val="000000" w:themeColor="text1"/>
          <w:sz w:val="22"/>
          <w:lang w:val="es-ES_tradnl"/>
        </w:rPr>
      </w:pPr>
    </w:p>
    <w:p w14:paraId="28AC02EA" w14:textId="5468CC5F" w:rsidR="00762440" w:rsidRPr="00222BE8" w:rsidRDefault="00762440" w:rsidP="00762440">
      <w:pPr>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2.</w:t>
      </w:r>
      <w:r w:rsidR="007A2341" w:rsidRPr="00222BE8">
        <w:rPr>
          <w:rFonts w:ascii="Arial" w:eastAsia="Calibri" w:hAnsi="Arial" w:cs="Arial"/>
          <w:b/>
          <w:color w:val="000000" w:themeColor="text1"/>
          <w:sz w:val="22"/>
          <w:lang w:val="es-ES_tradnl"/>
        </w:rPr>
        <w:t>4</w:t>
      </w:r>
      <w:r w:rsidRPr="00222BE8">
        <w:rPr>
          <w:rFonts w:ascii="Arial" w:eastAsia="Calibri" w:hAnsi="Arial" w:cs="Arial"/>
          <w:b/>
          <w:color w:val="000000" w:themeColor="text1"/>
          <w:sz w:val="22"/>
          <w:lang w:val="es-ES_tradnl"/>
        </w:rPr>
        <w:t xml:space="preserve">. Manual o reglamento interno de contratación de las entidades de régimen especial: límites derivados de la reserva de ley y forma de llenar sus vacíos </w:t>
      </w:r>
    </w:p>
    <w:p w14:paraId="69F89D6D" w14:textId="77777777" w:rsidR="00762440" w:rsidRPr="00222BE8" w:rsidRDefault="00762440" w:rsidP="00762440">
      <w:pPr>
        <w:spacing w:line="276" w:lineRule="auto"/>
        <w:jc w:val="both"/>
        <w:rPr>
          <w:rFonts w:ascii="Arial" w:eastAsia="Calibri" w:hAnsi="Arial" w:cs="Arial"/>
          <w:color w:val="000000" w:themeColor="text1"/>
          <w:sz w:val="22"/>
          <w:lang w:val="es-ES_tradnl"/>
        </w:rPr>
      </w:pPr>
    </w:p>
    <w:p w14:paraId="01BC5750" w14:textId="77777777" w:rsidR="00762440" w:rsidRPr="00222BE8" w:rsidRDefault="00762440" w:rsidP="00762440">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Según se indicó anteriormente, las entidades estatales que, por disposición legal, cuentan con un régimen especial</w:t>
      </w:r>
      <w:r w:rsidRPr="00222BE8">
        <w:rPr>
          <w:rStyle w:val="Refdenotaalpie"/>
          <w:rFonts w:ascii="Arial" w:eastAsia="Calibri" w:hAnsi="Arial" w:cs="Arial"/>
          <w:color w:val="000000" w:themeColor="text1"/>
          <w:sz w:val="22"/>
          <w:lang w:val="es-ES_tradnl"/>
        </w:rPr>
        <w:footnoteReference w:id="29"/>
      </w:r>
      <w:r w:rsidRPr="00222BE8">
        <w:rPr>
          <w:rFonts w:ascii="Arial" w:eastAsia="Calibri" w:hAnsi="Arial" w:cs="Arial"/>
          <w:color w:val="000000" w:themeColor="text1"/>
          <w:sz w:val="22"/>
          <w:lang w:val="es-ES_tradnl"/>
        </w:rPr>
        <w:t xml:space="preserve">, exceptuado del Estatuto General de Contratación de la </w:t>
      </w:r>
      <w:r w:rsidRPr="00222BE8">
        <w:rPr>
          <w:rFonts w:ascii="Arial" w:eastAsia="Calibri" w:hAnsi="Arial" w:cs="Arial"/>
          <w:color w:val="000000" w:themeColor="text1"/>
          <w:sz w:val="22"/>
          <w:lang w:val="es-ES_tradnl"/>
        </w:rPr>
        <w:lastRenderedPageBreak/>
        <w:t>Administración Pública –Leyes 80 de 1993, 1150 de 2007 y normas complementarias</w:t>
      </w:r>
      <w:r w:rsidRPr="00222BE8">
        <w:rPr>
          <w:rStyle w:val="Refdenotaalpie"/>
          <w:rFonts w:ascii="Arial" w:eastAsia="Calibri" w:hAnsi="Arial" w:cs="Arial"/>
          <w:color w:val="000000" w:themeColor="text1"/>
          <w:sz w:val="22"/>
          <w:lang w:val="es-ES_tradnl"/>
        </w:rPr>
        <w:footnoteReference w:id="30"/>
      </w:r>
      <w:r w:rsidRPr="00222BE8">
        <w:rPr>
          <w:rFonts w:ascii="Arial" w:eastAsia="Calibri" w:hAnsi="Arial" w:cs="Arial"/>
          <w:color w:val="000000" w:themeColor="text1"/>
          <w:sz w:val="22"/>
          <w:lang w:val="es-ES_tradnl"/>
        </w:rPr>
        <w:t xml:space="preserve">– pueden expedir un reglamento interno de contratación – comúnmente denominado </w:t>
      </w:r>
      <w:r w:rsidRPr="00222BE8">
        <w:rPr>
          <w:rFonts w:ascii="Arial" w:eastAsia="Calibri" w:hAnsi="Arial" w:cs="Arial"/>
          <w:i/>
          <w:color w:val="000000" w:themeColor="text1"/>
          <w:sz w:val="22"/>
          <w:lang w:val="es-ES_tradnl"/>
        </w:rPr>
        <w:t>manual de contratación</w:t>
      </w:r>
      <w:r w:rsidRPr="00222BE8">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316E3D14"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y procedimientos para su imposición, iii) causales de inhabilidad e incompatibilidad, iv) el principio de anualidad del gasto, y v)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222BE8">
        <w:rPr>
          <w:rStyle w:val="Refdenotaalpie"/>
          <w:rFonts w:ascii="Arial" w:eastAsia="Calibri" w:hAnsi="Arial" w:cs="Arial"/>
          <w:color w:val="000000" w:themeColor="text1"/>
          <w:sz w:val="22"/>
          <w:lang w:val="es-ES_tradnl"/>
        </w:rPr>
        <w:footnoteReference w:id="31"/>
      </w:r>
      <w:r w:rsidRPr="00222BE8">
        <w:rPr>
          <w:rFonts w:ascii="Arial" w:eastAsia="Calibri" w:hAnsi="Arial" w:cs="Arial"/>
          <w:color w:val="000000" w:themeColor="text1"/>
          <w:sz w:val="22"/>
          <w:lang w:val="es-ES_tradnl"/>
        </w:rPr>
        <w:t>.</w:t>
      </w:r>
    </w:p>
    <w:p w14:paraId="6D29F7C4"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lastRenderedPageBreak/>
        <w:t>Ahora bien, ¿a qué normas deben acudir las entidades estatales y los interesados, cuando se presenten lagunas jurídicas –es decir, vacíos o ausencia de regulación de ciertos temas–</w:t>
      </w:r>
      <w:r w:rsidRPr="00222BE8">
        <w:rPr>
          <w:rStyle w:val="Refdenotaalpie"/>
          <w:rFonts w:ascii="Arial" w:eastAsia="Calibri" w:hAnsi="Arial" w:cs="Arial"/>
          <w:color w:val="000000" w:themeColor="text1"/>
          <w:sz w:val="22"/>
          <w:lang w:val="es-ES_tradnl"/>
        </w:rPr>
        <w:footnoteReference w:id="32"/>
      </w:r>
      <w:r w:rsidRPr="00222BE8">
        <w:rPr>
          <w:rFonts w:ascii="Arial" w:eastAsia="Calibri" w:hAnsi="Arial" w:cs="Arial"/>
          <w:color w:val="000000" w:themeColor="text1"/>
          <w:sz w:val="22"/>
          <w:lang w:val="es-ES_tradnl"/>
        </w:rPr>
        <w:t>, en los manuales de contratación de las entidades de régimen especial? Como lo establece la «Guía para las Entidades Estatales con régimen especial de Contratación»</w:t>
      </w:r>
      <w:r w:rsidRPr="00222BE8">
        <w:rPr>
          <w:rStyle w:val="Refdenotaalpie"/>
          <w:rFonts w:ascii="Arial" w:eastAsia="Calibri" w:hAnsi="Arial" w:cs="Arial"/>
          <w:color w:val="000000" w:themeColor="text1"/>
          <w:sz w:val="22"/>
          <w:lang w:val="es-ES_tradnl"/>
        </w:rPr>
        <w:footnoteReference w:id="33"/>
      </w:r>
      <w:r w:rsidRPr="00222BE8">
        <w:rPr>
          <w:rFonts w:ascii="Arial" w:eastAsia="Calibri" w:hAnsi="Arial" w:cs="Arial"/>
          <w:color w:val="000000" w:themeColor="text1"/>
          <w:sz w:val="22"/>
          <w:lang w:val="es-ES_tradnl"/>
        </w:rPr>
        <w:t xml:space="preserve">, proferida 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los preceptos civiles y comerciales. </w:t>
      </w:r>
    </w:p>
    <w:p w14:paraId="7E130054"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qué materia hay laguna. Ello por cuanto existen </w:t>
      </w:r>
      <w:r w:rsidRPr="00222BE8">
        <w:rPr>
          <w:rFonts w:ascii="Arial" w:eastAsia="Calibri" w:hAnsi="Arial" w:cs="Arial"/>
          <w:i/>
          <w:color w:val="000000" w:themeColor="text1"/>
          <w:sz w:val="22"/>
          <w:lang w:val="es-ES_tradnl"/>
        </w:rPr>
        <w:t>tres</w:t>
      </w:r>
      <w:r w:rsidRPr="00222BE8">
        <w:rPr>
          <w:rFonts w:ascii="Arial" w:eastAsia="Calibri" w:hAnsi="Arial" w:cs="Arial"/>
          <w:color w:val="000000" w:themeColor="text1"/>
          <w:sz w:val="22"/>
          <w:lang w:val="es-ES_tradnl"/>
        </w:rPr>
        <w:t xml:space="preserve"> remisiones legales, que deben interpretarse sistemáticamente: i) la que efectúa hacia el derecho privado la norma legal que constituye el régimen especial de la entidad correspondiente –por ejemplo, el artículo 31 de la Ley 142 de 1994 o el artículo 195, numeral 6, de la Ley 100 de 1993, por mencionar solo estos dos </w:t>
      </w:r>
      <w:r w:rsidRPr="00222BE8">
        <w:rPr>
          <w:rFonts w:ascii="Arial" w:eastAsia="Calibri" w:hAnsi="Arial" w:cs="Arial"/>
          <w:color w:val="000000" w:themeColor="text1"/>
          <w:sz w:val="22"/>
          <w:lang w:val="es-ES_tradnl"/>
        </w:rPr>
        <w:lastRenderedPageBreak/>
        <w:t>casos–; ii) la que prevén los artículos 2</w:t>
      </w:r>
      <w:r w:rsidRPr="00222BE8">
        <w:rPr>
          <w:rStyle w:val="Refdenotaalpie"/>
          <w:rFonts w:ascii="Arial" w:eastAsia="Calibri" w:hAnsi="Arial" w:cs="Arial"/>
          <w:color w:val="000000" w:themeColor="text1"/>
          <w:sz w:val="22"/>
          <w:lang w:val="es-ES_tradnl"/>
        </w:rPr>
        <w:footnoteReference w:id="34"/>
      </w:r>
      <w:r w:rsidRPr="00222BE8">
        <w:rPr>
          <w:rFonts w:ascii="Arial" w:eastAsia="Calibri" w:hAnsi="Arial" w:cs="Arial"/>
          <w:color w:val="000000" w:themeColor="text1"/>
          <w:sz w:val="22"/>
          <w:lang w:val="es-ES_tradnl"/>
        </w:rPr>
        <w:t>, 34</w:t>
      </w:r>
      <w:r w:rsidRPr="00222BE8">
        <w:rPr>
          <w:rStyle w:val="Refdenotaalpie"/>
          <w:rFonts w:ascii="Arial" w:eastAsia="Calibri" w:hAnsi="Arial" w:cs="Arial"/>
          <w:color w:val="000000" w:themeColor="text1"/>
          <w:sz w:val="22"/>
          <w:lang w:val="es-ES_tradnl"/>
        </w:rPr>
        <w:footnoteReference w:id="35"/>
      </w:r>
      <w:r w:rsidRPr="00222BE8">
        <w:rPr>
          <w:rFonts w:ascii="Arial" w:eastAsia="Calibri" w:hAnsi="Arial" w:cs="Arial"/>
          <w:color w:val="000000" w:themeColor="text1"/>
          <w:sz w:val="22"/>
          <w:lang w:val="es-ES_tradnl"/>
        </w:rPr>
        <w:t xml:space="preserve"> y 47</w:t>
      </w:r>
      <w:r w:rsidRPr="00222BE8">
        <w:rPr>
          <w:rStyle w:val="Refdenotaalpie"/>
          <w:rFonts w:ascii="Arial" w:eastAsia="Calibri" w:hAnsi="Arial" w:cs="Arial"/>
          <w:color w:val="000000" w:themeColor="text1"/>
          <w:sz w:val="22"/>
          <w:lang w:val="es-ES_tradnl"/>
        </w:rPr>
        <w:footnoteReference w:id="36"/>
      </w:r>
      <w:r w:rsidRPr="00222BE8">
        <w:rPr>
          <w:rFonts w:ascii="Arial" w:eastAsia="Calibri" w:hAnsi="Arial" w:cs="Arial"/>
          <w:color w:val="000000" w:themeColor="text1"/>
          <w:sz w:val="22"/>
          <w:lang w:val="es-ES_tradnl"/>
        </w:rPr>
        <w:t xml:space="preserve"> de la Ley 1437 de 2011, los cuales disponen que las normas de la primera parte del Código de Procedimiento 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w:t>
      </w:r>
    </w:p>
    <w:p w14:paraId="3A008689"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222BE8">
        <w:rPr>
          <w:rStyle w:val="Refdenotaalpie"/>
          <w:rFonts w:ascii="Arial" w:eastAsia="Calibri" w:hAnsi="Arial" w:cs="Arial"/>
          <w:color w:val="000000" w:themeColor="text1"/>
          <w:sz w:val="22"/>
          <w:lang w:val="es-ES_tradnl"/>
        </w:rPr>
        <w:footnoteReference w:id="37"/>
      </w:r>
      <w:r w:rsidRPr="00222BE8">
        <w:rPr>
          <w:rFonts w:ascii="Arial" w:eastAsia="Calibri" w:hAnsi="Arial" w:cs="Arial"/>
          <w:color w:val="000000" w:themeColor="text1"/>
          <w:sz w:val="22"/>
          <w:lang w:val="es-ES_tradnl"/>
        </w:rPr>
        <w:t xml:space="preserve"> sobre: i) los elementos de existencia y validez </w:t>
      </w:r>
      <w:r w:rsidRPr="00222BE8">
        <w:rPr>
          <w:rFonts w:ascii="Arial" w:eastAsia="Calibri" w:hAnsi="Arial" w:cs="Arial"/>
          <w:color w:val="000000" w:themeColor="text1"/>
          <w:sz w:val="22"/>
          <w:lang w:val="es-ES_tradnl"/>
        </w:rPr>
        <w:lastRenderedPageBreak/>
        <w:t>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222BE8">
        <w:rPr>
          <w:rStyle w:val="Refdenotaalpie"/>
          <w:rFonts w:ascii="Arial" w:eastAsia="Calibri" w:hAnsi="Arial" w:cs="Arial"/>
          <w:color w:val="000000" w:themeColor="text1"/>
          <w:sz w:val="22"/>
          <w:lang w:val="es-ES_tradnl"/>
        </w:rPr>
        <w:footnoteReference w:id="38"/>
      </w:r>
      <w:r w:rsidRPr="00222BE8">
        <w:rPr>
          <w:rFonts w:ascii="Arial" w:eastAsia="Calibri" w:hAnsi="Arial" w:cs="Arial"/>
          <w:color w:val="000000" w:themeColor="text1"/>
          <w:sz w:val="22"/>
          <w:lang w:val="es-ES_tradnl"/>
        </w:rPr>
        <w:t>, con la costumbre mercantil</w:t>
      </w:r>
      <w:r w:rsidRPr="00222BE8">
        <w:rPr>
          <w:rStyle w:val="Refdenotaalpie"/>
          <w:rFonts w:ascii="Arial" w:eastAsia="Calibri" w:hAnsi="Arial" w:cs="Arial"/>
          <w:color w:val="000000" w:themeColor="text1"/>
          <w:sz w:val="22"/>
          <w:lang w:val="es-ES_tradnl"/>
        </w:rPr>
        <w:footnoteReference w:id="39"/>
      </w:r>
      <w:r w:rsidRPr="00222BE8">
        <w:rPr>
          <w:rFonts w:ascii="Arial" w:eastAsia="Calibri" w:hAnsi="Arial" w:cs="Arial"/>
          <w:color w:val="000000" w:themeColor="text1"/>
          <w:sz w:val="22"/>
          <w:lang w:val="es-ES_tradnl"/>
        </w:rPr>
        <w:t xml:space="preserve"> y con los principios generales que rigen las relaciones contractuales de los particulares, que ingresan dentro de la categoría de la </w:t>
      </w:r>
      <w:r w:rsidRPr="00222BE8">
        <w:rPr>
          <w:rFonts w:ascii="Arial" w:eastAsia="Calibri" w:hAnsi="Arial" w:cs="Arial"/>
          <w:i/>
          <w:color w:val="000000" w:themeColor="text1"/>
          <w:sz w:val="22"/>
          <w:lang w:val="es-ES_tradnl"/>
        </w:rPr>
        <w:t>lex mercatoria</w:t>
      </w:r>
      <w:r w:rsidRPr="00222BE8">
        <w:rPr>
          <w:rStyle w:val="Refdenotaalpie"/>
          <w:rFonts w:ascii="Arial" w:eastAsia="Calibri" w:hAnsi="Arial" w:cs="Arial"/>
          <w:color w:val="000000" w:themeColor="text1"/>
          <w:sz w:val="22"/>
          <w:lang w:val="es-ES_tradnl"/>
        </w:rPr>
        <w:footnoteReference w:id="40"/>
      </w:r>
      <w:r w:rsidRPr="00222BE8">
        <w:rPr>
          <w:rFonts w:ascii="Arial" w:eastAsia="Calibri" w:hAnsi="Arial" w:cs="Arial"/>
          <w:color w:val="000000" w:themeColor="text1"/>
          <w:sz w:val="22"/>
          <w:lang w:val="es-ES_tradnl"/>
        </w:rPr>
        <w:t>.</w:t>
      </w:r>
    </w:p>
    <w:p w14:paraId="4135FE86"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Por el contrario, si el vacío del manual de contratación tiene que ver con asuntos asociados al procedimiento administrativo, 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o sea, debe llenar tales lagunas con las normas de la primera parte del CPACA.</w:t>
      </w:r>
    </w:p>
    <w:p w14:paraId="4F7242D4" w14:textId="77777777" w:rsidR="00762440" w:rsidRPr="00222BE8" w:rsidRDefault="00762440" w:rsidP="00762440">
      <w:pPr>
        <w:spacing w:before="120" w:after="120"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De otro lado, si lo que en el manual falta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p>
    <w:p w14:paraId="6D7AAB49" w14:textId="77777777" w:rsidR="00762440" w:rsidRPr="00222BE8" w:rsidRDefault="00762440" w:rsidP="00762440">
      <w:pPr>
        <w:spacing w:line="276" w:lineRule="auto"/>
        <w:ind w:firstLine="709"/>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lastRenderedPageBreak/>
        <w:t xml:space="preserve">En síntesis, los vacíos de los manuales de contratación de las entidades con régimen especial no siempre se llenan de la misma manera, pues ello depende de las materias sobre las cuales exista ausencia de regulación en dicho reglamento interno.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Finalmente,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p>
    <w:p w14:paraId="0616ADA8" w14:textId="77777777" w:rsidR="007E350D" w:rsidRPr="00222BE8" w:rsidRDefault="007E350D" w:rsidP="00665BF7">
      <w:pPr>
        <w:pStyle w:val="Textoindependiente"/>
        <w:jc w:val="both"/>
        <w:rPr>
          <w:rFonts w:ascii="Arial" w:hAnsi="Arial" w:cs="Arial"/>
          <w:lang w:val="es-ES_tradnl"/>
        </w:rPr>
      </w:pPr>
    </w:p>
    <w:p w14:paraId="37CA9805" w14:textId="1E0A9875" w:rsidR="00DD5B04" w:rsidRPr="00222BE8" w:rsidRDefault="004177A6" w:rsidP="00DF76A2">
      <w:pPr>
        <w:tabs>
          <w:tab w:val="left" w:pos="0"/>
        </w:tabs>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3</w:t>
      </w:r>
      <w:r w:rsidR="00B011A9" w:rsidRPr="00222BE8">
        <w:rPr>
          <w:rFonts w:ascii="Arial" w:eastAsia="Calibri" w:hAnsi="Arial" w:cs="Arial"/>
          <w:b/>
          <w:color w:val="000000" w:themeColor="text1"/>
          <w:sz w:val="22"/>
          <w:lang w:val="es-ES_tradnl"/>
        </w:rPr>
        <w:t xml:space="preserve">. </w:t>
      </w:r>
      <w:r w:rsidR="00DD5B04" w:rsidRPr="00222BE8">
        <w:rPr>
          <w:rFonts w:ascii="Arial" w:eastAsia="Calibri" w:hAnsi="Arial" w:cs="Arial"/>
          <w:b/>
          <w:color w:val="000000" w:themeColor="text1"/>
          <w:sz w:val="22"/>
          <w:lang w:val="es-ES_tradnl"/>
        </w:rPr>
        <w:t>Respuesta</w:t>
      </w:r>
      <w:r w:rsidR="00931451">
        <w:rPr>
          <w:rFonts w:ascii="Arial" w:eastAsia="Calibri" w:hAnsi="Arial" w:cs="Arial"/>
          <w:b/>
          <w:color w:val="000000" w:themeColor="text1"/>
          <w:sz w:val="22"/>
          <w:lang w:val="es-ES_tradnl"/>
        </w:rPr>
        <w:t>s</w:t>
      </w:r>
    </w:p>
    <w:p w14:paraId="0B74D5B8" w14:textId="4DC72D44" w:rsidR="00C4581D" w:rsidRPr="00222BE8" w:rsidRDefault="00C4581D" w:rsidP="00DF76A2">
      <w:pPr>
        <w:tabs>
          <w:tab w:val="left" w:pos="0"/>
        </w:tabs>
        <w:spacing w:line="276" w:lineRule="auto"/>
        <w:jc w:val="both"/>
        <w:rPr>
          <w:rFonts w:ascii="Arial" w:eastAsia="Calibri" w:hAnsi="Arial" w:cs="Arial"/>
          <w:color w:val="000000" w:themeColor="text1"/>
          <w:sz w:val="22"/>
          <w:lang w:val="es-ES_tradnl"/>
        </w:rPr>
      </w:pPr>
    </w:p>
    <w:p w14:paraId="17E9EA32" w14:textId="12F6B664" w:rsidR="003D3B2E" w:rsidRPr="00222BE8" w:rsidRDefault="003D3B2E" w:rsidP="00DF76A2">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«1. ¿Es jurídicamente viable suscribir un convenio interadministrativo entre una entidad pública del orden nacional y una entidad fiduciaria, cuya naturaleza jurídica es la de una entidad estatal en los términos del artículo 2° de la Ley 80 de 1993, cuando ésta actúa en calidad de vocera y administradora de un patrimonio autónomo cuyo régimen de contratación se rige por el derecho privado?</w:t>
      </w:r>
    </w:p>
    <w:p w14:paraId="1DBFE52F" w14:textId="65C80128" w:rsidR="003E71CD" w:rsidRPr="00222BE8" w:rsidRDefault="003E71CD" w:rsidP="00DF76A2">
      <w:pPr>
        <w:ind w:left="709" w:right="709"/>
        <w:jc w:val="both"/>
        <w:rPr>
          <w:rFonts w:ascii="Arial" w:hAnsi="Arial" w:cs="Arial"/>
          <w:color w:val="000000" w:themeColor="text1"/>
          <w:sz w:val="21"/>
          <w:szCs w:val="21"/>
          <w:lang w:val="es-ES_tradnl"/>
        </w:rPr>
      </w:pPr>
    </w:p>
    <w:p w14:paraId="1180EFE4" w14:textId="0015B18F" w:rsidR="003E71CD" w:rsidRPr="00222BE8" w:rsidRDefault="003E71CD" w:rsidP="003E71CD">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»Lo anterior, teniendo en cuenta que la Sala de Consulta y Servicio Civil del Consejo de Estado, en concepto radicado No. 11001-03-06-000-2014-00172-00(2222) del 13 de mayo de 2015, concluye que el régimen legal de los contratos que celebren las fiduciarias estatales con terceros, en su condición de administradoras, voceras y/o representantes de los patrimonios autónomos que han sido confiados a su gestión, es el derecho privado, puesto que corresponde al desarrollo de su actividad comercial».</w:t>
      </w:r>
    </w:p>
    <w:p w14:paraId="03CA2BDA" w14:textId="4ADAC80C" w:rsidR="003D3B2E" w:rsidRPr="00222BE8" w:rsidRDefault="003D3B2E" w:rsidP="00117E69">
      <w:pPr>
        <w:ind w:right="709"/>
        <w:jc w:val="both"/>
        <w:rPr>
          <w:rFonts w:ascii="Arial" w:hAnsi="Arial" w:cs="Arial"/>
          <w:color w:val="000000" w:themeColor="text1"/>
          <w:sz w:val="21"/>
          <w:szCs w:val="21"/>
          <w:lang w:val="es-ES_tradnl"/>
        </w:rPr>
      </w:pPr>
    </w:p>
    <w:p w14:paraId="463954CB" w14:textId="2E1F20B6" w:rsidR="00117E69" w:rsidRPr="00222BE8" w:rsidRDefault="00217DB8" w:rsidP="00161E62">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Según se explicó en las consideraciones de este concepto, e</w:t>
      </w:r>
      <w:r w:rsidR="00117E69" w:rsidRPr="00222BE8">
        <w:rPr>
          <w:rFonts w:ascii="Arial" w:hAnsi="Arial" w:cs="Arial"/>
          <w:color w:val="000000" w:themeColor="text1"/>
          <w:sz w:val="22"/>
          <w:lang w:val="es-ES_tradnl"/>
        </w:rPr>
        <w:t xml:space="preserve">l contrato interadministrativo en el régimen jurídico vigente de la contratación estatal se define a partir de un criterio eminentemente subjetivo </w:t>
      </w:r>
      <w:r w:rsidR="00BF1DD2" w:rsidRPr="00222BE8">
        <w:rPr>
          <w:rFonts w:ascii="Arial" w:hAnsi="Arial" w:cs="Arial"/>
          <w:color w:val="000000" w:themeColor="text1"/>
          <w:sz w:val="22"/>
          <w:lang w:val="es-ES_tradnl"/>
        </w:rPr>
        <w:t>u</w:t>
      </w:r>
      <w:r w:rsidR="00117E69" w:rsidRPr="00222BE8">
        <w:rPr>
          <w:rFonts w:ascii="Arial" w:hAnsi="Arial" w:cs="Arial"/>
          <w:color w:val="000000" w:themeColor="text1"/>
          <w:sz w:val="22"/>
          <w:lang w:val="es-ES_tradnl"/>
        </w:rPr>
        <w:t xml:space="preserve"> orgánico</w:t>
      </w:r>
      <w:r w:rsidR="00161E62" w:rsidRPr="00222BE8">
        <w:rPr>
          <w:rFonts w:ascii="Arial" w:hAnsi="Arial" w:cs="Arial"/>
          <w:color w:val="000000" w:themeColor="text1"/>
          <w:sz w:val="22"/>
          <w:lang w:val="es-ES_tradnl"/>
        </w:rPr>
        <w:t>; es decir</w:t>
      </w:r>
      <w:r w:rsidR="00B84232">
        <w:rPr>
          <w:rFonts w:ascii="Arial" w:hAnsi="Arial" w:cs="Arial"/>
          <w:color w:val="000000" w:themeColor="text1"/>
          <w:sz w:val="22"/>
          <w:lang w:val="es-ES_tradnl"/>
        </w:rPr>
        <w:t>,</w:t>
      </w:r>
      <w:r w:rsidR="000925DF">
        <w:rPr>
          <w:rFonts w:ascii="Arial" w:hAnsi="Arial" w:cs="Arial"/>
          <w:color w:val="000000" w:themeColor="text1"/>
          <w:sz w:val="22"/>
          <w:lang w:val="es-ES_tradnl"/>
        </w:rPr>
        <w:t xml:space="preserve"> </w:t>
      </w:r>
      <w:r w:rsidR="00161E62" w:rsidRPr="00222BE8">
        <w:rPr>
          <w:rFonts w:ascii="Arial" w:hAnsi="Arial" w:cs="Arial"/>
          <w:color w:val="000000" w:themeColor="text1"/>
          <w:sz w:val="22"/>
          <w:lang w:val="es-ES_tradnl"/>
        </w:rPr>
        <w:t xml:space="preserve">que un contrato se califica como interadministrativo cuando se celebra por parte de </w:t>
      </w:r>
      <w:r w:rsidR="001F5008" w:rsidRPr="00222BE8">
        <w:rPr>
          <w:rFonts w:ascii="Arial" w:hAnsi="Arial" w:cs="Arial"/>
          <w:color w:val="000000" w:themeColor="text1"/>
          <w:sz w:val="22"/>
          <w:lang w:val="es-ES_tradnl"/>
        </w:rPr>
        <w:t xml:space="preserve">dos o más entidades estatales –o sea, por </w:t>
      </w:r>
      <w:r w:rsidR="0061591D">
        <w:rPr>
          <w:rFonts w:ascii="Arial" w:hAnsi="Arial" w:cs="Arial"/>
          <w:color w:val="000000" w:themeColor="text1"/>
          <w:sz w:val="22"/>
          <w:lang w:val="es-ES_tradnl"/>
        </w:rPr>
        <w:t xml:space="preserve">parte de </w:t>
      </w:r>
      <w:r w:rsidR="001F5008" w:rsidRPr="00222BE8">
        <w:rPr>
          <w:rFonts w:ascii="Arial" w:hAnsi="Arial" w:cs="Arial"/>
          <w:color w:val="000000" w:themeColor="text1"/>
          <w:sz w:val="22"/>
          <w:lang w:val="es-ES_tradnl"/>
        </w:rPr>
        <w:t xml:space="preserve">órganos que tienen una naturaleza jurídica pública–, </w:t>
      </w:r>
      <w:r w:rsidR="0041259F" w:rsidRPr="00222BE8">
        <w:rPr>
          <w:rFonts w:ascii="Arial" w:hAnsi="Arial" w:cs="Arial"/>
          <w:color w:val="000000" w:themeColor="text1"/>
          <w:sz w:val="22"/>
          <w:lang w:val="es-ES_tradnl"/>
        </w:rPr>
        <w:t xml:space="preserve">con prescindencia de las normas que regulen la relación </w:t>
      </w:r>
      <w:r w:rsidR="00D1306E" w:rsidRPr="00222BE8">
        <w:rPr>
          <w:rFonts w:ascii="Arial" w:hAnsi="Arial" w:cs="Arial"/>
          <w:color w:val="000000" w:themeColor="text1"/>
          <w:sz w:val="22"/>
          <w:lang w:val="es-ES_tradnl"/>
        </w:rPr>
        <w:t>contractual. En consecuencia, es posible, en abstracto, celebra</w:t>
      </w:r>
      <w:r w:rsidR="00B84232">
        <w:rPr>
          <w:rFonts w:ascii="Arial" w:hAnsi="Arial" w:cs="Arial"/>
          <w:color w:val="000000" w:themeColor="text1"/>
          <w:sz w:val="22"/>
          <w:lang w:val="es-ES_tradnl"/>
        </w:rPr>
        <w:t>r</w:t>
      </w:r>
      <w:r w:rsidR="00D1306E" w:rsidRPr="00222BE8">
        <w:rPr>
          <w:rFonts w:ascii="Arial" w:hAnsi="Arial" w:cs="Arial"/>
          <w:color w:val="000000" w:themeColor="text1"/>
          <w:sz w:val="22"/>
          <w:lang w:val="es-ES_tradnl"/>
        </w:rPr>
        <w:t xml:space="preserve"> el contrato interadministrativo</w:t>
      </w:r>
      <w:r w:rsidR="00A35630" w:rsidRPr="00222BE8">
        <w:rPr>
          <w:rFonts w:ascii="Arial" w:hAnsi="Arial" w:cs="Arial"/>
          <w:color w:val="000000" w:themeColor="text1"/>
          <w:sz w:val="22"/>
          <w:lang w:val="es-ES_tradnl"/>
        </w:rPr>
        <w:t xml:space="preserve"> mencionad</w:t>
      </w:r>
      <w:r w:rsidR="00B84232">
        <w:rPr>
          <w:rFonts w:ascii="Arial" w:hAnsi="Arial" w:cs="Arial"/>
          <w:color w:val="000000" w:themeColor="text1"/>
          <w:sz w:val="22"/>
          <w:lang w:val="es-ES_tradnl"/>
        </w:rPr>
        <w:t>o</w:t>
      </w:r>
      <w:r w:rsidR="00A35630" w:rsidRPr="00222BE8">
        <w:rPr>
          <w:rFonts w:ascii="Arial" w:hAnsi="Arial" w:cs="Arial"/>
          <w:color w:val="000000" w:themeColor="text1"/>
          <w:sz w:val="22"/>
          <w:lang w:val="es-ES_tradnl"/>
        </w:rPr>
        <w:t xml:space="preserve"> en su pregunta, así el régimen jurídico del patrimonio autónomo sea el derecho privado</w:t>
      </w:r>
      <w:r w:rsidR="00564712" w:rsidRPr="00222BE8">
        <w:rPr>
          <w:rFonts w:ascii="Arial" w:hAnsi="Arial" w:cs="Arial"/>
          <w:color w:val="000000" w:themeColor="text1"/>
          <w:sz w:val="22"/>
          <w:lang w:val="es-ES_tradnl"/>
        </w:rPr>
        <w:t xml:space="preserve">. Ahora bien, la viabilidad jurídica, técnica y financiera de la suscripción del contrato en comento deberá analizarse en cada caso, en </w:t>
      </w:r>
      <w:r w:rsidR="00564712" w:rsidRPr="00222BE8">
        <w:rPr>
          <w:rFonts w:ascii="Arial" w:hAnsi="Arial" w:cs="Arial"/>
          <w:color w:val="000000" w:themeColor="text1"/>
          <w:sz w:val="22"/>
          <w:lang w:val="es-ES_tradnl"/>
        </w:rPr>
        <w:lastRenderedPageBreak/>
        <w:t>atención al marco de competencia</w:t>
      </w:r>
      <w:r w:rsidR="008059C6" w:rsidRPr="00222BE8">
        <w:rPr>
          <w:rFonts w:ascii="Arial" w:hAnsi="Arial" w:cs="Arial"/>
          <w:color w:val="000000" w:themeColor="text1"/>
          <w:sz w:val="22"/>
          <w:lang w:val="es-ES_tradnl"/>
        </w:rPr>
        <w:t>s</w:t>
      </w:r>
      <w:r w:rsidR="00564712" w:rsidRPr="00222BE8">
        <w:rPr>
          <w:rFonts w:ascii="Arial" w:hAnsi="Arial" w:cs="Arial"/>
          <w:color w:val="000000" w:themeColor="text1"/>
          <w:sz w:val="22"/>
          <w:lang w:val="es-ES_tradnl"/>
        </w:rPr>
        <w:t xml:space="preserve"> de las entidades públicas participantes</w:t>
      </w:r>
      <w:r w:rsidR="008059C6" w:rsidRPr="00222BE8">
        <w:rPr>
          <w:rFonts w:ascii="Arial" w:hAnsi="Arial" w:cs="Arial"/>
          <w:color w:val="000000" w:themeColor="text1"/>
          <w:sz w:val="22"/>
          <w:lang w:val="es-ES_tradnl"/>
        </w:rPr>
        <w:t xml:space="preserve"> y </w:t>
      </w:r>
      <w:r w:rsidR="00564712" w:rsidRPr="00222BE8">
        <w:rPr>
          <w:rFonts w:ascii="Arial" w:hAnsi="Arial" w:cs="Arial"/>
          <w:color w:val="000000" w:themeColor="text1"/>
          <w:sz w:val="22"/>
          <w:lang w:val="es-ES_tradnl"/>
        </w:rPr>
        <w:t>a los estudios previos</w:t>
      </w:r>
      <w:r w:rsidR="00245E07" w:rsidRPr="00222BE8">
        <w:rPr>
          <w:rFonts w:ascii="Arial" w:hAnsi="Arial" w:cs="Arial"/>
          <w:color w:val="000000" w:themeColor="text1"/>
          <w:sz w:val="22"/>
          <w:lang w:val="es-ES_tradnl"/>
        </w:rPr>
        <w:t xml:space="preserve"> que determin</w:t>
      </w:r>
      <w:r w:rsidR="0061591D">
        <w:rPr>
          <w:rFonts w:ascii="Arial" w:hAnsi="Arial" w:cs="Arial"/>
          <w:color w:val="000000" w:themeColor="text1"/>
          <w:sz w:val="22"/>
          <w:lang w:val="es-ES_tradnl"/>
        </w:rPr>
        <w:t>e</w:t>
      </w:r>
      <w:r w:rsidR="00245E07" w:rsidRPr="00222BE8">
        <w:rPr>
          <w:rFonts w:ascii="Arial" w:hAnsi="Arial" w:cs="Arial"/>
          <w:color w:val="000000" w:themeColor="text1"/>
          <w:sz w:val="22"/>
          <w:lang w:val="es-ES_tradnl"/>
        </w:rPr>
        <w:t>n la oportunidad y conveniencia del negocio.</w:t>
      </w:r>
      <w:r w:rsidR="00161E62" w:rsidRPr="00222BE8">
        <w:rPr>
          <w:rFonts w:ascii="Arial" w:hAnsi="Arial" w:cs="Arial"/>
          <w:color w:val="000000" w:themeColor="text1"/>
          <w:sz w:val="22"/>
          <w:lang w:val="es-ES_tradnl"/>
        </w:rPr>
        <w:t xml:space="preserve"> </w:t>
      </w:r>
      <w:r w:rsidR="00117E69" w:rsidRPr="00222BE8">
        <w:rPr>
          <w:rFonts w:ascii="Arial" w:hAnsi="Arial" w:cs="Arial"/>
          <w:color w:val="000000" w:themeColor="text1"/>
          <w:sz w:val="22"/>
          <w:lang w:val="es-ES_tradnl"/>
        </w:rPr>
        <w:t xml:space="preserve">  </w:t>
      </w:r>
    </w:p>
    <w:p w14:paraId="06782804" w14:textId="77777777" w:rsidR="003D3B2E" w:rsidRPr="00222BE8" w:rsidRDefault="003D3B2E" w:rsidP="003E71CD">
      <w:pPr>
        <w:ind w:right="709"/>
        <w:jc w:val="both"/>
        <w:rPr>
          <w:rFonts w:ascii="Arial" w:hAnsi="Arial" w:cs="Arial"/>
          <w:color w:val="000000" w:themeColor="text1"/>
          <w:sz w:val="21"/>
          <w:szCs w:val="21"/>
          <w:lang w:val="es-ES_tradnl"/>
        </w:rPr>
      </w:pPr>
    </w:p>
    <w:p w14:paraId="4AA3C8CA" w14:textId="4EC73E69" w:rsidR="003D3B2E" w:rsidRPr="00222BE8" w:rsidRDefault="00845AE3" w:rsidP="00DF7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D3B2E" w:rsidRPr="00222BE8">
        <w:rPr>
          <w:rFonts w:ascii="Arial" w:hAnsi="Arial" w:cs="Arial"/>
          <w:color w:val="000000" w:themeColor="text1"/>
          <w:sz w:val="21"/>
          <w:szCs w:val="21"/>
          <w:lang w:val="es-ES_tradnl"/>
        </w:rPr>
        <w:t>2. ¿Es viable jurídicamente interpretar que un fondo especial sin personería jurídica creado mediante ley con las características indicadas líneas arriba, y que no reparte utilidades, es asimilable al tipo de entidades mencionadas en el artículo 38 de la Ley 9 de 1989, para efectos de celebrar un contrato de comodato con una entidad pública del orden nacional?</w:t>
      </w:r>
    </w:p>
    <w:p w14:paraId="085AD516" w14:textId="77777777" w:rsidR="003D3B2E" w:rsidRPr="00222BE8" w:rsidRDefault="003D3B2E" w:rsidP="00DF76A2">
      <w:pPr>
        <w:ind w:left="709" w:right="709"/>
        <w:jc w:val="both"/>
        <w:rPr>
          <w:rFonts w:ascii="Arial" w:hAnsi="Arial" w:cs="Arial"/>
          <w:color w:val="000000" w:themeColor="text1"/>
          <w:sz w:val="21"/>
          <w:szCs w:val="21"/>
          <w:lang w:val="es-ES_tradnl"/>
        </w:rPr>
      </w:pPr>
    </w:p>
    <w:p w14:paraId="1FAD6F75" w14:textId="77777777" w:rsidR="003D3B2E" w:rsidRPr="00222BE8" w:rsidRDefault="003D3B2E" w:rsidP="00DF76A2">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 xml:space="preserve">»Dicha norma establece que: </w:t>
      </w:r>
      <w:r w:rsidRPr="00222BE8">
        <w:rPr>
          <w:rFonts w:ascii="Arial" w:hAnsi="Arial" w:cs="Arial"/>
          <w:i/>
          <w:iCs/>
          <w:color w:val="000000" w:themeColor="text1"/>
          <w:sz w:val="21"/>
          <w:szCs w:val="21"/>
          <w:lang w:val="es-ES_tradnl"/>
        </w:rPr>
        <w:t>“[l]as entidades públicas no podrán dar en comodato sus inmuebles sino únicamente a otras entidades públicas, sindicatos, cooperativas, asociaciones y fundaciones que no repartan utilidades entre sus asociados o fundadores ni adjudiquen sus activos en el momento de su liquidación a los mismos, juntas de acción comunal, fondos de empleados y las demás que puedan asimilarse a las anteriores, y por un término máximo de cinco (5) años, renovables. (…)”</w:t>
      </w:r>
      <w:r w:rsidRPr="00222BE8">
        <w:rPr>
          <w:rFonts w:ascii="Arial" w:hAnsi="Arial" w:cs="Arial"/>
          <w:color w:val="000000" w:themeColor="text1"/>
          <w:sz w:val="21"/>
          <w:szCs w:val="21"/>
          <w:lang w:val="es-ES_tradnl"/>
        </w:rPr>
        <w:t>.</w:t>
      </w:r>
    </w:p>
    <w:p w14:paraId="5B999366" w14:textId="3F82B923" w:rsidR="003D3B2E" w:rsidRPr="00222BE8" w:rsidRDefault="003D3B2E" w:rsidP="00325D98">
      <w:pPr>
        <w:ind w:right="709"/>
        <w:jc w:val="both"/>
        <w:rPr>
          <w:rFonts w:ascii="Arial" w:hAnsi="Arial" w:cs="Arial"/>
          <w:color w:val="000000" w:themeColor="text1"/>
          <w:sz w:val="21"/>
          <w:szCs w:val="21"/>
          <w:lang w:val="es-ES_tradnl"/>
        </w:rPr>
      </w:pPr>
    </w:p>
    <w:p w14:paraId="07E48D9B" w14:textId="4CB22BCB" w:rsidR="007378E0" w:rsidRPr="00222BE8" w:rsidRDefault="007378E0" w:rsidP="007378E0">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»3. En caso de que la respuesta a la consulta anterior sea afirmativa, ¿es jurídicamente viable que un fondo especial con las características indicadas, celebre un contrato de comodato con una entidad estatal? En particular, ¿bajo qué modalidad de contratación podría celebrarse dicho contrato de comodato?</w:t>
      </w:r>
      <w:r w:rsidR="00845AE3">
        <w:rPr>
          <w:rFonts w:ascii="Arial" w:hAnsi="Arial" w:cs="Arial"/>
          <w:color w:val="000000" w:themeColor="text1"/>
          <w:sz w:val="21"/>
          <w:szCs w:val="21"/>
          <w:lang w:val="es-ES_tradnl"/>
        </w:rPr>
        <w:t>»</w:t>
      </w:r>
    </w:p>
    <w:p w14:paraId="15055041" w14:textId="77777777" w:rsidR="007378E0" w:rsidRPr="00222BE8" w:rsidRDefault="007378E0" w:rsidP="00325D98">
      <w:pPr>
        <w:ind w:right="709"/>
        <w:jc w:val="both"/>
        <w:rPr>
          <w:rFonts w:ascii="Arial" w:hAnsi="Arial" w:cs="Arial"/>
          <w:color w:val="000000" w:themeColor="text1"/>
          <w:sz w:val="21"/>
          <w:szCs w:val="21"/>
          <w:lang w:val="es-ES_tradnl"/>
        </w:rPr>
      </w:pPr>
    </w:p>
    <w:p w14:paraId="5856E0F5" w14:textId="4E482B87" w:rsidR="00002027" w:rsidRPr="00222BE8" w:rsidRDefault="00325D98" w:rsidP="00325D98">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El artículo 38 de la Ley 9 de 1989</w:t>
      </w:r>
      <w:r w:rsidR="00FC2F73" w:rsidRPr="00222BE8">
        <w:rPr>
          <w:rFonts w:ascii="Arial" w:hAnsi="Arial" w:cs="Arial"/>
          <w:color w:val="000000" w:themeColor="text1"/>
          <w:sz w:val="22"/>
          <w:lang w:val="es-ES_tradnl"/>
        </w:rPr>
        <w:t xml:space="preserve"> deja un ámbito de interpretación en la expresión «y las demás que puedan asimilarse a las anteriores»</w:t>
      </w:r>
      <w:r w:rsidR="001F657F" w:rsidRPr="00222BE8">
        <w:rPr>
          <w:rFonts w:ascii="Arial" w:hAnsi="Arial" w:cs="Arial"/>
          <w:color w:val="000000" w:themeColor="text1"/>
          <w:sz w:val="22"/>
          <w:lang w:val="es-ES_tradnl"/>
        </w:rPr>
        <w:t xml:space="preserve">. Para esta Subdirección, </w:t>
      </w:r>
      <w:r w:rsidR="00044204" w:rsidRPr="00222BE8">
        <w:rPr>
          <w:rFonts w:ascii="Arial" w:hAnsi="Arial" w:cs="Arial"/>
          <w:color w:val="000000" w:themeColor="text1"/>
          <w:sz w:val="22"/>
          <w:lang w:val="es-ES_tradnl"/>
        </w:rPr>
        <w:t xml:space="preserve">aquella debe interpretarse en el sentido de que las entidades públicas </w:t>
      </w:r>
      <w:r w:rsidR="00A94BDE" w:rsidRPr="00222BE8">
        <w:rPr>
          <w:rFonts w:ascii="Arial" w:hAnsi="Arial" w:cs="Arial"/>
          <w:color w:val="000000" w:themeColor="text1"/>
          <w:sz w:val="22"/>
          <w:lang w:val="es-ES_tradnl"/>
        </w:rPr>
        <w:t xml:space="preserve">también </w:t>
      </w:r>
      <w:r w:rsidR="00044204" w:rsidRPr="00222BE8">
        <w:rPr>
          <w:rFonts w:ascii="Arial" w:hAnsi="Arial" w:cs="Arial"/>
          <w:color w:val="000000" w:themeColor="text1"/>
          <w:sz w:val="22"/>
          <w:lang w:val="es-ES_tradnl"/>
        </w:rPr>
        <w:t>pueden celebrar contratos de comodato con</w:t>
      </w:r>
      <w:r w:rsidR="00A94BDE" w:rsidRPr="00222BE8">
        <w:rPr>
          <w:rFonts w:ascii="Arial" w:hAnsi="Arial" w:cs="Arial"/>
          <w:color w:val="000000" w:themeColor="text1"/>
          <w:sz w:val="22"/>
          <w:lang w:val="es-ES_tradnl"/>
        </w:rPr>
        <w:t xml:space="preserve"> sujetos que sean </w:t>
      </w:r>
      <w:r w:rsidR="00EB52F4" w:rsidRPr="00222BE8">
        <w:rPr>
          <w:rFonts w:ascii="Arial" w:hAnsi="Arial" w:cs="Arial"/>
          <w:i/>
          <w:iCs/>
          <w:color w:val="000000" w:themeColor="text1"/>
          <w:sz w:val="22"/>
          <w:lang w:val="es-ES_tradnl"/>
        </w:rPr>
        <w:t>parecidos</w:t>
      </w:r>
      <w:r w:rsidR="00C2338B">
        <w:rPr>
          <w:rFonts w:ascii="Arial" w:hAnsi="Arial" w:cs="Arial"/>
          <w:color w:val="000000" w:themeColor="text1"/>
          <w:sz w:val="22"/>
          <w:lang w:val="es-ES_tradnl"/>
        </w:rPr>
        <w:t xml:space="preserve"> o </w:t>
      </w:r>
      <w:r w:rsidR="00C2338B">
        <w:rPr>
          <w:rFonts w:ascii="Arial" w:hAnsi="Arial" w:cs="Arial"/>
          <w:i/>
          <w:iCs/>
          <w:color w:val="000000" w:themeColor="text1"/>
          <w:sz w:val="22"/>
          <w:lang w:val="es-ES_tradnl"/>
        </w:rPr>
        <w:t>asimilables</w:t>
      </w:r>
      <w:r w:rsidR="00C2338B">
        <w:rPr>
          <w:rFonts w:ascii="Arial" w:hAnsi="Arial" w:cs="Arial"/>
          <w:color w:val="000000" w:themeColor="text1"/>
          <w:sz w:val="22"/>
          <w:lang w:val="es-ES_tradnl"/>
        </w:rPr>
        <w:t>,</w:t>
      </w:r>
      <w:r w:rsidR="00C2338B">
        <w:rPr>
          <w:rFonts w:ascii="Arial" w:hAnsi="Arial" w:cs="Arial"/>
          <w:i/>
          <w:iCs/>
          <w:color w:val="000000" w:themeColor="text1"/>
          <w:sz w:val="22"/>
          <w:lang w:val="es-ES_tradnl"/>
        </w:rPr>
        <w:t xml:space="preserve"> </w:t>
      </w:r>
      <w:r w:rsidR="00C2338B">
        <w:rPr>
          <w:rFonts w:ascii="Arial" w:hAnsi="Arial" w:cs="Arial"/>
          <w:color w:val="000000" w:themeColor="text1"/>
          <w:sz w:val="22"/>
          <w:lang w:val="es-ES_tradnl"/>
        </w:rPr>
        <w:t>en una relación de analogía,</w:t>
      </w:r>
      <w:r w:rsidR="00EB52F4" w:rsidRPr="00222BE8">
        <w:rPr>
          <w:rFonts w:ascii="Arial" w:hAnsi="Arial" w:cs="Arial"/>
          <w:color w:val="000000" w:themeColor="text1"/>
          <w:sz w:val="22"/>
          <w:lang w:val="es-ES_tradnl"/>
        </w:rPr>
        <w:t xml:space="preserve"> a los que se mencionan en el listado enunciativo previsto en dicho artículo.</w:t>
      </w:r>
      <w:r w:rsidR="00EF2E1C" w:rsidRPr="00222BE8">
        <w:rPr>
          <w:rFonts w:ascii="Arial" w:hAnsi="Arial" w:cs="Arial"/>
          <w:color w:val="000000" w:themeColor="text1"/>
          <w:sz w:val="22"/>
          <w:lang w:val="es-ES_tradnl"/>
        </w:rPr>
        <w:t xml:space="preserve"> </w:t>
      </w:r>
      <w:r w:rsidR="00EB52F4" w:rsidRPr="00222BE8">
        <w:rPr>
          <w:rFonts w:ascii="Arial" w:hAnsi="Arial" w:cs="Arial"/>
          <w:color w:val="000000" w:themeColor="text1"/>
          <w:sz w:val="22"/>
          <w:lang w:val="es-ES_tradnl"/>
        </w:rPr>
        <w:t xml:space="preserve">Obsérvese que tal precepto </w:t>
      </w:r>
      <w:r w:rsidR="006F5CCF" w:rsidRPr="00222BE8">
        <w:rPr>
          <w:rFonts w:ascii="Arial" w:hAnsi="Arial" w:cs="Arial"/>
          <w:color w:val="000000" w:themeColor="text1"/>
          <w:sz w:val="22"/>
          <w:lang w:val="es-ES_tradnl"/>
        </w:rPr>
        <w:t>establece</w:t>
      </w:r>
      <w:r w:rsidR="00693772" w:rsidRPr="00222BE8">
        <w:rPr>
          <w:rFonts w:ascii="Arial" w:hAnsi="Arial" w:cs="Arial"/>
          <w:color w:val="000000" w:themeColor="text1"/>
          <w:sz w:val="22"/>
          <w:lang w:val="es-ES_tradnl"/>
        </w:rPr>
        <w:t xml:space="preserve"> que los contratos de comodato solo son admisibles </w:t>
      </w:r>
      <w:r w:rsidR="00277FA7" w:rsidRPr="00222BE8">
        <w:rPr>
          <w:rFonts w:ascii="Arial" w:hAnsi="Arial" w:cs="Arial"/>
          <w:color w:val="000000" w:themeColor="text1"/>
          <w:sz w:val="22"/>
          <w:lang w:val="es-ES_tradnl"/>
        </w:rPr>
        <w:t xml:space="preserve">si se celebran con </w:t>
      </w:r>
      <w:r w:rsidR="002D37C1" w:rsidRPr="00222BE8">
        <w:rPr>
          <w:rFonts w:ascii="Arial" w:hAnsi="Arial" w:cs="Arial"/>
          <w:color w:val="000000" w:themeColor="text1"/>
          <w:sz w:val="22"/>
          <w:lang w:val="es-ES_tradnl"/>
        </w:rPr>
        <w:t xml:space="preserve">«otras entidades públicas, sindicatos, cooperativas, asociaciones y fundaciones que no repartan utilidades entre sus asociados o fundadores ni adjudiquen sus activos en el momento de su liquidación a los mismos, juntas de acción comunal, fondos de empleados </w:t>
      </w:r>
      <w:r w:rsidR="002D37C1" w:rsidRPr="00222BE8">
        <w:rPr>
          <w:rFonts w:ascii="Arial" w:hAnsi="Arial" w:cs="Arial"/>
          <w:i/>
          <w:iCs/>
          <w:color w:val="000000" w:themeColor="text1"/>
          <w:sz w:val="22"/>
          <w:lang w:val="es-ES_tradnl"/>
        </w:rPr>
        <w:t>y las demás que puedan asimilarse a las anteriores</w:t>
      </w:r>
      <w:r w:rsidR="006F5CCF" w:rsidRPr="00222BE8">
        <w:rPr>
          <w:rFonts w:ascii="Arial" w:hAnsi="Arial" w:cs="Arial"/>
          <w:color w:val="000000" w:themeColor="text1"/>
          <w:sz w:val="22"/>
          <w:lang w:val="es-ES_tradnl"/>
        </w:rPr>
        <w:t>»</w:t>
      </w:r>
      <w:r w:rsidR="00493E04" w:rsidRPr="00222BE8">
        <w:rPr>
          <w:rFonts w:ascii="Arial" w:hAnsi="Arial" w:cs="Arial"/>
          <w:color w:val="000000" w:themeColor="text1"/>
          <w:sz w:val="22"/>
          <w:lang w:val="es-ES_tradnl"/>
        </w:rPr>
        <w:t xml:space="preserve"> (cursiva fuera de texto); de lo cual puede inferirse que </w:t>
      </w:r>
      <w:r w:rsidR="005A3066" w:rsidRPr="00222BE8">
        <w:rPr>
          <w:rFonts w:ascii="Arial" w:hAnsi="Arial" w:cs="Arial"/>
          <w:color w:val="000000" w:themeColor="text1"/>
          <w:sz w:val="22"/>
          <w:lang w:val="es-ES_tradnl"/>
        </w:rPr>
        <w:t xml:space="preserve">aquellos sujetos no mencionados expresamente en la norma, pero que tengan características similares a los </w:t>
      </w:r>
      <w:r w:rsidR="009C3239" w:rsidRPr="00222BE8">
        <w:rPr>
          <w:rFonts w:ascii="Arial" w:hAnsi="Arial" w:cs="Arial"/>
          <w:color w:val="000000" w:themeColor="text1"/>
          <w:sz w:val="22"/>
          <w:lang w:val="es-ES_tradnl"/>
        </w:rPr>
        <w:t xml:space="preserve">referidos, también pueden suscribir </w:t>
      </w:r>
      <w:r w:rsidR="00EF2E1C" w:rsidRPr="00222BE8">
        <w:rPr>
          <w:rFonts w:ascii="Arial" w:hAnsi="Arial" w:cs="Arial"/>
          <w:color w:val="000000" w:themeColor="text1"/>
          <w:sz w:val="22"/>
          <w:lang w:val="es-ES_tradnl"/>
        </w:rPr>
        <w:t xml:space="preserve">contratos de comodato </w:t>
      </w:r>
      <w:r w:rsidR="009C3239" w:rsidRPr="00222BE8">
        <w:rPr>
          <w:rFonts w:ascii="Arial" w:hAnsi="Arial" w:cs="Arial"/>
          <w:color w:val="000000" w:themeColor="text1"/>
          <w:sz w:val="22"/>
          <w:lang w:val="es-ES_tradnl"/>
        </w:rPr>
        <w:t>con las entidades estatales.</w:t>
      </w:r>
      <w:r w:rsidR="005A718A" w:rsidRPr="00222BE8">
        <w:rPr>
          <w:rFonts w:ascii="Arial" w:hAnsi="Arial" w:cs="Arial"/>
          <w:color w:val="000000" w:themeColor="text1"/>
          <w:sz w:val="22"/>
          <w:lang w:val="es-ES_tradnl"/>
        </w:rPr>
        <w:t xml:space="preserve"> </w:t>
      </w:r>
      <w:r w:rsidR="00677F26" w:rsidRPr="00222BE8">
        <w:rPr>
          <w:rFonts w:ascii="Arial" w:hAnsi="Arial" w:cs="Arial"/>
          <w:color w:val="000000" w:themeColor="text1"/>
          <w:sz w:val="22"/>
          <w:lang w:val="es-ES_tradnl"/>
        </w:rPr>
        <w:t>Aparte de las entidades públicas</w:t>
      </w:r>
      <w:r w:rsidR="00EF2E1C" w:rsidRPr="00222BE8">
        <w:rPr>
          <w:rFonts w:ascii="Arial" w:hAnsi="Arial" w:cs="Arial"/>
          <w:color w:val="000000" w:themeColor="text1"/>
          <w:sz w:val="22"/>
          <w:lang w:val="es-ES_tradnl"/>
        </w:rPr>
        <w:t>, u</w:t>
      </w:r>
      <w:r w:rsidR="005A718A" w:rsidRPr="00222BE8">
        <w:rPr>
          <w:rFonts w:ascii="Arial" w:hAnsi="Arial" w:cs="Arial"/>
          <w:color w:val="000000" w:themeColor="text1"/>
          <w:sz w:val="22"/>
          <w:lang w:val="es-ES_tradnl"/>
        </w:rPr>
        <w:t xml:space="preserve">na característica común </w:t>
      </w:r>
      <w:r w:rsidR="00677F26" w:rsidRPr="00222BE8">
        <w:rPr>
          <w:rFonts w:ascii="Arial" w:hAnsi="Arial" w:cs="Arial"/>
          <w:color w:val="000000" w:themeColor="text1"/>
          <w:sz w:val="22"/>
          <w:lang w:val="es-ES_tradnl"/>
        </w:rPr>
        <w:t>de</w:t>
      </w:r>
      <w:r w:rsidR="005A718A" w:rsidRPr="00222BE8">
        <w:rPr>
          <w:rFonts w:ascii="Arial" w:hAnsi="Arial" w:cs="Arial"/>
          <w:color w:val="000000" w:themeColor="text1"/>
          <w:sz w:val="22"/>
          <w:lang w:val="es-ES_tradnl"/>
        </w:rPr>
        <w:t xml:space="preserve"> los </w:t>
      </w:r>
      <w:r w:rsidR="00EF2E1C" w:rsidRPr="00222BE8">
        <w:rPr>
          <w:rFonts w:ascii="Arial" w:hAnsi="Arial" w:cs="Arial"/>
          <w:color w:val="000000" w:themeColor="text1"/>
          <w:sz w:val="22"/>
          <w:lang w:val="es-ES_tradnl"/>
        </w:rPr>
        <w:t xml:space="preserve">demás </w:t>
      </w:r>
      <w:r w:rsidR="005A718A" w:rsidRPr="00222BE8">
        <w:rPr>
          <w:rFonts w:ascii="Arial" w:hAnsi="Arial" w:cs="Arial"/>
          <w:color w:val="000000" w:themeColor="text1"/>
          <w:sz w:val="22"/>
          <w:lang w:val="es-ES_tradnl"/>
        </w:rPr>
        <w:t xml:space="preserve">entes mencionados en el artículo bajo análisis es que se trata de </w:t>
      </w:r>
      <w:r w:rsidR="005A718A" w:rsidRPr="00222BE8">
        <w:rPr>
          <w:rFonts w:ascii="Arial" w:hAnsi="Arial" w:cs="Arial"/>
          <w:i/>
          <w:iCs/>
          <w:color w:val="000000" w:themeColor="text1"/>
          <w:sz w:val="22"/>
          <w:lang w:val="es-ES_tradnl"/>
        </w:rPr>
        <w:t>personas jurídicas</w:t>
      </w:r>
      <w:r w:rsidR="00EF2E1C" w:rsidRPr="00222BE8">
        <w:rPr>
          <w:rFonts w:ascii="Arial" w:hAnsi="Arial" w:cs="Arial"/>
          <w:color w:val="000000" w:themeColor="text1"/>
          <w:sz w:val="22"/>
          <w:lang w:val="es-ES_tradnl"/>
        </w:rPr>
        <w:t xml:space="preserve"> </w:t>
      </w:r>
      <w:r w:rsidR="00EF2E1C" w:rsidRPr="00222BE8">
        <w:rPr>
          <w:rFonts w:ascii="Arial" w:hAnsi="Arial" w:cs="Arial"/>
          <w:i/>
          <w:iCs/>
          <w:color w:val="000000" w:themeColor="text1"/>
          <w:sz w:val="22"/>
          <w:lang w:val="es-ES_tradnl"/>
        </w:rPr>
        <w:t>sin ánimo de lucro</w:t>
      </w:r>
      <w:r w:rsidR="00AC0537" w:rsidRPr="00222BE8">
        <w:rPr>
          <w:rFonts w:ascii="Arial" w:hAnsi="Arial" w:cs="Arial"/>
          <w:color w:val="000000" w:themeColor="text1"/>
          <w:sz w:val="22"/>
          <w:lang w:val="es-ES_tradnl"/>
        </w:rPr>
        <w:t>. En efecto, los sindicatos</w:t>
      </w:r>
      <w:r w:rsidR="007D58C5" w:rsidRPr="00222BE8">
        <w:rPr>
          <w:rStyle w:val="Refdenotaalpie"/>
          <w:rFonts w:ascii="Arial" w:hAnsi="Arial" w:cs="Arial"/>
          <w:color w:val="000000" w:themeColor="text1"/>
          <w:sz w:val="22"/>
          <w:lang w:val="es-ES_tradnl"/>
        </w:rPr>
        <w:footnoteReference w:id="41"/>
      </w:r>
      <w:r w:rsidR="00BC2BB1" w:rsidRPr="00222BE8">
        <w:rPr>
          <w:rFonts w:ascii="Arial" w:hAnsi="Arial" w:cs="Arial"/>
          <w:color w:val="000000" w:themeColor="text1"/>
          <w:sz w:val="22"/>
          <w:lang w:val="es-ES_tradnl"/>
        </w:rPr>
        <w:t>, cooperativas</w:t>
      </w:r>
      <w:r w:rsidR="001D31A0" w:rsidRPr="00222BE8">
        <w:rPr>
          <w:rStyle w:val="Refdenotaalpie"/>
          <w:rFonts w:ascii="Arial" w:hAnsi="Arial" w:cs="Arial"/>
          <w:color w:val="000000" w:themeColor="text1"/>
          <w:sz w:val="22"/>
          <w:lang w:val="es-ES_tradnl"/>
        </w:rPr>
        <w:footnoteReference w:id="42"/>
      </w:r>
      <w:r w:rsidR="0093349A" w:rsidRPr="00222BE8">
        <w:rPr>
          <w:rFonts w:ascii="Arial" w:hAnsi="Arial" w:cs="Arial"/>
          <w:color w:val="000000" w:themeColor="text1"/>
          <w:sz w:val="22"/>
          <w:lang w:val="es-ES_tradnl"/>
        </w:rPr>
        <w:t xml:space="preserve">, </w:t>
      </w:r>
      <w:r w:rsidR="0093349A" w:rsidRPr="00222BE8">
        <w:rPr>
          <w:rFonts w:ascii="Arial" w:hAnsi="Arial" w:cs="Arial"/>
          <w:color w:val="000000" w:themeColor="text1"/>
          <w:sz w:val="22"/>
          <w:lang w:val="es-ES_tradnl"/>
        </w:rPr>
        <w:lastRenderedPageBreak/>
        <w:t>asociaciones y fundaciones que no repartan utilidades</w:t>
      </w:r>
      <w:r w:rsidR="00C47472" w:rsidRPr="00222BE8">
        <w:rPr>
          <w:rStyle w:val="Refdenotaalpie"/>
          <w:rFonts w:ascii="Arial" w:hAnsi="Arial" w:cs="Arial"/>
          <w:color w:val="000000" w:themeColor="text1"/>
          <w:sz w:val="22"/>
          <w:lang w:val="es-ES_tradnl"/>
        </w:rPr>
        <w:footnoteReference w:id="43"/>
      </w:r>
      <w:r w:rsidR="001676A9" w:rsidRPr="00222BE8">
        <w:rPr>
          <w:rFonts w:ascii="Arial" w:hAnsi="Arial" w:cs="Arial"/>
          <w:color w:val="000000" w:themeColor="text1"/>
          <w:sz w:val="22"/>
          <w:lang w:val="es-ES_tradnl"/>
        </w:rPr>
        <w:t>, juntas de acción comunal</w:t>
      </w:r>
      <w:r w:rsidR="00FA49B7" w:rsidRPr="00222BE8">
        <w:rPr>
          <w:rStyle w:val="Refdenotaalpie"/>
          <w:rFonts w:ascii="Arial" w:hAnsi="Arial" w:cs="Arial"/>
          <w:color w:val="000000" w:themeColor="text1"/>
          <w:sz w:val="22"/>
          <w:lang w:val="es-ES_tradnl"/>
        </w:rPr>
        <w:footnoteReference w:id="44"/>
      </w:r>
      <w:r w:rsidR="006212C9" w:rsidRPr="00222BE8">
        <w:rPr>
          <w:rFonts w:ascii="Arial" w:hAnsi="Arial" w:cs="Arial"/>
          <w:color w:val="000000" w:themeColor="text1"/>
          <w:sz w:val="22"/>
          <w:lang w:val="es-ES_tradnl"/>
        </w:rPr>
        <w:t xml:space="preserve"> y </w:t>
      </w:r>
      <w:r w:rsidR="00843B57" w:rsidRPr="00222BE8">
        <w:rPr>
          <w:rFonts w:ascii="Arial" w:hAnsi="Arial" w:cs="Arial"/>
          <w:color w:val="000000" w:themeColor="text1"/>
          <w:sz w:val="22"/>
          <w:lang w:val="es-ES_tradnl"/>
        </w:rPr>
        <w:t>fondos de empleados</w:t>
      </w:r>
      <w:r w:rsidR="00843B57" w:rsidRPr="00222BE8">
        <w:rPr>
          <w:rStyle w:val="Refdenotaalpie"/>
          <w:rFonts w:ascii="Arial" w:hAnsi="Arial" w:cs="Arial"/>
          <w:color w:val="000000" w:themeColor="text1"/>
          <w:sz w:val="22"/>
          <w:lang w:val="es-ES_tradnl"/>
        </w:rPr>
        <w:footnoteReference w:id="45"/>
      </w:r>
      <w:r w:rsidR="006212C9" w:rsidRPr="00222BE8">
        <w:rPr>
          <w:rFonts w:ascii="Arial" w:hAnsi="Arial" w:cs="Arial"/>
          <w:color w:val="000000" w:themeColor="text1"/>
          <w:sz w:val="22"/>
          <w:lang w:val="es-ES_tradnl"/>
        </w:rPr>
        <w:t xml:space="preserve"> constituyen </w:t>
      </w:r>
      <w:r w:rsidR="00A30E02" w:rsidRPr="00222BE8">
        <w:rPr>
          <w:rFonts w:ascii="Arial" w:hAnsi="Arial" w:cs="Arial"/>
          <w:i/>
          <w:iCs/>
          <w:color w:val="000000" w:themeColor="text1"/>
          <w:sz w:val="22"/>
          <w:lang w:val="es-ES_tradnl"/>
        </w:rPr>
        <w:t>personas jurídicas</w:t>
      </w:r>
      <w:r w:rsidR="006212C9" w:rsidRPr="00222BE8">
        <w:rPr>
          <w:rFonts w:ascii="Arial" w:hAnsi="Arial" w:cs="Arial"/>
          <w:i/>
          <w:iCs/>
          <w:color w:val="000000" w:themeColor="text1"/>
          <w:sz w:val="22"/>
          <w:lang w:val="es-ES_tradnl"/>
        </w:rPr>
        <w:t xml:space="preserve"> sin ánimo de lucro</w:t>
      </w:r>
      <w:r w:rsidR="000E6BE1" w:rsidRPr="00222BE8">
        <w:rPr>
          <w:rFonts w:ascii="Arial" w:hAnsi="Arial" w:cs="Arial"/>
          <w:color w:val="000000" w:themeColor="text1"/>
          <w:sz w:val="22"/>
          <w:lang w:val="es-ES_tradnl"/>
        </w:rPr>
        <w:t>. Por lo tanto, cuando el artículo 38 de</w:t>
      </w:r>
      <w:r w:rsidR="00EB749A" w:rsidRPr="00222BE8">
        <w:rPr>
          <w:rFonts w:ascii="Arial" w:hAnsi="Arial" w:cs="Arial"/>
          <w:color w:val="000000" w:themeColor="text1"/>
          <w:sz w:val="22"/>
          <w:lang w:val="es-ES_tradnl"/>
        </w:rPr>
        <w:t xml:space="preserve"> la Ley 9 de 1989 permite a las entidades públicas dar en comodato sus inmuebles a</w:t>
      </w:r>
      <w:r w:rsidR="00FD798D" w:rsidRPr="00222BE8">
        <w:rPr>
          <w:rFonts w:ascii="Arial" w:hAnsi="Arial" w:cs="Arial"/>
          <w:color w:val="000000" w:themeColor="text1"/>
          <w:sz w:val="22"/>
          <w:lang w:val="es-ES_tradnl"/>
        </w:rPr>
        <w:t xml:space="preserve"> dichas formas asociativas</w:t>
      </w:r>
      <w:r w:rsidR="009D0156" w:rsidRPr="00222BE8">
        <w:rPr>
          <w:rFonts w:ascii="Arial" w:hAnsi="Arial" w:cs="Arial"/>
          <w:color w:val="000000" w:themeColor="text1"/>
          <w:sz w:val="22"/>
          <w:lang w:val="es-ES_tradnl"/>
        </w:rPr>
        <w:t xml:space="preserve"> y</w:t>
      </w:r>
      <w:r w:rsidR="004835CA" w:rsidRPr="00222BE8">
        <w:rPr>
          <w:rFonts w:ascii="Arial" w:hAnsi="Arial" w:cs="Arial"/>
          <w:color w:val="000000" w:themeColor="text1"/>
          <w:sz w:val="22"/>
          <w:lang w:val="es-ES_tradnl"/>
        </w:rPr>
        <w:t xml:space="preserve"> </w:t>
      </w:r>
      <w:r w:rsidR="004835CA" w:rsidRPr="00222BE8">
        <w:rPr>
          <w:rFonts w:ascii="Arial" w:hAnsi="Arial" w:cs="Arial"/>
          <w:i/>
          <w:iCs/>
          <w:color w:val="000000" w:themeColor="text1"/>
          <w:sz w:val="22"/>
          <w:lang w:val="es-ES_tradnl"/>
        </w:rPr>
        <w:t>«a las demás que puedan asimilarse a las anteriores»</w:t>
      </w:r>
      <w:r w:rsidR="004835CA" w:rsidRPr="00222BE8">
        <w:rPr>
          <w:rFonts w:ascii="Arial" w:hAnsi="Arial" w:cs="Arial"/>
          <w:color w:val="000000" w:themeColor="text1"/>
          <w:sz w:val="22"/>
          <w:lang w:val="es-ES_tradnl"/>
        </w:rPr>
        <w:t xml:space="preserve">, </w:t>
      </w:r>
      <w:r w:rsidR="008C0B4C" w:rsidRPr="00222BE8">
        <w:rPr>
          <w:rFonts w:ascii="Arial" w:hAnsi="Arial" w:cs="Arial"/>
          <w:color w:val="000000" w:themeColor="text1"/>
          <w:sz w:val="22"/>
          <w:lang w:val="es-ES_tradnl"/>
        </w:rPr>
        <w:t>estas</w:t>
      </w:r>
      <w:r w:rsidR="00F87F18" w:rsidRPr="00222BE8">
        <w:rPr>
          <w:rFonts w:ascii="Arial" w:hAnsi="Arial" w:cs="Arial"/>
          <w:color w:val="000000" w:themeColor="text1"/>
          <w:sz w:val="22"/>
          <w:lang w:val="es-ES_tradnl"/>
        </w:rPr>
        <w:t xml:space="preserve"> últimas</w:t>
      </w:r>
      <w:r w:rsidR="008C0B4C" w:rsidRPr="00222BE8">
        <w:rPr>
          <w:rFonts w:ascii="Arial" w:hAnsi="Arial" w:cs="Arial"/>
          <w:color w:val="000000" w:themeColor="text1"/>
          <w:sz w:val="22"/>
          <w:lang w:val="es-ES_tradnl"/>
        </w:rPr>
        <w:t xml:space="preserve"> </w:t>
      </w:r>
      <w:r w:rsidR="004835CA" w:rsidRPr="00222BE8">
        <w:rPr>
          <w:rFonts w:ascii="Arial" w:hAnsi="Arial" w:cs="Arial"/>
          <w:color w:val="000000" w:themeColor="text1"/>
          <w:sz w:val="22"/>
          <w:lang w:val="es-ES_tradnl"/>
        </w:rPr>
        <w:t>debe</w:t>
      </w:r>
      <w:r w:rsidR="008C0B4C" w:rsidRPr="00222BE8">
        <w:rPr>
          <w:rFonts w:ascii="Arial" w:hAnsi="Arial" w:cs="Arial"/>
          <w:color w:val="000000" w:themeColor="text1"/>
          <w:sz w:val="22"/>
          <w:lang w:val="es-ES_tradnl"/>
        </w:rPr>
        <w:t>n</w:t>
      </w:r>
      <w:r w:rsidR="004835CA" w:rsidRPr="00222BE8">
        <w:rPr>
          <w:rFonts w:ascii="Arial" w:hAnsi="Arial" w:cs="Arial"/>
          <w:color w:val="000000" w:themeColor="text1"/>
          <w:sz w:val="22"/>
          <w:lang w:val="es-ES_tradnl"/>
        </w:rPr>
        <w:t xml:space="preserve"> </w:t>
      </w:r>
      <w:r w:rsidR="008C0B4C" w:rsidRPr="00222BE8">
        <w:rPr>
          <w:rFonts w:ascii="Arial" w:hAnsi="Arial" w:cs="Arial"/>
          <w:color w:val="000000" w:themeColor="text1"/>
          <w:sz w:val="22"/>
          <w:lang w:val="es-ES_tradnl"/>
        </w:rPr>
        <w:t>ser</w:t>
      </w:r>
      <w:r w:rsidR="004835CA" w:rsidRPr="00222BE8">
        <w:rPr>
          <w:rFonts w:ascii="Arial" w:hAnsi="Arial" w:cs="Arial"/>
          <w:color w:val="000000" w:themeColor="text1"/>
          <w:sz w:val="22"/>
          <w:lang w:val="es-ES_tradnl"/>
        </w:rPr>
        <w:t xml:space="preserve"> </w:t>
      </w:r>
      <w:r w:rsidR="004835CA" w:rsidRPr="00222BE8">
        <w:rPr>
          <w:rFonts w:ascii="Arial" w:hAnsi="Arial" w:cs="Arial"/>
          <w:i/>
          <w:iCs/>
          <w:color w:val="000000" w:themeColor="text1"/>
          <w:sz w:val="22"/>
          <w:lang w:val="es-ES_tradnl"/>
        </w:rPr>
        <w:t>personas</w:t>
      </w:r>
      <w:r w:rsidR="008C0B4C" w:rsidRPr="00222BE8">
        <w:rPr>
          <w:rFonts w:ascii="Arial" w:hAnsi="Arial" w:cs="Arial"/>
          <w:i/>
          <w:iCs/>
          <w:color w:val="000000" w:themeColor="text1"/>
          <w:sz w:val="22"/>
          <w:lang w:val="es-ES_tradnl"/>
        </w:rPr>
        <w:t xml:space="preserve"> jurídicas</w:t>
      </w:r>
      <w:r w:rsidR="009C28A2" w:rsidRPr="00222BE8">
        <w:rPr>
          <w:rFonts w:ascii="Arial" w:hAnsi="Arial" w:cs="Arial"/>
          <w:color w:val="000000" w:themeColor="text1"/>
          <w:sz w:val="22"/>
          <w:lang w:val="es-ES_tradnl"/>
        </w:rPr>
        <w:t xml:space="preserve"> y además</w:t>
      </w:r>
      <w:r w:rsidR="008C0B4C" w:rsidRPr="00222BE8">
        <w:rPr>
          <w:rFonts w:ascii="Arial" w:hAnsi="Arial" w:cs="Arial"/>
          <w:color w:val="000000" w:themeColor="text1"/>
          <w:sz w:val="22"/>
          <w:lang w:val="es-ES_tradnl"/>
        </w:rPr>
        <w:t xml:space="preserve"> </w:t>
      </w:r>
      <w:r w:rsidR="008C0B4C" w:rsidRPr="004E6F43">
        <w:rPr>
          <w:rFonts w:ascii="Arial" w:hAnsi="Arial" w:cs="Arial"/>
          <w:i/>
          <w:iCs/>
          <w:color w:val="000000" w:themeColor="text1"/>
          <w:sz w:val="22"/>
          <w:lang w:val="es-ES_tradnl"/>
        </w:rPr>
        <w:t>sin ánimo de lucro</w:t>
      </w:r>
      <w:r w:rsidR="008C0B4C" w:rsidRPr="00222BE8">
        <w:rPr>
          <w:rFonts w:ascii="Arial" w:hAnsi="Arial" w:cs="Arial"/>
          <w:color w:val="000000" w:themeColor="text1"/>
          <w:sz w:val="22"/>
          <w:lang w:val="es-ES_tradnl"/>
        </w:rPr>
        <w:t xml:space="preserve">. </w:t>
      </w:r>
    </w:p>
    <w:p w14:paraId="45FA181B" w14:textId="43A47C87" w:rsidR="00325D98" w:rsidRPr="00222BE8" w:rsidRDefault="008C0B4C" w:rsidP="00002027">
      <w:pPr>
        <w:spacing w:before="120" w:line="276" w:lineRule="auto"/>
        <w:ind w:firstLine="709"/>
        <w:jc w:val="both"/>
        <w:rPr>
          <w:rFonts w:ascii="Arial" w:hAnsi="Arial" w:cs="Arial"/>
          <w:color w:val="000000" w:themeColor="text1"/>
          <w:sz w:val="22"/>
          <w:lang w:val="es-ES_tradnl"/>
        </w:rPr>
      </w:pPr>
      <w:r w:rsidRPr="00222BE8">
        <w:rPr>
          <w:rFonts w:ascii="Arial" w:hAnsi="Arial" w:cs="Arial"/>
          <w:color w:val="000000" w:themeColor="text1"/>
          <w:sz w:val="22"/>
          <w:lang w:val="es-ES_tradnl"/>
        </w:rPr>
        <w:t xml:space="preserve">Los fondos especiales </w:t>
      </w:r>
      <w:r w:rsidRPr="00222BE8">
        <w:rPr>
          <w:rFonts w:ascii="Arial" w:hAnsi="Arial" w:cs="Arial"/>
          <w:i/>
          <w:iCs/>
          <w:color w:val="000000" w:themeColor="text1"/>
          <w:sz w:val="22"/>
          <w:lang w:val="es-ES_tradnl"/>
        </w:rPr>
        <w:t>sin personería jurídica</w:t>
      </w:r>
      <w:r w:rsidR="00F87F18" w:rsidRPr="00222BE8">
        <w:rPr>
          <w:rFonts w:ascii="Arial" w:hAnsi="Arial" w:cs="Arial"/>
          <w:color w:val="000000" w:themeColor="text1"/>
          <w:sz w:val="22"/>
          <w:lang w:val="es-ES_tradnl"/>
        </w:rPr>
        <w:t xml:space="preserve">, como su </w:t>
      </w:r>
      <w:r w:rsidR="0074623A" w:rsidRPr="00222BE8">
        <w:rPr>
          <w:rFonts w:ascii="Arial" w:hAnsi="Arial" w:cs="Arial"/>
          <w:color w:val="000000" w:themeColor="text1"/>
          <w:sz w:val="22"/>
          <w:lang w:val="es-ES_tradnl"/>
        </w:rPr>
        <w:t>denominación</w:t>
      </w:r>
      <w:r w:rsidR="00F87F18" w:rsidRPr="00222BE8">
        <w:rPr>
          <w:rFonts w:ascii="Arial" w:hAnsi="Arial" w:cs="Arial"/>
          <w:color w:val="000000" w:themeColor="text1"/>
          <w:sz w:val="22"/>
          <w:lang w:val="es-ES_tradnl"/>
        </w:rPr>
        <w:t xml:space="preserve"> lo indica, no son personas jurídicas. Además</w:t>
      </w:r>
      <w:r w:rsidR="00806AE6">
        <w:rPr>
          <w:rFonts w:ascii="Arial" w:hAnsi="Arial" w:cs="Arial"/>
          <w:color w:val="000000" w:themeColor="text1"/>
          <w:sz w:val="22"/>
          <w:lang w:val="es-ES_tradnl"/>
        </w:rPr>
        <w:t>,</w:t>
      </w:r>
      <w:r w:rsidR="00F87F18" w:rsidRPr="00222BE8">
        <w:rPr>
          <w:rFonts w:ascii="Arial" w:hAnsi="Arial" w:cs="Arial"/>
          <w:color w:val="000000" w:themeColor="text1"/>
          <w:sz w:val="22"/>
          <w:lang w:val="es-ES_tradnl"/>
        </w:rPr>
        <w:t xml:space="preserve"> </w:t>
      </w:r>
      <w:r w:rsidR="00B873BA" w:rsidRPr="00222BE8">
        <w:rPr>
          <w:rFonts w:ascii="Arial" w:hAnsi="Arial" w:cs="Arial"/>
          <w:color w:val="000000" w:themeColor="text1"/>
          <w:sz w:val="22"/>
          <w:lang w:val="es-ES_tradnl"/>
        </w:rPr>
        <w:t xml:space="preserve">tampoco son </w:t>
      </w:r>
      <w:r w:rsidR="00B873BA" w:rsidRPr="00222BE8">
        <w:rPr>
          <w:rFonts w:ascii="Arial" w:hAnsi="Arial" w:cs="Arial"/>
          <w:i/>
          <w:iCs/>
          <w:color w:val="000000" w:themeColor="text1"/>
          <w:sz w:val="22"/>
          <w:lang w:val="es-ES_tradnl"/>
        </w:rPr>
        <w:t>entidades públicas</w:t>
      </w:r>
      <w:r w:rsidR="00B873BA" w:rsidRPr="00222BE8">
        <w:rPr>
          <w:rFonts w:ascii="Arial" w:hAnsi="Arial" w:cs="Arial"/>
          <w:color w:val="000000" w:themeColor="text1"/>
          <w:sz w:val="22"/>
          <w:lang w:val="es-ES_tradnl"/>
        </w:rPr>
        <w:t>. Así lo interpretó la Corte Constitucional en la Sentencia</w:t>
      </w:r>
      <w:r w:rsidR="007F14D3" w:rsidRPr="00222BE8">
        <w:rPr>
          <w:rFonts w:ascii="Arial" w:hAnsi="Arial" w:cs="Arial"/>
          <w:color w:val="000000" w:themeColor="text1"/>
          <w:sz w:val="22"/>
          <w:lang w:val="es-ES_tradnl"/>
        </w:rPr>
        <w:t xml:space="preserve"> C-</w:t>
      </w:r>
      <w:r w:rsidR="0053772F" w:rsidRPr="00222BE8">
        <w:rPr>
          <w:rFonts w:ascii="Arial" w:hAnsi="Arial" w:cs="Arial"/>
          <w:color w:val="000000" w:themeColor="text1"/>
          <w:sz w:val="22"/>
          <w:lang w:val="es-ES_tradnl"/>
        </w:rPr>
        <w:t>485 de 2020</w:t>
      </w:r>
      <w:r w:rsidR="0053772F" w:rsidRPr="00222BE8">
        <w:rPr>
          <w:rStyle w:val="Refdenotaalpie"/>
          <w:rFonts w:ascii="Arial" w:hAnsi="Arial" w:cs="Arial"/>
          <w:color w:val="000000" w:themeColor="text1"/>
          <w:sz w:val="22"/>
          <w:lang w:val="es-ES_tradnl"/>
        </w:rPr>
        <w:footnoteReference w:id="46"/>
      </w:r>
      <w:r w:rsidR="009444B4" w:rsidRPr="00222BE8">
        <w:rPr>
          <w:rFonts w:ascii="Arial" w:hAnsi="Arial" w:cs="Arial"/>
          <w:color w:val="000000" w:themeColor="text1"/>
          <w:sz w:val="22"/>
          <w:lang w:val="es-ES_tradnl"/>
        </w:rPr>
        <w:t xml:space="preserve">, cuando indicó que </w:t>
      </w:r>
      <w:r w:rsidR="00D805D6" w:rsidRPr="00222BE8">
        <w:rPr>
          <w:rFonts w:ascii="Arial" w:hAnsi="Arial" w:cs="Arial"/>
          <w:color w:val="000000" w:themeColor="text1"/>
          <w:sz w:val="22"/>
          <w:lang w:val="es-ES_tradnl"/>
        </w:rPr>
        <w:t>los fondos especiales sin personería jurídica «</w:t>
      </w:r>
      <w:r w:rsidR="00D805D6" w:rsidRPr="00222BE8">
        <w:rPr>
          <w:rFonts w:ascii="Arial" w:hAnsi="Arial" w:cs="Arial"/>
          <w:sz w:val="22"/>
          <w:lang w:val="es-ES_tradnl"/>
        </w:rPr>
        <w:t xml:space="preserve">[…] </w:t>
      </w:r>
      <w:r w:rsidR="00D805D6" w:rsidRPr="00222BE8">
        <w:rPr>
          <w:rFonts w:ascii="Arial" w:hAnsi="Arial" w:cs="Arial"/>
          <w:color w:val="000000" w:themeColor="text1"/>
          <w:sz w:val="22"/>
          <w:lang w:val="es-ES_tradnl"/>
        </w:rPr>
        <w:t>a diferencia de los que cuentan con personería jurídica, no generan una nueva entidad […] ya que son un mecanismo de manejo de cuentas para un fin determinado dentro de un organismo público».</w:t>
      </w:r>
      <w:r w:rsidR="00002027" w:rsidRPr="00222BE8">
        <w:rPr>
          <w:rFonts w:ascii="Arial" w:hAnsi="Arial" w:cs="Arial"/>
          <w:color w:val="000000" w:themeColor="text1"/>
          <w:sz w:val="22"/>
          <w:lang w:val="es-ES_tradnl"/>
        </w:rPr>
        <w:t xml:space="preserve"> Bajo este entendido</w:t>
      </w:r>
      <w:r w:rsidR="0074623A" w:rsidRPr="00222BE8">
        <w:rPr>
          <w:rFonts w:ascii="Arial" w:hAnsi="Arial" w:cs="Arial"/>
          <w:color w:val="000000" w:themeColor="text1"/>
          <w:sz w:val="22"/>
          <w:lang w:val="es-ES_tradnl"/>
        </w:rPr>
        <w:t>, esta Subdirección no observa que los fondos especiales sin personería jurídica</w:t>
      </w:r>
      <w:r w:rsidR="00D00DE0" w:rsidRPr="00222BE8">
        <w:rPr>
          <w:rFonts w:ascii="Arial" w:hAnsi="Arial" w:cs="Arial"/>
          <w:color w:val="000000" w:themeColor="text1"/>
          <w:sz w:val="22"/>
          <w:lang w:val="es-ES_tradnl"/>
        </w:rPr>
        <w:t xml:space="preserve"> sean entidades públicas, ni </w:t>
      </w:r>
      <w:r w:rsidR="009C28A2" w:rsidRPr="00222BE8">
        <w:rPr>
          <w:rFonts w:ascii="Arial" w:hAnsi="Arial" w:cs="Arial"/>
          <w:color w:val="000000" w:themeColor="text1"/>
          <w:sz w:val="22"/>
          <w:lang w:val="es-ES_tradnl"/>
        </w:rPr>
        <w:t>tampoco</w:t>
      </w:r>
      <w:r w:rsidR="00D00DE0" w:rsidRPr="00222BE8">
        <w:rPr>
          <w:rFonts w:ascii="Arial" w:hAnsi="Arial" w:cs="Arial"/>
          <w:color w:val="000000" w:themeColor="text1"/>
          <w:sz w:val="22"/>
          <w:lang w:val="es-ES_tradnl"/>
        </w:rPr>
        <w:t xml:space="preserve"> </w:t>
      </w:r>
      <w:r w:rsidR="00A46574" w:rsidRPr="00222BE8">
        <w:rPr>
          <w:rFonts w:ascii="Arial" w:hAnsi="Arial" w:cs="Arial"/>
          <w:i/>
          <w:iCs/>
          <w:color w:val="000000" w:themeColor="text1"/>
          <w:sz w:val="22"/>
          <w:lang w:val="es-ES_tradnl"/>
        </w:rPr>
        <w:t>personas jurídicas</w:t>
      </w:r>
      <w:r w:rsidR="00D00DE0" w:rsidRPr="00222BE8">
        <w:rPr>
          <w:rFonts w:ascii="Arial" w:hAnsi="Arial" w:cs="Arial"/>
          <w:color w:val="000000" w:themeColor="text1"/>
          <w:sz w:val="22"/>
          <w:lang w:val="es-ES_tradnl"/>
        </w:rPr>
        <w:t xml:space="preserve"> sin ánimo de lucro</w:t>
      </w:r>
      <w:r w:rsidR="00897B8F" w:rsidRPr="00222BE8">
        <w:rPr>
          <w:rFonts w:ascii="Arial" w:hAnsi="Arial" w:cs="Arial"/>
          <w:color w:val="000000" w:themeColor="text1"/>
          <w:sz w:val="22"/>
          <w:lang w:val="es-ES_tradnl"/>
        </w:rPr>
        <w:t>,</w:t>
      </w:r>
      <w:r w:rsidR="00D00DE0" w:rsidRPr="00222BE8">
        <w:rPr>
          <w:rFonts w:ascii="Arial" w:hAnsi="Arial" w:cs="Arial"/>
          <w:color w:val="000000" w:themeColor="text1"/>
          <w:sz w:val="22"/>
          <w:lang w:val="es-ES_tradnl"/>
        </w:rPr>
        <w:t xml:space="preserve"> y por tanto</w:t>
      </w:r>
      <w:r w:rsidR="009F369D" w:rsidRPr="00222BE8">
        <w:rPr>
          <w:rFonts w:ascii="Arial" w:hAnsi="Arial" w:cs="Arial"/>
          <w:color w:val="000000" w:themeColor="text1"/>
          <w:sz w:val="22"/>
          <w:lang w:val="es-ES_tradnl"/>
        </w:rPr>
        <w:t xml:space="preserve"> no considera que se enmarquen dentro de la expresión </w:t>
      </w:r>
      <w:r w:rsidR="009F369D" w:rsidRPr="00222BE8">
        <w:rPr>
          <w:rFonts w:ascii="Arial" w:hAnsi="Arial" w:cs="Arial"/>
          <w:i/>
          <w:iCs/>
          <w:color w:val="000000" w:themeColor="text1"/>
          <w:sz w:val="22"/>
          <w:lang w:val="es-ES_tradnl"/>
        </w:rPr>
        <w:t>«a las demás que puedan asimilarse a las anteriores»</w:t>
      </w:r>
      <w:r w:rsidR="009F369D" w:rsidRPr="00222BE8">
        <w:rPr>
          <w:rFonts w:ascii="Arial" w:hAnsi="Arial" w:cs="Arial"/>
          <w:color w:val="000000" w:themeColor="text1"/>
          <w:sz w:val="22"/>
          <w:lang w:val="es-ES_tradnl"/>
        </w:rPr>
        <w:t>, contenida en el artículo 38 de la ley 9ª de 1989</w:t>
      </w:r>
      <w:r w:rsidR="00897B8F" w:rsidRPr="00222BE8">
        <w:rPr>
          <w:rFonts w:ascii="Arial" w:hAnsi="Arial" w:cs="Arial"/>
          <w:color w:val="000000" w:themeColor="text1"/>
          <w:sz w:val="22"/>
          <w:lang w:val="es-ES_tradnl"/>
        </w:rPr>
        <w:t xml:space="preserve">, para efectos de celebrar con </w:t>
      </w:r>
      <w:r w:rsidR="00F87F68">
        <w:rPr>
          <w:rFonts w:ascii="Arial" w:hAnsi="Arial" w:cs="Arial"/>
          <w:color w:val="000000" w:themeColor="text1"/>
          <w:sz w:val="22"/>
          <w:lang w:val="es-ES_tradnl"/>
        </w:rPr>
        <w:t>aqu</w:t>
      </w:r>
      <w:r w:rsidR="00897B8F" w:rsidRPr="00222BE8">
        <w:rPr>
          <w:rFonts w:ascii="Arial" w:hAnsi="Arial" w:cs="Arial"/>
          <w:color w:val="000000" w:themeColor="text1"/>
          <w:sz w:val="22"/>
          <w:lang w:val="es-ES_tradnl"/>
        </w:rPr>
        <w:t>ellos contratos de comodato</w:t>
      </w:r>
      <w:r w:rsidR="009F369D" w:rsidRPr="00222BE8">
        <w:rPr>
          <w:rFonts w:ascii="Arial" w:hAnsi="Arial" w:cs="Arial"/>
          <w:color w:val="000000" w:themeColor="text1"/>
          <w:sz w:val="22"/>
          <w:lang w:val="es-ES_tradnl"/>
        </w:rPr>
        <w:t xml:space="preserve">. Sin </w:t>
      </w:r>
      <w:r w:rsidR="00F87F68" w:rsidRPr="00222BE8">
        <w:rPr>
          <w:rFonts w:ascii="Arial" w:hAnsi="Arial" w:cs="Arial"/>
          <w:color w:val="000000" w:themeColor="text1"/>
          <w:sz w:val="22"/>
          <w:lang w:val="es-ES_tradnl"/>
        </w:rPr>
        <w:t>embargo</w:t>
      </w:r>
      <w:r w:rsidR="009F369D" w:rsidRPr="00222BE8">
        <w:rPr>
          <w:rFonts w:ascii="Arial" w:hAnsi="Arial" w:cs="Arial"/>
          <w:color w:val="000000" w:themeColor="text1"/>
          <w:sz w:val="22"/>
          <w:lang w:val="es-ES_tradnl"/>
        </w:rPr>
        <w:t>, es la opinión jurídica de esta Agencia</w:t>
      </w:r>
      <w:r w:rsidR="00EA37B9" w:rsidRPr="00222BE8">
        <w:rPr>
          <w:rFonts w:ascii="Arial" w:hAnsi="Arial" w:cs="Arial"/>
          <w:color w:val="000000" w:themeColor="text1"/>
          <w:sz w:val="22"/>
          <w:lang w:val="es-ES_tradnl"/>
        </w:rPr>
        <w:t>; concepto que, al tenor del artículo 28 de la Ley 1437 de 2011 no es vinculante y no es óbice para</w:t>
      </w:r>
      <w:r w:rsidR="00897B8F" w:rsidRPr="00222BE8">
        <w:rPr>
          <w:rFonts w:ascii="Arial" w:hAnsi="Arial" w:cs="Arial"/>
          <w:color w:val="000000" w:themeColor="text1"/>
          <w:sz w:val="22"/>
          <w:lang w:val="es-ES_tradnl"/>
        </w:rPr>
        <w:t xml:space="preserve"> que otra autoridad pueda </w:t>
      </w:r>
      <w:r w:rsidR="00CD520B" w:rsidRPr="00222BE8">
        <w:rPr>
          <w:rFonts w:ascii="Arial" w:hAnsi="Arial" w:cs="Arial"/>
          <w:color w:val="000000" w:themeColor="text1"/>
          <w:sz w:val="22"/>
          <w:lang w:val="es-ES_tradnl"/>
        </w:rPr>
        <w:t>adoptar</w:t>
      </w:r>
      <w:r w:rsidR="00897B8F" w:rsidRPr="00222BE8">
        <w:rPr>
          <w:rFonts w:ascii="Arial" w:hAnsi="Arial" w:cs="Arial"/>
          <w:color w:val="000000" w:themeColor="text1"/>
          <w:sz w:val="22"/>
          <w:lang w:val="es-ES_tradnl"/>
        </w:rPr>
        <w:t xml:space="preserve"> una interpretación distinta</w:t>
      </w:r>
      <w:r w:rsidR="00FC0811" w:rsidRPr="00222BE8">
        <w:rPr>
          <w:rFonts w:ascii="Arial" w:hAnsi="Arial" w:cs="Arial"/>
          <w:color w:val="000000" w:themeColor="text1"/>
          <w:sz w:val="22"/>
          <w:lang w:val="es-ES_tradnl"/>
        </w:rPr>
        <w:t>, cumpliendo con la respectiva carga argumentativa razonable.</w:t>
      </w:r>
      <w:r w:rsidRPr="00222BE8">
        <w:rPr>
          <w:rFonts w:ascii="Arial" w:hAnsi="Arial" w:cs="Arial"/>
          <w:color w:val="000000" w:themeColor="text1"/>
          <w:sz w:val="22"/>
          <w:lang w:val="es-ES_tradnl"/>
        </w:rPr>
        <w:t xml:space="preserve"> </w:t>
      </w:r>
      <w:r w:rsidR="004835CA" w:rsidRPr="00222BE8">
        <w:rPr>
          <w:rFonts w:ascii="Arial" w:hAnsi="Arial" w:cs="Arial"/>
          <w:color w:val="000000" w:themeColor="text1"/>
          <w:sz w:val="22"/>
          <w:lang w:val="es-ES_tradnl"/>
        </w:rPr>
        <w:t xml:space="preserve"> </w:t>
      </w:r>
      <w:r w:rsidR="00FD798D" w:rsidRPr="00222BE8">
        <w:rPr>
          <w:rFonts w:ascii="Arial" w:hAnsi="Arial" w:cs="Arial"/>
          <w:color w:val="000000" w:themeColor="text1"/>
          <w:sz w:val="22"/>
          <w:lang w:val="es-ES_tradnl"/>
        </w:rPr>
        <w:t xml:space="preserve"> </w:t>
      </w:r>
      <w:r w:rsidR="00EB749A" w:rsidRPr="00222BE8">
        <w:rPr>
          <w:rFonts w:ascii="Arial" w:hAnsi="Arial" w:cs="Arial"/>
          <w:color w:val="000000" w:themeColor="text1"/>
          <w:sz w:val="22"/>
          <w:lang w:val="es-ES_tradnl"/>
        </w:rPr>
        <w:t xml:space="preserve"> </w:t>
      </w:r>
      <w:r w:rsidR="000E6BE1" w:rsidRPr="00222BE8">
        <w:rPr>
          <w:rFonts w:ascii="Arial" w:hAnsi="Arial" w:cs="Arial"/>
          <w:color w:val="000000" w:themeColor="text1"/>
          <w:sz w:val="22"/>
          <w:lang w:val="es-ES_tradnl"/>
        </w:rPr>
        <w:t xml:space="preserve"> </w:t>
      </w:r>
    </w:p>
    <w:p w14:paraId="1E748680" w14:textId="77777777" w:rsidR="003D3B2E" w:rsidRPr="00222BE8" w:rsidRDefault="003D3B2E" w:rsidP="003A78E5">
      <w:pPr>
        <w:ind w:right="709"/>
        <w:jc w:val="both"/>
        <w:rPr>
          <w:rFonts w:ascii="Arial" w:hAnsi="Arial" w:cs="Arial"/>
          <w:color w:val="000000" w:themeColor="text1"/>
          <w:sz w:val="21"/>
          <w:szCs w:val="21"/>
          <w:lang w:val="es-ES_tradnl"/>
        </w:rPr>
      </w:pPr>
    </w:p>
    <w:p w14:paraId="77589A76" w14:textId="141EC24F" w:rsidR="003D3B2E" w:rsidRPr="00222BE8" w:rsidRDefault="00845AE3" w:rsidP="00DF7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D3B2E" w:rsidRPr="00222BE8">
        <w:rPr>
          <w:rFonts w:ascii="Arial" w:hAnsi="Arial" w:cs="Arial"/>
          <w:color w:val="000000" w:themeColor="text1"/>
          <w:sz w:val="21"/>
          <w:szCs w:val="21"/>
          <w:lang w:val="es-ES_tradnl"/>
        </w:rPr>
        <w:t>4. ¿Es jurídicamente viable aplicar el literal (i) del numeral 4o del artículo 2o de la Ley 1150 de 2007, cuando la entidad pública va a suscribir un contrato de arrendamiento en calidad de arrendataria con un patrimonio autónomo con las características indicadas líneas arriba?</w:t>
      </w:r>
      <w:r>
        <w:rPr>
          <w:rFonts w:ascii="Arial" w:hAnsi="Arial" w:cs="Arial"/>
          <w:color w:val="000000" w:themeColor="text1"/>
          <w:sz w:val="21"/>
          <w:szCs w:val="21"/>
          <w:lang w:val="es-ES_tradnl"/>
        </w:rPr>
        <w:t>»</w:t>
      </w:r>
    </w:p>
    <w:p w14:paraId="1D2AA964" w14:textId="1D30F693" w:rsidR="003D3B2E" w:rsidRPr="00222BE8" w:rsidRDefault="003D3B2E" w:rsidP="00DA29B7">
      <w:pPr>
        <w:ind w:right="709"/>
        <w:jc w:val="both"/>
        <w:rPr>
          <w:rFonts w:ascii="Arial" w:hAnsi="Arial" w:cs="Arial"/>
          <w:color w:val="000000" w:themeColor="text1"/>
          <w:sz w:val="21"/>
          <w:szCs w:val="21"/>
          <w:lang w:val="es-ES_tradnl"/>
        </w:rPr>
      </w:pPr>
    </w:p>
    <w:p w14:paraId="7A7033ED" w14:textId="5E228CA9" w:rsidR="00DA29B7" w:rsidRPr="00222BE8" w:rsidRDefault="00DA29B7" w:rsidP="00D9310B">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La causal prevista en el literal i) del numeral 4º del artículo 2 de la Ley 1150 de 2007</w:t>
      </w:r>
      <w:r w:rsidR="00D9310B" w:rsidRPr="00222BE8">
        <w:rPr>
          <w:rStyle w:val="Refdenotaalpie"/>
          <w:rFonts w:ascii="Arial" w:hAnsi="Arial" w:cs="Arial"/>
          <w:color w:val="000000" w:themeColor="text1"/>
          <w:sz w:val="22"/>
          <w:lang w:val="es-ES_tradnl"/>
        </w:rPr>
        <w:footnoteReference w:id="47"/>
      </w:r>
      <w:r w:rsidRPr="00222BE8">
        <w:rPr>
          <w:rFonts w:ascii="Arial" w:hAnsi="Arial" w:cs="Arial"/>
          <w:color w:val="000000" w:themeColor="text1"/>
          <w:sz w:val="22"/>
          <w:lang w:val="es-ES_tradnl"/>
        </w:rPr>
        <w:t>,</w:t>
      </w:r>
      <w:r w:rsidR="00D9310B" w:rsidRPr="00222BE8">
        <w:rPr>
          <w:rFonts w:ascii="Arial" w:hAnsi="Arial" w:cs="Arial"/>
          <w:color w:val="000000" w:themeColor="text1"/>
          <w:sz w:val="22"/>
          <w:lang w:val="es-ES_tradnl"/>
        </w:rPr>
        <w:t xml:space="preserve"> que permite a las</w:t>
      </w:r>
      <w:r w:rsidR="004C5EF0" w:rsidRPr="00222BE8">
        <w:rPr>
          <w:rFonts w:ascii="Arial" w:hAnsi="Arial" w:cs="Arial"/>
          <w:color w:val="000000" w:themeColor="text1"/>
          <w:sz w:val="22"/>
          <w:lang w:val="es-ES_tradnl"/>
        </w:rPr>
        <w:t xml:space="preserve"> entidades estatales regidas por el Estatuto General de Contratación de la Administración Pública</w:t>
      </w:r>
      <w:r w:rsidR="003C4D9F" w:rsidRPr="00222BE8">
        <w:rPr>
          <w:rFonts w:ascii="Arial" w:hAnsi="Arial" w:cs="Arial"/>
          <w:color w:val="000000" w:themeColor="text1"/>
          <w:sz w:val="22"/>
          <w:lang w:val="es-ES_tradnl"/>
        </w:rPr>
        <w:t xml:space="preserve"> </w:t>
      </w:r>
      <w:r w:rsidR="0015448E" w:rsidRPr="00222BE8">
        <w:rPr>
          <w:rFonts w:ascii="Arial" w:hAnsi="Arial" w:cs="Arial"/>
          <w:color w:val="000000" w:themeColor="text1"/>
          <w:sz w:val="22"/>
          <w:lang w:val="es-ES_tradnl"/>
        </w:rPr>
        <w:t>tomar</w:t>
      </w:r>
      <w:r w:rsidR="003C4D9F" w:rsidRPr="00222BE8">
        <w:rPr>
          <w:rFonts w:ascii="Arial" w:hAnsi="Arial" w:cs="Arial"/>
          <w:color w:val="000000" w:themeColor="text1"/>
          <w:sz w:val="22"/>
          <w:lang w:val="es-ES_tradnl"/>
        </w:rPr>
        <w:t xml:space="preserve"> en arrendamiento</w:t>
      </w:r>
      <w:r w:rsidR="007D23F7" w:rsidRPr="00222BE8">
        <w:rPr>
          <w:rStyle w:val="Refdenotaalpie"/>
          <w:rFonts w:ascii="Arial" w:hAnsi="Arial" w:cs="Arial"/>
          <w:color w:val="000000" w:themeColor="text1"/>
          <w:sz w:val="22"/>
          <w:lang w:val="es-ES_tradnl"/>
        </w:rPr>
        <w:footnoteReference w:id="48"/>
      </w:r>
      <w:r w:rsidR="003C4D9F" w:rsidRPr="00222BE8">
        <w:rPr>
          <w:rFonts w:ascii="Arial" w:hAnsi="Arial" w:cs="Arial"/>
          <w:color w:val="000000" w:themeColor="text1"/>
          <w:sz w:val="22"/>
          <w:lang w:val="es-ES_tradnl"/>
        </w:rPr>
        <w:t xml:space="preserve"> o </w:t>
      </w:r>
      <w:r w:rsidR="002058D4" w:rsidRPr="00222BE8">
        <w:rPr>
          <w:rFonts w:ascii="Arial" w:hAnsi="Arial" w:cs="Arial"/>
          <w:color w:val="000000" w:themeColor="text1"/>
          <w:sz w:val="22"/>
          <w:lang w:val="es-ES_tradnl"/>
        </w:rPr>
        <w:t>adquirir</w:t>
      </w:r>
      <w:r w:rsidR="003C4D9F" w:rsidRPr="00222BE8">
        <w:rPr>
          <w:rFonts w:ascii="Arial" w:hAnsi="Arial" w:cs="Arial"/>
          <w:color w:val="000000" w:themeColor="text1"/>
          <w:sz w:val="22"/>
          <w:lang w:val="es-ES_tradnl"/>
        </w:rPr>
        <w:t xml:space="preserve"> inmuebles</w:t>
      </w:r>
      <w:r w:rsidR="003706F2" w:rsidRPr="00222BE8">
        <w:rPr>
          <w:rStyle w:val="Refdenotaalpie"/>
          <w:rFonts w:ascii="Arial" w:hAnsi="Arial" w:cs="Arial"/>
          <w:color w:val="000000" w:themeColor="text1"/>
          <w:sz w:val="22"/>
          <w:lang w:val="es-ES_tradnl"/>
        </w:rPr>
        <w:footnoteReference w:id="49"/>
      </w:r>
      <w:r w:rsidR="00407F1E" w:rsidRPr="00222BE8">
        <w:rPr>
          <w:rFonts w:ascii="Arial" w:hAnsi="Arial" w:cs="Arial"/>
          <w:color w:val="000000" w:themeColor="text1"/>
          <w:sz w:val="22"/>
          <w:lang w:val="es-ES_tradnl"/>
        </w:rPr>
        <w:t>,</w:t>
      </w:r>
      <w:r w:rsidR="00B033F8" w:rsidRPr="00222BE8">
        <w:rPr>
          <w:rFonts w:ascii="Arial" w:hAnsi="Arial" w:cs="Arial"/>
          <w:color w:val="000000" w:themeColor="text1"/>
          <w:sz w:val="22"/>
          <w:lang w:val="es-ES_tradnl"/>
        </w:rPr>
        <w:t xml:space="preserve"> prescinde de la naturaleza jurídica del contratista –es decir, se aplica, independientemente de que este sea una persona jurídica</w:t>
      </w:r>
      <w:r w:rsidR="00790A60" w:rsidRPr="00222BE8">
        <w:rPr>
          <w:rFonts w:ascii="Arial" w:hAnsi="Arial" w:cs="Arial"/>
          <w:color w:val="000000" w:themeColor="text1"/>
          <w:sz w:val="22"/>
          <w:lang w:val="es-ES_tradnl"/>
        </w:rPr>
        <w:t xml:space="preserve"> o una forma asociativa sin personería jurídica, pública o privada–, pues lo relevante es que el sujeto que pretende fungir como contratista</w:t>
      </w:r>
      <w:r w:rsidR="003706F2" w:rsidRPr="00222BE8">
        <w:rPr>
          <w:rFonts w:ascii="Arial" w:hAnsi="Arial" w:cs="Arial"/>
          <w:color w:val="000000" w:themeColor="text1"/>
          <w:sz w:val="22"/>
          <w:lang w:val="es-ES_tradnl"/>
        </w:rPr>
        <w:t xml:space="preserve"> –arrendador o vendedor–</w:t>
      </w:r>
      <w:r w:rsidR="00790A60" w:rsidRPr="00222BE8">
        <w:rPr>
          <w:rFonts w:ascii="Arial" w:hAnsi="Arial" w:cs="Arial"/>
          <w:color w:val="000000" w:themeColor="text1"/>
          <w:sz w:val="22"/>
          <w:lang w:val="es-ES_tradnl"/>
        </w:rPr>
        <w:t xml:space="preserve"> goce de capacidad contractual</w:t>
      </w:r>
      <w:r w:rsidR="00407F1E" w:rsidRPr="00222BE8">
        <w:rPr>
          <w:rFonts w:ascii="Arial" w:hAnsi="Arial" w:cs="Arial"/>
          <w:color w:val="000000" w:themeColor="text1"/>
          <w:sz w:val="22"/>
          <w:lang w:val="es-ES_tradnl"/>
        </w:rPr>
        <w:t>, de conformidad con el artículo 6 de la Ley 80 de 1993</w:t>
      </w:r>
      <w:r w:rsidR="00407F1E" w:rsidRPr="00222BE8">
        <w:rPr>
          <w:rStyle w:val="Refdenotaalpie"/>
          <w:rFonts w:ascii="Arial" w:hAnsi="Arial" w:cs="Arial"/>
          <w:color w:val="000000" w:themeColor="text1"/>
          <w:sz w:val="22"/>
          <w:lang w:val="es-ES_tradnl"/>
        </w:rPr>
        <w:footnoteReference w:id="50"/>
      </w:r>
      <w:r w:rsidR="00407F1E" w:rsidRPr="00222BE8">
        <w:rPr>
          <w:rFonts w:ascii="Arial" w:hAnsi="Arial" w:cs="Arial"/>
          <w:color w:val="000000" w:themeColor="text1"/>
          <w:sz w:val="22"/>
          <w:lang w:val="es-ES_tradnl"/>
        </w:rPr>
        <w:t>.</w:t>
      </w:r>
      <w:r w:rsidR="0050062F" w:rsidRPr="00222BE8">
        <w:rPr>
          <w:rFonts w:ascii="Arial" w:hAnsi="Arial" w:cs="Arial"/>
          <w:color w:val="000000" w:themeColor="text1"/>
          <w:sz w:val="22"/>
          <w:lang w:val="es-ES_tradnl"/>
        </w:rPr>
        <w:t xml:space="preserve"> Así que</w:t>
      </w:r>
      <w:r w:rsidR="00DC18CD" w:rsidRPr="00222BE8">
        <w:rPr>
          <w:rFonts w:ascii="Arial" w:hAnsi="Arial" w:cs="Arial"/>
          <w:color w:val="000000" w:themeColor="text1"/>
          <w:sz w:val="22"/>
          <w:lang w:val="es-ES_tradnl"/>
        </w:rPr>
        <w:t>,</w:t>
      </w:r>
      <w:r w:rsidR="0050062F" w:rsidRPr="00222BE8">
        <w:rPr>
          <w:rFonts w:ascii="Arial" w:hAnsi="Arial" w:cs="Arial"/>
          <w:color w:val="000000" w:themeColor="text1"/>
          <w:sz w:val="22"/>
          <w:lang w:val="es-ES_tradnl"/>
        </w:rPr>
        <w:t xml:space="preserve"> para la Subdirección de Gestión Contractual</w:t>
      </w:r>
      <w:r w:rsidR="00DC18CD" w:rsidRPr="00222BE8">
        <w:rPr>
          <w:rFonts w:ascii="Arial" w:hAnsi="Arial" w:cs="Arial"/>
          <w:color w:val="000000" w:themeColor="text1"/>
          <w:sz w:val="22"/>
          <w:lang w:val="es-ES_tradnl"/>
        </w:rPr>
        <w:t>,</w:t>
      </w:r>
      <w:r w:rsidR="0050062F" w:rsidRPr="00222BE8">
        <w:rPr>
          <w:rFonts w:ascii="Arial" w:hAnsi="Arial" w:cs="Arial"/>
          <w:color w:val="000000" w:themeColor="text1"/>
          <w:sz w:val="22"/>
          <w:lang w:val="es-ES_tradnl"/>
        </w:rPr>
        <w:t xml:space="preserve"> </w:t>
      </w:r>
      <w:r w:rsidR="002A05D4" w:rsidRPr="00222BE8">
        <w:rPr>
          <w:rFonts w:ascii="Arial" w:hAnsi="Arial" w:cs="Arial"/>
          <w:i/>
          <w:iCs/>
          <w:color w:val="000000" w:themeColor="text1"/>
          <w:sz w:val="22"/>
          <w:lang w:val="es-ES_tradnl"/>
        </w:rPr>
        <w:t>prima facie</w:t>
      </w:r>
      <w:r w:rsidR="00C93877" w:rsidRPr="00222BE8">
        <w:rPr>
          <w:rFonts w:ascii="Arial" w:hAnsi="Arial" w:cs="Arial"/>
          <w:color w:val="000000" w:themeColor="text1"/>
          <w:sz w:val="22"/>
          <w:lang w:val="es-ES_tradnl"/>
        </w:rPr>
        <w:t xml:space="preserve"> </w:t>
      </w:r>
      <w:r w:rsidR="009136D4" w:rsidRPr="00222BE8">
        <w:rPr>
          <w:rFonts w:ascii="Arial" w:hAnsi="Arial" w:cs="Arial"/>
          <w:color w:val="000000" w:themeColor="text1"/>
          <w:sz w:val="22"/>
          <w:lang w:val="es-ES_tradnl"/>
        </w:rPr>
        <w:t xml:space="preserve">el </w:t>
      </w:r>
      <w:r w:rsidR="00130355" w:rsidRPr="00222BE8">
        <w:rPr>
          <w:rFonts w:ascii="Arial" w:hAnsi="Arial" w:cs="Arial"/>
          <w:color w:val="000000" w:themeColor="text1"/>
          <w:sz w:val="22"/>
          <w:lang w:val="es-ES_tradnl"/>
        </w:rPr>
        <w:t>patrimonio</w:t>
      </w:r>
      <w:r w:rsidR="009136D4" w:rsidRPr="00222BE8">
        <w:rPr>
          <w:rFonts w:ascii="Arial" w:hAnsi="Arial" w:cs="Arial"/>
          <w:color w:val="000000" w:themeColor="text1"/>
          <w:sz w:val="22"/>
          <w:lang w:val="es-ES_tradnl"/>
        </w:rPr>
        <w:t xml:space="preserve"> </w:t>
      </w:r>
      <w:r w:rsidR="00F749A3" w:rsidRPr="00222BE8">
        <w:rPr>
          <w:rFonts w:ascii="Arial" w:hAnsi="Arial" w:cs="Arial"/>
          <w:color w:val="000000" w:themeColor="text1"/>
          <w:sz w:val="22"/>
          <w:lang w:val="es-ES_tradnl"/>
        </w:rPr>
        <w:t xml:space="preserve">autónomo de </w:t>
      </w:r>
      <w:r w:rsidR="00C93877" w:rsidRPr="00222BE8">
        <w:rPr>
          <w:rFonts w:ascii="Arial" w:hAnsi="Arial" w:cs="Arial"/>
          <w:color w:val="000000" w:themeColor="text1"/>
          <w:sz w:val="22"/>
          <w:lang w:val="es-ES_tradnl"/>
        </w:rPr>
        <w:t>un fondo especial sin personería jurídica, al que el ordenamiento le haya conferido capacidad contractual</w:t>
      </w:r>
      <w:r w:rsidR="009136D4" w:rsidRPr="00222BE8">
        <w:rPr>
          <w:rFonts w:ascii="Arial" w:hAnsi="Arial" w:cs="Arial"/>
          <w:color w:val="000000" w:themeColor="text1"/>
          <w:sz w:val="22"/>
          <w:lang w:val="es-ES_tradnl"/>
        </w:rPr>
        <w:t>, podría celebrar este tipo de contratos con una entidad estatal</w:t>
      </w:r>
      <w:r w:rsidR="00F749A3" w:rsidRPr="00222BE8">
        <w:rPr>
          <w:rFonts w:ascii="Arial" w:hAnsi="Arial" w:cs="Arial"/>
          <w:color w:val="000000" w:themeColor="text1"/>
          <w:sz w:val="22"/>
          <w:lang w:val="es-ES_tradnl"/>
        </w:rPr>
        <w:t xml:space="preserve">. Ahora bien, se dice que lo anterior es en principio, porque en cada caso las entidades estatales y los administradores del patrimonio autónomo deberán </w:t>
      </w:r>
      <w:r w:rsidR="00E67856" w:rsidRPr="00222BE8">
        <w:rPr>
          <w:rFonts w:ascii="Arial" w:hAnsi="Arial" w:cs="Arial"/>
          <w:color w:val="000000" w:themeColor="text1"/>
          <w:sz w:val="22"/>
          <w:lang w:val="es-ES_tradnl"/>
        </w:rPr>
        <w:t>establecer si el contrato ingresa dentro del objeto</w:t>
      </w:r>
      <w:r w:rsidR="007E5C4A" w:rsidRPr="00222BE8">
        <w:rPr>
          <w:rFonts w:ascii="Arial" w:hAnsi="Arial" w:cs="Arial"/>
          <w:color w:val="000000" w:themeColor="text1"/>
          <w:sz w:val="22"/>
          <w:lang w:val="es-ES_tradnl"/>
        </w:rPr>
        <w:t xml:space="preserve"> estatutario</w:t>
      </w:r>
      <w:r w:rsidR="00E67856" w:rsidRPr="00222BE8">
        <w:rPr>
          <w:rFonts w:ascii="Arial" w:hAnsi="Arial" w:cs="Arial"/>
          <w:color w:val="000000" w:themeColor="text1"/>
          <w:sz w:val="22"/>
          <w:lang w:val="es-ES_tradnl"/>
        </w:rPr>
        <w:t xml:space="preserve"> de los sujetos que intervienen</w:t>
      </w:r>
      <w:r w:rsidR="007E5C4A" w:rsidRPr="00222BE8">
        <w:rPr>
          <w:rFonts w:ascii="Arial" w:hAnsi="Arial" w:cs="Arial"/>
          <w:color w:val="000000" w:themeColor="text1"/>
          <w:sz w:val="22"/>
          <w:lang w:val="es-ES_tradnl"/>
        </w:rPr>
        <w:t xml:space="preserve"> y </w:t>
      </w:r>
      <w:r w:rsidR="00E67856" w:rsidRPr="00222BE8">
        <w:rPr>
          <w:rFonts w:ascii="Arial" w:hAnsi="Arial" w:cs="Arial"/>
          <w:color w:val="000000" w:themeColor="text1"/>
          <w:sz w:val="22"/>
          <w:lang w:val="es-ES_tradnl"/>
        </w:rPr>
        <w:t xml:space="preserve">si es conveniente desde los puntos de vista técnico, financiero y jurídico. </w:t>
      </w:r>
      <w:r w:rsidR="00A93101" w:rsidRPr="00222BE8">
        <w:rPr>
          <w:rFonts w:ascii="Arial" w:hAnsi="Arial" w:cs="Arial"/>
          <w:color w:val="000000" w:themeColor="text1"/>
          <w:sz w:val="22"/>
          <w:lang w:val="es-ES_tradnl"/>
        </w:rPr>
        <w:t xml:space="preserve">Teniendo en cuenta que la función consultiva de esta Agencia solo versa sobre la interpretación de normas de </w:t>
      </w:r>
      <w:r w:rsidR="002653A6" w:rsidRPr="00222BE8">
        <w:rPr>
          <w:rFonts w:ascii="Arial" w:hAnsi="Arial" w:cs="Arial"/>
          <w:color w:val="000000" w:themeColor="text1"/>
          <w:sz w:val="22"/>
          <w:lang w:val="es-ES_tradnl"/>
        </w:rPr>
        <w:t>alcance</w:t>
      </w:r>
      <w:r w:rsidR="00A93101" w:rsidRPr="00222BE8">
        <w:rPr>
          <w:rFonts w:ascii="Arial" w:hAnsi="Arial" w:cs="Arial"/>
          <w:color w:val="000000" w:themeColor="text1"/>
          <w:sz w:val="22"/>
          <w:lang w:val="es-ES_tradnl"/>
        </w:rPr>
        <w:t xml:space="preserve"> general, </w:t>
      </w:r>
      <w:r w:rsidR="00833430" w:rsidRPr="00222BE8">
        <w:rPr>
          <w:rFonts w:ascii="Arial" w:hAnsi="Arial" w:cs="Arial"/>
          <w:color w:val="000000" w:themeColor="text1"/>
          <w:sz w:val="22"/>
          <w:lang w:val="es-ES_tradnl"/>
        </w:rPr>
        <w:t>aquel es un análisis que debe realizar</w:t>
      </w:r>
      <w:r w:rsidR="007F1D9D" w:rsidRPr="00222BE8">
        <w:rPr>
          <w:rFonts w:ascii="Arial" w:hAnsi="Arial" w:cs="Arial"/>
          <w:color w:val="000000" w:themeColor="text1"/>
          <w:sz w:val="22"/>
          <w:lang w:val="es-ES_tradnl"/>
        </w:rPr>
        <w:t xml:space="preserve"> la entidad estatal contratante.</w:t>
      </w:r>
      <w:r w:rsidR="00A93101" w:rsidRPr="00222BE8">
        <w:rPr>
          <w:rFonts w:ascii="Arial" w:hAnsi="Arial" w:cs="Arial"/>
          <w:color w:val="000000" w:themeColor="text1"/>
          <w:sz w:val="22"/>
          <w:lang w:val="es-ES_tradnl"/>
        </w:rPr>
        <w:t xml:space="preserve"> </w:t>
      </w:r>
      <w:r w:rsidR="003C4D9F"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 xml:space="preserve"> </w:t>
      </w:r>
    </w:p>
    <w:p w14:paraId="623E7D62" w14:textId="77777777" w:rsidR="00D9310B" w:rsidRPr="00222BE8" w:rsidRDefault="00D9310B" w:rsidP="00DA29B7">
      <w:pPr>
        <w:ind w:right="709"/>
        <w:jc w:val="both"/>
        <w:rPr>
          <w:rFonts w:ascii="Arial" w:hAnsi="Arial" w:cs="Arial"/>
          <w:color w:val="000000" w:themeColor="text1"/>
          <w:sz w:val="21"/>
          <w:szCs w:val="21"/>
          <w:lang w:val="es-ES_tradnl"/>
        </w:rPr>
      </w:pPr>
    </w:p>
    <w:p w14:paraId="08B11302" w14:textId="585E128F" w:rsidR="003D3B2E" w:rsidRPr="00222BE8" w:rsidRDefault="00845AE3" w:rsidP="00DF7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D3B2E" w:rsidRPr="00222BE8">
        <w:rPr>
          <w:rFonts w:ascii="Arial" w:hAnsi="Arial" w:cs="Arial"/>
          <w:color w:val="000000" w:themeColor="text1"/>
          <w:sz w:val="21"/>
          <w:szCs w:val="21"/>
          <w:lang w:val="es-ES_tradnl"/>
        </w:rPr>
        <w:t>5. ¿Es viable jurídicamente, en el marco de un contrato de arrendamiento donde la entidad estatal actúa como arrendataria, pactar la forma de pago en especie a través de la realización de mejoras locativas, atendiendo lo dispuesto en el artículo 40 de la Ley 80 de 1993?</w:t>
      </w:r>
    </w:p>
    <w:p w14:paraId="0C32F79D" w14:textId="77777777" w:rsidR="003D3B2E" w:rsidRPr="00222BE8" w:rsidRDefault="003D3B2E" w:rsidP="00DF76A2">
      <w:pPr>
        <w:ind w:left="709" w:right="709"/>
        <w:jc w:val="both"/>
        <w:rPr>
          <w:rFonts w:ascii="Arial" w:hAnsi="Arial" w:cs="Arial"/>
          <w:color w:val="000000" w:themeColor="text1"/>
          <w:sz w:val="21"/>
          <w:szCs w:val="21"/>
          <w:lang w:val="es-ES_tradnl"/>
        </w:rPr>
      </w:pPr>
    </w:p>
    <w:p w14:paraId="1A520B3E" w14:textId="2BFAE486" w:rsidR="003D3B2E" w:rsidRPr="00222BE8" w:rsidRDefault="003D3B2E" w:rsidP="00DF76A2">
      <w:pPr>
        <w:ind w:left="709" w:right="709"/>
        <w:jc w:val="both"/>
        <w:rPr>
          <w:rFonts w:ascii="Arial" w:hAnsi="Arial" w:cs="Arial"/>
          <w:color w:val="000000" w:themeColor="text1"/>
          <w:sz w:val="21"/>
          <w:szCs w:val="21"/>
          <w:lang w:val="es-ES_tradnl"/>
        </w:rPr>
      </w:pPr>
      <w:r w:rsidRPr="00222BE8">
        <w:rPr>
          <w:rFonts w:ascii="Arial" w:hAnsi="Arial" w:cs="Arial"/>
          <w:color w:val="000000" w:themeColor="text1"/>
          <w:sz w:val="21"/>
          <w:szCs w:val="21"/>
          <w:lang w:val="es-ES_tradnl"/>
        </w:rPr>
        <w:t>»Lo anterior, bajo el entendido que dicha norma dispone que las entidades pueden celebrar todo tipo de contratos permitidos en la ley y la autonomía de la voluntad que se requieran para el cumplimiento de los fines estatales, siempre que no sean contrarios a la Constitución, la ley, el orden público y a los principios y finalidades de la administración pública. Al respecto, podría considerarse procedente que una estipulación de pago en especie de un contrato de arrendamiento encaminado a cumplir los funciones de un fondo creado por la ley, no resulta contrario a la Constitución, la ley, el orden público y a los principios y finalidades de la administración pública</w:t>
      </w:r>
      <w:r w:rsidR="00845AE3">
        <w:rPr>
          <w:rFonts w:ascii="Arial" w:hAnsi="Arial" w:cs="Arial"/>
          <w:color w:val="000000" w:themeColor="text1"/>
          <w:sz w:val="21"/>
          <w:szCs w:val="21"/>
          <w:lang w:val="es-ES_tradnl"/>
        </w:rPr>
        <w:t>»</w:t>
      </w:r>
      <w:r w:rsidRPr="00222BE8">
        <w:rPr>
          <w:rFonts w:ascii="Arial" w:hAnsi="Arial" w:cs="Arial"/>
          <w:color w:val="000000" w:themeColor="text1"/>
          <w:sz w:val="21"/>
          <w:szCs w:val="21"/>
          <w:lang w:val="es-ES_tradnl"/>
        </w:rPr>
        <w:t>.</w:t>
      </w:r>
    </w:p>
    <w:p w14:paraId="27759F6F" w14:textId="50905A5B" w:rsidR="0039615F" w:rsidRPr="00222BE8" w:rsidRDefault="0039615F" w:rsidP="00DF76A2">
      <w:pPr>
        <w:ind w:left="709" w:right="709"/>
        <w:jc w:val="both"/>
        <w:rPr>
          <w:rFonts w:ascii="Arial" w:hAnsi="Arial" w:cs="Arial"/>
          <w:color w:val="000000" w:themeColor="text1"/>
          <w:sz w:val="21"/>
          <w:szCs w:val="21"/>
          <w:lang w:val="es-ES_tradnl"/>
        </w:rPr>
      </w:pPr>
    </w:p>
    <w:p w14:paraId="4CE73843" w14:textId="792AA5E0" w:rsidR="0039615F" w:rsidRPr="00222BE8" w:rsidRDefault="006035F5" w:rsidP="00EB67F1">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En efecto, el artículo 40 de la Ley 80 de 1993</w:t>
      </w:r>
      <w:r w:rsidR="00C56A67" w:rsidRPr="00222BE8">
        <w:rPr>
          <w:rFonts w:ascii="Arial" w:hAnsi="Arial" w:cs="Arial"/>
          <w:color w:val="000000" w:themeColor="text1"/>
          <w:sz w:val="22"/>
          <w:lang w:val="es-ES_tradnl"/>
        </w:rPr>
        <w:t xml:space="preserve"> </w:t>
      </w:r>
      <w:r w:rsidR="00170001" w:rsidRPr="00222BE8">
        <w:rPr>
          <w:rFonts w:ascii="Arial" w:hAnsi="Arial" w:cs="Arial"/>
          <w:color w:val="000000" w:themeColor="text1"/>
          <w:sz w:val="22"/>
          <w:lang w:val="es-ES_tradnl"/>
        </w:rPr>
        <w:t>establece que «Las entidades podrán celebrar los contratos y acuerdos que permitan la autonomía de la voluntad y requieran el cumplimiento de los fines estatales»</w:t>
      </w:r>
      <w:r w:rsidR="00482507" w:rsidRPr="00222BE8">
        <w:rPr>
          <w:rFonts w:ascii="Arial" w:hAnsi="Arial" w:cs="Arial"/>
          <w:color w:val="000000" w:themeColor="text1"/>
          <w:sz w:val="22"/>
          <w:lang w:val="es-ES_tradnl"/>
        </w:rPr>
        <w:t xml:space="preserve"> y agrega que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002F7B66" w:rsidRPr="00222BE8">
        <w:rPr>
          <w:rFonts w:ascii="Arial" w:hAnsi="Arial" w:cs="Arial"/>
          <w:color w:val="000000" w:themeColor="text1"/>
          <w:sz w:val="22"/>
          <w:lang w:val="es-ES_tradnl"/>
        </w:rPr>
        <w:t xml:space="preserve"> En tal sentido, </w:t>
      </w:r>
      <w:r w:rsidR="0070138A" w:rsidRPr="00222BE8">
        <w:rPr>
          <w:rFonts w:ascii="Arial" w:hAnsi="Arial" w:cs="Arial"/>
          <w:color w:val="000000" w:themeColor="text1"/>
          <w:sz w:val="22"/>
          <w:lang w:val="es-ES_tradnl"/>
        </w:rPr>
        <w:t>ya que</w:t>
      </w:r>
      <w:r w:rsidR="002F7B66" w:rsidRPr="00222BE8">
        <w:rPr>
          <w:rFonts w:ascii="Arial" w:hAnsi="Arial" w:cs="Arial"/>
          <w:color w:val="000000" w:themeColor="text1"/>
          <w:sz w:val="22"/>
          <w:lang w:val="es-ES_tradnl"/>
        </w:rPr>
        <w:t xml:space="preserve"> un elemento de la esencia del contrato de arrendamiento</w:t>
      </w:r>
      <w:r w:rsidR="002653A6">
        <w:rPr>
          <w:rFonts w:ascii="Arial" w:hAnsi="Arial" w:cs="Arial"/>
          <w:color w:val="000000" w:themeColor="text1"/>
          <w:sz w:val="22"/>
          <w:lang w:val="es-ES_tradnl"/>
        </w:rPr>
        <w:t xml:space="preserve"> </w:t>
      </w:r>
      <w:r w:rsidR="002F7B66" w:rsidRPr="00222BE8">
        <w:rPr>
          <w:rFonts w:ascii="Arial" w:hAnsi="Arial" w:cs="Arial"/>
          <w:color w:val="000000" w:themeColor="text1"/>
          <w:sz w:val="22"/>
          <w:lang w:val="es-ES_tradnl"/>
        </w:rPr>
        <w:t>es el canon, nada se opone a que este se pueda pactar en especie</w:t>
      </w:r>
      <w:r w:rsidR="000D25BF" w:rsidRPr="00222BE8">
        <w:rPr>
          <w:rFonts w:ascii="Arial" w:hAnsi="Arial" w:cs="Arial"/>
          <w:color w:val="000000" w:themeColor="text1"/>
          <w:sz w:val="22"/>
          <w:lang w:val="es-ES_tradnl"/>
        </w:rPr>
        <w:t>. El artículo 1.975 del Código Civil establece</w:t>
      </w:r>
      <w:r w:rsidR="0070138A" w:rsidRPr="00222BE8">
        <w:rPr>
          <w:rFonts w:ascii="Arial" w:hAnsi="Arial" w:cs="Arial"/>
          <w:color w:val="000000" w:themeColor="text1"/>
          <w:sz w:val="22"/>
          <w:lang w:val="es-ES_tradnl"/>
        </w:rPr>
        <w:t>, por ejemplo,</w:t>
      </w:r>
      <w:r w:rsidR="000D25BF" w:rsidRPr="00222BE8">
        <w:rPr>
          <w:rFonts w:ascii="Arial" w:hAnsi="Arial" w:cs="Arial"/>
          <w:color w:val="000000" w:themeColor="text1"/>
          <w:sz w:val="22"/>
          <w:lang w:val="es-ES_tradnl"/>
        </w:rPr>
        <w:t xml:space="preserve"> que</w:t>
      </w:r>
      <w:r w:rsidR="00514C03" w:rsidRPr="00222BE8">
        <w:rPr>
          <w:rFonts w:ascii="Arial" w:hAnsi="Arial" w:cs="Arial"/>
          <w:color w:val="000000" w:themeColor="text1"/>
          <w:sz w:val="22"/>
          <w:lang w:val="es-ES_tradnl"/>
        </w:rPr>
        <w:t xml:space="preserve"> en el contrato de arrendamiento</w:t>
      </w:r>
      <w:r w:rsidR="000D25BF" w:rsidRPr="00222BE8">
        <w:rPr>
          <w:rFonts w:ascii="Arial" w:hAnsi="Arial" w:cs="Arial"/>
          <w:color w:val="000000" w:themeColor="text1"/>
          <w:sz w:val="22"/>
          <w:lang w:val="es-ES_tradnl"/>
        </w:rPr>
        <w:t xml:space="preserve"> «</w:t>
      </w:r>
      <w:r w:rsidR="00514C03" w:rsidRPr="00222BE8">
        <w:rPr>
          <w:rFonts w:ascii="Arial" w:hAnsi="Arial" w:cs="Arial"/>
          <w:color w:val="000000" w:themeColor="text1"/>
          <w:sz w:val="22"/>
          <w:lang w:val="es-ES_tradnl"/>
        </w:rPr>
        <w:t>El precio puede consistir ya en dinero; ya en frutos naturales de la cosa arrendada; y en este segundo caso puede fijarse una cantidad determinada o una cuota de los frutos de cada cosecha» y el 1.97</w:t>
      </w:r>
      <w:r w:rsidR="005F5888" w:rsidRPr="00222BE8">
        <w:rPr>
          <w:rFonts w:ascii="Arial" w:hAnsi="Arial" w:cs="Arial"/>
          <w:color w:val="000000" w:themeColor="text1"/>
          <w:sz w:val="22"/>
          <w:lang w:val="es-ES_tradnl"/>
        </w:rPr>
        <w:t>6</w:t>
      </w:r>
      <w:r w:rsidR="00514C03" w:rsidRPr="00222BE8">
        <w:rPr>
          <w:rFonts w:ascii="Arial" w:hAnsi="Arial" w:cs="Arial"/>
          <w:color w:val="000000" w:themeColor="text1"/>
          <w:sz w:val="22"/>
          <w:lang w:val="es-ES_tradnl"/>
        </w:rPr>
        <w:t xml:space="preserve"> dispone que «</w:t>
      </w:r>
      <w:r w:rsidR="005F5888" w:rsidRPr="00222BE8">
        <w:rPr>
          <w:rFonts w:ascii="Arial" w:hAnsi="Arial" w:cs="Arial"/>
          <w:color w:val="000000" w:themeColor="text1"/>
          <w:sz w:val="22"/>
          <w:lang w:val="es-ES_tradnl"/>
        </w:rPr>
        <w:t>El precio podrá determinarse de los mismos modos que en el contrato de venta</w:t>
      </w:r>
      <w:r w:rsidR="004F1A08" w:rsidRPr="00222BE8">
        <w:rPr>
          <w:rFonts w:ascii="Arial" w:hAnsi="Arial" w:cs="Arial"/>
          <w:color w:val="000000" w:themeColor="text1"/>
          <w:sz w:val="22"/>
          <w:lang w:val="es-ES_tradnl"/>
        </w:rPr>
        <w:t>»</w:t>
      </w:r>
      <w:r w:rsidR="005F5888" w:rsidRPr="00222BE8">
        <w:rPr>
          <w:rFonts w:ascii="Arial" w:hAnsi="Arial" w:cs="Arial"/>
          <w:color w:val="000000" w:themeColor="text1"/>
          <w:sz w:val="22"/>
          <w:lang w:val="es-ES_tradnl"/>
        </w:rPr>
        <w:t>.</w:t>
      </w:r>
      <w:r w:rsidR="00734990" w:rsidRPr="00222BE8">
        <w:rPr>
          <w:rFonts w:ascii="Arial" w:hAnsi="Arial" w:cs="Arial"/>
          <w:color w:val="000000" w:themeColor="text1"/>
          <w:sz w:val="22"/>
          <w:lang w:val="es-ES_tradnl"/>
        </w:rPr>
        <w:t xml:space="preserve"> Además, el artículo 32 de la Ley 80 de 1993 permite a las entidades estatales celebrar contratos </w:t>
      </w:r>
      <w:r w:rsidR="00D73249" w:rsidRPr="00222BE8">
        <w:rPr>
          <w:rFonts w:ascii="Arial" w:hAnsi="Arial" w:cs="Arial"/>
          <w:color w:val="000000" w:themeColor="text1"/>
          <w:sz w:val="22"/>
          <w:lang w:val="es-ES_tradnl"/>
        </w:rPr>
        <w:t>típicos y atípicos, en ejercicio del principio de autonomía de la voluntad.</w:t>
      </w:r>
      <w:r w:rsidR="00806AE6">
        <w:rPr>
          <w:rFonts w:ascii="Arial" w:hAnsi="Arial" w:cs="Arial"/>
          <w:color w:val="000000" w:themeColor="text1"/>
          <w:sz w:val="22"/>
          <w:lang w:val="es-ES_tradnl"/>
        </w:rPr>
        <w:t xml:space="preserve"> También, el artículo 41 prescribe que los contratos se perfeccionan cuando se logre acuerdo sobre el objeto y la </w:t>
      </w:r>
      <w:r w:rsidR="00806AE6">
        <w:rPr>
          <w:rFonts w:ascii="Arial" w:hAnsi="Arial" w:cs="Arial"/>
          <w:i/>
          <w:iCs/>
          <w:color w:val="000000" w:themeColor="text1"/>
          <w:sz w:val="22"/>
          <w:lang w:val="es-ES_tradnl"/>
        </w:rPr>
        <w:t xml:space="preserve">contraprestación </w:t>
      </w:r>
      <w:r w:rsidR="00806AE6">
        <w:rPr>
          <w:rFonts w:ascii="Arial" w:hAnsi="Arial" w:cs="Arial"/>
          <w:color w:val="000000" w:themeColor="text1"/>
          <w:sz w:val="22"/>
          <w:lang w:val="es-ES_tradnl"/>
        </w:rPr>
        <w:t>y este se eleve a escrito, sin que defina la forma en que se debe pactar la contraprestación.</w:t>
      </w:r>
      <w:r w:rsidR="00D73249" w:rsidRPr="00222BE8">
        <w:rPr>
          <w:rFonts w:ascii="Arial" w:hAnsi="Arial" w:cs="Arial"/>
          <w:color w:val="000000" w:themeColor="text1"/>
          <w:sz w:val="22"/>
          <w:lang w:val="es-ES_tradnl"/>
        </w:rPr>
        <w:t xml:space="preserve"> Sin perjuicio de lo anterior, no corresponde a esta Subdirección</w:t>
      </w:r>
      <w:r w:rsidR="00C5763C" w:rsidRPr="00222BE8">
        <w:rPr>
          <w:rFonts w:ascii="Arial" w:hAnsi="Arial" w:cs="Arial"/>
          <w:color w:val="000000" w:themeColor="text1"/>
          <w:sz w:val="22"/>
          <w:lang w:val="es-ES_tradnl"/>
        </w:rPr>
        <w:t xml:space="preserve"> dictaminar si en cada supuesto es posible celebrar o no un contrato</w:t>
      </w:r>
      <w:r w:rsidR="0070138A" w:rsidRPr="00222BE8">
        <w:rPr>
          <w:rFonts w:ascii="Arial" w:hAnsi="Arial" w:cs="Arial"/>
          <w:color w:val="000000" w:themeColor="text1"/>
          <w:sz w:val="22"/>
          <w:lang w:val="es-ES_tradnl"/>
        </w:rPr>
        <w:t xml:space="preserve"> o si el pago en especie puede ser</w:t>
      </w:r>
      <w:r w:rsidR="003B5391" w:rsidRPr="00222BE8">
        <w:rPr>
          <w:rFonts w:ascii="Arial" w:hAnsi="Arial" w:cs="Arial"/>
          <w:color w:val="000000" w:themeColor="text1"/>
          <w:sz w:val="22"/>
          <w:lang w:val="es-ES_tradnl"/>
        </w:rPr>
        <w:t xml:space="preserve"> la ejecución de mejoras locativas</w:t>
      </w:r>
      <w:r w:rsidR="00C5763C" w:rsidRPr="00222BE8">
        <w:rPr>
          <w:rFonts w:ascii="Arial" w:hAnsi="Arial" w:cs="Arial"/>
          <w:color w:val="000000" w:themeColor="text1"/>
          <w:sz w:val="22"/>
          <w:lang w:val="es-ES_tradnl"/>
        </w:rPr>
        <w:t>, ya que el numeral 8 del artículo 11 y el numeral 5 del artículo 3 del Decreto Ley 4170 de 2011</w:t>
      </w:r>
      <w:r w:rsidR="003B5391" w:rsidRPr="00222BE8">
        <w:rPr>
          <w:rFonts w:ascii="Arial" w:hAnsi="Arial" w:cs="Arial"/>
          <w:color w:val="000000" w:themeColor="text1"/>
          <w:sz w:val="22"/>
          <w:lang w:val="es-ES_tradnl"/>
        </w:rPr>
        <w:t xml:space="preserve"> solo le brindan competencia para la </w:t>
      </w:r>
      <w:r w:rsidR="00EB67F1" w:rsidRPr="00222BE8">
        <w:rPr>
          <w:rFonts w:ascii="Arial" w:hAnsi="Arial" w:cs="Arial"/>
          <w:color w:val="000000" w:themeColor="text1"/>
          <w:sz w:val="22"/>
          <w:lang w:val="es-ES_tradnl"/>
        </w:rPr>
        <w:t>elaboración de conceptos que contengan la interpretación de normas de alcance general. Por tanto, una vez determinado</w:t>
      </w:r>
      <w:r w:rsidR="00A532B9" w:rsidRPr="00222BE8">
        <w:rPr>
          <w:rFonts w:ascii="Arial" w:hAnsi="Arial" w:cs="Arial"/>
          <w:color w:val="000000" w:themeColor="text1"/>
          <w:sz w:val="22"/>
          <w:lang w:val="es-ES_tradnl"/>
        </w:rPr>
        <w:t>,</w:t>
      </w:r>
      <w:r w:rsidR="00EB67F1" w:rsidRPr="00222BE8">
        <w:rPr>
          <w:rFonts w:ascii="Arial" w:hAnsi="Arial" w:cs="Arial"/>
          <w:color w:val="000000" w:themeColor="text1"/>
          <w:sz w:val="22"/>
          <w:lang w:val="es-ES_tradnl"/>
        </w:rPr>
        <w:t xml:space="preserve"> en abstracto</w:t>
      </w:r>
      <w:r w:rsidR="00A532B9" w:rsidRPr="00222BE8">
        <w:rPr>
          <w:rFonts w:ascii="Arial" w:hAnsi="Arial" w:cs="Arial"/>
          <w:color w:val="000000" w:themeColor="text1"/>
          <w:sz w:val="22"/>
          <w:lang w:val="es-ES_tradnl"/>
        </w:rPr>
        <w:t>,</w:t>
      </w:r>
      <w:r w:rsidR="00EB67F1" w:rsidRPr="00222BE8">
        <w:rPr>
          <w:rFonts w:ascii="Arial" w:hAnsi="Arial" w:cs="Arial"/>
          <w:color w:val="000000" w:themeColor="text1"/>
          <w:sz w:val="22"/>
          <w:lang w:val="es-ES_tradnl"/>
        </w:rPr>
        <w:t xml:space="preserve"> que es consecuente con la autonomía de la voluntad la estipulación de un canon en especie, corresponde a las entidades estatales contratantes hacer los estudios previos con fundamento en los cuales puedan concluir si resulta económico, razonable y viable jurídicamente en cada caso la suscripción del </w:t>
      </w:r>
      <w:r w:rsidR="00EB67F1" w:rsidRPr="00222BE8">
        <w:rPr>
          <w:rFonts w:ascii="Arial" w:hAnsi="Arial" w:cs="Arial"/>
          <w:color w:val="000000" w:themeColor="text1"/>
          <w:sz w:val="22"/>
          <w:lang w:val="es-ES_tradnl"/>
        </w:rPr>
        <w:lastRenderedPageBreak/>
        <w:t>contrato con tales condiciones, respetando los principios de la función administrativa y de la gestión fiscal.</w:t>
      </w:r>
    </w:p>
    <w:p w14:paraId="58860EC2" w14:textId="77777777" w:rsidR="003D3B2E" w:rsidRPr="00222BE8" w:rsidRDefault="003D3B2E" w:rsidP="00DF76A2">
      <w:pPr>
        <w:ind w:left="709" w:right="709"/>
        <w:jc w:val="both"/>
        <w:rPr>
          <w:rFonts w:ascii="Arial" w:hAnsi="Arial" w:cs="Arial"/>
          <w:color w:val="000000" w:themeColor="text1"/>
          <w:sz w:val="21"/>
          <w:szCs w:val="21"/>
          <w:lang w:val="es-ES_tradnl"/>
        </w:rPr>
      </w:pPr>
    </w:p>
    <w:p w14:paraId="29F0FC06" w14:textId="3FFD773D" w:rsidR="003D3B2E" w:rsidRPr="00222BE8" w:rsidRDefault="00845AE3" w:rsidP="00DF7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D3B2E" w:rsidRPr="00222BE8">
        <w:rPr>
          <w:rFonts w:ascii="Arial" w:hAnsi="Arial" w:cs="Arial"/>
          <w:color w:val="000000" w:themeColor="text1"/>
          <w:sz w:val="21"/>
          <w:szCs w:val="21"/>
          <w:lang w:val="es-ES_tradnl"/>
        </w:rPr>
        <w:t>6. En caso de ser viable lo consultado en la pregunta anterior ¿Sería aplicable la causal de contratación establecida en el literal (i) del numeral 4o del artículo 2o de la Ley 1150 de 2007?</w:t>
      </w:r>
      <w:r>
        <w:rPr>
          <w:rFonts w:ascii="Arial" w:hAnsi="Arial" w:cs="Arial"/>
          <w:color w:val="000000" w:themeColor="text1"/>
          <w:sz w:val="21"/>
          <w:szCs w:val="21"/>
          <w:lang w:val="es-ES_tradnl"/>
        </w:rPr>
        <w:t>»</w:t>
      </w:r>
    </w:p>
    <w:p w14:paraId="1D0139F7" w14:textId="4F75BEC0" w:rsidR="003D3B2E" w:rsidRPr="00222BE8" w:rsidRDefault="003D3B2E" w:rsidP="00164281">
      <w:pPr>
        <w:ind w:right="709"/>
        <w:jc w:val="both"/>
        <w:rPr>
          <w:rFonts w:ascii="Arial" w:hAnsi="Arial" w:cs="Arial"/>
          <w:color w:val="000000" w:themeColor="text1"/>
          <w:sz w:val="21"/>
          <w:szCs w:val="21"/>
          <w:lang w:val="es-ES_tradnl"/>
        </w:rPr>
      </w:pPr>
    </w:p>
    <w:p w14:paraId="73239F11" w14:textId="7C590EBE" w:rsidR="00164281" w:rsidRPr="00222BE8" w:rsidRDefault="00164281" w:rsidP="00FE6432">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Se reitera la respuesta a la pregunta número 4, en el sentido de que</w:t>
      </w:r>
      <w:r w:rsidR="00380272" w:rsidRPr="00222BE8">
        <w:rPr>
          <w:rFonts w:ascii="Arial" w:hAnsi="Arial" w:cs="Arial"/>
          <w:color w:val="000000" w:themeColor="text1"/>
          <w:sz w:val="22"/>
          <w:lang w:val="es-ES_tradnl"/>
        </w:rPr>
        <w:t xml:space="preserve"> si, como producto de los estudios previos, la entidad estatal contratante determina que es conveniente, técnica, financiera y jurídicamente</w:t>
      </w:r>
      <w:r w:rsidR="00D751B7" w:rsidRPr="00222BE8">
        <w:rPr>
          <w:rFonts w:ascii="Arial" w:hAnsi="Arial" w:cs="Arial"/>
          <w:color w:val="000000" w:themeColor="text1"/>
          <w:sz w:val="22"/>
          <w:lang w:val="es-ES_tradnl"/>
        </w:rPr>
        <w:t xml:space="preserve">, </w:t>
      </w:r>
      <w:r w:rsidR="00380272" w:rsidRPr="00222BE8">
        <w:rPr>
          <w:rFonts w:ascii="Arial" w:hAnsi="Arial" w:cs="Arial"/>
          <w:color w:val="000000" w:themeColor="text1"/>
          <w:sz w:val="22"/>
          <w:lang w:val="es-ES_tradnl"/>
        </w:rPr>
        <w:t xml:space="preserve">la celebración del contrato de arrendamiento –en calidad de arrendataria–, se puede </w:t>
      </w:r>
      <w:r w:rsidR="002315A0" w:rsidRPr="00222BE8">
        <w:rPr>
          <w:rFonts w:ascii="Arial" w:hAnsi="Arial" w:cs="Arial"/>
          <w:color w:val="000000" w:themeColor="text1"/>
          <w:sz w:val="22"/>
          <w:lang w:val="es-ES_tradnl"/>
        </w:rPr>
        <w:t>utilizar la causal prevista en el artículo 2, numeral 4º, literal i)</w:t>
      </w:r>
      <w:r w:rsidR="007923D0" w:rsidRPr="00222BE8">
        <w:rPr>
          <w:rFonts w:ascii="Arial" w:hAnsi="Arial" w:cs="Arial"/>
          <w:color w:val="000000" w:themeColor="text1"/>
          <w:sz w:val="22"/>
          <w:lang w:val="es-ES_tradnl"/>
        </w:rPr>
        <w:t>, siempre y cuando la entidad estatal contratante esté sometida al Estatuto General</w:t>
      </w:r>
      <w:r w:rsidR="00FE6432" w:rsidRPr="00222BE8">
        <w:rPr>
          <w:rFonts w:ascii="Arial" w:hAnsi="Arial" w:cs="Arial"/>
          <w:color w:val="000000" w:themeColor="text1"/>
          <w:sz w:val="22"/>
          <w:lang w:val="es-ES_tradnl"/>
        </w:rPr>
        <w:t xml:space="preserve"> de Contratación de la Administración Pública, ya que aquella es una causal de contratación directa dirigida a este tipo de entidades estatales. Sin embargo, se insiste en que</w:t>
      </w:r>
      <w:r w:rsidR="00611398" w:rsidRPr="00222BE8">
        <w:rPr>
          <w:rFonts w:ascii="Arial" w:hAnsi="Arial" w:cs="Arial"/>
          <w:color w:val="000000" w:themeColor="text1"/>
          <w:sz w:val="22"/>
          <w:lang w:val="es-ES_tradnl"/>
        </w:rPr>
        <w:t>, en últimas,</w:t>
      </w:r>
      <w:r w:rsidR="00FE6432" w:rsidRPr="00222BE8">
        <w:rPr>
          <w:rFonts w:ascii="Arial" w:hAnsi="Arial" w:cs="Arial"/>
          <w:color w:val="000000" w:themeColor="text1"/>
          <w:sz w:val="22"/>
          <w:lang w:val="es-ES_tradnl"/>
        </w:rPr>
        <w:t xml:space="preserve"> la viabilidad</w:t>
      </w:r>
      <w:r w:rsidR="00611398" w:rsidRPr="00222BE8">
        <w:rPr>
          <w:rFonts w:ascii="Arial" w:hAnsi="Arial" w:cs="Arial"/>
          <w:color w:val="000000" w:themeColor="text1"/>
          <w:sz w:val="22"/>
          <w:lang w:val="es-ES_tradnl"/>
        </w:rPr>
        <w:t xml:space="preserve"> de la celebración del contrato se debe determinar en cada supuesto fáctico por la entidad pública contratante</w:t>
      </w:r>
      <w:r w:rsidR="00B25FC3" w:rsidRPr="00222BE8">
        <w:rPr>
          <w:rFonts w:ascii="Arial" w:hAnsi="Arial" w:cs="Arial"/>
          <w:color w:val="000000" w:themeColor="text1"/>
          <w:sz w:val="22"/>
          <w:lang w:val="es-ES_tradnl"/>
        </w:rPr>
        <w:t>, garantizando los principios de la contratación estatal.</w:t>
      </w:r>
    </w:p>
    <w:p w14:paraId="4C17FDF0" w14:textId="77777777" w:rsidR="00164281" w:rsidRPr="00222BE8" w:rsidRDefault="00164281" w:rsidP="00164281">
      <w:pPr>
        <w:ind w:right="709"/>
        <w:jc w:val="both"/>
        <w:rPr>
          <w:rFonts w:ascii="Arial" w:hAnsi="Arial" w:cs="Arial"/>
          <w:color w:val="000000" w:themeColor="text1"/>
          <w:sz w:val="21"/>
          <w:szCs w:val="21"/>
          <w:lang w:val="es-ES_tradnl"/>
        </w:rPr>
      </w:pPr>
    </w:p>
    <w:p w14:paraId="53196CA8" w14:textId="688F97C0" w:rsidR="003D3B2E" w:rsidRPr="00222BE8" w:rsidRDefault="00845AE3" w:rsidP="00DF7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3D3B2E" w:rsidRPr="00222BE8">
        <w:rPr>
          <w:rFonts w:ascii="Arial" w:hAnsi="Arial" w:cs="Arial"/>
          <w:color w:val="000000" w:themeColor="text1"/>
          <w:sz w:val="21"/>
          <w:szCs w:val="21"/>
          <w:lang w:val="es-ES_tradnl"/>
        </w:rPr>
        <w:t>7. En caso de que los reglamentos establecidos por los fondos especiales con las características indicadas, e.g. manuales de contratación, establezcan expresamente la posibilidad de contratar de forma directa con entidades públicas, ¿dichos manuales pueden ser aplicables, o deben prevalecer las normas de la Ley 80 de 1993, Ley 1150 de 2007,</w:t>
      </w:r>
      <w:r w:rsidR="00CD4506" w:rsidRPr="00222BE8">
        <w:rPr>
          <w:rFonts w:ascii="Arial" w:hAnsi="Arial" w:cs="Arial"/>
          <w:color w:val="000000" w:themeColor="text1"/>
          <w:sz w:val="21"/>
          <w:szCs w:val="21"/>
          <w:lang w:val="es-ES_tradnl"/>
        </w:rPr>
        <w:t xml:space="preserve"> </w:t>
      </w:r>
      <w:r w:rsidR="003D3B2E" w:rsidRPr="00222BE8">
        <w:rPr>
          <w:rFonts w:ascii="Arial" w:hAnsi="Arial" w:cs="Arial"/>
          <w:color w:val="000000" w:themeColor="text1"/>
          <w:sz w:val="21"/>
          <w:szCs w:val="21"/>
          <w:lang w:val="es-ES_tradnl"/>
        </w:rPr>
        <w:t>así como las demás que resulten aplicables en materia de contratación pública?».</w:t>
      </w:r>
    </w:p>
    <w:p w14:paraId="094C7087" w14:textId="139A0CCE" w:rsidR="008C24E7" w:rsidRPr="00222BE8" w:rsidRDefault="008C24E7" w:rsidP="00DF76A2">
      <w:pPr>
        <w:tabs>
          <w:tab w:val="left" w:pos="0"/>
        </w:tabs>
        <w:ind w:left="709" w:right="709"/>
        <w:jc w:val="both"/>
        <w:rPr>
          <w:rFonts w:ascii="Arial" w:eastAsia="Calibri" w:hAnsi="Arial" w:cs="Arial"/>
          <w:color w:val="000000" w:themeColor="text1"/>
          <w:sz w:val="21"/>
          <w:szCs w:val="21"/>
          <w:lang w:val="es-ES_tradnl"/>
        </w:rPr>
      </w:pPr>
    </w:p>
    <w:p w14:paraId="034565CF" w14:textId="44BB2823" w:rsidR="00CD4506" w:rsidRPr="00222BE8" w:rsidRDefault="00CD4506" w:rsidP="00CD4506">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 xml:space="preserve">De conformidad con los artículos </w:t>
      </w:r>
      <w:r w:rsidR="00113062" w:rsidRPr="00222BE8">
        <w:rPr>
          <w:rFonts w:ascii="Arial" w:hAnsi="Arial" w:cs="Arial"/>
          <w:color w:val="000000" w:themeColor="text1"/>
          <w:sz w:val="22"/>
          <w:lang w:val="es-ES_tradnl"/>
        </w:rPr>
        <w:t>88 y 89 de la Ley 1437 de 2011, «Los actos administrativos se presumen legales mientras no hayan sido anulados por la Jurisdicción de lo Contencioso Administrativo</w:t>
      </w:r>
      <w:r w:rsidR="00123FB5" w:rsidRPr="00222BE8">
        <w:rPr>
          <w:rFonts w:ascii="Arial" w:hAnsi="Arial" w:cs="Arial"/>
          <w:color w:val="000000" w:themeColor="text1"/>
          <w:sz w:val="22"/>
          <w:lang w:val="es-ES_tradnl"/>
        </w:rPr>
        <w:t xml:space="preserve"> […]</w:t>
      </w:r>
      <w:r w:rsidR="00113062" w:rsidRPr="00222BE8">
        <w:rPr>
          <w:rFonts w:ascii="Arial" w:hAnsi="Arial" w:cs="Arial"/>
          <w:color w:val="000000" w:themeColor="text1"/>
          <w:sz w:val="22"/>
          <w:lang w:val="es-ES_tradnl"/>
        </w:rPr>
        <w:t>» y «</w:t>
      </w:r>
      <w:r w:rsidR="00BB300F" w:rsidRPr="00222BE8">
        <w:rPr>
          <w:rFonts w:ascii="Arial" w:hAnsi="Arial" w:cs="Arial"/>
          <w:color w:val="000000" w:themeColor="text1"/>
          <w:sz w:val="22"/>
          <w:lang w:val="es-ES_tradnl"/>
        </w:rPr>
        <w:t>Salvo disposición legal en contrario, los actos en firme serán suficientes para que las autoridades, por sí mismas, puedan ejecutarlos de inmediato».</w:t>
      </w:r>
      <w:r w:rsidR="00123FB5" w:rsidRPr="00222BE8">
        <w:rPr>
          <w:rFonts w:ascii="Arial" w:hAnsi="Arial" w:cs="Arial"/>
          <w:color w:val="000000" w:themeColor="text1"/>
          <w:sz w:val="22"/>
          <w:lang w:val="es-ES_tradnl"/>
        </w:rPr>
        <w:t xml:space="preserve"> Los manuales internos de contratación</w:t>
      </w:r>
      <w:r w:rsidR="006E08EE" w:rsidRPr="00222BE8">
        <w:rPr>
          <w:rFonts w:ascii="Arial" w:hAnsi="Arial" w:cs="Arial"/>
          <w:color w:val="000000" w:themeColor="text1"/>
          <w:sz w:val="22"/>
          <w:lang w:val="es-ES_tradnl"/>
        </w:rPr>
        <w:t xml:space="preserve"> son reglamentos, es decir, actos administrativos de carácter general con vocación de permanencia en el tiempo. En tal sentido, están revestidos de los atributos de presunción de legalidad y de ejecutoriedad, </w:t>
      </w:r>
      <w:r w:rsidR="005A496F" w:rsidRPr="00222BE8">
        <w:rPr>
          <w:rFonts w:ascii="Arial" w:hAnsi="Arial" w:cs="Arial"/>
          <w:color w:val="000000" w:themeColor="text1"/>
          <w:sz w:val="22"/>
          <w:lang w:val="es-ES_tradnl"/>
        </w:rPr>
        <w:t>previstos en los referidos artículos. Por tanto, al presumirse legales y tener fuerza eje</w:t>
      </w:r>
      <w:r w:rsidR="00222BE8">
        <w:rPr>
          <w:rFonts w:ascii="Arial" w:hAnsi="Arial" w:cs="Arial"/>
          <w:color w:val="000000" w:themeColor="text1"/>
          <w:sz w:val="22"/>
          <w:lang w:val="es-ES_tradnl"/>
        </w:rPr>
        <w:t>cu</w:t>
      </w:r>
      <w:r w:rsidR="005A496F" w:rsidRPr="00222BE8">
        <w:rPr>
          <w:rFonts w:ascii="Arial" w:hAnsi="Arial" w:cs="Arial"/>
          <w:color w:val="000000" w:themeColor="text1"/>
          <w:sz w:val="22"/>
          <w:lang w:val="es-ES_tradnl"/>
        </w:rPr>
        <w:t xml:space="preserve">toria, se deben aplicar, salvo que sobre ellos </w:t>
      </w:r>
      <w:r w:rsidR="00222BE8">
        <w:rPr>
          <w:rFonts w:ascii="Arial" w:hAnsi="Arial" w:cs="Arial"/>
          <w:color w:val="000000" w:themeColor="text1"/>
          <w:sz w:val="22"/>
          <w:lang w:val="es-ES_tradnl"/>
        </w:rPr>
        <w:t>recaiga</w:t>
      </w:r>
      <w:r w:rsidR="005A496F" w:rsidRPr="00222BE8">
        <w:rPr>
          <w:rFonts w:ascii="Arial" w:hAnsi="Arial" w:cs="Arial"/>
          <w:color w:val="000000" w:themeColor="text1"/>
          <w:sz w:val="22"/>
          <w:lang w:val="es-ES_tradnl"/>
        </w:rPr>
        <w:t xml:space="preserve"> una medida de suspensión provisional</w:t>
      </w:r>
      <w:r w:rsidR="007110F4" w:rsidRPr="00222BE8">
        <w:rPr>
          <w:rStyle w:val="Refdenotaalpie"/>
          <w:rFonts w:ascii="Arial" w:hAnsi="Arial" w:cs="Arial"/>
          <w:color w:val="000000" w:themeColor="text1"/>
          <w:sz w:val="22"/>
          <w:lang w:val="es-ES_tradnl"/>
        </w:rPr>
        <w:footnoteReference w:id="51"/>
      </w:r>
      <w:r w:rsidR="005A496F" w:rsidRPr="00222BE8">
        <w:rPr>
          <w:rFonts w:ascii="Arial" w:hAnsi="Arial" w:cs="Arial"/>
          <w:color w:val="000000" w:themeColor="text1"/>
          <w:sz w:val="22"/>
          <w:lang w:val="es-ES_tradnl"/>
        </w:rPr>
        <w:t xml:space="preserve"> o que resulte procedente la excepción de inconstitucionalidad</w:t>
      </w:r>
      <w:r w:rsidR="005A496F" w:rsidRPr="00222BE8">
        <w:rPr>
          <w:rStyle w:val="Refdenotaalpie"/>
          <w:rFonts w:ascii="Arial" w:hAnsi="Arial" w:cs="Arial"/>
          <w:color w:val="000000" w:themeColor="text1"/>
          <w:sz w:val="22"/>
          <w:lang w:val="es-ES_tradnl"/>
        </w:rPr>
        <w:footnoteReference w:id="52"/>
      </w:r>
      <w:r w:rsidR="005A496F" w:rsidRPr="00222BE8">
        <w:rPr>
          <w:rFonts w:ascii="Arial" w:hAnsi="Arial" w:cs="Arial"/>
          <w:color w:val="000000" w:themeColor="text1"/>
          <w:sz w:val="22"/>
          <w:lang w:val="es-ES_tradnl"/>
        </w:rPr>
        <w:t>.</w:t>
      </w:r>
      <w:r w:rsidR="00222BE8">
        <w:rPr>
          <w:rFonts w:ascii="Arial" w:hAnsi="Arial" w:cs="Arial"/>
          <w:color w:val="000000" w:themeColor="text1"/>
          <w:sz w:val="22"/>
          <w:lang w:val="es-ES_tradnl"/>
        </w:rPr>
        <w:t xml:space="preserve"> Pero el control por vía de excepción de ilegalidad no </w:t>
      </w:r>
      <w:r w:rsidR="00222BE8">
        <w:rPr>
          <w:rFonts w:ascii="Arial" w:hAnsi="Arial" w:cs="Arial"/>
          <w:color w:val="000000" w:themeColor="text1"/>
          <w:sz w:val="22"/>
          <w:lang w:val="es-ES_tradnl"/>
        </w:rPr>
        <w:lastRenderedPageBreak/>
        <w:t>es posible en sede administrativa, no solo porque así lo proscribió la Corte Constitucional en la Sentencia C-037 de 2000</w:t>
      </w:r>
      <w:r w:rsidR="00222BE8">
        <w:rPr>
          <w:rStyle w:val="Refdenotaalpie"/>
          <w:rFonts w:ascii="Arial" w:hAnsi="Arial" w:cs="Arial"/>
          <w:color w:val="000000" w:themeColor="text1"/>
          <w:sz w:val="22"/>
          <w:lang w:val="es-ES_tradnl"/>
        </w:rPr>
        <w:footnoteReference w:id="53"/>
      </w:r>
      <w:r w:rsidR="000B5781">
        <w:rPr>
          <w:rFonts w:ascii="Arial" w:hAnsi="Arial" w:cs="Arial"/>
          <w:color w:val="000000" w:themeColor="text1"/>
          <w:sz w:val="22"/>
          <w:lang w:val="es-ES_tradnl"/>
        </w:rPr>
        <w:t>, sino porque así lo establece también el artículo 148 de la Ley 1437 de 2011</w:t>
      </w:r>
      <w:r w:rsidR="000B5781">
        <w:rPr>
          <w:rStyle w:val="Refdenotaalpie"/>
          <w:rFonts w:ascii="Arial" w:hAnsi="Arial" w:cs="Arial"/>
          <w:color w:val="000000" w:themeColor="text1"/>
          <w:sz w:val="22"/>
          <w:lang w:val="es-ES_tradnl"/>
        </w:rPr>
        <w:footnoteReference w:id="54"/>
      </w:r>
      <w:r w:rsidR="00BE0767">
        <w:rPr>
          <w:rFonts w:ascii="Arial" w:hAnsi="Arial" w:cs="Arial"/>
          <w:color w:val="000000" w:themeColor="text1"/>
          <w:sz w:val="22"/>
          <w:lang w:val="es-ES_tradnl"/>
        </w:rPr>
        <w:t>, que solo admite dicha excepción en sede contencioso-administrativa. Esto permite concluir que si el manual interno de contratación del fondo especial estable</w:t>
      </w:r>
      <w:r w:rsidR="00141B19">
        <w:rPr>
          <w:rFonts w:ascii="Arial" w:hAnsi="Arial" w:cs="Arial"/>
          <w:color w:val="000000" w:themeColor="text1"/>
          <w:sz w:val="22"/>
          <w:lang w:val="es-ES_tradnl"/>
        </w:rPr>
        <w:t>ce</w:t>
      </w:r>
      <w:r w:rsidR="00BE0767">
        <w:rPr>
          <w:rFonts w:ascii="Arial" w:hAnsi="Arial" w:cs="Arial"/>
          <w:color w:val="000000" w:themeColor="text1"/>
          <w:sz w:val="22"/>
          <w:lang w:val="es-ES_tradnl"/>
        </w:rPr>
        <w:t xml:space="preserve"> que la modalidad contractual es la contratación directa</w:t>
      </w:r>
      <w:r w:rsidR="00674A1B">
        <w:rPr>
          <w:rFonts w:ascii="Arial" w:hAnsi="Arial" w:cs="Arial"/>
          <w:color w:val="000000" w:themeColor="text1"/>
          <w:sz w:val="22"/>
          <w:lang w:val="es-ES_tradnl"/>
        </w:rPr>
        <w:t xml:space="preserve"> –con arreglo al derecho privado–</w:t>
      </w:r>
      <w:r w:rsidR="00BE0767">
        <w:rPr>
          <w:rFonts w:ascii="Arial" w:hAnsi="Arial" w:cs="Arial"/>
          <w:color w:val="000000" w:themeColor="text1"/>
          <w:sz w:val="22"/>
          <w:lang w:val="es-ES_tradnl"/>
        </w:rPr>
        <w:t xml:space="preserve">, debe aplicarse lo previsto en él, salvo </w:t>
      </w:r>
      <w:r w:rsidR="0055162B">
        <w:rPr>
          <w:rFonts w:ascii="Arial" w:hAnsi="Arial" w:cs="Arial"/>
          <w:color w:val="000000" w:themeColor="text1"/>
          <w:sz w:val="22"/>
          <w:lang w:val="es-ES_tradnl"/>
        </w:rPr>
        <w:t xml:space="preserve">en </w:t>
      </w:r>
      <w:r w:rsidR="00BE0767">
        <w:rPr>
          <w:rFonts w:ascii="Arial" w:hAnsi="Arial" w:cs="Arial"/>
          <w:color w:val="000000" w:themeColor="text1"/>
          <w:sz w:val="22"/>
          <w:lang w:val="es-ES_tradnl"/>
        </w:rPr>
        <w:t xml:space="preserve">los eventos señalados </w:t>
      </w:r>
      <w:r w:rsidR="0055162B">
        <w:rPr>
          <w:rFonts w:ascii="Arial" w:hAnsi="Arial" w:cs="Arial"/>
          <w:color w:val="000000" w:themeColor="text1"/>
          <w:sz w:val="22"/>
          <w:lang w:val="es-ES_tradnl"/>
        </w:rPr>
        <w:t>en esta respuesta.</w:t>
      </w:r>
    </w:p>
    <w:p w14:paraId="461140E5" w14:textId="77777777" w:rsidR="00BB7CD1" w:rsidRPr="00222BE8" w:rsidRDefault="00BB7CD1" w:rsidP="00DF76A2">
      <w:pPr>
        <w:spacing w:line="276" w:lineRule="auto"/>
        <w:jc w:val="both"/>
        <w:rPr>
          <w:rFonts w:ascii="Arial" w:hAnsi="Arial" w:cs="Arial"/>
          <w:color w:val="000000" w:themeColor="text1"/>
          <w:sz w:val="22"/>
          <w:lang w:val="es-ES_tradnl"/>
        </w:rPr>
      </w:pPr>
    </w:p>
    <w:p w14:paraId="7B2C921D" w14:textId="3DFA4AB8" w:rsidR="00DD5B04" w:rsidRPr="00222BE8" w:rsidRDefault="00DD5B04" w:rsidP="00DF76A2">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222BE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222BE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22BE8">
        <w:rPr>
          <w:rFonts w:ascii="Arial" w:hAnsi="Arial" w:cs="Arial"/>
          <w:color w:val="000000" w:themeColor="text1"/>
          <w:sz w:val="22"/>
          <w:szCs w:val="22"/>
          <w:lang w:val="es-ES_tradnl"/>
        </w:rPr>
        <w:t>Atentamente,</w:t>
      </w:r>
    </w:p>
    <w:p w14:paraId="5CBAE239" w14:textId="77777777" w:rsidR="00425C43" w:rsidRPr="00222BE8" w:rsidRDefault="00425C43" w:rsidP="00B37657">
      <w:pPr>
        <w:jc w:val="center"/>
        <w:rPr>
          <w:rFonts w:ascii="Arial" w:eastAsia="Times New Roman" w:hAnsi="Arial" w:cs="Arial"/>
          <w:color w:val="000000" w:themeColor="text1"/>
          <w:sz w:val="18"/>
          <w:szCs w:val="20"/>
          <w:lang w:val="es-ES_tradnl" w:eastAsia="es-CO"/>
        </w:rPr>
      </w:pPr>
    </w:p>
    <w:p w14:paraId="49730030" w14:textId="19224620" w:rsidR="00DD5B04" w:rsidRPr="00222BE8" w:rsidRDefault="00A00A5C" w:rsidP="00B37657">
      <w:pPr>
        <w:jc w:val="center"/>
        <w:rPr>
          <w:rFonts w:ascii="Arial" w:eastAsia="Times New Roman" w:hAnsi="Arial" w:cs="Arial"/>
          <w:color w:val="000000" w:themeColor="text1"/>
          <w:sz w:val="18"/>
          <w:szCs w:val="20"/>
          <w:lang w:val="es-ES_tradnl" w:eastAsia="es-CO"/>
        </w:rPr>
      </w:pPr>
      <w:r>
        <w:rPr>
          <w:noProof/>
        </w:rPr>
        <w:drawing>
          <wp:inline distT="0" distB="0" distL="0" distR="0" wp14:anchorId="52E8EF7F" wp14:editId="4D38CBFA">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5F60B7A2" w14:textId="77777777" w:rsidR="00FF0050" w:rsidRPr="00222BE8" w:rsidRDefault="00FF0050" w:rsidP="00B37657">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222BE8" w14:paraId="0C7DC5F7" w14:textId="77777777" w:rsidTr="00083F1B">
        <w:trPr>
          <w:trHeight w:val="315"/>
        </w:trPr>
        <w:tc>
          <w:tcPr>
            <w:tcW w:w="812" w:type="dxa"/>
            <w:vAlign w:val="center"/>
            <w:hideMark/>
          </w:tcPr>
          <w:p w14:paraId="5BDB1AC9"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Cristian Andrés Díaz Díez</w:t>
            </w:r>
          </w:p>
          <w:p w14:paraId="240C71FD" w14:textId="31312C95"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Contratista</w:t>
            </w:r>
            <w:r w:rsidR="00FF0050" w:rsidRPr="00222BE8">
              <w:rPr>
                <w:rFonts w:ascii="Arial" w:eastAsia="Times New Roman" w:hAnsi="Arial" w:cs="Arial"/>
                <w:color w:val="000000" w:themeColor="text1"/>
                <w:sz w:val="16"/>
                <w:szCs w:val="16"/>
                <w:lang w:val="es-ES_tradnl" w:eastAsia="es-ES"/>
              </w:rPr>
              <w:t xml:space="preserve"> de la </w:t>
            </w:r>
            <w:r w:rsidRPr="00222BE8">
              <w:rPr>
                <w:rFonts w:ascii="Arial" w:eastAsia="Times New Roman" w:hAnsi="Arial" w:cs="Arial"/>
                <w:color w:val="000000" w:themeColor="text1"/>
                <w:sz w:val="16"/>
                <w:szCs w:val="16"/>
                <w:lang w:val="es-ES_tradnl" w:eastAsia="es-ES"/>
              </w:rPr>
              <w:t>Subdirección de Gestión Contractual</w:t>
            </w:r>
          </w:p>
        </w:tc>
      </w:tr>
      <w:tr w:rsidR="00DD5B04" w:rsidRPr="00222BE8" w14:paraId="2F8FD650" w14:textId="77777777" w:rsidTr="00083F1B">
        <w:trPr>
          <w:trHeight w:val="330"/>
        </w:trPr>
        <w:tc>
          <w:tcPr>
            <w:tcW w:w="812" w:type="dxa"/>
            <w:vAlign w:val="center"/>
            <w:hideMark/>
          </w:tcPr>
          <w:p w14:paraId="50203A0B"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A0ADCC" w14:textId="5AFFA426" w:rsidR="006A55EE" w:rsidRPr="00222BE8" w:rsidRDefault="00141B19" w:rsidP="006A55EE">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130B3228" w14:textId="6DF3581B" w:rsidR="00DD5B04" w:rsidRPr="00222BE8" w:rsidRDefault="00141B19"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Contratista de la Subdirección de Gestión Contractual</w:t>
            </w:r>
            <w:r w:rsidRPr="00222BE8" w:rsidDel="00141B19">
              <w:rPr>
                <w:rFonts w:ascii="Arial" w:eastAsia="Times New Roman" w:hAnsi="Arial" w:cs="Arial"/>
                <w:color w:val="000000" w:themeColor="text1"/>
                <w:sz w:val="16"/>
                <w:szCs w:val="16"/>
                <w:lang w:val="es-ES_tradnl" w:eastAsia="es-ES"/>
              </w:rPr>
              <w:t xml:space="preserve"> </w:t>
            </w:r>
          </w:p>
        </w:tc>
      </w:tr>
      <w:tr w:rsidR="00DD5B04" w:rsidRPr="00222BE8" w14:paraId="0FCBCA4A" w14:textId="77777777" w:rsidTr="00083F1B">
        <w:trPr>
          <w:trHeight w:val="300"/>
        </w:trPr>
        <w:tc>
          <w:tcPr>
            <w:tcW w:w="812" w:type="dxa"/>
            <w:vAlign w:val="center"/>
            <w:hideMark/>
          </w:tcPr>
          <w:p w14:paraId="3C1D943A" w14:textId="77777777"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7777777" w:rsidR="006A55EE" w:rsidRPr="00222BE8" w:rsidRDefault="006A55EE"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 xml:space="preserve">Andrés Ricardo Mancipe González </w:t>
            </w:r>
          </w:p>
          <w:p w14:paraId="1ADC483B" w14:textId="0BF77DE8" w:rsidR="00DD5B04" w:rsidRPr="00222BE8" w:rsidRDefault="00DD5B04" w:rsidP="00DF76A2">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Subdirector de Gestión Contractual</w:t>
            </w:r>
            <w:r w:rsidR="006A55EE" w:rsidRPr="00222BE8">
              <w:rPr>
                <w:rFonts w:ascii="Arial" w:eastAsia="Times New Roman" w:hAnsi="Arial" w:cs="Arial"/>
                <w:color w:val="000000" w:themeColor="text1"/>
                <w:sz w:val="16"/>
                <w:szCs w:val="16"/>
                <w:lang w:val="es-ES_tradnl" w:eastAsia="es-ES"/>
              </w:rPr>
              <w:t xml:space="preserve"> (E)</w:t>
            </w:r>
          </w:p>
        </w:tc>
      </w:tr>
    </w:tbl>
    <w:p w14:paraId="35B56F46" w14:textId="77777777" w:rsidR="00746E08" w:rsidRPr="00222BE8" w:rsidRDefault="00746E08" w:rsidP="00DF76A2">
      <w:pPr>
        <w:jc w:val="both"/>
        <w:rPr>
          <w:rFonts w:ascii="Arial" w:hAnsi="Arial" w:cs="Arial"/>
          <w:lang w:val="es-ES_tradnl"/>
        </w:rPr>
      </w:pPr>
    </w:p>
    <w:sectPr w:rsidR="00746E08" w:rsidRPr="00222BE8"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D15A4" w14:textId="77777777" w:rsidR="00781939" w:rsidRDefault="00781939">
      <w:r>
        <w:separator/>
      </w:r>
    </w:p>
  </w:endnote>
  <w:endnote w:type="continuationSeparator" w:id="0">
    <w:p w14:paraId="1E872BA2" w14:textId="77777777" w:rsidR="00781939" w:rsidRDefault="00781939">
      <w:r>
        <w:continuationSeparator/>
      </w:r>
    </w:p>
  </w:endnote>
  <w:endnote w:type="continuationNotice" w:id="1">
    <w:p w14:paraId="4BFA0365" w14:textId="77777777" w:rsidR="00781939" w:rsidRDefault="00781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7198E" w14:textId="77777777" w:rsidR="00781939" w:rsidRDefault="00781939">
      <w:r>
        <w:separator/>
      </w:r>
    </w:p>
  </w:footnote>
  <w:footnote w:type="continuationSeparator" w:id="0">
    <w:p w14:paraId="0321208C" w14:textId="77777777" w:rsidR="00781939" w:rsidRDefault="00781939">
      <w:r>
        <w:continuationSeparator/>
      </w:r>
    </w:p>
  </w:footnote>
  <w:footnote w:type="continuationNotice" w:id="1">
    <w:p w14:paraId="3CCF6D51" w14:textId="77777777" w:rsidR="00781939" w:rsidRDefault="00781939"/>
  </w:footnote>
  <w:footnote w:id="2">
    <w:p w14:paraId="10E1C7DC" w14:textId="52A2CD42" w:rsidR="00020F8F" w:rsidRDefault="00020F8F"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Expedido en respuesta a la Consulta con radicado No. 4201912000004359.</w:t>
      </w:r>
    </w:p>
    <w:p w14:paraId="4AA945BA" w14:textId="77777777" w:rsidR="00741626" w:rsidRPr="00BE0767" w:rsidRDefault="00741626" w:rsidP="00BE0767">
      <w:pPr>
        <w:pStyle w:val="Textonotapie"/>
        <w:ind w:firstLine="709"/>
        <w:jc w:val="both"/>
        <w:rPr>
          <w:rFonts w:ascii="Arial" w:hAnsi="Arial" w:cs="Arial"/>
          <w:sz w:val="19"/>
          <w:szCs w:val="19"/>
        </w:rPr>
      </w:pPr>
    </w:p>
  </w:footnote>
  <w:footnote w:id="3">
    <w:p w14:paraId="0B3B6FF5" w14:textId="12139D7A" w:rsidR="00020F8F" w:rsidRDefault="00020F8F"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Expedido en respuesta a la Consulta con radicado No. </w:t>
      </w:r>
      <w:r w:rsidR="00CC50AE" w:rsidRPr="00BE0767">
        <w:rPr>
          <w:rFonts w:ascii="Arial" w:hAnsi="Arial" w:cs="Arial"/>
          <w:sz w:val="19"/>
          <w:szCs w:val="19"/>
        </w:rPr>
        <w:t>4201912000007305</w:t>
      </w:r>
      <w:r w:rsidRPr="00BE0767">
        <w:rPr>
          <w:rFonts w:ascii="Arial" w:hAnsi="Arial" w:cs="Arial"/>
          <w:sz w:val="19"/>
          <w:szCs w:val="19"/>
        </w:rPr>
        <w:t>.</w:t>
      </w:r>
    </w:p>
    <w:p w14:paraId="158D0E64" w14:textId="77777777" w:rsidR="00B24591" w:rsidRPr="00BE0767" w:rsidRDefault="00B24591" w:rsidP="00BE0767">
      <w:pPr>
        <w:pStyle w:val="Textonotapie"/>
        <w:ind w:firstLine="709"/>
        <w:jc w:val="both"/>
        <w:rPr>
          <w:rFonts w:ascii="Arial" w:hAnsi="Arial" w:cs="Arial"/>
          <w:sz w:val="19"/>
          <w:szCs w:val="19"/>
        </w:rPr>
      </w:pPr>
    </w:p>
  </w:footnote>
  <w:footnote w:id="4">
    <w:p w14:paraId="1180DF0E" w14:textId="53DF5D8D" w:rsidR="00B24591" w:rsidRPr="00BE0767" w:rsidRDefault="006D712D" w:rsidP="00845AE3">
      <w:pPr>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FE72A0" w:rsidRPr="00BE0767">
        <w:rPr>
          <w:rFonts w:ascii="Arial" w:hAnsi="Arial" w:cs="Arial"/>
          <w:sz w:val="19"/>
          <w:szCs w:val="19"/>
        </w:rPr>
        <w:t>Dicho numeral establece: «Encargos Fiduciarios y Fiducia Pública.</w:t>
      </w:r>
    </w:p>
    <w:p w14:paraId="67BAFC42" w14:textId="45CA27E9"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»Los encargos fiduciarios que celebren las entidades estatales con las sociedades fiduciarias autorizadas por la Superintendencia Bancaria, tendrán por objeto la administración o el manejo de los recursos vinculados a los contratos que tales entidades celebren. Lo anterior sin perjuicio de lo previsto en el numeral 20 del artículo 25 de esta ley.</w:t>
      </w:r>
    </w:p>
    <w:p w14:paraId="5760C5AE" w14:textId="27B24A0E"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»Los encargos fiduciarios y los contratos de fiducia pública sólo podrán celebrarse por las entidades estatales con estricta sujeción a lo dispuesto en el presente estatuto, únicamente para objetos y con plazos precisamente determinados. 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14:paraId="46B58B6E" w14:textId="7DC9503E"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»Los encargos fiduciarios y los contratos de fiducia mercantil que a la fecha de promulgación de esta ley hayan sido suscritos por las entidades estatales, continuarán vigentes en los términos convenidos con las sociedades fiduciarias.</w:t>
      </w:r>
    </w:p>
    <w:p w14:paraId="0FBA583C" w14:textId="47857CE5"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w:t>
      </w:r>
      <w:r w:rsidR="00BF2AD4">
        <w:rPr>
          <w:rFonts w:ascii="Arial" w:hAnsi="Arial" w:cs="Arial"/>
          <w:sz w:val="19"/>
          <w:szCs w:val="19"/>
        </w:rPr>
        <w:t>[</w:t>
      </w:r>
      <w:r w:rsidRPr="00BE0767">
        <w:rPr>
          <w:rFonts w:ascii="Arial" w:hAnsi="Arial" w:cs="Arial"/>
          <w:sz w:val="19"/>
          <w:szCs w:val="19"/>
        </w:rPr>
        <w:t>Inciso modificado por el artículo 25 de la Ley 1150 de 2007</w:t>
      </w:r>
      <w:r w:rsidR="00BF2AD4">
        <w:rPr>
          <w:rFonts w:ascii="Arial" w:hAnsi="Arial" w:cs="Arial"/>
          <w:sz w:val="19"/>
          <w:szCs w:val="19"/>
        </w:rPr>
        <w:t>]</w:t>
      </w:r>
      <w:r w:rsidRPr="00BE0767">
        <w:rPr>
          <w:rFonts w:ascii="Arial" w:hAnsi="Arial" w:cs="Arial"/>
          <w:sz w:val="19"/>
          <w:szCs w:val="19"/>
        </w:rPr>
        <w:t xml:space="preserve"> La selección de las sociedades fiduciarias a contratar, sea pública o privada, se hará con rigurosa observancia del procedimiento de licitación o concurso previsto en esta ley. No obstante, los excedentes de tesorería de las entidades estatales, se podrán invertir directamente en fondos comunes ordinarios administrados por sociedades fiduciarias, sin necesidad de acudir a un proceso de licitación pública.</w:t>
      </w:r>
    </w:p>
    <w:p w14:paraId="7164DFD3" w14:textId="5553A8AF"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7C98D5B3" w14:textId="25EDA34F"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»Sin perjuicio de la inspección y vigilancia que sobre las sociedades fiduciarias corresponde ejercer a la Superintendencia Bancaria y del control posterior que deben realizar la Contraloría General de la República y las Contralorías Departamentales, Distritales y Municipales sobre la administración de los recursos públicos por tales sociedades, las entidades estatales ejercerán un control sobre la actuación de la sociedad fiduciaria en desarrollo de los encargos fiduciarios o contratos de fiducia, de acuerdo con la Constitución Política y las normas vigentes sobre la materia.</w:t>
      </w:r>
    </w:p>
    <w:p w14:paraId="0E4B1BBB" w14:textId="289ED51C"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p>
    <w:p w14:paraId="433055F2" w14:textId="605C377D" w:rsidR="00FE72A0" w:rsidRPr="00BE0767" w:rsidRDefault="00FE72A0" w:rsidP="00BE0767">
      <w:pPr>
        <w:ind w:firstLine="709"/>
        <w:jc w:val="both"/>
        <w:rPr>
          <w:rFonts w:ascii="Arial" w:hAnsi="Arial" w:cs="Arial"/>
          <w:sz w:val="19"/>
          <w:szCs w:val="19"/>
        </w:rPr>
      </w:pPr>
      <w:r w:rsidRPr="00BE0767">
        <w:rPr>
          <w:rFonts w:ascii="Arial" w:hAnsi="Arial" w:cs="Arial"/>
          <w:sz w:val="19"/>
          <w:szCs w:val="19"/>
        </w:rPr>
        <w:t>»A la fiducia pública le serán aplicables las normas del Código de Comercio sobre fiducia mercantil, en cuanto sean compatibles con lo dispuesto en esta ley.</w:t>
      </w:r>
    </w:p>
    <w:p w14:paraId="6428EBC7" w14:textId="38F4E524" w:rsidR="00E36C86" w:rsidRPr="00BE0767" w:rsidRDefault="00FE72A0" w:rsidP="00BE0767">
      <w:pPr>
        <w:ind w:firstLine="709"/>
        <w:jc w:val="both"/>
        <w:rPr>
          <w:rFonts w:ascii="Arial" w:hAnsi="Arial" w:cs="Arial"/>
          <w:sz w:val="19"/>
          <w:szCs w:val="19"/>
        </w:rPr>
      </w:pPr>
      <w:r w:rsidRPr="00BE0767">
        <w:rPr>
          <w:rFonts w:ascii="Arial" w:hAnsi="Arial" w:cs="Arial"/>
          <w:sz w:val="19"/>
          <w:szCs w:val="19"/>
        </w:rPr>
        <w:t>»So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26075ACA" w14:textId="77777777" w:rsidR="00FE72A0" w:rsidRPr="00BE0767" w:rsidRDefault="00FE72A0" w:rsidP="00BE0767">
      <w:pPr>
        <w:ind w:firstLine="709"/>
        <w:jc w:val="both"/>
        <w:rPr>
          <w:rFonts w:ascii="Arial" w:hAnsi="Arial" w:cs="Arial"/>
          <w:sz w:val="19"/>
          <w:szCs w:val="19"/>
        </w:rPr>
      </w:pPr>
    </w:p>
  </w:footnote>
  <w:footnote w:id="5">
    <w:p w14:paraId="5D4AE09E" w14:textId="1D7088DC" w:rsidR="00E36C86" w:rsidRPr="00BE0767" w:rsidRDefault="00E36C86" w:rsidP="00BE0767">
      <w:pPr>
        <w:pStyle w:val="Textoindependiente"/>
        <w:spacing w:after="0" w:line="240" w:lineRule="auto"/>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2A733D" w:rsidRPr="00BE0767">
        <w:rPr>
          <w:rFonts w:ascii="Arial" w:hAnsi="Arial" w:cs="Arial"/>
          <w:sz w:val="19"/>
          <w:szCs w:val="19"/>
        </w:rPr>
        <w:t xml:space="preserve">Así lo expresó el alto tribunal: </w:t>
      </w:r>
      <w:r w:rsidRPr="00BE0767">
        <w:rPr>
          <w:rFonts w:ascii="Arial" w:hAnsi="Arial" w:cs="Arial"/>
          <w:sz w:val="19"/>
          <w:szCs w:val="19"/>
        </w:rPr>
        <w:t>«Para la Corte, las anteriores condiciones del referido contrato, y teniendo de presente la enunciación de los contratos estatales a que se refiere el artículo</w:t>
      </w:r>
      <w:r w:rsidRPr="00BE0767">
        <w:rPr>
          <w:rFonts w:ascii="Arial" w:hAnsi="Arial" w:cs="Arial"/>
          <w:spacing w:val="14"/>
          <w:sz w:val="19"/>
          <w:szCs w:val="19"/>
        </w:rPr>
        <w:t xml:space="preserve"> </w:t>
      </w:r>
      <w:r w:rsidRPr="00BE0767">
        <w:rPr>
          <w:rFonts w:ascii="Arial" w:hAnsi="Arial" w:cs="Arial"/>
          <w:sz w:val="19"/>
          <w:szCs w:val="19"/>
        </w:rPr>
        <w:t>32</w:t>
      </w:r>
      <w:r w:rsidRPr="00BE0767">
        <w:rPr>
          <w:rFonts w:ascii="Arial" w:hAnsi="Arial" w:cs="Arial"/>
          <w:spacing w:val="15"/>
          <w:sz w:val="19"/>
          <w:szCs w:val="19"/>
        </w:rPr>
        <w:t xml:space="preserve"> </w:t>
      </w:r>
      <w:r w:rsidRPr="00BE0767">
        <w:rPr>
          <w:rFonts w:ascii="Arial" w:hAnsi="Arial" w:cs="Arial"/>
          <w:sz w:val="19"/>
          <w:szCs w:val="19"/>
        </w:rPr>
        <w:t>de</w:t>
      </w:r>
      <w:r w:rsidRPr="00BE0767">
        <w:rPr>
          <w:rFonts w:ascii="Arial" w:hAnsi="Arial" w:cs="Arial"/>
          <w:spacing w:val="12"/>
          <w:sz w:val="19"/>
          <w:szCs w:val="19"/>
        </w:rPr>
        <w:t xml:space="preserve"> </w:t>
      </w:r>
      <w:r w:rsidRPr="00BE0767">
        <w:rPr>
          <w:rFonts w:ascii="Arial" w:hAnsi="Arial" w:cs="Arial"/>
          <w:sz w:val="19"/>
          <w:szCs w:val="19"/>
        </w:rPr>
        <w:t>la</w:t>
      </w:r>
      <w:r w:rsidRPr="00BE0767">
        <w:rPr>
          <w:rFonts w:ascii="Arial" w:hAnsi="Arial" w:cs="Arial"/>
          <w:spacing w:val="15"/>
          <w:sz w:val="19"/>
          <w:szCs w:val="19"/>
        </w:rPr>
        <w:t xml:space="preserve"> </w:t>
      </w:r>
      <w:r w:rsidRPr="00BE0767">
        <w:rPr>
          <w:rFonts w:ascii="Arial" w:hAnsi="Arial" w:cs="Arial"/>
          <w:sz w:val="19"/>
          <w:szCs w:val="19"/>
        </w:rPr>
        <w:t>citada</w:t>
      </w:r>
      <w:r w:rsidRPr="00BE0767">
        <w:rPr>
          <w:rFonts w:ascii="Arial" w:hAnsi="Arial" w:cs="Arial"/>
          <w:spacing w:val="16"/>
          <w:sz w:val="19"/>
          <w:szCs w:val="19"/>
        </w:rPr>
        <w:t xml:space="preserve"> </w:t>
      </w:r>
      <w:r w:rsidRPr="00BE0767">
        <w:rPr>
          <w:rFonts w:ascii="Arial" w:hAnsi="Arial" w:cs="Arial"/>
          <w:sz w:val="19"/>
          <w:szCs w:val="19"/>
        </w:rPr>
        <w:t>ley</w:t>
      </w:r>
      <w:r w:rsidRPr="00BE0767">
        <w:rPr>
          <w:rFonts w:ascii="Arial" w:hAnsi="Arial" w:cs="Arial"/>
          <w:spacing w:val="15"/>
          <w:sz w:val="19"/>
          <w:szCs w:val="19"/>
        </w:rPr>
        <w:t xml:space="preserve"> </w:t>
      </w:r>
      <w:r w:rsidRPr="00BE0767">
        <w:rPr>
          <w:rFonts w:ascii="Arial" w:hAnsi="Arial" w:cs="Arial"/>
          <w:sz w:val="19"/>
          <w:szCs w:val="19"/>
        </w:rPr>
        <w:t>-donde</w:t>
      </w:r>
      <w:r w:rsidRPr="00BE0767">
        <w:rPr>
          <w:rFonts w:ascii="Arial" w:hAnsi="Arial" w:cs="Arial"/>
          <w:spacing w:val="15"/>
          <w:sz w:val="19"/>
          <w:szCs w:val="19"/>
        </w:rPr>
        <w:t xml:space="preserve"> </w:t>
      </w:r>
      <w:r w:rsidRPr="00BE0767">
        <w:rPr>
          <w:rFonts w:ascii="Arial" w:hAnsi="Arial" w:cs="Arial"/>
          <w:sz w:val="19"/>
          <w:szCs w:val="19"/>
        </w:rPr>
        <w:t>se</w:t>
      </w:r>
      <w:r w:rsidRPr="00BE0767">
        <w:rPr>
          <w:rFonts w:ascii="Arial" w:hAnsi="Arial" w:cs="Arial"/>
          <w:spacing w:val="14"/>
          <w:sz w:val="19"/>
          <w:szCs w:val="19"/>
        </w:rPr>
        <w:t xml:space="preserve"> </w:t>
      </w:r>
      <w:r w:rsidRPr="00BE0767">
        <w:rPr>
          <w:rFonts w:ascii="Arial" w:hAnsi="Arial" w:cs="Arial"/>
          <w:sz w:val="19"/>
          <w:szCs w:val="19"/>
        </w:rPr>
        <w:t>incluyen</w:t>
      </w:r>
      <w:r w:rsidRPr="00BE0767">
        <w:rPr>
          <w:rFonts w:ascii="Arial" w:hAnsi="Arial" w:cs="Arial"/>
          <w:spacing w:val="13"/>
          <w:sz w:val="19"/>
          <w:szCs w:val="19"/>
        </w:rPr>
        <w:t xml:space="preserve"> </w:t>
      </w:r>
      <w:r w:rsidRPr="00BE0767">
        <w:rPr>
          <w:rFonts w:ascii="Arial" w:hAnsi="Arial" w:cs="Arial"/>
          <w:sz w:val="19"/>
          <w:szCs w:val="19"/>
        </w:rPr>
        <w:t>los</w:t>
      </w:r>
      <w:r w:rsidRPr="00BE0767">
        <w:rPr>
          <w:rFonts w:ascii="Arial" w:hAnsi="Arial" w:cs="Arial"/>
          <w:spacing w:val="13"/>
          <w:sz w:val="19"/>
          <w:szCs w:val="19"/>
        </w:rPr>
        <w:t xml:space="preserve"> </w:t>
      </w:r>
      <w:r w:rsidRPr="00BE0767">
        <w:rPr>
          <w:rFonts w:ascii="Arial" w:hAnsi="Arial" w:cs="Arial"/>
          <w:sz w:val="19"/>
          <w:szCs w:val="19"/>
        </w:rPr>
        <w:t>previstos</w:t>
      </w:r>
      <w:r w:rsidRPr="00BE0767">
        <w:rPr>
          <w:rFonts w:ascii="Arial" w:hAnsi="Arial" w:cs="Arial"/>
          <w:spacing w:val="14"/>
          <w:sz w:val="19"/>
          <w:szCs w:val="19"/>
        </w:rPr>
        <w:t xml:space="preserve"> </w:t>
      </w:r>
      <w:r w:rsidRPr="00BE0767">
        <w:rPr>
          <w:rFonts w:ascii="Arial" w:hAnsi="Arial" w:cs="Arial"/>
          <w:sz w:val="19"/>
          <w:szCs w:val="19"/>
        </w:rPr>
        <w:t>en</w:t>
      </w:r>
      <w:r w:rsidRPr="00BE0767">
        <w:rPr>
          <w:rFonts w:ascii="Arial" w:hAnsi="Arial" w:cs="Arial"/>
          <w:spacing w:val="15"/>
          <w:sz w:val="19"/>
          <w:szCs w:val="19"/>
        </w:rPr>
        <w:t xml:space="preserve"> </w:t>
      </w:r>
      <w:r w:rsidRPr="00BE0767">
        <w:rPr>
          <w:rFonts w:ascii="Arial" w:hAnsi="Arial" w:cs="Arial"/>
          <w:sz w:val="19"/>
          <w:szCs w:val="19"/>
        </w:rPr>
        <w:t>el</w:t>
      </w:r>
      <w:r w:rsidRPr="00BE0767">
        <w:rPr>
          <w:rFonts w:ascii="Arial" w:hAnsi="Arial" w:cs="Arial"/>
          <w:spacing w:val="16"/>
          <w:sz w:val="19"/>
          <w:szCs w:val="19"/>
        </w:rPr>
        <w:t xml:space="preserve"> </w:t>
      </w:r>
      <w:r w:rsidRPr="00BE0767">
        <w:rPr>
          <w:rFonts w:ascii="Arial" w:hAnsi="Arial" w:cs="Arial"/>
          <w:sz w:val="19"/>
          <w:szCs w:val="19"/>
        </w:rPr>
        <w:t>derecho 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BE0767">
        <w:rPr>
          <w:rFonts w:ascii="Arial" w:hAnsi="Arial" w:cs="Arial"/>
          <w:spacing w:val="-19"/>
          <w:sz w:val="19"/>
          <w:szCs w:val="19"/>
        </w:rPr>
        <w:t xml:space="preserve"> </w:t>
      </w:r>
      <w:r w:rsidRPr="00BE0767">
        <w:rPr>
          <w:rFonts w:ascii="Arial" w:hAnsi="Arial" w:cs="Arial"/>
          <w:sz w:val="19"/>
          <w:szCs w:val="19"/>
        </w:rPr>
        <w:t>1993».</w:t>
      </w:r>
    </w:p>
    <w:p w14:paraId="4DA7B9DA" w14:textId="1C980270" w:rsidR="00E36C86" w:rsidRPr="00BE0767" w:rsidRDefault="00E36C86" w:rsidP="00BE0767">
      <w:pPr>
        <w:pStyle w:val="Textonotapie"/>
        <w:ind w:firstLine="709"/>
        <w:jc w:val="both"/>
        <w:rPr>
          <w:rFonts w:ascii="Arial" w:hAnsi="Arial" w:cs="Arial"/>
          <w:sz w:val="19"/>
          <w:szCs w:val="19"/>
          <w:lang w:val="es-CO"/>
        </w:rPr>
      </w:pPr>
    </w:p>
  </w:footnote>
  <w:footnote w:id="6">
    <w:p w14:paraId="33024D27" w14:textId="3D3548E9" w:rsidR="00D31FF9" w:rsidRPr="00BE0767" w:rsidRDefault="00D31FF9" w:rsidP="00BE0767">
      <w:pPr>
        <w:pStyle w:val="Textoindependiente"/>
        <w:spacing w:after="0" w:line="240" w:lineRule="auto"/>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El concepto citado</w:t>
      </w:r>
      <w:r w:rsidRPr="00BE0767">
        <w:rPr>
          <w:rFonts w:ascii="Arial" w:hAnsi="Arial" w:cs="Arial"/>
          <w:spacing w:val="-8"/>
          <w:sz w:val="19"/>
          <w:szCs w:val="19"/>
        </w:rPr>
        <w:t xml:space="preserve"> </w:t>
      </w:r>
      <w:r w:rsidRPr="00BE0767">
        <w:rPr>
          <w:rFonts w:ascii="Arial" w:hAnsi="Arial" w:cs="Arial"/>
          <w:sz w:val="19"/>
          <w:szCs w:val="19"/>
        </w:rPr>
        <w:t>afirmó: «No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consiguiente no autorizó dicha ley la fiducia mercantil con aplicación de las normas de la ley 80, sino al revés, la fiducia pública con aplicación de las compatibles del Código de Comercio.</w:t>
      </w:r>
    </w:p>
    <w:p w14:paraId="68EB68E8" w14:textId="25EDE9F6" w:rsidR="00D31FF9" w:rsidRPr="00BE0767" w:rsidRDefault="00FB033F" w:rsidP="00BE0767">
      <w:pPr>
        <w:ind w:firstLine="709"/>
        <w:jc w:val="both"/>
        <w:rPr>
          <w:rFonts w:ascii="Arial" w:hAnsi="Arial" w:cs="Arial"/>
          <w:sz w:val="19"/>
          <w:szCs w:val="19"/>
        </w:rPr>
      </w:pPr>
      <w:r>
        <w:rPr>
          <w:rFonts w:ascii="Arial" w:hAnsi="Arial" w:cs="Arial"/>
          <w:sz w:val="19"/>
          <w:szCs w:val="19"/>
        </w:rPr>
        <w:t>»</w:t>
      </w:r>
      <w:r w:rsidR="00D31FF9" w:rsidRPr="00BE0767">
        <w:rPr>
          <w:rFonts w:ascii="Arial" w:hAnsi="Arial" w:cs="Arial"/>
          <w:sz w:val="19"/>
          <w:szCs w:val="19"/>
        </w:rPr>
        <w:t>[...].</w:t>
      </w:r>
    </w:p>
    <w:p w14:paraId="2A247B40" w14:textId="1DD22BF4" w:rsidR="00D31FF9" w:rsidRPr="00BE0767" w:rsidRDefault="00FB033F" w:rsidP="00BE0767">
      <w:pPr>
        <w:ind w:firstLine="709"/>
        <w:jc w:val="both"/>
        <w:rPr>
          <w:rFonts w:ascii="Arial" w:hAnsi="Arial" w:cs="Arial"/>
          <w:sz w:val="19"/>
          <w:szCs w:val="19"/>
        </w:rPr>
      </w:pPr>
      <w:r>
        <w:rPr>
          <w:rFonts w:ascii="Arial" w:hAnsi="Arial" w:cs="Arial"/>
          <w:sz w:val="19"/>
          <w:szCs w:val="19"/>
        </w:rPr>
        <w:t>»</w:t>
      </w:r>
      <w:r w:rsidR="00D31FF9" w:rsidRPr="00BE0767">
        <w:rPr>
          <w:rFonts w:ascii="Arial" w:hAnsi="Arial" w:cs="Arial"/>
          <w:sz w:val="19"/>
          <w:szCs w:val="19"/>
        </w:rPr>
        <w:t>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r>
        <w:rPr>
          <w:rFonts w:ascii="Arial" w:hAnsi="Arial" w:cs="Arial"/>
          <w:sz w:val="19"/>
          <w:szCs w:val="19"/>
        </w:rPr>
        <w:t>»</w:t>
      </w:r>
      <w:r w:rsidR="00D31FF9" w:rsidRPr="00BE0767">
        <w:rPr>
          <w:rFonts w:ascii="Arial" w:hAnsi="Arial" w:cs="Arial"/>
          <w:sz w:val="19"/>
          <w:szCs w:val="19"/>
        </w:rPr>
        <w:t>.</w:t>
      </w:r>
    </w:p>
    <w:p w14:paraId="3FB1BEBA" w14:textId="54992076" w:rsidR="00D31FF9" w:rsidRPr="00BE0767" w:rsidRDefault="00D31FF9" w:rsidP="00BE0767">
      <w:pPr>
        <w:pStyle w:val="Textonotapie"/>
        <w:ind w:firstLine="709"/>
        <w:jc w:val="both"/>
        <w:rPr>
          <w:rFonts w:ascii="Arial" w:hAnsi="Arial" w:cs="Arial"/>
          <w:sz w:val="19"/>
          <w:szCs w:val="19"/>
        </w:rPr>
      </w:pPr>
    </w:p>
  </w:footnote>
  <w:footnote w:id="7">
    <w:p w14:paraId="3B9458E2" w14:textId="570F7445" w:rsidR="006D712D" w:rsidRPr="00BE0767" w:rsidRDefault="006D712D" w:rsidP="00365D3A">
      <w:pPr>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365D3A">
        <w:rPr>
          <w:rFonts w:ascii="Arial" w:hAnsi="Arial" w:cs="Arial"/>
          <w:sz w:val="19"/>
          <w:szCs w:val="19"/>
        </w:rPr>
        <w:t>«</w:t>
      </w:r>
      <w:r w:rsidRPr="00BE0767">
        <w:rPr>
          <w:rFonts w:ascii="Arial" w:hAnsi="Arial" w:cs="Arial"/>
          <w:sz w:val="19"/>
          <w:szCs w:val="19"/>
        </w:rPr>
        <w:t>Artículo 67. Aeropuerto del Café – AEROCAFÉ. Los recursos destinados al desarrollo del Proyecto del Aeropuerto del Café – AEROCAFÉ, serán ejecutados a través de un patrimonio autónomo que para tal efecto constituya la Aeronáutica Civil.</w:t>
      </w:r>
    </w:p>
    <w:p w14:paraId="5B8E6735" w14:textId="22CC81F5" w:rsidR="006D712D" w:rsidRPr="00BE0767" w:rsidRDefault="00365D3A" w:rsidP="00365D3A">
      <w:pPr>
        <w:ind w:firstLine="709"/>
        <w:jc w:val="both"/>
        <w:rPr>
          <w:rFonts w:ascii="Arial" w:hAnsi="Arial" w:cs="Arial"/>
          <w:sz w:val="19"/>
          <w:szCs w:val="19"/>
        </w:rPr>
      </w:pPr>
      <w:r>
        <w:rPr>
          <w:rFonts w:ascii="Arial" w:hAnsi="Arial" w:cs="Arial"/>
          <w:sz w:val="19"/>
          <w:szCs w:val="19"/>
        </w:rPr>
        <w:t>»</w:t>
      </w:r>
      <w:r w:rsidR="006D712D" w:rsidRPr="00BE0767">
        <w:rPr>
          <w:rFonts w:ascii="Arial" w:hAnsi="Arial" w:cs="Arial"/>
          <w:sz w:val="19"/>
          <w:szCs w:val="19"/>
        </w:rPr>
        <w:t>El patrimonio autónomo podrá recibir aportes del Gobierno nacional, del departamento de Caldas y de sus municipios; y aceptar donaciones del sector público o privado, nacional e internacional. Así mismo, podrá celebrar operaciones de financiamiento interno o externo a nombre del patrimonio autónomo para lo cual la Nación o las entidades territoriales podrán otorgar los avales o garantías respectivas, hasta por el monto de los aportes que cada uno se haya comprometido.</w:t>
      </w:r>
    </w:p>
    <w:p w14:paraId="011A515F" w14:textId="4D117066" w:rsidR="006D712D" w:rsidRDefault="00365D3A" w:rsidP="00BE0767">
      <w:pPr>
        <w:ind w:firstLine="709"/>
        <w:jc w:val="both"/>
        <w:rPr>
          <w:rFonts w:ascii="Arial" w:hAnsi="Arial" w:cs="Arial"/>
          <w:sz w:val="19"/>
          <w:szCs w:val="19"/>
        </w:rPr>
      </w:pPr>
      <w:r>
        <w:rPr>
          <w:rFonts w:ascii="Arial" w:hAnsi="Arial" w:cs="Arial"/>
          <w:sz w:val="19"/>
          <w:szCs w:val="19"/>
        </w:rPr>
        <w:t>»</w:t>
      </w:r>
      <w:r w:rsidR="006D712D" w:rsidRPr="00BE0767">
        <w:rPr>
          <w:rFonts w:ascii="Arial" w:hAnsi="Arial" w:cs="Arial"/>
          <w:sz w:val="19"/>
          <w:szCs w:val="19"/>
        </w:rPr>
        <w:t>El régimen de contratación y administración de sus recursos se regirá por el derecho privado, con plena observancia de los principios de transparencia, economía, igualdad y publicidad, definidos por la Constitución y la Ley. El control fiscal de los recursos lo ejercerá la Contraloría General de la República</w:t>
      </w:r>
      <w:r>
        <w:rPr>
          <w:rFonts w:ascii="Arial" w:hAnsi="Arial" w:cs="Arial"/>
          <w:sz w:val="19"/>
          <w:szCs w:val="19"/>
        </w:rPr>
        <w:t>»</w:t>
      </w:r>
      <w:r w:rsidR="006D712D" w:rsidRPr="00BE0767">
        <w:rPr>
          <w:rFonts w:ascii="Arial" w:hAnsi="Arial" w:cs="Arial"/>
          <w:sz w:val="19"/>
          <w:szCs w:val="19"/>
        </w:rPr>
        <w:t>.</w:t>
      </w:r>
    </w:p>
    <w:p w14:paraId="3111DE82" w14:textId="77777777" w:rsidR="00365D3A" w:rsidRPr="00BE0767" w:rsidRDefault="00365D3A" w:rsidP="00BE0767">
      <w:pPr>
        <w:ind w:firstLine="709"/>
        <w:jc w:val="both"/>
        <w:rPr>
          <w:rFonts w:ascii="Arial" w:hAnsi="Arial" w:cs="Arial"/>
          <w:sz w:val="19"/>
          <w:szCs w:val="19"/>
        </w:rPr>
      </w:pPr>
    </w:p>
    <w:p w14:paraId="69B05950" w14:textId="77777777" w:rsidR="006D712D" w:rsidRPr="00BE0767" w:rsidRDefault="006D712D" w:rsidP="00BE0767">
      <w:pPr>
        <w:pStyle w:val="Textonotapie"/>
        <w:ind w:firstLine="709"/>
        <w:jc w:val="both"/>
        <w:rPr>
          <w:rFonts w:ascii="Arial" w:hAnsi="Arial" w:cs="Arial"/>
          <w:sz w:val="19"/>
          <w:szCs w:val="19"/>
          <w:lang w:val="es-CO"/>
        </w:rPr>
      </w:pPr>
    </w:p>
  </w:footnote>
  <w:footnote w:id="8">
    <w:p w14:paraId="61F1E520" w14:textId="76F972FA" w:rsidR="00704102" w:rsidRPr="00BE0767" w:rsidRDefault="00580D6D" w:rsidP="00BE0767">
      <w:pPr>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En dicho Concepto</w:t>
      </w:r>
      <w:r w:rsidR="00704102" w:rsidRPr="00BE0767">
        <w:rPr>
          <w:rFonts w:ascii="Arial" w:hAnsi="Arial" w:cs="Arial"/>
          <w:sz w:val="19"/>
          <w:szCs w:val="19"/>
        </w:rPr>
        <w:t>, el Consejo de Estado señaló: «Ahora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00704102" w:rsidRPr="00BE0767">
        <w:rPr>
          <w:rFonts w:ascii="Arial" w:hAnsi="Arial" w:cs="Arial"/>
          <w:spacing w:val="-4"/>
          <w:sz w:val="19"/>
          <w:szCs w:val="19"/>
        </w:rPr>
        <w:t xml:space="preserve"> </w:t>
      </w:r>
      <w:r w:rsidR="00704102" w:rsidRPr="00BE0767">
        <w:rPr>
          <w:rFonts w:ascii="Arial" w:hAnsi="Arial" w:cs="Arial"/>
          <w:sz w:val="19"/>
          <w:szCs w:val="19"/>
        </w:rPr>
        <w:t>salvedades:</w:t>
      </w:r>
    </w:p>
    <w:p w14:paraId="17EFF9AF" w14:textId="6CAB8C59" w:rsidR="00704102" w:rsidRPr="00BE0767" w:rsidRDefault="00704102" w:rsidP="00BE0767">
      <w:pPr>
        <w:widowControl w:val="0"/>
        <w:tabs>
          <w:tab w:val="left" w:pos="1273"/>
        </w:tabs>
        <w:autoSpaceDE w:val="0"/>
        <w:autoSpaceDN w:val="0"/>
        <w:ind w:firstLine="709"/>
        <w:jc w:val="both"/>
        <w:rPr>
          <w:rFonts w:ascii="Arial" w:hAnsi="Arial" w:cs="Arial"/>
          <w:sz w:val="19"/>
          <w:szCs w:val="19"/>
        </w:rPr>
      </w:pPr>
      <w:r w:rsidRPr="00BE0767">
        <w:rPr>
          <w:rFonts w:ascii="Arial" w:hAnsi="Arial" w:cs="Arial"/>
          <w:sz w:val="19"/>
          <w:szCs w:val="19"/>
        </w:rPr>
        <w:t>»1) La fiducia pública no implica transferencia de la propiedad de los bienes o recursos</w:t>
      </w:r>
      <w:r w:rsidRPr="00BE0767">
        <w:rPr>
          <w:rFonts w:ascii="Arial" w:hAnsi="Arial" w:cs="Arial"/>
          <w:spacing w:val="-2"/>
          <w:sz w:val="19"/>
          <w:szCs w:val="19"/>
        </w:rPr>
        <w:t xml:space="preserve"> </w:t>
      </w:r>
      <w:r w:rsidRPr="00BE0767">
        <w:rPr>
          <w:rFonts w:ascii="Arial" w:hAnsi="Arial" w:cs="Arial"/>
          <w:sz w:val="19"/>
          <w:szCs w:val="19"/>
        </w:rPr>
        <w:t>fideicomitidos.</w:t>
      </w:r>
    </w:p>
    <w:p w14:paraId="7D8933EA" w14:textId="0C341BC2" w:rsidR="00704102" w:rsidRPr="00BE0767" w:rsidRDefault="00704102" w:rsidP="00BE0767">
      <w:pPr>
        <w:widowControl w:val="0"/>
        <w:tabs>
          <w:tab w:val="left" w:pos="1303"/>
        </w:tabs>
        <w:autoSpaceDE w:val="0"/>
        <w:autoSpaceDN w:val="0"/>
        <w:ind w:firstLine="709"/>
        <w:jc w:val="both"/>
        <w:rPr>
          <w:rFonts w:ascii="Arial" w:hAnsi="Arial" w:cs="Arial"/>
          <w:sz w:val="19"/>
          <w:szCs w:val="19"/>
        </w:rPr>
      </w:pPr>
      <w:r w:rsidRPr="00BE0767">
        <w:rPr>
          <w:rFonts w:ascii="Arial" w:hAnsi="Arial" w:cs="Arial"/>
          <w:sz w:val="19"/>
          <w:szCs w:val="19"/>
        </w:rPr>
        <w:t>»2) Tampoco constituye un patrimonio autónomo afecto a la finalidad de la fiducia, en manos de la sociedad</w:t>
      </w:r>
      <w:r w:rsidRPr="00BE0767">
        <w:rPr>
          <w:rFonts w:ascii="Arial" w:hAnsi="Arial" w:cs="Arial"/>
          <w:spacing w:val="-12"/>
          <w:sz w:val="19"/>
          <w:szCs w:val="19"/>
        </w:rPr>
        <w:t xml:space="preserve"> </w:t>
      </w:r>
      <w:r w:rsidRPr="00BE0767">
        <w:rPr>
          <w:rFonts w:ascii="Arial" w:hAnsi="Arial" w:cs="Arial"/>
          <w:sz w:val="19"/>
          <w:szCs w:val="19"/>
        </w:rPr>
        <w:t>fiduciaria.</w:t>
      </w:r>
    </w:p>
    <w:p w14:paraId="081A8E3A" w14:textId="4619AAD5" w:rsidR="00704102" w:rsidRPr="00BE0767" w:rsidRDefault="00704102" w:rsidP="00BE0767">
      <w:pPr>
        <w:widowControl w:val="0"/>
        <w:tabs>
          <w:tab w:val="left" w:pos="1316"/>
        </w:tabs>
        <w:autoSpaceDE w:val="0"/>
        <w:autoSpaceDN w:val="0"/>
        <w:ind w:firstLine="709"/>
        <w:jc w:val="both"/>
        <w:rPr>
          <w:rFonts w:ascii="Arial" w:hAnsi="Arial" w:cs="Arial"/>
          <w:sz w:val="19"/>
          <w:szCs w:val="19"/>
        </w:rPr>
      </w:pPr>
      <w:r w:rsidRPr="00BE0767">
        <w:rPr>
          <w:rFonts w:ascii="Arial" w:hAnsi="Arial" w:cs="Arial"/>
          <w:sz w:val="19"/>
          <w:szCs w:val="19"/>
        </w:rPr>
        <w:t>»3) La adjudicación de los subcontratos debe ser realizada por la entidad estatal</w:t>
      </w:r>
      <w:r w:rsidRPr="00BE0767">
        <w:rPr>
          <w:rFonts w:ascii="Arial" w:hAnsi="Arial" w:cs="Arial"/>
          <w:spacing w:val="-2"/>
          <w:sz w:val="19"/>
          <w:szCs w:val="19"/>
        </w:rPr>
        <w:t xml:space="preserve"> </w:t>
      </w:r>
      <w:r w:rsidRPr="00BE0767">
        <w:rPr>
          <w:rFonts w:ascii="Arial" w:hAnsi="Arial" w:cs="Arial"/>
          <w:sz w:val="19"/>
          <w:szCs w:val="19"/>
        </w:rPr>
        <w:t>fideicomitente.</w:t>
      </w:r>
    </w:p>
    <w:p w14:paraId="09FE2C8F" w14:textId="61BB808C" w:rsidR="00704102" w:rsidRPr="00BE0767" w:rsidRDefault="00704102" w:rsidP="00BE0767">
      <w:pPr>
        <w:widowControl w:val="0"/>
        <w:tabs>
          <w:tab w:val="left" w:pos="1256"/>
        </w:tabs>
        <w:autoSpaceDE w:val="0"/>
        <w:autoSpaceDN w:val="0"/>
        <w:ind w:firstLine="709"/>
        <w:jc w:val="both"/>
        <w:rPr>
          <w:rFonts w:ascii="Arial" w:hAnsi="Arial" w:cs="Arial"/>
          <w:sz w:val="19"/>
          <w:szCs w:val="19"/>
        </w:rPr>
      </w:pPr>
      <w:r w:rsidRPr="00BE0767">
        <w:rPr>
          <w:rFonts w:ascii="Arial" w:hAnsi="Arial" w:cs="Arial"/>
          <w:sz w:val="19"/>
          <w:szCs w:val="19"/>
        </w:rPr>
        <w:t>»4) No se puede pactar que la comisión de la sociedad fiduciaria sea tomada de los rendimientos del fideicomiso, salvo que éstos se encuentren presupuestados».</w:t>
      </w:r>
    </w:p>
    <w:p w14:paraId="7C0D6A45" w14:textId="77001FAB" w:rsidR="00580D6D" w:rsidRPr="00BE0767" w:rsidRDefault="00580D6D" w:rsidP="00BE0767">
      <w:pPr>
        <w:pStyle w:val="Textonotapie"/>
        <w:ind w:firstLine="709"/>
        <w:jc w:val="both"/>
        <w:rPr>
          <w:rFonts w:ascii="Arial" w:hAnsi="Arial" w:cs="Arial"/>
          <w:sz w:val="19"/>
          <w:szCs w:val="19"/>
        </w:rPr>
      </w:pPr>
    </w:p>
  </w:footnote>
  <w:footnote w:id="9">
    <w:p w14:paraId="2D5F4DEC" w14:textId="10E170E9" w:rsidR="006D712D" w:rsidRPr="00BE0767" w:rsidRDefault="006D712D" w:rsidP="00BE0767">
      <w:pPr>
        <w:pStyle w:val="Textonotapie"/>
        <w:ind w:firstLine="709"/>
        <w:jc w:val="both"/>
        <w:rPr>
          <w:rFonts w:ascii="Arial" w:hAnsi="Arial" w:cs="Arial"/>
          <w:color w:val="000000" w:themeColor="text1"/>
          <w:sz w:val="19"/>
          <w:szCs w:val="19"/>
          <w:u w:val="single" w:color="404040"/>
        </w:rPr>
      </w:pPr>
      <w:r w:rsidRPr="00BE0767">
        <w:rPr>
          <w:rFonts w:ascii="Arial" w:hAnsi="Arial" w:cs="Arial"/>
          <w:color w:val="000000" w:themeColor="text1"/>
          <w:sz w:val="19"/>
          <w:szCs w:val="19"/>
        </w:rPr>
        <w:t xml:space="preserve">     </w:t>
      </w:r>
      <w:r w:rsidRPr="00BE0767">
        <w:rPr>
          <w:rStyle w:val="Refdenotaalpie"/>
          <w:rFonts w:ascii="Arial" w:hAnsi="Arial" w:cs="Arial"/>
          <w:color w:val="000000" w:themeColor="text1"/>
          <w:sz w:val="19"/>
          <w:szCs w:val="19"/>
        </w:rPr>
        <w:footnoteRef/>
      </w:r>
      <w:r w:rsidR="00114E9D" w:rsidRPr="00BE0767">
        <w:rPr>
          <w:rFonts w:ascii="Arial" w:hAnsi="Arial" w:cs="Arial"/>
          <w:color w:val="000000" w:themeColor="text1"/>
          <w:sz w:val="19"/>
          <w:szCs w:val="19"/>
        </w:rPr>
        <w:t xml:space="preserve"> En sitio web: </w:t>
      </w:r>
      <w:hyperlink r:id="rId1" w:history="1">
        <w:r w:rsidR="00114E9D" w:rsidRPr="00BE0767">
          <w:rPr>
            <w:rStyle w:val="Hipervnculo"/>
            <w:rFonts w:ascii="Arial" w:hAnsi="Arial" w:cs="Arial"/>
            <w:color w:val="000000" w:themeColor="text1"/>
            <w:sz w:val="19"/>
            <w:szCs w:val="19"/>
          </w:rPr>
          <w:t>https://relatoria.blob.core.windows.net/$web/files/conceptos-juridicos/CGR-OJ-0084-2017.PDF</w:t>
        </w:r>
      </w:hyperlink>
    </w:p>
    <w:p w14:paraId="3C3D1F57" w14:textId="77777777" w:rsidR="006D712D" w:rsidRPr="00BE0767" w:rsidRDefault="006D712D" w:rsidP="00BE0767">
      <w:pPr>
        <w:pStyle w:val="Textonotapie"/>
        <w:ind w:firstLine="709"/>
        <w:jc w:val="both"/>
        <w:rPr>
          <w:rFonts w:ascii="Arial" w:hAnsi="Arial" w:cs="Arial"/>
          <w:color w:val="000000" w:themeColor="text1"/>
          <w:sz w:val="19"/>
          <w:szCs w:val="19"/>
          <w:lang w:val="es-CO"/>
        </w:rPr>
      </w:pPr>
    </w:p>
  </w:footnote>
  <w:footnote w:id="10">
    <w:p w14:paraId="0FE826D3" w14:textId="7B1666E9" w:rsidR="006D712D" w:rsidRPr="00BE0767" w:rsidRDefault="006D712D" w:rsidP="00BE0767">
      <w:pPr>
        <w:ind w:firstLine="709"/>
        <w:jc w:val="both"/>
        <w:rPr>
          <w:rFonts w:ascii="Arial" w:hAnsi="Arial" w:cs="Arial"/>
          <w:sz w:val="19"/>
          <w:szCs w:val="19"/>
        </w:rPr>
      </w:pPr>
      <w:r w:rsidRPr="00BE0767">
        <w:rPr>
          <w:rFonts w:ascii="Arial" w:hAnsi="Arial" w:cs="Arial"/>
          <w:color w:val="000000" w:themeColor="text1"/>
          <w:sz w:val="19"/>
          <w:szCs w:val="19"/>
        </w:rPr>
        <w:t xml:space="preserve">    </w:t>
      </w: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003161A4" w:rsidRPr="00BE0767">
        <w:rPr>
          <w:rFonts w:ascii="Arial" w:hAnsi="Arial" w:cs="Arial"/>
          <w:color w:val="000000" w:themeColor="text1"/>
          <w:sz w:val="19"/>
          <w:szCs w:val="19"/>
        </w:rPr>
        <w:t>«[</w:t>
      </w:r>
      <w:r w:rsidRPr="00BE0767">
        <w:rPr>
          <w:rFonts w:ascii="Arial" w:hAnsi="Arial" w:cs="Arial"/>
          <w:color w:val="000000" w:themeColor="text1"/>
          <w:sz w:val="19"/>
          <w:szCs w:val="19"/>
        </w:rPr>
        <w:t>…</w:t>
      </w:r>
      <w:r w:rsidR="003161A4" w:rsidRPr="00BE0767">
        <w:rPr>
          <w:rFonts w:ascii="Arial" w:hAnsi="Arial" w:cs="Arial"/>
          <w:color w:val="000000" w:themeColor="text1"/>
          <w:sz w:val="19"/>
          <w:szCs w:val="19"/>
        </w:rPr>
        <w:t>]</w:t>
      </w:r>
      <w:r w:rsidRPr="00BE0767">
        <w:rPr>
          <w:rFonts w:ascii="Arial" w:hAnsi="Arial" w:cs="Arial"/>
          <w:color w:val="000000" w:themeColor="text1"/>
          <w:sz w:val="19"/>
          <w:szCs w:val="19"/>
        </w:rPr>
        <w:t xml:space="preserve"> el artículo 669 del Código Civil instaura que el dominio o propiedad es un derecho real sobre una cosa corporal, para gozar y disponer de ella contra derecho ajeno. Transferir la propiedad de los recursos del Estado sin que </w:t>
      </w:r>
      <w:r w:rsidRPr="00BE0767">
        <w:rPr>
          <w:rFonts w:ascii="Arial" w:hAnsi="Arial" w:cs="Arial"/>
          <w:sz w:val="19"/>
          <w:szCs w:val="19"/>
        </w:rPr>
        <w:t>medie la finalidad prescrita por la Constitución para los mismos, indudablemente atenta contra derechos colectivos. Por ello, entre otras cosas, en el contrato de fiducia sobre recursos del Estado no se puede transferir el dominio pleno sobre ese bien que son los recursos públicos. Tampoco será aceptable en el ordenamiento jurídico colombiano que se mantenga izado un acuerdo que pretenda burlar la vigilancia o control</w:t>
      </w:r>
      <w:r w:rsidRPr="00BE0767">
        <w:rPr>
          <w:rFonts w:ascii="Arial" w:hAnsi="Arial" w:cs="Arial"/>
          <w:spacing w:val="41"/>
          <w:sz w:val="19"/>
          <w:szCs w:val="19"/>
        </w:rPr>
        <w:t xml:space="preserve"> </w:t>
      </w:r>
      <w:r w:rsidRPr="00BE0767">
        <w:rPr>
          <w:rFonts w:ascii="Arial" w:hAnsi="Arial" w:cs="Arial"/>
          <w:sz w:val="19"/>
          <w:szCs w:val="19"/>
        </w:rPr>
        <w:t>sobre</w:t>
      </w:r>
      <w:r w:rsidRPr="00BE0767">
        <w:rPr>
          <w:rFonts w:ascii="Arial" w:hAnsi="Arial" w:cs="Arial"/>
          <w:spacing w:val="41"/>
          <w:sz w:val="19"/>
          <w:szCs w:val="19"/>
        </w:rPr>
        <w:t xml:space="preserve"> </w:t>
      </w:r>
      <w:r w:rsidRPr="00BE0767">
        <w:rPr>
          <w:rFonts w:ascii="Arial" w:hAnsi="Arial" w:cs="Arial"/>
          <w:sz w:val="19"/>
          <w:szCs w:val="19"/>
        </w:rPr>
        <w:t>recursos</w:t>
      </w:r>
      <w:r w:rsidRPr="00BE0767">
        <w:rPr>
          <w:rFonts w:ascii="Arial" w:hAnsi="Arial" w:cs="Arial"/>
          <w:spacing w:val="42"/>
          <w:sz w:val="19"/>
          <w:szCs w:val="19"/>
        </w:rPr>
        <w:t xml:space="preserve"> </w:t>
      </w:r>
      <w:r w:rsidRPr="00BE0767">
        <w:rPr>
          <w:rFonts w:ascii="Arial" w:hAnsi="Arial" w:cs="Arial"/>
          <w:sz w:val="19"/>
          <w:szCs w:val="19"/>
        </w:rPr>
        <w:t>del</w:t>
      </w:r>
      <w:r w:rsidRPr="00BE0767">
        <w:rPr>
          <w:rFonts w:ascii="Arial" w:hAnsi="Arial" w:cs="Arial"/>
          <w:spacing w:val="41"/>
          <w:sz w:val="19"/>
          <w:szCs w:val="19"/>
        </w:rPr>
        <w:t xml:space="preserve"> </w:t>
      </w:r>
      <w:r w:rsidRPr="00BE0767">
        <w:rPr>
          <w:rFonts w:ascii="Arial" w:hAnsi="Arial" w:cs="Arial"/>
          <w:sz w:val="19"/>
          <w:szCs w:val="19"/>
        </w:rPr>
        <w:t>Estado;</w:t>
      </w:r>
      <w:r w:rsidRPr="00BE0767">
        <w:rPr>
          <w:rFonts w:ascii="Arial" w:hAnsi="Arial" w:cs="Arial"/>
          <w:spacing w:val="41"/>
          <w:sz w:val="19"/>
          <w:szCs w:val="19"/>
        </w:rPr>
        <w:t xml:space="preserve"> </w:t>
      </w:r>
      <w:r w:rsidRPr="00BE0767">
        <w:rPr>
          <w:rFonts w:ascii="Arial" w:hAnsi="Arial" w:cs="Arial"/>
          <w:sz w:val="19"/>
          <w:szCs w:val="19"/>
        </w:rPr>
        <w:t>la</w:t>
      </w:r>
      <w:r w:rsidRPr="00BE0767">
        <w:rPr>
          <w:rFonts w:ascii="Arial" w:hAnsi="Arial" w:cs="Arial"/>
          <w:spacing w:val="42"/>
          <w:sz w:val="19"/>
          <w:szCs w:val="19"/>
        </w:rPr>
        <w:t xml:space="preserve"> </w:t>
      </w:r>
      <w:r w:rsidRPr="00BE0767">
        <w:rPr>
          <w:rFonts w:ascii="Arial" w:hAnsi="Arial" w:cs="Arial"/>
          <w:sz w:val="19"/>
          <w:szCs w:val="19"/>
        </w:rPr>
        <w:t>simple</w:t>
      </w:r>
      <w:r w:rsidRPr="00BE0767">
        <w:rPr>
          <w:rFonts w:ascii="Arial" w:hAnsi="Arial" w:cs="Arial"/>
          <w:spacing w:val="41"/>
          <w:sz w:val="19"/>
          <w:szCs w:val="19"/>
        </w:rPr>
        <w:t xml:space="preserve"> </w:t>
      </w:r>
      <w:r w:rsidRPr="00BE0767">
        <w:rPr>
          <w:rFonts w:ascii="Arial" w:hAnsi="Arial" w:cs="Arial"/>
          <w:sz w:val="19"/>
          <w:szCs w:val="19"/>
        </w:rPr>
        <w:t>formalidad</w:t>
      </w:r>
      <w:r w:rsidRPr="00BE0767">
        <w:rPr>
          <w:rFonts w:ascii="Arial" w:hAnsi="Arial" w:cs="Arial"/>
          <w:spacing w:val="42"/>
          <w:sz w:val="19"/>
          <w:szCs w:val="19"/>
        </w:rPr>
        <w:t xml:space="preserve"> </w:t>
      </w:r>
      <w:r w:rsidRPr="00BE0767">
        <w:rPr>
          <w:rFonts w:ascii="Arial" w:hAnsi="Arial" w:cs="Arial"/>
          <w:sz w:val="19"/>
          <w:szCs w:val="19"/>
        </w:rPr>
        <w:t>sede</w:t>
      </w:r>
      <w:r w:rsidRPr="00BE0767">
        <w:rPr>
          <w:rFonts w:ascii="Arial" w:hAnsi="Arial" w:cs="Arial"/>
          <w:spacing w:val="41"/>
          <w:sz w:val="19"/>
          <w:szCs w:val="19"/>
        </w:rPr>
        <w:t xml:space="preserve"> </w:t>
      </w:r>
      <w:r w:rsidRPr="00BE0767">
        <w:rPr>
          <w:rFonts w:ascii="Arial" w:hAnsi="Arial" w:cs="Arial"/>
          <w:sz w:val="19"/>
          <w:szCs w:val="19"/>
        </w:rPr>
        <w:t>necesariamente</w:t>
      </w:r>
      <w:r w:rsidRPr="00BE0767">
        <w:rPr>
          <w:rFonts w:ascii="Arial" w:hAnsi="Arial" w:cs="Arial"/>
          <w:spacing w:val="41"/>
          <w:sz w:val="19"/>
          <w:szCs w:val="19"/>
        </w:rPr>
        <w:t xml:space="preserve"> </w:t>
      </w:r>
      <w:r w:rsidRPr="00BE0767">
        <w:rPr>
          <w:rFonts w:ascii="Arial" w:hAnsi="Arial" w:cs="Arial"/>
          <w:sz w:val="19"/>
          <w:szCs w:val="19"/>
        </w:rPr>
        <w:t>ante</w:t>
      </w:r>
      <w:r w:rsidRPr="00BE0767">
        <w:rPr>
          <w:rFonts w:ascii="Arial" w:hAnsi="Arial" w:cs="Arial"/>
          <w:spacing w:val="42"/>
          <w:sz w:val="19"/>
          <w:szCs w:val="19"/>
        </w:rPr>
        <w:t xml:space="preserve"> </w:t>
      </w:r>
      <w:r w:rsidRPr="00BE0767">
        <w:rPr>
          <w:rFonts w:ascii="Arial" w:hAnsi="Arial" w:cs="Arial"/>
          <w:sz w:val="19"/>
          <w:szCs w:val="19"/>
        </w:rPr>
        <w:t>la</w:t>
      </w:r>
      <w:r w:rsidRPr="00BE0767">
        <w:rPr>
          <w:rFonts w:ascii="Arial" w:hAnsi="Arial" w:cs="Arial"/>
          <w:spacing w:val="44"/>
          <w:sz w:val="19"/>
          <w:szCs w:val="19"/>
        </w:rPr>
        <w:t xml:space="preserve"> </w:t>
      </w:r>
      <w:r w:rsidRPr="00BE0767">
        <w:rPr>
          <w:rFonts w:ascii="Arial" w:hAnsi="Arial" w:cs="Arial"/>
          <w:sz w:val="19"/>
          <w:szCs w:val="19"/>
        </w:rPr>
        <w:t>materialidad</w:t>
      </w:r>
      <w:r w:rsidRPr="00BE0767">
        <w:rPr>
          <w:rFonts w:ascii="Arial" w:hAnsi="Arial" w:cs="Arial"/>
          <w:spacing w:val="42"/>
          <w:sz w:val="19"/>
          <w:szCs w:val="19"/>
        </w:rPr>
        <w:t xml:space="preserve"> </w:t>
      </w:r>
      <w:r w:rsidRPr="00BE0767">
        <w:rPr>
          <w:rFonts w:ascii="Arial" w:hAnsi="Arial" w:cs="Arial"/>
          <w:sz w:val="19"/>
          <w:szCs w:val="19"/>
        </w:rPr>
        <w:t>de</w:t>
      </w:r>
      <w:r w:rsidRPr="00BE0767">
        <w:rPr>
          <w:rFonts w:ascii="Arial" w:hAnsi="Arial" w:cs="Arial"/>
          <w:spacing w:val="41"/>
          <w:sz w:val="19"/>
          <w:szCs w:val="19"/>
        </w:rPr>
        <w:t xml:space="preserve"> </w:t>
      </w:r>
      <w:r w:rsidRPr="00BE0767">
        <w:rPr>
          <w:rFonts w:ascii="Arial" w:hAnsi="Arial" w:cs="Arial"/>
          <w:sz w:val="19"/>
          <w:szCs w:val="19"/>
        </w:rPr>
        <w:t>los hechos, en este orden ha señalado la Honorable Corte Constitucional, que donde quiera que hayan recursos públicos debe estar siempre presente la vigilancia y el control fiscal</w:t>
      </w:r>
      <w:r w:rsidR="003161A4" w:rsidRPr="00BE0767">
        <w:rPr>
          <w:rFonts w:ascii="Arial" w:hAnsi="Arial" w:cs="Arial"/>
          <w:sz w:val="19"/>
          <w:szCs w:val="19"/>
        </w:rPr>
        <w:t>»</w:t>
      </w:r>
      <w:r w:rsidRPr="00BE0767">
        <w:rPr>
          <w:rFonts w:ascii="Arial" w:hAnsi="Arial" w:cs="Arial"/>
          <w:sz w:val="19"/>
          <w:szCs w:val="19"/>
        </w:rPr>
        <w:t>.</w:t>
      </w:r>
    </w:p>
    <w:p w14:paraId="58261470" w14:textId="77777777" w:rsidR="006D712D" w:rsidRPr="00BE0767" w:rsidRDefault="006D712D" w:rsidP="00BE0767">
      <w:pPr>
        <w:pStyle w:val="Textonotapie"/>
        <w:ind w:firstLine="709"/>
        <w:jc w:val="both"/>
        <w:rPr>
          <w:rFonts w:ascii="Arial" w:hAnsi="Arial" w:cs="Arial"/>
          <w:sz w:val="19"/>
          <w:szCs w:val="19"/>
          <w:lang w:val="es-CO"/>
        </w:rPr>
      </w:pPr>
    </w:p>
  </w:footnote>
  <w:footnote w:id="11">
    <w:p w14:paraId="7940F48F" w14:textId="7BB30513" w:rsidR="00CC69EC" w:rsidRPr="00BE0767" w:rsidRDefault="00CC69EC" w:rsidP="00BE0767">
      <w:pPr>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«El Estado transfiere para su administración unos recursos públicos, pero es diáfano que la administración es diferente al dominio. El titular del derecho de dominio sobre los recursos sigue siendo el Estado, sin que por el hecho de realizar un contrato de fiducia, que es esencialmente instrumental, pierda tal calidad. El artículo 1244 del Código de Comercio es ilustrativo para esclarecer este punto: “Será ineficaz toda estipulación que disponga que el fiduciario adquirirá definitivamente, por causa del negocio fiduciario, el dominio de los bienes fideicomitidos”.</w:t>
      </w:r>
    </w:p>
    <w:p w14:paraId="23D8DE61" w14:textId="6218A497" w:rsidR="00CC69EC" w:rsidRDefault="009C5F82" w:rsidP="00BE0767">
      <w:pPr>
        <w:pStyle w:val="Textonotapie"/>
        <w:ind w:firstLine="709"/>
        <w:jc w:val="both"/>
        <w:rPr>
          <w:rFonts w:ascii="Arial" w:hAnsi="Arial" w:cs="Arial"/>
          <w:sz w:val="19"/>
          <w:szCs w:val="19"/>
        </w:rPr>
      </w:pPr>
      <w:r w:rsidRPr="00BE0767">
        <w:rPr>
          <w:rFonts w:ascii="Arial" w:hAnsi="Arial" w:cs="Arial"/>
          <w:sz w:val="19"/>
          <w:szCs w:val="19"/>
        </w:rPr>
        <w:t>»</w:t>
      </w:r>
      <w:r w:rsidR="00CC69EC" w:rsidRPr="00BE0767">
        <w:rPr>
          <w:rFonts w:ascii="Arial" w:hAnsi="Arial" w:cs="Arial"/>
          <w:sz w:val="19"/>
          <w:szCs w:val="19"/>
        </w:rPr>
        <w:t>La razón de ser de la fiducia mercantil en este caso, es acudir a un administrador de los recursos públicos, no transferir sobre los mismos el derecho de propiedad o dominio</w:t>
      </w:r>
      <w:r w:rsidRPr="00BE0767">
        <w:rPr>
          <w:rFonts w:ascii="Arial" w:hAnsi="Arial" w:cs="Arial"/>
          <w:sz w:val="19"/>
          <w:szCs w:val="19"/>
        </w:rPr>
        <w:t>»</w:t>
      </w:r>
      <w:r w:rsidR="00CC69EC" w:rsidRPr="00BE0767">
        <w:rPr>
          <w:rFonts w:ascii="Arial" w:hAnsi="Arial" w:cs="Arial"/>
          <w:sz w:val="19"/>
          <w:szCs w:val="19"/>
        </w:rPr>
        <w:t>.</w:t>
      </w:r>
    </w:p>
    <w:p w14:paraId="666F2B77" w14:textId="77777777" w:rsidR="00FC15EB" w:rsidRPr="00BE0767" w:rsidRDefault="00FC15EB" w:rsidP="00BE0767">
      <w:pPr>
        <w:pStyle w:val="Textonotapie"/>
        <w:ind w:firstLine="709"/>
        <w:jc w:val="both"/>
        <w:rPr>
          <w:rFonts w:ascii="Arial" w:hAnsi="Arial" w:cs="Arial"/>
          <w:sz w:val="19"/>
          <w:szCs w:val="19"/>
          <w:lang w:val="es-ES"/>
        </w:rPr>
      </w:pPr>
    </w:p>
  </w:footnote>
  <w:footnote w:id="12">
    <w:p w14:paraId="47EAF7D6" w14:textId="471AF907" w:rsidR="006D712D" w:rsidRPr="00BE0767" w:rsidRDefault="006D712D" w:rsidP="00BE0767">
      <w:pPr>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4333C2" w:rsidRPr="00BE0767">
        <w:rPr>
          <w:rFonts w:ascii="Arial" w:hAnsi="Arial" w:cs="Arial"/>
          <w:sz w:val="19"/>
          <w:szCs w:val="19"/>
        </w:rPr>
        <w:t>«</w:t>
      </w:r>
      <w:r w:rsidRPr="00BE0767">
        <w:rPr>
          <w:rFonts w:ascii="Arial" w:hAnsi="Arial" w:cs="Arial"/>
          <w:sz w:val="19"/>
          <w:szCs w:val="19"/>
        </w:rPr>
        <w:t>Artículo 1234. Otros deberes indelegables del fiduciario.</w:t>
      </w:r>
      <w:r w:rsidR="004333C2" w:rsidRPr="00BE0767">
        <w:rPr>
          <w:rFonts w:ascii="Arial" w:hAnsi="Arial" w:cs="Arial"/>
          <w:sz w:val="19"/>
          <w:szCs w:val="19"/>
        </w:rPr>
        <w:t xml:space="preserve"> </w:t>
      </w:r>
      <w:r w:rsidRPr="00BE0767">
        <w:rPr>
          <w:rFonts w:ascii="Arial" w:hAnsi="Arial" w:cs="Arial"/>
          <w:sz w:val="19"/>
          <w:szCs w:val="19"/>
        </w:rPr>
        <w:t>Son deberes indelegables del fiduciario, además de los previstos en el acto constitutivo, los siguientes:</w:t>
      </w:r>
    </w:p>
    <w:p w14:paraId="5CB7C49D" w14:textId="5E04FA5A" w:rsidR="006D712D" w:rsidRPr="00BE0767" w:rsidRDefault="004333C2" w:rsidP="00BE0767">
      <w:pPr>
        <w:ind w:firstLine="709"/>
        <w:jc w:val="both"/>
        <w:rPr>
          <w:rFonts w:ascii="Arial" w:hAnsi="Arial" w:cs="Arial"/>
          <w:sz w:val="19"/>
          <w:szCs w:val="19"/>
        </w:rPr>
      </w:pPr>
      <w:r w:rsidRPr="00BE0767">
        <w:rPr>
          <w:rFonts w:ascii="Arial" w:hAnsi="Arial" w:cs="Arial"/>
          <w:sz w:val="19"/>
          <w:szCs w:val="19"/>
        </w:rPr>
        <w:t>»</w:t>
      </w:r>
      <w:r w:rsidR="00BC4A97" w:rsidRPr="00BE0767">
        <w:rPr>
          <w:rFonts w:ascii="Arial" w:hAnsi="Arial" w:cs="Arial"/>
          <w:sz w:val="19"/>
          <w:szCs w:val="19"/>
        </w:rPr>
        <w:t>[</w:t>
      </w:r>
      <w:r w:rsidR="006D712D" w:rsidRPr="00BE0767">
        <w:rPr>
          <w:rFonts w:ascii="Arial" w:hAnsi="Arial" w:cs="Arial"/>
          <w:sz w:val="19"/>
          <w:szCs w:val="19"/>
        </w:rPr>
        <w:t>…</w:t>
      </w:r>
      <w:r w:rsidR="00BC4A97" w:rsidRPr="00BE0767">
        <w:rPr>
          <w:rFonts w:ascii="Arial" w:hAnsi="Arial" w:cs="Arial"/>
          <w:sz w:val="19"/>
          <w:szCs w:val="19"/>
        </w:rPr>
        <w:t>]</w:t>
      </w:r>
      <w:r w:rsidR="003161A4" w:rsidRPr="00BE0767">
        <w:rPr>
          <w:rFonts w:ascii="Arial" w:hAnsi="Arial" w:cs="Arial"/>
          <w:sz w:val="19"/>
          <w:szCs w:val="19"/>
        </w:rPr>
        <w:t>.</w:t>
      </w:r>
    </w:p>
    <w:p w14:paraId="10FE9314" w14:textId="426D05D1" w:rsidR="006D712D" w:rsidRPr="00BE0767" w:rsidRDefault="003161A4" w:rsidP="00BE0767">
      <w:pPr>
        <w:ind w:firstLine="709"/>
        <w:jc w:val="both"/>
        <w:rPr>
          <w:rFonts w:ascii="Arial" w:hAnsi="Arial" w:cs="Arial"/>
          <w:sz w:val="19"/>
          <w:szCs w:val="19"/>
        </w:rPr>
      </w:pPr>
      <w:r w:rsidRPr="00BE0767">
        <w:rPr>
          <w:rFonts w:ascii="Arial" w:hAnsi="Arial" w:cs="Arial"/>
          <w:sz w:val="19"/>
          <w:szCs w:val="19"/>
        </w:rPr>
        <w:t>»</w:t>
      </w:r>
      <w:r w:rsidR="006D712D" w:rsidRPr="00BE0767">
        <w:rPr>
          <w:rFonts w:ascii="Arial" w:hAnsi="Arial" w:cs="Arial"/>
          <w:sz w:val="19"/>
          <w:szCs w:val="19"/>
        </w:rPr>
        <w:t>8) Rendir cuentas comprobadas de su gestión al beneficiario cada seis meses</w:t>
      </w:r>
      <w:r w:rsidRPr="00BE0767">
        <w:rPr>
          <w:rFonts w:ascii="Arial" w:hAnsi="Arial" w:cs="Arial"/>
          <w:sz w:val="19"/>
          <w:szCs w:val="19"/>
        </w:rPr>
        <w:t>»</w:t>
      </w:r>
      <w:r w:rsidR="006D712D" w:rsidRPr="00BE0767">
        <w:rPr>
          <w:rFonts w:ascii="Arial" w:hAnsi="Arial" w:cs="Arial"/>
          <w:sz w:val="19"/>
          <w:szCs w:val="19"/>
        </w:rPr>
        <w:t>.</w:t>
      </w:r>
    </w:p>
    <w:p w14:paraId="115D2A27" w14:textId="77777777" w:rsidR="006D712D" w:rsidRPr="00BE0767" w:rsidRDefault="006D712D" w:rsidP="00BE0767">
      <w:pPr>
        <w:pStyle w:val="Textonotapie"/>
        <w:ind w:firstLine="709"/>
        <w:jc w:val="both"/>
        <w:rPr>
          <w:rFonts w:ascii="Arial" w:hAnsi="Arial" w:cs="Arial"/>
          <w:sz w:val="19"/>
          <w:szCs w:val="19"/>
          <w:lang w:val="es-CO"/>
        </w:rPr>
      </w:pPr>
    </w:p>
  </w:footnote>
  <w:footnote w:id="13">
    <w:p w14:paraId="74ED9F1B" w14:textId="5DC5EC32" w:rsidR="006D712D" w:rsidRPr="00BE0767" w:rsidRDefault="003161A4" w:rsidP="00E41091">
      <w:pPr>
        <w:ind w:left="708"/>
        <w:jc w:val="both"/>
        <w:rPr>
          <w:rFonts w:ascii="Arial" w:hAnsi="Arial" w:cs="Arial"/>
          <w:sz w:val="19"/>
          <w:szCs w:val="19"/>
        </w:rPr>
      </w:pPr>
      <w:r w:rsidRPr="00BE0767">
        <w:rPr>
          <w:rFonts w:ascii="Arial" w:hAnsi="Arial" w:cs="Arial"/>
          <w:sz w:val="19"/>
          <w:szCs w:val="19"/>
        </w:rPr>
        <w:t>«</w:t>
      </w:r>
      <w:r w:rsidR="006D712D" w:rsidRPr="00BE0767">
        <w:rPr>
          <w:rFonts w:ascii="Arial" w:hAnsi="Arial" w:cs="Arial"/>
          <w:sz w:val="19"/>
          <w:szCs w:val="19"/>
        </w:rPr>
        <w:t xml:space="preserve">Artículo 1236. derechos del fiduciante. Al fiduciante le corresponderán los siguientes derechos: </w:t>
      </w:r>
      <w:r w:rsidRPr="00BE0767">
        <w:rPr>
          <w:rFonts w:ascii="Arial" w:hAnsi="Arial" w:cs="Arial"/>
          <w:sz w:val="19"/>
          <w:szCs w:val="19"/>
        </w:rPr>
        <w:t>»[</w:t>
      </w:r>
      <w:r w:rsidR="006D712D" w:rsidRPr="00BE0767">
        <w:rPr>
          <w:rFonts w:ascii="Arial" w:hAnsi="Arial" w:cs="Arial"/>
          <w:sz w:val="19"/>
          <w:szCs w:val="19"/>
        </w:rPr>
        <w:t>…</w:t>
      </w:r>
      <w:r w:rsidRPr="00BE0767">
        <w:rPr>
          <w:rFonts w:ascii="Arial" w:hAnsi="Arial" w:cs="Arial"/>
          <w:sz w:val="19"/>
          <w:szCs w:val="19"/>
        </w:rPr>
        <w:t>].</w:t>
      </w:r>
    </w:p>
    <w:p w14:paraId="5AFDC8B7" w14:textId="0A2E8816" w:rsidR="006D712D" w:rsidRPr="00BE0767" w:rsidRDefault="003161A4" w:rsidP="00BE0767">
      <w:pPr>
        <w:ind w:firstLine="709"/>
        <w:jc w:val="both"/>
        <w:rPr>
          <w:rFonts w:ascii="Arial" w:hAnsi="Arial" w:cs="Arial"/>
          <w:sz w:val="19"/>
          <w:szCs w:val="19"/>
        </w:rPr>
      </w:pPr>
      <w:r w:rsidRPr="00BE0767">
        <w:rPr>
          <w:rFonts w:ascii="Arial" w:hAnsi="Arial" w:cs="Arial"/>
          <w:sz w:val="19"/>
          <w:szCs w:val="19"/>
          <w:lang w:val="es-CO"/>
        </w:rPr>
        <w:t>»</w:t>
      </w:r>
      <w:r w:rsidR="006D712D" w:rsidRPr="00BE0767">
        <w:rPr>
          <w:rFonts w:ascii="Arial" w:hAnsi="Arial" w:cs="Arial"/>
          <w:sz w:val="19"/>
          <w:szCs w:val="19"/>
        </w:rPr>
        <w:t>4) Exigir rendición de cuentas</w:t>
      </w:r>
      <w:r w:rsidRPr="00BE0767">
        <w:rPr>
          <w:rFonts w:ascii="Arial" w:hAnsi="Arial" w:cs="Arial"/>
          <w:sz w:val="19"/>
          <w:szCs w:val="19"/>
        </w:rPr>
        <w:t>»</w:t>
      </w:r>
      <w:r w:rsidR="006D712D" w:rsidRPr="00BE0767">
        <w:rPr>
          <w:rFonts w:ascii="Arial" w:hAnsi="Arial" w:cs="Arial"/>
          <w:sz w:val="19"/>
          <w:szCs w:val="19"/>
        </w:rPr>
        <w:t>.</w:t>
      </w:r>
    </w:p>
    <w:p w14:paraId="550A02B3" w14:textId="77777777" w:rsidR="006D712D" w:rsidRPr="00BE0767" w:rsidRDefault="006D712D" w:rsidP="00BE0767">
      <w:pPr>
        <w:pStyle w:val="Textonotapie"/>
        <w:ind w:firstLine="709"/>
        <w:jc w:val="both"/>
        <w:rPr>
          <w:rFonts w:ascii="Arial" w:hAnsi="Arial" w:cs="Arial"/>
          <w:sz w:val="19"/>
          <w:szCs w:val="19"/>
          <w:lang w:val="es-CO"/>
        </w:rPr>
      </w:pPr>
    </w:p>
  </w:footnote>
  <w:footnote w:id="14">
    <w:p w14:paraId="25691728"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Ley 80 de 1993: «Artículo 2. De la definición de entidades, servidores y servicios públicos. Para los solos efectos de esta ley:</w:t>
      </w:r>
    </w:p>
    <w:p w14:paraId="4BAA2E6D"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»1. Se denominan entidades estatales:</w:t>
      </w:r>
    </w:p>
    <w:p w14:paraId="5AC3DDB8"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71DB8AF"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A42C713" w14:textId="77777777" w:rsidR="00112774" w:rsidRPr="00BE0767" w:rsidRDefault="00112774" w:rsidP="00BE0767">
      <w:pPr>
        <w:pStyle w:val="Textonotapie"/>
        <w:ind w:firstLine="709"/>
        <w:jc w:val="both"/>
        <w:rPr>
          <w:rFonts w:ascii="Arial" w:hAnsi="Arial" w:cs="Arial"/>
          <w:color w:val="000000" w:themeColor="text1"/>
          <w:sz w:val="19"/>
          <w:szCs w:val="19"/>
        </w:rPr>
      </w:pPr>
    </w:p>
  </w:footnote>
  <w:footnote w:id="15">
    <w:p w14:paraId="2EDBF1E7"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46DC0821" w14:textId="77777777" w:rsidR="00112774" w:rsidRPr="00BE0767" w:rsidRDefault="00112774" w:rsidP="00BE0767">
      <w:pPr>
        <w:pStyle w:val="Textonotapie"/>
        <w:ind w:firstLine="709"/>
        <w:jc w:val="both"/>
        <w:rPr>
          <w:rFonts w:ascii="Arial" w:hAnsi="Arial" w:cs="Arial"/>
          <w:color w:val="000000" w:themeColor="text1"/>
          <w:sz w:val="19"/>
          <w:szCs w:val="19"/>
          <w:lang w:val="es-ES"/>
        </w:rPr>
      </w:pPr>
    </w:p>
  </w:footnote>
  <w:footnote w:id="16">
    <w:p w14:paraId="0230B255"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1362047"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480FC84" w14:textId="77777777" w:rsidR="00112774" w:rsidRPr="00BE0767" w:rsidRDefault="00112774" w:rsidP="00BE0767">
      <w:pPr>
        <w:pStyle w:val="Textonotapie"/>
        <w:ind w:firstLine="709"/>
        <w:jc w:val="both"/>
        <w:rPr>
          <w:rFonts w:ascii="Arial" w:hAnsi="Arial" w:cs="Arial"/>
          <w:color w:val="000000" w:themeColor="text1"/>
          <w:sz w:val="19"/>
          <w:szCs w:val="19"/>
        </w:rPr>
      </w:pPr>
    </w:p>
  </w:footnote>
  <w:footnote w:id="17">
    <w:p w14:paraId="4D0DE293" w14:textId="77777777" w:rsidR="00112774" w:rsidRPr="00BE0767" w:rsidRDefault="00112774" w:rsidP="00BE0767">
      <w:pPr>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Style w:val="Refdenotaalpie"/>
          <w:rFonts w:ascii="Arial" w:hAnsi="Arial" w:cs="Arial"/>
          <w:color w:val="000000" w:themeColor="text1"/>
          <w:sz w:val="19"/>
          <w:szCs w:val="19"/>
        </w:rPr>
        <w:t xml:space="preserve"> </w:t>
      </w:r>
      <w:r w:rsidRPr="00BE0767">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8BA031C" w14:textId="77777777" w:rsidR="00112774" w:rsidRPr="00BE0767" w:rsidRDefault="00112774" w:rsidP="00BE0767">
      <w:pPr>
        <w:ind w:firstLine="709"/>
        <w:jc w:val="both"/>
        <w:rPr>
          <w:rFonts w:ascii="Arial" w:hAnsi="Arial" w:cs="Arial"/>
          <w:color w:val="000000" w:themeColor="text1"/>
          <w:sz w:val="19"/>
          <w:szCs w:val="19"/>
        </w:rPr>
      </w:pPr>
    </w:p>
  </w:footnote>
  <w:footnote w:id="18">
    <w:p w14:paraId="03161D9F"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027B0514"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w:t>
      </w:r>
    </w:p>
    <w:p w14:paraId="447E791B" w14:textId="77777777" w:rsidR="00112774" w:rsidRPr="00BE0767" w:rsidRDefault="00112774" w:rsidP="00BE0767">
      <w:pPr>
        <w:pStyle w:val="Textonotapie"/>
        <w:ind w:firstLine="709"/>
        <w:jc w:val="both"/>
        <w:rPr>
          <w:rFonts w:ascii="Arial" w:hAnsi="Arial" w:cs="Arial"/>
          <w:color w:val="000000" w:themeColor="text1"/>
          <w:sz w:val="19"/>
          <w:szCs w:val="19"/>
          <w:lang w:val="es-ES"/>
        </w:rPr>
      </w:pPr>
    </w:p>
  </w:footnote>
  <w:footnote w:id="19">
    <w:p w14:paraId="42F8CB0F"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5D92D0DE" w14:textId="77777777" w:rsidR="00112774" w:rsidRPr="00BE0767" w:rsidRDefault="00112774" w:rsidP="00BE0767">
      <w:pPr>
        <w:pStyle w:val="Textonotapie"/>
        <w:ind w:firstLine="709"/>
        <w:jc w:val="both"/>
        <w:rPr>
          <w:rFonts w:ascii="Arial" w:hAnsi="Arial" w:cs="Arial"/>
          <w:color w:val="000000" w:themeColor="text1"/>
          <w:sz w:val="19"/>
          <w:szCs w:val="19"/>
          <w:lang w:val="es-ES"/>
        </w:rPr>
      </w:pPr>
    </w:p>
  </w:footnote>
  <w:footnote w:id="20">
    <w:p w14:paraId="6463CD5B"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63CA0DCC" w14:textId="77777777" w:rsidR="00112774" w:rsidRPr="00BE0767" w:rsidRDefault="00112774" w:rsidP="00BE0767">
      <w:pPr>
        <w:pStyle w:val="Textonotapie"/>
        <w:ind w:firstLine="709"/>
        <w:jc w:val="both"/>
        <w:rPr>
          <w:rFonts w:ascii="Arial" w:hAnsi="Arial" w:cs="Arial"/>
          <w:color w:val="000000" w:themeColor="text1"/>
          <w:sz w:val="19"/>
          <w:szCs w:val="19"/>
          <w:lang w:val="es-ES"/>
        </w:rPr>
      </w:pPr>
    </w:p>
  </w:footnote>
  <w:footnote w:id="21">
    <w:p w14:paraId="598040F8"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Consejo de Estado. Sentencia del 29 de agosto de 2007. Radicado No. 15.305. Consejero Ponente: Mauricio Fajardo Gómez.</w:t>
      </w:r>
    </w:p>
    <w:p w14:paraId="28495F95" w14:textId="77777777" w:rsidR="00112774" w:rsidRPr="00BE0767" w:rsidRDefault="00112774" w:rsidP="00BE0767">
      <w:pPr>
        <w:pStyle w:val="Textonotapie"/>
        <w:ind w:firstLine="709"/>
        <w:jc w:val="both"/>
        <w:rPr>
          <w:rFonts w:ascii="Arial" w:hAnsi="Arial" w:cs="Arial"/>
          <w:color w:val="000000" w:themeColor="text1"/>
          <w:sz w:val="19"/>
          <w:szCs w:val="19"/>
        </w:rPr>
      </w:pPr>
    </w:p>
  </w:footnote>
  <w:footnote w:id="22">
    <w:p w14:paraId="21E4A9C7"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5C51F82E" w14:textId="77777777" w:rsidR="00112774" w:rsidRPr="00BE0767" w:rsidRDefault="00112774" w:rsidP="00BE0767">
      <w:pPr>
        <w:pStyle w:val="Textonotapie"/>
        <w:ind w:firstLine="709"/>
        <w:jc w:val="both"/>
        <w:rPr>
          <w:rFonts w:ascii="Arial" w:hAnsi="Arial" w:cs="Arial"/>
          <w:color w:val="000000" w:themeColor="text1"/>
          <w:sz w:val="19"/>
          <w:szCs w:val="19"/>
        </w:rPr>
      </w:pPr>
    </w:p>
  </w:footnote>
  <w:footnote w:id="23">
    <w:p w14:paraId="4FAAE217"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9B05CFA"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w:t>
      </w:r>
    </w:p>
    <w:p w14:paraId="2DEBCDBF" w14:textId="77777777" w:rsidR="00112774" w:rsidRPr="00BE0767" w:rsidRDefault="00112774" w:rsidP="00BE0767">
      <w:pPr>
        <w:pStyle w:val="Textonotapie"/>
        <w:ind w:firstLine="709"/>
        <w:jc w:val="both"/>
        <w:rPr>
          <w:rFonts w:ascii="Arial" w:hAnsi="Arial" w:cs="Arial"/>
          <w:color w:val="000000" w:themeColor="text1"/>
          <w:sz w:val="19"/>
          <w:szCs w:val="19"/>
        </w:rPr>
      </w:pPr>
    </w:p>
  </w:footnote>
  <w:footnote w:id="24">
    <w:p w14:paraId="4A40D394"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Ley 150 de 2007: «Artículo 7. De las garantías en la contratación. </w:t>
      </w:r>
    </w:p>
    <w:p w14:paraId="3401C1A3"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 xml:space="preserve">[…] </w:t>
      </w:r>
    </w:p>
    <w:p w14:paraId="426E6122"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1F9123CE"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w:t>
      </w:r>
    </w:p>
  </w:footnote>
  <w:footnote w:id="25">
    <w:p w14:paraId="1E175022" w14:textId="77777777" w:rsidR="00112774" w:rsidRPr="00BE0767" w:rsidRDefault="00112774" w:rsidP="00BE0767">
      <w:pPr>
        <w:pStyle w:val="Textonotapie"/>
        <w:ind w:firstLine="709"/>
        <w:jc w:val="both"/>
        <w:rPr>
          <w:rFonts w:ascii="Arial" w:hAnsi="Arial" w:cs="Arial"/>
          <w:color w:val="000000" w:themeColor="text1"/>
          <w:sz w:val="19"/>
          <w:szCs w:val="19"/>
        </w:rPr>
      </w:pPr>
    </w:p>
    <w:p w14:paraId="7F69E7F6" w14:textId="77777777" w:rsidR="00112774" w:rsidRPr="00BE0767" w:rsidRDefault="00112774"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CF4D0BD" w14:textId="77777777" w:rsidR="00112774" w:rsidRPr="00BE0767" w:rsidRDefault="00112774" w:rsidP="00BE0767">
      <w:pPr>
        <w:pStyle w:val="Textonotapie"/>
        <w:ind w:firstLine="709"/>
        <w:jc w:val="both"/>
        <w:rPr>
          <w:rFonts w:ascii="Arial" w:hAnsi="Arial" w:cs="Arial"/>
          <w:color w:val="000000" w:themeColor="text1"/>
          <w:sz w:val="19"/>
          <w:szCs w:val="19"/>
          <w:lang w:val="es-ES"/>
        </w:rPr>
      </w:pPr>
    </w:p>
  </w:footnote>
  <w:footnote w:id="26">
    <w:p w14:paraId="1609FB6B" w14:textId="2638EA94" w:rsidR="00762440"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708C075B" w14:textId="77777777" w:rsidR="00B512AD" w:rsidRPr="00BE0767" w:rsidRDefault="00B512AD" w:rsidP="00BE0767">
      <w:pPr>
        <w:pStyle w:val="Textonotapie"/>
        <w:ind w:firstLine="709"/>
        <w:jc w:val="both"/>
        <w:rPr>
          <w:rFonts w:ascii="Arial" w:hAnsi="Arial" w:cs="Arial"/>
          <w:color w:val="000000" w:themeColor="text1"/>
          <w:sz w:val="19"/>
          <w:szCs w:val="19"/>
        </w:rPr>
      </w:pPr>
    </w:p>
  </w:footnote>
  <w:footnote w:id="27">
    <w:p w14:paraId="17FF00EE"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Consejo de Estado. Sección Tercera. Radicado No. 45.607 del 24 de octubre de 2016. Consejera Ponente: María Nubia Velásquez Rico.</w:t>
      </w:r>
    </w:p>
    <w:p w14:paraId="2CD361C2"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28">
    <w:p w14:paraId="445A2B44"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523A96BC"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Fonts w:ascii="Arial" w:hAnsi="Arial" w:cs="Arial"/>
          <w:color w:val="000000" w:themeColor="text1"/>
          <w:sz w:val="19"/>
          <w:szCs w:val="19"/>
        </w:rPr>
        <w:t xml:space="preserve"> </w:t>
      </w:r>
    </w:p>
  </w:footnote>
  <w:footnote w:id="29">
    <w:p w14:paraId="2CB58BA1"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4BBA7774"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Fonts w:ascii="Arial" w:hAnsi="Arial" w:cs="Arial"/>
          <w:color w:val="000000" w:themeColor="text1"/>
          <w:sz w:val="19"/>
          <w:szCs w:val="19"/>
          <w:lang w:val="es-ES"/>
        </w:rPr>
        <w:t xml:space="preserve"> </w:t>
      </w:r>
    </w:p>
  </w:footnote>
  <w:footnote w:id="30">
    <w:p w14:paraId="4B85806C" w14:textId="5E2EFCA0" w:rsidR="00762440"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4B9E74CB" w14:textId="77777777" w:rsidR="00845AE3" w:rsidRPr="00BE0767" w:rsidRDefault="00845AE3" w:rsidP="00BE0767">
      <w:pPr>
        <w:pStyle w:val="Textonotapie"/>
        <w:ind w:firstLine="709"/>
        <w:jc w:val="both"/>
        <w:rPr>
          <w:rFonts w:ascii="Arial" w:hAnsi="Arial" w:cs="Arial"/>
          <w:color w:val="000000" w:themeColor="text1"/>
          <w:sz w:val="19"/>
          <w:szCs w:val="19"/>
          <w:lang w:val="es-ES"/>
        </w:rPr>
      </w:pPr>
    </w:p>
  </w:footnote>
  <w:footnote w:id="31">
    <w:p w14:paraId="5B9C7C8F"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D63652D"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92D200E"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3336F1C"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073A5D97"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14:paraId="65252A38"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2">
    <w:p w14:paraId="5DD1814E"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 xml:space="preserve">Sobre el concepto de </w:t>
      </w:r>
      <w:r w:rsidRPr="00BE0767">
        <w:rPr>
          <w:rFonts w:ascii="Arial" w:hAnsi="Arial" w:cs="Arial"/>
          <w:i/>
          <w:color w:val="000000" w:themeColor="text1"/>
          <w:sz w:val="19"/>
          <w:szCs w:val="19"/>
          <w:lang w:val="es-ES"/>
        </w:rPr>
        <w:t>lagunas</w:t>
      </w:r>
      <w:r w:rsidRPr="00BE0767">
        <w:rPr>
          <w:rFonts w:ascii="Arial" w:hAnsi="Arial" w:cs="Arial"/>
          <w:color w:val="000000" w:themeColor="text1"/>
          <w:sz w:val="19"/>
          <w:szCs w:val="19"/>
          <w:lang w:val="es-ES"/>
        </w:rPr>
        <w:t xml:space="preserve"> en el sistema normativo, es decir, de </w:t>
      </w:r>
      <w:r w:rsidRPr="00BE0767">
        <w:rPr>
          <w:rFonts w:ascii="Arial" w:hAnsi="Arial" w:cs="Arial"/>
          <w:i/>
          <w:color w:val="000000" w:themeColor="text1"/>
          <w:sz w:val="19"/>
          <w:szCs w:val="19"/>
          <w:lang w:val="es-ES"/>
        </w:rPr>
        <w:t>vacíos</w:t>
      </w:r>
      <w:r w:rsidRPr="00BE0767">
        <w:rPr>
          <w:rFonts w:ascii="Arial" w:hAnsi="Arial" w:cs="Arial"/>
          <w:color w:val="000000" w:themeColor="text1"/>
          <w:sz w:val="19"/>
          <w:szCs w:val="19"/>
          <w:lang w:val="es-ES"/>
        </w:rPr>
        <w:t xml:space="preserve"> de regulación, puede verse: GARCÍA MÁYNEZ, Eduardo. Filosofía del Derecho. 17ª ed. México: Porrúa, 2011. pp. 222-245.</w:t>
      </w:r>
    </w:p>
    <w:p w14:paraId="495A7ACE"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3">
    <w:p w14:paraId="2F261923"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footnote>
  <w:footnote w:id="34">
    <w:p w14:paraId="639F278F"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6BBD7C9A"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w:t>
      </w:r>
    </w:p>
    <w:p w14:paraId="5F62101D"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5010FF3A"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5">
    <w:p w14:paraId="371C33FB"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p w14:paraId="5002EAD7"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6">
    <w:p w14:paraId="1AF81EF6"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w:t>
      </w:r>
    </w:p>
    <w:p w14:paraId="3BC88993"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»Las actuaciones administrativas de naturaleza sancionatoria 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serian procedentes Este acto administrativo deberá ser notificado personalmente a los investigados. Contra esta decisión no procede recurso.</w:t>
      </w:r>
    </w:p>
    <w:p w14:paraId="1752ADD0" w14:textId="77777777" w:rsidR="00762440" w:rsidRPr="00BE0767"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14:paraId="59E2BD22" w14:textId="0126F713" w:rsidR="00762440" w:rsidRDefault="00762440" w:rsidP="00BE0767">
      <w:pPr>
        <w:pStyle w:val="Textonotapie"/>
        <w:ind w:firstLine="709"/>
        <w:jc w:val="both"/>
        <w:rPr>
          <w:rFonts w:ascii="Arial" w:hAnsi="Arial" w:cs="Arial"/>
          <w:color w:val="000000" w:themeColor="text1"/>
          <w:sz w:val="19"/>
          <w:szCs w:val="19"/>
        </w:rPr>
      </w:pPr>
      <w:r w:rsidRPr="00BE0767">
        <w:rPr>
          <w:rFonts w:ascii="Arial" w:hAnsi="Arial" w:cs="Arial"/>
          <w:color w:val="000000" w:themeColor="text1"/>
          <w:sz w:val="19"/>
          <w:szCs w:val="19"/>
        </w:rPr>
        <w:t>»PARÁGRAFO. Las actuaciones administrativas contractuales sancionatorias, incluyendo los recursos, se regirán por lo dispuesto en las normas especiales sobre la materia».</w:t>
      </w:r>
    </w:p>
    <w:p w14:paraId="4EE131F3" w14:textId="77777777" w:rsidR="00D21FFC" w:rsidRPr="00BE0767" w:rsidRDefault="00D21FFC" w:rsidP="00BE0767">
      <w:pPr>
        <w:pStyle w:val="Textonotapie"/>
        <w:ind w:firstLine="709"/>
        <w:jc w:val="both"/>
        <w:rPr>
          <w:rFonts w:ascii="Arial" w:hAnsi="Arial" w:cs="Arial"/>
          <w:color w:val="000000" w:themeColor="text1"/>
          <w:sz w:val="19"/>
          <w:szCs w:val="19"/>
          <w:lang w:val="es-ES"/>
        </w:rPr>
      </w:pPr>
    </w:p>
  </w:footnote>
  <w:footnote w:id="37">
    <w:p w14:paraId="6A7EA082" w14:textId="77777777" w:rsidR="00762440" w:rsidRPr="00BE0767" w:rsidRDefault="00762440" w:rsidP="00BE0767">
      <w:pPr>
        <w:pStyle w:val="Textonotapie"/>
        <w:ind w:firstLine="709"/>
        <w:jc w:val="both"/>
        <w:rPr>
          <w:rFonts w:ascii="Arial" w:eastAsia="Calibri" w:hAnsi="Arial" w:cs="Arial"/>
          <w:color w:val="000000" w:themeColor="text1"/>
          <w:sz w:val="19"/>
          <w:szCs w:val="19"/>
          <w:lang w:val="es-ES_tradnl"/>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eastAsia="Calibri" w:hAnsi="Arial" w:cs="Arial"/>
          <w:color w:val="000000" w:themeColor="text1"/>
          <w:sz w:val="19"/>
          <w:szCs w:val="19"/>
          <w:lang w:val="es-ES_tradnl"/>
        </w:rPr>
        <w:t>Bien por la reserva legal de las materias o porque no las reguló.</w:t>
      </w:r>
    </w:p>
    <w:p w14:paraId="16E08F4B"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8">
    <w:p w14:paraId="3FE5F195"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p w14:paraId="7371C9F3"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39">
    <w:p w14:paraId="6F5D73E6"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6F342BDF"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r w:rsidRPr="00BE0767">
        <w:rPr>
          <w:rFonts w:ascii="Arial" w:hAnsi="Arial" w:cs="Arial"/>
          <w:color w:val="000000" w:themeColor="text1"/>
          <w:sz w:val="19"/>
          <w:szCs w:val="19"/>
          <w:lang w:val="es-ES"/>
        </w:rPr>
        <w:t>»En defecto de costumbre local se tendrá en cuenta la general del país, siempre que reúna los requisitos exigidos en el inciso anterior» (art. 3 del Código de Comercio).</w:t>
      </w:r>
    </w:p>
    <w:p w14:paraId="3F840AD0" w14:textId="77777777" w:rsidR="00762440" w:rsidRPr="00BE0767" w:rsidRDefault="00762440" w:rsidP="00BE0767">
      <w:pPr>
        <w:pStyle w:val="Textonotapie"/>
        <w:ind w:firstLine="709"/>
        <w:jc w:val="both"/>
        <w:rPr>
          <w:rFonts w:ascii="Arial" w:hAnsi="Arial" w:cs="Arial"/>
          <w:color w:val="000000" w:themeColor="text1"/>
          <w:sz w:val="19"/>
          <w:szCs w:val="19"/>
          <w:lang w:val="es-ES"/>
        </w:rPr>
      </w:pPr>
    </w:p>
  </w:footnote>
  <w:footnote w:id="40">
    <w:p w14:paraId="479FB0B1" w14:textId="77777777" w:rsidR="00762440" w:rsidRPr="00BE0767" w:rsidRDefault="00762440" w:rsidP="00BE0767">
      <w:pPr>
        <w:pStyle w:val="Textonotapie"/>
        <w:ind w:firstLine="709"/>
        <w:jc w:val="both"/>
        <w:rPr>
          <w:rFonts w:ascii="Arial" w:hAnsi="Arial" w:cs="Arial"/>
          <w:b/>
          <w:color w:val="000000" w:themeColor="text1"/>
          <w:sz w:val="19"/>
          <w:szCs w:val="19"/>
          <w:lang w:val="es-ES"/>
        </w:rPr>
      </w:pPr>
      <w:r w:rsidRPr="00BE0767">
        <w:rPr>
          <w:rStyle w:val="Refdenotaalpie"/>
          <w:rFonts w:ascii="Arial" w:hAnsi="Arial" w:cs="Arial"/>
          <w:color w:val="000000" w:themeColor="text1"/>
          <w:sz w:val="19"/>
          <w:szCs w:val="19"/>
        </w:rPr>
        <w:footnoteRef/>
      </w:r>
      <w:r w:rsidRPr="00BE0767">
        <w:rPr>
          <w:rFonts w:ascii="Arial" w:hAnsi="Arial" w:cs="Arial"/>
          <w:color w:val="000000" w:themeColor="text1"/>
          <w:sz w:val="19"/>
          <w:szCs w:val="19"/>
        </w:rPr>
        <w:t xml:space="preserve"> </w:t>
      </w:r>
      <w:r w:rsidRPr="00BE0767">
        <w:rPr>
          <w:rFonts w:ascii="Arial" w:hAnsi="Arial" w:cs="Arial"/>
          <w:color w:val="000000" w:themeColor="text1"/>
          <w:sz w:val="19"/>
          <w:szCs w:val="19"/>
          <w:lang w:val="es-ES"/>
        </w:rPr>
        <w:t>Dentro de tales principio se encuentran, por ejemplo, los principios UNIDROIT sobre los contratos comerciales internacionales. Ver: https://www.unidroit.org/spanish/principles/contracts/principles2010/blackletter2010-spanish.pdf</w:t>
      </w:r>
    </w:p>
  </w:footnote>
  <w:footnote w:id="41">
    <w:p w14:paraId="486CDB33" w14:textId="4B04B63F" w:rsidR="007D58C5" w:rsidRPr="00BE0767" w:rsidRDefault="007D58C5" w:rsidP="00BE0767">
      <w:pPr>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Pr="00BE0767">
        <w:rPr>
          <w:rFonts w:ascii="Arial" w:hAnsi="Arial" w:cs="Arial"/>
          <w:sz w:val="19"/>
          <w:szCs w:val="19"/>
          <w:lang w:val="es-ES"/>
        </w:rPr>
        <w:t>El artículo 355 del Código Sustantivo del Trabajo establece que «Los sindicatos no pueden tener por objeto la explotación de negocios o actividades con fines de lucro</w:t>
      </w:r>
      <w:r w:rsidR="00BC2BB1" w:rsidRPr="00BE0767">
        <w:rPr>
          <w:rFonts w:ascii="Arial" w:hAnsi="Arial" w:cs="Arial"/>
          <w:sz w:val="19"/>
          <w:szCs w:val="19"/>
          <w:lang w:val="es-ES"/>
        </w:rPr>
        <w:t>»</w:t>
      </w:r>
      <w:r w:rsidRPr="00BE0767">
        <w:rPr>
          <w:rFonts w:ascii="Arial" w:hAnsi="Arial" w:cs="Arial"/>
          <w:sz w:val="19"/>
          <w:szCs w:val="19"/>
          <w:lang w:val="es-ES"/>
        </w:rPr>
        <w:t>.</w:t>
      </w:r>
    </w:p>
    <w:p w14:paraId="464C3590" w14:textId="1322014E" w:rsidR="007D58C5" w:rsidRPr="00BE0767" w:rsidRDefault="007D58C5" w:rsidP="00BE0767">
      <w:pPr>
        <w:pStyle w:val="Textonotapie"/>
        <w:ind w:firstLine="709"/>
        <w:jc w:val="both"/>
        <w:rPr>
          <w:rFonts w:ascii="Arial" w:hAnsi="Arial" w:cs="Arial"/>
          <w:sz w:val="19"/>
          <w:szCs w:val="19"/>
          <w:lang w:val="es-CO"/>
        </w:rPr>
      </w:pPr>
    </w:p>
  </w:footnote>
  <w:footnote w:id="42">
    <w:p w14:paraId="4CC3A939" w14:textId="29AE6102" w:rsidR="001D31A0" w:rsidRPr="00BE0767" w:rsidRDefault="001D31A0"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Pr="00BE0767">
        <w:rPr>
          <w:rFonts w:ascii="Arial" w:hAnsi="Arial" w:cs="Arial"/>
          <w:sz w:val="19"/>
          <w:szCs w:val="19"/>
          <w:lang w:val="es-ES"/>
        </w:rPr>
        <w:t xml:space="preserve">Los artículos </w:t>
      </w:r>
      <w:r w:rsidR="00D81A7B" w:rsidRPr="00BE0767">
        <w:rPr>
          <w:rFonts w:ascii="Arial" w:hAnsi="Arial" w:cs="Arial"/>
          <w:sz w:val="19"/>
          <w:szCs w:val="19"/>
          <w:lang w:val="es-ES"/>
        </w:rPr>
        <w:t>3º y 4º de la Ley 79 de 1988 expresan</w:t>
      </w:r>
      <w:r w:rsidR="00215852" w:rsidRPr="00BE0767">
        <w:rPr>
          <w:rFonts w:ascii="Arial" w:hAnsi="Arial" w:cs="Arial"/>
          <w:sz w:val="19"/>
          <w:szCs w:val="19"/>
          <w:lang w:val="es-ES"/>
        </w:rPr>
        <w:t xml:space="preserve"> en su primer inciso, respectivamente, que</w:t>
      </w:r>
      <w:r w:rsidR="00D81A7B" w:rsidRPr="00BE0767">
        <w:rPr>
          <w:rFonts w:ascii="Arial" w:hAnsi="Arial" w:cs="Arial"/>
          <w:sz w:val="19"/>
          <w:szCs w:val="19"/>
          <w:lang w:val="es-ES"/>
        </w:rPr>
        <w:t>: «</w:t>
      </w:r>
      <w:r w:rsidR="00215852" w:rsidRPr="00BE0767">
        <w:rPr>
          <w:rFonts w:ascii="Arial" w:hAnsi="Arial" w:cs="Arial"/>
          <w:sz w:val="19"/>
          <w:szCs w:val="19"/>
          <w:lang w:val="es-ES"/>
        </w:rPr>
        <w:t>Es acuerdo cooperativo el contrato que se celebra por un número determinado de personas, con el objetivo de crear y organizar una persona jurídica de derecho privado denominada cooperativa, cuyas actividades deben cumplirse con fines de interés social y sin ánimo de lucro» y que «</w:t>
      </w:r>
      <w:r w:rsidR="003B0341" w:rsidRPr="00BE0767">
        <w:rPr>
          <w:rFonts w:ascii="Arial" w:hAnsi="Arial" w:cs="Arial"/>
          <w:sz w:val="19"/>
          <w:szCs w:val="19"/>
          <w:lang w:val="es-ES"/>
        </w:rPr>
        <w:t>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p>
    <w:p w14:paraId="21CC522F" w14:textId="77777777" w:rsidR="00FA49B7" w:rsidRPr="00BE0767" w:rsidRDefault="00FA49B7" w:rsidP="00BE0767">
      <w:pPr>
        <w:pStyle w:val="Textonotapie"/>
        <w:ind w:firstLine="709"/>
        <w:jc w:val="both"/>
        <w:rPr>
          <w:rFonts w:ascii="Arial" w:hAnsi="Arial" w:cs="Arial"/>
          <w:sz w:val="19"/>
          <w:szCs w:val="19"/>
          <w:lang w:val="es-CO"/>
        </w:rPr>
      </w:pPr>
    </w:p>
  </w:footnote>
  <w:footnote w:id="43">
    <w:p w14:paraId="2C8FDB27" w14:textId="4B8A168E" w:rsidR="00FA49B7" w:rsidRPr="00BE0767" w:rsidRDefault="00C47472" w:rsidP="00BE0767">
      <w:pPr>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FA49B7" w:rsidRPr="00BE0767">
        <w:rPr>
          <w:rFonts w:ascii="Arial" w:hAnsi="Arial" w:cs="Arial"/>
          <w:sz w:val="19"/>
          <w:szCs w:val="19"/>
          <w:lang w:val="es-ES"/>
        </w:rPr>
        <w:t>Ello explica por qué el artículo 633 del Código Civil establece que «Las personas jurídicas son de dos especies: corporaciones y fundaciones de beneficencia pública».</w:t>
      </w:r>
    </w:p>
    <w:p w14:paraId="53C83B00" w14:textId="25D73146" w:rsidR="00C47472" w:rsidRPr="00BE0767" w:rsidRDefault="00C47472" w:rsidP="00BE0767">
      <w:pPr>
        <w:pStyle w:val="Textonotapie"/>
        <w:ind w:firstLine="709"/>
        <w:jc w:val="both"/>
        <w:rPr>
          <w:rFonts w:ascii="Arial" w:hAnsi="Arial" w:cs="Arial"/>
          <w:sz w:val="19"/>
          <w:szCs w:val="19"/>
          <w:lang w:val="es-CO"/>
        </w:rPr>
      </w:pPr>
    </w:p>
  </w:footnote>
  <w:footnote w:id="44">
    <w:p w14:paraId="732FD016" w14:textId="68C4EA08" w:rsidR="00FA49B7" w:rsidRPr="00BE0767" w:rsidRDefault="00FA49B7"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2554DE" w:rsidRPr="00BE0767">
        <w:rPr>
          <w:rFonts w:ascii="Arial" w:hAnsi="Arial" w:cs="Arial"/>
          <w:sz w:val="19"/>
          <w:szCs w:val="19"/>
          <w:lang w:val="es-ES"/>
        </w:rPr>
        <w:t xml:space="preserve">El literal a) del artículo 8 de </w:t>
      </w:r>
      <w:r w:rsidR="00D53E3E" w:rsidRPr="00BE0767">
        <w:rPr>
          <w:rFonts w:ascii="Arial" w:hAnsi="Arial" w:cs="Arial"/>
          <w:sz w:val="19"/>
          <w:szCs w:val="19"/>
          <w:lang w:val="es-ES"/>
        </w:rPr>
        <w:t>la Ley 743 de 2002 dice que: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65531E7A" w14:textId="77777777" w:rsidR="00513042" w:rsidRPr="00BE0767" w:rsidRDefault="00513042" w:rsidP="00BE0767">
      <w:pPr>
        <w:pStyle w:val="Textonotapie"/>
        <w:ind w:firstLine="709"/>
        <w:jc w:val="both"/>
        <w:rPr>
          <w:rFonts w:ascii="Arial" w:hAnsi="Arial" w:cs="Arial"/>
          <w:sz w:val="19"/>
          <w:szCs w:val="19"/>
          <w:lang w:val="es-CO"/>
        </w:rPr>
      </w:pPr>
    </w:p>
  </w:footnote>
  <w:footnote w:id="45">
    <w:p w14:paraId="74796CB9" w14:textId="311E20B9" w:rsidR="00843B57" w:rsidRPr="00BE0767" w:rsidRDefault="00843B57"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187ABD" w:rsidRPr="00BE0767">
        <w:rPr>
          <w:rFonts w:ascii="Arial" w:hAnsi="Arial" w:cs="Arial"/>
          <w:sz w:val="19"/>
          <w:szCs w:val="19"/>
          <w:lang w:val="es-ES"/>
        </w:rPr>
        <w:t xml:space="preserve">Según el artículo </w:t>
      </w:r>
      <w:r w:rsidR="00AB37A1" w:rsidRPr="00BE0767">
        <w:rPr>
          <w:rFonts w:ascii="Arial" w:hAnsi="Arial" w:cs="Arial"/>
          <w:sz w:val="19"/>
          <w:szCs w:val="19"/>
          <w:lang w:val="es-ES"/>
        </w:rPr>
        <w:t xml:space="preserve">2 del Decreto 1481 de 1989, «Los fondos de empleados son empresas asociativas, de derecho privado, sin ánimo de lucro, constituidas por trabajadores dependientes y subordinados </w:t>
      </w:r>
      <w:r w:rsidR="00513042" w:rsidRPr="00BE0767">
        <w:rPr>
          <w:rFonts w:ascii="Arial" w:hAnsi="Arial" w:cs="Arial"/>
          <w:sz w:val="19"/>
          <w:szCs w:val="19"/>
          <w:lang w:val="es-ES"/>
        </w:rPr>
        <w:t>[…]</w:t>
      </w:r>
      <w:r w:rsidR="00AB37A1" w:rsidRPr="00BE0767">
        <w:rPr>
          <w:rFonts w:ascii="Arial" w:hAnsi="Arial" w:cs="Arial"/>
          <w:sz w:val="19"/>
          <w:szCs w:val="19"/>
          <w:lang w:val="es-ES"/>
        </w:rPr>
        <w:t>»</w:t>
      </w:r>
      <w:r w:rsidR="00513042" w:rsidRPr="00BE0767">
        <w:rPr>
          <w:rFonts w:ascii="Arial" w:hAnsi="Arial" w:cs="Arial"/>
          <w:sz w:val="19"/>
          <w:szCs w:val="19"/>
          <w:lang w:val="es-ES"/>
        </w:rPr>
        <w:t>.</w:t>
      </w:r>
    </w:p>
    <w:p w14:paraId="6BDA29E7" w14:textId="77777777" w:rsidR="009444B4" w:rsidRPr="00BE0767" w:rsidRDefault="009444B4" w:rsidP="00BE0767">
      <w:pPr>
        <w:pStyle w:val="Textonotapie"/>
        <w:ind w:firstLine="709"/>
        <w:jc w:val="both"/>
        <w:rPr>
          <w:rFonts w:ascii="Arial" w:hAnsi="Arial" w:cs="Arial"/>
          <w:sz w:val="19"/>
          <w:szCs w:val="19"/>
          <w:lang w:val="es-CO"/>
        </w:rPr>
      </w:pPr>
    </w:p>
  </w:footnote>
  <w:footnote w:id="46">
    <w:p w14:paraId="446D269B" w14:textId="233F4985" w:rsidR="0053772F" w:rsidRPr="00BE0767" w:rsidRDefault="0053772F"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0C7711" w:rsidRPr="00BE0767">
        <w:rPr>
          <w:rFonts w:ascii="Arial" w:hAnsi="Arial" w:cs="Arial"/>
          <w:sz w:val="19"/>
          <w:szCs w:val="19"/>
          <w:lang w:val="es-ES"/>
        </w:rPr>
        <w:t xml:space="preserve">Magistrado Ponente: </w:t>
      </w:r>
      <w:r w:rsidR="009444B4" w:rsidRPr="00BE0767">
        <w:rPr>
          <w:rFonts w:ascii="Arial" w:hAnsi="Arial" w:cs="Arial"/>
          <w:sz w:val="19"/>
          <w:szCs w:val="19"/>
          <w:lang w:val="es-ES"/>
        </w:rPr>
        <w:t>Eduardo Montealegre Lynett.</w:t>
      </w:r>
    </w:p>
    <w:p w14:paraId="4DF43C4C" w14:textId="77777777" w:rsidR="004C5EF0" w:rsidRPr="00BE0767" w:rsidRDefault="004C5EF0" w:rsidP="00BE0767">
      <w:pPr>
        <w:pStyle w:val="Textonotapie"/>
        <w:ind w:firstLine="709"/>
        <w:jc w:val="both"/>
        <w:rPr>
          <w:rFonts w:ascii="Arial" w:hAnsi="Arial" w:cs="Arial"/>
          <w:sz w:val="19"/>
          <w:szCs w:val="19"/>
          <w:lang w:val="es-ES"/>
        </w:rPr>
      </w:pPr>
    </w:p>
  </w:footnote>
  <w:footnote w:id="47">
    <w:p w14:paraId="63873D13" w14:textId="463B85C7" w:rsidR="004C5EF0" w:rsidRPr="00BE0767" w:rsidRDefault="00D9310B" w:rsidP="00BE0767">
      <w:pPr>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Pr="00BE0767">
        <w:rPr>
          <w:rFonts w:ascii="Arial" w:hAnsi="Arial" w:cs="Arial"/>
          <w:sz w:val="19"/>
          <w:szCs w:val="19"/>
          <w:lang w:val="es-ES"/>
        </w:rPr>
        <w:t xml:space="preserve">Esta causal indica que </w:t>
      </w:r>
      <w:r w:rsidR="004C5EF0" w:rsidRPr="00BE0767">
        <w:rPr>
          <w:rFonts w:ascii="Arial" w:hAnsi="Arial" w:cs="Arial"/>
          <w:sz w:val="19"/>
          <w:szCs w:val="19"/>
          <w:lang w:val="es-ES"/>
        </w:rPr>
        <w:t>procede la contratación directa para el «i) El arrendamiento o adquisición de inmuebles».</w:t>
      </w:r>
    </w:p>
    <w:p w14:paraId="4DFFCA7F" w14:textId="563EE747" w:rsidR="00D9310B" w:rsidRPr="00BE0767" w:rsidRDefault="00D9310B" w:rsidP="00BE0767">
      <w:pPr>
        <w:pStyle w:val="Textonotapie"/>
        <w:ind w:firstLine="709"/>
        <w:jc w:val="both"/>
        <w:rPr>
          <w:rFonts w:ascii="Arial" w:hAnsi="Arial" w:cs="Arial"/>
          <w:sz w:val="19"/>
          <w:szCs w:val="19"/>
          <w:lang w:val="es-ES"/>
        </w:rPr>
      </w:pPr>
    </w:p>
  </w:footnote>
  <w:footnote w:id="48">
    <w:p w14:paraId="5B54A402" w14:textId="1ACD72D2" w:rsidR="007D23F7" w:rsidRPr="00BE0767" w:rsidRDefault="007D23F7"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2058D4" w:rsidRPr="00BE0767">
        <w:rPr>
          <w:rFonts w:ascii="Arial" w:hAnsi="Arial" w:cs="Arial"/>
          <w:sz w:val="19"/>
          <w:szCs w:val="19"/>
        </w:rPr>
        <w:t xml:space="preserve">Decreto 1082 de 2015: </w:t>
      </w:r>
      <w:r w:rsidRPr="00BE0767">
        <w:rPr>
          <w:rFonts w:ascii="Arial" w:hAnsi="Arial" w:cs="Arial"/>
          <w:sz w:val="19"/>
          <w:szCs w:val="19"/>
        </w:rPr>
        <w:t>«Artículo 2.2.1.2.1.4.11. Arrendamiento de bienes inmuebles. Las Entidades Estatales pueden alquilar o arrendar inmuebles mediante contratación directa para lo cual deben seguir las siguientes reglas:</w:t>
      </w:r>
    </w:p>
    <w:p w14:paraId="72E4E986" w14:textId="19E57D73" w:rsidR="007D23F7" w:rsidRPr="00BE0767" w:rsidRDefault="007D23F7" w:rsidP="00BE0767">
      <w:pPr>
        <w:pStyle w:val="Textonotapie"/>
        <w:ind w:firstLine="709"/>
        <w:jc w:val="both"/>
        <w:rPr>
          <w:rFonts w:ascii="Arial" w:hAnsi="Arial" w:cs="Arial"/>
          <w:sz w:val="19"/>
          <w:szCs w:val="19"/>
        </w:rPr>
      </w:pPr>
      <w:r w:rsidRPr="00BE0767">
        <w:rPr>
          <w:rFonts w:ascii="Arial" w:hAnsi="Arial" w:cs="Arial"/>
          <w:sz w:val="19"/>
          <w:szCs w:val="19"/>
        </w:rPr>
        <w:t>»1. Verificar las condiciones del mercado inmobiliario en la ciudad en la que la Entidad Estatal requiere el inmueble.</w:t>
      </w:r>
    </w:p>
    <w:p w14:paraId="1FD91E14" w14:textId="2537A284" w:rsidR="007D23F7" w:rsidRPr="00BE0767" w:rsidRDefault="007D23F7" w:rsidP="00BE0767">
      <w:pPr>
        <w:pStyle w:val="Textonotapie"/>
        <w:ind w:firstLine="709"/>
        <w:jc w:val="both"/>
        <w:rPr>
          <w:rFonts w:ascii="Arial" w:hAnsi="Arial" w:cs="Arial"/>
          <w:sz w:val="19"/>
          <w:szCs w:val="19"/>
        </w:rPr>
      </w:pPr>
      <w:r w:rsidRPr="00BE0767">
        <w:rPr>
          <w:rFonts w:ascii="Arial" w:hAnsi="Arial" w:cs="Arial"/>
          <w:sz w:val="19"/>
          <w:szCs w:val="19"/>
        </w:rPr>
        <w:t>»2. Analizar y comparar las condiciones de los bienes inmuebles que satisfacen las necesidades identificadas y las opciones de arrendamiento, análisis que deberá tener en cuenta los principios y objetivos del sistema de compra y contratación pública».</w:t>
      </w:r>
    </w:p>
    <w:p w14:paraId="6262556D" w14:textId="77777777" w:rsidR="002058D4" w:rsidRPr="00BE0767" w:rsidRDefault="002058D4" w:rsidP="00BE0767">
      <w:pPr>
        <w:pStyle w:val="Textonotapie"/>
        <w:ind w:firstLine="709"/>
        <w:jc w:val="both"/>
        <w:rPr>
          <w:rFonts w:ascii="Arial" w:hAnsi="Arial" w:cs="Arial"/>
          <w:sz w:val="19"/>
          <w:szCs w:val="19"/>
          <w:lang w:val="es-CO"/>
        </w:rPr>
      </w:pPr>
    </w:p>
  </w:footnote>
  <w:footnote w:id="49">
    <w:p w14:paraId="419E1318" w14:textId="03E11086" w:rsidR="000C6F79" w:rsidRPr="00BE0767" w:rsidRDefault="003706F2"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0C6F79" w:rsidRPr="00BE0767">
        <w:rPr>
          <w:rFonts w:ascii="Arial" w:hAnsi="Arial" w:cs="Arial"/>
          <w:sz w:val="19"/>
          <w:szCs w:val="19"/>
        </w:rPr>
        <w:t>Decreto 1082 de 2015: «Artículo 2.2.1.2.1.4.10. Adquisición de bienes inmuebles. Las Entidades Estatales pueden adquirir bienes inmuebles mediante contratación directa para lo cual deben seguir las siguientes reglas:</w:t>
      </w:r>
    </w:p>
    <w:p w14:paraId="498179B9" w14:textId="632AEE3B" w:rsidR="000C6F79" w:rsidRPr="00BE0767" w:rsidRDefault="000C6F79" w:rsidP="00BE0767">
      <w:pPr>
        <w:pStyle w:val="Textonotapie"/>
        <w:ind w:firstLine="709"/>
        <w:jc w:val="both"/>
        <w:rPr>
          <w:rFonts w:ascii="Arial" w:hAnsi="Arial" w:cs="Arial"/>
          <w:sz w:val="19"/>
          <w:szCs w:val="19"/>
        </w:rPr>
      </w:pPr>
      <w:r w:rsidRPr="00BE0767">
        <w:rPr>
          <w:rFonts w:ascii="Arial" w:hAnsi="Arial" w:cs="Arial"/>
          <w:sz w:val="19"/>
          <w:szCs w:val="19"/>
        </w:rPr>
        <w:t>»1. Avaluar con una institución especializada el bien o los bienes inmuebles identificados que satisfagan las necesidades que tiene la Entidad Estatal.</w:t>
      </w:r>
    </w:p>
    <w:p w14:paraId="108FDD92" w14:textId="2C21ADB7" w:rsidR="000C6F79" w:rsidRPr="00BE0767" w:rsidRDefault="000C6F79" w:rsidP="00BE0767">
      <w:pPr>
        <w:pStyle w:val="Textonotapie"/>
        <w:ind w:firstLine="709"/>
        <w:jc w:val="both"/>
        <w:rPr>
          <w:rFonts w:ascii="Arial" w:hAnsi="Arial" w:cs="Arial"/>
          <w:sz w:val="19"/>
          <w:szCs w:val="19"/>
        </w:rPr>
      </w:pPr>
      <w:r w:rsidRPr="00BE0767">
        <w:rPr>
          <w:rFonts w:ascii="Arial" w:hAnsi="Arial" w:cs="Arial"/>
          <w:sz w:val="19"/>
          <w:szCs w:val="19"/>
        </w:rPr>
        <w:t>»2. Analizar y comparar las condiciones de los bienes inmuebles que satisfacen las necesidades identificadas y las opciones de adquisición, análisis que deberá tener en cuenta los principios y objetivos del sistema de compras y contratación pública.</w:t>
      </w:r>
    </w:p>
    <w:p w14:paraId="2A686DA2" w14:textId="385EE91C" w:rsidR="003706F2" w:rsidRPr="00BE0767" w:rsidRDefault="000C6F79" w:rsidP="00BE0767">
      <w:pPr>
        <w:pStyle w:val="Textonotapie"/>
        <w:ind w:firstLine="709"/>
        <w:jc w:val="both"/>
        <w:rPr>
          <w:rFonts w:ascii="Arial" w:hAnsi="Arial" w:cs="Arial"/>
          <w:sz w:val="19"/>
          <w:szCs w:val="19"/>
        </w:rPr>
      </w:pPr>
      <w:r w:rsidRPr="00BE0767">
        <w:rPr>
          <w:rFonts w:ascii="Arial" w:hAnsi="Arial" w:cs="Arial"/>
          <w:sz w:val="19"/>
          <w:szCs w:val="19"/>
        </w:rPr>
        <w:t>»3. La Entidad Estatal puede hacer parte de un proyecto inmobiliario para adquirir el bien inmueble que satisfaga la necesidad que ha identificado, caso en el cual no requiere el avalúo de que trata el numeral 1 anterior».</w:t>
      </w:r>
    </w:p>
    <w:p w14:paraId="48C6A431" w14:textId="77777777" w:rsidR="000C6F79" w:rsidRPr="00BE0767" w:rsidRDefault="000C6F79" w:rsidP="00BE0767">
      <w:pPr>
        <w:pStyle w:val="Textonotapie"/>
        <w:ind w:firstLine="709"/>
        <w:jc w:val="both"/>
        <w:rPr>
          <w:rFonts w:ascii="Arial" w:hAnsi="Arial" w:cs="Arial"/>
          <w:sz w:val="19"/>
          <w:szCs w:val="19"/>
          <w:lang w:val="es-CO"/>
        </w:rPr>
      </w:pPr>
    </w:p>
  </w:footnote>
  <w:footnote w:id="50">
    <w:p w14:paraId="5C00171D" w14:textId="4FC30E8A" w:rsidR="008F387B" w:rsidRPr="00BE0767" w:rsidRDefault="00407F1E"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8F387B" w:rsidRPr="00BE0767">
        <w:rPr>
          <w:rFonts w:ascii="Arial" w:hAnsi="Arial" w:cs="Arial"/>
          <w:sz w:val="19"/>
          <w:szCs w:val="19"/>
        </w:rPr>
        <w:t>Este artículo establece: «Pueden celebrar contratos con las entidades estatales las personas consideradas legalmente capaces en las disposiciones vigentes. También podrán celebrar contratos con las entidades estatales, los consorcios y uniones temporales.</w:t>
      </w:r>
    </w:p>
    <w:p w14:paraId="1AE2BE15" w14:textId="31061D2E" w:rsidR="00407F1E" w:rsidRPr="00BE0767" w:rsidRDefault="008F387B" w:rsidP="00BE0767">
      <w:pPr>
        <w:pStyle w:val="Textonotapie"/>
        <w:ind w:firstLine="709"/>
        <w:jc w:val="both"/>
        <w:rPr>
          <w:rFonts w:ascii="Arial" w:hAnsi="Arial" w:cs="Arial"/>
          <w:sz w:val="19"/>
          <w:szCs w:val="19"/>
        </w:rPr>
      </w:pPr>
      <w:r w:rsidRPr="00BE0767">
        <w:rPr>
          <w:rFonts w:ascii="Arial" w:hAnsi="Arial" w:cs="Arial"/>
          <w:sz w:val="19"/>
          <w:szCs w:val="19"/>
        </w:rPr>
        <w:t>»Las personas jurídicas nacionales y extranjeras deberán acreditar que su duración no será inferior a la del plazo del contrato y un año más».</w:t>
      </w:r>
    </w:p>
    <w:p w14:paraId="529A2947" w14:textId="77777777" w:rsidR="007110F4" w:rsidRPr="00BE0767" w:rsidRDefault="007110F4" w:rsidP="00BE0767">
      <w:pPr>
        <w:pStyle w:val="Textonotapie"/>
        <w:ind w:firstLine="709"/>
        <w:jc w:val="both"/>
        <w:rPr>
          <w:rFonts w:ascii="Arial" w:hAnsi="Arial" w:cs="Arial"/>
          <w:sz w:val="19"/>
          <w:szCs w:val="19"/>
          <w:lang w:val="es-CO"/>
        </w:rPr>
      </w:pPr>
    </w:p>
  </w:footnote>
  <w:footnote w:id="51">
    <w:p w14:paraId="33DDB7C1" w14:textId="20506500" w:rsidR="007110F4" w:rsidRPr="00BE0767" w:rsidRDefault="007110F4" w:rsidP="00BE0767">
      <w:pPr>
        <w:pStyle w:val="Textonotapie"/>
        <w:ind w:firstLine="709"/>
        <w:jc w:val="both"/>
        <w:rPr>
          <w:rFonts w:ascii="Arial" w:hAnsi="Arial" w:cs="Arial"/>
          <w:sz w:val="19"/>
          <w:szCs w:val="19"/>
        </w:rPr>
      </w:pPr>
      <w:r w:rsidRPr="00BE0767">
        <w:rPr>
          <w:rStyle w:val="Refdenotaalpie"/>
          <w:rFonts w:ascii="Arial" w:hAnsi="Arial" w:cs="Arial"/>
          <w:sz w:val="19"/>
          <w:szCs w:val="19"/>
        </w:rPr>
        <w:footnoteRef/>
      </w:r>
      <w:r w:rsidRPr="00BE0767">
        <w:rPr>
          <w:rFonts w:ascii="Arial" w:hAnsi="Arial" w:cs="Arial"/>
          <w:sz w:val="19"/>
          <w:szCs w:val="19"/>
        </w:rPr>
        <w:t xml:space="preserve"> Según el artículo 238 de la Constitución Política, «</w:t>
      </w:r>
      <w:r w:rsidR="007A3BBE" w:rsidRPr="00BE0767">
        <w:rPr>
          <w:rFonts w:ascii="Arial" w:hAnsi="Arial" w:cs="Arial"/>
          <w:sz w:val="19"/>
          <w:szCs w:val="19"/>
        </w:rPr>
        <w:t>La jurisdicción de lo contencioso administrativo podrá suspender provisionalmente, por los motivos y con los requisitos que establezca la ley, los efectos de los actos administrativos que sean susceptibles de impugnación por vía judicial».</w:t>
      </w:r>
    </w:p>
    <w:p w14:paraId="473F82D2" w14:textId="77777777" w:rsidR="007A3BBE" w:rsidRPr="00BE0767" w:rsidRDefault="007A3BBE" w:rsidP="00BE0767">
      <w:pPr>
        <w:pStyle w:val="Textonotapie"/>
        <w:ind w:firstLine="709"/>
        <w:jc w:val="both"/>
        <w:rPr>
          <w:rFonts w:ascii="Arial" w:hAnsi="Arial" w:cs="Arial"/>
          <w:sz w:val="19"/>
          <w:szCs w:val="19"/>
          <w:lang w:val="es-CO"/>
        </w:rPr>
      </w:pPr>
    </w:p>
  </w:footnote>
  <w:footnote w:id="52">
    <w:p w14:paraId="1A321B7F" w14:textId="5FBDA766" w:rsidR="005A496F" w:rsidRPr="00BE0767" w:rsidRDefault="005A496F"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7110F4" w:rsidRPr="00BE0767">
        <w:rPr>
          <w:rFonts w:ascii="Arial" w:hAnsi="Arial" w:cs="Arial"/>
          <w:sz w:val="19"/>
          <w:szCs w:val="19"/>
        </w:rPr>
        <w:t xml:space="preserve">El artículo 4º de la Constitución señala: </w:t>
      </w:r>
      <w:r w:rsidR="007110F4" w:rsidRPr="00BE0767">
        <w:rPr>
          <w:rFonts w:ascii="Arial" w:hAnsi="Arial" w:cs="Arial"/>
          <w:sz w:val="19"/>
          <w:szCs w:val="19"/>
          <w:lang w:val="es-ES"/>
        </w:rPr>
        <w:t>«La Constitución es norma de normas. En todo caso de incompatibilidad entre la Constitución y la ley u otra norma jurídica, se aplicarán las disposiciones constitucionales».</w:t>
      </w:r>
    </w:p>
    <w:p w14:paraId="09CBE55A" w14:textId="77777777" w:rsidR="00222BE8" w:rsidRPr="00BE0767" w:rsidRDefault="00222BE8" w:rsidP="00BE0767">
      <w:pPr>
        <w:pStyle w:val="Textonotapie"/>
        <w:ind w:firstLine="709"/>
        <w:jc w:val="both"/>
        <w:rPr>
          <w:rFonts w:ascii="Arial" w:hAnsi="Arial" w:cs="Arial"/>
          <w:sz w:val="19"/>
          <w:szCs w:val="19"/>
          <w:lang w:val="es-CO"/>
        </w:rPr>
      </w:pPr>
    </w:p>
  </w:footnote>
  <w:footnote w:id="53">
    <w:p w14:paraId="742D238D" w14:textId="596D0195" w:rsidR="00222BE8" w:rsidRDefault="00222BE8"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Pr="00BE0767">
        <w:rPr>
          <w:rFonts w:ascii="Arial" w:hAnsi="Arial" w:cs="Arial"/>
          <w:sz w:val="19"/>
          <w:szCs w:val="19"/>
          <w:lang w:val="es-ES"/>
        </w:rPr>
        <w:t xml:space="preserve">Magistrado Ponente: Vladimiro Naranjo Mesa. </w:t>
      </w:r>
    </w:p>
    <w:p w14:paraId="45E28B0B" w14:textId="77777777" w:rsidR="00BE0767" w:rsidRPr="00BE0767" w:rsidRDefault="00BE0767" w:rsidP="00BE0767">
      <w:pPr>
        <w:pStyle w:val="Textonotapie"/>
        <w:ind w:firstLine="709"/>
        <w:jc w:val="both"/>
        <w:rPr>
          <w:rFonts w:ascii="Arial" w:hAnsi="Arial" w:cs="Arial"/>
          <w:sz w:val="19"/>
          <w:szCs w:val="19"/>
          <w:lang w:val="es-ES"/>
        </w:rPr>
      </w:pPr>
    </w:p>
  </w:footnote>
  <w:footnote w:id="54">
    <w:p w14:paraId="1ADB69B6" w14:textId="197AC2F9" w:rsidR="00BE0767" w:rsidRPr="00BE0767" w:rsidRDefault="000B5781" w:rsidP="00BE0767">
      <w:pPr>
        <w:pStyle w:val="Textonotapie"/>
        <w:ind w:firstLine="709"/>
        <w:jc w:val="both"/>
        <w:rPr>
          <w:rFonts w:ascii="Arial" w:hAnsi="Arial" w:cs="Arial"/>
          <w:sz w:val="19"/>
          <w:szCs w:val="19"/>
          <w:lang w:val="es-ES"/>
        </w:rPr>
      </w:pPr>
      <w:r w:rsidRPr="00BE0767">
        <w:rPr>
          <w:rStyle w:val="Refdenotaalpie"/>
          <w:rFonts w:ascii="Arial" w:hAnsi="Arial" w:cs="Arial"/>
          <w:sz w:val="19"/>
          <w:szCs w:val="19"/>
        </w:rPr>
        <w:footnoteRef/>
      </w:r>
      <w:r w:rsidRPr="00BE0767">
        <w:rPr>
          <w:rFonts w:ascii="Arial" w:hAnsi="Arial" w:cs="Arial"/>
          <w:sz w:val="19"/>
          <w:szCs w:val="19"/>
        </w:rPr>
        <w:t xml:space="preserve"> </w:t>
      </w:r>
      <w:r w:rsidR="00BE0767">
        <w:rPr>
          <w:rFonts w:ascii="Arial" w:hAnsi="Arial" w:cs="Arial"/>
          <w:sz w:val="19"/>
          <w:szCs w:val="19"/>
        </w:rPr>
        <w:t xml:space="preserve">Así lo indica dicha norma: </w:t>
      </w:r>
      <w:r w:rsidR="00BE0767" w:rsidRPr="00BE0767">
        <w:rPr>
          <w:rFonts w:ascii="Arial" w:hAnsi="Arial" w:cs="Arial"/>
          <w:sz w:val="19"/>
          <w:szCs w:val="19"/>
          <w:lang w:val="es-ES"/>
        </w:rPr>
        <w:t>«En los procesos que se adelanten ante la Jurisdicción de lo Contencioso Administrativo, el juez podrá, de oficio o a petición de parte, inaplicar con efectos interpartes los actos administrativos cuando vulneren la Constitución Política o la ley.</w:t>
      </w:r>
    </w:p>
    <w:p w14:paraId="63464AE2" w14:textId="439CA335" w:rsidR="000B5781" w:rsidRPr="00BE0767" w:rsidRDefault="00BE0767" w:rsidP="00BE0767">
      <w:pPr>
        <w:pStyle w:val="Textonotapie"/>
        <w:ind w:firstLine="709"/>
        <w:jc w:val="both"/>
        <w:rPr>
          <w:rFonts w:ascii="Arial" w:hAnsi="Arial" w:cs="Arial"/>
          <w:sz w:val="19"/>
          <w:szCs w:val="19"/>
          <w:lang w:val="es-CO"/>
        </w:rPr>
      </w:pPr>
      <w:r w:rsidRPr="00BE0767">
        <w:rPr>
          <w:rFonts w:ascii="Arial" w:hAnsi="Arial" w:cs="Arial"/>
          <w:sz w:val="19"/>
          <w:szCs w:val="19"/>
          <w:lang w:val="es-ES"/>
        </w:rPr>
        <w:t>»La decisión consistente en inaplicar un acto administrativo sólo producirá efectos en relación con el proceso dentro del cual se adopte».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8"/>
  </w:num>
  <w:num w:numId="2">
    <w:abstractNumId w:val="6"/>
  </w:num>
  <w:num w:numId="3">
    <w:abstractNumId w:val="11"/>
  </w:num>
  <w:num w:numId="4">
    <w:abstractNumId w:val="14"/>
  </w:num>
  <w:num w:numId="5">
    <w:abstractNumId w:val="1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0"/>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num>
  <w:num w:numId="14">
    <w:abstractNumId w:val="5"/>
  </w:num>
  <w:num w:numId="15">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2"/>
  </w:num>
  <w:num w:numId="19">
    <w:abstractNumId w:val="2"/>
  </w:num>
  <w:num w:numId="20">
    <w:abstractNumId w:val="19"/>
  </w:num>
  <w:num w:numId="21">
    <w:abstractNumId w:val="1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3C5C"/>
    <w:rsid w:val="000040D7"/>
    <w:rsid w:val="000059D3"/>
    <w:rsid w:val="00006081"/>
    <w:rsid w:val="00007750"/>
    <w:rsid w:val="000077FD"/>
    <w:rsid w:val="00007E37"/>
    <w:rsid w:val="00010C40"/>
    <w:rsid w:val="00011DCC"/>
    <w:rsid w:val="00012B9E"/>
    <w:rsid w:val="00013C6B"/>
    <w:rsid w:val="0001406B"/>
    <w:rsid w:val="00014624"/>
    <w:rsid w:val="00016081"/>
    <w:rsid w:val="000165AC"/>
    <w:rsid w:val="00016651"/>
    <w:rsid w:val="000171A2"/>
    <w:rsid w:val="00020158"/>
    <w:rsid w:val="000207E0"/>
    <w:rsid w:val="00020F8F"/>
    <w:rsid w:val="00021A95"/>
    <w:rsid w:val="0002256F"/>
    <w:rsid w:val="00023DAE"/>
    <w:rsid w:val="000263F0"/>
    <w:rsid w:val="00026407"/>
    <w:rsid w:val="00026608"/>
    <w:rsid w:val="000315E1"/>
    <w:rsid w:val="0003236E"/>
    <w:rsid w:val="00036E03"/>
    <w:rsid w:val="00042961"/>
    <w:rsid w:val="00042C25"/>
    <w:rsid w:val="00042D03"/>
    <w:rsid w:val="0004418C"/>
    <w:rsid w:val="00044204"/>
    <w:rsid w:val="000449D4"/>
    <w:rsid w:val="00046C09"/>
    <w:rsid w:val="0004716A"/>
    <w:rsid w:val="000504DE"/>
    <w:rsid w:val="00052EA0"/>
    <w:rsid w:val="0005474D"/>
    <w:rsid w:val="00055CB9"/>
    <w:rsid w:val="0005702F"/>
    <w:rsid w:val="00061D06"/>
    <w:rsid w:val="00062CDD"/>
    <w:rsid w:val="00064CAE"/>
    <w:rsid w:val="00064FA7"/>
    <w:rsid w:val="00065195"/>
    <w:rsid w:val="00070AF1"/>
    <w:rsid w:val="0007254F"/>
    <w:rsid w:val="00074B2A"/>
    <w:rsid w:val="00075B3E"/>
    <w:rsid w:val="00076456"/>
    <w:rsid w:val="0007779B"/>
    <w:rsid w:val="000777E7"/>
    <w:rsid w:val="0007790A"/>
    <w:rsid w:val="00080ACD"/>
    <w:rsid w:val="000811ED"/>
    <w:rsid w:val="00082B74"/>
    <w:rsid w:val="00083099"/>
    <w:rsid w:val="00083EDC"/>
    <w:rsid w:val="00084B97"/>
    <w:rsid w:val="0008510E"/>
    <w:rsid w:val="00085F17"/>
    <w:rsid w:val="00085FB3"/>
    <w:rsid w:val="00086ED2"/>
    <w:rsid w:val="00091569"/>
    <w:rsid w:val="000925DF"/>
    <w:rsid w:val="000942EB"/>
    <w:rsid w:val="00095B70"/>
    <w:rsid w:val="0009617E"/>
    <w:rsid w:val="000979CF"/>
    <w:rsid w:val="000A0861"/>
    <w:rsid w:val="000A12DB"/>
    <w:rsid w:val="000A2128"/>
    <w:rsid w:val="000A362F"/>
    <w:rsid w:val="000A5F97"/>
    <w:rsid w:val="000A648E"/>
    <w:rsid w:val="000B103F"/>
    <w:rsid w:val="000B1437"/>
    <w:rsid w:val="000B2B86"/>
    <w:rsid w:val="000B419B"/>
    <w:rsid w:val="000B5781"/>
    <w:rsid w:val="000C0185"/>
    <w:rsid w:val="000C128D"/>
    <w:rsid w:val="000C1D4B"/>
    <w:rsid w:val="000C4F49"/>
    <w:rsid w:val="000C5861"/>
    <w:rsid w:val="000C639D"/>
    <w:rsid w:val="000C6F79"/>
    <w:rsid w:val="000C7476"/>
    <w:rsid w:val="000C7711"/>
    <w:rsid w:val="000C7AA2"/>
    <w:rsid w:val="000D0462"/>
    <w:rsid w:val="000D0ED2"/>
    <w:rsid w:val="000D2563"/>
    <w:rsid w:val="000D25BF"/>
    <w:rsid w:val="000D3FDC"/>
    <w:rsid w:val="000D4E38"/>
    <w:rsid w:val="000D6288"/>
    <w:rsid w:val="000D7541"/>
    <w:rsid w:val="000E30AC"/>
    <w:rsid w:val="000E3E11"/>
    <w:rsid w:val="000E4596"/>
    <w:rsid w:val="000E5110"/>
    <w:rsid w:val="000E5768"/>
    <w:rsid w:val="000E6139"/>
    <w:rsid w:val="000E6BE1"/>
    <w:rsid w:val="000E7E0B"/>
    <w:rsid w:val="000F078A"/>
    <w:rsid w:val="000F14E8"/>
    <w:rsid w:val="000F1BBD"/>
    <w:rsid w:val="000F4403"/>
    <w:rsid w:val="000F4E17"/>
    <w:rsid w:val="000F6578"/>
    <w:rsid w:val="000F7E8F"/>
    <w:rsid w:val="001000FB"/>
    <w:rsid w:val="00102605"/>
    <w:rsid w:val="00103915"/>
    <w:rsid w:val="001051E5"/>
    <w:rsid w:val="00105A74"/>
    <w:rsid w:val="00105AEF"/>
    <w:rsid w:val="00106259"/>
    <w:rsid w:val="001078CE"/>
    <w:rsid w:val="00110F61"/>
    <w:rsid w:val="001111BD"/>
    <w:rsid w:val="0011165A"/>
    <w:rsid w:val="00112774"/>
    <w:rsid w:val="00112B2E"/>
    <w:rsid w:val="00113062"/>
    <w:rsid w:val="00113705"/>
    <w:rsid w:val="00113975"/>
    <w:rsid w:val="00113CFC"/>
    <w:rsid w:val="00114E9D"/>
    <w:rsid w:val="001174C9"/>
    <w:rsid w:val="00117E69"/>
    <w:rsid w:val="00121BAB"/>
    <w:rsid w:val="00121E3C"/>
    <w:rsid w:val="00122B23"/>
    <w:rsid w:val="00122B7E"/>
    <w:rsid w:val="00123FB5"/>
    <w:rsid w:val="0012400F"/>
    <w:rsid w:val="001249DC"/>
    <w:rsid w:val="0012572D"/>
    <w:rsid w:val="00125BED"/>
    <w:rsid w:val="00125C59"/>
    <w:rsid w:val="00125D4F"/>
    <w:rsid w:val="00127AF2"/>
    <w:rsid w:val="00127F6D"/>
    <w:rsid w:val="00130355"/>
    <w:rsid w:val="00131B5A"/>
    <w:rsid w:val="0013695C"/>
    <w:rsid w:val="00136BF7"/>
    <w:rsid w:val="00137FFA"/>
    <w:rsid w:val="00140109"/>
    <w:rsid w:val="0014029B"/>
    <w:rsid w:val="00140A4F"/>
    <w:rsid w:val="001413AB"/>
    <w:rsid w:val="00141B19"/>
    <w:rsid w:val="0014502F"/>
    <w:rsid w:val="00145282"/>
    <w:rsid w:val="00146083"/>
    <w:rsid w:val="00151B99"/>
    <w:rsid w:val="0015361C"/>
    <w:rsid w:val="0015407E"/>
    <w:rsid w:val="0015448E"/>
    <w:rsid w:val="00154A6F"/>
    <w:rsid w:val="00155D08"/>
    <w:rsid w:val="00156BE5"/>
    <w:rsid w:val="00157232"/>
    <w:rsid w:val="00160401"/>
    <w:rsid w:val="00161E62"/>
    <w:rsid w:val="00161F1C"/>
    <w:rsid w:val="0016200B"/>
    <w:rsid w:val="00164281"/>
    <w:rsid w:val="001676A9"/>
    <w:rsid w:val="00167A50"/>
    <w:rsid w:val="00167DF5"/>
    <w:rsid w:val="00170001"/>
    <w:rsid w:val="00172198"/>
    <w:rsid w:val="001734E3"/>
    <w:rsid w:val="001742BF"/>
    <w:rsid w:val="00175E49"/>
    <w:rsid w:val="001813AF"/>
    <w:rsid w:val="0018195B"/>
    <w:rsid w:val="00182F01"/>
    <w:rsid w:val="0018319E"/>
    <w:rsid w:val="00187177"/>
    <w:rsid w:val="00187ABD"/>
    <w:rsid w:val="00191C5A"/>
    <w:rsid w:val="00191E63"/>
    <w:rsid w:val="0019388B"/>
    <w:rsid w:val="001946D5"/>
    <w:rsid w:val="001962EC"/>
    <w:rsid w:val="001963DD"/>
    <w:rsid w:val="00196DC9"/>
    <w:rsid w:val="001A0236"/>
    <w:rsid w:val="001A18D5"/>
    <w:rsid w:val="001A66DF"/>
    <w:rsid w:val="001A7591"/>
    <w:rsid w:val="001B0444"/>
    <w:rsid w:val="001B096B"/>
    <w:rsid w:val="001B0F9F"/>
    <w:rsid w:val="001B123C"/>
    <w:rsid w:val="001B1BF1"/>
    <w:rsid w:val="001B2456"/>
    <w:rsid w:val="001B449C"/>
    <w:rsid w:val="001B4AA2"/>
    <w:rsid w:val="001B4ADE"/>
    <w:rsid w:val="001C19CD"/>
    <w:rsid w:val="001C26FB"/>
    <w:rsid w:val="001C33C1"/>
    <w:rsid w:val="001C3E30"/>
    <w:rsid w:val="001C3E5C"/>
    <w:rsid w:val="001C600B"/>
    <w:rsid w:val="001C6898"/>
    <w:rsid w:val="001C6DD8"/>
    <w:rsid w:val="001D12D1"/>
    <w:rsid w:val="001D15DF"/>
    <w:rsid w:val="001D31A0"/>
    <w:rsid w:val="001D338E"/>
    <w:rsid w:val="001D56E9"/>
    <w:rsid w:val="001D796A"/>
    <w:rsid w:val="001D7A84"/>
    <w:rsid w:val="001E1D38"/>
    <w:rsid w:val="001E23EF"/>
    <w:rsid w:val="001E70FB"/>
    <w:rsid w:val="001E780A"/>
    <w:rsid w:val="001F0FA0"/>
    <w:rsid w:val="001F1349"/>
    <w:rsid w:val="001F2356"/>
    <w:rsid w:val="001F2A68"/>
    <w:rsid w:val="001F4773"/>
    <w:rsid w:val="001F5008"/>
    <w:rsid w:val="001F56AA"/>
    <w:rsid w:val="001F58AA"/>
    <w:rsid w:val="001F5EF6"/>
    <w:rsid w:val="001F657F"/>
    <w:rsid w:val="001F6FB6"/>
    <w:rsid w:val="001F7978"/>
    <w:rsid w:val="001F7A0E"/>
    <w:rsid w:val="0020054E"/>
    <w:rsid w:val="0020299B"/>
    <w:rsid w:val="002037AA"/>
    <w:rsid w:val="00203FE3"/>
    <w:rsid w:val="002042D8"/>
    <w:rsid w:val="00204515"/>
    <w:rsid w:val="002058D4"/>
    <w:rsid w:val="0020632A"/>
    <w:rsid w:val="002110EB"/>
    <w:rsid w:val="00211338"/>
    <w:rsid w:val="00211388"/>
    <w:rsid w:val="0021148C"/>
    <w:rsid w:val="0021201A"/>
    <w:rsid w:val="00213A1F"/>
    <w:rsid w:val="00213C63"/>
    <w:rsid w:val="00214741"/>
    <w:rsid w:val="00215852"/>
    <w:rsid w:val="00216264"/>
    <w:rsid w:val="00217DB8"/>
    <w:rsid w:val="002221CE"/>
    <w:rsid w:val="00222BE8"/>
    <w:rsid w:val="00226055"/>
    <w:rsid w:val="0022613F"/>
    <w:rsid w:val="00226236"/>
    <w:rsid w:val="002270C9"/>
    <w:rsid w:val="00227A8B"/>
    <w:rsid w:val="002315A0"/>
    <w:rsid w:val="00231EC7"/>
    <w:rsid w:val="00232E15"/>
    <w:rsid w:val="00233977"/>
    <w:rsid w:val="00233C58"/>
    <w:rsid w:val="00233C71"/>
    <w:rsid w:val="002345B6"/>
    <w:rsid w:val="00234B84"/>
    <w:rsid w:val="0024019A"/>
    <w:rsid w:val="002431D7"/>
    <w:rsid w:val="00244058"/>
    <w:rsid w:val="00245E07"/>
    <w:rsid w:val="00247712"/>
    <w:rsid w:val="00251866"/>
    <w:rsid w:val="00251A9F"/>
    <w:rsid w:val="00252492"/>
    <w:rsid w:val="00252B35"/>
    <w:rsid w:val="00253A02"/>
    <w:rsid w:val="00253B81"/>
    <w:rsid w:val="002554DE"/>
    <w:rsid w:val="00256835"/>
    <w:rsid w:val="00256ECF"/>
    <w:rsid w:val="00257999"/>
    <w:rsid w:val="002604AA"/>
    <w:rsid w:val="00261560"/>
    <w:rsid w:val="00261715"/>
    <w:rsid w:val="00261CF9"/>
    <w:rsid w:val="00261EC0"/>
    <w:rsid w:val="00263201"/>
    <w:rsid w:val="002653A6"/>
    <w:rsid w:val="002661F1"/>
    <w:rsid w:val="002711A4"/>
    <w:rsid w:val="00271F13"/>
    <w:rsid w:val="00275BB1"/>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A05D4"/>
    <w:rsid w:val="002A1A58"/>
    <w:rsid w:val="002A1B02"/>
    <w:rsid w:val="002A1C53"/>
    <w:rsid w:val="002A28FC"/>
    <w:rsid w:val="002A2EA5"/>
    <w:rsid w:val="002A3D94"/>
    <w:rsid w:val="002A733D"/>
    <w:rsid w:val="002A7F6D"/>
    <w:rsid w:val="002B1342"/>
    <w:rsid w:val="002B27C8"/>
    <w:rsid w:val="002B2A7F"/>
    <w:rsid w:val="002B330B"/>
    <w:rsid w:val="002B48DB"/>
    <w:rsid w:val="002B4B34"/>
    <w:rsid w:val="002B541A"/>
    <w:rsid w:val="002B6407"/>
    <w:rsid w:val="002B6416"/>
    <w:rsid w:val="002C24B4"/>
    <w:rsid w:val="002C2B3A"/>
    <w:rsid w:val="002C2B87"/>
    <w:rsid w:val="002C3CF4"/>
    <w:rsid w:val="002C4B84"/>
    <w:rsid w:val="002C4C0C"/>
    <w:rsid w:val="002C5016"/>
    <w:rsid w:val="002C5C2F"/>
    <w:rsid w:val="002C60B9"/>
    <w:rsid w:val="002C6F77"/>
    <w:rsid w:val="002C704D"/>
    <w:rsid w:val="002D0845"/>
    <w:rsid w:val="002D0933"/>
    <w:rsid w:val="002D1A9B"/>
    <w:rsid w:val="002D302A"/>
    <w:rsid w:val="002D37C1"/>
    <w:rsid w:val="002D444B"/>
    <w:rsid w:val="002D4A45"/>
    <w:rsid w:val="002D5A1B"/>
    <w:rsid w:val="002E055C"/>
    <w:rsid w:val="002E1050"/>
    <w:rsid w:val="002E18E5"/>
    <w:rsid w:val="002E3D76"/>
    <w:rsid w:val="002E40A1"/>
    <w:rsid w:val="002E48EC"/>
    <w:rsid w:val="002E4B44"/>
    <w:rsid w:val="002E4ECB"/>
    <w:rsid w:val="002F3601"/>
    <w:rsid w:val="002F45F6"/>
    <w:rsid w:val="002F7B66"/>
    <w:rsid w:val="00300CB4"/>
    <w:rsid w:val="00300E24"/>
    <w:rsid w:val="003033BA"/>
    <w:rsid w:val="003043A3"/>
    <w:rsid w:val="0030500A"/>
    <w:rsid w:val="003052EB"/>
    <w:rsid w:val="00305FCB"/>
    <w:rsid w:val="00306B44"/>
    <w:rsid w:val="0031088E"/>
    <w:rsid w:val="00311376"/>
    <w:rsid w:val="00311A1F"/>
    <w:rsid w:val="00311B47"/>
    <w:rsid w:val="00311D52"/>
    <w:rsid w:val="003125E0"/>
    <w:rsid w:val="00313447"/>
    <w:rsid w:val="00313748"/>
    <w:rsid w:val="003161A4"/>
    <w:rsid w:val="00316955"/>
    <w:rsid w:val="0031720A"/>
    <w:rsid w:val="00317C9D"/>
    <w:rsid w:val="00317CD2"/>
    <w:rsid w:val="0032078D"/>
    <w:rsid w:val="0032137B"/>
    <w:rsid w:val="00321FA3"/>
    <w:rsid w:val="00322937"/>
    <w:rsid w:val="00325D98"/>
    <w:rsid w:val="00327A5C"/>
    <w:rsid w:val="0033092C"/>
    <w:rsid w:val="0033122A"/>
    <w:rsid w:val="003315AC"/>
    <w:rsid w:val="00331932"/>
    <w:rsid w:val="00335B15"/>
    <w:rsid w:val="00335B21"/>
    <w:rsid w:val="00336104"/>
    <w:rsid w:val="00336729"/>
    <w:rsid w:val="0033726D"/>
    <w:rsid w:val="00337CA8"/>
    <w:rsid w:val="0034177C"/>
    <w:rsid w:val="00342345"/>
    <w:rsid w:val="003432C8"/>
    <w:rsid w:val="003434B3"/>
    <w:rsid w:val="00343536"/>
    <w:rsid w:val="00344760"/>
    <w:rsid w:val="0034680A"/>
    <w:rsid w:val="003501E2"/>
    <w:rsid w:val="00351E10"/>
    <w:rsid w:val="00353DD5"/>
    <w:rsid w:val="00363857"/>
    <w:rsid w:val="00363D59"/>
    <w:rsid w:val="00365D3A"/>
    <w:rsid w:val="003664FF"/>
    <w:rsid w:val="003670B8"/>
    <w:rsid w:val="003706F2"/>
    <w:rsid w:val="0037124F"/>
    <w:rsid w:val="0037507B"/>
    <w:rsid w:val="00375C7C"/>
    <w:rsid w:val="00377135"/>
    <w:rsid w:val="00380272"/>
    <w:rsid w:val="00384DF1"/>
    <w:rsid w:val="00384FF3"/>
    <w:rsid w:val="00386456"/>
    <w:rsid w:val="003865A9"/>
    <w:rsid w:val="0039135E"/>
    <w:rsid w:val="00393CAE"/>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5391"/>
    <w:rsid w:val="003B65D7"/>
    <w:rsid w:val="003B6BD4"/>
    <w:rsid w:val="003B6F4D"/>
    <w:rsid w:val="003B6FE7"/>
    <w:rsid w:val="003C1AF4"/>
    <w:rsid w:val="003C1CB8"/>
    <w:rsid w:val="003C2550"/>
    <w:rsid w:val="003C287F"/>
    <w:rsid w:val="003C375A"/>
    <w:rsid w:val="003C4D9F"/>
    <w:rsid w:val="003C622C"/>
    <w:rsid w:val="003C73C7"/>
    <w:rsid w:val="003D050B"/>
    <w:rsid w:val="003D0DE5"/>
    <w:rsid w:val="003D1351"/>
    <w:rsid w:val="003D15D0"/>
    <w:rsid w:val="003D3B2E"/>
    <w:rsid w:val="003D49CB"/>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7343"/>
    <w:rsid w:val="00400002"/>
    <w:rsid w:val="00400054"/>
    <w:rsid w:val="00401B31"/>
    <w:rsid w:val="0040202B"/>
    <w:rsid w:val="00402DE1"/>
    <w:rsid w:val="00405487"/>
    <w:rsid w:val="0040602B"/>
    <w:rsid w:val="00407ABC"/>
    <w:rsid w:val="00407F1E"/>
    <w:rsid w:val="00410A88"/>
    <w:rsid w:val="00411317"/>
    <w:rsid w:val="0041259F"/>
    <w:rsid w:val="00412B4D"/>
    <w:rsid w:val="00412C51"/>
    <w:rsid w:val="00413262"/>
    <w:rsid w:val="0041329C"/>
    <w:rsid w:val="00413FFA"/>
    <w:rsid w:val="00414D9A"/>
    <w:rsid w:val="00415B88"/>
    <w:rsid w:val="004160A2"/>
    <w:rsid w:val="004170D7"/>
    <w:rsid w:val="004177A6"/>
    <w:rsid w:val="00417EFD"/>
    <w:rsid w:val="004200EE"/>
    <w:rsid w:val="00421FCB"/>
    <w:rsid w:val="00422DCA"/>
    <w:rsid w:val="00423F9F"/>
    <w:rsid w:val="00425C43"/>
    <w:rsid w:val="004273FA"/>
    <w:rsid w:val="00430186"/>
    <w:rsid w:val="0043269A"/>
    <w:rsid w:val="004333C2"/>
    <w:rsid w:val="00434787"/>
    <w:rsid w:val="0043683F"/>
    <w:rsid w:val="00436F40"/>
    <w:rsid w:val="00440DB0"/>
    <w:rsid w:val="00440FAD"/>
    <w:rsid w:val="004420AB"/>
    <w:rsid w:val="004422D6"/>
    <w:rsid w:val="00442D4D"/>
    <w:rsid w:val="00443D27"/>
    <w:rsid w:val="00446037"/>
    <w:rsid w:val="0044642F"/>
    <w:rsid w:val="0044772C"/>
    <w:rsid w:val="0045271D"/>
    <w:rsid w:val="00452803"/>
    <w:rsid w:val="004529C6"/>
    <w:rsid w:val="004534D1"/>
    <w:rsid w:val="00454717"/>
    <w:rsid w:val="00455354"/>
    <w:rsid w:val="0045558D"/>
    <w:rsid w:val="00456970"/>
    <w:rsid w:val="00456DDB"/>
    <w:rsid w:val="00461E97"/>
    <w:rsid w:val="0046268F"/>
    <w:rsid w:val="00462B10"/>
    <w:rsid w:val="00462C04"/>
    <w:rsid w:val="004638E2"/>
    <w:rsid w:val="00464030"/>
    <w:rsid w:val="004647F8"/>
    <w:rsid w:val="00465677"/>
    <w:rsid w:val="00466616"/>
    <w:rsid w:val="00466A0C"/>
    <w:rsid w:val="00470A6A"/>
    <w:rsid w:val="00470D92"/>
    <w:rsid w:val="0047483A"/>
    <w:rsid w:val="00475C5A"/>
    <w:rsid w:val="00475C9C"/>
    <w:rsid w:val="0047676B"/>
    <w:rsid w:val="0047773C"/>
    <w:rsid w:val="00480050"/>
    <w:rsid w:val="004808DE"/>
    <w:rsid w:val="00481DC1"/>
    <w:rsid w:val="00482507"/>
    <w:rsid w:val="0048268A"/>
    <w:rsid w:val="004835CA"/>
    <w:rsid w:val="004836F8"/>
    <w:rsid w:val="004836FE"/>
    <w:rsid w:val="004861B4"/>
    <w:rsid w:val="00486BD0"/>
    <w:rsid w:val="00486D00"/>
    <w:rsid w:val="00487263"/>
    <w:rsid w:val="0049029D"/>
    <w:rsid w:val="004912A8"/>
    <w:rsid w:val="0049241A"/>
    <w:rsid w:val="00492C1F"/>
    <w:rsid w:val="00492E4C"/>
    <w:rsid w:val="00493E04"/>
    <w:rsid w:val="004940E3"/>
    <w:rsid w:val="00496786"/>
    <w:rsid w:val="0049695B"/>
    <w:rsid w:val="00496D8F"/>
    <w:rsid w:val="00497463"/>
    <w:rsid w:val="004A054C"/>
    <w:rsid w:val="004A08D1"/>
    <w:rsid w:val="004A34D2"/>
    <w:rsid w:val="004A4301"/>
    <w:rsid w:val="004A59B7"/>
    <w:rsid w:val="004A623B"/>
    <w:rsid w:val="004A6A52"/>
    <w:rsid w:val="004B0F0B"/>
    <w:rsid w:val="004B2197"/>
    <w:rsid w:val="004B298A"/>
    <w:rsid w:val="004B578D"/>
    <w:rsid w:val="004B5BE7"/>
    <w:rsid w:val="004B5E2D"/>
    <w:rsid w:val="004B6C07"/>
    <w:rsid w:val="004B788E"/>
    <w:rsid w:val="004B7E5D"/>
    <w:rsid w:val="004C22F7"/>
    <w:rsid w:val="004C3929"/>
    <w:rsid w:val="004C5EF0"/>
    <w:rsid w:val="004C7226"/>
    <w:rsid w:val="004C7D70"/>
    <w:rsid w:val="004D02F9"/>
    <w:rsid w:val="004D36AF"/>
    <w:rsid w:val="004D3BD1"/>
    <w:rsid w:val="004D4BA1"/>
    <w:rsid w:val="004D584D"/>
    <w:rsid w:val="004D6826"/>
    <w:rsid w:val="004E023F"/>
    <w:rsid w:val="004E0742"/>
    <w:rsid w:val="004E0C64"/>
    <w:rsid w:val="004E0F6B"/>
    <w:rsid w:val="004E2A35"/>
    <w:rsid w:val="004E40CE"/>
    <w:rsid w:val="004E5B36"/>
    <w:rsid w:val="004E6F43"/>
    <w:rsid w:val="004E7200"/>
    <w:rsid w:val="004F0960"/>
    <w:rsid w:val="004F0A5C"/>
    <w:rsid w:val="004F163F"/>
    <w:rsid w:val="004F18A0"/>
    <w:rsid w:val="004F1A08"/>
    <w:rsid w:val="004F3764"/>
    <w:rsid w:val="004F3EEF"/>
    <w:rsid w:val="004F5930"/>
    <w:rsid w:val="004F6121"/>
    <w:rsid w:val="004F66BC"/>
    <w:rsid w:val="004F6C26"/>
    <w:rsid w:val="0050062F"/>
    <w:rsid w:val="0050284E"/>
    <w:rsid w:val="005075CA"/>
    <w:rsid w:val="0051074C"/>
    <w:rsid w:val="00511CD6"/>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FD2"/>
    <w:rsid w:val="00525621"/>
    <w:rsid w:val="00526431"/>
    <w:rsid w:val="00530522"/>
    <w:rsid w:val="005305E5"/>
    <w:rsid w:val="00530F38"/>
    <w:rsid w:val="00531F26"/>
    <w:rsid w:val="0053277C"/>
    <w:rsid w:val="005327C0"/>
    <w:rsid w:val="00533101"/>
    <w:rsid w:val="00533CA9"/>
    <w:rsid w:val="00534B59"/>
    <w:rsid w:val="00534EFB"/>
    <w:rsid w:val="00534F60"/>
    <w:rsid w:val="00536053"/>
    <w:rsid w:val="005369E6"/>
    <w:rsid w:val="005371AC"/>
    <w:rsid w:val="00537672"/>
    <w:rsid w:val="0053772F"/>
    <w:rsid w:val="00537B77"/>
    <w:rsid w:val="0054275A"/>
    <w:rsid w:val="0054413A"/>
    <w:rsid w:val="00544288"/>
    <w:rsid w:val="005446BB"/>
    <w:rsid w:val="00545E30"/>
    <w:rsid w:val="005473C0"/>
    <w:rsid w:val="00551598"/>
    <w:rsid w:val="0055162B"/>
    <w:rsid w:val="00551D68"/>
    <w:rsid w:val="005551AA"/>
    <w:rsid w:val="005564CA"/>
    <w:rsid w:val="00557140"/>
    <w:rsid w:val="00560C87"/>
    <w:rsid w:val="0056182B"/>
    <w:rsid w:val="00561AF3"/>
    <w:rsid w:val="00561E0B"/>
    <w:rsid w:val="00562141"/>
    <w:rsid w:val="00564704"/>
    <w:rsid w:val="00564712"/>
    <w:rsid w:val="005657A8"/>
    <w:rsid w:val="00567AB8"/>
    <w:rsid w:val="00570A26"/>
    <w:rsid w:val="00572539"/>
    <w:rsid w:val="0057337D"/>
    <w:rsid w:val="00574708"/>
    <w:rsid w:val="005756AA"/>
    <w:rsid w:val="0058040C"/>
    <w:rsid w:val="00580D6D"/>
    <w:rsid w:val="005813DE"/>
    <w:rsid w:val="00581796"/>
    <w:rsid w:val="00581B45"/>
    <w:rsid w:val="00582480"/>
    <w:rsid w:val="0058290E"/>
    <w:rsid w:val="00582CAB"/>
    <w:rsid w:val="0058375E"/>
    <w:rsid w:val="005855AE"/>
    <w:rsid w:val="00585CA8"/>
    <w:rsid w:val="00586412"/>
    <w:rsid w:val="005864B9"/>
    <w:rsid w:val="00591C03"/>
    <w:rsid w:val="00591E2A"/>
    <w:rsid w:val="005923C4"/>
    <w:rsid w:val="00593F75"/>
    <w:rsid w:val="005940A0"/>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4948"/>
    <w:rsid w:val="005B501D"/>
    <w:rsid w:val="005B54CC"/>
    <w:rsid w:val="005B74AD"/>
    <w:rsid w:val="005C0429"/>
    <w:rsid w:val="005C1954"/>
    <w:rsid w:val="005C1C0B"/>
    <w:rsid w:val="005C2011"/>
    <w:rsid w:val="005C5011"/>
    <w:rsid w:val="005C57BA"/>
    <w:rsid w:val="005C5C52"/>
    <w:rsid w:val="005C5D3D"/>
    <w:rsid w:val="005C7F3E"/>
    <w:rsid w:val="005D2044"/>
    <w:rsid w:val="005D2EB2"/>
    <w:rsid w:val="005D2F48"/>
    <w:rsid w:val="005D464B"/>
    <w:rsid w:val="005D49F0"/>
    <w:rsid w:val="005D51FA"/>
    <w:rsid w:val="005D53E8"/>
    <w:rsid w:val="005D5A9D"/>
    <w:rsid w:val="005D6651"/>
    <w:rsid w:val="005D691D"/>
    <w:rsid w:val="005D6A72"/>
    <w:rsid w:val="005D791B"/>
    <w:rsid w:val="005D7F92"/>
    <w:rsid w:val="005E1595"/>
    <w:rsid w:val="005E1F1D"/>
    <w:rsid w:val="005E3278"/>
    <w:rsid w:val="005F305B"/>
    <w:rsid w:val="005F4481"/>
    <w:rsid w:val="005F4A58"/>
    <w:rsid w:val="005F5888"/>
    <w:rsid w:val="005F6CE2"/>
    <w:rsid w:val="005F72E9"/>
    <w:rsid w:val="00600473"/>
    <w:rsid w:val="006035F5"/>
    <w:rsid w:val="006047D1"/>
    <w:rsid w:val="00604A55"/>
    <w:rsid w:val="00606908"/>
    <w:rsid w:val="00607A37"/>
    <w:rsid w:val="0061085E"/>
    <w:rsid w:val="00611398"/>
    <w:rsid w:val="00612322"/>
    <w:rsid w:val="0061401F"/>
    <w:rsid w:val="00614817"/>
    <w:rsid w:val="0061591D"/>
    <w:rsid w:val="0061604C"/>
    <w:rsid w:val="00616C2B"/>
    <w:rsid w:val="006178D1"/>
    <w:rsid w:val="00620719"/>
    <w:rsid w:val="006212C9"/>
    <w:rsid w:val="00622470"/>
    <w:rsid w:val="00622725"/>
    <w:rsid w:val="006231AA"/>
    <w:rsid w:val="00623482"/>
    <w:rsid w:val="00623AC2"/>
    <w:rsid w:val="006266D7"/>
    <w:rsid w:val="006274AD"/>
    <w:rsid w:val="00627532"/>
    <w:rsid w:val="006302AA"/>
    <w:rsid w:val="006310C3"/>
    <w:rsid w:val="0063161E"/>
    <w:rsid w:val="00631BB5"/>
    <w:rsid w:val="00631DD0"/>
    <w:rsid w:val="00633DBF"/>
    <w:rsid w:val="00634122"/>
    <w:rsid w:val="00635E32"/>
    <w:rsid w:val="006365DE"/>
    <w:rsid w:val="00637836"/>
    <w:rsid w:val="00637C26"/>
    <w:rsid w:val="00641078"/>
    <w:rsid w:val="00641242"/>
    <w:rsid w:val="00646B20"/>
    <w:rsid w:val="00646D0F"/>
    <w:rsid w:val="00652E70"/>
    <w:rsid w:val="00653469"/>
    <w:rsid w:val="00654A38"/>
    <w:rsid w:val="00654AB3"/>
    <w:rsid w:val="00655301"/>
    <w:rsid w:val="00655371"/>
    <w:rsid w:val="006573EA"/>
    <w:rsid w:val="00661029"/>
    <w:rsid w:val="0066135A"/>
    <w:rsid w:val="0066272D"/>
    <w:rsid w:val="00664351"/>
    <w:rsid w:val="00665968"/>
    <w:rsid w:val="00665BF7"/>
    <w:rsid w:val="00666178"/>
    <w:rsid w:val="00666C72"/>
    <w:rsid w:val="00666E6C"/>
    <w:rsid w:val="00667ED8"/>
    <w:rsid w:val="0067064C"/>
    <w:rsid w:val="00670B20"/>
    <w:rsid w:val="00670E12"/>
    <w:rsid w:val="00672E80"/>
    <w:rsid w:val="006739E4"/>
    <w:rsid w:val="0067426B"/>
    <w:rsid w:val="00674A1B"/>
    <w:rsid w:val="006754F8"/>
    <w:rsid w:val="00676127"/>
    <w:rsid w:val="00676AED"/>
    <w:rsid w:val="00677F26"/>
    <w:rsid w:val="006811C9"/>
    <w:rsid w:val="006812CE"/>
    <w:rsid w:val="00682C89"/>
    <w:rsid w:val="00685E7B"/>
    <w:rsid w:val="00686551"/>
    <w:rsid w:val="006908DB"/>
    <w:rsid w:val="00691DE9"/>
    <w:rsid w:val="00693772"/>
    <w:rsid w:val="00694160"/>
    <w:rsid w:val="00696A05"/>
    <w:rsid w:val="00697665"/>
    <w:rsid w:val="00697C9A"/>
    <w:rsid w:val="00697E68"/>
    <w:rsid w:val="006A0274"/>
    <w:rsid w:val="006A2A43"/>
    <w:rsid w:val="006A2F9A"/>
    <w:rsid w:val="006A34E4"/>
    <w:rsid w:val="006A3A5A"/>
    <w:rsid w:val="006A44CF"/>
    <w:rsid w:val="006A55EE"/>
    <w:rsid w:val="006A59DE"/>
    <w:rsid w:val="006A63A4"/>
    <w:rsid w:val="006A6655"/>
    <w:rsid w:val="006A7CB5"/>
    <w:rsid w:val="006A7FD0"/>
    <w:rsid w:val="006B2534"/>
    <w:rsid w:val="006B2CB2"/>
    <w:rsid w:val="006B67AC"/>
    <w:rsid w:val="006C003A"/>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687"/>
    <w:rsid w:val="006D7D1F"/>
    <w:rsid w:val="006D7D8A"/>
    <w:rsid w:val="006E0572"/>
    <w:rsid w:val="006E08EE"/>
    <w:rsid w:val="006E39D1"/>
    <w:rsid w:val="006E437F"/>
    <w:rsid w:val="006E4D5B"/>
    <w:rsid w:val="006E602F"/>
    <w:rsid w:val="006E77B8"/>
    <w:rsid w:val="006F15CC"/>
    <w:rsid w:val="006F4147"/>
    <w:rsid w:val="006F4CB0"/>
    <w:rsid w:val="006F547E"/>
    <w:rsid w:val="006F5CCF"/>
    <w:rsid w:val="006F726D"/>
    <w:rsid w:val="0070138A"/>
    <w:rsid w:val="0070157E"/>
    <w:rsid w:val="007030D4"/>
    <w:rsid w:val="00703B61"/>
    <w:rsid w:val="00703E11"/>
    <w:rsid w:val="00704102"/>
    <w:rsid w:val="0070461C"/>
    <w:rsid w:val="00705631"/>
    <w:rsid w:val="00705F62"/>
    <w:rsid w:val="00707ED3"/>
    <w:rsid w:val="00710668"/>
    <w:rsid w:val="007110F4"/>
    <w:rsid w:val="007112B1"/>
    <w:rsid w:val="0071130F"/>
    <w:rsid w:val="00712714"/>
    <w:rsid w:val="007129AB"/>
    <w:rsid w:val="00712B63"/>
    <w:rsid w:val="00713FC5"/>
    <w:rsid w:val="00715C29"/>
    <w:rsid w:val="00715EAA"/>
    <w:rsid w:val="00716CAD"/>
    <w:rsid w:val="00717363"/>
    <w:rsid w:val="00717ACB"/>
    <w:rsid w:val="00724635"/>
    <w:rsid w:val="0072554B"/>
    <w:rsid w:val="00725AFD"/>
    <w:rsid w:val="00726071"/>
    <w:rsid w:val="00726603"/>
    <w:rsid w:val="00727DDC"/>
    <w:rsid w:val="00730CD6"/>
    <w:rsid w:val="00730F74"/>
    <w:rsid w:val="0073114B"/>
    <w:rsid w:val="00734990"/>
    <w:rsid w:val="00734FF5"/>
    <w:rsid w:val="00735B78"/>
    <w:rsid w:val="00735DA7"/>
    <w:rsid w:val="007378E0"/>
    <w:rsid w:val="00740529"/>
    <w:rsid w:val="00741626"/>
    <w:rsid w:val="00742DD2"/>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22E8"/>
    <w:rsid w:val="00754A0B"/>
    <w:rsid w:val="007552DB"/>
    <w:rsid w:val="0075647A"/>
    <w:rsid w:val="007573E1"/>
    <w:rsid w:val="00757B2D"/>
    <w:rsid w:val="00757D62"/>
    <w:rsid w:val="00760867"/>
    <w:rsid w:val="00760EB6"/>
    <w:rsid w:val="007616DB"/>
    <w:rsid w:val="0076228A"/>
    <w:rsid w:val="00762440"/>
    <w:rsid w:val="007634AD"/>
    <w:rsid w:val="007678B1"/>
    <w:rsid w:val="007708A8"/>
    <w:rsid w:val="00773BC8"/>
    <w:rsid w:val="0077466F"/>
    <w:rsid w:val="007752B7"/>
    <w:rsid w:val="007759A8"/>
    <w:rsid w:val="00775D98"/>
    <w:rsid w:val="00776FE5"/>
    <w:rsid w:val="007774E7"/>
    <w:rsid w:val="0077768C"/>
    <w:rsid w:val="00777FF4"/>
    <w:rsid w:val="00780251"/>
    <w:rsid w:val="00780F32"/>
    <w:rsid w:val="0078122E"/>
    <w:rsid w:val="00781939"/>
    <w:rsid w:val="007825EF"/>
    <w:rsid w:val="00782D2C"/>
    <w:rsid w:val="00786FAD"/>
    <w:rsid w:val="00787F5E"/>
    <w:rsid w:val="00790164"/>
    <w:rsid w:val="00790A24"/>
    <w:rsid w:val="00790A60"/>
    <w:rsid w:val="00791FF0"/>
    <w:rsid w:val="007923D0"/>
    <w:rsid w:val="0079381F"/>
    <w:rsid w:val="00795647"/>
    <w:rsid w:val="007963F6"/>
    <w:rsid w:val="00796E80"/>
    <w:rsid w:val="007979AD"/>
    <w:rsid w:val="007A2341"/>
    <w:rsid w:val="007A38A1"/>
    <w:rsid w:val="007A3BBE"/>
    <w:rsid w:val="007B0313"/>
    <w:rsid w:val="007B0854"/>
    <w:rsid w:val="007B1D1B"/>
    <w:rsid w:val="007B32F7"/>
    <w:rsid w:val="007B3659"/>
    <w:rsid w:val="007B4828"/>
    <w:rsid w:val="007B4D4A"/>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7CFC"/>
    <w:rsid w:val="007E2C36"/>
    <w:rsid w:val="007E350D"/>
    <w:rsid w:val="007E5C4A"/>
    <w:rsid w:val="007E64D4"/>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635"/>
    <w:rsid w:val="007F785F"/>
    <w:rsid w:val="007F7E36"/>
    <w:rsid w:val="0080153A"/>
    <w:rsid w:val="008022C9"/>
    <w:rsid w:val="00802F9E"/>
    <w:rsid w:val="00803D9D"/>
    <w:rsid w:val="008059C6"/>
    <w:rsid w:val="00805AD7"/>
    <w:rsid w:val="00805BD6"/>
    <w:rsid w:val="00806AE6"/>
    <w:rsid w:val="00807C35"/>
    <w:rsid w:val="008100F7"/>
    <w:rsid w:val="00810206"/>
    <w:rsid w:val="00813A7B"/>
    <w:rsid w:val="00815DA5"/>
    <w:rsid w:val="00816221"/>
    <w:rsid w:val="0081766B"/>
    <w:rsid w:val="00820705"/>
    <w:rsid w:val="00820CBF"/>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3430"/>
    <w:rsid w:val="0083417F"/>
    <w:rsid w:val="00835143"/>
    <w:rsid w:val="00835741"/>
    <w:rsid w:val="00836E74"/>
    <w:rsid w:val="00836EAB"/>
    <w:rsid w:val="00837937"/>
    <w:rsid w:val="00837D82"/>
    <w:rsid w:val="00840893"/>
    <w:rsid w:val="008423EC"/>
    <w:rsid w:val="00843615"/>
    <w:rsid w:val="00843B57"/>
    <w:rsid w:val="00843D33"/>
    <w:rsid w:val="00844D4F"/>
    <w:rsid w:val="00845AE3"/>
    <w:rsid w:val="008466A0"/>
    <w:rsid w:val="00847535"/>
    <w:rsid w:val="0085092D"/>
    <w:rsid w:val="00850F79"/>
    <w:rsid w:val="0085100B"/>
    <w:rsid w:val="0085304C"/>
    <w:rsid w:val="00856A01"/>
    <w:rsid w:val="00856C06"/>
    <w:rsid w:val="00857C95"/>
    <w:rsid w:val="00857E78"/>
    <w:rsid w:val="0086122C"/>
    <w:rsid w:val="00861310"/>
    <w:rsid w:val="00861F53"/>
    <w:rsid w:val="00863F8A"/>
    <w:rsid w:val="00863FE3"/>
    <w:rsid w:val="00864241"/>
    <w:rsid w:val="0086468A"/>
    <w:rsid w:val="008650BE"/>
    <w:rsid w:val="0086633B"/>
    <w:rsid w:val="00866931"/>
    <w:rsid w:val="00867512"/>
    <w:rsid w:val="00871E3C"/>
    <w:rsid w:val="00874915"/>
    <w:rsid w:val="00874B89"/>
    <w:rsid w:val="00875403"/>
    <w:rsid w:val="00876215"/>
    <w:rsid w:val="00877932"/>
    <w:rsid w:val="0088106B"/>
    <w:rsid w:val="0088107D"/>
    <w:rsid w:val="00881E64"/>
    <w:rsid w:val="00882E39"/>
    <w:rsid w:val="008850EB"/>
    <w:rsid w:val="00886FB9"/>
    <w:rsid w:val="0089107B"/>
    <w:rsid w:val="008914AE"/>
    <w:rsid w:val="008919CF"/>
    <w:rsid w:val="00891F84"/>
    <w:rsid w:val="008928EC"/>
    <w:rsid w:val="008935CF"/>
    <w:rsid w:val="008959C6"/>
    <w:rsid w:val="00896129"/>
    <w:rsid w:val="0089774F"/>
    <w:rsid w:val="00897B8F"/>
    <w:rsid w:val="008A00D9"/>
    <w:rsid w:val="008A2A23"/>
    <w:rsid w:val="008A3F9D"/>
    <w:rsid w:val="008A5474"/>
    <w:rsid w:val="008A6A55"/>
    <w:rsid w:val="008A6F6E"/>
    <w:rsid w:val="008A796E"/>
    <w:rsid w:val="008B0862"/>
    <w:rsid w:val="008B088C"/>
    <w:rsid w:val="008B1BF5"/>
    <w:rsid w:val="008B263F"/>
    <w:rsid w:val="008B47A6"/>
    <w:rsid w:val="008B672C"/>
    <w:rsid w:val="008C0743"/>
    <w:rsid w:val="008C0B4C"/>
    <w:rsid w:val="008C11F0"/>
    <w:rsid w:val="008C1DBA"/>
    <w:rsid w:val="008C24E7"/>
    <w:rsid w:val="008C2CAC"/>
    <w:rsid w:val="008C3E2A"/>
    <w:rsid w:val="008C45BD"/>
    <w:rsid w:val="008C4B19"/>
    <w:rsid w:val="008C62D4"/>
    <w:rsid w:val="008D18AA"/>
    <w:rsid w:val="008D3B85"/>
    <w:rsid w:val="008D462D"/>
    <w:rsid w:val="008D66CA"/>
    <w:rsid w:val="008D69B1"/>
    <w:rsid w:val="008E0012"/>
    <w:rsid w:val="008E0DF7"/>
    <w:rsid w:val="008E16E0"/>
    <w:rsid w:val="008E1C15"/>
    <w:rsid w:val="008E44AB"/>
    <w:rsid w:val="008E7884"/>
    <w:rsid w:val="008E7D6E"/>
    <w:rsid w:val="008F1056"/>
    <w:rsid w:val="008F2E8D"/>
    <w:rsid w:val="008F387B"/>
    <w:rsid w:val="008F3DD9"/>
    <w:rsid w:val="008F4814"/>
    <w:rsid w:val="008F4DA6"/>
    <w:rsid w:val="008F538E"/>
    <w:rsid w:val="008F5ABA"/>
    <w:rsid w:val="008F7989"/>
    <w:rsid w:val="00902E5C"/>
    <w:rsid w:val="009046E5"/>
    <w:rsid w:val="009047C5"/>
    <w:rsid w:val="009072FB"/>
    <w:rsid w:val="009116CE"/>
    <w:rsid w:val="00911714"/>
    <w:rsid w:val="009136D4"/>
    <w:rsid w:val="00914B9A"/>
    <w:rsid w:val="00914C3F"/>
    <w:rsid w:val="00914F33"/>
    <w:rsid w:val="00915FCE"/>
    <w:rsid w:val="00916FC8"/>
    <w:rsid w:val="009170D3"/>
    <w:rsid w:val="0091759C"/>
    <w:rsid w:val="00920026"/>
    <w:rsid w:val="00921805"/>
    <w:rsid w:val="00923396"/>
    <w:rsid w:val="00923F56"/>
    <w:rsid w:val="00927E8D"/>
    <w:rsid w:val="00927F23"/>
    <w:rsid w:val="009307CD"/>
    <w:rsid w:val="00931451"/>
    <w:rsid w:val="009314FA"/>
    <w:rsid w:val="0093194F"/>
    <w:rsid w:val="00931BF3"/>
    <w:rsid w:val="00933333"/>
    <w:rsid w:val="0093349A"/>
    <w:rsid w:val="00933FCB"/>
    <w:rsid w:val="00937401"/>
    <w:rsid w:val="00937D6B"/>
    <w:rsid w:val="00940477"/>
    <w:rsid w:val="00940876"/>
    <w:rsid w:val="00940A53"/>
    <w:rsid w:val="00940F3C"/>
    <w:rsid w:val="009410E0"/>
    <w:rsid w:val="009444B4"/>
    <w:rsid w:val="009470D4"/>
    <w:rsid w:val="009533E2"/>
    <w:rsid w:val="0095385A"/>
    <w:rsid w:val="0095780A"/>
    <w:rsid w:val="00960BDB"/>
    <w:rsid w:val="0096147D"/>
    <w:rsid w:val="00961E5F"/>
    <w:rsid w:val="00962A50"/>
    <w:rsid w:val="00964138"/>
    <w:rsid w:val="00971441"/>
    <w:rsid w:val="009715D4"/>
    <w:rsid w:val="00974B58"/>
    <w:rsid w:val="009761ED"/>
    <w:rsid w:val="0098022F"/>
    <w:rsid w:val="009810DE"/>
    <w:rsid w:val="0098427D"/>
    <w:rsid w:val="00984567"/>
    <w:rsid w:val="009865D5"/>
    <w:rsid w:val="00987C77"/>
    <w:rsid w:val="00990345"/>
    <w:rsid w:val="0099137A"/>
    <w:rsid w:val="0099211C"/>
    <w:rsid w:val="00995119"/>
    <w:rsid w:val="009953AD"/>
    <w:rsid w:val="0099747C"/>
    <w:rsid w:val="0099771C"/>
    <w:rsid w:val="009A01E4"/>
    <w:rsid w:val="009A2435"/>
    <w:rsid w:val="009A38AB"/>
    <w:rsid w:val="009A5356"/>
    <w:rsid w:val="009A5468"/>
    <w:rsid w:val="009A5D99"/>
    <w:rsid w:val="009A608C"/>
    <w:rsid w:val="009A6FDF"/>
    <w:rsid w:val="009A76D6"/>
    <w:rsid w:val="009B2E29"/>
    <w:rsid w:val="009B422F"/>
    <w:rsid w:val="009B46BC"/>
    <w:rsid w:val="009C181C"/>
    <w:rsid w:val="009C28A2"/>
    <w:rsid w:val="009C3239"/>
    <w:rsid w:val="009C3828"/>
    <w:rsid w:val="009C523F"/>
    <w:rsid w:val="009C59BF"/>
    <w:rsid w:val="009C5E4F"/>
    <w:rsid w:val="009C5F82"/>
    <w:rsid w:val="009D0156"/>
    <w:rsid w:val="009D05DA"/>
    <w:rsid w:val="009D1A14"/>
    <w:rsid w:val="009D1E2A"/>
    <w:rsid w:val="009D1FA0"/>
    <w:rsid w:val="009D2BDF"/>
    <w:rsid w:val="009D604F"/>
    <w:rsid w:val="009D68BB"/>
    <w:rsid w:val="009D7ADB"/>
    <w:rsid w:val="009E0703"/>
    <w:rsid w:val="009E16DA"/>
    <w:rsid w:val="009E1CD4"/>
    <w:rsid w:val="009E2391"/>
    <w:rsid w:val="009E476A"/>
    <w:rsid w:val="009E4E05"/>
    <w:rsid w:val="009E56FF"/>
    <w:rsid w:val="009E5CB1"/>
    <w:rsid w:val="009E5E56"/>
    <w:rsid w:val="009E61EA"/>
    <w:rsid w:val="009E6FEE"/>
    <w:rsid w:val="009F060F"/>
    <w:rsid w:val="009F1BDF"/>
    <w:rsid w:val="009F369D"/>
    <w:rsid w:val="009F36FE"/>
    <w:rsid w:val="009F59C2"/>
    <w:rsid w:val="009F76EA"/>
    <w:rsid w:val="009F78EB"/>
    <w:rsid w:val="00A00A5C"/>
    <w:rsid w:val="00A01852"/>
    <w:rsid w:val="00A0188B"/>
    <w:rsid w:val="00A01E73"/>
    <w:rsid w:val="00A02B88"/>
    <w:rsid w:val="00A03160"/>
    <w:rsid w:val="00A041BC"/>
    <w:rsid w:val="00A046D2"/>
    <w:rsid w:val="00A04A54"/>
    <w:rsid w:val="00A066C3"/>
    <w:rsid w:val="00A06754"/>
    <w:rsid w:val="00A078FB"/>
    <w:rsid w:val="00A1036D"/>
    <w:rsid w:val="00A1069F"/>
    <w:rsid w:val="00A10ACA"/>
    <w:rsid w:val="00A12355"/>
    <w:rsid w:val="00A127D2"/>
    <w:rsid w:val="00A1500F"/>
    <w:rsid w:val="00A15621"/>
    <w:rsid w:val="00A15670"/>
    <w:rsid w:val="00A157A0"/>
    <w:rsid w:val="00A16809"/>
    <w:rsid w:val="00A20264"/>
    <w:rsid w:val="00A20997"/>
    <w:rsid w:val="00A21454"/>
    <w:rsid w:val="00A22025"/>
    <w:rsid w:val="00A22498"/>
    <w:rsid w:val="00A24560"/>
    <w:rsid w:val="00A25BBB"/>
    <w:rsid w:val="00A30368"/>
    <w:rsid w:val="00A30E02"/>
    <w:rsid w:val="00A30F6A"/>
    <w:rsid w:val="00A31C3E"/>
    <w:rsid w:val="00A34538"/>
    <w:rsid w:val="00A3540F"/>
    <w:rsid w:val="00A35630"/>
    <w:rsid w:val="00A37E73"/>
    <w:rsid w:val="00A37FB6"/>
    <w:rsid w:val="00A4104A"/>
    <w:rsid w:val="00A41081"/>
    <w:rsid w:val="00A411CA"/>
    <w:rsid w:val="00A426F3"/>
    <w:rsid w:val="00A42FDF"/>
    <w:rsid w:val="00A430A9"/>
    <w:rsid w:val="00A431FE"/>
    <w:rsid w:val="00A439E5"/>
    <w:rsid w:val="00A44F54"/>
    <w:rsid w:val="00A46574"/>
    <w:rsid w:val="00A53037"/>
    <w:rsid w:val="00A532B9"/>
    <w:rsid w:val="00A5351D"/>
    <w:rsid w:val="00A53E79"/>
    <w:rsid w:val="00A54031"/>
    <w:rsid w:val="00A55122"/>
    <w:rsid w:val="00A56DE7"/>
    <w:rsid w:val="00A60B1F"/>
    <w:rsid w:val="00A668BA"/>
    <w:rsid w:val="00A66FA7"/>
    <w:rsid w:val="00A70C5C"/>
    <w:rsid w:val="00A71EA7"/>
    <w:rsid w:val="00A73D64"/>
    <w:rsid w:val="00A74216"/>
    <w:rsid w:val="00A75504"/>
    <w:rsid w:val="00A77168"/>
    <w:rsid w:val="00A80085"/>
    <w:rsid w:val="00A8043B"/>
    <w:rsid w:val="00A81323"/>
    <w:rsid w:val="00A820CB"/>
    <w:rsid w:val="00A82342"/>
    <w:rsid w:val="00A8487F"/>
    <w:rsid w:val="00A93101"/>
    <w:rsid w:val="00A94293"/>
    <w:rsid w:val="00A94BDE"/>
    <w:rsid w:val="00A96C60"/>
    <w:rsid w:val="00A9740B"/>
    <w:rsid w:val="00A9766C"/>
    <w:rsid w:val="00A977F8"/>
    <w:rsid w:val="00AA08E7"/>
    <w:rsid w:val="00AA1351"/>
    <w:rsid w:val="00AA1C84"/>
    <w:rsid w:val="00AA3D7B"/>
    <w:rsid w:val="00AA42A0"/>
    <w:rsid w:val="00AA442B"/>
    <w:rsid w:val="00AA46A4"/>
    <w:rsid w:val="00AA5779"/>
    <w:rsid w:val="00AA61C7"/>
    <w:rsid w:val="00AA669D"/>
    <w:rsid w:val="00AA6BE1"/>
    <w:rsid w:val="00AA7416"/>
    <w:rsid w:val="00AB00FB"/>
    <w:rsid w:val="00AB14E8"/>
    <w:rsid w:val="00AB1B1D"/>
    <w:rsid w:val="00AB358D"/>
    <w:rsid w:val="00AB37A1"/>
    <w:rsid w:val="00AB3CFD"/>
    <w:rsid w:val="00AB49BC"/>
    <w:rsid w:val="00AB4E32"/>
    <w:rsid w:val="00AB726C"/>
    <w:rsid w:val="00AB72B4"/>
    <w:rsid w:val="00AC02AA"/>
    <w:rsid w:val="00AC0537"/>
    <w:rsid w:val="00AC2A0B"/>
    <w:rsid w:val="00AC2E53"/>
    <w:rsid w:val="00AD1EFA"/>
    <w:rsid w:val="00AD2072"/>
    <w:rsid w:val="00AD2FBF"/>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9DF"/>
    <w:rsid w:val="00AF26CF"/>
    <w:rsid w:val="00AF4E92"/>
    <w:rsid w:val="00AF5C9B"/>
    <w:rsid w:val="00AF5D53"/>
    <w:rsid w:val="00AF6CA6"/>
    <w:rsid w:val="00AF7796"/>
    <w:rsid w:val="00B011A9"/>
    <w:rsid w:val="00B033F8"/>
    <w:rsid w:val="00B04400"/>
    <w:rsid w:val="00B04835"/>
    <w:rsid w:val="00B05A55"/>
    <w:rsid w:val="00B05DE1"/>
    <w:rsid w:val="00B06595"/>
    <w:rsid w:val="00B10109"/>
    <w:rsid w:val="00B10FD1"/>
    <w:rsid w:val="00B12735"/>
    <w:rsid w:val="00B13E35"/>
    <w:rsid w:val="00B13EC0"/>
    <w:rsid w:val="00B14102"/>
    <w:rsid w:val="00B14D32"/>
    <w:rsid w:val="00B155DC"/>
    <w:rsid w:val="00B15766"/>
    <w:rsid w:val="00B1666A"/>
    <w:rsid w:val="00B1686D"/>
    <w:rsid w:val="00B17447"/>
    <w:rsid w:val="00B1771D"/>
    <w:rsid w:val="00B20209"/>
    <w:rsid w:val="00B203C9"/>
    <w:rsid w:val="00B22E22"/>
    <w:rsid w:val="00B23FD9"/>
    <w:rsid w:val="00B24591"/>
    <w:rsid w:val="00B245D5"/>
    <w:rsid w:val="00B24C36"/>
    <w:rsid w:val="00B24F94"/>
    <w:rsid w:val="00B25126"/>
    <w:rsid w:val="00B25FC3"/>
    <w:rsid w:val="00B27875"/>
    <w:rsid w:val="00B3008D"/>
    <w:rsid w:val="00B30E11"/>
    <w:rsid w:val="00B30EEB"/>
    <w:rsid w:val="00B31423"/>
    <w:rsid w:val="00B323E0"/>
    <w:rsid w:val="00B3346C"/>
    <w:rsid w:val="00B33C23"/>
    <w:rsid w:val="00B345B4"/>
    <w:rsid w:val="00B348B1"/>
    <w:rsid w:val="00B34A28"/>
    <w:rsid w:val="00B35046"/>
    <w:rsid w:val="00B35B6A"/>
    <w:rsid w:val="00B37657"/>
    <w:rsid w:val="00B37B07"/>
    <w:rsid w:val="00B4046F"/>
    <w:rsid w:val="00B426E1"/>
    <w:rsid w:val="00B44746"/>
    <w:rsid w:val="00B44854"/>
    <w:rsid w:val="00B4792C"/>
    <w:rsid w:val="00B50CAE"/>
    <w:rsid w:val="00B512AD"/>
    <w:rsid w:val="00B5196C"/>
    <w:rsid w:val="00B525CB"/>
    <w:rsid w:val="00B52697"/>
    <w:rsid w:val="00B54D8F"/>
    <w:rsid w:val="00B56851"/>
    <w:rsid w:val="00B572F7"/>
    <w:rsid w:val="00B57DAF"/>
    <w:rsid w:val="00B6022C"/>
    <w:rsid w:val="00B614F8"/>
    <w:rsid w:val="00B61994"/>
    <w:rsid w:val="00B63872"/>
    <w:rsid w:val="00B63CB2"/>
    <w:rsid w:val="00B64246"/>
    <w:rsid w:val="00B64EDB"/>
    <w:rsid w:val="00B65938"/>
    <w:rsid w:val="00B65C8A"/>
    <w:rsid w:val="00B66109"/>
    <w:rsid w:val="00B66349"/>
    <w:rsid w:val="00B72B91"/>
    <w:rsid w:val="00B73019"/>
    <w:rsid w:val="00B7315F"/>
    <w:rsid w:val="00B74D05"/>
    <w:rsid w:val="00B777FA"/>
    <w:rsid w:val="00B77850"/>
    <w:rsid w:val="00B7796B"/>
    <w:rsid w:val="00B81964"/>
    <w:rsid w:val="00B81E6F"/>
    <w:rsid w:val="00B82BB5"/>
    <w:rsid w:val="00B84232"/>
    <w:rsid w:val="00B851E4"/>
    <w:rsid w:val="00B854CE"/>
    <w:rsid w:val="00B86877"/>
    <w:rsid w:val="00B8695D"/>
    <w:rsid w:val="00B86E66"/>
    <w:rsid w:val="00B873BA"/>
    <w:rsid w:val="00B87706"/>
    <w:rsid w:val="00B9138F"/>
    <w:rsid w:val="00B91B8E"/>
    <w:rsid w:val="00B92531"/>
    <w:rsid w:val="00B92618"/>
    <w:rsid w:val="00B92CC6"/>
    <w:rsid w:val="00B93E3D"/>
    <w:rsid w:val="00B95464"/>
    <w:rsid w:val="00B95E3D"/>
    <w:rsid w:val="00B9691F"/>
    <w:rsid w:val="00BA0C54"/>
    <w:rsid w:val="00BA1382"/>
    <w:rsid w:val="00BA20D8"/>
    <w:rsid w:val="00BA22FC"/>
    <w:rsid w:val="00BA2F30"/>
    <w:rsid w:val="00BA4771"/>
    <w:rsid w:val="00BA7370"/>
    <w:rsid w:val="00BA778B"/>
    <w:rsid w:val="00BB0888"/>
    <w:rsid w:val="00BB0E9B"/>
    <w:rsid w:val="00BB300F"/>
    <w:rsid w:val="00BB32C9"/>
    <w:rsid w:val="00BB35C5"/>
    <w:rsid w:val="00BB4C8E"/>
    <w:rsid w:val="00BB57ED"/>
    <w:rsid w:val="00BB65C3"/>
    <w:rsid w:val="00BB6C01"/>
    <w:rsid w:val="00BB7CD1"/>
    <w:rsid w:val="00BC17CC"/>
    <w:rsid w:val="00BC2898"/>
    <w:rsid w:val="00BC2928"/>
    <w:rsid w:val="00BC2BB1"/>
    <w:rsid w:val="00BC3FF9"/>
    <w:rsid w:val="00BC4A97"/>
    <w:rsid w:val="00BC68B4"/>
    <w:rsid w:val="00BD02CC"/>
    <w:rsid w:val="00BD33D9"/>
    <w:rsid w:val="00BD3DEA"/>
    <w:rsid w:val="00BD3E97"/>
    <w:rsid w:val="00BD52FE"/>
    <w:rsid w:val="00BD62CF"/>
    <w:rsid w:val="00BD78FE"/>
    <w:rsid w:val="00BE0767"/>
    <w:rsid w:val="00BE12D7"/>
    <w:rsid w:val="00BE18DA"/>
    <w:rsid w:val="00BE26C0"/>
    <w:rsid w:val="00BE47B2"/>
    <w:rsid w:val="00BE48C7"/>
    <w:rsid w:val="00BE4F66"/>
    <w:rsid w:val="00BE5238"/>
    <w:rsid w:val="00BE5333"/>
    <w:rsid w:val="00BE7257"/>
    <w:rsid w:val="00BF020D"/>
    <w:rsid w:val="00BF1DD2"/>
    <w:rsid w:val="00BF23A3"/>
    <w:rsid w:val="00BF2A7E"/>
    <w:rsid w:val="00BF2AD4"/>
    <w:rsid w:val="00BF3331"/>
    <w:rsid w:val="00BF5C05"/>
    <w:rsid w:val="00BF6FC6"/>
    <w:rsid w:val="00BF7C52"/>
    <w:rsid w:val="00BF7F99"/>
    <w:rsid w:val="00C00713"/>
    <w:rsid w:val="00C009A0"/>
    <w:rsid w:val="00C01F74"/>
    <w:rsid w:val="00C02558"/>
    <w:rsid w:val="00C0285F"/>
    <w:rsid w:val="00C03305"/>
    <w:rsid w:val="00C03738"/>
    <w:rsid w:val="00C037A6"/>
    <w:rsid w:val="00C04BDB"/>
    <w:rsid w:val="00C06CCF"/>
    <w:rsid w:val="00C1159D"/>
    <w:rsid w:val="00C12FB3"/>
    <w:rsid w:val="00C13D85"/>
    <w:rsid w:val="00C14E82"/>
    <w:rsid w:val="00C14FF6"/>
    <w:rsid w:val="00C1641B"/>
    <w:rsid w:val="00C165FC"/>
    <w:rsid w:val="00C2082C"/>
    <w:rsid w:val="00C22DDE"/>
    <w:rsid w:val="00C2338B"/>
    <w:rsid w:val="00C23A99"/>
    <w:rsid w:val="00C245EE"/>
    <w:rsid w:val="00C24B8D"/>
    <w:rsid w:val="00C24BD7"/>
    <w:rsid w:val="00C27143"/>
    <w:rsid w:val="00C27490"/>
    <w:rsid w:val="00C309E8"/>
    <w:rsid w:val="00C32017"/>
    <w:rsid w:val="00C325CD"/>
    <w:rsid w:val="00C3322E"/>
    <w:rsid w:val="00C33B90"/>
    <w:rsid w:val="00C34B5F"/>
    <w:rsid w:val="00C36785"/>
    <w:rsid w:val="00C3711C"/>
    <w:rsid w:val="00C37256"/>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2D98"/>
    <w:rsid w:val="00C547A6"/>
    <w:rsid w:val="00C54A3A"/>
    <w:rsid w:val="00C56A67"/>
    <w:rsid w:val="00C56CC2"/>
    <w:rsid w:val="00C5763C"/>
    <w:rsid w:val="00C5796B"/>
    <w:rsid w:val="00C619A1"/>
    <w:rsid w:val="00C6305F"/>
    <w:rsid w:val="00C6325B"/>
    <w:rsid w:val="00C63E99"/>
    <w:rsid w:val="00C64A64"/>
    <w:rsid w:val="00C65151"/>
    <w:rsid w:val="00C672A3"/>
    <w:rsid w:val="00C672F1"/>
    <w:rsid w:val="00C71E2A"/>
    <w:rsid w:val="00C733BA"/>
    <w:rsid w:val="00C8082B"/>
    <w:rsid w:val="00C81A88"/>
    <w:rsid w:val="00C81D46"/>
    <w:rsid w:val="00C82298"/>
    <w:rsid w:val="00C833B4"/>
    <w:rsid w:val="00C84284"/>
    <w:rsid w:val="00C861FC"/>
    <w:rsid w:val="00C9005E"/>
    <w:rsid w:val="00C90CA9"/>
    <w:rsid w:val="00C9193C"/>
    <w:rsid w:val="00C920E2"/>
    <w:rsid w:val="00C93765"/>
    <w:rsid w:val="00C93877"/>
    <w:rsid w:val="00C93D8C"/>
    <w:rsid w:val="00C959BD"/>
    <w:rsid w:val="00C95EC9"/>
    <w:rsid w:val="00CA0031"/>
    <w:rsid w:val="00CA0413"/>
    <w:rsid w:val="00CA5812"/>
    <w:rsid w:val="00CA5BD4"/>
    <w:rsid w:val="00CA5C14"/>
    <w:rsid w:val="00CA7E7B"/>
    <w:rsid w:val="00CB1FFE"/>
    <w:rsid w:val="00CB2D38"/>
    <w:rsid w:val="00CB4137"/>
    <w:rsid w:val="00CB52D0"/>
    <w:rsid w:val="00CB5578"/>
    <w:rsid w:val="00CB591C"/>
    <w:rsid w:val="00CB61B3"/>
    <w:rsid w:val="00CB6F83"/>
    <w:rsid w:val="00CB72AE"/>
    <w:rsid w:val="00CC00CD"/>
    <w:rsid w:val="00CC0AF3"/>
    <w:rsid w:val="00CC0BC6"/>
    <w:rsid w:val="00CC2514"/>
    <w:rsid w:val="00CC2F69"/>
    <w:rsid w:val="00CC315F"/>
    <w:rsid w:val="00CC40C3"/>
    <w:rsid w:val="00CC4E5D"/>
    <w:rsid w:val="00CC50AE"/>
    <w:rsid w:val="00CC69EC"/>
    <w:rsid w:val="00CC743D"/>
    <w:rsid w:val="00CD205D"/>
    <w:rsid w:val="00CD2A22"/>
    <w:rsid w:val="00CD2B50"/>
    <w:rsid w:val="00CD4506"/>
    <w:rsid w:val="00CD520B"/>
    <w:rsid w:val="00CD735F"/>
    <w:rsid w:val="00CD7EFA"/>
    <w:rsid w:val="00CE020E"/>
    <w:rsid w:val="00CE0566"/>
    <w:rsid w:val="00CE2761"/>
    <w:rsid w:val="00CE314E"/>
    <w:rsid w:val="00CE3E14"/>
    <w:rsid w:val="00CE44C7"/>
    <w:rsid w:val="00CE53CC"/>
    <w:rsid w:val="00CE65A7"/>
    <w:rsid w:val="00CE6EC4"/>
    <w:rsid w:val="00CE7F26"/>
    <w:rsid w:val="00CF1E1D"/>
    <w:rsid w:val="00CF35D0"/>
    <w:rsid w:val="00CF3DD5"/>
    <w:rsid w:val="00CF4AF7"/>
    <w:rsid w:val="00CF4D20"/>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B5F"/>
    <w:rsid w:val="00D16740"/>
    <w:rsid w:val="00D16A8B"/>
    <w:rsid w:val="00D16E39"/>
    <w:rsid w:val="00D17AD8"/>
    <w:rsid w:val="00D2104A"/>
    <w:rsid w:val="00D21BB5"/>
    <w:rsid w:val="00D21FFC"/>
    <w:rsid w:val="00D223B6"/>
    <w:rsid w:val="00D22DC8"/>
    <w:rsid w:val="00D2531C"/>
    <w:rsid w:val="00D2754F"/>
    <w:rsid w:val="00D279D9"/>
    <w:rsid w:val="00D312DC"/>
    <w:rsid w:val="00D31C6A"/>
    <w:rsid w:val="00D31EDF"/>
    <w:rsid w:val="00D31FF9"/>
    <w:rsid w:val="00D32256"/>
    <w:rsid w:val="00D32ABC"/>
    <w:rsid w:val="00D34F4E"/>
    <w:rsid w:val="00D357F3"/>
    <w:rsid w:val="00D35C0E"/>
    <w:rsid w:val="00D37147"/>
    <w:rsid w:val="00D373A8"/>
    <w:rsid w:val="00D401BE"/>
    <w:rsid w:val="00D41858"/>
    <w:rsid w:val="00D422DB"/>
    <w:rsid w:val="00D42AC2"/>
    <w:rsid w:val="00D466C9"/>
    <w:rsid w:val="00D52E2F"/>
    <w:rsid w:val="00D52F59"/>
    <w:rsid w:val="00D53E3E"/>
    <w:rsid w:val="00D5616F"/>
    <w:rsid w:val="00D57940"/>
    <w:rsid w:val="00D60327"/>
    <w:rsid w:val="00D61526"/>
    <w:rsid w:val="00D61F81"/>
    <w:rsid w:val="00D62BE6"/>
    <w:rsid w:val="00D63766"/>
    <w:rsid w:val="00D63912"/>
    <w:rsid w:val="00D6451B"/>
    <w:rsid w:val="00D64B57"/>
    <w:rsid w:val="00D65DEA"/>
    <w:rsid w:val="00D67BC7"/>
    <w:rsid w:val="00D70E00"/>
    <w:rsid w:val="00D715AC"/>
    <w:rsid w:val="00D71851"/>
    <w:rsid w:val="00D72E9D"/>
    <w:rsid w:val="00D73249"/>
    <w:rsid w:val="00D73419"/>
    <w:rsid w:val="00D73CA9"/>
    <w:rsid w:val="00D751B7"/>
    <w:rsid w:val="00D7524B"/>
    <w:rsid w:val="00D75396"/>
    <w:rsid w:val="00D75E99"/>
    <w:rsid w:val="00D766C7"/>
    <w:rsid w:val="00D7692B"/>
    <w:rsid w:val="00D7734F"/>
    <w:rsid w:val="00D8044C"/>
    <w:rsid w:val="00D805D6"/>
    <w:rsid w:val="00D80D4C"/>
    <w:rsid w:val="00D8184D"/>
    <w:rsid w:val="00D81A7B"/>
    <w:rsid w:val="00D8223C"/>
    <w:rsid w:val="00D82CE5"/>
    <w:rsid w:val="00D8342C"/>
    <w:rsid w:val="00D85494"/>
    <w:rsid w:val="00D8616D"/>
    <w:rsid w:val="00D915C8"/>
    <w:rsid w:val="00D9310B"/>
    <w:rsid w:val="00D93726"/>
    <w:rsid w:val="00D93F3E"/>
    <w:rsid w:val="00D9405B"/>
    <w:rsid w:val="00D95145"/>
    <w:rsid w:val="00D967CB"/>
    <w:rsid w:val="00D96EE0"/>
    <w:rsid w:val="00DA06B8"/>
    <w:rsid w:val="00DA2969"/>
    <w:rsid w:val="00DA29B7"/>
    <w:rsid w:val="00DA5989"/>
    <w:rsid w:val="00DA5AB1"/>
    <w:rsid w:val="00DA5F9D"/>
    <w:rsid w:val="00DA69B2"/>
    <w:rsid w:val="00DB03CC"/>
    <w:rsid w:val="00DB1745"/>
    <w:rsid w:val="00DB1AFF"/>
    <w:rsid w:val="00DB219A"/>
    <w:rsid w:val="00DB4292"/>
    <w:rsid w:val="00DB7117"/>
    <w:rsid w:val="00DB7760"/>
    <w:rsid w:val="00DB7DD4"/>
    <w:rsid w:val="00DC0954"/>
    <w:rsid w:val="00DC15BA"/>
    <w:rsid w:val="00DC18CD"/>
    <w:rsid w:val="00DC1A68"/>
    <w:rsid w:val="00DC30B8"/>
    <w:rsid w:val="00DC62E5"/>
    <w:rsid w:val="00DC6F33"/>
    <w:rsid w:val="00DC7349"/>
    <w:rsid w:val="00DD1599"/>
    <w:rsid w:val="00DD1B03"/>
    <w:rsid w:val="00DD2A62"/>
    <w:rsid w:val="00DD2F2F"/>
    <w:rsid w:val="00DD2F7A"/>
    <w:rsid w:val="00DD3885"/>
    <w:rsid w:val="00DD5946"/>
    <w:rsid w:val="00DD5B04"/>
    <w:rsid w:val="00DD5EC6"/>
    <w:rsid w:val="00DD605F"/>
    <w:rsid w:val="00DD735D"/>
    <w:rsid w:val="00DE082D"/>
    <w:rsid w:val="00DE3119"/>
    <w:rsid w:val="00DE3FF0"/>
    <w:rsid w:val="00DE4105"/>
    <w:rsid w:val="00DE5189"/>
    <w:rsid w:val="00DF0263"/>
    <w:rsid w:val="00DF1E36"/>
    <w:rsid w:val="00DF236B"/>
    <w:rsid w:val="00DF3889"/>
    <w:rsid w:val="00DF3CC9"/>
    <w:rsid w:val="00DF4451"/>
    <w:rsid w:val="00DF49FF"/>
    <w:rsid w:val="00DF4FFB"/>
    <w:rsid w:val="00DF5236"/>
    <w:rsid w:val="00DF62EC"/>
    <w:rsid w:val="00DF651F"/>
    <w:rsid w:val="00DF6F43"/>
    <w:rsid w:val="00DF752F"/>
    <w:rsid w:val="00DF76A2"/>
    <w:rsid w:val="00E02186"/>
    <w:rsid w:val="00E026BB"/>
    <w:rsid w:val="00E027C5"/>
    <w:rsid w:val="00E03951"/>
    <w:rsid w:val="00E05E70"/>
    <w:rsid w:val="00E064BC"/>
    <w:rsid w:val="00E109DD"/>
    <w:rsid w:val="00E11229"/>
    <w:rsid w:val="00E1397F"/>
    <w:rsid w:val="00E13AB8"/>
    <w:rsid w:val="00E1482E"/>
    <w:rsid w:val="00E1699C"/>
    <w:rsid w:val="00E16E75"/>
    <w:rsid w:val="00E23137"/>
    <w:rsid w:val="00E241E9"/>
    <w:rsid w:val="00E257C3"/>
    <w:rsid w:val="00E25CB3"/>
    <w:rsid w:val="00E25DA4"/>
    <w:rsid w:val="00E26FCF"/>
    <w:rsid w:val="00E27165"/>
    <w:rsid w:val="00E3044A"/>
    <w:rsid w:val="00E31A4A"/>
    <w:rsid w:val="00E3344A"/>
    <w:rsid w:val="00E33B62"/>
    <w:rsid w:val="00E3403D"/>
    <w:rsid w:val="00E34E6C"/>
    <w:rsid w:val="00E353E2"/>
    <w:rsid w:val="00E36345"/>
    <w:rsid w:val="00E36C86"/>
    <w:rsid w:val="00E36CEB"/>
    <w:rsid w:val="00E36E77"/>
    <w:rsid w:val="00E40690"/>
    <w:rsid w:val="00E41091"/>
    <w:rsid w:val="00E4143A"/>
    <w:rsid w:val="00E424C8"/>
    <w:rsid w:val="00E4251D"/>
    <w:rsid w:val="00E43D00"/>
    <w:rsid w:val="00E45529"/>
    <w:rsid w:val="00E457CB"/>
    <w:rsid w:val="00E45DE4"/>
    <w:rsid w:val="00E45E63"/>
    <w:rsid w:val="00E50A7B"/>
    <w:rsid w:val="00E510FE"/>
    <w:rsid w:val="00E521AE"/>
    <w:rsid w:val="00E53BCA"/>
    <w:rsid w:val="00E53F02"/>
    <w:rsid w:val="00E54534"/>
    <w:rsid w:val="00E54F27"/>
    <w:rsid w:val="00E55FF1"/>
    <w:rsid w:val="00E56090"/>
    <w:rsid w:val="00E565B9"/>
    <w:rsid w:val="00E5733B"/>
    <w:rsid w:val="00E601BE"/>
    <w:rsid w:val="00E60B5F"/>
    <w:rsid w:val="00E613AE"/>
    <w:rsid w:val="00E61ABB"/>
    <w:rsid w:val="00E623E6"/>
    <w:rsid w:val="00E630C0"/>
    <w:rsid w:val="00E634E6"/>
    <w:rsid w:val="00E65074"/>
    <w:rsid w:val="00E65E70"/>
    <w:rsid w:val="00E66087"/>
    <w:rsid w:val="00E66FF9"/>
    <w:rsid w:val="00E67856"/>
    <w:rsid w:val="00E724E7"/>
    <w:rsid w:val="00E73D03"/>
    <w:rsid w:val="00E77AF5"/>
    <w:rsid w:val="00E82C1F"/>
    <w:rsid w:val="00E84A71"/>
    <w:rsid w:val="00E86556"/>
    <w:rsid w:val="00E86DC2"/>
    <w:rsid w:val="00E9011F"/>
    <w:rsid w:val="00E906EB"/>
    <w:rsid w:val="00E92E62"/>
    <w:rsid w:val="00E95434"/>
    <w:rsid w:val="00E96467"/>
    <w:rsid w:val="00E96948"/>
    <w:rsid w:val="00E97A3F"/>
    <w:rsid w:val="00E97F0A"/>
    <w:rsid w:val="00EA2744"/>
    <w:rsid w:val="00EA37B9"/>
    <w:rsid w:val="00EA3DC2"/>
    <w:rsid w:val="00EA560B"/>
    <w:rsid w:val="00EA5669"/>
    <w:rsid w:val="00EA63EF"/>
    <w:rsid w:val="00EB0A89"/>
    <w:rsid w:val="00EB1910"/>
    <w:rsid w:val="00EB2E97"/>
    <w:rsid w:val="00EB52F4"/>
    <w:rsid w:val="00EB5779"/>
    <w:rsid w:val="00EB67F1"/>
    <w:rsid w:val="00EB72CD"/>
    <w:rsid w:val="00EB749A"/>
    <w:rsid w:val="00EB76B6"/>
    <w:rsid w:val="00EC05E2"/>
    <w:rsid w:val="00EC0E84"/>
    <w:rsid w:val="00EC16E2"/>
    <w:rsid w:val="00EC1CE7"/>
    <w:rsid w:val="00EC26F1"/>
    <w:rsid w:val="00EC366D"/>
    <w:rsid w:val="00EC3C94"/>
    <w:rsid w:val="00EC44DF"/>
    <w:rsid w:val="00EC4FB9"/>
    <w:rsid w:val="00EC5DA3"/>
    <w:rsid w:val="00EC6014"/>
    <w:rsid w:val="00EC6B3E"/>
    <w:rsid w:val="00EC7637"/>
    <w:rsid w:val="00ED046C"/>
    <w:rsid w:val="00ED053A"/>
    <w:rsid w:val="00ED1F03"/>
    <w:rsid w:val="00ED2D27"/>
    <w:rsid w:val="00ED3347"/>
    <w:rsid w:val="00ED4967"/>
    <w:rsid w:val="00ED587F"/>
    <w:rsid w:val="00ED5964"/>
    <w:rsid w:val="00ED72E9"/>
    <w:rsid w:val="00ED7FBC"/>
    <w:rsid w:val="00EE0253"/>
    <w:rsid w:val="00EE0297"/>
    <w:rsid w:val="00EE1668"/>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F00674"/>
    <w:rsid w:val="00F01657"/>
    <w:rsid w:val="00F02744"/>
    <w:rsid w:val="00F02D25"/>
    <w:rsid w:val="00F04580"/>
    <w:rsid w:val="00F04ECA"/>
    <w:rsid w:val="00F06F84"/>
    <w:rsid w:val="00F076E7"/>
    <w:rsid w:val="00F07AA1"/>
    <w:rsid w:val="00F1108B"/>
    <w:rsid w:val="00F11768"/>
    <w:rsid w:val="00F11951"/>
    <w:rsid w:val="00F12262"/>
    <w:rsid w:val="00F12AF8"/>
    <w:rsid w:val="00F148B7"/>
    <w:rsid w:val="00F15505"/>
    <w:rsid w:val="00F213A0"/>
    <w:rsid w:val="00F21D54"/>
    <w:rsid w:val="00F23113"/>
    <w:rsid w:val="00F23255"/>
    <w:rsid w:val="00F24644"/>
    <w:rsid w:val="00F30400"/>
    <w:rsid w:val="00F346ED"/>
    <w:rsid w:val="00F34945"/>
    <w:rsid w:val="00F34E1E"/>
    <w:rsid w:val="00F368FF"/>
    <w:rsid w:val="00F37068"/>
    <w:rsid w:val="00F40992"/>
    <w:rsid w:val="00F41596"/>
    <w:rsid w:val="00F41D8B"/>
    <w:rsid w:val="00F42121"/>
    <w:rsid w:val="00F428B4"/>
    <w:rsid w:val="00F4345D"/>
    <w:rsid w:val="00F4387B"/>
    <w:rsid w:val="00F45B91"/>
    <w:rsid w:val="00F46639"/>
    <w:rsid w:val="00F50183"/>
    <w:rsid w:val="00F51765"/>
    <w:rsid w:val="00F51A51"/>
    <w:rsid w:val="00F51CB4"/>
    <w:rsid w:val="00F52324"/>
    <w:rsid w:val="00F52C9D"/>
    <w:rsid w:val="00F55679"/>
    <w:rsid w:val="00F561E3"/>
    <w:rsid w:val="00F56AFA"/>
    <w:rsid w:val="00F575E2"/>
    <w:rsid w:val="00F579FF"/>
    <w:rsid w:val="00F605EC"/>
    <w:rsid w:val="00F60F60"/>
    <w:rsid w:val="00F624A7"/>
    <w:rsid w:val="00F67D8B"/>
    <w:rsid w:val="00F71397"/>
    <w:rsid w:val="00F72389"/>
    <w:rsid w:val="00F735E5"/>
    <w:rsid w:val="00F73E80"/>
    <w:rsid w:val="00F7469C"/>
    <w:rsid w:val="00F7492E"/>
    <w:rsid w:val="00F749A3"/>
    <w:rsid w:val="00F74AE8"/>
    <w:rsid w:val="00F843DF"/>
    <w:rsid w:val="00F84899"/>
    <w:rsid w:val="00F85585"/>
    <w:rsid w:val="00F859F0"/>
    <w:rsid w:val="00F86B5D"/>
    <w:rsid w:val="00F87C13"/>
    <w:rsid w:val="00F87E29"/>
    <w:rsid w:val="00F87F18"/>
    <w:rsid w:val="00F87F68"/>
    <w:rsid w:val="00F9289C"/>
    <w:rsid w:val="00F94644"/>
    <w:rsid w:val="00F9537B"/>
    <w:rsid w:val="00FA015F"/>
    <w:rsid w:val="00FA1DA2"/>
    <w:rsid w:val="00FA347A"/>
    <w:rsid w:val="00FA49B7"/>
    <w:rsid w:val="00FA7A30"/>
    <w:rsid w:val="00FB033F"/>
    <w:rsid w:val="00FB27B7"/>
    <w:rsid w:val="00FB35E3"/>
    <w:rsid w:val="00FB583C"/>
    <w:rsid w:val="00FB630E"/>
    <w:rsid w:val="00FB6738"/>
    <w:rsid w:val="00FB691B"/>
    <w:rsid w:val="00FB731C"/>
    <w:rsid w:val="00FC05A0"/>
    <w:rsid w:val="00FC0811"/>
    <w:rsid w:val="00FC1196"/>
    <w:rsid w:val="00FC15EB"/>
    <w:rsid w:val="00FC18DC"/>
    <w:rsid w:val="00FC2F73"/>
    <w:rsid w:val="00FC3A9B"/>
    <w:rsid w:val="00FC3AE1"/>
    <w:rsid w:val="00FC3EF4"/>
    <w:rsid w:val="00FC431B"/>
    <w:rsid w:val="00FC5CF4"/>
    <w:rsid w:val="00FC6A39"/>
    <w:rsid w:val="00FC79AB"/>
    <w:rsid w:val="00FC7DAC"/>
    <w:rsid w:val="00FD04AE"/>
    <w:rsid w:val="00FD1994"/>
    <w:rsid w:val="00FD393C"/>
    <w:rsid w:val="00FD4AF3"/>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D11"/>
    <w:rsid w:val="00FF5214"/>
    <w:rsid w:val="00FF5BFD"/>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AB00FB"/>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blob.core.windows.net/$web/files/conceptos-juridicos/CGR-OJ-0084-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1783</TotalTime>
  <Pages>30</Pages>
  <Words>9646</Words>
  <Characters>53057</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1151</cp:revision>
  <cp:lastPrinted>2020-01-30T15:05:00Z</cp:lastPrinted>
  <dcterms:created xsi:type="dcterms:W3CDTF">2020-08-06T16:35:00Z</dcterms:created>
  <dcterms:modified xsi:type="dcterms:W3CDTF">2020-10-08T19:34:00Z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