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A234A" w14:textId="77777777" w:rsidR="005E0653" w:rsidRPr="00823549" w:rsidRDefault="005E0653" w:rsidP="005E0653">
      <w:pPr>
        <w:spacing w:after="0" w:line="276" w:lineRule="auto"/>
        <w:jc w:val="both"/>
        <w:rPr>
          <w:rFonts w:ascii="Verdana" w:hAnsi="Verdana"/>
        </w:rPr>
      </w:pPr>
      <w:bookmarkStart w:id="0" w:name="_Hlk143780582"/>
      <w:r w:rsidRPr="00823549">
        <w:rPr>
          <w:rFonts w:ascii="Verdana" w:eastAsia="Calibri" w:hAnsi="Verdana" w:cs="Arial"/>
          <w:b/>
          <w:bCs/>
          <w:lang w:val="es-ES_tradnl" w:eastAsia="es-ES"/>
        </w:rPr>
        <w:t xml:space="preserve">DOCUMENTOS TIPO – Generalidades – </w:t>
      </w:r>
      <w:r w:rsidRPr="00823549">
        <w:rPr>
          <w:rFonts w:ascii="Verdana" w:eastAsia="Aptos" w:hAnsi="Verdana" w:cs="Times New Roman"/>
          <w:b/>
          <w:bCs/>
          <w:kern w:val="2"/>
          <w:lang w:val="es-ES_tradnl" w:eastAsia="es-ES"/>
          <w14:ligatures w14:val="standardContextual"/>
        </w:rPr>
        <w:t xml:space="preserve">Obligatoriedad </w:t>
      </w:r>
    </w:p>
    <w:p w14:paraId="5378A147" w14:textId="77777777" w:rsidR="005E0653" w:rsidRPr="00823549" w:rsidRDefault="005E0653" w:rsidP="005E0653">
      <w:pPr>
        <w:snapToGrid w:val="0"/>
        <w:spacing w:after="0" w:line="240" w:lineRule="auto"/>
        <w:jc w:val="both"/>
        <w:rPr>
          <w:rFonts w:ascii="Verdana" w:eastAsia="Calibri" w:hAnsi="Verdana" w:cs="Arial"/>
          <w:b/>
          <w:bCs/>
          <w:lang w:val="es-ES_tradnl" w:eastAsia="es-ES"/>
        </w:rPr>
      </w:pPr>
    </w:p>
    <w:p w14:paraId="55D00100" w14:textId="77777777" w:rsidR="005E0653" w:rsidRPr="002E567F" w:rsidRDefault="005E0653" w:rsidP="005E0653">
      <w:pPr>
        <w:snapToGrid w:val="0"/>
        <w:spacing w:after="0" w:line="240" w:lineRule="auto"/>
        <w:jc w:val="both"/>
        <w:rPr>
          <w:rFonts w:ascii="Verdana" w:eastAsia="Calibri" w:hAnsi="Verdana" w:cs="Arial"/>
          <w:sz w:val="20"/>
          <w:szCs w:val="20"/>
          <w:lang w:val="es-ES_tradnl"/>
        </w:rPr>
      </w:pPr>
      <w:r w:rsidRPr="002E567F">
        <w:rPr>
          <w:rFonts w:ascii="Verdana" w:eastAsia="Calibri" w:hAnsi="Verdana" w:cs="Arial"/>
          <w:sz w:val="20"/>
          <w:szCs w:val="20"/>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27C33F88" w14:textId="77777777" w:rsidR="005E0653" w:rsidRPr="00823549" w:rsidRDefault="005E0653" w:rsidP="005E0653">
      <w:pPr>
        <w:snapToGrid w:val="0"/>
        <w:spacing w:after="0" w:line="240" w:lineRule="auto"/>
        <w:rPr>
          <w:rFonts w:ascii="Verdana" w:eastAsia="Geomanist Light" w:hAnsi="Verdana" w:cs="Arial"/>
          <w:lang w:val="es-ES_tradnl"/>
        </w:rPr>
      </w:pPr>
    </w:p>
    <w:p w14:paraId="086918C7" w14:textId="77777777" w:rsidR="005E0653" w:rsidRPr="00823549" w:rsidRDefault="005E0653" w:rsidP="005E0653">
      <w:pPr>
        <w:snapToGrid w:val="0"/>
        <w:spacing w:after="0" w:line="276" w:lineRule="auto"/>
        <w:jc w:val="both"/>
        <w:rPr>
          <w:rFonts w:ascii="Verdana" w:eastAsia="Geomanist Light" w:hAnsi="Verdana" w:cs="Arial"/>
          <w:b/>
          <w:bCs/>
          <w:lang w:val="es-ES_tradnl"/>
        </w:rPr>
      </w:pPr>
      <w:r w:rsidRPr="00823549">
        <w:rPr>
          <w:rFonts w:ascii="Verdana" w:eastAsia="Geomanist Light" w:hAnsi="Verdana" w:cs="Arial"/>
          <w:b/>
          <w:bCs/>
          <w:lang w:val="es-ES_tradnl"/>
        </w:rPr>
        <w:t>DOCUMENTOS TIPO – Infraestructura de transporte – Versión 4 – Oferta económica – Formulario 1 – Formulario de Presupuesto Oficial – SECOP II</w:t>
      </w:r>
    </w:p>
    <w:p w14:paraId="42E85200" w14:textId="77777777" w:rsidR="005E0653" w:rsidRPr="00823549" w:rsidRDefault="005E0653" w:rsidP="005E0653">
      <w:pPr>
        <w:snapToGrid w:val="0"/>
        <w:spacing w:after="0" w:line="240" w:lineRule="auto"/>
        <w:jc w:val="both"/>
        <w:rPr>
          <w:rFonts w:ascii="Verdana" w:eastAsia="Geomanist Light" w:hAnsi="Verdana" w:cs="Arial"/>
          <w:lang w:val="es-ES_tradnl"/>
        </w:rPr>
      </w:pPr>
    </w:p>
    <w:p w14:paraId="659E9D51" w14:textId="77777777" w:rsidR="005E0653" w:rsidRPr="002E567F" w:rsidRDefault="005E0653" w:rsidP="005E0653">
      <w:pPr>
        <w:widowControl w:val="0"/>
        <w:autoSpaceDE w:val="0"/>
        <w:autoSpaceDN w:val="0"/>
        <w:snapToGrid w:val="0"/>
        <w:spacing w:after="0" w:line="240" w:lineRule="auto"/>
        <w:jc w:val="both"/>
        <w:rPr>
          <w:rFonts w:ascii="Verdana" w:eastAsia="Calibri" w:hAnsi="Verdana" w:cs="Arial"/>
          <w:kern w:val="2"/>
          <w:sz w:val="20"/>
          <w:szCs w:val="20"/>
          <w:lang w:val="es-ES" w:eastAsia="es-MX"/>
          <w14:ligatures w14:val="standardContextual"/>
        </w:rPr>
      </w:pPr>
      <w:r w:rsidRPr="002E567F">
        <w:rPr>
          <w:rFonts w:ascii="Verdana" w:eastAsia="Calibri" w:hAnsi="Verdana" w:cs="Arial"/>
          <w:kern w:val="2"/>
          <w:sz w:val="20"/>
          <w:szCs w:val="20"/>
          <w:lang w:val="es-ES" w:eastAsia="es-MX"/>
          <w14:ligatures w14:val="standardContextual"/>
        </w:rPr>
        <w:t xml:space="preserve">En los documentos tipo de obra de infraestructura de transporte, el “Formulario 1 – Formulario de Presupuesto Oficial” tiene dos connotaciones: i) por un lado, es el formulario sobre el cual la entidad estructura y presenta el presupuesto oficial del procedimiento de contratación; y </w:t>
      </w:r>
      <w:proofErr w:type="spellStart"/>
      <w:r w:rsidRPr="002E567F">
        <w:rPr>
          <w:rFonts w:ascii="Verdana" w:eastAsia="Calibri" w:hAnsi="Verdana" w:cs="Arial"/>
          <w:kern w:val="2"/>
          <w:sz w:val="20"/>
          <w:szCs w:val="20"/>
          <w:lang w:val="es-ES" w:eastAsia="es-MX"/>
          <w14:ligatures w14:val="standardContextual"/>
        </w:rPr>
        <w:t>ii</w:t>
      </w:r>
      <w:proofErr w:type="spellEnd"/>
      <w:r w:rsidRPr="002E567F">
        <w:rPr>
          <w:rFonts w:ascii="Verdana" w:eastAsia="Calibri" w:hAnsi="Verdana" w:cs="Arial"/>
          <w:kern w:val="2"/>
          <w:sz w:val="20"/>
          <w:szCs w:val="20"/>
          <w:lang w:val="es-ES" w:eastAsia="es-MX"/>
          <w14:ligatures w14:val="standardContextual"/>
        </w:rPr>
        <w:t>)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11062C08" w14:textId="77777777" w:rsidR="005E0653" w:rsidRPr="002E567F" w:rsidRDefault="005E0653" w:rsidP="005E0653">
      <w:pPr>
        <w:spacing w:after="0" w:line="240" w:lineRule="auto"/>
        <w:jc w:val="both"/>
        <w:rPr>
          <w:rFonts w:ascii="Verdana" w:eastAsia="Geomanist Light" w:hAnsi="Verdana" w:cs="Arial"/>
          <w:sz w:val="20"/>
          <w:szCs w:val="20"/>
          <w:lang w:val="es-ES"/>
        </w:rPr>
      </w:pPr>
      <w:r w:rsidRPr="002E567F">
        <w:rPr>
          <w:rFonts w:ascii="Verdana" w:eastAsia="Geomanist Light" w:hAnsi="Verdana" w:cs="Arial"/>
          <w:sz w:val="20"/>
          <w:szCs w:val="20"/>
          <w:lang w:val="es-ES"/>
        </w:rPr>
        <w:t>[…]</w:t>
      </w:r>
    </w:p>
    <w:p w14:paraId="2207FD2F" w14:textId="143F160E" w:rsidR="00834F4D" w:rsidRDefault="005E0653" w:rsidP="005E0653">
      <w:pPr>
        <w:widowControl w:val="0"/>
        <w:autoSpaceDE w:val="0"/>
        <w:autoSpaceDN w:val="0"/>
        <w:snapToGrid w:val="0"/>
        <w:spacing w:after="120" w:line="240" w:lineRule="auto"/>
        <w:jc w:val="both"/>
        <w:rPr>
          <w:rFonts w:ascii="Verdana" w:eastAsia="Calibri" w:hAnsi="Verdana" w:cs="Arial"/>
          <w:i/>
          <w:iCs/>
          <w:kern w:val="2"/>
          <w:sz w:val="20"/>
          <w:szCs w:val="20"/>
          <w:lang w:val="es-ES_tradnl" w:eastAsia="es-MX"/>
          <w14:ligatures w14:val="standardContextual"/>
        </w:rPr>
      </w:pPr>
      <w:r w:rsidRPr="002E567F">
        <w:rPr>
          <w:rFonts w:ascii="Verdana" w:eastAsia="Calibri" w:hAnsi="Verdana" w:cs="Arial"/>
          <w:kern w:val="2"/>
          <w:sz w:val="20"/>
          <w:szCs w:val="20"/>
          <w:lang w:val="es-ES_tradnl" w:eastAsia="es-MX"/>
          <w14:ligatures w14:val="standardContextual"/>
        </w:rPr>
        <w:t xml:space="preserve">Teniendo en cuenta el objeto de su consulta, es importante señalar que, el numeral “2.3. ELABORACIÓN Y PRESENTACIÓN DE LA OFERTA” del documento base de los documentos tipo en comento, contiene una </w:t>
      </w:r>
      <w:r w:rsidRPr="002E567F">
        <w:rPr>
          <w:rFonts w:ascii="Verdana" w:eastAsia="Calibri" w:hAnsi="Verdana" w:cs="Arial"/>
          <w:i/>
          <w:iCs/>
          <w:kern w:val="2"/>
          <w:sz w:val="20"/>
          <w:szCs w:val="20"/>
          <w:lang w:val="es-ES_tradnl" w:eastAsia="es-MX"/>
          <w14:ligatures w14:val="standardContextual"/>
        </w:rPr>
        <w:t>Nota,</w:t>
      </w:r>
      <w:r w:rsidRPr="002E567F">
        <w:rPr>
          <w:rFonts w:ascii="Verdana" w:eastAsia="Calibri" w:hAnsi="Verdana" w:cs="Arial"/>
          <w:kern w:val="2"/>
          <w:sz w:val="20"/>
          <w:szCs w:val="20"/>
          <w:lang w:val="es-ES_tradnl" w:eastAsia="es-MX"/>
          <w14:ligatures w14:val="standardContextual"/>
        </w:rPr>
        <w:t xml:space="preserve"> que establece que, </w:t>
      </w:r>
      <w:r w:rsidRPr="002E567F">
        <w:rPr>
          <w:rFonts w:ascii="Verdana" w:eastAsia="Calibri" w:hAnsi="Verdana" w:cs="Arial"/>
          <w:i/>
          <w:iCs/>
          <w:kern w:val="2"/>
          <w:sz w:val="20"/>
          <w:szCs w:val="20"/>
          <w:lang w:val="es-ES_tradnl" w:eastAsia="es-MX"/>
          <w14:ligatures w14:val="standardContextual"/>
        </w:rPr>
        <w:t>“[e]n caso de discrepancias entre los valores señalados en el Formulario 1 – Formulario de Presupuesto Oficial y el valor presentado en el SECOP II, prevalecerá el valor presentado en el SECOP II.”</w:t>
      </w:r>
    </w:p>
    <w:p w14:paraId="52F3876B" w14:textId="42ED5D24" w:rsidR="00834F4D" w:rsidRDefault="00834F4D" w:rsidP="00834F4D">
      <w:pPr>
        <w:rPr>
          <w:rFonts w:ascii="Verdana" w:eastAsia="Aptos" w:hAnsi="Verdana" w:cs="Arial"/>
          <w:b/>
          <w:bCs/>
          <w:lang w:val="es-MX"/>
        </w:rPr>
      </w:pPr>
      <w:r w:rsidRPr="00C92155">
        <w:rPr>
          <w:rFonts w:ascii="Verdana" w:eastAsia="Aptos" w:hAnsi="Verdana" w:cs="Arial"/>
          <w:b/>
          <w:bCs/>
          <w:lang w:val="es-MX"/>
        </w:rPr>
        <w:t xml:space="preserve">INALTERABILIDAD – Documentos Tipo – Alcance </w:t>
      </w:r>
    </w:p>
    <w:p w14:paraId="639EF80C" w14:textId="77777777" w:rsidR="00834F4D" w:rsidRDefault="00834F4D" w:rsidP="00834F4D">
      <w:pPr>
        <w:snapToGrid w:val="0"/>
        <w:spacing w:after="120" w:line="276"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C92155">
        <w:rPr>
          <w:rFonts w:ascii="Verdana" w:eastAsia="Times New Roman" w:hAnsi="Verdana" w:cs="Arial"/>
          <w:kern w:val="2"/>
          <w:sz w:val="20"/>
          <w:szCs w:val="20"/>
          <w:shd w:val="clear" w:color="auto" w:fill="FFFFFF"/>
          <w:lang w:val="es-ES_tradnl" w:eastAsia="es-ES_tradnl"/>
          <w14:ligatures w14:val="standardContextua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C92155">
        <w:rPr>
          <w:rFonts w:ascii="Verdana" w:eastAsia="Times New Roman" w:hAnsi="Verdana" w:cs="Arial"/>
          <w:i/>
          <w:iCs/>
          <w:kern w:val="2"/>
          <w:sz w:val="20"/>
          <w:szCs w:val="20"/>
          <w:shd w:val="clear" w:color="auto" w:fill="FFFFFF"/>
          <w:lang w:val="es-ES_tradnl" w:eastAsia="es-ES_tradnl"/>
          <w14:ligatures w14:val="standardContextual"/>
        </w:rPr>
        <w:t>Documentos del Proceso</w:t>
      </w:r>
      <w:r w:rsidRPr="00C92155">
        <w:rPr>
          <w:rFonts w:ascii="Verdana" w:eastAsia="Times New Roman" w:hAnsi="Verdana" w:cs="Arial"/>
          <w:kern w:val="2"/>
          <w:sz w:val="20"/>
          <w:szCs w:val="20"/>
          <w:shd w:val="clear" w:color="auto" w:fill="FFFFFF"/>
          <w:lang w:val="es-ES_tradnl"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el </w:t>
      </w:r>
      <w:r w:rsidRPr="00C92155">
        <w:rPr>
          <w:rFonts w:ascii="Verdana" w:eastAsia="Times New Roman" w:hAnsi="Verdana" w:cs="Arial"/>
          <w:kern w:val="2"/>
          <w:sz w:val="20"/>
          <w:szCs w:val="20"/>
          <w:shd w:val="clear" w:color="auto" w:fill="FFFFFF"/>
          <w:lang w:val="es-ES_tradnl" w:eastAsia="es-ES_tradnl"/>
          <w14:ligatures w14:val="standardContextual"/>
        </w:rPr>
        <w:lastRenderedPageBreak/>
        <w:t>fundamento legal vigente de la regla de inalterabilidad se encuentra en el artículo 1 de la Ley 2022 de 2020, según el cual “</w:t>
      </w:r>
      <w:r w:rsidRPr="00C92155">
        <w:rPr>
          <w:rFonts w:ascii="Verdana" w:eastAsia="Times New Roman" w:hAnsi="Verdana" w:cs="Arial"/>
          <w:kern w:val="2"/>
          <w:sz w:val="20"/>
          <w:szCs w:val="20"/>
          <w:lang w:val="es-ES_tradnl" w:eastAsia="es-ES_tradnl"/>
          <w14:ligatures w14:val="standardContextual"/>
        </w:rPr>
        <w:t xml:space="preserve">[…] </w:t>
      </w:r>
      <w:r w:rsidRPr="00C92155">
        <w:rPr>
          <w:rFonts w:ascii="Verdana" w:eastAsia="Times New Roman" w:hAnsi="Verdana" w:cs="Arial"/>
          <w:kern w:val="2"/>
          <w:sz w:val="20"/>
          <w:szCs w:val="20"/>
          <w:shd w:val="clear" w:color="auto" w:fill="FFFFFF"/>
          <w:lang w:val="es-ES_tradnl" w:eastAsia="es-ES_tradnl"/>
          <w14:ligatures w14:val="standardContextua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14:paraId="41C15030" w14:textId="77777777" w:rsidR="00834F4D" w:rsidRPr="00834F4D" w:rsidRDefault="00834F4D" w:rsidP="005E0653">
      <w:pPr>
        <w:widowControl w:val="0"/>
        <w:autoSpaceDE w:val="0"/>
        <w:autoSpaceDN w:val="0"/>
        <w:snapToGrid w:val="0"/>
        <w:spacing w:after="120" w:line="240" w:lineRule="auto"/>
        <w:jc w:val="both"/>
        <w:rPr>
          <w:rFonts w:ascii="Verdana" w:eastAsia="Arial" w:hAnsi="Verdana" w:cs="Arial"/>
          <w:kern w:val="2"/>
          <w:sz w:val="20"/>
          <w:szCs w:val="20"/>
          <w:lang w:val="es-ES_tradnl" w:eastAsia="es-ES" w:bidi="es-ES"/>
          <w14:ligatures w14:val="standardContextual"/>
        </w:rPr>
      </w:pPr>
    </w:p>
    <w:p w14:paraId="418C2529" w14:textId="77777777" w:rsidR="005E0653" w:rsidRPr="00680A1A" w:rsidRDefault="005E0653" w:rsidP="005E0653">
      <w:pPr>
        <w:spacing w:after="0" w:line="240" w:lineRule="auto"/>
        <w:jc w:val="both"/>
        <w:rPr>
          <w:rFonts w:ascii="Verdana" w:eastAsia="Geomanist Light" w:hAnsi="Verdana" w:cs="Arial"/>
          <w:sz w:val="20"/>
          <w:szCs w:val="20"/>
          <w:lang w:val="es-ES"/>
        </w:rPr>
      </w:pPr>
    </w:p>
    <w:p w14:paraId="387A6120" w14:textId="77777777" w:rsidR="005E0653" w:rsidRPr="00823549" w:rsidRDefault="005E0653" w:rsidP="005E0653">
      <w:pPr>
        <w:spacing w:after="0" w:line="240" w:lineRule="auto"/>
        <w:jc w:val="both"/>
        <w:rPr>
          <w:rFonts w:ascii="Verdana" w:eastAsia="Geomanist Light" w:hAnsi="Verdana" w:cs="Arial"/>
          <w:sz w:val="20"/>
          <w:szCs w:val="20"/>
          <w:lang w:val="es-ES"/>
        </w:rPr>
      </w:pPr>
    </w:p>
    <w:p w14:paraId="49ECCA30" w14:textId="77777777" w:rsidR="005E0653" w:rsidRDefault="005E0653" w:rsidP="005E0653">
      <w:pPr>
        <w:spacing w:after="0"/>
        <w:rPr>
          <w:rFonts w:ascii="Verdana" w:hAnsi="Verdana"/>
        </w:rPr>
      </w:pPr>
    </w:p>
    <w:p w14:paraId="1C156ACE" w14:textId="77777777" w:rsidR="005E0653" w:rsidRDefault="005E0653" w:rsidP="005E0653">
      <w:pPr>
        <w:spacing w:after="0"/>
        <w:rPr>
          <w:rFonts w:ascii="Verdana" w:hAnsi="Verdana"/>
        </w:rPr>
      </w:pPr>
    </w:p>
    <w:p w14:paraId="7CAF32BB" w14:textId="77777777" w:rsidR="005E0653" w:rsidRDefault="005E0653" w:rsidP="005E0653">
      <w:pPr>
        <w:spacing w:after="0"/>
        <w:rPr>
          <w:rFonts w:ascii="Verdana" w:hAnsi="Verdana"/>
        </w:rPr>
      </w:pPr>
    </w:p>
    <w:p w14:paraId="683A1E3A" w14:textId="77777777" w:rsidR="005E0653" w:rsidRDefault="005E0653" w:rsidP="005E0653">
      <w:pPr>
        <w:spacing w:after="0"/>
        <w:rPr>
          <w:rFonts w:ascii="Verdana" w:hAnsi="Verdana"/>
        </w:rPr>
      </w:pPr>
    </w:p>
    <w:p w14:paraId="18A67F4C" w14:textId="77777777" w:rsidR="005E0653" w:rsidRDefault="005E0653" w:rsidP="005E0653">
      <w:pPr>
        <w:spacing w:after="0"/>
        <w:rPr>
          <w:rFonts w:ascii="Verdana" w:hAnsi="Verdana"/>
        </w:rPr>
      </w:pPr>
    </w:p>
    <w:p w14:paraId="466E537C" w14:textId="77777777" w:rsidR="005E0653" w:rsidRDefault="005E0653" w:rsidP="005E0653">
      <w:pPr>
        <w:spacing w:after="0"/>
        <w:rPr>
          <w:rFonts w:ascii="Verdana" w:hAnsi="Verdana"/>
        </w:rPr>
      </w:pPr>
    </w:p>
    <w:p w14:paraId="1185A3D3" w14:textId="77777777" w:rsidR="005E0653" w:rsidRDefault="005E0653" w:rsidP="005E0653">
      <w:pPr>
        <w:spacing w:after="0"/>
        <w:rPr>
          <w:rFonts w:ascii="Verdana" w:hAnsi="Verdana"/>
        </w:rPr>
      </w:pPr>
    </w:p>
    <w:p w14:paraId="4EEA9F15" w14:textId="77777777" w:rsidR="005E0653" w:rsidRDefault="005E0653" w:rsidP="005E0653">
      <w:pPr>
        <w:spacing w:after="0"/>
        <w:rPr>
          <w:rFonts w:ascii="Verdana" w:hAnsi="Verdana"/>
        </w:rPr>
      </w:pPr>
    </w:p>
    <w:p w14:paraId="19E5C2C5" w14:textId="77777777" w:rsidR="005E0653" w:rsidRDefault="005E0653" w:rsidP="005E0653">
      <w:pPr>
        <w:spacing w:after="0"/>
        <w:rPr>
          <w:rFonts w:ascii="Verdana" w:hAnsi="Verdana"/>
        </w:rPr>
      </w:pPr>
    </w:p>
    <w:p w14:paraId="60A6A828" w14:textId="77777777" w:rsidR="00834F4D" w:rsidRDefault="00834F4D" w:rsidP="005E0653">
      <w:pPr>
        <w:spacing w:after="0"/>
        <w:rPr>
          <w:rFonts w:ascii="Verdana" w:hAnsi="Verdana"/>
        </w:rPr>
      </w:pPr>
    </w:p>
    <w:p w14:paraId="05CAE150" w14:textId="77777777" w:rsidR="00834F4D" w:rsidRDefault="00834F4D" w:rsidP="005E0653">
      <w:pPr>
        <w:spacing w:after="0"/>
        <w:rPr>
          <w:rFonts w:ascii="Verdana" w:hAnsi="Verdana"/>
        </w:rPr>
      </w:pPr>
    </w:p>
    <w:p w14:paraId="4EFD6BB0" w14:textId="77777777" w:rsidR="00834F4D" w:rsidRDefault="00834F4D" w:rsidP="005E0653">
      <w:pPr>
        <w:spacing w:after="0"/>
        <w:rPr>
          <w:rFonts w:ascii="Verdana" w:hAnsi="Verdana"/>
        </w:rPr>
      </w:pPr>
    </w:p>
    <w:p w14:paraId="3AF571B1" w14:textId="77777777" w:rsidR="00834F4D" w:rsidRDefault="00834F4D" w:rsidP="005E0653">
      <w:pPr>
        <w:spacing w:after="0"/>
        <w:rPr>
          <w:rFonts w:ascii="Verdana" w:hAnsi="Verdana"/>
        </w:rPr>
      </w:pPr>
    </w:p>
    <w:p w14:paraId="1EFC4D2A" w14:textId="77777777" w:rsidR="00834F4D" w:rsidRDefault="00834F4D" w:rsidP="005E0653">
      <w:pPr>
        <w:spacing w:after="0"/>
        <w:rPr>
          <w:rFonts w:ascii="Verdana" w:hAnsi="Verdana"/>
        </w:rPr>
      </w:pPr>
    </w:p>
    <w:p w14:paraId="538E8119" w14:textId="77777777" w:rsidR="00834F4D" w:rsidRDefault="00834F4D" w:rsidP="005E0653">
      <w:pPr>
        <w:spacing w:after="0"/>
        <w:rPr>
          <w:rFonts w:ascii="Verdana" w:hAnsi="Verdana"/>
        </w:rPr>
      </w:pPr>
    </w:p>
    <w:p w14:paraId="794049DD" w14:textId="77777777" w:rsidR="00834F4D" w:rsidRDefault="00834F4D" w:rsidP="005E0653">
      <w:pPr>
        <w:spacing w:after="0"/>
        <w:rPr>
          <w:rFonts w:ascii="Verdana" w:hAnsi="Verdana"/>
        </w:rPr>
      </w:pPr>
    </w:p>
    <w:p w14:paraId="739045B5" w14:textId="77777777" w:rsidR="00834F4D" w:rsidRDefault="00834F4D" w:rsidP="005E0653">
      <w:pPr>
        <w:spacing w:after="0"/>
        <w:rPr>
          <w:rFonts w:ascii="Verdana" w:hAnsi="Verdana"/>
        </w:rPr>
      </w:pPr>
    </w:p>
    <w:p w14:paraId="2479BCA7" w14:textId="77777777" w:rsidR="00834F4D" w:rsidRDefault="00834F4D" w:rsidP="005E0653">
      <w:pPr>
        <w:spacing w:after="0"/>
        <w:rPr>
          <w:rFonts w:ascii="Verdana" w:hAnsi="Verdana"/>
        </w:rPr>
      </w:pPr>
    </w:p>
    <w:p w14:paraId="5961AF80" w14:textId="77777777" w:rsidR="00834F4D" w:rsidRDefault="00834F4D" w:rsidP="005E0653">
      <w:pPr>
        <w:spacing w:after="0"/>
        <w:rPr>
          <w:rFonts w:ascii="Verdana" w:hAnsi="Verdana"/>
        </w:rPr>
      </w:pPr>
    </w:p>
    <w:p w14:paraId="167E4B80" w14:textId="77777777" w:rsidR="00834F4D" w:rsidRDefault="00834F4D" w:rsidP="005E0653">
      <w:pPr>
        <w:spacing w:after="0"/>
        <w:rPr>
          <w:rFonts w:ascii="Verdana" w:hAnsi="Verdana"/>
        </w:rPr>
      </w:pPr>
    </w:p>
    <w:p w14:paraId="0F21CC90" w14:textId="77777777" w:rsidR="00834F4D" w:rsidRDefault="00834F4D" w:rsidP="005E0653">
      <w:pPr>
        <w:spacing w:after="0"/>
        <w:rPr>
          <w:rFonts w:ascii="Verdana" w:hAnsi="Verdana"/>
        </w:rPr>
      </w:pPr>
    </w:p>
    <w:p w14:paraId="1511DC49" w14:textId="77777777" w:rsidR="00834F4D" w:rsidRDefault="00834F4D" w:rsidP="005E0653">
      <w:pPr>
        <w:spacing w:after="0"/>
        <w:rPr>
          <w:rFonts w:ascii="Verdana" w:hAnsi="Verdana"/>
        </w:rPr>
      </w:pPr>
    </w:p>
    <w:p w14:paraId="524D883E" w14:textId="77777777" w:rsidR="00834F4D" w:rsidRDefault="00834F4D" w:rsidP="005E0653">
      <w:pPr>
        <w:spacing w:after="0"/>
        <w:rPr>
          <w:rFonts w:ascii="Verdana" w:hAnsi="Verdana"/>
        </w:rPr>
      </w:pPr>
    </w:p>
    <w:p w14:paraId="0E38EF4F" w14:textId="77777777" w:rsidR="00834F4D" w:rsidRDefault="00834F4D" w:rsidP="005E0653">
      <w:pPr>
        <w:spacing w:after="0"/>
        <w:rPr>
          <w:rFonts w:ascii="Verdana" w:hAnsi="Verdana"/>
        </w:rPr>
      </w:pPr>
    </w:p>
    <w:p w14:paraId="1A8C6570" w14:textId="77777777" w:rsidR="00834F4D" w:rsidRDefault="00834F4D" w:rsidP="005E0653">
      <w:pPr>
        <w:spacing w:after="0"/>
        <w:rPr>
          <w:rFonts w:ascii="Verdana" w:hAnsi="Verdana"/>
        </w:rPr>
      </w:pPr>
    </w:p>
    <w:p w14:paraId="30B82204" w14:textId="77777777" w:rsidR="00834F4D" w:rsidRDefault="00834F4D" w:rsidP="005E0653">
      <w:pPr>
        <w:spacing w:after="0"/>
        <w:rPr>
          <w:rFonts w:ascii="Verdana" w:hAnsi="Verdana"/>
        </w:rPr>
      </w:pPr>
    </w:p>
    <w:p w14:paraId="1E6DC6C0" w14:textId="77777777" w:rsidR="005E0653" w:rsidRDefault="005E0653" w:rsidP="005E0653">
      <w:pPr>
        <w:spacing w:after="0"/>
        <w:rPr>
          <w:rFonts w:ascii="Verdana" w:hAnsi="Verdana"/>
        </w:rPr>
      </w:pPr>
    </w:p>
    <w:p w14:paraId="04613B45" w14:textId="77777777" w:rsidR="00FD151F" w:rsidRDefault="00FD151F" w:rsidP="005E0653">
      <w:pPr>
        <w:spacing w:after="0"/>
        <w:rPr>
          <w:rFonts w:ascii="Verdana" w:hAnsi="Verdana"/>
        </w:rPr>
      </w:pPr>
    </w:p>
    <w:p w14:paraId="746E7CA7" w14:textId="77777777" w:rsidR="005E0653" w:rsidRPr="0044528D" w:rsidRDefault="005E0653" w:rsidP="005E0653">
      <w:pPr>
        <w:spacing w:after="0"/>
        <w:rPr>
          <w:rFonts w:ascii="Verdana" w:hAnsi="Verdana"/>
        </w:rPr>
      </w:pPr>
      <w:r w:rsidRPr="0044528D">
        <w:rPr>
          <w:rFonts w:ascii="Verdana" w:hAnsi="Verdana"/>
        </w:rPr>
        <w:lastRenderedPageBreak/>
        <w:t xml:space="preserve">Bogotá D.C., [Día] </w:t>
      </w:r>
      <w:r w:rsidRPr="001511A0">
        <w:rPr>
          <w:rFonts w:ascii="Verdana" w:hAnsi="Verdana"/>
        </w:rPr>
        <w:t>[</w:t>
      </w:r>
      <w:proofErr w:type="spellStart"/>
      <w:r w:rsidRPr="001511A0">
        <w:rPr>
          <w:rFonts w:ascii="Verdana" w:hAnsi="Verdana"/>
        </w:rPr>
        <w:t>Mes.NombreCapitalizado</w:t>
      </w:r>
      <w:proofErr w:type="spellEnd"/>
      <w:r w:rsidRPr="001511A0">
        <w:rPr>
          <w:rFonts w:ascii="Verdana" w:hAnsi="Verdana"/>
        </w:rPr>
        <w:t xml:space="preserve">] </w:t>
      </w:r>
      <w:r w:rsidRPr="0044528D">
        <w:rPr>
          <w:rFonts w:ascii="Verdana" w:hAnsi="Verdana"/>
        </w:rPr>
        <w:t>[Año]</w:t>
      </w:r>
      <w:r w:rsidRPr="0044528D">
        <w:rPr>
          <w:rFonts w:ascii="Verdana" w:hAnsi="Verdana"/>
        </w:rPr>
        <w:tab/>
      </w:r>
    </w:p>
    <w:p w14:paraId="4DB108C1" w14:textId="77777777" w:rsidR="005E0653" w:rsidRPr="00406AD7" w:rsidRDefault="005E0653" w:rsidP="005E0653">
      <w:pPr>
        <w:spacing w:after="0"/>
        <w:rPr>
          <w:rFonts w:ascii="Verdana" w:hAnsi="Verdana"/>
        </w:rPr>
      </w:pPr>
    </w:p>
    <w:p w14:paraId="1BA9B825" w14:textId="77777777" w:rsidR="005E0653" w:rsidRDefault="005E0653" w:rsidP="005E0653">
      <w:pPr>
        <w:spacing w:after="0" w:line="240" w:lineRule="auto"/>
        <w:jc w:val="center"/>
        <w:rPr>
          <w:rFonts w:ascii="Verdana" w:eastAsia="Calibri" w:hAnsi="Verdana" w:cs="Arial"/>
          <w:lang w:val="es-ES_tradnl" w:eastAsia="es-ES"/>
        </w:rPr>
      </w:pPr>
    </w:p>
    <w:p w14:paraId="590A29B9" w14:textId="77777777" w:rsidR="005E0653" w:rsidRPr="00823549" w:rsidRDefault="005E0653" w:rsidP="005E0653">
      <w:pPr>
        <w:spacing w:after="0" w:line="240" w:lineRule="auto"/>
        <w:jc w:val="right"/>
        <w:rPr>
          <w:rFonts w:ascii="Verdana" w:eastAsia="Calibri" w:hAnsi="Verdana" w:cs="Arial"/>
          <w:lang w:val="es-ES_tradnl" w:eastAsia="es-ES"/>
        </w:rPr>
      </w:pPr>
    </w:p>
    <w:p w14:paraId="75EF8694" w14:textId="3107DD46" w:rsidR="005E0653" w:rsidRPr="00823549" w:rsidRDefault="00FD151F" w:rsidP="005E0653">
      <w:pPr>
        <w:spacing w:after="0" w:line="240" w:lineRule="auto"/>
        <w:jc w:val="both"/>
        <w:rPr>
          <w:rFonts w:ascii="Verdana" w:eastAsia="Calibri" w:hAnsi="Verdana" w:cs="Arial"/>
          <w:lang w:val="es-ES_tradnl" w:eastAsia="es-ES"/>
        </w:rPr>
      </w:pPr>
      <w:r w:rsidRPr="00E94E02">
        <w:rPr>
          <w:rFonts w:ascii="Verdana" w:eastAsia="Calibri" w:hAnsi="Verdana" w:cs="Arial"/>
          <w:b/>
          <w:bCs/>
          <w:noProof/>
          <w:lang w:val="es-ES_tradnl" w:eastAsia="es-ES_tradnl"/>
        </w:rPr>
        <w:drawing>
          <wp:anchor distT="0" distB="0" distL="114300" distR="114300" simplePos="0" relativeHeight="251659264" behindDoc="0" locked="0" layoutInCell="1" allowOverlap="1" wp14:anchorId="3E41CAC1" wp14:editId="15C0A584">
            <wp:simplePos x="0" y="0"/>
            <wp:positionH relativeFrom="margin">
              <wp:align>right</wp:align>
            </wp:positionH>
            <wp:positionV relativeFrom="paragraph">
              <wp:posOffset>8034</wp:posOffset>
            </wp:positionV>
            <wp:extent cx="3078480" cy="821690"/>
            <wp:effectExtent l="0" t="0" r="7620" b="0"/>
            <wp:wrapSquare wrapText="bothSides"/>
            <wp:docPr id="17378685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868546" name=""/>
                    <pic:cNvPicPr/>
                  </pic:nvPicPr>
                  <pic:blipFill>
                    <a:blip r:embed="rId10">
                      <a:extLst>
                        <a:ext uri="{28A0092B-C50C-407E-A947-70E740481C1C}">
                          <a14:useLocalDpi xmlns:a14="http://schemas.microsoft.com/office/drawing/2010/main" val="0"/>
                        </a:ext>
                      </a:extLst>
                    </a:blip>
                    <a:stretch>
                      <a:fillRect/>
                    </a:stretch>
                  </pic:blipFill>
                  <pic:spPr>
                    <a:xfrm>
                      <a:off x="0" y="0"/>
                      <a:ext cx="3078480" cy="821690"/>
                    </a:xfrm>
                    <a:prstGeom prst="rect">
                      <a:avLst/>
                    </a:prstGeom>
                  </pic:spPr>
                </pic:pic>
              </a:graphicData>
            </a:graphic>
            <wp14:sizeRelH relativeFrom="margin">
              <wp14:pctWidth>0</wp14:pctWidth>
            </wp14:sizeRelH>
            <wp14:sizeRelV relativeFrom="margin">
              <wp14:pctHeight>0</wp14:pctHeight>
            </wp14:sizeRelV>
          </wp:anchor>
        </w:drawing>
      </w:r>
      <w:r w:rsidR="005E0653" w:rsidRPr="00823549">
        <w:rPr>
          <w:rFonts w:ascii="Verdana" w:eastAsia="Calibri" w:hAnsi="Verdana" w:cs="Arial"/>
          <w:lang w:val="es-ES_tradnl" w:eastAsia="es-ES"/>
        </w:rPr>
        <w:t>Señor</w:t>
      </w:r>
    </w:p>
    <w:p w14:paraId="010ADCF2" w14:textId="77777777" w:rsidR="005E0653" w:rsidRDefault="005E0653" w:rsidP="005E0653">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 xml:space="preserve">Sergio Armando Heredia Luna </w:t>
      </w:r>
    </w:p>
    <w:p w14:paraId="18CAE916" w14:textId="77777777" w:rsidR="005E0653" w:rsidRPr="00570E74" w:rsidRDefault="005E0653" w:rsidP="005E0653">
      <w:pPr>
        <w:spacing w:after="0" w:line="240" w:lineRule="auto"/>
        <w:rPr>
          <w:rFonts w:ascii="Verdana" w:eastAsia="Calibri" w:hAnsi="Verdana" w:cs="Arial"/>
          <w:bCs/>
          <w:lang w:val="es-ES_tradnl" w:eastAsia="es-ES_tradnl"/>
        </w:rPr>
      </w:pPr>
      <w:hyperlink r:id="rId11" w:history="1">
        <w:r w:rsidRPr="00570E74">
          <w:rPr>
            <w:rStyle w:val="Hipervnculo"/>
            <w:rFonts w:ascii="Verdana" w:eastAsia="Calibri" w:hAnsi="Verdana" w:cs="Arial"/>
            <w:bCs/>
            <w:lang w:val="es-ES_tradnl" w:eastAsia="es-ES_tradnl"/>
          </w:rPr>
          <w:t>sheredia@invias.gov.co</w:t>
        </w:r>
      </w:hyperlink>
    </w:p>
    <w:p w14:paraId="3B5CBB2C" w14:textId="77777777" w:rsidR="005E0653" w:rsidRPr="00823549" w:rsidRDefault="005E0653" w:rsidP="005E0653">
      <w:pPr>
        <w:spacing w:after="0" w:line="240" w:lineRule="auto"/>
        <w:rPr>
          <w:rFonts w:ascii="Verdana" w:eastAsia="Calibri" w:hAnsi="Verdana" w:cs="Arial"/>
          <w:b/>
          <w:bCs/>
          <w:lang w:val="es-ES_tradnl" w:eastAsia="es-ES_tradnl"/>
        </w:rPr>
      </w:pPr>
      <w:r>
        <w:rPr>
          <w:rFonts w:ascii="Verdana" w:eastAsia="Calibri" w:hAnsi="Verdana" w:cs="Arial"/>
          <w:b/>
          <w:lang w:val="es-ES_tradnl" w:eastAsia="es-ES_tradnl"/>
        </w:rPr>
        <w:t>Bogotá D.C</w:t>
      </w:r>
    </w:p>
    <w:p w14:paraId="6F856594" w14:textId="77777777" w:rsidR="005E0653" w:rsidRDefault="005E0653" w:rsidP="005E0653">
      <w:pPr>
        <w:spacing w:after="0" w:line="240" w:lineRule="auto"/>
        <w:rPr>
          <w:rFonts w:ascii="Verdana" w:eastAsia="Calibri" w:hAnsi="Verdana" w:cs="Arial"/>
          <w:b/>
          <w:bCs/>
          <w:lang w:val="es-ES_tradnl" w:eastAsia="es-ES_tradnl"/>
        </w:rPr>
      </w:pPr>
    </w:p>
    <w:p w14:paraId="1538054A" w14:textId="58A0F448" w:rsidR="00E94E02" w:rsidRPr="00823549" w:rsidRDefault="00E94E02" w:rsidP="00E94E02">
      <w:pPr>
        <w:spacing w:after="0" w:line="240" w:lineRule="auto"/>
        <w:jc w:val="right"/>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E0653" w:rsidRPr="00823549" w14:paraId="31E7119E" w14:textId="77777777" w:rsidTr="00BB4C4A">
        <w:trPr>
          <w:trHeight w:val="884"/>
        </w:trPr>
        <w:tc>
          <w:tcPr>
            <w:tcW w:w="2689" w:type="dxa"/>
          </w:tcPr>
          <w:p w14:paraId="6B96D826" w14:textId="77777777" w:rsidR="005E0653" w:rsidRPr="00823549" w:rsidRDefault="005E0653" w:rsidP="00BB4C4A">
            <w:pPr>
              <w:jc w:val="both"/>
              <w:rPr>
                <w:rFonts w:ascii="Verdana" w:eastAsia="Calibri" w:hAnsi="Verdana" w:cs="Arial"/>
                <w:b/>
                <w:bCs/>
                <w:lang w:val="es-ES_tradnl" w:eastAsia="es-ES_tradnl"/>
              </w:rPr>
            </w:pPr>
          </w:p>
        </w:tc>
        <w:tc>
          <w:tcPr>
            <w:tcW w:w="6100" w:type="dxa"/>
          </w:tcPr>
          <w:p w14:paraId="14EF0D8A" w14:textId="77777777" w:rsidR="005E0653" w:rsidRPr="00823549" w:rsidRDefault="005E0653" w:rsidP="00BB4C4A">
            <w:pPr>
              <w:jc w:val="both"/>
              <w:rPr>
                <w:rFonts w:ascii="Verdana" w:eastAsia="Calibri" w:hAnsi="Verdana" w:cs="Arial"/>
                <w:b/>
                <w:bCs/>
                <w:lang w:val="es-ES_tradnl" w:eastAsia="es-ES"/>
              </w:rPr>
            </w:pPr>
            <w:r w:rsidRPr="00823549">
              <w:rPr>
                <w:rFonts w:ascii="Verdana" w:eastAsia="Calibri" w:hAnsi="Verdana" w:cs="Arial"/>
                <w:b/>
                <w:bCs/>
                <w:lang w:val="es-ES_tradnl" w:eastAsia="es-ES"/>
              </w:rPr>
              <w:t xml:space="preserve">Concepto C – </w:t>
            </w:r>
            <w:r>
              <w:rPr>
                <w:rFonts w:ascii="Verdana" w:eastAsia="Calibri" w:hAnsi="Verdana" w:cs="Arial"/>
                <w:b/>
                <w:bCs/>
                <w:lang w:val="es-ES_tradnl" w:eastAsia="es-ES"/>
              </w:rPr>
              <w:t>582</w:t>
            </w:r>
            <w:r w:rsidRPr="00823549">
              <w:rPr>
                <w:rFonts w:ascii="Verdana" w:eastAsia="Calibri" w:hAnsi="Verdana" w:cs="Arial"/>
                <w:b/>
                <w:bCs/>
                <w:lang w:val="es-ES_tradnl" w:eastAsia="es-ES"/>
              </w:rPr>
              <w:t xml:space="preserve"> de 202</w:t>
            </w:r>
            <w:r>
              <w:rPr>
                <w:rFonts w:ascii="Verdana" w:eastAsia="Calibri" w:hAnsi="Verdana" w:cs="Arial"/>
                <w:b/>
                <w:bCs/>
                <w:lang w:val="es-ES_tradnl" w:eastAsia="es-ES"/>
              </w:rPr>
              <w:t>5</w:t>
            </w:r>
          </w:p>
        </w:tc>
      </w:tr>
      <w:tr w:rsidR="005E0653" w:rsidRPr="00823549" w14:paraId="7FD0D7C6" w14:textId="77777777" w:rsidTr="00BB4C4A">
        <w:trPr>
          <w:trHeight w:val="884"/>
        </w:trPr>
        <w:tc>
          <w:tcPr>
            <w:tcW w:w="2689" w:type="dxa"/>
          </w:tcPr>
          <w:p w14:paraId="089BB3DE" w14:textId="77777777" w:rsidR="005E0653" w:rsidRPr="00823549" w:rsidRDefault="005E0653" w:rsidP="00BB4C4A">
            <w:pPr>
              <w:jc w:val="both"/>
              <w:rPr>
                <w:rFonts w:ascii="Verdana" w:eastAsia="Calibri" w:hAnsi="Verdana" w:cs="Arial"/>
                <w:lang w:val="es-ES_tradnl" w:eastAsia="es-ES_tradnl"/>
              </w:rPr>
            </w:pPr>
            <w:r w:rsidRPr="00823549">
              <w:rPr>
                <w:rFonts w:ascii="Verdana" w:eastAsia="Calibri" w:hAnsi="Verdana" w:cs="Arial"/>
                <w:b/>
                <w:lang w:val="es-ES_tradnl" w:eastAsia="es-ES_tradnl"/>
              </w:rPr>
              <w:t>Temas:</w:t>
            </w:r>
            <w:r w:rsidRPr="00823549">
              <w:rPr>
                <w:rFonts w:ascii="Verdana" w:eastAsia="Calibri" w:hAnsi="Verdana" w:cs="Arial"/>
                <w:lang w:val="es-ES_tradnl" w:eastAsia="es-ES_tradnl"/>
              </w:rPr>
              <w:t xml:space="preserve">                   </w:t>
            </w:r>
          </w:p>
        </w:tc>
        <w:tc>
          <w:tcPr>
            <w:tcW w:w="6100" w:type="dxa"/>
          </w:tcPr>
          <w:p w14:paraId="0F490851" w14:textId="38425093" w:rsidR="005E0653" w:rsidRPr="00FD151F" w:rsidRDefault="005E0653" w:rsidP="00FD151F">
            <w:pPr>
              <w:rPr>
                <w:rFonts w:ascii="Verdana" w:eastAsia="Aptos" w:hAnsi="Verdana" w:cs="Arial"/>
                <w:lang w:val="es-MX"/>
              </w:rPr>
            </w:pPr>
            <w:r w:rsidRPr="00A277AC">
              <w:rPr>
                <w:rFonts w:ascii="Verdana" w:eastAsia="Calibri" w:hAnsi="Verdana" w:cs="Arial"/>
                <w:lang w:val="es-ES_tradnl" w:eastAsia="es-ES"/>
              </w:rPr>
              <w:t xml:space="preserve">DOCUMENTOS TIPO – Generalidades – </w:t>
            </w:r>
            <w:r w:rsidRPr="00A277AC">
              <w:rPr>
                <w:rFonts w:ascii="Verdana" w:eastAsia="Aptos" w:hAnsi="Verdana" w:cs="Times New Roman"/>
                <w:lang w:val="es-ES_tradnl" w:eastAsia="es-ES"/>
              </w:rPr>
              <w:t xml:space="preserve">Obligatoriedad / </w:t>
            </w:r>
            <w:r w:rsidRPr="00A277AC">
              <w:rPr>
                <w:rFonts w:ascii="Verdana" w:eastAsia="Geomanist Light" w:hAnsi="Verdana" w:cs="Arial"/>
                <w:lang w:val="es-ES_tradnl"/>
              </w:rPr>
              <w:t>DOCUMENTOS TIPO – Infraestructura de transporte – Versión 4 – Oferta económica – Formulario 1 – Formulario de Presupuesto Oficial – SECOP II</w:t>
            </w:r>
            <w:r w:rsidR="00F72C22">
              <w:rPr>
                <w:rFonts w:ascii="Verdana" w:eastAsia="Geomanist Light" w:hAnsi="Verdana" w:cs="Arial"/>
                <w:lang w:val="es-ES_tradnl"/>
              </w:rPr>
              <w:t xml:space="preserve"> /</w:t>
            </w:r>
            <w:r w:rsidR="00F72C22" w:rsidRPr="00C92155">
              <w:rPr>
                <w:rFonts w:ascii="Verdana" w:eastAsia="Aptos" w:hAnsi="Verdana" w:cs="Arial"/>
                <w:b/>
                <w:bCs/>
                <w:lang w:val="es-MX"/>
              </w:rPr>
              <w:t xml:space="preserve"> </w:t>
            </w:r>
            <w:r w:rsidR="00F72C22" w:rsidRPr="00F72C22">
              <w:rPr>
                <w:rFonts w:ascii="Verdana" w:eastAsia="Aptos" w:hAnsi="Verdana" w:cs="Arial"/>
                <w:lang w:val="es-MX"/>
              </w:rPr>
              <w:t xml:space="preserve">INALTERABILIDAD – Documentos Tipo – Alcance </w:t>
            </w:r>
          </w:p>
        </w:tc>
      </w:tr>
      <w:tr w:rsidR="005E0653" w:rsidRPr="00823549" w14:paraId="5DC8312C" w14:textId="77777777" w:rsidTr="00BB4C4A">
        <w:tc>
          <w:tcPr>
            <w:tcW w:w="2689" w:type="dxa"/>
          </w:tcPr>
          <w:p w14:paraId="09F2CAA8" w14:textId="77777777" w:rsidR="005E0653" w:rsidRPr="00823549" w:rsidRDefault="005E0653" w:rsidP="00BB4C4A">
            <w:pPr>
              <w:jc w:val="both"/>
              <w:rPr>
                <w:rFonts w:ascii="Verdana" w:eastAsia="Calibri" w:hAnsi="Verdana" w:cs="Arial"/>
                <w:b/>
                <w:lang w:val="es-ES_tradnl" w:eastAsia="es-ES_tradnl"/>
              </w:rPr>
            </w:pPr>
            <w:r w:rsidRPr="00823549">
              <w:rPr>
                <w:rFonts w:ascii="Verdana" w:eastAsia="Calibri" w:hAnsi="Verdana" w:cs="Arial"/>
                <w:b/>
                <w:lang w:val="es-ES_tradnl" w:eastAsia="es-ES_tradnl"/>
              </w:rPr>
              <w:t>Radicación:</w:t>
            </w:r>
            <w:r w:rsidRPr="00823549">
              <w:rPr>
                <w:rFonts w:ascii="Verdana" w:eastAsia="Calibri" w:hAnsi="Verdana" w:cs="Arial"/>
                <w:lang w:val="es-ES_tradnl" w:eastAsia="es-ES_tradnl"/>
              </w:rPr>
              <w:t xml:space="preserve">               </w:t>
            </w:r>
          </w:p>
        </w:tc>
        <w:tc>
          <w:tcPr>
            <w:tcW w:w="6100" w:type="dxa"/>
          </w:tcPr>
          <w:p w14:paraId="42554F18" w14:textId="77777777" w:rsidR="005E0653" w:rsidRPr="00823549" w:rsidRDefault="005E0653" w:rsidP="00BB4C4A">
            <w:pPr>
              <w:jc w:val="both"/>
              <w:rPr>
                <w:rFonts w:ascii="Verdana" w:eastAsia="Calibri" w:hAnsi="Verdana" w:cs="Arial"/>
                <w:lang w:val="es-ES_tradnl" w:eastAsia="es-ES_tradnl"/>
              </w:rPr>
            </w:pPr>
            <w:r w:rsidRPr="00823549">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P20250513004568</w:t>
            </w:r>
          </w:p>
        </w:tc>
      </w:tr>
    </w:tbl>
    <w:p w14:paraId="64133C93" w14:textId="77777777" w:rsidR="005E0653" w:rsidRPr="00823549" w:rsidRDefault="005E0653" w:rsidP="005E0653">
      <w:pPr>
        <w:spacing w:after="0" w:line="240" w:lineRule="auto"/>
        <w:jc w:val="both"/>
        <w:rPr>
          <w:rFonts w:ascii="Verdana" w:eastAsia="Calibri" w:hAnsi="Verdana" w:cs="Arial"/>
          <w:lang w:val="es-ES_tradnl" w:eastAsia="es-ES_tradnl"/>
        </w:rPr>
      </w:pPr>
    </w:p>
    <w:p w14:paraId="5107BA34" w14:textId="77777777" w:rsidR="005E0653" w:rsidRPr="00823549" w:rsidRDefault="005E0653" w:rsidP="005E0653">
      <w:pPr>
        <w:spacing w:after="0" w:line="240" w:lineRule="auto"/>
        <w:jc w:val="both"/>
        <w:rPr>
          <w:rFonts w:ascii="Verdana" w:eastAsia="Calibri" w:hAnsi="Verdana" w:cs="Arial"/>
          <w:lang w:val="es-ES_tradnl" w:eastAsia="es-ES_tradnl"/>
        </w:rPr>
      </w:pPr>
    </w:p>
    <w:p w14:paraId="307F3ED3" w14:textId="77777777" w:rsidR="005E0653" w:rsidRPr="00823549" w:rsidRDefault="005E0653" w:rsidP="005E0653">
      <w:pPr>
        <w:spacing w:after="0" w:line="276" w:lineRule="auto"/>
        <w:jc w:val="both"/>
        <w:rPr>
          <w:rFonts w:ascii="Verdana" w:eastAsia="Calibri" w:hAnsi="Verdana" w:cs="Arial"/>
          <w:lang w:val="es-ES_tradnl" w:eastAsia="es-ES"/>
        </w:rPr>
      </w:pPr>
      <w:r w:rsidRPr="00823549">
        <w:rPr>
          <w:rFonts w:ascii="Verdana" w:eastAsia="Calibri" w:hAnsi="Verdana" w:cs="Arial"/>
          <w:lang w:val="es-ES_tradnl" w:eastAsia="es-ES"/>
        </w:rPr>
        <w:t>Estim</w:t>
      </w:r>
      <w:r>
        <w:rPr>
          <w:rFonts w:ascii="Verdana" w:eastAsia="Calibri" w:hAnsi="Verdana" w:cs="Arial"/>
          <w:lang w:val="es-ES_tradnl" w:eastAsia="es-ES"/>
        </w:rPr>
        <w:t>ado Heredia</w:t>
      </w:r>
      <w:r w:rsidRPr="00823549">
        <w:rPr>
          <w:rFonts w:ascii="Verdana" w:eastAsia="Calibri" w:hAnsi="Verdana" w:cs="Arial"/>
          <w:lang w:val="es-ES_tradnl" w:eastAsia="es-ES"/>
        </w:rPr>
        <w:t xml:space="preserve">: </w:t>
      </w:r>
    </w:p>
    <w:p w14:paraId="1C99E7A4" w14:textId="77777777" w:rsidR="005E0653" w:rsidRPr="00823549" w:rsidRDefault="005E0653" w:rsidP="005E0653">
      <w:pPr>
        <w:tabs>
          <w:tab w:val="left" w:pos="3768"/>
        </w:tabs>
        <w:spacing w:after="0" w:line="276" w:lineRule="auto"/>
        <w:jc w:val="both"/>
        <w:rPr>
          <w:rFonts w:ascii="Verdana" w:eastAsia="Calibri" w:hAnsi="Verdana" w:cs="Arial"/>
          <w:lang w:val="es-ES_tradnl" w:eastAsia="es-ES"/>
        </w:rPr>
      </w:pPr>
      <w:r w:rsidRPr="00823549">
        <w:rPr>
          <w:rFonts w:ascii="Verdana" w:eastAsia="Calibri" w:hAnsi="Verdana" w:cs="Arial"/>
          <w:lang w:val="es-ES_tradnl" w:eastAsia="es-ES"/>
        </w:rPr>
        <w:tab/>
      </w:r>
    </w:p>
    <w:p w14:paraId="575840E3" w14:textId="77777777" w:rsidR="005E0653" w:rsidRDefault="005E0653" w:rsidP="005E0653">
      <w:pPr>
        <w:snapToGrid w:val="0"/>
        <w:spacing w:after="0" w:line="276" w:lineRule="auto"/>
        <w:jc w:val="both"/>
        <w:rPr>
          <w:rFonts w:ascii="Verdana" w:eastAsia="Calibri" w:hAnsi="Verdana" w:cs="Arial"/>
          <w:lang w:val="es-ES_tradnl" w:eastAsia="es-ES"/>
        </w:rPr>
      </w:pPr>
      <w:r w:rsidRPr="00823549">
        <w:rPr>
          <w:rFonts w:ascii="Verdana" w:eastAsia="Calibri" w:hAnsi="Verdana" w:cs="Arial"/>
          <w:lang w:val="es-ES_tradnl" w:eastAsia="es-ES"/>
        </w:rPr>
        <w:t>En ejercicio de la competencia otorgada por los artículos 3, numeral 5º, y 11, numeral 8º, del Decreto Ley 4170 de 2011,</w:t>
      </w:r>
      <w:r w:rsidRPr="00823549">
        <w:rPr>
          <w:rFonts w:ascii="Verdana" w:eastAsia="Arial MT" w:hAnsi="Verdana" w:cs="Arial MT"/>
          <w:lang w:val="es-ES_tradnl" w:eastAsia="es-ES"/>
        </w:rPr>
        <w:t xml:space="preserve"> </w:t>
      </w:r>
      <w:r w:rsidRPr="00823549">
        <w:rPr>
          <w:rFonts w:ascii="Verdana" w:eastAsia="Calibri" w:hAnsi="Verdana" w:cs="Arial"/>
          <w:lang w:val="es-ES_tradnl"/>
        </w:rPr>
        <w:t xml:space="preserve">así como lo establecido en el artículo 4 de la Resolución 1707 de 2018 expedida por esta Entidad, </w:t>
      </w:r>
      <w:r w:rsidRPr="00823549">
        <w:rPr>
          <w:rFonts w:ascii="Verdana" w:eastAsia="Calibri" w:hAnsi="Verdana" w:cs="Arial"/>
          <w:lang w:val="es-ES_tradnl" w:eastAsia="es-ES"/>
        </w:rPr>
        <w:t xml:space="preserve">la Agencia Nacional de Contratación Pública – Colombia Compra Eficiente– responde su solicitud de consulta de fecha </w:t>
      </w:r>
      <w:r>
        <w:rPr>
          <w:rFonts w:ascii="Verdana" w:eastAsia="Calibri" w:hAnsi="Verdana" w:cs="Arial"/>
          <w:lang w:val="es-ES_tradnl" w:eastAsia="es-ES"/>
        </w:rPr>
        <w:t>13</w:t>
      </w:r>
      <w:r w:rsidRPr="00823549">
        <w:rPr>
          <w:rFonts w:ascii="Verdana" w:eastAsia="Calibri" w:hAnsi="Verdana" w:cs="Arial"/>
          <w:lang w:val="es-ES_tradnl" w:eastAsia="es-ES"/>
        </w:rPr>
        <w:t xml:space="preserve"> de </w:t>
      </w:r>
      <w:r>
        <w:rPr>
          <w:rFonts w:ascii="Verdana" w:eastAsia="Calibri" w:hAnsi="Verdana" w:cs="Arial"/>
          <w:lang w:val="es-ES_tradnl" w:eastAsia="es-ES"/>
        </w:rPr>
        <w:t xml:space="preserve">mayo </w:t>
      </w:r>
      <w:r w:rsidRPr="00823549">
        <w:rPr>
          <w:rFonts w:ascii="Verdana" w:eastAsia="Calibri" w:hAnsi="Verdana" w:cs="Arial"/>
          <w:lang w:val="es-ES_tradnl" w:eastAsia="es-ES"/>
        </w:rPr>
        <w:t>de 202</w:t>
      </w:r>
      <w:r>
        <w:rPr>
          <w:rFonts w:ascii="Verdana" w:eastAsia="Calibri" w:hAnsi="Verdana" w:cs="Arial"/>
          <w:lang w:val="es-ES_tradnl" w:eastAsia="es-ES"/>
        </w:rPr>
        <w:t>5</w:t>
      </w:r>
      <w:r w:rsidRPr="00823549">
        <w:rPr>
          <w:rFonts w:ascii="Verdana" w:eastAsia="Calibri" w:hAnsi="Verdana" w:cs="Arial"/>
          <w:lang w:val="es-ES_tradnl" w:eastAsia="es-ES"/>
        </w:rPr>
        <w:t>, en la cual manifiesta lo siguiente:</w:t>
      </w:r>
    </w:p>
    <w:p w14:paraId="6FBE3B26" w14:textId="77777777" w:rsidR="005E0653" w:rsidRPr="007C3DA5" w:rsidRDefault="005E0653" w:rsidP="005E0653">
      <w:pPr>
        <w:snapToGrid w:val="0"/>
        <w:spacing w:after="0" w:line="276" w:lineRule="auto"/>
        <w:ind w:right="680"/>
        <w:jc w:val="both"/>
        <w:rPr>
          <w:rFonts w:ascii="Verdana" w:eastAsia="Calibri" w:hAnsi="Verdana" w:cs="Arial"/>
          <w:sz w:val="20"/>
          <w:szCs w:val="20"/>
          <w:lang w:val="es-ES_tradnl" w:eastAsia="es-ES"/>
        </w:rPr>
      </w:pPr>
    </w:p>
    <w:p w14:paraId="6FF01637" w14:textId="77777777" w:rsidR="005E0653" w:rsidRPr="007C3DA5" w:rsidRDefault="005E0653" w:rsidP="005E0653">
      <w:pPr>
        <w:snapToGrid w:val="0"/>
        <w:spacing w:after="0" w:line="276" w:lineRule="auto"/>
        <w:ind w:left="709" w:right="680"/>
        <w:jc w:val="both"/>
        <w:rPr>
          <w:rFonts w:ascii="Verdana" w:eastAsia="Calibri" w:hAnsi="Verdana" w:cs="Arial"/>
          <w:sz w:val="20"/>
          <w:szCs w:val="20"/>
          <w:lang w:val="es-ES_tradnl" w:eastAsia="es-ES"/>
        </w:rPr>
      </w:pPr>
    </w:p>
    <w:p w14:paraId="68912E18" w14:textId="77777777" w:rsidR="005E0653" w:rsidRPr="00956B95" w:rsidRDefault="005E0653" w:rsidP="005E0653">
      <w:pPr>
        <w:numPr>
          <w:ilvl w:val="0"/>
          <w:numId w:val="18"/>
        </w:numPr>
        <w:spacing w:after="0" w:line="240" w:lineRule="auto"/>
        <w:ind w:left="709" w:right="680"/>
        <w:contextualSpacing/>
        <w:jc w:val="both"/>
        <w:rPr>
          <w:rFonts w:ascii="Verdana" w:eastAsia="Aptos" w:hAnsi="Verdana" w:cs="Arial"/>
          <w:kern w:val="2"/>
          <w:sz w:val="20"/>
          <w:szCs w:val="20"/>
          <w14:ligatures w14:val="standardContextual"/>
        </w:rPr>
      </w:pPr>
      <w:r>
        <w:rPr>
          <w:rFonts w:ascii="Verdana" w:eastAsia="Aptos" w:hAnsi="Verdana" w:cs="Arial"/>
          <w:kern w:val="2"/>
          <w:sz w:val="20"/>
          <w:szCs w:val="20"/>
          <w14:ligatures w14:val="standardContextual"/>
        </w:rPr>
        <w:t>“</w:t>
      </w:r>
      <w:proofErr w:type="gramStart"/>
      <w:r w:rsidRPr="00956B95">
        <w:rPr>
          <w:rFonts w:ascii="Verdana" w:eastAsia="Aptos" w:hAnsi="Verdana" w:cs="Arial"/>
          <w:kern w:val="2"/>
          <w:sz w:val="20"/>
          <w:szCs w:val="20"/>
          <w14:ligatures w14:val="standardContextual"/>
        </w:rPr>
        <w:t>¿Teniendo en cuenta que la causal de rechazo consignada en el literal W del numeral 1.</w:t>
      </w:r>
      <w:proofErr w:type="gramEnd"/>
      <w:r w:rsidRPr="00956B95">
        <w:rPr>
          <w:rFonts w:ascii="Verdana" w:eastAsia="Aptos" w:hAnsi="Verdana" w:cs="Arial"/>
          <w:kern w:val="2"/>
          <w:sz w:val="20"/>
          <w:szCs w:val="20"/>
          <w14:ligatures w14:val="standardContextual"/>
        </w:rPr>
        <w:t>15 del documento base de la versión 3, es igual a la causal de rechazo contemplada en el literal U del numeral 1.15 del documento base de la versión 4, es posible aplicar los alcances señalados en el concepto C – 595 de 2022 la ANCP-CC, es decir el rechazo de la oferta?</w:t>
      </w:r>
    </w:p>
    <w:p w14:paraId="24A24123" w14:textId="77777777" w:rsidR="005E0653" w:rsidRPr="00956B95" w:rsidRDefault="005E0653" w:rsidP="005E0653">
      <w:pPr>
        <w:spacing w:after="0" w:line="240" w:lineRule="auto"/>
        <w:ind w:left="709" w:right="680"/>
        <w:jc w:val="both"/>
        <w:rPr>
          <w:rFonts w:ascii="Verdana" w:eastAsia="Aptos" w:hAnsi="Verdana" w:cs="Arial"/>
          <w:kern w:val="2"/>
          <w:sz w:val="20"/>
          <w:szCs w:val="20"/>
          <w14:ligatures w14:val="standardContextual"/>
        </w:rPr>
      </w:pPr>
    </w:p>
    <w:p w14:paraId="7FA99D33" w14:textId="77777777" w:rsidR="005E0653" w:rsidRPr="00956B95" w:rsidRDefault="005E0653" w:rsidP="005E0653">
      <w:pPr>
        <w:spacing w:after="0" w:line="240" w:lineRule="auto"/>
        <w:ind w:left="709" w:right="680"/>
        <w:jc w:val="both"/>
        <w:rPr>
          <w:rFonts w:ascii="Verdana" w:eastAsia="Aptos" w:hAnsi="Verdana" w:cs="Arial"/>
          <w:kern w:val="2"/>
          <w:sz w:val="20"/>
          <w:szCs w:val="20"/>
          <w14:ligatures w14:val="standardContextual"/>
        </w:rPr>
      </w:pPr>
      <w:r w:rsidRPr="00956B95">
        <w:rPr>
          <w:rFonts w:ascii="Verdana" w:eastAsia="Aptos" w:hAnsi="Verdana" w:cs="Arial"/>
          <w:kern w:val="2"/>
          <w:sz w:val="20"/>
          <w:szCs w:val="20"/>
          <w14:ligatures w14:val="standardContextual"/>
        </w:rPr>
        <w:t xml:space="preserve">O </w:t>
      </w:r>
      <w:proofErr w:type="gramStart"/>
      <w:r w:rsidRPr="00956B95">
        <w:rPr>
          <w:rFonts w:ascii="Verdana" w:eastAsia="Aptos" w:hAnsi="Verdana" w:cs="Arial"/>
          <w:kern w:val="2"/>
          <w:sz w:val="20"/>
          <w:szCs w:val="20"/>
          <w14:ligatures w14:val="standardContextual"/>
        </w:rPr>
        <w:t>si</w:t>
      </w:r>
      <w:proofErr w:type="gramEnd"/>
      <w:r w:rsidRPr="00956B95">
        <w:rPr>
          <w:rFonts w:ascii="Verdana" w:eastAsia="Aptos" w:hAnsi="Verdana" w:cs="Arial"/>
          <w:kern w:val="2"/>
          <w:sz w:val="20"/>
          <w:szCs w:val="20"/>
          <w14:ligatures w14:val="standardContextual"/>
        </w:rPr>
        <w:t xml:space="preserve"> por el contrario </w:t>
      </w:r>
    </w:p>
    <w:p w14:paraId="2900A44A" w14:textId="77777777" w:rsidR="005E0653" w:rsidRPr="00956B95" w:rsidRDefault="005E0653" w:rsidP="005E0653">
      <w:pPr>
        <w:spacing w:after="0" w:line="240" w:lineRule="auto"/>
        <w:ind w:left="709" w:right="680"/>
        <w:jc w:val="both"/>
        <w:rPr>
          <w:rFonts w:ascii="Verdana" w:eastAsia="Aptos" w:hAnsi="Verdana" w:cs="Arial"/>
          <w:kern w:val="2"/>
          <w:sz w:val="20"/>
          <w:szCs w:val="20"/>
          <w14:ligatures w14:val="standardContextual"/>
        </w:rPr>
      </w:pPr>
    </w:p>
    <w:p w14:paraId="18AB80FA" w14:textId="77777777" w:rsidR="005E0653" w:rsidRPr="00956B95" w:rsidRDefault="005E0653" w:rsidP="005E0653">
      <w:pPr>
        <w:numPr>
          <w:ilvl w:val="0"/>
          <w:numId w:val="18"/>
        </w:numPr>
        <w:spacing w:after="0" w:line="240" w:lineRule="auto"/>
        <w:ind w:left="709" w:right="680"/>
        <w:contextualSpacing/>
        <w:jc w:val="both"/>
        <w:rPr>
          <w:rFonts w:ascii="Verdana" w:eastAsia="Aptos" w:hAnsi="Verdana" w:cs="Arial"/>
          <w:kern w:val="2"/>
          <w:sz w:val="20"/>
          <w:szCs w:val="20"/>
          <w14:ligatures w14:val="standardContextual"/>
        </w:rPr>
      </w:pPr>
      <w:r w:rsidRPr="00956B95">
        <w:rPr>
          <w:rFonts w:ascii="Verdana" w:eastAsia="Aptos" w:hAnsi="Verdana" w:cs="Arial"/>
          <w:kern w:val="2"/>
          <w:sz w:val="20"/>
          <w:szCs w:val="20"/>
          <w14:ligatures w14:val="standardContextual"/>
        </w:rPr>
        <w:t xml:space="preserve">teniendo en cuenta la nota incluida en el literal </w:t>
      </w:r>
      <w:r w:rsidRPr="00956B95">
        <w:rPr>
          <w:rFonts w:ascii="Verdana" w:eastAsia="Aptos" w:hAnsi="Verdana" w:cs="Arial"/>
          <w:b/>
          <w:i/>
          <w:iCs/>
          <w:kern w:val="2"/>
          <w:sz w:val="20"/>
          <w:szCs w:val="20"/>
          <w14:ligatures w14:val="standardContextual"/>
        </w:rPr>
        <w:t>2.3.2</w:t>
      </w:r>
      <w:r w:rsidRPr="00956B95">
        <w:rPr>
          <w:rFonts w:ascii="Verdana" w:eastAsia="Aptos" w:hAnsi="Verdana" w:cs="Arial"/>
          <w:bCs/>
          <w:kern w:val="2"/>
          <w:sz w:val="20"/>
          <w:szCs w:val="20"/>
          <w14:ligatures w14:val="standardContextual"/>
        </w:rPr>
        <w:t xml:space="preserve"> del documento base de la versión 4 y que el concepto C – 595 de 2022 la ANCP-CCE es anterior a la expedición de esta versión, no es admisible aplicar la causal de rechazo </w:t>
      </w:r>
      <w:r w:rsidRPr="00956B95">
        <w:rPr>
          <w:rFonts w:ascii="Verdana" w:eastAsia="Aptos" w:hAnsi="Verdana" w:cs="Arial"/>
          <w:bCs/>
          <w:kern w:val="2"/>
          <w:sz w:val="20"/>
          <w:szCs w:val="20"/>
          <w14:ligatures w14:val="standardContextual"/>
        </w:rPr>
        <w:lastRenderedPageBreak/>
        <w:t>en los términos del concepto y por lo tanto se dará aplicación a la nota contemplada en el documento base de la versión 4.</w:t>
      </w:r>
    </w:p>
    <w:p w14:paraId="067FC559" w14:textId="77777777" w:rsidR="005E0653" w:rsidRPr="00956B95" w:rsidRDefault="005E0653" w:rsidP="005E0653">
      <w:pPr>
        <w:spacing w:after="0" w:line="240" w:lineRule="auto"/>
        <w:ind w:left="709" w:right="680"/>
        <w:jc w:val="both"/>
        <w:rPr>
          <w:rFonts w:ascii="Verdana" w:eastAsia="Aptos" w:hAnsi="Verdana" w:cs="Arial"/>
          <w:kern w:val="2"/>
          <w:sz w:val="20"/>
          <w:szCs w:val="20"/>
          <w14:ligatures w14:val="standardContextual"/>
        </w:rPr>
      </w:pPr>
    </w:p>
    <w:p w14:paraId="6EC2A898" w14:textId="77777777" w:rsidR="005E0653" w:rsidRPr="00956B95" w:rsidRDefault="005E0653" w:rsidP="005E0653">
      <w:pPr>
        <w:numPr>
          <w:ilvl w:val="0"/>
          <w:numId w:val="18"/>
        </w:numPr>
        <w:spacing w:after="0" w:line="240" w:lineRule="auto"/>
        <w:ind w:left="709" w:right="680"/>
        <w:contextualSpacing/>
        <w:jc w:val="both"/>
        <w:rPr>
          <w:rFonts w:ascii="Verdana" w:eastAsia="Aptos" w:hAnsi="Verdana" w:cs="Arial"/>
          <w:kern w:val="2"/>
          <w:sz w:val="20"/>
          <w:szCs w:val="20"/>
          <w14:ligatures w14:val="standardContextual"/>
        </w:rPr>
      </w:pPr>
      <w:r w:rsidRPr="00956B95">
        <w:rPr>
          <w:rFonts w:ascii="Verdana" w:eastAsia="Aptos" w:hAnsi="Verdana" w:cs="Arial"/>
          <w:kern w:val="2"/>
          <w:sz w:val="20"/>
          <w:szCs w:val="20"/>
          <w14:ligatures w14:val="standardContextual"/>
        </w:rPr>
        <w:t xml:space="preserve">En caso de que la respuesta sea aplicar la nota contemplada en el literal </w:t>
      </w:r>
      <w:r w:rsidRPr="00956B95">
        <w:rPr>
          <w:rFonts w:ascii="Verdana" w:eastAsia="Aptos" w:hAnsi="Verdana" w:cs="Arial"/>
          <w:b/>
          <w:i/>
          <w:iCs/>
          <w:kern w:val="2"/>
          <w:sz w:val="20"/>
          <w:szCs w:val="20"/>
          <w14:ligatures w14:val="standardContextual"/>
        </w:rPr>
        <w:t>2.3.2</w:t>
      </w:r>
      <w:r w:rsidRPr="00956B95">
        <w:rPr>
          <w:rFonts w:ascii="Verdana" w:eastAsia="Aptos" w:hAnsi="Verdana" w:cs="Arial"/>
          <w:bCs/>
          <w:kern w:val="2"/>
          <w:sz w:val="20"/>
          <w:szCs w:val="20"/>
          <w14:ligatures w14:val="standardContextual"/>
        </w:rPr>
        <w:t xml:space="preserve"> del documento base de la versión 4, ¿deberá la entidad tener como valida la oferta presentada en el formulario SECOP II y solicitar la “corrección” del documento </w:t>
      </w:r>
      <w:r w:rsidRPr="00956B95">
        <w:rPr>
          <w:rFonts w:ascii="Verdana" w:eastAsia="Aptos" w:hAnsi="Verdana" w:cs="Arial"/>
          <w:i/>
          <w:iCs/>
          <w:kern w:val="2"/>
          <w:sz w:val="20"/>
          <w:szCs w:val="20"/>
          <w14:ligatures w14:val="standardContextual"/>
        </w:rPr>
        <w:t xml:space="preserve">el Formulario 1 – </w:t>
      </w:r>
      <w:r w:rsidRPr="00956B95">
        <w:rPr>
          <w:rFonts w:ascii="Verdana" w:eastAsia="Aptos" w:hAnsi="Verdana" w:cs="Arial"/>
          <w:i/>
          <w:iCs/>
          <w:kern w:val="2"/>
          <w:sz w:val="20"/>
          <w:szCs w:val="20"/>
          <w:lang w:val="es-MX"/>
          <w14:ligatures w14:val="standardContextual"/>
        </w:rPr>
        <w:t>Formulario de Presupuesto Oficial?</w:t>
      </w:r>
    </w:p>
    <w:p w14:paraId="3CCAB113" w14:textId="77777777" w:rsidR="005E0653" w:rsidRPr="00956B95" w:rsidRDefault="005E0653" w:rsidP="005E0653">
      <w:pPr>
        <w:ind w:left="709" w:right="680"/>
        <w:contextualSpacing/>
        <w:rPr>
          <w:rFonts w:ascii="Verdana" w:eastAsia="Aptos" w:hAnsi="Verdana" w:cs="Arial"/>
          <w:kern w:val="2"/>
          <w:sz w:val="20"/>
          <w:szCs w:val="20"/>
          <w14:ligatures w14:val="standardContextual"/>
        </w:rPr>
      </w:pPr>
    </w:p>
    <w:p w14:paraId="46F8086F" w14:textId="77777777" w:rsidR="005E0653" w:rsidRPr="00956B95" w:rsidRDefault="005E0653" w:rsidP="005E0653">
      <w:pPr>
        <w:numPr>
          <w:ilvl w:val="0"/>
          <w:numId w:val="18"/>
        </w:numPr>
        <w:spacing w:after="0" w:line="240" w:lineRule="auto"/>
        <w:ind w:left="709" w:right="680"/>
        <w:contextualSpacing/>
        <w:jc w:val="both"/>
        <w:rPr>
          <w:rFonts w:ascii="Verdana" w:eastAsia="Aptos" w:hAnsi="Verdana" w:cs="Arial"/>
          <w:kern w:val="2"/>
          <w:sz w:val="20"/>
          <w:szCs w:val="20"/>
          <w14:ligatures w14:val="standardContextual"/>
        </w:rPr>
      </w:pPr>
      <w:r w:rsidRPr="00956B95">
        <w:rPr>
          <w:rFonts w:ascii="Verdana" w:eastAsia="Aptos" w:hAnsi="Verdana" w:cs="Arial"/>
          <w:kern w:val="2"/>
          <w:sz w:val="20"/>
          <w:szCs w:val="20"/>
          <w14:ligatures w14:val="standardContextual"/>
        </w:rPr>
        <w:t xml:space="preserve">Finalmente, en caso de ser la apreciación señalada en el numeral 3 correcta, ¿es libre el proponente de ajustar la oferta en el documento </w:t>
      </w:r>
      <w:r w:rsidRPr="00956B95">
        <w:rPr>
          <w:rFonts w:ascii="Verdana" w:eastAsia="Aptos" w:hAnsi="Verdana" w:cs="Arial"/>
          <w:i/>
          <w:iCs/>
          <w:kern w:val="2"/>
          <w:sz w:val="20"/>
          <w:szCs w:val="20"/>
          <w14:ligatures w14:val="standardContextual"/>
        </w:rPr>
        <w:t xml:space="preserve">Formulario 1 – </w:t>
      </w:r>
      <w:r w:rsidRPr="00956B95">
        <w:rPr>
          <w:rFonts w:ascii="Verdana" w:eastAsia="Aptos" w:hAnsi="Verdana" w:cs="Arial"/>
          <w:i/>
          <w:iCs/>
          <w:kern w:val="2"/>
          <w:sz w:val="20"/>
          <w:szCs w:val="20"/>
          <w:lang w:val="es-MX"/>
          <w14:ligatures w14:val="standardContextual"/>
        </w:rPr>
        <w:t>Formulario de Presupuesto Oficial</w:t>
      </w:r>
      <w:r w:rsidRPr="00956B95">
        <w:rPr>
          <w:rFonts w:ascii="Verdana" w:eastAsia="Aptos" w:hAnsi="Verdana" w:cs="Arial"/>
          <w:kern w:val="2"/>
          <w:sz w:val="20"/>
          <w:szCs w:val="20"/>
          <w:lang w:val="es-MX"/>
          <w14:ligatures w14:val="standardContextual"/>
        </w:rPr>
        <w:t xml:space="preserve"> siempre que el valor total sea idéntico al consignado en el </w:t>
      </w:r>
      <w:r w:rsidRPr="00956B95">
        <w:rPr>
          <w:rFonts w:ascii="Verdana" w:eastAsia="Aptos" w:hAnsi="Verdana" w:cs="Arial"/>
          <w:bCs/>
          <w:kern w:val="2"/>
          <w:sz w:val="20"/>
          <w:szCs w:val="20"/>
          <w14:ligatures w14:val="standardContextual"/>
        </w:rPr>
        <w:t>formulario SECOP II?</w:t>
      </w:r>
      <w:r>
        <w:rPr>
          <w:rFonts w:ascii="Verdana" w:eastAsia="Aptos" w:hAnsi="Verdana" w:cs="Arial"/>
          <w:bCs/>
          <w:kern w:val="2"/>
          <w:sz w:val="20"/>
          <w:szCs w:val="20"/>
          <w14:ligatures w14:val="standardContextual"/>
        </w:rPr>
        <w:t>”</w:t>
      </w:r>
    </w:p>
    <w:p w14:paraId="34685EB2" w14:textId="77777777" w:rsidR="005E0653" w:rsidRDefault="005E0653" w:rsidP="005E0653">
      <w:pPr>
        <w:spacing w:after="0" w:line="240" w:lineRule="auto"/>
        <w:ind w:left="709" w:right="680"/>
        <w:jc w:val="both"/>
        <w:rPr>
          <w:rFonts w:ascii="Verdana" w:eastAsia="Aptos" w:hAnsi="Verdana" w:cs="Arial"/>
          <w:kern w:val="2"/>
          <w:sz w:val="20"/>
          <w:szCs w:val="20"/>
          <w14:ligatures w14:val="standardContextual"/>
        </w:rPr>
      </w:pPr>
    </w:p>
    <w:p w14:paraId="23059A5F" w14:textId="77777777" w:rsidR="005E0653" w:rsidRPr="00EB768D" w:rsidRDefault="005E0653" w:rsidP="005E0653">
      <w:pPr>
        <w:spacing w:after="0" w:line="240" w:lineRule="auto"/>
        <w:jc w:val="both"/>
        <w:rPr>
          <w:b/>
          <w:bCs/>
        </w:rPr>
      </w:pPr>
      <w:r>
        <w:rPr>
          <w:b/>
          <w:bCs/>
        </w:rPr>
        <w:t>“</w:t>
      </w:r>
      <w:r w:rsidRPr="00EB768D">
        <w:rPr>
          <w:b/>
          <w:bCs/>
        </w:rPr>
        <w:t xml:space="preserve">EN CUANTO A LOS DOCUMENTOS TIPO DE </w:t>
      </w:r>
      <w:r>
        <w:rPr>
          <w:b/>
          <w:bCs/>
        </w:rPr>
        <w:t>SELECCIÓN ABREVIADA DE MENOR CUANTIA</w:t>
      </w:r>
      <w:r w:rsidRPr="00EB768D">
        <w:rPr>
          <w:b/>
          <w:bCs/>
        </w:rPr>
        <w:t xml:space="preserve"> DE OBRA PUBLICA</w:t>
      </w:r>
      <w:r>
        <w:rPr>
          <w:b/>
          <w:bCs/>
        </w:rPr>
        <w:t xml:space="preserve">: </w:t>
      </w:r>
    </w:p>
    <w:p w14:paraId="290001D5" w14:textId="77777777" w:rsidR="005E0653" w:rsidRDefault="005E0653" w:rsidP="005E0653">
      <w:pPr>
        <w:spacing w:after="0" w:line="240" w:lineRule="auto"/>
        <w:ind w:left="709" w:right="680"/>
        <w:jc w:val="both"/>
        <w:rPr>
          <w:rFonts w:ascii="Verdana" w:eastAsia="Aptos" w:hAnsi="Verdana" w:cs="Arial"/>
          <w:kern w:val="2"/>
          <w:sz w:val="20"/>
          <w:szCs w:val="20"/>
          <w14:ligatures w14:val="standardContextual"/>
        </w:rPr>
      </w:pPr>
    </w:p>
    <w:p w14:paraId="0053219F" w14:textId="77777777" w:rsidR="005E0653" w:rsidRPr="00611F5F" w:rsidRDefault="005E0653" w:rsidP="005E0653">
      <w:pPr>
        <w:spacing w:after="0" w:line="240" w:lineRule="auto"/>
        <w:jc w:val="both"/>
        <w:rPr>
          <w:rFonts w:ascii="Aptos" w:eastAsia="Aptos" w:hAnsi="Aptos" w:cs="Arial"/>
          <w:kern w:val="2"/>
          <w14:ligatures w14:val="standardContextual"/>
        </w:rPr>
      </w:pPr>
    </w:p>
    <w:p w14:paraId="103D910E" w14:textId="77777777" w:rsidR="005E0653" w:rsidRPr="00611F5F" w:rsidRDefault="005E0653" w:rsidP="005E0653">
      <w:pPr>
        <w:numPr>
          <w:ilvl w:val="0"/>
          <w:numId w:val="19"/>
        </w:numPr>
        <w:spacing w:after="0" w:line="240" w:lineRule="auto"/>
        <w:ind w:left="709" w:right="680"/>
        <w:contextualSpacing/>
        <w:jc w:val="both"/>
        <w:rPr>
          <w:rFonts w:ascii="Verdana" w:eastAsia="Aptos" w:hAnsi="Verdana" w:cs="Arial"/>
          <w:kern w:val="2"/>
          <w:sz w:val="20"/>
          <w:szCs w:val="20"/>
          <w14:ligatures w14:val="standardContextual"/>
        </w:rPr>
      </w:pPr>
      <w:r w:rsidRPr="00611F5F">
        <w:rPr>
          <w:rFonts w:ascii="Verdana" w:eastAsia="Aptos" w:hAnsi="Verdana" w:cs="Arial"/>
          <w:kern w:val="2"/>
          <w:sz w:val="20"/>
          <w:szCs w:val="20"/>
          <w14:ligatures w14:val="standardContextual"/>
        </w:rPr>
        <w:t>Teniendo en cuenta que la plataforma SECOP II no contempla un sobre 2 para los procesos de selección de menor cuantía, ¿le es aplicable la causal de rechazo contemplada en el literal V del numeral 1.15 del documento base versión 3?</w:t>
      </w:r>
    </w:p>
    <w:p w14:paraId="24F273B9" w14:textId="77777777" w:rsidR="005E0653" w:rsidRPr="00611F5F" w:rsidRDefault="005E0653" w:rsidP="005E0653">
      <w:pPr>
        <w:spacing w:after="0" w:line="240" w:lineRule="auto"/>
        <w:ind w:left="709" w:right="680"/>
        <w:jc w:val="both"/>
        <w:rPr>
          <w:rFonts w:ascii="Verdana" w:eastAsia="Aptos" w:hAnsi="Verdana" w:cs="Arial"/>
          <w:kern w:val="2"/>
          <w:sz w:val="20"/>
          <w:szCs w:val="20"/>
          <w14:ligatures w14:val="standardContextual"/>
        </w:rPr>
      </w:pPr>
    </w:p>
    <w:p w14:paraId="044E3371" w14:textId="77777777" w:rsidR="005E0653" w:rsidRPr="00611F5F" w:rsidRDefault="005E0653" w:rsidP="005E0653">
      <w:pPr>
        <w:numPr>
          <w:ilvl w:val="0"/>
          <w:numId w:val="19"/>
        </w:numPr>
        <w:spacing w:after="0" w:line="240" w:lineRule="auto"/>
        <w:ind w:left="709" w:right="680"/>
        <w:contextualSpacing/>
        <w:jc w:val="both"/>
        <w:rPr>
          <w:rFonts w:ascii="Verdana" w:eastAsia="Aptos" w:hAnsi="Verdana" w:cs="Arial"/>
          <w:kern w:val="2"/>
          <w:sz w:val="20"/>
          <w:szCs w:val="20"/>
          <w14:ligatures w14:val="standardContextual"/>
        </w:rPr>
      </w:pPr>
      <w:r w:rsidRPr="00611F5F">
        <w:rPr>
          <w:rFonts w:ascii="Verdana" w:eastAsia="Aptos" w:hAnsi="Verdana" w:cs="Arial"/>
          <w:kern w:val="2"/>
          <w:sz w:val="20"/>
          <w:szCs w:val="20"/>
          <w14:ligatures w14:val="standardContextual"/>
        </w:rPr>
        <w:t>En caso de ser afirmativa la respuesta a la pregunta anterior, se pregunta: ¿la comparación del documento formulario 1 se deberá realizar contra la pregunta incluida por las entidades en el cuestionario como “lista de precios”?</w:t>
      </w:r>
    </w:p>
    <w:p w14:paraId="47183AAF" w14:textId="77777777" w:rsidR="005E0653" w:rsidRPr="00611F5F" w:rsidRDefault="005E0653" w:rsidP="005E0653">
      <w:pPr>
        <w:ind w:left="709" w:right="680"/>
        <w:contextualSpacing/>
        <w:rPr>
          <w:rFonts w:ascii="Verdana" w:eastAsia="Aptos" w:hAnsi="Verdana" w:cs="Arial"/>
          <w:kern w:val="2"/>
          <w:sz w:val="20"/>
          <w:szCs w:val="20"/>
          <w14:ligatures w14:val="standardContextual"/>
        </w:rPr>
      </w:pPr>
    </w:p>
    <w:p w14:paraId="0790341A" w14:textId="77777777" w:rsidR="005E0653" w:rsidRPr="00611F5F" w:rsidRDefault="005E0653" w:rsidP="005E0653">
      <w:pPr>
        <w:numPr>
          <w:ilvl w:val="0"/>
          <w:numId w:val="19"/>
        </w:numPr>
        <w:spacing w:after="0" w:line="240" w:lineRule="auto"/>
        <w:ind w:left="709" w:right="680"/>
        <w:contextualSpacing/>
        <w:jc w:val="both"/>
        <w:rPr>
          <w:rFonts w:ascii="Verdana" w:eastAsia="Aptos" w:hAnsi="Verdana" w:cs="Arial"/>
          <w:kern w:val="2"/>
          <w:sz w:val="20"/>
          <w:szCs w:val="20"/>
          <w14:ligatures w14:val="standardContextual"/>
        </w:rPr>
      </w:pPr>
      <w:r w:rsidRPr="00611F5F">
        <w:rPr>
          <w:rFonts w:ascii="Verdana" w:eastAsia="Aptos" w:hAnsi="Verdana" w:cs="Arial"/>
          <w:kern w:val="2"/>
          <w:sz w:val="20"/>
          <w:szCs w:val="20"/>
          <w14:ligatures w14:val="standardContextual"/>
        </w:rPr>
        <w:t xml:space="preserve">En caso de que la respuesta a la pregunta anterior sea afirmativa y en consideración a que la oferta económica en un factor determinante en la ponderación de las </w:t>
      </w:r>
      <w:proofErr w:type="gramStart"/>
      <w:r w:rsidRPr="00611F5F">
        <w:rPr>
          <w:rFonts w:ascii="Verdana" w:eastAsia="Aptos" w:hAnsi="Verdana" w:cs="Arial"/>
          <w:kern w:val="2"/>
          <w:sz w:val="20"/>
          <w:szCs w:val="20"/>
          <w14:ligatures w14:val="standardContextual"/>
        </w:rPr>
        <w:t>ofertas,</w:t>
      </w:r>
      <w:proofErr w:type="gramEnd"/>
      <w:r w:rsidRPr="00611F5F">
        <w:rPr>
          <w:rFonts w:ascii="Verdana" w:eastAsia="Aptos" w:hAnsi="Verdana" w:cs="Arial"/>
          <w:kern w:val="2"/>
          <w:sz w:val="20"/>
          <w:szCs w:val="20"/>
          <w14:ligatures w14:val="standardContextual"/>
        </w:rPr>
        <w:t xml:space="preserve"> se pregunta: ¿no podrán las entidades consignar reglas encaminadas a mantener la oferta económica de los oferentes “oculta” hasta la etapa del proceso de selección que corresponda, teniendo en cuenta la literalidad de la causal de rechazo del literal “V” del numeral 1.15 del documento base? </w:t>
      </w:r>
      <w:proofErr w:type="gramStart"/>
      <w:r>
        <w:rPr>
          <w:rFonts w:ascii="Verdana" w:eastAsia="Aptos" w:hAnsi="Verdana" w:cs="Arial"/>
          <w:kern w:val="2"/>
          <w:sz w:val="20"/>
          <w:szCs w:val="20"/>
          <w14:ligatures w14:val="standardContextual"/>
        </w:rPr>
        <w:t>“ (</w:t>
      </w:r>
      <w:proofErr w:type="gramEnd"/>
      <w:r>
        <w:rPr>
          <w:rFonts w:ascii="Verdana" w:eastAsia="Aptos" w:hAnsi="Verdana" w:cs="Arial"/>
          <w:kern w:val="2"/>
          <w:sz w:val="20"/>
          <w:szCs w:val="20"/>
          <w14:ligatures w14:val="standardContextual"/>
        </w:rPr>
        <w:t>SIC)</w:t>
      </w:r>
      <w:r w:rsidRPr="00611F5F">
        <w:rPr>
          <w:rFonts w:ascii="Verdana" w:eastAsia="Aptos" w:hAnsi="Verdana" w:cs="Arial"/>
          <w:kern w:val="2"/>
          <w:sz w:val="20"/>
          <w:szCs w:val="20"/>
          <w14:ligatures w14:val="standardContextual"/>
        </w:rPr>
        <w:t xml:space="preserve"> </w:t>
      </w:r>
    </w:p>
    <w:p w14:paraId="422B8BD5" w14:textId="77777777" w:rsidR="005E0653" w:rsidRDefault="005E0653" w:rsidP="005E0653">
      <w:pPr>
        <w:spacing w:after="0" w:line="240" w:lineRule="auto"/>
        <w:ind w:left="709" w:right="680"/>
        <w:jc w:val="both"/>
        <w:rPr>
          <w:rFonts w:ascii="Verdana" w:eastAsia="Aptos" w:hAnsi="Verdana" w:cs="Arial"/>
          <w:kern w:val="2"/>
          <w:sz w:val="20"/>
          <w:szCs w:val="20"/>
          <w14:ligatures w14:val="standardContextual"/>
        </w:rPr>
      </w:pPr>
    </w:p>
    <w:p w14:paraId="1BA041AC" w14:textId="77777777" w:rsidR="005E0653" w:rsidRPr="00956B95" w:rsidRDefault="005E0653" w:rsidP="005E0653">
      <w:pPr>
        <w:spacing w:after="0" w:line="240" w:lineRule="auto"/>
        <w:ind w:left="709" w:right="680"/>
        <w:jc w:val="both"/>
        <w:rPr>
          <w:rFonts w:ascii="Verdana" w:eastAsia="Aptos" w:hAnsi="Verdana" w:cs="Arial"/>
          <w:kern w:val="2"/>
          <w:sz w:val="20"/>
          <w:szCs w:val="20"/>
          <w14:ligatures w14:val="standardContextual"/>
        </w:rPr>
      </w:pPr>
    </w:p>
    <w:p w14:paraId="6E042E69" w14:textId="77777777" w:rsidR="005E0653" w:rsidRPr="00823549" w:rsidRDefault="005E0653" w:rsidP="005E0653">
      <w:pPr>
        <w:tabs>
          <w:tab w:val="left" w:pos="142"/>
          <w:tab w:val="left" w:pos="1020"/>
        </w:tabs>
        <w:spacing w:line="276" w:lineRule="auto"/>
        <w:contextualSpacing/>
        <w:jc w:val="both"/>
        <w:rPr>
          <w:rFonts w:ascii="Verdana" w:eastAsia="Century Gothic" w:hAnsi="Verdana" w:cs="Century Gothic"/>
          <w:b/>
          <w:bCs/>
          <w:lang w:val="es-ES_tradnl"/>
        </w:rPr>
      </w:pPr>
    </w:p>
    <w:p w14:paraId="31756490" w14:textId="77777777" w:rsidR="005E0653" w:rsidRPr="00823549" w:rsidRDefault="005E0653" w:rsidP="005E0653">
      <w:pPr>
        <w:spacing w:after="120" w:line="276" w:lineRule="auto"/>
        <w:ind w:firstLine="709"/>
        <w:jc w:val="both"/>
        <w:rPr>
          <w:rFonts w:ascii="Verdana" w:eastAsia="Calibri" w:hAnsi="Verdana" w:cs="Arial"/>
          <w:lang w:val="es-ES" w:eastAsia="es-ES"/>
        </w:rPr>
      </w:pPr>
      <w:r w:rsidRPr="0169AFC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w:t>
      </w:r>
      <w:r w:rsidRPr="0169AFC0">
        <w:rPr>
          <w:rFonts w:ascii="Verdana" w:eastAsia="Calibri" w:hAnsi="Verdana" w:cs="Arial"/>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7F9FA9DF" w14:textId="77777777" w:rsidR="005E0653" w:rsidRPr="00823549" w:rsidRDefault="005E0653" w:rsidP="005E0653">
      <w:pPr>
        <w:snapToGrid w:val="0"/>
        <w:spacing w:after="0" w:line="276" w:lineRule="auto"/>
        <w:ind w:firstLine="709"/>
        <w:jc w:val="both"/>
        <w:rPr>
          <w:rFonts w:ascii="Verdana" w:eastAsia="Calibri" w:hAnsi="Verdana" w:cs="Arial"/>
          <w:lang w:val="es-ES_tradnl" w:eastAsia="es-ES"/>
        </w:rPr>
      </w:pPr>
      <w:r w:rsidRPr="00823549">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B44CDBE" w14:textId="77777777" w:rsidR="005E0653" w:rsidRPr="00823549" w:rsidRDefault="005E0653" w:rsidP="005E0653">
      <w:pPr>
        <w:snapToGrid w:val="0"/>
        <w:spacing w:after="0" w:line="276" w:lineRule="auto"/>
        <w:ind w:firstLine="709"/>
        <w:jc w:val="both"/>
        <w:rPr>
          <w:rFonts w:ascii="Verdana" w:eastAsia="Calibri" w:hAnsi="Verdana" w:cs="Arial"/>
          <w:lang w:val="es-ES_tradnl" w:eastAsia="es-ES"/>
        </w:rPr>
      </w:pPr>
    </w:p>
    <w:p w14:paraId="0995C413" w14:textId="77777777" w:rsidR="005E0653" w:rsidRPr="00823549" w:rsidRDefault="005E0653" w:rsidP="005E065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823549">
        <w:rPr>
          <w:rFonts w:ascii="Verdana" w:eastAsia="Century Gothic" w:hAnsi="Verdana" w:cs="Century Gothic"/>
          <w:b/>
          <w:bCs/>
          <w:lang w:val="es-ES_tradnl"/>
        </w:rPr>
        <w:t>Problema planteado:</w:t>
      </w:r>
    </w:p>
    <w:p w14:paraId="518FBC68" w14:textId="77777777" w:rsidR="005E0653" w:rsidRPr="00823549" w:rsidRDefault="005E0653" w:rsidP="005E0653">
      <w:pPr>
        <w:tabs>
          <w:tab w:val="left" w:pos="426"/>
        </w:tabs>
        <w:snapToGrid w:val="0"/>
        <w:spacing w:after="0" w:line="276" w:lineRule="auto"/>
        <w:jc w:val="both"/>
        <w:rPr>
          <w:rFonts w:ascii="Verdana" w:eastAsia="Century Gothic" w:hAnsi="Verdana" w:cs="Century Gothic"/>
          <w:lang w:val="es-ES_tradnl"/>
        </w:rPr>
      </w:pPr>
    </w:p>
    <w:p w14:paraId="123BC1C4" w14:textId="77777777" w:rsidR="005E0653" w:rsidRDefault="005E0653" w:rsidP="005E0653">
      <w:pPr>
        <w:snapToGrid w:val="0"/>
        <w:spacing w:after="0" w:line="276" w:lineRule="auto"/>
        <w:jc w:val="both"/>
        <w:rPr>
          <w:rFonts w:ascii="Verdana" w:eastAsia="Century Gothic" w:hAnsi="Verdana" w:cs="Century Gothic"/>
          <w:lang w:val="es-ES"/>
        </w:rPr>
      </w:pPr>
      <w:r w:rsidRPr="0169AFC0">
        <w:rPr>
          <w:rFonts w:ascii="Verdana" w:eastAsia="Century Gothic" w:hAnsi="Verdana" w:cs="Century Gothic"/>
          <w:lang w:val="es-ES"/>
        </w:rPr>
        <w:t xml:space="preserve">De acuerdo con el contenido de su solicitud, esta Agencia resolverá </w:t>
      </w:r>
      <w:r>
        <w:rPr>
          <w:rFonts w:ascii="Verdana" w:eastAsia="Century Gothic" w:hAnsi="Verdana" w:cs="Century Gothic"/>
          <w:lang w:val="es-ES"/>
        </w:rPr>
        <w:t xml:space="preserve">los </w:t>
      </w:r>
      <w:r w:rsidRPr="0169AFC0">
        <w:rPr>
          <w:rFonts w:ascii="Verdana" w:eastAsia="Century Gothic" w:hAnsi="Verdana" w:cs="Century Gothic"/>
          <w:lang w:val="es-ES"/>
        </w:rPr>
        <w:t>siguientes problema</w:t>
      </w:r>
      <w:r>
        <w:rPr>
          <w:rFonts w:ascii="Verdana" w:eastAsia="Century Gothic" w:hAnsi="Verdana" w:cs="Century Gothic"/>
          <w:lang w:val="es-ES"/>
        </w:rPr>
        <w:t>s</w:t>
      </w:r>
      <w:r w:rsidRPr="0169AFC0">
        <w:rPr>
          <w:rFonts w:ascii="Verdana" w:eastAsia="Century Gothic" w:hAnsi="Verdana" w:cs="Century Gothic"/>
          <w:lang w:val="es-ES"/>
        </w:rPr>
        <w:t xml:space="preserve"> jurídico</w:t>
      </w:r>
      <w:r>
        <w:rPr>
          <w:rFonts w:ascii="Verdana" w:eastAsia="Century Gothic" w:hAnsi="Verdana" w:cs="Century Gothic"/>
          <w:lang w:val="es-ES"/>
        </w:rPr>
        <w:t>s</w:t>
      </w:r>
      <w:r w:rsidRPr="0169AFC0">
        <w:rPr>
          <w:rFonts w:ascii="Verdana" w:eastAsia="Century Gothic" w:hAnsi="Verdana" w:cs="Century Gothic"/>
          <w:lang w:val="es-ES"/>
        </w:rPr>
        <w:t>: teniendo en cuenta los aspectos relacionados con la oferta en los documentos tipo de licitación de obra pública</w:t>
      </w:r>
      <w:r>
        <w:rPr>
          <w:rFonts w:ascii="Verdana" w:eastAsia="Century Gothic" w:hAnsi="Verdana" w:cs="Century Gothic"/>
          <w:lang w:val="es-ES"/>
        </w:rPr>
        <w:t xml:space="preserve"> </w:t>
      </w:r>
      <w:r w:rsidRPr="0169AFC0">
        <w:rPr>
          <w:rFonts w:ascii="Verdana" w:eastAsia="Century Gothic" w:hAnsi="Verdana" w:cs="Century Gothic"/>
          <w:lang w:val="es-ES"/>
        </w:rPr>
        <w:t>de infraestructura de transporte –</w:t>
      </w:r>
      <w:r>
        <w:rPr>
          <w:rFonts w:ascii="Verdana" w:eastAsia="Century Gothic" w:hAnsi="Verdana" w:cs="Century Gothic"/>
          <w:lang w:val="es-ES"/>
        </w:rPr>
        <w:t xml:space="preserve"> 4 </w:t>
      </w:r>
      <w:r w:rsidRPr="0169AFC0">
        <w:rPr>
          <w:rFonts w:ascii="Verdana" w:eastAsia="Century Gothic" w:hAnsi="Verdana" w:cs="Century Gothic"/>
          <w:lang w:val="es-ES"/>
        </w:rPr>
        <w:t>Versión–,</w:t>
      </w:r>
      <w:r>
        <w:rPr>
          <w:rFonts w:ascii="Verdana" w:eastAsia="Century Gothic" w:hAnsi="Verdana" w:cs="Century Gothic"/>
          <w:lang w:val="es-ES"/>
        </w:rPr>
        <w:t xml:space="preserve"> y Documentos tipo de selección abreviada de menor cuantía – 3 Versión.   i).</w:t>
      </w:r>
    </w:p>
    <w:p w14:paraId="198549D5" w14:textId="77777777" w:rsidR="005E0653" w:rsidRDefault="005E0653" w:rsidP="005E0653">
      <w:pPr>
        <w:snapToGrid w:val="0"/>
        <w:spacing w:after="0" w:line="276" w:lineRule="auto"/>
        <w:jc w:val="both"/>
        <w:rPr>
          <w:rFonts w:ascii="Verdana" w:eastAsia="Century Gothic" w:hAnsi="Verdana" w:cs="Century Gothic"/>
          <w:lang w:val="es-ES"/>
        </w:rPr>
      </w:pPr>
    </w:p>
    <w:p w14:paraId="296E2AC0" w14:textId="77777777" w:rsidR="005E0653" w:rsidRPr="005C5262" w:rsidRDefault="005E0653" w:rsidP="005E0653">
      <w:pPr>
        <w:snapToGrid w:val="0"/>
        <w:spacing w:after="0" w:line="276" w:lineRule="auto"/>
        <w:jc w:val="both"/>
        <w:rPr>
          <w:rFonts w:ascii="Verdana" w:eastAsia="Century Gothic" w:hAnsi="Verdana" w:cs="Century Gothic"/>
        </w:rPr>
      </w:pPr>
      <w:r>
        <w:rPr>
          <w:rFonts w:ascii="Verdana" w:eastAsia="Aptos" w:hAnsi="Verdana" w:cs="Times New Roman"/>
          <w:kern w:val="2"/>
          <w14:ligatures w14:val="standardContextual"/>
        </w:rPr>
        <w:t>i)</w:t>
      </w:r>
      <w:r w:rsidRPr="005C5262">
        <w:rPr>
          <w:rFonts w:ascii="Verdana" w:eastAsia="Aptos" w:hAnsi="Verdana" w:cs="Times New Roman"/>
          <w:kern w:val="2"/>
          <w14:ligatures w14:val="standardContextual"/>
        </w:rPr>
        <w:t xml:space="preserve"> ¿cómo debe procederse frente a las discrepancias entre el valor del </w:t>
      </w:r>
      <w:r w:rsidRPr="005C5262">
        <w:rPr>
          <w:rFonts w:ascii="Verdana" w:eastAsia="Century Gothic" w:hAnsi="Verdana" w:cs="Century Gothic"/>
          <w:sz w:val="21"/>
          <w:szCs w:val="21"/>
        </w:rPr>
        <w:t xml:space="preserve">Formulario 1 – Formulario de Presupuesto Oficial y el valor presentado en el SECOP II?, y </w:t>
      </w:r>
      <w:proofErr w:type="spellStart"/>
      <w:r w:rsidRPr="005C5262">
        <w:rPr>
          <w:rFonts w:ascii="Verdana" w:eastAsia="Century Gothic" w:hAnsi="Verdana" w:cs="Century Gothic"/>
          <w:sz w:val="21"/>
          <w:szCs w:val="21"/>
        </w:rPr>
        <w:t>ii</w:t>
      </w:r>
      <w:proofErr w:type="spellEnd"/>
      <w:r w:rsidRPr="005C5262">
        <w:rPr>
          <w:rFonts w:ascii="Verdana" w:eastAsia="Century Gothic" w:hAnsi="Verdana" w:cs="Century Gothic"/>
          <w:sz w:val="21"/>
          <w:szCs w:val="21"/>
        </w:rPr>
        <w:t xml:space="preserve">) ¿Pueden las entidades consignar reglas encaminadas a mantener “oculta” la oferta económica? </w:t>
      </w:r>
    </w:p>
    <w:p w14:paraId="026ACE56" w14:textId="77777777" w:rsidR="005E0653" w:rsidRPr="00823549" w:rsidRDefault="005E0653" w:rsidP="005E0653">
      <w:pPr>
        <w:snapToGrid w:val="0"/>
        <w:spacing w:after="0" w:line="276" w:lineRule="auto"/>
        <w:jc w:val="both"/>
        <w:rPr>
          <w:rFonts w:ascii="Verdana" w:eastAsia="Calibri" w:hAnsi="Verdana" w:cs="Arial"/>
          <w:lang w:val="es-ES_tradnl"/>
        </w:rPr>
      </w:pPr>
    </w:p>
    <w:p w14:paraId="567A70C3" w14:textId="77777777" w:rsidR="005E0653" w:rsidRPr="00823549" w:rsidRDefault="005E0653" w:rsidP="005E065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823549">
        <w:rPr>
          <w:rFonts w:ascii="Verdana" w:eastAsia="Century Gothic" w:hAnsi="Verdana" w:cs="Century Gothic"/>
          <w:b/>
          <w:bCs/>
          <w:lang w:val="es-ES_tradnl"/>
        </w:rPr>
        <w:t>Respuesta:</w:t>
      </w:r>
    </w:p>
    <w:p w14:paraId="3244D989" w14:textId="77777777" w:rsidR="005E0653" w:rsidRPr="00823549" w:rsidRDefault="005E0653" w:rsidP="005E0653">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E0653" w:rsidRPr="00823549" w14:paraId="6DB86EE5" w14:textId="77777777" w:rsidTr="00C74D1B">
        <w:tc>
          <w:tcPr>
            <w:tcW w:w="8828" w:type="dxa"/>
          </w:tcPr>
          <w:p w14:paraId="165A2E72" w14:textId="77777777" w:rsidR="005E0653" w:rsidRPr="00823549" w:rsidRDefault="005E0653" w:rsidP="00BB4C4A">
            <w:pPr>
              <w:snapToGrid w:val="0"/>
              <w:spacing w:after="120" w:line="276" w:lineRule="auto"/>
              <w:jc w:val="both"/>
              <w:rPr>
                <w:rFonts w:ascii="Verdana" w:eastAsia="Calibri" w:hAnsi="Verdana" w:cs="Arial"/>
                <w:lang w:val="es-ES_tradnl"/>
              </w:rPr>
            </w:pPr>
            <w:r w:rsidRPr="00823549">
              <w:rPr>
                <w:rFonts w:ascii="Verdana" w:eastAsia="Calibri" w:hAnsi="Verdana" w:cs="Arial"/>
                <w:lang w:val="es-ES_tradnl"/>
              </w:rPr>
              <w:t xml:space="preserve">Recientemente, esta Agencia expidió la Resolución No. 465 de 2024 “Por la cual se adopta la versión -4- de los Documentos Tipo para los procesos de selección de licitación de obra pública del sector de infraestructura de transporte y </w:t>
            </w:r>
            <w:r>
              <w:rPr>
                <w:rFonts w:ascii="Verdana" w:eastAsia="Calibri" w:hAnsi="Verdana" w:cs="Arial"/>
                <w:lang w:val="es-ES_tradnl"/>
              </w:rPr>
              <w:t>la Resolución 463 de 2024 “Por la cual se adopta la versión -3- de los Documentos Tipo para procesos de selección abreviada de menor cuantía de obra pública de infraestructura de transporte”</w:t>
            </w:r>
            <w:r w:rsidRPr="00823549">
              <w:rPr>
                <w:rFonts w:ascii="Verdana" w:eastAsia="Calibri" w:hAnsi="Verdana" w:cs="Arial"/>
                <w:lang w:val="es-ES_tradnl"/>
              </w:rPr>
              <w:t>. Estos documentos aplican a los procesos de selección de licitación de obra pública de infraestructura de transporte</w:t>
            </w:r>
            <w:r>
              <w:rPr>
                <w:rFonts w:ascii="Verdana" w:eastAsia="Calibri" w:hAnsi="Verdana" w:cs="Arial"/>
                <w:lang w:val="es-ES_tradnl"/>
              </w:rPr>
              <w:t xml:space="preserve"> y menor cuantía</w:t>
            </w:r>
            <w:r w:rsidRPr="00823549">
              <w:rPr>
                <w:rFonts w:ascii="Verdana" w:eastAsia="Calibri" w:hAnsi="Verdana" w:cs="Arial"/>
                <w:lang w:val="es-ES_tradnl"/>
              </w:rPr>
              <w:t xml:space="preserve">, cuyo aviso de convocatoria </w:t>
            </w:r>
            <w:r>
              <w:rPr>
                <w:rFonts w:ascii="Verdana" w:eastAsia="Calibri" w:hAnsi="Verdana" w:cs="Arial"/>
                <w:lang w:val="es-ES_tradnl"/>
              </w:rPr>
              <w:t>s</w:t>
            </w:r>
            <w:r w:rsidRPr="00823549">
              <w:rPr>
                <w:rFonts w:ascii="Verdana" w:eastAsia="Calibri" w:hAnsi="Verdana" w:cs="Arial"/>
                <w:lang w:val="es-ES_tradnl"/>
              </w:rPr>
              <w:t>e publique a partir del 3 de febrero de 2025.</w:t>
            </w:r>
          </w:p>
          <w:p w14:paraId="1CB47E71" w14:textId="77777777" w:rsidR="005E0653" w:rsidRPr="00823549" w:rsidRDefault="005E0653" w:rsidP="00BB4C4A">
            <w:pPr>
              <w:widowControl w:val="0"/>
              <w:autoSpaceDE w:val="0"/>
              <w:autoSpaceDN w:val="0"/>
              <w:snapToGrid w:val="0"/>
              <w:spacing w:after="120" w:line="276" w:lineRule="auto"/>
              <w:ind w:firstLine="709"/>
              <w:jc w:val="both"/>
              <w:rPr>
                <w:rFonts w:ascii="Verdana" w:eastAsia="Arial" w:hAnsi="Verdana" w:cs="Arial"/>
                <w:iCs/>
                <w:lang w:val="es-ES_tradnl" w:eastAsia="es-ES" w:bidi="es-ES"/>
              </w:rPr>
            </w:pPr>
            <w:r w:rsidRPr="00823549">
              <w:rPr>
                <w:rFonts w:ascii="Verdana" w:eastAsia="Calibri" w:hAnsi="Verdana" w:cs="Arial"/>
                <w:lang w:val="es-ES_tradnl" w:eastAsia="es-MX"/>
              </w:rPr>
              <w:t xml:space="preserve">Es importante señalar que, el numeral “2.3. ELABORACIÓN Y </w:t>
            </w:r>
            <w:r w:rsidRPr="00823549">
              <w:rPr>
                <w:rFonts w:ascii="Verdana" w:eastAsia="Calibri" w:hAnsi="Verdana" w:cs="Arial"/>
                <w:lang w:val="es-ES_tradnl" w:eastAsia="es-MX"/>
              </w:rPr>
              <w:lastRenderedPageBreak/>
              <w:t xml:space="preserve">PRESENTACIÓN DE LA OFERTA” del documento base de los documentos tipo en comento, contiene una </w:t>
            </w:r>
            <w:r w:rsidRPr="00823549">
              <w:rPr>
                <w:rFonts w:ascii="Verdana" w:eastAsia="Calibri" w:hAnsi="Verdana" w:cs="Arial"/>
                <w:i/>
                <w:iCs/>
                <w:lang w:val="es-ES_tradnl" w:eastAsia="es-MX"/>
              </w:rPr>
              <w:t>Nota,</w:t>
            </w:r>
            <w:r w:rsidRPr="00823549">
              <w:rPr>
                <w:rFonts w:ascii="Verdana" w:eastAsia="Calibri" w:hAnsi="Verdana" w:cs="Arial"/>
                <w:lang w:val="es-ES_tradnl" w:eastAsia="es-MX"/>
              </w:rPr>
              <w:t xml:space="preserve"> que establece que, </w:t>
            </w:r>
            <w:r w:rsidRPr="00823549">
              <w:rPr>
                <w:rFonts w:ascii="Verdana" w:eastAsia="Calibri" w:hAnsi="Verdana" w:cs="Arial"/>
                <w:i/>
                <w:iCs/>
                <w:lang w:val="es-ES_tradnl" w:eastAsia="es-MX"/>
              </w:rPr>
              <w:t>“[e]n caso de discrepancias entre los valores señalados en el Formulario 1 – Formulario de Presupuesto Oficial y el valor presentado en el SECOP II, prevalecerá el valor presentado en el SECOP II.”</w:t>
            </w:r>
          </w:p>
          <w:p w14:paraId="53638346" w14:textId="77777777" w:rsidR="005E0653" w:rsidRPr="00185278" w:rsidRDefault="005E0653" w:rsidP="005E0653">
            <w:pPr>
              <w:pStyle w:val="Prrafodelista"/>
              <w:numPr>
                <w:ilvl w:val="0"/>
                <w:numId w:val="20"/>
              </w:numPr>
              <w:snapToGrid w:val="0"/>
              <w:spacing w:after="120" w:line="276" w:lineRule="auto"/>
              <w:jc w:val="both"/>
              <w:rPr>
                <w:rFonts w:ascii="Verdana" w:eastAsia="Calibri" w:hAnsi="Verdana" w:cs="Arial"/>
                <w:lang w:val="es-ES_tradnl"/>
              </w:rPr>
            </w:pPr>
            <w:r w:rsidRPr="00185278">
              <w:rPr>
                <w:rFonts w:ascii="Verdana" w:eastAsia="Calibri" w:hAnsi="Verdana" w:cs="Arial"/>
                <w:lang w:val="es-ES_tradnl"/>
              </w:rPr>
              <w:t>Al respecto, debe advertirse que, indistintamente de los valores que figuren en el Formulario 1 y el SECOP II, prevalecerán los consignados en el SECOP II.</w:t>
            </w:r>
          </w:p>
          <w:p w14:paraId="2BB0068C" w14:textId="77777777" w:rsidR="005E0653" w:rsidRDefault="005E0653" w:rsidP="00BB4C4A">
            <w:pPr>
              <w:snapToGrid w:val="0"/>
              <w:spacing w:after="120" w:line="276" w:lineRule="auto"/>
              <w:ind w:firstLine="709"/>
              <w:jc w:val="both"/>
              <w:rPr>
                <w:rFonts w:ascii="Verdana" w:eastAsia="Calibri" w:hAnsi="Verdana" w:cs="Arial"/>
                <w:lang w:val="es-ES"/>
              </w:rPr>
            </w:pPr>
            <w:r w:rsidRPr="0169AFC0">
              <w:rPr>
                <w:rFonts w:ascii="Verdana" w:eastAsia="Calibri" w:hAnsi="Verdana" w:cs="Arial"/>
                <w:lang w:val="es-ES"/>
              </w:rPr>
              <w:t>Por lo tanto, cuando este tipo de situaciones se presenten en desarrollo de procesos de contratación, corresponderá a las entidades estatales, en el marco de su autonomía, adelantar las acciones procedentes y necesarias, con el fin hacer prevalecer los valores de la oferta contemplados en el SECOP II y continuar con el desarrollo del proceso, conforme al régimen jurídico aplicable.</w:t>
            </w:r>
          </w:p>
          <w:p w14:paraId="1AF7F4D7" w14:textId="77777777" w:rsidR="005E0653" w:rsidRDefault="005E0653" w:rsidP="00BB4C4A">
            <w:pPr>
              <w:snapToGrid w:val="0"/>
              <w:spacing w:line="276" w:lineRule="auto"/>
              <w:ind w:firstLine="709"/>
              <w:jc w:val="both"/>
              <w:rPr>
                <w:rFonts w:ascii="Verdana" w:eastAsia="Calibri" w:hAnsi="Verdana" w:cs="Arial"/>
                <w:lang w:val="es-ES"/>
              </w:rPr>
            </w:pPr>
            <w:r w:rsidRPr="00DF7C9D">
              <w:rPr>
                <w:rFonts w:ascii="Verdana" w:eastAsia="Calibri" w:hAnsi="Verdana" w:cs="Arial"/>
                <w:lang w:val="es-ES"/>
              </w:rPr>
              <w:t xml:space="preserve">En todo caso, debe advertirse que, la precitada </w:t>
            </w:r>
            <w:r w:rsidRPr="00DF7C9D">
              <w:rPr>
                <w:rFonts w:ascii="Verdana" w:eastAsia="Calibri" w:hAnsi="Verdana" w:cs="Arial"/>
                <w:i/>
                <w:iCs/>
                <w:lang w:val="es-ES"/>
              </w:rPr>
              <w:t xml:space="preserve">Nota </w:t>
            </w:r>
            <w:r w:rsidRPr="00DF7C9D">
              <w:rPr>
                <w:rFonts w:ascii="Verdana" w:eastAsia="Calibri" w:hAnsi="Verdana" w:cs="Arial"/>
                <w:lang w:val="es-ES"/>
              </w:rPr>
              <w:t>debe ser entendida respecto al valor total consignado en el Formulario 1 y aquel presentado en SECOP II. De esta manera, lo importante será que ambos valores totales coincidan –tanto el del Formulario 1 como el del SECOP II–, so pena de que prevalezca el señalado en SECOP II.</w:t>
            </w:r>
            <w:r>
              <w:rPr>
                <w:rFonts w:ascii="Verdana" w:eastAsia="Calibri" w:hAnsi="Verdana" w:cs="Arial"/>
                <w:lang w:val="es-ES"/>
              </w:rPr>
              <w:t xml:space="preserve"> </w:t>
            </w:r>
            <w:r w:rsidRPr="0169AFC0">
              <w:rPr>
                <w:rFonts w:ascii="Verdana" w:eastAsia="Calibri" w:hAnsi="Verdana" w:cs="Arial"/>
                <w:lang w:val="es-ES"/>
              </w:rPr>
              <w:t xml:space="preserve"> </w:t>
            </w:r>
          </w:p>
          <w:p w14:paraId="357896A0" w14:textId="77777777" w:rsidR="005E0653" w:rsidRDefault="005E0653" w:rsidP="00BB4C4A">
            <w:pPr>
              <w:snapToGrid w:val="0"/>
              <w:spacing w:line="276" w:lineRule="auto"/>
              <w:ind w:firstLine="709"/>
              <w:jc w:val="both"/>
              <w:rPr>
                <w:rFonts w:ascii="Verdana" w:eastAsia="Calibri" w:hAnsi="Verdana" w:cs="Arial"/>
                <w:lang w:val="es-ES"/>
              </w:rPr>
            </w:pPr>
          </w:p>
          <w:p w14:paraId="6E374CA4" w14:textId="2C40F627" w:rsidR="005E0653" w:rsidRPr="00A31525" w:rsidRDefault="005E0653" w:rsidP="005E0653">
            <w:pPr>
              <w:pStyle w:val="Prrafodelista"/>
              <w:widowControl w:val="0"/>
              <w:numPr>
                <w:ilvl w:val="0"/>
                <w:numId w:val="20"/>
              </w:numPr>
              <w:autoSpaceDE w:val="0"/>
              <w:autoSpaceDN w:val="0"/>
              <w:spacing w:after="120" w:line="276" w:lineRule="auto"/>
              <w:jc w:val="both"/>
              <w:rPr>
                <w:rFonts w:ascii="Verdana" w:eastAsia="Arial" w:hAnsi="Verdana" w:cs="Arial"/>
                <w:iCs/>
                <w:lang w:eastAsia="es-ES" w:bidi="es-ES"/>
              </w:rPr>
            </w:pPr>
            <w:r w:rsidRPr="00A31525">
              <w:rPr>
                <w:rFonts w:ascii="Verdana" w:eastAsia="Arial" w:hAnsi="Verdana" w:cs="Arial"/>
                <w:iCs/>
                <w:lang w:eastAsia="es-ES" w:bidi="es-ES"/>
              </w:rPr>
              <w:t xml:space="preserve">Las entidades no pueden establecer reglas o aspectos diferentes a los establecidos en el documento tipo con el objetivo de mantener </w:t>
            </w:r>
            <w:r w:rsidR="00141808">
              <w:rPr>
                <w:rFonts w:ascii="Verdana" w:eastAsia="Arial" w:hAnsi="Verdana" w:cs="Arial"/>
                <w:iCs/>
                <w:lang w:eastAsia="es-ES" w:bidi="es-ES"/>
              </w:rPr>
              <w:t>“</w:t>
            </w:r>
            <w:r w:rsidRPr="00A31525">
              <w:rPr>
                <w:rFonts w:ascii="Verdana" w:eastAsia="Arial" w:hAnsi="Verdana" w:cs="Arial"/>
                <w:iCs/>
                <w:lang w:eastAsia="es-ES" w:bidi="es-ES"/>
              </w:rPr>
              <w:t>oculta</w:t>
            </w:r>
            <w:r w:rsidR="00141808">
              <w:rPr>
                <w:rFonts w:ascii="Verdana" w:eastAsia="Arial" w:hAnsi="Verdana" w:cs="Arial"/>
                <w:iCs/>
                <w:lang w:eastAsia="es-ES" w:bidi="es-ES"/>
              </w:rPr>
              <w:t>”</w:t>
            </w:r>
            <w:r w:rsidRPr="00A31525">
              <w:rPr>
                <w:rFonts w:ascii="Verdana" w:eastAsia="Arial" w:hAnsi="Verdana" w:cs="Arial"/>
                <w:iCs/>
                <w:lang w:eastAsia="es-ES" w:bidi="es-ES"/>
              </w:rPr>
              <w:t xml:space="preserve"> la oferta económica, por ello, el documento tipo establece que las entidades deben garantizar la confidencialidad de las ofertas de tal manera que se impida conocer el valor de estas hasta antes del cierre del proceso. Así las cosas, se reitera que </w:t>
            </w:r>
            <w:r w:rsidRPr="00A31525">
              <w:rPr>
                <w:rFonts w:ascii="Verdana" w:eastAsia="Times New Roman" w:hAnsi="Verdana" w:cs="Arial"/>
                <w:kern w:val="2"/>
                <w:shd w:val="clear" w:color="auto" w:fill="FFFFFF"/>
                <w:lang w:val="es-ES_tradnl" w:eastAsia="es-ES_tradnl"/>
                <w14:ligatures w14:val="standardContextual"/>
              </w:rPr>
              <w:t xml:space="preserve">las entidades estatales no pueden incluir o modificar en los </w:t>
            </w:r>
            <w:r w:rsidRPr="00A31525">
              <w:rPr>
                <w:rFonts w:ascii="Verdana" w:eastAsia="Times New Roman" w:hAnsi="Verdana" w:cs="Arial"/>
                <w:i/>
                <w:iCs/>
                <w:kern w:val="2"/>
                <w:shd w:val="clear" w:color="auto" w:fill="FFFFFF"/>
                <w:lang w:val="es-ES_tradnl" w:eastAsia="es-ES_tradnl"/>
                <w14:ligatures w14:val="standardContextual"/>
              </w:rPr>
              <w:t>Documentos del Proceso</w:t>
            </w:r>
            <w:r w:rsidRPr="00A31525">
              <w:rPr>
                <w:rFonts w:ascii="Verdana" w:eastAsia="Times New Roman" w:hAnsi="Verdana" w:cs="Arial"/>
                <w:kern w:val="2"/>
                <w:shd w:val="clear" w:color="auto" w:fill="FFFFFF"/>
                <w:lang w:val="es-ES_tradnl"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obligatorio cumplimiento.</w:t>
            </w:r>
          </w:p>
          <w:p w14:paraId="5A842B95" w14:textId="77777777" w:rsidR="005E0653" w:rsidRPr="00340C49" w:rsidRDefault="005E0653" w:rsidP="00BB4C4A">
            <w:pPr>
              <w:widowControl w:val="0"/>
              <w:autoSpaceDE w:val="0"/>
              <w:autoSpaceDN w:val="0"/>
              <w:spacing w:after="120" w:line="276" w:lineRule="auto"/>
              <w:jc w:val="both"/>
              <w:rPr>
                <w:rFonts w:ascii="Verdana" w:eastAsia="Arial" w:hAnsi="Verdana" w:cs="Arial"/>
                <w:iCs/>
                <w:lang w:val="es-ES" w:eastAsia="es-ES" w:bidi="es-ES"/>
              </w:rPr>
            </w:pPr>
            <w:r w:rsidRPr="005E5543">
              <w:rPr>
                <w:rFonts w:ascii="Verdana" w:eastAsia="Arial" w:hAnsi="Verdana" w:cs="Arial"/>
                <w:iCs/>
                <w:lang w:eastAsia="es-ES" w:bidi="es-ES"/>
              </w:rPr>
              <w:t xml:space="preserve">En todo caso, y más allá de la explicación previamente expuesta, es preciso advertir que el análisis requerido para resolver situaciones concretas sobre las condiciones en que las Entidades Estatales pueden adelantar sus procesos de contratación debe ser realizado por los interesados, conforme a lo señalado en </w:t>
            </w:r>
            <w:r w:rsidRPr="005E5543">
              <w:rPr>
                <w:rFonts w:ascii="Verdana" w:eastAsia="Arial" w:hAnsi="Verdana" w:cs="Arial"/>
                <w:iCs/>
                <w:lang w:eastAsia="es-ES" w:bidi="es-ES"/>
              </w:rPr>
              <w:lastRenderedPageBreak/>
              <w:t>la aclaración preliminar del presente escrito. En consecuencia, previa consulta con sus asesores jurídicos corresponde a dichos interesados adoptar las decisiones pertinentes frente a casos particulares y, en caso de controversia, acudir a las autoridades judiciales, fiscales o disciplinarias competentes. En ese sentido, cada entidad es responsable de definir la forma en que desarrolla su gestión contractual, sin que le corresponda a Colombia Compra Eficiente validar o avalar sus actuaciones.</w:t>
            </w:r>
          </w:p>
          <w:p w14:paraId="1B88E4A6" w14:textId="77777777" w:rsidR="005E0653" w:rsidRPr="00823549" w:rsidRDefault="005E0653" w:rsidP="00BB4C4A">
            <w:pPr>
              <w:snapToGrid w:val="0"/>
              <w:spacing w:line="276" w:lineRule="auto"/>
              <w:ind w:firstLine="709"/>
              <w:jc w:val="both"/>
              <w:rPr>
                <w:rFonts w:ascii="Verdana" w:eastAsia="Calibri" w:hAnsi="Verdana" w:cs="Arial"/>
                <w:lang w:val="es-ES"/>
              </w:rPr>
            </w:pPr>
          </w:p>
        </w:tc>
      </w:tr>
    </w:tbl>
    <w:p w14:paraId="5783490B" w14:textId="77777777" w:rsidR="005E0653" w:rsidRPr="00823549" w:rsidRDefault="005E0653" w:rsidP="005E0653">
      <w:pPr>
        <w:tabs>
          <w:tab w:val="left" w:pos="142"/>
          <w:tab w:val="left" w:pos="284"/>
        </w:tabs>
        <w:snapToGrid w:val="0"/>
        <w:spacing w:after="0" w:line="276" w:lineRule="auto"/>
        <w:jc w:val="both"/>
        <w:rPr>
          <w:rFonts w:ascii="Verdana" w:eastAsia="Century Gothic" w:hAnsi="Verdana" w:cs="Century Gothic"/>
          <w:b/>
          <w:bCs/>
          <w:lang w:val="es-ES_tradnl"/>
        </w:rPr>
      </w:pPr>
    </w:p>
    <w:p w14:paraId="6295FC97" w14:textId="77777777" w:rsidR="005E0653" w:rsidRPr="00823549" w:rsidRDefault="005E0653" w:rsidP="005E065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823549">
        <w:rPr>
          <w:rFonts w:ascii="Verdana" w:eastAsia="Century Gothic" w:hAnsi="Verdana" w:cs="Century Gothic"/>
          <w:b/>
          <w:bCs/>
          <w:lang w:val="es-ES_tradnl"/>
        </w:rPr>
        <w:t>Razones de la respuesta:</w:t>
      </w:r>
    </w:p>
    <w:p w14:paraId="2F0825A4" w14:textId="77777777" w:rsidR="005E0653" w:rsidRPr="00823549" w:rsidRDefault="005E0653" w:rsidP="005E0653">
      <w:pPr>
        <w:snapToGrid w:val="0"/>
        <w:spacing w:after="0" w:line="276" w:lineRule="auto"/>
        <w:jc w:val="both"/>
        <w:rPr>
          <w:rFonts w:ascii="Verdana" w:eastAsia="Calibri" w:hAnsi="Verdana" w:cs="Arial"/>
          <w:lang w:val="es-ES_tradnl"/>
        </w:rPr>
      </w:pPr>
    </w:p>
    <w:p w14:paraId="6698D6EC" w14:textId="77777777" w:rsidR="005E0653" w:rsidRPr="00823549" w:rsidRDefault="005E0653" w:rsidP="005E0653">
      <w:pPr>
        <w:snapToGrid w:val="0"/>
        <w:spacing w:after="0" w:line="276" w:lineRule="auto"/>
        <w:jc w:val="both"/>
        <w:rPr>
          <w:rFonts w:ascii="Verdana" w:eastAsia="Calibri" w:hAnsi="Verdana" w:cs="Arial"/>
          <w:lang w:val="es-ES_tradnl"/>
        </w:rPr>
      </w:pPr>
      <w:r w:rsidRPr="00823549">
        <w:rPr>
          <w:rFonts w:ascii="Verdana" w:eastAsia="Calibri" w:hAnsi="Verdana" w:cs="Arial"/>
          <w:lang w:val="es-ES_tradnl"/>
        </w:rPr>
        <w:t xml:space="preserve">Lo anterior se sustenta en las siguientes consideraciones: </w:t>
      </w:r>
    </w:p>
    <w:p w14:paraId="107A0D7B" w14:textId="77777777" w:rsidR="005E0653" w:rsidRPr="00823549" w:rsidRDefault="005E0653" w:rsidP="005E0653">
      <w:pPr>
        <w:snapToGrid w:val="0"/>
        <w:spacing w:after="0" w:line="276" w:lineRule="auto"/>
        <w:jc w:val="both"/>
        <w:rPr>
          <w:rFonts w:ascii="Verdana" w:eastAsia="Calibri" w:hAnsi="Verdana" w:cs="Arial"/>
          <w:lang w:val="es-ES_tradnl"/>
        </w:rPr>
      </w:pPr>
    </w:p>
    <w:p w14:paraId="3563D0D2" w14:textId="77777777" w:rsidR="005E0653" w:rsidRPr="00823549" w:rsidRDefault="005E0653" w:rsidP="005E0653">
      <w:pPr>
        <w:snapToGrid w:val="0"/>
        <w:spacing w:after="120" w:line="276" w:lineRule="auto"/>
        <w:jc w:val="both"/>
        <w:rPr>
          <w:rFonts w:ascii="Verdana" w:eastAsia="Calibri" w:hAnsi="Verdana" w:cs="Arial"/>
          <w:lang w:val="es-ES_tradnl"/>
        </w:rPr>
      </w:pPr>
      <w:r w:rsidRPr="00823549">
        <w:rPr>
          <w:rFonts w:ascii="Verdana" w:eastAsia="Calibri" w:hAnsi="Verdana"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514ED76A" w14:textId="77777777" w:rsidR="005E0653" w:rsidRPr="00B04AD3" w:rsidRDefault="005E0653" w:rsidP="005E0653">
      <w:pPr>
        <w:snapToGrid w:val="0"/>
        <w:spacing w:after="120" w:line="276" w:lineRule="auto"/>
        <w:ind w:firstLine="709"/>
        <w:jc w:val="both"/>
        <w:rPr>
          <w:rFonts w:ascii="Verdana" w:eastAsia="Calibri" w:hAnsi="Verdana" w:cs="Arial"/>
          <w:lang w:val="es-ES"/>
        </w:rPr>
      </w:pPr>
      <w:r w:rsidRPr="0169AFC0">
        <w:rPr>
          <w:rFonts w:ascii="Verdana" w:eastAsia="Calibri" w:hAnsi="Verdana" w:cs="Arial"/>
          <w:lang w:val="es-ES"/>
        </w:rPr>
        <w:t>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58AAD027" w14:textId="77777777" w:rsidR="005E0653" w:rsidRPr="00823549" w:rsidRDefault="005E0653" w:rsidP="005E0653">
      <w:pPr>
        <w:snapToGrid w:val="0"/>
        <w:spacing w:after="120" w:line="276" w:lineRule="auto"/>
        <w:ind w:firstLine="709"/>
        <w:jc w:val="both"/>
        <w:rPr>
          <w:rFonts w:ascii="Verdana" w:eastAsia="Calibri" w:hAnsi="Verdana" w:cs="Arial"/>
          <w:lang w:val="es-ES_tradnl"/>
        </w:rPr>
      </w:pPr>
      <w:r w:rsidRPr="00823549">
        <w:rPr>
          <w:rFonts w:ascii="Verdana" w:eastAsia="Calibri" w:hAnsi="Verdana" w:cs="Times New Roman"/>
          <w:lang w:val="es-ES_tradnl"/>
        </w:rPr>
        <w:t>Para el sector de infraestructura de transporte, la Agencia Nacional de Contratación Pública – Colombia Compra Eficiente ha expedido Documentos Tipo</w:t>
      </w:r>
      <w:r w:rsidRPr="00823549">
        <w:rPr>
          <w:rFonts w:ascii="Verdana" w:eastAsia="Calibri" w:hAnsi="Verdana" w:cs="Times New Roman"/>
          <w:vertAlign w:val="superscript"/>
          <w:lang w:val="es-ES_tradnl"/>
        </w:rPr>
        <w:footnoteReference w:id="1"/>
      </w:r>
      <w:r w:rsidRPr="00823549">
        <w:rPr>
          <w:rFonts w:ascii="Verdana" w:eastAsia="Calibri" w:hAnsi="Verdana"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w:t>
      </w:r>
      <w:r w:rsidRPr="00823549">
        <w:rPr>
          <w:rFonts w:ascii="Verdana" w:eastAsia="Calibri" w:hAnsi="Verdana" w:cs="Times New Roman"/>
          <w:lang w:val="es-ES_tradnl"/>
        </w:rPr>
        <w:lastRenderedPageBreak/>
        <w:t xml:space="preserve">de concurso de méritos para contratar la interventoría y la consultoría de estudios de ingeniería de infraestructura de transporte. </w:t>
      </w:r>
    </w:p>
    <w:p w14:paraId="2C004F6C" w14:textId="77777777" w:rsidR="005E0653" w:rsidRPr="00823549" w:rsidRDefault="005E0653" w:rsidP="005E0653">
      <w:pPr>
        <w:snapToGrid w:val="0"/>
        <w:spacing w:after="120" w:line="276" w:lineRule="auto"/>
        <w:ind w:firstLine="709"/>
        <w:jc w:val="both"/>
        <w:rPr>
          <w:rFonts w:ascii="Verdana" w:eastAsia="Calibri" w:hAnsi="Verdana" w:cs="Arial"/>
          <w:lang w:val="es-ES_tradnl"/>
        </w:rPr>
      </w:pPr>
      <w:r w:rsidRPr="00823549">
        <w:rPr>
          <w:rFonts w:ascii="Verdana" w:eastAsia="Calibri" w:hAnsi="Verdana" w:cs="Arial"/>
          <w:lang w:val="es-ES_tradnl"/>
        </w:rPr>
        <w:t>Recientemente, esta Agencia expidió la Resolución No. 465 de 2024 “Por la cual se adopta la versión -4- de los Documentos Tipo para los procesos de selección de licitación de obra pública del sector de infraestructura de transporte y</w:t>
      </w:r>
      <w:r>
        <w:rPr>
          <w:rFonts w:ascii="Verdana" w:eastAsia="Calibri" w:hAnsi="Verdana" w:cs="Arial"/>
          <w:lang w:val="es-ES_tradnl"/>
        </w:rPr>
        <w:t xml:space="preserve"> la Resolución 463 de 2024 “Por la cual se adopta la versión -3- de los Documentos Tipo para procesos de selección abreviada de menor cuantía de obra pública de infraestructura de transporte”. </w:t>
      </w:r>
      <w:r w:rsidRPr="00823549">
        <w:rPr>
          <w:rFonts w:ascii="Verdana" w:eastAsia="Calibri" w:hAnsi="Verdana" w:cs="Arial"/>
          <w:lang w:val="es-ES_tradnl"/>
        </w:rPr>
        <w:t>Estos documentos aplican a los procesos de selección de licitación de obra pública de infraestructura de transporte, cuyo aviso de convocatoria de publique a partir del 3 de febrero de 2025.</w:t>
      </w:r>
    </w:p>
    <w:p w14:paraId="22F3A140" w14:textId="77777777" w:rsidR="005E0653" w:rsidRPr="00823549" w:rsidRDefault="005E0653" w:rsidP="005E0653">
      <w:pPr>
        <w:snapToGrid w:val="0"/>
        <w:spacing w:after="120" w:line="276" w:lineRule="auto"/>
        <w:ind w:firstLine="709"/>
        <w:jc w:val="both"/>
        <w:rPr>
          <w:rFonts w:ascii="Verdana" w:eastAsia="Calibri" w:hAnsi="Verdana" w:cs="Arial"/>
          <w:kern w:val="2"/>
          <w:lang w:val="es-ES_tradnl" w:eastAsia="es-ES"/>
          <w14:ligatures w14:val="standardContextual"/>
        </w:rPr>
      </w:pPr>
      <w:r w:rsidRPr="00823549">
        <w:rPr>
          <w:rFonts w:ascii="Verdana" w:eastAsia="Calibri" w:hAnsi="Verdana" w:cs="Arial"/>
          <w:kern w:val="2"/>
          <w:lang w:val="es-ES_tradnl" w:eastAsia="es-MX"/>
          <w14:ligatures w14:val="standardContextual"/>
        </w:rPr>
        <w:t xml:space="preserve">Ahora bien, los documentos tipo de infraestructura de transporte, contemplan el “Formulario 1 – Formulario de Presupuesto Oficial”, empleado por la entidad para elaborar y presentar el presupuesto oficial, y mediante el cual el proponente estructura la oferta económica. </w:t>
      </w:r>
    </w:p>
    <w:p w14:paraId="777DE4DF" w14:textId="77777777" w:rsidR="005E0653" w:rsidRPr="00823549" w:rsidRDefault="005E0653" w:rsidP="005E0653">
      <w:pPr>
        <w:snapToGrid w:val="0"/>
        <w:spacing w:after="120" w:line="276" w:lineRule="auto"/>
        <w:ind w:firstLine="709"/>
        <w:jc w:val="both"/>
        <w:rPr>
          <w:rFonts w:ascii="Verdana" w:eastAsia="Calibri" w:hAnsi="Verdana" w:cs="Arial"/>
          <w:kern w:val="2"/>
          <w:lang w:val="es-ES_tradnl" w:eastAsia="es-ES"/>
          <w14:ligatures w14:val="standardContextual"/>
        </w:rPr>
      </w:pPr>
      <w:r w:rsidRPr="00823549">
        <w:rPr>
          <w:rFonts w:ascii="Verdana" w:eastAsia="Calibri" w:hAnsi="Verdana" w:cs="Arial"/>
          <w:kern w:val="2"/>
          <w:lang w:val="es-ES_tradnl" w:eastAsia="es-MX"/>
          <w14:ligatures w14:val="standardContextual"/>
        </w:rPr>
        <w:t>Este formulario lo prepara la entidad en la etapa de planeación y le permite definir el valor oficial estimado del proceso de contratación. Por tanto, las entidades estatales para su elaboración deben tener en cuenta diferentes variables</w:t>
      </w:r>
      <w:r w:rsidRPr="00823549">
        <w:rPr>
          <w:rFonts w:ascii="Verdana" w:eastAsia="Aptos" w:hAnsi="Verdana" w:cs="Times New Roman"/>
          <w:kern w:val="2"/>
          <w:vertAlign w:val="superscript"/>
          <w:lang w:val="es-ES_tradnl" w:eastAsia="es-MX"/>
          <w14:ligatures w14:val="standardContextual"/>
        </w:rPr>
        <w:footnoteReference w:id="2"/>
      </w:r>
      <w:r w:rsidRPr="00823549">
        <w:rPr>
          <w:rFonts w:ascii="Verdana" w:eastAsia="Calibri" w:hAnsi="Verdana" w:cs="Arial"/>
          <w:kern w:val="2"/>
          <w:lang w:val="es-ES_tradnl" w:eastAsia="es-MX"/>
          <w14:ligatures w14:val="standardContextual"/>
        </w:rPr>
        <w:t>, como el objeto, alcance, obras a ejecutar, actividades, cantidades, particularidades de la zona de ejecución del proyecto, disponibilidad y distancia de fuentes de materiales, entre otros.</w:t>
      </w:r>
    </w:p>
    <w:p w14:paraId="33C229EF" w14:textId="77777777" w:rsidR="005E0653" w:rsidRPr="00B04AD3" w:rsidRDefault="005E0653" w:rsidP="005E0653">
      <w:pPr>
        <w:widowControl w:val="0"/>
        <w:autoSpaceDE w:val="0"/>
        <w:autoSpaceDN w:val="0"/>
        <w:snapToGrid w:val="0"/>
        <w:spacing w:after="120" w:line="276" w:lineRule="auto"/>
        <w:ind w:firstLine="709"/>
        <w:jc w:val="both"/>
        <w:rPr>
          <w:rFonts w:ascii="Verdana" w:eastAsia="Calibri" w:hAnsi="Verdana" w:cs="Arial"/>
          <w:kern w:val="2"/>
          <w:lang w:val="es-ES" w:eastAsia="es-MX"/>
          <w14:ligatures w14:val="standardContextual"/>
        </w:rPr>
      </w:pPr>
      <w:r w:rsidRPr="0169AFC0">
        <w:rPr>
          <w:rFonts w:ascii="Verdana" w:eastAsia="Calibri" w:hAnsi="Verdana" w:cs="Arial"/>
          <w:kern w:val="2"/>
          <w:lang w:val="es-ES" w:eastAsia="es-MX"/>
          <w14:ligatures w14:val="standardContextual"/>
        </w:rPr>
        <w:t xml:space="preserve">En los documentos tipo de obra de infraestructura de transporte, el “Formulario 1 – Formulario de Presupuesto Oficial” tiene dos connotaciones: i) por un lado, es el formulario sobre el cual la entidad estructura y presenta el presupuesto oficial del procedimiento de contratación; y </w:t>
      </w:r>
      <w:proofErr w:type="spellStart"/>
      <w:r w:rsidRPr="0169AFC0">
        <w:rPr>
          <w:rFonts w:ascii="Verdana" w:eastAsia="Calibri" w:hAnsi="Verdana" w:cs="Arial"/>
          <w:kern w:val="2"/>
          <w:lang w:val="es-ES" w:eastAsia="es-MX"/>
          <w14:ligatures w14:val="standardContextual"/>
        </w:rPr>
        <w:t>ii</w:t>
      </w:r>
      <w:proofErr w:type="spellEnd"/>
      <w:r w:rsidRPr="0169AFC0">
        <w:rPr>
          <w:rFonts w:ascii="Verdana" w:eastAsia="Calibri" w:hAnsi="Verdana" w:cs="Arial"/>
          <w:kern w:val="2"/>
          <w:lang w:val="es-ES" w:eastAsia="es-MX"/>
          <w14:ligatures w14:val="standardContextual"/>
        </w:rPr>
        <w:t>)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3ACF9775" w14:textId="77777777" w:rsidR="005E0653" w:rsidRPr="00B04AD3" w:rsidRDefault="005E0653" w:rsidP="005E0653">
      <w:pPr>
        <w:widowControl w:val="0"/>
        <w:autoSpaceDE w:val="0"/>
        <w:autoSpaceDN w:val="0"/>
        <w:snapToGrid w:val="0"/>
        <w:spacing w:after="120" w:line="276" w:lineRule="auto"/>
        <w:ind w:firstLine="709"/>
        <w:jc w:val="both"/>
        <w:rPr>
          <w:rFonts w:ascii="Verdana" w:eastAsia="Arial" w:hAnsi="Verdana" w:cs="Arial"/>
          <w:kern w:val="2"/>
          <w:lang w:val="es-ES" w:eastAsia="es-ES" w:bidi="es-ES"/>
          <w14:ligatures w14:val="standardContextual"/>
        </w:rPr>
      </w:pPr>
      <w:r w:rsidRPr="0169AFC0">
        <w:rPr>
          <w:rFonts w:ascii="Verdana" w:eastAsia="Arial" w:hAnsi="Verdana" w:cs="Arial"/>
          <w:kern w:val="2"/>
          <w:lang w:val="es-ES" w:eastAsia="es-ES" w:bidi="es-ES"/>
          <w14:ligatures w14:val="standardContextual"/>
        </w:rPr>
        <w:lastRenderedPageBreak/>
        <w:t xml:space="preserve">En ese contexto, se tiene que, en la primera hoja del Formulario 1, que corresponde al presupuesto oficial, la entidad debe enlistar los </w:t>
      </w:r>
      <w:r w:rsidRPr="0169AFC0">
        <w:rPr>
          <w:rFonts w:ascii="Verdana" w:eastAsia="Arial" w:hAnsi="Verdana" w:cs="Arial"/>
          <w:i/>
          <w:iCs/>
          <w:kern w:val="2"/>
          <w:lang w:val="es-ES" w:eastAsia="es-ES" w:bidi="es-ES"/>
          <w14:ligatures w14:val="standardContextual"/>
        </w:rPr>
        <w:t xml:space="preserve">ítems de pago </w:t>
      </w:r>
      <w:r w:rsidRPr="0169AFC0">
        <w:rPr>
          <w:rFonts w:ascii="Verdana" w:eastAsia="Arial" w:hAnsi="Verdana" w:cs="Arial"/>
          <w:kern w:val="2"/>
          <w:lang w:val="es-ES" w:eastAsia="es-ES" w:bidi="es-ES"/>
          <w14:ligatures w14:val="standardContextual"/>
        </w:rPr>
        <w:t xml:space="preserve">de los bienes, obras o servicios que se requieren para la ejecución de la obra pública de infraestructura de transporte. Además, es posible establecer: i) sus especificaciones generales y particulares, </w:t>
      </w:r>
      <w:proofErr w:type="spellStart"/>
      <w:r w:rsidRPr="0169AFC0">
        <w:rPr>
          <w:rFonts w:ascii="Verdana" w:eastAsia="Arial" w:hAnsi="Verdana" w:cs="Arial"/>
          <w:kern w:val="2"/>
          <w:lang w:val="es-ES" w:eastAsia="es-ES" w:bidi="es-ES"/>
          <w14:ligatures w14:val="standardContextual"/>
        </w:rPr>
        <w:t>ii</w:t>
      </w:r>
      <w:proofErr w:type="spellEnd"/>
      <w:r w:rsidRPr="0169AFC0">
        <w:rPr>
          <w:rFonts w:ascii="Verdana" w:eastAsia="Arial" w:hAnsi="Verdana" w:cs="Arial"/>
          <w:kern w:val="2"/>
          <w:lang w:val="es-ES" w:eastAsia="es-ES" w:bidi="es-ES"/>
          <w14:ligatures w14:val="standardContextual"/>
        </w:rPr>
        <w:t xml:space="preserve">) la descripción, </w:t>
      </w:r>
      <w:proofErr w:type="spellStart"/>
      <w:r w:rsidRPr="0169AFC0">
        <w:rPr>
          <w:rFonts w:ascii="Verdana" w:eastAsia="Arial" w:hAnsi="Verdana" w:cs="Arial"/>
          <w:kern w:val="2"/>
          <w:lang w:val="es-ES" w:eastAsia="es-ES" w:bidi="es-ES"/>
          <w14:ligatures w14:val="standardContextual"/>
        </w:rPr>
        <w:t>iii</w:t>
      </w:r>
      <w:proofErr w:type="spellEnd"/>
      <w:r w:rsidRPr="0169AFC0">
        <w:rPr>
          <w:rFonts w:ascii="Verdana" w:eastAsia="Arial" w:hAnsi="Verdana" w:cs="Arial"/>
          <w:kern w:val="2"/>
          <w:lang w:val="es-ES" w:eastAsia="es-ES" w:bidi="es-ES"/>
          <w14:ligatures w14:val="standardContextual"/>
        </w:rPr>
        <w:t xml:space="preserve">) la unidad de medida, </w:t>
      </w:r>
      <w:proofErr w:type="spellStart"/>
      <w:r w:rsidRPr="0169AFC0">
        <w:rPr>
          <w:rFonts w:ascii="Verdana" w:eastAsia="Arial" w:hAnsi="Verdana" w:cs="Arial"/>
          <w:kern w:val="2"/>
          <w:lang w:val="es-ES" w:eastAsia="es-ES" w:bidi="es-ES"/>
          <w14:ligatures w14:val="standardContextual"/>
        </w:rPr>
        <w:t>iv</w:t>
      </w:r>
      <w:proofErr w:type="spellEnd"/>
      <w:r w:rsidRPr="0169AFC0">
        <w:rPr>
          <w:rFonts w:ascii="Verdana" w:eastAsia="Arial" w:hAnsi="Verdana" w:cs="Arial"/>
          <w:kern w:val="2"/>
          <w:lang w:val="es-ES" w:eastAsia="es-ES" w:bidi="es-ES"/>
          <w14:ligatures w14:val="standardContextual"/>
        </w:rPr>
        <w:t xml:space="preserve">) la cantidad, v) el valor unitario y vi) el valor total de los </w:t>
      </w:r>
      <w:r w:rsidRPr="0169AFC0">
        <w:rPr>
          <w:rFonts w:ascii="Verdana" w:eastAsia="Arial" w:hAnsi="Verdana" w:cs="Arial"/>
          <w:i/>
          <w:iCs/>
          <w:kern w:val="2"/>
          <w:lang w:val="es-ES" w:eastAsia="es-ES" w:bidi="es-ES"/>
          <w14:ligatures w14:val="standardContextual"/>
        </w:rPr>
        <w:t>ítems.</w:t>
      </w:r>
    </w:p>
    <w:p w14:paraId="48F230FB" w14:textId="77777777" w:rsidR="005E0653" w:rsidRPr="00823549" w:rsidRDefault="005E0653" w:rsidP="005E0653">
      <w:pPr>
        <w:widowControl w:val="0"/>
        <w:autoSpaceDE w:val="0"/>
        <w:autoSpaceDN w:val="0"/>
        <w:snapToGrid w:val="0"/>
        <w:spacing w:after="120" w:line="276" w:lineRule="auto"/>
        <w:ind w:firstLine="709"/>
        <w:jc w:val="both"/>
        <w:rPr>
          <w:rFonts w:ascii="Verdana" w:eastAsia="Arial" w:hAnsi="Verdana" w:cs="Arial"/>
          <w:iCs/>
          <w:kern w:val="2"/>
          <w:lang w:val="es-ES_tradnl" w:eastAsia="es-ES" w:bidi="es-ES"/>
          <w14:ligatures w14:val="standardContextual"/>
        </w:rPr>
      </w:pPr>
      <w:r w:rsidRPr="00823549">
        <w:rPr>
          <w:rFonts w:ascii="Verdana" w:eastAsia="Calibri" w:hAnsi="Verdana" w:cs="Arial"/>
          <w:kern w:val="2"/>
          <w:lang w:val="es-ES_tradnl" w:eastAsia="es-MX"/>
          <w14:ligatures w14:val="standardContextual"/>
        </w:rPr>
        <w:t xml:space="preserve">Teniendo en cuenta el objeto de su consulta, es importante señalar que, el numeral “2.3. ELABORACIÓN Y PRESENTACIÓN DE LA OFERTA” del documento base de los documentos tipo en comento, contiene una </w:t>
      </w:r>
      <w:r w:rsidRPr="00823549">
        <w:rPr>
          <w:rFonts w:ascii="Verdana" w:eastAsia="Calibri" w:hAnsi="Verdana" w:cs="Arial"/>
          <w:i/>
          <w:iCs/>
          <w:kern w:val="2"/>
          <w:lang w:val="es-ES_tradnl" w:eastAsia="es-MX"/>
          <w14:ligatures w14:val="standardContextual"/>
        </w:rPr>
        <w:t>Nota,</w:t>
      </w:r>
      <w:r w:rsidRPr="00823549">
        <w:rPr>
          <w:rFonts w:ascii="Verdana" w:eastAsia="Calibri" w:hAnsi="Verdana" w:cs="Arial"/>
          <w:kern w:val="2"/>
          <w:lang w:val="es-ES_tradnl" w:eastAsia="es-MX"/>
          <w14:ligatures w14:val="standardContextual"/>
        </w:rPr>
        <w:t xml:space="preserve"> que establece que, </w:t>
      </w:r>
      <w:r w:rsidRPr="00823549">
        <w:rPr>
          <w:rFonts w:ascii="Verdana" w:eastAsia="Calibri" w:hAnsi="Verdana" w:cs="Arial"/>
          <w:i/>
          <w:iCs/>
          <w:kern w:val="2"/>
          <w:lang w:val="es-ES_tradnl" w:eastAsia="es-MX"/>
          <w14:ligatures w14:val="standardContextual"/>
        </w:rPr>
        <w:t>“[e]n caso de discrepancias entre los valores señalados en el Formulario 1 – Formulario de Presupuesto Oficial y el valor presentado en el SECOP II, prevalecerá el valor presentado en el SECOP II.”</w:t>
      </w:r>
    </w:p>
    <w:p w14:paraId="0E4DDFFC" w14:textId="77777777" w:rsidR="005E0653" w:rsidRPr="00823549" w:rsidRDefault="005E0653" w:rsidP="005E0653">
      <w:pPr>
        <w:snapToGrid w:val="0"/>
        <w:spacing w:after="120" w:line="276" w:lineRule="auto"/>
        <w:ind w:firstLine="709"/>
        <w:jc w:val="both"/>
        <w:rPr>
          <w:rFonts w:ascii="Verdana" w:eastAsia="Calibri" w:hAnsi="Verdana" w:cs="Arial"/>
          <w:lang w:val="es-ES_tradnl"/>
        </w:rPr>
      </w:pPr>
      <w:r w:rsidRPr="00823549">
        <w:rPr>
          <w:rFonts w:ascii="Verdana" w:eastAsia="Calibri" w:hAnsi="Verdana" w:cs="Arial"/>
          <w:lang w:val="es-ES_tradnl"/>
        </w:rPr>
        <w:t>Al respecto, debe advertirse que, indistintamente de los valores que figuren en el Formulario 1 y el SECOP II, prevalecerán los consignados en el SECOP II.</w:t>
      </w:r>
    </w:p>
    <w:p w14:paraId="5C966F02" w14:textId="77777777" w:rsidR="005E0653" w:rsidRDefault="005E0653" w:rsidP="005E0653">
      <w:pPr>
        <w:snapToGrid w:val="0"/>
        <w:spacing w:after="120" w:line="276" w:lineRule="auto"/>
        <w:ind w:firstLine="709"/>
        <w:jc w:val="both"/>
        <w:rPr>
          <w:rFonts w:ascii="Verdana" w:eastAsia="Calibri" w:hAnsi="Verdana" w:cs="Arial"/>
          <w:lang w:val="es-ES"/>
        </w:rPr>
      </w:pPr>
      <w:r w:rsidRPr="0169AFC0">
        <w:rPr>
          <w:rFonts w:ascii="Verdana" w:eastAsia="Calibri" w:hAnsi="Verdana" w:cs="Arial"/>
          <w:lang w:val="es-ES"/>
        </w:rPr>
        <w:t>Por lo tanto, cuando este tipo de situaciones se presenten en desarrollo de procesos de contratación, corresponderá a las entidades estatales, en el marco de su autonomía, adelantar las acciones procedentes y necesarias, con el fin hacer prevalecer los valores de la oferta contemplados en el SECOP II y continuar con el desarrollo del proceso, conforme al régimen jurídico aplicable.</w:t>
      </w:r>
    </w:p>
    <w:p w14:paraId="122D7CDE" w14:textId="77777777" w:rsidR="005E0653" w:rsidRDefault="005E0653" w:rsidP="005E0653">
      <w:pPr>
        <w:snapToGrid w:val="0"/>
        <w:spacing w:after="120" w:line="276" w:lineRule="auto"/>
        <w:ind w:firstLine="709"/>
        <w:jc w:val="both"/>
        <w:rPr>
          <w:rFonts w:ascii="Verdana" w:eastAsia="Calibri" w:hAnsi="Verdana" w:cs="Arial"/>
          <w:lang w:val="es-ES"/>
        </w:rPr>
      </w:pPr>
      <w:r w:rsidRPr="00DF7C9D">
        <w:rPr>
          <w:rFonts w:ascii="Verdana" w:eastAsia="Calibri" w:hAnsi="Verdana" w:cs="Arial"/>
          <w:lang w:val="es-ES"/>
        </w:rPr>
        <w:t xml:space="preserve">En todo caso, debe advertirse que, la precitada </w:t>
      </w:r>
      <w:r w:rsidRPr="00DF7C9D">
        <w:rPr>
          <w:rFonts w:ascii="Verdana" w:eastAsia="Calibri" w:hAnsi="Verdana" w:cs="Arial"/>
          <w:i/>
          <w:iCs/>
          <w:lang w:val="es-ES"/>
        </w:rPr>
        <w:t xml:space="preserve">Nota </w:t>
      </w:r>
      <w:r w:rsidRPr="00DF7C9D">
        <w:rPr>
          <w:rFonts w:ascii="Verdana" w:eastAsia="Calibri" w:hAnsi="Verdana" w:cs="Arial"/>
          <w:lang w:val="es-ES"/>
        </w:rPr>
        <w:t>debe ser entendida respecto al valor total consignado en el Formulario 1 y aquel presentado en SECOP II. De esta manera, lo importante será que ambos valores totales coincidan –tanto el del Formulario 1 como el del SECOP II–</w:t>
      </w:r>
      <w:r>
        <w:rPr>
          <w:rFonts w:ascii="Verdana" w:eastAsia="Calibri" w:hAnsi="Verdana" w:cs="Arial"/>
          <w:lang w:val="es-ES"/>
        </w:rPr>
        <w:t xml:space="preserve"> cuando, conforme al proceso de contratación, la entidad solicite lo mismo</w:t>
      </w:r>
      <w:r w:rsidRPr="00DF7C9D">
        <w:rPr>
          <w:rFonts w:ascii="Verdana" w:eastAsia="Calibri" w:hAnsi="Verdana" w:cs="Arial"/>
          <w:lang w:val="es-ES"/>
        </w:rPr>
        <w:t>, so pena de que prevalezca el</w:t>
      </w:r>
      <w:r>
        <w:rPr>
          <w:rFonts w:ascii="Verdana" w:eastAsia="Calibri" w:hAnsi="Verdana" w:cs="Arial"/>
          <w:lang w:val="es-ES"/>
        </w:rPr>
        <w:t xml:space="preserve"> valor</w:t>
      </w:r>
      <w:r w:rsidRPr="00DF7C9D">
        <w:rPr>
          <w:rFonts w:ascii="Verdana" w:eastAsia="Calibri" w:hAnsi="Verdana" w:cs="Arial"/>
          <w:lang w:val="es-ES"/>
        </w:rPr>
        <w:t xml:space="preserve"> señalado en SECOP II.</w:t>
      </w:r>
      <w:r>
        <w:rPr>
          <w:rFonts w:ascii="Verdana" w:eastAsia="Calibri" w:hAnsi="Verdana" w:cs="Arial"/>
          <w:lang w:val="es-ES"/>
        </w:rPr>
        <w:t xml:space="preserve"> </w:t>
      </w:r>
      <w:r w:rsidRPr="0169AFC0">
        <w:rPr>
          <w:rFonts w:ascii="Verdana" w:eastAsia="Calibri" w:hAnsi="Verdana" w:cs="Arial"/>
          <w:lang w:val="es-ES"/>
        </w:rPr>
        <w:t xml:space="preserve"> </w:t>
      </w:r>
    </w:p>
    <w:p w14:paraId="761BFBA8" w14:textId="77777777" w:rsidR="005E0653" w:rsidRDefault="005E0653" w:rsidP="005E0653">
      <w:pPr>
        <w:snapToGrid w:val="0"/>
        <w:spacing w:after="0" w:line="276" w:lineRule="auto"/>
        <w:ind w:firstLine="709"/>
        <w:jc w:val="both"/>
        <w:rPr>
          <w:rFonts w:ascii="Verdana" w:eastAsia="Calibri" w:hAnsi="Verdana" w:cs="Arial"/>
          <w:lang w:val="es-ES"/>
        </w:rPr>
      </w:pPr>
      <w:r>
        <w:rPr>
          <w:rFonts w:ascii="Verdana" w:eastAsia="Calibri" w:hAnsi="Verdana" w:cs="Arial"/>
          <w:lang w:val="es-ES"/>
        </w:rPr>
        <w:t xml:space="preserve">Por el contrario, en los casos en que no se solicite lo mismo, la entidad deberá definir, desde el principio, a qué le dará preferencia, esto es, si a los valores del SECOP II o del Formulario 1. </w:t>
      </w:r>
    </w:p>
    <w:p w14:paraId="2A923FEA" w14:textId="77777777" w:rsidR="005E0653" w:rsidRDefault="005E0653" w:rsidP="005E0653">
      <w:pPr>
        <w:snapToGrid w:val="0"/>
        <w:spacing w:after="0" w:line="276" w:lineRule="auto"/>
        <w:ind w:firstLine="709"/>
        <w:jc w:val="both"/>
        <w:rPr>
          <w:rFonts w:ascii="Verdana" w:eastAsia="Calibri" w:hAnsi="Verdana" w:cs="Arial"/>
          <w:lang w:val="es-ES"/>
        </w:rPr>
      </w:pPr>
    </w:p>
    <w:p w14:paraId="47AAAC6E" w14:textId="77777777" w:rsidR="005E0653" w:rsidRDefault="005E0653" w:rsidP="005E0653">
      <w:pPr>
        <w:snapToGrid w:val="0"/>
        <w:spacing w:after="12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681ECF">
        <w:rPr>
          <w:rFonts w:ascii="Verdana" w:eastAsia="Times New Roman" w:hAnsi="Verdana" w:cs="Arial"/>
          <w:kern w:val="2"/>
          <w:shd w:val="clear" w:color="auto" w:fill="FFFFFF"/>
          <w:lang w:val="es-ES_tradnl" w:eastAsia="es-ES_tradnl"/>
          <w14:ligatures w14:val="standardContextua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681ECF">
        <w:rPr>
          <w:rFonts w:ascii="Verdana" w:eastAsia="Times New Roman" w:hAnsi="Verdana" w:cs="Arial"/>
          <w:i/>
          <w:iCs/>
          <w:kern w:val="2"/>
          <w:shd w:val="clear" w:color="auto" w:fill="FFFFFF"/>
          <w:lang w:val="es-ES_tradnl" w:eastAsia="es-ES_tradnl"/>
          <w14:ligatures w14:val="standardContextual"/>
        </w:rPr>
        <w:t>Documentos del Proceso</w:t>
      </w:r>
      <w:r w:rsidRPr="00681ECF">
        <w:rPr>
          <w:rFonts w:ascii="Verdana" w:eastAsia="Times New Roman" w:hAnsi="Verdana" w:cs="Arial"/>
          <w:kern w:val="2"/>
          <w:shd w:val="clear" w:color="auto" w:fill="FFFFFF"/>
          <w:lang w:val="es-ES_tradnl" w:eastAsia="es-ES_tradnl"/>
          <w14:ligatures w14:val="standardContextual"/>
        </w:rPr>
        <w:t xml:space="preserve"> condiciones habilitantes, factores técnicos y </w:t>
      </w:r>
      <w:r w:rsidRPr="00681ECF">
        <w:rPr>
          <w:rFonts w:ascii="Verdana" w:eastAsia="Times New Roman" w:hAnsi="Verdana" w:cs="Arial"/>
          <w:kern w:val="2"/>
          <w:shd w:val="clear" w:color="auto" w:fill="FFFFFF"/>
          <w:lang w:val="es-ES_tradnl" w:eastAsia="es-ES_tradnl"/>
          <w14:ligatures w14:val="standardContextual"/>
        </w:rPr>
        <w:lastRenderedPageBreak/>
        <w:t xml:space="preserve">económicos de escogencia y sistemas de ponderación distintos a los señalados en los Documentos Tipo. </w:t>
      </w:r>
    </w:p>
    <w:p w14:paraId="79A5C92E" w14:textId="77777777" w:rsidR="005E0653" w:rsidRPr="00972CDF" w:rsidRDefault="005E0653" w:rsidP="005E0653">
      <w:pPr>
        <w:snapToGrid w:val="0"/>
        <w:spacing w:after="12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681ECF">
        <w:rPr>
          <w:rFonts w:ascii="Verdana" w:eastAsia="Times New Roman" w:hAnsi="Verdana" w:cs="Arial"/>
          <w:kern w:val="2"/>
          <w:shd w:val="clear" w:color="auto" w:fill="FFFFFF"/>
          <w:lang w:val="es-ES_tradnl" w:eastAsia="es-ES_tradnl"/>
          <w14:ligatures w14:val="standardContextual"/>
        </w:rPr>
        <w:t>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el fundamento legal vigente de la regla de inalterabilidad se encuentra en el artículo 1 de la Ley 2022 de 2020, según el cual “</w:t>
      </w:r>
      <w:r w:rsidRPr="00681ECF">
        <w:rPr>
          <w:rFonts w:ascii="Verdana" w:eastAsia="Times New Roman" w:hAnsi="Verdana" w:cs="Arial"/>
          <w:kern w:val="2"/>
          <w:lang w:val="es-ES_tradnl" w:eastAsia="es-ES_tradnl"/>
          <w14:ligatures w14:val="standardContextual"/>
        </w:rPr>
        <w:t xml:space="preserve">[…] </w:t>
      </w:r>
      <w:r w:rsidRPr="00681ECF">
        <w:rPr>
          <w:rFonts w:ascii="Verdana" w:eastAsia="Times New Roman" w:hAnsi="Verdana" w:cs="Arial"/>
          <w:kern w:val="2"/>
          <w:shd w:val="clear" w:color="auto" w:fill="FFFFFF"/>
          <w:lang w:val="es-ES_tradnl" w:eastAsia="es-ES_tradnl"/>
          <w14:ligatures w14:val="standardContextua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14:paraId="6823E604" w14:textId="77777777" w:rsidR="005E0653" w:rsidRDefault="005E0653" w:rsidP="005E0653">
      <w:pPr>
        <w:snapToGrid w:val="0"/>
        <w:spacing w:after="120" w:line="276" w:lineRule="auto"/>
        <w:ind w:firstLine="709"/>
        <w:jc w:val="both"/>
        <w:rPr>
          <w:rFonts w:ascii="Verdana" w:eastAsia="Calibri" w:hAnsi="Verdana" w:cs="Arial"/>
          <w:lang w:val="es-ES"/>
        </w:rPr>
      </w:pPr>
      <w:r w:rsidRPr="001D33A2">
        <w:rPr>
          <w:rFonts w:ascii="Verdana" w:eastAsia="Calibri" w:hAnsi="Verdana" w:cs="Arial"/>
        </w:rPr>
        <w:t>En todo caso, y más allá de la explicación previamente expuesta, es preciso advertir que el análisis requerido para resolver situaciones concretas sobre las condiciones en que las Entidades Estatales pueden adelantar sus procesos de contratación debe ser realizado por los interesados, conforme a lo señalado en la aclaración preliminar del presente escrito. En consecuencia, previa consulta con sus asesores jurídicos corresponde a dichos interesados adoptar las decisiones pertinentes frente a casos particulares y, en caso de controversia, acudir a las autoridades judiciales, fiscales o disciplinarias competentes. En ese sentido, cada entidad es responsable de definir la forma en que desarrolla su gestión contractual, sin que le corresponda a Colombia Compra Eficiente validar o avalar sus actuaciones.</w:t>
      </w:r>
    </w:p>
    <w:p w14:paraId="443C0E7B" w14:textId="77777777" w:rsidR="005E0653" w:rsidRPr="00823549" w:rsidRDefault="005E0653" w:rsidP="005E065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823549">
        <w:rPr>
          <w:rFonts w:ascii="Verdana" w:eastAsia="Century Gothic" w:hAnsi="Verdana" w:cs="Century Gothic"/>
          <w:b/>
          <w:bCs/>
          <w:lang w:val="es-ES_tradnl"/>
        </w:rPr>
        <w:t>Referencias normativas, jurisprudenciales y otras fuentes:</w:t>
      </w:r>
    </w:p>
    <w:p w14:paraId="4F045528" w14:textId="77777777" w:rsidR="005E0653" w:rsidRPr="00823549" w:rsidRDefault="005E0653" w:rsidP="005E0653">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5E0653" w:rsidRPr="00823549" w14:paraId="40CFD903" w14:textId="77777777" w:rsidTr="00BB4C4A">
        <w:trPr>
          <w:trHeight w:val="870"/>
        </w:trPr>
        <w:tc>
          <w:tcPr>
            <w:tcW w:w="8647" w:type="dxa"/>
          </w:tcPr>
          <w:p w14:paraId="7443BC84" w14:textId="77777777" w:rsidR="005E0653" w:rsidRDefault="005E0653" w:rsidP="00BB4C4A">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823549">
              <w:rPr>
                <w:rFonts w:ascii="Verdana" w:eastAsia="Calibri" w:hAnsi="Verdana" w:cs="Arial"/>
                <w:lang w:val="es-ES_tradnl"/>
              </w:rPr>
              <w:t xml:space="preserve">Ley 2022 de 2020, artículo 1. </w:t>
            </w:r>
          </w:p>
          <w:p w14:paraId="65A3FDC0" w14:textId="77777777" w:rsidR="005E0653" w:rsidRDefault="005E0653" w:rsidP="00BB4C4A">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Pr>
                <w:rFonts w:ascii="Verdana" w:eastAsia="Calibri" w:hAnsi="Verdana" w:cs="Arial"/>
                <w:lang w:val="es-ES_tradnl"/>
              </w:rPr>
              <w:t>Decreto 1082 de 2015, artículos 2.2.1.1.2.1.1, 2.2.1.2.6.1.4 y 2.2.1.2.6.3.4</w:t>
            </w:r>
          </w:p>
          <w:p w14:paraId="5F4A9ADF" w14:textId="77777777" w:rsidR="005E0653" w:rsidRDefault="005E0653" w:rsidP="00BB4C4A">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Pr>
                <w:rFonts w:ascii="Verdana" w:eastAsia="Calibri" w:hAnsi="Verdana" w:cs="Arial"/>
                <w:lang w:val="es-ES_tradnl"/>
              </w:rPr>
              <w:t xml:space="preserve">Decreto 342 de 2019, articulo 1 </w:t>
            </w:r>
          </w:p>
          <w:p w14:paraId="4C243AF9" w14:textId="77777777" w:rsidR="005E0653" w:rsidRPr="00823549" w:rsidRDefault="005E0653" w:rsidP="00BB4C4A">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Pr>
                <w:rFonts w:ascii="Verdana" w:eastAsia="Calibri" w:hAnsi="Verdana" w:cs="Arial"/>
                <w:lang w:val="es-ES_tradnl"/>
              </w:rPr>
              <w:lastRenderedPageBreak/>
              <w:t>Decreto 594 de 2020, articulo 1</w:t>
            </w:r>
          </w:p>
          <w:p w14:paraId="24F733C2" w14:textId="77777777" w:rsidR="005E0653" w:rsidRDefault="005E0653" w:rsidP="00BB4C4A">
            <w:pPr>
              <w:widowControl w:val="0"/>
              <w:numPr>
                <w:ilvl w:val="0"/>
                <w:numId w:val="17"/>
              </w:numPr>
              <w:autoSpaceDE w:val="0"/>
              <w:autoSpaceDN w:val="0"/>
              <w:snapToGrid w:val="0"/>
              <w:spacing w:line="276" w:lineRule="auto"/>
              <w:ind w:left="714" w:hanging="357"/>
              <w:jc w:val="both"/>
              <w:rPr>
                <w:rFonts w:ascii="Verdana" w:eastAsia="Calibri" w:hAnsi="Verdana" w:cs="Arial"/>
                <w:lang w:val="es-ES_tradnl"/>
              </w:rPr>
            </w:pPr>
            <w:r w:rsidRPr="00823549">
              <w:rPr>
                <w:rFonts w:ascii="Verdana" w:eastAsia="Calibri" w:hAnsi="Verdana" w:cs="Arial"/>
                <w:lang w:val="es-ES_tradnl"/>
              </w:rPr>
              <w:t xml:space="preserve">Documentos Tipo de licitación de obra pública de infraestructura de transporte –versión 4–. Disponibles en: </w:t>
            </w:r>
            <w:hyperlink r:id="rId12" w:history="1">
              <w:r w:rsidRPr="00CD44F7">
                <w:rPr>
                  <w:rStyle w:val="Hipervnculo"/>
                  <w:rFonts w:ascii="Verdana" w:eastAsia="Calibri" w:hAnsi="Verdana" w:cs="Arial"/>
                  <w:lang w:val="es-ES_tradnl"/>
                </w:rPr>
                <w:t>https://www.colombiacompra.gov.co/normativa-y-relatoria/documentos-tipo</w:t>
              </w:r>
            </w:hyperlink>
            <w:r>
              <w:rPr>
                <w:rFonts w:ascii="Verdana" w:eastAsia="Calibri" w:hAnsi="Verdana" w:cs="Arial"/>
                <w:lang w:val="es-ES_tradnl"/>
              </w:rPr>
              <w:t xml:space="preserve">. </w:t>
            </w:r>
          </w:p>
          <w:p w14:paraId="3A895006" w14:textId="77777777" w:rsidR="005E0653" w:rsidRPr="00823549" w:rsidRDefault="005E0653" w:rsidP="00BB4C4A">
            <w:pPr>
              <w:widowControl w:val="0"/>
              <w:numPr>
                <w:ilvl w:val="0"/>
                <w:numId w:val="17"/>
              </w:numPr>
              <w:autoSpaceDE w:val="0"/>
              <w:autoSpaceDN w:val="0"/>
              <w:snapToGrid w:val="0"/>
              <w:spacing w:line="276" w:lineRule="auto"/>
              <w:ind w:left="714" w:hanging="357"/>
              <w:jc w:val="both"/>
              <w:rPr>
                <w:rFonts w:ascii="Verdana" w:eastAsia="Calibri" w:hAnsi="Verdana" w:cs="Arial"/>
                <w:lang w:val="es-ES_tradnl"/>
              </w:rPr>
            </w:pPr>
            <w:r>
              <w:rPr>
                <w:rFonts w:ascii="Verdana" w:eastAsia="Calibri" w:hAnsi="Verdana" w:cs="Arial"/>
                <w:lang w:val="es-ES_tradnl"/>
              </w:rPr>
              <w:t xml:space="preserve">Documentos Tipo para procesos de menor cuantía de infraestructura de transporte - versión 3. Disponible en: </w:t>
            </w:r>
            <w:hyperlink r:id="rId13" w:history="1">
              <w:r w:rsidRPr="000857E8">
                <w:rPr>
                  <w:rStyle w:val="Hipervnculo"/>
                  <w:rFonts w:ascii="Verdana" w:eastAsia="Calibri" w:hAnsi="Verdana" w:cs="Arial"/>
                  <w:lang w:val="es-ES_tradnl"/>
                </w:rPr>
                <w:t>https://www.colombiacompra.gov.co/normativa-y-relatoria/documentos-tipo</w:t>
              </w:r>
            </w:hyperlink>
            <w:r>
              <w:rPr>
                <w:rFonts w:ascii="Verdana" w:eastAsia="Calibri" w:hAnsi="Verdana" w:cs="Arial"/>
                <w:lang w:val="es-ES_tradnl"/>
              </w:rPr>
              <w:t xml:space="preserve"> </w:t>
            </w:r>
          </w:p>
        </w:tc>
      </w:tr>
    </w:tbl>
    <w:p w14:paraId="00C511F9" w14:textId="77777777" w:rsidR="005E0653" w:rsidRPr="00823549" w:rsidRDefault="005E0653" w:rsidP="005E0653">
      <w:pPr>
        <w:widowControl w:val="0"/>
        <w:autoSpaceDE w:val="0"/>
        <w:autoSpaceDN w:val="0"/>
        <w:snapToGrid w:val="0"/>
        <w:spacing w:after="0" w:line="276" w:lineRule="auto"/>
        <w:jc w:val="both"/>
        <w:rPr>
          <w:rFonts w:ascii="Verdana" w:eastAsia="Calibri" w:hAnsi="Verdana" w:cs="Arial"/>
          <w:lang w:val="es-ES_tradnl"/>
        </w:rPr>
      </w:pPr>
    </w:p>
    <w:p w14:paraId="234F34AE" w14:textId="77777777" w:rsidR="005E0653" w:rsidRPr="00823549" w:rsidRDefault="005E0653" w:rsidP="005E065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823549">
        <w:rPr>
          <w:rFonts w:ascii="Verdana" w:eastAsia="Century Gothic" w:hAnsi="Verdana" w:cs="Century Gothic"/>
          <w:b/>
          <w:bCs/>
          <w:lang w:val="es-ES_tradnl"/>
        </w:rPr>
        <w:t>Doctrina de la Agencia Nacional de Contratación Pública:</w:t>
      </w:r>
    </w:p>
    <w:p w14:paraId="30A4CC08" w14:textId="77777777" w:rsidR="005E0653" w:rsidRPr="00823549" w:rsidRDefault="005E0653" w:rsidP="005E0653">
      <w:pPr>
        <w:widowControl w:val="0"/>
        <w:autoSpaceDE w:val="0"/>
        <w:autoSpaceDN w:val="0"/>
        <w:snapToGrid w:val="0"/>
        <w:spacing w:after="0" w:line="276" w:lineRule="auto"/>
        <w:jc w:val="both"/>
        <w:rPr>
          <w:rFonts w:ascii="Verdana" w:eastAsia="Calibri" w:hAnsi="Verdana" w:cs="Arial"/>
          <w:lang w:val="es-ES_tradnl"/>
        </w:rPr>
      </w:pPr>
    </w:p>
    <w:p w14:paraId="3D342590" w14:textId="77777777" w:rsidR="005E0653" w:rsidRPr="00823549" w:rsidRDefault="005E0653" w:rsidP="005E0653">
      <w:pPr>
        <w:widowControl w:val="0"/>
        <w:autoSpaceDE w:val="0"/>
        <w:autoSpaceDN w:val="0"/>
        <w:snapToGrid w:val="0"/>
        <w:spacing w:after="0" w:line="276" w:lineRule="auto"/>
        <w:jc w:val="both"/>
        <w:rPr>
          <w:rFonts w:ascii="Verdana" w:eastAsia="Calibri" w:hAnsi="Verdana" w:cs="Arial"/>
          <w:kern w:val="2"/>
          <w:shd w:val="clear" w:color="auto" w:fill="FFFFFF"/>
          <w:lang w:val="es-ES"/>
          <w14:ligatures w14:val="standardContextual"/>
        </w:rPr>
      </w:pPr>
      <w:r w:rsidRPr="0169AFC0">
        <w:rPr>
          <w:rFonts w:ascii="Verdana" w:eastAsia="Calibri" w:hAnsi="Verdana" w:cs="Arial"/>
          <w:kern w:val="2"/>
          <w:shd w:val="clear" w:color="auto" w:fill="FFFFFF"/>
          <w:lang w:val="es-ES"/>
          <w14:ligatures w14:val="standardContextual"/>
        </w:rPr>
        <w:t xml:space="preserve">La Agencia Nacional de Contratación Pública − Colombia Compra Eficiente se pronunció acerca del Formulario 1 – Formulario de Presupuesto Oficial de los Documentos Tipo, en los conceptos con radicado No. 4201912000004987 del 14 de agosto de 2019, 4201913000005675 del 25 de septiembre de 2019, 4201912000005852 del 25 de septiembre de 2019, 4201912000006447 del 10 de octubre de 2019, 4201912000006498 del 7 de octubre de 2019,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 C – 640 del 12 de noviembre de 2021, C – 121 del 13 de junio de 2024 y C-131 del 30 de julio de 2024.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1491CE8F" w14:textId="77777777" w:rsidR="005E0653" w:rsidRPr="00823549" w:rsidRDefault="005E0653" w:rsidP="005E0653">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5477EC8" w14:textId="77777777" w:rsidR="005E0653" w:rsidRDefault="005E0653" w:rsidP="005E0653">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2D77582" w14:textId="77777777" w:rsidR="005E0653" w:rsidRPr="00355CEE" w:rsidRDefault="005E0653" w:rsidP="005E0653">
      <w:pPr>
        <w:widowControl w:val="0"/>
        <w:autoSpaceDE w:val="0"/>
        <w:autoSpaceDN w:val="0"/>
        <w:spacing w:after="0" w:line="276" w:lineRule="auto"/>
        <w:jc w:val="both"/>
        <w:rPr>
          <w:rFonts w:ascii="Verdana" w:hAnsi="Verdana" w:cs="Arial"/>
          <w:shd w:val="clear" w:color="auto" w:fill="FFFFFF"/>
        </w:rPr>
      </w:pPr>
      <w:r>
        <w:rPr>
          <w:rFonts w:ascii="Verdana" w:hAnsi="Verdana" w:cs="Arial"/>
          <w:shd w:val="clear" w:color="auto" w:fill="FFFFFF"/>
        </w:rPr>
        <w:t>L</w:t>
      </w:r>
      <w:r w:rsidRPr="00355CEE">
        <w:rPr>
          <w:rFonts w:ascii="Verdana" w:hAnsi="Verdana" w:cs="Arial"/>
          <w:shd w:val="clear" w:color="auto" w:fill="FFFFFF"/>
        </w:rPr>
        <w:t>e contamos que ya se encuentra disponible la </w:t>
      </w:r>
      <w:r w:rsidRPr="00355CEE">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355CEE">
        <w:rPr>
          <w:rFonts w:ascii="Verdana" w:hAnsi="Verdana" w:cs="Arial"/>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w:t>
      </w:r>
      <w:r w:rsidRPr="00355CEE">
        <w:rPr>
          <w:rFonts w:ascii="Verdana" w:hAnsi="Verdana" w:cs="Arial"/>
          <w:shd w:val="clear" w:color="auto" w:fill="FFFFFF"/>
        </w:rPr>
        <w:lastRenderedPageBreak/>
        <w:t xml:space="preserve">por la situación de vulneración masiva y recurrente de los derechos fundamentales de los niños y de las niñas del Pueblo </w:t>
      </w:r>
      <w:proofErr w:type="spellStart"/>
      <w:r w:rsidRPr="00355CEE">
        <w:rPr>
          <w:rFonts w:ascii="Verdana" w:hAnsi="Verdana" w:cs="Arial"/>
          <w:shd w:val="clear" w:color="auto" w:fill="FFFFFF"/>
        </w:rPr>
        <w:t>Wayúu</w:t>
      </w:r>
      <w:proofErr w:type="spellEnd"/>
      <w:r w:rsidRPr="00355CEE">
        <w:rPr>
          <w:rFonts w:ascii="Verdana" w:hAnsi="Verdana" w:cs="Arial"/>
          <w:shd w:val="clear" w:color="auto" w:fill="FFFFFF"/>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355CEE">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355CEE">
        <w:rPr>
          <w:rFonts w:ascii="Verdana" w:hAnsi="Verdana" w:cs="Arial"/>
          <w:u w:val="single"/>
          <w:shd w:val="clear" w:color="auto" w:fill="FFFFFF"/>
        </w:rPr>
        <w:t>"</w:t>
      </w:r>
    </w:p>
    <w:p w14:paraId="3EC3AE34" w14:textId="77777777" w:rsidR="005E0653" w:rsidRPr="00D54C56" w:rsidRDefault="005E0653" w:rsidP="005E0653">
      <w:pPr>
        <w:widowControl w:val="0"/>
        <w:autoSpaceDE w:val="0"/>
        <w:autoSpaceDN w:val="0"/>
        <w:spacing w:after="0" w:line="276" w:lineRule="auto"/>
        <w:jc w:val="both"/>
        <w:rPr>
          <w:rFonts w:ascii="Verdana" w:eastAsia="Calibri" w:hAnsi="Verdana" w:cs="Arial"/>
          <w:kern w:val="2"/>
          <w:shd w:val="clear" w:color="auto" w:fill="FFFFFF"/>
          <w14:ligatures w14:val="standardContextual"/>
        </w:rPr>
      </w:pPr>
    </w:p>
    <w:p w14:paraId="73FEE0A5" w14:textId="77777777" w:rsidR="005E0653" w:rsidRPr="00823549" w:rsidRDefault="005E0653" w:rsidP="005E0653">
      <w:pPr>
        <w:spacing w:after="0" w:line="276" w:lineRule="auto"/>
        <w:jc w:val="both"/>
        <w:rPr>
          <w:rFonts w:ascii="Verdana" w:eastAsia="Calibri" w:hAnsi="Verdana" w:cs="Times New Roman"/>
          <w:lang w:val="es-ES_tradnl"/>
        </w:rPr>
      </w:pPr>
      <w:r w:rsidRPr="00823549">
        <w:rPr>
          <w:rFonts w:ascii="Verdana" w:eastAsia="Calibri" w:hAnsi="Verdana" w:cs="Times New Roman"/>
          <w:lang w:val="es-ES_tradnl"/>
        </w:rPr>
        <w:t xml:space="preserve">Por último, los invitamos a seguirnos en las redes sociales, en las cuales se difunde información institucional: </w:t>
      </w:r>
    </w:p>
    <w:p w14:paraId="13FD1F64" w14:textId="77777777" w:rsidR="005E0653" w:rsidRPr="00823549" w:rsidRDefault="005E0653" w:rsidP="005E0653">
      <w:pPr>
        <w:spacing w:after="0" w:line="240" w:lineRule="auto"/>
        <w:jc w:val="both"/>
        <w:rPr>
          <w:rFonts w:ascii="Verdana" w:eastAsia="Calibri" w:hAnsi="Verdana" w:cs="Times New Roman"/>
          <w:lang w:val="es-ES_tradnl"/>
        </w:rPr>
      </w:pPr>
    </w:p>
    <w:p w14:paraId="70AA0622" w14:textId="77777777" w:rsidR="005E0653" w:rsidRPr="00823549" w:rsidRDefault="005E0653" w:rsidP="005E0653">
      <w:pPr>
        <w:spacing w:after="0" w:line="240" w:lineRule="auto"/>
        <w:jc w:val="both"/>
        <w:rPr>
          <w:rFonts w:ascii="Verdana" w:eastAsia="Calibri" w:hAnsi="Verdana" w:cs="Times New Roman"/>
          <w:lang w:val="es-ES_tradnl"/>
        </w:rPr>
      </w:pPr>
      <w:r w:rsidRPr="00823549">
        <w:rPr>
          <w:rFonts w:ascii="Verdana" w:eastAsia="Calibri" w:hAnsi="Verdana" w:cs="Times New Roman"/>
          <w:lang w:val="es-ES_tradnl"/>
        </w:rPr>
        <w:t xml:space="preserve">Twitter: </w:t>
      </w:r>
      <w:r w:rsidRPr="00823549">
        <w:rPr>
          <w:rFonts w:ascii="Verdana" w:eastAsia="Calibri" w:hAnsi="Verdana" w:cs="Times New Roman"/>
          <w:u w:val="single"/>
          <w:lang w:val="es-ES_tradnl"/>
        </w:rPr>
        <w:t>@colombiacompra</w:t>
      </w:r>
      <w:r w:rsidRPr="00823549">
        <w:rPr>
          <w:rFonts w:ascii="Verdana" w:eastAsia="Calibri" w:hAnsi="Verdana" w:cs="Times New Roman"/>
          <w:lang w:val="es-ES_tradnl"/>
        </w:rPr>
        <w:t xml:space="preserve"> </w:t>
      </w:r>
    </w:p>
    <w:p w14:paraId="45BA3924" w14:textId="77777777" w:rsidR="005E0653" w:rsidRPr="00823549" w:rsidRDefault="005E0653" w:rsidP="005E0653">
      <w:pPr>
        <w:spacing w:after="0" w:line="240" w:lineRule="auto"/>
        <w:jc w:val="both"/>
        <w:rPr>
          <w:rFonts w:ascii="Verdana" w:eastAsia="Calibri" w:hAnsi="Verdana" w:cs="Times New Roman"/>
          <w:lang w:val="es-ES"/>
        </w:rPr>
      </w:pPr>
      <w:r w:rsidRPr="0169AFC0">
        <w:rPr>
          <w:rFonts w:ascii="Verdana" w:eastAsia="Calibri" w:hAnsi="Verdana" w:cs="Times New Roman"/>
          <w:lang w:val="es-ES"/>
        </w:rPr>
        <w:t xml:space="preserve">Facebook: </w:t>
      </w:r>
      <w:proofErr w:type="spellStart"/>
      <w:r w:rsidRPr="0169AFC0">
        <w:rPr>
          <w:rFonts w:ascii="Verdana" w:eastAsia="Calibri" w:hAnsi="Verdana" w:cs="Times New Roman"/>
          <w:u w:val="single"/>
          <w:lang w:val="es-ES"/>
        </w:rPr>
        <w:t>ColombiaCompraEficiente</w:t>
      </w:r>
      <w:proofErr w:type="spellEnd"/>
    </w:p>
    <w:p w14:paraId="142EFE69" w14:textId="77777777" w:rsidR="005E0653" w:rsidRPr="00823549" w:rsidRDefault="005E0653" w:rsidP="005E0653">
      <w:pPr>
        <w:spacing w:after="0" w:line="240" w:lineRule="auto"/>
        <w:jc w:val="both"/>
        <w:rPr>
          <w:rFonts w:ascii="Verdana" w:eastAsia="Calibri" w:hAnsi="Verdana" w:cs="Times New Roman"/>
          <w:lang w:val="es-ES_tradnl"/>
        </w:rPr>
      </w:pPr>
      <w:r w:rsidRPr="00823549">
        <w:rPr>
          <w:rFonts w:ascii="Verdana" w:eastAsia="Calibri" w:hAnsi="Verdana" w:cs="Times New Roman"/>
          <w:lang w:val="es-ES_tradnl"/>
        </w:rPr>
        <w:t xml:space="preserve">LinkedIn: </w:t>
      </w:r>
      <w:r w:rsidRPr="00823549">
        <w:rPr>
          <w:rFonts w:ascii="Verdana" w:eastAsia="Calibri" w:hAnsi="Verdana" w:cs="Times New Roman"/>
          <w:u w:val="single"/>
          <w:lang w:val="es-ES_tradnl"/>
        </w:rPr>
        <w:t>Agencia Nacional de Contratación Pública - Colombia Compra Eficiente</w:t>
      </w:r>
      <w:r w:rsidRPr="00823549">
        <w:rPr>
          <w:rFonts w:ascii="Verdana" w:eastAsia="Calibri" w:hAnsi="Verdana" w:cs="Times New Roman"/>
          <w:lang w:val="es-ES_tradnl"/>
        </w:rPr>
        <w:t xml:space="preserve"> Instagram: </w:t>
      </w:r>
      <w:r w:rsidRPr="00823549">
        <w:rPr>
          <w:rFonts w:ascii="Verdana" w:eastAsia="Calibri" w:hAnsi="Verdana" w:cs="Times New Roman"/>
          <w:u w:val="single"/>
          <w:lang w:val="es-ES_tradnl"/>
        </w:rPr>
        <w:t>@colombiacompraeficiente_cce</w:t>
      </w:r>
    </w:p>
    <w:p w14:paraId="69E2BDEF" w14:textId="77777777" w:rsidR="005E0653" w:rsidRPr="00823549" w:rsidRDefault="005E0653" w:rsidP="005E0653">
      <w:pPr>
        <w:widowControl w:val="0"/>
        <w:autoSpaceDE w:val="0"/>
        <w:autoSpaceDN w:val="0"/>
        <w:spacing w:after="0" w:line="276" w:lineRule="auto"/>
        <w:jc w:val="both"/>
        <w:rPr>
          <w:rFonts w:ascii="Verdana" w:eastAsia="Calibri" w:hAnsi="Verdana" w:cs="Arial"/>
          <w:lang w:val="es-ES_tradnl"/>
        </w:rPr>
      </w:pPr>
    </w:p>
    <w:p w14:paraId="3A9D7814" w14:textId="77777777" w:rsidR="005E0653" w:rsidRPr="00823549" w:rsidRDefault="005E0653" w:rsidP="005E0653">
      <w:pPr>
        <w:widowControl w:val="0"/>
        <w:autoSpaceDE w:val="0"/>
        <w:autoSpaceDN w:val="0"/>
        <w:spacing w:after="0" w:line="276" w:lineRule="auto"/>
        <w:jc w:val="both"/>
        <w:rPr>
          <w:rFonts w:ascii="Verdana" w:eastAsia="Calibri" w:hAnsi="Verdana" w:cs="Arial"/>
          <w:lang w:val="es-ES_tradnl"/>
        </w:rPr>
      </w:pPr>
      <w:r w:rsidRPr="00823549">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6147394" w14:textId="77777777" w:rsidR="005E0653" w:rsidRPr="00823549" w:rsidRDefault="005E0653" w:rsidP="005E0653">
      <w:pPr>
        <w:widowControl w:val="0"/>
        <w:autoSpaceDE w:val="0"/>
        <w:autoSpaceDN w:val="0"/>
        <w:spacing w:after="0" w:line="276" w:lineRule="auto"/>
        <w:jc w:val="both"/>
        <w:rPr>
          <w:rFonts w:ascii="Verdana" w:eastAsia="Calibri" w:hAnsi="Verdana" w:cs="Arial"/>
          <w:lang w:val="es-ES_tradnl"/>
        </w:rPr>
      </w:pPr>
    </w:p>
    <w:p w14:paraId="19A2C637" w14:textId="77777777" w:rsidR="005E0653" w:rsidRPr="00823549" w:rsidRDefault="005E0653" w:rsidP="005E0653">
      <w:pPr>
        <w:spacing w:after="0" w:line="240" w:lineRule="auto"/>
        <w:rPr>
          <w:rFonts w:ascii="Verdana" w:eastAsia="Calibri" w:hAnsi="Verdana" w:cs="Arial"/>
          <w:lang w:val="es-ES_tradnl" w:eastAsia="es-CO"/>
        </w:rPr>
      </w:pPr>
      <w:r w:rsidRPr="00823549">
        <w:rPr>
          <w:rFonts w:ascii="Verdana" w:eastAsia="Times New Roman" w:hAnsi="Verdana" w:cs="Arial"/>
          <w:lang w:val="es-ES_tradnl" w:eastAsia="es-CO"/>
        </w:rPr>
        <w:t>Atentamente,</w:t>
      </w:r>
      <w:r w:rsidRPr="00823549">
        <w:rPr>
          <w:rFonts w:ascii="Verdana" w:eastAsia="Calibri" w:hAnsi="Verdana" w:cs="Arial"/>
          <w:lang w:val="es-ES_tradnl" w:eastAsia="es-CO"/>
        </w:rPr>
        <w:t xml:space="preserve"> </w:t>
      </w:r>
    </w:p>
    <w:p w14:paraId="149AF078" w14:textId="336D1A59" w:rsidR="005E0653" w:rsidRPr="00823549" w:rsidRDefault="00196FAF" w:rsidP="005E0653">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7B9887B8" wp14:editId="259B914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E0653" w:rsidRPr="00823549" w14:paraId="446BC8FB" w14:textId="77777777" w:rsidTr="14116834">
        <w:trPr>
          <w:trHeight w:val="315"/>
        </w:trPr>
        <w:tc>
          <w:tcPr>
            <w:tcW w:w="893" w:type="dxa"/>
            <w:vAlign w:val="center"/>
            <w:hideMark/>
          </w:tcPr>
          <w:p w14:paraId="1707DFD2" w14:textId="77777777" w:rsidR="005E0653" w:rsidRPr="00823549" w:rsidRDefault="005E0653" w:rsidP="00BB4C4A">
            <w:pPr>
              <w:rPr>
                <w:rFonts w:ascii="Verdana" w:eastAsia="Calibri" w:hAnsi="Verdana" w:cs="Arial"/>
                <w:sz w:val="16"/>
                <w:szCs w:val="16"/>
                <w:lang w:val="es-ES_tradnl" w:eastAsia="es-ES"/>
              </w:rPr>
            </w:pPr>
            <w:r w:rsidRPr="00823549">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242245EB" w14:textId="77777777" w:rsidR="005E0653" w:rsidRPr="00823549" w:rsidRDefault="005E0653" w:rsidP="00BB4C4A">
            <w:pPr>
              <w:rPr>
                <w:rFonts w:ascii="Verdana" w:eastAsia="Arial" w:hAnsi="Verdana" w:cs="Arial"/>
                <w:sz w:val="16"/>
                <w:szCs w:val="16"/>
                <w:lang w:val="es-ES"/>
              </w:rPr>
            </w:pPr>
            <w:proofErr w:type="spellStart"/>
            <w:r>
              <w:rPr>
                <w:rFonts w:ascii="Verdana" w:eastAsia="Arial" w:hAnsi="Verdana" w:cs="Arial"/>
                <w:sz w:val="16"/>
                <w:szCs w:val="16"/>
                <w:lang w:val="es-ES"/>
              </w:rPr>
              <w:t>Hector</w:t>
            </w:r>
            <w:proofErr w:type="spellEnd"/>
            <w:r>
              <w:rPr>
                <w:rFonts w:ascii="Verdana" w:eastAsia="Arial" w:hAnsi="Verdana" w:cs="Arial"/>
                <w:sz w:val="16"/>
                <w:szCs w:val="16"/>
                <w:lang w:val="es-ES"/>
              </w:rPr>
              <w:t xml:space="preserve"> Luis Quiñones </w:t>
            </w:r>
            <w:proofErr w:type="spellStart"/>
            <w:r>
              <w:rPr>
                <w:rFonts w:ascii="Verdana" w:eastAsia="Arial" w:hAnsi="Verdana" w:cs="Arial"/>
                <w:sz w:val="16"/>
                <w:szCs w:val="16"/>
                <w:lang w:val="es-ES"/>
              </w:rPr>
              <w:t>Quiñones</w:t>
            </w:r>
            <w:proofErr w:type="spellEnd"/>
          </w:p>
          <w:p w14:paraId="51E11EEA" w14:textId="77777777" w:rsidR="005E0653" w:rsidRPr="00823549" w:rsidRDefault="005E0653" w:rsidP="00BB4C4A">
            <w:pPr>
              <w:rPr>
                <w:rFonts w:ascii="Verdana" w:eastAsia="Arial" w:hAnsi="Verdana" w:cs="Arial"/>
                <w:sz w:val="16"/>
                <w:szCs w:val="16"/>
                <w:lang w:val="es-ES_tradnl"/>
              </w:rPr>
            </w:pPr>
            <w:r>
              <w:rPr>
                <w:rFonts w:ascii="Verdana" w:eastAsia="Arial" w:hAnsi="Verdana" w:cs="Arial"/>
                <w:sz w:val="16"/>
                <w:szCs w:val="16"/>
                <w:lang w:val="es-ES_tradnl"/>
              </w:rPr>
              <w:t xml:space="preserve">Analista T2 – 02 </w:t>
            </w:r>
            <w:r w:rsidRPr="00823549">
              <w:rPr>
                <w:rFonts w:ascii="Verdana" w:eastAsia="Arial" w:hAnsi="Verdana" w:cs="Arial"/>
                <w:sz w:val="16"/>
                <w:szCs w:val="16"/>
                <w:lang w:val="es-ES_tradnl"/>
              </w:rPr>
              <w:t xml:space="preserve">de la Subdirección de Gestión Contractual </w:t>
            </w:r>
          </w:p>
        </w:tc>
      </w:tr>
      <w:tr w:rsidR="005E0653" w:rsidRPr="00823549" w14:paraId="0508C931" w14:textId="77777777" w:rsidTr="14116834">
        <w:trPr>
          <w:trHeight w:val="330"/>
        </w:trPr>
        <w:tc>
          <w:tcPr>
            <w:tcW w:w="893" w:type="dxa"/>
            <w:vAlign w:val="center"/>
            <w:hideMark/>
          </w:tcPr>
          <w:p w14:paraId="760A1415" w14:textId="77777777" w:rsidR="005E0653" w:rsidRPr="00823549" w:rsidRDefault="005E0653" w:rsidP="00BB4C4A">
            <w:pPr>
              <w:rPr>
                <w:rFonts w:ascii="Verdana" w:eastAsia="Calibri" w:hAnsi="Verdana" w:cs="Arial"/>
                <w:sz w:val="16"/>
                <w:szCs w:val="16"/>
                <w:lang w:val="es-ES_tradnl" w:eastAsia="es-ES"/>
              </w:rPr>
            </w:pPr>
            <w:r w:rsidRPr="00823549">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BB14DBB" w14:textId="77777777" w:rsidR="005E0653" w:rsidRPr="00823549" w:rsidRDefault="005E0653" w:rsidP="14116834">
            <w:pPr>
              <w:textAlignment w:val="baseline"/>
              <w:rPr>
                <w:rFonts w:ascii="Verdana" w:eastAsia="Times New Roman" w:hAnsi="Verdana" w:cs="Segoe UI"/>
                <w:sz w:val="16"/>
                <w:szCs w:val="16"/>
                <w:lang w:val="es-ES" w:eastAsia="es-ES"/>
              </w:rPr>
            </w:pPr>
            <w:r w:rsidRPr="14116834">
              <w:rPr>
                <w:rFonts w:ascii="Verdana" w:eastAsia="Times New Roman" w:hAnsi="Verdana" w:cs="Segoe UI"/>
                <w:sz w:val="16"/>
                <w:szCs w:val="16"/>
                <w:lang w:val="es-ES" w:eastAsia="es-ES"/>
              </w:rPr>
              <w:t xml:space="preserve">Adriana </w:t>
            </w:r>
            <w:proofErr w:type="spellStart"/>
            <w:r w:rsidRPr="14116834">
              <w:rPr>
                <w:rFonts w:ascii="Verdana" w:eastAsia="Times New Roman" w:hAnsi="Verdana" w:cs="Segoe UI"/>
                <w:sz w:val="16"/>
                <w:szCs w:val="16"/>
                <w:lang w:val="es-ES" w:eastAsia="es-ES"/>
              </w:rPr>
              <w:t>Katerine</w:t>
            </w:r>
            <w:proofErr w:type="spellEnd"/>
            <w:r w:rsidRPr="14116834">
              <w:rPr>
                <w:rFonts w:ascii="Verdana" w:eastAsia="Times New Roman" w:hAnsi="Verdana" w:cs="Segoe UI"/>
                <w:sz w:val="16"/>
                <w:szCs w:val="16"/>
                <w:lang w:val="es-ES" w:eastAsia="es-ES"/>
              </w:rPr>
              <w:t xml:space="preserve"> López </w:t>
            </w:r>
            <w:proofErr w:type="spellStart"/>
            <w:r w:rsidRPr="14116834">
              <w:rPr>
                <w:rFonts w:ascii="Verdana" w:eastAsia="Times New Roman" w:hAnsi="Verdana" w:cs="Segoe UI"/>
                <w:sz w:val="16"/>
                <w:szCs w:val="16"/>
                <w:lang w:val="es-ES" w:eastAsia="es-ES"/>
              </w:rPr>
              <w:t>Rodriguez</w:t>
            </w:r>
            <w:proofErr w:type="spellEnd"/>
          </w:p>
          <w:p w14:paraId="5BFFF28C" w14:textId="77777777" w:rsidR="005E0653" w:rsidRPr="00823549" w:rsidRDefault="005E0653" w:rsidP="00BB4C4A">
            <w:pPr>
              <w:textAlignment w:val="baseline"/>
              <w:rPr>
                <w:rFonts w:ascii="Verdana" w:eastAsia="Times New Roman" w:hAnsi="Verdana" w:cs="Segoe UI"/>
                <w:sz w:val="16"/>
                <w:szCs w:val="16"/>
                <w:lang w:val="es-ES_tradnl" w:eastAsia="es-ES_tradnl"/>
              </w:rPr>
            </w:pPr>
            <w:r>
              <w:rPr>
                <w:rFonts w:ascii="Verdana" w:eastAsia="Times New Roman" w:hAnsi="Verdana" w:cs="Arial"/>
                <w:sz w:val="16"/>
                <w:szCs w:val="16"/>
                <w:lang w:val="es-ES_tradnl" w:eastAsia="es-ES_tradnl"/>
              </w:rPr>
              <w:t>Contratista</w:t>
            </w:r>
            <w:r w:rsidRPr="00823549">
              <w:rPr>
                <w:rFonts w:ascii="Verdana" w:eastAsia="Times New Roman" w:hAnsi="Verdana" w:cs="Arial"/>
                <w:sz w:val="16"/>
                <w:szCs w:val="16"/>
                <w:lang w:val="es-ES_tradnl" w:eastAsia="es-ES_tradnl"/>
              </w:rPr>
              <w:t xml:space="preserve"> de la Subdirección de Gestión Contractual </w:t>
            </w:r>
          </w:p>
        </w:tc>
      </w:tr>
      <w:tr w:rsidR="005E0653" w:rsidRPr="00823549" w14:paraId="5907CB7E" w14:textId="77777777" w:rsidTr="14116834">
        <w:trPr>
          <w:trHeight w:val="300"/>
        </w:trPr>
        <w:tc>
          <w:tcPr>
            <w:tcW w:w="893" w:type="dxa"/>
            <w:vAlign w:val="center"/>
          </w:tcPr>
          <w:p w14:paraId="3D1B1898" w14:textId="77777777" w:rsidR="005E0653" w:rsidRPr="00823549" w:rsidRDefault="005E0653" w:rsidP="00BB4C4A">
            <w:pPr>
              <w:rPr>
                <w:rFonts w:ascii="Verdana" w:eastAsia="Calibri" w:hAnsi="Verdana" w:cs="Arial"/>
                <w:sz w:val="16"/>
                <w:szCs w:val="16"/>
                <w:lang w:val="es-ES_tradnl" w:eastAsia="es-ES"/>
              </w:rPr>
            </w:pPr>
            <w:r w:rsidRPr="00823549">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38B571C" w14:textId="77777777" w:rsidR="005E0653" w:rsidRPr="00823549" w:rsidRDefault="005E0653" w:rsidP="00BB4C4A">
            <w:pPr>
              <w:rPr>
                <w:rFonts w:ascii="Verdana" w:eastAsia="Calibri" w:hAnsi="Verdana" w:cs="Arial"/>
                <w:sz w:val="16"/>
                <w:szCs w:val="16"/>
                <w:lang w:val="es-ES" w:eastAsia="es-ES"/>
              </w:rPr>
            </w:pPr>
            <w:r w:rsidRPr="0169AFC0">
              <w:rPr>
                <w:rFonts w:ascii="Verdana" w:eastAsia="Calibri" w:hAnsi="Verdana" w:cs="Arial"/>
                <w:sz w:val="16"/>
                <w:szCs w:val="16"/>
                <w:lang w:val="es-ES" w:eastAsia="es-ES"/>
              </w:rPr>
              <w:t xml:space="preserve">Carolina Quintero </w:t>
            </w:r>
            <w:proofErr w:type="spellStart"/>
            <w:r w:rsidRPr="0169AFC0">
              <w:rPr>
                <w:rFonts w:ascii="Verdana" w:eastAsia="Calibri" w:hAnsi="Verdana" w:cs="Arial"/>
                <w:sz w:val="16"/>
                <w:szCs w:val="16"/>
                <w:lang w:val="es-ES" w:eastAsia="es-ES"/>
              </w:rPr>
              <w:t>Gacharná</w:t>
            </w:r>
            <w:proofErr w:type="spellEnd"/>
          </w:p>
          <w:p w14:paraId="2399A97C" w14:textId="77777777" w:rsidR="005E0653" w:rsidRPr="00823549" w:rsidRDefault="005E0653" w:rsidP="00BB4C4A">
            <w:pPr>
              <w:rPr>
                <w:rFonts w:ascii="Verdana" w:eastAsia="Calibri" w:hAnsi="Verdana" w:cs="Arial"/>
                <w:sz w:val="16"/>
                <w:szCs w:val="16"/>
                <w:lang w:val="es-ES_tradnl" w:eastAsia="es-ES"/>
              </w:rPr>
            </w:pPr>
            <w:r w:rsidRPr="00823549">
              <w:rPr>
                <w:rFonts w:ascii="Verdana" w:eastAsia="Calibri" w:hAnsi="Verdana" w:cs="Arial"/>
                <w:sz w:val="16"/>
                <w:szCs w:val="16"/>
                <w:lang w:val="es-ES_tradnl" w:eastAsia="es-ES"/>
              </w:rPr>
              <w:t>Subdirectora de Gestión Contractual ANCP – CCE</w:t>
            </w:r>
          </w:p>
        </w:tc>
      </w:tr>
    </w:tbl>
    <w:p w14:paraId="1B168BA0" w14:textId="77777777" w:rsidR="005E0653" w:rsidRPr="0044528D" w:rsidRDefault="005E0653" w:rsidP="005E0653">
      <w:pPr>
        <w:spacing w:after="0"/>
        <w:rPr>
          <w:rFonts w:ascii="Verdana" w:hAnsi="Verdana"/>
        </w:rPr>
      </w:pPr>
    </w:p>
    <w:bookmarkEnd w:id="0"/>
    <w:p w14:paraId="3900974D" w14:textId="77777777" w:rsidR="003D5B0D" w:rsidRPr="00C60A22" w:rsidRDefault="003D5B0D" w:rsidP="00C60A22"/>
    <w:sectPr w:rsidR="003D5B0D" w:rsidRPr="00C60A22"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F1534" w14:textId="77777777" w:rsidR="00C90407" w:rsidRDefault="00C90407" w:rsidP="004A1847">
      <w:pPr>
        <w:spacing w:after="0" w:line="240" w:lineRule="auto"/>
      </w:pPr>
      <w:r>
        <w:separator/>
      </w:r>
    </w:p>
  </w:endnote>
  <w:endnote w:type="continuationSeparator" w:id="0">
    <w:p w14:paraId="702C08CA" w14:textId="77777777" w:rsidR="00C90407" w:rsidRDefault="00C9040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4FF9D" w14:textId="77777777" w:rsidR="00C90407" w:rsidRDefault="00C90407" w:rsidP="004A1847">
      <w:pPr>
        <w:spacing w:after="0" w:line="240" w:lineRule="auto"/>
      </w:pPr>
      <w:r>
        <w:separator/>
      </w:r>
    </w:p>
  </w:footnote>
  <w:footnote w:type="continuationSeparator" w:id="0">
    <w:p w14:paraId="48E075E9" w14:textId="77777777" w:rsidR="00C90407" w:rsidRDefault="00C90407" w:rsidP="004A1847">
      <w:pPr>
        <w:spacing w:after="0" w:line="240" w:lineRule="auto"/>
      </w:pPr>
      <w:r>
        <w:continuationSeparator/>
      </w:r>
    </w:p>
  </w:footnote>
  <w:footnote w:id="1">
    <w:p w14:paraId="03C28CA4" w14:textId="77777777" w:rsidR="005E0653" w:rsidRPr="00590BB7" w:rsidRDefault="005E0653" w:rsidP="005E0653">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 w:id="2">
    <w:p w14:paraId="599A181D" w14:textId="77777777" w:rsidR="005E0653" w:rsidRPr="006556CC" w:rsidRDefault="005E0653" w:rsidP="005E0653">
      <w:pPr>
        <w:pStyle w:val="Textonotapie"/>
        <w:ind w:firstLine="708"/>
        <w:jc w:val="both"/>
        <w:rPr>
          <w:rFonts w:ascii="Verdana" w:hAnsi="Verdana" w:cs="Arial"/>
          <w:color w:val="000000"/>
          <w:sz w:val="18"/>
          <w:szCs w:val="18"/>
        </w:rPr>
      </w:pPr>
      <w:r w:rsidRPr="006556CC">
        <w:rPr>
          <w:rStyle w:val="Refdenotaalpie"/>
          <w:rFonts w:ascii="Verdana" w:hAnsi="Verdana" w:cs="Arial"/>
          <w:color w:val="000000"/>
          <w:sz w:val="18"/>
          <w:szCs w:val="18"/>
        </w:rPr>
        <w:footnoteRef/>
      </w:r>
      <w:r w:rsidRPr="006556CC">
        <w:rPr>
          <w:rFonts w:ascii="Verdana" w:hAnsi="Verdana" w:cs="Arial"/>
          <w:color w:val="000000"/>
          <w:sz w:val="18"/>
          <w:szCs w:val="18"/>
        </w:rPr>
        <w:t xml:space="preserve"> Artículo 2.2.1.1.2.1.1. del Decreto 1082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09885441" o:spid="_x0000_i1026"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96130B"/>
    <w:multiLevelType w:val="hybridMultilevel"/>
    <w:tmpl w:val="7D1ABB6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19655F83"/>
    <w:multiLevelType w:val="hybridMultilevel"/>
    <w:tmpl w:val="49FE023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212D70A6"/>
    <w:multiLevelType w:val="hybridMultilevel"/>
    <w:tmpl w:val="B394B598"/>
    <w:lvl w:ilvl="0" w:tplc="70D4E278">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6"/>
  </w:num>
  <w:num w:numId="14" w16cid:durableId="895897244">
    <w:abstractNumId w:val="17"/>
  </w:num>
  <w:num w:numId="15" w16cid:durableId="390349800">
    <w:abstractNumId w:val="13"/>
  </w:num>
  <w:num w:numId="16" w16cid:durableId="341274352">
    <w:abstractNumId w:val="0"/>
  </w:num>
  <w:num w:numId="17" w16cid:durableId="679089576">
    <w:abstractNumId w:val="12"/>
  </w:num>
  <w:num w:numId="18" w16cid:durableId="544634431">
    <w:abstractNumId w:val="4"/>
  </w:num>
  <w:num w:numId="19" w16cid:durableId="54470569">
    <w:abstractNumId w:val="3"/>
  </w:num>
  <w:num w:numId="20" w16cid:durableId="3280206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6B2"/>
    <w:rsid w:val="00046945"/>
    <w:rsid w:val="00061B2A"/>
    <w:rsid w:val="00082362"/>
    <w:rsid w:val="000A683E"/>
    <w:rsid w:val="000B19B9"/>
    <w:rsid w:val="000D0334"/>
    <w:rsid w:val="000F6486"/>
    <w:rsid w:val="00125105"/>
    <w:rsid w:val="00127233"/>
    <w:rsid w:val="00141808"/>
    <w:rsid w:val="001511A0"/>
    <w:rsid w:val="00171BE6"/>
    <w:rsid w:val="00196FAF"/>
    <w:rsid w:val="001D5449"/>
    <w:rsid w:val="001E4177"/>
    <w:rsid w:val="001F6BA3"/>
    <w:rsid w:val="001F7DC6"/>
    <w:rsid w:val="002421BB"/>
    <w:rsid w:val="0025796E"/>
    <w:rsid w:val="002707A2"/>
    <w:rsid w:val="002951A0"/>
    <w:rsid w:val="002962BC"/>
    <w:rsid w:val="002A093D"/>
    <w:rsid w:val="002A0DD0"/>
    <w:rsid w:val="002A49AC"/>
    <w:rsid w:val="002A64FD"/>
    <w:rsid w:val="002C7A84"/>
    <w:rsid w:val="002E4FD9"/>
    <w:rsid w:val="002F2D24"/>
    <w:rsid w:val="00322A85"/>
    <w:rsid w:val="00324168"/>
    <w:rsid w:val="003448F4"/>
    <w:rsid w:val="00374F5E"/>
    <w:rsid w:val="00377E3E"/>
    <w:rsid w:val="00392465"/>
    <w:rsid w:val="003A779E"/>
    <w:rsid w:val="003D0F4D"/>
    <w:rsid w:val="003D5B0D"/>
    <w:rsid w:val="003E0499"/>
    <w:rsid w:val="003F3941"/>
    <w:rsid w:val="00406575"/>
    <w:rsid w:val="00414C74"/>
    <w:rsid w:val="0042722E"/>
    <w:rsid w:val="0044528D"/>
    <w:rsid w:val="00461B27"/>
    <w:rsid w:val="004A1847"/>
    <w:rsid w:val="004A305D"/>
    <w:rsid w:val="004F21C4"/>
    <w:rsid w:val="004F685F"/>
    <w:rsid w:val="005566E8"/>
    <w:rsid w:val="00574867"/>
    <w:rsid w:val="00591460"/>
    <w:rsid w:val="005B3816"/>
    <w:rsid w:val="005C3777"/>
    <w:rsid w:val="005C5CDC"/>
    <w:rsid w:val="005D476C"/>
    <w:rsid w:val="005E0653"/>
    <w:rsid w:val="005F225B"/>
    <w:rsid w:val="006219F8"/>
    <w:rsid w:val="0066578C"/>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34F4D"/>
    <w:rsid w:val="008415BD"/>
    <w:rsid w:val="00867F95"/>
    <w:rsid w:val="008843B6"/>
    <w:rsid w:val="00891928"/>
    <w:rsid w:val="008A446D"/>
    <w:rsid w:val="008D180B"/>
    <w:rsid w:val="008F0EA7"/>
    <w:rsid w:val="00923EEF"/>
    <w:rsid w:val="0092612C"/>
    <w:rsid w:val="009419F9"/>
    <w:rsid w:val="0095685E"/>
    <w:rsid w:val="00961B09"/>
    <w:rsid w:val="00965334"/>
    <w:rsid w:val="00965920"/>
    <w:rsid w:val="0097093E"/>
    <w:rsid w:val="00986AC5"/>
    <w:rsid w:val="009A0DFA"/>
    <w:rsid w:val="009A5398"/>
    <w:rsid w:val="009B2D26"/>
    <w:rsid w:val="009C45BE"/>
    <w:rsid w:val="009C71FA"/>
    <w:rsid w:val="009C72E7"/>
    <w:rsid w:val="009D3058"/>
    <w:rsid w:val="009F3A13"/>
    <w:rsid w:val="00A122D3"/>
    <w:rsid w:val="00A17F13"/>
    <w:rsid w:val="00A20739"/>
    <w:rsid w:val="00A33C78"/>
    <w:rsid w:val="00AB0ADB"/>
    <w:rsid w:val="00B01B1A"/>
    <w:rsid w:val="00B2513F"/>
    <w:rsid w:val="00B42BC9"/>
    <w:rsid w:val="00B66319"/>
    <w:rsid w:val="00B72CD3"/>
    <w:rsid w:val="00B72FFF"/>
    <w:rsid w:val="00B84FD8"/>
    <w:rsid w:val="00B976C8"/>
    <w:rsid w:val="00BC3D36"/>
    <w:rsid w:val="00BD7F72"/>
    <w:rsid w:val="00C04FB3"/>
    <w:rsid w:val="00C330EB"/>
    <w:rsid w:val="00C41061"/>
    <w:rsid w:val="00C60A22"/>
    <w:rsid w:val="00C74D1B"/>
    <w:rsid w:val="00C754BE"/>
    <w:rsid w:val="00C76B1C"/>
    <w:rsid w:val="00C90407"/>
    <w:rsid w:val="00CB6357"/>
    <w:rsid w:val="00CC1B26"/>
    <w:rsid w:val="00D423A2"/>
    <w:rsid w:val="00D520D8"/>
    <w:rsid w:val="00D63AC2"/>
    <w:rsid w:val="00D7383B"/>
    <w:rsid w:val="00D83F58"/>
    <w:rsid w:val="00DA231B"/>
    <w:rsid w:val="00DC39FC"/>
    <w:rsid w:val="00DF1A8E"/>
    <w:rsid w:val="00DF5254"/>
    <w:rsid w:val="00E16408"/>
    <w:rsid w:val="00E20894"/>
    <w:rsid w:val="00E245AB"/>
    <w:rsid w:val="00E2764C"/>
    <w:rsid w:val="00E27F2E"/>
    <w:rsid w:val="00E50AFE"/>
    <w:rsid w:val="00E7114F"/>
    <w:rsid w:val="00E75C92"/>
    <w:rsid w:val="00E771DC"/>
    <w:rsid w:val="00E8772A"/>
    <w:rsid w:val="00E90F6B"/>
    <w:rsid w:val="00E92C27"/>
    <w:rsid w:val="00E94E02"/>
    <w:rsid w:val="00EA0E3D"/>
    <w:rsid w:val="00EA2FC8"/>
    <w:rsid w:val="00EC38A7"/>
    <w:rsid w:val="00ED7384"/>
    <w:rsid w:val="00EE1AA8"/>
    <w:rsid w:val="00F31EDC"/>
    <w:rsid w:val="00F462B3"/>
    <w:rsid w:val="00F5664F"/>
    <w:rsid w:val="00F666C4"/>
    <w:rsid w:val="00F72C22"/>
    <w:rsid w:val="00F76AFC"/>
    <w:rsid w:val="00FA47C0"/>
    <w:rsid w:val="00FA6637"/>
    <w:rsid w:val="00FB5DD1"/>
    <w:rsid w:val="00FC2B5D"/>
    <w:rsid w:val="00FD151F"/>
    <w:rsid w:val="00FD735D"/>
    <w:rsid w:val="00FF1449"/>
    <w:rsid w:val="14116834"/>
    <w:rsid w:val="165E9519"/>
    <w:rsid w:val="26C5B2B2"/>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7114F"/>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heredia@invias.gov.co"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hector.quinones%40colombiacompra.gov.co%7C7cfff6dece924643582c08dd97bfed90%7C7b09041e245149d08cb179d5e3d8c1be%7C0%7C0%7C638833572788771529%7CUnknown%7CTWFpbGZsb3d8eyJFbXB0eU1hcGkiOnRydWUsIlYiOiIwLjAuMDAwMCIsIlAiOiJXaW4zMiIsIkFOIjoiTWFpbCIsIldUIjoyfQ%3D%3D%7C0%7C%7C%7C&amp;sdata=8n3z%2F0ZPhH1EoVpJ2t4J6sPEZLjZaId57jFAyjoDWM4%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a6cb9e4b-f1d1-4245-83ec-6cad768d538a"/>
    <ds:schemaRef ds:uri="http://purl.org/dc/elements/1.1/"/>
    <ds:schemaRef ds:uri="http://schemas.microsoft.com/office/2006/documentManagement/types"/>
    <ds:schemaRef ds:uri="9d85dbaf-23eb-4e57-a637-93dcacc8b1a1"/>
    <ds:schemaRef ds:uri="http://schemas.openxmlformats.org/package/2006/metadata/core-properties"/>
    <ds:schemaRef ds:uri="http://purl.org/dc/term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3F89164-BE95-482D-B2C7-8AA1C3176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3891</Words>
  <Characters>21403</Characters>
  <Application>Microsoft Office Word</Application>
  <DocSecurity>0</DocSecurity>
  <Lines>178</Lines>
  <Paragraphs>50</Paragraphs>
  <ScaleCrop>false</ScaleCrop>
  <Company/>
  <LinksUpToDate>false</LinksUpToDate>
  <CharactersWithSpaces>25244</CharactersWithSpaces>
  <SharedDoc>false</SharedDoc>
  <HLinks>
    <vt:vector size="30" baseType="variant">
      <vt:variant>
        <vt:i4>3211360</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hector.quinones%40colombiacompra.gov.co%7C7cfff6dece924643582c08dd97bfed90%7C7b09041e245149d08cb179d5e3d8c1be%7C0%7C0%7C638833572788771529%7CUnknown%7CTWFpbGZsb3d8eyJFbXB0eU1hcGkiOnRydWUsIlYiOiIwLjAuMDAwMCIsIlAiOiJXaW4zMiIsIkFOIjoiTWFpbCIsIldUIjoyfQ%3D%3D%7C0%7C%7C%7C&amp;sdata=8n3z%2F0ZPhH1EoVpJ2t4J6sPEZLjZaId57jFAyjoDWM4%3D&amp;reserved=0</vt:lpwstr>
      </vt:variant>
      <vt:variant>
        <vt:lpwstr/>
      </vt:variant>
      <vt:variant>
        <vt:i4>3735661</vt:i4>
      </vt:variant>
      <vt:variant>
        <vt:i4>6</vt:i4>
      </vt:variant>
      <vt:variant>
        <vt:i4>0</vt:i4>
      </vt:variant>
      <vt:variant>
        <vt:i4>5</vt:i4>
      </vt:variant>
      <vt:variant>
        <vt:lpwstr>https://www.colombiacompra.gov.co/normativa-y-relatoria/documentos-tipo</vt:lpwstr>
      </vt:variant>
      <vt:variant>
        <vt:lpwstr/>
      </vt:variant>
      <vt:variant>
        <vt:i4>3735661</vt:i4>
      </vt:variant>
      <vt:variant>
        <vt:i4>3</vt:i4>
      </vt:variant>
      <vt:variant>
        <vt:i4>0</vt:i4>
      </vt:variant>
      <vt:variant>
        <vt:i4>5</vt:i4>
      </vt:variant>
      <vt:variant>
        <vt:lpwstr>https://www.colombiacompra.gov.co/normativa-y-relatoria/documentos-tipo</vt:lpwstr>
      </vt:variant>
      <vt:variant>
        <vt:lpwstr/>
      </vt:variant>
      <vt:variant>
        <vt:i4>4063300</vt:i4>
      </vt:variant>
      <vt:variant>
        <vt:i4>0</vt:i4>
      </vt:variant>
      <vt:variant>
        <vt:i4>0</vt:i4>
      </vt:variant>
      <vt:variant>
        <vt:i4>5</vt:i4>
      </vt:variant>
      <vt:variant>
        <vt:lpwstr>mailto:sheredia@invias.gov.co</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2025-07-01T20:57:00Z</dcterms:created>
  <dcterms:modified xsi:type="dcterms:W3CDTF">2025-07-01T20:57:00Z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