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0631" w14:textId="77777777" w:rsidR="00426BBE" w:rsidRDefault="00426BBE" w:rsidP="00426BBE">
      <w:pPr>
        <w:spacing w:after="0"/>
        <w:jc w:val="both"/>
        <w:rPr>
          <w:rFonts w:ascii="Verdana" w:eastAsia="Verdana" w:hAnsi="Verdana" w:cs="Verdana"/>
          <w:b/>
          <w:bCs/>
        </w:rPr>
      </w:pPr>
      <w:bookmarkStart w:id="0" w:name="_Hlk143780582"/>
      <w:r w:rsidRPr="00426BBE">
        <w:rPr>
          <w:rFonts w:ascii="Verdana" w:eastAsia="Verdana" w:hAnsi="Verdana" w:cs="Verdana"/>
          <w:b/>
          <w:bCs/>
        </w:rPr>
        <w:t>LEY DE GARANTÍAS ELECTORALES – Propósito</w:t>
      </w:r>
    </w:p>
    <w:p w14:paraId="681F736C" w14:textId="77777777" w:rsidR="00426BBE" w:rsidRPr="00426BBE" w:rsidRDefault="00426BBE" w:rsidP="00426BBE">
      <w:pPr>
        <w:spacing w:after="0"/>
        <w:jc w:val="both"/>
        <w:rPr>
          <w:rFonts w:ascii="Verdana" w:eastAsia="Verdana" w:hAnsi="Verdana" w:cs="Verdana"/>
        </w:rPr>
      </w:pPr>
    </w:p>
    <w:p w14:paraId="13D25DEB"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p>
    <w:p w14:paraId="0D7E0D0E" w14:textId="77777777" w:rsidR="00426BBE" w:rsidRPr="00426BBE" w:rsidRDefault="00426BBE" w:rsidP="00426BBE">
      <w:pPr>
        <w:spacing w:after="0"/>
        <w:jc w:val="both"/>
        <w:rPr>
          <w:rFonts w:ascii="Verdana" w:eastAsia="Verdana" w:hAnsi="Verdana" w:cs="Verdana"/>
        </w:rPr>
      </w:pPr>
    </w:p>
    <w:p w14:paraId="0869CB3A" w14:textId="77777777" w:rsidR="00426BBE" w:rsidRDefault="00426BBE" w:rsidP="00426BBE">
      <w:pPr>
        <w:spacing w:after="0"/>
        <w:jc w:val="both"/>
        <w:rPr>
          <w:rFonts w:ascii="Verdana" w:eastAsia="Verdana" w:hAnsi="Verdana" w:cs="Verdana"/>
          <w:b/>
          <w:bCs/>
        </w:rPr>
      </w:pPr>
      <w:r w:rsidRPr="00426BBE">
        <w:rPr>
          <w:rFonts w:ascii="Verdana" w:eastAsia="Verdana" w:hAnsi="Verdana" w:cs="Verdana"/>
          <w:b/>
          <w:bCs/>
        </w:rPr>
        <w:t>LEY DE GARANTÍAS ELECTORALES – Prohibiciones – Restricciones</w:t>
      </w:r>
    </w:p>
    <w:p w14:paraId="7D5E6B57" w14:textId="77777777" w:rsidR="00426BBE" w:rsidRPr="00426BBE" w:rsidRDefault="00426BBE" w:rsidP="00426BBE">
      <w:pPr>
        <w:spacing w:after="0"/>
        <w:jc w:val="both"/>
        <w:rPr>
          <w:rFonts w:ascii="Verdana" w:eastAsia="Verdana" w:hAnsi="Verdana" w:cs="Verdana"/>
          <w:sz w:val="20"/>
          <w:szCs w:val="20"/>
        </w:rPr>
      </w:pPr>
    </w:p>
    <w:p w14:paraId="5DA63527"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BEF89BC" w14:textId="77777777" w:rsidR="00426BBE" w:rsidRPr="00426BBE" w:rsidRDefault="00426BBE" w:rsidP="00426BBE">
      <w:pPr>
        <w:spacing w:after="0"/>
        <w:jc w:val="both"/>
        <w:rPr>
          <w:rFonts w:ascii="Verdana" w:eastAsia="Verdana" w:hAnsi="Verdana" w:cs="Verdana"/>
          <w:sz w:val="20"/>
          <w:szCs w:val="20"/>
        </w:rPr>
      </w:pPr>
    </w:p>
    <w:p w14:paraId="4C520524"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1424ACA" w14:textId="77777777" w:rsidR="00426BBE" w:rsidRPr="00426BBE" w:rsidRDefault="00426BBE" w:rsidP="00426BBE">
      <w:pPr>
        <w:spacing w:after="0"/>
        <w:jc w:val="both"/>
        <w:rPr>
          <w:rFonts w:ascii="Verdana" w:eastAsia="Verdana" w:hAnsi="Verdana" w:cs="Verdana"/>
          <w:sz w:val="20"/>
          <w:szCs w:val="20"/>
        </w:rPr>
      </w:pPr>
    </w:p>
    <w:p w14:paraId="019C061B" w14:textId="77777777" w:rsid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1A934AB" w14:textId="77777777" w:rsidR="00426BBE" w:rsidRPr="00426BBE" w:rsidRDefault="00426BBE" w:rsidP="00426BBE">
      <w:pPr>
        <w:spacing w:after="0"/>
        <w:jc w:val="both"/>
        <w:rPr>
          <w:rFonts w:ascii="Verdana" w:eastAsia="Verdana" w:hAnsi="Verdana" w:cs="Verdana"/>
          <w:sz w:val="20"/>
          <w:szCs w:val="20"/>
        </w:rPr>
      </w:pPr>
    </w:p>
    <w:p w14:paraId="59A2ECFC"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xml:space="preserve">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w:t>
      </w:r>
      <w:r w:rsidRPr="00426BBE">
        <w:rPr>
          <w:rFonts w:ascii="Verdana" w:eastAsia="Verdana" w:hAnsi="Verdana" w:cs="Verdana"/>
          <w:sz w:val="20"/>
          <w:szCs w:val="20"/>
        </w:rPr>
        <w:lastRenderedPageBreak/>
        <w:t>general, excluyendo las correspondientes al Presidente de la República, las autoridades allí mencionadas sólo deben aplicar las restricciones contenidas en el parágrafo del artículo 38.</w:t>
      </w:r>
    </w:p>
    <w:p w14:paraId="7162AEED" w14:textId="77777777" w:rsidR="00426BBE" w:rsidRPr="00426BBE" w:rsidRDefault="00426BBE" w:rsidP="00426BBE">
      <w:pPr>
        <w:spacing w:after="0"/>
        <w:jc w:val="both"/>
        <w:rPr>
          <w:rFonts w:ascii="Verdana" w:eastAsia="Verdana" w:hAnsi="Verdana" w:cs="Verdana"/>
        </w:rPr>
      </w:pPr>
    </w:p>
    <w:p w14:paraId="5A6A5BB5" w14:textId="75D4372D" w:rsidR="00426BBE" w:rsidRDefault="00426BBE" w:rsidP="00426BBE">
      <w:pPr>
        <w:spacing w:after="0"/>
        <w:jc w:val="both"/>
        <w:rPr>
          <w:rFonts w:ascii="Verdana" w:eastAsia="Verdana" w:hAnsi="Verdana" w:cs="Verdana"/>
          <w:b/>
          <w:bCs/>
        </w:rPr>
      </w:pPr>
      <w:r w:rsidRPr="00426BBE">
        <w:rPr>
          <w:rFonts w:ascii="Verdana" w:eastAsia="Verdana" w:hAnsi="Verdana" w:cs="Verdana"/>
          <w:b/>
          <w:bCs/>
        </w:rPr>
        <w:t xml:space="preserve">LEY DE GARANTÍAS ELECTORALES – Artículo 33 – Ámbito material - Destinatarios </w:t>
      </w:r>
      <w:r>
        <w:rPr>
          <w:rFonts w:ascii="Verdana" w:eastAsia="Verdana" w:hAnsi="Verdana" w:cs="Verdana"/>
          <w:b/>
          <w:bCs/>
        </w:rPr>
        <w:t>–</w:t>
      </w:r>
      <w:r w:rsidRPr="00426BBE">
        <w:rPr>
          <w:rFonts w:ascii="Verdana" w:eastAsia="Verdana" w:hAnsi="Verdana" w:cs="Verdana"/>
          <w:b/>
          <w:bCs/>
        </w:rPr>
        <w:t xml:space="preserve"> Excepciones</w:t>
      </w:r>
    </w:p>
    <w:p w14:paraId="6243CD83" w14:textId="77777777" w:rsidR="00426BBE" w:rsidRPr="00426BBE" w:rsidRDefault="00426BBE" w:rsidP="00426BBE">
      <w:pPr>
        <w:spacing w:after="0"/>
        <w:jc w:val="both"/>
        <w:rPr>
          <w:rFonts w:ascii="Verdana" w:eastAsia="Verdana" w:hAnsi="Verdana" w:cs="Verdana"/>
        </w:rPr>
      </w:pPr>
    </w:p>
    <w:p w14:paraId="3D4D2418"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el artículo 33 de la Ley 996 de 2005 prohíbe “(…) la contratación directa por parte de todos los entes del Estado” durante los cuatro (4) meses anteriores a las elecciones presidenciales [...]</w:t>
      </w:r>
    </w:p>
    <w:p w14:paraId="1ADA9272" w14:textId="77777777" w:rsidR="00426BBE" w:rsidRPr="00426BBE" w:rsidRDefault="00426BBE" w:rsidP="00426BBE">
      <w:pPr>
        <w:spacing w:after="0"/>
        <w:jc w:val="both"/>
        <w:rPr>
          <w:rFonts w:ascii="Verdana" w:eastAsia="Verdana" w:hAnsi="Verdana" w:cs="Verdana"/>
          <w:sz w:val="20"/>
          <w:szCs w:val="20"/>
        </w:rPr>
      </w:pPr>
    </w:p>
    <w:p w14:paraId="536E716D"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w:t>
      </w:r>
    </w:p>
    <w:p w14:paraId="157A8D7A" w14:textId="77777777" w:rsidR="00426BBE" w:rsidRPr="00426BBE" w:rsidRDefault="00426BBE" w:rsidP="00426BBE">
      <w:pPr>
        <w:spacing w:after="0"/>
        <w:jc w:val="both"/>
        <w:rPr>
          <w:rFonts w:ascii="Verdana" w:eastAsia="Verdana" w:hAnsi="Verdana" w:cs="Verdana"/>
        </w:rPr>
      </w:pPr>
    </w:p>
    <w:p w14:paraId="4F025217" w14:textId="77777777" w:rsidR="00426BBE" w:rsidRPr="00426BBE" w:rsidRDefault="00426BBE" w:rsidP="00426BBE">
      <w:pPr>
        <w:spacing w:after="0"/>
        <w:jc w:val="both"/>
        <w:rPr>
          <w:rFonts w:ascii="Verdana" w:eastAsia="Verdana" w:hAnsi="Verdana" w:cs="Verdana"/>
        </w:rPr>
      </w:pPr>
      <w:r w:rsidRPr="00426BBE">
        <w:rPr>
          <w:rFonts w:ascii="Verdana" w:eastAsia="Verdana" w:hAnsi="Verdana" w:cs="Verdana"/>
          <w:b/>
          <w:bCs/>
        </w:rPr>
        <w:t>LEY DE GARANTÍAS ELECTORALES – Parágrafo del artículo 38 - Alcance</w:t>
      </w:r>
    </w:p>
    <w:p w14:paraId="439B550B" w14:textId="77777777" w:rsidR="00426BBE" w:rsidRDefault="00426BBE" w:rsidP="00426BBE">
      <w:pPr>
        <w:spacing w:after="0"/>
        <w:jc w:val="both"/>
        <w:rPr>
          <w:rFonts w:ascii="Verdana" w:eastAsia="Verdana" w:hAnsi="Verdana" w:cs="Verdana"/>
        </w:rPr>
      </w:pPr>
    </w:p>
    <w:p w14:paraId="271420FC" w14:textId="4E30DD01" w:rsid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xml:space="preserve">[…] el parágrafo del artículo 38 de la Ley 996 de 2005 prohíbe a los Alcaldes, Gobernadores, Secretarios, Gerentes y Directores de las entidades del orden municipal, departamental o distrital celebrar </w:t>
      </w:r>
      <w:r w:rsidRPr="00426BBE">
        <w:rPr>
          <w:rFonts w:ascii="Verdana" w:eastAsia="Verdana" w:hAnsi="Verdana" w:cs="Verdana"/>
          <w:i/>
          <w:iCs/>
          <w:sz w:val="20"/>
          <w:szCs w:val="20"/>
        </w:rPr>
        <w:t>convenios interadministrativos</w:t>
      </w:r>
      <w:r w:rsidRPr="00426BBE">
        <w:rPr>
          <w:rFonts w:ascii="Verdana" w:eastAsia="Verdana" w:hAnsi="Verdana" w:cs="Verdana"/>
          <w:sz w:val="20"/>
          <w:szCs w:val="20"/>
        </w:rPr>
        <w:t xml:space="preserve"> para la ejecución de recursos públicos. En este sentido, si una o ambas partes de la relación contractual es una entidad de aquellas descritas en el parágrafo </w:t>
      </w:r>
      <w:r w:rsidRPr="00426BBE">
        <w:rPr>
          <w:rFonts w:ascii="Verdana" w:eastAsia="Verdana" w:hAnsi="Verdana" w:cs="Verdana"/>
          <w:i/>
          <w:iCs/>
          <w:sz w:val="20"/>
          <w:szCs w:val="20"/>
        </w:rPr>
        <w:t>ibidem</w:t>
      </w:r>
      <w:r w:rsidRPr="00426BBE">
        <w:rPr>
          <w:rFonts w:ascii="Verdana" w:eastAsia="Verdana" w:hAnsi="Verdana" w:cs="Verdana"/>
          <w:sz w:val="20"/>
          <w:szCs w:val="20"/>
        </w:rPr>
        <w:t xml:space="preserve">, es decir, alcaldías, gobernaciones, secretarías de despacho, así como entidades descentralizadas por servicios del orden municipal, departamental o distrital no podrá celebrar tales </w:t>
      </w:r>
      <w:r w:rsidRPr="00426BBE">
        <w:rPr>
          <w:rFonts w:ascii="Verdana" w:eastAsia="Verdana" w:hAnsi="Verdana" w:cs="Verdana"/>
          <w:i/>
          <w:iCs/>
          <w:sz w:val="20"/>
          <w:szCs w:val="20"/>
        </w:rPr>
        <w:t>convenios</w:t>
      </w:r>
      <w:r w:rsidRPr="00426BBE">
        <w:rPr>
          <w:rFonts w:ascii="Verdana" w:eastAsia="Verdana" w:hAnsi="Verdana" w:cs="Verdana"/>
          <w:sz w:val="20"/>
          <w:szCs w:val="20"/>
        </w:rPr>
        <w:t xml:space="preserve"> durante la aplicación de la Ley de Garantías Electorales, toda vez que la citada disposición se refiere a dicha tipología contractual sin que el legislador hubiere contemplado un efecto extensivo a otra tipología.</w:t>
      </w:r>
    </w:p>
    <w:p w14:paraId="410DC56D" w14:textId="77777777" w:rsidR="00426BBE" w:rsidRDefault="00426BBE" w:rsidP="00426BBE">
      <w:pPr>
        <w:spacing w:after="0"/>
        <w:jc w:val="both"/>
        <w:rPr>
          <w:rFonts w:ascii="Verdana" w:eastAsia="Verdana" w:hAnsi="Verdana" w:cs="Verdana"/>
          <w:sz w:val="20"/>
          <w:szCs w:val="20"/>
        </w:rPr>
      </w:pPr>
    </w:p>
    <w:p w14:paraId="0453EA75" w14:textId="77777777" w:rsidR="00426BBE" w:rsidRPr="00426BBE" w:rsidRDefault="00426BBE" w:rsidP="00426BBE">
      <w:pPr>
        <w:spacing w:after="0"/>
        <w:jc w:val="both"/>
        <w:rPr>
          <w:rFonts w:ascii="Verdana" w:eastAsia="Verdana" w:hAnsi="Verdana" w:cs="Verdana"/>
          <w:sz w:val="20"/>
          <w:szCs w:val="20"/>
        </w:rPr>
      </w:pPr>
    </w:p>
    <w:p w14:paraId="4A423B36" w14:textId="77777777" w:rsidR="00426BBE" w:rsidRPr="00426BBE" w:rsidRDefault="00426BBE" w:rsidP="00426BBE">
      <w:pPr>
        <w:spacing w:after="0"/>
        <w:jc w:val="both"/>
        <w:rPr>
          <w:rFonts w:ascii="Verdana" w:eastAsia="Verdana" w:hAnsi="Verdana" w:cs="Verdana"/>
          <w:b/>
          <w:bCs/>
        </w:rPr>
      </w:pPr>
      <w:r w:rsidRPr="00426BBE">
        <w:rPr>
          <w:rFonts w:ascii="Verdana" w:eastAsia="Verdana" w:hAnsi="Verdana" w:cs="Verdana"/>
          <w:b/>
          <w:bCs/>
        </w:rPr>
        <w:lastRenderedPageBreak/>
        <w:t>LEY DE GARANTÍAS ELECTORALES – Convenios interadministrativos – Contratos interadministrativos</w:t>
      </w:r>
    </w:p>
    <w:p w14:paraId="604A06BA" w14:textId="77777777" w:rsidR="00426BBE" w:rsidRPr="00426BBE" w:rsidRDefault="00426BBE" w:rsidP="00426BBE">
      <w:pPr>
        <w:spacing w:after="0"/>
        <w:jc w:val="both"/>
        <w:rPr>
          <w:rFonts w:ascii="Verdana" w:eastAsia="Verdana" w:hAnsi="Verdana" w:cs="Verdana"/>
        </w:rPr>
      </w:pPr>
    </w:p>
    <w:p w14:paraId="69E67463"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40E1822F" w14:textId="77777777" w:rsidR="00426BBE" w:rsidRPr="00426BBE" w:rsidRDefault="00426BBE" w:rsidP="00426BBE">
      <w:pPr>
        <w:spacing w:after="0"/>
        <w:jc w:val="both"/>
        <w:rPr>
          <w:rFonts w:ascii="Verdana" w:eastAsia="Verdana" w:hAnsi="Verdana" w:cs="Verdana"/>
          <w:sz w:val="20"/>
          <w:szCs w:val="20"/>
        </w:rPr>
      </w:pPr>
    </w:p>
    <w:p w14:paraId="490BD7C6"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w:t>
      </w:r>
    </w:p>
    <w:p w14:paraId="52619C22" w14:textId="77777777" w:rsidR="00426BBE" w:rsidRPr="00426BBE" w:rsidRDefault="00426BBE" w:rsidP="00426BBE">
      <w:pPr>
        <w:spacing w:after="0"/>
        <w:jc w:val="both"/>
        <w:rPr>
          <w:rFonts w:ascii="Verdana" w:eastAsia="Verdana" w:hAnsi="Verdana" w:cs="Verdana"/>
          <w:sz w:val="20"/>
          <w:szCs w:val="20"/>
        </w:rPr>
      </w:pPr>
    </w:p>
    <w:p w14:paraId="6661B0A7"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Además, es necesario tener en cuenta que para que un contrato o convenio interadministrativo exista debe cumplir con los siguientes elementos: acuerdo sobre el objeto y la contraprestación y que conste por escrito […]</w:t>
      </w:r>
    </w:p>
    <w:p w14:paraId="409909D7" w14:textId="77777777" w:rsidR="00426BBE" w:rsidRPr="00426BBE" w:rsidRDefault="00426BBE" w:rsidP="00426BBE">
      <w:pPr>
        <w:spacing w:after="0"/>
        <w:jc w:val="both"/>
        <w:rPr>
          <w:rFonts w:ascii="Verdana" w:eastAsia="Verdana" w:hAnsi="Verdana" w:cs="Verdana"/>
        </w:rPr>
      </w:pPr>
    </w:p>
    <w:p w14:paraId="4CC2DBD2" w14:textId="77777777" w:rsidR="00426BBE" w:rsidRDefault="00426BBE" w:rsidP="00426BBE">
      <w:pPr>
        <w:spacing w:after="0"/>
        <w:jc w:val="both"/>
        <w:rPr>
          <w:rFonts w:ascii="Verdana" w:eastAsia="Verdana" w:hAnsi="Verdana" w:cs="Verdana"/>
          <w:b/>
          <w:bCs/>
        </w:rPr>
      </w:pPr>
      <w:r w:rsidRPr="00426BBE">
        <w:rPr>
          <w:rFonts w:ascii="Verdana" w:eastAsia="Verdana" w:hAnsi="Verdana" w:cs="Verdana"/>
          <w:b/>
          <w:bCs/>
        </w:rPr>
        <w:t>CONSEJO DE ESTADO – Posición</w:t>
      </w:r>
    </w:p>
    <w:p w14:paraId="1453C591" w14:textId="77777777" w:rsidR="00426BBE" w:rsidRPr="00426BBE" w:rsidRDefault="00426BBE" w:rsidP="00426BBE">
      <w:pPr>
        <w:spacing w:after="0"/>
        <w:jc w:val="both"/>
        <w:rPr>
          <w:rFonts w:ascii="Verdana" w:eastAsia="Verdana" w:hAnsi="Verdana" w:cs="Verdana"/>
        </w:rPr>
      </w:pPr>
    </w:p>
    <w:p w14:paraId="6A77E95E"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mediante sentencia del 17 de octubre de 2025, emitida por la Sección Tercera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5BA97224" w14:textId="77777777" w:rsidR="00426BBE" w:rsidRPr="00426BBE" w:rsidRDefault="00426BBE" w:rsidP="00426BBE">
      <w:pPr>
        <w:spacing w:after="0"/>
        <w:jc w:val="both"/>
        <w:rPr>
          <w:rFonts w:ascii="Verdana" w:eastAsia="Verdana" w:hAnsi="Verdana" w:cs="Verdana"/>
          <w:sz w:val="20"/>
          <w:szCs w:val="20"/>
        </w:rPr>
      </w:pPr>
    </w:p>
    <w:p w14:paraId="1540B270"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w:t>
      </w:r>
    </w:p>
    <w:p w14:paraId="477DB6EB" w14:textId="77777777" w:rsidR="00426BBE" w:rsidRDefault="00426BBE" w:rsidP="00426BBE">
      <w:pPr>
        <w:spacing w:after="0"/>
        <w:jc w:val="both"/>
        <w:rPr>
          <w:rFonts w:ascii="Verdana" w:eastAsia="Verdana" w:hAnsi="Verdana" w:cs="Verdana"/>
          <w:sz w:val="20"/>
          <w:szCs w:val="20"/>
        </w:rPr>
      </w:pPr>
    </w:p>
    <w:p w14:paraId="70EE4B1C" w14:textId="77777777" w:rsidR="00426BBE" w:rsidRDefault="00426BBE" w:rsidP="00426BBE">
      <w:pPr>
        <w:spacing w:after="0"/>
        <w:jc w:val="both"/>
        <w:rPr>
          <w:rFonts w:ascii="Verdana" w:eastAsia="Verdana" w:hAnsi="Verdana" w:cs="Verdana"/>
          <w:sz w:val="20"/>
          <w:szCs w:val="20"/>
        </w:rPr>
      </w:pPr>
    </w:p>
    <w:p w14:paraId="080266DF" w14:textId="77777777" w:rsidR="00426BBE" w:rsidRPr="00426BBE" w:rsidRDefault="00426BBE" w:rsidP="00426BBE">
      <w:pPr>
        <w:spacing w:after="0"/>
        <w:jc w:val="both"/>
        <w:rPr>
          <w:rFonts w:ascii="Verdana" w:eastAsia="Verdana" w:hAnsi="Verdana" w:cs="Verdana"/>
          <w:sz w:val="20"/>
          <w:szCs w:val="20"/>
        </w:rPr>
      </w:pPr>
    </w:p>
    <w:p w14:paraId="6E0A2CC1" w14:textId="4913A8D5" w:rsidR="00426BBE" w:rsidRDefault="00426BBE" w:rsidP="00426BBE">
      <w:pPr>
        <w:spacing w:after="0"/>
        <w:jc w:val="both"/>
        <w:rPr>
          <w:rFonts w:ascii="Verdana" w:eastAsia="Verdana" w:hAnsi="Verdana" w:cs="Verdana"/>
          <w:b/>
          <w:bCs/>
        </w:rPr>
      </w:pPr>
      <w:r w:rsidRPr="00426BBE">
        <w:rPr>
          <w:rFonts w:ascii="Verdana" w:eastAsia="Verdana" w:hAnsi="Verdana" w:cs="Verdana"/>
          <w:b/>
          <w:bCs/>
        </w:rPr>
        <w:lastRenderedPageBreak/>
        <w:t xml:space="preserve">LEY DE GARANTÍAS ELECTORALES </w:t>
      </w:r>
      <w:r w:rsidR="00311FAF" w:rsidRPr="00311FAF">
        <w:rPr>
          <w:rFonts w:ascii="Verdana" w:eastAsia="Verdana" w:hAnsi="Verdana" w:cs="Verdana"/>
          <w:b/>
          <w:bCs/>
          <w:lang w:val="es-ES"/>
        </w:rPr>
        <w:t>–</w:t>
      </w:r>
      <w:r w:rsidRPr="00426BBE">
        <w:rPr>
          <w:rFonts w:ascii="Verdana" w:eastAsia="Verdana" w:hAnsi="Verdana" w:cs="Verdana"/>
          <w:b/>
          <w:bCs/>
        </w:rPr>
        <w:t xml:space="preserve"> Excepción a las entidades sanitarias y hospitalarias</w:t>
      </w:r>
    </w:p>
    <w:p w14:paraId="5ACC6926" w14:textId="77777777" w:rsidR="00426BBE" w:rsidRPr="00426BBE" w:rsidRDefault="00426BBE" w:rsidP="00426BBE">
      <w:pPr>
        <w:spacing w:after="0"/>
        <w:jc w:val="both"/>
        <w:rPr>
          <w:rFonts w:ascii="Verdana" w:eastAsia="Verdana" w:hAnsi="Verdana" w:cs="Verdana"/>
        </w:rPr>
      </w:pPr>
    </w:p>
    <w:p w14:paraId="1763DF8D"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En torno a la procedencia de la contratación directa por parte de entidades estatales relacionadas al sector salud, es necesario 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p>
    <w:p w14:paraId="3D0BB5AA" w14:textId="77777777" w:rsidR="00426BBE" w:rsidRPr="00426BBE" w:rsidRDefault="00426BBE" w:rsidP="00426BBE">
      <w:pPr>
        <w:spacing w:after="0"/>
        <w:jc w:val="both"/>
        <w:rPr>
          <w:rFonts w:ascii="Verdana" w:eastAsia="Verdana" w:hAnsi="Verdana" w:cs="Verdana"/>
          <w:sz w:val="20"/>
          <w:szCs w:val="20"/>
        </w:rPr>
      </w:pPr>
    </w:p>
    <w:p w14:paraId="6D83EC60"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w:t>
      </w:r>
    </w:p>
    <w:p w14:paraId="46790026" w14:textId="77777777" w:rsidR="00426BBE" w:rsidRPr="00426BBE" w:rsidRDefault="00426BBE" w:rsidP="00426BBE">
      <w:pPr>
        <w:spacing w:after="0"/>
        <w:jc w:val="both"/>
        <w:rPr>
          <w:rFonts w:ascii="Verdana" w:eastAsia="Verdana" w:hAnsi="Verdana" w:cs="Verdana"/>
          <w:sz w:val="20"/>
          <w:szCs w:val="20"/>
        </w:rPr>
      </w:pPr>
    </w:p>
    <w:p w14:paraId="5DE0AF74" w14:textId="77777777"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 xml:space="preserve">Sobre lo anterior, el Consejo de Estado ha señalado que “las entidades que presten servicios tendientes a preservar la salud pública o humana deben ser consideradas como entidades sanitarias y en principio estarían exceptuadas de la prohibición de contratación directa”.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 </w:t>
      </w:r>
    </w:p>
    <w:p w14:paraId="1C04A868" w14:textId="77777777" w:rsidR="00426BBE" w:rsidRPr="00426BBE" w:rsidRDefault="00426BBE" w:rsidP="00426BBE">
      <w:pPr>
        <w:spacing w:after="0"/>
        <w:jc w:val="both"/>
        <w:rPr>
          <w:rFonts w:ascii="Verdana" w:eastAsia="Verdana" w:hAnsi="Verdana" w:cs="Verdana"/>
          <w:sz w:val="20"/>
          <w:szCs w:val="20"/>
        </w:rPr>
      </w:pPr>
    </w:p>
    <w:p w14:paraId="79101C01" w14:textId="0FB7DF78" w:rsidR="00426BBE" w:rsidRPr="00426BBE" w:rsidRDefault="00426BBE" w:rsidP="00426BBE">
      <w:pPr>
        <w:spacing w:after="0"/>
        <w:jc w:val="both"/>
        <w:rPr>
          <w:rFonts w:ascii="Verdana" w:eastAsia="Verdana" w:hAnsi="Verdana" w:cs="Verdana"/>
          <w:sz w:val="20"/>
          <w:szCs w:val="20"/>
        </w:rPr>
      </w:pPr>
      <w:r w:rsidRPr="00426BBE">
        <w:rPr>
          <w:rFonts w:ascii="Verdana" w:eastAsia="Verdana" w:hAnsi="Verdana" w:cs="Verdana"/>
          <w:sz w:val="20"/>
          <w:szCs w:val="20"/>
        </w:rPr>
        <w:t>Conforme con lo expuesto, las entidades que requieran adelantar procesos de contratación directa durante el periodo de garantías electorales deberán analizar, primero, si se configuran los supuestos establecidos en el artículo 33 de la Ley 996 de 2005, es decir, si se trata de cualquier entidad pública que pretenda adelantar un proceso no competitivo. Adicionalmente, será pertinente analizar si se configura alguna de las excepciones previstas en la norma.</w:t>
      </w:r>
    </w:p>
    <w:p w14:paraId="524CE3CE" w14:textId="77777777" w:rsidR="00373963" w:rsidRPr="00426BBE" w:rsidRDefault="00373963" w:rsidP="00FF5443">
      <w:pPr>
        <w:spacing w:after="0"/>
        <w:rPr>
          <w:rFonts w:ascii="Verdana" w:eastAsia="Verdana" w:hAnsi="Verdana" w:cs="Verdana"/>
          <w:sz w:val="20"/>
          <w:szCs w:val="20"/>
        </w:rPr>
      </w:pPr>
    </w:p>
    <w:p w14:paraId="376D4496" w14:textId="77777777" w:rsidR="00373963" w:rsidRDefault="00373963">
      <w:pPr>
        <w:rPr>
          <w:rFonts w:ascii="Verdana" w:eastAsia="Verdana" w:hAnsi="Verdana" w:cs="Verdana"/>
        </w:rPr>
      </w:pPr>
      <w:r>
        <w:rPr>
          <w:rFonts w:ascii="Verdana" w:eastAsia="Verdana" w:hAnsi="Verdana" w:cs="Verdana"/>
        </w:rPr>
        <w:br w:type="page"/>
      </w:r>
    </w:p>
    <w:p w14:paraId="4018BB3A" w14:textId="425DADE4" w:rsidR="00FF5443" w:rsidRDefault="00C15139" w:rsidP="00FF5443">
      <w:pPr>
        <w:spacing w:after="0"/>
      </w:pPr>
      <w:r w:rsidRPr="30821638">
        <w:rPr>
          <w:rFonts w:ascii="Verdana" w:eastAsia="Verdana" w:hAnsi="Verdana" w:cs="Verdana"/>
        </w:rPr>
        <w:lastRenderedPageBreak/>
        <w:t xml:space="preserve">Bogotá D.C., </w:t>
      </w:r>
      <w:r w:rsidR="004842C2">
        <w:rPr>
          <w:rFonts w:ascii="Verdana" w:eastAsia="Verdana" w:hAnsi="Verdana" w:cs="Verdana"/>
        </w:rPr>
        <w:t xml:space="preserve">28 </w:t>
      </w:r>
      <w:r w:rsidR="00311FAF">
        <w:rPr>
          <w:rFonts w:ascii="Verdana" w:eastAsia="Verdana" w:hAnsi="Verdana" w:cs="Verdana"/>
        </w:rPr>
        <w:t>de abril</w:t>
      </w:r>
      <w:r w:rsidR="004842C2">
        <w:rPr>
          <w:rFonts w:ascii="Verdana" w:eastAsia="Verdana" w:hAnsi="Verdana" w:cs="Verdana"/>
        </w:rPr>
        <w:t xml:space="preserve"> </w:t>
      </w:r>
      <w:r w:rsidR="00311FAF">
        <w:rPr>
          <w:rFonts w:ascii="Verdana" w:eastAsia="Verdana" w:hAnsi="Verdana" w:cs="Verdana"/>
        </w:rPr>
        <w:t xml:space="preserve">de </w:t>
      </w:r>
      <w:r w:rsidR="004842C2">
        <w:rPr>
          <w:rFonts w:ascii="Verdana" w:eastAsia="Verdana" w:hAnsi="Verdana" w:cs="Verdana"/>
        </w:rPr>
        <w:t>2026</w:t>
      </w:r>
    </w:p>
    <w:p w14:paraId="3C974CBC" w14:textId="5380DEA8" w:rsidR="00FF5443" w:rsidRPr="0024624F" w:rsidRDefault="00FF5443" w:rsidP="00FF5443">
      <w:pPr>
        <w:spacing w:after="0"/>
        <w:jc w:val="right"/>
        <w:rPr>
          <w:rFonts w:ascii="Verdana" w:eastAsia="Verdana" w:hAnsi="Verdana" w:cs="Verdana"/>
        </w:rPr>
      </w:pPr>
      <w:r w:rsidRPr="00FF5443">
        <w:rPr>
          <w:rFonts w:ascii="Verdana" w:eastAsia="Verdana" w:hAnsi="Verdana" w:cs="Verdana"/>
          <w:noProof/>
        </w:rPr>
        <w:drawing>
          <wp:anchor distT="0" distB="0" distL="114300" distR="114300" simplePos="0" relativeHeight="251658240" behindDoc="0" locked="0" layoutInCell="1" allowOverlap="1" wp14:anchorId="11EAC11B" wp14:editId="45B98B0E">
            <wp:simplePos x="0" y="0"/>
            <wp:positionH relativeFrom="column">
              <wp:posOffset>3857625</wp:posOffset>
            </wp:positionH>
            <wp:positionV relativeFrom="paragraph">
              <wp:posOffset>8890</wp:posOffset>
            </wp:positionV>
            <wp:extent cx="2438400" cy="874395"/>
            <wp:effectExtent l="0" t="0" r="0" b="1905"/>
            <wp:wrapSquare wrapText="bothSides"/>
            <wp:docPr id="16526957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95788" name=""/>
                    <pic:cNvPicPr/>
                  </pic:nvPicPr>
                  <pic:blipFill>
                    <a:blip r:embed="rId10">
                      <a:extLst>
                        <a:ext uri="{28A0092B-C50C-407E-A947-70E740481C1C}">
                          <a14:useLocalDpi xmlns:a14="http://schemas.microsoft.com/office/drawing/2010/main" val="0"/>
                        </a:ext>
                      </a:extLst>
                    </a:blip>
                    <a:stretch>
                      <a:fillRect/>
                    </a:stretch>
                  </pic:blipFill>
                  <pic:spPr>
                    <a:xfrm>
                      <a:off x="0" y="0"/>
                      <a:ext cx="2438400" cy="874395"/>
                    </a:xfrm>
                    <a:prstGeom prst="rect">
                      <a:avLst/>
                    </a:prstGeom>
                  </pic:spPr>
                </pic:pic>
              </a:graphicData>
            </a:graphic>
            <wp14:sizeRelV relativeFrom="margin">
              <wp14:pctHeight>0</wp14:pctHeight>
            </wp14:sizeRelV>
          </wp:anchor>
        </w:drawing>
      </w:r>
    </w:p>
    <w:p w14:paraId="754830C7" w14:textId="77777777" w:rsidR="00950EBB" w:rsidRDefault="00950EBB" w:rsidP="00950EBB">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Doctora</w:t>
      </w:r>
    </w:p>
    <w:p w14:paraId="6D842F50" w14:textId="77777777" w:rsidR="00950EBB" w:rsidRDefault="00950EBB" w:rsidP="00950EBB">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Ana Belén Arteaga Torres</w:t>
      </w:r>
    </w:p>
    <w:p w14:paraId="0317F4FF" w14:textId="77777777" w:rsidR="00950EBB" w:rsidRDefault="00950EBB" w:rsidP="00950EBB">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 xml:space="preserve">Directora </w:t>
      </w:r>
    </w:p>
    <w:p w14:paraId="491E8186" w14:textId="77777777" w:rsidR="00950EBB" w:rsidRPr="0026087B" w:rsidRDefault="00950EBB" w:rsidP="00950EBB">
      <w:pPr>
        <w:spacing w:after="0" w:line="240" w:lineRule="auto"/>
        <w:jc w:val="both"/>
        <w:rPr>
          <w:rFonts w:ascii="Verdana" w:eastAsia="Calibri" w:hAnsi="Verdana" w:cs="Arial"/>
          <w:b/>
          <w:bCs/>
          <w:lang w:val="es-ES_tradnl" w:eastAsia="es-ES_tradnl"/>
        </w:rPr>
      </w:pPr>
      <w:r>
        <w:rPr>
          <w:rFonts w:ascii="Verdana" w:eastAsia="Calibri" w:hAnsi="Verdana" w:cs="Arial"/>
          <w:b/>
          <w:bCs/>
          <w:lang w:val="es-ES" w:eastAsia="es-ES"/>
        </w:rPr>
        <w:t>Instituto Departamental de Salud de Nariño</w:t>
      </w:r>
    </w:p>
    <w:p w14:paraId="325BD5F0" w14:textId="77777777" w:rsidR="00950EBB" w:rsidRPr="00E91BA5" w:rsidRDefault="00950EBB" w:rsidP="00950EBB">
      <w:pPr>
        <w:spacing w:after="0" w:line="240" w:lineRule="auto"/>
        <w:jc w:val="both"/>
        <w:rPr>
          <w:rFonts w:ascii="Verdana" w:eastAsia="Calibri" w:hAnsi="Verdana" w:cs="Arial"/>
          <w:lang w:val="es-ES_tradnl" w:eastAsia="es-ES_tradnl"/>
        </w:rPr>
      </w:pPr>
      <w:r>
        <w:rPr>
          <w:rFonts w:ascii="Verdana" w:eastAsia="Calibri" w:hAnsi="Verdana" w:cs="Arial"/>
          <w:lang w:val="es-ES_tradnl" w:eastAsia="es-ES_tradnl"/>
        </w:rPr>
        <w:t>Pasto, Nariño</w:t>
      </w:r>
    </w:p>
    <w:p w14:paraId="082B2405" w14:textId="77777777" w:rsidR="00950EBB" w:rsidRPr="00E9728D" w:rsidRDefault="00950EBB" w:rsidP="00950EB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50EBB" w:rsidRPr="00E9728D" w14:paraId="652117F8" w14:textId="77777777" w:rsidTr="000B0402">
        <w:trPr>
          <w:trHeight w:val="884"/>
        </w:trPr>
        <w:tc>
          <w:tcPr>
            <w:tcW w:w="2689" w:type="dxa"/>
          </w:tcPr>
          <w:p w14:paraId="7A118065" w14:textId="77777777" w:rsidR="00950EBB" w:rsidRPr="00114F4E" w:rsidRDefault="00950EBB" w:rsidP="000B0402">
            <w:pPr>
              <w:jc w:val="both"/>
              <w:rPr>
                <w:rFonts w:ascii="Verdana" w:eastAsia="Calibri" w:hAnsi="Verdana" w:cs="Arial"/>
                <w:b/>
                <w:bCs/>
                <w:color w:val="7030A0"/>
                <w:highlight w:val="green"/>
                <w:lang w:val="es-ES_tradnl" w:eastAsia="es-ES_tradnl"/>
              </w:rPr>
            </w:pPr>
          </w:p>
        </w:tc>
        <w:tc>
          <w:tcPr>
            <w:tcW w:w="6100" w:type="dxa"/>
          </w:tcPr>
          <w:p w14:paraId="0C77A5D2" w14:textId="3617738C" w:rsidR="00950EBB" w:rsidRPr="004267FD" w:rsidRDefault="00950EBB" w:rsidP="000B0402">
            <w:pPr>
              <w:jc w:val="both"/>
              <w:rPr>
                <w:rFonts w:ascii="Verdana" w:eastAsia="Calibri" w:hAnsi="Verdana" w:cs="Arial"/>
                <w:b/>
                <w:bCs/>
                <w:lang w:val="es-ES" w:eastAsia="es-ES"/>
              </w:rPr>
            </w:pPr>
            <w:r w:rsidRPr="00A831DD">
              <w:rPr>
                <w:rFonts w:ascii="Verdana" w:eastAsia="Calibri" w:hAnsi="Verdana" w:cs="Arial"/>
                <w:b/>
                <w:bCs/>
                <w:lang w:val="es-ES" w:eastAsia="es-ES"/>
              </w:rPr>
              <w:t xml:space="preserve">Concepto </w:t>
            </w:r>
            <w:r w:rsidRPr="004360D4">
              <w:rPr>
                <w:rFonts w:ascii="Verdana" w:eastAsia="Calibri" w:hAnsi="Verdana" w:cs="Arial"/>
                <w:b/>
                <w:bCs/>
                <w:lang w:eastAsia="es-ES"/>
              </w:rPr>
              <w:t xml:space="preserve">C-582 </w:t>
            </w:r>
            <w:r w:rsidRPr="00A831DD">
              <w:rPr>
                <w:rFonts w:ascii="Verdana" w:eastAsia="Calibri" w:hAnsi="Verdana" w:cs="Arial"/>
                <w:b/>
                <w:bCs/>
                <w:lang w:val="es-ES" w:eastAsia="es-ES"/>
              </w:rPr>
              <w:t>de 2026</w:t>
            </w:r>
          </w:p>
        </w:tc>
      </w:tr>
      <w:tr w:rsidR="00950EBB" w:rsidRPr="00E9728D" w14:paraId="3539CF19" w14:textId="77777777" w:rsidTr="000B0402">
        <w:trPr>
          <w:trHeight w:val="884"/>
        </w:trPr>
        <w:tc>
          <w:tcPr>
            <w:tcW w:w="2689" w:type="dxa"/>
          </w:tcPr>
          <w:p w14:paraId="41A16527" w14:textId="77777777" w:rsidR="00950EBB" w:rsidRPr="00A50078" w:rsidRDefault="00950EBB" w:rsidP="000B0402">
            <w:pPr>
              <w:jc w:val="both"/>
              <w:rPr>
                <w:rFonts w:ascii="Verdana" w:eastAsia="Calibri" w:hAnsi="Verdana" w:cs="Arial"/>
                <w:color w:val="000000"/>
                <w:lang w:val="es-ES_tradnl" w:eastAsia="es-ES_tradnl"/>
              </w:rPr>
            </w:pPr>
            <w:r w:rsidRPr="00950EBB">
              <w:rPr>
                <w:rFonts w:ascii="Verdana" w:eastAsia="Calibri" w:hAnsi="Verdana" w:cs="Arial"/>
                <w:b/>
                <w:color w:val="000000"/>
                <w:lang w:val="es-ES_tradnl" w:eastAsia="es-ES_tradnl"/>
              </w:rPr>
              <w:t>Temas:</w:t>
            </w:r>
            <w:r w:rsidRPr="00A50078">
              <w:rPr>
                <w:rFonts w:ascii="Verdana" w:eastAsia="Calibri" w:hAnsi="Verdana" w:cs="Arial"/>
                <w:color w:val="000000"/>
                <w:lang w:val="es-ES_tradnl" w:eastAsia="es-ES_tradnl"/>
              </w:rPr>
              <w:t xml:space="preserve">                   </w:t>
            </w:r>
          </w:p>
        </w:tc>
        <w:tc>
          <w:tcPr>
            <w:tcW w:w="6100" w:type="dxa"/>
          </w:tcPr>
          <w:p w14:paraId="67B25DC3" w14:textId="140BA2FA" w:rsidR="00950EBB" w:rsidRDefault="00950EBB" w:rsidP="000B0402">
            <w:pPr>
              <w:spacing w:line="276" w:lineRule="auto"/>
              <w:jc w:val="both"/>
              <w:rPr>
                <w:rFonts w:ascii="Verdana" w:hAnsi="Verdana" w:cs="Arial"/>
                <w:bCs/>
                <w:color w:val="000000" w:themeColor="text1"/>
              </w:rPr>
            </w:pPr>
            <w:r w:rsidRPr="00937FB6">
              <w:rPr>
                <w:rFonts w:ascii="Verdana" w:hAnsi="Verdana" w:cs="Arial"/>
                <w:color w:val="000000" w:themeColor="text1"/>
              </w:rPr>
              <w:t>LEY DE GARANTÍAS ELECTORALES – Propósito /LEY DE GARANTÍAS ELECTORALES – Prohibiciones – Restricciones / LEY DE GARANTÍAS ELECTORALES – Artículo 33 – Ámbito material</w:t>
            </w:r>
            <w:r>
              <w:rPr>
                <w:rFonts w:ascii="Verdana" w:hAnsi="Verdana" w:cs="Arial"/>
                <w:color w:val="000000" w:themeColor="text1"/>
              </w:rPr>
              <w:t xml:space="preserve"> - </w:t>
            </w:r>
            <w:r w:rsidRPr="00937FB6">
              <w:rPr>
                <w:rFonts w:ascii="Verdana" w:hAnsi="Verdana" w:cs="Arial"/>
                <w:color w:val="000000" w:themeColor="text1"/>
              </w:rPr>
              <w:t xml:space="preserve">Destinatarios </w:t>
            </w:r>
            <w:r>
              <w:rPr>
                <w:rFonts w:ascii="Verdana" w:hAnsi="Verdana" w:cs="Arial"/>
                <w:color w:val="000000" w:themeColor="text1"/>
              </w:rPr>
              <w:t xml:space="preserve">- </w:t>
            </w:r>
            <w:r w:rsidRPr="00937FB6">
              <w:rPr>
                <w:rFonts w:ascii="Verdana" w:hAnsi="Verdana" w:cs="Arial"/>
                <w:color w:val="000000" w:themeColor="text1"/>
              </w:rPr>
              <w:t>Excepciones / LEY DE GARANTÍAS ELECTORALES – Parágrafo del artículo 38 - Alcance / LEY DE GARANTÍAS ELECTORALES – Convenios interadministrativos – Contratos interadministrativos / CONSEJO DE ESTADO</w:t>
            </w:r>
            <w:r>
              <w:rPr>
                <w:rFonts w:ascii="Verdana" w:hAnsi="Verdana" w:cs="Arial"/>
                <w:color w:val="000000" w:themeColor="text1"/>
              </w:rPr>
              <w:t xml:space="preserve"> – Posición </w:t>
            </w:r>
            <w:r w:rsidRPr="00937FB6">
              <w:rPr>
                <w:rFonts w:ascii="Verdana" w:hAnsi="Verdana" w:cs="Arial"/>
                <w:color w:val="000000" w:themeColor="text1"/>
              </w:rPr>
              <w:t>/</w:t>
            </w:r>
            <w:r w:rsidRPr="00937FB6">
              <w:rPr>
                <w:rFonts w:ascii="Verdana" w:hAnsi="Verdana"/>
                <w:color w:val="000000" w:themeColor="text1"/>
              </w:rPr>
              <w:t xml:space="preserve"> LEY DE GARANTÍAS ELECTORALES -</w:t>
            </w:r>
            <w:r w:rsidRPr="00937FB6">
              <w:rPr>
                <w:color w:val="000000" w:themeColor="text1"/>
              </w:rPr>
              <w:t xml:space="preserve"> </w:t>
            </w:r>
            <w:r w:rsidRPr="00937FB6">
              <w:rPr>
                <w:rFonts w:ascii="Verdana" w:eastAsia="Calibri" w:hAnsi="Verdana" w:cs="Arial"/>
                <w:lang w:val="es-ES" w:eastAsia="es-ES"/>
              </w:rPr>
              <w:t>Excepción</w:t>
            </w:r>
            <w:r w:rsidRPr="00937FB6">
              <w:rPr>
                <w:rFonts w:ascii="Verdana" w:hAnsi="Verdana" w:cs="Arial"/>
                <w:bCs/>
                <w:color w:val="000000" w:themeColor="text1"/>
              </w:rPr>
              <w:t xml:space="preserve"> </w:t>
            </w:r>
            <w:r>
              <w:rPr>
                <w:rFonts w:ascii="Verdana" w:hAnsi="Verdana" w:cs="Arial"/>
                <w:bCs/>
                <w:color w:val="000000" w:themeColor="text1"/>
              </w:rPr>
              <w:t xml:space="preserve">a las </w:t>
            </w:r>
            <w:r w:rsidRPr="00937FB6">
              <w:rPr>
                <w:rFonts w:ascii="Verdana" w:hAnsi="Verdana" w:cs="Arial"/>
                <w:bCs/>
                <w:color w:val="000000" w:themeColor="text1"/>
              </w:rPr>
              <w:t>entidades sanitarias y hospitalaria</w:t>
            </w:r>
            <w:r>
              <w:rPr>
                <w:rFonts w:ascii="Verdana" w:hAnsi="Verdana" w:cs="Arial"/>
                <w:bCs/>
                <w:color w:val="000000" w:themeColor="text1"/>
              </w:rPr>
              <w:t>s</w:t>
            </w:r>
          </w:p>
          <w:p w14:paraId="40C3DE74" w14:textId="77777777" w:rsidR="00950EBB" w:rsidRPr="00A50078" w:rsidRDefault="00950EBB" w:rsidP="000B0402">
            <w:pPr>
              <w:spacing w:line="276" w:lineRule="auto"/>
              <w:jc w:val="both"/>
              <w:rPr>
                <w:rFonts w:ascii="Verdana" w:eastAsia="Calibri" w:hAnsi="Verdana" w:cs="Arial"/>
                <w:lang w:val="es-ES" w:eastAsia="es-ES"/>
              </w:rPr>
            </w:pPr>
            <w:r w:rsidRPr="00937FB6">
              <w:rPr>
                <w:rFonts w:ascii="Verdana" w:hAnsi="Verdana" w:cs="Arial"/>
                <w:color w:val="000000" w:themeColor="text1"/>
              </w:rPr>
              <w:t xml:space="preserve"> </w:t>
            </w:r>
          </w:p>
        </w:tc>
      </w:tr>
      <w:tr w:rsidR="00950EBB" w:rsidRPr="00E9728D" w14:paraId="5F9CCA67" w14:textId="77777777" w:rsidTr="000B0402">
        <w:trPr>
          <w:trHeight w:val="432"/>
        </w:trPr>
        <w:tc>
          <w:tcPr>
            <w:tcW w:w="2689" w:type="dxa"/>
          </w:tcPr>
          <w:p w14:paraId="05CACC73" w14:textId="77777777" w:rsidR="00950EBB" w:rsidRPr="00E9728D" w:rsidRDefault="00950EBB" w:rsidP="000B0402">
            <w:pPr>
              <w:jc w:val="both"/>
              <w:rPr>
                <w:rFonts w:ascii="Verdana" w:eastAsia="Calibri" w:hAnsi="Verdana" w:cs="Arial"/>
                <w:b/>
                <w:lang w:val="es-ES_tradnl" w:eastAsia="es-ES_tradnl"/>
              </w:rPr>
            </w:pPr>
            <w:r w:rsidRPr="00E9728D">
              <w:rPr>
                <w:rFonts w:ascii="Verdana" w:eastAsia="Calibri" w:hAnsi="Verdana" w:cs="Arial"/>
                <w:b/>
                <w:lang w:val="es-ES_tradnl" w:eastAsia="es-ES_tradnl"/>
              </w:rPr>
              <w:t>Radicación:</w:t>
            </w:r>
            <w:r w:rsidRPr="00E9728D">
              <w:rPr>
                <w:rFonts w:ascii="Verdana" w:eastAsia="Calibri" w:hAnsi="Verdana" w:cs="Arial"/>
                <w:lang w:val="es-ES_tradnl" w:eastAsia="es-ES_tradnl"/>
              </w:rPr>
              <w:t xml:space="preserve">               </w:t>
            </w:r>
          </w:p>
        </w:tc>
        <w:tc>
          <w:tcPr>
            <w:tcW w:w="6100" w:type="dxa"/>
          </w:tcPr>
          <w:p w14:paraId="50120D80" w14:textId="7A185F44" w:rsidR="00950EBB" w:rsidRPr="004267FD" w:rsidRDefault="00950EBB" w:rsidP="000B0402">
            <w:pPr>
              <w:jc w:val="both"/>
              <w:rPr>
                <w:rFonts w:ascii="Verdana" w:eastAsia="Calibri" w:hAnsi="Verdana" w:cs="Arial"/>
                <w:lang w:val="es-ES_tradnl" w:eastAsia="es-ES_tradnl"/>
              </w:rPr>
            </w:pPr>
            <w:r w:rsidRPr="004267FD">
              <w:rPr>
                <w:rFonts w:ascii="Verdana" w:eastAsia="Calibri" w:hAnsi="Verdana" w:cs="Arial"/>
                <w:lang w:val="es-ES_tradnl" w:eastAsia="es-ES_tradnl"/>
              </w:rPr>
              <w:t>Respuesta a consulta con radicado No.</w:t>
            </w:r>
            <w:r w:rsidRPr="002873C7">
              <w:rPr>
                <w:rFonts w:ascii="Verdana" w:eastAsia="Calibri" w:hAnsi="Verdana" w:cs="Arial"/>
                <w:lang w:eastAsia="es-ES_tradnl"/>
              </w:rPr>
              <w:t> 1_2026_04_10_004888</w:t>
            </w:r>
          </w:p>
        </w:tc>
      </w:tr>
    </w:tbl>
    <w:p w14:paraId="1D0DC8A2" w14:textId="77777777" w:rsidR="00950EBB" w:rsidRPr="00E9728D" w:rsidRDefault="00950EBB" w:rsidP="00950EBB">
      <w:pPr>
        <w:spacing w:after="0" w:line="240" w:lineRule="auto"/>
        <w:jc w:val="both"/>
        <w:rPr>
          <w:rFonts w:ascii="Verdana" w:eastAsia="Calibri" w:hAnsi="Verdana" w:cs="Arial"/>
          <w:lang w:val="es-ES_tradnl" w:eastAsia="es-ES_tradnl"/>
        </w:rPr>
      </w:pPr>
    </w:p>
    <w:p w14:paraId="34D6A1F4" w14:textId="77777777" w:rsidR="00950EBB" w:rsidRPr="00E9728D" w:rsidRDefault="00950EBB" w:rsidP="00950EBB">
      <w:pPr>
        <w:spacing w:after="0" w:line="240" w:lineRule="auto"/>
        <w:jc w:val="both"/>
        <w:rPr>
          <w:rFonts w:ascii="Verdana" w:eastAsia="Calibri" w:hAnsi="Verdana" w:cs="Arial"/>
          <w:color w:val="000000"/>
          <w:lang w:val="es-ES_tradnl" w:eastAsia="es-ES_tradnl"/>
        </w:rPr>
      </w:pPr>
    </w:p>
    <w:p w14:paraId="290FE2D6" w14:textId="77777777" w:rsidR="00950EBB" w:rsidRDefault="00950EBB" w:rsidP="00950EBB">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Estimada Dra. Arteaga Torres, cordial saludo, </w:t>
      </w:r>
    </w:p>
    <w:p w14:paraId="617DF35F" w14:textId="77777777" w:rsidR="00950EBB" w:rsidRPr="00E9728D" w:rsidRDefault="00950EBB" w:rsidP="00950EBB">
      <w:pPr>
        <w:spacing w:after="0" w:line="276" w:lineRule="auto"/>
        <w:jc w:val="both"/>
        <w:rPr>
          <w:rFonts w:ascii="Verdana" w:eastAsia="Calibri" w:hAnsi="Verdana" w:cs="Arial"/>
          <w:color w:val="000000" w:themeColor="text1"/>
          <w:lang w:val="es-ES" w:eastAsia="es-ES"/>
        </w:rPr>
      </w:pPr>
    </w:p>
    <w:p w14:paraId="37EE763A" w14:textId="77777777" w:rsidR="00950EBB" w:rsidRPr="00950EBB" w:rsidRDefault="00950EBB" w:rsidP="00950EBB">
      <w:pPr>
        <w:spacing w:after="0" w:line="276" w:lineRule="auto"/>
        <w:jc w:val="both"/>
        <w:rPr>
          <w:rFonts w:ascii="Verdana" w:eastAsia="Calibri" w:hAnsi="Verdana" w:cs="Arial"/>
          <w:color w:val="7030A0"/>
          <w:lang w:val="es-ES" w:eastAsia="es-ES"/>
        </w:rPr>
      </w:pPr>
      <w:r w:rsidRPr="00950EBB">
        <w:rPr>
          <w:rFonts w:ascii="Verdana" w:eastAsia="Calibri" w:hAnsi="Verdana" w:cs="Arial"/>
          <w:color w:val="000000" w:themeColor="text1"/>
          <w:lang w:val="es-ES" w:eastAsia="es-ES"/>
        </w:rPr>
        <w:t>En ejercicio de la competencia otorgada por los artículos 3, numeral 5º, y 11, numeral 8º, del Decreto Ley 4170 de 2011,</w:t>
      </w:r>
      <w:r w:rsidRPr="00950EBB">
        <w:rPr>
          <w:rFonts w:ascii="Verdana" w:eastAsia="Arial MT" w:hAnsi="Verdana" w:cs="Arial MT"/>
          <w:lang w:val="es-ES" w:eastAsia="es-ES"/>
        </w:rPr>
        <w:t xml:space="preserve"> </w:t>
      </w:r>
      <w:r w:rsidRPr="00950EBB">
        <w:rPr>
          <w:rFonts w:ascii="Verdana" w:hAnsi="Verdana" w:cs="Arial"/>
        </w:rPr>
        <w:t xml:space="preserve">así como lo establecido la </w:t>
      </w:r>
      <w:r w:rsidRPr="00950EBB">
        <w:rPr>
          <w:rFonts w:ascii="Verdana" w:eastAsia="Verdana" w:hAnsi="Verdana" w:cs="Verdana"/>
          <w:color w:val="000000" w:themeColor="text1"/>
        </w:rPr>
        <w:t>Resolución 469 de 2025</w:t>
      </w:r>
      <w:r w:rsidRPr="00950EBB">
        <w:rPr>
          <w:rFonts w:ascii="Verdana" w:hAnsi="Verdana" w:cs="Arial"/>
        </w:rPr>
        <w:t xml:space="preserve"> expedida por esta Entidad, </w:t>
      </w:r>
      <w:r w:rsidRPr="00950EBB">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Pr="00950EBB">
        <w:rPr>
          <w:rFonts w:ascii="Verdana" w:eastAsia="Calibri" w:hAnsi="Verdana" w:cs="Arial"/>
          <w:lang w:val="es-ES" w:eastAsia="es-ES"/>
        </w:rPr>
        <w:t xml:space="preserve">10 de abril de 2026, en la cual manifiesta lo siguiente: </w:t>
      </w:r>
    </w:p>
    <w:p w14:paraId="523A6C6E" w14:textId="77777777" w:rsidR="00950EBB" w:rsidRPr="00950EBB" w:rsidRDefault="00950EBB" w:rsidP="00950EBB">
      <w:pPr>
        <w:pStyle w:val="Prrafodelista"/>
        <w:tabs>
          <w:tab w:val="left" w:pos="142"/>
          <w:tab w:val="left" w:pos="284"/>
        </w:tabs>
        <w:spacing w:line="276" w:lineRule="auto"/>
        <w:ind w:left="0"/>
        <w:jc w:val="both"/>
        <w:rPr>
          <w:rFonts w:ascii="Verdana" w:eastAsia="Century Gothic" w:hAnsi="Verdana" w:cs="Century Gothic"/>
          <w:b/>
          <w:bCs/>
          <w:i/>
          <w:iCs/>
        </w:rPr>
      </w:pPr>
    </w:p>
    <w:p w14:paraId="265E9E3D" w14:textId="77777777" w:rsidR="00950EBB" w:rsidRPr="00950EBB" w:rsidRDefault="00950EBB" w:rsidP="00950EBB">
      <w:pPr>
        <w:pStyle w:val="Prrafodelista"/>
        <w:spacing w:after="0" w:line="240" w:lineRule="auto"/>
        <w:ind w:left="1069" w:right="709"/>
        <w:jc w:val="both"/>
        <w:rPr>
          <w:rFonts w:ascii="Verdana" w:eastAsia="Century Gothic" w:hAnsi="Verdana" w:cs="Century Gothic"/>
          <w:i/>
          <w:iCs/>
          <w:sz w:val="20"/>
          <w:szCs w:val="20"/>
          <w:lang w:val="es-CO"/>
        </w:rPr>
      </w:pPr>
      <w:r w:rsidRPr="00950EBB">
        <w:rPr>
          <w:rFonts w:ascii="Verdana" w:eastAsia="Century Gothic" w:hAnsi="Verdana" w:cs="Century Gothic"/>
          <w:i/>
          <w:iCs/>
          <w:sz w:val="20"/>
          <w:szCs w:val="20"/>
        </w:rPr>
        <w:t>“</w:t>
      </w:r>
      <w:r w:rsidRPr="00950EBB">
        <w:rPr>
          <w:rFonts w:ascii="Verdana" w:eastAsia="Century Gothic" w:hAnsi="Verdana" w:cs="Century Gothic"/>
          <w:i/>
          <w:iCs/>
          <w:sz w:val="20"/>
          <w:szCs w:val="20"/>
          <w:lang w:val="es-CO"/>
        </w:rPr>
        <w:t xml:space="preserve">[…] </w:t>
      </w:r>
    </w:p>
    <w:p w14:paraId="16E961AE" w14:textId="77777777" w:rsidR="00950EBB" w:rsidRPr="00950EBB" w:rsidRDefault="00950EBB" w:rsidP="00950EBB">
      <w:pPr>
        <w:spacing w:after="0" w:line="240" w:lineRule="auto"/>
        <w:ind w:left="1069" w:right="709"/>
        <w:jc w:val="both"/>
        <w:rPr>
          <w:rFonts w:ascii="Verdana" w:eastAsia="Century Gothic" w:hAnsi="Verdana" w:cs="Century Gothic"/>
          <w:i/>
          <w:iCs/>
          <w:sz w:val="20"/>
          <w:szCs w:val="20"/>
        </w:rPr>
      </w:pPr>
      <w:r w:rsidRPr="00950EBB">
        <w:rPr>
          <w:rFonts w:ascii="Verdana" w:eastAsia="Century Gothic" w:hAnsi="Verdana" w:cs="Century Gothic"/>
          <w:i/>
          <w:iCs/>
          <w:sz w:val="20"/>
          <w:szCs w:val="20"/>
        </w:rPr>
        <w:t>En virtud de lo anterior, respetuosamente solicitamos concepto sobre:</w:t>
      </w:r>
    </w:p>
    <w:p w14:paraId="125509AF" w14:textId="77777777" w:rsidR="00950EBB" w:rsidRPr="00950EBB" w:rsidRDefault="00950EBB" w:rsidP="00950EBB">
      <w:pPr>
        <w:pStyle w:val="Prrafodelista"/>
        <w:numPr>
          <w:ilvl w:val="0"/>
          <w:numId w:val="18"/>
        </w:numPr>
        <w:spacing w:after="0" w:line="240" w:lineRule="auto"/>
        <w:ind w:right="709"/>
        <w:jc w:val="both"/>
        <w:rPr>
          <w:rFonts w:ascii="Verdana" w:eastAsia="Century Gothic" w:hAnsi="Verdana" w:cs="Century Gothic"/>
          <w:i/>
          <w:iCs/>
          <w:sz w:val="20"/>
          <w:szCs w:val="20"/>
        </w:rPr>
      </w:pPr>
      <w:r w:rsidRPr="00950EBB">
        <w:rPr>
          <w:rFonts w:ascii="Verdana" w:eastAsia="Century Gothic" w:hAnsi="Verdana" w:cs="Century Gothic"/>
          <w:i/>
          <w:iCs/>
          <w:sz w:val="20"/>
          <w:szCs w:val="20"/>
        </w:rPr>
        <w:t xml:space="preserve">Si es procedente la suscripción de convenios durante la vigencia de la Ley de Garantías, considerando que su objeto es asegurar la continuidad de la prestación de servicios de salud esenciales. </w:t>
      </w:r>
    </w:p>
    <w:p w14:paraId="63613E43" w14:textId="77777777" w:rsidR="00950EBB" w:rsidRPr="00950EBB" w:rsidRDefault="00950EBB" w:rsidP="00950EBB">
      <w:pPr>
        <w:pStyle w:val="Prrafodelista"/>
        <w:numPr>
          <w:ilvl w:val="0"/>
          <w:numId w:val="18"/>
        </w:numPr>
        <w:spacing w:after="0" w:line="240" w:lineRule="auto"/>
        <w:ind w:right="709"/>
        <w:jc w:val="both"/>
        <w:rPr>
          <w:rFonts w:ascii="Verdana" w:eastAsia="Century Gothic" w:hAnsi="Verdana" w:cs="Century Gothic"/>
          <w:i/>
          <w:iCs/>
          <w:sz w:val="20"/>
          <w:szCs w:val="20"/>
        </w:rPr>
      </w:pPr>
      <w:r w:rsidRPr="00950EBB">
        <w:rPr>
          <w:rFonts w:ascii="Verdana" w:eastAsia="Century Gothic" w:hAnsi="Verdana" w:cs="Century Gothic"/>
          <w:i/>
          <w:iCs/>
          <w:sz w:val="20"/>
          <w:szCs w:val="20"/>
        </w:rPr>
        <w:lastRenderedPageBreak/>
        <w:t xml:space="preserve">Las recomendaciones o lineamientos que ese Ministerio considere pertinentes para actuar conforme al marco normativo vigente y evitar riesgos de interrupción en la prestación de servicios. </w:t>
      </w:r>
    </w:p>
    <w:p w14:paraId="249E7951" w14:textId="77777777" w:rsidR="00950EBB" w:rsidRPr="00950EBB" w:rsidRDefault="00950EBB" w:rsidP="00950EBB">
      <w:pPr>
        <w:pStyle w:val="Prrafodelista"/>
        <w:spacing w:after="0" w:line="240" w:lineRule="auto"/>
        <w:ind w:left="1429" w:right="709"/>
        <w:jc w:val="both"/>
        <w:rPr>
          <w:rFonts w:ascii="Verdana" w:eastAsia="Century Gothic" w:hAnsi="Verdana" w:cs="Century Gothic"/>
          <w:i/>
          <w:iCs/>
          <w:sz w:val="20"/>
          <w:szCs w:val="20"/>
        </w:rPr>
      </w:pPr>
      <w:r w:rsidRPr="00950EBB">
        <w:rPr>
          <w:rFonts w:ascii="Verdana" w:eastAsia="Century Gothic" w:hAnsi="Verdana" w:cs="Century Gothic"/>
          <w:i/>
          <w:iCs/>
          <w:sz w:val="20"/>
          <w:szCs w:val="20"/>
        </w:rPr>
        <w:t>[…]”</w:t>
      </w:r>
    </w:p>
    <w:p w14:paraId="6EA0DE42" w14:textId="77777777" w:rsidR="00950EBB" w:rsidRPr="00950EBB" w:rsidRDefault="00950EBB" w:rsidP="00950EBB">
      <w:pPr>
        <w:spacing w:after="0" w:line="240" w:lineRule="auto"/>
        <w:ind w:right="709"/>
        <w:jc w:val="both"/>
        <w:rPr>
          <w:rFonts w:ascii="Verdana" w:eastAsia="Century Gothic" w:hAnsi="Verdana" w:cs="Century Gothic"/>
          <w:i/>
          <w:iCs/>
          <w:sz w:val="20"/>
          <w:szCs w:val="20"/>
        </w:rPr>
      </w:pPr>
    </w:p>
    <w:p w14:paraId="2C7B6EE8" w14:textId="77777777" w:rsidR="00950EBB" w:rsidRPr="00950EBB" w:rsidRDefault="00950EBB" w:rsidP="00950EBB">
      <w:pPr>
        <w:spacing w:after="120" w:line="276" w:lineRule="auto"/>
        <w:ind w:firstLine="709"/>
        <w:jc w:val="both"/>
        <w:rPr>
          <w:rFonts w:ascii="Verdana" w:eastAsia="Calibri" w:hAnsi="Verdana" w:cs="Arial"/>
          <w:color w:val="000000"/>
          <w:szCs w:val="24"/>
          <w:lang w:val="es-ES_tradnl" w:eastAsia="es-ES_tradnl"/>
        </w:rPr>
      </w:pPr>
      <w:r w:rsidRPr="00950EBB">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50EBB">
        <w:rPr>
          <w:rFonts w:ascii="Verdana" w:eastAsia="Calibri" w:hAnsi="Verdana" w:cs="Arial"/>
          <w:color w:val="000000"/>
          <w:szCs w:val="24"/>
          <w:lang w:val="es-ES_tradnl" w:eastAsia="es-ES_tradnl"/>
        </w:rPr>
        <w:tab/>
      </w:r>
    </w:p>
    <w:p w14:paraId="165A8789" w14:textId="77777777" w:rsidR="00950EBB" w:rsidRPr="00950EBB" w:rsidRDefault="00950EBB" w:rsidP="00950EBB">
      <w:pPr>
        <w:spacing w:after="0" w:line="276" w:lineRule="auto"/>
        <w:ind w:firstLine="709"/>
        <w:jc w:val="both"/>
        <w:rPr>
          <w:rFonts w:ascii="Verdana" w:eastAsia="Calibri" w:hAnsi="Verdana" w:cs="Arial"/>
          <w:color w:val="000000"/>
          <w:lang w:val="es-ES" w:eastAsia="es-ES"/>
        </w:rPr>
      </w:pPr>
      <w:r w:rsidRPr="00950EB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950EBB">
        <w:rPr>
          <w:rFonts w:ascii="Verdana" w:eastAsia="Calibri" w:hAnsi="Verdana" w:cs="Arial"/>
          <w:lang w:val="es-ES" w:eastAsia="es-ES"/>
        </w:rPr>
        <w:t xml:space="preserve">el problema </w:t>
      </w:r>
      <w:r w:rsidRPr="00950EBB">
        <w:rPr>
          <w:rFonts w:ascii="Verdana" w:eastAsia="Calibri" w:hAnsi="Verdana" w:cs="Arial"/>
          <w:color w:val="000000"/>
          <w:lang w:val="es-ES" w:eastAsia="es-ES"/>
        </w:rPr>
        <w:t>jurídico de su consulta.</w:t>
      </w:r>
    </w:p>
    <w:p w14:paraId="2A0E50A9" w14:textId="77777777" w:rsidR="00950EBB" w:rsidRPr="00950EBB" w:rsidRDefault="00950EBB" w:rsidP="00950EBB">
      <w:pPr>
        <w:spacing w:after="0" w:line="276" w:lineRule="auto"/>
        <w:ind w:firstLine="709"/>
        <w:jc w:val="both"/>
        <w:rPr>
          <w:rFonts w:ascii="Verdana" w:eastAsia="Calibri" w:hAnsi="Verdana" w:cs="Arial"/>
          <w:color w:val="000000"/>
          <w:lang w:val="es-ES" w:eastAsia="es-ES"/>
        </w:rPr>
      </w:pPr>
      <w:r w:rsidRPr="00950EBB">
        <w:rPr>
          <w:rFonts w:ascii="Verdana" w:eastAsia="Calibri" w:hAnsi="Verdana" w:cs="Arial"/>
          <w:color w:val="000000"/>
          <w:lang w:val="es-ES" w:eastAsia="es-ES"/>
        </w:rPr>
        <w:t xml:space="preserve"> </w:t>
      </w:r>
    </w:p>
    <w:p w14:paraId="02393E96" w14:textId="77777777" w:rsidR="00950EBB" w:rsidRPr="00950EBB" w:rsidRDefault="00950EBB" w:rsidP="00950EB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50EBB">
        <w:rPr>
          <w:rFonts w:ascii="Verdana" w:eastAsia="Century Gothic" w:hAnsi="Verdana" w:cs="Century Gothic"/>
          <w:b/>
          <w:bCs/>
        </w:rPr>
        <w:t>Problema planteado:</w:t>
      </w:r>
    </w:p>
    <w:p w14:paraId="6922B623" w14:textId="77777777" w:rsidR="00950EBB" w:rsidRPr="00950EBB" w:rsidRDefault="00950EBB" w:rsidP="00950EBB">
      <w:pPr>
        <w:tabs>
          <w:tab w:val="left" w:pos="426"/>
        </w:tabs>
        <w:spacing w:after="0" w:line="276" w:lineRule="auto"/>
        <w:jc w:val="both"/>
        <w:rPr>
          <w:rFonts w:ascii="Verdana" w:eastAsia="Century Gothic" w:hAnsi="Verdana" w:cs="Century Gothic"/>
          <w:lang w:val="es-ES"/>
        </w:rPr>
      </w:pPr>
    </w:p>
    <w:p w14:paraId="73B25F04" w14:textId="77777777" w:rsidR="00950EBB" w:rsidRPr="00950EBB" w:rsidRDefault="00950EBB" w:rsidP="00950EBB">
      <w:pPr>
        <w:spacing w:after="0" w:line="276" w:lineRule="auto"/>
        <w:ind w:firstLine="709"/>
        <w:jc w:val="both"/>
        <w:rPr>
          <w:rFonts w:ascii="Verdana" w:eastAsia="Century Gothic" w:hAnsi="Verdana" w:cs="Century Gothic"/>
        </w:rPr>
      </w:pPr>
      <w:r w:rsidRPr="00950EBB">
        <w:rPr>
          <w:rFonts w:ascii="Verdana" w:eastAsia="Century Gothic" w:hAnsi="Verdana" w:cs="Century Gothic"/>
        </w:rPr>
        <w:t xml:space="preserve">De acuerdo con el contenido de su solicitud, esta Agencia el siguiente problema jurídico: De conformidad con el régimen jurídico de la contratación estatal ¿es jurídicamente procedente que una entidad estatal suscriba convenios durante la vigencia de la Ley de Garantías Electorales, cuando su objeto es asegurar la continuidad en la prestación de servicios de salud esenciales? </w:t>
      </w:r>
    </w:p>
    <w:p w14:paraId="1CF4086D" w14:textId="77777777" w:rsidR="00950EBB" w:rsidRPr="00950EBB" w:rsidRDefault="00950EBB" w:rsidP="00950EBB">
      <w:pPr>
        <w:spacing w:after="0" w:line="276" w:lineRule="auto"/>
        <w:jc w:val="both"/>
        <w:rPr>
          <w:rFonts w:ascii="Verdana" w:eastAsia="Century Gothic" w:hAnsi="Verdana" w:cs="Century Gothic"/>
        </w:rPr>
      </w:pPr>
    </w:p>
    <w:p w14:paraId="58F40DB2" w14:textId="77777777" w:rsidR="00950EBB" w:rsidRPr="00950EBB" w:rsidRDefault="00950EBB" w:rsidP="00950E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0EBB">
        <w:rPr>
          <w:rFonts w:ascii="Verdana" w:eastAsia="Century Gothic" w:hAnsi="Verdana" w:cs="Century Gothic"/>
          <w:b/>
          <w:bCs/>
        </w:rPr>
        <w:t>Respuesta:</w:t>
      </w:r>
    </w:p>
    <w:p w14:paraId="25BE462C" w14:textId="77777777" w:rsidR="00950EBB" w:rsidRPr="00950EBB" w:rsidRDefault="00950EBB" w:rsidP="00950EB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0EBB" w:rsidRPr="00950EBB" w14:paraId="4DB337D6" w14:textId="77777777" w:rsidTr="000B0402">
        <w:tc>
          <w:tcPr>
            <w:tcW w:w="8828" w:type="dxa"/>
          </w:tcPr>
          <w:p w14:paraId="0F96DE07" w14:textId="77777777" w:rsidR="00950EBB" w:rsidRPr="00950EBB" w:rsidRDefault="00950EBB" w:rsidP="000B0402">
            <w:pPr>
              <w:spacing w:after="120" w:line="276" w:lineRule="auto"/>
              <w:jc w:val="both"/>
              <w:rPr>
                <w:rFonts w:ascii="Verdana" w:eastAsia="Calibri" w:hAnsi="Verdana" w:cs="Arial"/>
                <w:lang w:eastAsia="es-ES"/>
              </w:rPr>
            </w:pPr>
            <w:r w:rsidRPr="00950EBB">
              <w:rPr>
                <w:rFonts w:ascii="Verdana" w:eastAsia="Calibri" w:hAnsi="Verdana" w:cs="Arial"/>
                <w:lang w:eastAsia="es-ES"/>
              </w:rPr>
              <w:t xml:space="preserve">Las restricciones contenidas en el artículo 33 de la Ley 996 de 2005 aplica para “la contratación directa” de todos los entes del Estado, </w:t>
            </w:r>
            <w:r w:rsidRPr="00950EBB">
              <w:rPr>
                <w:rFonts w:ascii="Verdana" w:hAnsi="Verdana" w:cs="Arial"/>
                <w:color w:val="000000" w:themeColor="text1"/>
                <w:lang w:val="es-MX"/>
              </w:rPr>
              <w:t xml:space="preserve">sin distinción del régimen jurídico, forma de organización o naturaleza, su pertenencia a una u </w:t>
            </w:r>
            <w:r w:rsidRPr="00950EBB">
              <w:rPr>
                <w:rFonts w:ascii="Verdana" w:hAnsi="Verdana" w:cs="Arial"/>
                <w:color w:val="000000" w:themeColor="text1"/>
                <w:lang w:val="es-MX"/>
              </w:rPr>
              <w:lastRenderedPageBreak/>
              <w:t xml:space="preserve">otra rama del poder público o su autonomía, e incluso si las entidades estatales tienen régimen especial de contratación y están exceptuadas del ámbito de aplicación del Estatuto General de Contratación de la Administración Pública. </w:t>
            </w:r>
            <w:r w:rsidRPr="00950EBB">
              <w:rPr>
                <w:rFonts w:ascii="Verdana" w:eastAsia="Calibri" w:hAnsi="Verdana" w:cs="Arial"/>
                <w:lang w:eastAsia="es-ES"/>
              </w:rPr>
              <w:t xml:space="preserve"> Se trata de la prohibición de </w:t>
            </w:r>
            <w:r w:rsidRPr="00950EBB">
              <w:rPr>
                <w:rFonts w:ascii="Verdana" w:hAnsi="Verdana" w:cs="Arial"/>
                <w:bCs/>
                <w:lang w:eastAsia="x-none"/>
              </w:rPr>
              <w:t>aquellos contratos en los que no exista un proceso abierto y competitivo.</w:t>
            </w:r>
            <w:r w:rsidRPr="00950EBB">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Adicionalmente, la celebración de la contratación directa </w:t>
            </w:r>
            <w:r w:rsidRPr="00950EBB">
              <w:rPr>
                <w:rFonts w:ascii="Verdana" w:eastAsia="Calibri" w:hAnsi="Verdana" w:cs="Arial"/>
                <w:lang w:eastAsia="es-ES"/>
              </w:rPr>
              <w:t xml:space="preserve">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p>
          <w:p w14:paraId="29D0766E" w14:textId="77777777" w:rsidR="00950EBB" w:rsidRPr="00950EBB" w:rsidRDefault="00950EBB" w:rsidP="000B0402">
            <w:pPr>
              <w:spacing w:after="120" w:line="276" w:lineRule="auto"/>
              <w:ind w:firstLine="709"/>
              <w:jc w:val="both"/>
              <w:rPr>
                <w:rFonts w:ascii="Verdana" w:eastAsia="Calibri" w:hAnsi="Verdana" w:cs="Arial"/>
                <w:lang w:eastAsia="es-ES"/>
              </w:rPr>
            </w:pPr>
            <w:r w:rsidRPr="00950EBB">
              <w:rPr>
                <w:rFonts w:ascii="Verdana" w:eastAsia="Calibri" w:hAnsi="Verdana" w:cs="Arial"/>
                <w:lang w:eastAsia="es-ES"/>
              </w:rPr>
              <w:t>Por su parte, la entidad definirá si la contratación que pretende celebrar se enmarca en alguna de las excepciones definidas en el artículo 33 de la Ley 996 de 2005, esto es, que se pretenda cubrir emergencias sanitarias o los que deban realizar las entidades sanitarias y hospitalarias, de tal manera que las excepciones contempladas no permiten efectuar una interpretación extensiva para incluir otros supuestos.</w:t>
            </w:r>
          </w:p>
          <w:p w14:paraId="3D5C232B" w14:textId="77777777" w:rsidR="00950EBB" w:rsidRPr="00950EBB" w:rsidRDefault="00950EBB" w:rsidP="000B0402">
            <w:pPr>
              <w:spacing w:after="120" w:line="276" w:lineRule="auto"/>
              <w:ind w:firstLine="709"/>
              <w:jc w:val="both"/>
              <w:rPr>
                <w:rFonts w:ascii="Verdana" w:eastAsia="Calibri" w:hAnsi="Verdana" w:cs="Arial"/>
                <w:lang w:eastAsia="es-ES"/>
              </w:rPr>
            </w:pPr>
            <w:r w:rsidRPr="00950EBB">
              <w:rPr>
                <w:rFonts w:ascii="Verdana" w:eastAsia="Calibri" w:hAnsi="Verdana" w:cs="Arial"/>
                <w:lang w:eastAsia="es-ES"/>
              </w:rPr>
              <w:t>De otro lado, la restricción definida en el artículo 38 de la Ley 996 de 2005 se refiere a la celebración de convenios interadministrativos para la ejecución de recursos públicos, independientemente de que se configuren los supuestos de excepción que señala en artículo 33 de la misma ley. Actualmente las restricciones del artículo 33 y del artículo 38 de la Ley están en curso, de tal manera que los gobernadores, secretarios, gerentes y directores de las entidades del orden municipal, departamental o distrital no podrán no solo celebrar convenios interadministrativos para la ejecución de recursos sino también cualquier contratación directa.</w:t>
            </w:r>
          </w:p>
          <w:p w14:paraId="12BDEDDC" w14:textId="77777777" w:rsidR="00950EBB" w:rsidRPr="00950EBB" w:rsidRDefault="00950EBB" w:rsidP="000B0402">
            <w:pPr>
              <w:spacing w:after="120" w:line="276" w:lineRule="auto"/>
              <w:ind w:firstLine="709"/>
              <w:jc w:val="both"/>
              <w:rPr>
                <w:rFonts w:ascii="Verdana" w:eastAsia="Calibri" w:hAnsi="Verdana" w:cs="Arial"/>
                <w:lang w:eastAsia="es-ES"/>
              </w:rPr>
            </w:pPr>
            <w:r w:rsidRPr="00950EBB">
              <w:rPr>
                <w:rFonts w:ascii="Verdana" w:eastAsia="Calibri" w:hAnsi="Verdana" w:cs="Arial"/>
                <w:lang w:eastAsia="es-ES"/>
              </w:rPr>
              <w:t xml:space="preserve">Por último, 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parcial del numeral 16.2 de la Circular Externa </w:t>
            </w:r>
            <w:r w:rsidRPr="00950EBB">
              <w:rPr>
                <w:rFonts w:ascii="Verdana" w:eastAsia="Calibri" w:hAnsi="Verdana" w:cs="Arial"/>
                <w:lang w:eastAsia="es-ES"/>
              </w:rPr>
              <w:lastRenderedPageBreak/>
              <w:t xml:space="preserve">Única de 2022, por lo tanto, cuando dos entidades públicas celebran un contrato interadministrativo, independientemente del objeto, dicho contrato puede suscribirse durante el periodo preelectoral. </w:t>
            </w:r>
          </w:p>
          <w:p w14:paraId="1B5ABE1B" w14:textId="77777777" w:rsidR="00950EBB" w:rsidRPr="00950EBB" w:rsidRDefault="00950EBB" w:rsidP="000B0402">
            <w:pPr>
              <w:pStyle w:val="paragraph"/>
              <w:shd w:val="clear" w:color="auto" w:fill="FFFFFF"/>
              <w:spacing w:before="0" w:beforeAutospacing="0" w:after="120" w:afterAutospacing="0" w:line="276" w:lineRule="auto"/>
              <w:ind w:firstLine="708"/>
              <w:jc w:val="both"/>
              <w:textAlignment w:val="baseline"/>
              <w:rPr>
                <w:rFonts w:ascii="Verdana" w:hAnsi="Verdana" w:cs="Arial"/>
                <w:bCs/>
                <w:color w:val="000000" w:themeColor="text1"/>
                <w:sz w:val="22"/>
                <w:szCs w:val="22"/>
              </w:rPr>
            </w:pPr>
            <w:r w:rsidRPr="00950EBB">
              <w:rPr>
                <w:rFonts w:ascii="Verdana" w:eastAsia="Calibri" w:hAnsi="Verdana" w:cs="Arial"/>
                <w:bCs/>
                <w:color w:val="000000" w:themeColor="text1"/>
                <w:sz w:val="22"/>
                <w:szCs w:val="22"/>
              </w:rPr>
              <w:t xml:space="preserve">En torno a la procedencia de la contratación directa por parte de entidades relacionadas al sector salud, es necesario </w:t>
            </w:r>
            <w:r w:rsidRPr="00950EBB">
              <w:rPr>
                <w:rFonts w:ascii="Verdana" w:hAnsi="Verdana" w:cs="Arial"/>
                <w:bCs/>
                <w:color w:val="000000" w:themeColor="text1"/>
                <w:sz w:val="22"/>
                <w:szCs w:val="22"/>
              </w:rPr>
              <w:t xml:space="preserve">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033BD998" w14:textId="77777777" w:rsidR="00950EBB" w:rsidRPr="00950EBB" w:rsidRDefault="00950EBB" w:rsidP="000B0402">
            <w:pPr>
              <w:tabs>
                <w:tab w:val="left" w:pos="426"/>
              </w:tabs>
              <w:spacing w:before="120" w:line="276" w:lineRule="auto"/>
              <w:ind w:firstLine="709"/>
              <w:jc w:val="both"/>
              <w:rPr>
                <w:rFonts w:ascii="Verdana" w:eastAsia="Calibri" w:hAnsi="Verdana" w:cs="Arial"/>
                <w:bCs/>
                <w:color w:val="000000" w:themeColor="text1"/>
              </w:rPr>
            </w:pPr>
            <w:r w:rsidRPr="00950EBB">
              <w:rPr>
                <w:rFonts w:ascii="Verdana" w:eastAsia="Calibri" w:hAnsi="Verdana" w:cs="Arial"/>
                <w:bCs/>
                <w:color w:val="000000" w:themeColor="text1"/>
              </w:rPr>
              <w:t xml:space="preserve">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 </w:t>
            </w:r>
          </w:p>
          <w:p w14:paraId="2A175025" w14:textId="77777777" w:rsidR="00950EBB" w:rsidRPr="00950EBB" w:rsidRDefault="00950EBB" w:rsidP="000B0402">
            <w:pPr>
              <w:tabs>
                <w:tab w:val="left" w:pos="426"/>
              </w:tabs>
              <w:spacing w:before="120" w:line="276" w:lineRule="auto"/>
              <w:ind w:firstLine="709"/>
              <w:jc w:val="both"/>
              <w:rPr>
                <w:rFonts w:ascii="Verdana" w:eastAsia="Calibri" w:hAnsi="Verdana" w:cs="Arial"/>
                <w:bCs/>
                <w:color w:val="000000" w:themeColor="text1"/>
              </w:rPr>
            </w:pPr>
          </w:p>
          <w:p w14:paraId="5B6A7090" w14:textId="77777777" w:rsidR="00950EBB" w:rsidRPr="00950EBB" w:rsidRDefault="00950EBB" w:rsidP="000B0402">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950EBB">
              <w:rPr>
                <w:rFonts w:ascii="Verdana" w:eastAsia="Calibri" w:hAnsi="Verdana" w:cs="Arial"/>
                <w:bCs/>
                <w:color w:val="000000" w:themeColor="text1"/>
                <w:sz w:val="22"/>
                <w:szCs w:val="22"/>
              </w:rPr>
              <w:t xml:space="preserve">De otro lado, el artículo 2.8.8.1.1.3 del Decreto 780 de 2016, “Por medio del cual se expide el Decreto Único Reglamentario del Sector Salud y Protección Social”, definió a las entidades sanitarias como las “Entidades del Estado que prestan servicios sanitarios o de sanidad con el propósito de preservar la salud humana y la salud pública”. El artículo citado también define las autoridades sanitarias como las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para efectos de la aplicación de la excepción, se debe verificar que se cumplan los requisitos del artículo 33 de la Ley 996 de 2005. </w:t>
            </w:r>
          </w:p>
          <w:p w14:paraId="1D6D1BFB" w14:textId="77777777" w:rsidR="00950EBB" w:rsidRPr="00950EBB" w:rsidRDefault="00950EBB" w:rsidP="000B0402">
            <w:pPr>
              <w:pStyle w:val="paragraph"/>
              <w:shd w:val="clear" w:color="auto" w:fill="FFFFFF"/>
              <w:spacing w:after="120" w:line="276" w:lineRule="auto"/>
              <w:ind w:firstLine="708"/>
              <w:jc w:val="both"/>
              <w:textAlignment w:val="baseline"/>
              <w:rPr>
                <w:rFonts w:ascii="Verdana" w:eastAsia="Calibri" w:hAnsi="Verdana" w:cs="Arial"/>
                <w:bCs/>
                <w:color w:val="000000" w:themeColor="text1"/>
                <w:sz w:val="22"/>
                <w:szCs w:val="22"/>
              </w:rPr>
            </w:pPr>
            <w:r w:rsidRPr="00950EBB">
              <w:rPr>
                <w:rFonts w:ascii="Verdana" w:eastAsia="Calibri" w:hAnsi="Verdana" w:cs="Arial"/>
                <w:bCs/>
                <w:color w:val="000000" w:themeColor="text1"/>
                <w:sz w:val="22"/>
                <w:szCs w:val="22"/>
              </w:rPr>
              <w:t xml:space="preserve">Teniendo en cuenta lo expuesto, la entidad, previo análisis de las excepciones, podrá proceder en tal sentido y contratar directamente a pesar </w:t>
            </w:r>
            <w:r w:rsidRPr="00950EBB">
              <w:rPr>
                <w:rFonts w:ascii="Verdana" w:eastAsia="Calibri" w:hAnsi="Verdana" w:cs="Arial"/>
                <w:bCs/>
                <w:color w:val="000000" w:themeColor="text1"/>
                <w:sz w:val="22"/>
                <w:szCs w:val="22"/>
              </w:rPr>
              <w:lastRenderedPageBreak/>
              <w:t xml:space="preserve">de que haya iniciado el periodo de garantías electorales correspondiente al artículo 33 de la Ley 996 de 2005. </w:t>
            </w:r>
          </w:p>
          <w:p w14:paraId="4285590B" w14:textId="1E44513B" w:rsidR="00950EBB" w:rsidRDefault="700F876A" w:rsidP="4DE69CBB">
            <w:pPr>
              <w:pStyle w:val="paragraph"/>
              <w:shd w:val="clear" w:color="auto" w:fill="FFFFFF" w:themeFill="background1"/>
              <w:spacing w:before="0" w:beforeAutospacing="0" w:after="120" w:afterAutospacing="0" w:line="276" w:lineRule="auto"/>
              <w:ind w:firstLine="708"/>
              <w:jc w:val="both"/>
              <w:rPr>
                <w:rFonts w:ascii="Verdana" w:eastAsia="Calibri" w:hAnsi="Verdana" w:cs="Arial"/>
                <w:color w:val="000000" w:themeColor="text1"/>
                <w:sz w:val="22"/>
                <w:szCs w:val="22"/>
              </w:rPr>
            </w:pPr>
            <w:r w:rsidRPr="4DE69CBB">
              <w:rPr>
                <w:rFonts w:ascii="Verdana" w:eastAsia="Calibri" w:hAnsi="Verdana" w:cs="Arial"/>
                <w:color w:val="000000" w:themeColor="text1"/>
                <w:sz w:val="22"/>
                <w:szCs w:val="22"/>
              </w:rPr>
              <w:t xml:space="preserve"> Ahora bien, respecto de la prohibición prevista en el parágrafo del artículo 38, resulta necesario verificar, en primer lugar, si la contratación es adelantada por “Alcaldes, Gobernadores, Secretarios, Gerentes y Directores de entidades del orden municipal, departamental o distrital”; y, en segundo lugar, si lo que se pretende celebrar corresponde a un convenio interadministrativo para la ejecución de recursos públicos.</w:t>
            </w:r>
          </w:p>
          <w:p w14:paraId="0CA0E9EB" w14:textId="24C2547B" w:rsidR="700F876A" w:rsidRDefault="700F876A" w:rsidP="00BB1AE0">
            <w:pPr>
              <w:pStyle w:val="paragraph"/>
              <w:shd w:val="clear" w:color="auto" w:fill="FFFFFF" w:themeFill="background1"/>
              <w:spacing w:before="0" w:beforeAutospacing="0" w:after="120" w:afterAutospacing="0" w:line="276" w:lineRule="auto"/>
              <w:ind w:firstLine="708"/>
              <w:jc w:val="both"/>
            </w:pPr>
            <w:r w:rsidRPr="4DE69CBB">
              <w:rPr>
                <w:rFonts w:ascii="Verdana" w:eastAsia="Calibri" w:hAnsi="Verdana" w:cs="Arial"/>
                <w:color w:val="000000" w:themeColor="text1"/>
                <w:sz w:val="22"/>
                <w:szCs w:val="22"/>
              </w:rPr>
              <w:t>De configurarse ambos supuestos, operará la restricción establecida en dicha disposición, en virtud de la cual se prohíbe la celebración de convenios interadministrativos durante los cuatro (4) meses anteriores a cualquier contienda electoral. En este contexto, cabe precisar que esta limitación no se predica de relaciones entre contratante y contratista, sino de vínculos entre partes cooperantes o colaboradoras.</w:t>
            </w:r>
          </w:p>
          <w:p w14:paraId="5E5FE7FC" w14:textId="052C7775" w:rsidR="700F876A" w:rsidRDefault="700F876A" w:rsidP="00BB1AE0">
            <w:pPr>
              <w:pStyle w:val="paragraph"/>
              <w:shd w:val="clear" w:color="auto" w:fill="FFFFFF" w:themeFill="background1"/>
              <w:spacing w:before="0" w:beforeAutospacing="0" w:after="120" w:afterAutospacing="0" w:line="276" w:lineRule="auto"/>
              <w:ind w:firstLine="708"/>
              <w:jc w:val="both"/>
            </w:pPr>
            <w:r w:rsidRPr="4DE69CBB">
              <w:rPr>
                <w:rFonts w:ascii="Verdana" w:eastAsia="Calibri" w:hAnsi="Verdana" w:cs="Arial"/>
                <w:color w:val="000000" w:themeColor="text1"/>
                <w:sz w:val="22"/>
                <w:szCs w:val="22"/>
              </w:rPr>
              <w:t>La mencionada restricción resulta aplicable a las elecciones presidenciales previstas para el 31 de mayo de 2026, así como a una eventual segunda vuelta, programada para el 21 de junio de 2026.</w:t>
            </w:r>
          </w:p>
          <w:p w14:paraId="782773C9" w14:textId="79162900" w:rsidR="700F876A" w:rsidRDefault="700F876A" w:rsidP="00BB1AE0">
            <w:pPr>
              <w:pStyle w:val="paragraph"/>
              <w:shd w:val="clear" w:color="auto" w:fill="FFFFFF" w:themeFill="background1"/>
              <w:spacing w:before="0" w:beforeAutospacing="0" w:after="120" w:afterAutospacing="0" w:line="276" w:lineRule="auto"/>
              <w:ind w:firstLine="708"/>
              <w:jc w:val="both"/>
            </w:pPr>
            <w:r w:rsidRPr="4DE69CBB">
              <w:rPr>
                <w:rFonts w:ascii="Verdana" w:eastAsia="Calibri" w:hAnsi="Verdana" w:cs="Arial"/>
                <w:color w:val="000000" w:themeColor="text1"/>
                <w:sz w:val="22"/>
                <w:szCs w:val="22"/>
              </w:rPr>
              <w:t>Por otra parte, tratándose de contratos interadministrativos, la restricción del parágrafo del artículo 38 no resulta aplicable, conforme a la jurisprudencia citada previamente. No obstante, dichos contratos pueden estar sujetos a las limitaciones previstas en el artículo 33 cuando se acuda a la modalidad de contratación directa, es decir, a procedimientos no competitivos.</w:t>
            </w:r>
          </w:p>
          <w:p w14:paraId="5390D114" w14:textId="35D459CF" w:rsidR="700F876A" w:rsidRDefault="700F876A" w:rsidP="00BB1AE0">
            <w:pPr>
              <w:pStyle w:val="paragraph"/>
              <w:shd w:val="clear" w:color="auto" w:fill="FFFFFF" w:themeFill="background1"/>
              <w:spacing w:before="0" w:beforeAutospacing="0" w:after="120" w:afterAutospacing="0" w:line="276" w:lineRule="auto"/>
              <w:ind w:firstLine="708"/>
              <w:jc w:val="both"/>
            </w:pPr>
            <w:r w:rsidRPr="4DE69CBB">
              <w:rPr>
                <w:rFonts w:ascii="Verdana" w:eastAsia="Calibri" w:hAnsi="Verdana" w:cs="Arial"/>
                <w:color w:val="000000" w:themeColor="text1"/>
                <w:sz w:val="22"/>
                <w:szCs w:val="22"/>
              </w:rPr>
              <w:t>En todo caso, corresponde a cada entidad estatal analizar, en cada situación concreta, la naturaleza de las actividades a contratar y justificar si estas se enmarcan en alguna de las excepciones legales que permitan adelantar contratación directa durante el período de restricción. Asimismo, es responsabilidad de la entidad determinar si el instrumento jurídico a suscribir corresponde a un contrato interadministrativo o a un convenio interadministrativo para la ejecución de recursos públicos. En este último evento, será aplicable la prohibición prevista en el parágrafo del artículo 38 de la Ley de Garantías Electorales, en los términos antes expuestos.</w:t>
            </w:r>
          </w:p>
          <w:p w14:paraId="65FA62FD" w14:textId="48CC8D68" w:rsidR="4DE69CBB" w:rsidRDefault="4DE69CBB" w:rsidP="4DE69CBB">
            <w:pPr>
              <w:pStyle w:val="paragraph"/>
              <w:shd w:val="clear" w:color="auto" w:fill="FFFFFF" w:themeFill="background1"/>
              <w:spacing w:before="0" w:beforeAutospacing="0" w:after="120" w:afterAutospacing="0" w:line="276" w:lineRule="auto"/>
              <w:ind w:firstLine="708"/>
              <w:jc w:val="both"/>
              <w:rPr>
                <w:rFonts w:ascii="Verdana" w:eastAsia="Calibri" w:hAnsi="Verdana" w:cs="Arial"/>
                <w:color w:val="000000" w:themeColor="text1"/>
                <w:sz w:val="22"/>
                <w:szCs w:val="22"/>
              </w:rPr>
            </w:pPr>
          </w:p>
          <w:p w14:paraId="775D347B" w14:textId="77777777" w:rsidR="00950EBB" w:rsidRPr="00950EBB" w:rsidRDefault="00950EBB" w:rsidP="000B0402">
            <w:pPr>
              <w:spacing w:after="120" w:line="276" w:lineRule="auto"/>
              <w:ind w:firstLine="709"/>
              <w:jc w:val="both"/>
              <w:rPr>
                <w:rFonts w:ascii="Verdana" w:eastAsia="Calibri" w:hAnsi="Verdana" w:cs="Arial"/>
                <w:lang w:eastAsia="es-ES"/>
              </w:rPr>
            </w:pPr>
            <w:r w:rsidRPr="00950EBB">
              <w:rPr>
                <w:rFonts w:ascii="Verdana" w:eastAsia="Calibri" w:hAnsi="Verdana" w:cs="Arial"/>
              </w:rPr>
              <w:lastRenderedPageBreak/>
              <w:t>Al margen de la explicación planteada, debe advertirse que, cada Entidad Estatal deberá 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950EBB">
              <w:rPr>
                <w:rFonts w:ascii="Verdana" w:hAnsi="Verdana" w:cs="Arial"/>
                <w:lang w:eastAsia="es-CO"/>
              </w:rPr>
              <w:t xml:space="preserve">. Por el contrario, si el estudio determina que no aplica excepción alguna estará vedada la celebración de contratos de manera directa. Lo anterior, sin perjuicio de la prohibición establecida en el parágrafo del artículo 38 de la Ley de Garantías Electorales. </w:t>
            </w:r>
          </w:p>
        </w:tc>
      </w:tr>
    </w:tbl>
    <w:p w14:paraId="6F71EEF8" w14:textId="77777777" w:rsidR="00950EBB" w:rsidRPr="00950EBB" w:rsidRDefault="00950EBB" w:rsidP="00950EBB">
      <w:pPr>
        <w:tabs>
          <w:tab w:val="left" w:pos="142"/>
          <w:tab w:val="left" w:pos="284"/>
        </w:tabs>
        <w:spacing w:after="0" w:line="276" w:lineRule="auto"/>
        <w:jc w:val="both"/>
        <w:rPr>
          <w:rFonts w:ascii="Verdana" w:eastAsia="Century Gothic" w:hAnsi="Verdana" w:cs="Century Gothic"/>
          <w:b/>
          <w:bCs/>
          <w:lang w:val="es-ES"/>
        </w:rPr>
      </w:pPr>
    </w:p>
    <w:p w14:paraId="00E9A552" w14:textId="77777777" w:rsidR="00950EBB" w:rsidRPr="00950EBB" w:rsidRDefault="00950EBB" w:rsidP="00950E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0EBB">
        <w:rPr>
          <w:rFonts w:ascii="Verdana" w:eastAsia="Century Gothic" w:hAnsi="Verdana" w:cs="Century Gothic"/>
          <w:b/>
          <w:bCs/>
        </w:rPr>
        <w:t>Razones de la respuesta:</w:t>
      </w:r>
    </w:p>
    <w:p w14:paraId="1E77ECC5" w14:textId="77777777" w:rsidR="00950EBB" w:rsidRPr="00950EBB" w:rsidRDefault="00950EBB" w:rsidP="00950EBB">
      <w:pPr>
        <w:spacing w:after="0" w:line="276" w:lineRule="auto"/>
        <w:jc w:val="both"/>
        <w:rPr>
          <w:rFonts w:ascii="Verdana" w:eastAsia="Calibri" w:hAnsi="Verdana" w:cs="Arial"/>
          <w:color w:val="7030A0"/>
          <w:lang w:val="es-ES"/>
        </w:rPr>
      </w:pPr>
    </w:p>
    <w:p w14:paraId="79C2FAF6" w14:textId="77777777" w:rsidR="00950EBB" w:rsidRPr="00950EBB" w:rsidRDefault="00950EBB" w:rsidP="00950EBB">
      <w:pPr>
        <w:spacing w:after="0" w:line="276" w:lineRule="auto"/>
        <w:jc w:val="both"/>
        <w:rPr>
          <w:rFonts w:ascii="Verdana" w:eastAsia="Calibri" w:hAnsi="Verdana" w:cs="Arial"/>
          <w:lang w:val="es-ES"/>
        </w:rPr>
      </w:pPr>
      <w:r w:rsidRPr="00950EBB">
        <w:rPr>
          <w:rFonts w:ascii="Verdana" w:eastAsia="Calibri" w:hAnsi="Verdana" w:cs="Arial"/>
          <w:lang w:val="es-ES"/>
        </w:rPr>
        <w:t xml:space="preserve">Lo anterior se sustenta en las siguientes consideraciones: </w:t>
      </w:r>
    </w:p>
    <w:p w14:paraId="482299F4" w14:textId="77777777" w:rsidR="00950EBB" w:rsidRPr="00950EBB" w:rsidRDefault="00950EBB" w:rsidP="00950EBB">
      <w:pPr>
        <w:spacing w:after="0"/>
        <w:ind w:firstLine="709"/>
        <w:jc w:val="both"/>
        <w:rPr>
          <w:rFonts w:ascii="Verdana" w:eastAsia="Calibri" w:hAnsi="Verdana" w:cs="Arial"/>
          <w:b/>
          <w:color w:val="000000" w:themeColor="text1"/>
        </w:rPr>
      </w:pPr>
    </w:p>
    <w:p w14:paraId="7278FB22" w14:textId="77777777" w:rsidR="00950EBB" w:rsidRPr="00950EBB" w:rsidRDefault="00950EBB" w:rsidP="00950EBB">
      <w:pPr>
        <w:tabs>
          <w:tab w:val="left" w:pos="0"/>
        </w:tabs>
        <w:spacing w:after="120" w:line="276" w:lineRule="auto"/>
        <w:ind w:firstLine="709"/>
        <w:jc w:val="both"/>
        <w:rPr>
          <w:rFonts w:ascii="Verdana" w:eastAsia="Arial" w:hAnsi="Verdana" w:cs="Arial"/>
          <w:color w:val="000000"/>
        </w:rPr>
      </w:pPr>
      <w:r w:rsidRPr="00950EBB">
        <w:rPr>
          <w:rFonts w:ascii="Verdana" w:eastAsia="Arial" w:hAnsi="Verdana" w:cs="Arial"/>
          <w:b/>
          <w:bCs/>
          <w:color w:val="000000"/>
        </w:rPr>
        <w:t>i.</w:t>
      </w:r>
      <w:r w:rsidRPr="00950EBB">
        <w:rPr>
          <w:rFonts w:ascii="Verdana" w:eastAsia="Arial" w:hAnsi="Verdana" w:cs="Arial"/>
          <w:color w:val="000000"/>
        </w:rPr>
        <w:t xml:space="preserve"> El ordenamiento jurídico colombiano contempla una serie de previsiones para evitar la obtención de beneficios personales en asuntos propios de la administración. Un ejemplo destacado de lo anterior es la Ley 996 de 2005, conocida como “Ley de Garantías Electorales”, cuyo propósito central es asegurar la igualdad, la transparencia y la imparcialidad durante los procesos electorales. Esta Ley busca impedir que quienes ejercen el poder público utilicen los recursos del Estado para incidir en la voluntad del electorado.</w:t>
      </w:r>
    </w:p>
    <w:p w14:paraId="26472ADC" w14:textId="77777777" w:rsidR="00950EBB" w:rsidRPr="00950EBB" w:rsidRDefault="00950EBB" w:rsidP="00950EBB">
      <w:pPr>
        <w:tabs>
          <w:tab w:val="left" w:pos="426"/>
        </w:tabs>
        <w:spacing w:after="120" w:line="276" w:lineRule="auto"/>
        <w:ind w:firstLine="709"/>
        <w:jc w:val="both"/>
        <w:rPr>
          <w:rFonts w:ascii="Verdana" w:eastAsia="Times New Roman" w:hAnsi="Verdana" w:cs="Arial"/>
          <w:bCs/>
          <w:lang w:eastAsia="es-CO"/>
        </w:rPr>
      </w:pPr>
      <w:r w:rsidRPr="00950EBB">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1343F5CB" w14:textId="77777777" w:rsidR="00950EBB" w:rsidRPr="00950EBB" w:rsidRDefault="00950EBB" w:rsidP="00950EBB">
      <w:pPr>
        <w:spacing w:after="0" w:line="240" w:lineRule="auto"/>
        <w:ind w:left="709" w:right="709"/>
        <w:jc w:val="both"/>
        <w:rPr>
          <w:rFonts w:ascii="Verdana" w:eastAsia="Times New Roman" w:hAnsi="Verdana" w:cs="Arial"/>
          <w:sz w:val="20"/>
          <w:szCs w:val="20"/>
          <w:lang w:val="es-ES" w:eastAsia="es-CO"/>
        </w:rPr>
      </w:pPr>
      <w:r w:rsidRPr="00950EBB">
        <w:rPr>
          <w:rFonts w:ascii="Verdana" w:eastAsia="Times New Roman" w:hAnsi="Verdana" w:cs="Arial"/>
          <w:sz w:val="20"/>
          <w:szCs w:val="20"/>
          <w:lang w:val="es-ES" w:eastAsia="es-CO"/>
        </w:rPr>
        <w:t xml:space="preserve">“(…) </w:t>
      </w:r>
      <w:r w:rsidRPr="00950EBB">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3139253E" w14:textId="77777777" w:rsidR="00950EBB" w:rsidRPr="00950EBB" w:rsidRDefault="00950EBB" w:rsidP="00950EBB">
      <w:pPr>
        <w:spacing w:after="0" w:line="240" w:lineRule="auto"/>
        <w:ind w:left="709" w:right="709"/>
        <w:jc w:val="both"/>
        <w:rPr>
          <w:rFonts w:ascii="Verdana" w:eastAsia="Times New Roman" w:hAnsi="Verdana" w:cs="Arial"/>
          <w:bCs/>
          <w:sz w:val="20"/>
          <w:szCs w:val="20"/>
          <w:lang w:eastAsia="es-CO"/>
        </w:rPr>
      </w:pPr>
    </w:p>
    <w:p w14:paraId="785693B6" w14:textId="77777777" w:rsidR="00950EBB" w:rsidRPr="00950EBB" w:rsidRDefault="00950EBB" w:rsidP="00950EBB">
      <w:pPr>
        <w:spacing w:after="0" w:line="240" w:lineRule="auto"/>
        <w:ind w:left="709" w:right="709"/>
        <w:jc w:val="both"/>
        <w:rPr>
          <w:rFonts w:ascii="Verdana" w:eastAsia="Times New Roman" w:hAnsi="Verdana" w:cs="Arial"/>
          <w:bCs/>
          <w:sz w:val="20"/>
          <w:szCs w:val="20"/>
          <w:lang w:eastAsia="es-CO"/>
        </w:rPr>
      </w:pPr>
      <w:r w:rsidRPr="00950EBB">
        <w:rPr>
          <w:rFonts w:ascii="Verdana" w:eastAsia="Times New Roman" w:hAnsi="Verdana" w:cs="Arial"/>
          <w:bCs/>
          <w:sz w:val="20"/>
          <w:szCs w:val="20"/>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950EBB">
        <w:rPr>
          <w:rFonts w:ascii="Verdana" w:eastAsia="Times New Roman" w:hAnsi="Verdana" w:cs="Arial"/>
          <w:bCs/>
          <w:sz w:val="20"/>
          <w:szCs w:val="20"/>
          <w:lang w:eastAsia="es-CO"/>
        </w:rPr>
        <w:lastRenderedPageBreak/>
        <w:t>las ideas y las propuestas las que definan el ascenso al poder, y no el músculo económico de los que se lo disputan (…)”</w:t>
      </w:r>
      <w:r w:rsidRPr="00950EBB">
        <w:rPr>
          <w:rStyle w:val="Refdenotaalpie"/>
          <w:rFonts w:ascii="Verdana" w:hAnsi="Verdana" w:cs="Arial"/>
          <w:sz w:val="20"/>
          <w:szCs w:val="20"/>
        </w:rPr>
        <w:footnoteReference w:id="1"/>
      </w:r>
      <w:r w:rsidRPr="00950EBB">
        <w:rPr>
          <w:rFonts w:ascii="Verdana" w:eastAsia="Times New Roman" w:hAnsi="Verdana" w:cs="Arial"/>
          <w:bCs/>
          <w:sz w:val="20"/>
          <w:szCs w:val="20"/>
          <w:lang w:eastAsia="es-CO"/>
        </w:rPr>
        <w:t xml:space="preserve">. </w:t>
      </w:r>
    </w:p>
    <w:p w14:paraId="2C6DA54E" w14:textId="77777777" w:rsidR="00950EBB" w:rsidRPr="00950EBB" w:rsidRDefault="00950EBB" w:rsidP="00950EBB">
      <w:pPr>
        <w:spacing w:after="0" w:line="240" w:lineRule="auto"/>
        <w:ind w:firstLine="709"/>
        <w:jc w:val="both"/>
        <w:rPr>
          <w:rFonts w:ascii="Verdana" w:eastAsia="Times New Roman" w:hAnsi="Verdana" w:cs="Arial"/>
          <w:bCs/>
          <w:lang w:eastAsia="es-CO"/>
        </w:rPr>
      </w:pPr>
    </w:p>
    <w:p w14:paraId="056B624D" w14:textId="77777777" w:rsidR="00950EBB" w:rsidRPr="00950EBB" w:rsidRDefault="00950EBB" w:rsidP="00950EBB">
      <w:pPr>
        <w:spacing w:after="120" w:line="276" w:lineRule="auto"/>
        <w:ind w:firstLine="709"/>
        <w:jc w:val="both"/>
        <w:rPr>
          <w:rFonts w:ascii="Verdana" w:eastAsia="Times New Roman" w:hAnsi="Verdana" w:cs="Arial"/>
          <w:bCs/>
          <w:lang w:eastAsia="es-CO"/>
        </w:rPr>
      </w:pPr>
      <w:r w:rsidRPr="00950EBB">
        <w:rPr>
          <w:rFonts w:ascii="Verdana" w:eastAsia="Times New Roman" w:hAnsi="Verdana" w:cs="Arial"/>
          <w:bCs/>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03A6E9F6" w14:textId="77777777" w:rsidR="00950EBB" w:rsidRPr="00950EBB" w:rsidRDefault="00950EBB" w:rsidP="00950EBB">
      <w:pPr>
        <w:spacing w:after="0" w:line="240" w:lineRule="auto"/>
        <w:ind w:left="709" w:right="709"/>
        <w:jc w:val="both"/>
        <w:rPr>
          <w:rFonts w:ascii="Verdana" w:eastAsia="Times New Roman" w:hAnsi="Verdana" w:cs="Arial"/>
          <w:bCs/>
          <w:sz w:val="20"/>
          <w:szCs w:val="20"/>
          <w:lang w:eastAsia="es-CO"/>
        </w:rPr>
      </w:pPr>
      <w:r w:rsidRPr="00950EBB">
        <w:rPr>
          <w:rFonts w:ascii="Verdana" w:eastAsia="Times New Roman" w:hAnsi="Verdana" w:cs="Arial"/>
          <w:bCs/>
          <w:sz w:val="20"/>
          <w:szCs w:val="20"/>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56A2882" w14:textId="77777777" w:rsidR="00950EBB" w:rsidRPr="00950EBB" w:rsidRDefault="00950EBB" w:rsidP="00950EBB">
      <w:pPr>
        <w:spacing w:after="0" w:line="240" w:lineRule="auto"/>
        <w:ind w:left="709" w:right="709"/>
        <w:jc w:val="both"/>
        <w:rPr>
          <w:rFonts w:ascii="Verdana" w:eastAsia="Times New Roman" w:hAnsi="Verdana" w:cs="Arial"/>
          <w:bCs/>
          <w:sz w:val="20"/>
          <w:szCs w:val="20"/>
          <w:lang w:eastAsia="es-CO"/>
        </w:rPr>
      </w:pPr>
    </w:p>
    <w:p w14:paraId="44A0C829" w14:textId="77777777" w:rsidR="00950EBB" w:rsidRPr="00950EBB" w:rsidRDefault="00950EBB" w:rsidP="00950EBB">
      <w:pPr>
        <w:spacing w:after="0" w:line="240" w:lineRule="auto"/>
        <w:ind w:left="709" w:right="709"/>
        <w:jc w:val="both"/>
        <w:rPr>
          <w:rFonts w:ascii="Verdana" w:eastAsia="Times New Roman" w:hAnsi="Verdana" w:cs="Arial"/>
          <w:bCs/>
          <w:sz w:val="20"/>
          <w:szCs w:val="20"/>
          <w:lang w:eastAsia="es-CO"/>
        </w:rPr>
      </w:pPr>
      <w:r w:rsidRPr="00950EBB">
        <w:rPr>
          <w:rFonts w:ascii="Verdana" w:eastAsia="Times New Roman" w:hAnsi="Verdana" w:cs="Arial"/>
          <w:bCs/>
          <w:sz w:val="20"/>
          <w:szCs w:val="20"/>
          <w:lang w:eastAsia="es-CO"/>
        </w:rPr>
        <w:t>La jurisprudencia de la Corte Constitucional</w:t>
      </w:r>
      <w:r w:rsidRPr="00950EBB">
        <w:rPr>
          <w:rStyle w:val="Refdenotaalpie"/>
          <w:rFonts w:ascii="Verdana" w:eastAsia="Times New Roman" w:hAnsi="Verdana" w:cs="Arial"/>
          <w:bCs/>
          <w:sz w:val="20"/>
          <w:szCs w:val="20"/>
          <w:lang w:eastAsia="es-CO"/>
        </w:rPr>
        <w:footnoteReference w:id="2"/>
      </w:r>
      <w:r w:rsidRPr="00950EBB">
        <w:rPr>
          <w:rFonts w:ascii="Verdana" w:eastAsia="Times New Roman" w:hAnsi="Verdana" w:cs="Arial"/>
          <w:bCs/>
          <w:sz w:val="20"/>
          <w:szCs w:val="20"/>
          <w:lang w:eastAsia="es-CO"/>
        </w:rPr>
        <w:t> y del Consejo de Estado</w:t>
      </w:r>
      <w:r w:rsidRPr="00950EBB">
        <w:rPr>
          <w:rStyle w:val="Refdenotaalpie"/>
          <w:rFonts w:ascii="Verdana" w:eastAsia="Times New Roman" w:hAnsi="Verdana" w:cs="Arial"/>
          <w:bCs/>
          <w:sz w:val="20"/>
          <w:szCs w:val="20"/>
          <w:lang w:eastAsia="es-CO"/>
        </w:rPr>
        <w:footnoteReference w:id="3"/>
      </w:r>
      <w:r w:rsidRPr="00950EBB">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50EBB">
        <w:rPr>
          <w:rStyle w:val="Refdenotaalpie"/>
          <w:rFonts w:ascii="Verdana" w:eastAsia="Times New Roman" w:hAnsi="Verdana" w:cs="Arial"/>
          <w:bCs/>
          <w:sz w:val="20"/>
          <w:szCs w:val="20"/>
          <w:lang w:eastAsia="es-CO"/>
        </w:rPr>
        <w:footnoteReference w:id="4"/>
      </w:r>
      <w:r w:rsidRPr="00950EBB">
        <w:rPr>
          <w:rFonts w:ascii="Verdana" w:eastAsia="Times New Roman" w:hAnsi="Verdana" w:cs="Arial"/>
          <w:bCs/>
          <w:sz w:val="20"/>
          <w:szCs w:val="20"/>
          <w:lang w:eastAsia="es-CO"/>
        </w:rPr>
        <w:t>.</w:t>
      </w:r>
    </w:p>
    <w:p w14:paraId="672BAAED" w14:textId="77777777" w:rsidR="00950EBB" w:rsidRPr="00950EBB" w:rsidRDefault="00950EBB" w:rsidP="00950EBB">
      <w:pPr>
        <w:tabs>
          <w:tab w:val="left" w:pos="0"/>
        </w:tabs>
        <w:spacing w:after="120" w:line="276" w:lineRule="auto"/>
        <w:ind w:firstLine="709"/>
        <w:jc w:val="both"/>
        <w:rPr>
          <w:rFonts w:ascii="Verdana" w:eastAsia="Arial" w:hAnsi="Verdana" w:cs="Arial"/>
          <w:b/>
          <w:bCs/>
          <w:color w:val="000000"/>
        </w:rPr>
      </w:pPr>
    </w:p>
    <w:p w14:paraId="114944BB" w14:textId="77777777" w:rsidR="00950EBB" w:rsidRPr="00950EBB" w:rsidRDefault="00950EBB" w:rsidP="00950EBB">
      <w:pPr>
        <w:spacing w:after="120" w:line="276" w:lineRule="auto"/>
        <w:ind w:firstLine="709"/>
        <w:jc w:val="both"/>
        <w:rPr>
          <w:rFonts w:ascii="Verdana" w:eastAsia="Arial" w:hAnsi="Verdana" w:cs="Arial"/>
          <w:lang w:val="es-ES" w:eastAsia="es-ES" w:bidi="es-ES"/>
        </w:rPr>
      </w:pPr>
      <w:r w:rsidRPr="00950EBB">
        <w:rPr>
          <w:rFonts w:ascii="Verdana" w:eastAsia="Times New Roman" w:hAnsi="Verdana" w:cs="Arial"/>
          <w:bCs/>
          <w:lang w:eastAsia="es-CO"/>
        </w:rPr>
        <w:t>De</w:t>
      </w:r>
      <w:r w:rsidRPr="00950EBB">
        <w:rPr>
          <w:rFonts w:ascii="Verdana" w:eastAsia="Arial" w:hAnsi="Verdana" w:cs="Arial"/>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2DE6C5C" w14:textId="77777777" w:rsidR="00950EBB" w:rsidRPr="00950EBB" w:rsidRDefault="00950EBB" w:rsidP="00950EBB">
      <w:pPr>
        <w:spacing w:after="120" w:line="276" w:lineRule="auto"/>
        <w:ind w:firstLine="709"/>
        <w:jc w:val="both"/>
        <w:rPr>
          <w:rFonts w:ascii="Verdana" w:eastAsia="Arial" w:hAnsi="Verdana" w:cs="Arial"/>
          <w:lang w:val="es-ES" w:eastAsia="es-ES" w:bidi="es-ES"/>
        </w:rPr>
      </w:pPr>
      <w:r w:rsidRPr="00950EBB">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69EFE8A0" w14:textId="77777777" w:rsidR="00950EBB" w:rsidRPr="00950EBB" w:rsidRDefault="00950EBB" w:rsidP="00950EBB">
      <w:pPr>
        <w:spacing w:after="120" w:line="276" w:lineRule="auto"/>
        <w:ind w:firstLine="709"/>
        <w:jc w:val="both"/>
        <w:rPr>
          <w:rFonts w:ascii="Verdana" w:eastAsia="Calibri" w:hAnsi="Verdana" w:cs="Arial"/>
        </w:rPr>
      </w:pPr>
      <w:r w:rsidRPr="00950EBB">
        <w:rPr>
          <w:rFonts w:ascii="Verdana" w:eastAsia="Calibri" w:hAnsi="Verdana" w:cs="Arial"/>
        </w:rPr>
        <w:t>Por un lado, el artículo 33 de la Ley 996 de 2005 prohíbe “</w:t>
      </w:r>
      <w:r w:rsidRPr="00950EBB">
        <w:rPr>
          <w:rFonts w:ascii="Verdana" w:eastAsia="Calibri" w:hAnsi="Verdana" w:cs="Arial"/>
          <w:bCs/>
        </w:rPr>
        <w:t xml:space="preserve">(…) </w:t>
      </w:r>
      <w:r w:rsidRPr="00950EBB">
        <w:rPr>
          <w:rFonts w:ascii="Verdana" w:eastAsia="Calibri" w:hAnsi="Verdana" w:cs="Arial"/>
        </w:rPr>
        <w:t>la contratación directa por parte de todos los entes del Estado</w:t>
      </w:r>
      <w:r w:rsidRPr="00950EBB">
        <w:rPr>
          <w:rFonts w:ascii="Verdana" w:eastAsia="Calibri" w:hAnsi="Verdana" w:cs="Arial"/>
          <w:bCs/>
        </w:rPr>
        <w:t>”</w:t>
      </w:r>
      <w:r w:rsidRPr="00950EBB">
        <w:rPr>
          <w:rFonts w:ascii="Verdana" w:eastAsia="Calibri" w:hAnsi="Verdana" w:cs="Arial"/>
        </w:rPr>
        <w:t xml:space="preserve"> durante los cuatro (4) meses anteriores a las elecciones presidenciales, salvo </w:t>
      </w:r>
      <w:r w:rsidRPr="00950EBB">
        <w:rPr>
          <w:rFonts w:ascii="Verdana" w:eastAsia="Calibri" w:hAnsi="Verdana" w:cs="Arial"/>
          <w:bCs/>
        </w:rPr>
        <w:t xml:space="preserve">“(…) </w:t>
      </w:r>
      <w:r w:rsidRPr="00950EBB">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50EBB">
        <w:rPr>
          <w:rFonts w:ascii="Verdana" w:eastAsia="Calibri" w:hAnsi="Verdana" w:cs="Arial"/>
          <w:bCs/>
        </w:rPr>
        <w:t>”</w:t>
      </w:r>
      <w:r w:rsidRPr="00950EBB">
        <w:rPr>
          <w:rFonts w:ascii="Verdana" w:eastAsia="Calibri" w:hAnsi="Verdana" w:cs="Arial"/>
          <w:bCs/>
          <w:vertAlign w:val="superscript"/>
        </w:rPr>
        <w:footnoteReference w:id="5"/>
      </w:r>
      <w:r w:rsidRPr="00950EBB">
        <w:rPr>
          <w:rFonts w:ascii="Verdana" w:eastAsia="Calibri" w:hAnsi="Verdana" w:cs="Arial"/>
        </w:rPr>
        <w:t>.</w:t>
      </w:r>
    </w:p>
    <w:p w14:paraId="33BC2ED9" w14:textId="77777777" w:rsidR="00950EBB" w:rsidRPr="00950EBB" w:rsidRDefault="00950EBB" w:rsidP="00950EBB">
      <w:pPr>
        <w:widowControl w:val="0"/>
        <w:autoSpaceDE w:val="0"/>
        <w:autoSpaceDN w:val="0"/>
        <w:spacing w:after="120" w:line="276" w:lineRule="auto"/>
        <w:ind w:firstLine="709"/>
        <w:jc w:val="both"/>
        <w:rPr>
          <w:rFonts w:ascii="Verdana" w:eastAsia="Arial" w:hAnsi="Verdana" w:cs="Arial"/>
          <w:lang w:val="es-ES" w:eastAsia="es-ES" w:bidi="es-ES"/>
        </w:rPr>
      </w:pPr>
      <w:r w:rsidRPr="00950EBB">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50EBB">
        <w:rPr>
          <w:rFonts w:ascii="Verdana" w:eastAsia="Calibri" w:hAnsi="Verdana" w:cs="Arial"/>
          <w:bCs/>
        </w:rPr>
        <w:t xml:space="preserve">“(…) </w:t>
      </w:r>
      <w:r w:rsidRPr="00950EBB">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50EBB">
        <w:rPr>
          <w:rFonts w:ascii="Verdana" w:eastAsia="Calibri" w:hAnsi="Verdana" w:cs="Arial"/>
          <w:bCs/>
        </w:rPr>
        <w:t>”</w:t>
      </w:r>
      <w:r w:rsidRPr="00950EBB">
        <w:rPr>
          <w:rFonts w:ascii="Verdana" w:eastAsia="Calibri" w:hAnsi="Verdana" w:cs="Arial"/>
          <w:bCs/>
          <w:vertAlign w:val="superscript"/>
        </w:rPr>
        <w:footnoteReference w:id="6"/>
      </w:r>
      <w:r w:rsidRPr="00950EBB">
        <w:rPr>
          <w:rFonts w:ascii="Verdana" w:eastAsia="Calibri" w:hAnsi="Verdana" w:cs="Arial"/>
        </w:rPr>
        <w:t>.</w:t>
      </w:r>
      <w:r w:rsidRPr="00950EBB">
        <w:rPr>
          <w:rFonts w:ascii="Verdana" w:eastAsia="Arial" w:hAnsi="Verdana" w:cs="Arial"/>
          <w:lang w:val="es-ES" w:eastAsia="es-ES" w:bidi="es-ES"/>
        </w:rPr>
        <w:t xml:space="preserve"> </w:t>
      </w:r>
    </w:p>
    <w:p w14:paraId="555E03D0" w14:textId="77777777" w:rsidR="00950EBB" w:rsidRPr="00950EBB" w:rsidRDefault="00950EBB" w:rsidP="00950EBB">
      <w:pPr>
        <w:spacing w:after="120" w:line="276" w:lineRule="auto"/>
        <w:ind w:firstLine="709"/>
        <w:jc w:val="both"/>
        <w:rPr>
          <w:rFonts w:ascii="Verdana" w:eastAsia="Arial" w:hAnsi="Verdana" w:cs="Arial"/>
          <w:lang w:val="es-ES" w:eastAsia="es-ES" w:bidi="es-ES"/>
        </w:rPr>
      </w:pPr>
      <w:r w:rsidRPr="00950EBB">
        <w:rPr>
          <w:rFonts w:ascii="Verdana" w:eastAsia="Arial" w:hAnsi="Verdana" w:cs="Arial"/>
          <w:lang w:val="es-ES" w:eastAsia="es-ES" w:bidi="es-ES"/>
        </w:rPr>
        <w:lastRenderedPageBreak/>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12C51942" w14:textId="77777777" w:rsidR="00950EBB" w:rsidRPr="00950EBB" w:rsidRDefault="00950EBB" w:rsidP="00950EBB">
      <w:pPr>
        <w:spacing w:after="120" w:line="276" w:lineRule="auto"/>
        <w:ind w:firstLine="709"/>
        <w:jc w:val="both"/>
        <w:rPr>
          <w:rFonts w:ascii="Verdana" w:hAnsi="Verdana" w:cs="Arial"/>
          <w:bCs/>
          <w:lang w:eastAsia="x-none"/>
        </w:rPr>
      </w:pPr>
      <w:r w:rsidRPr="00950EBB">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950EBB">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2E66B286" w14:textId="77777777" w:rsidR="00950EBB" w:rsidRPr="00FB2590" w:rsidRDefault="00950EBB" w:rsidP="00950EBB">
      <w:pPr>
        <w:spacing w:after="120" w:line="276" w:lineRule="auto"/>
        <w:ind w:firstLine="709"/>
        <w:jc w:val="both"/>
        <w:rPr>
          <w:rFonts w:ascii="Verdana" w:hAnsi="Verdana" w:cs="Arial"/>
          <w:bCs/>
          <w:lang w:val="es-MX" w:eastAsia="x-none"/>
        </w:rPr>
      </w:pPr>
      <w:r w:rsidRPr="00950EBB">
        <w:rPr>
          <w:rFonts w:ascii="Verdana" w:hAnsi="Verdana" w:cs="Arial"/>
          <w:bCs/>
          <w:lang w:val="es-MX" w:eastAsia="x-none"/>
        </w:rPr>
        <w:t xml:space="preserve">En esta labor es importante tener en cuenta, como lo anotó la Corte Constitucional, en Sentencia C-1153 de noviembre 11 de 2005 </w:t>
      </w:r>
      <w:bookmarkStart w:id="3" w:name="_Hlk74309042"/>
      <w:r w:rsidRPr="00950EBB">
        <w:rPr>
          <w:rFonts w:ascii="Verdana" w:hAnsi="Verdana" w:cs="Arial"/>
          <w:bCs/>
          <w:lang w:val="es-MX" w:eastAsia="x-none"/>
        </w:rPr>
        <w:t>que “</w:t>
      </w:r>
      <w:bookmarkEnd w:id="3"/>
      <w:r w:rsidRPr="00950EBB">
        <w:rPr>
          <w:rFonts w:ascii="Verdana" w:hAnsi="Verdana" w:cs="Arial"/>
          <w:bCs/>
          <w:lang w:val="es-MX" w:eastAsia="x-none"/>
        </w:rPr>
        <w:t xml:space="preserve">si bien la limitación garantiza la igualdad de condiciones, también es necesario que tal limitación que pretende la igualdad </w:t>
      </w:r>
      <w:bookmarkStart w:id="4" w:name="_Hlk75768308"/>
      <w:r w:rsidRPr="00950EBB">
        <w:rPr>
          <w:rFonts w:ascii="Verdana" w:hAnsi="Verdana" w:cs="Arial"/>
          <w:bCs/>
          <w:lang w:val="es-MX" w:eastAsia="x-none"/>
        </w:rPr>
        <w:t xml:space="preserve">no termine yendo en detrimento de intereses públicos, cuya garantía está en cabeza del ejecutivo, como son los inmersos en </w:t>
      </w:r>
      <w:r w:rsidRPr="00950EBB">
        <w:rPr>
          <w:rFonts w:ascii="Verdana" w:hAnsi="Verdana" w:cs="Arial"/>
          <w:bCs/>
          <w:lang w:val="es-MX" w:eastAsia="x-none"/>
        </w:rPr>
        <w:lastRenderedPageBreak/>
        <w:t>las excepciones para la prohibición de contratación”</w:t>
      </w:r>
      <w:r w:rsidRPr="00950EBB">
        <w:rPr>
          <w:rFonts w:ascii="Verdana" w:hAnsi="Verdana" w:cs="Arial"/>
          <w:vertAlign w:val="superscript"/>
          <w:lang w:val="es-MX"/>
        </w:rPr>
        <w:footnoteReference w:id="7"/>
      </w:r>
      <w:r w:rsidRPr="00950EBB">
        <w:rPr>
          <w:rFonts w:ascii="Verdana" w:hAnsi="Verdana" w:cs="Arial"/>
          <w:bCs/>
          <w:lang w:val="es-MX" w:eastAsia="x-none"/>
        </w:rPr>
        <w:t xml:space="preserve">. De ahí que la Corte haya señalado que las excepciones a la restricción protegen diversos tipos de urgencias de defensa, </w:t>
      </w:r>
      <w:r w:rsidRPr="00950EBB">
        <w:rPr>
          <w:rFonts w:ascii="Verdana" w:hAnsi="Verdana" w:cs="Arial"/>
          <w:b/>
          <w:lang w:val="es-MX" w:eastAsia="x-none"/>
        </w:rPr>
        <w:t>salud</w:t>
      </w:r>
      <w:r w:rsidRPr="00950EBB">
        <w:rPr>
          <w:rFonts w:ascii="Verdana" w:hAnsi="Verdana" w:cs="Arial"/>
          <w:bCs/>
          <w:lang w:val="es-MX" w:eastAsia="x-none"/>
        </w:rPr>
        <w:t xml:space="preserve">, educación, infraestructura vial y de servicios públicos y ecológicas, que tienden a no limitar desproporcionadamente la acción del Estado en el cumplimiento de sus fines, en procura de la igualdad entre los candidatos como garantía </w:t>
      </w:r>
      <w:r w:rsidRPr="00FB2590">
        <w:rPr>
          <w:rFonts w:ascii="Verdana" w:hAnsi="Verdana" w:cs="Arial"/>
          <w:bCs/>
          <w:lang w:val="es-MX" w:eastAsia="x-none"/>
        </w:rPr>
        <w:t>electoral.</w:t>
      </w:r>
      <w:bookmarkEnd w:id="4"/>
    </w:p>
    <w:p w14:paraId="34DB8557" w14:textId="77777777" w:rsidR="00950EBB" w:rsidRPr="00950EBB" w:rsidRDefault="00950EBB" w:rsidP="00950EBB">
      <w:pPr>
        <w:spacing w:after="120" w:line="276" w:lineRule="auto"/>
        <w:ind w:firstLine="709"/>
        <w:jc w:val="both"/>
        <w:rPr>
          <w:rFonts w:ascii="Verdana" w:hAnsi="Verdana" w:cs="Arial"/>
          <w:bCs/>
          <w:lang w:val="es-MX" w:eastAsia="x-none"/>
        </w:rPr>
      </w:pPr>
      <w:r w:rsidRPr="00FB2590">
        <w:rPr>
          <w:rFonts w:ascii="Verdana" w:hAnsi="Verdana" w:cs="Arial"/>
          <w:bCs/>
          <w:lang w:val="es-MX" w:eastAsia="x-none"/>
        </w:rPr>
        <w:t>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 Las excepciones establecidas en los artículos 32 y 33 en comento, guardan relación, exclusivamente, con algunos servicios públicos que por su naturaleza no admiten postergaciones en la atención de sus necesidades de personal, bienes y servicios (…)”</w:t>
      </w:r>
      <w:r w:rsidRPr="00FB2590">
        <w:rPr>
          <w:rStyle w:val="Refdenotaalpie"/>
          <w:rFonts w:ascii="Verdana" w:hAnsi="Verdana" w:cs="Arial"/>
          <w:lang w:val="es-ES_tradnl" w:eastAsia="es-CO"/>
        </w:rPr>
        <w:footnoteReference w:id="8"/>
      </w:r>
      <w:r w:rsidRPr="00FB2590">
        <w:rPr>
          <w:rFonts w:ascii="Verdana" w:hAnsi="Verdana" w:cs="Arial"/>
          <w:bCs/>
          <w:lang w:val="es-MX" w:eastAsia="x-none"/>
        </w:rPr>
        <w:t>.</w:t>
      </w:r>
    </w:p>
    <w:p w14:paraId="64971918" w14:textId="77777777" w:rsidR="00950EBB" w:rsidRPr="00950EBB" w:rsidRDefault="00950EBB" w:rsidP="00950EBB">
      <w:pPr>
        <w:shd w:val="clear" w:color="auto" w:fill="FFFFFF" w:themeFill="background1"/>
        <w:spacing w:line="276" w:lineRule="auto"/>
        <w:ind w:firstLine="709"/>
        <w:jc w:val="both"/>
        <w:rPr>
          <w:rFonts w:ascii="Verdana" w:hAnsi="Verdana" w:cs="Arial"/>
          <w:lang w:val="es-ES" w:eastAsia="es-CO"/>
        </w:rPr>
      </w:pPr>
      <w:r w:rsidRPr="00950EBB">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950EBB">
        <w:rPr>
          <w:rFonts w:ascii="Verdana" w:hAnsi="Verdana" w:cs="Arial"/>
          <w:lang w:val="es-ES" w:eastAsia="es-CO"/>
        </w:rPr>
        <w:t>exequibilidad</w:t>
      </w:r>
      <w:proofErr w:type="spellEnd"/>
      <w:r w:rsidRPr="00950EBB">
        <w:rPr>
          <w:rFonts w:ascii="Verdana" w:hAnsi="Verdana" w:cs="Arial"/>
          <w:lang w:val="es-ES" w:eastAsia="es-CO"/>
        </w:rPr>
        <w:t>.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950EBB">
        <w:rPr>
          <w:rStyle w:val="Refdenotaalpie"/>
          <w:rFonts w:ascii="Verdana" w:hAnsi="Verdana" w:cs="Arial"/>
          <w:lang w:val="es-ES" w:eastAsia="es-CO"/>
        </w:rPr>
        <w:footnoteReference w:id="9"/>
      </w:r>
      <w:r w:rsidRPr="00950EBB">
        <w:rPr>
          <w:rFonts w:ascii="Verdana" w:hAnsi="Verdana" w:cs="Arial"/>
          <w:lang w:val="es-ES" w:eastAsia="es-CO"/>
        </w:rPr>
        <w:t xml:space="preserve">. </w:t>
      </w:r>
    </w:p>
    <w:p w14:paraId="13AA9A4B" w14:textId="77777777" w:rsidR="00950EBB" w:rsidRPr="00950EBB" w:rsidRDefault="00950EBB" w:rsidP="00950EBB">
      <w:pPr>
        <w:shd w:val="clear" w:color="auto" w:fill="FFFFFF"/>
        <w:spacing w:line="276" w:lineRule="auto"/>
        <w:ind w:firstLine="709"/>
        <w:jc w:val="both"/>
        <w:rPr>
          <w:rFonts w:ascii="Verdana" w:hAnsi="Verdana" w:cs="Arial"/>
          <w:lang w:val="es-ES_tradnl" w:eastAsia="es-CO"/>
        </w:rPr>
      </w:pPr>
      <w:r w:rsidRPr="00950EBB">
        <w:rPr>
          <w:rFonts w:ascii="Verdana" w:hAnsi="Verdana" w:cs="Arial"/>
          <w:bCs/>
          <w:lang w:val="es-ES_tradnl"/>
        </w:rPr>
        <w:t xml:space="preserve">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w:t>
      </w:r>
      <w:r w:rsidRPr="00950EBB">
        <w:rPr>
          <w:rFonts w:ascii="Verdana" w:hAnsi="Verdana" w:cs="Arial"/>
          <w:bCs/>
          <w:lang w:val="es-ES_tradnl"/>
        </w:rPr>
        <w:lastRenderedPageBreak/>
        <w:t>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12EDEA4B" w14:textId="77777777" w:rsidR="00950EBB" w:rsidRPr="00950EBB" w:rsidRDefault="00950EBB" w:rsidP="00950EBB">
      <w:pPr>
        <w:spacing w:after="0" w:line="276" w:lineRule="auto"/>
        <w:ind w:firstLine="709"/>
        <w:jc w:val="both"/>
        <w:rPr>
          <w:rFonts w:ascii="Verdana" w:eastAsia="Times New Roman" w:hAnsi="Verdana" w:cs="Arial"/>
          <w:lang w:val="es-MX" w:eastAsia="x-none"/>
        </w:rPr>
      </w:pPr>
      <w:r w:rsidRPr="00950EBB">
        <w:rPr>
          <w:rFonts w:ascii="Verdana" w:hAnsi="Verdana" w:cs="Arial"/>
          <w:lang w:val="es-ES"/>
        </w:rPr>
        <w:t xml:space="preserve">Ahora bien, respecto del alcance del parágrafo </w:t>
      </w:r>
      <w:r w:rsidRPr="00950EBB">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950EBB">
        <w:rPr>
          <w:rFonts w:ascii="Verdana" w:hAnsi="Verdana" w:cs="Arial"/>
          <w:i/>
          <w:iCs/>
        </w:rPr>
        <w:t>convenios interadministrativos</w:t>
      </w:r>
      <w:r w:rsidRPr="00950EBB">
        <w:rPr>
          <w:rFonts w:ascii="Verdana" w:hAnsi="Verdana" w:cs="Arial"/>
        </w:rPr>
        <w:t xml:space="preserve"> </w:t>
      </w:r>
      <w:r w:rsidRPr="00950EBB">
        <w:rPr>
          <w:rFonts w:ascii="Verdana" w:hAnsi="Verdana" w:cs="Arial"/>
          <w:i/>
          <w:iCs/>
        </w:rPr>
        <w:t>para la ejecución de recursos públicos</w:t>
      </w:r>
      <w:r w:rsidRPr="00950EBB">
        <w:rPr>
          <w:rFonts w:ascii="Verdana" w:hAnsi="Verdana" w:cs="Arial"/>
        </w:rPr>
        <w:t>”.</w:t>
      </w:r>
      <w:r w:rsidRPr="00950EBB">
        <w:rPr>
          <w:rFonts w:ascii="Verdana" w:eastAsia="Times New Roman" w:hAnsi="Verdana" w:cs="Arial"/>
          <w:lang w:val="es-MX" w:eastAsia="x-none"/>
        </w:rPr>
        <w:t xml:space="preserve"> (Énfasis fuera del texto original).</w:t>
      </w:r>
    </w:p>
    <w:p w14:paraId="4C41F7D1" w14:textId="77777777" w:rsidR="00950EBB" w:rsidRPr="00950EBB" w:rsidRDefault="00950EBB" w:rsidP="00950EBB">
      <w:pPr>
        <w:spacing w:after="0" w:line="276" w:lineRule="auto"/>
        <w:ind w:firstLine="709"/>
        <w:jc w:val="both"/>
        <w:rPr>
          <w:rFonts w:ascii="Verdana" w:eastAsia="Calibri" w:hAnsi="Verdana" w:cs="Arial"/>
          <w:lang w:val="es-ES"/>
        </w:rPr>
      </w:pPr>
    </w:p>
    <w:p w14:paraId="19CCEC16" w14:textId="77777777" w:rsidR="00950EBB" w:rsidRPr="00950EBB" w:rsidRDefault="00950EBB" w:rsidP="00950EBB">
      <w:pPr>
        <w:spacing w:after="0" w:line="276" w:lineRule="auto"/>
        <w:ind w:firstLine="709"/>
        <w:jc w:val="both"/>
        <w:rPr>
          <w:rFonts w:ascii="Verdana" w:hAnsi="Verdana" w:cs="Arial"/>
          <w:lang w:eastAsia="es-ES"/>
        </w:rPr>
      </w:pPr>
      <w:r w:rsidRPr="00950EBB">
        <w:rPr>
          <w:rFonts w:ascii="Verdana" w:eastAsia="Times New Roman" w:hAnsi="Verdana" w:cs="Arial"/>
          <w:lang w:val="es-ES" w:eastAsia="es-ES"/>
        </w:rPr>
        <w:t xml:space="preserve">Para tales efectos, debe precisarse que </w:t>
      </w:r>
      <w:r w:rsidRPr="00950EBB">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950EBB">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950EBB">
        <w:rPr>
          <w:rFonts w:ascii="Verdana" w:hAnsi="Verdana" w:cs="Arial"/>
          <w:vertAlign w:val="superscript"/>
          <w:lang w:eastAsia="es-ES"/>
        </w:rPr>
        <w:footnoteReference w:id="10"/>
      </w:r>
      <w:r w:rsidRPr="00950EBB">
        <w:rPr>
          <w:rFonts w:ascii="Verdana" w:hAnsi="Verdana" w:cs="Arial"/>
          <w:lang w:eastAsia="es-ES"/>
        </w:rPr>
        <w:t>.</w:t>
      </w:r>
    </w:p>
    <w:p w14:paraId="6589D5B1" w14:textId="77777777" w:rsidR="00950EBB" w:rsidRPr="00950EBB" w:rsidRDefault="00950EBB" w:rsidP="00950EBB">
      <w:pPr>
        <w:spacing w:before="120" w:after="0" w:line="276" w:lineRule="auto"/>
        <w:ind w:firstLine="708"/>
        <w:jc w:val="both"/>
        <w:rPr>
          <w:rFonts w:ascii="Verdana" w:hAnsi="Verdana" w:cs="Arial"/>
          <w:lang w:val="es-ES_tradnl"/>
        </w:rPr>
      </w:pPr>
      <w:r w:rsidRPr="00950EBB">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950EBB">
        <w:rPr>
          <w:rFonts w:ascii="Verdana" w:hAnsi="Verdana" w:cs="Arial"/>
          <w:vertAlign w:val="superscript"/>
          <w:lang w:val="es-ES"/>
        </w:rPr>
        <w:footnoteReference w:id="11"/>
      </w:r>
      <w:r w:rsidRPr="00950EBB">
        <w:rPr>
          <w:rFonts w:ascii="Verdana" w:hAnsi="Verdana" w:cs="Arial"/>
          <w:lang w:val="es-ES"/>
        </w:rPr>
        <w:t>. Nótese que, en este caso, lo que cambia es la modalidad de selección y no la naturaleza de contrato interadministrativo.</w:t>
      </w:r>
    </w:p>
    <w:p w14:paraId="73D7CF00" w14:textId="77777777" w:rsidR="00950EBB" w:rsidRPr="00950EBB" w:rsidRDefault="00950EBB" w:rsidP="00950EBB">
      <w:pPr>
        <w:spacing w:before="120" w:after="0" w:line="276" w:lineRule="auto"/>
        <w:ind w:firstLine="708"/>
        <w:jc w:val="both"/>
        <w:rPr>
          <w:rFonts w:ascii="Verdana" w:hAnsi="Verdana" w:cs="Arial"/>
          <w:lang w:val="es-ES_tradnl"/>
        </w:rPr>
      </w:pPr>
      <w:r w:rsidRPr="00950EBB">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00950EBB">
        <w:rPr>
          <w:rFonts w:ascii="Verdana" w:hAnsi="Verdana" w:cs="Arial"/>
          <w:vertAlign w:val="superscript"/>
          <w:lang w:val="es-ES"/>
        </w:rPr>
        <w:footnoteReference w:id="12"/>
      </w:r>
      <w:r w:rsidRPr="00950EBB">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92D1BD3" w14:textId="77777777" w:rsidR="00950EBB" w:rsidRPr="00950EBB" w:rsidRDefault="00950EBB" w:rsidP="00950EBB">
      <w:pPr>
        <w:spacing w:before="120" w:after="0" w:line="276" w:lineRule="auto"/>
        <w:ind w:firstLine="708"/>
        <w:jc w:val="both"/>
        <w:rPr>
          <w:rFonts w:ascii="Verdana" w:eastAsia="Times New Roman" w:hAnsi="Verdana" w:cs="Arial"/>
          <w:lang w:val="es-MX" w:eastAsia="es-CO"/>
        </w:rPr>
      </w:pPr>
      <w:r w:rsidRPr="00950EBB">
        <w:rPr>
          <w:rFonts w:ascii="Verdana" w:eastAsia="Arial" w:hAnsi="Verdana" w:cs="Arial"/>
          <w:lang w:val="es-MX" w:eastAsia="es-ES" w:bidi="es-ES"/>
        </w:rPr>
        <w:t>De esta manera, se</w:t>
      </w:r>
      <w:r w:rsidRPr="00950EBB">
        <w:rPr>
          <w:rFonts w:ascii="Verdana" w:eastAsia="Times New Roman" w:hAnsi="Verdana" w:cs="Arial"/>
          <w:lang w:eastAsia="es-CO"/>
        </w:rPr>
        <w:t xml:space="preserve"> observa entonces que </w:t>
      </w:r>
      <w:r w:rsidRPr="00950EBB">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950EBB">
        <w:rPr>
          <w:rFonts w:ascii="Verdana" w:eastAsia="Times New Roman" w:hAnsi="Verdana" w:cs="Arial"/>
          <w:i/>
          <w:iCs/>
          <w:lang w:val="es-MX" w:eastAsia="es-CO"/>
        </w:rPr>
        <w:t>convenios interadministrativos</w:t>
      </w:r>
      <w:r w:rsidRPr="00950EBB">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950EBB">
        <w:rPr>
          <w:rFonts w:ascii="Verdana" w:eastAsia="Times New Roman" w:hAnsi="Verdana" w:cs="Arial"/>
          <w:i/>
          <w:lang w:val="es-MX" w:eastAsia="es-CO"/>
        </w:rPr>
        <w:t>ibidem</w:t>
      </w:r>
      <w:r w:rsidRPr="00950EBB">
        <w:rPr>
          <w:rFonts w:ascii="Verdana" w:eastAsia="Times New Roman" w:hAnsi="Verdana" w:cs="Arial"/>
          <w:lang w:val="es-MX" w:eastAsia="es-CO"/>
        </w:rPr>
        <w:t xml:space="preserve">, es decir, </w:t>
      </w:r>
      <w:r w:rsidRPr="00950EBB">
        <w:rPr>
          <w:rFonts w:ascii="Verdana" w:eastAsia="Times New Roman" w:hAnsi="Verdana" w:cs="Arial"/>
          <w:lang w:eastAsia="es-CO"/>
        </w:rPr>
        <w:t xml:space="preserve">alcaldías, gobernaciones, secretarías de despacho, así como entidades descentralizadas por servicios del orden municipal, departamental o distrital </w:t>
      </w:r>
      <w:r w:rsidRPr="00950EBB">
        <w:rPr>
          <w:rFonts w:ascii="Verdana" w:eastAsia="Times New Roman" w:hAnsi="Verdana" w:cs="Arial"/>
          <w:lang w:val="es-MX" w:eastAsia="es-CO"/>
        </w:rPr>
        <w:t xml:space="preserve">no podrá celebrar tales </w:t>
      </w:r>
      <w:r w:rsidRPr="00950EBB">
        <w:rPr>
          <w:rFonts w:ascii="Verdana" w:eastAsia="Times New Roman" w:hAnsi="Verdana" w:cs="Arial"/>
          <w:i/>
          <w:iCs/>
          <w:lang w:val="es-MX" w:eastAsia="es-CO"/>
        </w:rPr>
        <w:t>convenios</w:t>
      </w:r>
      <w:r w:rsidRPr="00950EBB">
        <w:rPr>
          <w:rFonts w:ascii="Verdana" w:eastAsia="Times New Roman" w:hAnsi="Verdana" w:cs="Arial"/>
          <w:lang w:val="es-MX" w:eastAsia="es-CO"/>
        </w:rPr>
        <w:t xml:space="preserve"> durante la aplicación de la Ley de Garantías Electorales, toda vez que la citada disposición se refiere a dicha tipología contractual sin que el legislador hubiere contemplado un efecto extensivo a otra tipología. </w:t>
      </w:r>
    </w:p>
    <w:p w14:paraId="12914BFD" w14:textId="77777777" w:rsidR="00950EBB" w:rsidRPr="00950EBB" w:rsidRDefault="00950EBB" w:rsidP="00950EBB">
      <w:pPr>
        <w:spacing w:before="120" w:after="0" w:line="276" w:lineRule="auto"/>
        <w:ind w:firstLine="708"/>
        <w:jc w:val="both"/>
        <w:rPr>
          <w:rFonts w:ascii="Verdana" w:eastAsia="Times New Roman" w:hAnsi="Verdana" w:cs="Arial"/>
          <w:lang w:eastAsia="es-CO"/>
        </w:rPr>
      </w:pPr>
      <w:r w:rsidRPr="00950EBB">
        <w:rPr>
          <w:rFonts w:ascii="Verdana" w:eastAsia="Times New Roman" w:hAnsi="Verdana" w:cs="Arial"/>
          <w:lang w:val="es-MX" w:eastAsia="es-CO"/>
        </w:rPr>
        <w:t>Respecto del alcance de esta prohibición la Circular Externa No. 006 de 2025 expedida por la ANCP -CCE, en los literales ii) y iv) del numeral 2</w:t>
      </w:r>
      <w:r w:rsidRPr="00950EBB">
        <w:rPr>
          <w:rFonts w:ascii="Verdana" w:eastAsia="Times New Roman" w:hAnsi="Verdana" w:cs="Arial"/>
          <w:lang w:eastAsia="es-CO"/>
        </w:rPr>
        <w:t>,</w:t>
      </w:r>
      <w:r w:rsidRPr="00950EBB">
        <w:rPr>
          <w:rFonts w:ascii="Verdana" w:eastAsia="Times New Roman" w:hAnsi="Verdana" w:cs="Arial"/>
          <w:lang w:val="es-MX" w:eastAsia="es-CO"/>
        </w:rPr>
        <w:t xml:space="preserve"> indica que el </w:t>
      </w:r>
      <w:r w:rsidRPr="00950EBB">
        <w:rPr>
          <w:rFonts w:ascii="Verdana" w:eastAsia="Times New Roman" w:hAnsi="Verdana" w:cs="Arial"/>
          <w:lang w:eastAsia="es-CO"/>
        </w:rPr>
        <w:t xml:space="preserve">parágrafo del artículo 38 de la Ley 996 de 2005 cobija expresamente a los </w:t>
      </w:r>
      <w:r w:rsidRPr="00950EBB">
        <w:rPr>
          <w:rFonts w:ascii="Verdana" w:eastAsia="Times New Roman" w:hAnsi="Verdana" w:cs="Arial"/>
          <w:i/>
          <w:iCs/>
          <w:lang w:eastAsia="es-CO"/>
        </w:rPr>
        <w:t>convenios interadministrativos</w:t>
      </w:r>
      <w:r w:rsidRPr="00950EBB">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950EBB">
        <w:rPr>
          <w:rFonts w:ascii="Verdana" w:eastAsia="Times New Roman" w:hAnsi="Verdana" w:cs="Arial"/>
          <w:i/>
          <w:iCs/>
          <w:lang w:eastAsia="es-CO"/>
        </w:rPr>
        <w:t>“aunque se configure alguno de los supuestos de excepción que señaló el inciso final del artículo 33”.</w:t>
      </w:r>
      <w:r w:rsidRPr="00950EBB">
        <w:rPr>
          <w:rFonts w:ascii="Verdana" w:eastAsia="Times New Roman" w:hAnsi="Verdana" w:cs="Arial"/>
          <w:lang w:eastAsia="es-CO"/>
        </w:rPr>
        <w:t xml:space="preserve"> </w:t>
      </w:r>
    </w:p>
    <w:p w14:paraId="6B1CF6AF" w14:textId="77777777" w:rsidR="00950EBB" w:rsidRPr="00950EBB" w:rsidRDefault="00950EBB" w:rsidP="00950EBB">
      <w:pPr>
        <w:spacing w:before="120" w:after="0" w:line="276" w:lineRule="auto"/>
        <w:ind w:firstLine="708"/>
        <w:jc w:val="both"/>
        <w:rPr>
          <w:rFonts w:ascii="Verdana" w:eastAsia="Times New Roman" w:hAnsi="Verdana" w:cs="Arial"/>
          <w:lang w:eastAsia="es-CO"/>
        </w:rPr>
      </w:pPr>
      <w:r w:rsidRPr="00950EBB">
        <w:rPr>
          <w:rFonts w:ascii="Verdana" w:eastAsia="Times New Roman" w:hAnsi="Verdana" w:cs="Arial"/>
          <w:lang w:eastAsia="es-CO"/>
        </w:rPr>
        <w:t xml:space="preserve">Sin embargo, el ámbito de aplicación de la restricción prevista en el parágrafo del artículo 38 de la Ley 996 de 2005 comprende a los </w:t>
      </w:r>
      <w:r w:rsidRPr="00950EBB">
        <w:rPr>
          <w:rFonts w:ascii="Verdana" w:eastAsia="Times New Roman" w:hAnsi="Verdana" w:cs="Arial"/>
          <w:i/>
          <w:iCs/>
          <w:lang w:eastAsia="es-CO"/>
        </w:rPr>
        <w:t>convenios interadministrativos</w:t>
      </w:r>
      <w:r w:rsidRPr="00950EBB">
        <w:rPr>
          <w:rFonts w:ascii="Verdana" w:eastAsia="Times New Roman" w:hAnsi="Verdana" w:cs="Arial"/>
          <w:lang w:eastAsia="es-CO"/>
        </w:rPr>
        <w:t xml:space="preserve"> en los que exista </w:t>
      </w:r>
      <w:r w:rsidRPr="00950EBB">
        <w:rPr>
          <w:rFonts w:ascii="Verdana" w:eastAsia="Times New Roman" w:hAnsi="Verdana" w:cs="Arial"/>
          <w:i/>
          <w:iCs/>
          <w:lang w:eastAsia="es-CO"/>
        </w:rPr>
        <w:t>ejecución de recursos públicos</w:t>
      </w:r>
      <w:r w:rsidRPr="00950EBB">
        <w:rPr>
          <w:rFonts w:ascii="Verdana" w:eastAsia="Times New Roman" w:hAnsi="Verdana" w:cs="Arial"/>
          <w:lang w:eastAsia="es-CO"/>
        </w:rPr>
        <w:t xml:space="preserve">, sin importar de que estos sean en dinero o en especie, ya que la norma no distingue. </w:t>
      </w:r>
      <w:r w:rsidRPr="00950EBB">
        <w:rPr>
          <w:rFonts w:ascii="Verdana" w:eastAsia="Times New Roman" w:hAnsi="Verdana" w:cs="Arial"/>
          <w:lang w:val="es-ES" w:eastAsia="es-CO"/>
        </w:rPr>
        <w:t xml:space="preserve">Lo anterior conforme a la directriz interpretativa del artículo 31 del Código Civil, </w:t>
      </w:r>
      <w:r w:rsidRPr="00950EBB">
        <w:rPr>
          <w:rFonts w:ascii="Verdana" w:eastAsia="Times New Roman" w:hAnsi="Verdana" w:cs="Arial"/>
          <w:lang w:val="es-ES" w:eastAsia="es-CO"/>
        </w:rPr>
        <w:lastRenderedPageBreak/>
        <w:t>según la cual “Lo favorable u odioso de una disposición no se tomará en cuenta para ampliar o restringir su interpretación. La extensión que deba darse a toda ley se determinará por su genuino sentido, y según las reglas de interpretación precedentes”</w:t>
      </w:r>
      <w:r w:rsidRPr="00950EBB">
        <w:rPr>
          <w:rStyle w:val="Refdenotaalpie"/>
          <w:rFonts w:ascii="Verdana" w:hAnsi="Verdana" w:cs="Arial"/>
          <w:lang w:val="es-ES"/>
        </w:rPr>
        <w:footnoteReference w:id="13"/>
      </w:r>
      <w:r w:rsidRPr="00950EBB">
        <w:rPr>
          <w:rFonts w:ascii="Verdana" w:eastAsia="Times New Roman" w:hAnsi="Verdana" w:cs="Arial"/>
          <w:lang w:val="es-ES" w:eastAsia="es-CO"/>
        </w:rPr>
        <w:t>.</w:t>
      </w:r>
      <w:r w:rsidRPr="00950EBB">
        <w:rPr>
          <w:rFonts w:ascii="Verdana" w:eastAsia="Times New Roman" w:hAnsi="Verdana" w:cs="Arial"/>
          <w:lang w:eastAsia="es-CO"/>
        </w:rPr>
        <w:t xml:space="preserve">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5130863E" w14:textId="77777777" w:rsidR="00950EBB" w:rsidRPr="00950EBB" w:rsidRDefault="00950EBB" w:rsidP="00950EBB">
      <w:pPr>
        <w:spacing w:after="0" w:line="276" w:lineRule="auto"/>
        <w:ind w:firstLine="709"/>
        <w:jc w:val="both"/>
        <w:rPr>
          <w:rFonts w:ascii="Verdana" w:eastAsia="Calibri" w:hAnsi="Verdana" w:cs="Arial"/>
          <w:lang w:val="es-ES"/>
        </w:rPr>
      </w:pPr>
      <w:r w:rsidRPr="00950EBB">
        <w:rPr>
          <w:rFonts w:ascii="Verdana" w:eastAsia="Times New Roman" w:hAnsi="Verdana" w:cs="Arial"/>
          <w:lang w:eastAsia="es-CO"/>
        </w:rPr>
        <w:t xml:space="preserve">De esta manera, conforme a lo dispuesto en la Circular referida, si se suscriben </w:t>
      </w:r>
      <w:r w:rsidRPr="00950EBB">
        <w:rPr>
          <w:rFonts w:ascii="Verdana" w:eastAsia="Times New Roman" w:hAnsi="Verdana" w:cs="Arial"/>
          <w:i/>
          <w:iCs/>
          <w:lang w:eastAsia="es-CO"/>
        </w:rPr>
        <w:t>convenios interadministrativos para la ejecución de recursos públicos</w:t>
      </w:r>
      <w:r w:rsidRPr="00950EBB">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950EBB">
        <w:rPr>
          <w:rFonts w:ascii="Verdana" w:eastAsia="Times New Roman" w:hAnsi="Verdana" w:cs="Arial"/>
          <w:i/>
          <w:iCs/>
          <w:lang w:eastAsia="es-CO"/>
        </w:rPr>
        <w:t>ibidem</w:t>
      </w:r>
      <w:r w:rsidRPr="00950EBB">
        <w:rPr>
          <w:rFonts w:ascii="Verdana" w:eastAsia="Times New Roman" w:hAnsi="Verdana" w:cs="Arial"/>
          <w:lang w:eastAsia="es-CO"/>
        </w:rPr>
        <w:t>, independientemente de que se configure alguno de los supuestos de excepción que señaló el inciso final del artículo 33, es decir, que se trate de:</w:t>
      </w:r>
      <w:r w:rsidRPr="00950EBB">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50EBB">
        <w:rPr>
          <w:rFonts w:ascii="Verdana" w:hAnsi="Verdana" w:cs="Arial"/>
          <w:bCs/>
          <w:lang w:val="es-MX" w:eastAsia="es-CO"/>
        </w:rPr>
        <w:t xml:space="preserve"> </w:t>
      </w:r>
      <w:r w:rsidRPr="00950EBB">
        <w:rPr>
          <w:rFonts w:ascii="Verdana" w:eastAsia="Times New Roman" w:hAnsi="Verdana" w:cs="Arial"/>
          <w:lang w:eastAsia="es-CO"/>
        </w:rPr>
        <w:t xml:space="preserve">  </w:t>
      </w:r>
    </w:p>
    <w:p w14:paraId="4D9ADD4D" w14:textId="77777777" w:rsidR="00950EBB" w:rsidRPr="00950EBB" w:rsidRDefault="00950EBB" w:rsidP="00950EBB">
      <w:pPr>
        <w:spacing w:after="120" w:line="276" w:lineRule="auto"/>
        <w:ind w:firstLine="709"/>
        <w:jc w:val="both"/>
        <w:rPr>
          <w:rFonts w:ascii="Verdana" w:hAnsi="Verdana" w:cs="Arial"/>
          <w:bCs/>
          <w:lang w:eastAsia="x-none"/>
        </w:rPr>
      </w:pPr>
    </w:p>
    <w:p w14:paraId="4928B893" w14:textId="77777777" w:rsidR="00950EBB" w:rsidRPr="00950EBB" w:rsidRDefault="00950EBB" w:rsidP="00950EBB">
      <w:pPr>
        <w:spacing w:before="120" w:after="0" w:line="276" w:lineRule="auto"/>
        <w:ind w:firstLine="709"/>
        <w:jc w:val="both"/>
        <w:rPr>
          <w:rFonts w:ascii="Verdana" w:eastAsia="Times New Roman" w:hAnsi="Verdana" w:cs="Arial"/>
          <w:lang w:eastAsia="es-CO"/>
        </w:rPr>
      </w:pPr>
      <w:r w:rsidRPr="00950EBB">
        <w:rPr>
          <w:rFonts w:ascii="Verdana" w:eastAsia="Times New Roman" w:hAnsi="Verdana" w:cs="Arial"/>
          <w:lang w:eastAsia="es-CO"/>
        </w:rPr>
        <w:t xml:space="preserve">En este punto, vale la pena destacar que, </w:t>
      </w:r>
      <w:r w:rsidRPr="00950EBB">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950EBB">
        <w:rPr>
          <w:rFonts w:ascii="Verdana" w:hAnsi="Verdana" w:cs="Arial"/>
        </w:rPr>
        <w:t xml:space="preserve">numeral 16.2 de la Circular Externa Única de 2022 expedida por la Agencia Nacional de Contratación Pública – </w:t>
      </w:r>
      <w:r w:rsidRPr="00950EBB">
        <w:rPr>
          <w:rFonts w:ascii="Verdana" w:hAnsi="Verdana" w:cs="Arial"/>
        </w:rPr>
        <w:lastRenderedPageBreak/>
        <w:t>Colombia Compra Eficiente, concretamente, respecto de los siguientes apartes normativos</w:t>
      </w:r>
      <w:r w:rsidRPr="00950EBB">
        <w:rPr>
          <w:rFonts w:ascii="Verdana" w:hAnsi="Verdana" w:cs="Arial"/>
          <w:vertAlign w:val="superscript"/>
        </w:rPr>
        <w:footnoteReference w:id="14"/>
      </w:r>
      <w:r w:rsidRPr="00950EBB">
        <w:rPr>
          <w:rFonts w:ascii="Verdana" w:hAnsi="Verdana" w:cs="Arial"/>
        </w:rPr>
        <w:t xml:space="preserve">: </w:t>
      </w:r>
    </w:p>
    <w:p w14:paraId="3A3DC4EE" w14:textId="77777777" w:rsidR="00950EBB" w:rsidRPr="00950EBB" w:rsidRDefault="00950EBB" w:rsidP="00950EBB">
      <w:pPr>
        <w:spacing w:after="0" w:line="240" w:lineRule="auto"/>
        <w:ind w:firstLine="709"/>
        <w:jc w:val="both"/>
        <w:rPr>
          <w:rFonts w:ascii="Verdana" w:hAnsi="Verdana" w:cs="Arial"/>
        </w:rPr>
      </w:pPr>
    </w:p>
    <w:p w14:paraId="6EB8BD05" w14:textId="77777777" w:rsidR="00950EBB" w:rsidRPr="00950EBB" w:rsidRDefault="00950EBB" w:rsidP="00950EBB">
      <w:pPr>
        <w:spacing w:after="0" w:line="240" w:lineRule="auto"/>
        <w:ind w:left="709" w:right="709"/>
        <w:jc w:val="both"/>
        <w:rPr>
          <w:rFonts w:ascii="Verdana" w:hAnsi="Verdana" w:cs="Arial"/>
          <w:sz w:val="20"/>
          <w:szCs w:val="20"/>
        </w:rPr>
      </w:pPr>
      <w:r w:rsidRPr="00950EBB">
        <w:rPr>
          <w:rFonts w:ascii="Verdana" w:hAnsi="Verdana" w:cs="Arial"/>
          <w:sz w:val="20"/>
          <w:szCs w:val="20"/>
          <w:lang w:val="es-MX"/>
        </w:rPr>
        <w:t>“i)</w:t>
      </w:r>
      <w:r w:rsidRPr="00950EBB">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0384B7F" w14:textId="77777777" w:rsidR="00950EBB" w:rsidRPr="00950EBB" w:rsidRDefault="00950EBB" w:rsidP="00950EBB">
      <w:pPr>
        <w:spacing w:after="0" w:line="240" w:lineRule="auto"/>
        <w:ind w:left="709" w:right="709"/>
        <w:jc w:val="both"/>
        <w:rPr>
          <w:rFonts w:ascii="Verdana" w:hAnsi="Verdana" w:cs="Arial"/>
          <w:sz w:val="20"/>
          <w:szCs w:val="20"/>
        </w:rPr>
      </w:pPr>
    </w:p>
    <w:p w14:paraId="4AB52984" w14:textId="77777777" w:rsidR="00950EBB" w:rsidRPr="00950EBB" w:rsidRDefault="00950EBB" w:rsidP="00950EBB">
      <w:pPr>
        <w:spacing w:after="0" w:line="240" w:lineRule="auto"/>
        <w:ind w:left="709" w:right="709"/>
        <w:jc w:val="both"/>
        <w:rPr>
          <w:rFonts w:ascii="Verdana" w:hAnsi="Verdana" w:cs="Arial"/>
          <w:sz w:val="20"/>
          <w:szCs w:val="20"/>
        </w:rPr>
      </w:pPr>
      <w:r w:rsidRPr="00950EBB">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30699C0" w14:textId="77777777" w:rsidR="00950EBB" w:rsidRPr="00950EBB" w:rsidRDefault="00950EBB" w:rsidP="00950EBB">
      <w:pPr>
        <w:spacing w:after="0" w:line="276" w:lineRule="auto"/>
        <w:ind w:left="709" w:right="709"/>
        <w:jc w:val="both"/>
        <w:rPr>
          <w:rFonts w:ascii="Verdana" w:hAnsi="Verdana" w:cs="Arial"/>
        </w:rPr>
      </w:pPr>
    </w:p>
    <w:p w14:paraId="4F452AB3" w14:textId="77777777" w:rsidR="00950EBB" w:rsidRPr="00950EBB" w:rsidRDefault="00950EBB" w:rsidP="00950EBB">
      <w:pPr>
        <w:spacing w:after="120" w:line="276" w:lineRule="auto"/>
        <w:ind w:firstLine="709"/>
        <w:jc w:val="both"/>
        <w:rPr>
          <w:rFonts w:ascii="Verdana" w:eastAsia="Arial" w:hAnsi="Verdana" w:cs="Arial"/>
          <w:i/>
          <w:iCs/>
          <w:lang w:eastAsia="es-ES" w:bidi="es-ES"/>
        </w:rPr>
      </w:pPr>
      <w:r w:rsidRPr="00950EBB">
        <w:rPr>
          <w:rFonts w:ascii="Verdana" w:eastAsia="Arial" w:hAnsi="Verdana" w:cs="Arial"/>
          <w:lang w:val="es-MX" w:eastAsia="es-ES" w:bidi="es-ES"/>
        </w:rPr>
        <w:t xml:space="preserve">De conformidad con los argumentos de dicha providencia, se parte de la distinción entre los conceptos </w:t>
      </w:r>
      <w:r w:rsidRPr="00950EBB">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950EBB">
        <w:rPr>
          <w:rFonts w:ascii="Verdana" w:hAnsi="Verdana"/>
          <w:sz w:val="24"/>
          <w:szCs w:val="24"/>
          <w:lang w:eastAsia="es-CO"/>
        </w:rPr>
        <w:t xml:space="preserve"> </w:t>
      </w:r>
      <w:r w:rsidRPr="00950EBB">
        <w:rPr>
          <w:rFonts w:ascii="Verdana" w:eastAsia="Arial" w:hAnsi="Verdana" w:cs="Arial"/>
          <w:lang w:eastAsia="es-ES" w:bidi="es-ES"/>
        </w:rPr>
        <w:t xml:space="preserve">En este sentido, en relación con el parágrafo del artículo 38 de la Ley 996 de 2005 concluyó que </w:t>
      </w:r>
      <w:r w:rsidRPr="00950EBB">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950EBB">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950EBB">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950EBB">
        <w:rPr>
          <w:rFonts w:ascii="Verdana" w:eastAsia="Arial" w:hAnsi="Verdana" w:cs="Arial"/>
          <w:lang w:eastAsia="es-ES" w:bidi="es-ES"/>
        </w:rPr>
        <w:t>”</w:t>
      </w:r>
      <w:r w:rsidRPr="00950EBB">
        <w:rPr>
          <w:rFonts w:ascii="Verdana" w:eastAsia="Arial" w:hAnsi="Verdana" w:cs="Arial"/>
          <w:i/>
          <w:iCs/>
          <w:lang w:eastAsia="es-ES" w:bidi="es-ES"/>
        </w:rPr>
        <w:t xml:space="preserve">. </w:t>
      </w:r>
    </w:p>
    <w:p w14:paraId="2B83E79A" w14:textId="77777777" w:rsidR="00950EBB" w:rsidRPr="00950EBB" w:rsidRDefault="00950EBB" w:rsidP="00950EBB">
      <w:pPr>
        <w:spacing w:after="120" w:line="276" w:lineRule="auto"/>
        <w:ind w:firstLine="709"/>
        <w:jc w:val="both"/>
        <w:rPr>
          <w:rFonts w:ascii="Verdana" w:eastAsia="Arial" w:hAnsi="Verdana" w:cs="Arial"/>
          <w:lang w:eastAsia="es-ES" w:bidi="es-ES"/>
        </w:rPr>
      </w:pPr>
      <w:r w:rsidRPr="00950EBB">
        <w:rPr>
          <w:rFonts w:ascii="Verdana" w:eastAsia="Arial" w:hAnsi="Verdana" w:cs="Arial"/>
          <w:lang w:eastAsia="es-ES" w:bidi="es-ES"/>
        </w:rPr>
        <w:lastRenderedPageBreak/>
        <w:t>De igual manera, mediante auto del 6 de noviembre de 2025, el Consejo de Estado, Subsección A de la Sección Tercera, decretó</w:t>
      </w:r>
      <w:r w:rsidRPr="00950EBB">
        <w:rPr>
          <w:rFonts w:ascii="Verdana" w:eastAsia="Arial" w:hAnsi="Verdana" w:cs="Arial"/>
          <w:b/>
          <w:bCs/>
          <w:lang w:eastAsia="es-ES" w:bidi="es-ES"/>
        </w:rPr>
        <w:t xml:space="preserve"> </w:t>
      </w:r>
      <w:r w:rsidRPr="00950EBB">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950EBB">
        <w:rPr>
          <w:rFonts w:ascii="Verdana" w:eastAsia="Arial" w:hAnsi="Verdana" w:cs="Arial"/>
          <w:vertAlign w:val="superscript"/>
          <w:lang w:eastAsia="es-ES" w:bidi="es-ES"/>
        </w:rPr>
        <w:footnoteReference w:id="15"/>
      </w:r>
      <w:r w:rsidRPr="00950EBB">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7E58B8DD" w14:textId="77777777" w:rsidR="00950EBB" w:rsidRPr="00950EBB" w:rsidRDefault="00950EBB" w:rsidP="00950EBB">
      <w:pPr>
        <w:spacing w:after="120" w:line="276" w:lineRule="auto"/>
        <w:ind w:firstLine="709"/>
        <w:jc w:val="both"/>
        <w:rPr>
          <w:rFonts w:ascii="Verdana" w:eastAsia="Times New Roman" w:hAnsi="Verdana" w:cs="Times New Roman"/>
          <w:lang w:eastAsia="es-ES"/>
        </w:rPr>
      </w:pPr>
      <w:r w:rsidRPr="00950EBB">
        <w:rPr>
          <w:rFonts w:ascii="Verdana" w:eastAsia="Arial" w:hAnsi="Verdana" w:cs="Arial"/>
          <w:lang w:eastAsia="es-ES" w:bidi="es-ES"/>
        </w:rPr>
        <w:t xml:space="preserve">Finalmente, mediante sentencia del 17 de octubre de 2025, emitida por la Sección Tercera del Consejo de Estado, dentro del expediente </w:t>
      </w:r>
      <w:r w:rsidRPr="00950EBB">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2CB8DFC9" w14:textId="77777777" w:rsidR="00950EBB" w:rsidRPr="00950EBB" w:rsidRDefault="00950EBB" w:rsidP="00950EBB">
      <w:pPr>
        <w:spacing w:after="120" w:line="276" w:lineRule="auto"/>
        <w:ind w:firstLine="709"/>
        <w:jc w:val="both"/>
        <w:rPr>
          <w:rFonts w:ascii="Verdana" w:eastAsia="Times New Roman" w:hAnsi="Verdana" w:cs="Times New Roman"/>
          <w:lang w:eastAsia="es-ES"/>
        </w:rPr>
      </w:pPr>
      <w:r w:rsidRPr="00950EBB">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950EBB">
        <w:rPr>
          <w:rStyle w:val="Refdenotaalpie"/>
          <w:rFonts w:ascii="Verdana" w:eastAsia="Times New Roman" w:hAnsi="Verdana" w:cs="Times New Roman"/>
          <w:lang w:eastAsia="es-ES"/>
        </w:rPr>
        <w:footnoteReference w:id="16"/>
      </w:r>
      <w:r w:rsidRPr="00950EBB">
        <w:rPr>
          <w:rFonts w:ascii="Verdana" w:eastAsia="Times New Roman" w:hAnsi="Verdana" w:cs="Times New Roman"/>
          <w:lang w:eastAsia="es-ES"/>
        </w:rPr>
        <w:t xml:space="preserve">. Sobre el </w:t>
      </w:r>
      <w:r w:rsidRPr="00950EBB">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4B6DF244" w14:textId="77777777" w:rsidR="00950EBB" w:rsidRPr="00950EBB" w:rsidRDefault="00950EBB" w:rsidP="00950EBB">
      <w:pPr>
        <w:spacing w:after="120" w:line="276" w:lineRule="auto"/>
        <w:ind w:firstLine="709"/>
        <w:jc w:val="both"/>
        <w:rPr>
          <w:rFonts w:ascii="Verdana" w:eastAsia="Times New Roman" w:hAnsi="Verdana" w:cs="Arial"/>
          <w:lang w:eastAsia="es-CO"/>
        </w:rPr>
      </w:pPr>
      <w:r w:rsidRPr="00950EBB">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950EBB">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950EBB">
        <w:rPr>
          <w:rFonts w:ascii="Verdana" w:eastAsia="Times New Roman" w:hAnsi="Verdana" w:cs="Arial"/>
          <w:i/>
          <w:iCs/>
          <w:lang w:eastAsia="es-CO"/>
        </w:rPr>
        <w:t>contratos interadministrativos</w:t>
      </w:r>
      <w:r w:rsidRPr="00950EBB">
        <w:rPr>
          <w:rFonts w:ascii="Verdana" w:eastAsia="Times New Roman" w:hAnsi="Verdana" w:cs="Arial"/>
          <w:lang w:eastAsia="es-CO"/>
        </w:rPr>
        <w:t>, esta prohibición solo aplicaría a los convenios interadministrativos que impliquen la ejecución de recursos públicos</w:t>
      </w:r>
      <w:r w:rsidRPr="00950EBB">
        <w:rPr>
          <w:rStyle w:val="Refdenotaalpie"/>
          <w:rFonts w:ascii="Verdana" w:eastAsia="Times New Roman" w:hAnsi="Verdana" w:cs="Arial"/>
          <w:lang w:eastAsia="es-CO"/>
        </w:rPr>
        <w:footnoteReference w:id="17"/>
      </w:r>
      <w:r w:rsidRPr="00950EBB">
        <w:rPr>
          <w:rFonts w:ascii="Verdana" w:eastAsia="Times New Roman" w:hAnsi="Verdana" w:cs="Arial"/>
          <w:lang w:eastAsia="es-CO"/>
        </w:rPr>
        <w:t xml:space="preserve">. Conforme a lo señalado por el Consejo de Estado, cuando dos entidades públicas celebren un </w:t>
      </w:r>
      <w:r w:rsidRPr="00950EBB">
        <w:rPr>
          <w:rFonts w:ascii="Verdana" w:eastAsia="Times New Roman" w:hAnsi="Verdana" w:cs="Arial"/>
          <w:i/>
          <w:iCs/>
          <w:lang w:eastAsia="es-CO"/>
        </w:rPr>
        <w:t>contrato interadministrativo,</w:t>
      </w:r>
      <w:r w:rsidRPr="00950EBB">
        <w:rPr>
          <w:rFonts w:ascii="Verdana" w:eastAsia="Times New Roman" w:hAnsi="Verdana" w:cs="Arial"/>
          <w:lang w:eastAsia="es-CO"/>
        </w:rPr>
        <w:t xml:space="preserve"> independientemente del objeto, dicho contrato puede suscribirse durante el periodo preelectoral.</w:t>
      </w:r>
    </w:p>
    <w:p w14:paraId="53F40926" w14:textId="77777777" w:rsidR="00950EBB" w:rsidRPr="00950EBB" w:rsidRDefault="00950EBB" w:rsidP="00950EBB">
      <w:pPr>
        <w:spacing w:after="120" w:line="276" w:lineRule="auto"/>
        <w:ind w:firstLine="708"/>
        <w:jc w:val="both"/>
        <w:rPr>
          <w:rFonts w:ascii="Verdana" w:eastAsia="Times New Roman" w:hAnsi="Verdana" w:cs="Arial"/>
          <w:lang w:eastAsia="es-CO"/>
        </w:rPr>
      </w:pPr>
      <w:r w:rsidRPr="00950EBB">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sidRPr="00950EBB">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540FC69A" w14:textId="77777777" w:rsidR="00950EBB" w:rsidRPr="00950EBB" w:rsidRDefault="00950EBB" w:rsidP="00950EBB">
      <w:pPr>
        <w:spacing w:after="0" w:line="276" w:lineRule="auto"/>
        <w:ind w:firstLine="708"/>
        <w:jc w:val="both"/>
        <w:rPr>
          <w:rFonts w:ascii="Verdana" w:eastAsia="Calibri" w:hAnsi="Verdana" w:cs="Arial"/>
          <w:lang w:val="es-ES" w:eastAsia="es-ES"/>
        </w:rPr>
      </w:pPr>
      <w:r w:rsidRPr="00950EBB">
        <w:rPr>
          <w:rFonts w:ascii="Verdana" w:eastAsia="Times New Roman" w:hAnsi="Verdana" w:cs="Arial"/>
          <w:lang w:eastAsia="es-CO"/>
        </w:rPr>
        <w:lastRenderedPageBreak/>
        <w:t xml:space="preserve"> No obstante, es importante mencionar que aún se encuentra por definir la demanda </w:t>
      </w:r>
      <w:r w:rsidRPr="00950EBB">
        <w:rPr>
          <w:rFonts w:ascii="Verdana" w:eastAsia="Calibri" w:hAnsi="Verdana" w:cs="Arial"/>
          <w:lang w:val="es-ES" w:eastAsia="es-ES"/>
        </w:rPr>
        <w:t xml:space="preserve">de nulidad simple, identificada con el Radicado número 11001-03-26-000-2025-00016-00, en la cual se cuestiona </w:t>
      </w:r>
      <w:r w:rsidRPr="00950EBB">
        <w:rPr>
          <w:rFonts w:ascii="Verdana" w:eastAsia="Calibri" w:hAnsi="Verdana" w:cs="Arial"/>
          <w:lang w:eastAsia="es-ES"/>
        </w:rPr>
        <w:t>parcialmente el numeral 16.2 de la Circular Externa Única CCE-EICP-MA-06, Versión 03 del 27 de diciembre de 2023.</w:t>
      </w:r>
      <w:r w:rsidRPr="00950EBB">
        <w:rPr>
          <w:rFonts w:ascii="Verdana" w:eastAsia="Calibri" w:hAnsi="Verdana" w:cs="Arial"/>
          <w:lang w:val="es-ES" w:eastAsia="es-ES"/>
        </w:rPr>
        <w:t xml:space="preserve"> </w:t>
      </w:r>
    </w:p>
    <w:p w14:paraId="7C42ECF1" w14:textId="77777777" w:rsidR="00950EBB" w:rsidRPr="00950EBB" w:rsidRDefault="00950EBB" w:rsidP="00950EBB">
      <w:pPr>
        <w:spacing w:after="0" w:line="276" w:lineRule="auto"/>
        <w:ind w:firstLine="708"/>
        <w:jc w:val="both"/>
        <w:rPr>
          <w:rFonts w:ascii="Verdana" w:hAnsi="Verdana" w:cs="Arial"/>
          <w:bCs/>
          <w:color w:val="000000" w:themeColor="text1"/>
        </w:rPr>
      </w:pPr>
      <w:r w:rsidRPr="00950EBB">
        <w:rPr>
          <w:rFonts w:ascii="Verdana" w:eastAsia="Calibri" w:hAnsi="Verdana" w:cs="Arial"/>
          <w:bCs/>
          <w:color w:val="000000" w:themeColor="text1"/>
        </w:rPr>
        <w:t xml:space="preserve">En torno a la procedencia de la contratación directa por parte de entidades estatales relacionadas al sector salud, es necesario </w:t>
      </w:r>
      <w:r w:rsidRPr="00950EBB">
        <w:rPr>
          <w:rFonts w:ascii="Verdana" w:hAnsi="Verdana" w:cs="Arial"/>
          <w:bCs/>
          <w:color w:val="000000" w:themeColor="text1"/>
        </w:rPr>
        <w:t>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p>
    <w:p w14:paraId="2E88C214" w14:textId="77777777" w:rsidR="00950EBB" w:rsidRPr="00950EBB" w:rsidRDefault="00950EBB" w:rsidP="00950EBB">
      <w:pPr>
        <w:spacing w:after="0" w:line="276" w:lineRule="auto"/>
        <w:ind w:firstLine="708"/>
        <w:jc w:val="both"/>
        <w:rPr>
          <w:rFonts w:ascii="Verdana" w:hAnsi="Verdana" w:cs="Arial"/>
          <w:bCs/>
          <w:color w:val="000000" w:themeColor="text1"/>
        </w:rPr>
      </w:pPr>
    </w:p>
    <w:p w14:paraId="4F8A3BBA" w14:textId="77777777" w:rsidR="00950EBB" w:rsidRPr="00950EBB" w:rsidRDefault="00950EBB" w:rsidP="00950EBB">
      <w:pPr>
        <w:spacing w:after="0" w:line="276" w:lineRule="auto"/>
        <w:ind w:firstLine="708"/>
        <w:jc w:val="both"/>
        <w:rPr>
          <w:rFonts w:ascii="Verdana" w:hAnsi="Verdana" w:cs="Arial"/>
          <w:bCs/>
          <w:color w:val="000000" w:themeColor="text1"/>
        </w:rPr>
      </w:pPr>
      <w:r w:rsidRPr="00950EBB">
        <w:rPr>
          <w:rFonts w:ascii="Verdana" w:hAnsi="Verdana" w:cs="Arial"/>
          <w:color w:val="000000" w:themeColor="text1"/>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w:t>
      </w:r>
      <w:r w:rsidRPr="00950EBB">
        <w:rPr>
          <w:rStyle w:val="Refdenotaalpie"/>
          <w:rFonts w:ascii="Verdana" w:hAnsi="Verdana" w:cs="Arial"/>
          <w:color w:val="000000" w:themeColor="text1"/>
        </w:rPr>
        <w:footnoteReference w:id="18"/>
      </w:r>
      <w:r w:rsidRPr="00950EBB">
        <w:rPr>
          <w:rFonts w:ascii="Verdana" w:hAnsi="Verdana" w:cs="Arial"/>
          <w:color w:val="000000" w:themeColor="text1"/>
        </w:rPr>
        <w:t>.</w:t>
      </w:r>
      <w:r w:rsidRPr="00950EBB">
        <w:rPr>
          <w:rFonts w:ascii="Verdana" w:hAnsi="Verdana" w:cs="Arial"/>
          <w:bCs/>
          <w:color w:val="000000" w:themeColor="text1"/>
        </w:rPr>
        <w:t xml:space="preserve"> </w:t>
      </w:r>
      <w:r w:rsidRPr="00950EBB">
        <w:rPr>
          <w:rFonts w:ascii="Verdana" w:eastAsia="Arial" w:hAnsi="Verdana" w:cs="Arial"/>
          <w:bCs/>
          <w:color w:val="000000" w:themeColor="text1"/>
        </w:rPr>
        <w:t xml:space="preserve">No obstante, el artículo 2.8.8.1.1.3 del Decreto 780 de 2016, “Por medio del cual se expide el Decreto Único Reglamentario del Sector Salud y Protección Social”, definió a las </w:t>
      </w:r>
      <w:r w:rsidRPr="00950EBB">
        <w:rPr>
          <w:rFonts w:ascii="Verdana" w:eastAsia="Arial" w:hAnsi="Verdana" w:cs="Arial"/>
          <w:bCs/>
          <w:i/>
          <w:iCs/>
          <w:color w:val="000000" w:themeColor="text1"/>
        </w:rPr>
        <w:t>entidades sanitarias</w:t>
      </w:r>
      <w:r w:rsidRPr="00950EBB">
        <w:rPr>
          <w:rFonts w:ascii="Verdana" w:eastAsia="Arial" w:hAnsi="Verdana" w:cs="Arial"/>
          <w:bCs/>
          <w:color w:val="000000" w:themeColor="text1"/>
        </w:rPr>
        <w:t xml:space="preserve"> como las “Entidades del Estado que prestan servicios sanitarios o de sanidad con el propósito de preservar la salud humana y la salud pública”. El artículo citado también define las </w:t>
      </w:r>
      <w:r w:rsidRPr="00950EBB">
        <w:rPr>
          <w:rFonts w:ascii="Verdana" w:eastAsia="Arial" w:hAnsi="Verdana" w:cs="Arial"/>
          <w:bCs/>
          <w:i/>
          <w:iCs/>
          <w:color w:val="000000" w:themeColor="text1"/>
        </w:rPr>
        <w:t>autoridades sanitarias</w:t>
      </w:r>
      <w:r w:rsidRPr="00950EBB">
        <w:rPr>
          <w:rFonts w:ascii="Verdana" w:eastAsia="Arial" w:hAnsi="Verdana" w:cs="Arial"/>
          <w:bCs/>
          <w:color w:val="000000" w:themeColor="text1"/>
        </w:rPr>
        <w:t xml:space="preserve"> como las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950EBB">
        <w:rPr>
          <w:rFonts w:ascii="Verdana" w:eastAsia="Arial" w:hAnsi="Verdana" w:cs="Arial"/>
          <w:bCs/>
          <w:color w:val="000000" w:themeColor="text1"/>
          <w:vertAlign w:val="superscript"/>
        </w:rPr>
        <w:footnoteReference w:id="19"/>
      </w:r>
      <w:r w:rsidRPr="00950EBB">
        <w:rPr>
          <w:rFonts w:ascii="Verdana" w:eastAsia="Arial" w:hAnsi="Verdana" w:cs="Arial"/>
          <w:bCs/>
          <w:color w:val="000000" w:themeColor="text1"/>
        </w:rPr>
        <w:t xml:space="preserve">. De esta forma, para efectos de la aplicación </w:t>
      </w:r>
      <w:r w:rsidRPr="00950EBB">
        <w:rPr>
          <w:rFonts w:ascii="Verdana" w:eastAsia="Arial" w:hAnsi="Verdana" w:cs="Arial"/>
          <w:bCs/>
          <w:color w:val="000000" w:themeColor="text1"/>
        </w:rPr>
        <w:lastRenderedPageBreak/>
        <w:t xml:space="preserve">de la excepción, se debe verificar que se cumplan los requisitos del artículo 33 de la Ley 996 de 2005. </w:t>
      </w:r>
    </w:p>
    <w:p w14:paraId="05222CD6" w14:textId="77777777" w:rsidR="00950EBB" w:rsidRPr="00950EBB" w:rsidRDefault="00950EBB" w:rsidP="00950EBB">
      <w:pPr>
        <w:spacing w:before="120" w:after="120" w:line="276" w:lineRule="auto"/>
        <w:ind w:firstLine="709"/>
        <w:jc w:val="both"/>
        <w:rPr>
          <w:rFonts w:ascii="Verdana" w:eastAsia="Arial" w:hAnsi="Verdana" w:cs="Arial"/>
          <w:bCs/>
          <w:color w:val="000000" w:themeColor="text1"/>
        </w:rPr>
      </w:pPr>
      <w:r w:rsidRPr="00950EBB">
        <w:rPr>
          <w:rFonts w:ascii="Verdana" w:eastAsia="Arial" w:hAnsi="Verdana" w:cs="Arial"/>
          <w:bCs/>
          <w:color w:val="000000" w:themeColor="text1"/>
        </w:rPr>
        <w:t>Sobre lo anterior, el Consejo de Estado ha señalado que “las entidades que presten servicios tendientes a preservar la salud pública o humana deben ser consideradas como entidades sanitarias y en principio estarían exceptuadas de la prohibición de contratación directa”</w:t>
      </w:r>
      <w:r w:rsidRPr="00950EBB">
        <w:rPr>
          <w:rStyle w:val="Refdenotaalpie"/>
          <w:rFonts w:ascii="Verdana" w:eastAsia="Arial" w:hAnsi="Verdana" w:cs="Arial"/>
          <w:bCs/>
          <w:color w:val="000000" w:themeColor="text1"/>
        </w:rPr>
        <w:footnoteReference w:id="20"/>
      </w:r>
      <w:r w:rsidRPr="00950EBB">
        <w:rPr>
          <w:rFonts w:ascii="Verdana" w:eastAsia="Arial" w:hAnsi="Verdana" w:cs="Arial"/>
          <w:bCs/>
          <w:color w:val="000000" w:themeColor="text1"/>
        </w:rPr>
        <w:t>.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r w:rsidRPr="00950EBB">
        <w:rPr>
          <w:rStyle w:val="Refdenotaalpie"/>
          <w:rFonts w:ascii="Verdana" w:eastAsia="Arial" w:hAnsi="Verdana" w:cs="Arial"/>
          <w:bCs/>
          <w:color w:val="000000" w:themeColor="text1"/>
        </w:rPr>
        <w:footnoteReference w:id="21"/>
      </w:r>
      <w:r w:rsidRPr="00950EBB">
        <w:rPr>
          <w:rFonts w:ascii="Verdana" w:eastAsia="Arial" w:hAnsi="Verdana" w:cs="Arial"/>
          <w:bCs/>
          <w:color w:val="000000" w:themeColor="text1"/>
        </w:rPr>
        <w:t xml:space="preserve">. </w:t>
      </w:r>
    </w:p>
    <w:p w14:paraId="0B1EAE31" w14:textId="77777777" w:rsidR="00950EBB" w:rsidRPr="00950EBB" w:rsidRDefault="00950EBB" w:rsidP="00950EBB">
      <w:pPr>
        <w:spacing w:after="0" w:line="276" w:lineRule="auto"/>
        <w:ind w:firstLine="709"/>
        <w:jc w:val="both"/>
        <w:rPr>
          <w:rFonts w:ascii="Verdana" w:eastAsia="Arial" w:hAnsi="Verdana" w:cs="Arial"/>
          <w:bCs/>
          <w:color w:val="000000" w:themeColor="text1"/>
        </w:rPr>
      </w:pPr>
      <w:r w:rsidRPr="00950EBB">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950EBB">
        <w:rPr>
          <w:rFonts w:ascii="Verdana" w:eastAsia="Arial" w:hAnsi="Verdana" w:cs="Arial"/>
          <w:bCs/>
          <w:i/>
          <w:iCs/>
          <w:color w:val="000000" w:themeColor="text1"/>
        </w:rPr>
        <w:t>el artículo 33</w:t>
      </w:r>
      <w:r w:rsidRPr="00950EBB">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w:t>
      </w:r>
    </w:p>
    <w:p w14:paraId="330D33DE" w14:textId="77777777" w:rsidR="00950EBB" w:rsidRPr="00950EBB" w:rsidRDefault="00950EBB" w:rsidP="00950EBB">
      <w:pPr>
        <w:spacing w:after="0" w:line="276" w:lineRule="auto"/>
        <w:ind w:firstLine="709"/>
        <w:jc w:val="both"/>
        <w:rPr>
          <w:rFonts w:ascii="Verdana" w:eastAsia="Arial" w:hAnsi="Verdana" w:cs="Arial"/>
          <w:bCs/>
          <w:color w:val="000000" w:themeColor="text1"/>
        </w:rPr>
      </w:pPr>
    </w:p>
    <w:p w14:paraId="1C8B899E" w14:textId="77777777" w:rsidR="00950EBB" w:rsidRPr="00950EBB" w:rsidRDefault="00950EBB" w:rsidP="00950EBB">
      <w:pPr>
        <w:spacing w:after="120" w:line="276" w:lineRule="auto"/>
        <w:ind w:firstLine="709"/>
        <w:jc w:val="both"/>
        <w:rPr>
          <w:rFonts w:ascii="Verdana" w:eastAsia="Arial" w:hAnsi="Verdana" w:cs="Arial"/>
          <w:bCs/>
          <w:color w:val="000000" w:themeColor="text1"/>
        </w:rPr>
      </w:pPr>
      <w:r w:rsidRPr="00950EBB">
        <w:rPr>
          <w:rFonts w:ascii="Verdana" w:eastAsia="Arial" w:hAnsi="Verdana" w:cs="Arial"/>
          <w:bCs/>
          <w:color w:val="000000" w:themeColor="text1"/>
        </w:rPr>
        <w:t xml:space="preserve">Teniendo en cuenta lo expuesto, la entidad, previo análisis de las excepciones, podrá proceder en tal sentido y contratar directamente a pesar de que haya iniciado el periodo de garantías electorales correspondiente al artículo 33 de la Ley 996 de 2005. </w:t>
      </w:r>
    </w:p>
    <w:p w14:paraId="302B2E31" w14:textId="77777777" w:rsidR="00950EBB" w:rsidRPr="00950EBB" w:rsidRDefault="00950EBB" w:rsidP="00950EBB">
      <w:pPr>
        <w:spacing w:after="120" w:line="276" w:lineRule="auto"/>
        <w:ind w:firstLine="709"/>
        <w:jc w:val="both"/>
        <w:rPr>
          <w:rFonts w:ascii="Verdana" w:eastAsia="Arial" w:hAnsi="Verdana" w:cs="Arial"/>
          <w:bCs/>
          <w:color w:val="000000" w:themeColor="text1"/>
        </w:rPr>
      </w:pPr>
      <w:r w:rsidRPr="00950EBB">
        <w:rPr>
          <w:rFonts w:ascii="Verdana" w:eastAsia="Arial" w:hAnsi="Verdana" w:cs="Arial"/>
          <w:bCs/>
          <w:color w:val="000000" w:themeColor="text1"/>
        </w:rPr>
        <w:t xml:space="preserve">Con respecto a la prohibición del </w:t>
      </w:r>
      <w:r w:rsidRPr="00950EBB">
        <w:rPr>
          <w:rFonts w:ascii="Verdana" w:eastAsia="Arial" w:hAnsi="Verdana" w:cs="Arial"/>
          <w:bCs/>
          <w:i/>
          <w:iCs/>
          <w:color w:val="000000" w:themeColor="text1"/>
        </w:rPr>
        <w:t>parágrafo del artículo 38</w:t>
      </w:r>
      <w:r w:rsidRPr="00950EBB">
        <w:rPr>
          <w:rFonts w:ascii="Verdana" w:eastAsia="Arial" w:hAnsi="Verdana" w:cs="Arial"/>
          <w:bCs/>
          <w:color w:val="000000" w:themeColor="text1"/>
        </w:rPr>
        <w:t xml:space="preserve">, es necesario verificar si la contratación es llevada a cabo por los “Alcaldes, Gobernadores, </w:t>
      </w:r>
      <w:r w:rsidRPr="00950EBB">
        <w:rPr>
          <w:rFonts w:ascii="Verdana" w:eastAsia="Arial" w:hAnsi="Verdana" w:cs="Arial"/>
          <w:bCs/>
          <w:color w:val="000000" w:themeColor="text1"/>
        </w:rPr>
        <w:lastRenderedPageBreak/>
        <w:t>Secretarios, Gerentes y Directores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celebración de convenios interadministrativos</w:t>
      </w:r>
      <w:r w:rsidRPr="00950EBB">
        <w:rPr>
          <w:rStyle w:val="Refdenotaalpie"/>
          <w:rFonts w:ascii="Verdana" w:eastAsia="Arial" w:hAnsi="Verdana" w:cs="Arial"/>
          <w:bCs/>
          <w:color w:val="000000" w:themeColor="text1"/>
        </w:rPr>
        <w:footnoteReference w:id="22"/>
      </w:r>
      <w:r w:rsidRPr="00950EBB">
        <w:rPr>
          <w:rFonts w:ascii="Verdana" w:eastAsia="Arial" w:hAnsi="Verdana" w:cs="Arial"/>
          <w:bCs/>
          <w:color w:val="000000" w:themeColor="text1"/>
        </w:rPr>
        <w:t xml:space="preserve"> en los cuatro meses anteriores a cualquier contienda electoral. En este aspecto, se encuentra que la restricción para la celebración de convenios interadministrativos para la ejecución de recursos públicos no puede aludirse a contratantes o contratistas, sino de partes cooperantes o colaboradoras. </w:t>
      </w:r>
      <w:r w:rsidRPr="00950EBB">
        <w:rPr>
          <w:rFonts w:ascii="Verdana" w:eastAsia="Arial" w:hAnsi="Verdana" w:cs="Arial"/>
          <w:bCs/>
          <w:color w:val="000000" w:themeColor="text1"/>
          <w:lang w:val="es-MX"/>
        </w:rPr>
        <w:t xml:space="preserve">Esta restricción se extiende a las elecciones presidenciales que se celebrarán el 31 de mayo de 2026, así como una posible segunda vuelta tres semanas después, es decir, el 21 de junio de 2026. </w:t>
      </w:r>
    </w:p>
    <w:p w14:paraId="0397E5B2" w14:textId="77777777" w:rsidR="00950EBB" w:rsidRPr="00950EBB" w:rsidRDefault="00950EBB" w:rsidP="00950EBB">
      <w:pPr>
        <w:spacing w:before="120" w:after="120" w:line="276" w:lineRule="auto"/>
        <w:jc w:val="both"/>
        <w:rPr>
          <w:rFonts w:ascii="Verdana" w:eastAsia="Arial" w:hAnsi="Verdana" w:cs="Arial"/>
          <w:bCs/>
          <w:color w:val="000000" w:themeColor="text1"/>
        </w:rPr>
      </w:pPr>
      <w:r w:rsidRPr="00950EBB">
        <w:rPr>
          <w:rFonts w:ascii="Verdana" w:eastAsia="Arial" w:hAnsi="Verdana" w:cs="Arial"/>
          <w:bCs/>
          <w:color w:val="000000" w:themeColor="text1"/>
          <w:lang w:val="es-MX"/>
        </w:rPr>
        <w:tab/>
        <w:t xml:space="preserve">Así las cosas, en cuanto a la celebración de contratos interadministrativos ya no es aplicable la restricción del parágrafo del artículo 38, según la sentencia precitada en consideraciones previas, pero sujeto a las restricciones del artículo 33 si se adelanta la contratación de forma directa, esto es, un procedimiento no competitivo. </w:t>
      </w:r>
      <w:r w:rsidRPr="00950EBB">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7553939C" w14:textId="77777777" w:rsidR="00950EBB" w:rsidRPr="00950EBB" w:rsidRDefault="00950EBB" w:rsidP="00950EBB">
      <w:pPr>
        <w:spacing w:after="120" w:line="276" w:lineRule="auto"/>
        <w:ind w:firstLine="709"/>
        <w:jc w:val="both"/>
        <w:rPr>
          <w:rFonts w:ascii="Verdana" w:eastAsia="Calibri" w:hAnsi="Verdana" w:cs="Arial"/>
          <w:lang w:val="es-ES" w:eastAsia="es-ES"/>
        </w:rPr>
      </w:pPr>
      <w:r w:rsidRPr="00950EBB">
        <w:rPr>
          <w:rFonts w:ascii="Verdana" w:eastAsia="Calibri" w:hAnsi="Verdana" w:cs="Arial"/>
        </w:rPr>
        <w:t>En particular, cada Entidad Estatal deberá 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950EBB">
        <w:rPr>
          <w:rFonts w:ascii="Verdana" w:hAnsi="Verdana" w:cs="Arial"/>
          <w:lang w:eastAsia="es-CO"/>
        </w:rPr>
        <w:t xml:space="preserve">. Por el contrario, si el estudio determina que no aplica excepción alguna estará vedada la celebración de </w:t>
      </w:r>
      <w:r w:rsidRPr="00950EBB">
        <w:rPr>
          <w:rFonts w:ascii="Verdana" w:hAnsi="Verdana" w:cs="Arial"/>
          <w:lang w:eastAsia="es-CO"/>
        </w:rPr>
        <w:lastRenderedPageBreak/>
        <w:t>contratos de manera directa. Lo anterior, sin perjuicio de la prohibición establecida en el parágrafo del artículo 38 de la Ley de Garantías Electorales.</w:t>
      </w:r>
    </w:p>
    <w:p w14:paraId="2252BF7C" w14:textId="77777777" w:rsidR="00950EBB" w:rsidRPr="00950EBB" w:rsidRDefault="00950EBB" w:rsidP="00950EBB">
      <w:pPr>
        <w:spacing w:after="120" w:line="276" w:lineRule="auto"/>
        <w:ind w:firstLine="709"/>
        <w:jc w:val="both"/>
        <w:rPr>
          <w:rFonts w:ascii="Verdana" w:eastAsia="Times New Roman" w:hAnsi="Verdana" w:cs="Arial"/>
          <w:lang w:eastAsia="es-CO"/>
        </w:rPr>
      </w:pPr>
      <w:r w:rsidRPr="00950EBB">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7B867DE" w14:textId="7DC1473A" w:rsidR="00950EBB" w:rsidRPr="00950EBB" w:rsidRDefault="00950EBB" w:rsidP="00950EBB">
      <w:pPr>
        <w:tabs>
          <w:tab w:val="left" w:pos="0"/>
        </w:tabs>
        <w:spacing w:after="120" w:line="276" w:lineRule="auto"/>
        <w:ind w:firstLine="709"/>
        <w:jc w:val="both"/>
        <w:rPr>
          <w:rFonts w:ascii="Verdana" w:eastAsia="Times New Roman" w:hAnsi="Verdana" w:cs="Arial"/>
          <w:bCs/>
          <w:lang w:val="es-MX" w:eastAsia="es-CO"/>
        </w:rPr>
      </w:pPr>
      <w:r w:rsidRPr="00950EBB">
        <w:rPr>
          <w:rFonts w:ascii="Verdana"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8757627" w14:textId="77777777" w:rsidR="00950EBB" w:rsidRPr="00950EBB" w:rsidRDefault="00950EBB" w:rsidP="00950E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0EBB">
        <w:rPr>
          <w:rFonts w:ascii="Verdana" w:eastAsia="Century Gothic" w:hAnsi="Verdana" w:cs="Century Gothic"/>
          <w:b/>
          <w:bCs/>
        </w:rPr>
        <w:t>Referencias normativas, jurisprudenciales y otras fuentes:</w:t>
      </w:r>
    </w:p>
    <w:p w14:paraId="7D42B372" w14:textId="77777777" w:rsidR="00950EBB" w:rsidRPr="00950EBB" w:rsidRDefault="00950EBB" w:rsidP="00950EB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0EBB" w:rsidRPr="00950EBB" w14:paraId="08D67759" w14:textId="77777777" w:rsidTr="000B0402">
        <w:trPr>
          <w:trHeight w:val="870"/>
        </w:trPr>
        <w:tc>
          <w:tcPr>
            <w:tcW w:w="8647" w:type="dxa"/>
          </w:tcPr>
          <w:p w14:paraId="02EB113B"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hAnsi="Verdana" w:cs="Arial"/>
                <w:lang w:eastAsia="es-ES"/>
              </w:rPr>
              <w:t>Ley 80 de 1993 artículos 41 y 42.</w:t>
            </w:r>
          </w:p>
          <w:p w14:paraId="0F00BECE"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hAnsi="Verdana" w:cs="Arial"/>
                <w:lang w:eastAsia="es-ES"/>
              </w:rPr>
              <w:t>Ley 1150 de 2007</w:t>
            </w:r>
          </w:p>
          <w:p w14:paraId="2AA4AB6C"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hAnsi="Verdana" w:cs="Arial"/>
                <w:lang w:eastAsia="es-ES"/>
              </w:rPr>
              <w:t>Ley 996 de 2005. Artículos 33 y parágrafo del artículo 38.</w:t>
            </w:r>
          </w:p>
          <w:p w14:paraId="0A511CC3"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hAnsi="Verdana" w:cs="Arial"/>
                <w:lang w:eastAsia="es-ES"/>
              </w:rPr>
              <w:t>Ley 100 de 1993. Artículos 94, 194.</w:t>
            </w:r>
          </w:p>
          <w:p w14:paraId="64C9261A"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eastAsia="Arial" w:hAnsi="Verdana" w:cs="Arial"/>
                <w:bCs/>
                <w:color w:val="000000" w:themeColor="text1"/>
              </w:rPr>
              <w:t>Decreto 780 de 2016. Artículo 2.8.8.1.1.3.</w:t>
            </w:r>
            <w:r w:rsidRPr="00950EBB">
              <w:rPr>
                <w:rFonts w:ascii="Verdana" w:hAnsi="Verdana" w:cs="Arial"/>
                <w:lang w:eastAsia="es-ES"/>
              </w:rPr>
              <w:t xml:space="preserve"> </w:t>
            </w:r>
          </w:p>
          <w:p w14:paraId="13C7954E"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hAnsi="Verdana" w:cs="Arial"/>
                <w:lang w:eastAsia="es-ES"/>
              </w:rPr>
              <w:t xml:space="preserve">Consejo de Estado. Sala de lo Contencioso Administrativo. Sección Primera. Sentencia de 3 de marzo de 2005. Radicado: 25001-23-15-000-2004-00823-01 (PI). C.P: Camilo Arciniegas Andrade. </w:t>
            </w:r>
          </w:p>
          <w:p w14:paraId="6AB78D5A"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hAnsi="Verdana" w:cs="Arial"/>
                <w:lang w:eastAsia="es-ES"/>
              </w:rPr>
              <w:t xml:space="preserve">Consejo de Estado. Sala de lo Contencioso Administrativo. Sección Tercera. Sentencia de 22 de enero de 2002, expediente número 2001-0148-01 </w:t>
            </w:r>
          </w:p>
          <w:p w14:paraId="1EB6A27E" w14:textId="77777777" w:rsidR="00950EBB" w:rsidRPr="00950EBB" w:rsidRDefault="00950EBB" w:rsidP="000B0402">
            <w:pPr>
              <w:pStyle w:val="Prrafodelista"/>
              <w:numPr>
                <w:ilvl w:val="0"/>
                <w:numId w:val="17"/>
              </w:numPr>
              <w:spacing w:after="120"/>
              <w:jc w:val="both"/>
              <w:rPr>
                <w:rFonts w:ascii="Verdana" w:hAnsi="Verdana" w:cs="Arial"/>
                <w:lang w:eastAsia="es-ES"/>
              </w:rPr>
            </w:pPr>
            <w:r w:rsidRPr="00950EBB">
              <w:rPr>
                <w:rFonts w:ascii="Verdana" w:hAnsi="Verdana" w:cs="Arial"/>
                <w:lang w:eastAsia="es-ES"/>
              </w:rPr>
              <w:t>Consejo de Estado. Sala de lo Contencioso Administrativo. Sección Tercera. Sentencia de 20 de noviembre de 2001, expediente número 2001-0130-01(PI).</w:t>
            </w:r>
          </w:p>
          <w:p w14:paraId="5F848BB8"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lastRenderedPageBreak/>
              <w:t>Consejo de Estado. Sala de Consulta y Servicio Civil. Concepto del 18 de febrero 2010. Rad. 11001-03-06-000-2010-00006-00 (1985). C.P. Enrique José Arboleda Perdomo.</w:t>
            </w:r>
          </w:p>
          <w:p w14:paraId="7AF10AC6"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t xml:space="preserve">Consejo de Estado. Sala de lo Contencioso Administrativo. Sección Tercera. Sentencia del 21 de febrero de 2025. </w:t>
            </w:r>
            <w:proofErr w:type="spellStart"/>
            <w:r w:rsidRPr="00950EBB">
              <w:rPr>
                <w:rFonts w:ascii="Verdana" w:hAnsi="Verdana" w:cs="Arial"/>
                <w:lang w:eastAsia="es-ES"/>
              </w:rPr>
              <w:t>Exp</w:t>
            </w:r>
            <w:proofErr w:type="spellEnd"/>
            <w:r w:rsidRPr="00950EBB">
              <w:rPr>
                <w:rFonts w:ascii="Verdana" w:hAnsi="Verdana" w:cs="Arial"/>
                <w:lang w:eastAsia="es-ES"/>
              </w:rPr>
              <w:t>. 68.280. CP: José Roberto Sáchica Méndez.</w:t>
            </w:r>
          </w:p>
          <w:p w14:paraId="0C375494"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lang w:val="es-CO"/>
              </w:rPr>
              <w:t xml:space="preserve">Consejo de Estado. Sala de lo Contencioso Administrativo. Sección Tercera. Subsección B. Auto del 4 de octubre de 2024. </w:t>
            </w:r>
            <w:proofErr w:type="spellStart"/>
            <w:r w:rsidRPr="00950EBB">
              <w:rPr>
                <w:rFonts w:ascii="Verdana" w:hAnsi="Verdana"/>
                <w:lang w:val="es-CO"/>
              </w:rPr>
              <w:t>Exp</w:t>
            </w:r>
            <w:proofErr w:type="spellEnd"/>
            <w:r w:rsidRPr="00950EBB">
              <w:rPr>
                <w:rFonts w:ascii="Verdana" w:hAnsi="Verdana"/>
                <w:lang w:val="es-CO"/>
              </w:rPr>
              <w:t>. 70.313. C.P: Fredy Ibarra Martínez.</w:t>
            </w:r>
          </w:p>
          <w:p w14:paraId="41B474FA"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t>Consejo de Estado. Sala de lo Contencioso Administrativo. Sección Tercera. Subsección B. 17 de octubre de 2025. C.P. Fredy Ibarra Martínez.</w:t>
            </w:r>
          </w:p>
          <w:p w14:paraId="42F87209"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t xml:space="preserve">Consejo de Estado. Sala de Consulta y Servicio Civil. Concepto del 12 de junio de 2018. Radicación: 11001-03-06-000-2018-0043-00. (2371). C.P: Oscar Darío Amaya Navas. </w:t>
            </w:r>
          </w:p>
          <w:p w14:paraId="503BAD98"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t>Corte Constitucional. Sentencia C- 1153 de 2005, M.P: Marco Gerardo Monroy Cabra.</w:t>
            </w:r>
            <w:r w:rsidRPr="00950EBB">
              <w:rPr>
                <w:rFonts w:ascii="Verdana" w:hAnsi="Verdana" w:cs="Arial"/>
                <w:lang w:eastAsia="es-ES"/>
              </w:rPr>
              <w:tab/>
            </w:r>
          </w:p>
          <w:p w14:paraId="1C7F7065"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t>Corte Constitucional. Sentencia C-233 de 4 de abril de 2002. M.P: Álvaro Tafur Galvis.</w:t>
            </w:r>
          </w:p>
          <w:p w14:paraId="600793CD"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t>Corte Constitucional. Sentencia C-551 de 9 de julio de 2003. M.P: Eduardo Montealegre Lynnet.</w:t>
            </w:r>
          </w:p>
          <w:p w14:paraId="1DBE19C2"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cs="Arial"/>
                <w:lang w:eastAsia="es-ES"/>
              </w:rPr>
              <w:t xml:space="preserve">Corte Constitucional. Sentencia C-353 de 20 de mayo de 2009. M.P: Jorge Iván Palacio </w:t>
            </w:r>
            <w:proofErr w:type="spellStart"/>
            <w:r w:rsidRPr="00950EBB">
              <w:rPr>
                <w:rFonts w:ascii="Verdana" w:hAnsi="Verdana" w:cs="Arial"/>
                <w:lang w:eastAsia="es-ES"/>
              </w:rPr>
              <w:t>Palacio</w:t>
            </w:r>
            <w:proofErr w:type="spellEnd"/>
            <w:r w:rsidRPr="00950EBB">
              <w:rPr>
                <w:rFonts w:ascii="Verdana" w:hAnsi="Verdana" w:cs="Arial"/>
                <w:lang w:eastAsia="es-ES"/>
              </w:rPr>
              <w:t>.</w:t>
            </w:r>
          </w:p>
          <w:p w14:paraId="20EEEBBD" w14:textId="77777777" w:rsidR="00950EBB" w:rsidRPr="00950EBB" w:rsidRDefault="00950EBB" w:rsidP="000B0402">
            <w:pPr>
              <w:pStyle w:val="Prrafodelista"/>
              <w:numPr>
                <w:ilvl w:val="0"/>
                <w:numId w:val="17"/>
              </w:numPr>
              <w:spacing w:after="120" w:line="276" w:lineRule="auto"/>
              <w:jc w:val="both"/>
              <w:rPr>
                <w:rFonts w:ascii="Verdana" w:hAnsi="Verdana" w:cs="Arial"/>
                <w:lang w:eastAsia="es-ES"/>
              </w:rPr>
            </w:pPr>
            <w:r w:rsidRPr="00950EBB">
              <w:rPr>
                <w:rFonts w:ascii="Verdana" w:hAnsi="Verdana"/>
              </w:rPr>
              <w:t xml:space="preserve">Agencia Nacional de Contratación Pública. Circular Externa 006 del 25 de septiembre de 2025. Disponible en </w:t>
            </w:r>
            <w:hyperlink r:id="rId11" w:history="1">
              <w:r w:rsidRPr="00950EBB">
                <w:rPr>
                  <w:rStyle w:val="Hipervnculo"/>
                  <w:rFonts w:ascii="Verdana" w:hAnsi="Verdana"/>
                  <w:lang w:val="es-CO"/>
                </w:rPr>
                <w:t>006-de-2025-Circular-Externa-L996-ajustado-comentarios-BM-BID-Rev-ARSC-V3.d-1.pdf</w:t>
              </w:r>
            </w:hyperlink>
          </w:p>
        </w:tc>
      </w:tr>
    </w:tbl>
    <w:p w14:paraId="26AD41F6" w14:textId="77777777" w:rsidR="00950EBB" w:rsidRPr="00950EBB" w:rsidRDefault="00950EBB" w:rsidP="00950EBB">
      <w:pPr>
        <w:widowControl w:val="0"/>
        <w:autoSpaceDE w:val="0"/>
        <w:autoSpaceDN w:val="0"/>
        <w:spacing w:after="0" w:line="276" w:lineRule="auto"/>
        <w:jc w:val="both"/>
        <w:rPr>
          <w:rFonts w:ascii="Verdana" w:hAnsi="Verdana" w:cs="Arial"/>
        </w:rPr>
      </w:pPr>
    </w:p>
    <w:p w14:paraId="5FC84FC9" w14:textId="77777777" w:rsidR="00950EBB" w:rsidRPr="00950EBB" w:rsidRDefault="00950EBB" w:rsidP="00950E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0EBB">
        <w:rPr>
          <w:rFonts w:ascii="Verdana" w:eastAsia="Century Gothic" w:hAnsi="Verdana" w:cs="Century Gothic"/>
          <w:b/>
          <w:bCs/>
        </w:rPr>
        <w:t>Doctrina de la Agencia Nacional de Contratación Pública:</w:t>
      </w:r>
    </w:p>
    <w:p w14:paraId="22A9AE8F" w14:textId="77777777" w:rsidR="00950EBB" w:rsidRPr="00950EBB" w:rsidRDefault="00950EBB" w:rsidP="00950EBB">
      <w:pPr>
        <w:widowControl w:val="0"/>
        <w:autoSpaceDE w:val="0"/>
        <w:autoSpaceDN w:val="0"/>
        <w:spacing w:after="0" w:line="276" w:lineRule="auto"/>
        <w:jc w:val="both"/>
        <w:rPr>
          <w:rFonts w:ascii="Verdana" w:hAnsi="Verdana" w:cs="Arial"/>
        </w:rPr>
      </w:pPr>
    </w:p>
    <w:p w14:paraId="57F8CCAC" w14:textId="42599381" w:rsidR="00950EBB" w:rsidRPr="00950EBB" w:rsidRDefault="00950EBB" w:rsidP="00950EBB">
      <w:pPr>
        <w:widowControl w:val="0"/>
        <w:autoSpaceDE w:val="0"/>
        <w:autoSpaceDN w:val="0"/>
        <w:spacing w:after="0" w:line="276" w:lineRule="auto"/>
        <w:jc w:val="both"/>
        <w:rPr>
          <w:rFonts w:ascii="Verdana" w:hAnsi="Verdana" w:cs="Arial"/>
          <w:color w:val="000000" w:themeColor="text1"/>
          <w:shd w:val="clear" w:color="auto" w:fill="FFFFFF"/>
          <w:lang w:val="es-ES"/>
        </w:rPr>
      </w:pPr>
      <w:r w:rsidRPr="00950EBB">
        <w:rPr>
          <w:rFonts w:ascii="Verdana" w:hAnsi="Verdana" w:cs="Arial"/>
          <w:shd w:val="clear" w:color="auto" w:fill="FFFFFF"/>
        </w:rPr>
        <w:t xml:space="preserve">Esta Subdirección se ha referido 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w:t>
      </w:r>
      <w:r w:rsidRPr="00950EBB">
        <w:rPr>
          <w:rFonts w:ascii="Verdana" w:hAnsi="Verdana" w:cs="Arial"/>
          <w:shd w:val="clear" w:color="auto" w:fill="FFFFFF"/>
        </w:rPr>
        <w:lastRenderedPageBreak/>
        <w:t xml:space="preserve">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C-1124 del 18 de septiembre de 2025, C-1491 del 20 de noviembre de 2025, C- 1492 del </w:t>
      </w:r>
      <w:r w:rsidRPr="00950EBB">
        <w:rPr>
          <w:rFonts w:ascii="Verdana" w:hAnsi="Verdana"/>
        </w:rPr>
        <w:t>21 de noviembre del 2025, C-1629, C-1646 del 17 de diciembre de 2025, C-1662 del 22 de diciembre de 2025</w:t>
      </w:r>
      <w:r w:rsidRPr="00950EBB">
        <w:rPr>
          <w:rStyle w:val="normaltextrun"/>
          <w:rFonts w:ascii="Verdana" w:hAnsi="Verdana" w:cs="Arial"/>
          <w:shd w:val="clear" w:color="auto" w:fill="FFFFFF"/>
          <w:lang w:val="es-ES"/>
        </w:rPr>
        <w:t>, C-160 del 24 de febrero de 2026, C-108 del 4 de marzo de 2026, entre otros.</w:t>
      </w:r>
      <w:r w:rsidRPr="00950EBB">
        <w:rPr>
          <w:rFonts w:ascii="Verdana" w:hAnsi="Verdana" w:cs="Arial"/>
          <w:shd w:val="clear" w:color="auto" w:fill="FFFFFF"/>
          <w:lang w:val="es-ES"/>
        </w:rPr>
        <w:t xml:space="preserve"> </w:t>
      </w:r>
      <w:r w:rsidRPr="00950EBB">
        <w:rPr>
          <w:rFonts w:ascii="Verdana" w:hAnsi="Verdana" w:cs="Arial"/>
        </w:rPr>
        <w:t xml:space="preserve">Estos y otros </w:t>
      </w:r>
      <w:r w:rsidRPr="00950EBB">
        <w:rPr>
          <w:rFonts w:ascii="Verdana" w:hAnsi="Verdana"/>
        </w:rPr>
        <w:t>conceptos se encuentran disponibles para consulta en el Sistema de relatoría de la Agencia, al cual se puede acceder a través del siguiente enlace:</w:t>
      </w:r>
      <w:r w:rsidRPr="00950EBB">
        <w:rPr>
          <w:rFonts w:ascii="Verdana" w:hAnsi="Verdana" w:cs="Arial"/>
          <w:shd w:val="clear" w:color="auto" w:fill="FFFFFF"/>
        </w:rPr>
        <w:t xml:space="preserve"> </w:t>
      </w:r>
      <w:hyperlink r:id="rId12" w:history="1">
        <w:r w:rsidRPr="00950EBB">
          <w:rPr>
            <w:rStyle w:val="Hipervnculo"/>
            <w:rFonts w:ascii="Verdana" w:hAnsi="Verdana" w:cs="Arial"/>
            <w:shd w:val="clear" w:color="auto" w:fill="FFFFFF"/>
          </w:rPr>
          <w:t>https://relatoria.colombiacompra.gov.co/busqueda/conceptos</w:t>
        </w:r>
      </w:hyperlink>
      <w:r w:rsidRPr="00950EBB">
        <w:rPr>
          <w:rStyle w:val="Hipervnculo"/>
          <w:rFonts w:ascii="Verdana" w:hAnsi="Verdana"/>
        </w:rPr>
        <w:t>.</w:t>
      </w:r>
      <w:r w:rsidRPr="00950EBB">
        <w:rPr>
          <w:rStyle w:val="normaltextrun"/>
          <w:rFonts w:ascii="Verdana" w:hAnsi="Verdana" w:cs="Arial"/>
          <w:color w:val="000000" w:themeColor="text1"/>
          <w:shd w:val="clear" w:color="auto" w:fill="FFFFFF"/>
        </w:rPr>
        <w:t xml:space="preserve"> </w:t>
      </w:r>
      <w:r w:rsidRPr="00950EBB">
        <w:rPr>
          <w:rStyle w:val="normaltextrun"/>
          <w:rFonts w:ascii="Verdana" w:hAnsi="Verdana" w:cs="Arial"/>
          <w:color w:val="000000" w:themeColor="text1"/>
          <w:shd w:val="clear" w:color="auto" w:fill="FFFFFF"/>
          <w:lang w:val="es-ES"/>
        </w:rPr>
        <w:t xml:space="preserve"> </w:t>
      </w:r>
    </w:p>
    <w:p w14:paraId="7ED0BE31" w14:textId="77777777" w:rsidR="00950EBB" w:rsidRPr="00950EBB" w:rsidRDefault="00950EBB" w:rsidP="00950EBB">
      <w:pPr>
        <w:spacing w:after="0" w:line="240" w:lineRule="auto"/>
        <w:jc w:val="both"/>
        <w:rPr>
          <w:rFonts w:ascii="Verdana" w:hAnsi="Verdana"/>
        </w:rPr>
      </w:pPr>
    </w:p>
    <w:p w14:paraId="291D6A98" w14:textId="77777777" w:rsidR="00950EBB" w:rsidRPr="00950EBB" w:rsidRDefault="00950EBB" w:rsidP="00950EBB">
      <w:pPr>
        <w:spacing w:after="0" w:line="240" w:lineRule="auto"/>
        <w:jc w:val="both"/>
        <w:rPr>
          <w:rFonts w:ascii="Verdana" w:hAnsi="Verdana"/>
        </w:rPr>
      </w:pPr>
      <w:r w:rsidRPr="00950EBB">
        <w:rPr>
          <w:rFonts w:ascii="Verdana" w:hAnsi="Verdana"/>
        </w:rPr>
        <w:t xml:space="preserve">Por último, lo invitamos a seguirnos en las redes sociales en las cuales se difunde información institucional: </w:t>
      </w:r>
    </w:p>
    <w:p w14:paraId="688F0862" w14:textId="77777777" w:rsidR="00950EBB" w:rsidRPr="00950EBB" w:rsidRDefault="00950EBB" w:rsidP="00950EBB">
      <w:pPr>
        <w:spacing w:after="0" w:line="240" w:lineRule="auto"/>
        <w:jc w:val="both"/>
        <w:rPr>
          <w:rFonts w:ascii="Verdana" w:hAnsi="Verdana"/>
        </w:rPr>
      </w:pPr>
    </w:p>
    <w:p w14:paraId="52417629" w14:textId="77777777" w:rsidR="00950EBB" w:rsidRPr="00950EBB" w:rsidRDefault="00950EBB" w:rsidP="00950EBB">
      <w:pPr>
        <w:spacing w:after="0" w:line="240" w:lineRule="auto"/>
        <w:jc w:val="both"/>
        <w:rPr>
          <w:rFonts w:ascii="Verdana" w:hAnsi="Verdana"/>
        </w:rPr>
      </w:pPr>
      <w:r w:rsidRPr="00950EBB">
        <w:rPr>
          <w:rFonts w:ascii="Verdana" w:hAnsi="Verdana"/>
        </w:rPr>
        <w:t xml:space="preserve">Twitter: </w:t>
      </w:r>
      <w:r w:rsidRPr="00950EBB">
        <w:rPr>
          <w:rStyle w:val="Hipervnculo"/>
          <w:rFonts w:ascii="Verdana" w:hAnsi="Verdana"/>
        </w:rPr>
        <w:t>@colombiacompra</w:t>
      </w:r>
      <w:r w:rsidRPr="00950EBB">
        <w:rPr>
          <w:rFonts w:ascii="Verdana" w:hAnsi="Verdana"/>
          <w:color w:val="0000FF"/>
        </w:rPr>
        <w:t xml:space="preserve"> </w:t>
      </w:r>
    </w:p>
    <w:p w14:paraId="345EE593" w14:textId="77777777" w:rsidR="00950EBB" w:rsidRPr="00950EBB" w:rsidRDefault="00950EBB" w:rsidP="00950EBB">
      <w:pPr>
        <w:spacing w:after="0" w:line="240" w:lineRule="auto"/>
        <w:jc w:val="both"/>
        <w:rPr>
          <w:rFonts w:ascii="Verdana" w:hAnsi="Verdana"/>
        </w:rPr>
      </w:pPr>
      <w:r w:rsidRPr="00950EBB">
        <w:rPr>
          <w:rFonts w:ascii="Verdana" w:hAnsi="Verdana"/>
        </w:rPr>
        <w:t xml:space="preserve">Facebook: </w:t>
      </w:r>
      <w:proofErr w:type="spellStart"/>
      <w:r w:rsidRPr="00950EBB">
        <w:rPr>
          <w:rStyle w:val="Hipervnculo"/>
          <w:rFonts w:ascii="Verdana" w:hAnsi="Verdana"/>
        </w:rPr>
        <w:t>ColombiaCompraEficiente</w:t>
      </w:r>
      <w:proofErr w:type="spellEnd"/>
    </w:p>
    <w:p w14:paraId="379A1AB6" w14:textId="77777777" w:rsidR="00950EBB" w:rsidRPr="00950EBB" w:rsidRDefault="00950EBB" w:rsidP="00950EBB">
      <w:pPr>
        <w:spacing w:after="0" w:line="240" w:lineRule="auto"/>
        <w:jc w:val="both"/>
        <w:rPr>
          <w:rFonts w:ascii="Verdana" w:hAnsi="Verdana"/>
        </w:rPr>
      </w:pPr>
      <w:r w:rsidRPr="00950EBB">
        <w:rPr>
          <w:rFonts w:ascii="Verdana" w:hAnsi="Verdana"/>
        </w:rPr>
        <w:t xml:space="preserve">LinkedIn: </w:t>
      </w:r>
      <w:r w:rsidRPr="00950EBB">
        <w:rPr>
          <w:rStyle w:val="Hipervnculo"/>
          <w:rFonts w:ascii="Verdana" w:hAnsi="Verdana"/>
        </w:rPr>
        <w:t>Agencia Nacional de Contratación Pública - Colombia Compra Eficiente</w:t>
      </w:r>
      <w:r w:rsidRPr="00950EBB">
        <w:rPr>
          <w:rFonts w:ascii="Verdana" w:hAnsi="Verdana"/>
          <w:color w:val="0000FF"/>
        </w:rPr>
        <w:t xml:space="preserve"> </w:t>
      </w:r>
      <w:r w:rsidRPr="00950EBB">
        <w:rPr>
          <w:rFonts w:ascii="Verdana" w:hAnsi="Verdana"/>
        </w:rPr>
        <w:t xml:space="preserve">Instagram: </w:t>
      </w:r>
      <w:r w:rsidRPr="00950EBB">
        <w:rPr>
          <w:rStyle w:val="Hipervnculo"/>
          <w:rFonts w:ascii="Verdana" w:hAnsi="Verdana"/>
        </w:rPr>
        <w:t>@colombiacompraeficiente_cce</w:t>
      </w:r>
    </w:p>
    <w:p w14:paraId="2DFF7795" w14:textId="77777777" w:rsidR="00950EBB" w:rsidRPr="00950EBB" w:rsidRDefault="00950EBB" w:rsidP="00950EBB">
      <w:pPr>
        <w:widowControl w:val="0"/>
        <w:autoSpaceDE w:val="0"/>
        <w:autoSpaceDN w:val="0"/>
        <w:spacing w:after="0" w:line="276" w:lineRule="auto"/>
        <w:jc w:val="both"/>
        <w:rPr>
          <w:rFonts w:ascii="Verdana" w:hAnsi="Verdana" w:cs="Arial"/>
        </w:rPr>
      </w:pPr>
    </w:p>
    <w:p w14:paraId="3C9B6333" w14:textId="77777777" w:rsidR="00950EBB" w:rsidRPr="00950EBB" w:rsidRDefault="00950EBB" w:rsidP="00950EBB">
      <w:pPr>
        <w:widowControl w:val="0"/>
        <w:autoSpaceDE w:val="0"/>
        <w:autoSpaceDN w:val="0"/>
        <w:spacing w:after="0" w:line="276" w:lineRule="auto"/>
        <w:jc w:val="both"/>
        <w:rPr>
          <w:rFonts w:ascii="Verdana" w:hAnsi="Verdana" w:cs="Arial"/>
          <w:lang w:val="es-ES_tradnl"/>
        </w:rPr>
      </w:pPr>
      <w:r w:rsidRPr="00950EBB">
        <w:rPr>
          <w:rFonts w:ascii="Verdana" w:hAnsi="Verdana" w:cs="Arial"/>
        </w:rPr>
        <w:t xml:space="preserve">Este concepto tiene el alcance previsto en el artículo 28 del Código de Procedimiento Administrativo y de lo Contencioso Administrativo </w:t>
      </w:r>
      <w:r w:rsidRPr="00950EBB">
        <w:rPr>
          <w:rFonts w:ascii="Verdana" w:hAnsi="Verdana" w:cs="Arial"/>
          <w:lang w:val="es-ES_tradnl"/>
        </w:rPr>
        <w:t>y las expresiones aquí utilizadas con mayúscula inicial deben ser entendidas con el significado que les otorga el artículo 2.2.1.1.1.3.1. del Decreto 1082 de 2015.</w:t>
      </w:r>
    </w:p>
    <w:p w14:paraId="30396DBA" w14:textId="77777777" w:rsidR="00950EBB" w:rsidRPr="00950EBB" w:rsidRDefault="00950EBB" w:rsidP="00950EBB">
      <w:pPr>
        <w:widowControl w:val="0"/>
        <w:autoSpaceDE w:val="0"/>
        <w:autoSpaceDN w:val="0"/>
        <w:spacing w:after="0" w:line="276" w:lineRule="auto"/>
        <w:jc w:val="both"/>
        <w:rPr>
          <w:rFonts w:ascii="Verdana" w:hAnsi="Verdana" w:cs="Arial"/>
        </w:rPr>
      </w:pPr>
    </w:p>
    <w:p w14:paraId="26333603" w14:textId="77777777" w:rsidR="00950EBB" w:rsidRPr="00950EBB" w:rsidRDefault="00950EBB" w:rsidP="00950EBB">
      <w:pPr>
        <w:spacing w:after="0" w:line="240" w:lineRule="auto"/>
        <w:rPr>
          <w:rFonts w:ascii="Verdana" w:hAnsi="Verdana" w:cs="Arial"/>
          <w:lang w:eastAsia="es-CO"/>
        </w:rPr>
      </w:pPr>
      <w:r w:rsidRPr="00950EBB">
        <w:rPr>
          <w:rFonts w:ascii="Verdana" w:eastAsia="Times New Roman" w:hAnsi="Verdana" w:cs="Arial"/>
          <w:lang w:eastAsia="es-CO"/>
        </w:rPr>
        <w:t>Atentamente,</w:t>
      </w:r>
      <w:r w:rsidRPr="00950EBB">
        <w:rPr>
          <w:rFonts w:ascii="Verdana" w:hAnsi="Verdana" w:cs="Arial"/>
          <w:lang w:eastAsia="es-CO"/>
        </w:rPr>
        <w:t xml:space="preserve"> </w:t>
      </w:r>
    </w:p>
    <w:p w14:paraId="7F1001C0" w14:textId="53678641" w:rsidR="00950EBB" w:rsidRPr="00950EBB" w:rsidRDefault="0014226E" w:rsidP="0014226E">
      <w:pPr>
        <w:spacing w:line="276" w:lineRule="auto"/>
        <w:jc w:val="center"/>
        <w:rPr>
          <w:rFonts w:ascii="Verdana" w:hAnsi="Verdana" w:cs="Arial"/>
          <w:color w:val="000000"/>
          <w:lang w:eastAsia="es-CO"/>
        </w:rPr>
      </w:pPr>
      <w:r w:rsidRPr="0014226E">
        <w:rPr>
          <w:rFonts w:ascii="Verdana" w:hAnsi="Verdana" w:cs="Arial"/>
          <w:noProof/>
          <w:color w:val="000000"/>
          <w:lang w:eastAsia="es-CO"/>
        </w:rPr>
        <w:drawing>
          <wp:inline distT="0" distB="0" distL="0" distR="0" wp14:anchorId="2236CE14" wp14:editId="5607B473">
            <wp:extent cx="3678865" cy="1456502"/>
            <wp:effectExtent l="0" t="0" r="0" b="0"/>
            <wp:docPr id="16014281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5444" cy="1459107"/>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0EBB" w:rsidRPr="00950EBB" w14:paraId="4CE653DA" w14:textId="77777777" w:rsidTr="000B0402">
        <w:trPr>
          <w:trHeight w:val="315"/>
        </w:trPr>
        <w:tc>
          <w:tcPr>
            <w:tcW w:w="893" w:type="dxa"/>
            <w:vAlign w:val="center"/>
            <w:hideMark/>
          </w:tcPr>
          <w:p w14:paraId="242022CE" w14:textId="77777777" w:rsidR="00950EBB" w:rsidRPr="00950EBB" w:rsidRDefault="00950EBB" w:rsidP="000B0402">
            <w:pPr>
              <w:contextualSpacing/>
              <w:rPr>
                <w:rFonts w:ascii="Verdana" w:hAnsi="Verdana" w:cs="Arial"/>
                <w:sz w:val="16"/>
                <w:szCs w:val="16"/>
                <w:lang w:val="es-ES" w:eastAsia="es-ES"/>
              </w:rPr>
            </w:pPr>
            <w:r w:rsidRPr="00950EB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FE3FCA4" w14:textId="77777777" w:rsidR="00950EBB" w:rsidRPr="00950EBB" w:rsidRDefault="00950EBB" w:rsidP="000B0402">
            <w:pPr>
              <w:contextualSpacing/>
              <w:rPr>
                <w:rFonts w:ascii="Verdana" w:eastAsia="Arial" w:hAnsi="Verdana" w:cs="Arial"/>
                <w:sz w:val="16"/>
                <w:szCs w:val="16"/>
              </w:rPr>
            </w:pPr>
            <w:r w:rsidRPr="00950EBB">
              <w:rPr>
                <w:rFonts w:ascii="Verdana" w:eastAsia="Arial" w:hAnsi="Verdana" w:cs="Arial"/>
                <w:sz w:val="16"/>
                <w:szCs w:val="16"/>
              </w:rPr>
              <w:t>Andrea Camila Polo Paz</w:t>
            </w:r>
          </w:p>
          <w:p w14:paraId="68602E8A" w14:textId="77777777" w:rsidR="00950EBB" w:rsidRPr="00950EBB" w:rsidRDefault="00950EBB" w:rsidP="000B0402">
            <w:pPr>
              <w:contextualSpacing/>
              <w:rPr>
                <w:rFonts w:ascii="Verdana" w:eastAsia="Arial" w:hAnsi="Verdana" w:cs="Arial"/>
                <w:sz w:val="16"/>
                <w:szCs w:val="16"/>
              </w:rPr>
            </w:pPr>
            <w:r w:rsidRPr="00950EBB">
              <w:rPr>
                <w:rStyle w:val="normaltextrun"/>
                <w:rFonts w:ascii="Verdana" w:eastAsia="Arial" w:hAnsi="Verdana" w:cs="Arial"/>
                <w:sz w:val="16"/>
                <w:szCs w:val="16"/>
              </w:rPr>
              <w:t>Analista T02-1 de la Subdirección de Gestión Contractual</w:t>
            </w:r>
          </w:p>
        </w:tc>
      </w:tr>
      <w:tr w:rsidR="00950EBB" w:rsidRPr="00950EBB" w14:paraId="2E51BDBB" w14:textId="77777777" w:rsidTr="000B0402">
        <w:trPr>
          <w:trHeight w:val="330"/>
        </w:trPr>
        <w:tc>
          <w:tcPr>
            <w:tcW w:w="893" w:type="dxa"/>
            <w:vAlign w:val="center"/>
            <w:hideMark/>
          </w:tcPr>
          <w:p w14:paraId="3B2BA55E" w14:textId="77777777" w:rsidR="00950EBB" w:rsidRPr="00950EBB" w:rsidRDefault="00950EBB" w:rsidP="000B0402">
            <w:pPr>
              <w:contextualSpacing/>
              <w:rPr>
                <w:rFonts w:ascii="Verdana" w:hAnsi="Verdana" w:cs="Arial"/>
                <w:sz w:val="16"/>
                <w:szCs w:val="16"/>
                <w:lang w:val="es-ES" w:eastAsia="es-ES"/>
              </w:rPr>
            </w:pPr>
            <w:r w:rsidRPr="00950EB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73D274" w14:textId="77777777" w:rsidR="00950EBB" w:rsidRPr="00950EBB" w:rsidRDefault="00950EBB" w:rsidP="000B0402">
            <w:pPr>
              <w:pStyle w:val="paragraph"/>
              <w:spacing w:before="0" w:beforeAutospacing="0" w:after="0" w:afterAutospacing="0"/>
              <w:contextualSpacing/>
              <w:textAlignment w:val="baseline"/>
              <w:rPr>
                <w:rStyle w:val="normaltextrun"/>
                <w:rFonts w:ascii="Verdana" w:hAnsi="Verdana" w:cs="Arial"/>
                <w:sz w:val="16"/>
                <w:szCs w:val="16"/>
                <w:lang w:val="es-ES"/>
              </w:rPr>
            </w:pPr>
            <w:r w:rsidRPr="00950EBB">
              <w:rPr>
                <w:rStyle w:val="normaltextrun"/>
                <w:rFonts w:ascii="Verdana" w:hAnsi="Verdana" w:cs="Arial"/>
                <w:sz w:val="16"/>
                <w:szCs w:val="16"/>
                <w:lang w:val="es-ES"/>
              </w:rPr>
              <w:t xml:space="preserve">Adriana López Rodríguez </w:t>
            </w:r>
          </w:p>
          <w:p w14:paraId="3A5D74AC" w14:textId="77777777" w:rsidR="00950EBB" w:rsidRPr="00950EBB" w:rsidRDefault="00950EBB" w:rsidP="000B0402">
            <w:pPr>
              <w:pStyle w:val="paragraph"/>
              <w:spacing w:before="0" w:beforeAutospacing="0" w:after="0" w:afterAutospacing="0"/>
              <w:contextualSpacing/>
              <w:textAlignment w:val="baseline"/>
              <w:rPr>
                <w:rFonts w:ascii="Verdana" w:hAnsi="Verdana" w:cs="Arial"/>
                <w:sz w:val="16"/>
                <w:szCs w:val="16"/>
                <w:lang w:val="es-ES"/>
              </w:rPr>
            </w:pPr>
            <w:r w:rsidRPr="00950EBB">
              <w:rPr>
                <w:rStyle w:val="normaltextrun"/>
                <w:rFonts w:ascii="Verdana" w:hAnsi="Verdana" w:cs="Arial"/>
                <w:sz w:val="16"/>
                <w:szCs w:val="16"/>
                <w:lang w:val="es-ES"/>
              </w:rPr>
              <w:t>Contratista de la Subdirección de Gestión Contractual</w:t>
            </w:r>
            <w:r w:rsidRPr="00950EBB">
              <w:rPr>
                <w:rStyle w:val="eop"/>
                <w:rFonts w:ascii="Verdana" w:hAnsi="Verdana" w:cs="Arial"/>
                <w:sz w:val="16"/>
                <w:szCs w:val="16"/>
              </w:rPr>
              <w:t> </w:t>
            </w:r>
          </w:p>
        </w:tc>
      </w:tr>
      <w:tr w:rsidR="00950EBB" w:rsidRPr="00950EBB" w14:paraId="0BA8F2FE" w14:textId="77777777" w:rsidTr="000B0402">
        <w:trPr>
          <w:trHeight w:val="300"/>
        </w:trPr>
        <w:tc>
          <w:tcPr>
            <w:tcW w:w="893" w:type="dxa"/>
            <w:vAlign w:val="center"/>
          </w:tcPr>
          <w:p w14:paraId="10E88135" w14:textId="77777777" w:rsidR="00950EBB" w:rsidRPr="00950EBB" w:rsidRDefault="00950EBB" w:rsidP="000B0402">
            <w:pPr>
              <w:contextualSpacing/>
              <w:rPr>
                <w:rFonts w:ascii="Verdana" w:hAnsi="Verdana" w:cs="Arial"/>
                <w:sz w:val="16"/>
                <w:szCs w:val="16"/>
                <w:lang w:val="es-ES" w:eastAsia="es-ES"/>
              </w:rPr>
            </w:pPr>
            <w:r w:rsidRPr="00950EBB">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2B192AA" w14:textId="77777777" w:rsidR="00950EBB" w:rsidRPr="00950EBB" w:rsidRDefault="00950EBB" w:rsidP="000B0402">
            <w:pPr>
              <w:contextualSpacing/>
              <w:rPr>
                <w:rFonts w:ascii="Verdana" w:eastAsia="Calibri" w:hAnsi="Verdana" w:cs="Arial"/>
                <w:sz w:val="16"/>
                <w:szCs w:val="16"/>
                <w:lang w:val="pt-BR" w:eastAsia="es-ES"/>
              </w:rPr>
            </w:pPr>
            <w:r w:rsidRPr="00950EBB">
              <w:rPr>
                <w:rFonts w:ascii="Verdana" w:eastAsia="Calibri" w:hAnsi="Verdana" w:cs="Arial"/>
                <w:sz w:val="16"/>
                <w:szCs w:val="16"/>
                <w:lang w:val="pt-BR" w:eastAsia="es-ES"/>
              </w:rPr>
              <w:t>Carolina Quintero Gacharná</w:t>
            </w:r>
          </w:p>
          <w:p w14:paraId="31545761" w14:textId="77777777" w:rsidR="00950EBB" w:rsidRPr="00950EBB" w:rsidRDefault="00950EBB" w:rsidP="000B0402">
            <w:pPr>
              <w:contextualSpacing/>
              <w:rPr>
                <w:rFonts w:ascii="Verdana" w:eastAsia="Calibri" w:hAnsi="Verdana" w:cs="Arial"/>
                <w:sz w:val="16"/>
                <w:szCs w:val="16"/>
                <w:lang w:val="pt-BR" w:eastAsia="es-ES"/>
              </w:rPr>
            </w:pPr>
            <w:r w:rsidRPr="00950EBB">
              <w:rPr>
                <w:rFonts w:ascii="Verdana" w:eastAsia="Calibri" w:hAnsi="Verdana" w:cs="Arial"/>
                <w:sz w:val="16"/>
                <w:szCs w:val="16"/>
                <w:lang w:eastAsia="es-ES"/>
              </w:rPr>
              <w:t>Subdirectora</w:t>
            </w:r>
            <w:r w:rsidRPr="00950EBB">
              <w:rPr>
                <w:rFonts w:ascii="Verdana" w:eastAsia="Calibri" w:hAnsi="Verdana" w:cs="Arial"/>
                <w:sz w:val="16"/>
                <w:szCs w:val="16"/>
                <w:lang w:val="pt-BR" w:eastAsia="es-ES"/>
              </w:rPr>
              <w:t xml:space="preserve"> de Gestión Contractual ANCP – CCE</w:t>
            </w:r>
          </w:p>
        </w:tc>
      </w:tr>
    </w:tbl>
    <w:p w14:paraId="754F96C2" w14:textId="017C9F39" w:rsidR="00950EBB" w:rsidRPr="00950EBB" w:rsidRDefault="00950EBB" w:rsidP="00950EBB">
      <w:pPr>
        <w:spacing w:after="0" w:line="240" w:lineRule="auto"/>
        <w:textAlignment w:val="baseline"/>
        <w:rPr>
          <w:rFonts w:ascii="Verdana" w:eastAsia="Verdana" w:hAnsi="Verdana" w:cs="Verdana"/>
          <w:lang w:eastAsia="es-CO"/>
        </w:rPr>
      </w:pPr>
    </w:p>
    <w:p w14:paraId="1006A388" w14:textId="77777777" w:rsidR="00C15139" w:rsidRPr="00950EBB" w:rsidRDefault="00C15139" w:rsidP="30821638">
      <w:pPr>
        <w:spacing w:after="0" w:line="240" w:lineRule="auto"/>
        <w:jc w:val="both"/>
        <w:textAlignment w:val="baseline"/>
        <w:rPr>
          <w:rFonts w:ascii="Verdana" w:eastAsia="Verdana" w:hAnsi="Verdana" w:cs="Verdana"/>
          <w:lang w:eastAsia="es-CO"/>
        </w:rPr>
      </w:pPr>
    </w:p>
    <w:p w14:paraId="0F293BF4" w14:textId="2C6010A9" w:rsidR="00127233" w:rsidRPr="0015699B" w:rsidRDefault="00C15139" w:rsidP="002956D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4B28" w14:textId="77777777" w:rsidR="00DF5DB9" w:rsidRDefault="00DF5DB9" w:rsidP="004A1847">
      <w:pPr>
        <w:spacing w:after="0" w:line="240" w:lineRule="auto"/>
      </w:pPr>
      <w:r>
        <w:separator/>
      </w:r>
    </w:p>
  </w:endnote>
  <w:endnote w:type="continuationSeparator" w:id="0">
    <w:p w14:paraId="526FCECD" w14:textId="77777777" w:rsidR="00DF5DB9" w:rsidRDefault="00DF5DB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85C94" w14:textId="77777777" w:rsidR="00DF5DB9" w:rsidRDefault="00DF5DB9" w:rsidP="004A1847">
      <w:pPr>
        <w:spacing w:after="0" w:line="240" w:lineRule="auto"/>
      </w:pPr>
      <w:r>
        <w:separator/>
      </w:r>
    </w:p>
  </w:footnote>
  <w:footnote w:type="continuationSeparator" w:id="0">
    <w:p w14:paraId="690AB0D6" w14:textId="77777777" w:rsidR="00DF5DB9" w:rsidRDefault="00DF5DB9" w:rsidP="004A1847">
      <w:pPr>
        <w:spacing w:after="0" w:line="240" w:lineRule="auto"/>
      </w:pPr>
      <w:r>
        <w:continuationSeparator/>
      </w:r>
    </w:p>
  </w:footnote>
  <w:footnote w:id="1">
    <w:p w14:paraId="58125FFF" w14:textId="77777777" w:rsidR="00950EBB" w:rsidRPr="00435A6A" w:rsidRDefault="00950EBB" w:rsidP="00950EBB">
      <w:pPr>
        <w:pStyle w:val="Textonotapie"/>
        <w:tabs>
          <w:tab w:val="left" w:pos="8145"/>
        </w:tabs>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Corte Constitucional. Sentencia C- 1153 de 2005, M.P: Marco Gerardo Monroy Cabra.</w:t>
      </w:r>
      <w:r w:rsidRPr="00435A6A">
        <w:rPr>
          <w:rFonts w:ascii="Verdana" w:hAnsi="Verdana" w:cs="Arial"/>
          <w:sz w:val="14"/>
          <w:szCs w:val="14"/>
          <w:lang w:val="pt-PT"/>
        </w:rPr>
        <w:tab/>
      </w:r>
    </w:p>
    <w:p w14:paraId="53F9AF33" w14:textId="77777777" w:rsidR="00950EBB" w:rsidRPr="00435A6A" w:rsidRDefault="00950EBB" w:rsidP="00950EBB">
      <w:pPr>
        <w:pStyle w:val="Textonotapie"/>
        <w:tabs>
          <w:tab w:val="left" w:pos="8145"/>
        </w:tabs>
        <w:ind w:firstLine="709"/>
        <w:jc w:val="both"/>
        <w:rPr>
          <w:rFonts w:ascii="Verdana" w:hAnsi="Verdana" w:cs="Arial"/>
          <w:sz w:val="14"/>
          <w:szCs w:val="14"/>
          <w:lang w:val="pt-PT"/>
        </w:rPr>
      </w:pPr>
    </w:p>
  </w:footnote>
  <w:footnote w:id="2">
    <w:p w14:paraId="2CC31125" w14:textId="77777777" w:rsidR="00950EBB" w:rsidRPr="00435A6A" w:rsidRDefault="00950EBB" w:rsidP="00950EBB">
      <w:pPr>
        <w:pStyle w:val="Textonotapie"/>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w:t>
      </w:r>
      <w:r w:rsidRPr="00435A6A">
        <w:rPr>
          <w:rFonts w:ascii="Verdana" w:hAnsi="Verdana" w:cs="Arial"/>
          <w:sz w:val="14"/>
          <w:szCs w:val="14"/>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52757535" w14:textId="77777777" w:rsidR="00950EBB" w:rsidRPr="00435A6A" w:rsidRDefault="00950EBB" w:rsidP="00950EBB">
      <w:pPr>
        <w:pStyle w:val="Textonotapie"/>
        <w:ind w:firstLine="709"/>
        <w:jc w:val="both"/>
        <w:rPr>
          <w:rFonts w:ascii="Verdana" w:hAnsi="Verdana" w:cs="Arial"/>
          <w:sz w:val="14"/>
          <w:szCs w:val="14"/>
          <w:lang w:val="pt-PT"/>
        </w:rPr>
      </w:pPr>
    </w:p>
  </w:footnote>
  <w:footnote w:id="3">
    <w:p w14:paraId="7F1E5801" w14:textId="77777777" w:rsidR="00950EBB" w:rsidRPr="00435A6A" w:rsidRDefault="00950EBB" w:rsidP="00950EBB">
      <w:pPr>
        <w:pStyle w:val="Textonotapie"/>
        <w:ind w:firstLine="709"/>
        <w:jc w:val="both"/>
        <w:rPr>
          <w:rFonts w:ascii="Verdana" w:hAnsi="Verdana" w:cs="Arial"/>
          <w:sz w:val="14"/>
          <w:szCs w:val="14"/>
          <w:lang w:val="es-CO"/>
        </w:rPr>
      </w:pPr>
      <w:r w:rsidRPr="00435A6A">
        <w:rPr>
          <w:rStyle w:val="Refdenotaalpie"/>
          <w:rFonts w:ascii="Verdana" w:hAnsi="Verdana" w:cs="Arial"/>
          <w:sz w:val="14"/>
          <w:szCs w:val="14"/>
        </w:rPr>
        <w:footnoteRef/>
      </w:r>
      <w:r w:rsidRPr="00435A6A">
        <w:rPr>
          <w:rFonts w:ascii="Verdana" w:hAnsi="Verdana" w:cs="Arial"/>
          <w:sz w:val="14"/>
          <w:szCs w:val="14"/>
          <w:lang w:val="es-CO"/>
        </w:rPr>
        <w:t xml:space="preserve"> Consejo de Estado. Sala de lo Contencioso Administrativo. Sección Primera. Sentencia de 3 de marzo de 2005. Radicado: </w:t>
      </w:r>
      <w:r w:rsidRPr="00435A6A">
        <w:rPr>
          <w:rFonts w:ascii="Verdana" w:hAnsi="Verdana" w:cs="Arial"/>
          <w:sz w:val="14"/>
          <w:szCs w:val="14"/>
          <w:lang w:val="es-ES"/>
        </w:rPr>
        <w:t xml:space="preserve">25001-23-15-000-2004-00823-01 (PI). </w:t>
      </w:r>
      <w:r w:rsidRPr="00435A6A">
        <w:rPr>
          <w:rFonts w:ascii="Verdana" w:hAnsi="Verdana" w:cs="Arial"/>
          <w:sz w:val="14"/>
          <w:szCs w:val="14"/>
          <w:lang w:val="es-CO"/>
        </w:rPr>
        <w:t>C.P: Camilo Arciniegas Andrade. Ver también, de la Sección Tercera. Sentencia de 22 de enero de 2002, expediente número 2001-0148-01 y, Sección Tercera. Sentencia de 20 de noviembre de 2001, expediente número 2001-0130-01(PI), entre otras.</w:t>
      </w:r>
    </w:p>
    <w:p w14:paraId="4A2311D4" w14:textId="77777777" w:rsidR="00950EBB" w:rsidRPr="00435A6A" w:rsidRDefault="00950EBB" w:rsidP="00950EBB">
      <w:pPr>
        <w:pStyle w:val="Textonotapie"/>
        <w:ind w:firstLine="709"/>
        <w:jc w:val="both"/>
        <w:rPr>
          <w:rFonts w:ascii="Verdana" w:hAnsi="Verdana" w:cs="Arial"/>
          <w:sz w:val="14"/>
          <w:szCs w:val="14"/>
          <w:lang w:val="es-CO"/>
        </w:rPr>
      </w:pPr>
    </w:p>
  </w:footnote>
  <w:footnote w:id="4">
    <w:p w14:paraId="3E6FC869" w14:textId="77777777" w:rsidR="00950EBB" w:rsidRPr="00435A6A" w:rsidRDefault="00950EBB" w:rsidP="00950EBB">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24 de julio de 2013. Radicado: </w:t>
      </w:r>
      <w:r w:rsidRPr="00435A6A">
        <w:rPr>
          <w:rFonts w:ascii="Verdana" w:hAnsi="Verdana" w:cs="Arial"/>
          <w:sz w:val="14"/>
          <w:szCs w:val="14"/>
          <w:lang w:val="es-CO"/>
        </w:rPr>
        <w:t xml:space="preserve">11001-03-06-000-2013-00407-00 </w:t>
      </w:r>
      <w:r w:rsidRPr="00435A6A">
        <w:rPr>
          <w:rFonts w:ascii="Verdana" w:hAnsi="Verdana" w:cs="Arial"/>
          <w:sz w:val="14"/>
          <w:szCs w:val="14"/>
        </w:rPr>
        <w:t xml:space="preserve">(2166). C.P. Álvaro Namén Vargas.  </w:t>
      </w:r>
    </w:p>
    <w:p w14:paraId="6168282D" w14:textId="77777777" w:rsidR="00950EBB" w:rsidRPr="00435A6A" w:rsidRDefault="00950EBB" w:rsidP="00950EBB">
      <w:pPr>
        <w:pStyle w:val="Textonotapie"/>
        <w:ind w:firstLine="709"/>
        <w:jc w:val="both"/>
        <w:rPr>
          <w:rFonts w:ascii="Verdana" w:hAnsi="Verdana" w:cs="Arial"/>
          <w:sz w:val="14"/>
          <w:szCs w:val="14"/>
        </w:rPr>
      </w:pPr>
    </w:p>
  </w:footnote>
  <w:footnote w:id="5">
    <w:p w14:paraId="73DA43DA" w14:textId="77777777" w:rsidR="00950EBB" w:rsidRPr="00435A6A" w:rsidRDefault="00950EBB" w:rsidP="00950EBB">
      <w:pPr>
        <w:spacing w:after="0" w:line="240" w:lineRule="auto"/>
        <w:ind w:firstLine="709"/>
        <w:jc w:val="both"/>
        <w:rPr>
          <w:rFonts w:ascii="Verdana" w:eastAsia="Times New Roman"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bookmarkStart w:id="1" w:name="33"/>
      <w:r w:rsidRPr="00435A6A">
        <w:rPr>
          <w:rFonts w:ascii="Verdana" w:eastAsia="Calibri" w:hAnsi="Verdana" w:cs="Arial"/>
          <w:color w:val="000000"/>
          <w:sz w:val="14"/>
          <w:szCs w:val="14"/>
        </w:rPr>
        <w:t>“</w:t>
      </w:r>
      <w:r w:rsidRPr="00435A6A">
        <w:rPr>
          <w:rFonts w:ascii="Verdana" w:eastAsia="Times New Roman" w:hAnsi="Verdana" w:cs="Arial"/>
          <w:sz w:val="14"/>
          <w:szCs w:val="14"/>
        </w:rPr>
        <w:t>Artículo 33. Restricciones a la contratación pública.</w:t>
      </w:r>
      <w:bookmarkEnd w:id="1"/>
      <w:r w:rsidRPr="00435A6A">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1769E58E" w14:textId="77777777" w:rsidR="00950EBB" w:rsidRPr="00435A6A" w:rsidRDefault="00950EBB" w:rsidP="00950EBB">
      <w:pPr>
        <w:spacing w:after="0" w:line="240" w:lineRule="auto"/>
        <w:ind w:firstLine="709"/>
        <w:jc w:val="both"/>
        <w:rPr>
          <w:rFonts w:ascii="Verdana" w:eastAsia="Times New Roman" w:hAnsi="Verdana" w:cs="Arial"/>
          <w:sz w:val="14"/>
          <w:szCs w:val="14"/>
        </w:rPr>
      </w:pPr>
      <w:r w:rsidRPr="00435A6A">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49826AA" w14:textId="77777777" w:rsidR="00950EBB" w:rsidRPr="00435A6A" w:rsidRDefault="00950EBB" w:rsidP="00950EBB">
      <w:pPr>
        <w:spacing w:after="0" w:line="240" w:lineRule="auto"/>
        <w:ind w:firstLine="709"/>
        <w:jc w:val="both"/>
        <w:rPr>
          <w:rFonts w:ascii="Verdana" w:eastAsia="Times New Roman" w:hAnsi="Verdana" w:cs="Arial"/>
          <w:sz w:val="14"/>
          <w:szCs w:val="14"/>
        </w:rPr>
      </w:pPr>
    </w:p>
  </w:footnote>
  <w:footnote w:id="6">
    <w:p w14:paraId="6C103CCB" w14:textId="77777777" w:rsidR="00950EBB" w:rsidRPr="00435A6A" w:rsidRDefault="00950EBB" w:rsidP="00950EBB">
      <w:pPr>
        <w:pStyle w:val="NormalWeb"/>
        <w:spacing w:before="0" w:beforeAutospacing="0" w:after="0" w:afterAutospacing="0"/>
        <w:ind w:firstLine="709"/>
        <w:jc w:val="both"/>
        <w:rPr>
          <w:rFonts w:ascii="Verdana" w:hAnsi="Verdana" w:cs="Arial"/>
          <w:sz w:val="14"/>
          <w:szCs w:val="14"/>
          <w:lang w:val="es-MX"/>
        </w:rPr>
      </w:pPr>
      <w:r w:rsidRPr="00435A6A">
        <w:rPr>
          <w:rStyle w:val="Refdenotaalpie"/>
          <w:rFonts w:ascii="Verdana" w:eastAsiaTheme="majorEastAsia" w:hAnsi="Verdana" w:cs="Arial"/>
          <w:sz w:val="14"/>
          <w:szCs w:val="14"/>
        </w:rPr>
        <w:footnoteRef/>
      </w:r>
      <w:r w:rsidRPr="00435A6A">
        <w:rPr>
          <w:rFonts w:ascii="Verdana" w:hAnsi="Verdana" w:cs="Arial"/>
          <w:sz w:val="14"/>
          <w:szCs w:val="14"/>
        </w:rPr>
        <w:t xml:space="preserve"> </w:t>
      </w:r>
      <w:bookmarkStart w:id="2" w:name="38"/>
      <w:r w:rsidRPr="00435A6A">
        <w:rPr>
          <w:rFonts w:ascii="Verdana" w:eastAsia="Calibri" w:hAnsi="Verdana" w:cs="Arial"/>
          <w:color w:val="000000"/>
          <w:sz w:val="14"/>
          <w:szCs w:val="14"/>
        </w:rPr>
        <w:t>“</w:t>
      </w:r>
      <w:r w:rsidRPr="00435A6A">
        <w:rPr>
          <w:rFonts w:ascii="Verdana" w:hAnsi="Verdana" w:cs="Arial"/>
          <w:sz w:val="14"/>
          <w:szCs w:val="14"/>
          <w:lang w:val="es-MX"/>
        </w:rPr>
        <w:t>Artículo 38. Prohibiciones para los servidores públicos. A los empleados del Estado les está prohibido:</w:t>
      </w:r>
      <w:bookmarkEnd w:id="2"/>
    </w:p>
    <w:p w14:paraId="45F92D4F" w14:textId="77777777" w:rsidR="00950EBB" w:rsidRPr="00435A6A" w:rsidRDefault="00950EBB" w:rsidP="00950EBB">
      <w:pPr>
        <w:pStyle w:val="NormalWeb"/>
        <w:spacing w:before="0" w:beforeAutospacing="0" w:after="0" w:afterAutospacing="0"/>
        <w:ind w:firstLine="709"/>
        <w:jc w:val="both"/>
        <w:rPr>
          <w:rFonts w:ascii="Verdana" w:hAnsi="Verdana" w:cs="Arial"/>
          <w:sz w:val="14"/>
          <w:szCs w:val="14"/>
          <w:lang w:val="es-MX"/>
        </w:rPr>
      </w:pPr>
      <w:r w:rsidRPr="00435A6A">
        <w:rPr>
          <w:rFonts w:ascii="Verdana" w:hAnsi="Verdana" w:cs="Arial"/>
          <w:sz w:val="14"/>
          <w:szCs w:val="14"/>
          <w:lang w:val="es-MX"/>
        </w:rPr>
        <w:t>(…)</w:t>
      </w:r>
    </w:p>
    <w:p w14:paraId="034C0964" w14:textId="77777777" w:rsidR="00950EBB" w:rsidRPr="00435A6A" w:rsidRDefault="00950EBB" w:rsidP="00950EBB">
      <w:pPr>
        <w:pStyle w:val="NormalWeb"/>
        <w:spacing w:before="0" w:beforeAutospacing="0" w:after="0" w:afterAutospacing="0"/>
        <w:ind w:firstLine="709"/>
        <w:jc w:val="both"/>
        <w:rPr>
          <w:rFonts w:ascii="Verdana" w:eastAsia="Calibri" w:hAnsi="Verdana" w:cs="Arial"/>
          <w:color w:val="000000"/>
          <w:sz w:val="14"/>
          <w:szCs w:val="14"/>
        </w:rPr>
      </w:pPr>
      <w:r w:rsidRPr="00435A6A">
        <w:rPr>
          <w:rStyle w:val="baj"/>
          <w:rFonts w:ascii="Verdana" w:hAnsi="Verdana" w:cs="Arial"/>
          <w:sz w:val="14"/>
          <w:szCs w:val="14"/>
          <w:lang w:val="es-MX"/>
        </w:rPr>
        <w:t>Parágrafo.</w:t>
      </w:r>
      <w:r w:rsidRPr="00435A6A">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35A6A">
        <w:rPr>
          <w:rFonts w:ascii="Verdana" w:eastAsia="Calibri" w:hAnsi="Verdana" w:cs="Arial"/>
          <w:color w:val="000000"/>
          <w:sz w:val="14"/>
          <w:szCs w:val="14"/>
        </w:rPr>
        <w:t>”.</w:t>
      </w:r>
    </w:p>
    <w:p w14:paraId="17110511" w14:textId="77777777" w:rsidR="00950EBB" w:rsidRPr="00435A6A" w:rsidRDefault="00950EBB" w:rsidP="00950EBB">
      <w:pPr>
        <w:pStyle w:val="NormalWeb"/>
        <w:spacing w:before="0" w:beforeAutospacing="0" w:after="0" w:afterAutospacing="0"/>
        <w:ind w:firstLine="709"/>
        <w:jc w:val="both"/>
        <w:rPr>
          <w:rFonts w:ascii="Verdana" w:hAnsi="Verdana" w:cs="Arial"/>
          <w:sz w:val="14"/>
          <w:szCs w:val="14"/>
          <w:lang w:val="es-MX"/>
        </w:rPr>
      </w:pPr>
    </w:p>
  </w:footnote>
  <w:footnote w:id="7">
    <w:p w14:paraId="02FC1873" w14:textId="77777777" w:rsidR="00950EBB" w:rsidRDefault="00950EBB" w:rsidP="00950EBB">
      <w:pPr>
        <w:pStyle w:val="Textonotapie"/>
        <w:ind w:firstLine="709"/>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1C42B1E5" w14:textId="77777777" w:rsidR="00950EBB" w:rsidRPr="00FB5770" w:rsidRDefault="00950EBB" w:rsidP="00950EBB">
      <w:pPr>
        <w:pStyle w:val="Textonotapie"/>
        <w:ind w:firstLine="709"/>
        <w:jc w:val="both"/>
        <w:rPr>
          <w:rFonts w:ascii="Verdana" w:hAnsi="Verdana" w:cs="Arial"/>
          <w:sz w:val="14"/>
          <w:szCs w:val="14"/>
        </w:rPr>
      </w:pPr>
    </w:p>
  </w:footnote>
  <w:footnote w:id="8">
    <w:p w14:paraId="45AF67EC" w14:textId="77777777" w:rsidR="00950EBB" w:rsidRDefault="00950EBB" w:rsidP="00950EBB">
      <w:pPr>
        <w:pStyle w:val="Textonotapie"/>
        <w:ind w:firstLine="708"/>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Consejo de Estado. Sala de Consulta y Servicio Civil. Concepto del 18 de febrero 2010. Rad. 11001-03-06-000-2010-00006-00 (1985). C.P. Enrique José Arboleda Perdomo.</w:t>
      </w:r>
    </w:p>
    <w:p w14:paraId="7532AF62" w14:textId="77777777" w:rsidR="00950EBB" w:rsidRPr="00FB5770" w:rsidRDefault="00950EBB" w:rsidP="00950EBB">
      <w:pPr>
        <w:pStyle w:val="Textonotapie"/>
        <w:ind w:firstLine="708"/>
        <w:jc w:val="both"/>
        <w:rPr>
          <w:rFonts w:ascii="Verdana" w:hAnsi="Verdana" w:cs="Arial"/>
          <w:sz w:val="14"/>
          <w:szCs w:val="14"/>
        </w:rPr>
      </w:pPr>
    </w:p>
  </w:footnote>
  <w:footnote w:id="9">
    <w:p w14:paraId="347F3CF6" w14:textId="77777777" w:rsidR="00950EBB" w:rsidRPr="00FB5770" w:rsidRDefault="00950EBB" w:rsidP="00950EBB">
      <w:pPr>
        <w:pStyle w:val="Textonotapie"/>
        <w:ind w:firstLine="708"/>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Corte Constitucional. Sentencia C-1153 de 2005 M.P. Marco Gerardo Monroy Cabra. </w:t>
      </w:r>
    </w:p>
    <w:p w14:paraId="105274AC" w14:textId="77777777" w:rsidR="00950EBB" w:rsidRPr="00FB5770" w:rsidRDefault="00950EBB" w:rsidP="00950EBB">
      <w:pPr>
        <w:pStyle w:val="Textonotapie"/>
        <w:ind w:firstLine="708"/>
        <w:jc w:val="both"/>
        <w:rPr>
          <w:rFonts w:ascii="Verdana" w:hAnsi="Verdana" w:cs="Arial"/>
          <w:sz w:val="14"/>
          <w:szCs w:val="14"/>
        </w:rPr>
      </w:pPr>
    </w:p>
  </w:footnote>
  <w:footnote w:id="10">
    <w:p w14:paraId="4652B304" w14:textId="77777777" w:rsidR="00950EBB" w:rsidRDefault="00950EBB" w:rsidP="00950EBB">
      <w:pPr>
        <w:pStyle w:val="Textonotapie"/>
        <w:ind w:firstLine="709"/>
        <w:contextualSpacing/>
        <w:jc w:val="both"/>
        <w:rPr>
          <w:rFonts w:ascii="Verdana" w:hAnsi="Verdana" w:cs="Arial"/>
          <w:sz w:val="14"/>
          <w:szCs w:val="14"/>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hAnsi="Verdana" w:cs="Arial"/>
          <w:sz w:val="14"/>
          <w:szCs w:val="14"/>
        </w:rPr>
        <w:t>Consejo de Estado. Sala de lo Contencioso Administrativo. Sección Tercera. Sentencia del 21 de febrero de 2025. Exp. 68.280. CP: José Roberto Sáchica Méndez.</w:t>
      </w:r>
    </w:p>
    <w:p w14:paraId="6DAA73B2" w14:textId="77777777" w:rsidR="00950EBB" w:rsidRPr="009D0D83" w:rsidRDefault="00950EBB" w:rsidP="00950EBB">
      <w:pPr>
        <w:pStyle w:val="Textonotapie"/>
        <w:ind w:firstLine="709"/>
        <w:contextualSpacing/>
        <w:jc w:val="both"/>
        <w:rPr>
          <w:rFonts w:ascii="Verdana" w:hAnsi="Verdana" w:cs="Arial"/>
          <w:sz w:val="16"/>
          <w:szCs w:val="16"/>
        </w:rPr>
      </w:pPr>
    </w:p>
  </w:footnote>
  <w:footnote w:id="11">
    <w:p w14:paraId="3F256C4D" w14:textId="77777777" w:rsidR="00950EBB" w:rsidRPr="00FB5770" w:rsidRDefault="00950EBB" w:rsidP="00950EBB">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sz w:val="14"/>
          <w:szCs w:val="14"/>
          <w:vertAlign w:val="superscript"/>
        </w:rPr>
        <w:t xml:space="preserve"> </w:t>
      </w:r>
      <w:r w:rsidRPr="00FB5770">
        <w:rPr>
          <w:rFonts w:ascii="Verdana" w:hAnsi="Verdana" w:cs="Arial"/>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9B88A89" w14:textId="77777777" w:rsidR="00950EBB" w:rsidRPr="00FB5770" w:rsidRDefault="00950EBB" w:rsidP="00950EBB">
      <w:pPr>
        <w:pStyle w:val="Textonotapie"/>
        <w:ind w:firstLine="709"/>
        <w:contextualSpacing/>
        <w:jc w:val="both"/>
        <w:rPr>
          <w:rFonts w:ascii="Verdana" w:hAnsi="Verdana" w:cs="Arial"/>
          <w:sz w:val="14"/>
          <w:szCs w:val="14"/>
        </w:rPr>
      </w:pPr>
    </w:p>
  </w:footnote>
  <w:footnote w:id="12">
    <w:p w14:paraId="57A764F6" w14:textId="77777777" w:rsidR="00950EBB" w:rsidRPr="00FB5770" w:rsidRDefault="00950EBB" w:rsidP="00950EBB">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cs="Arial"/>
          <w:sz w:val="14"/>
          <w:szCs w:val="14"/>
          <w:vertAlign w:val="superscript"/>
        </w:rPr>
        <w:t xml:space="preserve"> </w:t>
      </w:r>
      <w:r w:rsidRPr="00FB5770">
        <w:rPr>
          <w:rFonts w:ascii="Verdana" w:hAnsi="Verdana" w:cs="Arial"/>
          <w:sz w:val="14"/>
          <w:szCs w:val="14"/>
        </w:rPr>
        <w:t>Ley 80 de 1993: “Artículo 41. Del perfeccionamiento del contrato. Los contratos del Estado se perfeccionan cuando se logre acuerdo sobre el objeto y la contraprestación y éste se eleve a escrito.</w:t>
      </w:r>
    </w:p>
    <w:p w14:paraId="4BD91E3D" w14:textId="77777777" w:rsidR="00950EBB" w:rsidRPr="00FB5770" w:rsidRDefault="00950EBB" w:rsidP="00950EBB">
      <w:pPr>
        <w:pStyle w:val="Textonotapie"/>
        <w:ind w:firstLine="709"/>
        <w:contextualSpacing/>
        <w:jc w:val="both"/>
        <w:rPr>
          <w:rFonts w:ascii="Verdana" w:hAnsi="Verdana" w:cs="Arial"/>
          <w:sz w:val="14"/>
          <w:szCs w:val="14"/>
        </w:rPr>
      </w:pPr>
    </w:p>
  </w:footnote>
  <w:footnote w:id="13">
    <w:p w14:paraId="6369E113" w14:textId="77777777" w:rsidR="00950EBB" w:rsidRPr="00FB5770" w:rsidRDefault="00950EBB" w:rsidP="00950EBB">
      <w:pPr>
        <w:pStyle w:val="Textonotapie"/>
        <w:ind w:firstLine="708"/>
        <w:jc w:val="both"/>
        <w:rPr>
          <w:rFonts w:ascii="Verdana" w:hAnsi="Verdana"/>
          <w:sz w:val="14"/>
          <w:szCs w:val="14"/>
          <w:lang w:val="es-ES"/>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hAnsi="Verdana"/>
          <w:sz w:val="14"/>
          <w:szCs w:val="14"/>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FB5770">
        <w:rPr>
          <w:rFonts w:ascii="Verdana" w:hAnsi="Verdana"/>
          <w:i/>
          <w:iCs/>
          <w:sz w:val="14"/>
          <w:szCs w:val="14"/>
          <w:lang w:val="es-ES"/>
        </w:rPr>
        <w:t>Ubi lex non distinguit nec nos distinguere debemus</w:t>
      </w:r>
      <w:r w:rsidRPr="00FB5770">
        <w:rPr>
          <w:rFonts w:ascii="Verdana" w:hAnsi="Verdana"/>
          <w:sz w:val="14"/>
          <w:szCs w:val="14"/>
          <w:lang w:val="es-ES"/>
        </w:rPr>
        <w:t>, ‘donde la ley no distingue no puede el hombre distinguir’. ‘La extensión que deba dársele a la ley se determinará por su genuino sentido y según las reglas de interpretación precedentes’, dice el artículo 23.</w:t>
      </w:r>
    </w:p>
    <w:p w14:paraId="6FEC8AB7" w14:textId="77777777" w:rsidR="00950EBB" w:rsidRDefault="00950EBB" w:rsidP="00950EBB">
      <w:pPr>
        <w:pStyle w:val="Textonotapie"/>
        <w:ind w:firstLine="708"/>
        <w:jc w:val="both"/>
        <w:rPr>
          <w:rFonts w:ascii="Verdana" w:hAnsi="Verdana"/>
          <w:sz w:val="14"/>
          <w:szCs w:val="14"/>
        </w:rPr>
      </w:pPr>
      <w:r w:rsidRPr="00FB5770">
        <w:rPr>
          <w:rFonts w:ascii="Verdana" w:hAnsi="Verdana"/>
          <w:sz w:val="14"/>
          <w:szCs w:val="14"/>
          <w:lang w:val="es-ES"/>
        </w:rPr>
        <w:t xml:space="preserve">En el derecho antiguo y en el derecho canónico se distinguían las leyes en favorables y odiosas, para ampliar o restringir su interpretación. </w:t>
      </w:r>
      <w:r w:rsidRPr="00FB5770">
        <w:rPr>
          <w:rFonts w:ascii="Verdana" w:hAnsi="Verdana"/>
          <w:i/>
          <w:iCs/>
          <w:sz w:val="14"/>
          <w:szCs w:val="14"/>
          <w:lang w:val="es-ES"/>
        </w:rPr>
        <w:t>Odia restringí et favores convenit ampliari</w:t>
      </w:r>
      <w:r w:rsidRPr="00FB5770">
        <w:rPr>
          <w:rFonts w:ascii="Verdana" w:hAnsi="Verdana"/>
          <w:sz w:val="14"/>
          <w:szCs w:val="14"/>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FB5770">
        <w:rPr>
          <w:rFonts w:ascii="Verdana" w:hAnsi="Verdana"/>
          <w:sz w:val="14"/>
          <w:szCs w:val="14"/>
        </w:rPr>
        <w:t>CLARO SOLAR, Luis. Explicaciones de derecho civil chileno y comparado. Volumen I. Tomo I. Santiago: Editorial Jurídica de Chile, 2013. p. 119. Énfasis dentro del texto).</w:t>
      </w:r>
    </w:p>
    <w:p w14:paraId="60926F23" w14:textId="77777777" w:rsidR="00950EBB" w:rsidRPr="00FB5770" w:rsidRDefault="00950EBB" w:rsidP="00950EBB">
      <w:pPr>
        <w:pStyle w:val="Textonotapie"/>
        <w:ind w:firstLine="708"/>
        <w:jc w:val="both"/>
        <w:rPr>
          <w:rFonts w:ascii="Verdana" w:hAnsi="Verdana"/>
          <w:sz w:val="14"/>
          <w:szCs w:val="14"/>
          <w:lang w:val="es-CO"/>
        </w:rPr>
      </w:pPr>
    </w:p>
  </w:footnote>
  <w:footnote w:id="14">
    <w:p w14:paraId="6CBE77D7" w14:textId="77777777" w:rsidR="00950EBB" w:rsidRPr="00FB5770" w:rsidRDefault="00950EBB" w:rsidP="00950EBB">
      <w:pPr>
        <w:spacing w:after="0" w:line="240" w:lineRule="auto"/>
        <w:ind w:firstLine="709"/>
        <w:jc w:val="both"/>
        <w:rPr>
          <w:rFonts w:ascii="Verdana" w:hAnsi="Verdana" w:cs="Arial"/>
          <w:sz w:val="14"/>
          <w:szCs w:val="14"/>
          <w:lang w:eastAsia="es-ES"/>
        </w:rPr>
      </w:pPr>
      <w:r w:rsidRPr="00FB5770">
        <w:rPr>
          <w:rStyle w:val="Refdenotaalpie"/>
          <w:rFonts w:ascii="Verdana" w:hAnsi="Verdana"/>
          <w:sz w:val="14"/>
          <w:szCs w:val="14"/>
        </w:rPr>
        <w:footnoteRef/>
      </w:r>
      <w:r w:rsidRPr="00FB5770">
        <w:rPr>
          <w:rFonts w:ascii="Verdana" w:hAnsi="Verdana"/>
          <w:sz w:val="14"/>
          <w:szCs w:val="14"/>
        </w:rPr>
        <w:t xml:space="preserve"> Consejo de Estado. Sala de lo Contencioso Administrativo. Sección Tercera. Subsección B. Auto del 4 de octubre de 2024. Exp. 70.313. C.P: Fredy Ibarra Martínez.</w:t>
      </w:r>
    </w:p>
    <w:p w14:paraId="6208630C" w14:textId="77777777" w:rsidR="00950EBB" w:rsidRPr="00FB5770" w:rsidRDefault="00950EBB" w:rsidP="00950EBB">
      <w:pPr>
        <w:pStyle w:val="Textonotapie"/>
        <w:ind w:firstLine="709"/>
        <w:contextualSpacing/>
        <w:jc w:val="both"/>
        <w:rPr>
          <w:rFonts w:ascii="Verdana" w:hAnsi="Verdana"/>
          <w:sz w:val="14"/>
          <w:szCs w:val="14"/>
          <w:lang w:val="es-CO"/>
        </w:rPr>
      </w:pPr>
    </w:p>
  </w:footnote>
  <w:footnote w:id="15">
    <w:p w14:paraId="76CCAB95" w14:textId="77777777" w:rsidR="00950EBB" w:rsidRPr="00FB5770" w:rsidRDefault="00950EBB" w:rsidP="00950EBB">
      <w:pPr>
        <w:pStyle w:val="Textonotapie"/>
        <w:ind w:firstLine="709"/>
        <w:contextualSpacing/>
        <w:jc w:val="both"/>
        <w:rPr>
          <w:rFonts w:ascii="Verdana" w:hAnsi="Verdana"/>
          <w:sz w:val="14"/>
          <w:szCs w:val="14"/>
          <w:lang w:val="es-CO"/>
        </w:rPr>
      </w:pPr>
      <w:r w:rsidRPr="00FB5770">
        <w:rPr>
          <w:rStyle w:val="Refdenotaalpie"/>
          <w:rFonts w:ascii="Verdana" w:hAnsi="Verdana"/>
          <w:sz w:val="14"/>
          <w:szCs w:val="14"/>
        </w:rPr>
        <w:footnoteRef/>
      </w:r>
      <w:r w:rsidRPr="00FB5770">
        <w:rPr>
          <w:rFonts w:ascii="Verdana" w:hAnsi="Verdana"/>
          <w:sz w:val="14"/>
          <w:szCs w:val="14"/>
        </w:rPr>
        <w:t xml:space="preserve"> La parte resolutiva del auto dispone lo siguiente; “</w:t>
      </w:r>
      <w:r w:rsidRPr="00FB5770">
        <w:rPr>
          <w:rFonts w:ascii="Verdana" w:hAnsi="Verdana"/>
          <w:b/>
          <w:sz w:val="14"/>
          <w:szCs w:val="14"/>
          <w:lang w:val="es-CO"/>
        </w:rPr>
        <w:t xml:space="preserve">PRIMERO: DECRETAR </w:t>
      </w:r>
      <w:r w:rsidRPr="00FB5770">
        <w:rPr>
          <w:rFonts w:ascii="Verdana" w:hAnsi="Verdana"/>
          <w:sz w:val="14"/>
          <w:szCs w:val="14"/>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FB5770">
        <w:rPr>
          <w:rFonts w:ascii="Verdana" w:hAnsi="Verdana"/>
          <w:i/>
          <w:sz w:val="14"/>
          <w:szCs w:val="14"/>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FB5770">
        <w:rPr>
          <w:rFonts w:ascii="Verdana" w:hAnsi="Verdana"/>
          <w:sz w:val="14"/>
          <w:szCs w:val="14"/>
          <w:lang w:val="es-CO"/>
        </w:rPr>
        <w:t xml:space="preserve">, por las razones expuestas en precedencia. </w:t>
      </w:r>
    </w:p>
    <w:p w14:paraId="24DF665F" w14:textId="77777777" w:rsidR="00950EBB" w:rsidRDefault="00950EBB" w:rsidP="00950EBB">
      <w:pPr>
        <w:pStyle w:val="Textonotapie"/>
        <w:ind w:firstLine="709"/>
        <w:contextualSpacing/>
        <w:jc w:val="both"/>
        <w:rPr>
          <w:rFonts w:ascii="Verdana" w:hAnsi="Verdana"/>
          <w:sz w:val="16"/>
          <w:szCs w:val="16"/>
          <w:lang w:val="es-CO"/>
        </w:rPr>
      </w:pPr>
      <w:r w:rsidRPr="00FB5770">
        <w:rPr>
          <w:rFonts w:ascii="Verdana" w:hAnsi="Verdana"/>
          <w:b/>
          <w:sz w:val="14"/>
          <w:szCs w:val="14"/>
          <w:lang w:val="es-CO"/>
        </w:rPr>
        <w:t xml:space="preserve">SEGUNDO: DECRETAR </w:t>
      </w:r>
      <w:r w:rsidRPr="00FB5770">
        <w:rPr>
          <w:rFonts w:ascii="Verdana" w:hAnsi="Verdana"/>
          <w:sz w:val="14"/>
          <w:szCs w:val="14"/>
          <w:lang w:val="es-CO"/>
        </w:rPr>
        <w:t>la suspensión provisional de la expresión “</w:t>
      </w:r>
      <w:r w:rsidRPr="00FB5770">
        <w:rPr>
          <w:rFonts w:ascii="Verdana" w:hAnsi="Verdana"/>
          <w:i/>
          <w:sz w:val="14"/>
          <w:szCs w:val="14"/>
          <w:lang w:val="es-CO"/>
        </w:rPr>
        <w:t>contratos</w:t>
      </w:r>
      <w:r w:rsidRPr="00FB5770">
        <w:rPr>
          <w:rFonts w:ascii="Verdana" w:hAnsi="Verdana"/>
          <w:sz w:val="14"/>
          <w:szCs w:val="14"/>
          <w:lang w:val="es-CO"/>
        </w:rPr>
        <w:t xml:space="preserve">” y del párrafo </w:t>
      </w:r>
      <w:r w:rsidRPr="00FB5770">
        <w:rPr>
          <w:rFonts w:ascii="Verdana" w:hAnsi="Verdana"/>
          <w:i/>
          <w:sz w:val="14"/>
          <w:szCs w:val="14"/>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FB5770">
        <w:rPr>
          <w:rFonts w:ascii="Verdana" w:hAnsi="Verdana"/>
          <w:sz w:val="14"/>
          <w:szCs w:val="14"/>
          <w:lang w:val="es-CO"/>
        </w:rPr>
        <w:t>”,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w:t>
      </w:r>
      <w:r w:rsidRPr="009D0D83">
        <w:rPr>
          <w:rFonts w:ascii="Verdana" w:hAnsi="Verdana"/>
          <w:sz w:val="16"/>
          <w:szCs w:val="16"/>
          <w:lang w:val="es-CO"/>
        </w:rPr>
        <w:t xml:space="preserve"> </w:t>
      </w:r>
    </w:p>
    <w:p w14:paraId="29670C13" w14:textId="77777777" w:rsidR="00950EBB" w:rsidRPr="009D0D83" w:rsidRDefault="00950EBB" w:rsidP="00950EBB">
      <w:pPr>
        <w:pStyle w:val="Textonotapie"/>
        <w:ind w:firstLine="709"/>
        <w:contextualSpacing/>
        <w:jc w:val="both"/>
        <w:rPr>
          <w:rFonts w:ascii="Verdana" w:hAnsi="Verdana"/>
          <w:sz w:val="16"/>
          <w:szCs w:val="16"/>
          <w:lang w:val="es-CO"/>
        </w:rPr>
      </w:pPr>
    </w:p>
  </w:footnote>
  <w:footnote w:id="16">
    <w:p w14:paraId="71470C44" w14:textId="77777777" w:rsidR="00950EBB" w:rsidRDefault="00950EBB" w:rsidP="00950EBB">
      <w:pPr>
        <w:spacing w:after="0" w:line="240" w:lineRule="auto"/>
        <w:ind w:firstLine="709"/>
        <w:contextualSpacing/>
        <w:jc w:val="both"/>
        <w:rPr>
          <w:rFonts w:ascii="Verdana" w:eastAsia="Times New Roman" w:hAnsi="Verdana" w:cs="Times New Roman"/>
          <w:sz w:val="14"/>
          <w:szCs w:val="14"/>
          <w:lang w:eastAsia="es-ES"/>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eastAsia="Times New Roman" w:hAnsi="Verdana" w:cs="Times New Roman"/>
          <w:sz w:val="14"/>
          <w:szCs w:val="14"/>
          <w:lang w:eastAsia="es-ES"/>
        </w:rPr>
        <w:t xml:space="preserve">Consejo de Estado. </w:t>
      </w:r>
      <w:r>
        <w:rPr>
          <w:rFonts w:ascii="Verdana" w:eastAsia="Times New Roman" w:hAnsi="Verdana" w:cs="Times New Roman"/>
          <w:sz w:val="14"/>
          <w:szCs w:val="14"/>
          <w:lang w:eastAsia="es-ES"/>
        </w:rPr>
        <w:t xml:space="preserve">Sala de lo Contencioso Administrativo. </w:t>
      </w:r>
      <w:r w:rsidRPr="00FB5770">
        <w:rPr>
          <w:rFonts w:ascii="Verdana" w:eastAsia="Times New Roman" w:hAnsi="Verdana" w:cs="Times New Roman"/>
          <w:sz w:val="14"/>
          <w:szCs w:val="14"/>
          <w:lang w:eastAsia="es-ES"/>
        </w:rPr>
        <w:t xml:space="preserve">Sección Tercera. Subsección B. 17 de octubre de 2025. C.P. Fredy Ibarra Martínez. </w:t>
      </w:r>
      <w:r w:rsidRPr="00FB5770">
        <w:rPr>
          <w:rFonts w:ascii="Verdana" w:hAnsi="Verdana"/>
          <w:sz w:val="14"/>
          <w:szCs w:val="14"/>
        </w:rPr>
        <w:t xml:space="preserve">La parte de la providencia señala: </w:t>
      </w:r>
      <w:r w:rsidRPr="00FB5770">
        <w:rPr>
          <w:rFonts w:ascii="Verdana" w:eastAsia="Times New Roman" w:hAnsi="Verdana" w:cs="Times New Roman"/>
          <w:sz w:val="14"/>
          <w:szCs w:val="14"/>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DAE84F6" w14:textId="77777777" w:rsidR="00950EBB" w:rsidRPr="00FB5770" w:rsidRDefault="00950EBB" w:rsidP="00950EBB">
      <w:pPr>
        <w:spacing w:after="0" w:line="240" w:lineRule="auto"/>
        <w:ind w:firstLine="709"/>
        <w:contextualSpacing/>
        <w:jc w:val="both"/>
        <w:rPr>
          <w:rFonts w:ascii="Verdana" w:eastAsia="Times New Roman" w:hAnsi="Verdana" w:cs="Times New Roman"/>
          <w:sz w:val="14"/>
          <w:szCs w:val="14"/>
          <w:lang w:eastAsia="es-ES"/>
        </w:rPr>
      </w:pPr>
    </w:p>
  </w:footnote>
  <w:footnote w:id="17">
    <w:p w14:paraId="3B2FBFBD" w14:textId="77777777" w:rsidR="00950EBB" w:rsidRPr="00FB5770" w:rsidRDefault="00950EBB" w:rsidP="00950EBB">
      <w:pPr>
        <w:pStyle w:val="Textonotapie"/>
        <w:ind w:firstLine="709"/>
        <w:jc w:val="both"/>
        <w:rPr>
          <w:rFonts w:ascii="Verdana" w:hAnsi="Verdana"/>
          <w:sz w:val="14"/>
          <w:szCs w:val="14"/>
          <w:lang w:val="es-CO"/>
        </w:rPr>
      </w:pPr>
      <w:r w:rsidRPr="00FB5770">
        <w:rPr>
          <w:rStyle w:val="Refdenotaalpie"/>
          <w:rFonts w:ascii="Verdana" w:hAnsi="Verdana"/>
          <w:sz w:val="14"/>
          <w:szCs w:val="14"/>
        </w:rPr>
        <w:footnoteRef/>
      </w:r>
      <w:r w:rsidRPr="00FB5770">
        <w:rPr>
          <w:rFonts w:ascii="Verdana" w:hAnsi="Verdana"/>
          <w:sz w:val="14"/>
          <w:szCs w:val="14"/>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18">
    <w:p w14:paraId="31DB7E7E" w14:textId="77777777" w:rsidR="00950EBB" w:rsidRPr="00EC1732" w:rsidRDefault="00950EBB" w:rsidP="00950EBB">
      <w:pPr>
        <w:pStyle w:val="Textonotapie"/>
        <w:ind w:firstLine="709"/>
        <w:jc w:val="both"/>
        <w:rPr>
          <w:rFonts w:ascii="Verdana" w:hAnsi="Verdana"/>
          <w:sz w:val="14"/>
          <w:szCs w:val="14"/>
          <w:lang w:val="es-CO"/>
        </w:rPr>
      </w:pPr>
      <w:r w:rsidRPr="00EC1732">
        <w:rPr>
          <w:rStyle w:val="Refdenotaalpie"/>
          <w:rFonts w:ascii="Verdana" w:hAnsi="Verdana"/>
          <w:sz w:val="14"/>
          <w:szCs w:val="14"/>
        </w:rPr>
        <w:footnoteRef/>
      </w:r>
      <w:r w:rsidRPr="00EC1732">
        <w:rPr>
          <w:rFonts w:ascii="Verdana" w:hAnsi="Verdana"/>
          <w:sz w:val="14"/>
          <w:szCs w:val="14"/>
        </w:rPr>
        <w:t xml:space="preserve"> </w:t>
      </w:r>
      <w:r w:rsidRPr="00EC1732">
        <w:rPr>
          <w:rFonts w:ascii="Verdana" w:hAnsi="Verdana"/>
          <w:sz w:val="14"/>
          <w:szCs w:val="14"/>
          <w:lang w:val="es-ES"/>
        </w:rPr>
        <w:t xml:space="preserve">Ley 100 de 1993. </w:t>
      </w:r>
      <w:r w:rsidRPr="00EC1732">
        <w:rPr>
          <w:rFonts w:ascii="Verdana" w:hAnsi="Verdana"/>
          <w:sz w:val="14"/>
          <w:szCs w:val="14"/>
          <w:lang w:val="es-CO"/>
        </w:rPr>
        <w:t>Artículo</w:t>
      </w:r>
      <w:bookmarkStart w:id="5" w:name="194"/>
      <w:bookmarkEnd w:id="5"/>
      <w:r w:rsidRPr="00EC1732">
        <w:rPr>
          <w:rFonts w:ascii="Verdana" w:hAnsi="Verdana"/>
          <w:sz w:val="14"/>
          <w:szCs w:val="14"/>
          <w:lang w:val="es-CO"/>
        </w:rPr>
        <w:t>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6" w:name="LPHit237"/>
      <w:bookmarkEnd w:id="6"/>
      <w:r w:rsidRPr="00EC1732">
        <w:rPr>
          <w:rFonts w:ascii="Verdana" w:hAnsi="Verdana"/>
          <w:sz w:val="14"/>
          <w:szCs w:val="14"/>
          <w:lang w:val="es-CO"/>
        </w:rPr>
        <w:t> Ley o por las asambleas o concejos, según el caso, sometidas al régimen jurídico previsto en este capítulo.</w:t>
      </w:r>
    </w:p>
    <w:p w14:paraId="4C907087" w14:textId="77777777" w:rsidR="00950EBB" w:rsidRPr="00EC1732" w:rsidRDefault="00950EBB" w:rsidP="00950EBB">
      <w:pPr>
        <w:pStyle w:val="Textonotapie"/>
        <w:ind w:firstLine="709"/>
        <w:jc w:val="both"/>
        <w:rPr>
          <w:rFonts w:ascii="Verdana" w:hAnsi="Verdana"/>
          <w:sz w:val="14"/>
          <w:szCs w:val="14"/>
          <w:lang w:val="es-CO"/>
        </w:rPr>
      </w:pPr>
    </w:p>
  </w:footnote>
  <w:footnote w:id="19">
    <w:p w14:paraId="5C39D331" w14:textId="77777777" w:rsidR="00950EBB" w:rsidRDefault="00950EBB" w:rsidP="00950EBB">
      <w:pPr>
        <w:pStyle w:val="Textonotapie"/>
        <w:ind w:firstLine="708"/>
        <w:contextualSpacing/>
        <w:jc w:val="both"/>
        <w:rPr>
          <w:rFonts w:ascii="Verdana" w:hAnsi="Verdana" w:cs="Arial"/>
          <w:color w:val="000000" w:themeColor="text1"/>
          <w:sz w:val="14"/>
          <w:szCs w:val="14"/>
          <w:lang w:val="es-CO"/>
        </w:rPr>
      </w:pPr>
      <w:r w:rsidRPr="001E43AD">
        <w:rPr>
          <w:rStyle w:val="Refdenotaalpie"/>
          <w:rFonts w:ascii="Verdana" w:hAnsi="Verdana" w:cs="Arial"/>
          <w:color w:val="000000" w:themeColor="text1"/>
          <w:sz w:val="14"/>
          <w:szCs w:val="14"/>
          <w:lang w:val="es-CO"/>
        </w:rPr>
        <w:footnoteRef/>
      </w:r>
      <w:r w:rsidRPr="001E43AD">
        <w:rPr>
          <w:rFonts w:ascii="Verdana" w:hAnsi="Verdana" w:cs="Arial"/>
          <w:color w:val="000000" w:themeColor="text1"/>
          <w:sz w:val="14"/>
          <w:szCs w:val="14"/>
          <w:lang w:val="es-CO"/>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1E43AD">
        <w:rPr>
          <w:rFonts w:ascii="Verdana" w:hAnsi="Verdana" w:cs="Arial"/>
          <w:i/>
          <w:iCs/>
          <w:color w:val="000000" w:themeColor="text1"/>
          <w:sz w:val="14"/>
          <w:szCs w:val="14"/>
          <w:lang w:val="es-CO"/>
        </w:rPr>
        <w:t>y todas aquellas entidades que de acuerdo con la ley ejerzan funciones de vigilancia y control sanitario</w:t>
      </w:r>
      <w:r w:rsidRPr="001E43AD">
        <w:rPr>
          <w:rFonts w:ascii="Verdana" w:hAnsi="Verdana" w:cs="Arial"/>
          <w:color w:val="000000" w:themeColor="text1"/>
          <w:sz w:val="14"/>
          <w:szCs w:val="14"/>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3167EB13" w14:textId="77777777" w:rsidR="00950EBB" w:rsidRPr="001E43AD" w:rsidRDefault="00950EBB" w:rsidP="00950EBB">
      <w:pPr>
        <w:pStyle w:val="Textonotapie"/>
        <w:ind w:firstLine="708"/>
        <w:contextualSpacing/>
        <w:jc w:val="both"/>
        <w:rPr>
          <w:rFonts w:ascii="Verdana" w:hAnsi="Verdana" w:cs="Arial"/>
          <w:color w:val="000000" w:themeColor="text1"/>
          <w:sz w:val="14"/>
          <w:szCs w:val="14"/>
          <w:lang w:val="es-CO"/>
        </w:rPr>
      </w:pPr>
    </w:p>
  </w:footnote>
  <w:footnote w:id="20">
    <w:p w14:paraId="7AB1FD6F" w14:textId="77777777" w:rsidR="00950EBB" w:rsidRDefault="00950EBB" w:rsidP="00950EBB">
      <w:pPr>
        <w:pStyle w:val="Textonotapie"/>
        <w:ind w:firstLine="708"/>
        <w:contextualSpacing/>
        <w:jc w:val="both"/>
        <w:rPr>
          <w:rFonts w:ascii="Verdana" w:hAnsi="Verdana"/>
          <w:sz w:val="14"/>
          <w:szCs w:val="14"/>
          <w:lang w:val="es-CO"/>
        </w:rPr>
      </w:pPr>
      <w:r w:rsidRPr="001E43AD">
        <w:rPr>
          <w:rStyle w:val="Refdenotaalpie"/>
          <w:rFonts w:ascii="Verdana" w:hAnsi="Verdana"/>
          <w:sz w:val="14"/>
          <w:szCs w:val="14"/>
          <w:lang w:val="es-CO"/>
        </w:rPr>
        <w:footnoteRef/>
      </w:r>
      <w:r w:rsidRPr="001E43AD">
        <w:rPr>
          <w:rFonts w:ascii="Verdana" w:hAnsi="Verdana"/>
          <w:sz w:val="14"/>
          <w:szCs w:val="14"/>
          <w:lang w:val="es-CO"/>
        </w:rPr>
        <w:t xml:space="preserve"> Consejo de Estado. Sala de Consulta y Servicio Civil. Concepto del 12 de junio de 2018. Radicación: 11001-03-06-000-2018-0043-00. (2371). C</w:t>
      </w:r>
      <w:r>
        <w:rPr>
          <w:rFonts w:ascii="Verdana" w:hAnsi="Verdana"/>
          <w:sz w:val="14"/>
          <w:szCs w:val="14"/>
          <w:lang w:val="es-CO"/>
        </w:rPr>
        <w:t>.P</w:t>
      </w:r>
      <w:r w:rsidRPr="001E43AD">
        <w:rPr>
          <w:rFonts w:ascii="Verdana" w:hAnsi="Verdana"/>
          <w:sz w:val="14"/>
          <w:szCs w:val="14"/>
          <w:lang w:val="es-CO"/>
        </w:rPr>
        <w:t xml:space="preserve">: Oscar Darío Amaya Navas. </w:t>
      </w:r>
    </w:p>
    <w:p w14:paraId="19547ABF" w14:textId="77777777" w:rsidR="00950EBB" w:rsidRPr="001E43AD" w:rsidRDefault="00950EBB" w:rsidP="00950EBB">
      <w:pPr>
        <w:pStyle w:val="Textonotapie"/>
        <w:ind w:firstLine="708"/>
        <w:contextualSpacing/>
        <w:jc w:val="both"/>
        <w:rPr>
          <w:rFonts w:ascii="Verdana" w:hAnsi="Verdana"/>
          <w:sz w:val="14"/>
          <w:szCs w:val="14"/>
          <w:lang w:val="es-CO"/>
        </w:rPr>
      </w:pPr>
    </w:p>
  </w:footnote>
  <w:footnote w:id="21">
    <w:p w14:paraId="58F5A8C2" w14:textId="77777777" w:rsidR="00950EBB" w:rsidRDefault="00950EBB" w:rsidP="00950EBB">
      <w:pPr>
        <w:pStyle w:val="Textonotapie"/>
        <w:ind w:firstLine="708"/>
        <w:contextualSpacing/>
        <w:rPr>
          <w:rFonts w:ascii="Verdana" w:hAnsi="Verdana"/>
          <w:sz w:val="14"/>
          <w:szCs w:val="14"/>
          <w:lang w:val="es-CO"/>
        </w:rPr>
      </w:pPr>
      <w:r w:rsidRPr="001E43AD">
        <w:rPr>
          <w:rStyle w:val="Refdenotaalpie"/>
          <w:rFonts w:ascii="Verdana" w:hAnsi="Verdana"/>
          <w:sz w:val="14"/>
          <w:szCs w:val="14"/>
          <w:lang w:val="es-CO"/>
        </w:rPr>
        <w:footnoteRef/>
      </w:r>
      <w:r w:rsidRPr="001E43AD">
        <w:rPr>
          <w:rFonts w:ascii="Verdana" w:hAnsi="Verdana"/>
          <w:sz w:val="14"/>
          <w:szCs w:val="14"/>
          <w:lang w:val="es-CO"/>
        </w:rPr>
        <w:t xml:space="preserve"> Ibidem.</w:t>
      </w:r>
    </w:p>
    <w:p w14:paraId="6357FD3B" w14:textId="77777777" w:rsidR="00950EBB" w:rsidRPr="001E43AD" w:rsidRDefault="00950EBB" w:rsidP="00950EBB">
      <w:pPr>
        <w:pStyle w:val="Textonotapie"/>
        <w:ind w:firstLine="708"/>
        <w:contextualSpacing/>
        <w:rPr>
          <w:rFonts w:ascii="Verdana" w:hAnsi="Verdana"/>
          <w:sz w:val="14"/>
          <w:szCs w:val="14"/>
          <w:lang w:val="es-CO"/>
        </w:rPr>
      </w:pPr>
    </w:p>
  </w:footnote>
  <w:footnote w:id="22">
    <w:p w14:paraId="419AA9B5" w14:textId="77777777" w:rsidR="00950EBB" w:rsidRPr="006A09E3" w:rsidRDefault="00950EBB" w:rsidP="00950EBB">
      <w:pPr>
        <w:pStyle w:val="Textonotapie"/>
        <w:ind w:firstLine="709"/>
        <w:rPr>
          <w:rFonts w:ascii="Verdana" w:hAnsi="Verdana"/>
          <w:sz w:val="14"/>
          <w:szCs w:val="14"/>
        </w:rPr>
      </w:pPr>
      <w:r w:rsidRPr="006A09E3">
        <w:rPr>
          <w:rStyle w:val="Refdenotaalpie"/>
          <w:rFonts w:ascii="Verdana" w:hAnsi="Verdana"/>
          <w:sz w:val="14"/>
          <w:szCs w:val="14"/>
        </w:rPr>
        <w:footnoteRef/>
      </w:r>
      <w:r w:rsidRPr="006A09E3">
        <w:rPr>
          <w:rFonts w:ascii="Verdana" w:hAnsi="Verdana"/>
          <w:sz w:val="14"/>
          <w:szCs w:val="14"/>
        </w:rPr>
        <w:t xml:space="preserve"> Esto en el entendido de la posición de la Agencia Nacional descrito en la presente comunicación.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66806731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877226658" name="Imagen 187722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054"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E53DD3"/>
    <w:multiLevelType w:val="hybridMultilevel"/>
    <w:tmpl w:val="50F66902"/>
    <w:lvl w:ilvl="0" w:tplc="995034EA">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227110730">
    <w:abstractNumId w:val="0"/>
  </w:num>
  <w:num w:numId="17" w16cid:durableId="531266698">
    <w:abstractNumId w:val="10"/>
  </w:num>
  <w:num w:numId="18" w16cid:durableId="939603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0F7124"/>
    <w:rsid w:val="00116940"/>
    <w:rsid w:val="00125105"/>
    <w:rsid w:val="00127233"/>
    <w:rsid w:val="001309F9"/>
    <w:rsid w:val="0014226E"/>
    <w:rsid w:val="0015699B"/>
    <w:rsid w:val="001A33BF"/>
    <w:rsid w:val="001E4177"/>
    <w:rsid w:val="001F0B24"/>
    <w:rsid w:val="001F7DC6"/>
    <w:rsid w:val="0022400B"/>
    <w:rsid w:val="00233500"/>
    <w:rsid w:val="002421BB"/>
    <w:rsid w:val="0025796E"/>
    <w:rsid w:val="002707A2"/>
    <w:rsid w:val="002951A0"/>
    <w:rsid w:val="002956D2"/>
    <w:rsid w:val="002962BC"/>
    <w:rsid w:val="002A093D"/>
    <w:rsid w:val="002A0DD0"/>
    <w:rsid w:val="002A49AC"/>
    <w:rsid w:val="002A64FD"/>
    <w:rsid w:val="002C5B83"/>
    <w:rsid w:val="002C7A84"/>
    <w:rsid w:val="002E2BF8"/>
    <w:rsid w:val="002E4FD9"/>
    <w:rsid w:val="0030657A"/>
    <w:rsid w:val="00311FAF"/>
    <w:rsid w:val="00322A85"/>
    <w:rsid w:val="00324168"/>
    <w:rsid w:val="00330834"/>
    <w:rsid w:val="003448F4"/>
    <w:rsid w:val="00373963"/>
    <w:rsid w:val="00374F5E"/>
    <w:rsid w:val="00377E3E"/>
    <w:rsid w:val="003A779E"/>
    <w:rsid w:val="003D0F4D"/>
    <w:rsid w:val="003D5B0D"/>
    <w:rsid w:val="003E0499"/>
    <w:rsid w:val="003E4F80"/>
    <w:rsid w:val="003E6439"/>
    <w:rsid w:val="003F3941"/>
    <w:rsid w:val="00406575"/>
    <w:rsid w:val="00414C74"/>
    <w:rsid w:val="00426BBE"/>
    <w:rsid w:val="0042722E"/>
    <w:rsid w:val="0044528D"/>
    <w:rsid w:val="00466E39"/>
    <w:rsid w:val="004842C2"/>
    <w:rsid w:val="004A1847"/>
    <w:rsid w:val="004A305D"/>
    <w:rsid w:val="004A425C"/>
    <w:rsid w:val="004F21C4"/>
    <w:rsid w:val="004F685F"/>
    <w:rsid w:val="005566E8"/>
    <w:rsid w:val="00574867"/>
    <w:rsid w:val="00591460"/>
    <w:rsid w:val="005A65E0"/>
    <w:rsid w:val="005C3777"/>
    <w:rsid w:val="005C5CDC"/>
    <w:rsid w:val="005D476C"/>
    <w:rsid w:val="005F4D97"/>
    <w:rsid w:val="006200BF"/>
    <w:rsid w:val="006219F8"/>
    <w:rsid w:val="006302F7"/>
    <w:rsid w:val="00646B9F"/>
    <w:rsid w:val="00665D70"/>
    <w:rsid w:val="006900D9"/>
    <w:rsid w:val="00706C16"/>
    <w:rsid w:val="007340C3"/>
    <w:rsid w:val="0075235A"/>
    <w:rsid w:val="00756841"/>
    <w:rsid w:val="007649AB"/>
    <w:rsid w:val="00771D0C"/>
    <w:rsid w:val="007833AC"/>
    <w:rsid w:val="007918F8"/>
    <w:rsid w:val="007B268C"/>
    <w:rsid w:val="007B7171"/>
    <w:rsid w:val="007C0C0F"/>
    <w:rsid w:val="007C3DC2"/>
    <w:rsid w:val="007E207C"/>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0EBB"/>
    <w:rsid w:val="0095685E"/>
    <w:rsid w:val="00961B09"/>
    <w:rsid w:val="00961BD1"/>
    <w:rsid w:val="00965334"/>
    <w:rsid w:val="0097093E"/>
    <w:rsid w:val="00990641"/>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B1AE0"/>
    <w:rsid w:val="00BC3D36"/>
    <w:rsid w:val="00BD3018"/>
    <w:rsid w:val="00BD54A6"/>
    <w:rsid w:val="00BD7F72"/>
    <w:rsid w:val="00BE0369"/>
    <w:rsid w:val="00BF7425"/>
    <w:rsid w:val="00C04FB3"/>
    <w:rsid w:val="00C11D8B"/>
    <w:rsid w:val="00C15139"/>
    <w:rsid w:val="00C330EB"/>
    <w:rsid w:val="00C50D69"/>
    <w:rsid w:val="00C5113D"/>
    <w:rsid w:val="00C5365C"/>
    <w:rsid w:val="00C754BE"/>
    <w:rsid w:val="00C76B1C"/>
    <w:rsid w:val="00C925AC"/>
    <w:rsid w:val="00CB6357"/>
    <w:rsid w:val="00CC1B26"/>
    <w:rsid w:val="00CC33BA"/>
    <w:rsid w:val="00D361FD"/>
    <w:rsid w:val="00D423A2"/>
    <w:rsid w:val="00D44E26"/>
    <w:rsid w:val="00D520D8"/>
    <w:rsid w:val="00D63AC2"/>
    <w:rsid w:val="00D7383B"/>
    <w:rsid w:val="00D7788A"/>
    <w:rsid w:val="00DA231B"/>
    <w:rsid w:val="00DC39FC"/>
    <w:rsid w:val="00DE0C98"/>
    <w:rsid w:val="00DF5254"/>
    <w:rsid w:val="00DF5DB9"/>
    <w:rsid w:val="00E02524"/>
    <w:rsid w:val="00E16408"/>
    <w:rsid w:val="00E20894"/>
    <w:rsid w:val="00E245AB"/>
    <w:rsid w:val="00E2764C"/>
    <w:rsid w:val="00E27F2E"/>
    <w:rsid w:val="00E3598C"/>
    <w:rsid w:val="00E50AFE"/>
    <w:rsid w:val="00E75C92"/>
    <w:rsid w:val="00E771DC"/>
    <w:rsid w:val="00E8772A"/>
    <w:rsid w:val="00E90F6B"/>
    <w:rsid w:val="00E92C27"/>
    <w:rsid w:val="00EA0E3D"/>
    <w:rsid w:val="00EC38A7"/>
    <w:rsid w:val="00EE1AA8"/>
    <w:rsid w:val="00F23FEA"/>
    <w:rsid w:val="00F31EDC"/>
    <w:rsid w:val="00F462B3"/>
    <w:rsid w:val="00F5664F"/>
    <w:rsid w:val="00F63AA9"/>
    <w:rsid w:val="00F666C4"/>
    <w:rsid w:val="00F718F9"/>
    <w:rsid w:val="00F76AFC"/>
    <w:rsid w:val="00FA47C0"/>
    <w:rsid w:val="00FB2590"/>
    <w:rsid w:val="00FB5DD1"/>
    <w:rsid w:val="00FC2B5D"/>
    <w:rsid w:val="00FF1449"/>
    <w:rsid w:val="00FF5443"/>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00E072"/>
    <w:rsid w:val="33A1FF93"/>
    <w:rsid w:val="356CEDFD"/>
    <w:rsid w:val="3C591AFD"/>
    <w:rsid w:val="42183F0A"/>
    <w:rsid w:val="4DE69CBB"/>
    <w:rsid w:val="534935D5"/>
    <w:rsid w:val="545B112A"/>
    <w:rsid w:val="5BEB1497"/>
    <w:rsid w:val="69614A15"/>
    <w:rsid w:val="700F876A"/>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50EB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50EBB"/>
    <w:rPr>
      <w:rFonts w:ascii="Geomanist Light" w:hAnsi="Geomanist Light"/>
      <w:lang w:val="es-ES"/>
    </w:rPr>
  </w:style>
  <w:style w:type="character" w:customStyle="1" w:styleId="NormalWebCar">
    <w:name w:val="Normal (Web) Car"/>
    <w:link w:val="NormalWeb"/>
    <w:uiPriority w:val="99"/>
    <w:locked/>
    <w:rsid w:val="00950EBB"/>
    <w:rPr>
      <w:rFonts w:ascii="Times New Roman" w:eastAsia="Times New Roman" w:hAnsi="Times New Roman" w:cs="Times New Roman"/>
      <w:sz w:val="24"/>
      <w:szCs w:val="24"/>
      <w:lang w:eastAsia="es-CO"/>
    </w:rPr>
  </w:style>
  <w:style w:type="character" w:customStyle="1" w:styleId="baj">
    <w:name w:val="b_aj"/>
    <w:basedOn w:val="Fuentedeprrafopredeter"/>
    <w:rsid w:val="00950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wp-content/uploads/2025/09/006-de-2025-Circular-Externa-L996-ajustado-comentarios-BM-BID-Rev-ARSC-V3.d-1.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010CD9B-93E7-497B-AA67-A9D13BF4D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37</TotalTime>
  <Pages>27</Pages>
  <Words>8787</Words>
  <Characters>48333</Characters>
  <Application>Microsoft Office Word</Application>
  <DocSecurity>0</DocSecurity>
  <Lines>402</Lines>
  <Paragraphs>114</Paragraphs>
  <ScaleCrop>false</ScaleCrop>
  <Company/>
  <LinksUpToDate>false</LinksUpToDate>
  <CharactersWithSpaces>57006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2026-04-28T16:12:00Z</dcterms:created>
  <dcterms:modified xsi:type="dcterms:W3CDTF">2026-04-29T14:49:00Z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