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94EAB" w14:textId="7D18BBB8" w:rsidR="002051F5" w:rsidRPr="002051F5" w:rsidRDefault="002051F5" w:rsidP="002051F5">
      <w:pPr>
        <w:spacing w:after="0" w:line="276" w:lineRule="auto"/>
        <w:jc w:val="both"/>
        <w:rPr>
          <w:rFonts w:ascii="Verdana" w:eastAsia="Calibri" w:hAnsi="Verdana" w:cs="Arial"/>
          <w:b/>
          <w:bCs/>
          <w:lang w:val="es-ES_tradnl" w:eastAsia="es-MX"/>
        </w:rPr>
      </w:pPr>
      <w:bookmarkStart w:id="0" w:name="_Hlk143780582"/>
      <w:r w:rsidRPr="002051F5">
        <w:rPr>
          <w:rFonts w:ascii="Verdana" w:eastAsia="Calibri" w:hAnsi="Verdana" w:cs="Arial"/>
          <w:b/>
          <w:bCs/>
          <w:lang w:val="es-ES_tradnl" w:eastAsia="es-MX"/>
        </w:rPr>
        <w:t xml:space="preserve">DOCUMENTOS TIPO – Fundamento normativo – Obligatoriedad </w:t>
      </w:r>
    </w:p>
    <w:p w14:paraId="273BA5A1" w14:textId="77777777" w:rsidR="002051F5" w:rsidRPr="002051F5" w:rsidRDefault="002051F5" w:rsidP="002051F5">
      <w:pPr>
        <w:spacing w:after="0" w:line="276" w:lineRule="auto"/>
        <w:jc w:val="both"/>
        <w:rPr>
          <w:rFonts w:ascii="Verdana" w:eastAsia="Calibri" w:hAnsi="Verdana" w:cs="Arial"/>
          <w:b/>
          <w:bCs/>
          <w:sz w:val="20"/>
          <w:szCs w:val="20"/>
          <w:lang w:val="es-ES_tradnl" w:eastAsia="es-MX"/>
        </w:rPr>
      </w:pPr>
    </w:p>
    <w:p w14:paraId="364DCB1C" w14:textId="77777777" w:rsidR="002051F5" w:rsidRPr="002051F5" w:rsidRDefault="002051F5" w:rsidP="002051F5">
      <w:pPr>
        <w:tabs>
          <w:tab w:val="left" w:pos="709"/>
        </w:tabs>
        <w:spacing w:after="0" w:line="240" w:lineRule="auto"/>
        <w:jc w:val="both"/>
        <w:rPr>
          <w:rFonts w:ascii="Verdana" w:eastAsia="Calibri" w:hAnsi="Verdana" w:cs="Arial"/>
          <w:sz w:val="20"/>
          <w:szCs w:val="20"/>
          <w:lang w:val="es-ES" w:eastAsia="es-MX"/>
        </w:rPr>
      </w:pPr>
      <w:r w:rsidRPr="002051F5">
        <w:rPr>
          <w:rFonts w:ascii="Verdana" w:eastAsia="Calibri" w:hAnsi="Verdana" w:cs="Arial"/>
          <w:sz w:val="20"/>
          <w:szCs w:val="20"/>
          <w:lang w:val="es-ES" w:eastAsia="es-MX"/>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6175BECC" w14:textId="77777777" w:rsidR="002051F5" w:rsidRPr="002051F5" w:rsidRDefault="002051F5" w:rsidP="002051F5">
      <w:pPr>
        <w:spacing w:after="0" w:line="276" w:lineRule="auto"/>
        <w:jc w:val="both"/>
        <w:rPr>
          <w:rFonts w:ascii="Verdana" w:eastAsia="Calibri" w:hAnsi="Verdana" w:cs="Arial"/>
          <w:b/>
          <w:bCs/>
          <w:lang w:val="es-ES_tradnl" w:eastAsia="es-MX"/>
        </w:rPr>
      </w:pPr>
    </w:p>
    <w:p w14:paraId="7D2578D7" w14:textId="77777777" w:rsidR="002051F5" w:rsidRPr="002051F5" w:rsidRDefault="002051F5" w:rsidP="002051F5">
      <w:pPr>
        <w:widowControl w:val="0"/>
        <w:autoSpaceDE w:val="0"/>
        <w:autoSpaceDN w:val="0"/>
        <w:spacing w:after="0" w:line="276" w:lineRule="auto"/>
        <w:jc w:val="both"/>
        <w:rPr>
          <w:rFonts w:ascii="Verdana" w:eastAsia="Calibri" w:hAnsi="Verdana" w:cs="Times New Roman"/>
          <w:b/>
          <w:bCs/>
          <w:lang w:val="es-ES" w:eastAsia="es-MX"/>
        </w:rPr>
      </w:pPr>
      <w:r w:rsidRPr="002051F5">
        <w:rPr>
          <w:rFonts w:ascii="Verdana" w:eastAsia="Calibri" w:hAnsi="Verdana" w:cs="Arial"/>
          <w:b/>
          <w:bCs/>
          <w:lang w:val="es-ES_tradnl" w:eastAsia="es-MX"/>
        </w:rPr>
        <w:t>SECTOR SOCIAL</w:t>
      </w:r>
      <w:r w:rsidRPr="002051F5">
        <w:rPr>
          <w:rFonts w:ascii="Verdana" w:eastAsia="Calibri" w:hAnsi="Verdana" w:cs="Times New Roman"/>
          <w:lang w:val="es-ES" w:eastAsia="es-MX"/>
        </w:rPr>
        <w:t xml:space="preserve"> </w:t>
      </w:r>
      <w:r w:rsidRPr="002051F5">
        <w:rPr>
          <w:rFonts w:ascii="Verdana" w:eastAsia="Calibri" w:hAnsi="Verdana" w:cs="Times New Roman"/>
          <w:b/>
          <w:bCs/>
          <w:lang w:val="es-ES" w:eastAsia="es-MX"/>
        </w:rPr>
        <w:t>– Documentos tipo – Vigentes</w:t>
      </w:r>
    </w:p>
    <w:p w14:paraId="2199BD0E" w14:textId="77777777" w:rsidR="002051F5" w:rsidRPr="002051F5" w:rsidRDefault="002051F5" w:rsidP="002051F5">
      <w:pPr>
        <w:widowControl w:val="0"/>
        <w:autoSpaceDE w:val="0"/>
        <w:autoSpaceDN w:val="0"/>
        <w:spacing w:after="0" w:line="276" w:lineRule="auto"/>
        <w:jc w:val="both"/>
        <w:rPr>
          <w:rFonts w:ascii="Verdana" w:eastAsia="Calibri" w:hAnsi="Verdana" w:cs="Times New Roman"/>
          <w:b/>
          <w:bCs/>
          <w:lang w:val="es-ES" w:eastAsia="es-MX"/>
        </w:rPr>
      </w:pPr>
    </w:p>
    <w:p w14:paraId="21F6799C" w14:textId="77777777" w:rsidR="002051F5" w:rsidRPr="002051F5" w:rsidRDefault="002051F5" w:rsidP="002051F5">
      <w:pPr>
        <w:widowControl w:val="0"/>
        <w:autoSpaceDE w:val="0"/>
        <w:autoSpaceDN w:val="0"/>
        <w:spacing w:after="0" w:line="240" w:lineRule="auto"/>
        <w:jc w:val="both"/>
        <w:rPr>
          <w:rFonts w:ascii="Verdana" w:eastAsia="Calibri" w:hAnsi="Verdana" w:cs="Times New Roman"/>
          <w:b/>
          <w:bCs/>
          <w:sz w:val="20"/>
          <w:szCs w:val="20"/>
          <w:lang w:val="es-ES" w:eastAsia="es-MX"/>
        </w:rPr>
      </w:pPr>
      <w:r w:rsidRPr="002051F5">
        <w:rPr>
          <w:rFonts w:ascii="Verdana" w:eastAsia="Aptos" w:hAnsi="Verdana" w:cs="Times New Roman"/>
          <w:sz w:val="20"/>
          <w:szCs w:val="20"/>
          <w:lang w:eastAsia="es-MX"/>
        </w:rPr>
        <w:t xml:space="preserve">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de salud, cultura, recreación y deporte, institucional y vivienda, en los procesos de selección cuyo aviso de convocatoria se publique a partir del 16 de febrero de 2026. </w:t>
      </w:r>
    </w:p>
    <w:p w14:paraId="07A42001" w14:textId="77777777" w:rsidR="002051F5" w:rsidRPr="002051F5" w:rsidRDefault="002051F5" w:rsidP="002051F5">
      <w:pPr>
        <w:widowControl w:val="0"/>
        <w:autoSpaceDE w:val="0"/>
        <w:autoSpaceDN w:val="0"/>
        <w:spacing w:after="0" w:line="276" w:lineRule="auto"/>
        <w:jc w:val="both"/>
        <w:rPr>
          <w:rFonts w:ascii="Verdana" w:eastAsia="Calibri" w:hAnsi="Verdana" w:cs="Times New Roman"/>
          <w:lang w:val="es-ES" w:eastAsia="es-MX"/>
        </w:rPr>
      </w:pPr>
    </w:p>
    <w:p w14:paraId="3E6C8108" w14:textId="77777777" w:rsidR="002051F5" w:rsidRPr="002051F5" w:rsidRDefault="002051F5" w:rsidP="002051F5">
      <w:pPr>
        <w:spacing w:after="0" w:line="276" w:lineRule="auto"/>
        <w:jc w:val="both"/>
        <w:rPr>
          <w:rFonts w:ascii="Verdana" w:eastAsia="Calibri" w:hAnsi="Verdana" w:cs="Times New Roman"/>
          <w:sz w:val="20"/>
          <w:szCs w:val="20"/>
          <w:lang w:val="es-ES" w:eastAsia="es-MX"/>
        </w:rPr>
      </w:pPr>
      <w:r w:rsidRPr="002051F5">
        <w:rPr>
          <w:rFonts w:ascii="Verdana" w:eastAsia="Calibri" w:hAnsi="Verdana" w:cs="Times New Roman"/>
          <w:b/>
          <w:bCs/>
          <w:lang w:val="es-ES" w:eastAsia="es-MX"/>
        </w:rPr>
        <w:t xml:space="preserve">DOCUMENTOS TIPO – Aplicación – Matriz de Experiencia </w:t>
      </w:r>
    </w:p>
    <w:p w14:paraId="639EF25C" w14:textId="77777777" w:rsidR="002051F5" w:rsidRPr="002051F5" w:rsidRDefault="002051F5" w:rsidP="002051F5">
      <w:pPr>
        <w:spacing w:after="0" w:line="240" w:lineRule="auto"/>
        <w:rPr>
          <w:rFonts w:ascii="Verdana" w:eastAsia="Geomanist Light" w:hAnsi="Verdana" w:cs="Arial"/>
          <w:lang w:val="es-MX" w:eastAsia="es-MX"/>
        </w:rPr>
      </w:pPr>
    </w:p>
    <w:p w14:paraId="63C4A72F" w14:textId="77777777" w:rsidR="002051F5" w:rsidRPr="002051F5" w:rsidRDefault="002051F5" w:rsidP="002051F5">
      <w:pPr>
        <w:widowControl w:val="0"/>
        <w:autoSpaceDE w:val="0"/>
        <w:autoSpaceDN w:val="0"/>
        <w:spacing w:after="0" w:line="240" w:lineRule="auto"/>
        <w:jc w:val="both"/>
        <w:rPr>
          <w:rFonts w:ascii="Verdana" w:eastAsia="Calibri" w:hAnsi="Verdana" w:cs="Times New Roman"/>
          <w:sz w:val="20"/>
          <w:szCs w:val="20"/>
          <w:lang w:val="es-ES" w:eastAsia="es-MX"/>
        </w:rPr>
      </w:pPr>
      <w:r w:rsidRPr="002051F5">
        <w:rPr>
          <w:rFonts w:ascii="Verdana" w:eastAsia="Calibri" w:hAnsi="Verdana" w:cs="Times New Roman"/>
          <w:sz w:val="20"/>
          <w:szCs w:val="20"/>
          <w:lang w:val="es-ES" w:eastAsia="es-MX"/>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0A4EA845" w14:textId="77777777" w:rsidR="002051F5" w:rsidRPr="002051F5" w:rsidRDefault="002051F5" w:rsidP="002051F5">
      <w:pPr>
        <w:widowControl w:val="0"/>
        <w:autoSpaceDE w:val="0"/>
        <w:autoSpaceDN w:val="0"/>
        <w:spacing w:after="0" w:line="240" w:lineRule="auto"/>
        <w:jc w:val="both"/>
        <w:rPr>
          <w:rFonts w:ascii="Verdana" w:eastAsia="Calibri" w:hAnsi="Verdana" w:cs="Times New Roman"/>
          <w:sz w:val="20"/>
          <w:szCs w:val="20"/>
          <w:lang w:val="es-ES" w:eastAsia="es-MX"/>
        </w:rPr>
      </w:pPr>
    </w:p>
    <w:p w14:paraId="069A0BA7" w14:textId="77777777" w:rsidR="002051F5" w:rsidRPr="002051F5" w:rsidRDefault="002051F5" w:rsidP="002051F5">
      <w:pPr>
        <w:widowControl w:val="0"/>
        <w:autoSpaceDE w:val="0"/>
        <w:autoSpaceDN w:val="0"/>
        <w:spacing w:after="0" w:line="240" w:lineRule="auto"/>
        <w:jc w:val="both"/>
        <w:rPr>
          <w:rFonts w:ascii="Verdana" w:eastAsia="Calibri" w:hAnsi="Verdana" w:cs="Times New Roman"/>
          <w:sz w:val="20"/>
          <w:szCs w:val="20"/>
          <w:lang w:val="es-ES" w:eastAsia="es-MX"/>
        </w:rPr>
      </w:pPr>
      <w:r w:rsidRPr="002051F5">
        <w:rPr>
          <w:rFonts w:ascii="Verdana" w:eastAsia="Calibri" w:hAnsi="Verdana" w:cs="Times New Roman"/>
          <w:sz w:val="20"/>
          <w:szCs w:val="20"/>
          <w:lang w:val="es-ES" w:eastAsia="es-MX"/>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5EBDBC10" w14:textId="77777777" w:rsidR="002051F5" w:rsidRPr="002051F5" w:rsidRDefault="002051F5" w:rsidP="002051F5">
      <w:pPr>
        <w:widowControl w:val="0"/>
        <w:autoSpaceDE w:val="0"/>
        <w:autoSpaceDN w:val="0"/>
        <w:spacing w:after="0" w:line="240" w:lineRule="auto"/>
        <w:jc w:val="both"/>
        <w:rPr>
          <w:rFonts w:ascii="Verdana" w:eastAsia="Calibri" w:hAnsi="Verdana" w:cs="Times New Roman"/>
          <w:sz w:val="20"/>
          <w:szCs w:val="20"/>
          <w:lang w:val="es-ES" w:eastAsia="es-MX"/>
        </w:rPr>
      </w:pPr>
    </w:p>
    <w:p w14:paraId="2FE4AD12" w14:textId="77777777" w:rsidR="002051F5" w:rsidRPr="002051F5" w:rsidRDefault="002051F5" w:rsidP="002051F5">
      <w:pPr>
        <w:widowControl w:val="0"/>
        <w:autoSpaceDE w:val="0"/>
        <w:autoSpaceDN w:val="0"/>
        <w:spacing w:after="0" w:line="240" w:lineRule="auto"/>
        <w:jc w:val="both"/>
        <w:rPr>
          <w:rFonts w:ascii="Verdana" w:eastAsia="Calibri" w:hAnsi="Verdana" w:cs="Times New Roman"/>
          <w:b/>
          <w:bCs/>
          <w:lang w:val="es-ES" w:eastAsia="es-MX"/>
        </w:rPr>
      </w:pPr>
      <w:r w:rsidRPr="002051F5">
        <w:rPr>
          <w:rFonts w:ascii="Verdana" w:eastAsia="Calibri" w:hAnsi="Verdana" w:cs="Times New Roman"/>
          <w:b/>
          <w:bCs/>
          <w:lang w:val="es-ES" w:eastAsia="es-MX"/>
        </w:rPr>
        <w:t>DOCUMENTOS TIPO – Sector social – Infraestructura de servicio público – NSR-10</w:t>
      </w:r>
    </w:p>
    <w:p w14:paraId="72D05DA8" w14:textId="77777777" w:rsidR="002051F5" w:rsidRPr="002051F5" w:rsidRDefault="002051F5" w:rsidP="002051F5">
      <w:pPr>
        <w:widowControl w:val="0"/>
        <w:autoSpaceDE w:val="0"/>
        <w:autoSpaceDN w:val="0"/>
        <w:spacing w:after="0" w:line="240" w:lineRule="auto"/>
        <w:jc w:val="both"/>
        <w:rPr>
          <w:rFonts w:ascii="Verdana" w:eastAsia="Calibri" w:hAnsi="Verdana" w:cs="Times New Roman"/>
          <w:b/>
          <w:bCs/>
          <w:sz w:val="20"/>
          <w:szCs w:val="20"/>
          <w:lang w:val="es-ES" w:eastAsia="es-MX"/>
        </w:rPr>
      </w:pPr>
    </w:p>
    <w:p w14:paraId="3EA5F93B" w14:textId="77777777" w:rsidR="002051F5" w:rsidRPr="002051F5" w:rsidRDefault="002051F5" w:rsidP="002051F5">
      <w:pPr>
        <w:spacing w:after="0" w:line="240" w:lineRule="auto"/>
        <w:jc w:val="both"/>
        <w:rPr>
          <w:rFonts w:ascii="Verdana" w:eastAsia="Times New Roman" w:hAnsi="Verdana" w:cs="Aptos"/>
          <w:sz w:val="20"/>
          <w:szCs w:val="20"/>
          <w:lang w:eastAsia="es-MX"/>
        </w:rPr>
      </w:pPr>
      <w:r w:rsidRPr="002051F5">
        <w:rPr>
          <w:rFonts w:ascii="Verdana" w:eastAsia="Times New Roman" w:hAnsi="Verdana" w:cs="Aptos"/>
          <w:sz w:val="20"/>
          <w:szCs w:val="20"/>
          <w:lang w:eastAsia="es-MX"/>
        </w:rPr>
        <w:t xml:space="preserve">Para interpretar el alcance del tipo de infraestructura de servicio público, se debe tener en cuenta la nota general 1 de la Matriz 1– Experiencia del Sector Institucional, en las distintas modalidades de los documentos tipo adoptados por esta Agencia. En esta se </w:t>
      </w:r>
      <w:r w:rsidRPr="002051F5">
        <w:rPr>
          <w:rFonts w:ascii="Verdana" w:eastAsia="Times New Roman" w:hAnsi="Verdana" w:cs="Aptos"/>
          <w:sz w:val="20"/>
          <w:szCs w:val="20"/>
          <w:lang w:eastAsia="es-MX"/>
        </w:rPr>
        <w:lastRenderedPageBreak/>
        <w:t>indica que “(l)as definiciones contenidas en esta Matriz deben enmarcarse en la normativa vigente en la materia, así como en la NSR 10 o aquellas que los modifiquen, adicionen o sustituyan, así como a las definiciones contenidas en el "Anexo - Glosario del Sector Social””.</w:t>
      </w:r>
    </w:p>
    <w:p w14:paraId="00572860" w14:textId="77777777" w:rsidR="002051F5" w:rsidRPr="002051F5" w:rsidRDefault="002051F5" w:rsidP="002051F5">
      <w:pPr>
        <w:spacing w:after="0" w:line="240" w:lineRule="auto"/>
        <w:jc w:val="both"/>
        <w:rPr>
          <w:rFonts w:ascii="Verdana" w:eastAsia="Times New Roman" w:hAnsi="Verdana" w:cs="Aptos"/>
          <w:sz w:val="20"/>
          <w:szCs w:val="20"/>
          <w:lang w:eastAsia="es-MX"/>
        </w:rPr>
      </w:pPr>
    </w:p>
    <w:p w14:paraId="2AB4997B" w14:textId="77777777" w:rsidR="002051F5" w:rsidRPr="002051F5" w:rsidRDefault="002051F5" w:rsidP="002051F5">
      <w:pPr>
        <w:spacing w:after="0" w:line="240" w:lineRule="auto"/>
        <w:jc w:val="both"/>
        <w:rPr>
          <w:rFonts w:ascii="Verdana" w:eastAsia="Times New Roman" w:hAnsi="Verdana" w:cs="Aptos"/>
          <w:sz w:val="20"/>
          <w:szCs w:val="20"/>
          <w:lang w:eastAsia="es-MX"/>
        </w:rPr>
      </w:pPr>
      <w:r w:rsidRPr="002051F5">
        <w:rPr>
          <w:rFonts w:ascii="Verdana" w:eastAsia="Times New Roman" w:hAnsi="Verdana" w:cs="Aptos"/>
          <w:sz w:val="20"/>
          <w:szCs w:val="20"/>
          <w:lang w:eastAsia="es-MX"/>
        </w:rPr>
        <w:t>(…)</w:t>
      </w:r>
    </w:p>
    <w:p w14:paraId="6D70DCC6" w14:textId="77777777" w:rsidR="002051F5" w:rsidRPr="002051F5" w:rsidRDefault="002051F5" w:rsidP="002051F5">
      <w:pPr>
        <w:spacing w:after="0" w:line="240" w:lineRule="auto"/>
        <w:jc w:val="both"/>
        <w:rPr>
          <w:rFonts w:ascii="Verdana" w:eastAsia="Times New Roman" w:hAnsi="Verdana" w:cs="Aptos"/>
          <w:lang w:eastAsia="es-MX"/>
        </w:rPr>
      </w:pPr>
    </w:p>
    <w:p w14:paraId="1DD27F09" w14:textId="77777777" w:rsidR="002051F5" w:rsidRPr="002051F5" w:rsidRDefault="002051F5" w:rsidP="002051F5">
      <w:pPr>
        <w:spacing w:after="0" w:line="240" w:lineRule="auto"/>
        <w:jc w:val="both"/>
        <w:rPr>
          <w:rFonts w:ascii="Verdana" w:eastAsia="Calibri" w:hAnsi="Verdana" w:cs="Arial"/>
          <w:color w:val="0D0D0D"/>
          <w:sz w:val="20"/>
          <w:szCs w:val="20"/>
          <w:lang w:eastAsia="es-MX"/>
        </w:rPr>
      </w:pPr>
      <w:r w:rsidRPr="002051F5">
        <w:rPr>
          <w:rFonts w:ascii="Verdana" w:eastAsia="Calibri" w:hAnsi="Verdana" w:cs="Arial"/>
          <w:sz w:val="20"/>
          <w:szCs w:val="20"/>
          <w:lang w:val="es-ES_tradnl" w:eastAsia="es-MX"/>
        </w:rPr>
        <w:t xml:space="preserve">Ahora bien, como se precisó las actividades señaladas recaen sobre </w:t>
      </w:r>
      <w:r w:rsidRPr="002051F5">
        <w:rPr>
          <w:rFonts w:ascii="Verdana" w:eastAsia="Times New Roman" w:hAnsi="Verdana" w:cs="Calibri"/>
          <w:sz w:val="20"/>
          <w:szCs w:val="20"/>
          <w:lang w:eastAsia="es-MX"/>
        </w:rPr>
        <w:t xml:space="preserve">obras e interventorías en proyectos de infraestructura institucional de servicio público. De esta forma, para determinar que abarca este tipo de infraestructura, debe indicarse que, de conformidad con la norma </w:t>
      </w:r>
      <w:r w:rsidRPr="002051F5">
        <w:rPr>
          <w:rFonts w:ascii="Verdana" w:eastAsia="Calibri" w:hAnsi="Verdana" w:cs="Arial"/>
          <w:color w:val="0D0D0D"/>
          <w:sz w:val="20"/>
          <w:szCs w:val="20"/>
          <w:lang w:eastAsia="es-MX"/>
        </w:rPr>
        <w:t>NSR-10 en el Subgrupo de Ocupación Institucional de Servicio Público (I-5) “se clasifican las edificaciones o espacios destinados a funciones administrativas y prestación de servicios públicos necesarios para el buen funcionamiento de las ciudades”. Entre las edificaciones o espacios que pertenecen a este Subgrupo se encuentran las siguientes: “Centros de comunicación o administrativos o administrativos de servicios municipales, distritales o gubernamentales, juzgados y otros similares”.</w:t>
      </w:r>
    </w:p>
    <w:p w14:paraId="2F602D59" w14:textId="77777777" w:rsidR="002051F5" w:rsidRPr="002051F5" w:rsidRDefault="002051F5" w:rsidP="002051F5">
      <w:pPr>
        <w:spacing w:after="0" w:line="276" w:lineRule="auto"/>
        <w:jc w:val="both"/>
        <w:rPr>
          <w:rFonts w:ascii="Verdana" w:eastAsia="Calibri" w:hAnsi="Verdana" w:cs="Arial"/>
          <w:color w:val="0D0D0D"/>
          <w:lang w:eastAsia="es-MX"/>
        </w:rPr>
      </w:pPr>
    </w:p>
    <w:p w14:paraId="17B88833" w14:textId="77777777" w:rsidR="002051F5" w:rsidRPr="002051F5" w:rsidRDefault="002051F5" w:rsidP="002051F5">
      <w:pPr>
        <w:widowControl w:val="0"/>
        <w:autoSpaceDE w:val="0"/>
        <w:autoSpaceDN w:val="0"/>
        <w:spacing w:after="0" w:line="240" w:lineRule="auto"/>
        <w:jc w:val="both"/>
        <w:rPr>
          <w:rFonts w:ascii="Verdana" w:eastAsia="Calibri" w:hAnsi="Verdana" w:cs="Times New Roman"/>
          <w:b/>
          <w:bCs/>
          <w:lang w:val="es-ES" w:eastAsia="es-MX"/>
        </w:rPr>
      </w:pPr>
      <w:r w:rsidRPr="002051F5">
        <w:rPr>
          <w:rFonts w:ascii="Verdana" w:eastAsia="Calibri" w:hAnsi="Verdana" w:cs="Times New Roman"/>
          <w:b/>
          <w:bCs/>
          <w:lang w:val="es-ES" w:eastAsia="es-MX"/>
        </w:rPr>
        <w:t xml:space="preserve">EDIFICACIONES ADMINISTRATIVAS – Documentos tipo – Obra – Interventoría – Aplicación – Matriz 1 </w:t>
      </w:r>
    </w:p>
    <w:p w14:paraId="1D4DD057" w14:textId="77777777" w:rsidR="002051F5" w:rsidRPr="002051F5" w:rsidRDefault="002051F5" w:rsidP="002051F5">
      <w:pPr>
        <w:spacing w:after="0" w:line="276" w:lineRule="auto"/>
        <w:jc w:val="both"/>
        <w:rPr>
          <w:rFonts w:ascii="Verdana" w:eastAsia="Calibri" w:hAnsi="Verdana" w:cs="Arial"/>
          <w:color w:val="0D0D0D"/>
          <w:lang w:val="es-ES" w:eastAsia="es-MX"/>
        </w:rPr>
      </w:pPr>
    </w:p>
    <w:p w14:paraId="4D3E5BD7" w14:textId="77777777" w:rsidR="002051F5" w:rsidRPr="002051F5" w:rsidRDefault="002051F5" w:rsidP="002051F5">
      <w:pPr>
        <w:spacing w:after="0" w:line="276" w:lineRule="auto"/>
        <w:jc w:val="both"/>
        <w:rPr>
          <w:rFonts w:ascii="Verdana" w:eastAsia="Calibri" w:hAnsi="Verdana" w:cs="Arial"/>
          <w:color w:val="0D0D0D"/>
          <w:lang w:eastAsia="es-MX"/>
        </w:rPr>
      </w:pPr>
      <w:r w:rsidRPr="002051F5">
        <w:rPr>
          <w:rFonts w:ascii="Verdana" w:eastAsia="Calibri" w:hAnsi="Verdana" w:cs="Arial"/>
          <w:color w:val="0D0D0D"/>
          <w:lang w:eastAsia="es-MX"/>
        </w:rPr>
        <w:t xml:space="preserve">De acuerdo con la definición del Subgrupo de Ocupación Institucional y las edificaciones que este comprende, dentro de este se encuentran las edificaciones institucionales, entendidas estas como la “infraestructura que ha sido construida para funciones específicas (como las administrativas, </w:t>
      </w:r>
      <w:proofErr w:type="spellStart"/>
      <w:r w:rsidRPr="002051F5">
        <w:rPr>
          <w:rFonts w:ascii="Verdana" w:eastAsia="Calibri" w:hAnsi="Verdana" w:cs="Arial"/>
          <w:color w:val="0D0D0D"/>
          <w:lang w:eastAsia="es-MX"/>
        </w:rPr>
        <w:t>etc</w:t>
      </w:r>
      <w:proofErr w:type="spellEnd"/>
      <w:r w:rsidRPr="002051F5">
        <w:rPr>
          <w:rFonts w:ascii="Verdana" w:eastAsia="Calibri" w:hAnsi="Verdana" w:cs="Arial"/>
          <w:color w:val="0D0D0D"/>
          <w:lang w:eastAsia="es-MX"/>
        </w:rPr>
        <w:t xml:space="preserve">) principalmente para el beneficio e interés público”. </w:t>
      </w:r>
    </w:p>
    <w:p w14:paraId="6C5636D2" w14:textId="77777777" w:rsidR="002051F5" w:rsidRPr="002051F5" w:rsidRDefault="002051F5" w:rsidP="002051F5">
      <w:pPr>
        <w:spacing w:after="0" w:line="276" w:lineRule="auto"/>
        <w:jc w:val="both"/>
        <w:rPr>
          <w:rFonts w:ascii="Verdana" w:eastAsia="Calibri" w:hAnsi="Verdana" w:cs="Arial"/>
          <w:color w:val="0D0D0D"/>
          <w:lang w:eastAsia="es-MX"/>
        </w:rPr>
      </w:pPr>
    </w:p>
    <w:p w14:paraId="42820FD3" w14:textId="77777777" w:rsidR="002051F5" w:rsidRPr="002051F5" w:rsidRDefault="002051F5" w:rsidP="002051F5">
      <w:pPr>
        <w:widowControl w:val="0"/>
        <w:autoSpaceDE w:val="0"/>
        <w:autoSpaceDN w:val="0"/>
        <w:spacing w:after="0" w:line="240" w:lineRule="auto"/>
        <w:jc w:val="both"/>
        <w:rPr>
          <w:rFonts w:ascii="Verdana" w:eastAsia="Calibri" w:hAnsi="Verdana" w:cs="Times New Roman"/>
          <w:b/>
          <w:bCs/>
          <w:lang w:val="es-ES" w:eastAsia="es-MX"/>
        </w:rPr>
      </w:pPr>
      <w:r w:rsidRPr="002051F5">
        <w:rPr>
          <w:rFonts w:ascii="Verdana" w:eastAsia="Calibri" w:hAnsi="Verdana" w:cs="Times New Roman"/>
          <w:b/>
          <w:bCs/>
          <w:lang w:val="es-ES" w:eastAsia="es-MX"/>
        </w:rPr>
        <w:t xml:space="preserve">EDIFICACIONES ADMINISTRATIVAS – Secretaría de Movilidad Documentos tipo – Obra – Interventoría – Aplicación – Matriz 1 </w:t>
      </w:r>
    </w:p>
    <w:p w14:paraId="12A5DCF5" w14:textId="77777777" w:rsidR="002051F5" w:rsidRPr="002051F5" w:rsidRDefault="002051F5" w:rsidP="002051F5">
      <w:pPr>
        <w:spacing w:after="0" w:line="276" w:lineRule="auto"/>
        <w:jc w:val="both"/>
        <w:rPr>
          <w:rFonts w:ascii="Verdana" w:eastAsia="Calibri" w:hAnsi="Verdana" w:cs="Arial"/>
          <w:color w:val="0D0D0D"/>
          <w:kern w:val="2"/>
          <w:sz w:val="24"/>
          <w:szCs w:val="24"/>
          <w:lang w:val="es-ES" w:eastAsia="es-MX"/>
          <w14:ligatures w14:val="standardContextual"/>
        </w:rPr>
      </w:pPr>
    </w:p>
    <w:p w14:paraId="001A6B8A" w14:textId="77777777" w:rsidR="002051F5" w:rsidRPr="002051F5" w:rsidRDefault="002051F5" w:rsidP="002051F5">
      <w:pPr>
        <w:spacing w:line="240" w:lineRule="auto"/>
        <w:jc w:val="both"/>
        <w:rPr>
          <w:rFonts w:ascii="Verdana" w:eastAsia="Calibri" w:hAnsi="Verdana" w:cs="Arial"/>
          <w:color w:val="0D0D0D"/>
          <w:kern w:val="2"/>
          <w:sz w:val="20"/>
          <w:szCs w:val="20"/>
          <w:lang w:eastAsia="es-MX"/>
          <w14:ligatures w14:val="standardContextual"/>
        </w:rPr>
      </w:pPr>
      <w:r w:rsidRPr="002051F5">
        <w:rPr>
          <w:rFonts w:ascii="Verdana" w:eastAsia="Calibri" w:hAnsi="Verdana" w:cs="Arial"/>
          <w:color w:val="0D0D0D"/>
          <w:sz w:val="20"/>
          <w:szCs w:val="20"/>
          <w:lang w:eastAsia="es-MX"/>
        </w:rPr>
        <w:t>Considerando lo anterior, la</w:t>
      </w:r>
      <w:r w:rsidRPr="002051F5">
        <w:rPr>
          <w:rFonts w:ascii="Verdana" w:eastAsia="Calibri" w:hAnsi="Verdana" w:cs="Arial"/>
          <w:color w:val="0D0D0D"/>
          <w:kern w:val="2"/>
          <w:sz w:val="20"/>
          <w:szCs w:val="20"/>
          <w:lang w:eastAsia="es-MX"/>
          <w14:ligatures w14:val="standardContextual"/>
        </w:rPr>
        <w:t>(s)</w:t>
      </w:r>
      <w:r w:rsidRPr="002051F5">
        <w:rPr>
          <w:rFonts w:ascii="Verdana" w:eastAsia="Calibri" w:hAnsi="Verdana" w:cs="Arial"/>
          <w:color w:val="0D0D0D"/>
          <w:sz w:val="20"/>
          <w:szCs w:val="20"/>
          <w:lang w:eastAsia="es-MX"/>
        </w:rPr>
        <w:t xml:space="preserve"> sede</w:t>
      </w:r>
      <w:r w:rsidRPr="002051F5">
        <w:rPr>
          <w:rFonts w:ascii="Verdana" w:eastAsia="Calibri" w:hAnsi="Verdana" w:cs="Arial"/>
          <w:color w:val="0D0D0D"/>
          <w:kern w:val="2"/>
          <w:sz w:val="20"/>
          <w:szCs w:val="20"/>
          <w:lang w:eastAsia="es-MX"/>
          <w14:ligatures w14:val="standardContextual"/>
        </w:rPr>
        <w:t>(s)</w:t>
      </w:r>
      <w:r w:rsidRPr="002051F5">
        <w:rPr>
          <w:rFonts w:ascii="Verdana" w:eastAsia="Calibri" w:hAnsi="Verdana" w:cs="Arial"/>
          <w:color w:val="0D0D0D"/>
          <w:sz w:val="20"/>
          <w:szCs w:val="20"/>
          <w:lang w:eastAsia="es-MX"/>
        </w:rPr>
        <w:t xml:space="preserve"> en la</w:t>
      </w:r>
      <w:r w:rsidRPr="002051F5">
        <w:rPr>
          <w:rFonts w:ascii="Verdana" w:eastAsia="Calibri" w:hAnsi="Verdana" w:cs="Arial"/>
          <w:color w:val="0D0D0D"/>
          <w:kern w:val="2"/>
          <w:sz w:val="20"/>
          <w:szCs w:val="20"/>
          <w:lang w:eastAsia="es-MX"/>
          <w14:ligatures w14:val="standardContextual"/>
        </w:rPr>
        <w:t>(s)</w:t>
      </w:r>
      <w:r w:rsidRPr="002051F5">
        <w:rPr>
          <w:rFonts w:ascii="Verdana" w:eastAsia="Calibri" w:hAnsi="Verdana" w:cs="Arial"/>
          <w:color w:val="0D0D0D"/>
          <w:sz w:val="20"/>
          <w:szCs w:val="20"/>
          <w:lang w:eastAsia="es-MX"/>
        </w:rPr>
        <w:t xml:space="preserve"> que la Secretaría de Movilidad del Distrito de Bogotá ejerce sus funciones, se enmarca</w:t>
      </w:r>
      <w:r w:rsidRPr="002051F5">
        <w:rPr>
          <w:rFonts w:ascii="Verdana" w:eastAsia="Calibri" w:hAnsi="Verdana" w:cs="Arial"/>
          <w:color w:val="0D0D0D"/>
          <w:kern w:val="2"/>
          <w:sz w:val="20"/>
          <w:szCs w:val="20"/>
          <w:lang w:eastAsia="es-MX"/>
          <w14:ligatures w14:val="standardContextual"/>
        </w:rPr>
        <w:t>n</w:t>
      </w:r>
      <w:r w:rsidRPr="002051F5">
        <w:rPr>
          <w:rFonts w:ascii="Verdana" w:eastAsia="Calibri" w:hAnsi="Verdana" w:cs="Arial"/>
          <w:color w:val="0D0D0D"/>
          <w:sz w:val="20"/>
          <w:szCs w:val="20"/>
          <w:lang w:eastAsia="es-MX"/>
        </w:rPr>
        <w:t xml:space="preserve"> claramente dentro de las edificaciones institucionales administrativas del Subgrupo de Ocupación Institucional de Servicio Público (I-5) definido por la NSR-10, en la medida en que </w:t>
      </w:r>
      <w:r w:rsidRPr="002051F5">
        <w:rPr>
          <w:rFonts w:ascii="Verdana" w:eastAsia="Calibri" w:hAnsi="Verdana" w:cs="Arial"/>
          <w:i/>
          <w:iCs/>
          <w:color w:val="0D0D0D"/>
          <w:sz w:val="20"/>
          <w:szCs w:val="20"/>
          <w:lang w:eastAsia="es-MX"/>
        </w:rPr>
        <w:t>su destinación funcional</w:t>
      </w:r>
      <w:r w:rsidRPr="002051F5">
        <w:rPr>
          <w:rFonts w:ascii="Verdana" w:eastAsia="Calibri" w:hAnsi="Verdana" w:cs="Arial"/>
          <w:color w:val="0D0D0D"/>
          <w:sz w:val="20"/>
          <w:szCs w:val="20"/>
          <w:lang w:eastAsia="es-MX"/>
        </w:rPr>
        <w:t xml:space="preserve"> corresponde al ejercicio de competencias administrativas y la prestación de un servicio esencial para el funcionamiento de la ciudad. </w:t>
      </w:r>
    </w:p>
    <w:p w14:paraId="109C3A05" w14:textId="77777777" w:rsidR="002051F5" w:rsidRPr="002051F5" w:rsidRDefault="002051F5" w:rsidP="002051F5">
      <w:pPr>
        <w:spacing w:after="0" w:line="240" w:lineRule="auto"/>
        <w:jc w:val="both"/>
        <w:rPr>
          <w:rFonts w:ascii="Verdana" w:eastAsia="Calibri" w:hAnsi="Verdana" w:cs="Arial"/>
          <w:color w:val="0D0D0D"/>
          <w:sz w:val="20"/>
          <w:szCs w:val="20"/>
          <w:lang w:eastAsia="es-MX"/>
        </w:rPr>
      </w:pPr>
      <w:r w:rsidRPr="002051F5">
        <w:rPr>
          <w:rFonts w:ascii="Verdana" w:eastAsia="Calibri" w:hAnsi="Verdana" w:cs="Arial"/>
          <w:color w:val="0D0D0D"/>
          <w:sz w:val="20"/>
          <w:szCs w:val="20"/>
          <w:lang w:eastAsia="es-MX"/>
        </w:rPr>
        <w:t xml:space="preserve">En efecto, dicha entidad desarrolla actividades propias de la administración distrital, tales como “(…) orientar y liderar la formulación de las políticas del sistema de movilidad para atender los requerimientos de desplazamiento de pasajeros y de carga en la zona urbana, tanto vehicular como peatonal y de su expansión en el área rural del Distrito Capital (…)”, lo cual se ajusta a la noción de edificaciones destinadas a funciones administrativas, prevista en la clasificación normativa. </w:t>
      </w:r>
    </w:p>
    <w:p w14:paraId="227E972D" w14:textId="039ABC2E" w:rsidR="002051F5" w:rsidRPr="002051F5" w:rsidRDefault="003457A6" w:rsidP="002051F5">
      <w:pPr>
        <w:spacing w:after="0" w:line="278" w:lineRule="auto"/>
        <w:rPr>
          <w:rFonts w:ascii="Verdana" w:eastAsia="Aptos" w:hAnsi="Verdana" w:cs="Times New Roman"/>
          <w:kern w:val="2"/>
          <w14:ligatures w14:val="standardContextual"/>
        </w:rPr>
      </w:pPr>
      <w:r w:rsidRPr="0052372B">
        <w:rPr>
          <w:rFonts w:ascii="Century Gothic" w:eastAsia="Calibri" w:hAnsi="Century Gothic" w:cs="Times New Roman"/>
          <w:lang w:eastAsia="es-MX"/>
        </w:rPr>
        <w:lastRenderedPageBreak/>
        <w:drawing>
          <wp:anchor distT="0" distB="0" distL="114300" distR="114300" simplePos="0" relativeHeight="251658240" behindDoc="0" locked="0" layoutInCell="1" allowOverlap="1" wp14:anchorId="364AB39A" wp14:editId="18716939">
            <wp:simplePos x="0" y="0"/>
            <wp:positionH relativeFrom="column">
              <wp:posOffset>3388001</wp:posOffset>
            </wp:positionH>
            <wp:positionV relativeFrom="paragraph">
              <wp:posOffset>136470</wp:posOffset>
            </wp:positionV>
            <wp:extent cx="2778870" cy="701052"/>
            <wp:effectExtent l="0" t="0" r="2540" b="0"/>
            <wp:wrapNone/>
            <wp:docPr id="469484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4843" name=""/>
                    <pic:cNvPicPr/>
                  </pic:nvPicPr>
                  <pic:blipFill>
                    <a:blip r:embed="rId10">
                      <a:extLst>
                        <a:ext uri="{28A0092B-C50C-407E-A947-70E740481C1C}">
                          <a14:useLocalDpi xmlns:a14="http://schemas.microsoft.com/office/drawing/2010/main" val="0"/>
                        </a:ext>
                      </a:extLst>
                    </a:blip>
                    <a:stretch>
                      <a:fillRect/>
                    </a:stretch>
                  </pic:blipFill>
                  <pic:spPr>
                    <a:xfrm>
                      <a:off x="0" y="0"/>
                      <a:ext cx="2778870" cy="701052"/>
                    </a:xfrm>
                    <a:prstGeom prst="rect">
                      <a:avLst/>
                    </a:prstGeom>
                  </pic:spPr>
                </pic:pic>
              </a:graphicData>
            </a:graphic>
            <wp14:sizeRelH relativeFrom="page">
              <wp14:pctWidth>0</wp14:pctWidth>
            </wp14:sizeRelH>
            <wp14:sizeRelV relativeFrom="page">
              <wp14:pctHeight>0</wp14:pctHeight>
            </wp14:sizeRelV>
          </wp:anchor>
        </w:drawing>
      </w:r>
      <w:r w:rsidR="002051F5" w:rsidRPr="002051F5">
        <w:rPr>
          <w:rFonts w:ascii="Verdana" w:eastAsia="Aptos" w:hAnsi="Verdana" w:cs="Times New Roman"/>
          <w:kern w:val="2"/>
          <w14:ligatures w14:val="standardContextual"/>
        </w:rPr>
        <w:t xml:space="preserve">Bogotá D.C., </w:t>
      </w:r>
      <w:r w:rsidR="0052372B">
        <w:rPr>
          <w:rFonts w:ascii="Verdana" w:eastAsia="Aptos" w:hAnsi="Verdana" w:cs="Times New Roman"/>
          <w:kern w:val="2"/>
          <w14:ligatures w14:val="standardContextual"/>
        </w:rPr>
        <w:t>9 de mayo de 2026</w:t>
      </w:r>
    </w:p>
    <w:p w14:paraId="6D7A5091" w14:textId="1C3CE7F0" w:rsidR="002051F5" w:rsidRDefault="002051F5" w:rsidP="002051F5">
      <w:pPr>
        <w:spacing w:after="0" w:line="240" w:lineRule="auto"/>
        <w:rPr>
          <w:rFonts w:ascii="Verdana" w:eastAsia="Calibri" w:hAnsi="Verdana" w:cs="Arial"/>
          <w:lang w:eastAsia="es-ES"/>
        </w:rPr>
      </w:pPr>
    </w:p>
    <w:p w14:paraId="6F2621FF" w14:textId="0B66D8E0" w:rsidR="003457A6" w:rsidRDefault="003457A6" w:rsidP="002051F5">
      <w:pPr>
        <w:spacing w:after="0" w:line="240" w:lineRule="auto"/>
        <w:rPr>
          <w:rFonts w:ascii="Verdana" w:eastAsia="Calibri" w:hAnsi="Verdana" w:cs="Arial"/>
          <w:lang w:eastAsia="es-ES"/>
        </w:rPr>
      </w:pPr>
    </w:p>
    <w:p w14:paraId="4AB72C1D" w14:textId="3910936A" w:rsidR="003457A6" w:rsidRPr="002051F5" w:rsidRDefault="003457A6" w:rsidP="002051F5">
      <w:pPr>
        <w:spacing w:after="0" w:line="240" w:lineRule="auto"/>
        <w:rPr>
          <w:rFonts w:ascii="Verdana" w:eastAsia="Calibri" w:hAnsi="Verdana" w:cs="Arial"/>
          <w:lang w:eastAsia="es-ES"/>
        </w:rPr>
      </w:pPr>
    </w:p>
    <w:p w14:paraId="0871C5DD" w14:textId="77777777" w:rsidR="002051F5" w:rsidRPr="002051F5" w:rsidRDefault="002051F5" w:rsidP="002051F5">
      <w:pPr>
        <w:spacing w:after="0" w:line="240" w:lineRule="auto"/>
        <w:rPr>
          <w:rFonts w:ascii="Verdana" w:eastAsia="Calibri" w:hAnsi="Verdana" w:cs="Arial"/>
          <w:lang w:val="es-ES" w:eastAsia="es-ES"/>
        </w:rPr>
      </w:pPr>
      <w:r w:rsidRPr="002051F5">
        <w:rPr>
          <w:rFonts w:ascii="Verdana" w:eastAsia="Calibri" w:hAnsi="Verdana" w:cs="Arial"/>
          <w:lang w:val="es-ES" w:eastAsia="es-ES"/>
        </w:rPr>
        <w:t>Doctora</w:t>
      </w:r>
    </w:p>
    <w:p w14:paraId="0FC05414" w14:textId="77777777" w:rsidR="002051F5" w:rsidRPr="002051F5" w:rsidRDefault="002051F5" w:rsidP="002051F5">
      <w:pPr>
        <w:spacing w:after="0" w:line="240" w:lineRule="auto"/>
        <w:rPr>
          <w:rFonts w:ascii="Verdana" w:eastAsia="Times New Roman" w:hAnsi="Verdana" w:cs="Times New Roman"/>
          <w:b/>
          <w:bCs/>
          <w:color w:val="242424"/>
          <w:shd w:val="clear" w:color="auto" w:fill="FFFFFF"/>
          <w:lang w:eastAsia="es-MX"/>
        </w:rPr>
      </w:pPr>
      <w:r w:rsidRPr="002051F5">
        <w:rPr>
          <w:rFonts w:ascii="Verdana" w:eastAsia="Times New Roman" w:hAnsi="Verdana" w:cs="Times New Roman"/>
          <w:b/>
          <w:bCs/>
          <w:color w:val="242424"/>
          <w:shd w:val="clear" w:color="auto" w:fill="FFFFFF"/>
          <w:lang w:eastAsia="es-MX"/>
        </w:rPr>
        <w:t xml:space="preserve">María Jimena </w:t>
      </w:r>
      <w:proofErr w:type="spellStart"/>
      <w:r w:rsidRPr="002051F5">
        <w:rPr>
          <w:rFonts w:ascii="Verdana" w:eastAsia="Times New Roman" w:hAnsi="Verdana" w:cs="Times New Roman"/>
          <w:b/>
          <w:bCs/>
          <w:color w:val="242424"/>
          <w:shd w:val="clear" w:color="auto" w:fill="FFFFFF"/>
          <w:lang w:eastAsia="es-MX"/>
        </w:rPr>
        <w:t>Yañez</w:t>
      </w:r>
      <w:proofErr w:type="spellEnd"/>
      <w:r w:rsidRPr="002051F5">
        <w:rPr>
          <w:rFonts w:ascii="Verdana" w:eastAsia="Times New Roman" w:hAnsi="Verdana" w:cs="Times New Roman"/>
          <w:b/>
          <w:bCs/>
          <w:color w:val="242424"/>
          <w:shd w:val="clear" w:color="auto" w:fill="FFFFFF"/>
          <w:lang w:eastAsia="es-MX"/>
        </w:rPr>
        <w:t xml:space="preserve"> </w:t>
      </w:r>
      <w:proofErr w:type="spellStart"/>
      <w:r w:rsidRPr="002051F5">
        <w:rPr>
          <w:rFonts w:ascii="Verdana" w:eastAsia="Times New Roman" w:hAnsi="Verdana" w:cs="Times New Roman"/>
          <w:b/>
          <w:bCs/>
          <w:color w:val="242424"/>
          <w:shd w:val="clear" w:color="auto" w:fill="FFFFFF"/>
          <w:lang w:eastAsia="es-MX"/>
        </w:rPr>
        <w:t>Gelvez</w:t>
      </w:r>
      <w:proofErr w:type="spellEnd"/>
    </w:p>
    <w:p w14:paraId="60663DDC" w14:textId="77777777" w:rsidR="002051F5" w:rsidRPr="002051F5" w:rsidRDefault="002051F5" w:rsidP="002051F5">
      <w:pPr>
        <w:spacing w:after="0" w:line="240" w:lineRule="auto"/>
        <w:rPr>
          <w:rFonts w:ascii="Verdana" w:eastAsia="Times New Roman" w:hAnsi="Verdana" w:cs="Times New Roman"/>
          <w:color w:val="242424"/>
          <w:shd w:val="clear" w:color="auto" w:fill="FFFFFF"/>
          <w:lang w:eastAsia="es-MX"/>
        </w:rPr>
      </w:pPr>
      <w:r w:rsidRPr="002051F5">
        <w:rPr>
          <w:rFonts w:ascii="Verdana" w:eastAsia="Times New Roman" w:hAnsi="Verdana" w:cs="Times New Roman"/>
          <w:color w:val="242424"/>
          <w:shd w:val="clear" w:color="auto" w:fill="FFFFFF"/>
          <w:lang w:eastAsia="es-MX"/>
        </w:rPr>
        <w:t>Directora Técnica de Contratación</w:t>
      </w:r>
    </w:p>
    <w:p w14:paraId="4D5FFC69" w14:textId="77777777" w:rsidR="002051F5" w:rsidRPr="002051F5" w:rsidRDefault="002051F5" w:rsidP="002051F5">
      <w:pPr>
        <w:spacing w:after="0" w:line="240" w:lineRule="auto"/>
        <w:rPr>
          <w:rFonts w:ascii="Verdana" w:eastAsia="Times New Roman" w:hAnsi="Verdana" w:cs="Times New Roman"/>
          <w:color w:val="242424"/>
          <w:shd w:val="clear" w:color="auto" w:fill="FFFFFF"/>
          <w:lang w:eastAsia="es-MX"/>
        </w:rPr>
      </w:pPr>
      <w:r w:rsidRPr="002051F5">
        <w:rPr>
          <w:rFonts w:ascii="Verdana" w:eastAsia="Times New Roman" w:hAnsi="Verdana" w:cs="Times New Roman"/>
          <w:color w:val="242424"/>
          <w:shd w:val="clear" w:color="auto" w:fill="FFFFFF"/>
          <w:lang w:eastAsia="es-MX"/>
        </w:rPr>
        <w:t xml:space="preserve">Secretaría de Movilidad </w:t>
      </w:r>
    </w:p>
    <w:p w14:paraId="766319AA" w14:textId="77777777" w:rsidR="002051F5" w:rsidRPr="002051F5" w:rsidRDefault="002051F5" w:rsidP="002051F5">
      <w:pPr>
        <w:spacing w:after="0" w:line="240" w:lineRule="auto"/>
        <w:rPr>
          <w:rFonts w:ascii="Verdana" w:eastAsia="Aptos" w:hAnsi="Verdana" w:cs="Times New Roman"/>
          <w:lang w:eastAsia="es-MX"/>
        </w:rPr>
      </w:pPr>
      <w:r w:rsidRPr="002051F5">
        <w:rPr>
          <w:rFonts w:ascii="Verdana" w:eastAsia="Aptos" w:hAnsi="Verdana" w:cs="Times New Roman"/>
          <w:lang w:eastAsia="es-MX"/>
        </w:rPr>
        <w:t>Bogotá D.C</w:t>
      </w:r>
    </w:p>
    <w:p w14:paraId="52DC8093" w14:textId="77777777" w:rsidR="002051F5" w:rsidRPr="002051F5" w:rsidRDefault="002051F5" w:rsidP="002051F5">
      <w:pPr>
        <w:spacing w:after="0" w:line="240" w:lineRule="auto"/>
        <w:rPr>
          <w:rFonts w:ascii="Verdana" w:eastAsia="Calibri" w:hAnsi="Verdana" w:cs="Arial"/>
          <w:b/>
          <w:bCs/>
          <w:lang w:val="es-ES_tradnl" w:eastAsia="es-ES_tradnl"/>
        </w:rPr>
      </w:pPr>
    </w:p>
    <w:tbl>
      <w:tblPr>
        <w:tblStyle w:val="Tablaconcuadrcula"/>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100"/>
      </w:tblGrid>
      <w:tr w:rsidR="002051F5" w:rsidRPr="002051F5" w14:paraId="7854C8F6" w14:textId="77777777" w:rsidTr="00C03DCE">
        <w:trPr>
          <w:trHeight w:val="229"/>
        </w:trPr>
        <w:tc>
          <w:tcPr>
            <w:tcW w:w="2268" w:type="dxa"/>
          </w:tcPr>
          <w:p w14:paraId="703D5DF1" w14:textId="77777777" w:rsidR="002051F5" w:rsidRPr="002051F5" w:rsidRDefault="002051F5" w:rsidP="002051F5">
            <w:pPr>
              <w:jc w:val="both"/>
              <w:rPr>
                <w:rFonts w:ascii="Verdana" w:eastAsia="Calibri" w:hAnsi="Verdana" w:cs="Arial"/>
                <w:b/>
                <w:bCs/>
                <w:lang w:val="es-ES_tradnl" w:eastAsia="es-ES_tradnl"/>
              </w:rPr>
            </w:pPr>
          </w:p>
        </w:tc>
        <w:tc>
          <w:tcPr>
            <w:tcW w:w="6100" w:type="dxa"/>
          </w:tcPr>
          <w:p w14:paraId="7D49DEE2" w14:textId="77777777" w:rsidR="002051F5" w:rsidRPr="002051F5" w:rsidRDefault="002051F5" w:rsidP="002051F5">
            <w:pPr>
              <w:jc w:val="both"/>
              <w:rPr>
                <w:rFonts w:ascii="Verdana" w:eastAsia="Calibri" w:hAnsi="Verdana" w:cs="Arial"/>
                <w:b/>
                <w:bCs/>
                <w:lang w:val="es-ES" w:eastAsia="es-ES"/>
              </w:rPr>
            </w:pPr>
            <w:r w:rsidRPr="002051F5">
              <w:rPr>
                <w:rFonts w:ascii="Verdana" w:eastAsia="Calibri" w:hAnsi="Verdana" w:cs="Arial"/>
                <w:b/>
                <w:bCs/>
                <w:lang w:val="es-ES" w:eastAsia="es-ES"/>
              </w:rPr>
              <w:t xml:space="preserve">Concepto </w:t>
            </w:r>
            <w:bookmarkStart w:id="1" w:name="OLE_LINK1"/>
            <w:r w:rsidRPr="002051F5">
              <w:rPr>
                <w:rFonts w:ascii="Verdana" w:eastAsia="Calibri" w:hAnsi="Verdana" w:cs="Arial"/>
                <w:b/>
                <w:bCs/>
                <w:lang w:val="es-ES" w:eastAsia="es-ES"/>
              </w:rPr>
              <w:t>C-583 de 2026</w:t>
            </w:r>
            <w:bookmarkEnd w:id="1"/>
          </w:p>
          <w:p w14:paraId="15F8795E" w14:textId="77777777" w:rsidR="002051F5" w:rsidRPr="002051F5" w:rsidRDefault="002051F5" w:rsidP="002051F5">
            <w:pPr>
              <w:jc w:val="both"/>
              <w:rPr>
                <w:rFonts w:ascii="Verdana" w:eastAsia="Calibri" w:hAnsi="Verdana" w:cs="Arial"/>
                <w:b/>
                <w:bCs/>
                <w:lang w:val="es-ES" w:eastAsia="es-ES"/>
              </w:rPr>
            </w:pPr>
          </w:p>
        </w:tc>
      </w:tr>
      <w:tr w:rsidR="002051F5" w:rsidRPr="002051F5" w14:paraId="2CEA683F" w14:textId="77777777" w:rsidTr="00C03DCE">
        <w:trPr>
          <w:trHeight w:val="884"/>
        </w:trPr>
        <w:tc>
          <w:tcPr>
            <w:tcW w:w="2268" w:type="dxa"/>
          </w:tcPr>
          <w:p w14:paraId="67AE7FF3" w14:textId="77777777" w:rsidR="002051F5" w:rsidRPr="002051F5" w:rsidRDefault="002051F5" w:rsidP="002051F5">
            <w:pPr>
              <w:jc w:val="both"/>
              <w:rPr>
                <w:rFonts w:ascii="Verdana" w:eastAsia="Calibri" w:hAnsi="Verdana" w:cs="Arial"/>
                <w:lang w:val="es-ES_tradnl" w:eastAsia="es-ES_tradnl"/>
              </w:rPr>
            </w:pPr>
            <w:r w:rsidRPr="002051F5">
              <w:rPr>
                <w:rFonts w:ascii="Verdana" w:eastAsia="Calibri" w:hAnsi="Verdana" w:cs="Arial"/>
                <w:b/>
                <w:lang w:val="es-ES_tradnl" w:eastAsia="es-ES_tradnl"/>
              </w:rPr>
              <w:t>Temas:</w:t>
            </w:r>
            <w:r w:rsidRPr="002051F5">
              <w:rPr>
                <w:rFonts w:ascii="Verdana" w:eastAsia="Calibri" w:hAnsi="Verdana" w:cs="Arial"/>
                <w:lang w:val="es-ES_tradnl" w:eastAsia="es-ES_tradnl"/>
              </w:rPr>
              <w:t xml:space="preserve">                   </w:t>
            </w:r>
          </w:p>
        </w:tc>
        <w:tc>
          <w:tcPr>
            <w:tcW w:w="6100" w:type="dxa"/>
          </w:tcPr>
          <w:p w14:paraId="2C6F6D69" w14:textId="77777777" w:rsidR="002051F5" w:rsidRPr="002051F5" w:rsidRDefault="002051F5" w:rsidP="002051F5">
            <w:pPr>
              <w:widowControl w:val="0"/>
              <w:autoSpaceDE w:val="0"/>
              <w:autoSpaceDN w:val="0"/>
              <w:jc w:val="both"/>
              <w:rPr>
                <w:rFonts w:ascii="Verdana" w:eastAsia="Calibri" w:hAnsi="Verdana" w:cs="Times New Roman"/>
                <w:lang w:val="es-ES" w:eastAsia="es-MX"/>
              </w:rPr>
            </w:pPr>
            <w:r w:rsidRPr="002051F5">
              <w:rPr>
                <w:rFonts w:ascii="Verdana" w:eastAsia="Calibri" w:hAnsi="Verdana" w:cs="Arial"/>
                <w:lang w:val="es-ES_tradnl" w:eastAsia="es-MX"/>
              </w:rPr>
              <w:t>DOCUMENTOS TIPO – Fundamento normativo – Obligatoriedad / SECTOR SOCIAL</w:t>
            </w:r>
            <w:r w:rsidRPr="002051F5">
              <w:rPr>
                <w:rFonts w:ascii="Verdana" w:eastAsia="Calibri" w:hAnsi="Verdana" w:cs="Times New Roman"/>
                <w:lang w:val="es-ES" w:eastAsia="es-MX"/>
              </w:rPr>
              <w:t xml:space="preserve"> – Documentos tipo – Vigentes / DOCUMENTOS TIPO – Aplicación – Matriz de Experiencia / DOCUMENTOS TIPO – Sector social – Infraestructura de servicio público – NSR-10 / EDIFICACIONES ADMINISTRATIVAS – Documentos tipo – Obra – Interventoría – Aplicación – Matriz 1 / EDIFICACIONES ADMINISTRATIVAS – Secretaría de Movilidad Documentos tipo – Obra – Interventoría – Aplicación – Matriz 1 </w:t>
            </w:r>
          </w:p>
          <w:p w14:paraId="49C530B5" w14:textId="77777777" w:rsidR="002051F5" w:rsidRPr="002051F5" w:rsidRDefault="002051F5" w:rsidP="002051F5">
            <w:pPr>
              <w:jc w:val="both"/>
              <w:rPr>
                <w:rFonts w:ascii="Verdana" w:eastAsia="Calibri" w:hAnsi="Verdana" w:cs="Arial"/>
                <w:bCs/>
                <w:lang w:val="es-ES" w:eastAsia="es-ES"/>
              </w:rPr>
            </w:pPr>
          </w:p>
        </w:tc>
      </w:tr>
      <w:tr w:rsidR="002051F5" w:rsidRPr="00777FB3" w14:paraId="462A67EB" w14:textId="77777777" w:rsidTr="00C03DCE">
        <w:tc>
          <w:tcPr>
            <w:tcW w:w="2268" w:type="dxa"/>
          </w:tcPr>
          <w:p w14:paraId="37AE0038" w14:textId="77777777" w:rsidR="002051F5" w:rsidRPr="002051F5" w:rsidRDefault="002051F5" w:rsidP="002051F5">
            <w:pPr>
              <w:jc w:val="both"/>
              <w:rPr>
                <w:rFonts w:ascii="Verdana" w:eastAsia="Calibri" w:hAnsi="Verdana" w:cs="Arial"/>
                <w:b/>
                <w:lang w:val="es-ES_tradnl" w:eastAsia="es-ES_tradnl"/>
              </w:rPr>
            </w:pPr>
            <w:r w:rsidRPr="002051F5">
              <w:rPr>
                <w:rFonts w:ascii="Verdana" w:eastAsia="Calibri" w:hAnsi="Verdana" w:cs="Arial"/>
                <w:b/>
                <w:lang w:val="es-ES_tradnl" w:eastAsia="es-ES_tradnl"/>
              </w:rPr>
              <w:t>Radicación:</w:t>
            </w:r>
            <w:r w:rsidRPr="002051F5">
              <w:rPr>
                <w:rFonts w:ascii="Verdana" w:eastAsia="Calibri" w:hAnsi="Verdana" w:cs="Arial"/>
                <w:lang w:val="es-ES_tradnl" w:eastAsia="es-ES_tradnl"/>
              </w:rPr>
              <w:t xml:space="preserve">               </w:t>
            </w:r>
          </w:p>
        </w:tc>
        <w:tc>
          <w:tcPr>
            <w:tcW w:w="6100" w:type="dxa"/>
          </w:tcPr>
          <w:p w14:paraId="294B3B30" w14:textId="07B6B898" w:rsidR="002051F5" w:rsidRPr="002051F5" w:rsidRDefault="002051F5" w:rsidP="002051F5">
            <w:pPr>
              <w:ind w:left="3" w:hanging="3"/>
              <w:jc w:val="both"/>
              <w:rPr>
                <w:rFonts w:ascii="Verdana" w:eastAsia="Calibri" w:hAnsi="Verdana" w:cs="Arial"/>
                <w:lang w:val="es-ES_tradnl" w:eastAsia="es-ES_tradnl"/>
              </w:rPr>
            </w:pPr>
            <w:r w:rsidRPr="002051F5">
              <w:rPr>
                <w:rFonts w:ascii="Verdana" w:eastAsia="Calibri" w:hAnsi="Verdana" w:cs="Arial"/>
                <w:lang w:val="es-ES_tradnl" w:eastAsia="es-ES_tradnl"/>
              </w:rPr>
              <w:t>Respuesta a consulta</w:t>
            </w:r>
            <w:r w:rsidR="00777FB3">
              <w:rPr>
                <w:rFonts w:ascii="Verdana" w:eastAsia="Calibri" w:hAnsi="Verdana" w:cs="Arial"/>
                <w:lang w:val="es-ES_tradnl" w:eastAsia="es-ES_tradnl"/>
              </w:rPr>
              <w:t>s</w:t>
            </w:r>
            <w:r w:rsidRPr="002051F5">
              <w:rPr>
                <w:rFonts w:ascii="Verdana" w:eastAsia="Calibri" w:hAnsi="Verdana" w:cs="Arial"/>
                <w:lang w:val="es-ES_tradnl" w:eastAsia="es-ES_tradnl"/>
              </w:rPr>
              <w:t xml:space="preserve"> con radicado</w:t>
            </w:r>
            <w:r w:rsidR="00777FB3">
              <w:rPr>
                <w:rFonts w:ascii="Verdana" w:eastAsia="Calibri" w:hAnsi="Verdana" w:cs="Arial"/>
                <w:lang w:val="es-ES_tradnl" w:eastAsia="es-ES_tradnl"/>
              </w:rPr>
              <w:t>s</w:t>
            </w:r>
            <w:r w:rsidRPr="002051F5">
              <w:rPr>
                <w:rFonts w:ascii="Verdana" w:eastAsia="Calibri" w:hAnsi="Verdana" w:cs="Arial"/>
                <w:lang w:val="es-ES_tradnl" w:eastAsia="es-ES_tradnl"/>
              </w:rPr>
              <w:t xml:space="preserve"> No</w:t>
            </w:r>
            <w:r w:rsidR="00777FB3">
              <w:rPr>
                <w:rFonts w:ascii="Verdana" w:eastAsia="Calibri" w:hAnsi="Verdana" w:cs="Arial"/>
                <w:lang w:val="es-ES_tradnl" w:eastAsia="es-ES_tradnl"/>
              </w:rPr>
              <w:t>s</w:t>
            </w:r>
            <w:r w:rsidRPr="002051F5">
              <w:rPr>
                <w:rFonts w:ascii="Verdana" w:eastAsia="Calibri" w:hAnsi="Verdana" w:cs="Arial"/>
                <w:lang w:val="es-ES_tradnl" w:eastAsia="es-ES_tradnl"/>
              </w:rPr>
              <w:t>. 1_2026_04_10_004896</w:t>
            </w:r>
            <w:r w:rsidR="00777FB3">
              <w:rPr>
                <w:rFonts w:ascii="Verdana" w:eastAsia="Calibri" w:hAnsi="Verdana" w:cs="Arial"/>
                <w:lang w:val="es-ES_tradnl" w:eastAsia="es-ES_tradnl"/>
              </w:rPr>
              <w:t xml:space="preserve"> y </w:t>
            </w:r>
            <w:r w:rsidR="00777FB3" w:rsidRPr="00777FB3">
              <w:rPr>
                <w:rFonts w:ascii="Verdana" w:eastAsia="Calibri" w:hAnsi="Verdana" w:cs="Arial"/>
                <w:lang w:val="es-ES_tradnl" w:eastAsia="es-ES_tradnl"/>
              </w:rPr>
              <w:t>1_2026_04_27_005686</w:t>
            </w:r>
          </w:p>
        </w:tc>
      </w:tr>
    </w:tbl>
    <w:p w14:paraId="63E18726" w14:textId="77777777" w:rsidR="002051F5" w:rsidRPr="002051F5" w:rsidRDefault="002051F5" w:rsidP="002051F5">
      <w:pPr>
        <w:spacing w:after="0" w:line="240" w:lineRule="auto"/>
        <w:jc w:val="both"/>
        <w:rPr>
          <w:rFonts w:ascii="Verdana" w:eastAsia="Calibri" w:hAnsi="Verdana" w:cs="Arial"/>
          <w:lang w:val="es-ES_tradnl" w:eastAsia="es-ES_tradnl"/>
        </w:rPr>
      </w:pPr>
    </w:p>
    <w:p w14:paraId="5E0AA268" w14:textId="77777777" w:rsidR="002051F5" w:rsidRPr="002051F5" w:rsidRDefault="002051F5" w:rsidP="002051F5">
      <w:pPr>
        <w:spacing w:after="0" w:line="276" w:lineRule="auto"/>
        <w:jc w:val="both"/>
        <w:rPr>
          <w:rFonts w:ascii="Verdana" w:eastAsia="Calibri" w:hAnsi="Verdana" w:cs="Arial"/>
          <w:lang w:val="es-ES" w:eastAsia="es-ES"/>
        </w:rPr>
      </w:pPr>
      <w:r w:rsidRPr="002051F5">
        <w:rPr>
          <w:rFonts w:ascii="Verdana" w:eastAsia="Calibri" w:hAnsi="Verdana" w:cs="Arial"/>
          <w:lang w:val="es-ES" w:eastAsia="es-ES"/>
        </w:rPr>
        <w:t xml:space="preserve">Estimada Doctora </w:t>
      </w:r>
      <w:proofErr w:type="spellStart"/>
      <w:r w:rsidRPr="002051F5">
        <w:rPr>
          <w:rFonts w:ascii="Verdana" w:eastAsia="Times New Roman" w:hAnsi="Verdana" w:cs="Times New Roman"/>
          <w:color w:val="242424"/>
          <w:shd w:val="clear" w:color="auto" w:fill="FFFFFF"/>
          <w:lang w:eastAsia="es-MX"/>
        </w:rPr>
        <w:t>Yañez</w:t>
      </w:r>
      <w:proofErr w:type="spellEnd"/>
      <w:r w:rsidRPr="002051F5">
        <w:rPr>
          <w:rFonts w:ascii="Verdana" w:eastAsia="Times New Roman" w:hAnsi="Verdana" w:cs="Times New Roman"/>
          <w:color w:val="242424"/>
          <w:shd w:val="clear" w:color="auto" w:fill="FFFFFF"/>
          <w:lang w:eastAsia="es-MX"/>
        </w:rPr>
        <w:t xml:space="preserve"> </w:t>
      </w:r>
      <w:proofErr w:type="spellStart"/>
      <w:r w:rsidRPr="002051F5">
        <w:rPr>
          <w:rFonts w:ascii="Verdana" w:eastAsia="Times New Roman" w:hAnsi="Verdana" w:cs="Times New Roman"/>
          <w:color w:val="242424"/>
          <w:shd w:val="clear" w:color="auto" w:fill="FFFFFF"/>
          <w:lang w:eastAsia="es-MX"/>
        </w:rPr>
        <w:t>Gelvez</w:t>
      </w:r>
      <w:proofErr w:type="spellEnd"/>
      <w:r w:rsidRPr="002051F5">
        <w:rPr>
          <w:rFonts w:ascii="Verdana" w:eastAsia="Calibri" w:hAnsi="Verdana" w:cs="Arial"/>
          <w:lang w:val="es-ES" w:eastAsia="es-ES"/>
        </w:rPr>
        <w:t xml:space="preserve">: </w:t>
      </w:r>
    </w:p>
    <w:p w14:paraId="5905554F" w14:textId="77777777" w:rsidR="002051F5" w:rsidRPr="002051F5" w:rsidRDefault="002051F5" w:rsidP="002051F5">
      <w:pPr>
        <w:tabs>
          <w:tab w:val="left" w:pos="3768"/>
        </w:tabs>
        <w:spacing w:after="0" w:line="276" w:lineRule="auto"/>
        <w:jc w:val="both"/>
        <w:rPr>
          <w:rFonts w:ascii="Verdana" w:eastAsia="Calibri" w:hAnsi="Verdana" w:cs="Arial"/>
          <w:lang w:val="es-ES" w:eastAsia="es-ES"/>
        </w:rPr>
      </w:pPr>
      <w:r w:rsidRPr="002051F5">
        <w:rPr>
          <w:rFonts w:ascii="Verdana" w:eastAsia="Calibri" w:hAnsi="Verdana" w:cs="Arial"/>
          <w:lang w:val="es-ES" w:eastAsia="es-ES"/>
        </w:rPr>
        <w:tab/>
      </w:r>
    </w:p>
    <w:p w14:paraId="3CA69642" w14:textId="71E223DC" w:rsidR="002051F5" w:rsidRPr="002051F5" w:rsidRDefault="002051F5" w:rsidP="002051F5">
      <w:pPr>
        <w:spacing w:after="0" w:line="276" w:lineRule="auto"/>
        <w:jc w:val="both"/>
        <w:rPr>
          <w:rFonts w:ascii="Verdana" w:eastAsia="Calibri" w:hAnsi="Verdana" w:cs="Arial"/>
          <w:lang w:val="es-ES" w:eastAsia="es-ES"/>
        </w:rPr>
      </w:pPr>
      <w:r w:rsidRPr="002051F5">
        <w:rPr>
          <w:rFonts w:ascii="Verdana" w:eastAsia="Calibri" w:hAnsi="Verdana" w:cs="Arial"/>
          <w:lang w:val="es-ES" w:eastAsia="es-ES"/>
        </w:rPr>
        <w:t>En ejercicio de la competencia otorgada por los artículos 3, numeral 5º, y 11, numeral 8º, del Decreto Ley 4170 de 2011,</w:t>
      </w:r>
      <w:r w:rsidRPr="002051F5">
        <w:rPr>
          <w:rFonts w:ascii="Verdana" w:eastAsia="Arial MT" w:hAnsi="Verdana" w:cs="Arial MT"/>
          <w:lang w:val="es-ES" w:eastAsia="es-ES"/>
        </w:rPr>
        <w:t xml:space="preserve"> </w:t>
      </w:r>
      <w:r w:rsidRPr="002051F5">
        <w:rPr>
          <w:rFonts w:ascii="Verdana" w:eastAsia="Calibri" w:hAnsi="Verdana" w:cs="Arial"/>
          <w:lang w:eastAsia="es-MX"/>
        </w:rPr>
        <w:t xml:space="preserve">así como lo establecido por la </w:t>
      </w:r>
      <w:r w:rsidRPr="002051F5">
        <w:rPr>
          <w:rFonts w:ascii="Verdana" w:eastAsia="Aptos" w:hAnsi="Verdana" w:cs="Arial"/>
          <w:bCs/>
          <w:lang w:eastAsia="es-ES" w:bidi="es-ES"/>
        </w:rPr>
        <w:t>Resolución 469 de 2025 expedida por esta Entidad</w:t>
      </w:r>
      <w:r w:rsidRPr="002051F5">
        <w:rPr>
          <w:rFonts w:ascii="Verdana" w:eastAsia="Calibri" w:hAnsi="Verdana" w:cs="Arial"/>
          <w:lang w:eastAsia="es-MX"/>
        </w:rPr>
        <w:t xml:space="preserve">, </w:t>
      </w:r>
      <w:r w:rsidRPr="002051F5">
        <w:rPr>
          <w:rFonts w:ascii="Verdana" w:eastAsia="Calibri" w:hAnsi="Verdana" w:cs="Arial"/>
          <w:lang w:val="es-ES" w:eastAsia="es-ES"/>
        </w:rPr>
        <w:t>la Agencia Nacional de Contratación Pública – Colombia Compra Eficiente– responde su</w:t>
      </w:r>
      <w:r w:rsidR="00A02864">
        <w:rPr>
          <w:rFonts w:ascii="Verdana" w:eastAsia="Calibri" w:hAnsi="Verdana" w:cs="Arial"/>
          <w:lang w:val="es-ES" w:eastAsia="es-ES"/>
        </w:rPr>
        <w:t>s</w:t>
      </w:r>
      <w:r w:rsidRPr="002051F5">
        <w:rPr>
          <w:rFonts w:ascii="Verdana" w:eastAsia="Calibri" w:hAnsi="Verdana" w:cs="Arial"/>
          <w:lang w:val="es-ES" w:eastAsia="es-ES"/>
        </w:rPr>
        <w:t xml:space="preserve"> solicitud</w:t>
      </w:r>
      <w:r w:rsidR="00A02864">
        <w:rPr>
          <w:rFonts w:ascii="Verdana" w:eastAsia="Calibri" w:hAnsi="Verdana" w:cs="Arial"/>
          <w:lang w:val="es-ES" w:eastAsia="es-ES"/>
        </w:rPr>
        <w:t>es</w:t>
      </w:r>
      <w:r w:rsidRPr="002051F5">
        <w:rPr>
          <w:rFonts w:ascii="Verdana" w:eastAsia="Calibri" w:hAnsi="Verdana" w:cs="Arial"/>
          <w:lang w:val="es-ES" w:eastAsia="es-ES"/>
        </w:rPr>
        <w:t xml:space="preserve"> de consulta del 09 </w:t>
      </w:r>
      <w:r w:rsidR="006609A4">
        <w:rPr>
          <w:rFonts w:ascii="Verdana" w:eastAsia="Calibri" w:hAnsi="Verdana" w:cs="Arial"/>
          <w:lang w:val="es-ES" w:eastAsia="es-ES"/>
        </w:rPr>
        <w:t xml:space="preserve">y 27 </w:t>
      </w:r>
      <w:r w:rsidRPr="002051F5">
        <w:rPr>
          <w:rFonts w:ascii="Verdana" w:eastAsia="Calibri" w:hAnsi="Verdana" w:cs="Arial"/>
          <w:lang w:val="es-ES" w:eastAsia="es-ES"/>
        </w:rPr>
        <w:t>de abril de 2026, en la</w:t>
      </w:r>
      <w:r w:rsidR="006609A4">
        <w:rPr>
          <w:rFonts w:ascii="Verdana" w:eastAsia="Calibri" w:hAnsi="Verdana" w:cs="Arial"/>
          <w:lang w:val="es-ES" w:eastAsia="es-ES"/>
        </w:rPr>
        <w:t>s</w:t>
      </w:r>
      <w:r w:rsidRPr="002051F5">
        <w:rPr>
          <w:rFonts w:ascii="Verdana" w:eastAsia="Calibri" w:hAnsi="Verdana" w:cs="Arial"/>
          <w:lang w:val="es-ES" w:eastAsia="es-ES"/>
        </w:rPr>
        <w:t xml:space="preserve"> cual</w:t>
      </w:r>
      <w:r w:rsidR="006609A4">
        <w:rPr>
          <w:rFonts w:ascii="Verdana" w:eastAsia="Calibri" w:hAnsi="Verdana" w:cs="Arial"/>
          <w:lang w:val="es-ES" w:eastAsia="es-ES"/>
        </w:rPr>
        <w:t>es</w:t>
      </w:r>
      <w:r w:rsidRPr="002051F5">
        <w:rPr>
          <w:rFonts w:ascii="Verdana" w:eastAsia="Calibri" w:hAnsi="Verdana" w:cs="Arial"/>
          <w:lang w:val="es-ES" w:eastAsia="es-ES"/>
        </w:rPr>
        <w:t xml:space="preserve"> manifiesta lo siguiente: </w:t>
      </w:r>
    </w:p>
    <w:p w14:paraId="5DDF44A8" w14:textId="77777777" w:rsidR="002051F5" w:rsidRPr="006609A4" w:rsidRDefault="002051F5" w:rsidP="002051F5">
      <w:pPr>
        <w:tabs>
          <w:tab w:val="left" w:pos="142"/>
          <w:tab w:val="left" w:pos="284"/>
        </w:tabs>
        <w:spacing w:after="0" w:line="276" w:lineRule="auto"/>
        <w:ind w:left="709" w:right="709"/>
        <w:jc w:val="both"/>
        <w:rPr>
          <w:rFonts w:ascii="Verdana" w:eastAsia="Century Gothic" w:hAnsi="Verdana" w:cs="Century Gothic"/>
          <w:b/>
          <w:bCs/>
          <w:lang w:val="es-ES" w:eastAsia="es-MX"/>
        </w:rPr>
      </w:pPr>
    </w:p>
    <w:p w14:paraId="5959C356" w14:textId="77777777" w:rsidR="002051F5" w:rsidRPr="002051F5" w:rsidRDefault="002051F5" w:rsidP="002051F5">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2051F5">
        <w:rPr>
          <w:rFonts w:ascii="Verdana" w:eastAsia="Times New Roman" w:hAnsi="Verdana" w:cs="Times New Roman"/>
          <w:color w:val="242424"/>
          <w:sz w:val="20"/>
          <w:szCs w:val="20"/>
          <w:lang w:eastAsia="es-MX"/>
        </w:rPr>
        <w:t>“</w:t>
      </w:r>
      <w:r w:rsidRPr="002051F5">
        <w:rPr>
          <w:rFonts w:ascii="Verdana" w:eastAsia="Aptos" w:hAnsi="Verdana" w:cs="Times New Roman"/>
          <w:kern w:val="2"/>
          <w:sz w:val="20"/>
          <w:szCs w:val="20"/>
          <w14:ligatures w14:val="standardContextual"/>
        </w:rPr>
        <w:t xml:space="preserve">La Secretaría Distrital de Movilidad se encuentra adelantando la estructuración de un proceso de selección de obra pública cuyo objeto corresponde a: REALIZAR A MONTO AGOTABLE A PRECIOS UNITARIOS FIJOS LOS MANTENIMIENTOS REPARACIONES Y ADECUACIONES NECESARIAS A LA INFRAESTRUCTURA FÍSICA DE LAS SEDES ADMINISTRADAS POR LA SECRETARIA DISTRITAL DE MOVILIDAD, así como un proceso de selección de consultoría cuyo objeto corresponde a </w:t>
      </w:r>
      <w:r w:rsidRPr="002051F5">
        <w:rPr>
          <w:rFonts w:ascii="Verdana" w:eastAsia="Aptos" w:hAnsi="Verdana" w:cs="Times New Roman"/>
          <w:kern w:val="2"/>
          <w:sz w:val="20"/>
          <w:szCs w:val="20"/>
          <w14:ligatures w14:val="standardContextual"/>
        </w:rPr>
        <w:lastRenderedPageBreak/>
        <w:t>CONTRATAR LA INTERVENTORÍA ADMINISTRATIVA TÉCNICA OPERATIVA FINANCIERA CONTABLE JURÍDICA Y AMBIENTAL PARA LA EJECUCIÓN DEL CONTRATO DE OBRA CUYO OBJETO ES REALIZAR A MONTO AGOTABLE A PRECIOS UNITARIOS FIJOS LOS MANTENIMIENTOS REPARACIONES Y ADECUACIONES NECESARIAS A LA INFRAESTRUCTURA FÍSICA DE LAS SEDES ADMINISTRADAS POR LA SECRETARIA DISTRITAL DE MOVILIDAD</w:t>
      </w:r>
    </w:p>
    <w:p w14:paraId="63A7A011" w14:textId="77777777" w:rsidR="002051F5" w:rsidRPr="002051F5" w:rsidRDefault="002051F5" w:rsidP="002051F5">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2051F5">
        <w:rPr>
          <w:rFonts w:ascii="Verdana" w:eastAsia="Aptos" w:hAnsi="Verdana" w:cs="Times New Roman"/>
          <w:kern w:val="2"/>
          <w:sz w:val="20"/>
          <w:szCs w:val="20"/>
          <w14:ligatures w14:val="standardContextual"/>
        </w:rPr>
        <w:t>De acuerdo con lo establecido en el Decreto 652 de 2025 “Por medio del cual se expide el Decreto Único del Sector Movilidad” la Secretaría Distrital de Movilidad es una entidad de carácter público perteneciente al sector transporte cabeza del sector movilidad en el Distrito Capital cuyo objeto y funciones según el artículo 2 son: “La Secretaría Distrital de Movilidad tiene por objeto orientar y liderar la formulación de las políticas del sistema de movilidad para atender los requerimientos de desplazamiento de pasajeros y de carga en la zona urbana, tanto vehicular como peatonal y de su expansión en el área rural del Distrito Capital en el marco de la interconexión del Distrito Capital con la red de ciudades de la región central, con el país y con el exterior”, le corresponde la aplicación de los pliegos tipo definidos para dicho sector.</w:t>
      </w:r>
    </w:p>
    <w:p w14:paraId="30B4A69C" w14:textId="77777777" w:rsidR="002051F5" w:rsidRPr="002051F5" w:rsidRDefault="002051F5" w:rsidP="002051F5">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2051F5">
        <w:rPr>
          <w:rFonts w:ascii="Verdana" w:eastAsia="Aptos" w:hAnsi="Verdana" w:cs="Times New Roman"/>
          <w:kern w:val="2"/>
          <w:sz w:val="20"/>
          <w:szCs w:val="20"/>
          <w14:ligatures w14:val="standardContextual"/>
        </w:rPr>
        <w:t>En ese sentido, se realizó la revisión de la matriz de experiencia contenida en los Documentos Tipo de Infraestructura de Transporte, con el propósito de verificar su pertinencia frente a las necesidades contractuales previamente identificadas. Como resultado de este análisis, no se evidenció correspondencia entre las actividades contempladas en dicha matriz y los objetos contractuales que se pretende adelantar, particularmente en lo relacionado con el mantenimiento de edificaciones de carácter institucional. Lo anterior, en razón a que las actividades allí definidas se orientan principalmente a la ejecución de obras de infraestructura vial y de transporte, tales como construcción, rehabilitación o mejoramiento de vías, las cuales difieren en alcance, naturaleza técnica y especificidad respecto a las intervenciones requeridas en infraestructura física administrativa. y en consecuencia, se concluye que la matriz de experiencia de los Documentos Tipo de Infraestructura de Transporte no resulta aplicable ni adecuada para soportar procesos contractuales asociados al mantenimiento de edificaciones institucionales.</w:t>
      </w:r>
    </w:p>
    <w:p w14:paraId="1D6880DF" w14:textId="77777777" w:rsidR="002051F5" w:rsidRPr="002051F5" w:rsidRDefault="002051F5" w:rsidP="002051F5">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2051F5">
        <w:rPr>
          <w:rFonts w:ascii="Verdana" w:eastAsia="Aptos" w:hAnsi="Verdana" w:cs="Times New Roman"/>
          <w:kern w:val="2"/>
          <w:sz w:val="20"/>
          <w:szCs w:val="20"/>
          <w14:ligatures w14:val="standardContextual"/>
        </w:rPr>
        <w:t xml:space="preserve">No obstante, al revisar los documentos tipo publicados en la página de Colombia Compra Eficiente, en el apartado correspondiente a Documentos Tipo Infraestructura Social, se evidencia que se cuenta con documentos tipo tanto para licitación de obra pública de infraestructura social como para concurso de méritos para contratar la Consultoría de obras públicas de infraestructura social establecidos mediante las Resoluciones No. 539 y 952 de 2025 expedida por la Agencia Nacional de Contratación Pública – Colombia Compra Eficiente (ANCPCCE), vigentes desde el 16 de febrero de 2026, así como el contenido de la versión 2 de los Documentos Tipo para los procesos de licitación de obra pública del sector de infraestructura </w:t>
      </w:r>
      <w:r w:rsidRPr="002051F5">
        <w:rPr>
          <w:rFonts w:ascii="Verdana" w:eastAsia="Aptos" w:hAnsi="Verdana" w:cs="Times New Roman"/>
          <w:kern w:val="2"/>
          <w:sz w:val="20"/>
          <w:szCs w:val="20"/>
          <w14:ligatures w14:val="standardContextual"/>
        </w:rPr>
        <w:lastRenderedPageBreak/>
        <w:t>social, en especial las definiciones contenidas en el Anexo 5 - Glosario, la Entidad formula la siguiente consulta:</w:t>
      </w:r>
    </w:p>
    <w:p w14:paraId="4D24A874" w14:textId="77777777" w:rsidR="002051F5" w:rsidRPr="002051F5" w:rsidRDefault="002051F5" w:rsidP="002051F5">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2051F5">
        <w:rPr>
          <w:rFonts w:ascii="Verdana" w:eastAsia="Aptos" w:hAnsi="Verdana" w:cs="Times New Roman"/>
          <w:kern w:val="2"/>
          <w:sz w:val="20"/>
          <w:szCs w:val="20"/>
          <w14:ligatures w14:val="standardContextual"/>
        </w:rPr>
        <w:t>Considerando que la actualización de los Documentos Tipo de Infraestructura Social amplía su obligatoriedad al sector institucional, y atendiendo las siguientes definiciones contenidas en el Anexo Memoria Justificativa - Informe Sectorial, en la sección aspectos generales del sector, se cuenta con la siguiente definición:</w:t>
      </w:r>
    </w:p>
    <w:p w14:paraId="125F41E3" w14:textId="77777777" w:rsidR="002051F5" w:rsidRPr="002051F5" w:rsidRDefault="002051F5" w:rsidP="002051F5">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2051F5">
        <w:rPr>
          <w:rFonts w:ascii="Verdana" w:eastAsia="Aptos" w:hAnsi="Verdana" w:cs="Times New Roman"/>
          <w:kern w:val="2"/>
          <w:sz w:val="20"/>
          <w:szCs w:val="20"/>
          <w14:ligatures w14:val="standardContextual"/>
        </w:rPr>
        <w:t>Institucional: Edificaciones o espacios utilizados para el cuidado de personas o en su reunión con propósitos educativos o de instrucción, edificaciones y espacios indispensables en la atención de emergencias, preservación de la seguridad de personas (…). (subrayado y negrilla fuera del texto)</w:t>
      </w:r>
    </w:p>
    <w:p w14:paraId="6B6F4979" w14:textId="77777777" w:rsidR="002051F5" w:rsidRPr="002051F5" w:rsidRDefault="002051F5" w:rsidP="002051F5">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2051F5">
        <w:rPr>
          <w:rFonts w:ascii="Verdana" w:eastAsia="Aptos" w:hAnsi="Verdana" w:cs="Times New Roman"/>
          <w:kern w:val="2"/>
          <w:sz w:val="20"/>
          <w:szCs w:val="20"/>
          <w14:ligatures w14:val="standardContextual"/>
        </w:rPr>
        <w:t>De otra parte, el documento Anexo 5 - Glosario presenta las siguientes definiciones: “(…) 2.80. Edificio Institucional: Infraestructura que ha sido construida para funciones específicas (administrativas, educación, salud, cultura, etc.) principalmente para el beneficio e interés público (…).</w:t>
      </w:r>
    </w:p>
    <w:p w14:paraId="2762A703" w14:textId="77777777" w:rsidR="002051F5" w:rsidRPr="002051F5" w:rsidRDefault="002051F5" w:rsidP="002051F5">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2051F5">
        <w:rPr>
          <w:rFonts w:ascii="Verdana" w:eastAsia="Aptos" w:hAnsi="Verdana" w:cs="Times New Roman"/>
          <w:kern w:val="2"/>
          <w:sz w:val="20"/>
          <w:szCs w:val="20"/>
          <w14:ligatures w14:val="standardContextual"/>
        </w:rPr>
        <w:t>2.106. Grupo de ocupación de Institucional: En el grupo de ocupación institucional se clasifican las edificaciones o espacios utilizados para la reclusión de personas que adolecen de limitaciones mentales o están sujetas a castigos penales o correccionales; en el tratamiento o cuidado de personas o en su reunión con propósitos educativos o de instrucción.</w:t>
      </w:r>
    </w:p>
    <w:p w14:paraId="0EADE1E7" w14:textId="77777777" w:rsidR="002051F5" w:rsidRPr="002051F5" w:rsidRDefault="002051F5" w:rsidP="002051F5">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2051F5">
        <w:rPr>
          <w:rFonts w:ascii="Verdana" w:eastAsia="Aptos" w:hAnsi="Verdana" w:cs="Times New Roman"/>
          <w:kern w:val="2"/>
          <w:sz w:val="20"/>
          <w:szCs w:val="20"/>
          <w14:ligatures w14:val="standardContextual"/>
        </w:rPr>
        <w:t>De igual manera se clasifican dentro de este grupo las edificaciones y espacios indispensables en la atención de emergencias, preservación de la seguridad de personas y la prestación de servicios públicos y administrativos necesarios para el buen funcionamiento de las ciudades. Entre otras se contemplan para edificaciones de servicio público, centros de comunicación, centros administrativos, municipales, distritales, oficinas de correo, gubernamentales y nacionales, centros administrativos de servicios públicos, juzgados, ministerios, reguladores de servicios y de control, centros de investigación, entidades financieras estatales, otros similares (…). (subrayado y negrilla fuera del texto)</w:t>
      </w:r>
    </w:p>
    <w:p w14:paraId="3FC01D28" w14:textId="77777777" w:rsidR="002051F5" w:rsidRPr="002051F5" w:rsidRDefault="002051F5" w:rsidP="002051F5">
      <w:pPr>
        <w:spacing w:after="120" w:line="240" w:lineRule="auto"/>
        <w:ind w:right="709" w:firstLine="708"/>
        <w:jc w:val="both"/>
        <w:rPr>
          <w:rFonts w:ascii="Verdana" w:eastAsia="Aptos" w:hAnsi="Verdana" w:cs="Times New Roman"/>
          <w:kern w:val="2"/>
          <w:sz w:val="20"/>
          <w:szCs w:val="20"/>
          <w14:ligatures w14:val="standardContextual"/>
        </w:rPr>
      </w:pPr>
      <w:r w:rsidRPr="002051F5">
        <w:rPr>
          <w:rFonts w:ascii="Verdana" w:eastAsia="Aptos" w:hAnsi="Verdana" w:cs="Times New Roman"/>
          <w:kern w:val="2"/>
          <w:sz w:val="20"/>
          <w:szCs w:val="20"/>
          <w14:ligatures w14:val="standardContextual"/>
        </w:rPr>
        <w:t>Finalmente, en el artículo 22 de la Resolución 952 de 2025 se indica que:</w:t>
      </w:r>
    </w:p>
    <w:p w14:paraId="482B50E3" w14:textId="77777777" w:rsidR="002051F5" w:rsidRPr="002051F5" w:rsidRDefault="002051F5" w:rsidP="002051F5">
      <w:pPr>
        <w:spacing w:after="120" w:line="240" w:lineRule="auto"/>
        <w:ind w:left="708" w:right="709"/>
        <w:jc w:val="both"/>
        <w:rPr>
          <w:rFonts w:ascii="Verdana" w:eastAsia="Aptos" w:hAnsi="Verdana" w:cs="Times New Roman"/>
          <w:kern w:val="2"/>
          <w:sz w:val="20"/>
          <w:szCs w:val="20"/>
          <w14:ligatures w14:val="standardContextual"/>
        </w:rPr>
      </w:pPr>
      <w:r w:rsidRPr="002051F5">
        <w:rPr>
          <w:rFonts w:ascii="Verdana" w:eastAsia="Aptos" w:hAnsi="Verdana" w:cs="Times New Roman"/>
          <w:kern w:val="2"/>
          <w:sz w:val="20"/>
          <w:szCs w:val="20"/>
          <w14:ligatures w14:val="standardContextual"/>
        </w:rPr>
        <w:t>Artículo 22. Vigencia. La presente resolución rige a partir de su publicación, y aplicará para los procesos de selección de concurso de méritos para contratar la consultoría de estudios de ingeniería de infraestructura social en los sectores educación, salud, cultura, recreación y deporte, institucional y vivienda, cuyo aviso de convocatoria se publique a partir del 16 de febrero de 2026.</w:t>
      </w:r>
    </w:p>
    <w:p w14:paraId="40CAE7A3" w14:textId="77777777" w:rsidR="002051F5" w:rsidRPr="002051F5" w:rsidRDefault="002051F5" w:rsidP="002051F5">
      <w:pPr>
        <w:spacing w:after="120" w:line="240" w:lineRule="auto"/>
        <w:ind w:left="708" w:right="709"/>
        <w:jc w:val="both"/>
        <w:rPr>
          <w:rFonts w:ascii="Verdana" w:eastAsia="Aptos" w:hAnsi="Verdana" w:cs="Times New Roman"/>
          <w:kern w:val="2"/>
          <w:sz w:val="20"/>
          <w:szCs w:val="20"/>
          <w14:ligatures w14:val="standardContextual"/>
        </w:rPr>
      </w:pPr>
    </w:p>
    <w:p w14:paraId="43252385" w14:textId="77777777" w:rsidR="002051F5" w:rsidRPr="002051F5" w:rsidRDefault="002051F5" w:rsidP="002051F5">
      <w:pPr>
        <w:spacing w:after="120" w:line="240" w:lineRule="auto"/>
        <w:ind w:left="708" w:right="709"/>
        <w:jc w:val="both"/>
        <w:rPr>
          <w:rFonts w:ascii="Verdana" w:eastAsia="Aptos" w:hAnsi="Verdana" w:cs="Times New Roman"/>
          <w:kern w:val="2"/>
          <w:sz w:val="20"/>
          <w:szCs w:val="20"/>
          <w14:ligatures w14:val="standardContextual"/>
        </w:rPr>
      </w:pPr>
      <w:r w:rsidRPr="002051F5">
        <w:rPr>
          <w:rFonts w:ascii="Verdana" w:eastAsia="Aptos" w:hAnsi="Verdana" w:cs="Times New Roman"/>
          <w:kern w:val="2"/>
          <w:sz w:val="20"/>
          <w:szCs w:val="20"/>
          <w14:ligatures w14:val="standardContextual"/>
        </w:rPr>
        <w:t xml:space="preserve">De igual manera, en el artículo 23 de la Resolución 539 de 2025 se indica que: Artículo 23. Vigencia. La presente resolución rige a partir de su </w:t>
      </w:r>
      <w:r w:rsidRPr="002051F5">
        <w:rPr>
          <w:rFonts w:ascii="Verdana" w:eastAsia="Aptos" w:hAnsi="Verdana" w:cs="Times New Roman"/>
          <w:kern w:val="2"/>
          <w:sz w:val="20"/>
          <w:szCs w:val="20"/>
          <w14:ligatures w14:val="standardContextual"/>
        </w:rPr>
        <w:lastRenderedPageBreak/>
        <w:t>publicación y aplicará a los procedimientos de selección de licitación de obra pública de infraestructura social en los sectores educación, salud, cultura, recreación y deporte, institucional y vivienda, cuyo aviso de convocatoria sea publicado a partir del 16 de febrero de 2026.</w:t>
      </w:r>
    </w:p>
    <w:p w14:paraId="02D06DDA" w14:textId="77777777" w:rsidR="002051F5" w:rsidRPr="002051F5" w:rsidRDefault="002051F5" w:rsidP="002051F5">
      <w:pPr>
        <w:spacing w:after="120" w:line="240" w:lineRule="auto"/>
        <w:ind w:left="708" w:right="709"/>
        <w:jc w:val="both"/>
        <w:rPr>
          <w:rFonts w:ascii="Verdana" w:eastAsia="Aptos" w:hAnsi="Verdana" w:cs="Times New Roman"/>
          <w:kern w:val="2"/>
          <w:sz w:val="20"/>
          <w:szCs w:val="20"/>
          <w14:ligatures w14:val="standardContextual"/>
        </w:rPr>
      </w:pPr>
      <w:r w:rsidRPr="002051F5">
        <w:rPr>
          <w:rFonts w:ascii="Verdana" w:eastAsia="Aptos" w:hAnsi="Verdana" w:cs="Times New Roman"/>
          <w:kern w:val="2"/>
          <w:sz w:val="20"/>
          <w:szCs w:val="20"/>
          <w14:ligatures w14:val="standardContextual"/>
        </w:rPr>
        <w:t xml:space="preserve">Por lo anterior, expuesto nos surgen las siguientes preguntas: </w:t>
      </w:r>
    </w:p>
    <w:p w14:paraId="1112F115" w14:textId="77777777" w:rsidR="002051F5" w:rsidRPr="002051F5" w:rsidRDefault="002051F5" w:rsidP="002051F5">
      <w:pPr>
        <w:spacing w:after="120" w:line="240" w:lineRule="auto"/>
        <w:ind w:left="708" w:right="709"/>
        <w:jc w:val="both"/>
        <w:rPr>
          <w:rFonts w:ascii="Verdana" w:eastAsia="Aptos" w:hAnsi="Verdana" w:cs="Times New Roman"/>
          <w:kern w:val="2"/>
          <w:sz w:val="20"/>
          <w:szCs w:val="20"/>
          <w14:ligatures w14:val="standardContextual"/>
        </w:rPr>
      </w:pPr>
      <w:r w:rsidRPr="002051F5">
        <w:rPr>
          <w:rFonts w:ascii="Verdana" w:eastAsia="Aptos" w:hAnsi="Verdana" w:cs="Times New Roman"/>
          <w:kern w:val="2"/>
          <w:sz w:val="20"/>
          <w:szCs w:val="20"/>
          <w14:ligatures w14:val="standardContextual"/>
        </w:rPr>
        <w:t>1. ¿La entidad para adelantar los procesos de selección antes referidos deberá aplicar los Documentos Tipo de Infraestructura Social? ¿Aun cuando la Resolución establece que los sectores que les aplica son educación, salud, cultura, recreación y deporte, institucional y vivienda, y la Secretaria Distrital de Movilidad pertenece al Sector Transporte?</w:t>
      </w:r>
    </w:p>
    <w:p w14:paraId="1EB75E8B" w14:textId="77777777" w:rsidR="002051F5" w:rsidRPr="002051F5" w:rsidRDefault="002051F5" w:rsidP="002051F5">
      <w:pPr>
        <w:spacing w:after="0" w:line="240" w:lineRule="auto"/>
        <w:ind w:left="708" w:right="709"/>
        <w:jc w:val="both"/>
        <w:rPr>
          <w:rFonts w:ascii="Verdana" w:eastAsia="Aptos" w:hAnsi="Verdana" w:cs="Times New Roman"/>
          <w:kern w:val="2"/>
          <w:sz w:val="20"/>
          <w:szCs w:val="20"/>
          <w14:ligatures w14:val="standardContextual"/>
        </w:rPr>
      </w:pPr>
      <w:r w:rsidRPr="002051F5">
        <w:rPr>
          <w:rFonts w:ascii="Verdana" w:eastAsia="Aptos" w:hAnsi="Verdana" w:cs="Times New Roman"/>
          <w:kern w:val="2"/>
          <w:sz w:val="20"/>
          <w:szCs w:val="20"/>
          <w14:ligatures w14:val="standardContextual"/>
        </w:rPr>
        <w:t xml:space="preserve">2. ¿Nos aplicaría la experiencia de las matrices correspondientes a OBRAS EN PROYECTOS DE INFRAESTRUCTURA INSTITUCIONAL DE SERVICIO PÚBLICO y a Experiencia Consultoría a Infraestructura Institucional establecidas en los Documentos Tipo de infraestructura social, </w:t>
      </w:r>
      <w:proofErr w:type="spellStart"/>
      <w:r w:rsidRPr="002051F5">
        <w:rPr>
          <w:rFonts w:ascii="Verdana" w:eastAsia="Aptos" w:hAnsi="Verdana" w:cs="Times New Roman"/>
          <w:kern w:val="2"/>
          <w:sz w:val="20"/>
          <w:szCs w:val="20"/>
          <w14:ligatures w14:val="standardContextual"/>
        </w:rPr>
        <w:t>aún</w:t>
      </w:r>
      <w:proofErr w:type="spellEnd"/>
      <w:r w:rsidRPr="002051F5">
        <w:rPr>
          <w:rFonts w:ascii="Verdana" w:eastAsia="Aptos" w:hAnsi="Verdana" w:cs="Times New Roman"/>
          <w:kern w:val="2"/>
          <w:sz w:val="20"/>
          <w:szCs w:val="20"/>
          <w14:ligatures w14:val="standardContextual"/>
        </w:rPr>
        <w:t xml:space="preserve"> cuando los pliegos tipo que nos corresponden por el sector al que pertenece la entidad son los de Infraestructura de Transporte?</w:t>
      </w:r>
    </w:p>
    <w:p w14:paraId="7BB2AF8B" w14:textId="77777777" w:rsidR="002051F5" w:rsidRPr="002051F5" w:rsidRDefault="002051F5" w:rsidP="002051F5">
      <w:pPr>
        <w:spacing w:after="0" w:line="240" w:lineRule="auto"/>
        <w:ind w:left="708" w:right="709"/>
        <w:jc w:val="both"/>
        <w:rPr>
          <w:rFonts w:ascii="Verdana" w:eastAsia="Aptos" w:hAnsi="Verdana" w:cs="Times New Roman"/>
          <w:kern w:val="2"/>
          <w:sz w:val="20"/>
          <w:szCs w:val="20"/>
          <w14:ligatures w14:val="standardContextual"/>
        </w:rPr>
      </w:pPr>
    </w:p>
    <w:p w14:paraId="1105586B" w14:textId="77777777" w:rsidR="002051F5" w:rsidRPr="002051F5" w:rsidRDefault="002051F5" w:rsidP="002051F5">
      <w:pPr>
        <w:spacing w:after="120" w:line="276" w:lineRule="auto"/>
        <w:ind w:firstLine="709"/>
        <w:jc w:val="both"/>
        <w:rPr>
          <w:rFonts w:ascii="Verdana" w:eastAsia="Calibri" w:hAnsi="Verdana" w:cs="Arial"/>
          <w:color w:val="000000"/>
          <w:lang w:val="es-ES" w:eastAsia="es-ES"/>
        </w:rPr>
      </w:pPr>
      <w:r w:rsidRPr="002051F5">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051F5">
        <w:rPr>
          <w:rFonts w:ascii="Verdana" w:eastAsia="Calibri" w:hAnsi="Verdana" w:cs="Arial"/>
          <w:color w:val="000000"/>
          <w:lang w:val="es-ES_tradnl" w:eastAsia="es-ES_tradnl"/>
        </w:rPr>
        <w:tab/>
      </w:r>
    </w:p>
    <w:p w14:paraId="151DAA29" w14:textId="77777777" w:rsidR="002051F5" w:rsidRPr="002051F5" w:rsidRDefault="002051F5" w:rsidP="002051F5">
      <w:pPr>
        <w:spacing w:after="120" w:line="276" w:lineRule="auto"/>
        <w:ind w:firstLine="709"/>
        <w:jc w:val="both"/>
        <w:rPr>
          <w:rFonts w:ascii="Verdana" w:eastAsia="Calibri" w:hAnsi="Verdana" w:cs="Arial"/>
          <w:color w:val="000000"/>
          <w:lang w:val="es-ES" w:eastAsia="es-ES"/>
        </w:rPr>
      </w:pPr>
      <w:r w:rsidRPr="002051F5">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2051F5">
        <w:rPr>
          <w:rFonts w:ascii="Verdana" w:eastAsia="Calibri" w:hAnsi="Verdana" w:cs="Arial"/>
          <w:color w:val="7030A0"/>
          <w:lang w:val="es-ES" w:eastAsia="es-ES"/>
        </w:rPr>
        <w:t xml:space="preserve"> </w:t>
      </w:r>
      <w:r w:rsidRPr="002051F5">
        <w:rPr>
          <w:rFonts w:ascii="Verdana" w:eastAsia="Calibri" w:hAnsi="Verdana" w:cs="Arial"/>
          <w:color w:val="000000"/>
          <w:lang w:val="es-ES" w:eastAsia="es-ES"/>
        </w:rPr>
        <w:t>problema</w:t>
      </w:r>
      <w:r w:rsidRPr="002051F5">
        <w:rPr>
          <w:rFonts w:ascii="Verdana" w:eastAsia="Calibri" w:hAnsi="Verdana" w:cs="Arial"/>
          <w:color w:val="7030A0"/>
          <w:lang w:val="es-ES" w:eastAsia="es-ES"/>
        </w:rPr>
        <w:t xml:space="preserve"> </w:t>
      </w:r>
      <w:r w:rsidRPr="002051F5">
        <w:rPr>
          <w:rFonts w:ascii="Verdana" w:eastAsia="Calibri" w:hAnsi="Verdana" w:cs="Arial"/>
          <w:color w:val="000000"/>
          <w:lang w:val="es-ES" w:eastAsia="es-ES"/>
        </w:rPr>
        <w:t>jurídico</w:t>
      </w:r>
      <w:r w:rsidRPr="002051F5">
        <w:rPr>
          <w:rFonts w:ascii="Verdana" w:eastAsia="Calibri" w:hAnsi="Verdana" w:cs="Arial"/>
          <w:color w:val="7030A0"/>
          <w:lang w:val="es-ES" w:eastAsia="es-ES"/>
        </w:rPr>
        <w:t xml:space="preserve"> </w:t>
      </w:r>
      <w:r w:rsidRPr="002051F5">
        <w:rPr>
          <w:rFonts w:ascii="Verdana" w:eastAsia="Calibri" w:hAnsi="Verdana" w:cs="Arial"/>
          <w:color w:val="000000"/>
          <w:lang w:val="es-ES" w:eastAsia="es-ES"/>
        </w:rPr>
        <w:t xml:space="preserve">de su consulta. </w:t>
      </w:r>
    </w:p>
    <w:p w14:paraId="2E159D98" w14:textId="77777777" w:rsidR="002051F5" w:rsidRPr="002051F5" w:rsidRDefault="002051F5" w:rsidP="002051F5">
      <w:pPr>
        <w:spacing w:after="0" w:line="276" w:lineRule="auto"/>
        <w:jc w:val="both"/>
        <w:rPr>
          <w:rFonts w:ascii="Verdana" w:eastAsia="Calibri" w:hAnsi="Verdana" w:cs="Arial"/>
          <w:lang w:val="es-ES" w:eastAsia="es-ES"/>
        </w:rPr>
      </w:pPr>
    </w:p>
    <w:p w14:paraId="0E4B9AA0" w14:textId="77777777" w:rsidR="002051F5" w:rsidRPr="002051F5" w:rsidRDefault="002051F5" w:rsidP="002051F5">
      <w:pPr>
        <w:numPr>
          <w:ilvl w:val="0"/>
          <w:numId w:val="17"/>
        </w:numPr>
        <w:tabs>
          <w:tab w:val="left" w:pos="142"/>
          <w:tab w:val="left" w:pos="284"/>
        </w:tabs>
        <w:spacing w:after="0" w:line="276" w:lineRule="auto"/>
        <w:jc w:val="both"/>
        <w:rPr>
          <w:rFonts w:ascii="Verdana" w:eastAsia="Century Gothic" w:hAnsi="Verdana" w:cs="Century Gothic"/>
          <w:b/>
          <w:bCs/>
          <w:lang w:eastAsia="es-MX"/>
        </w:rPr>
      </w:pPr>
      <w:r w:rsidRPr="002051F5">
        <w:rPr>
          <w:rFonts w:ascii="Verdana" w:eastAsia="Century Gothic" w:hAnsi="Verdana" w:cs="Century Gothic"/>
          <w:b/>
          <w:bCs/>
          <w:lang w:eastAsia="es-MX"/>
        </w:rPr>
        <w:t>Problema planteado:</w:t>
      </w:r>
    </w:p>
    <w:p w14:paraId="0577ADC4" w14:textId="77777777" w:rsidR="002051F5" w:rsidRPr="002051F5" w:rsidRDefault="002051F5" w:rsidP="002051F5">
      <w:pPr>
        <w:tabs>
          <w:tab w:val="left" w:pos="426"/>
        </w:tabs>
        <w:spacing w:after="0" w:line="276" w:lineRule="auto"/>
        <w:jc w:val="both"/>
        <w:rPr>
          <w:rFonts w:ascii="Verdana" w:eastAsia="Century Gothic" w:hAnsi="Verdana" w:cs="Century Gothic"/>
          <w:lang w:val="es-ES" w:eastAsia="es-MX"/>
        </w:rPr>
      </w:pPr>
    </w:p>
    <w:p w14:paraId="5B51F02C" w14:textId="77777777" w:rsidR="002051F5" w:rsidRPr="002051F5" w:rsidRDefault="002051F5" w:rsidP="002051F5">
      <w:pPr>
        <w:spacing w:after="0" w:line="276" w:lineRule="auto"/>
        <w:jc w:val="both"/>
        <w:rPr>
          <w:rFonts w:ascii="Verdana" w:eastAsia="Calibri" w:hAnsi="Verdana" w:cs="Arial"/>
          <w:bCs/>
          <w:lang w:val="es-ES_tradnl" w:eastAsia="es-ES_tradnl"/>
        </w:rPr>
      </w:pPr>
      <w:r w:rsidRPr="002051F5">
        <w:rPr>
          <w:rFonts w:ascii="Verdana" w:eastAsia="Century Gothic" w:hAnsi="Verdana" w:cs="Century Gothic"/>
          <w:lang w:eastAsia="es-MX"/>
        </w:rPr>
        <w:lastRenderedPageBreak/>
        <w:t xml:space="preserve">De acuerdo con el contenido de su solicitud, en relación con los documentos tipo del sector de infraestructura social, esta Agencia resolverá los siguientes problemas jurídicos: i) ¿Debe la Secretaría Distrital de Movilidad utilizar los documentos tipo señalados para adelantar un proceso que tiene por objeto la adecuación, mantenimiento y reparación de sus sedes? y </w:t>
      </w:r>
      <w:proofErr w:type="spellStart"/>
      <w:r w:rsidRPr="002051F5">
        <w:rPr>
          <w:rFonts w:ascii="Verdana" w:eastAsia="Century Gothic" w:hAnsi="Verdana" w:cs="Century Gothic"/>
          <w:lang w:eastAsia="es-MX"/>
        </w:rPr>
        <w:t>ii</w:t>
      </w:r>
      <w:proofErr w:type="spellEnd"/>
      <w:r w:rsidRPr="002051F5">
        <w:rPr>
          <w:rFonts w:ascii="Verdana" w:eastAsia="Century Gothic" w:hAnsi="Verdana" w:cs="Century Gothic"/>
          <w:lang w:eastAsia="es-MX"/>
        </w:rPr>
        <w:t>) ¿Debe la Secretaría Distrital de Movilidad utilizar los documentos tipo señalados para adelantar un proceso que tiene por objeto la interventoría sobre la adecuación, mantenimiento y reparación de sus sedes?</w:t>
      </w:r>
    </w:p>
    <w:p w14:paraId="7177BC1F" w14:textId="77777777" w:rsidR="002051F5" w:rsidRPr="002051F5" w:rsidRDefault="002051F5" w:rsidP="002051F5">
      <w:pPr>
        <w:spacing w:after="0" w:line="276" w:lineRule="auto"/>
        <w:jc w:val="both"/>
        <w:rPr>
          <w:rFonts w:ascii="Verdana" w:eastAsia="Century Gothic" w:hAnsi="Verdana" w:cs="Century Gothic"/>
          <w:lang w:val="es-ES_tradnl" w:eastAsia="es-MX"/>
        </w:rPr>
      </w:pPr>
    </w:p>
    <w:p w14:paraId="1978DFEF" w14:textId="77777777" w:rsidR="002051F5" w:rsidRPr="002051F5" w:rsidRDefault="002051F5" w:rsidP="002051F5">
      <w:pPr>
        <w:tabs>
          <w:tab w:val="left" w:pos="142"/>
          <w:tab w:val="left" w:pos="284"/>
        </w:tabs>
        <w:spacing w:after="0" w:line="276" w:lineRule="auto"/>
        <w:contextualSpacing/>
        <w:jc w:val="both"/>
        <w:rPr>
          <w:rFonts w:ascii="Verdana" w:eastAsia="Century Gothic" w:hAnsi="Verdana" w:cs="Century Gothic"/>
          <w:b/>
          <w:bCs/>
          <w:lang w:val="es-ES" w:eastAsia="es-MX"/>
        </w:rPr>
      </w:pPr>
      <w:r w:rsidRPr="002051F5">
        <w:rPr>
          <w:rFonts w:ascii="Verdana" w:eastAsia="Century Gothic" w:hAnsi="Verdana" w:cs="Century Gothic"/>
          <w:b/>
          <w:bCs/>
          <w:lang w:val="es-ES" w:eastAsia="es-MX"/>
        </w:rPr>
        <w:t>2. Respuestas:</w:t>
      </w:r>
    </w:p>
    <w:p w14:paraId="4D33923D" w14:textId="77777777" w:rsidR="002051F5" w:rsidRPr="002051F5" w:rsidRDefault="002051F5" w:rsidP="002051F5">
      <w:pPr>
        <w:tabs>
          <w:tab w:val="left" w:pos="142"/>
          <w:tab w:val="left" w:pos="284"/>
        </w:tabs>
        <w:spacing w:after="0" w:line="276" w:lineRule="auto"/>
        <w:contextualSpacing/>
        <w:jc w:val="both"/>
        <w:rPr>
          <w:rFonts w:ascii="Verdana" w:eastAsia="Century Gothic" w:hAnsi="Verdana" w:cs="Century Gothic"/>
          <w:b/>
          <w:bCs/>
          <w:lang w:val="es-ES" w:eastAsia="es-MX"/>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051F5" w:rsidRPr="002051F5" w14:paraId="6161614C" w14:textId="77777777" w:rsidTr="00C03DCE">
        <w:trPr>
          <w:trHeight w:val="40"/>
        </w:trPr>
        <w:tc>
          <w:tcPr>
            <w:tcW w:w="8828" w:type="dxa"/>
            <w:tcBorders>
              <w:top w:val="dotted" w:sz="4" w:space="0" w:color="auto"/>
              <w:left w:val="dotted" w:sz="4" w:space="0" w:color="auto"/>
              <w:bottom w:val="dotted" w:sz="4" w:space="0" w:color="auto"/>
              <w:right w:val="dotted" w:sz="4" w:space="0" w:color="auto"/>
            </w:tcBorders>
          </w:tcPr>
          <w:p w14:paraId="4E7E13C3" w14:textId="77777777" w:rsidR="002051F5" w:rsidRPr="002051F5" w:rsidRDefault="002051F5" w:rsidP="002051F5">
            <w:pPr>
              <w:spacing w:line="276" w:lineRule="auto"/>
              <w:jc w:val="both"/>
              <w:rPr>
                <w:rFonts w:ascii="Verdana" w:eastAsia="Calibri" w:hAnsi="Verdana" w:cs="Arial"/>
                <w:lang w:eastAsia="es-MX"/>
              </w:rPr>
            </w:pPr>
            <w:r w:rsidRPr="002051F5">
              <w:rPr>
                <w:rFonts w:ascii="Verdana" w:eastAsia="Calibri" w:hAnsi="Verdana" w:cs="Arial"/>
                <w:lang w:eastAsia="es-MX"/>
              </w:rPr>
              <w:t>Los problemas jurídicos uno (1) y dos (2) se resolverán de forma conjunta en los siguientes términos:</w:t>
            </w:r>
          </w:p>
          <w:p w14:paraId="55C9055E" w14:textId="77777777" w:rsidR="002051F5" w:rsidRPr="002051F5" w:rsidRDefault="002051F5" w:rsidP="002051F5">
            <w:pPr>
              <w:spacing w:line="276" w:lineRule="auto"/>
              <w:jc w:val="both"/>
              <w:rPr>
                <w:rFonts w:ascii="Verdana" w:eastAsia="Calibri" w:hAnsi="Verdana" w:cs="Arial"/>
                <w:lang w:eastAsia="es-MX"/>
              </w:rPr>
            </w:pPr>
          </w:p>
          <w:p w14:paraId="1BDFC5B6" w14:textId="1B6E7BA4" w:rsidR="002051F5" w:rsidRPr="002051F5" w:rsidRDefault="00DB0FD6" w:rsidP="002051F5">
            <w:pPr>
              <w:spacing w:line="276" w:lineRule="auto"/>
              <w:jc w:val="both"/>
              <w:rPr>
                <w:rFonts w:ascii="Verdana" w:eastAsia="Calibri" w:hAnsi="Verdana" w:cs="Times New Roman"/>
                <w:lang w:eastAsia="es-MX"/>
              </w:rPr>
            </w:pPr>
            <w:r>
              <w:rPr>
                <w:rFonts w:ascii="Verdana" w:eastAsia="Times New Roman" w:hAnsi="Verdana" w:cs="Times New Roman"/>
                <w:color w:val="000000"/>
                <w:lang w:eastAsia="es-CO"/>
              </w:rPr>
              <w:t>S</w:t>
            </w:r>
            <w:r w:rsidR="007E0464">
              <w:rPr>
                <w:rFonts w:ascii="Verdana" w:eastAsia="Times New Roman" w:hAnsi="Verdana" w:cs="Times New Roman"/>
                <w:color w:val="000000"/>
                <w:lang w:eastAsia="es-CO"/>
              </w:rPr>
              <w:t>í</w:t>
            </w:r>
            <w:r>
              <w:rPr>
                <w:rFonts w:ascii="Verdana" w:eastAsia="Times New Roman" w:hAnsi="Verdana" w:cs="Times New Roman"/>
                <w:color w:val="000000"/>
                <w:lang w:eastAsia="es-CO"/>
              </w:rPr>
              <w:t xml:space="preserve">, </w:t>
            </w:r>
            <w:r w:rsidRPr="002051F5">
              <w:rPr>
                <w:rFonts w:ascii="Verdana" w:eastAsia="Century Gothic" w:hAnsi="Verdana" w:cs="Century Gothic"/>
                <w:lang w:eastAsia="es-MX"/>
              </w:rPr>
              <w:t xml:space="preserve">la Secretaría Distrital de Movilidad </w:t>
            </w:r>
            <w:r w:rsidR="00D918B0">
              <w:rPr>
                <w:rFonts w:ascii="Verdana" w:eastAsia="Century Gothic" w:hAnsi="Verdana" w:cs="Century Gothic"/>
                <w:lang w:eastAsia="es-MX"/>
              </w:rPr>
              <w:t xml:space="preserve">debe </w:t>
            </w:r>
            <w:r w:rsidRPr="002051F5">
              <w:rPr>
                <w:rFonts w:ascii="Verdana" w:eastAsia="Century Gothic" w:hAnsi="Verdana" w:cs="Century Gothic"/>
                <w:lang w:eastAsia="es-MX"/>
              </w:rPr>
              <w:t xml:space="preserve">utilizar los documentos tipo señalados para </w:t>
            </w:r>
            <w:r w:rsidR="00D918B0" w:rsidRPr="002051F5">
              <w:rPr>
                <w:rFonts w:ascii="Verdana" w:eastAsia="Century Gothic" w:hAnsi="Verdana" w:cs="Century Gothic"/>
                <w:lang w:eastAsia="es-MX"/>
              </w:rPr>
              <w:t xml:space="preserve">un proceso que tiene por objeto la adecuación, mantenimiento y reparación de sus sedes </w:t>
            </w:r>
            <w:r w:rsidR="00D918B0">
              <w:rPr>
                <w:rFonts w:ascii="Verdana" w:eastAsia="Century Gothic" w:hAnsi="Verdana" w:cs="Century Gothic"/>
                <w:lang w:eastAsia="es-MX"/>
              </w:rPr>
              <w:t>y aquellas interventorías</w:t>
            </w:r>
            <w:r w:rsidRPr="002051F5">
              <w:rPr>
                <w:rFonts w:ascii="Verdana" w:eastAsia="Century Gothic" w:hAnsi="Verdana" w:cs="Century Gothic"/>
                <w:lang w:eastAsia="es-MX"/>
              </w:rPr>
              <w:t xml:space="preserve"> sobre la adecuación, mantenimiento y reparación de sus sedes</w:t>
            </w:r>
            <w:r>
              <w:rPr>
                <w:rFonts w:ascii="Verdana" w:eastAsia="Century Gothic" w:hAnsi="Verdana" w:cs="Century Gothic"/>
                <w:lang w:eastAsia="es-MX"/>
              </w:rPr>
              <w:t>.</w:t>
            </w:r>
            <w:r w:rsidR="00D918B0">
              <w:rPr>
                <w:rFonts w:ascii="Verdana" w:eastAsia="Century Gothic" w:hAnsi="Verdana" w:cs="Century Gothic"/>
                <w:lang w:eastAsia="es-MX"/>
              </w:rPr>
              <w:t xml:space="preserve"> </w:t>
            </w:r>
            <w:r w:rsidR="002051F5" w:rsidRPr="002051F5">
              <w:rPr>
                <w:rFonts w:ascii="Verdana" w:eastAsia="Times New Roman" w:hAnsi="Verdana" w:cs="Times New Roman"/>
                <w:color w:val="000000"/>
                <w:lang w:eastAsia="es-CO"/>
              </w:rPr>
              <w:t xml:space="preserve">En los documentos tipo complementarios del sector </w:t>
            </w:r>
            <w:r w:rsidR="008A4FEF">
              <w:rPr>
                <w:rFonts w:ascii="Verdana" w:eastAsia="Times New Roman" w:hAnsi="Verdana" w:cs="Times New Roman"/>
                <w:color w:val="000000"/>
                <w:lang w:eastAsia="es-CO"/>
              </w:rPr>
              <w:t xml:space="preserve">social en el subsector </w:t>
            </w:r>
            <w:r w:rsidR="002051F5" w:rsidRPr="002051F5">
              <w:rPr>
                <w:rFonts w:ascii="Verdana" w:eastAsia="Times New Roman" w:hAnsi="Verdana" w:cs="Times New Roman"/>
                <w:color w:val="000000"/>
                <w:lang w:eastAsia="es-CO"/>
              </w:rPr>
              <w:t xml:space="preserve">Institucional, en la modalidad de licitación pública, selección abreviada de menor cuantía y mínima cuantía, en la Matriz 1 </w:t>
            </w:r>
            <w:r w:rsidR="0099798C">
              <w:rPr>
                <w:rFonts w:ascii="Verdana" w:eastAsia="Times New Roman" w:hAnsi="Verdana" w:cs="Times New Roman"/>
                <w:color w:val="000000"/>
                <w:lang w:eastAsia="es-CO"/>
              </w:rPr>
              <w:t>- Experiencia</w:t>
            </w:r>
            <w:r w:rsidR="002051F5" w:rsidRPr="002051F5">
              <w:rPr>
                <w:rFonts w:ascii="Verdana" w:eastAsia="Times New Roman" w:hAnsi="Verdana" w:cs="Times New Roman"/>
                <w:color w:val="000000"/>
                <w:lang w:eastAsia="es-CO"/>
              </w:rPr>
              <w:t xml:space="preserve"> se encuentra </w:t>
            </w:r>
            <w:r w:rsidR="002051F5" w:rsidRPr="002051F5">
              <w:rPr>
                <w:rFonts w:ascii="Verdana" w:eastAsia="Calibri" w:hAnsi="Verdana" w:cs="Times New Roman"/>
                <w:lang w:eastAsia="es-MX"/>
              </w:rPr>
              <w:t>el Capítulo dos (2) “</w:t>
            </w:r>
            <w:r w:rsidR="002051F5" w:rsidRPr="002051F5">
              <w:rPr>
                <w:rFonts w:ascii="Verdana" w:eastAsia="Arial" w:hAnsi="Verdana" w:cs="Aptos"/>
                <w:lang w:eastAsia="es-ES"/>
              </w:rPr>
              <w:t>Obras en proyectos de infraestructura institucional de servicio público”,</w:t>
            </w:r>
            <w:r w:rsidR="002051F5" w:rsidRPr="002051F5">
              <w:rPr>
                <w:rFonts w:ascii="Verdana" w:eastAsia="Calibri" w:hAnsi="Verdana" w:cs="Times New Roman"/>
                <w:lang w:eastAsia="es-MX"/>
              </w:rPr>
              <w:t xml:space="preserve"> en el cual se incluyen las siguientes actividades que recaen sobre las </w:t>
            </w:r>
            <w:r w:rsidR="008A4FEF">
              <w:rPr>
                <w:rFonts w:ascii="Verdana" w:eastAsia="Calibri" w:hAnsi="Verdana" w:cs="Times New Roman"/>
                <w:lang w:eastAsia="es-MX"/>
              </w:rPr>
              <w:t xml:space="preserve">actividades </w:t>
            </w:r>
            <w:r w:rsidR="002051F5" w:rsidRPr="002051F5">
              <w:rPr>
                <w:rFonts w:ascii="Verdana" w:eastAsia="Calibri" w:hAnsi="Verdana" w:cs="Times New Roman"/>
                <w:lang w:eastAsia="es-MX"/>
              </w:rPr>
              <w:t xml:space="preserve">que indaga en su solicitud:  </w:t>
            </w:r>
          </w:p>
          <w:p w14:paraId="72B0936F" w14:textId="77777777" w:rsidR="002051F5" w:rsidRPr="002051F5" w:rsidRDefault="002051F5" w:rsidP="002051F5">
            <w:pPr>
              <w:spacing w:line="276" w:lineRule="auto"/>
              <w:ind w:firstLine="708"/>
              <w:jc w:val="both"/>
              <w:rPr>
                <w:rFonts w:ascii="Verdana" w:eastAsia="Calibri" w:hAnsi="Verdana" w:cs="Times New Roman"/>
                <w:lang w:eastAsia="es-MX"/>
              </w:rPr>
            </w:pPr>
          </w:p>
          <w:p w14:paraId="7B14EBA0" w14:textId="77777777" w:rsidR="002051F5" w:rsidRPr="002051F5" w:rsidRDefault="002051F5" w:rsidP="002051F5">
            <w:pPr>
              <w:snapToGrid w:val="0"/>
              <w:ind w:left="709" w:right="709"/>
              <w:jc w:val="both"/>
              <w:rPr>
                <w:rFonts w:ascii="Verdana" w:eastAsia="Arial" w:hAnsi="Verdana" w:cs="Aptos"/>
                <w:i/>
                <w:iCs/>
                <w:sz w:val="21"/>
                <w:szCs w:val="21"/>
                <w:lang w:eastAsia="es-ES"/>
              </w:rPr>
            </w:pPr>
            <w:r w:rsidRPr="002051F5">
              <w:rPr>
                <w:rFonts w:ascii="Verdana" w:eastAsia="Calibri" w:hAnsi="Verdana" w:cs="Times New Roman"/>
                <w:sz w:val="21"/>
                <w:szCs w:val="21"/>
                <w:lang w:eastAsia="es-MX"/>
              </w:rPr>
              <w:t>“</w:t>
            </w:r>
            <w:r w:rsidRPr="002051F5">
              <w:rPr>
                <w:rFonts w:ascii="Verdana" w:eastAsia="Arial" w:hAnsi="Verdana" w:cs="Aptos"/>
                <w:i/>
                <w:iCs/>
                <w:sz w:val="21"/>
                <w:szCs w:val="21"/>
                <w:lang w:eastAsia="es-ES"/>
              </w:rPr>
              <w:t xml:space="preserve">2.2. PROYECTOS DE </w:t>
            </w:r>
            <w:r w:rsidRPr="002051F5">
              <w:rPr>
                <w:rFonts w:ascii="Verdana" w:eastAsia="Arial" w:hAnsi="Verdana" w:cs="Aptos"/>
                <w:b/>
                <w:bCs/>
                <w:i/>
                <w:iCs/>
                <w:sz w:val="21"/>
                <w:szCs w:val="21"/>
                <w:lang w:eastAsia="es-ES"/>
              </w:rPr>
              <w:t>ADECUACIÓN</w:t>
            </w:r>
            <w:r w:rsidRPr="002051F5">
              <w:rPr>
                <w:rFonts w:ascii="Verdana" w:eastAsia="Arial" w:hAnsi="Verdana" w:cs="Aptos"/>
                <w:i/>
                <w:iCs/>
                <w:sz w:val="21"/>
                <w:szCs w:val="21"/>
                <w:lang w:eastAsia="es-ES"/>
              </w:rPr>
              <w:t xml:space="preserve"> Y/O CONSERVACIÓN Y/O INTERVENCIÓN Y/O INSTALACIÓN Y/O </w:t>
            </w:r>
            <w:r w:rsidRPr="002051F5">
              <w:rPr>
                <w:rFonts w:ascii="Verdana" w:eastAsia="Arial" w:hAnsi="Verdana" w:cs="Aptos"/>
                <w:b/>
                <w:bCs/>
                <w:i/>
                <w:iCs/>
                <w:sz w:val="21"/>
                <w:szCs w:val="21"/>
                <w:lang w:eastAsia="es-ES"/>
              </w:rPr>
              <w:t>MANTENIMIENTO</w:t>
            </w:r>
            <w:r w:rsidRPr="002051F5">
              <w:rPr>
                <w:rFonts w:ascii="Verdana" w:eastAsia="Arial" w:hAnsi="Verdana" w:cs="Aptos"/>
                <w:i/>
                <w:iCs/>
                <w:sz w:val="21"/>
                <w:szCs w:val="21"/>
                <w:lang w:eastAsia="es-ES"/>
              </w:rPr>
              <w:t xml:space="preserve"> Y/O MEJORAMIENTO Y/O MODIFICACIÓN U OPTIMIZACIÓN Y/O REHABILITACIÓN Y/O REMODELACIÓN Y/O REPOSICIÓN Y/O </w:t>
            </w:r>
            <w:r w:rsidRPr="002051F5">
              <w:rPr>
                <w:rFonts w:ascii="Verdana" w:eastAsia="Arial" w:hAnsi="Verdana" w:cs="Aptos"/>
                <w:b/>
                <w:bCs/>
                <w:i/>
                <w:iCs/>
                <w:sz w:val="21"/>
                <w:szCs w:val="21"/>
                <w:lang w:eastAsia="es-ES"/>
              </w:rPr>
              <w:t>REPARACIÓN LOCATIVA</w:t>
            </w:r>
            <w:r w:rsidRPr="002051F5">
              <w:rPr>
                <w:rFonts w:ascii="Verdana" w:eastAsia="Arial" w:hAnsi="Verdana" w:cs="Aptos"/>
                <w:i/>
                <w:iCs/>
                <w:sz w:val="21"/>
                <w:szCs w:val="21"/>
                <w:lang w:eastAsia="es-ES"/>
              </w:rPr>
              <w:t xml:space="preserve"> Y/O RESTAURACIÓN Y/O RESTITUCIÓN Y/O TERMINACIÓN DE INFRAESTRUCTURA DE SERVICIO PÚBLICO.</w:t>
            </w:r>
          </w:p>
          <w:p w14:paraId="6CA06550" w14:textId="77777777" w:rsidR="002051F5" w:rsidRPr="002051F5" w:rsidRDefault="002051F5" w:rsidP="002051F5">
            <w:pPr>
              <w:spacing w:line="276" w:lineRule="auto"/>
              <w:ind w:firstLine="708"/>
              <w:jc w:val="both"/>
              <w:rPr>
                <w:rFonts w:ascii="Verdana" w:eastAsia="Calibri" w:hAnsi="Verdana" w:cs="Times New Roman"/>
                <w:lang w:eastAsia="es-MX"/>
              </w:rPr>
            </w:pPr>
          </w:p>
          <w:p w14:paraId="605BA892" w14:textId="04165093" w:rsidR="002051F5" w:rsidRPr="002051F5" w:rsidRDefault="002051F5" w:rsidP="002051F5">
            <w:pPr>
              <w:spacing w:after="120" w:line="276" w:lineRule="auto"/>
              <w:ind w:firstLine="708"/>
              <w:jc w:val="both"/>
              <w:rPr>
                <w:rFonts w:ascii="Verdana" w:eastAsia="Times New Roman" w:hAnsi="Verdana" w:cs="Aptos"/>
                <w:lang w:eastAsia="es-MX"/>
              </w:rPr>
            </w:pPr>
            <w:r w:rsidRPr="002051F5">
              <w:rPr>
                <w:rFonts w:ascii="Verdana" w:eastAsia="Times New Roman" w:hAnsi="Verdana" w:cs="Aptos"/>
                <w:lang w:eastAsia="es-MX"/>
              </w:rPr>
              <w:t xml:space="preserve">Las actividades señaladas, contenidas en la Matriz 1 – Experiencia de los documentos tipo del </w:t>
            </w:r>
            <w:r w:rsidR="008A4FEF">
              <w:rPr>
                <w:rFonts w:ascii="Verdana" w:eastAsia="Times New Roman" w:hAnsi="Verdana" w:cs="Aptos"/>
                <w:lang w:eastAsia="es-MX"/>
              </w:rPr>
              <w:t>sub</w:t>
            </w:r>
            <w:r w:rsidRPr="002051F5">
              <w:rPr>
                <w:rFonts w:ascii="Verdana" w:eastAsia="Times New Roman" w:hAnsi="Verdana" w:cs="Aptos"/>
                <w:lang w:eastAsia="es-MX"/>
              </w:rPr>
              <w:t xml:space="preserve">sector Institucional, de manera general corresponden entre otras, a las actividades por las que indaga en su solicitud, esto es, mantenimientos, adecuación y reparaciones locativas, sobre </w:t>
            </w:r>
            <w:r w:rsidRPr="002051F5">
              <w:rPr>
                <w:rFonts w:ascii="Verdana" w:eastAsia="Arial" w:hAnsi="Verdana" w:cs="Aptos"/>
                <w:i/>
                <w:iCs/>
                <w:lang w:eastAsia="es-ES"/>
              </w:rPr>
              <w:t>infraestructura de servicio público</w:t>
            </w:r>
            <w:r w:rsidRPr="002051F5">
              <w:rPr>
                <w:rFonts w:ascii="Verdana" w:eastAsia="Times New Roman" w:hAnsi="Verdana" w:cs="Aptos"/>
                <w:lang w:eastAsia="es-MX"/>
              </w:rPr>
              <w:t>.</w:t>
            </w:r>
          </w:p>
          <w:p w14:paraId="375EC248" w14:textId="77777777" w:rsidR="002051F5" w:rsidRPr="002051F5" w:rsidRDefault="002051F5" w:rsidP="002051F5">
            <w:pPr>
              <w:spacing w:line="276" w:lineRule="auto"/>
              <w:ind w:firstLine="708"/>
              <w:jc w:val="both"/>
              <w:rPr>
                <w:rFonts w:ascii="Verdana" w:eastAsia="Arial" w:hAnsi="Verdana" w:cs="Aptos"/>
                <w:lang w:eastAsia="es-ES"/>
              </w:rPr>
            </w:pPr>
            <w:r w:rsidRPr="002051F5">
              <w:rPr>
                <w:rFonts w:ascii="Verdana" w:eastAsia="Times New Roman" w:hAnsi="Verdana" w:cs="Aptos"/>
                <w:lang w:eastAsia="es-MX"/>
              </w:rPr>
              <w:lastRenderedPageBreak/>
              <w:t xml:space="preserve">Por su parte, en los documentos tipo complementarios para los proceso de selección de concurso de méritos, para contratar la interventoría de obra pública de infraestructura social relacionado con el sector institucional, la actividad 2.2 de la “Matriz 1 – Experiencia para interventoría a proyectos de infraestructura para el sector institucional” contempla la actividad de interventoría para las actividades que señala en su solicitud: mantenimientos, adecuación y reparaciones locativas, sobre </w:t>
            </w:r>
            <w:r w:rsidRPr="002051F5">
              <w:rPr>
                <w:rFonts w:ascii="Verdana" w:eastAsia="Arial" w:hAnsi="Verdana" w:cs="Aptos"/>
                <w:i/>
                <w:iCs/>
                <w:lang w:eastAsia="es-ES"/>
              </w:rPr>
              <w:t xml:space="preserve">infraestructura de servicio público, </w:t>
            </w:r>
            <w:r w:rsidRPr="002051F5">
              <w:rPr>
                <w:rFonts w:ascii="Verdana" w:eastAsia="Arial" w:hAnsi="Verdana" w:cs="Aptos"/>
                <w:lang w:eastAsia="es-ES"/>
              </w:rPr>
              <w:t>en los siguientes términos:</w:t>
            </w:r>
          </w:p>
          <w:p w14:paraId="49500472" w14:textId="77777777" w:rsidR="002051F5" w:rsidRPr="002051F5" w:rsidRDefault="002051F5" w:rsidP="002051F5">
            <w:pPr>
              <w:ind w:firstLine="708"/>
              <w:jc w:val="both"/>
              <w:rPr>
                <w:rFonts w:ascii="Verdana" w:eastAsia="Arial" w:hAnsi="Verdana" w:cs="Aptos"/>
                <w:lang w:eastAsia="es-ES"/>
              </w:rPr>
            </w:pPr>
          </w:p>
          <w:p w14:paraId="1DC75D69" w14:textId="77777777" w:rsidR="002051F5" w:rsidRPr="002051F5" w:rsidRDefault="002051F5" w:rsidP="002051F5">
            <w:pPr>
              <w:ind w:left="709" w:right="709"/>
              <w:jc w:val="both"/>
              <w:rPr>
                <w:rFonts w:ascii="Verdana" w:eastAsia="Times New Roman" w:hAnsi="Verdana" w:cs="Aptos"/>
                <w:sz w:val="21"/>
                <w:szCs w:val="21"/>
                <w:lang w:eastAsia="es-MX"/>
              </w:rPr>
            </w:pPr>
            <w:r w:rsidRPr="002051F5">
              <w:rPr>
                <w:rFonts w:ascii="Verdana" w:eastAsia="Times New Roman" w:hAnsi="Verdana" w:cs="Aptos"/>
                <w:sz w:val="21"/>
                <w:szCs w:val="21"/>
                <w:lang w:eastAsia="es-MX"/>
              </w:rPr>
              <w:t>“2.2. INTERVENTORÍA A PROYECTOS DE ADECUACIÓN Y/O CONSERVACIÓN Y/O INTERVENCIÓN Y/O INSTALACIÓN Y/O MANTENIMIENTO Y/O MEJORAMIENTO Y/O MODIFICACIÓN U OPTIMIZACIÓN Y/O REHABILITACIÓN Y/O REMODELACIÓN Y/O REPOSICIÓN Y/O REPARACIÓN LOCATIVA Y/O RESTAURACIÓN Y/O RESTITUCIÓN Y/O TERMINACIÓN DE INFRAESTRUCTURA DE SERVICIO PUBLICO”.</w:t>
            </w:r>
          </w:p>
          <w:p w14:paraId="04575060" w14:textId="77777777" w:rsidR="002051F5" w:rsidRPr="002051F5" w:rsidRDefault="002051F5" w:rsidP="002051F5">
            <w:pPr>
              <w:ind w:left="709" w:right="709"/>
              <w:jc w:val="both"/>
              <w:rPr>
                <w:rFonts w:ascii="Verdana" w:eastAsia="Times New Roman" w:hAnsi="Verdana" w:cs="Aptos"/>
                <w:lang w:eastAsia="es-MX"/>
              </w:rPr>
            </w:pPr>
          </w:p>
          <w:p w14:paraId="24B33470" w14:textId="77777777" w:rsidR="002051F5" w:rsidRPr="002051F5" w:rsidRDefault="002051F5" w:rsidP="002051F5">
            <w:pPr>
              <w:spacing w:after="120" w:line="276" w:lineRule="auto"/>
              <w:ind w:firstLine="708"/>
              <w:jc w:val="both"/>
              <w:rPr>
                <w:rFonts w:ascii="Verdana" w:eastAsia="Times New Roman" w:hAnsi="Verdana" w:cs="Aptos"/>
                <w:lang w:eastAsia="es-MX"/>
              </w:rPr>
            </w:pPr>
            <w:r w:rsidRPr="002051F5">
              <w:rPr>
                <w:rFonts w:ascii="Verdana" w:eastAsia="Times New Roman" w:hAnsi="Verdana" w:cs="Aptos"/>
                <w:lang w:eastAsia="es-MX"/>
              </w:rPr>
              <w:t xml:space="preserve">Como se aprecia, en los documentos tipo del sector social, particularmente en los complementarios del sector institucional, se incluyen actividades de mantenimiento, adecuación y reparaciones locativas, sobre infraestructura de servicio público, tanto para la obra pública como para el seguimiento a través de la interventoría. </w:t>
            </w:r>
          </w:p>
          <w:p w14:paraId="09EF840F" w14:textId="77777777" w:rsidR="002051F5" w:rsidRPr="002051F5" w:rsidRDefault="002051F5" w:rsidP="002051F5">
            <w:pPr>
              <w:spacing w:after="120" w:line="276" w:lineRule="auto"/>
              <w:ind w:firstLine="708"/>
              <w:jc w:val="both"/>
              <w:rPr>
                <w:rFonts w:ascii="Verdana" w:eastAsia="Times New Roman" w:hAnsi="Verdana" w:cs="Aptos"/>
                <w:lang w:eastAsia="es-MX"/>
              </w:rPr>
            </w:pPr>
            <w:r w:rsidRPr="002051F5">
              <w:rPr>
                <w:rFonts w:ascii="Verdana" w:eastAsia="Times New Roman" w:hAnsi="Verdana" w:cs="Aptos"/>
                <w:lang w:eastAsia="es-MX"/>
              </w:rPr>
              <w:t xml:space="preserve">De esta forma, considerando que las actividades de mantenimiento, adecuación y reparaciones locativas recaen sobre obras e interventorías que se realicen en infraestructura de servicio público, es importante precisar el ámbito de aplicación de este tipo de infraestructura. </w:t>
            </w:r>
          </w:p>
          <w:p w14:paraId="44A9DEFC" w14:textId="77777777" w:rsidR="002051F5" w:rsidRPr="002051F5" w:rsidRDefault="002051F5" w:rsidP="002051F5">
            <w:pPr>
              <w:spacing w:after="120" w:line="276" w:lineRule="auto"/>
              <w:ind w:firstLine="708"/>
              <w:jc w:val="both"/>
              <w:rPr>
                <w:rFonts w:ascii="Verdana" w:eastAsia="Times New Roman" w:hAnsi="Verdana" w:cs="Aptos"/>
                <w:lang w:eastAsia="es-MX"/>
              </w:rPr>
            </w:pPr>
            <w:r w:rsidRPr="002051F5">
              <w:rPr>
                <w:rFonts w:ascii="Verdana" w:eastAsia="Times New Roman" w:hAnsi="Verdana" w:cs="Aptos"/>
                <w:lang w:eastAsia="es-MX"/>
              </w:rPr>
              <w:t>Para interpretar el alcance del tipo de infraestructura de servicio público, se debe tener en cuenta la nota general 1 de la Matriz 1– Experiencia del Sector Institucional, en las distintas modalidades de los documentos tipo adoptados por esta Agencia. En esta se indica que “(l)as definiciones contenidas en esta Matriz deben enmarcarse en la normativa vigente en la materia, así como en la NSR 10 o aquellas que los modifiquen, adicionen o sustituyan, así como a las definiciones contenidas en el "Anexo - Glosario del Sector Social””.</w:t>
            </w:r>
          </w:p>
          <w:p w14:paraId="43DC317A" w14:textId="77777777" w:rsidR="002051F5" w:rsidRPr="002051F5" w:rsidRDefault="002051F5" w:rsidP="002051F5">
            <w:pPr>
              <w:spacing w:after="120" w:line="276" w:lineRule="auto"/>
              <w:ind w:firstLine="708"/>
              <w:jc w:val="both"/>
              <w:rPr>
                <w:rFonts w:ascii="Verdana" w:eastAsia="Times New Roman" w:hAnsi="Verdana" w:cs="Aptos"/>
                <w:lang w:eastAsia="es-MX"/>
              </w:rPr>
            </w:pPr>
            <w:r w:rsidRPr="002051F5">
              <w:rPr>
                <w:rFonts w:ascii="Verdana" w:eastAsia="Times New Roman" w:hAnsi="Verdana" w:cs="Aptos"/>
                <w:lang w:eastAsia="es-MX"/>
              </w:rPr>
              <w:t xml:space="preserve">La nota general 1 contenida en la Matriz 1 – Experiencia de los Documentos Tipo indicados, es congruente con el numeral 1.10 del documento </w:t>
            </w:r>
            <w:r w:rsidRPr="002051F5">
              <w:rPr>
                <w:rFonts w:ascii="Verdana" w:eastAsia="Times New Roman" w:hAnsi="Verdana" w:cs="Aptos"/>
                <w:lang w:eastAsia="es-MX"/>
              </w:rPr>
              <w:lastRenderedPageBreak/>
              <w:t>base que dispone que “[p]ara los fines de este Pliego de Condiciones, a menos que expresamente se estipule de otra manera, los términos deben entenderse de acuerdo con la definición contenida en el artículo 2.2.1.1.1.3.1 del Decreto 1082 de 2015, el glosario aplicable a la obra pública de infraestructura social y demás normas, decretos reglamentarios y legislación aplicable en la materia”.</w:t>
            </w:r>
          </w:p>
          <w:p w14:paraId="7162FD8B" w14:textId="77777777" w:rsidR="002051F5" w:rsidRPr="002051F5" w:rsidRDefault="002051F5" w:rsidP="002051F5">
            <w:pPr>
              <w:spacing w:after="120" w:line="276" w:lineRule="auto"/>
              <w:ind w:firstLine="708"/>
              <w:jc w:val="both"/>
              <w:rPr>
                <w:rFonts w:ascii="Verdana" w:eastAsia="Calibri" w:hAnsi="Verdana" w:cs="Arial"/>
                <w:color w:val="0D0D0D"/>
                <w:lang w:eastAsia="es-MX"/>
              </w:rPr>
            </w:pPr>
            <w:r w:rsidRPr="002051F5">
              <w:rPr>
                <w:rFonts w:ascii="Verdana" w:eastAsia="Calibri" w:hAnsi="Verdana" w:cs="Arial"/>
                <w:lang w:val="es-ES_tradnl" w:eastAsia="es-MX"/>
              </w:rPr>
              <w:t xml:space="preserve">Ahora bien, como se precisó las actividades señaladas recaen sobre </w:t>
            </w:r>
            <w:r w:rsidRPr="002051F5">
              <w:rPr>
                <w:rFonts w:ascii="Verdana" w:eastAsia="Times New Roman" w:hAnsi="Verdana" w:cs="Calibri"/>
                <w:lang w:eastAsia="es-MX"/>
              </w:rPr>
              <w:t xml:space="preserve">obras e interventorías en proyectos de infraestructura institucional de servicio público. De esta forma, para determinar que abarca este tipo de infraestructura, debe indicarse que, de conformidad con la norma </w:t>
            </w:r>
            <w:r w:rsidRPr="002051F5">
              <w:rPr>
                <w:rFonts w:ascii="Verdana" w:eastAsia="Calibri" w:hAnsi="Verdana" w:cs="Arial"/>
                <w:color w:val="0D0D0D"/>
                <w:lang w:eastAsia="es-MX"/>
              </w:rPr>
              <w:t>NSR-10 en el Subgrupo de Ocupación Institucional de Servicio Público (I-5) “se clasifican las edificaciones o espacios destinados a funciones administrativas y prestación de servicios públicos necesarios para el buen funcionamiento de las ciudades”</w:t>
            </w:r>
            <w:r w:rsidRPr="002051F5">
              <w:rPr>
                <w:rFonts w:ascii="Verdana" w:eastAsia="Calibri" w:hAnsi="Verdana" w:cs="Arial"/>
                <w:color w:val="0D0D0D"/>
                <w:vertAlign w:val="superscript"/>
                <w:lang w:eastAsia="es-MX"/>
              </w:rPr>
              <w:footnoteReference w:id="2"/>
            </w:r>
            <w:r w:rsidRPr="002051F5">
              <w:rPr>
                <w:rFonts w:ascii="Verdana" w:eastAsia="Calibri" w:hAnsi="Verdana" w:cs="Arial"/>
                <w:color w:val="0D0D0D"/>
                <w:lang w:eastAsia="es-MX"/>
              </w:rPr>
              <w:t>. Entre las edificaciones o espacios que pertenecen a este Subgrupo se encuentran las siguientes: “Centros de comunicación o administrativos o administrativos de servicios municipales, distritales o gubernamentales, juzgados y otros similares”</w:t>
            </w:r>
            <w:r w:rsidRPr="002051F5">
              <w:rPr>
                <w:rFonts w:ascii="Verdana" w:eastAsia="Calibri" w:hAnsi="Verdana" w:cs="Arial"/>
                <w:color w:val="0D0D0D"/>
                <w:vertAlign w:val="superscript"/>
                <w:lang w:eastAsia="es-MX"/>
              </w:rPr>
              <w:footnoteReference w:id="3"/>
            </w:r>
            <w:r w:rsidRPr="002051F5">
              <w:rPr>
                <w:rFonts w:ascii="Verdana" w:eastAsia="Calibri" w:hAnsi="Verdana" w:cs="Arial"/>
                <w:color w:val="0D0D0D"/>
                <w:lang w:eastAsia="es-MX"/>
              </w:rPr>
              <w:t>.</w:t>
            </w:r>
          </w:p>
          <w:p w14:paraId="7DA5B0BB" w14:textId="77777777" w:rsidR="002051F5" w:rsidRPr="002051F5" w:rsidRDefault="002051F5" w:rsidP="002051F5">
            <w:pPr>
              <w:spacing w:after="120" w:line="276" w:lineRule="auto"/>
              <w:ind w:firstLine="708"/>
              <w:jc w:val="both"/>
              <w:rPr>
                <w:rFonts w:ascii="Verdana" w:eastAsia="Calibri" w:hAnsi="Verdana" w:cs="Arial"/>
                <w:color w:val="0D0D0D"/>
                <w:lang w:eastAsia="es-MX"/>
              </w:rPr>
            </w:pPr>
            <w:r w:rsidRPr="002051F5">
              <w:rPr>
                <w:rFonts w:ascii="Verdana" w:eastAsia="Calibri" w:hAnsi="Verdana" w:cs="Arial"/>
                <w:color w:val="0D0D0D"/>
                <w:lang w:eastAsia="es-MX"/>
              </w:rPr>
              <w:t xml:space="preserve">En este sentido, el Subgrupo de Ocupación Institucional de Servicio Público corresponde a una categoría de clasificación establecida por la NSR-10 que agrupa a aquellas edificaciones o espacios destinados al ejercicio de funciones administrativas y a la prestación de servicios públicos esenciales para el adecuado funcionamiento de las ciudades. Este subgrupo comprende centros de comunicación, administrativos y sedes de servicios en distintos niveles, juzgados y otros similares. La expresión “Otros similares” evidencia que la enumeración no es taxativa, sino enunciativa, por lo incluye todas aquellas edificaciones que por su naturaleza y finalidad, están orientadas a la prestación de servicios públicos y al desarrollo de funciones institucionales del Estado, como son las funciones administrativas.  </w:t>
            </w:r>
          </w:p>
          <w:p w14:paraId="587A0412" w14:textId="77777777" w:rsidR="002051F5" w:rsidRPr="002051F5" w:rsidRDefault="002051F5" w:rsidP="002051F5">
            <w:pPr>
              <w:spacing w:after="120" w:line="276" w:lineRule="auto"/>
              <w:ind w:firstLine="708"/>
              <w:jc w:val="both"/>
              <w:rPr>
                <w:rFonts w:ascii="Verdana" w:eastAsia="Calibri" w:hAnsi="Verdana" w:cs="Arial"/>
                <w:color w:val="0D0D0D"/>
                <w:lang w:eastAsia="es-MX"/>
              </w:rPr>
            </w:pPr>
            <w:r w:rsidRPr="002051F5">
              <w:rPr>
                <w:rFonts w:ascii="Verdana" w:eastAsia="Calibri" w:hAnsi="Verdana" w:cs="Arial"/>
                <w:color w:val="0D0D0D"/>
                <w:lang w:eastAsia="es-MX"/>
              </w:rPr>
              <w:t xml:space="preserve">De acuerdo con la definición del Subgrupo de Ocupación Institucional y las edificaciones que este comprende, dentro de este se encuentran las edificaciones institucionales, entendidas estas como la “infraestructura que ha </w:t>
            </w:r>
            <w:r w:rsidRPr="002051F5">
              <w:rPr>
                <w:rFonts w:ascii="Verdana" w:eastAsia="Calibri" w:hAnsi="Verdana" w:cs="Arial"/>
                <w:color w:val="0D0D0D"/>
                <w:lang w:eastAsia="es-MX"/>
              </w:rPr>
              <w:lastRenderedPageBreak/>
              <w:t xml:space="preserve">sido construida para funciones específicas (como las administrativas, </w:t>
            </w:r>
            <w:proofErr w:type="spellStart"/>
            <w:r w:rsidRPr="002051F5">
              <w:rPr>
                <w:rFonts w:ascii="Verdana" w:eastAsia="Calibri" w:hAnsi="Verdana" w:cs="Arial"/>
                <w:color w:val="0D0D0D"/>
                <w:lang w:eastAsia="es-MX"/>
              </w:rPr>
              <w:t>etc</w:t>
            </w:r>
            <w:proofErr w:type="spellEnd"/>
            <w:r w:rsidRPr="002051F5">
              <w:rPr>
                <w:rFonts w:ascii="Verdana" w:eastAsia="Calibri" w:hAnsi="Verdana" w:cs="Arial"/>
                <w:color w:val="0D0D0D"/>
                <w:lang w:eastAsia="es-MX"/>
              </w:rPr>
              <w:t>) principalmente para el beneficio e interés público”</w:t>
            </w:r>
            <w:r w:rsidRPr="002051F5">
              <w:rPr>
                <w:rFonts w:ascii="Verdana" w:eastAsia="Calibri" w:hAnsi="Verdana" w:cs="Arial"/>
                <w:color w:val="0D0D0D"/>
                <w:vertAlign w:val="superscript"/>
                <w:lang w:eastAsia="es-MX"/>
              </w:rPr>
              <w:footnoteReference w:id="4"/>
            </w:r>
            <w:r w:rsidRPr="002051F5">
              <w:rPr>
                <w:rFonts w:ascii="Verdana" w:eastAsia="Calibri" w:hAnsi="Verdana" w:cs="Arial"/>
                <w:color w:val="0D0D0D"/>
                <w:lang w:eastAsia="es-MX"/>
              </w:rPr>
              <w:t xml:space="preserve">. </w:t>
            </w:r>
          </w:p>
          <w:p w14:paraId="5BFB1668" w14:textId="77777777" w:rsidR="002051F5" w:rsidRPr="002051F5" w:rsidRDefault="002051F5" w:rsidP="002051F5">
            <w:pPr>
              <w:spacing w:after="120" w:line="276" w:lineRule="auto"/>
              <w:ind w:firstLine="708"/>
              <w:jc w:val="both"/>
              <w:rPr>
                <w:rFonts w:ascii="Verdana" w:eastAsia="Calibri" w:hAnsi="Verdana" w:cs="Arial"/>
                <w:color w:val="0D0D0D"/>
                <w:lang w:eastAsia="es-MX"/>
              </w:rPr>
            </w:pPr>
            <w:r w:rsidRPr="002051F5">
              <w:rPr>
                <w:rFonts w:ascii="Verdana" w:eastAsia="Calibri" w:hAnsi="Verdana" w:cs="Arial"/>
                <w:color w:val="0D0D0D"/>
                <w:lang w:eastAsia="es-MX"/>
              </w:rPr>
              <w:t xml:space="preserve">Considerando lo anterior, la(s) sede(s) en la(s) que la Secretaría de Movilidad del Distrito de Bogotá ejerce sus funciones, se enmarcan claramente dentro de las edificaciones institucionales administrativas del Subgrupo de Ocupación Institucional de Servicio Público (I-5) definido por la NSR-10, en la medida en que </w:t>
            </w:r>
            <w:r w:rsidRPr="002051F5">
              <w:rPr>
                <w:rFonts w:ascii="Verdana" w:eastAsia="Calibri" w:hAnsi="Verdana" w:cs="Arial"/>
                <w:i/>
                <w:iCs/>
                <w:color w:val="0D0D0D"/>
                <w:lang w:eastAsia="es-MX"/>
              </w:rPr>
              <w:t>su destinación funcional</w:t>
            </w:r>
            <w:r w:rsidRPr="002051F5">
              <w:rPr>
                <w:rFonts w:ascii="Verdana" w:eastAsia="Calibri" w:hAnsi="Verdana" w:cs="Arial"/>
                <w:color w:val="0D0D0D"/>
                <w:lang w:eastAsia="es-MX"/>
              </w:rPr>
              <w:t xml:space="preserve"> corresponde al ejercicio de competencias administrativas y la prestación de un servicio esencial para el funcionamiento de la ciudad. </w:t>
            </w:r>
          </w:p>
          <w:p w14:paraId="4A9774E3" w14:textId="77777777" w:rsidR="002051F5" w:rsidRPr="002051F5" w:rsidRDefault="002051F5" w:rsidP="002051F5">
            <w:pPr>
              <w:spacing w:after="120" w:line="276" w:lineRule="auto"/>
              <w:ind w:firstLine="708"/>
              <w:jc w:val="both"/>
              <w:rPr>
                <w:rFonts w:ascii="Verdana" w:eastAsia="Calibri" w:hAnsi="Verdana" w:cs="Arial"/>
                <w:color w:val="0D0D0D"/>
                <w:lang w:eastAsia="es-MX"/>
              </w:rPr>
            </w:pPr>
            <w:r w:rsidRPr="002051F5">
              <w:rPr>
                <w:rFonts w:ascii="Verdana" w:eastAsia="Calibri" w:hAnsi="Verdana" w:cs="Arial"/>
                <w:color w:val="0D0D0D"/>
                <w:lang w:eastAsia="es-MX"/>
              </w:rPr>
              <w:t>En efecto, dicha entidad desarrolla actividades propias de la administración distrital, tales como “(…) orientar y liderar la formulación de las políticas del sistema de movilidad para atender los requerimientos de desplazamiento de pasajeros y de carga en la zona urbana, tanto vehicular como peatonal y de su expansión en el área rural del Distrito Capital (…)”</w:t>
            </w:r>
            <w:r w:rsidRPr="002051F5">
              <w:rPr>
                <w:rFonts w:ascii="Verdana" w:eastAsia="Calibri" w:hAnsi="Verdana" w:cs="Arial"/>
                <w:color w:val="0D0D0D"/>
                <w:vertAlign w:val="superscript"/>
                <w:lang w:eastAsia="es-MX"/>
              </w:rPr>
              <w:footnoteReference w:id="5"/>
            </w:r>
            <w:r w:rsidRPr="002051F5">
              <w:rPr>
                <w:rFonts w:ascii="Verdana" w:eastAsia="Calibri" w:hAnsi="Verdana" w:cs="Arial"/>
                <w:color w:val="0D0D0D"/>
                <w:lang w:eastAsia="es-MX"/>
              </w:rPr>
              <w:t xml:space="preserve">, lo cual se ajusta a la noción de edificaciones destinadas a funciones administrativas, prevista en la clasificación normativa. </w:t>
            </w:r>
          </w:p>
          <w:p w14:paraId="2F6C11E4" w14:textId="77777777" w:rsidR="002051F5" w:rsidRPr="002051F5" w:rsidRDefault="002051F5" w:rsidP="002051F5">
            <w:pPr>
              <w:spacing w:after="120" w:line="276" w:lineRule="auto"/>
              <w:ind w:firstLine="708"/>
              <w:jc w:val="both"/>
              <w:rPr>
                <w:rFonts w:ascii="Verdana" w:eastAsia="Calibri" w:hAnsi="Verdana" w:cs="Arial"/>
                <w:color w:val="0D0D0D"/>
                <w:lang w:eastAsia="es-MX"/>
              </w:rPr>
            </w:pPr>
            <w:r w:rsidRPr="002051F5">
              <w:rPr>
                <w:rFonts w:ascii="Verdana" w:eastAsia="Calibri" w:hAnsi="Verdana" w:cs="Arial"/>
                <w:color w:val="0D0D0D"/>
                <w:lang w:eastAsia="es-MX"/>
              </w:rPr>
              <w:t xml:space="preserve">Asimismo, al tratarse de una infraestructura destinada de manera permanente al cumplimiento de funciones institucionales del Distrito y a la satisfacción de necesidades colectivas, su naturaleza se adecua a los criterios de finalidad, uso y servicio público que caracterizan este tipo de edificaciones que cumplen un rol esencial en la organización y operación de la ciudad. </w:t>
            </w:r>
          </w:p>
          <w:p w14:paraId="5FF7211B" w14:textId="77777777" w:rsidR="002051F5" w:rsidRPr="002051F5" w:rsidRDefault="002051F5" w:rsidP="002051F5">
            <w:pPr>
              <w:spacing w:after="120" w:line="276" w:lineRule="auto"/>
              <w:ind w:firstLine="708"/>
              <w:jc w:val="both"/>
              <w:rPr>
                <w:rFonts w:ascii="Verdana" w:eastAsia="Calibri" w:hAnsi="Verdana" w:cs="Arial"/>
                <w:lang w:val="es-ES" w:eastAsia="es-MX"/>
              </w:rPr>
            </w:pPr>
            <w:r w:rsidRPr="002051F5">
              <w:rPr>
                <w:rFonts w:ascii="Verdana" w:eastAsia="Calibri" w:hAnsi="Verdana" w:cs="Arial"/>
                <w:lang w:val="es-ES" w:eastAsia="es-MX"/>
              </w:rPr>
              <w:t>Por lo anterior, la Agencia Nacional de Contratación Pública – Colombia Compra Eficiente le informa que a partir del 16 de febrero de 2026, si una entidad de aquellas obligadas a utilizar los documentos tipo expedidos por esta Entidad adelanta un proceso que tenga por objeto la(s) actividad(es) de</w:t>
            </w:r>
            <w:r w:rsidRPr="002051F5">
              <w:rPr>
                <w:rFonts w:ascii="Verdana" w:eastAsia="Times New Roman" w:hAnsi="Verdana" w:cs="Aptos"/>
                <w:lang w:eastAsia="es-MX"/>
              </w:rPr>
              <w:t xml:space="preserve"> mantenimiento, adecuación y/o reparaciones locativas, entre otras, sobre </w:t>
            </w:r>
            <w:r w:rsidRPr="002051F5">
              <w:rPr>
                <w:rFonts w:ascii="Verdana" w:eastAsia="Arial" w:hAnsi="Verdana" w:cs="Aptos"/>
                <w:i/>
                <w:iCs/>
                <w:lang w:eastAsia="es-ES"/>
              </w:rPr>
              <w:t>infraestructura de servicio público – edificaciones institucionales administrativas,</w:t>
            </w:r>
            <w:r w:rsidRPr="002051F5">
              <w:rPr>
                <w:rFonts w:ascii="Verdana" w:eastAsia="Times New Roman" w:hAnsi="Verdana" w:cs="Aptos"/>
                <w:lang w:eastAsia="es-MX"/>
              </w:rPr>
              <w:t xml:space="preserve"> </w:t>
            </w:r>
            <w:r w:rsidRPr="002051F5">
              <w:rPr>
                <w:rFonts w:ascii="Verdana" w:eastAsia="Calibri" w:hAnsi="Verdana" w:cs="Arial"/>
                <w:lang w:val="es-ES" w:eastAsia="es-MX"/>
              </w:rPr>
              <w:t xml:space="preserve">deberá implementar los documentos tipo acogidos mediante las Resoluciones 539, 540, 541 o 953 de 2025, según el proyecto se adelante por la modalidad de licitación de obra pública, selección abreviada de menor </w:t>
            </w:r>
            <w:r w:rsidRPr="002051F5">
              <w:rPr>
                <w:rFonts w:ascii="Verdana" w:eastAsia="Calibri" w:hAnsi="Verdana" w:cs="Arial"/>
                <w:lang w:val="es-ES" w:eastAsia="es-MX"/>
              </w:rPr>
              <w:lastRenderedPageBreak/>
              <w:t xml:space="preserve">cuantía, mínima cuantía o concurso de méritos – interventoría, donde se encuentra dispuesta la actividades 2.2 aplicables a los proyectos por los que se indaga en su solicitud.  </w:t>
            </w:r>
          </w:p>
          <w:p w14:paraId="2A8D2ABB" w14:textId="77777777" w:rsidR="002051F5" w:rsidRDefault="002051F5" w:rsidP="00595D85">
            <w:pPr>
              <w:spacing w:after="120" w:line="276" w:lineRule="auto"/>
              <w:ind w:firstLine="708"/>
              <w:jc w:val="both"/>
              <w:rPr>
                <w:rFonts w:ascii="Verdana" w:eastAsia="Calibri" w:hAnsi="Verdana" w:cs="Arial"/>
                <w:bCs/>
                <w:color w:val="000000"/>
              </w:rPr>
            </w:pPr>
            <w:r w:rsidRPr="002051F5">
              <w:rPr>
                <w:rFonts w:ascii="Verdana" w:eastAsia="Aptos" w:hAnsi="Verdana" w:cs="Aptos"/>
              </w:rPr>
              <w:t xml:space="preserve">Sin perjuicio de las aclaraciones anteriores, debe advertirse que es la entidad contratante, al momento de adelantar sus actividades de planeación de cada proceso contractual, quien debe determinar si de acuerdo con las particularidades del contrato a ejecutar, este encaja o no dentro de alguna de las actividades de la matriz 1 </w:t>
            </w:r>
            <w:r w:rsidR="004918B2">
              <w:rPr>
                <w:rFonts w:ascii="Verdana" w:eastAsia="Aptos" w:hAnsi="Verdana" w:cs="Aptos"/>
              </w:rPr>
              <w:t>-Experiencia</w:t>
            </w:r>
            <w:r w:rsidRPr="002051F5">
              <w:rPr>
                <w:rFonts w:ascii="Verdana" w:eastAsia="Aptos" w:hAnsi="Verdana" w:cs="Aptos"/>
              </w:rPr>
              <w:t xml:space="preserve"> de cada Documento Tipo, y si en consecuencia deben aplicarse o no determinados Documentos Tipo, conforme a los parámetros </w:t>
            </w:r>
            <w:r w:rsidR="00C46E0E">
              <w:rPr>
                <w:rFonts w:ascii="Verdana" w:eastAsia="Aptos" w:hAnsi="Verdana" w:cs="Aptos"/>
              </w:rPr>
              <w:t>que se indican a continuación y que se desarrollan en este concepto</w:t>
            </w:r>
            <w:r w:rsidRPr="002051F5">
              <w:rPr>
                <w:rFonts w:ascii="Verdana" w:eastAsia="Aptos" w:hAnsi="Verdana" w:cs="Aptos"/>
              </w:rPr>
              <w:t>. Lo anterior sin que pueda apartarse de su aplicación cuando materialmente el objeto a contratar corresponde con alguna actividad de contemplada en dicha matriz.</w:t>
            </w:r>
            <w:r w:rsidRPr="002051F5">
              <w:rPr>
                <w:rFonts w:ascii="Verdana" w:eastAsia="Times New Roman" w:hAnsi="Verdana" w:cs="Arial"/>
                <w:shd w:val="clear" w:color="auto" w:fill="FFFFFF"/>
                <w:lang w:val="es-ES_tradnl" w:eastAsia="es-ES_tradnl"/>
              </w:rPr>
              <w:t xml:space="preserve"> </w:t>
            </w:r>
            <w:r w:rsidRPr="002051F5">
              <w:rPr>
                <w:rFonts w:ascii="Verdana" w:eastAsia="Calibri" w:hAnsi="Verdana" w:cs="Arial"/>
                <w:bCs/>
                <w:color w:val="000000"/>
              </w:rPr>
              <w:t xml:space="preserve"> </w:t>
            </w:r>
          </w:p>
          <w:p w14:paraId="26BDFB60" w14:textId="35E0455A" w:rsidR="00595D85" w:rsidRPr="00595D85" w:rsidRDefault="00595D85" w:rsidP="00595D85">
            <w:pPr>
              <w:spacing w:after="120" w:line="276" w:lineRule="auto"/>
              <w:ind w:firstLine="708"/>
              <w:jc w:val="both"/>
              <w:rPr>
                <w:rFonts w:ascii="Verdana" w:eastAsia="Aptos" w:hAnsi="Verdana" w:cs="Aptos"/>
              </w:rPr>
            </w:pPr>
            <w:r w:rsidRPr="00595D85">
              <w:rPr>
                <w:rFonts w:ascii="Verdana" w:eastAsia="Aptos" w:hAnsi="Verdana" w:cs="Aptos"/>
              </w:rPr>
              <w:t>De esta manera, para saber a qué actividades deben aplicarse los documentos tipo de licitación de obra pública de infraestructura social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mientras que en el caso contrario no será forzosa su aplicación.</w:t>
            </w:r>
          </w:p>
        </w:tc>
      </w:tr>
    </w:tbl>
    <w:p w14:paraId="6FDE8F20" w14:textId="77777777" w:rsidR="002051F5" w:rsidRPr="002051F5" w:rsidRDefault="002051F5" w:rsidP="002051F5">
      <w:pPr>
        <w:tabs>
          <w:tab w:val="left" w:pos="142"/>
          <w:tab w:val="left" w:pos="284"/>
        </w:tabs>
        <w:spacing w:after="0" w:line="276" w:lineRule="auto"/>
        <w:jc w:val="both"/>
        <w:rPr>
          <w:rFonts w:ascii="Verdana" w:eastAsia="Century Gothic" w:hAnsi="Verdana" w:cs="Century Gothic"/>
          <w:b/>
          <w:bCs/>
          <w:lang w:val="es-ES" w:eastAsia="es-MX"/>
        </w:rPr>
      </w:pPr>
    </w:p>
    <w:p w14:paraId="4825BBC1" w14:textId="77777777" w:rsidR="002051F5" w:rsidRPr="002051F5" w:rsidRDefault="002051F5" w:rsidP="002051F5">
      <w:pPr>
        <w:tabs>
          <w:tab w:val="left" w:pos="142"/>
          <w:tab w:val="left" w:pos="284"/>
        </w:tabs>
        <w:spacing w:after="0" w:line="276" w:lineRule="auto"/>
        <w:jc w:val="both"/>
        <w:rPr>
          <w:rFonts w:ascii="Verdana" w:eastAsia="Century Gothic" w:hAnsi="Verdana" w:cs="Century Gothic"/>
          <w:b/>
          <w:bCs/>
          <w:lang w:val="es-ES" w:eastAsia="es-MX"/>
        </w:rPr>
      </w:pPr>
      <w:r w:rsidRPr="002051F5">
        <w:rPr>
          <w:rFonts w:ascii="Verdana" w:eastAsia="Century Gothic" w:hAnsi="Verdana" w:cs="Century Gothic"/>
          <w:b/>
          <w:bCs/>
          <w:lang w:val="es-ES" w:eastAsia="es-MX"/>
        </w:rPr>
        <w:t>3. Razones de la respuesta:</w:t>
      </w:r>
    </w:p>
    <w:p w14:paraId="6AA0C1FD" w14:textId="77777777" w:rsidR="002051F5" w:rsidRPr="002051F5" w:rsidRDefault="002051F5" w:rsidP="002051F5">
      <w:pPr>
        <w:spacing w:after="0" w:line="276" w:lineRule="auto"/>
        <w:jc w:val="both"/>
        <w:rPr>
          <w:rFonts w:ascii="Verdana" w:eastAsia="Calibri" w:hAnsi="Verdana" w:cs="Arial"/>
          <w:lang w:val="es-ES" w:eastAsia="es-MX"/>
        </w:rPr>
      </w:pPr>
    </w:p>
    <w:p w14:paraId="343EEFD0" w14:textId="77777777" w:rsidR="002051F5" w:rsidRPr="002051F5" w:rsidRDefault="002051F5" w:rsidP="002051F5">
      <w:pPr>
        <w:spacing w:after="0" w:line="276" w:lineRule="auto"/>
        <w:jc w:val="both"/>
        <w:rPr>
          <w:rFonts w:ascii="Verdana" w:eastAsia="Calibri" w:hAnsi="Verdana" w:cs="Arial"/>
          <w:lang w:val="es-ES" w:eastAsia="es-MX"/>
        </w:rPr>
      </w:pPr>
      <w:r w:rsidRPr="002051F5">
        <w:rPr>
          <w:rFonts w:ascii="Verdana" w:eastAsia="Calibri" w:hAnsi="Verdana" w:cs="Arial"/>
          <w:lang w:val="es-ES" w:eastAsia="es-MX"/>
        </w:rPr>
        <w:t xml:space="preserve">Lo anterior se sustenta en las siguientes consideraciones: </w:t>
      </w:r>
    </w:p>
    <w:p w14:paraId="6D82BD6D" w14:textId="77777777" w:rsidR="002051F5" w:rsidRPr="002051F5" w:rsidRDefault="002051F5" w:rsidP="002051F5">
      <w:pPr>
        <w:spacing w:after="0" w:line="276" w:lineRule="auto"/>
        <w:jc w:val="both"/>
        <w:rPr>
          <w:rFonts w:ascii="Verdana" w:eastAsia="Calibri" w:hAnsi="Verdana" w:cs="Arial"/>
          <w:lang w:val="es-ES" w:eastAsia="es-MX"/>
        </w:rPr>
      </w:pPr>
    </w:p>
    <w:p w14:paraId="4BA9E7A6" w14:textId="77777777" w:rsidR="002051F5" w:rsidRPr="002051F5" w:rsidRDefault="002051F5" w:rsidP="002051F5">
      <w:pPr>
        <w:spacing w:after="120" w:line="276" w:lineRule="auto"/>
        <w:jc w:val="both"/>
        <w:rPr>
          <w:rFonts w:ascii="Verdana" w:eastAsia="Aptos" w:hAnsi="Verdana" w:cs="Arial"/>
          <w:lang w:eastAsia="es-MX"/>
        </w:rPr>
      </w:pPr>
      <w:r w:rsidRPr="002051F5">
        <w:rPr>
          <w:rFonts w:ascii="Verdana" w:eastAsia="Aptos" w:hAnsi="Verdana" w:cs="Arial"/>
          <w:lang w:eastAsia="es-MX"/>
        </w:rPr>
        <w:t>i. 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5028981B" w14:textId="77777777" w:rsidR="002051F5" w:rsidRPr="002051F5" w:rsidRDefault="002051F5" w:rsidP="002051F5">
      <w:pPr>
        <w:spacing w:after="120" w:line="276" w:lineRule="auto"/>
        <w:ind w:firstLine="708"/>
        <w:jc w:val="both"/>
        <w:rPr>
          <w:rFonts w:ascii="Verdana" w:eastAsia="Aptos" w:hAnsi="Verdana" w:cs="Arial"/>
          <w:lang w:eastAsia="es-MX"/>
        </w:rPr>
      </w:pPr>
      <w:r w:rsidRPr="002051F5">
        <w:rPr>
          <w:rFonts w:ascii="Verdana" w:eastAsia="Aptos" w:hAnsi="Verdana" w:cs="Arial"/>
          <w:lang w:val="es-ES" w:eastAsia="es-MX"/>
        </w:rPr>
        <w:t xml:space="preserve">Con sustento en esta competencia, esta Agencia expidió diversos grupos de Documentos Tipo aplicables principalmente a la contratación de obras </w:t>
      </w:r>
      <w:r w:rsidRPr="002051F5">
        <w:rPr>
          <w:rFonts w:ascii="Verdana" w:eastAsia="Aptos" w:hAnsi="Verdana" w:cs="Arial"/>
          <w:lang w:val="es-ES" w:eastAsia="es-MX"/>
        </w:rPr>
        <w:lastRenderedPageBreak/>
        <w:t>públicas de infraestructura de transporte, de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4060249E" w14:textId="77777777" w:rsidR="002051F5" w:rsidRPr="002051F5" w:rsidRDefault="002051F5" w:rsidP="002051F5">
      <w:pPr>
        <w:spacing w:after="120" w:line="276" w:lineRule="auto"/>
        <w:ind w:firstLine="708"/>
        <w:jc w:val="both"/>
        <w:rPr>
          <w:rFonts w:ascii="Verdana" w:eastAsia="Times New Roman" w:hAnsi="Verdana" w:cs="Times New Roman"/>
          <w:color w:val="000000"/>
          <w:lang w:eastAsia="es-CO"/>
        </w:rPr>
      </w:pPr>
      <w:r w:rsidRPr="002051F5">
        <w:rPr>
          <w:rFonts w:ascii="Verdana" w:eastAsia="Aptos" w:hAnsi="Verdana" w:cs="Arial"/>
          <w:lang w:eastAsia="es-MX"/>
        </w:rPr>
        <w:t xml:space="preserve">En el sector social, </w:t>
      </w:r>
      <w:r w:rsidRPr="002051F5">
        <w:rPr>
          <w:rFonts w:ascii="Verdana" w:eastAsia="Calibri" w:hAnsi="Verdana" w:cs="Arial"/>
          <w:lang w:val="es-MX" w:eastAsia="es-MX"/>
        </w:rPr>
        <w:t xml:space="preserve">la Agencia Nacional de Contratación Pública – Colombia Compra </w:t>
      </w:r>
      <w:r w:rsidRPr="002051F5">
        <w:rPr>
          <w:rFonts w:ascii="Verdana" w:eastAsia="Calibri" w:hAnsi="Verdana" w:cs="Arial"/>
          <w:lang w:eastAsia="es-MX"/>
        </w:rPr>
        <w:t xml:space="preserve">Eficiente </w:t>
      </w:r>
      <w:r w:rsidRPr="002051F5">
        <w:rPr>
          <w:rFonts w:ascii="Verdana" w:eastAsia="Times New Roman" w:hAnsi="Verdana" w:cs="Times New Roman"/>
          <w:color w:val="000000"/>
          <w:lang w:eastAsia="es-CO"/>
        </w:rPr>
        <w:t>en el segundo semestre del año 2025 adoptó las siguientes Resoluciones para contratar obra pública y concurso de méritos:</w:t>
      </w:r>
    </w:p>
    <w:p w14:paraId="43698EF3" w14:textId="77777777" w:rsidR="002051F5" w:rsidRPr="002051F5" w:rsidRDefault="002051F5" w:rsidP="002051F5">
      <w:pPr>
        <w:spacing w:after="120" w:line="276" w:lineRule="auto"/>
        <w:ind w:firstLine="708"/>
        <w:jc w:val="both"/>
        <w:rPr>
          <w:rFonts w:ascii="Verdana" w:eastAsia="Times New Roman" w:hAnsi="Verdana" w:cs="Times New Roman"/>
          <w:color w:val="000000"/>
          <w:lang w:eastAsia="es-CO"/>
        </w:rPr>
      </w:pPr>
      <w:r w:rsidRPr="002051F5">
        <w:rPr>
          <w:rFonts w:ascii="Verdana" w:eastAsia="Times New Roman" w:hAnsi="Verdana" w:cs="Times New Roman"/>
          <w:color w:val="000000"/>
          <w:lang w:eastAsia="es-CO"/>
        </w:rPr>
        <w:t>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439DDA0B" w14:textId="77777777" w:rsidR="002051F5" w:rsidRPr="002051F5" w:rsidRDefault="002051F5" w:rsidP="002051F5">
      <w:pPr>
        <w:spacing w:after="120" w:line="276" w:lineRule="auto"/>
        <w:ind w:firstLine="708"/>
        <w:jc w:val="both"/>
        <w:rPr>
          <w:rFonts w:ascii="Verdana" w:eastAsia="Times New Roman" w:hAnsi="Verdana" w:cs="Times New Roman"/>
          <w:color w:val="000000"/>
          <w:lang w:eastAsia="es-CO"/>
        </w:rPr>
      </w:pPr>
      <w:r w:rsidRPr="002051F5">
        <w:rPr>
          <w:rFonts w:ascii="Verdana" w:eastAsia="Times New Roman" w:hAnsi="Verdana" w:cs="Times New Roman"/>
          <w:color w:val="000000"/>
          <w:lang w:eastAsia="es-CO"/>
        </w:rPr>
        <w:t xml:space="preserve"> </w:t>
      </w:r>
      <w:proofErr w:type="spellStart"/>
      <w:r w:rsidRPr="002051F5">
        <w:rPr>
          <w:rFonts w:ascii="Verdana" w:eastAsia="Times New Roman" w:hAnsi="Verdana" w:cs="Times New Roman"/>
          <w:color w:val="000000"/>
          <w:lang w:eastAsia="es-CO"/>
        </w:rPr>
        <w:t>ii</w:t>
      </w:r>
      <w:proofErr w:type="spellEnd"/>
      <w:r w:rsidRPr="002051F5">
        <w:rPr>
          <w:rFonts w:ascii="Verdana" w:eastAsia="Times New Roman" w:hAnsi="Verdana" w:cs="Times New Roman"/>
          <w:color w:val="000000"/>
          <w:lang w:eastAsia="es-CO"/>
        </w:rPr>
        <w:t>)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p>
    <w:p w14:paraId="19C2A2B4" w14:textId="77777777" w:rsidR="002051F5" w:rsidRPr="002051F5" w:rsidRDefault="002051F5" w:rsidP="002051F5">
      <w:pPr>
        <w:spacing w:after="120" w:line="276" w:lineRule="auto"/>
        <w:ind w:firstLine="708"/>
        <w:jc w:val="both"/>
        <w:rPr>
          <w:rFonts w:ascii="Verdana" w:eastAsia="Times New Roman" w:hAnsi="Verdana" w:cs="Times New Roman"/>
          <w:color w:val="000000"/>
          <w:lang w:eastAsia="es-CO"/>
        </w:rPr>
      </w:pPr>
      <w:proofErr w:type="spellStart"/>
      <w:r w:rsidRPr="002051F5">
        <w:rPr>
          <w:rFonts w:ascii="Verdana" w:eastAsia="Times New Roman" w:hAnsi="Verdana" w:cs="Times New Roman"/>
          <w:color w:val="000000"/>
          <w:lang w:eastAsia="es-CO"/>
        </w:rPr>
        <w:t>iii</w:t>
      </w:r>
      <w:proofErr w:type="spellEnd"/>
      <w:r w:rsidRPr="002051F5">
        <w:rPr>
          <w:rFonts w:ascii="Verdana" w:eastAsia="Times New Roman" w:hAnsi="Verdana" w:cs="Times New Roman"/>
          <w:color w:val="000000"/>
          <w:lang w:eastAsia="es-CO"/>
        </w:rPr>
        <w:t xml:space="preserve">) 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5AE88A89" w14:textId="77777777" w:rsidR="002051F5" w:rsidRPr="002051F5" w:rsidRDefault="002051F5" w:rsidP="002051F5">
      <w:pPr>
        <w:spacing w:after="120" w:line="276" w:lineRule="auto"/>
        <w:ind w:firstLine="708"/>
        <w:jc w:val="both"/>
        <w:rPr>
          <w:rFonts w:ascii="Verdana" w:eastAsia="Times New Roman" w:hAnsi="Verdana" w:cs="Times New Roman"/>
          <w:color w:val="000000"/>
          <w:lang w:eastAsia="es-CO"/>
        </w:rPr>
      </w:pPr>
      <w:proofErr w:type="spellStart"/>
      <w:r w:rsidRPr="002051F5">
        <w:rPr>
          <w:rFonts w:ascii="Verdana" w:eastAsia="Times New Roman" w:hAnsi="Verdana" w:cs="Times New Roman"/>
          <w:color w:val="000000"/>
          <w:lang w:eastAsia="es-CO"/>
        </w:rPr>
        <w:t>iv</w:t>
      </w:r>
      <w:proofErr w:type="spellEnd"/>
      <w:r w:rsidRPr="002051F5">
        <w:rPr>
          <w:rFonts w:ascii="Verdana" w:eastAsia="Times New Roman" w:hAnsi="Verdana" w:cs="Times New Roman"/>
          <w:color w:val="000000"/>
          <w:lang w:eastAsia="es-CO"/>
        </w:rPr>
        <w:t xml:space="preserve">) Resolución 952 del 15 de diciembre de 2025 “Por la cual se adoptan los documentos tipo para los procesos de selección de concurso de méritos, para </w:t>
      </w:r>
      <w:r w:rsidRPr="002051F5">
        <w:rPr>
          <w:rFonts w:ascii="Verdana" w:eastAsia="Times New Roman" w:hAnsi="Verdana" w:cs="Times New Roman"/>
          <w:color w:val="000000"/>
          <w:lang w:eastAsia="es-CO"/>
        </w:rPr>
        <w:lastRenderedPageBreak/>
        <w:t>contratar la consultoría de estudios de ingeniería de infraestructura social; que agrupa los sectores de educación, salud, cultura, recreación y deporte, institucional y vivienda”.</w:t>
      </w:r>
    </w:p>
    <w:p w14:paraId="26179DFC" w14:textId="77777777" w:rsidR="002051F5" w:rsidRPr="002051F5" w:rsidRDefault="002051F5" w:rsidP="002051F5">
      <w:pPr>
        <w:spacing w:after="120" w:line="276" w:lineRule="auto"/>
        <w:ind w:firstLine="708"/>
        <w:jc w:val="both"/>
        <w:rPr>
          <w:rFonts w:ascii="Verdana" w:eastAsia="Times New Roman" w:hAnsi="Verdana" w:cs="Times New Roman"/>
          <w:color w:val="000000"/>
          <w:lang w:eastAsia="es-CO"/>
        </w:rPr>
      </w:pPr>
      <w:r w:rsidRPr="002051F5">
        <w:rPr>
          <w:rFonts w:ascii="Verdana" w:eastAsia="Times New Roman" w:hAnsi="Verdana" w:cs="Times New Roman"/>
          <w:color w:val="000000"/>
          <w:lang w:eastAsia="es-CO"/>
        </w:rPr>
        <w:t>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w:t>
      </w:r>
      <w:r w:rsidRPr="002051F5">
        <w:rPr>
          <w:rFonts w:ascii="Verdana" w:eastAsia="Aptos" w:hAnsi="Verdana" w:cs="Times New Roman"/>
          <w:lang w:eastAsia="es-MX"/>
        </w:rPr>
        <w:t xml:space="preserve"> </w:t>
      </w:r>
    </w:p>
    <w:p w14:paraId="73149BD1" w14:textId="77777777" w:rsidR="002051F5" w:rsidRPr="002051F5" w:rsidRDefault="002051F5" w:rsidP="002051F5">
      <w:pPr>
        <w:spacing w:after="120" w:line="276" w:lineRule="auto"/>
        <w:ind w:firstLine="708"/>
        <w:jc w:val="both"/>
        <w:textAlignment w:val="baseline"/>
        <w:rPr>
          <w:rFonts w:ascii="Verdana" w:eastAsia="Calibri" w:hAnsi="Verdana" w:cs="Arial"/>
          <w:lang w:eastAsia="es-MX"/>
        </w:rPr>
      </w:pPr>
      <w:r w:rsidRPr="002051F5">
        <w:rPr>
          <w:rFonts w:ascii="Verdana" w:eastAsia="Aptos" w:hAnsi="Verdana" w:cs="Times New Roman"/>
          <w:lang w:eastAsia="es-MX"/>
        </w:rPr>
        <w:t>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salud, cultura, recreación y deporte, institucional y vivienda, en los procesos de selección cuyo aviso de convocatoria se publique a partir del 16 de febrero de 2026</w:t>
      </w:r>
      <w:r w:rsidRPr="002051F5">
        <w:rPr>
          <w:rFonts w:ascii="Verdana" w:eastAsia="Calibri" w:hAnsi="Verdana" w:cs="Arial"/>
          <w:vertAlign w:val="superscript"/>
          <w:lang w:eastAsia="es-MX"/>
        </w:rPr>
        <w:footnoteReference w:id="6"/>
      </w:r>
      <w:r w:rsidRPr="002051F5">
        <w:rPr>
          <w:rFonts w:ascii="Verdana" w:eastAsia="Calibri" w:hAnsi="Verdana" w:cs="Arial"/>
          <w:lang w:eastAsia="es-MX"/>
        </w:rPr>
        <w:t>.</w:t>
      </w:r>
    </w:p>
    <w:p w14:paraId="78AAA7DE" w14:textId="77777777" w:rsidR="002051F5" w:rsidRPr="002051F5" w:rsidRDefault="002051F5" w:rsidP="002051F5">
      <w:pPr>
        <w:widowControl w:val="0"/>
        <w:autoSpaceDE w:val="0"/>
        <w:autoSpaceDN w:val="0"/>
        <w:spacing w:after="120" w:line="276" w:lineRule="auto"/>
        <w:ind w:firstLine="708"/>
        <w:jc w:val="both"/>
        <w:rPr>
          <w:rFonts w:ascii="Verdana" w:eastAsia="Calibri" w:hAnsi="Verdana" w:cs="Times New Roman"/>
          <w:lang w:val="es-ES" w:eastAsia="es-MX"/>
        </w:rPr>
      </w:pPr>
      <w:r w:rsidRPr="002051F5">
        <w:rPr>
          <w:rFonts w:ascii="Verdana" w:eastAsia="Calibri" w:hAnsi="Verdana" w:cs="Times New Roman"/>
          <w:lang w:val="es-ES" w:eastAsia="es-MX"/>
        </w:rPr>
        <w:lastRenderedPageBreak/>
        <w:t xml:space="preserve">Es importante resaltar que, en virtud de la regla de inalterabilidad, los documentos tipo solo pueden ser modificados en los aspectos en que estos lo permitan. Esto corresponde a aquellos aspectos que se encuentran entre corchetes y resaltados en gris </w:t>
      </w:r>
      <w:r w:rsidRPr="002051F5">
        <w:rPr>
          <w:rFonts w:ascii="Verdana" w:eastAsia="Calibri" w:hAnsi="Verdana" w:cs="Times New Roman"/>
          <w:shd w:val="clear" w:color="auto" w:fill="E8E8E8"/>
          <w:lang w:val="es-ES" w:eastAsia="es-MX"/>
        </w:rPr>
        <w:t>–[texto]–,</w:t>
      </w:r>
      <w:r w:rsidRPr="002051F5">
        <w:rPr>
          <w:rFonts w:ascii="Verdana" w:eastAsia="Calibri" w:hAnsi="Verdana" w:cs="Times New Roman"/>
          <w:lang w:val="es-ES" w:eastAsia="es-MX"/>
        </w:rPr>
        <w:t xml:space="preserve"> para lo cual deberán observarse las instrucciones contenidas en los mismos para su diligenciamiento.</w:t>
      </w:r>
    </w:p>
    <w:p w14:paraId="45F6F518" w14:textId="77777777" w:rsidR="002051F5" w:rsidRPr="002051F5" w:rsidRDefault="002051F5" w:rsidP="002051F5">
      <w:pPr>
        <w:widowControl w:val="0"/>
        <w:autoSpaceDE w:val="0"/>
        <w:autoSpaceDN w:val="0"/>
        <w:spacing w:after="120" w:line="276" w:lineRule="auto"/>
        <w:ind w:firstLine="708"/>
        <w:jc w:val="both"/>
        <w:rPr>
          <w:rFonts w:ascii="Verdana" w:eastAsia="Calibri" w:hAnsi="Verdana" w:cs="Times New Roman"/>
          <w:lang w:val="es-ES" w:eastAsia="es-MX"/>
        </w:rPr>
      </w:pPr>
      <w:r w:rsidRPr="002051F5">
        <w:rPr>
          <w:rFonts w:ascii="Verdana" w:eastAsia="Calibri" w:hAnsi="Verdana" w:cs="Times New Roman"/>
          <w:lang w:val="es-ES" w:eastAsia="es-MX"/>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2E2586E4" w14:textId="77777777" w:rsidR="002051F5" w:rsidRPr="002051F5" w:rsidRDefault="002051F5" w:rsidP="002051F5">
      <w:pPr>
        <w:widowControl w:val="0"/>
        <w:autoSpaceDE w:val="0"/>
        <w:autoSpaceDN w:val="0"/>
        <w:spacing w:after="120" w:line="276" w:lineRule="auto"/>
        <w:ind w:firstLine="708"/>
        <w:jc w:val="both"/>
        <w:rPr>
          <w:rFonts w:ascii="Verdana" w:eastAsia="Calibri" w:hAnsi="Verdana" w:cs="Times New Roman"/>
          <w:lang w:val="es-ES" w:eastAsia="es-MX"/>
        </w:rPr>
      </w:pPr>
      <w:r w:rsidRPr="002051F5">
        <w:rPr>
          <w:rFonts w:ascii="Verdana" w:eastAsia="Calibri" w:hAnsi="Verdana" w:cs="Times New Roman"/>
          <w:lang w:val="es-ES" w:eastAsia="es-MX"/>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70B4A541" w14:textId="77777777" w:rsidR="002051F5" w:rsidRPr="002051F5" w:rsidRDefault="002051F5" w:rsidP="002051F5">
      <w:pPr>
        <w:widowControl w:val="0"/>
        <w:autoSpaceDE w:val="0"/>
        <w:autoSpaceDN w:val="0"/>
        <w:spacing w:after="120" w:line="276" w:lineRule="auto"/>
        <w:ind w:firstLine="708"/>
        <w:jc w:val="both"/>
        <w:rPr>
          <w:rFonts w:ascii="Verdana" w:eastAsia="Calibri" w:hAnsi="Verdana" w:cs="Times New Roman"/>
          <w:lang w:val="es-ES" w:eastAsia="es-MX"/>
        </w:rPr>
      </w:pPr>
      <w:r w:rsidRPr="002051F5">
        <w:rPr>
          <w:rFonts w:ascii="Verdana" w:eastAsia="Calibri" w:hAnsi="Verdana" w:cs="Times New Roman"/>
          <w:lang w:val="es-ES" w:eastAsia="es-MX"/>
        </w:rPr>
        <w:t xml:space="preserve">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w:t>
      </w:r>
      <w:r w:rsidRPr="002051F5">
        <w:rPr>
          <w:rFonts w:ascii="Verdana" w:eastAsia="Calibri" w:hAnsi="Verdana" w:cs="Times New Roman"/>
          <w:lang w:val="es-ES" w:eastAsia="es-MX"/>
        </w:rPr>
        <w:lastRenderedPageBreak/>
        <w:t>las definiciones de los términos usados en los documentos del proceso. Utilizando estos dos documentos, la entidad estatal puede definir si el objeto a contratarse debe emplear los documentos tipo adoptados por esta Agencia.</w:t>
      </w:r>
    </w:p>
    <w:p w14:paraId="5D3492F1" w14:textId="77777777" w:rsidR="002051F5" w:rsidRPr="002051F5" w:rsidRDefault="002051F5" w:rsidP="002051F5">
      <w:pPr>
        <w:widowControl w:val="0"/>
        <w:autoSpaceDE w:val="0"/>
        <w:autoSpaceDN w:val="0"/>
        <w:spacing w:after="120" w:line="276" w:lineRule="auto"/>
        <w:ind w:firstLine="708"/>
        <w:jc w:val="both"/>
        <w:rPr>
          <w:rFonts w:ascii="Verdana" w:eastAsia="Calibri" w:hAnsi="Verdana" w:cs="Times New Roman"/>
          <w:lang w:val="es-ES" w:eastAsia="es-MX"/>
        </w:rPr>
      </w:pPr>
      <w:r w:rsidRPr="002051F5">
        <w:rPr>
          <w:rFonts w:ascii="Verdana" w:eastAsia="Calibri" w:hAnsi="Verdana" w:cs="Times New Roman"/>
          <w:lang w:val="es-ES" w:eastAsia="es-MX"/>
        </w:rPr>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44F609C8" w14:textId="77777777" w:rsidR="002051F5" w:rsidRPr="002051F5" w:rsidRDefault="002051F5" w:rsidP="002051F5">
      <w:pPr>
        <w:widowControl w:val="0"/>
        <w:autoSpaceDE w:val="0"/>
        <w:autoSpaceDN w:val="0"/>
        <w:spacing w:after="0" w:line="276" w:lineRule="auto"/>
        <w:ind w:firstLine="708"/>
        <w:jc w:val="both"/>
        <w:rPr>
          <w:rFonts w:ascii="Verdana" w:eastAsia="Calibri" w:hAnsi="Verdana" w:cs="Times New Roman"/>
          <w:lang w:val="es-ES" w:eastAsia="es-MX"/>
        </w:rPr>
      </w:pPr>
      <w:r w:rsidRPr="002051F5">
        <w:rPr>
          <w:rFonts w:ascii="Verdana" w:eastAsia="Calibri" w:hAnsi="Verdana" w:cs="Times New Roman"/>
          <w:lang w:val="es-ES" w:eastAsia="es-MX"/>
        </w:rPr>
        <w:t>De esta manera, para saber a qué actividades deben aplicarse los documentos tipo de licitación de obra pública de infraestructura social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2DE21C84" w14:textId="77777777" w:rsidR="002051F5" w:rsidRPr="002051F5" w:rsidRDefault="002051F5" w:rsidP="002051F5">
      <w:pPr>
        <w:widowControl w:val="0"/>
        <w:autoSpaceDE w:val="0"/>
        <w:autoSpaceDN w:val="0"/>
        <w:spacing w:after="0" w:line="276" w:lineRule="auto"/>
        <w:ind w:firstLine="708"/>
        <w:jc w:val="both"/>
        <w:rPr>
          <w:rFonts w:ascii="Verdana" w:eastAsia="Calibri" w:hAnsi="Verdana" w:cs="Times New Roman"/>
          <w:lang w:val="es-ES" w:eastAsia="es-MX"/>
        </w:rPr>
      </w:pPr>
    </w:p>
    <w:p w14:paraId="566CCC25" w14:textId="77777777" w:rsidR="002051F5" w:rsidRPr="002051F5" w:rsidRDefault="002051F5" w:rsidP="002051F5">
      <w:pPr>
        <w:spacing w:after="0" w:line="276" w:lineRule="auto"/>
        <w:jc w:val="both"/>
        <w:rPr>
          <w:rFonts w:ascii="Verdana" w:eastAsia="Calibri" w:hAnsi="Verdana" w:cs="Times New Roman"/>
          <w:lang w:eastAsia="es-MX"/>
        </w:rPr>
      </w:pPr>
      <w:proofErr w:type="spellStart"/>
      <w:r w:rsidRPr="002051F5">
        <w:rPr>
          <w:rFonts w:ascii="Verdana" w:eastAsia="Calibri" w:hAnsi="Verdana" w:cs="Times New Roman"/>
          <w:lang w:val="es-ES" w:eastAsia="es-MX"/>
        </w:rPr>
        <w:t>ii</w:t>
      </w:r>
      <w:proofErr w:type="spellEnd"/>
      <w:r w:rsidRPr="002051F5">
        <w:rPr>
          <w:rFonts w:ascii="Verdana" w:eastAsia="Calibri" w:hAnsi="Verdana" w:cs="Times New Roman"/>
          <w:lang w:val="es-ES" w:eastAsia="es-MX"/>
        </w:rPr>
        <w:t xml:space="preserve">. </w:t>
      </w:r>
      <w:r w:rsidRPr="002051F5">
        <w:rPr>
          <w:rFonts w:ascii="Verdana" w:eastAsia="Times New Roman" w:hAnsi="Verdana" w:cs="Times New Roman"/>
          <w:color w:val="000000"/>
          <w:lang w:eastAsia="es-CO"/>
        </w:rPr>
        <w:t>En los documentos tipo complementarios del sector Institucional, en la modalidad de licitación pública, selección abreviada de menor cuantía y mínima cuantía, en la Matriz 1 se encuentran los siguientes tipos de infraestructura:</w:t>
      </w:r>
      <w:r w:rsidRPr="002051F5">
        <w:rPr>
          <w:rFonts w:ascii="Times New Roman" w:eastAsia="Arial" w:hAnsi="Times New Roman" w:cs="Aptos"/>
          <w:lang w:eastAsia="es-ES"/>
        </w:rPr>
        <w:t xml:space="preserve"> </w:t>
      </w:r>
      <w:r w:rsidRPr="002051F5">
        <w:rPr>
          <w:rFonts w:ascii="Verdana" w:eastAsia="Arial" w:hAnsi="Verdana" w:cs="Aptos"/>
          <w:lang w:eastAsia="es-ES"/>
        </w:rPr>
        <w:t>“1) OBRAS EN PROYECTOS DE INFRAESTRUCTURA INSTITUCIONAL DE SEGURIDAD PUBLICA, 2) OBRAS EN PROYECTOS DE INFRAESTRUCTURA INSTITUCIONAL DE SERVICIO PÚBLICO, 3) OBRAS EN PROYECTOS DE INFRAESTRUCTURA INSTITUCIONAL - SITIOS DE RECLUSIÓN, 4) OBRAS EN VÍAS DE ACCESO O PARQUEADEROS O ZONAS DE CIRCULACIÓN (VEHICULAR O PEATONAL) O PLAZUELAS O PLAZAS O PLAZUELAS EN EDIFICACIONES INSTITUCIONALES, y 5) OBRAS PARA ATENCIÓN, PREVENCIÓN O MITIGACIÓN DE EMERGENCIAS DIFERENTES A CONTRATACIÓN DIRECTA PARA EL SECTOR INSTITUCIONAL”</w:t>
      </w:r>
      <w:r w:rsidRPr="002051F5">
        <w:rPr>
          <w:rFonts w:ascii="Verdana" w:eastAsia="Times New Roman" w:hAnsi="Verdana" w:cs="Arial"/>
          <w:lang w:eastAsia="es-MX"/>
        </w:rPr>
        <w:t>.</w:t>
      </w:r>
      <w:r w:rsidRPr="002051F5">
        <w:rPr>
          <w:rFonts w:ascii="Verdana" w:eastAsia="Calibri" w:hAnsi="Verdana" w:cs="Times New Roman"/>
          <w:lang w:eastAsia="es-MX"/>
        </w:rPr>
        <w:t xml:space="preserve"> Particularmente, en relación con el problema jurídico planteado en este concepto, en el Capítulo dos (2)  “</w:t>
      </w:r>
      <w:r w:rsidRPr="002051F5">
        <w:rPr>
          <w:rFonts w:ascii="Verdana" w:eastAsia="Arial" w:hAnsi="Verdana" w:cs="Aptos"/>
          <w:lang w:eastAsia="es-ES"/>
        </w:rPr>
        <w:t>Obras en proyectos de infraestructura institucional de servicio público”,</w:t>
      </w:r>
      <w:r w:rsidRPr="002051F5">
        <w:rPr>
          <w:rFonts w:ascii="Verdana" w:eastAsia="Calibri" w:hAnsi="Verdana" w:cs="Times New Roman"/>
          <w:lang w:eastAsia="es-MX"/>
        </w:rPr>
        <w:t xml:space="preserve"> se incluyen las siguientes actividades que recaen sobre las que indaga en su solicitud:  </w:t>
      </w:r>
    </w:p>
    <w:p w14:paraId="26E07944" w14:textId="77777777" w:rsidR="002051F5" w:rsidRPr="002051F5" w:rsidRDefault="002051F5" w:rsidP="002051F5">
      <w:pPr>
        <w:spacing w:after="0" w:line="276" w:lineRule="auto"/>
        <w:ind w:firstLine="708"/>
        <w:jc w:val="both"/>
        <w:rPr>
          <w:rFonts w:ascii="Verdana" w:eastAsia="Calibri" w:hAnsi="Verdana" w:cs="Times New Roman"/>
          <w:lang w:eastAsia="es-MX"/>
        </w:rPr>
      </w:pPr>
    </w:p>
    <w:p w14:paraId="0C98E6AB" w14:textId="77777777" w:rsidR="002051F5" w:rsidRPr="002051F5" w:rsidRDefault="002051F5" w:rsidP="002051F5">
      <w:pPr>
        <w:snapToGrid w:val="0"/>
        <w:spacing w:after="0" w:line="240" w:lineRule="auto"/>
        <w:ind w:left="709" w:right="709"/>
        <w:jc w:val="both"/>
        <w:rPr>
          <w:rFonts w:ascii="Verdana" w:eastAsia="Arial" w:hAnsi="Verdana" w:cs="Aptos"/>
          <w:i/>
          <w:iCs/>
          <w:sz w:val="21"/>
          <w:szCs w:val="21"/>
          <w:lang w:eastAsia="es-ES"/>
        </w:rPr>
      </w:pPr>
      <w:r w:rsidRPr="002051F5">
        <w:rPr>
          <w:rFonts w:ascii="Verdana" w:eastAsia="Calibri" w:hAnsi="Verdana" w:cs="Times New Roman"/>
          <w:sz w:val="21"/>
          <w:szCs w:val="21"/>
          <w:lang w:eastAsia="es-MX"/>
        </w:rPr>
        <w:lastRenderedPageBreak/>
        <w:t>“</w:t>
      </w:r>
      <w:r w:rsidRPr="002051F5">
        <w:rPr>
          <w:rFonts w:ascii="Verdana" w:eastAsia="Arial" w:hAnsi="Verdana" w:cs="Aptos"/>
          <w:i/>
          <w:iCs/>
          <w:sz w:val="21"/>
          <w:szCs w:val="21"/>
          <w:lang w:eastAsia="es-ES"/>
        </w:rPr>
        <w:t xml:space="preserve">2.2. PROYECTOS DE </w:t>
      </w:r>
      <w:r w:rsidRPr="002051F5">
        <w:rPr>
          <w:rFonts w:ascii="Verdana" w:eastAsia="Arial" w:hAnsi="Verdana" w:cs="Aptos"/>
          <w:b/>
          <w:bCs/>
          <w:i/>
          <w:iCs/>
          <w:sz w:val="21"/>
          <w:szCs w:val="21"/>
          <w:lang w:eastAsia="es-ES"/>
        </w:rPr>
        <w:t>ADECUACIÓN</w:t>
      </w:r>
      <w:r w:rsidRPr="002051F5">
        <w:rPr>
          <w:rFonts w:ascii="Verdana" w:eastAsia="Arial" w:hAnsi="Verdana" w:cs="Aptos"/>
          <w:i/>
          <w:iCs/>
          <w:sz w:val="21"/>
          <w:szCs w:val="21"/>
          <w:lang w:eastAsia="es-ES"/>
        </w:rPr>
        <w:t xml:space="preserve"> Y/O CONSERVACIÓN Y/O INTERVENCIÓN Y/O INSTALACIÓN Y/O </w:t>
      </w:r>
      <w:r w:rsidRPr="002051F5">
        <w:rPr>
          <w:rFonts w:ascii="Verdana" w:eastAsia="Arial" w:hAnsi="Verdana" w:cs="Aptos"/>
          <w:b/>
          <w:bCs/>
          <w:i/>
          <w:iCs/>
          <w:sz w:val="21"/>
          <w:szCs w:val="21"/>
          <w:lang w:eastAsia="es-ES"/>
        </w:rPr>
        <w:t>MANTENIMIENTO</w:t>
      </w:r>
      <w:r w:rsidRPr="002051F5">
        <w:rPr>
          <w:rFonts w:ascii="Verdana" w:eastAsia="Arial" w:hAnsi="Verdana" w:cs="Aptos"/>
          <w:i/>
          <w:iCs/>
          <w:sz w:val="21"/>
          <w:szCs w:val="21"/>
          <w:lang w:eastAsia="es-ES"/>
        </w:rPr>
        <w:t xml:space="preserve"> Y/O MEJORAMIENTO Y/O MODIFICACIÓN U OPTIMIZACIÓN Y/O REHABILITACIÓN Y/O REMODELACIÓN Y/O REPOSICIÓN Y/O </w:t>
      </w:r>
      <w:r w:rsidRPr="002051F5">
        <w:rPr>
          <w:rFonts w:ascii="Verdana" w:eastAsia="Arial" w:hAnsi="Verdana" w:cs="Aptos"/>
          <w:b/>
          <w:bCs/>
          <w:i/>
          <w:iCs/>
          <w:sz w:val="21"/>
          <w:szCs w:val="21"/>
          <w:lang w:eastAsia="es-ES"/>
        </w:rPr>
        <w:t>REPARACIÓN LOCATIVA</w:t>
      </w:r>
      <w:r w:rsidRPr="002051F5">
        <w:rPr>
          <w:rFonts w:ascii="Verdana" w:eastAsia="Arial" w:hAnsi="Verdana" w:cs="Aptos"/>
          <w:i/>
          <w:iCs/>
          <w:sz w:val="21"/>
          <w:szCs w:val="21"/>
          <w:lang w:eastAsia="es-ES"/>
        </w:rPr>
        <w:t xml:space="preserve"> Y/O RESTAURACIÓN Y/O RESTITUCIÓN Y/O TERMINACIÓN DE INFRAESTRUCTURA DE SERVICIO PÚBLICO.</w:t>
      </w:r>
    </w:p>
    <w:p w14:paraId="60D5F41A" w14:textId="77777777" w:rsidR="002051F5" w:rsidRPr="002051F5" w:rsidRDefault="002051F5" w:rsidP="002051F5">
      <w:pPr>
        <w:spacing w:after="0" w:line="276" w:lineRule="auto"/>
        <w:ind w:firstLine="708"/>
        <w:jc w:val="both"/>
        <w:rPr>
          <w:rFonts w:ascii="Verdana" w:eastAsia="Calibri" w:hAnsi="Verdana" w:cs="Times New Roman"/>
          <w:lang w:eastAsia="es-MX"/>
        </w:rPr>
      </w:pPr>
    </w:p>
    <w:p w14:paraId="0B027C50" w14:textId="77777777" w:rsidR="002051F5" w:rsidRPr="002051F5" w:rsidRDefault="002051F5" w:rsidP="002051F5">
      <w:pPr>
        <w:spacing w:after="120" w:line="278" w:lineRule="auto"/>
        <w:ind w:firstLine="708"/>
        <w:jc w:val="both"/>
        <w:rPr>
          <w:rFonts w:ascii="Verdana" w:eastAsia="Times New Roman" w:hAnsi="Verdana" w:cs="Aptos"/>
          <w:lang w:eastAsia="es-MX"/>
        </w:rPr>
      </w:pPr>
      <w:r w:rsidRPr="002051F5">
        <w:rPr>
          <w:rFonts w:ascii="Verdana" w:eastAsia="Times New Roman" w:hAnsi="Verdana" w:cs="Aptos"/>
          <w:lang w:eastAsia="es-MX"/>
        </w:rPr>
        <w:t xml:space="preserve">Las actividades señaladas, contenidas en la Matriz 1 – Experiencia de los documentos tipo del sector Institucional, de manera general corresponden entre otras, a las actividades por las que indaga en su solicitud, esto es, mantenimientos, adecuación y reparaciones locativas, sobre </w:t>
      </w:r>
      <w:r w:rsidRPr="002051F5">
        <w:rPr>
          <w:rFonts w:ascii="Verdana" w:eastAsia="Arial" w:hAnsi="Verdana" w:cs="Aptos"/>
          <w:i/>
          <w:iCs/>
          <w:lang w:eastAsia="es-ES"/>
        </w:rPr>
        <w:t>infraestructura de servicio público</w:t>
      </w:r>
      <w:r w:rsidRPr="002051F5">
        <w:rPr>
          <w:rFonts w:ascii="Verdana" w:eastAsia="Times New Roman" w:hAnsi="Verdana" w:cs="Aptos"/>
          <w:lang w:eastAsia="es-MX"/>
        </w:rPr>
        <w:t>.</w:t>
      </w:r>
    </w:p>
    <w:p w14:paraId="7967CDFE" w14:textId="77777777" w:rsidR="002051F5" w:rsidRPr="002051F5" w:rsidRDefault="002051F5" w:rsidP="002051F5">
      <w:pPr>
        <w:spacing w:after="0" w:line="278" w:lineRule="auto"/>
        <w:ind w:firstLine="708"/>
        <w:jc w:val="both"/>
        <w:rPr>
          <w:rFonts w:ascii="Verdana" w:eastAsia="Arial" w:hAnsi="Verdana" w:cs="Aptos"/>
          <w:lang w:eastAsia="es-ES"/>
        </w:rPr>
      </w:pPr>
      <w:r w:rsidRPr="002051F5">
        <w:rPr>
          <w:rFonts w:ascii="Verdana" w:eastAsia="Times New Roman" w:hAnsi="Verdana" w:cs="Aptos"/>
          <w:lang w:eastAsia="es-MX"/>
        </w:rPr>
        <w:t xml:space="preserve">Por su parte, en los documentos tipo complementarios para los proceso de selección de concurso de méritos, para contratar la interventoría de obra pública de infraestructura social relacionado con el sector institucional, la actividad 2.2 de la “Matriz 1 – Experiencia para interventoría a proyectos de infraestructura para el sector institucional” contempla la actividad de interventoría para las actividades que señala en su solicitud, esto es, mantenimientos, adecuación, y reparaciones locativas, sobre </w:t>
      </w:r>
      <w:r w:rsidRPr="002051F5">
        <w:rPr>
          <w:rFonts w:ascii="Verdana" w:eastAsia="Arial" w:hAnsi="Verdana" w:cs="Aptos"/>
          <w:i/>
          <w:iCs/>
          <w:lang w:eastAsia="es-ES"/>
        </w:rPr>
        <w:t xml:space="preserve">infraestructura de servicio público, </w:t>
      </w:r>
      <w:r w:rsidRPr="002051F5">
        <w:rPr>
          <w:rFonts w:ascii="Verdana" w:eastAsia="Arial" w:hAnsi="Verdana" w:cs="Aptos"/>
          <w:lang w:eastAsia="es-ES"/>
        </w:rPr>
        <w:t>en los siguientes términos:</w:t>
      </w:r>
    </w:p>
    <w:p w14:paraId="1E568DAD" w14:textId="77777777" w:rsidR="002051F5" w:rsidRPr="002051F5" w:rsidRDefault="002051F5" w:rsidP="002051F5">
      <w:pPr>
        <w:spacing w:after="0" w:line="278" w:lineRule="auto"/>
        <w:ind w:firstLine="708"/>
        <w:jc w:val="both"/>
        <w:rPr>
          <w:rFonts w:ascii="Verdana" w:eastAsia="Arial" w:hAnsi="Verdana" w:cs="Aptos"/>
          <w:lang w:eastAsia="es-ES"/>
        </w:rPr>
      </w:pPr>
    </w:p>
    <w:p w14:paraId="7985D7D2" w14:textId="77777777" w:rsidR="002051F5" w:rsidRPr="002051F5" w:rsidRDefault="002051F5" w:rsidP="002051F5">
      <w:pPr>
        <w:spacing w:after="0" w:line="278" w:lineRule="auto"/>
        <w:ind w:left="709" w:right="709"/>
        <w:jc w:val="both"/>
        <w:rPr>
          <w:rFonts w:ascii="Verdana" w:eastAsia="Times New Roman" w:hAnsi="Verdana" w:cs="Aptos"/>
          <w:sz w:val="21"/>
          <w:szCs w:val="21"/>
          <w:lang w:eastAsia="es-MX"/>
        </w:rPr>
      </w:pPr>
      <w:r w:rsidRPr="002051F5">
        <w:rPr>
          <w:rFonts w:ascii="Verdana" w:eastAsia="Times New Roman" w:hAnsi="Verdana" w:cs="Aptos"/>
          <w:sz w:val="21"/>
          <w:szCs w:val="21"/>
          <w:lang w:eastAsia="es-MX"/>
        </w:rPr>
        <w:t>“2.2. INTERVENTORÍA A PROYECTOS DE ADECUACIÓN Y/O CONSERVACIÓN Y/O INTERVENCIÓN Y/O INSTALACIÓN Y/O MANTENIMIENTO Y/O MEJORAMIENTO Y/O MODIFICACIÓN U OPTIMIZACIÓN Y/O REHABILITACIÓN Y/O REMODELACIÓN Y/O REPOSICIÓN Y/O REPARACIÓN LOCATIVA Y/O RESTAURACIÓN Y/O RESTITUCIÓN Y/O TERMINACIÓN DE INFRAESTRUCTURA DE SERVICIO PUBLICO”.</w:t>
      </w:r>
    </w:p>
    <w:p w14:paraId="1EB5996A" w14:textId="77777777" w:rsidR="002051F5" w:rsidRPr="002051F5" w:rsidRDefault="002051F5" w:rsidP="002051F5">
      <w:pPr>
        <w:spacing w:after="0" w:line="278" w:lineRule="auto"/>
        <w:ind w:left="709" w:right="709"/>
        <w:jc w:val="both"/>
        <w:rPr>
          <w:rFonts w:ascii="Verdana" w:eastAsia="Times New Roman" w:hAnsi="Verdana" w:cs="Aptos"/>
          <w:lang w:eastAsia="es-MX"/>
        </w:rPr>
      </w:pPr>
    </w:p>
    <w:p w14:paraId="37CB303B" w14:textId="77777777" w:rsidR="002051F5" w:rsidRPr="002051F5" w:rsidRDefault="002051F5" w:rsidP="002051F5">
      <w:pPr>
        <w:spacing w:after="120" w:line="276" w:lineRule="auto"/>
        <w:ind w:firstLine="708"/>
        <w:jc w:val="both"/>
        <w:rPr>
          <w:rFonts w:ascii="Verdana" w:eastAsia="Times New Roman" w:hAnsi="Verdana" w:cs="Aptos"/>
          <w:lang w:eastAsia="es-MX"/>
        </w:rPr>
      </w:pPr>
      <w:r w:rsidRPr="002051F5">
        <w:rPr>
          <w:rFonts w:ascii="Verdana" w:eastAsia="Times New Roman" w:hAnsi="Verdana" w:cs="Aptos"/>
          <w:lang w:eastAsia="es-MX"/>
        </w:rPr>
        <w:t xml:space="preserve">Como se aprecia, en los documentos tipo del sector social, particularmente en los complementarios del sector institucional, se incluyen actividades de mantenimiento, adecuación y reparaciones locativas, sobre infraestructura de servicio público, tanto para la obra pública como para el seguimiento a través de la interventoría. </w:t>
      </w:r>
    </w:p>
    <w:p w14:paraId="09060E2B" w14:textId="77777777" w:rsidR="002051F5" w:rsidRPr="002051F5" w:rsidRDefault="002051F5" w:rsidP="002051F5">
      <w:pPr>
        <w:spacing w:after="120" w:line="278" w:lineRule="auto"/>
        <w:ind w:firstLine="708"/>
        <w:jc w:val="both"/>
        <w:rPr>
          <w:rFonts w:ascii="Verdana" w:eastAsia="Times New Roman" w:hAnsi="Verdana" w:cs="Aptos"/>
          <w:lang w:eastAsia="es-MX"/>
        </w:rPr>
      </w:pPr>
      <w:r w:rsidRPr="002051F5">
        <w:rPr>
          <w:rFonts w:ascii="Verdana" w:eastAsia="Times New Roman" w:hAnsi="Verdana" w:cs="Aptos"/>
          <w:lang w:eastAsia="es-MX"/>
        </w:rPr>
        <w:t xml:space="preserve">De esta forma, considerando que las actividades de mantenimiento, adecuación y reparaciones locativas recaen sobre obras e interventorías que se </w:t>
      </w:r>
      <w:r w:rsidRPr="002051F5">
        <w:rPr>
          <w:rFonts w:ascii="Verdana" w:eastAsia="Times New Roman" w:hAnsi="Verdana" w:cs="Aptos"/>
          <w:lang w:eastAsia="es-MX"/>
        </w:rPr>
        <w:lastRenderedPageBreak/>
        <w:t xml:space="preserve">realicen en infraestructura de servicio público, es importante precisar el ámbito de aplicación de este tipo de infraestructura. </w:t>
      </w:r>
    </w:p>
    <w:p w14:paraId="485A4D14" w14:textId="77777777" w:rsidR="002051F5" w:rsidRPr="002051F5" w:rsidRDefault="002051F5" w:rsidP="002051F5">
      <w:pPr>
        <w:spacing w:after="120" w:line="278" w:lineRule="auto"/>
        <w:ind w:firstLine="708"/>
        <w:jc w:val="both"/>
        <w:rPr>
          <w:rFonts w:ascii="Verdana" w:eastAsia="Times New Roman" w:hAnsi="Verdana" w:cs="Aptos"/>
          <w:lang w:eastAsia="es-MX"/>
        </w:rPr>
      </w:pPr>
      <w:r w:rsidRPr="002051F5">
        <w:rPr>
          <w:rFonts w:ascii="Verdana" w:eastAsia="Times New Roman" w:hAnsi="Verdana" w:cs="Aptos"/>
          <w:lang w:eastAsia="es-MX"/>
        </w:rPr>
        <w:t>Para interpretar el alcance del tipo de infraestructura de servicio público, se debe tener en cuenta la nota general 1 de la Matriz 1– Experiencia del Sector Institucional, en las distintas modalidades de los documentos tipo adoptados por esta Agencia. En esta se indica que “(l)as definiciones contenidas en esta Matriz deben enmarcarse en la normativa vigente en la materia, así como en la NSR 10 o aquellas que los modifiquen, adicionen o sustituyan, así como a las definiciones contenidas en el "Anexo - Glosario del Sector Social””.</w:t>
      </w:r>
    </w:p>
    <w:p w14:paraId="4B4BE0B7" w14:textId="77777777" w:rsidR="002051F5" w:rsidRPr="002051F5" w:rsidRDefault="002051F5" w:rsidP="002051F5">
      <w:pPr>
        <w:spacing w:after="120" w:line="278" w:lineRule="auto"/>
        <w:ind w:firstLine="708"/>
        <w:jc w:val="both"/>
        <w:rPr>
          <w:rFonts w:ascii="Verdana" w:eastAsia="Times New Roman" w:hAnsi="Verdana" w:cs="Aptos"/>
          <w:lang w:eastAsia="es-MX"/>
        </w:rPr>
      </w:pPr>
      <w:r w:rsidRPr="002051F5">
        <w:rPr>
          <w:rFonts w:ascii="Verdana" w:eastAsia="Times New Roman" w:hAnsi="Verdana" w:cs="Aptos"/>
          <w:lang w:eastAsia="es-MX"/>
        </w:rPr>
        <w:t>La nota general 1 contenida en la Matriz 1 – Experiencia de los Documentos Tipo indicados, es congruente con el numeral 1.10 del documento base que dispone que “[p]ara los fines de este Pliego de Condiciones, a menos que expresamente se estipule de otra manera, los términos deben entenderse de acuerdo con la definición contenida en el artículo 2.2.1.1.1.3.1 del Decreto 1082 de 2015, el glosario aplicable a la obra pública de infraestructura social y demás normas, decretos reglamentarios y legislación aplicable en la materia”.</w:t>
      </w:r>
    </w:p>
    <w:p w14:paraId="38F8AE43" w14:textId="77777777" w:rsidR="002051F5" w:rsidRPr="002051F5" w:rsidRDefault="002051F5" w:rsidP="002051F5">
      <w:pPr>
        <w:spacing w:after="120" w:line="276" w:lineRule="auto"/>
        <w:ind w:firstLine="708"/>
        <w:jc w:val="both"/>
        <w:rPr>
          <w:rFonts w:ascii="Verdana" w:eastAsia="Calibri" w:hAnsi="Verdana" w:cs="Arial"/>
          <w:color w:val="0D0D0D"/>
          <w:lang w:eastAsia="es-MX"/>
        </w:rPr>
      </w:pPr>
      <w:r w:rsidRPr="002051F5">
        <w:rPr>
          <w:rFonts w:ascii="Verdana" w:eastAsia="Calibri" w:hAnsi="Verdana" w:cs="Arial"/>
          <w:lang w:val="es-ES_tradnl" w:eastAsia="es-MX"/>
        </w:rPr>
        <w:t xml:space="preserve">Ahora bien, como se precisó las actividades señaladas recaen sobre </w:t>
      </w:r>
      <w:r w:rsidRPr="002051F5">
        <w:rPr>
          <w:rFonts w:ascii="Verdana" w:eastAsia="Times New Roman" w:hAnsi="Verdana" w:cs="Calibri"/>
          <w:lang w:eastAsia="es-MX"/>
        </w:rPr>
        <w:t xml:space="preserve">obras e interventorías en proyectos de infraestructura institucional de servicio público. De esta forma, para determinar que abarca este tipo de infraestructura, debe indicarse que, de conformidad con la norma </w:t>
      </w:r>
      <w:r w:rsidRPr="002051F5">
        <w:rPr>
          <w:rFonts w:ascii="Verdana" w:eastAsia="Calibri" w:hAnsi="Verdana" w:cs="Arial"/>
          <w:color w:val="0D0D0D"/>
          <w:lang w:eastAsia="es-MX"/>
        </w:rPr>
        <w:t>NSR-10 en el Subgrupo de Ocupación Institucional de Servicio Público (I-5) “se clasifican las edificaciones o espacios destinados a funciones administrativas y prestación de servicios públicos necesarios para el buen funcionamiento de las ciudades”</w:t>
      </w:r>
      <w:r w:rsidRPr="002051F5">
        <w:rPr>
          <w:rFonts w:ascii="Verdana" w:eastAsia="Calibri" w:hAnsi="Verdana" w:cs="Arial"/>
          <w:color w:val="0D0D0D"/>
          <w:vertAlign w:val="superscript"/>
          <w:lang w:eastAsia="es-MX"/>
        </w:rPr>
        <w:footnoteReference w:id="7"/>
      </w:r>
      <w:r w:rsidRPr="002051F5">
        <w:rPr>
          <w:rFonts w:ascii="Verdana" w:eastAsia="Calibri" w:hAnsi="Verdana" w:cs="Arial"/>
          <w:color w:val="0D0D0D"/>
          <w:lang w:eastAsia="es-MX"/>
        </w:rPr>
        <w:t>. Entre las edificaciones o espacios que pertenecen a este Subgrupo se encuentran las siguientes: “Centros de comunicación o administrativos o administrativos de servicios municipales, distritales o gubernamentales, juzgados y otros similares”</w:t>
      </w:r>
      <w:r w:rsidRPr="002051F5">
        <w:rPr>
          <w:rFonts w:ascii="Verdana" w:eastAsia="Calibri" w:hAnsi="Verdana" w:cs="Arial"/>
          <w:color w:val="0D0D0D"/>
          <w:vertAlign w:val="superscript"/>
          <w:lang w:eastAsia="es-MX"/>
        </w:rPr>
        <w:footnoteReference w:id="8"/>
      </w:r>
      <w:r w:rsidRPr="002051F5">
        <w:rPr>
          <w:rFonts w:ascii="Verdana" w:eastAsia="Calibri" w:hAnsi="Verdana" w:cs="Arial"/>
          <w:color w:val="0D0D0D"/>
          <w:lang w:eastAsia="es-MX"/>
        </w:rPr>
        <w:t>.</w:t>
      </w:r>
    </w:p>
    <w:p w14:paraId="37421BC1" w14:textId="77777777" w:rsidR="002051F5" w:rsidRPr="002051F5" w:rsidRDefault="002051F5" w:rsidP="002051F5">
      <w:pPr>
        <w:spacing w:after="120" w:line="276" w:lineRule="auto"/>
        <w:ind w:firstLine="708"/>
        <w:jc w:val="both"/>
        <w:rPr>
          <w:rFonts w:ascii="Verdana" w:eastAsia="Calibri" w:hAnsi="Verdana" w:cs="Arial"/>
          <w:color w:val="0D0D0D"/>
          <w:lang w:eastAsia="es-MX"/>
        </w:rPr>
      </w:pPr>
      <w:r w:rsidRPr="002051F5">
        <w:rPr>
          <w:rFonts w:ascii="Verdana" w:eastAsia="Calibri" w:hAnsi="Verdana" w:cs="Arial"/>
          <w:color w:val="0D0D0D"/>
          <w:lang w:eastAsia="es-MX"/>
        </w:rPr>
        <w:t xml:space="preserve">En este sentido, el Subgrupo de Ocupación Institucional de Servicio Público corresponde a una categoría de clasificación establecida por la NSR-10 que agrupa a aquellas edificaciones o espacios destinados al ejercicio de </w:t>
      </w:r>
      <w:r w:rsidRPr="002051F5">
        <w:rPr>
          <w:rFonts w:ascii="Verdana" w:eastAsia="Calibri" w:hAnsi="Verdana" w:cs="Arial"/>
          <w:color w:val="0D0D0D"/>
          <w:lang w:eastAsia="es-MX"/>
        </w:rPr>
        <w:lastRenderedPageBreak/>
        <w:t xml:space="preserve">funciones administrativas y a la prestación de servicios públicos esenciales para el adecuado funcionamiento de las ciudades. Este subgrupo comprende centros de comunicación, administrativos y sedes de servicios en distintos niveles, juzgados y otros similares. La expresión “Otros similares” evidencia que la enumeración no es taxativa, sino enunciativa, por lo incluye todas aquellas edificaciones que por su naturaleza y finalidad, están orientadas a la prestación de servicios públicos y al desarrollo de funciones institucionales del Estado, como son las funciones administrativas.  </w:t>
      </w:r>
    </w:p>
    <w:p w14:paraId="7E2F85AA" w14:textId="77777777" w:rsidR="002051F5" w:rsidRPr="002051F5" w:rsidRDefault="002051F5" w:rsidP="002051F5">
      <w:pPr>
        <w:spacing w:after="120" w:line="276" w:lineRule="auto"/>
        <w:ind w:firstLine="708"/>
        <w:jc w:val="both"/>
        <w:rPr>
          <w:rFonts w:ascii="Verdana" w:eastAsia="Calibri" w:hAnsi="Verdana" w:cs="Arial"/>
          <w:color w:val="0D0D0D"/>
          <w:lang w:eastAsia="es-MX"/>
        </w:rPr>
      </w:pPr>
      <w:r w:rsidRPr="002051F5">
        <w:rPr>
          <w:rFonts w:ascii="Verdana" w:eastAsia="Calibri" w:hAnsi="Verdana" w:cs="Arial"/>
          <w:color w:val="0D0D0D"/>
          <w:lang w:eastAsia="es-MX"/>
        </w:rPr>
        <w:t xml:space="preserve">De acuerdo con la definición del Subgrupo de Ocupación Institucional y las edificaciones que este comprende, dentro de este se encuentran las edificaciones institucionales, entendidas estas como la “infraestructura que ha sido construida para funciones específicas (como las administrativas, </w:t>
      </w:r>
      <w:proofErr w:type="spellStart"/>
      <w:r w:rsidRPr="002051F5">
        <w:rPr>
          <w:rFonts w:ascii="Verdana" w:eastAsia="Calibri" w:hAnsi="Verdana" w:cs="Arial"/>
          <w:color w:val="0D0D0D"/>
          <w:lang w:eastAsia="es-MX"/>
        </w:rPr>
        <w:t>etc</w:t>
      </w:r>
      <w:proofErr w:type="spellEnd"/>
      <w:r w:rsidRPr="002051F5">
        <w:rPr>
          <w:rFonts w:ascii="Verdana" w:eastAsia="Calibri" w:hAnsi="Verdana" w:cs="Arial"/>
          <w:color w:val="0D0D0D"/>
          <w:lang w:eastAsia="es-MX"/>
        </w:rPr>
        <w:t>) principalmente para el beneficio e interés público”</w:t>
      </w:r>
      <w:r w:rsidRPr="002051F5">
        <w:rPr>
          <w:rFonts w:ascii="Verdana" w:eastAsia="Calibri" w:hAnsi="Verdana" w:cs="Arial"/>
          <w:color w:val="0D0D0D"/>
          <w:vertAlign w:val="superscript"/>
          <w:lang w:eastAsia="es-MX"/>
        </w:rPr>
        <w:footnoteReference w:id="9"/>
      </w:r>
      <w:r w:rsidRPr="002051F5">
        <w:rPr>
          <w:rFonts w:ascii="Verdana" w:eastAsia="Calibri" w:hAnsi="Verdana" w:cs="Arial"/>
          <w:color w:val="0D0D0D"/>
          <w:lang w:eastAsia="es-MX"/>
        </w:rPr>
        <w:t xml:space="preserve">. </w:t>
      </w:r>
    </w:p>
    <w:p w14:paraId="0027C0B3" w14:textId="77777777" w:rsidR="002051F5" w:rsidRPr="002051F5" w:rsidRDefault="002051F5" w:rsidP="002051F5">
      <w:pPr>
        <w:spacing w:after="120" w:line="276" w:lineRule="auto"/>
        <w:ind w:firstLine="708"/>
        <w:jc w:val="both"/>
        <w:rPr>
          <w:rFonts w:ascii="Verdana" w:eastAsia="Calibri" w:hAnsi="Verdana" w:cs="Arial"/>
          <w:color w:val="0D0D0D"/>
          <w:lang w:eastAsia="es-MX"/>
        </w:rPr>
      </w:pPr>
      <w:r w:rsidRPr="002051F5">
        <w:rPr>
          <w:rFonts w:ascii="Verdana" w:eastAsia="Calibri" w:hAnsi="Verdana" w:cs="Arial"/>
          <w:color w:val="0D0D0D"/>
          <w:lang w:eastAsia="es-MX"/>
        </w:rPr>
        <w:t>Considerando lo anterior, la</w:t>
      </w:r>
      <w:r w:rsidRPr="002051F5">
        <w:rPr>
          <w:rFonts w:ascii="Verdana" w:eastAsia="Calibri" w:hAnsi="Verdana" w:cs="Arial"/>
          <w:color w:val="0D0D0D"/>
          <w:kern w:val="2"/>
          <w:sz w:val="24"/>
          <w:szCs w:val="24"/>
          <w:lang w:eastAsia="es-MX"/>
          <w14:ligatures w14:val="standardContextual"/>
        </w:rPr>
        <w:t>(s)</w:t>
      </w:r>
      <w:r w:rsidRPr="002051F5">
        <w:rPr>
          <w:rFonts w:ascii="Verdana" w:eastAsia="Calibri" w:hAnsi="Verdana" w:cs="Arial"/>
          <w:color w:val="0D0D0D"/>
          <w:lang w:eastAsia="es-MX"/>
        </w:rPr>
        <w:t xml:space="preserve"> sede</w:t>
      </w:r>
      <w:r w:rsidRPr="002051F5">
        <w:rPr>
          <w:rFonts w:ascii="Verdana" w:eastAsia="Calibri" w:hAnsi="Verdana" w:cs="Arial"/>
          <w:color w:val="0D0D0D"/>
          <w:kern w:val="2"/>
          <w:sz w:val="24"/>
          <w:szCs w:val="24"/>
          <w:lang w:eastAsia="es-MX"/>
          <w14:ligatures w14:val="standardContextual"/>
        </w:rPr>
        <w:t>(s)</w:t>
      </w:r>
      <w:r w:rsidRPr="002051F5">
        <w:rPr>
          <w:rFonts w:ascii="Verdana" w:eastAsia="Calibri" w:hAnsi="Verdana" w:cs="Arial"/>
          <w:color w:val="0D0D0D"/>
          <w:lang w:eastAsia="es-MX"/>
        </w:rPr>
        <w:t xml:space="preserve"> en la</w:t>
      </w:r>
      <w:r w:rsidRPr="002051F5">
        <w:rPr>
          <w:rFonts w:ascii="Verdana" w:eastAsia="Calibri" w:hAnsi="Verdana" w:cs="Arial"/>
          <w:color w:val="0D0D0D"/>
          <w:kern w:val="2"/>
          <w:sz w:val="24"/>
          <w:szCs w:val="24"/>
          <w:lang w:eastAsia="es-MX"/>
          <w14:ligatures w14:val="standardContextual"/>
        </w:rPr>
        <w:t>(s)</w:t>
      </w:r>
      <w:r w:rsidRPr="002051F5">
        <w:rPr>
          <w:rFonts w:ascii="Verdana" w:eastAsia="Calibri" w:hAnsi="Verdana" w:cs="Arial"/>
          <w:color w:val="0D0D0D"/>
          <w:lang w:eastAsia="es-MX"/>
        </w:rPr>
        <w:t xml:space="preserve"> que la Secretaría de Movilidad del Distrito de Bogotá ejerce sus funciones, se enmarca</w:t>
      </w:r>
      <w:r w:rsidRPr="002051F5">
        <w:rPr>
          <w:rFonts w:ascii="Verdana" w:eastAsia="Calibri" w:hAnsi="Verdana" w:cs="Arial"/>
          <w:color w:val="0D0D0D"/>
          <w:kern w:val="2"/>
          <w:sz w:val="24"/>
          <w:szCs w:val="24"/>
          <w:lang w:eastAsia="es-MX"/>
          <w14:ligatures w14:val="standardContextual"/>
        </w:rPr>
        <w:t>n</w:t>
      </w:r>
      <w:r w:rsidRPr="002051F5">
        <w:rPr>
          <w:rFonts w:ascii="Verdana" w:eastAsia="Calibri" w:hAnsi="Verdana" w:cs="Arial"/>
          <w:color w:val="0D0D0D"/>
          <w:lang w:eastAsia="es-MX"/>
        </w:rPr>
        <w:t xml:space="preserve"> claramente dentro de las edificaciones institucionales administrativas del Subgrupo de Ocupación Institucional de Servicio Público (I-5) definido por la NSR-10, en la medida en que </w:t>
      </w:r>
      <w:r w:rsidRPr="002051F5">
        <w:rPr>
          <w:rFonts w:ascii="Verdana" w:eastAsia="Calibri" w:hAnsi="Verdana" w:cs="Arial"/>
          <w:i/>
          <w:iCs/>
          <w:color w:val="0D0D0D"/>
          <w:lang w:eastAsia="es-MX"/>
        </w:rPr>
        <w:t>su destinación funcional</w:t>
      </w:r>
      <w:r w:rsidRPr="002051F5">
        <w:rPr>
          <w:rFonts w:ascii="Verdana" w:eastAsia="Calibri" w:hAnsi="Verdana" w:cs="Arial"/>
          <w:color w:val="0D0D0D"/>
          <w:lang w:eastAsia="es-MX"/>
        </w:rPr>
        <w:t xml:space="preserve"> corresponde al ejercicio de competencias administrativas y la prestación de un servicio esencial para el funcionamiento de la ciudad. </w:t>
      </w:r>
    </w:p>
    <w:p w14:paraId="101842C3" w14:textId="77777777" w:rsidR="002051F5" w:rsidRPr="002051F5" w:rsidRDefault="002051F5" w:rsidP="002051F5">
      <w:pPr>
        <w:spacing w:after="120" w:line="278" w:lineRule="auto"/>
        <w:ind w:firstLine="708"/>
        <w:jc w:val="both"/>
        <w:rPr>
          <w:rFonts w:ascii="Verdana" w:eastAsia="Calibri" w:hAnsi="Verdana" w:cs="Arial"/>
          <w:color w:val="0D0D0D"/>
          <w:lang w:eastAsia="es-MX"/>
        </w:rPr>
      </w:pPr>
      <w:r w:rsidRPr="002051F5">
        <w:rPr>
          <w:rFonts w:ascii="Verdana" w:eastAsia="Calibri" w:hAnsi="Verdana" w:cs="Arial"/>
          <w:color w:val="0D0D0D"/>
          <w:lang w:eastAsia="es-MX"/>
        </w:rPr>
        <w:t>En efecto, dicha entidad desarrolla actividades propias de la administración distrital, tales como “(…) orientar y liderar la formulación de las políticas del sistema de movilidad para atender los requerimientos de desplazamiento de pasajeros y de carga en la zona urbana, tanto vehicular como peatonal y de su expansión en el área rural del Distrito Capital (…)”</w:t>
      </w:r>
      <w:r w:rsidRPr="002051F5">
        <w:rPr>
          <w:rFonts w:ascii="Verdana" w:eastAsia="Calibri" w:hAnsi="Verdana" w:cs="Arial"/>
          <w:color w:val="0D0D0D"/>
          <w:vertAlign w:val="superscript"/>
          <w:lang w:eastAsia="es-MX"/>
        </w:rPr>
        <w:footnoteReference w:id="10"/>
      </w:r>
      <w:r w:rsidRPr="002051F5">
        <w:rPr>
          <w:rFonts w:ascii="Verdana" w:eastAsia="Calibri" w:hAnsi="Verdana" w:cs="Arial"/>
          <w:color w:val="0D0D0D"/>
          <w:lang w:eastAsia="es-MX"/>
        </w:rPr>
        <w:t xml:space="preserve">, lo cual se ajusta a la noción de edificaciones destinadas a funciones administrativas, prevista en la clasificación normativa. </w:t>
      </w:r>
    </w:p>
    <w:p w14:paraId="0DC5DB02" w14:textId="77777777" w:rsidR="002051F5" w:rsidRPr="002051F5" w:rsidRDefault="002051F5" w:rsidP="002051F5">
      <w:pPr>
        <w:spacing w:after="120" w:line="276" w:lineRule="auto"/>
        <w:ind w:firstLine="708"/>
        <w:jc w:val="both"/>
        <w:rPr>
          <w:rFonts w:ascii="Verdana" w:eastAsia="Calibri" w:hAnsi="Verdana" w:cs="Arial"/>
          <w:color w:val="0D0D0D"/>
          <w:lang w:eastAsia="es-MX"/>
        </w:rPr>
      </w:pPr>
      <w:r w:rsidRPr="002051F5">
        <w:rPr>
          <w:rFonts w:ascii="Verdana" w:eastAsia="Calibri" w:hAnsi="Verdana" w:cs="Arial"/>
          <w:color w:val="0D0D0D"/>
          <w:lang w:eastAsia="es-MX"/>
        </w:rPr>
        <w:t xml:space="preserve">Asimismo, al tratarse de una infraestructura destinada de manera permanente al cumplimiento de funciones institucionales del Distrito y a la satisfacción de necesidades colectivas, su naturaleza se adecua a los criterios de </w:t>
      </w:r>
      <w:r w:rsidRPr="002051F5">
        <w:rPr>
          <w:rFonts w:ascii="Verdana" w:eastAsia="Calibri" w:hAnsi="Verdana" w:cs="Arial"/>
          <w:color w:val="0D0D0D"/>
          <w:lang w:eastAsia="es-MX"/>
        </w:rPr>
        <w:lastRenderedPageBreak/>
        <w:t xml:space="preserve">finalidad, uso y servicio público que caracterizan este tipo de edificaciones que cumplen un rol esencial en la organización y operación de la ciudad. </w:t>
      </w:r>
    </w:p>
    <w:p w14:paraId="7A6F84FD" w14:textId="77777777" w:rsidR="002051F5" w:rsidRPr="002051F5" w:rsidRDefault="002051F5" w:rsidP="002051F5">
      <w:pPr>
        <w:spacing w:after="120" w:line="276" w:lineRule="auto"/>
        <w:ind w:firstLine="708"/>
        <w:jc w:val="both"/>
        <w:rPr>
          <w:rFonts w:ascii="Verdana" w:eastAsia="Calibri" w:hAnsi="Verdana" w:cs="Arial"/>
          <w:lang w:val="es-ES" w:eastAsia="es-MX"/>
        </w:rPr>
      </w:pPr>
      <w:r w:rsidRPr="002051F5">
        <w:rPr>
          <w:rFonts w:ascii="Verdana" w:eastAsia="Calibri" w:hAnsi="Verdana" w:cs="Arial"/>
          <w:lang w:val="es-ES" w:eastAsia="es-MX"/>
        </w:rPr>
        <w:t>Por lo anterior, la Agencia Nacional de Contratación Pública – Colombia Compra Eficiente le informa que a partir del 16 de febrero de 2026, si una entidad de aquellas obligadas a utilizar los documentos tipo expedidos por esta Entidad adelanta un proceso que tenga por objeto la(s) actividad(es) de</w:t>
      </w:r>
      <w:r w:rsidRPr="002051F5">
        <w:rPr>
          <w:rFonts w:ascii="Verdana" w:eastAsia="Times New Roman" w:hAnsi="Verdana" w:cs="Aptos"/>
          <w:lang w:eastAsia="es-MX"/>
        </w:rPr>
        <w:t xml:space="preserve"> mantenimiento, adecuación y/o reparaciones locativas, entre otras, sobre </w:t>
      </w:r>
      <w:r w:rsidRPr="002051F5">
        <w:rPr>
          <w:rFonts w:ascii="Verdana" w:eastAsia="Arial" w:hAnsi="Verdana" w:cs="Aptos"/>
          <w:i/>
          <w:iCs/>
          <w:lang w:eastAsia="es-ES"/>
        </w:rPr>
        <w:t>infraestructura de servicio público – edificaciones institucionales administrativas,</w:t>
      </w:r>
      <w:r w:rsidRPr="002051F5">
        <w:rPr>
          <w:rFonts w:ascii="Verdana" w:eastAsia="Times New Roman" w:hAnsi="Verdana" w:cs="Aptos"/>
          <w:lang w:eastAsia="es-MX"/>
        </w:rPr>
        <w:t xml:space="preserve"> </w:t>
      </w:r>
      <w:r w:rsidRPr="002051F5">
        <w:rPr>
          <w:rFonts w:ascii="Verdana" w:eastAsia="Calibri" w:hAnsi="Verdana" w:cs="Arial"/>
          <w:lang w:val="es-ES" w:eastAsia="es-MX"/>
        </w:rPr>
        <w:t xml:space="preserve">deberá implementar los documentos tipo acogidos mediante las Resoluciones 539, 540, 541 o 953 de 2025, según el proyecto se adelante por la modalidad de licitación de obra pública, selección abreviada de menor cuantía, mínima cuantía o concurso de méritos – interventoría, donde se encuentra dispuesta la actividades 2.2 aplicables a los proyectos por los que se indaga en su solicitud.  </w:t>
      </w:r>
    </w:p>
    <w:p w14:paraId="234DE92F" w14:textId="77777777" w:rsidR="002051F5" w:rsidRPr="002051F5" w:rsidRDefault="002051F5" w:rsidP="002051F5">
      <w:pPr>
        <w:spacing w:after="0" w:line="278" w:lineRule="auto"/>
        <w:ind w:firstLine="708"/>
        <w:jc w:val="both"/>
        <w:rPr>
          <w:rFonts w:ascii="Verdana" w:eastAsia="Calibri" w:hAnsi="Verdana" w:cs="Arial"/>
          <w:bCs/>
          <w:color w:val="000000"/>
          <w:kern w:val="2"/>
          <w14:ligatures w14:val="standardContextual"/>
        </w:rPr>
      </w:pPr>
      <w:r w:rsidRPr="002051F5">
        <w:rPr>
          <w:rFonts w:ascii="Verdana" w:eastAsia="Aptos" w:hAnsi="Verdana" w:cs="Aptos"/>
          <w:kern w:val="2"/>
          <w14:ligatures w14:val="standardContextual"/>
        </w:rPr>
        <w:t>Sin perjuicio de las aclaraciones anteriores, debe advertirse que es la entidad contratante, al momento de adelantar sus actividades de planeación de cada proceso contractual, quien debe determinar si de acuerdo con las particularidades del contrato a ejecutar, este encaja o no dentro de alguna de las actividades de la matriz 1 de cada Documento Tipo, y si en consecuencia deben aplicarse o no determinados Documentos Tipo, conforme a los parámetros indicados en este concepto. Lo anterior sin que pueda apartarse de su aplicación cuando materialmente el objeto a contratar corresponde con alguna actividad de contemplada en dicha matriz.</w:t>
      </w:r>
      <w:r w:rsidRPr="002051F5">
        <w:rPr>
          <w:rFonts w:ascii="Verdana" w:eastAsia="Times New Roman" w:hAnsi="Verdana" w:cs="Arial"/>
          <w:kern w:val="2"/>
          <w:shd w:val="clear" w:color="auto" w:fill="FFFFFF"/>
          <w:lang w:val="es-ES_tradnl" w:eastAsia="es-ES_tradnl"/>
          <w14:ligatures w14:val="standardContextual"/>
        </w:rPr>
        <w:t xml:space="preserve"> </w:t>
      </w:r>
      <w:r w:rsidRPr="002051F5">
        <w:rPr>
          <w:rFonts w:ascii="Verdana" w:eastAsia="Calibri" w:hAnsi="Verdana" w:cs="Arial"/>
          <w:bCs/>
          <w:color w:val="000000"/>
          <w:kern w:val="2"/>
          <w14:ligatures w14:val="standardContextual"/>
        </w:rPr>
        <w:t xml:space="preserve"> </w:t>
      </w:r>
    </w:p>
    <w:p w14:paraId="7EF7851D" w14:textId="77777777" w:rsidR="002051F5" w:rsidRPr="002051F5" w:rsidRDefault="002051F5" w:rsidP="002051F5">
      <w:pPr>
        <w:tabs>
          <w:tab w:val="center" w:pos="4244"/>
        </w:tabs>
        <w:spacing w:after="0" w:line="276" w:lineRule="auto"/>
        <w:jc w:val="both"/>
        <w:rPr>
          <w:rFonts w:ascii="Verdana" w:eastAsia="Calibri" w:hAnsi="Verdana" w:cs="Arial"/>
          <w:kern w:val="2"/>
          <w14:ligatures w14:val="standardContextual"/>
        </w:rPr>
      </w:pPr>
    </w:p>
    <w:p w14:paraId="78BAAFF4" w14:textId="77777777" w:rsidR="002051F5" w:rsidRPr="002051F5" w:rsidRDefault="002051F5" w:rsidP="002051F5">
      <w:pPr>
        <w:spacing w:after="120" w:line="276" w:lineRule="auto"/>
        <w:jc w:val="both"/>
        <w:rPr>
          <w:rFonts w:ascii="Verdana" w:eastAsia="Times New Roman" w:hAnsi="Verdana" w:cs="Times New Roman"/>
          <w:lang w:eastAsia="es-MX"/>
        </w:rPr>
      </w:pPr>
      <w:proofErr w:type="spellStart"/>
      <w:r w:rsidRPr="002051F5">
        <w:rPr>
          <w:rFonts w:ascii="Verdana" w:eastAsia="Calibri" w:hAnsi="Verdana" w:cs="Arial"/>
          <w:lang w:eastAsia="es-MX"/>
        </w:rPr>
        <w:t>iii</w:t>
      </w:r>
      <w:proofErr w:type="spellEnd"/>
      <w:r w:rsidRPr="002051F5">
        <w:rPr>
          <w:rFonts w:ascii="Verdana" w:eastAsia="Calibri" w:hAnsi="Verdana" w:cs="Arial"/>
          <w:lang w:eastAsia="es-MX"/>
        </w:rPr>
        <w:t xml:space="preserve">. </w:t>
      </w:r>
      <w:r w:rsidRPr="002051F5">
        <w:rPr>
          <w:rFonts w:ascii="Verdana" w:eastAsia="Calibri" w:hAnsi="Verdana" w:cs="Arial"/>
          <w:bCs/>
          <w:color w:val="000000"/>
          <w:lang w:eastAsia="es-MX"/>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2CFD1E99" w14:textId="77777777" w:rsidR="002051F5" w:rsidRPr="002051F5" w:rsidRDefault="002051F5" w:rsidP="002051F5">
      <w:pPr>
        <w:spacing w:after="0" w:line="276" w:lineRule="auto"/>
        <w:ind w:firstLine="708"/>
        <w:jc w:val="both"/>
        <w:rPr>
          <w:rFonts w:ascii="Verdana" w:eastAsia="Calibri" w:hAnsi="Verdana" w:cs="Arial"/>
          <w:bCs/>
          <w:color w:val="000000"/>
          <w:lang w:eastAsia="es-MX"/>
        </w:rPr>
      </w:pPr>
      <w:r w:rsidRPr="002051F5">
        <w:rPr>
          <w:rFonts w:ascii="Verdana" w:eastAsia="Calibri" w:hAnsi="Verdana" w:cs="Arial"/>
          <w:bCs/>
          <w:color w:val="000000"/>
          <w:lang w:eastAsia="es-MX"/>
        </w:rPr>
        <w:t xml:space="preserve">Dentro de este marco, la entidad contratante definirá en cada caso concreto lo relacionado con el tema objeto de consulta. Al tratarse de un análisis </w:t>
      </w:r>
      <w:r w:rsidRPr="002051F5">
        <w:rPr>
          <w:rFonts w:ascii="Verdana" w:eastAsia="Calibri" w:hAnsi="Verdana" w:cs="Arial"/>
          <w:bCs/>
          <w:color w:val="000000"/>
          <w:lang w:eastAsia="es-MX"/>
        </w:rPr>
        <w:lastRenderedPageBreak/>
        <w:t xml:space="preserve">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058BB046" w14:textId="77777777" w:rsidR="002051F5" w:rsidRPr="002051F5" w:rsidRDefault="002051F5" w:rsidP="002051F5">
      <w:pPr>
        <w:spacing w:after="0" w:line="276" w:lineRule="auto"/>
        <w:jc w:val="both"/>
        <w:rPr>
          <w:rFonts w:ascii="Verdana" w:eastAsia="Calibri" w:hAnsi="Verdana" w:cs="Times New Roman"/>
          <w:lang w:eastAsia="es-MX"/>
        </w:rPr>
      </w:pPr>
    </w:p>
    <w:p w14:paraId="5AF614FE" w14:textId="77777777" w:rsidR="002051F5" w:rsidRPr="002051F5" w:rsidRDefault="002051F5" w:rsidP="002051F5">
      <w:pPr>
        <w:tabs>
          <w:tab w:val="left" w:pos="142"/>
          <w:tab w:val="left" w:pos="284"/>
        </w:tabs>
        <w:spacing w:after="0" w:line="276" w:lineRule="auto"/>
        <w:jc w:val="both"/>
        <w:rPr>
          <w:rFonts w:ascii="Verdana" w:eastAsia="Century Gothic" w:hAnsi="Verdana" w:cs="Century Gothic"/>
          <w:b/>
          <w:bCs/>
          <w:lang w:val="es-ES_tradnl" w:eastAsia="es-MX"/>
        </w:rPr>
      </w:pPr>
      <w:r w:rsidRPr="002051F5">
        <w:rPr>
          <w:rFonts w:ascii="Verdana" w:eastAsia="Century Gothic" w:hAnsi="Verdana" w:cs="Century Gothic"/>
          <w:b/>
          <w:bCs/>
          <w:lang w:val="es-ES_tradnl" w:eastAsia="es-MX"/>
        </w:rPr>
        <w:t>4. Referencias normativas, jurisprudenciales y otras fuentes:</w:t>
      </w:r>
    </w:p>
    <w:p w14:paraId="2D902A84" w14:textId="77777777" w:rsidR="002051F5" w:rsidRPr="002051F5" w:rsidRDefault="002051F5" w:rsidP="002051F5">
      <w:pPr>
        <w:spacing w:after="0"/>
        <w:ind w:left="-15840"/>
        <w:jc w:val="both"/>
        <w:rPr>
          <w:rFonts w:ascii="Verdana" w:eastAsia="Calibri" w:hAnsi="Verdana" w:cs="Arial"/>
          <w:b/>
          <w:bCs/>
          <w:lang w:eastAsia="es-MX"/>
        </w:rPr>
      </w:pPr>
      <w:r w:rsidRPr="002051F5">
        <w:rPr>
          <w:rFonts w:ascii="Verdana" w:eastAsia="Calibri" w:hAnsi="Verdana" w:cs="Arial"/>
          <w:b/>
          <w:bCs/>
          <w:lang w:eastAsia="es-MX"/>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2051F5" w:rsidRPr="002051F5" w14:paraId="364A265E" w14:textId="77777777" w:rsidTr="00C03DCE">
        <w:trPr>
          <w:trHeight w:val="870"/>
        </w:trPr>
        <w:tc>
          <w:tcPr>
            <w:tcW w:w="8647" w:type="dxa"/>
            <w:tcBorders>
              <w:top w:val="dotted" w:sz="4" w:space="0" w:color="auto"/>
              <w:left w:val="dotted" w:sz="4" w:space="0" w:color="auto"/>
              <w:bottom w:val="dotted" w:sz="4" w:space="0" w:color="auto"/>
              <w:right w:val="dotted" w:sz="4" w:space="0" w:color="auto"/>
            </w:tcBorders>
          </w:tcPr>
          <w:p w14:paraId="0EBBE66B" w14:textId="77777777" w:rsidR="002051F5" w:rsidRPr="002051F5" w:rsidRDefault="002051F5" w:rsidP="002051F5">
            <w:pPr>
              <w:contextualSpacing/>
              <w:jc w:val="both"/>
              <w:rPr>
                <w:rFonts w:ascii="Verdana" w:eastAsia="Calibri" w:hAnsi="Verdana" w:cs="Arial"/>
                <w:bCs/>
                <w:lang w:eastAsia="es-MX"/>
              </w:rPr>
            </w:pPr>
          </w:p>
          <w:p w14:paraId="59834FE4" w14:textId="77777777" w:rsidR="002051F5" w:rsidRPr="002051F5" w:rsidRDefault="002051F5" w:rsidP="002051F5">
            <w:pPr>
              <w:widowControl w:val="0"/>
              <w:numPr>
                <w:ilvl w:val="0"/>
                <w:numId w:val="16"/>
              </w:numPr>
              <w:autoSpaceDE w:val="0"/>
              <w:autoSpaceDN w:val="0"/>
              <w:spacing w:line="276" w:lineRule="auto"/>
              <w:ind w:left="714" w:hanging="357"/>
              <w:jc w:val="both"/>
              <w:rPr>
                <w:rFonts w:ascii="Verdana" w:eastAsia="Calibri" w:hAnsi="Verdana" w:cs="Arial"/>
                <w:lang w:val="es-ES_tradnl" w:eastAsia="es-MX"/>
              </w:rPr>
            </w:pPr>
            <w:r w:rsidRPr="002051F5">
              <w:rPr>
                <w:rFonts w:ascii="Verdana" w:eastAsia="Calibri" w:hAnsi="Verdana" w:cs="Arial"/>
                <w:lang w:val="es-ES_tradnl" w:eastAsia="es-MX"/>
              </w:rPr>
              <w:t xml:space="preserve">Ley 2022 de 2020, artículo 1. </w:t>
            </w:r>
          </w:p>
          <w:p w14:paraId="1D9CC070" w14:textId="77777777" w:rsidR="002051F5" w:rsidRPr="002051F5" w:rsidRDefault="002051F5" w:rsidP="002051F5">
            <w:pPr>
              <w:widowControl w:val="0"/>
              <w:numPr>
                <w:ilvl w:val="0"/>
                <w:numId w:val="16"/>
              </w:numPr>
              <w:autoSpaceDE w:val="0"/>
              <w:autoSpaceDN w:val="0"/>
              <w:spacing w:line="276" w:lineRule="auto"/>
              <w:jc w:val="both"/>
              <w:rPr>
                <w:rFonts w:ascii="Verdana" w:eastAsia="Calibri" w:hAnsi="Verdana" w:cs="Arial"/>
                <w:lang w:eastAsia="es-MX"/>
              </w:rPr>
            </w:pPr>
            <w:r w:rsidRPr="002051F5">
              <w:rPr>
                <w:rFonts w:ascii="Verdana" w:eastAsia="Calibri" w:hAnsi="Verdana" w:cs="Arial"/>
                <w:lang w:eastAsia="es-MX"/>
              </w:rPr>
              <w:t>Ley 1150 de 2007, artículo 2.</w:t>
            </w:r>
          </w:p>
          <w:p w14:paraId="218F3DAA" w14:textId="77777777" w:rsidR="002051F5" w:rsidRPr="002051F5" w:rsidRDefault="002051F5" w:rsidP="002051F5">
            <w:pPr>
              <w:widowControl w:val="0"/>
              <w:numPr>
                <w:ilvl w:val="0"/>
                <w:numId w:val="16"/>
              </w:numPr>
              <w:autoSpaceDE w:val="0"/>
              <w:autoSpaceDN w:val="0"/>
              <w:spacing w:line="276" w:lineRule="auto"/>
              <w:contextualSpacing/>
              <w:jc w:val="both"/>
              <w:rPr>
                <w:rFonts w:ascii="Verdana" w:eastAsia="Calibri" w:hAnsi="Verdana" w:cs="Arial"/>
                <w:lang w:eastAsia="es-MX"/>
              </w:rPr>
            </w:pPr>
            <w:r w:rsidRPr="002051F5">
              <w:rPr>
                <w:rFonts w:ascii="Verdana" w:eastAsia="Calibri" w:hAnsi="Verdana" w:cs="Arial"/>
                <w:lang w:val="es-ES_tradnl" w:eastAsia="es-MX"/>
              </w:rPr>
              <w:t xml:space="preserve">Documentos Tipo. Disponibles en: </w:t>
            </w:r>
            <w:hyperlink r:id="rId11" w:history="1">
              <w:r w:rsidRPr="002051F5">
                <w:rPr>
                  <w:rFonts w:ascii="Verdana" w:eastAsia="Calibri" w:hAnsi="Verdana" w:cs="Arial"/>
                  <w:color w:val="0000FF"/>
                  <w:u w:val="single"/>
                  <w:lang w:val="es-ES_tradnl" w:eastAsia="es-MX"/>
                </w:rPr>
                <w:t>https://www.colombiacompra.gov.co/documentos-tipo/documentos-tipo</w:t>
              </w:r>
            </w:hyperlink>
            <w:r w:rsidRPr="002051F5">
              <w:rPr>
                <w:rFonts w:ascii="Verdana" w:eastAsia="Calibri" w:hAnsi="Verdana" w:cs="Arial"/>
                <w:lang w:val="es-ES_tradnl" w:eastAsia="es-MX"/>
              </w:rPr>
              <w:t>.</w:t>
            </w:r>
          </w:p>
          <w:p w14:paraId="0F3D6659" w14:textId="77777777" w:rsidR="002051F5" w:rsidRPr="002051F5" w:rsidRDefault="002051F5" w:rsidP="002051F5">
            <w:pPr>
              <w:widowControl w:val="0"/>
              <w:numPr>
                <w:ilvl w:val="0"/>
                <w:numId w:val="16"/>
              </w:numPr>
              <w:autoSpaceDE w:val="0"/>
              <w:autoSpaceDN w:val="0"/>
              <w:spacing w:line="276" w:lineRule="auto"/>
              <w:contextualSpacing/>
              <w:jc w:val="both"/>
              <w:rPr>
                <w:rFonts w:ascii="Verdana" w:eastAsia="Calibri" w:hAnsi="Verdana" w:cs="Arial"/>
                <w:lang w:eastAsia="es-MX"/>
              </w:rPr>
            </w:pPr>
            <w:r w:rsidRPr="002051F5">
              <w:rPr>
                <w:rFonts w:ascii="Verdana" w:eastAsia="Calibri" w:hAnsi="Verdana" w:cs="Arial"/>
                <w:lang w:val="es-ES_tradnl" w:eastAsia="es-MX"/>
              </w:rPr>
              <w:t>Reglamento Colombiano de Construcción Sismo Resistente NSR-10</w:t>
            </w:r>
          </w:p>
          <w:p w14:paraId="418C11AA" w14:textId="77777777" w:rsidR="002051F5" w:rsidRPr="002051F5" w:rsidRDefault="002051F5" w:rsidP="002051F5">
            <w:pPr>
              <w:widowControl w:val="0"/>
              <w:numPr>
                <w:ilvl w:val="0"/>
                <w:numId w:val="16"/>
              </w:numPr>
              <w:autoSpaceDE w:val="0"/>
              <w:autoSpaceDN w:val="0"/>
              <w:spacing w:line="276" w:lineRule="auto"/>
              <w:contextualSpacing/>
              <w:jc w:val="both"/>
              <w:rPr>
                <w:rFonts w:ascii="Verdana" w:eastAsia="Calibri" w:hAnsi="Verdana" w:cs="Arial"/>
                <w:lang w:eastAsia="es-MX"/>
              </w:rPr>
            </w:pPr>
            <w:r w:rsidRPr="002051F5">
              <w:rPr>
                <w:rFonts w:ascii="Verdana" w:eastAsia="Aptos" w:hAnsi="Verdana" w:cs="Arial"/>
              </w:rPr>
              <w:t>PODETTI, Humberto. El contrato de construcción. Buenos Aires: Astrea, 2004. Pp. 254-255.</w:t>
            </w:r>
          </w:p>
          <w:p w14:paraId="358E7C7A" w14:textId="77777777" w:rsidR="002051F5" w:rsidRPr="002051F5" w:rsidRDefault="002051F5" w:rsidP="002051F5">
            <w:pPr>
              <w:widowControl w:val="0"/>
              <w:numPr>
                <w:ilvl w:val="0"/>
                <w:numId w:val="16"/>
              </w:numPr>
              <w:autoSpaceDE w:val="0"/>
              <w:autoSpaceDN w:val="0"/>
              <w:spacing w:line="276" w:lineRule="auto"/>
              <w:contextualSpacing/>
              <w:jc w:val="both"/>
              <w:rPr>
                <w:rFonts w:ascii="Verdana" w:eastAsia="Calibri" w:hAnsi="Verdana" w:cs="Arial"/>
                <w:lang w:eastAsia="es-MX"/>
              </w:rPr>
            </w:pPr>
            <w:r w:rsidRPr="002051F5">
              <w:rPr>
                <w:rFonts w:ascii="Verdana" w:eastAsia="Aptos" w:hAnsi="Verdana" w:cs="Arial"/>
              </w:rPr>
              <w:t xml:space="preserve">PLANIOL, Marcel &amp; RIPERT, </w:t>
            </w:r>
            <w:proofErr w:type="spellStart"/>
            <w:r w:rsidRPr="002051F5">
              <w:rPr>
                <w:rFonts w:ascii="Verdana" w:eastAsia="Aptos" w:hAnsi="Verdana" w:cs="Arial"/>
              </w:rPr>
              <w:t>Jeorge</w:t>
            </w:r>
            <w:proofErr w:type="spellEnd"/>
            <w:r w:rsidRPr="002051F5">
              <w:rPr>
                <w:rFonts w:ascii="Verdana" w:eastAsia="Aptos" w:hAnsi="Verdana" w:cs="Arial"/>
              </w:rPr>
              <w:t xml:space="preserve">. Tratado práctico de derecho civil francés. Tomo XI. La Habana: Cultural SA, 1940. p. 163. </w:t>
            </w:r>
          </w:p>
        </w:tc>
      </w:tr>
    </w:tbl>
    <w:p w14:paraId="55AEBA04" w14:textId="77777777" w:rsidR="002051F5" w:rsidRPr="002051F5" w:rsidRDefault="002051F5" w:rsidP="002051F5">
      <w:pPr>
        <w:tabs>
          <w:tab w:val="left" w:pos="142"/>
          <w:tab w:val="left" w:pos="284"/>
        </w:tabs>
        <w:spacing w:after="0" w:line="276" w:lineRule="auto"/>
        <w:jc w:val="both"/>
        <w:rPr>
          <w:rFonts w:ascii="Verdana" w:eastAsia="Calibri" w:hAnsi="Verdana" w:cs="Arial"/>
          <w:lang w:eastAsia="es-MX"/>
        </w:rPr>
      </w:pPr>
    </w:p>
    <w:p w14:paraId="2B230B70" w14:textId="77777777" w:rsidR="002051F5" w:rsidRPr="002051F5" w:rsidRDefault="002051F5" w:rsidP="002051F5">
      <w:pPr>
        <w:tabs>
          <w:tab w:val="left" w:pos="142"/>
          <w:tab w:val="left" w:pos="284"/>
        </w:tabs>
        <w:spacing w:after="0" w:line="276" w:lineRule="auto"/>
        <w:jc w:val="both"/>
        <w:rPr>
          <w:rFonts w:ascii="Verdana" w:eastAsia="Century Gothic" w:hAnsi="Verdana" w:cs="Century Gothic"/>
          <w:b/>
          <w:bCs/>
          <w:lang w:val="es-ES" w:eastAsia="es-MX"/>
        </w:rPr>
      </w:pPr>
      <w:r w:rsidRPr="002051F5">
        <w:rPr>
          <w:rFonts w:ascii="Verdana" w:eastAsia="Calibri" w:hAnsi="Verdana" w:cs="Arial"/>
          <w:b/>
          <w:bCs/>
          <w:lang w:eastAsia="es-MX"/>
        </w:rPr>
        <w:t>5</w:t>
      </w:r>
      <w:r w:rsidRPr="002051F5">
        <w:rPr>
          <w:rFonts w:ascii="Verdana" w:eastAsia="Calibri" w:hAnsi="Verdana" w:cs="Arial"/>
          <w:lang w:eastAsia="es-MX"/>
        </w:rPr>
        <w:t>.</w:t>
      </w:r>
      <w:r w:rsidRPr="002051F5">
        <w:rPr>
          <w:rFonts w:ascii="Verdana" w:eastAsia="Century Gothic" w:hAnsi="Verdana" w:cs="Century Gothic"/>
          <w:b/>
          <w:bCs/>
          <w:lang w:val="es-ES" w:eastAsia="es-MX"/>
        </w:rPr>
        <w:t>Doctrina de la Agencia Nacional de Contratación Pública:</w:t>
      </w:r>
    </w:p>
    <w:p w14:paraId="7A7A954F" w14:textId="77777777" w:rsidR="002051F5" w:rsidRPr="002051F5" w:rsidRDefault="002051F5" w:rsidP="002051F5">
      <w:pPr>
        <w:widowControl w:val="0"/>
        <w:autoSpaceDE w:val="0"/>
        <w:autoSpaceDN w:val="0"/>
        <w:spacing w:after="0" w:line="276" w:lineRule="auto"/>
        <w:jc w:val="both"/>
        <w:rPr>
          <w:rFonts w:ascii="Verdana" w:eastAsia="Calibri" w:hAnsi="Verdana" w:cs="Arial"/>
          <w:lang w:eastAsia="es-MX"/>
        </w:rPr>
      </w:pPr>
    </w:p>
    <w:p w14:paraId="4BBEFECB" w14:textId="77777777" w:rsidR="002051F5" w:rsidRPr="002051F5" w:rsidRDefault="002051F5" w:rsidP="002051F5">
      <w:pPr>
        <w:spacing w:after="0" w:line="276" w:lineRule="auto"/>
        <w:jc w:val="both"/>
        <w:rPr>
          <w:rFonts w:ascii="Verdana" w:eastAsia="Calibri" w:hAnsi="Verdana" w:cs="Arial"/>
          <w:shd w:val="clear" w:color="auto" w:fill="FFFFFF"/>
          <w:lang w:val="es-ES" w:eastAsia="es-MX"/>
        </w:rPr>
      </w:pPr>
      <w:r w:rsidRPr="002051F5">
        <w:rPr>
          <w:rFonts w:ascii="Verdana" w:eastAsia="Calibri" w:hAnsi="Verdana" w:cs="Arial"/>
          <w:shd w:val="clear" w:color="auto" w:fill="FFFFFF"/>
          <w:lang w:val="es-ES" w:eastAsia="es-MX"/>
        </w:rPr>
        <w:t>La Agencia Nacional de Contratación Pública – Colombia Compra Eficiente se pronunció</w:t>
      </w:r>
      <w:r w:rsidRPr="002051F5">
        <w:rPr>
          <w:rFonts w:ascii="Verdana" w:eastAsia="Calibri" w:hAnsi="Verdana" w:cs="Times New Roman"/>
          <w:lang w:eastAsia="es-MX"/>
        </w:rPr>
        <w:t xml:space="preserve"> </w:t>
      </w:r>
      <w:r w:rsidRPr="002051F5">
        <w:rPr>
          <w:rFonts w:ascii="Verdana" w:eastAsia="Calibri" w:hAnsi="Verdana" w:cs="Arial"/>
          <w:shd w:val="clear" w:color="auto" w:fill="FFFFFF"/>
          <w:lang w:val="es-ES" w:eastAsia="es-MX"/>
        </w:rPr>
        <w:t>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2023,C-231 del 30 de junio de 2023, C-587 del 23 de octubre de 2024,</w:t>
      </w:r>
      <w:r w:rsidRPr="002051F5">
        <w:rPr>
          <w:rFonts w:ascii="Verdana" w:eastAsia="Calibri" w:hAnsi="Verdana" w:cs="Arial"/>
          <w:shd w:val="clear" w:color="auto" w:fill="FFFFFF"/>
          <w:lang w:val="es-ES" w:eastAsia="es-MX"/>
        </w:rPr>
        <w:tab/>
        <w:t xml:space="preserve">C-636 del 1 de noviembre de 2024, C-777 del 9 de diciembre de 2024, C-971 del 21 de enero de 2025, C-1813 del 31 de diciembre de 2025, C-186 del 16 de marzo de 2026, C-258 del 19 de marzo de 2026, C-392 del 20 de abril de 2026, C-386 del 23 de abril de 2026, C-475 del 23 de abril de 2026, C-452 del 4 de mayo de 2026, entre otros. </w:t>
      </w:r>
    </w:p>
    <w:p w14:paraId="79419EC3" w14:textId="77777777" w:rsidR="002051F5" w:rsidRPr="002051F5" w:rsidRDefault="002051F5" w:rsidP="002051F5">
      <w:pPr>
        <w:spacing w:after="0" w:line="240" w:lineRule="auto"/>
        <w:jc w:val="both"/>
        <w:rPr>
          <w:rFonts w:ascii="Verdana" w:eastAsia="Calibri" w:hAnsi="Verdana" w:cs="Arial"/>
          <w:color w:val="000000"/>
          <w:shd w:val="clear" w:color="auto" w:fill="FFFFFF"/>
          <w:lang w:eastAsia="es-MX"/>
        </w:rPr>
      </w:pPr>
    </w:p>
    <w:p w14:paraId="6574AA0E" w14:textId="77777777" w:rsidR="002051F5" w:rsidRPr="002051F5" w:rsidRDefault="002051F5" w:rsidP="002051F5">
      <w:pPr>
        <w:widowControl w:val="0"/>
        <w:autoSpaceDE w:val="0"/>
        <w:autoSpaceDN w:val="0"/>
        <w:spacing w:after="0" w:line="276" w:lineRule="auto"/>
        <w:jc w:val="both"/>
        <w:rPr>
          <w:rFonts w:ascii="Verdana" w:eastAsia="Calibri" w:hAnsi="Verdana" w:cs="Arial"/>
          <w:color w:val="0000FF"/>
          <w:u w:val="single"/>
          <w:shd w:val="clear" w:color="auto" w:fill="FFFFFF"/>
          <w:lang w:eastAsia="es-MX"/>
        </w:rPr>
      </w:pPr>
      <w:r w:rsidRPr="002051F5">
        <w:rPr>
          <w:rFonts w:ascii="Verdana" w:eastAsia="Calibri" w:hAnsi="Verdana" w:cs="Arial"/>
          <w:color w:val="000000"/>
          <w:shd w:val="clear" w:color="auto" w:fill="FFFFFF"/>
          <w:lang w:eastAsia="es-MX"/>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2051F5">
          <w:rPr>
            <w:rFonts w:ascii="Verdana" w:eastAsia="Calibri" w:hAnsi="Verdana" w:cs="Arial"/>
            <w:color w:val="0000FF"/>
            <w:u w:val="single"/>
            <w:shd w:val="clear" w:color="auto" w:fill="FFFFFF"/>
            <w:lang w:eastAsia="es-MX"/>
          </w:rPr>
          <w:t>https://relatoria.colombiacompra.gov.co/</w:t>
        </w:r>
      </w:hyperlink>
      <w:r w:rsidRPr="002051F5">
        <w:rPr>
          <w:rFonts w:ascii="Verdana" w:eastAsia="Calibri" w:hAnsi="Verdana" w:cs="Arial"/>
          <w:color w:val="0000FF"/>
          <w:u w:val="single"/>
          <w:shd w:val="clear" w:color="auto" w:fill="FFFFFF"/>
          <w:lang w:eastAsia="es-MX"/>
        </w:rPr>
        <w:t> .</w:t>
      </w:r>
    </w:p>
    <w:p w14:paraId="47ACC7A8" w14:textId="77777777" w:rsidR="002051F5" w:rsidRPr="002051F5" w:rsidRDefault="002051F5" w:rsidP="002051F5">
      <w:pPr>
        <w:widowControl w:val="0"/>
        <w:autoSpaceDE w:val="0"/>
        <w:autoSpaceDN w:val="0"/>
        <w:spacing w:after="0" w:line="276" w:lineRule="auto"/>
        <w:jc w:val="both"/>
        <w:rPr>
          <w:rFonts w:ascii="Verdana" w:eastAsia="Calibri" w:hAnsi="Verdana" w:cs="Arial"/>
          <w:color w:val="0000FF"/>
          <w:u w:val="single"/>
          <w:shd w:val="clear" w:color="auto" w:fill="FFFFFF"/>
          <w:lang w:eastAsia="es-MX"/>
        </w:rPr>
      </w:pPr>
    </w:p>
    <w:p w14:paraId="4A745970" w14:textId="77777777" w:rsidR="002051F5" w:rsidRPr="002051F5" w:rsidRDefault="002051F5" w:rsidP="002051F5">
      <w:pPr>
        <w:spacing w:after="0" w:line="276" w:lineRule="auto"/>
        <w:jc w:val="both"/>
        <w:rPr>
          <w:rFonts w:ascii="Verdana" w:eastAsia="Times New Roman" w:hAnsi="Verdana" w:cs="Arial"/>
          <w:lang w:eastAsia="es-MX"/>
        </w:rPr>
      </w:pPr>
      <w:r w:rsidRPr="002051F5">
        <w:rPr>
          <w:rFonts w:ascii="Verdana" w:eastAsia="Times New Roman" w:hAnsi="Verdana" w:cs="Arial"/>
          <w:lang w:eastAsia="es-MX"/>
        </w:rPr>
        <w:t xml:space="preserve">La sostenibilidad no es una opción, es una obligación. Por ello, la Agencia Nacional de Contratación Pública –Colombia Compra Eficiente– te invita a realizar el </w:t>
      </w:r>
      <w:r w:rsidRPr="002051F5">
        <w:rPr>
          <w:rFonts w:ascii="Verdana" w:eastAsia="Times New Roman" w:hAnsi="Verdana" w:cs="Arial"/>
          <w:b/>
          <w:bCs/>
          <w:lang w:eastAsia="es-MX"/>
        </w:rPr>
        <w:t>Curso de Contratación Pública Sostenible y Socialmente Responsable</w:t>
      </w:r>
      <w:r w:rsidRPr="002051F5">
        <w:rPr>
          <w:rFonts w:ascii="Verdana" w:eastAsia="Times New Roman" w:hAnsi="Verdana" w:cs="Arial"/>
          <w:lang w:eastAsia="es-MX"/>
        </w:rPr>
        <w:t>, una herramienta clave para fortalecer las capacidades de todos los compradores públicos, proveedores, servidores públicos y para generar mayor valor público. Accede al curso y aprende como implementar criterios sociales y ambientales en las diferentes etapas del proceso de contratación:</w:t>
      </w:r>
      <w:r w:rsidRPr="002051F5">
        <w:rPr>
          <w:rFonts w:ascii="Verdana" w:eastAsia="Times New Roman" w:hAnsi="Verdana" w:cs="Arial"/>
          <w:lang w:eastAsia="es-MX"/>
        </w:rPr>
        <w:br/>
      </w:r>
      <w:hyperlink r:id="rId13" w:tgtFrame="_new" w:history="1">
        <w:r w:rsidRPr="002051F5">
          <w:rPr>
            <w:rFonts w:ascii="Verdana" w:eastAsia="Times New Roman" w:hAnsi="Verdana" w:cs="Arial"/>
            <w:color w:val="0000FF"/>
            <w:u w:val="single"/>
            <w:lang w:eastAsia="es-MX"/>
          </w:rPr>
          <w:t>https://formacionvirtual.colombiacompra.gov.co/mod/page/view.php?id=3718</w:t>
        </w:r>
      </w:hyperlink>
    </w:p>
    <w:p w14:paraId="6C97FC9F" w14:textId="77777777" w:rsidR="002051F5" w:rsidRPr="002051F5" w:rsidRDefault="002051F5" w:rsidP="002051F5">
      <w:pPr>
        <w:spacing w:after="0" w:line="276" w:lineRule="auto"/>
        <w:jc w:val="both"/>
        <w:rPr>
          <w:rFonts w:ascii="Verdana" w:eastAsia="Times New Roman" w:hAnsi="Verdana" w:cs="Arial"/>
          <w:lang w:eastAsia="es-MX"/>
        </w:rPr>
      </w:pPr>
      <w:r w:rsidRPr="002051F5">
        <w:rPr>
          <w:rFonts w:ascii="Verdana" w:eastAsia="Times New Roman" w:hAnsi="Verdana" w:cs="Arial"/>
          <w:lang w:eastAsia="es-MX"/>
        </w:rPr>
        <w:t xml:space="preserve">De otro lado, te contamos que esta Agencia ha da un paso decisivo en la estandarización y modernización del </w:t>
      </w:r>
      <w:r w:rsidRPr="002051F5">
        <w:rPr>
          <w:rFonts w:ascii="Verdana" w:eastAsia="Times New Roman" w:hAnsi="Verdana" w:cs="Arial"/>
          <w:b/>
          <w:bCs/>
          <w:lang w:eastAsia="es-MX"/>
        </w:rPr>
        <w:t>sector  social</w:t>
      </w:r>
      <w:r w:rsidRPr="002051F5">
        <w:rPr>
          <w:rFonts w:ascii="Verdana" w:eastAsia="Times New Roman" w:hAnsi="Verdana" w:cs="Arial"/>
          <w:lang w:eastAsia="es-MX"/>
        </w:rPr>
        <w:t xml:space="preserve"> con la expedición de las </w:t>
      </w:r>
      <w:r w:rsidRPr="002051F5">
        <w:rPr>
          <w:rFonts w:ascii="Verdana" w:eastAsia="Times New Roman" w:hAnsi="Verdana" w:cs="Arial"/>
          <w:b/>
          <w:bCs/>
          <w:lang w:eastAsia="es-MX"/>
        </w:rPr>
        <w:t>Resoluciones 539, 540, 541, 952 y 953 de 2025</w:t>
      </w:r>
      <w:r w:rsidRPr="002051F5">
        <w:rPr>
          <w:rFonts w:ascii="Verdana" w:eastAsia="Times New Roman" w:hAnsi="Verdana" w:cs="Arial"/>
          <w:lang w:eastAsia="es-MX"/>
        </w:rPr>
        <w:t xml:space="preserve">, </w:t>
      </w:r>
      <w:r w:rsidRPr="002051F5">
        <w:rPr>
          <w:rFonts w:ascii="Verdana" w:eastAsia="Times New Roman" w:hAnsi="Verdana" w:cs="Arial"/>
          <w:b/>
          <w:bCs/>
          <w:lang w:eastAsia="es-MX"/>
        </w:rPr>
        <w:t>mediante las cuales adoptó Documentos Tipo</w:t>
      </w:r>
      <w:r w:rsidRPr="002051F5">
        <w:rPr>
          <w:rFonts w:ascii="Verdana" w:eastAsia="Times New Roman" w:hAnsi="Verdana" w:cs="Arial"/>
          <w:lang w:eastAsia="es-MX"/>
        </w:rPr>
        <w:t xml:space="preserve"> para las modalidades de selección de</w:t>
      </w:r>
      <w:r w:rsidRPr="002051F5">
        <w:rPr>
          <w:rFonts w:ascii="Verdana" w:eastAsia="Times New Roman" w:hAnsi="Verdana" w:cs="Arial"/>
          <w:b/>
          <w:bCs/>
          <w:lang w:eastAsia="es-MX"/>
        </w:rPr>
        <w:t xml:space="preserve"> licitación pública (versión 2), selección abreviada de menor cuantía, mínima cuantía, consultoría e interventoría</w:t>
      </w:r>
      <w:r w:rsidRPr="002051F5">
        <w:rPr>
          <w:rFonts w:ascii="Verdana" w:eastAsia="Times New Roman" w:hAnsi="Verdana" w:cs="Arial"/>
          <w:lang w:eastAsia="es-MX"/>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2051F5">
          <w:rPr>
            <w:rFonts w:ascii="Verdana" w:eastAsia="Times New Roman" w:hAnsi="Verdana" w:cs="Arial"/>
            <w:color w:val="0000FF"/>
            <w:u w:val="single"/>
            <w:lang w:eastAsia="es-MX"/>
          </w:rPr>
          <w:t>https://www.colombiacompra.gov.co/normativa-y-relatoria/documentos-tipo</w:t>
        </w:r>
      </w:hyperlink>
    </w:p>
    <w:p w14:paraId="1DC33EEC" w14:textId="77777777" w:rsidR="002051F5" w:rsidRPr="002051F5" w:rsidRDefault="002051F5" w:rsidP="002051F5">
      <w:pPr>
        <w:spacing w:after="0" w:line="276" w:lineRule="auto"/>
        <w:jc w:val="both"/>
        <w:rPr>
          <w:rFonts w:ascii="Verdana" w:eastAsia="Times New Roman" w:hAnsi="Verdana" w:cs="Arial"/>
          <w:lang w:eastAsia="es-MX"/>
        </w:rPr>
      </w:pPr>
    </w:p>
    <w:p w14:paraId="6651B16F" w14:textId="77777777" w:rsidR="002051F5" w:rsidRPr="002051F5" w:rsidRDefault="002051F5" w:rsidP="002051F5">
      <w:pPr>
        <w:spacing w:after="0" w:line="276" w:lineRule="auto"/>
        <w:jc w:val="both"/>
        <w:rPr>
          <w:rFonts w:ascii="Verdana" w:eastAsia="Times New Roman" w:hAnsi="Verdana" w:cs="Arial"/>
          <w:lang w:eastAsia="es-MX"/>
        </w:rPr>
      </w:pPr>
      <w:r w:rsidRPr="002051F5">
        <w:rPr>
          <w:rFonts w:ascii="Verdana" w:eastAsia="Times New Roman" w:hAnsi="Verdana" w:cs="Arial"/>
          <w:lang w:eastAsia="es-MX"/>
        </w:rPr>
        <w:t xml:space="preserve">Si quieres conocer más sobre la aplicación de Documentos Tipo puedes consultar la última versión de la </w:t>
      </w:r>
      <w:r w:rsidRPr="002051F5">
        <w:rPr>
          <w:rFonts w:ascii="Verdana" w:eastAsia="Times New Roman" w:hAnsi="Verdana" w:cs="Arial"/>
          <w:b/>
          <w:bCs/>
          <w:lang w:eastAsia="es-MX"/>
        </w:rPr>
        <w:t>Guía para la comprensión e implementación de los Documentos Tipo de obra pública de infraestructura de transporte</w:t>
      </w:r>
      <w:r w:rsidRPr="002051F5">
        <w:rPr>
          <w:rFonts w:ascii="Verdana" w:eastAsia="Times New Roman" w:hAnsi="Verdana" w:cs="Arial"/>
          <w:lang w:eastAsia="es-MX"/>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2051F5">
        <w:rPr>
          <w:rFonts w:ascii="Verdana" w:eastAsia="Times New Roman" w:hAnsi="Verdana" w:cs="Arial"/>
          <w:lang w:eastAsia="es-MX"/>
        </w:rPr>
        <w:br/>
      </w:r>
      <w:hyperlink r:id="rId15" w:tgtFrame="_new" w:history="1">
        <w:r w:rsidRPr="002051F5">
          <w:rPr>
            <w:rFonts w:ascii="Verdana" w:eastAsia="Times New Roman" w:hAnsi="Verdana" w:cs="Arial"/>
            <w:color w:val="0000FF"/>
            <w:u w:val="single"/>
            <w:lang w:eastAsia="es-MX"/>
          </w:rPr>
          <w:t>https://www.colombiacompra.gov.co/archivos/manual/guia-para-la-</w:t>
        </w:r>
        <w:r w:rsidRPr="002051F5">
          <w:rPr>
            <w:rFonts w:ascii="Verdana" w:eastAsia="Times New Roman" w:hAnsi="Verdana" w:cs="Arial"/>
            <w:color w:val="0000FF"/>
            <w:u w:val="single"/>
            <w:lang w:eastAsia="es-MX"/>
          </w:rPr>
          <w:lastRenderedPageBreak/>
          <w:t>comprension-e-implementacion-de-los-documentos-tipo-de-obra-publica-de-infraestructura-de-transporte-bajo-las-diferentes-modalidades-de-contratacion-vigentes</w:t>
        </w:r>
      </w:hyperlink>
    </w:p>
    <w:p w14:paraId="6710D706" w14:textId="77777777" w:rsidR="002051F5" w:rsidRPr="002051F5" w:rsidRDefault="002051F5" w:rsidP="002051F5">
      <w:pPr>
        <w:spacing w:after="0"/>
        <w:jc w:val="both"/>
        <w:rPr>
          <w:rFonts w:ascii="Verdana" w:eastAsia="Aptos" w:hAnsi="Verdana" w:cs="Times New Roman"/>
          <w:color w:val="212121"/>
          <w:lang w:eastAsia="es-MX"/>
        </w:rPr>
      </w:pPr>
    </w:p>
    <w:p w14:paraId="0C15EA02" w14:textId="77777777" w:rsidR="002051F5" w:rsidRPr="002051F5" w:rsidRDefault="002051F5" w:rsidP="002051F5">
      <w:pPr>
        <w:spacing w:after="0" w:line="240" w:lineRule="auto"/>
        <w:jc w:val="both"/>
        <w:rPr>
          <w:rFonts w:ascii="Verdana" w:eastAsia="Calibri" w:hAnsi="Verdana" w:cs="Times New Roman"/>
          <w:lang w:eastAsia="es-MX"/>
        </w:rPr>
      </w:pPr>
      <w:r w:rsidRPr="002051F5">
        <w:rPr>
          <w:rFonts w:ascii="Verdana" w:eastAsia="Aptos" w:hAnsi="Verdana" w:cs="Times New Roman"/>
          <w:lang w:eastAsia="es-MX"/>
        </w:rPr>
        <w:t xml:space="preserve">Por último, lo invitamos a seguirnos en las redes sociales en las cuales se difunde información institucional: </w:t>
      </w:r>
    </w:p>
    <w:p w14:paraId="3FBF06A0" w14:textId="77777777" w:rsidR="002051F5" w:rsidRPr="002051F5" w:rsidRDefault="002051F5" w:rsidP="002051F5">
      <w:pPr>
        <w:spacing w:after="0" w:line="240" w:lineRule="auto"/>
        <w:jc w:val="both"/>
        <w:rPr>
          <w:rFonts w:ascii="Verdana" w:eastAsia="Aptos" w:hAnsi="Verdana" w:cs="Times New Roman"/>
          <w:lang w:eastAsia="es-MX"/>
        </w:rPr>
      </w:pPr>
    </w:p>
    <w:p w14:paraId="1E6DEEEF" w14:textId="77777777" w:rsidR="002051F5" w:rsidRPr="002051F5" w:rsidRDefault="002051F5" w:rsidP="002051F5">
      <w:pPr>
        <w:spacing w:after="0" w:line="240" w:lineRule="auto"/>
        <w:jc w:val="both"/>
        <w:rPr>
          <w:rFonts w:ascii="Verdana" w:eastAsia="Aptos" w:hAnsi="Verdana" w:cs="Times New Roman"/>
          <w:lang w:eastAsia="es-MX"/>
        </w:rPr>
      </w:pPr>
      <w:r w:rsidRPr="002051F5">
        <w:rPr>
          <w:rFonts w:ascii="Verdana" w:eastAsia="Aptos" w:hAnsi="Verdana" w:cs="Times New Roman"/>
          <w:lang w:eastAsia="es-MX"/>
        </w:rPr>
        <w:t xml:space="preserve">Twitter: </w:t>
      </w:r>
      <w:r w:rsidRPr="002051F5">
        <w:rPr>
          <w:rFonts w:ascii="Verdana" w:eastAsia="Calibri" w:hAnsi="Verdana" w:cs="Times New Roman"/>
          <w:color w:val="156082"/>
          <w:u w:val="single"/>
          <w:lang w:eastAsia="es-MX"/>
        </w:rPr>
        <w:t>@colombiacompra</w:t>
      </w:r>
      <w:r w:rsidRPr="002051F5">
        <w:rPr>
          <w:rFonts w:ascii="Verdana" w:eastAsia="Calibri" w:hAnsi="Verdana" w:cs="Times New Roman"/>
          <w:color w:val="156082"/>
          <w:lang w:eastAsia="es-MX"/>
        </w:rPr>
        <w:t xml:space="preserve"> </w:t>
      </w:r>
    </w:p>
    <w:p w14:paraId="7A74133F" w14:textId="77777777" w:rsidR="002051F5" w:rsidRPr="002051F5" w:rsidRDefault="002051F5" w:rsidP="002051F5">
      <w:pPr>
        <w:spacing w:after="0" w:line="240" w:lineRule="auto"/>
        <w:jc w:val="both"/>
        <w:rPr>
          <w:rFonts w:ascii="Verdana" w:eastAsia="Aptos" w:hAnsi="Verdana" w:cs="Times New Roman"/>
          <w:lang w:eastAsia="es-MX"/>
        </w:rPr>
      </w:pPr>
      <w:r w:rsidRPr="002051F5">
        <w:rPr>
          <w:rFonts w:ascii="Verdana" w:eastAsia="Aptos" w:hAnsi="Verdana" w:cs="Times New Roman"/>
          <w:lang w:eastAsia="es-MX"/>
        </w:rPr>
        <w:t xml:space="preserve">Facebook: </w:t>
      </w:r>
      <w:proofErr w:type="spellStart"/>
      <w:r w:rsidRPr="002051F5">
        <w:rPr>
          <w:rFonts w:ascii="Verdana" w:eastAsia="Calibri" w:hAnsi="Verdana" w:cs="Times New Roman"/>
          <w:color w:val="156082"/>
          <w:u w:val="single"/>
          <w:lang w:eastAsia="es-MX"/>
        </w:rPr>
        <w:t>ColombiaCompraEficiente</w:t>
      </w:r>
      <w:proofErr w:type="spellEnd"/>
    </w:p>
    <w:p w14:paraId="52136294" w14:textId="77777777" w:rsidR="002051F5" w:rsidRPr="002051F5" w:rsidRDefault="002051F5" w:rsidP="002051F5">
      <w:pPr>
        <w:spacing w:after="0" w:line="240" w:lineRule="auto"/>
        <w:jc w:val="both"/>
        <w:rPr>
          <w:rFonts w:ascii="Verdana" w:eastAsia="Aptos" w:hAnsi="Verdana" w:cs="Times New Roman"/>
          <w:lang w:eastAsia="es-MX"/>
        </w:rPr>
      </w:pPr>
      <w:r w:rsidRPr="002051F5">
        <w:rPr>
          <w:rFonts w:ascii="Verdana" w:eastAsia="Aptos" w:hAnsi="Verdana" w:cs="Times New Roman"/>
          <w:lang w:eastAsia="es-MX"/>
        </w:rPr>
        <w:t xml:space="preserve">LinkedIn: </w:t>
      </w:r>
      <w:r w:rsidRPr="002051F5">
        <w:rPr>
          <w:rFonts w:ascii="Verdana" w:eastAsia="Calibri" w:hAnsi="Verdana" w:cs="Times New Roman"/>
          <w:color w:val="156082"/>
          <w:u w:val="single"/>
          <w:lang w:eastAsia="es-MX"/>
        </w:rPr>
        <w:t>Agencia Nacional de Contratación Pública - Colombia Compra Eficiente</w:t>
      </w:r>
      <w:r w:rsidRPr="002051F5">
        <w:rPr>
          <w:rFonts w:ascii="Verdana" w:eastAsia="Calibri" w:hAnsi="Verdana" w:cs="Times New Roman"/>
          <w:color w:val="156082"/>
          <w:lang w:eastAsia="es-MX"/>
        </w:rPr>
        <w:t xml:space="preserve"> </w:t>
      </w:r>
      <w:r w:rsidRPr="002051F5">
        <w:rPr>
          <w:rFonts w:ascii="Verdana" w:eastAsia="Aptos" w:hAnsi="Verdana" w:cs="Times New Roman"/>
          <w:lang w:eastAsia="es-MX"/>
        </w:rPr>
        <w:t xml:space="preserve">Instagram: </w:t>
      </w:r>
      <w:r w:rsidRPr="002051F5">
        <w:rPr>
          <w:rFonts w:ascii="Verdana" w:eastAsia="Calibri" w:hAnsi="Verdana" w:cs="Times New Roman"/>
          <w:color w:val="156082"/>
          <w:u w:val="single"/>
          <w:lang w:eastAsia="es-MX"/>
        </w:rPr>
        <w:t>@colombiacompraeficiente_cce</w:t>
      </w:r>
    </w:p>
    <w:p w14:paraId="4CB9A9FF" w14:textId="77777777" w:rsidR="002051F5" w:rsidRPr="002051F5" w:rsidRDefault="002051F5" w:rsidP="002051F5">
      <w:pPr>
        <w:spacing w:after="0" w:line="276" w:lineRule="auto"/>
        <w:jc w:val="both"/>
        <w:rPr>
          <w:rFonts w:ascii="Verdana" w:eastAsia="Aptos" w:hAnsi="Verdana" w:cs="Times New Roman"/>
          <w:lang w:eastAsia="es-MX"/>
        </w:rPr>
      </w:pPr>
    </w:p>
    <w:p w14:paraId="09BB7A80" w14:textId="77777777" w:rsidR="002051F5" w:rsidRPr="002051F5" w:rsidRDefault="002051F5" w:rsidP="002051F5">
      <w:pPr>
        <w:spacing w:after="0" w:line="276" w:lineRule="auto"/>
        <w:jc w:val="both"/>
        <w:rPr>
          <w:rFonts w:ascii="Verdana" w:eastAsia="Calibri" w:hAnsi="Verdana" w:cs="Times New Roman"/>
          <w:bCs/>
          <w:lang w:val="es-ES_tradnl" w:eastAsia="es-MX"/>
        </w:rPr>
      </w:pPr>
      <w:r w:rsidRPr="002051F5">
        <w:rPr>
          <w:rFonts w:ascii="Verdana" w:eastAsia="Calibri" w:hAnsi="Verdana" w:cs="Times New Roman"/>
          <w:lang w:val="es-ES_tradnl" w:eastAsia="es-MX"/>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78573253" w14:textId="77777777" w:rsidR="002051F5" w:rsidRPr="002051F5" w:rsidRDefault="002051F5" w:rsidP="002051F5">
      <w:pPr>
        <w:spacing w:after="0" w:line="276" w:lineRule="auto"/>
        <w:jc w:val="both"/>
        <w:rPr>
          <w:rFonts w:ascii="Verdana" w:eastAsia="Calibri" w:hAnsi="Verdana" w:cs="Times New Roman"/>
          <w:lang w:eastAsia="es-MX"/>
        </w:rPr>
      </w:pPr>
    </w:p>
    <w:p w14:paraId="44329256" w14:textId="77777777" w:rsidR="002051F5" w:rsidRPr="002051F5" w:rsidRDefault="002051F5" w:rsidP="002051F5">
      <w:pPr>
        <w:spacing w:after="0" w:line="276" w:lineRule="auto"/>
        <w:jc w:val="both"/>
        <w:rPr>
          <w:rFonts w:ascii="Verdana" w:eastAsia="Calibri" w:hAnsi="Verdana" w:cs="Times New Roman"/>
          <w:lang w:eastAsia="es-MX"/>
        </w:rPr>
      </w:pPr>
      <w:r w:rsidRPr="002051F5">
        <w:rPr>
          <w:rFonts w:ascii="Verdana" w:eastAsia="Calibri" w:hAnsi="Verdana" w:cs="Times New Roman"/>
          <w:lang w:eastAsia="es-MX"/>
        </w:rPr>
        <w:t>Atentamente,</w:t>
      </w:r>
    </w:p>
    <w:p w14:paraId="6324D491" w14:textId="77777777" w:rsidR="002051F5" w:rsidRPr="002051F5" w:rsidRDefault="002051F5" w:rsidP="002051F5">
      <w:pPr>
        <w:tabs>
          <w:tab w:val="left" w:pos="1320"/>
        </w:tabs>
        <w:spacing w:after="0"/>
        <w:jc w:val="center"/>
        <w:rPr>
          <w:rFonts w:ascii="Century Gothic" w:eastAsia="Calibri" w:hAnsi="Century Gothic" w:cs="Times New Roman"/>
          <w:lang w:eastAsia="es-MX"/>
        </w:rPr>
      </w:pPr>
    </w:p>
    <w:p w14:paraId="16FBAB06" w14:textId="7A804C05" w:rsidR="002051F5" w:rsidRPr="002051F5" w:rsidRDefault="00493FA9" w:rsidP="002051F5">
      <w:pPr>
        <w:tabs>
          <w:tab w:val="left" w:pos="1320"/>
        </w:tabs>
        <w:spacing w:after="0"/>
        <w:jc w:val="center"/>
        <w:rPr>
          <w:rFonts w:ascii="Century Gothic" w:eastAsia="Calibri" w:hAnsi="Century Gothic" w:cs="Times New Roman"/>
          <w:lang w:eastAsia="es-MX"/>
        </w:rPr>
      </w:pPr>
      <w:r w:rsidRPr="004D5C25">
        <w:rPr>
          <w:rFonts w:ascii="Century Gothic" w:hAnsi="Century Gothic"/>
          <w:noProof/>
        </w:rPr>
        <w:drawing>
          <wp:inline distT="0" distB="0" distL="0" distR="0" wp14:anchorId="26F15234" wp14:editId="7D9D13C1">
            <wp:extent cx="3130101" cy="1343770"/>
            <wp:effectExtent l="0" t="0" r="0" b="254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3275527" cy="1406202"/>
                    </a:xfrm>
                    <a:prstGeom prst="rect">
                      <a:avLst/>
                    </a:prstGeom>
                  </pic:spPr>
                </pic:pic>
              </a:graphicData>
            </a:graphic>
          </wp:inline>
        </w:drawing>
      </w:r>
    </w:p>
    <w:p w14:paraId="4FDCD1AE" w14:textId="77777777" w:rsidR="002051F5" w:rsidRPr="002051F5" w:rsidRDefault="002051F5" w:rsidP="002051F5">
      <w:pPr>
        <w:tabs>
          <w:tab w:val="left" w:pos="1320"/>
        </w:tabs>
        <w:spacing w:after="0"/>
        <w:jc w:val="center"/>
        <w:rPr>
          <w:rFonts w:ascii="Century Gothic" w:eastAsia="Calibri" w:hAnsi="Century Gothic" w:cs="Times New Roman"/>
          <w:lang w:eastAsia="es-MX"/>
        </w:rPr>
      </w:pPr>
    </w:p>
    <w:tbl>
      <w:tblPr>
        <w:tblStyle w:val="Tablaconcuadrcula"/>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2051F5" w:rsidRPr="002051F5" w14:paraId="03E9934B" w14:textId="77777777" w:rsidTr="00C03DCE">
        <w:trPr>
          <w:trHeight w:val="323"/>
        </w:trPr>
        <w:tc>
          <w:tcPr>
            <w:tcW w:w="1041" w:type="dxa"/>
            <w:vAlign w:val="center"/>
            <w:hideMark/>
          </w:tcPr>
          <w:p w14:paraId="6564EB82" w14:textId="77777777" w:rsidR="002051F5" w:rsidRPr="002051F5" w:rsidRDefault="002051F5" w:rsidP="002051F5">
            <w:pPr>
              <w:rPr>
                <w:rFonts w:ascii="Verdana" w:eastAsia="Calibri" w:hAnsi="Verdana" w:cs="Arial"/>
                <w:sz w:val="16"/>
                <w:szCs w:val="16"/>
                <w:lang w:val="es-ES_tradnl" w:eastAsia="es-ES"/>
              </w:rPr>
            </w:pPr>
            <w:r w:rsidRPr="002051F5">
              <w:rPr>
                <w:rFonts w:ascii="Verdana" w:eastAsia="Calibri" w:hAnsi="Verdana" w:cs="Arial"/>
                <w:sz w:val="16"/>
                <w:szCs w:val="16"/>
                <w:lang w:val="es-ES_tradnl" w:eastAsia="es-ES"/>
              </w:rPr>
              <w:t>Elaboró:</w:t>
            </w:r>
          </w:p>
        </w:tc>
        <w:tc>
          <w:tcPr>
            <w:tcW w:w="6561" w:type="dxa"/>
            <w:tcBorders>
              <w:top w:val="nil"/>
              <w:left w:val="nil"/>
              <w:bottom w:val="dotted" w:sz="4" w:space="0" w:color="7F7F7F"/>
              <w:right w:val="nil"/>
            </w:tcBorders>
            <w:vAlign w:val="center"/>
            <w:hideMark/>
          </w:tcPr>
          <w:p w14:paraId="6BABB842" w14:textId="77777777" w:rsidR="002051F5" w:rsidRPr="002051F5" w:rsidRDefault="002051F5" w:rsidP="002051F5">
            <w:pPr>
              <w:rPr>
                <w:rFonts w:ascii="Verdana" w:eastAsia="Arial" w:hAnsi="Verdana" w:cs="Arial"/>
                <w:sz w:val="16"/>
                <w:szCs w:val="16"/>
                <w:lang w:val="es-ES" w:eastAsia="es-MX"/>
              </w:rPr>
            </w:pPr>
            <w:r w:rsidRPr="002051F5">
              <w:rPr>
                <w:rFonts w:ascii="Verdana" w:eastAsia="Arial" w:hAnsi="Verdana" w:cs="Arial"/>
                <w:sz w:val="16"/>
                <w:szCs w:val="16"/>
                <w:lang w:val="es-ES" w:eastAsia="es-MX"/>
              </w:rPr>
              <w:t xml:space="preserve">Carlos Mario Castrillón Endo </w:t>
            </w:r>
          </w:p>
          <w:p w14:paraId="35C8BA9B" w14:textId="77777777" w:rsidR="002051F5" w:rsidRPr="002051F5" w:rsidRDefault="002051F5" w:rsidP="002051F5">
            <w:pPr>
              <w:rPr>
                <w:rFonts w:ascii="Verdana" w:eastAsia="Arial" w:hAnsi="Verdana" w:cs="Arial"/>
                <w:sz w:val="16"/>
                <w:szCs w:val="16"/>
                <w:lang w:val="es-ES_tradnl" w:eastAsia="es-MX"/>
              </w:rPr>
            </w:pPr>
            <w:r w:rsidRPr="002051F5">
              <w:rPr>
                <w:rFonts w:ascii="Verdana" w:eastAsia="Arial" w:hAnsi="Verdana" w:cs="Arial"/>
                <w:sz w:val="16"/>
                <w:szCs w:val="16"/>
                <w:lang w:val="es-ES_tradnl" w:eastAsia="es-MX"/>
              </w:rPr>
              <w:t>Contratista de la Subdirección de Gestión Contractual</w:t>
            </w:r>
          </w:p>
          <w:p w14:paraId="70ABA519" w14:textId="77777777" w:rsidR="002051F5" w:rsidRPr="002051F5" w:rsidRDefault="002051F5" w:rsidP="002051F5">
            <w:pPr>
              <w:rPr>
                <w:rFonts w:ascii="Verdana" w:eastAsia="Arial" w:hAnsi="Verdana" w:cs="Arial"/>
                <w:sz w:val="16"/>
                <w:szCs w:val="16"/>
                <w:lang w:val="es-ES_tradnl" w:eastAsia="es-MX"/>
              </w:rPr>
            </w:pPr>
          </w:p>
        </w:tc>
      </w:tr>
      <w:tr w:rsidR="002051F5" w:rsidRPr="002051F5" w14:paraId="1E6F139A" w14:textId="77777777" w:rsidTr="00C03DCE">
        <w:trPr>
          <w:trHeight w:val="338"/>
        </w:trPr>
        <w:tc>
          <w:tcPr>
            <w:tcW w:w="1041" w:type="dxa"/>
            <w:vAlign w:val="center"/>
            <w:hideMark/>
          </w:tcPr>
          <w:p w14:paraId="32C4443E" w14:textId="77777777" w:rsidR="002051F5" w:rsidRPr="002051F5" w:rsidRDefault="002051F5" w:rsidP="002051F5">
            <w:pPr>
              <w:rPr>
                <w:rFonts w:ascii="Verdana" w:eastAsia="Calibri" w:hAnsi="Verdana" w:cs="Arial"/>
                <w:sz w:val="16"/>
                <w:szCs w:val="16"/>
                <w:lang w:val="es-ES_tradnl" w:eastAsia="es-ES"/>
              </w:rPr>
            </w:pPr>
            <w:r w:rsidRPr="002051F5">
              <w:rPr>
                <w:rFonts w:ascii="Verdana" w:eastAsia="Calibri" w:hAnsi="Verdana" w:cs="Arial"/>
                <w:sz w:val="16"/>
                <w:szCs w:val="16"/>
                <w:lang w:val="es-ES_tradnl" w:eastAsia="es-ES"/>
              </w:rPr>
              <w:t>Revisó:</w:t>
            </w:r>
          </w:p>
        </w:tc>
        <w:tc>
          <w:tcPr>
            <w:tcW w:w="6561" w:type="dxa"/>
            <w:tcBorders>
              <w:top w:val="dotted" w:sz="4" w:space="0" w:color="7F7F7F"/>
              <w:left w:val="nil"/>
              <w:bottom w:val="dotted" w:sz="4" w:space="0" w:color="7F7F7F"/>
              <w:right w:val="nil"/>
            </w:tcBorders>
            <w:vAlign w:val="center"/>
            <w:hideMark/>
          </w:tcPr>
          <w:p w14:paraId="2E7AC781" w14:textId="77777777" w:rsidR="002051F5" w:rsidRPr="002051F5" w:rsidRDefault="002051F5" w:rsidP="002051F5">
            <w:pPr>
              <w:rPr>
                <w:rFonts w:ascii="Verdana" w:eastAsia="Arial" w:hAnsi="Verdana" w:cs="Arial"/>
                <w:sz w:val="16"/>
                <w:szCs w:val="16"/>
                <w:lang w:val="es-ES" w:eastAsia="es-MX"/>
              </w:rPr>
            </w:pPr>
            <w:r w:rsidRPr="002051F5">
              <w:rPr>
                <w:rFonts w:ascii="Verdana" w:eastAsia="Arial" w:hAnsi="Verdana" w:cs="Arial"/>
                <w:sz w:val="16"/>
                <w:szCs w:val="16"/>
                <w:lang w:val="es-ES" w:eastAsia="es-MX"/>
              </w:rPr>
              <w:t xml:space="preserve">Lida Milena </w:t>
            </w:r>
            <w:proofErr w:type="spellStart"/>
            <w:r w:rsidRPr="002051F5">
              <w:rPr>
                <w:rFonts w:ascii="Verdana" w:eastAsia="Arial" w:hAnsi="Verdana" w:cs="Arial"/>
                <w:sz w:val="16"/>
                <w:szCs w:val="16"/>
                <w:lang w:val="es-ES" w:eastAsia="es-MX"/>
              </w:rPr>
              <w:t>Guanumen</w:t>
            </w:r>
            <w:proofErr w:type="spellEnd"/>
            <w:r w:rsidRPr="002051F5">
              <w:rPr>
                <w:rFonts w:ascii="Verdana" w:eastAsia="Arial" w:hAnsi="Verdana" w:cs="Arial"/>
                <w:sz w:val="16"/>
                <w:szCs w:val="16"/>
                <w:lang w:val="es-ES" w:eastAsia="es-MX"/>
              </w:rPr>
              <w:t xml:space="preserve"> Pacheco</w:t>
            </w:r>
          </w:p>
          <w:p w14:paraId="3744768E" w14:textId="77777777" w:rsidR="002051F5" w:rsidRPr="002051F5" w:rsidRDefault="002051F5" w:rsidP="002051F5">
            <w:pPr>
              <w:rPr>
                <w:rFonts w:ascii="Verdana" w:eastAsia="Arial" w:hAnsi="Verdana" w:cs="Arial"/>
                <w:sz w:val="16"/>
                <w:szCs w:val="16"/>
                <w:lang w:val="es-ES" w:eastAsia="es-MX"/>
              </w:rPr>
            </w:pPr>
            <w:r w:rsidRPr="002051F5">
              <w:rPr>
                <w:rFonts w:ascii="Verdana" w:eastAsia="Arial" w:hAnsi="Verdana" w:cs="Arial"/>
                <w:sz w:val="16"/>
                <w:szCs w:val="16"/>
                <w:lang w:val="es-ES_tradnl" w:eastAsia="es-MX"/>
              </w:rPr>
              <w:t>Contratista de la Subdirección de Gestión Contractual</w:t>
            </w:r>
          </w:p>
          <w:p w14:paraId="5885057E" w14:textId="77777777" w:rsidR="002051F5" w:rsidRPr="002051F5" w:rsidRDefault="002051F5" w:rsidP="002051F5">
            <w:pPr>
              <w:rPr>
                <w:rFonts w:ascii="Verdana" w:eastAsia="Arial" w:hAnsi="Verdana" w:cs="Arial"/>
                <w:sz w:val="16"/>
                <w:szCs w:val="16"/>
                <w:lang w:val="es-ES_tradnl" w:eastAsia="es-MX"/>
              </w:rPr>
            </w:pPr>
            <w:r w:rsidRPr="002051F5">
              <w:rPr>
                <w:rFonts w:ascii="Verdana" w:eastAsia="Arial" w:hAnsi="Verdana" w:cs="Arial"/>
                <w:sz w:val="16"/>
                <w:szCs w:val="16"/>
                <w:lang w:val="es-ES_tradnl" w:eastAsia="es-MX"/>
              </w:rPr>
              <w:t>Martha Alicia Romero Vargas</w:t>
            </w:r>
          </w:p>
          <w:p w14:paraId="02309FCC" w14:textId="77777777" w:rsidR="002051F5" w:rsidRPr="002051F5" w:rsidRDefault="002051F5" w:rsidP="002051F5">
            <w:pPr>
              <w:rPr>
                <w:rFonts w:ascii="Verdana" w:eastAsia="Arial" w:hAnsi="Verdana" w:cs="Arial"/>
                <w:sz w:val="16"/>
                <w:szCs w:val="16"/>
                <w:lang w:val="es-ES_tradnl" w:eastAsia="es-MX"/>
              </w:rPr>
            </w:pPr>
            <w:r w:rsidRPr="002051F5">
              <w:rPr>
                <w:rFonts w:ascii="Verdana" w:eastAsia="Arial" w:hAnsi="Verdana" w:cs="Arial"/>
                <w:sz w:val="16"/>
                <w:szCs w:val="16"/>
                <w:lang w:val="es-ES_tradnl" w:eastAsia="es-MX"/>
              </w:rPr>
              <w:t>Gestor T1-15 de la Subdirección de Gestión Contractual</w:t>
            </w:r>
          </w:p>
        </w:tc>
      </w:tr>
      <w:tr w:rsidR="002051F5" w:rsidRPr="002051F5" w14:paraId="1FFB52D6" w14:textId="77777777" w:rsidTr="00C03DCE">
        <w:trPr>
          <w:trHeight w:val="308"/>
        </w:trPr>
        <w:tc>
          <w:tcPr>
            <w:tcW w:w="1041" w:type="dxa"/>
            <w:vAlign w:val="center"/>
          </w:tcPr>
          <w:p w14:paraId="264FC128" w14:textId="77777777" w:rsidR="002051F5" w:rsidRPr="002051F5" w:rsidRDefault="002051F5" w:rsidP="002051F5">
            <w:pPr>
              <w:rPr>
                <w:rFonts w:ascii="Verdana" w:eastAsia="Calibri" w:hAnsi="Verdana" w:cs="Arial"/>
                <w:sz w:val="16"/>
                <w:szCs w:val="16"/>
                <w:lang w:val="es-ES_tradnl" w:eastAsia="es-ES"/>
              </w:rPr>
            </w:pPr>
            <w:r w:rsidRPr="002051F5">
              <w:rPr>
                <w:rFonts w:ascii="Verdana" w:eastAsia="Calibri" w:hAnsi="Verdana" w:cs="Arial"/>
                <w:sz w:val="16"/>
                <w:szCs w:val="16"/>
                <w:lang w:val="es-ES_tradnl" w:eastAsia="es-ES"/>
              </w:rPr>
              <w:t>Aprobó:</w:t>
            </w:r>
          </w:p>
        </w:tc>
        <w:tc>
          <w:tcPr>
            <w:tcW w:w="6561" w:type="dxa"/>
            <w:tcBorders>
              <w:top w:val="dotted" w:sz="4" w:space="0" w:color="7F7F7F"/>
              <w:left w:val="nil"/>
              <w:bottom w:val="dotted" w:sz="4" w:space="0" w:color="7F7F7F"/>
              <w:right w:val="nil"/>
            </w:tcBorders>
            <w:vAlign w:val="center"/>
          </w:tcPr>
          <w:p w14:paraId="5CB1ED94" w14:textId="77777777" w:rsidR="002051F5" w:rsidRPr="002051F5" w:rsidRDefault="002051F5" w:rsidP="002051F5">
            <w:pPr>
              <w:rPr>
                <w:rFonts w:ascii="Verdana" w:eastAsia="Calibri" w:hAnsi="Verdana" w:cs="Arial"/>
                <w:sz w:val="16"/>
                <w:szCs w:val="16"/>
                <w:lang w:val="es-ES" w:eastAsia="es-ES"/>
              </w:rPr>
            </w:pPr>
            <w:r w:rsidRPr="002051F5">
              <w:rPr>
                <w:rFonts w:ascii="Verdana" w:eastAsia="Calibri" w:hAnsi="Verdana" w:cs="Arial"/>
                <w:sz w:val="16"/>
                <w:szCs w:val="16"/>
                <w:lang w:val="es-ES" w:eastAsia="es-ES"/>
              </w:rPr>
              <w:t xml:space="preserve">Carolina Quintero </w:t>
            </w:r>
            <w:proofErr w:type="spellStart"/>
            <w:r w:rsidRPr="002051F5">
              <w:rPr>
                <w:rFonts w:ascii="Verdana" w:eastAsia="Calibri" w:hAnsi="Verdana" w:cs="Arial"/>
                <w:sz w:val="16"/>
                <w:szCs w:val="16"/>
                <w:lang w:val="es-ES" w:eastAsia="es-ES"/>
              </w:rPr>
              <w:t>Gacharná</w:t>
            </w:r>
            <w:proofErr w:type="spellEnd"/>
          </w:p>
          <w:p w14:paraId="30F41CA2" w14:textId="77777777" w:rsidR="002051F5" w:rsidRPr="002051F5" w:rsidRDefault="002051F5" w:rsidP="002051F5">
            <w:pPr>
              <w:rPr>
                <w:rFonts w:ascii="Verdana" w:eastAsia="Calibri" w:hAnsi="Verdana" w:cs="Arial"/>
                <w:sz w:val="16"/>
                <w:szCs w:val="16"/>
                <w:lang w:val="es-ES_tradnl" w:eastAsia="es-ES"/>
              </w:rPr>
            </w:pPr>
            <w:r w:rsidRPr="002051F5">
              <w:rPr>
                <w:rFonts w:ascii="Verdana" w:eastAsia="Calibri" w:hAnsi="Verdana" w:cs="Arial"/>
                <w:sz w:val="16"/>
                <w:szCs w:val="16"/>
                <w:lang w:val="es-ES_tradnl" w:eastAsia="es-ES"/>
              </w:rPr>
              <w:t>Subdirectora de Gestión Contractual ANCP – CCE</w:t>
            </w:r>
          </w:p>
        </w:tc>
      </w:tr>
    </w:tbl>
    <w:p w14:paraId="07A5A95F" w14:textId="77777777" w:rsidR="002051F5" w:rsidRPr="002051F5" w:rsidRDefault="002051F5" w:rsidP="002051F5">
      <w:pPr>
        <w:spacing w:after="0" w:line="240" w:lineRule="auto"/>
        <w:jc w:val="both"/>
        <w:textAlignment w:val="baseline"/>
        <w:rPr>
          <w:rFonts w:ascii="Verdana" w:eastAsia="Verdana" w:hAnsi="Verdana" w:cs="Verdana"/>
          <w:lang w:eastAsia="es-CO"/>
        </w:rPr>
      </w:pPr>
    </w:p>
    <w:p w14:paraId="1006A388" w14:textId="5C7E9C52" w:rsidR="00C15139" w:rsidRPr="000E2B93" w:rsidRDefault="002051F5" w:rsidP="002051F5">
      <w:pPr>
        <w:spacing w:after="0" w:line="240" w:lineRule="auto"/>
        <w:textAlignment w:val="baseline"/>
        <w:rPr>
          <w:rFonts w:ascii="Verdana" w:eastAsia="Verdana" w:hAnsi="Verdana" w:cs="Verdana"/>
          <w:lang w:eastAsia="es-CO"/>
        </w:rPr>
      </w:pPr>
      <w:r w:rsidRPr="002051F5">
        <w:rPr>
          <w:rFonts w:ascii="Verdana" w:eastAsia="Verdana" w:hAnsi="Verdana" w:cs="Verdana"/>
          <w:lang w:eastAsia="es-CO"/>
        </w:rPr>
        <w:t> </w:t>
      </w:r>
    </w:p>
    <w:p w14:paraId="69BC4D14" w14:textId="56620C04"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bookmarkEnd w:id="0"/>
    <w:sectPr w:rsidR="00C15139" w:rsidRPr="000E2B93"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3AC1E" w14:textId="77777777" w:rsidR="009A1C6F" w:rsidRDefault="009A1C6F" w:rsidP="004A1847">
      <w:pPr>
        <w:spacing w:after="0" w:line="240" w:lineRule="auto"/>
      </w:pPr>
      <w:r>
        <w:separator/>
      </w:r>
    </w:p>
  </w:endnote>
  <w:endnote w:type="continuationSeparator" w:id="0">
    <w:p w14:paraId="0168EF52" w14:textId="77777777" w:rsidR="009A1C6F" w:rsidRDefault="009A1C6F" w:rsidP="004A1847">
      <w:pPr>
        <w:spacing w:after="0" w:line="240" w:lineRule="auto"/>
      </w:pPr>
      <w:r>
        <w:continuationSeparator/>
      </w:r>
    </w:p>
  </w:endnote>
  <w:endnote w:type="continuationNotice" w:id="1">
    <w:p w14:paraId="40D2F213" w14:textId="77777777" w:rsidR="00A02864" w:rsidRDefault="00A028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panose1 w:val="020B0604020202020204"/>
    <w:charset w:val="01"/>
    <w:family w:val="swiss"/>
    <w:pitch w:val="variable"/>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02051F5">
      <w:rPr>
        <w:rFonts w:ascii="Verdana" w:eastAsia="Verdana" w:hAnsi="Verdana" w:cs="Verdana"/>
        <w:b/>
        <w:bCs/>
        <w:color w:val="000000"/>
        <w:sz w:val="18"/>
        <w:szCs w:val="18"/>
        <w:lang w:eastAsia="es-CO"/>
      </w:rPr>
      <w:t xml:space="preserve">Código: </w:t>
    </w:r>
    <w:r w:rsidRPr="002051F5">
      <w:rPr>
        <w:rFonts w:ascii="Verdana" w:eastAsia="Verdana" w:hAnsi="Verdana" w:cs="Verdana"/>
        <w:color w:val="000000"/>
        <w:sz w:val="18"/>
        <w:szCs w:val="18"/>
        <w:lang w:eastAsia="es-CO"/>
      </w:rPr>
      <w:t xml:space="preserve">CCE-REC-FM-17 </w:t>
    </w:r>
    <w:r w:rsidRPr="002051F5">
      <w:rPr>
        <w:rFonts w:ascii="Verdana" w:eastAsia="Verdana" w:hAnsi="Verdana" w:cs="Verdana"/>
        <w:b/>
        <w:bCs/>
        <w:color w:val="000000"/>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8A328" w14:textId="77777777" w:rsidR="009A1C6F" w:rsidRDefault="009A1C6F" w:rsidP="004A1847">
      <w:pPr>
        <w:spacing w:after="0" w:line="240" w:lineRule="auto"/>
      </w:pPr>
      <w:r>
        <w:separator/>
      </w:r>
    </w:p>
  </w:footnote>
  <w:footnote w:type="continuationSeparator" w:id="0">
    <w:p w14:paraId="25E22E7E" w14:textId="77777777" w:rsidR="009A1C6F" w:rsidRDefault="009A1C6F" w:rsidP="004A1847">
      <w:pPr>
        <w:spacing w:after="0" w:line="240" w:lineRule="auto"/>
      </w:pPr>
      <w:r>
        <w:continuationSeparator/>
      </w:r>
    </w:p>
  </w:footnote>
  <w:footnote w:type="continuationNotice" w:id="1">
    <w:p w14:paraId="2F6F5789" w14:textId="77777777" w:rsidR="00A02864" w:rsidRDefault="00A02864">
      <w:pPr>
        <w:spacing w:after="0" w:line="240" w:lineRule="auto"/>
      </w:pPr>
    </w:p>
  </w:footnote>
  <w:footnote w:id="2">
    <w:p w14:paraId="42BD7A9F" w14:textId="77777777" w:rsidR="002051F5" w:rsidRPr="00C86BCF" w:rsidRDefault="002051F5" w:rsidP="002051F5">
      <w:pPr>
        <w:pStyle w:val="Textonotapie"/>
        <w:ind w:firstLine="708"/>
        <w:jc w:val="both"/>
        <w:rPr>
          <w:rFonts w:ascii="Verdana" w:hAnsi="Verdana"/>
        </w:rPr>
      </w:pPr>
      <w:r w:rsidRPr="00C86BCF">
        <w:rPr>
          <w:rStyle w:val="Refdenotaalpie"/>
          <w:rFonts w:ascii="Verdana" w:hAnsi="Verdana"/>
        </w:rPr>
        <w:footnoteRef/>
      </w:r>
      <w:r w:rsidRPr="00C86BCF">
        <w:rPr>
          <w:rFonts w:ascii="Verdana" w:hAnsi="Verdana"/>
        </w:rPr>
        <w:t xml:space="preserve"> Reglamento Colombiano de Construcción Sismo Resistente NSR-10</w:t>
      </w:r>
    </w:p>
    <w:p w14:paraId="7A15F329" w14:textId="77777777" w:rsidR="002051F5" w:rsidRPr="00C86BCF" w:rsidRDefault="002051F5" w:rsidP="002051F5">
      <w:pPr>
        <w:pStyle w:val="Textonotapie"/>
        <w:ind w:firstLine="708"/>
        <w:jc w:val="both"/>
        <w:rPr>
          <w:rFonts w:ascii="Verdana" w:hAnsi="Verdana"/>
          <w:lang w:val="es-ES_tradnl"/>
        </w:rPr>
      </w:pPr>
    </w:p>
  </w:footnote>
  <w:footnote w:id="3">
    <w:p w14:paraId="371E5E16" w14:textId="77777777" w:rsidR="002051F5" w:rsidRPr="00C86BCF" w:rsidRDefault="002051F5" w:rsidP="002051F5">
      <w:pPr>
        <w:pStyle w:val="Textonotapie"/>
        <w:ind w:firstLine="708"/>
        <w:jc w:val="both"/>
        <w:rPr>
          <w:rFonts w:ascii="Verdana" w:hAnsi="Verdana"/>
          <w:lang w:val="es-ES_tradnl"/>
        </w:rPr>
      </w:pPr>
      <w:r w:rsidRPr="00C86BCF">
        <w:rPr>
          <w:rStyle w:val="Refdenotaalpie"/>
          <w:rFonts w:ascii="Verdana" w:hAnsi="Verdana"/>
        </w:rPr>
        <w:footnoteRef/>
      </w:r>
      <w:r w:rsidRPr="00C86BCF">
        <w:rPr>
          <w:rFonts w:ascii="Verdana" w:hAnsi="Verdana"/>
        </w:rPr>
        <w:t xml:space="preserve"> </w:t>
      </w:r>
      <w:r w:rsidRPr="00C86BCF">
        <w:rPr>
          <w:rFonts w:ascii="Verdana" w:hAnsi="Verdana"/>
          <w:lang w:val="es-ES_tradnl"/>
        </w:rPr>
        <w:t xml:space="preserve">Ibidem </w:t>
      </w:r>
    </w:p>
    <w:p w14:paraId="230C44F1" w14:textId="77777777" w:rsidR="002051F5" w:rsidRPr="00C86BCF" w:rsidRDefault="002051F5" w:rsidP="002051F5">
      <w:pPr>
        <w:pStyle w:val="Textonotapie"/>
        <w:ind w:firstLine="708"/>
        <w:jc w:val="both"/>
        <w:rPr>
          <w:rFonts w:ascii="Verdana" w:hAnsi="Verdana"/>
          <w:lang w:val="es-ES_tradnl"/>
        </w:rPr>
      </w:pPr>
    </w:p>
  </w:footnote>
  <w:footnote w:id="4">
    <w:p w14:paraId="28BD87F3" w14:textId="77777777" w:rsidR="002051F5" w:rsidRPr="00C86BCF" w:rsidRDefault="002051F5" w:rsidP="002051F5">
      <w:pPr>
        <w:pStyle w:val="Textonotapie"/>
        <w:ind w:firstLine="708"/>
        <w:jc w:val="both"/>
        <w:rPr>
          <w:rFonts w:ascii="Verdana" w:hAnsi="Verdana"/>
        </w:rPr>
      </w:pPr>
      <w:r w:rsidRPr="00C86BCF">
        <w:rPr>
          <w:rStyle w:val="Refdenotaalpie"/>
          <w:rFonts w:ascii="Verdana" w:hAnsi="Verdana"/>
        </w:rPr>
        <w:footnoteRef/>
      </w:r>
      <w:r w:rsidRPr="00C86BCF">
        <w:rPr>
          <w:rFonts w:ascii="Verdana" w:hAnsi="Verdana"/>
        </w:rPr>
        <w:t xml:space="preserve"> Anexo 5 – Glosario, de los documentos tipo de licitación de obra pública de infraestructura social, definición 2.80. </w:t>
      </w:r>
    </w:p>
    <w:p w14:paraId="0A154A2D" w14:textId="77777777" w:rsidR="002051F5" w:rsidRPr="00C86BCF" w:rsidRDefault="002051F5" w:rsidP="002051F5">
      <w:pPr>
        <w:pStyle w:val="Textonotapie"/>
        <w:ind w:firstLine="708"/>
        <w:jc w:val="both"/>
        <w:rPr>
          <w:rFonts w:ascii="Verdana" w:hAnsi="Verdana"/>
          <w:lang w:val="es-ES_tradnl"/>
        </w:rPr>
      </w:pPr>
    </w:p>
  </w:footnote>
  <w:footnote w:id="5">
    <w:p w14:paraId="6DCB4C1A" w14:textId="77777777" w:rsidR="002051F5" w:rsidRPr="00C86BCF" w:rsidRDefault="002051F5" w:rsidP="002051F5">
      <w:pPr>
        <w:pStyle w:val="Textonotapie"/>
        <w:ind w:firstLine="708"/>
        <w:jc w:val="both"/>
        <w:rPr>
          <w:rFonts w:ascii="Verdana" w:hAnsi="Verdana"/>
          <w:lang w:val="es-ES_tradnl"/>
        </w:rPr>
      </w:pPr>
      <w:r w:rsidRPr="00C86BCF">
        <w:rPr>
          <w:rStyle w:val="Refdenotaalpie"/>
          <w:rFonts w:ascii="Verdana" w:hAnsi="Verdana"/>
        </w:rPr>
        <w:footnoteRef/>
      </w:r>
      <w:r w:rsidRPr="00C86BCF">
        <w:rPr>
          <w:rFonts w:ascii="Verdana" w:hAnsi="Verdana"/>
        </w:rPr>
        <w:t xml:space="preserve"> Artículo 2 Decreto 652 del 22 de diciembre de 2025 “Por medio del cual se expide el Decreto Único del Sector Movilidad”. </w:t>
      </w:r>
    </w:p>
  </w:footnote>
  <w:footnote w:id="6">
    <w:p w14:paraId="2B3384A5" w14:textId="77777777" w:rsidR="002051F5" w:rsidRPr="00C86BCF" w:rsidRDefault="002051F5" w:rsidP="002051F5">
      <w:pPr>
        <w:pStyle w:val="Textonotapie"/>
        <w:ind w:firstLine="708"/>
        <w:jc w:val="both"/>
        <w:rPr>
          <w:rFonts w:ascii="Verdana" w:hAnsi="Verdana"/>
        </w:rPr>
      </w:pPr>
      <w:r w:rsidRPr="00C86BCF">
        <w:rPr>
          <w:rStyle w:val="Refdenotaalpie"/>
          <w:rFonts w:ascii="Verdana" w:hAnsi="Verdana"/>
        </w:rPr>
        <w:footnoteRef/>
      </w:r>
      <w:r w:rsidRPr="00C86BCF">
        <w:rPr>
          <w:rFonts w:ascii="Verdana" w:hAnsi="Verdana"/>
        </w:rPr>
        <w:t xml:space="preserve"> Resolución 539 del 21 de agosto de 2025, artículo 23. “Vigencia. La presente resolución rige a partir de su publicación y aplicará a los procedimientos de selección de licitación de obra pública de infraestructura social en los sectores educación, salud, cultura, recreación y deporte, institucional y vivienda, cuyo aviso de convocatoria sea publicado a partir del 16 de febrero de 2026”.</w:t>
      </w:r>
    </w:p>
    <w:p w14:paraId="727489E0" w14:textId="77777777" w:rsidR="002051F5" w:rsidRPr="00C86BCF" w:rsidRDefault="002051F5" w:rsidP="002051F5">
      <w:pPr>
        <w:pStyle w:val="Textonotapie"/>
        <w:ind w:firstLine="708"/>
        <w:jc w:val="both"/>
        <w:rPr>
          <w:rFonts w:ascii="Verdana" w:hAnsi="Verdana"/>
        </w:rPr>
      </w:pPr>
    </w:p>
    <w:p w14:paraId="7BDA51B4" w14:textId="77777777" w:rsidR="002051F5" w:rsidRPr="00C86BCF" w:rsidRDefault="002051F5" w:rsidP="002051F5">
      <w:pPr>
        <w:pStyle w:val="Textonotapie"/>
        <w:ind w:firstLine="708"/>
        <w:jc w:val="both"/>
        <w:rPr>
          <w:rFonts w:ascii="Verdana" w:hAnsi="Verdana"/>
        </w:rPr>
      </w:pPr>
      <w:r w:rsidRPr="00C86BCF">
        <w:rPr>
          <w:rFonts w:ascii="Verdana" w:hAnsi="Verdana"/>
        </w:rPr>
        <w:t>Resolución 540 del 21 de agosto de 2025, artículo 22. Vigencia. La presente resolución rige a partir de su publicación y aplicará a los procedimientos de selección abreviada de menor cuantía de obra pública de infraestructura social de los sectores educación, salud, cultura, recreación y deporte, institucional y vivienda, cuyo aviso de convocatoria sea publicado a partir del 16 de febrero de 2026.</w:t>
      </w:r>
    </w:p>
    <w:p w14:paraId="017D65D9" w14:textId="77777777" w:rsidR="002051F5" w:rsidRPr="00C86BCF" w:rsidRDefault="002051F5" w:rsidP="002051F5">
      <w:pPr>
        <w:pStyle w:val="Textonotapie"/>
        <w:ind w:firstLine="708"/>
        <w:jc w:val="both"/>
        <w:rPr>
          <w:rFonts w:ascii="Verdana" w:hAnsi="Verdana"/>
        </w:rPr>
      </w:pPr>
    </w:p>
    <w:p w14:paraId="42B8E842" w14:textId="77777777" w:rsidR="002051F5" w:rsidRPr="00C86BCF" w:rsidRDefault="002051F5" w:rsidP="002051F5">
      <w:pPr>
        <w:pStyle w:val="Textonotapie"/>
        <w:ind w:firstLine="708"/>
        <w:jc w:val="both"/>
        <w:rPr>
          <w:rFonts w:ascii="Verdana" w:hAnsi="Verdana"/>
        </w:rPr>
      </w:pPr>
      <w:r w:rsidRPr="00C86BCF">
        <w:rPr>
          <w:rFonts w:ascii="Verdana" w:hAnsi="Verdana"/>
        </w:rPr>
        <w:t>Resolución 541 del 21 de agosto de 2025, artículo 22. Vigencia. La presente resolución rige a partir de su publicación y aplicará a los procedimientos de mínima cuantía de obra pública de infraestructura de los sectores educación, salud, cultura, recreación y deporte, institucional y vivienda, cuyo aviso de convocatoria sea publicado a partir del 16 de febrero de 2026.</w:t>
      </w:r>
    </w:p>
    <w:p w14:paraId="4AB30F2F" w14:textId="77777777" w:rsidR="002051F5" w:rsidRPr="00C86BCF" w:rsidRDefault="002051F5" w:rsidP="002051F5">
      <w:pPr>
        <w:pStyle w:val="Textonotapie"/>
        <w:ind w:firstLine="708"/>
        <w:jc w:val="both"/>
        <w:rPr>
          <w:rFonts w:ascii="Verdana" w:hAnsi="Verdana"/>
        </w:rPr>
      </w:pPr>
    </w:p>
    <w:p w14:paraId="525A4FE5" w14:textId="77777777" w:rsidR="002051F5" w:rsidRPr="00C86BCF" w:rsidRDefault="002051F5" w:rsidP="002051F5">
      <w:pPr>
        <w:pStyle w:val="Textonotapie"/>
        <w:ind w:firstLine="708"/>
        <w:jc w:val="both"/>
        <w:rPr>
          <w:rFonts w:ascii="Verdana" w:hAnsi="Verdana"/>
        </w:rPr>
      </w:pPr>
      <w:r w:rsidRPr="00C86BCF">
        <w:rPr>
          <w:rFonts w:ascii="Verdana" w:hAnsi="Verdana"/>
        </w:rPr>
        <w:t>Resolución 952 del 15 de diciembre de 2025, artículo 22. Vigencia. La presente resolución rige a partir de su publicación, y aplicará para los procesos de selección de concurso de méritos para contratar la consultoría de estudios de ingeniería de infraestructura social en los sectores educación, salud, cultura, recreación y deporte, institucional y vivienda, cuyo aviso de convocatoria se publique a partir del 16 de febrero de 2026.</w:t>
      </w:r>
    </w:p>
    <w:p w14:paraId="6DB7EB84" w14:textId="77777777" w:rsidR="002051F5" w:rsidRPr="00C86BCF" w:rsidRDefault="002051F5" w:rsidP="002051F5">
      <w:pPr>
        <w:pStyle w:val="Textonotapie"/>
        <w:ind w:firstLine="708"/>
        <w:jc w:val="both"/>
        <w:rPr>
          <w:rFonts w:ascii="Verdana" w:hAnsi="Verdana"/>
        </w:rPr>
      </w:pPr>
    </w:p>
    <w:p w14:paraId="43D3134D" w14:textId="77777777" w:rsidR="002051F5" w:rsidRPr="00C86BCF" w:rsidRDefault="002051F5" w:rsidP="002051F5">
      <w:pPr>
        <w:pStyle w:val="Textonotapie"/>
        <w:ind w:firstLine="708"/>
        <w:jc w:val="both"/>
        <w:rPr>
          <w:rFonts w:ascii="Verdana" w:hAnsi="Verdana"/>
        </w:rPr>
      </w:pPr>
      <w:r w:rsidRPr="00C86BCF">
        <w:rPr>
          <w:rFonts w:ascii="Verdana" w:hAnsi="Verdana"/>
        </w:rPr>
        <w:t>Resolución 953 del 15 de diciembre de 2025, artículo 22. Vigencia y derogatorias. La presente resolución rige a partir de su publicación, deroga la Resolución 798 del 29 de diciembre de 2023 y sus modificaciones posteriores, y aplicará para los procesos de selección de concurso de méritos para contratar la interventoría de obras públicas de infraestructura social en los sectores educación, salud, cultura, recreación y deporte, institucional y vivienda, cuyo aviso de convocatoria se publique a partir del 16 de febrero de 2026.</w:t>
      </w:r>
    </w:p>
  </w:footnote>
  <w:footnote w:id="7">
    <w:p w14:paraId="13983D7A" w14:textId="77777777" w:rsidR="002051F5" w:rsidRPr="00C86BCF" w:rsidRDefault="002051F5" w:rsidP="002051F5">
      <w:pPr>
        <w:pStyle w:val="Textonotapie"/>
        <w:ind w:firstLine="708"/>
        <w:jc w:val="both"/>
        <w:rPr>
          <w:rFonts w:ascii="Verdana" w:hAnsi="Verdana"/>
        </w:rPr>
      </w:pPr>
      <w:r w:rsidRPr="00C86BCF">
        <w:rPr>
          <w:rStyle w:val="Refdenotaalpie"/>
          <w:rFonts w:ascii="Verdana" w:hAnsi="Verdana"/>
        </w:rPr>
        <w:footnoteRef/>
      </w:r>
      <w:r w:rsidRPr="00C86BCF">
        <w:rPr>
          <w:rFonts w:ascii="Verdana" w:hAnsi="Verdana"/>
        </w:rPr>
        <w:t xml:space="preserve"> Reglamento Colombiano de Construcción Sismo Resistente NSR-10</w:t>
      </w:r>
    </w:p>
    <w:p w14:paraId="527B3641" w14:textId="77777777" w:rsidR="002051F5" w:rsidRPr="00C86BCF" w:rsidRDefault="002051F5" w:rsidP="002051F5">
      <w:pPr>
        <w:pStyle w:val="Textonotapie"/>
        <w:ind w:firstLine="708"/>
        <w:jc w:val="both"/>
        <w:rPr>
          <w:rFonts w:ascii="Verdana" w:hAnsi="Verdana"/>
          <w:lang w:val="es-ES_tradnl"/>
        </w:rPr>
      </w:pPr>
    </w:p>
  </w:footnote>
  <w:footnote w:id="8">
    <w:p w14:paraId="5BDD39A6" w14:textId="77777777" w:rsidR="002051F5" w:rsidRPr="00C86BCF" w:rsidRDefault="002051F5" w:rsidP="002051F5">
      <w:pPr>
        <w:pStyle w:val="Textonotapie"/>
        <w:ind w:firstLine="708"/>
        <w:jc w:val="both"/>
        <w:rPr>
          <w:rFonts w:ascii="Verdana" w:hAnsi="Verdana"/>
          <w:lang w:val="es-ES_tradnl"/>
        </w:rPr>
      </w:pPr>
      <w:r w:rsidRPr="00C86BCF">
        <w:rPr>
          <w:rStyle w:val="Refdenotaalpie"/>
          <w:rFonts w:ascii="Verdana" w:hAnsi="Verdana"/>
        </w:rPr>
        <w:footnoteRef/>
      </w:r>
      <w:r w:rsidRPr="00C86BCF">
        <w:rPr>
          <w:rFonts w:ascii="Verdana" w:hAnsi="Verdana"/>
        </w:rPr>
        <w:t xml:space="preserve"> </w:t>
      </w:r>
      <w:r w:rsidRPr="00C86BCF">
        <w:rPr>
          <w:rFonts w:ascii="Verdana" w:hAnsi="Verdana"/>
          <w:lang w:val="es-ES_tradnl"/>
        </w:rPr>
        <w:t xml:space="preserve">Ibidem </w:t>
      </w:r>
    </w:p>
    <w:p w14:paraId="50F96D92" w14:textId="77777777" w:rsidR="002051F5" w:rsidRPr="00C86BCF" w:rsidRDefault="002051F5" w:rsidP="002051F5">
      <w:pPr>
        <w:pStyle w:val="Textonotapie"/>
        <w:ind w:firstLine="708"/>
        <w:jc w:val="both"/>
        <w:rPr>
          <w:rFonts w:ascii="Verdana" w:hAnsi="Verdana"/>
          <w:lang w:val="es-ES_tradnl"/>
        </w:rPr>
      </w:pPr>
    </w:p>
  </w:footnote>
  <w:footnote w:id="9">
    <w:p w14:paraId="0BED52D5" w14:textId="77777777" w:rsidR="002051F5" w:rsidRPr="00C86BCF" w:rsidRDefault="002051F5" w:rsidP="002051F5">
      <w:pPr>
        <w:pStyle w:val="Textonotapie"/>
        <w:ind w:firstLine="708"/>
        <w:jc w:val="both"/>
        <w:rPr>
          <w:rFonts w:ascii="Verdana" w:hAnsi="Verdana"/>
        </w:rPr>
      </w:pPr>
      <w:r w:rsidRPr="00C86BCF">
        <w:rPr>
          <w:rStyle w:val="Refdenotaalpie"/>
          <w:rFonts w:ascii="Verdana" w:hAnsi="Verdana"/>
        </w:rPr>
        <w:footnoteRef/>
      </w:r>
      <w:r w:rsidRPr="00C86BCF">
        <w:rPr>
          <w:rFonts w:ascii="Verdana" w:hAnsi="Verdana"/>
        </w:rPr>
        <w:t xml:space="preserve"> Anexo 5 – Glosario, de los documentos tipo de licitación de obra pública de infraestructura social, definición 2.80. </w:t>
      </w:r>
    </w:p>
    <w:p w14:paraId="2A8F7239" w14:textId="77777777" w:rsidR="002051F5" w:rsidRPr="00C86BCF" w:rsidRDefault="002051F5" w:rsidP="002051F5">
      <w:pPr>
        <w:pStyle w:val="Textonotapie"/>
        <w:ind w:firstLine="708"/>
        <w:jc w:val="both"/>
        <w:rPr>
          <w:rFonts w:ascii="Verdana" w:hAnsi="Verdana"/>
          <w:lang w:val="es-ES_tradnl"/>
        </w:rPr>
      </w:pPr>
    </w:p>
  </w:footnote>
  <w:footnote w:id="10">
    <w:p w14:paraId="5C1DBB10" w14:textId="77777777" w:rsidR="002051F5" w:rsidRPr="00C86BCF" w:rsidRDefault="002051F5" w:rsidP="002051F5">
      <w:pPr>
        <w:pStyle w:val="Textonotapie"/>
        <w:ind w:firstLine="708"/>
        <w:jc w:val="both"/>
        <w:rPr>
          <w:rFonts w:ascii="Verdana" w:hAnsi="Verdana"/>
          <w:lang w:val="es-ES_tradnl"/>
        </w:rPr>
      </w:pPr>
      <w:r w:rsidRPr="00C86BCF">
        <w:rPr>
          <w:rStyle w:val="Refdenotaalpie"/>
          <w:rFonts w:ascii="Verdana" w:hAnsi="Verdana"/>
        </w:rPr>
        <w:footnoteRef/>
      </w:r>
      <w:r w:rsidRPr="00C86BCF">
        <w:rPr>
          <w:rFonts w:ascii="Verdana" w:hAnsi="Verdana"/>
        </w:rPr>
        <w:t xml:space="preserve"> Artículo 2 Decreto 652 del 22 de diciembre de 2025 “Por medio del cual se expide el Decreto Único del Sector Movilidad”.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71"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827985604">
    <w:abstractNumId w:val="9"/>
  </w:num>
  <w:num w:numId="17" w16cid:durableId="341274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hdrShapeDefaults>
    <o:shapedefaults v:ext="edit" spidmax="512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25D1"/>
    <w:rsid w:val="00046945"/>
    <w:rsid w:val="00061B2A"/>
    <w:rsid w:val="00082362"/>
    <w:rsid w:val="000A683E"/>
    <w:rsid w:val="000B19B9"/>
    <w:rsid w:val="000D0334"/>
    <w:rsid w:val="000D5DA7"/>
    <w:rsid w:val="000F6486"/>
    <w:rsid w:val="00116940"/>
    <w:rsid w:val="00125105"/>
    <w:rsid w:val="00127233"/>
    <w:rsid w:val="00147E4C"/>
    <w:rsid w:val="0015699B"/>
    <w:rsid w:val="001A33BF"/>
    <w:rsid w:val="001C14E2"/>
    <w:rsid w:val="001E4177"/>
    <w:rsid w:val="001F0B24"/>
    <w:rsid w:val="001F7DC6"/>
    <w:rsid w:val="002051F5"/>
    <w:rsid w:val="0022400B"/>
    <w:rsid w:val="002421BB"/>
    <w:rsid w:val="0025796E"/>
    <w:rsid w:val="002707A2"/>
    <w:rsid w:val="002951A0"/>
    <w:rsid w:val="002962BC"/>
    <w:rsid w:val="002A093D"/>
    <w:rsid w:val="002A0DD0"/>
    <w:rsid w:val="002A49AC"/>
    <w:rsid w:val="002A64FD"/>
    <w:rsid w:val="002C7A84"/>
    <w:rsid w:val="002E2BF8"/>
    <w:rsid w:val="002E4FD9"/>
    <w:rsid w:val="003042F8"/>
    <w:rsid w:val="0030657A"/>
    <w:rsid w:val="00322A85"/>
    <w:rsid w:val="00324168"/>
    <w:rsid w:val="00330834"/>
    <w:rsid w:val="003448F4"/>
    <w:rsid w:val="003457A6"/>
    <w:rsid w:val="00374F5E"/>
    <w:rsid w:val="00377E3E"/>
    <w:rsid w:val="003A779E"/>
    <w:rsid w:val="003D0F4D"/>
    <w:rsid w:val="003D5B0D"/>
    <w:rsid w:val="003E0499"/>
    <w:rsid w:val="003E4F80"/>
    <w:rsid w:val="003E6439"/>
    <w:rsid w:val="003F3941"/>
    <w:rsid w:val="00406575"/>
    <w:rsid w:val="00414C74"/>
    <w:rsid w:val="0042722E"/>
    <w:rsid w:val="0044528D"/>
    <w:rsid w:val="00463584"/>
    <w:rsid w:val="00466E39"/>
    <w:rsid w:val="004918B2"/>
    <w:rsid w:val="00493FA9"/>
    <w:rsid w:val="004A1847"/>
    <w:rsid w:val="004A305D"/>
    <w:rsid w:val="004F21C4"/>
    <w:rsid w:val="004F2D9C"/>
    <w:rsid w:val="004F685F"/>
    <w:rsid w:val="0052372B"/>
    <w:rsid w:val="005566E8"/>
    <w:rsid w:val="00574867"/>
    <w:rsid w:val="00591460"/>
    <w:rsid w:val="005953B1"/>
    <w:rsid w:val="00595D85"/>
    <w:rsid w:val="005A65E0"/>
    <w:rsid w:val="005C3777"/>
    <w:rsid w:val="005C5CDC"/>
    <w:rsid w:val="005D476C"/>
    <w:rsid w:val="006200BF"/>
    <w:rsid w:val="006219F8"/>
    <w:rsid w:val="006302F7"/>
    <w:rsid w:val="00646B9F"/>
    <w:rsid w:val="006609A4"/>
    <w:rsid w:val="00663C38"/>
    <w:rsid w:val="00665D70"/>
    <w:rsid w:val="006900D9"/>
    <w:rsid w:val="00706C16"/>
    <w:rsid w:val="007340C3"/>
    <w:rsid w:val="0075235A"/>
    <w:rsid w:val="00756841"/>
    <w:rsid w:val="007649AB"/>
    <w:rsid w:val="00771D0C"/>
    <w:rsid w:val="00777FB3"/>
    <w:rsid w:val="00781AE7"/>
    <w:rsid w:val="007833AC"/>
    <w:rsid w:val="007B268C"/>
    <w:rsid w:val="007B7171"/>
    <w:rsid w:val="007C0C0F"/>
    <w:rsid w:val="007C3DC2"/>
    <w:rsid w:val="007E0464"/>
    <w:rsid w:val="007E5497"/>
    <w:rsid w:val="00806F5F"/>
    <w:rsid w:val="00820278"/>
    <w:rsid w:val="008258C9"/>
    <w:rsid w:val="00844AE9"/>
    <w:rsid w:val="00867F95"/>
    <w:rsid w:val="008843B6"/>
    <w:rsid w:val="00891928"/>
    <w:rsid w:val="008A446D"/>
    <w:rsid w:val="008A4FEF"/>
    <w:rsid w:val="008B25F1"/>
    <w:rsid w:val="008C339E"/>
    <w:rsid w:val="008D180B"/>
    <w:rsid w:val="008F0EA7"/>
    <w:rsid w:val="00923EEF"/>
    <w:rsid w:val="009419F9"/>
    <w:rsid w:val="0095685E"/>
    <w:rsid w:val="00961B09"/>
    <w:rsid w:val="00962A86"/>
    <w:rsid w:val="00965334"/>
    <w:rsid w:val="0097093E"/>
    <w:rsid w:val="0099798C"/>
    <w:rsid w:val="009A0DFA"/>
    <w:rsid w:val="009A1C6F"/>
    <w:rsid w:val="009B2D26"/>
    <w:rsid w:val="009C71FA"/>
    <w:rsid w:val="009C72E7"/>
    <w:rsid w:val="009C7F7E"/>
    <w:rsid w:val="009D3058"/>
    <w:rsid w:val="009F3A13"/>
    <w:rsid w:val="00A02864"/>
    <w:rsid w:val="00A122D3"/>
    <w:rsid w:val="00A14468"/>
    <w:rsid w:val="00A17F13"/>
    <w:rsid w:val="00A20739"/>
    <w:rsid w:val="00A23AF9"/>
    <w:rsid w:val="00A24EE1"/>
    <w:rsid w:val="00A33C78"/>
    <w:rsid w:val="00AA59D2"/>
    <w:rsid w:val="00AB0ADB"/>
    <w:rsid w:val="00AD10A4"/>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46E0E"/>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918B0"/>
    <w:rsid w:val="00DA231B"/>
    <w:rsid w:val="00DB0FD6"/>
    <w:rsid w:val="00DB7914"/>
    <w:rsid w:val="00DC39FC"/>
    <w:rsid w:val="00DF5254"/>
    <w:rsid w:val="00E0060A"/>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340A3"/>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2051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2051F5"/>
    <w:pPr>
      <w:spacing w:after="0" w:line="240" w:lineRule="exact"/>
    </w:pPr>
    <w:rPr>
      <w:vertAlign w:val="superscript"/>
    </w:rPr>
  </w:style>
  <w:style w:type="character" w:styleId="Refdecomentario">
    <w:name w:val="annotation reference"/>
    <w:basedOn w:val="Fuentedeprrafopredeter"/>
    <w:uiPriority w:val="99"/>
    <w:semiHidden/>
    <w:unhideWhenUsed/>
    <w:rsid w:val="00A02864"/>
    <w:rPr>
      <w:sz w:val="16"/>
      <w:szCs w:val="16"/>
    </w:rPr>
  </w:style>
  <w:style w:type="paragraph" w:styleId="Textocomentario">
    <w:name w:val="annotation text"/>
    <w:basedOn w:val="Normal"/>
    <w:link w:val="TextocomentarioCar"/>
    <w:uiPriority w:val="99"/>
    <w:unhideWhenUsed/>
    <w:rsid w:val="00A02864"/>
    <w:pPr>
      <w:spacing w:line="240" w:lineRule="auto"/>
    </w:pPr>
    <w:rPr>
      <w:sz w:val="20"/>
      <w:szCs w:val="20"/>
    </w:rPr>
  </w:style>
  <w:style w:type="character" w:customStyle="1" w:styleId="TextocomentarioCar">
    <w:name w:val="Texto comentario Car"/>
    <w:basedOn w:val="Fuentedeprrafopredeter"/>
    <w:link w:val="Textocomentario"/>
    <w:uiPriority w:val="99"/>
    <w:rsid w:val="00A02864"/>
    <w:rPr>
      <w:sz w:val="20"/>
      <w:szCs w:val="20"/>
    </w:rPr>
  </w:style>
  <w:style w:type="paragraph" w:styleId="Asuntodelcomentario">
    <w:name w:val="annotation subject"/>
    <w:basedOn w:val="Textocomentario"/>
    <w:next w:val="Textocomentario"/>
    <w:link w:val="AsuntodelcomentarioCar"/>
    <w:uiPriority w:val="99"/>
    <w:semiHidden/>
    <w:unhideWhenUsed/>
    <w:rsid w:val="00A02864"/>
    <w:rPr>
      <w:b/>
      <w:bCs/>
    </w:rPr>
  </w:style>
  <w:style w:type="character" w:customStyle="1" w:styleId="AsuntodelcomentarioCar">
    <w:name w:val="Asunto del comentario Car"/>
    <w:basedOn w:val="TextocomentarioCar"/>
    <w:link w:val="Asuntodelcomentario"/>
    <w:uiPriority w:val="99"/>
    <w:semiHidden/>
    <w:rsid w:val="00A0286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79A3D02-0C82-49C0-AD75-12C9E9D798A6}"/>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f802891c-ec6d-4a7d-9065-8c7796b72d37"/>
    <ds:schemaRef ds:uri="43a3329e-f091-4e15-9abe-66bee8419108"/>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22</Pages>
  <Words>7544</Words>
  <Characters>41498</Characters>
  <Application>Microsoft Office Word</Application>
  <DocSecurity>0</DocSecurity>
  <Lines>345</Lines>
  <Paragraphs>97</Paragraphs>
  <ScaleCrop>false</ScaleCrop>
  <Company/>
  <LinksUpToDate>false</LinksUpToDate>
  <CharactersWithSpaces>48945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Carlos Mario Castrillon Endo</cp:lastModifiedBy>
  <cp:revision>10</cp:revision>
  <cp:lastPrinted>2023-01-10T21:18:00Z</cp:lastPrinted>
  <dcterms:created xsi:type="dcterms:W3CDTF">2026-05-08T19:53:00Z</dcterms:created>
  <dcterms:modified xsi:type="dcterms:W3CDTF">2026-05-09T22:27:00Z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