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3348AF" w14:textId="77777777" w:rsidR="00483977" w:rsidRPr="00DC5CAD" w:rsidRDefault="00483977" w:rsidP="00483977">
      <w:pPr>
        <w:jc w:val="right"/>
        <w:rPr>
          <w:rFonts w:ascii="Arial" w:hAnsi="Arial" w:cs="Arial"/>
          <w:b/>
          <w:sz w:val="16"/>
          <w:szCs w:val="16"/>
          <w:lang w:eastAsia="es-ES"/>
        </w:rPr>
      </w:pPr>
      <w:bookmarkStart w:id="0" w:name="_Hlk34041509"/>
      <w:bookmarkStart w:id="1" w:name="_Hlk28946138"/>
      <w:bookmarkStart w:id="2" w:name="_Hlk29548183"/>
      <w:bookmarkEnd w:id="0"/>
      <w:r w:rsidRPr="00DC5CAD">
        <w:rPr>
          <w:rFonts w:ascii="Arial" w:hAnsi="Arial" w:cs="Arial"/>
          <w:b/>
          <w:sz w:val="16"/>
          <w:szCs w:val="16"/>
          <w:lang w:eastAsia="es-ES"/>
        </w:rPr>
        <w:t>CCE-DES-FM-17</w:t>
      </w:r>
    </w:p>
    <w:p w14:paraId="02373C66" w14:textId="77777777" w:rsidR="00FB1E56" w:rsidRPr="00DC5CAD" w:rsidRDefault="00FB1E56" w:rsidP="00FB1E56">
      <w:pPr>
        <w:jc w:val="both"/>
        <w:rPr>
          <w:rFonts w:ascii="Arial" w:hAnsi="Arial" w:cs="Arial"/>
          <w:b/>
          <w:sz w:val="22"/>
        </w:rPr>
      </w:pPr>
    </w:p>
    <w:p w14:paraId="4AD714B9" w14:textId="6395BB17" w:rsidR="00FB1E56" w:rsidRPr="00DC5CAD" w:rsidRDefault="00FB1E56" w:rsidP="00FB1E56">
      <w:pPr>
        <w:jc w:val="both"/>
        <w:rPr>
          <w:rFonts w:ascii="Arial" w:hAnsi="Arial" w:cs="Arial"/>
          <w:sz w:val="22"/>
        </w:rPr>
      </w:pPr>
      <w:r w:rsidRPr="00DC5CAD">
        <w:rPr>
          <w:rFonts w:ascii="Arial" w:hAnsi="Arial" w:cs="Arial"/>
          <w:b/>
          <w:sz w:val="22"/>
        </w:rPr>
        <w:t xml:space="preserve">EXPERIENCIA </w:t>
      </w:r>
      <w:r w:rsidRPr="00DC5CAD">
        <w:rPr>
          <w:rFonts w:ascii="Arial" w:eastAsia="Calibri" w:hAnsi="Arial" w:cs="Arial"/>
          <w:b/>
          <w:sz w:val="22"/>
        </w:rPr>
        <w:t>–</w:t>
      </w:r>
      <w:r w:rsidRPr="00DC5CAD">
        <w:rPr>
          <w:rFonts w:ascii="Arial" w:hAnsi="Arial" w:cs="Arial"/>
          <w:b/>
          <w:sz w:val="22"/>
        </w:rPr>
        <w:t xml:space="preserve"> Conservación </w:t>
      </w:r>
      <w:r w:rsidRPr="00DC5CAD">
        <w:rPr>
          <w:rFonts w:ascii="Arial" w:eastAsia="Calibri" w:hAnsi="Arial" w:cs="Arial"/>
          <w:b/>
          <w:sz w:val="22"/>
        </w:rPr>
        <w:t xml:space="preserve">– </w:t>
      </w:r>
      <w:r w:rsidRPr="00DC5CAD">
        <w:rPr>
          <w:rFonts w:ascii="Arial" w:hAnsi="Arial" w:cs="Arial"/>
          <w:b/>
          <w:sz w:val="22"/>
        </w:rPr>
        <w:t xml:space="preserve">Sociedades </w:t>
      </w:r>
      <w:r w:rsidRPr="00DC5CAD">
        <w:rPr>
          <w:rFonts w:ascii="Arial" w:eastAsia="Calibri" w:hAnsi="Arial" w:cs="Arial"/>
          <w:b/>
          <w:sz w:val="22"/>
        </w:rPr>
        <w:t>– M</w:t>
      </w:r>
      <w:r w:rsidRPr="00DC5CAD">
        <w:rPr>
          <w:rFonts w:ascii="Arial" w:hAnsi="Arial" w:cs="Arial"/>
          <w:b/>
          <w:sz w:val="22"/>
        </w:rPr>
        <w:t>enor a 3 años de constitución</w:t>
      </w:r>
      <w:r w:rsidRPr="00DC5CAD">
        <w:rPr>
          <w:rFonts w:ascii="Arial" w:hAnsi="Arial" w:cs="Arial"/>
          <w:sz w:val="21"/>
          <w:szCs w:val="21"/>
        </w:rPr>
        <w:t xml:space="preserve"> </w:t>
      </w:r>
    </w:p>
    <w:p w14:paraId="3842E3C9" w14:textId="77777777" w:rsidR="00FB1E56" w:rsidRPr="00DC5CAD" w:rsidRDefault="00FB1E56" w:rsidP="00FB1E56">
      <w:pPr>
        <w:jc w:val="both"/>
        <w:rPr>
          <w:rFonts w:ascii="Arial" w:hAnsi="Arial" w:cs="Arial"/>
          <w:sz w:val="20"/>
          <w:szCs w:val="20"/>
        </w:rPr>
      </w:pPr>
    </w:p>
    <w:p w14:paraId="7929630B" w14:textId="77777777" w:rsidR="00FB1E56" w:rsidRPr="00DC5CAD" w:rsidRDefault="00FB1E56" w:rsidP="00FB1E56">
      <w:pPr>
        <w:jc w:val="both"/>
        <w:rPr>
          <w:rFonts w:ascii="Arial" w:hAnsi="Arial" w:cs="Arial"/>
          <w:sz w:val="20"/>
          <w:szCs w:val="20"/>
        </w:rPr>
      </w:pPr>
      <w:r w:rsidRPr="00DC5CAD">
        <w:rPr>
          <w:rFonts w:ascii="Arial" w:hAnsi="Arial" w:cs="Arial"/>
          <w:sz w:val="20"/>
          <w:szCs w:val="20"/>
        </w:rPr>
        <w:t>[…] en atención al principio general de interpretación según el cual donde el legislador no distingue no le es dado hacerlo al interprete, el hecho de que una sociedad con menos de 3 años de constitución haya hecho uso de la referida prerrogativa en determinado proceso de contratación o entidad, no excluye la posibilidad de que dicha sociedad siga haciendo uso del beneficio en otros procesos de contratación adelantados por otras entidades, incluso una vez vencidos los 3 años de constitución, siempre que no hayan cesado los efectos del RUP por el incumplimiento del deber de renovación.</w:t>
      </w:r>
    </w:p>
    <w:p w14:paraId="43C992B5" w14:textId="77777777" w:rsidR="00FB1E56" w:rsidRPr="00DC5CAD" w:rsidRDefault="00FB1E56" w:rsidP="00FB1E56">
      <w:pPr>
        <w:jc w:val="both"/>
        <w:rPr>
          <w:rFonts w:ascii="Arial" w:hAnsi="Arial" w:cs="Arial"/>
          <w:sz w:val="20"/>
          <w:szCs w:val="20"/>
        </w:rPr>
      </w:pPr>
    </w:p>
    <w:p w14:paraId="2D29EBB0" w14:textId="13283ACE" w:rsidR="00D335E2" w:rsidRPr="00DC5CAD" w:rsidRDefault="00885322" w:rsidP="006A0F23">
      <w:pPr>
        <w:jc w:val="both"/>
        <w:rPr>
          <w:rFonts w:ascii="Arial" w:hAnsi="Arial" w:cs="Arial"/>
          <w:b/>
          <w:bCs/>
          <w:sz w:val="22"/>
        </w:rPr>
      </w:pPr>
      <w:r w:rsidRPr="00DC5CAD">
        <w:rPr>
          <w:rFonts w:ascii="Arial" w:hAnsi="Arial" w:cs="Arial"/>
          <w:b/>
          <w:bCs/>
          <w:sz w:val="22"/>
        </w:rPr>
        <w:t>EXPERIENCIA</w:t>
      </w:r>
      <w:r w:rsidR="004C0517" w:rsidRPr="00DC5CAD">
        <w:rPr>
          <w:rFonts w:ascii="Arial" w:hAnsi="Arial" w:cs="Arial"/>
          <w:b/>
          <w:bCs/>
          <w:sz w:val="22"/>
        </w:rPr>
        <w:t xml:space="preserve"> </w:t>
      </w:r>
      <w:bookmarkStart w:id="3" w:name="_Hlk39676694"/>
      <w:r w:rsidR="00236E03" w:rsidRPr="00DC5CAD">
        <w:rPr>
          <w:rFonts w:ascii="Arial" w:eastAsia="Calibri" w:hAnsi="Arial" w:cs="Arial"/>
          <w:b/>
          <w:sz w:val="22"/>
        </w:rPr>
        <w:t>–</w:t>
      </w:r>
      <w:bookmarkEnd w:id="3"/>
      <w:r w:rsidR="00236E03" w:rsidRPr="00DC5CAD">
        <w:rPr>
          <w:rFonts w:ascii="Arial" w:eastAsia="Calibri" w:hAnsi="Arial" w:cs="Arial"/>
          <w:b/>
          <w:sz w:val="22"/>
        </w:rPr>
        <w:t xml:space="preserve"> </w:t>
      </w:r>
      <w:r w:rsidR="0083017E" w:rsidRPr="00DC5CAD">
        <w:rPr>
          <w:rFonts w:ascii="Arial" w:eastAsia="Calibri" w:hAnsi="Arial" w:cs="Arial"/>
          <w:b/>
          <w:sz w:val="22"/>
        </w:rPr>
        <w:t xml:space="preserve">Concepto – </w:t>
      </w:r>
      <w:r w:rsidR="0083017E" w:rsidRPr="00DC5CAD">
        <w:rPr>
          <w:rFonts w:ascii="Arial" w:hAnsi="Arial" w:cs="Arial"/>
          <w:b/>
          <w:bCs/>
          <w:sz w:val="22"/>
        </w:rPr>
        <w:t>Colombia Compra Eficiente</w:t>
      </w:r>
    </w:p>
    <w:p w14:paraId="33D8AC86" w14:textId="77777777" w:rsidR="00D335E2" w:rsidRPr="00DC5CAD" w:rsidRDefault="00D335E2" w:rsidP="006A0F23">
      <w:pPr>
        <w:jc w:val="both"/>
        <w:rPr>
          <w:rFonts w:ascii="Arial" w:hAnsi="Arial" w:cs="Arial"/>
          <w:b/>
          <w:bCs/>
          <w:sz w:val="20"/>
          <w:szCs w:val="20"/>
          <w:highlight w:val="yellow"/>
        </w:rPr>
      </w:pPr>
    </w:p>
    <w:p w14:paraId="41E69827" w14:textId="77777777" w:rsidR="00BB225A" w:rsidRPr="00DC5CAD" w:rsidRDefault="00BB225A" w:rsidP="00015A51">
      <w:pPr>
        <w:spacing w:after="120"/>
        <w:jc w:val="both"/>
        <w:rPr>
          <w:rFonts w:ascii="Arial" w:hAnsi="Arial" w:cs="Arial"/>
          <w:sz w:val="20"/>
          <w:szCs w:val="20"/>
        </w:rPr>
      </w:pPr>
      <w:r w:rsidRPr="00DC5CAD">
        <w:rPr>
          <w:rFonts w:ascii="Arial" w:hAnsi="Arial" w:cs="Arial"/>
          <w:sz w:val="20"/>
          <w:szCs w:val="20"/>
        </w:rPr>
        <w:t xml:space="preserve">Finalmente, se pueden extraer cuatro conclusiones relevantes para evaluar las figuras y reformas estatutarias de las sociedades comerciales, respecto de la experiencia: </w:t>
      </w:r>
    </w:p>
    <w:p w14:paraId="4667F40C" w14:textId="77777777" w:rsidR="00BB225A" w:rsidRPr="00DC5CAD" w:rsidRDefault="00BB225A" w:rsidP="00015A51">
      <w:pPr>
        <w:spacing w:after="120"/>
        <w:jc w:val="both"/>
        <w:rPr>
          <w:rFonts w:ascii="Arial" w:hAnsi="Arial" w:cs="Arial"/>
          <w:sz w:val="20"/>
          <w:szCs w:val="20"/>
        </w:rPr>
      </w:pPr>
      <w:r w:rsidRPr="00DC5CAD">
        <w:rPr>
          <w:rFonts w:ascii="Arial" w:hAnsi="Arial" w:cs="Arial"/>
          <w:sz w:val="20"/>
          <w:szCs w:val="20"/>
        </w:rPr>
        <w:t>i) La experiencia es personal, esto es, se adquiere participando, directa o indirectamente, sin que sea posible no hacerlo y tener experiencia.</w:t>
      </w:r>
    </w:p>
    <w:p w14:paraId="1D0A4F12" w14:textId="77777777" w:rsidR="00BB225A" w:rsidRPr="00DC5CAD" w:rsidRDefault="00BB225A" w:rsidP="00015A51">
      <w:pPr>
        <w:spacing w:after="120"/>
        <w:jc w:val="both"/>
        <w:rPr>
          <w:rFonts w:ascii="Arial" w:hAnsi="Arial" w:cs="Arial"/>
          <w:sz w:val="20"/>
          <w:szCs w:val="20"/>
        </w:rPr>
      </w:pPr>
      <w:proofErr w:type="spellStart"/>
      <w:r w:rsidRPr="00DC5CAD">
        <w:rPr>
          <w:rFonts w:ascii="Arial" w:hAnsi="Arial" w:cs="Arial"/>
          <w:sz w:val="20"/>
          <w:szCs w:val="20"/>
        </w:rPr>
        <w:t>ii</w:t>
      </w:r>
      <w:proofErr w:type="spellEnd"/>
      <w:r w:rsidRPr="00DC5CAD">
        <w:rPr>
          <w:rFonts w:ascii="Arial" w:hAnsi="Arial" w:cs="Arial"/>
          <w:sz w:val="20"/>
          <w:szCs w:val="20"/>
        </w:rPr>
        <w:t>) La experiencia se puede compartir, sin que implique que la compartida a una persona se entienda suya, ya que dentro del procedimiento contractual se reflejará que esa persona tiene la experiencia de otra, como es el caso de las figuras asociativas  ̶ consorcios y uniones temporales ̶  que se verificará en el documento privado de constitución .</w:t>
      </w:r>
    </w:p>
    <w:p w14:paraId="2F882FCB" w14:textId="77777777" w:rsidR="00BB225A" w:rsidRPr="00DC5CAD" w:rsidRDefault="00BB225A" w:rsidP="00015A51">
      <w:pPr>
        <w:spacing w:after="120"/>
        <w:jc w:val="both"/>
        <w:rPr>
          <w:rFonts w:ascii="Arial" w:hAnsi="Arial" w:cs="Arial"/>
          <w:sz w:val="20"/>
          <w:szCs w:val="20"/>
        </w:rPr>
      </w:pPr>
      <w:proofErr w:type="spellStart"/>
      <w:r w:rsidRPr="00DC5CAD">
        <w:rPr>
          <w:rFonts w:ascii="Arial" w:hAnsi="Arial" w:cs="Arial"/>
          <w:sz w:val="20"/>
          <w:szCs w:val="20"/>
        </w:rPr>
        <w:t>iii</w:t>
      </w:r>
      <w:proofErr w:type="spellEnd"/>
      <w:r w:rsidRPr="00DC5CAD">
        <w:rPr>
          <w:rFonts w:ascii="Arial" w:hAnsi="Arial" w:cs="Arial"/>
          <w:sz w:val="20"/>
          <w:szCs w:val="20"/>
        </w:rPr>
        <w:t>) La experiencia se puede transferir, y esto es diferente a compartir, lo que implica que la experiencia de una persona se traslada a otra, y esta última acredita la experiencia como propia, como sucede con algunas figuras y reformas estatutarias, que se explicarán con más detalle en el numeral 2.3 de este concepto.</w:t>
      </w:r>
    </w:p>
    <w:p w14:paraId="46B85F23" w14:textId="53C1E3C6" w:rsidR="0083017E" w:rsidRPr="00DC5CAD" w:rsidRDefault="00BB225A" w:rsidP="00015A51">
      <w:pPr>
        <w:jc w:val="both"/>
        <w:rPr>
          <w:rFonts w:ascii="Arial" w:hAnsi="Arial" w:cs="Arial"/>
          <w:sz w:val="20"/>
          <w:szCs w:val="20"/>
        </w:rPr>
      </w:pPr>
      <w:proofErr w:type="spellStart"/>
      <w:r w:rsidRPr="00DC5CAD">
        <w:rPr>
          <w:rFonts w:ascii="Arial" w:hAnsi="Arial" w:cs="Arial"/>
          <w:sz w:val="20"/>
          <w:szCs w:val="20"/>
        </w:rPr>
        <w:t>iv</w:t>
      </w:r>
      <w:proofErr w:type="spellEnd"/>
      <w:r w:rsidRPr="00DC5CAD">
        <w:rPr>
          <w:rFonts w:ascii="Arial" w:hAnsi="Arial" w:cs="Arial"/>
          <w:sz w:val="20"/>
          <w:szCs w:val="20"/>
        </w:rPr>
        <w:t>) Cuando la persona que adquirió la experiencia desaparece o se liquida no es posible que comparta o transfiera su experiencia, porque al ser personal sigue la suerte de quien la adquirió.</w:t>
      </w:r>
    </w:p>
    <w:p w14:paraId="504C1652" w14:textId="77777777" w:rsidR="00BB225A" w:rsidRPr="00DC5CAD" w:rsidRDefault="00BB225A" w:rsidP="00015A51">
      <w:pPr>
        <w:jc w:val="both"/>
        <w:rPr>
          <w:rFonts w:ascii="Arial" w:hAnsi="Arial" w:cs="Arial"/>
          <w:b/>
          <w:bCs/>
          <w:sz w:val="20"/>
          <w:szCs w:val="20"/>
          <w:highlight w:val="yellow"/>
        </w:rPr>
      </w:pPr>
    </w:p>
    <w:p w14:paraId="06A50077" w14:textId="416442C0" w:rsidR="0083017E" w:rsidRPr="00DC5CAD" w:rsidRDefault="0083017E" w:rsidP="00015A51">
      <w:pPr>
        <w:jc w:val="both"/>
        <w:rPr>
          <w:rFonts w:ascii="Arial" w:hAnsi="Arial" w:cs="Arial"/>
          <w:b/>
          <w:bCs/>
          <w:sz w:val="22"/>
        </w:rPr>
      </w:pPr>
      <w:r w:rsidRPr="00DC5CAD">
        <w:rPr>
          <w:rFonts w:ascii="Arial" w:hAnsi="Arial" w:cs="Arial"/>
          <w:b/>
          <w:bCs/>
          <w:sz w:val="22"/>
        </w:rPr>
        <w:t xml:space="preserve">EXPERIENCIA </w:t>
      </w:r>
      <w:r w:rsidRPr="00DC5CAD">
        <w:rPr>
          <w:rFonts w:ascii="Arial" w:eastAsia="Calibri" w:hAnsi="Arial" w:cs="Arial"/>
          <w:b/>
          <w:sz w:val="22"/>
        </w:rPr>
        <w:t>– Transformación</w:t>
      </w:r>
    </w:p>
    <w:p w14:paraId="556A3152" w14:textId="77777777" w:rsidR="00D335E2" w:rsidRPr="00DC5CAD" w:rsidRDefault="00D335E2" w:rsidP="00015A51">
      <w:pPr>
        <w:pStyle w:val="Sinespaciado"/>
        <w:widowControl w:val="0"/>
        <w:autoSpaceDE w:val="0"/>
        <w:autoSpaceDN w:val="0"/>
        <w:jc w:val="both"/>
        <w:rPr>
          <w:rFonts w:ascii="Arial" w:hAnsi="Arial" w:cs="Arial"/>
          <w:b/>
          <w:sz w:val="20"/>
          <w:szCs w:val="20"/>
          <w:highlight w:val="yellow"/>
        </w:rPr>
      </w:pPr>
    </w:p>
    <w:p w14:paraId="05002ACA" w14:textId="01AD5788" w:rsidR="006A0F23" w:rsidRPr="00DC5CAD" w:rsidRDefault="0083017E" w:rsidP="00015A51">
      <w:pPr>
        <w:autoSpaceDE w:val="0"/>
        <w:autoSpaceDN w:val="0"/>
        <w:adjustRightInd w:val="0"/>
        <w:jc w:val="both"/>
        <w:rPr>
          <w:rFonts w:ascii="Arial" w:hAnsi="Arial" w:cs="Arial"/>
          <w:sz w:val="20"/>
          <w:szCs w:val="20"/>
        </w:rPr>
      </w:pPr>
      <w:r w:rsidRPr="00DC5CAD">
        <w:rPr>
          <w:rFonts w:ascii="Arial" w:hAnsi="Arial" w:cs="Arial"/>
          <w:sz w:val="20"/>
          <w:szCs w:val="20"/>
        </w:rPr>
        <w:t xml:space="preserve">Respecto de la experiencia, teniendo en cuenta que la sociedad solo cambia su forma, lo cual, de acuerdo con el Código de Comercio, no afecta sus actividades, la sociedad continuará con la experiencia adquirida, ya que la misma es personal y mientras la persona jurídica exista la experiencia sigue vigente y puede incrementarse, siempre que la empresa continúe ejecutando contratos que le permitan aumentar el conocimiento en su objeto social. Esto se reafirma teniendo en cuenta que en la transformación la norma señala expresamente que la sociedad no se </w:t>
      </w:r>
      <w:r w:rsidR="004E58D5" w:rsidRPr="00DC5CAD">
        <w:rPr>
          <w:rFonts w:ascii="Arial" w:hAnsi="Arial" w:cs="Arial"/>
          <w:sz w:val="20"/>
          <w:szCs w:val="20"/>
        </w:rPr>
        <w:t>«</w:t>
      </w:r>
      <w:r w:rsidRPr="00DC5CAD">
        <w:rPr>
          <w:rFonts w:ascii="Arial" w:hAnsi="Arial" w:cs="Arial"/>
          <w:sz w:val="20"/>
          <w:szCs w:val="20"/>
        </w:rPr>
        <w:t>disuelve</w:t>
      </w:r>
      <w:r w:rsidR="004E58D5" w:rsidRPr="00DC5CAD">
        <w:rPr>
          <w:rFonts w:ascii="Arial" w:hAnsi="Arial" w:cs="Arial"/>
          <w:sz w:val="20"/>
          <w:szCs w:val="20"/>
        </w:rPr>
        <w:t>»</w:t>
      </w:r>
      <w:r w:rsidRPr="00DC5CAD">
        <w:rPr>
          <w:rFonts w:ascii="Arial" w:hAnsi="Arial" w:cs="Arial"/>
          <w:sz w:val="20"/>
          <w:szCs w:val="20"/>
        </w:rPr>
        <w:t xml:space="preserve">, y por ende tampoco se </w:t>
      </w:r>
      <w:r w:rsidR="004E58D5" w:rsidRPr="00DC5CAD">
        <w:rPr>
          <w:rFonts w:ascii="Arial" w:hAnsi="Arial" w:cs="Arial"/>
          <w:sz w:val="20"/>
          <w:szCs w:val="20"/>
        </w:rPr>
        <w:t>«</w:t>
      </w:r>
      <w:r w:rsidRPr="00DC5CAD">
        <w:rPr>
          <w:rFonts w:ascii="Arial" w:hAnsi="Arial" w:cs="Arial"/>
          <w:sz w:val="20"/>
          <w:szCs w:val="20"/>
        </w:rPr>
        <w:t>liquida</w:t>
      </w:r>
      <w:r w:rsidR="004E58D5" w:rsidRPr="00DC5CAD">
        <w:rPr>
          <w:rFonts w:ascii="Arial" w:hAnsi="Arial" w:cs="Arial"/>
          <w:sz w:val="20"/>
          <w:szCs w:val="20"/>
        </w:rPr>
        <w:t>»</w:t>
      </w:r>
      <w:r w:rsidRPr="00DC5CAD">
        <w:rPr>
          <w:rFonts w:ascii="Arial" w:hAnsi="Arial" w:cs="Arial"/>
          <w:sz w:val="20"/>
          <w:szCs w:val="20"/>
        </w:rPr>
        <w:t xml:space="preserve">, porque de acuerdo con el artículo 222 del Código de Comercio para </w:t>
      </w:r>
      <w:r w:rsidR="004E58D5" w:rsidRPr="00DC5CAD">
        <w:rPr>
          <w:rFonts w:ascii="Arial" w:hAnsi="Arial" w:cs="Arial"/>
          <w:sz w:val="20"/>
          <w:szCs w:val="20"/>
        </w:rPr>
        <w:t>«</w:t>
      </w:r>
      <w:r w:rsidRPr="00DC5CAD">
        <w:rPr>
          <w:rFonts w:ascii="Arial" w:hAnsi="Arial" w:cs="Arial"/>
          <w:sz w:val="20"/>
          <w:szCs w:val="20"/>
        </w:rPr>
        <w:t>liquidarse</w:t>
      </w:r>
      <w:r w:rsidR="004E58D5" w:rsidRPr="00DC5CAD">
        <w:rPr>
          <w:rFonts w:ascii="Arial" w:hAnsi="Arial" w:cs="Arial"/>
          <w:sz w:val="20"/>
          <w:szCs w:val="20"/>
        </w:rPr>
        <w:t>»</w:t>
      </w:r>
      <w:r w:rsidRPr="00DC5CAD">
        <w:rPr>
          <w:rFonts w:ascii="Arial" w:hAnsi="Arial" w:cs="Arial"/>
          <w:sz w:val="20"/>
          <w:szCs w:val="20"/>
        </w:rPr>
        <w:t xml:space="preserve"> necesita estar </w:t>
      </w:r>
      <w:r w:rsidR="004E58D5" w:rsidRPr="00DC5CAD">
        <w:rPr>
          <w:rFonts w:ascii="Arial" w:hAnsi="Arial" w:cs="Arial"/>
          <w:sz w:val="20"/>
          <w:szCs w:val="20"/>
        </w:rPr>
        <w:t>«</w:t>
      </w:r>
      <w:r w:rsidRPr="00DC5CAD">
        <w:rPr>
          <w:rFonts w:ascii="Arial" w:hAnsi="Arial" w:cs="Arial"/>
          <w:sz w:val="20"/>
          <w:szCs w:val="20"/>
        </w:rPr>
        <w:t>disuelta</w:t>
      </w:r>
      <w:r w:rsidR="004E58D5" w:rsidRPr="00DC5CAD">
        <w:rPr>
          <w:rFonts w:ascii="Arial" w:hAnsi="Arial" w:cs="Arial"/>
          <w:sz w:val="20"/>
          <w:szCs w:val="20"/>
        </w:rPr>
        <w:t>»</w:t>
      </w:r>
      <w:r w:rsidRPr="00DC5CAD">
        <w:rPr>
          <w:rFonts w:ascii="Arial" w:hAnsi="Arial" w:cs="Arial"/>
          <w:sz w:val="20"/>
          <w:szCs w:val="20"/>
        </w:rPr>
        <w:t xml:space="preserve">; solo cambia el tipo societario que había adoptado en su constitución, es decir, no sufre modificaciones o alteraciones y por eso puede continuar adquiriendo experiencia y compartirla, pero no puede trasladarla porque para ello tendría que </w:t>
      </w:r>
      <w:r w:rsidR="004E58D5" w:rsidRPr="00DC5CAD">
        <w:rPr>
          <w:rFonts w:ascii="Arial" w:hAnsi="Arial" w:cs="Arial"/>
          <w:sz w:val="20"/>
          <w:szCs w:val="20"/>
        </w:rPr>
        <w:t>«</w:t>
      </w:r>
      <w:r w:rsidRPr="00DC5CAD">
        <w:rPr>
          <w:rFonts w:ascii="Arial" w:hAnsi="Arial" w:cs="Arial"/>
          <w:sz w:val="20"/>
          <w:szCs w:val="20"/>
        </w:rPr>
        <w:t>disolverse</w:t>
      </w:r>
      <w:r w:rsidR="004E58D5" w:rsidRPr="00DC5CAD">
        <w:rPr>
          <w:rFonts w:ascii="Arial" w:hAnsi="Arial" w:cs="Arial"/>
          <w:sz w:val="20"/>
          <w:szCs w:val="20"/>
        </w:rPr>
        <w:t>»</w:t>
      </w:r>
      <w:r w:rsidRPr="00DC5CAD">
        <w:rPr>
          <w:rFonts w:ascii="Arial" w:hAnsi="Arial" w:cs="Arial"/>
          <w:sz w:val="20"/>
          <w:szCs w:val="20"/>
        </w:rPr>
        <w:t xml:space="preserve"> o conformar un consorcio, como se verá en la fusión y en una de las modalidades de escisión.  </w:t>
      </w:r>
    </w:p>
    <w:p w14:paraId="57C28AFD" w14:textId="3E619BFD" w:rsidR="0083017E" w:rsidRPr="00DC5CAD" w:rsidRDefault="0083017E" w:rsidP="006A0F23">
      <w:pPr>
        <w:autoSpaceDE w:val="0"/>
        <w:autoSpaceDN w:val="0"/>
        <w:adjustRightInd w:val="0"/>
        <w:rPr>
          <w:rFonts w:ascii="Arial" w:hAnsi="Arial" w:cs="Arial"/>
          <w:sz w:val="20"/>
          <w:szCs w:val="20"/>
          <w:lang w:val="es-CO"/>
        </w:rPr>
      </w:pPr>
    </w:p>
    <w:p w14:paraId="72CCFD54" w14:textId="2D7B8D5F" w:rsidR="0083017E" w:rsidRPr="00DC5CAD" w:rsidRDefault="0083017E" w:rsidP="0083017E">
      <w:pPr>
        <w:jc w:val="both"/>
        <w:rPr>
          <w:rFonts w:ascii="Arial" w:hAnsi="Arial" w:cs="Arial"/>
          <w:b/>
          <w:bCs/>
          <w:sz w:val="22"/>
        </w:rPr>
      </w:pPr>
      <w:r w:rsidRPr="00DC5CAD">
        <w:rPr>
          <w:rFonts w:ascii="Arial" w:hAnsi="Arial" w:cs="Arial"/>
          <w:b/>
          <w:bCs/>
          <w:sz w:val="22"/>
        </w:rPr>
        <w:t xml:space="preserve">EXPERIENCIA </w:t>
      </w:r>
      <w:r w:rsidRPr="00DC5CAD">
        <w:rPr>
          <w:rFonts w:ascii="Arial" w:eastAsia="Calibri" w:hAnsi="Arial" w:cs="Arial"/>
          <w:b/>
          <w:sz w:val="22"/>
        </w:rPr>
        <w:t>– Escisión</w:t>
      </w:r>
    </w:p>
    <w:p w14:paraId="3D1F7DEC" w14:textId="77777777" w:rsidR="0083017E" w:rsidRPr="00DC5CAD" w:rsidRDefault="0083017E" w:rsidP="0083017E">
      <w:pPr>
        <w:pStyle w:val="Sinespaciado"/>
        <w:widowControl w:val="0"/>
        <w:autoSpaceDE w:val="0"/>
        <w:autoSpaceDN w:val="0"/>
        <w:jc w:val="both"/>
        <w:rPr>
          <w:rFonts w:ascii="Arial" w:hAnsi="Arial" w:cs="Arial"/>
          <w:b/>
          <w:sz w:val="20"/>
          <w:szCs w:val="20"/>
          <w:highlight w:val="yellow"/>
        </w:rPr>
      </w:pPr>
    </w:p>
    <w:p w14:paraId="7F06965D" w14:textId="77777777" w:rsidR="0032086B" w:rsidRPr="00DC5CAD" w:rsidRDefault="0032086B" w:rsidP="0032086B">
      <w:pPr>
        <w:jc w:val="both"/>
        <w:rPr>
          <w:rFonts w:ascii="Arial" w:hAnsi="Arial" w:cs="Arial"/>
          <w:sz w:val="20"/>
          <w:szCs w:val="20"/>
        </w:rPr>
      </w:pPr>
      <w:r w:rsidRPr="00DC5CAD">
        <w:rPr>
          <w:rFonts w:ascii="Arial" w:hAnsi="Arial" w:cs="Arial"/>
          <w:sz w:val="20"/>
          <w:szCs w:val="20"/>
        </w:rPr>
        <w:t xml:space="preserve">Para la primera modalidad de escisión, teniendo en cuenta que la sociedad continúa sin alteraciones, puede compartir la experiencia a través de esquemas asociativos, pero no la transfiere porque para </w:t>
      </w:r>
      <w:r w:rsidRPr="00DC5CAD">
        <w:rPr>
          <w:rFonts w:ascii="Arial" w:hAnsi="Arial" w:cs="Arial"/>
          <w:sz w:val="20"/>
          <w:szCs w:val="20"/>
        </w:rPr>
        <w:lastRenderedPageBreak/>
        <w:t xml:space="preserve">ello tendría que «disolverse» pero no «liquidarse», puesto que la «liquidación» implicaría que desaparece la persona y así su experiencia. Para explicarlo hay que volver a la definición de «disolución», donde la persona jurídica no desaparece y solo puede hacer trámites para «liquidarse», sin embargo hay una excepción a esa regla y es, precisamente, las figuras y reformas estatutarias que aquí se explican, particularmente la fusión, ya que por esa excepción la persona tiene continuidad en otra persona, y sigue siendo quien era, lo cual no es el caso de la escisión, ya que en la primera modalidad no existe «disolución», lo que significa que la persona continúa por sí misma y puede adquirir experiencia pero no puede transferirla porque le pertenece al ser quien la adquirió. </w:t>
      </w:r>
    </w:p>
    <w:p w14:paraId="460CD28A" w14:textId="744B8CA7" w:rsidR="007C04DA" w:rsidRPr="00DC5CAD" w:rsidRDefault="0032086B" w:rsidP="0032086B">
      <w:pPr>
        <w:jc w:val="both"/>
        <w:rPr>
          <w:rFonts w:ascii="Arial" w:hAnsi="Arial" w:cs="Arial"/>
          <w:sz w:val="20"/>
          <w:szCs w:val="20"/>
        </w:rPr>
      </w:pPr>
      <w:r w:rsidRPr="00DC5CAD">
        <w:rPr>
          <w:rFonts w:ascii="Arial" w:hAnsi="Arial" w:cs="Arial"/>
          <w:sz w:val="20"/>
          <w:szCs w:val="20"/>
        </w:rPr>
        <w:t>Por otro lado, a pesar de que en la segunda modalidad existe «disolución», no hay transferencia de la experiencia porque la persona jurídica fraccionada deja de ser quién es y desaparece, quedando dividida en varias sociedades nuevas o existentes que reciben su patrimonio, sin que sea posible determinar cuál de todas las sociedades que recibieron parte del patrimonio de la sociedad escindida tiene la experiencia, y tampoco es posible que todas las sociedades que recibieron el patrimonio acrediten la misma experiencia multiplicándola tantas veces sea necesario, porque la experiencia es de quien la adquirió y como esa persona jurídica no puede continuar en otra persona porque desapareció quedando fraccionada en 2 o más partes, esto no corresponde con la definición de experiencia personal ni de transferencia de experiencia, donde la persona jurídica sigue siendo quien es a través de otra, sin cambios como fraccionamientos que implican que la persona ya no sea quien era y desaparezca.</w:t>
      </w:r>
    </w:p>
    <w:p w14:paraId="115FEB7D" w14:textId="77777777" w:rsidR="0032086B" w:rsidRPr="00DC5CAD" w:rsidRDefault="0032086B" w:rsidP="0032086B">
      <w:pPr>
        <w:jc w:val="both"/>
        <w:rPr>
          <w:rFonts w:ascii="Arial" w:hAnsi="Arial" w:cs="Arial"/>
          <w:sz w:val="20"/>
          <w:szCs w:val="20"/>
        </w:rPr>
      </w:pPr>
    </w:p>
    <w:p w14:paraId="317C6C10" w14:textId="2C7600E3" w:rsidR="0083017E" w:rsidRPr="00DC5CAD" w:rsidRDefault="0083017E" w:rsidP="0083017E">
      <w:pPr>
        <w:jc w:val="both"/>
        <w:rPr>
          <w:rFonts w:ascii="Arial" w:hAnsi="Arial" w:cs="Arial"/>
          <w:b/>
          <w:bCs/>
          <w:sz w:val="22"/>
        </w:rPr>
      </w:pPr>
      <w:r w:rsidRPr="00DC5CAD">
        <w:rPr>
          <w:rFonts w:ascii="Arial" w:hAnsi="Arial" w:cs="Arial"/>
          <w:b/>
          <w:bCs/>
          <w:sz w:val="22"/>
        </w:rPr>
        <w:t xml:space="preserve">EXPERIENCIA </w:t>
      </w:r>
      <w:r w:rsidRPr="00DC5CAD">
        <w:rPr>
          <w:rFonts w:ascii="Arial" w:eastAsia="Calibri" w:hAnsi="Arial" w:cs="Arial"/>
          <w:b/>
          <w:sz w:val="22"/>
        </w:rPr>
        <w:t>– Fusión</w:t>
      </w:r>
    </w:p>
    <w:p w14:paraId="0D4A6F4B" w14:textId="77777777" w:rsidR="0083017E" w:rsidRPr="00DC5CAD" w:rsidRDefault="0083017E" w:rsidP="0083017E">
      <w:pPr>
        <w:pStyle w:val="Sinespaciado"/>
        <w:widowControl w:val="0"/>
        <w:autoSpaceDE w:val="0"/>
        <w:autoSpaceDN w:val="0"/>
        <w:jc w:val="both"/>
        <w:rPr>
          <w:rFonts w:ascii="Arial" w:hAnsi="Arial" w:cs="Arial"/>
          <w:b/>
          <w:sz w:val="20"/>
          <w:szCs w:val="20"/>
          <w:highlight w:val="yellow"/>
        </w:rPr>
      </w:pPr>
    </w:p>
    <w:p w14:paraId="17EE7147" w14:textId="082CDD44" w:rsidR="0083017E" w:rsidRPr="00DC5CAD" w:rsidRDefault="007C04DA" w:rsidP="0083017E">
      <w:pPr>
        <w:autoSpaceDE w:val="0"/>
        <w:autoSpaceDN w:val="0"/>
        <w:adjustRightInd w:val="0"/>
        <w:jc w:val="both"/>
        <w:rPr>
          <w:rFonts w:ascii="Arial" w:hAnsi="Arial" w:cs="Arial"/>
          <w:sz w:val="20"/>
          <w:szCs w:val="20"/>
        </w:rPr>
      </w:pPr>
      <w:r w:rsidRPr="00DC5CAD">
        <w:rPr>
          <w:rFonts w:ascii="Arial" w:hAnsi="Arial" w:cs="Arial"/>
          <w:sz w:val="20"/>
          <w:szCs w:val="20"/>
        </w:rPr>
        <w:t xml:space="preserve">Para analizar la fusión y sus efectos respecto de la experiencia de la sociedad que se </w:t>
      </w:r>
      <w:r w:rsidR="004E58D5" w:rsidRPr="00DC5CAD">
        <w:rPr>
          <w:rFonts w:ascii="Arial" w:hAnsi="Arial" w:cs="Arial"/>
          <w:sz w:val="20"/>
          <w:szCs w:val="20"/>
        </w:rPr>
        <w:t>«</w:t>
      </w:r>
      <w:r w:rsidRPr="00DC5CAD">
        <w:rPr>
          <w:rFonts w:ascii="Arial" w:hAnsi="Arial" w:cs="Arial"/>
          <w:sz w:val="20"/>
          <w:szCs w:val="20"/>
        </w:rPr>
        <w:t>disuelve</w:t>
      </w:r>
      <w:r w:rsidR="004E58D5" w:rsidRPr="00DC5CAD">
        <w:rPr>
          <w:rFonts w:ascii="Arial" w:hAnsi="Arial" w:cs="Arial"/>
          <w:sz w:val="20"/>
          <w:szCs w:val="20"/>
        </w:rPr>
        <w:t>»</w:t>
      </w:r>
      <w:r w:rsidRPr="00DC5CAD">
        <w:rPr>
          <w:rFonts w:ascii="Arial" w:hAnsi="Arial" w:cs="Arial"/>
          <w:sz w:val="20"/>
          <w:szCs w:val="20"/>
        </w:rPr>
        <w:t xml:space="preserve"> pero no se </w:t>
      </w:r>
      <w:r w:rsidR="004E58D5" w:rsidRPr="00DC5CAD">
        <w:rPr>
          <w:rFonts w:ascii="Arial" w:hAnsi="Arial" w:cs="Arial"/>
          <w:sz w:val="20"/>
          <w:szCs w:val="20"/>
        </w:rPr>
        <w:t>«</w:t>
      </w:r>
      <w:r w:rsidRPr="00DC5CAD">
        <w:rPr>
          <w:rFonts w:ascii="Arial" w:hAnsi="Arial" w:cs="Arial"/>
          <w:sz w:val="20"/>
          <w:szCs w:val="20"/>
        </w:rPr>
        <w:t>liquida</w:t>
      </w:r>
      <w:r w:rsidR="004E58D5" w:rsidRPr="00DC5CAD">
        <w:rPr>
          <w:rFonts w:ascii="Arial" w:hAnsi="Arial" w:cs="Arial"/>
          <w:sz w:val="20"/>
          <w:szCs w:val="20"/>
        </w:rPr>
        <w:t>»</w:t>
      </w:r>
      <w:r w:rsidRPr="00DC5CAD">
        <w:rPr>
          <w:rFonts w:ascii="Arial" w:hAnsi="Arial" w:cs="Arial"/>
          <w:sz w:val="20"/>
          <w:szCs w:val="20"/>
        </w:rPr>
        <w:t>, es necesario reiterar la explicación dada respecto de la segunda modalidad de escisión, y es que siempre que la sociedad no se liquide, es decir, que no desaparezca o muera, la experiencia puede ser trasladada y no compartida, ya que la trasferencia ocurre porque la persona jurídica continúa a través de otra, esto es, deja de ser quien es pero no desaparece porque otra sociedad se convierte en ella, ya sea una sociedad nueva cuando es fusión por creación, o una sociedad existente en la fusión por absorción, y estas sociedades serán la sociedad absorbida, y continuarán su vida jurídica. La experiencia no se comparte porque para esto la sociedad debería continuar individualmente considerada, pero en este caso continúa a través de otra, a quien le transfiere su experiencia y todos sus derechos y obligaciones, de conformidad con el artículo 172 y siguientes del Código de Comercio.</w:t>
      </w:r>
    </w:p>
    <w:p w14:paraId="1DA81727" w14:textId="77777777" w:rsidR="00C5063E" w:rsidRPr="00DC5CAD" w:rsidRDefault="00C5063E" w:rsidP="006A0F23">
      <w:pPr>
        <w:autoSpaceDE w:val="0"/>
        <w:autoSpaceDN w:val="0"/>
        <w:adjustRightInd w:val="0"/>
        <w:rPr>
          <w:rFonts w:ascii="Arial" w:hAnsi="Arial" w:cs="Arial"/>
          <w:sz w:val="20"/>
          <w:szCs w:val="20"/>
          <w:lang w:val="es-CO"/>
        </w:rPr>
      </w:pPr>
    </w:p>
    <w:p w14:paraId="47445D7A" w14:textId="77777777" w:rsidR="00E5123A" w:rsidRPr="00DC5CAD" w:rsidRDefault="00E5123A" w:rsidP="00E5123A">
      <w:pPr>
        <w:autoSpaceDE w:val="0"/>
        <w:autoSpaceDN w:val="0"/>
        <w:adjustRightInd w:val="0"/>
        <w:rPr>
          <w:rFonts w:ascii="Arial" w:hAnsi="Arial" w:cs="Arial"/>
          <w:sz w:val="20"/>
          <w:szCs w:val="20"/>
          <w:lang w:val="es-CO"/>
        </w:rPr>
      </w:pPr>
    </w:p>
    <w:p w14:paraId="66EA65EB" w14:textId="77777777" w:rsidR="00FD4FD0" w:rsidRPr="00FD4FD0" w:rsidRDefault="00FD4FD0" w:rsidP="00FD4FD0">
      <w:pPr>
        <w:autoSpaceDE w:val="0"/>
        <w:autoSpaceDN w:val="0"/>
        <w:adjustRightInd w:val="0"/>
        <w:rPr>
          <w:rFonts w:ascii="Arial" w:hAnsi="Arial" w:cs="Arial"/>
          <w:color w:val="000000"/>
          <w:szCs w:val="24"/>
          <w:lang w:val="es-CO"/>
        </w:rPr>
      </w:pPr>
      <w:bookmarkStart w:id="4" w:name="_Hlk49782660"/>
    </w:p>
    <w:p w14:paraId="4954E953" w14:textId="77777777" w:rsidR="00FD4FD0" w:rsidRPr="00FD4FD0" w:rsidRDefault="00FD4FD0" w:rsidP="00FD4FD0">
      <w:pPr>
        <w:autoSpaceDE w:val="0"/>
        <w:autoSpaceDN w:val="0"/>
        <w:adjustRightInd w:val="0"/>
        <w:rPr>
          <w:rFonts w:ascii="Arial" w:hAnsi="Arial" w:cs="Arial"/>
          <w:color w:val="000000"/>
          <w:sz w:val="22"/>
          <w:lang w:val="es-CO"/>
        </w:rPr>
      </w:pPr>
      <w:r w:rsidRPr="00FD4FD0">
        <w:rPr>
          <w:rFonts w:ascii="Arial" w:hAnsi="Arial" w:cs="Arial"/>
          <w:color w:val="000000"/>
          <w:szCs w:val="24"/>
          <w:lang w:val="es-CO"/>
        </w:rPr>
        <w:t xml:space="preserve"> </w:t>
      </w:r>
      <w:r w:rsidRPr="00FD4FD0">
        <w:rPr>
          <w:rFonts w:ascii="Arial" w:hAnsi="Arial" w:cs="Arial"/>
          <w:color w:val="000000"/>
          <w:sz w:val="22"/>
          <w:lang w:val="es-CO"/>
        </w:rPr>
        <w:t xml:space="preserve">Bogotá D.C., </w:t>
      </w:r>
      <w:r w:rsidRPr="00FD4FD0">
        <w:rPr>
          <w:rFonts w:ascii="Arial" w:hAnsi="Arial" w:cs="Arial"/>
          <w:b/>
          <w:bCs/>
          <w:color w:val="000000"/>
          <w:sz w:val="22"/>
          <w:lang w:val="es-CO"/>
        </w:rPr>
        <w:t xml:space="preserve">31/08/2020 Hora 17:4:50s </w:t>
      </w:r>
    </w:p>
    <w:p w14:paraId="614B7E97" w14:textId="5987DFC8" w:rsidR="006A0F23" w:rsidRPr="00DC5CAD" w:rsidRDefault="00FD4FD0" w:rsidP="00FD4FD0">
      <w:pPr>
        <w:tabs>
          <w:tab w:val="left" w:pos="3374"/>
        </w:tabs>
        <w:jc w:val="right"/>
        <w:rPr>
          <w:rFonts w:ascii="Arial" w:eastAsia="Calibri" w:hAnsi="Arial" w:cs="Arial"/>
          <w:sz w:val="22"/>
        </w:rPr>
      </w:pPr>
      <w:proofErr w:type="spellStart"/>
      <w:r w:rsidRPr="00FD4FD0">
        <w:rPr>
          <w:rFonts w:ascii="Arial" w:hAnsi="Arial" w:cs="Arial"/>
          <w:b/>
          <w:bCs/>
          <w:color w:val="000000"/>
          <w:sz w:val="22"/>
          <w:lang w:val="es-CO"/>
        </w:rPr>
        <w:t>N°</w:t>
      </w:r>
      <w:proofErr w:type="spellEnd"/>
      <w:r w:rsidRPr="00FD4FD0">
        <w:rPr>
          <w:rFonts w:ascii="Arial" w:hAnsi="Arial" w:cs="Arial"/>
          <w:b/>
          <w:bCs/>
          <w:color w:val="000000"/>
          <w:sz w:val="22"/>
          <w:lang w:val="es-CO"/>
        </w:rPr>
        <w:t xml:space="preserve"> Radicado: 2202013000008152</w:t>
      </w:r>
    </w:p>
    <w:p w14:paraId="393D3C60" w14:textId="0D7BC45B" w:rsidR="00AB745E" w:rsidRPr="00DC5CAD" w:rsidRDefault="00A37FB6" w:rsidP="00D01760">
      <w:pPr>
        <w:rPr>
          <w:rFonts w:ascii="Arial" w:eastAsia="Calibri" w:hAnsi="Arial" w:cs="Arial"/>
          <w:sz w:val="22"/>
        </w:rPr>
      </w:pPr>
      <w:r w:rsidRPr="00DC5CAD">
        <w:rPr>
          <w:rFonts w:ascii="Arial" w:eastAsia="Calibri" w:hAnsi="Arial" w:cs="Arial"/>
          <w:sz w:val="22"/>
        </w:rPr>
        <w:t>Señor</w:t>
      </w:r>
      <w:r w:rsidR="00DC5CAD" w:rsidRPr="00DC5CAD">
        <w:rPr>
          <w:rFonts w:ascii="Arial" w:eastAsia="Calibri" w:hAnsi="Arial" w:cs="Arial"/>
          <w:sz w:val="22"/>
        </w:rPr>
        <w:t>a</w:t>
      </w:r>
    </w:p>
    <w:p w14:paraId="0047F2DD" w14:textId="6C43E7DC" w:rsidR="00FB1E56" w:rsidRPr="00DC5CAD" w:rsidRDefault="00FB1E56" w:rsidP="00D01760">
      <w:pPr>
        <w:rPr>
          <w:rFonts w:ascii="Arial" w:eastAsia="Calibri" w:hAnsi="Arial" w:cs="Arial"/>
          <w:b/>
          <w:bCs/>
          <w:sz w:val="22"/>
        </w:rPr>
      </w:pPr>
      <w:r w:rsidRPr="00DC5CAD">
        <w:rPr>
          <w:rFonts w:ascii="Arial" w:eastAsia="Calibri" w:hAnsi="Arial" w:cs="Arial"/>
          <w:b/>
          <w:bCs/>
          <w:sz w:val="22"/>
        </w:rPr>
        <w:t>Natalia Fajardo Maldonado</w:t>
      </w:r>
    </w:p>
    <w:p w14:paraId="359C48BE" w14:textId="7FD74390" w:rsidR="00A37FB6" w:rsidRPr="00DC5CAD" w:rsidRDefault="00A37FB6" w:rsidP="00D01760">
      <w:pPr>
        <w:rPr>
          <w:rFonts w:ascii="Arial" w:eastAsia="Calibri" w:hAnsi="Arial" w:cs="Arial"/>
          <w:sz w:val="22"/>
        </w:rPr>
      </w:pPr>
      <w:r w:rsidRPr="00DC5CAD">
        <w:rPr>
          <w:rFonts w:ascii="Arial" w:eastAsia="Calibri" w:hAnsi="Arial" w:cs="Arial"/>
          <w:sz w:val="22"/>
        </w:rPr>
        <w:t>Ciudad</w:t>
      </w:r>
    </w:p>
    <w:p w14:paraId="479F6A3A" w14:textId="7294A1C7" w:rsidR="00A37FB6" w:rsidRPr="00DC5CAD" w:rsidRDefault="00E03AC6" w:rsidP="00851174">
      <w:pPr>
        <w:pStyle w:val="Sinespaciado"/>
        <w:jc w:val="center"/>
        <w:rPr>
          <w:rFonts w:ascii="Arial" w:hAnsi="Arial" w:cs="Arial"/>
          <w:b/>
          <w:sz w:val="22"/>
        </w:rPr>
      </w:pPr>
      <w:r w:rsidRPr="00DC5CAD">
        <w:rPr>
          <w:rFonts w:ascii="Arial" w:hAnsi="Arial" w:cs="Arial"/>
          <w:b/>
          <w:sz w:val="22"/>
        </w:rPr>
        <w:t>Concepto C</w:t>
      </w:r>
      <w:r w:rsidR="00A37FB6" w:rsidRPr="00DC5CAD">
        <w:rPr>
          <w:rFonts w:ascii="Arial" w:hAnsi="Arial" w:cs="Arial"/>
          <w:b/>
          <w:sz w:val="22"/>
        </w:rPr>
        <w:t xml:space="preserve"> </w:t>
      </w:r>
      <w:r w:rsidR="00592C46" w:rsidRPr="00DC5CAD">
        <w:rPr>
          <w:rFonts w:ascii="Arial" w:hAnsi="Arial" w:cs="Arial"/>
          <w:b/>
          <w:sz w:val="22"/>
        </w:rPr>
        <w:t xml:space="preserve">- </w:t>
      </w:r>
      <w:r w:rsidR="007D5F91">
        <w:rPr>
          <w:rFonts w:ascii="Arial" w:hAnsi="Arial" w:cs="Arial"/>
          <w:b/>
          <w:sz w:val="22"/>
        </w:rPr>
        <w:t>584</w:t>
      </w:r>
      <w:r w:rsidR="007D5F91" w:rsidRPr="00DC5CAD">
        <w:rPr>
          <w:rFonts w:ascii="Arial" w:hAnsi="Arial" w:cs="Arial"/>
          <w:b/>
          <w:sz w:val="22"/>
        </w:rPr>
        <w:t xml:space="preserve"> </w:t>
      </w:r>
      <w:r w:rsidR="00A37FB6" w:rsidRPr="00DC5CAD">
        <w:rPr>
          <w:rFonts w:ascii="Arial" w:hAnsi="Arial" w:cs="Arial"/>
          <w:b/>
          <w:sz w:val="22"/>
        </w:rPr>
        <w:t>de 2020</w:t>
      </w:r>
    </w:p>
    <w:p w14:paraId="7EC51DE6" w14:textId="77777777" w:rsidR="00216F70" w:rsidRPr="00DC5CAD" w:rsidRDefault="00216F70" w:rsidP="00851174">
      <w:pPr>
        <w:pStyle w:val="Sinespaciado"/>
        <w:jc w:val="center"/>
        <w:rPr>
          <w:rFonts w:ascii="Arial" w:hAnsi="Arial" w:cs="Arial"/>
          <w:b/>
          <w:sz w:val="22"/>
        </w:rPr>
      </w:pPr>
    </w:p>
    <w:p w14:paraId="49BB1EAB" w14:textId="77777777" w:rsidR="00A37FB6" w:rsidRPr="00DC5CAD" w:rsidRDefault="00A37FB6" w:rsidP="00851174">
      <w:pPr>
        <w:pStyle w:val="Sinespaciado"/>
        <w:jc w:val="both"/>
        <w:rPr>
          <w:rFonts w:ascii="Arial" w:hAnsi="Arial" w:cs="Arial"/>
          <w:bCs/>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DC5CAD" w:rsidRPr="00DC5CAD" w14:paraId="20C2FA60" w14:textId="77777777" w:rsidTr="000825D8">
        <w:tc>
          <w:tcPr>
            <w:tcW w:w="2689" w:type="dxa"/>
            <w:hideMark/>
          </w:tcPr>
          <w:p w14:paraId="2A9459AB" w14:textId="77777777" w:rsidR="00A37FB6" w:rsidRPr="00DC5CAD" w:rsidRDefault="00A37FB6" w:rsidP="00851174">
            <w:pPr>
              <w:pStyle w:val="Sinespaciado"/>
              <w:jc w:val="both"/>
              <w:rPr>
                <w:rFonts w:ascii="Arial" w:hAnsi="Arial" w:cs="Arial"/>
                <w:b/>
                <w:sz w:val="22"/>
              </w:rPr>
            </w:pPr>
            <w:r w:rsidRPr="00DC5CAD">
              <w:rPr>
                <w:rFonts w:ascii="Arial" w:hAnsi="Arial" w:cs="Arial"/>
                <w:b/>
                <w:sz w:val="22"/>
              </w:rPr>
              <w:t xml:space="preserve">Temas:           </w:t>
            </w:r>
          </w:p>
          <w:p w14:paraId="1840BCE8" w14:textId="77777777" w:rsidR="00A37FB6" w:rsidRPr="00DC5CAD" w:rsidRDefault="00A37FB6" w:rsidP="00851174">
            <w:pPr>
              <w:pStyle w:val="Sinespaciado"/>
              <w:jc w:val="both"/>
              <w:rPr>
                <w:rFonts w:ascii="Arial" w:hAnsi="Arial" w:cs="Arial"/>
                <w:bCs/>
                <w:sz w:val="22"/>
              </w:rPr>
            </w:pPr>
            <w:r w:rsidRPr="00DC5CAD">
              <w:rPr>
                <w:rFonts w:ascii="Arial" w:hAnsi="Arial" w:cs="Arial"/>
                <w:bCs/>
                <w:sz w:val="22"/>
              </w:rPr>
              <w:t xml:space="preserve">                           </w:t>
            </w:r>
          </w:p>
        </w:tc>
        <w:tc>
          <w:tcPr>
            <w:tcW w:w="6237" w:type="dxa"/>
            <w:hideMark/>
          </w:tcPr>
          <w:p w14:paraId="6152B34E" w14:textId="41728201" w:rsidR="004023D4" w:rsidRPr="00DC5CAD" w:rsidRDefault="00DC5CAD" w:rsidP="0083017E">
            <w:pPr>
              <w:pStyle w:val="Sinespaciado"/>
              <w:jc w:val="both"/>
              <w:rPr>
                <w:rFonts w:ascii="Arial" w:hAnsi="Arial" w:cs="Arial"/>
                <w:bCs/>
                <w:sz w:val="22"/>
              </w:rPr>
            </w:pPr>
            <w:r w:rsidRPr="00DC5CAD">
              <w:rPr>
                <w:rFonts w:ascii="Arial" w:hAnsi="Arial" w:cs="Arial"/>
                <w:bCs/>
                <w:sz w:val="22"/>
              </w:rPr>
              <w:t xml:space="preserve">EXPERIENCIA – Conservación – Sociedades – Menor a 3 años de constitución / </w:t>
            </w:r>
            <w:r w:rsidR="0083017E" w:rsidRPr="00DC5CAD">
              <w:rPr>
                <w:rFonts w:ascii="Arial" w:hAnsi="Arial" w:cs="Arial"/>
                <w:bCs/>
                <w:sz w:val="22"/>
              </w:rPr>
              <w:t xml:space="preserve">EXPERIENCIA – Concepto – Colombia Compra </w:t>
            </w:r>
            <w:r w:rsidR="0083017E" w:rsidRPr="00DC5CAD">
              <w:rPr>
                <w:rFonts w:ascii="Arial" w:hAnsi="Arial" w:cs="Arial"/>
                <w:bCs/>
                <w:sz w:val="22"/>
              </w:rPr>
              <w:lastRenderedPageBreak/>
              <w:t xml:space="preserve">Eficiente </w:t>
            </w:r>
            <w:r w:rsidR="004023D4" w:rsidRPr="00DC5CAD">
              <w:rPr>
                <w:rFonts w:ascii="Arial" w:hAnsi="Arial" w:cs="Arial"/>
                <w:bCs/>
                <w:sz w:val="22"/>
              </w:rPr>
              <w:t xml:space="preserve">/ </w:t>
            </w:r>
            <w:r w:rsidR="0083017E" w:rsidRPr="00DC5CAD">
              <w:rPr>
                <w:rFonts w:ascii="Arial" w:hAnsi="Arial" w:cs="Arial"/>
                <w:bCs/>
                <w:sz w:val="22"/>
              </w:rPr>
              <w:t>EXPERIENCIA – Transformación / EXPERIENCIA – Escisión</w:t>
            </w:r>
            <w:r w:rsidR="00C5063E" w:rsidRPr="00DC5CAD">
              <w:rPr>
                <w:rFonts w:ascii="Arial" w:hAnsi="Arial" w:cs="Arial"/>
                <w:bCs/>
                <w:sz w:val="22"/>
              </w:rPr>
              <w:t xml:space="preserve"> / </w:t>
            </w:r>
            <w:r w:rsidR="0083017E" w:rsidRPr="00DC5CAD">
              <w:rPr>
                <w:rFonts w:ascii="Arial" w:hAnsi="Arial" w:cs="Arial"/>
                <w:bCs/>
                <w:sz w:val="22"/>
              </w:rPr>
              <w:t>EXPERIENCIA – Fusión</w:t>
            </w:r>
          </w:p>
          <w:p w14:paraId="069BC436" w14:textId="3FE2FB96" w:rsidR="00A37FB6" w:rsidRPr="00DC5CAD" w:rsidRDefault="00A37FB6" w:rsidP="00851174">
            <w:pPr>
              <w:pStyle w:val="Sinespaciado"/>
              <w:jc w:val="both"/>
              <w:rPr>
                <w:rFonts w:ascii="Arial" w:hAnsi="Arial" w:cs="Arial"/>
                <w:bCs/>
                <w:sz w:val="22"/>
              </w:rPr>
            </w:pPr>
          </w:p>
        </w:tc>
      </w:tr>
      <w:tr w:rsidR="00A37FB6" w:rsidRPr="00DC5CAD" w14:paraId="62473A71" w14:textId="77777777" w:rsidTr="000825D8">
        <w:tc>
          <w:tcPr>
            <w:tcW w:w="2689" w:type="dxa"/>
          </w:tcPr>
          <w:p w14:paraId="730BF589" w14:textId="77777777" w:rsidR="00A37FB6" w:rsidRPr="00DC5CAD" w:rsidRDefault="00A37FB6" w:rsidP="00851174">
            <w:pPr>
              <w:pStyle w:val="Sinespaciado"/>
              <w:jc w:val="both"/>
              <w:rPr>
                <w:rFonts w:ascii="Arial" w:hAnsi="Arial" w:cs="Arial"/>
                <w:b/>
                <w:sz w:val="22"/>
              </w:rPr>
            </w:pPr>
            <w:r w:rsidRPr="00DC5CAD">
              <w:rPr>
                <w:rFonts w:ascii="Arial" w:hAnsi="Arial" w:cs="Arial"/>
                <w:b/>
                <w:sz w:val="22"/>
              </w:rPr>
              <w:lastRenderedPageBreak/>
              <w:t xml:space="preserve">Radicación:                              </w:t>
            </w:r>
          </w:p>
        </w:tc>
        <w:tc>
          <w:tcPr>
            <w:tcW w:w="6237" w:type="dxa"/>
          </w:tcPr>
          <w:p w14:paraId="2CD77F9B" w14:textId="4922A9E8" w:rsidR="00A37FB6" w:rsidRPr="00DC5CAD" w:rsidRDefault="00A37FB6" w:rsidP="004D2DD0">
            <w:pPr>
              <w:pStyle w:val="Sinespaciado"/>
              <w:jc w:val="both"/>
              <w:rPr>
                <w:rFonts w:ascii="Arial" w:hAnsi="Arial" w:cs="Arial"/>
                <w:bCs/>
                <w:sz w:val="22"/>
              </w:rPr>
            </w:pPr>
            <w:r w:rsidRPr="00DC5CAD">
              <w:rPr>
                <w:rFonts w:ascii="Arial" w:hAnsi="Arial" w:cs="Arial"/>
                <w:bCs/>
                <w:sz w:val="22"/>
              </w:rPr>
              <w:t xml:space="preserve">Respuesta a consulta # </w:t>
            </w:r>
            <w:r w:rsidR="00592C46" w:rsidRPr="00DC5CAD">
              <w:rPr>
                <w:rFonts w:ascii="Arial" w:hAnsi="Arial" w:cs="Arial"/>
                <w:bCs/>
                <w:sz w:val="22"/>
              </w:rPr>
              <w:t>420201300000</w:t>
            </w:r>
            <w:r w:rsidR="00FB1E56" w:rsidRPr="00DC5CAD">
              <w:rPr>
                <w:rFonts w:ascii="Arial" w:hAnsi="Arial" w:cs="Arial"/>
                <w:bCs/>
                <w:sz w:val="22"/>
              </w:rPr>
              <w:t>7390</w:t>
            </w:r>
          </w:p>
        </w:tc>
      </w:tr>
    </w:tbl>
    <w:p w14:paraId="6199F8C9" w14:textId="77777777" w:rsidR="00A37FB6" w:rsidRPr="00DC5CAD" w:rsidRDefault="00A37FB6" w:rsidP="00D01760">
      <w:pPr>
        <w:jc w:val="both"/>
        <w:rPr>
          <w:rFonts w:ascii="Arial" w:eastAsia="Calibri" w:hAnsi="Arial" w:cs="Arial"/>
          <w:sz w:val="22"/>
        </w:rPr>
      </w:pPr>
    </w:p>
    <w:p w14:paraId="6AEA1AE6" w14:textId="77777777" w:rsidR="00A37FB6" w:rsidRPr="00DC5CAD" w:rsidRDefault="00A37FB6" w:rsidP="00D01760">
      <w:pPr>
        <w:rPr>
          <w:rFonts w:ascii="Arial" w:eastAsia="Calibri" w:hAnsi="Arial" w:cs="Arial"/>
          <w:sz w:val="22"/>
        </w:rPr>
      </w:pPr>
    </w:p>
    <w:p w14:paraId="3216C844" w14:textId="6D96F84D" w:rsidR="00A37FB6" w:rsidRPr="00DC5CAD" w:rsidRDefault="00A37FB6" w:rsidP="004D2DD0">
      <w:pPr>
        <w:spacing w:line="276" w:lineRule="auto"/>
        <w:ind w:right="49"/>
        <w:jc w:val="both"/>
        <w:rPr>
          <w:rFonts w:ascii="Arial" w:eastAsia="Calibri" w:hAnsi="Arial" w:cs="Arial"/>
          <w:sz w:val="22"/>
        </w:rPr>
      </w:pPr>
      <w:r w:rsidRPr="00DC5CAD">
        <w:rPr>
          <w:rFonts w:ascii="Arial" w:eastAsia="Calibri" w:hAnsi="Arial" w:cs="Arial"/>
          <w:sz w:val="22"/>
        </w:rPr>
        <w:t>Estimad</w:t>
      </w:r>
      <w:r w:rsidR="00DC5CAD" w:rsidRPr="00DC5CAD">
        <w:rPr>
          <w:rFonts w:ascii="Arial" w:eastAsia="Calibri" w:hAnsi="Arial" w:cs="Arial"/>
          <w:sz w:val="22"/>
        </w:rPr>
        <w:t>a</w:t>
      </w:r>
      <w:r w:rsidR="00AB745E" w:rsidRPr="00DC5CAD">
        <w:rPr>
          <w:rFonts w:ascii="Arial" w:eastAsia="Calibri" w:hAnsi="Arial" w:cs="Arial"/>
          <w:sz w:val="22"/>
        </w:rPr>
        <w:t xml:space="preserve"> </w:t>
      </w:r>
      <w:r w:rsidRPr="00DC5CAD">
        <w:rPr>
          <w:rFonts w:ascii="Arial" w:eastAsia="Calibri" w:hAnsi="Arial" w:cs="Arial"/>
          <w:sz w:val="22"/>
        </w:rPr>
        <w:t>señor</w:t>
      </w:r>
      <w:r w:rsidR="00DC5CAD" w:rsidRPr="00DC5CAD">
        <w:rPr>
          <w:rFonts w:ascii="Arial" w:eastAsia="Calibri" w:hAnsi="Arial" w:cs="Arial"/>
          <w:sz w:val="22"/>
        </w:rPr>
        <w:t>a</w:t>
      </w:r>
      <w:r w:rsidR="00AB745E" w:rsidRPr="00DC5CAD">
        <w:rPr>
          <w:rFonts w:ascii="Arial" w:eastAsia="Calibri" w:hAnsi="Arial" w:cs="Arial"/>
          <w:sz w:val="22"/>
        </w:rPr>
        <w:t xml:space="preserve"> </w:t>
      </w:r>
      <w:r w:rsidR="00DC5CAD" w:rsidRPr="00DC5CAD">
        <w:rPr>
          <w:rFonts w:ascii="Arial" w:eastAsia="Calibri" w:hAnsi="Arial" w:cs="Arial"/>
          <w:sz w:val="22"/>
        </w:rPr>
        <w:t>Fajardo</w:t>
      </w:r>
      <w:r w:rsidRPr="00DC5CAD">
        <w:rPr>
          <w:rFonts w:ascii="Arial" w:eastAsia="Calibri" w:hAnsi="Arial" w:cs="Arial"/>
          <w:sz w:val="22"/>
        </w:rPr>
        <w:t>,</w:t>
      </w:r>
    </w:p>
    <w:p w14:paraId="2F0DA2F5" w14:textId="77777777" w:rsidR="00A37FB6" w:rsidRPr="00DC5CAD" w:rsidRDefault="00A37FB6" w:rsidP="00D01760">
      <w:pPr>
        <w:rPr>
          <w:rFonts w:ascii="Arial" w:eastAsia="Calibri" w:hAnsi="Arial" w:cs="Arial"/>
          <w:sz w:val="22"/>
        </w:rPr>
      </w:pPr>
    </w:p>
    <w:p w14:paraId="39316B12" w14:textId="03F665DA" w:rsidR="00A37FB6" w:rsidRPr="00DC5CAD" w:rsidRDefault="00A37FB6" w:rsidP="00D01760">
      <w:pPr>
        <w:spacing w:line="276" w:lineRule="auto"/>
        <w:ind w:right="49"/>
        <w:jc w:val="both"/>
        <w:rPr>
          <w:rFonts w:ascii="Arial" w:eastAsia="Calibri" w:hAnsi="Arial" w:cs="Arial"/>
          <w:sz w:val="22"/>
        </w:rPr>
      </w:pPr>
      <w:r w:rsidRPr="00DC5CAD">
        <w:rPr>
          <w:rFonts w:ascii="Arial" w:eastAsia="Calibri" w:hAnsi="Arial" w:cs="Arial"/>
          <w:sz w:val="22"/>
        </w:rPr>
        <w:t>La Agencia Nacional de Contratación Pública ―</w:t>
      </w:r>
      <w:r w:rsidR="004023D4" w:rsidRPr="00DC5CAD">
        <w:rPr>
          <w:rFonts w:ascii="Arial" w:eastAsia="Calibri" w:hAnsi="Arial" w:cs="Arial"/>
          <w:sz w:val="22"/>
        </w:rPr>
        <w:t xml:space="preserve"> </w:t>
      </w:r>
      <w:r w:rsidRPr="00DC5CAD">
        <w:rPr>
          <w:rFonts w:ascii="Arial" w:eastAsia="Calibri" w:hAnsi="Arial" w:cs="Arial"/>
          <w:sz w:val="22"/>
        </w:rPr>
        <w:t>Colombia Compra Eficiente</w:t>
      </w:r>
      <w:r w:rsidR="004023D4" w:rsidRPr="00DC5CAD">
        <w:rPr>
          <w:rFonts w:ascii="Arial" w:eastAsia="Calibri" w:hAnsi="Arial" w:cs="Arial"/>
          <w:sz w:val="22"/>
        </w:rPr>
        <w:t xml:space="preserve"> </w:t>
      </w:r>
      <w:r w:rsidRPr="00DC5CAD">
        <w:rPr>
          <w:rFonts w:ascii="Arial" w:eastAsia="Calibri" w:hAnsi="Arial" w:cs="Arial"/>
          <w:sz w:val="22"/>
        </w:rPr>
        <w:t xml:space="preserve">responde su consulta </w:t>
      </w:r>
      <w:r w:rsidR="00DC5CAD" w:rsidRPr="00DC5CAD">
        <w:rPr>
          <w:rFonts w:ascii="Arial" w:eastAsia="Calibri" w:hAnsi="Arial" w:cs="Arial"/>
          <w:sz w:val="22"/>
        </w:rPr>
        <w:t xml:space="preserve">del 26 de agosto de 2020 </w:t>
      </w:r>
      <w:r w:rsidRPr="00DC5CAD">
        <w:rPr>
          <w:rFonts w:ascii="Arial" w:eastAsia="Calibri" w:hAnsi="Arial" w:cs="Arial"/>
          <w:sz w:val="22"/>
        </w:rPr>
        <w:t xml:space="preserve">en ejercicio de la competencia otorgada por el numeral 8 del artículo 11 y el numeral 5 del artículo 3 del Decreto Ley 4170 de 2011. </w:t>
      </w:r>
    </w:p>
    <w:p w14:paraId="37E551C1" w14:textId="77777777" w:rsidR="00A37FB6" w:rsidRPr="00DC5CAD" w:rsidRDefault="00A37FB6" w:rsidP="004023D4">
      <w:pPr>
        <w:jc w:val="both"/>
        <w:rPr>
          <w:rFonts w:ascii="Arial" w:eastAsia="Calibri" w:hAnsi="Arial" w:cs="Arial"/>
          <w:sz w:val="22"/>
        </w:rPr>
      </w:pPr>
    </w:p>
    <w:p w14:paraId="737E2623" w14:textId="2C927FA1" w:rsidR="00A37FB6" w:rsidRPr="00DC5CAD" w:rsidRDefault="00592C46" w:rsidP="00592C46">
      <w:pPr>
        <w:pStyle w:val="Prrafodelista"/>
        <w:tabs>
          <w:tab w:val="left" w:pos="284"/>
        </w:tabs>
        <w:ind w:left="0"/>
        <w:jc w:val="both"/>
        <w:rPr>
          <w:rFonts w:ascii="Arial" w:eastAsia="Calibri" w:hAnsi="Arial" w:cs="Arial"/>
          <w:b/>
          <w:sz w:val="22"/>
        </w:rPr>
      </w:pPr>
      <w:r w:rsidRPr="00DC5CAD">
        <w:rPr>
          <w:rFonts w:ascii="Arial" w:eastAsia="Calibri" w:hAnsi="Arial" w:cs="Arial"/>
          <w:b/>
          <w:sz w:val="22"/>
        </w:rPr>
        <w:t xml:space="preserve">1. </w:t>
      </w:r>
      <w:r w:rsidR="00A37FB6" w:rsidRPr="00DC5CAD">
        <w:rPr>
          <w:rFonts w:ascii="Arial" w:eastAsia="Calibri" w:hAnsi="Arial" w:cs="Arial"/>
          <w:b/>
          <w:sz w:val="22"/>
        </w:rPr>
        <w:t>Problema planteado</w:t>
      </w:r>
    </w:p>
    <w:p w14:paraId="498A026D" w14:textId="77777777" w:rsidR="00A37FB6" w:rsidRPr="00DC5CAD" w:rsidRDefault="00A37FB6" w:rsidP="004023D4">
      <w:pPr>
        <w:tabs>
          <w:tab w:val="left" w:pos="426"/>
        </w:tabs>
        <w:jc w:val="both"/>
        <w:rPr>
          <w:rFonts w:ascii="Arial" w:eastAsia="Calibri" w:hAnsi="Arial" w:cs="Arial"/>
          <w:b/>
          <w:sz w:val="22"/>
        </w:rPr>
      </w:pPr>
    </w:p>
    <w:p w14:paraId="40DBE8C8" w14:textId="52998B8F" w:rsidR="000E3CFC" w:rsidRPr="00DC5CAD" w:rsidRDefault="00A37FB6" w:rsidP="00FB1E56">
      <w:pPr>
        <w:autoSpaceDE w:val="0"/>
        <w:autoSpaceDN w:val="0"/>
        <w:adjustRightInd w:val="0"/>
        <w:spacing w:line="276" w:lineRule="auto"/>
        <w:jc w:val="both"/>
        <w:rPr>
          <w:rFonts w:ascii="Arial" w:eastAsia="Calibri" w:hAnsi="Arial" w:cs="Arial"/>
          <w:sz w:val="22"/>
        </w:rPr>
      </w:pPr>
      <w:r w:rsidRPr="00DC5CAD">
        <w:rPr>
          <w:rFonts w:ascii="Arial" w:eastAsia="Calibri" w:hAnsi="Arial" w:cs="Arial"/>
          <w:sz w:val="22"/>
        </w:rPr>
        <w:t>Usted realiza la</w:t>
      </w:r>
      <w:r w:rsidR="000E3CFC" w:rsidRPr="00DC5CAD">
        <w:rPr>
          <w:rFonts w:ascii="Arial" w:eastAsia="Calibri" w:hAnsi="Arial" w:cs="Arial"/>
          <w:sz w:val="22"/>
        </w:rPr>
        <w:t>s</w:t>
      </w:r>
      <w:r w:rsidRPr="00DC5CAD">
        <w:rPr>
          <w:rFonts w:ascii="Arial" w:eastAsia="Calibri" w:hAnsi="Arial" w:cs="Arial"/>
          <w:sz w:val="22"/>
        </w:rPr>
        <w:t xml:space="preserve"> siguiente</w:t>
      </w:r>
      <w:r w:rsidR="000E3CFC" w:rsidRPr="00DC5CAD">
        <w:rPr>
          <w:rFonts w:ascii="Arial" w:eastAsia="Calibri" w:hAnsi="Arial" w:cs="Arial"/>
          <w:sz w:val="22"/>
        </w:rPr>
        <w:t>s</w:t>
      </w:r>
      <w:r w:rsidRPr="00DC5CAD">
        <w:rPr>
          <w:rFonts w:ascii="Arial" w:eastAsia="Calibri" w:hAnsi="Arial" w:cs="Arial"/>
          <w:sz w:val="22"/>
        </w:rPr>
        <w:t xml:space="preserve"> pregunta</w:t>
      </w:r>
      <w:r w:rsidR="000E3CFC" w:rsidRPr="00DC5CAD">
        <w:rPr>
          <w:rFonts w:ascii="Arial" w:eastAsia="Calibri" w:hAnsi="Arial" w:cs="Arial"/>
          <w:sz w:val="22"/>
        </w:rPr>
        <w:t>s</w:t>
      </w:r>
      <w:r w:rsidRPr="00DC5CAD">
        <w:rPr>
          <w:rFonts w:ascii="Arial" w:eastAsia="Calibri" w:hAnsi="Arial" w:cs="Arial"/>
          <w:sz w:val="22"/>
        </w:rPr>
        <w:t>:</w:t>
      </w:r>
      <w:r w:rsidR="00885322" w:rsidRPr="00DC5CAD">
        <w:rPr>
          <w:rFonts w:ascii="Arial" w:eastAsia="Calibri" w:hAnsi="Arial" w:cs="Arial"/>
          <w:sz w:val="22"/>
        </w:rPr>
        <w:t xml:space="preserve"> </w:t>
      </w:r>
      <w:proofErr w:type="gramStart"/>
      <w:r w:rsidR="000E3CFC" w:rsidRPr="00DC5CAD">
        <w:rPr>
          <w:rFonts w:ascii="Arial" w:eastAsia="Calibri" w:hAnsi="Arial" w:cs="Arial"/>
          <w:sz w:val="22"/>
        </w:rPr>
        <w:t>i)</w:t>
      </w:r>
      <w:r w:rsidR="007B6436" w:rsidRPr="00DC5CAD">
        <w:rPr>
          <w:rFonts w:ascii="Arial" w:eastAsia="Calibri" w:hAnsi="Arial" w:cs="Arial"/>
          <w:sz w:val="22"/>
        </w:rPr>
        <w:t>«</w:t>
      </w:r>
      <w:proofErr w:type="spellStart"/>
      <w:proofErr w:type="gramEnd"/>
      <w:r w:rsidR="000E3CFC" w:rsidRPr="00DC5CAD">
        <w:rPr>
          <w:rFonts w:ascii="Arial" w:hAnsi="Arial" w:cs="Arial"/>
          <w:sz w:val="22"/>
          <w:lang w:val="es-CO"/>
        </w:rPr>
        <w:t>que</w:t>
      </w:r>
      <w:proofErr w:type="spellEnd"/>
      <w:r w:rsidR="000E3CFC" w:rsidRPr="00DC5CAD">
        <w:rPr>
          <w:rFonts w:ascii="Arial" w:hAnsi="Arial" w:cs="Arial"/>
          <w:sz w:val="22"/>
          <w:lang w:val="es-CO"/>
        </w:rPr>
        <w:t xml:space="preserve"> pasa si dentro del curso de un proceso licitatorio (observaciones y evaluaciones), ¿el termino de 3 años otorgado por la Ley es cumplido?» </w:t>
      </w:r>
      <w:proofErr w:type="spellStart"/>
      <w:r w:rsidR="000E3CFC" w:rsidRPr="00DC5CAD">
        <w:rPr>
          <w:rFonts w:ascii="Arial" w:hAnsi="Arial" w:cs="Arial"/>
          <w:sz w:val="22"/>
          <w:lang w:val="es-CO"/>
        </w:rPr>
        <w:t>ii</w:t>
      </w:r>
      <w:proofErr w:type="spellEnd"/>
      <w:r w:rsidR="000E3CFC" w:rsidRPr="00DC5CAD">
        <w:rPr>
          <w:rFonts w:ascii="Arial" w:hAnsi="Arial" w:cs="Arial"/>
          <w:sz w:val="22"/>
          <w:lang w:val="es-CO"/>
        </w:rPr>
        <w:t>) «¿</w:t>
      </w:r>
      <w:proofErr w:type="spellStart"/>
      <w:r w:rsidR="000E3CFC" w:rsidRPr="00DC5CAD">
        <w:rPr>
          <w:rFonts w:ascii="Arial" w:hAnsi="Arial" w:cs="Arial"/>
          <w:sz w:val="22"/>
          <w:lang w:val="es-CO"/>
        </w:rPr>
        <w:t>Que</w:t>
      </w:r>
      <w:proofErr w:type="spellEnd"/>
      <w:r w:rsidR="000E3CFC" w:rsidRPr="00DC5CAD">
        <w:rPr>
          <w:rFonts w:ascii="Arial" w:hAnsi="Arial" w:cs="Arial"/>
          <w:sz w:val="22"/>
          <w:lang w:val="es-CO"/>
        </w:rPr>
        <w:t xml:space="preserve"> consecuencias tiene el cumplimiento del </w:t>
      </w:r>
      <w:proofErr w:type="spellStart"/>
      <w:r w:rsidR="000E3CFC" w:rsidRPr="00DC5CAD">
        <w:rPr>
          <w:rFonts w:ascii="Arial" w:hAnsi="Arial" w:cs="Arial"/>
          <w:sz w:val="22"/>
          <w:lang w:val="es-CO"/>
        </w:rPr>
        <w:t>termino</w:t>
      </w:r>
      <w:proofErr w:type="spellEnd"/>
      <w:r w:rsidR="000E3CFC" w:rsidRPr="00DC5CAD">
        <w:rPr>
          <w:rFonts w:ascii="Arial" w:hAnsi="Arial" w:cs="Arial"/>
          <w:sz w:val="22"/>
          <w:lang w:val="es-CO"/>
        </w:rPr>
        <w:t xml:space="preserve"> de 3 años para la presentación de la oferta del proponente?» </w:t>
      </w:r>
      <w:proofErr w:type="spellStart"/>
      <w:r w:rsidR="000E3CFC" w:rsidRPr="00DC5CAD">
        <w:rPr>
          <w:rFonts w:ascii="Arial" w:hAnsi="Arial" w:cs="Arial"/>
          <w:sz w:val="22"/>
          <w:lang w:val="es-CO"/>
        </w:rPr>
        <w:t>iii</w:t>
      </w:r>
      <w:proofErr w:type="spellEnd"/>
      <w:r w:rsidR="000E3CFC" w:rsidRPr="00DC5CAD">
        <w:rPr>
          <w:rFonts w:ascii="Arial" w:hAnsi="Arial" w:cs="Arial"/>
          <w:sz w:val="22"/>
          <w:lang w:val="es-CO"/>
        </w:rPr>
        <w:t xml:space="preserve">) </w:t>
      </w:r>
      <w:r w:rsidR="00FB1E56" w:rsidRPr="00DC5CAD">
        <w:rPr>
          <w:rFonts w:ascii="Arial" w:hAnsi="Arial" w:cs="Arial"/>
          <w:sz w:val="22"/>
          <w:lang w:val="es-CO"/>
        </w:rPr>
        <w:t>«</w:t>
      </w:r>
      <w:r w:rsidR="000E3CFC" w:rsidRPr="00DC5CAD">
        <w:rPr>
          <w:rFonts w:ascii="Arial" w:hAnsi="Arial" w:cs="Arial"/>
          <w:sz w:val="22"/>
          <w:lang w:val="es-CO"/>
        </w:rPr>
        <w:t>¿Que ocurre con el traslado de la experiencia en el RUP de una compañía que se fusiona con otra? ¿La compañía que adquiere la otra compañía adquiere su experiencia?»</w:t>
      </w:r>
      <w:r w:rsidR="00FB1E56" w:rsidRPr="00DC5CAD">
        <w:rPr>
          <w:rFonts w:ascii="Arial" w:hAnsi="Arial" w:cs="Arial"/>
          <w:sz w:val="22"/>
          <w:lang w:val="es-CO"/>
        </w:rPr>
        <w:t>.</w:t>
      </w:r>
    </w:p>
    <w:p w14:paraId="6A982790" w14:textId="77777777" w:rsidR="00A37FB6" w:rsidRPr="00DC5CAD" w:rsidRDefault="00A37FB6" w:rsidP="004023D4">
      <w:pPr>
        <w:tabs>
          <w:tab w:val="left" w:pos="426"/>
        </w:tabs>
        <w:jc w:val="both"/>
        <w:rPr>
          <w:rFonts w:ascii="Arial" w:eastAsia="Calibri" w:hAnsi="Arial" w:cs="Arial"/>
          <w:sz w:val="22"/>
        </w:rPr>
      </w:pPr>
    </w:p>
    <w:p w14:paraId="6A32A1B1" w14:textId="7BFEFFD4" w:rsidR="00A37FB6" w:rsidRPr="00DC5CAD" w:rsidRDefault="00592C46" w:rsidP="00592C46">
      <w:pPr>
        <w:tabs>
          <w:tab w:val="left" w:pos="426"/>
        </w:tabs>
        <w:jc w:val="both"/>
        <w:rPr>
          <w:rFonts w:ascii="Arial" w:eastAsia="Calibri" w:hAnsi="Arial" w:cs="Arial"/>
          <w:b/>
          <w:sz w:val="22"/>
        </w:rPr>
      </w:pPr>
      <w:r w:rsidRPr="00DC5CAD">
        <w:rPr>
          <w:rFonts w:ascii="Arial" w:eastAsia="Calibri" w:hAnsi="Arial" w:cs="Arial"/>
          <w:b/>
          <w:sz w:val="22"/>
        </w:rPr>
        <w:t xml:space="preserve">2. </w:t>
      </w:r>
      <w:r w:rsidR="00A37FB6" w:rsidRPr="00DC5CAD">
        <w:rPr>
          <w:rFonts w:ascii="Arial" w:eastAsia="Calibri" w:hAnsi="Arial" w:cs="Arial"/>
          <w:b/>
          <w:sz w:val="22"/>
        </w:rPr>
        <w:t>Consideraciones</w:t>
      </w:r>
    </w:p>
    <w:bookmarkEnd w:id="1"/>
    <w:p w14:paraId="0EDDB750" w14:textId="15B7F130" w:rsidR="0006498C" w:rsidRPr="00DC5CAD" w:rsidRDefault="0006498C" w:rsidP="004023D4">
      <w:pPr>
        <w:jc w:val="both"/>
        <w:rPr>
          <w:rFonts w:ascii="Arial" w:hAnsi="Arial" w:cs="Arial"/>
          <w:sz w:val="22"/>
        </w:rPr>
      </w:pPr>
    </w:p>
    <w:p w14:paraId="494E049F" w14:textId="44D86524" w:rsidR="00F2587E" w:rsidRPr="00DC5CAD" w:rsidRDefault="00F2587E" w:rsidP="00F2587E">
      <w:pPr>
        <w:spacing w:after="120" w:line="276" w:lineRule="auto"/>
        <w:jc w:val="both"/>
        <w:rPr>
          <w:rFonts w:ascii="Arial" w:eastAsia="Calibri" w:hAnsi="Arial" w:cs="Arial"/>
          <w:sz w:val="22"/>
        </w:rPr>
      </w:pPr>
      <w:r w:rsidRPr="00DC5CAD">
        <w:rPr>
          <w:rFonts w:ascii="Arial" w:eastAsia="Calibri" w:hAnsi="Arial" w:cs="Arial"/>
          <w:sz w:val="22"/>
        </w:rPr>
        <w:t xml:space="preserve">La Agencia Nacional de Contratación Pública </w:t>
      </w:r>
      <w:r w:rsidR="00743973">
        <w:rPr>
          <w:rFonts w:ascii="Arial" w:eastAsia="Calibri" w:hAnsi="Arial" w:cs="Arial"/>
          <w:sz w:val="22"/>
        </w:rPr>
        <w:t>–</w:t>
      </w:r>
      <w:r w:rsidRPr="00DC5CAD">
        <w:rPr>
          <w:rFonts w:ascii="Arial" w:eastAsia="Calibri" w:hAnsi="Arial" w:cs="Arial"/>
          <w:sz w:val="22"/>
        </w:rPr>
        <w:t xml:space="preserve"> Colombia Compra Eficiente, en el concepto con radicado No. 4201912000003636 del 20 de agosto de 2019, reiterado y desarrollado en los conceptos identificados con radicado No. 4201912000004603 del 22 de agosto de 2019, 4201912000004380 del 27 de agosto de 2019, 4201912000004704 del 27 de agosto de 2019, 4201912000004743 del 28 de agosto de 2019, 4201913000005158 del 5 de septiembre de 2019, </w:t>
      </w:r>
      <w:r w:rsidRPr="00DC5CAD">
        <w:rPr>
          <w:rFonts w:ascii="Arial" w:hAnsi="Arial" w:cs="Arial"/>
          <w:sz w:val="22"/>
        </w:rPr>
        <w:t xml:space="preserve">4201913000006797 del 19 de noviembre de 2019, </w:t>
      </w:r>
      <w:r w:rsidRPr="00DC5CAD">
        <w:rPr>
          <w:rFonts w:ascii="Arial" w:eastAsia="Calibri" w:hAnsi="Arial" w:cs="Arial"/>
          <w:sz w:val="22"/>
        </w:rPr>
        <w:t>4201912000007182 del 3 de diciembre de 2019, 4201912000007607 del 9 de diciembre de 2019,</w:t>
      </w:r>
      <w:r w:rsidR="00F61A30">
        <w:rPr>
          <w:rFonts w:ascii="Arial" w:eastAsia="Calibri" w:hAnsi="Arial" w:cs="Arial"/>
          <w:sz w:val="22"/>
        </w:rPr>
        <w:t xml:space="preserve"> </w:t>
      </w:r>
      <w:r w:rsidR="00F61A30" w:rsidRPr="00DC5CAD">
        <w:rPr>
          <w:rFonts w:ascii="Arial" w:eastAsia="Calibri" w:hAnsi="Arial" w:cs="Arial"/>
          <w:sz w:val="22"/>
        </w:rPr>
        <w:t>4201912000007512 del 16 de diciembre de 2019</w:t>
      </w:r>
      <w:r w:rsidR="00F61A30">
        <w:rPr>
          <w:rFonts w:ascii="Arial" w:eastAsia="Calibri" w:hAnsi="Arial" w:cs="Arial"/>
          <w:sz w:val="22"/>
        </w:rPr>
        <w:t>,</w:t>
      </w:r>
      <w:r w:rsidRPr="00DC5CAD">
        <w:rPr>
          <w:rFonts w:ascii="Arial" w:eastAsia="Calibri" w:hAnsi="Arial" w:cs="Arial"/>
          <w:sz w:val="22"/>
        </w:rPr>
        <w:t xml:space="preserve"> </w:t>
      </w:r>
      <w:r w:rsidR="00F61A30" w:rsidRPr="00DC5CAD">
        <w:rPr>
          <w:rFonts w:ascii="Arial" w:eastAsia="Calibri" w:hAnsi="Arial" w:cs="Arial"/>
          <w:sz w:val="22"/>
        </w:rPr>
        <w:t>C-051 del 2 de marzo de 2020</w:t>
      </w:r>
      <w:r w:rsidR="00F61A30">
        <w:rPr>
          <w:rFonts w:ascii="Arial" w:eastAsia="Calibri" w:hAnsi="Arial" w:cs="Arial"/>
          <w:sz w:val="22"/>
        </w:rPr>
        <w:t xml:space="preserve">, </w:t>
      </w:r>
      <w:r w:rsidRPr="00DC5CAD">
        <w:rPr>
          <w:rFonts w:ascii="Arial" w:eastAsia="Calibri" w:hAnsi="Arial" w:cs="Arial"/>
          <w:sz w:val="22"/>
        </w:rPr>
        <w:t>C-025 del 16 de marzo de 2020, C-165 del 1 de abril de 2020, C-233 del 16 de abril de 2020, C-407 de 12 de junio de 2020, C-398 de 30 de junio de 2020, C-470 del 14 de julio de 2020, C-509 del 19 de agosto de 2020, entre otros, estudió la acreditación de la experiencia de los socios por una sociedad con menos de 3 años de constitución. L</w:t>
      </w:r>
      <w:r w:rsidR="000E3CFC" w:rsidRPr="00DC5CAD">
        <w:rPr>
          <w:rFonts w:ascii="Arial" w:eastAsia="Calibri" w:hAnsi="Arial" w:cs="Arial"/>
          <w:sz w:val="22"/>
        </w:rPr>
        <w:t>os</w:t>
      </w:r>
      <w:r w:rsidRPr="00DC5CAD">
        <w:rPr>
          <w:rFonts w:ascii="Arial" w:eastAsia="Calibri" w:hAnsi="Arial" w:cs="Arial"/>
          <w:sz w:val="22"/>
        </w:rPr>
        <w:t xml:space="preserve"> </w:t>
      </w:r>
      <w:r w:rsidR="000E3CFC" w:rsidRPr="00DC5CAD">
        <w:rPr>
          <w:rFonts w:ascii="Arial" w:eastAsia="Calibri" w:hAnsi="Arial" w:cs="Arial"/>
          <w:sz w:val="22"/>
        </w:rPr>
        <w:t>argumentos expuestos y reiterados en estos</w:t>
      </w:r>
      <w:r w:rsidRPr="00DC5CAD">
        <w:rPr>
          <w:rFonts w:ascii="Arial" w:eastAsia="Calibri" w:hAnsi="Arial" w:cs="Arial"/>
          <w:sz w:val="22"/>
        </w:rPr>
        <w:t xml:space="preserve"> conceptos se r</w:t>
      </w:r>
      <w:r w:rsidR="000E3CFC" w:rsidRPr="00DC5CAD">
        <w:rPr>
          <w:rFonts w:ascii="Arial" w:eastAsia="Calibri" w:hAnsi="Arial" w:cs="Arial"/>
          <w:sz w:val="22"/>
        </w:rPr>
        <w:t>atifican</w:t>
      </w:r>
      <w:r w:rsidRPr="00DC5CAD">
        <w:rPr>
          <w:rFonts w:ascii="Arial" w:eastAsia="Calibri" w:hAnsi="Arial" w:cs="Arial"/>
          <w:sz w:val="22"/>
        </w:rPr>
        <w:t xml:space="preserve"> a continuación.</w:t>
      </w:r>
    </w:p>
    <w:p w14:paraId="05B73F2D" w14:textId="3CACE32E" w:rsidR="00F2587E" w:rsidRPr="00DC5CAD" w:rsidRDefault="00F2587E" w:rsidP="000E3CFC">
      <w:pPr>
        <w:spacing w:line="276" w:lineRule="auto"/>
        <w:jc w:val="both"/>
        <w:rPr>
          <w:rFonts w:ascii="Arial" w:eastAsia="Calibri" w:hAnsi="Arial" w:cs="Arial"/>
          <w:sz w:val="22"/>
        </w:rPr>
      </w:pPr>
      <w:r w:rsidRPr="00DC5CAD">
        <w:rPr>
          <w:rFonts w:ascii="Arial" w:eastAsia="Calibri" w:hAnsi="Arial" w:cs="Arial"/>
          <w:sz w:val="22"/>
        </w:rPr>
        <w:tab/>
      </w:r>
      <w:r w:rsidR="000E3CFC" w:rsidRPr="00DC5CAD">
        <w:rPr>
          <w:rFonts w:ascii="Arial" w:eastAsia="Calibri" w:hAnsi="Arial" w:cs="Arial"/>
          <w:sz w:val="22"/>
        </w:rPr>
        <w:t xml:space="preserve">De otra parte, </w:t>
      </w:r>
      <w:r w:rsidRPr="00DC5CAD">
        <w:rPr>
          <w:rFonts w:ascii="Arial" w:eastAsia="Calibri" w:hAnsi="Arial" w:cs="Arial"/>
          <w:sz w:val="22"/>
        </w:rPr>
        <w:t>en el concepto con radicado No. C - 002 del 20 de febrero de 2020,</w:t>
      </w:r>
      <w:r w:rsidR="000E3CFC" w:rsidRPr="00DC5CAD">
        <w:rPr>
          <w:rFonts w:ascii="Arial" w:eastAsia="Calibri" w:hAnsi="Arial" w:cs="Arial"/>
          <w:sz w:val="22"/>
        </w:rPr>
        <w:t xml:space="preserve"> esta Agencia </w:t>
      </w:r>
      <w:r w:rsidRPr="00DC5CAD">
        <w:rPr>
          <w:rFonts w:ascii="Arial" w:eastAsia="Calibri" w:hAnsi="Arial" w:cs="Arial"/>
          <w:sz w:val="22"/>
        </w:rPr>
        <w:t xml:space="preserve">se pronunció nuevamente sobre las figuras y reformas estatutarias de transformación, fusión y escisión, el cual recoge y cambia la posición anterior de la Subdirección de Gestión Contractual sobre el tema, expresada en los conceptos 215130007347 del 7 de octubre de 2015, 4201714000000888 del 22 de marzo de 2017 y 4201814000009419 del 24 de diciembre de 2018. </w:t>
      </w:r>
      <w:r w:rsidR="000E3CFC" w:rsidRPr="00DC5CAD">
        <w:rPr>
          <w:rFonts w:ascii="Arial" w:eastAsia="Calibri" w:hAnsi="Arial" w:cs="Arial"/>
          <w:sz w:val="22"/>
        </w:rPr>
        <w:t>Estos conceptos sostenían que en la fusión y en la escisión no era posible la transferencia de la experiencia porque esta es personal e intransferible, de acuerdo con el artículo 2.2.1.1.1.5.3. del Decreto 1082 de 2015</w:t>
      </w:r>
      <w:r w:rsidR="000E3CFC" w:rsidRPr="00DC5CAD">
        <w:rPr>
          <w:rStyle w:val="Refdenotaalpie"/>
          <w:rFonts w:ascii="Arial" w:eastAsia="Calibri" w:hAnsi="Arial" w:cs="Arial"/>
          <w:sz w:val="22"/>
        </w:rPr>
        <w:footnoteReference w:id="1"/>
      </w:r>
      <w:r w:rsidR="000E3CFC" w:rsidRPr="00DC5CAD">
        <w:rPr>
          <w:rFonts w:ascii="Arial" w:eastAsia="Calibri" w:hAnsi="Arial" w:cs="Arial"/>
          <w:sz w:val="22"/>
        </w:rPr>
        <w:t xml:space="preserve">. No obstante, de conformidad con la regulación aplicable y teniendo en cuenta los conceptos de «disolución» y «liquidación» del Código de Comercio, que se desarrollarán más adelante, en el concepto C - 002 del 20 de febrero de 2020 </w:t>
      </w:r>
      <w:r w:rsidR="00743973">
        <w:rPr>
          <w:rFonts w:ascii="Arial" w:eastAsia="Calibri" w:hAnsi="Arial" w:cs="Arial"/>
          <w:sz w:val="22"/>
        </w:rPr>
        <w:t>señaló</w:t>
      </w:r>
      <w:r w:rsidR="000E3CFC" w:rsidRPr="00DC5CAD">
        <w:rPr>
          <w:rFonts w:ascii="Arial" w:eastAsia="Calibri" w:hAnsi="Arial" w:cs="Arial"/>
          <w:sz w:val="22"/>
        </w:rPr>
        <w:t xml:space="preserve"> que es viable la transferencia de experiencia en la transformación y en la fusión, pero no en la escisión</w:t>
      </w:r>
      <w:r w:rsidR="008C1939">
        <w:rPr>
          <w:rFonts w:ascii="Arial" w:eastAsia="Calibri" w:hAnsi="Arial" w:cs="Arial"/>
          <w:sz w:val="22"/>
        </w:rPr>
        <w:t>,</w:t>
      </w:r>
      <w:r w:rsidR="000E3CFC" w:rsidRPr="00DC5CAD">
        <w:rPr>
          <w:rFonts w:ascii="Arial" w:eastAsia="Calibri" w:hAnsi="Arial" w:cs="Arial"/>
          <w:sz w:val="22"/>
        </w:rPr>
        <w:t xml:space="preserve"> lo cual se ratifica ahora. La tesis desarrollada en dicho concepto, reiterada en el concepto C-491 del 27 de julio de 2020 es la que se expone a continuación.</w:t>
      </w:r>
    </w:p>
    <w:p w14:paraId="77C55214" w14:textId="77777777" w:rsidR="000E3CFC" w:rsidRPr="00DC5CAD" w:rsidRDefault="000E3CFC">
      <w:pPr>
        <w:spacing w:line="276" w:lineRule="auto"/>
        <w:jc w:val="both"/>
        <w:rPr>
          <w:rFonts w:ascii="Arial" w:hAnsi="Arial" w:cs="Arial"/>
          <w:b/>
          <w:bCs/>
          <w:sz w:val="22"/>
        </w:rPr>
      </w:pPr>
    </w:p>
    <w:p w14:paraId="494225C3" w14:textId="546B8CC3" w:rsidR="00F2587E" w:rsidRDefault="00F2587E" w:rsidP="006451EE">
      <w:pPr>
        <w:spacing w:line="276" w:lineRule="auto"/>
        <w:jc w:val="both"/>
        <w:rPr>
          <w:rFonts w:ascii="Arial" w:hAnsi="Arial" w:cs="Arial"/>
          <w:b/>
          <w:bCs/>
          <w:sz w:val="22"/>
        </w:rPr>
      </w:pPr>
      <w:r w:rsidRPr="00DC5CAD">
        <w:rPr>
          <w:rFonts w:ascii="Arial" w:hAnsi="Arial" w:cs="Arial"/>
          <w:b/>
          <w:bCs/>
          <w:sz w:val="22"/>
        </w:rPr>
        <w:t>2.1. Acreditación de experiencia de socios por parte de sociedades con menos de tres años de constitución</w:t>
      </w:r>
    </w:p>
    <w:p w14:paraId="3D03EE3B" w14:textId="77777777" w:rsidR="00743973" w:rsidRPr="00DC5CAD" w:rsidRDefault="00743973" w:rsidP="006451EE">
      <w:pPr>
        <w:spacing w:line="276" w:lineRule="auto"/>
        <w:jc w:val="both"/>
        <w:rPr>
          <w:rFonts w:ascii="Arial" w:hAnsi="Arial" w:cs="Arial"/>
          <w:b/>
          <w:bCs/>
          <w:sz w:val="22"/>
        </w:rPr>
      </w:pPr>
    </w:p>
    <w:p w14:paraId="51142E7D" w14:textId="107A9210" w:rsidR="00F2587E" w:rsidRPr="00DC5CAD" w:rsidRDefault="00F2587E" w:rsidP="006451EE">
      <w:pPr>
        <w:spacing w:before="120" w:after="120" w:line="276" w:lineRule="auto"/>
        <w:jc w:val="both"/>
        <w:rPr>
          <w:rFonts w:ascii="Arial" w:hAnsi="Arial" w:cs="Arial"/>
          <w:sz w:val="22"/>
        </w:rPr>
      </w:pPr>
      <w:r w:rsidRPr="00DC5CAD">
        <w:rPr>
          <w:rFonts w:ascii="Arial" w:hAnsi="Arial" w:cs="Arial"/>
          <w:sz w:val="22"/>
        </w:rPr>
        <w:t xml:space="preserve">La Ley 1150 de 2007, en el artículo 5, establece que la capacidad jurídica y las condiciones de experiencia, capacidad financiera y de organización de los proponentes serán objeto de verificación por parte de las entidades como requisitos habilitantes para participar en los procesos de selección y no otorgarán puntaje; con excepción de la selección de consultores mediante un concurso de méritos, donde es posible otorgar puntaje al criterio de experiencia. </w:t>
      </w:r>
    </w:p>
    <w:p w14:paraId="0E484C60" w14:textId="77777777" w:rsidR="00F2587E" w:rsidRPr="00DC5CAD" w:rsidRDefault="00F2587E" w:rsidP="00F2587E">
      <w:pPr>
        <w:spacing w:before="120" w:after="120" w:line="276" w:lineRule="auto"/>
        <w:ind w:firstLine="708"/>
        <w:jc w:val="both"/>
        <w:rPr>
          <w:rFonts w:ascii="Arial" w:hAnsi="Arial" w:cs="Arial"/>
          <w:sz w:val="22"/>
        </w:rPr>
      </w:pPr>
      <w:r w:rsidRPr="00DC5CAD">
        <w:rPr>
          <w:rFonts w:ascii="Arial" w:hAnsi="Arial" w:cs="Arial"/>
          <w:sz w:val="22"/>
        </w:rPr>
        <w:t>Por su parte, el artículo 6 de la Ley 1150 de 2007 señala que todas las personas naturales o jurídicas, nacionales o extranjeras, domiciliadas o con sucursal en Colombia, que aspiren celebrar contratos con las entidades deberán estar inscritas en el Registro Único de Proponentes. En dicho registro constará la información relacionada con la experiencia, capacidad jurídica, financiera y de organización del proponente y su clasificación. Frente al requisito habilitante de experiencia, en el «Manual para determinar y verificar requisitos habilitantes en los procesos de contratación» se define la experiencia como «el conocimiento del proponente derivado de su participación previa en actividades iguales o similares a las previstas en el objeto del contrato».</w:t>
      </w:r>
    </w:p>
    <w:p w14:paraId="06A6C5FC" w14:textId="77777777" w:rsidR="00F2587E" w:rsidRPr="00DC5CAD" w:rsidRDefault="00F2587E" w:rsidP="00F2587E">
      <w:pPr>
        <w:spacing w:before="120" w:after="120" w:line="276" w:lineRule="auto"/>
        <w:ind w:firstLine="708"/>
        <w:jc w:val="both"/>
        <w:rPr>
          <w:rFonts w:ascii="Arial" w:hAnsi="Arial" w:cs="Arial"/>
          <w:sz w:val="22"/>
        </w:rPr>
      </w:pPr>
      <w:r w:rsidRPr="00DC5CAD">
        <w:rPr>
          <w:rFonts w:ascii="Arial" w:hAnsi="Arial" w:cs="Arial"/>
          <w:sz w:val="22"/>
        </w:rPr>
        <w:t>El Decreto 1082 de 2015, en el artículo 2.2.1.1.1.5.2, numeral 2.1, establece que si una persona natural se inscribe en el RUP aportará los certificados de experiencia en provisión de bienes, obras y servicios, los cuales deben ser expedidos por terceros que hayan recibido tales bienes, obras y servicios, y deben corresponder a contratos ejecutados o copias de los contratos cuando el interesado no puede obtener tal certificado</w:t>
      </w:r>
      <w:r w:rsidRPr="00DC5CAD">
        <w:rPr>
          <w:rStyle w:val="Refdenotaalpie"/>
          <w:rFonts w:ascii="Arial" w:hAnsi="Arial" w:cs="Arial"/>
          <w:sz w:val="22"/>
        </w:rPr>
        <w:footnoteReference w:id="2"/>
      </w:r>
      <w:r w:rsidRPr="00DC5CAD">
        <w:rPr>
          <w:rFonts w:ascii="Arial" w:hAnsi="Arial" w:cs="Arial"/>
          <w:sz w:val="22"/>
        </w:rPr>
        <w:t xml:space="preserve">.  </w:t>
      </w:r>
    </w:p>
    <w:p w14:paraId="4706167C" w14:textId="77777777" w:rsidR="00F2587E" w:rsidRPr="00DC5CAD" w:rsidRDefault="00F2587E" w:rsidP="00F2587E">
      <w:pPr>
        <w:spacing w:before="120" w:after="120" w:line="276" w:lineRule="auto"/>
        <w:ind w:firstLine="708"/>
        <w:jc w:val="both"/>
        <w:rPr>
          <w:rFonts w:ascii="Arial" w:hAnsi="Arial" w:cs="Arial"/>
          <w:sz w:val="22"/>
        </w:rPr>
      </w:pPr>
      <w:r w:rsidRPr="00DC5CAD">
        <w:rPr>
          <w:rFonts w:ascii="Arial" w:hAnsi="Arial" w:cs="Arial"/>
          <w:sz w:val="22"/>
        </w:rPr>
        <w:t>El numeral 2.5</w:t>
      </w:r>
      <w:r w:rsidRPr="00DC5CAD">
        <w:rPr>
          <w:rStyle w:val="Refdenotaalpie"/>
          <w:rFonts w:ascii="Arial" w:hAnsi="Arial" w:cs="Arial"/>
          <w:sz w:val="22"/>
        </w:rPr>
        <w:footnoteReference w:id="3"/>
      </w:r>
      <w:r w:rsidRPr="00DC5CAD">
        <w:rPr>
          <w:rFonts w:ascii="Arial" w:hAnsi="Arial" w:cs="Arial"/>
          <w:sz w:val="22"/>
        </w:rPr>
        <w:t xml:space="preserve"> del mismo artículo señala que la persona jurídica se registrará aportando los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w:t>
      </w:r>
    </w:p>
    <w:p w14:paraId="4F9966E4" w14:textId="77777777" w:rsidR="00F2587E" w:rsidRPr="00DC5CAD" w:rsidRDefault="00F2587E" w:rsidP="00F2587E">
      <w:pPr>
        <w:spacing w:before="120" w:after="120" w:line="276" w:lineRule="auto"/>
        <w:ind w:firstLine="708"/>
        <w:jc w:val="both"/>
        <w:rPr>
          <w:rFonts w:ascii="Arial" w:hAnsi="Arial" w:cs="Arial"/>
          <w:sz w:val="22"/>
        </w:rPr>
      </w:pPr>
      <w:r w:rsidRPr="00DC5CAD">
        <w:rPr>
          <w:rFonts w:ascii="Arial" w:hAnsi="Arial" w:cs="Arial"/>
          <w:sz w:val="22"/>
        </w:rPr>
        <w:t>El interesado debe indicar en cada certificado, o en cada copia de los contratos, los bienes, obras y servicios a los cuales corresponde la experiencia que pretende acreditar, identificándolos con el Clasificador de Bienes y Servicios, en el tercer nivel. Si la constitución del interesado es menor a 3 años, puede acreditar la experiencia de sus accionistas, socios o constituyentes.</w:t>
      </w:r>
    </w:p>
    <w:p w14:paraId="4B0D1C7B" w14:textId="77777777" w:rsidR="00F2587E" w:rsidRPr="00DC5CAD" w:rsidRDefault="00F2587E" w:rsidP="00F2587E">
      <w:pPr>
        <w:spacing w:before="120" w:after="120" w:line="276" w:lineRule="auto"/>
        <w:ind w:firstLine="708"/>
        <w:jc w:val="both"/>
        <w:rPr>
          <w:rFonts w:ascii="Arial" w:hAnsi="Arial" w:cs="Arial"/>
          <w:sz w:val="22"/>
        </w:rPr>
      </w:pPr>
      <w:r w:rsidRPr="00DC5CAD">
        <w:rPr>
          <w:rFonts w:ascii="Arial" w:hAnsi="Arial" w:cs="Arial"/>
          <w:sz w:val="22"/>
        </w:rPr>
        <w:t xml:space="preserve">La parte final del numeral 2.5 del artículo citado incluye una medida diferenciada para las personas jurídicas cuya constitución sea menor a 3 años al momento del registro. Esta prerrogativa, que puede ser entendida como de fomento a la participación de pequeños oferentes en la contratación estatal, permite que las sociedades relativamente nuevas </w:t>
      </w:r>
      <w:r w:rsidRPr="00DC5CAD">
        <w:rPr>
          <w:rFonts w:ascii="Arial" w:eastAsia="Calibri" w:hAnsi="Arial" w:cs="Arial"/>
          <w:sz w:val="22"/>
        </w:rPr>
        <w:t>─</w:t>
      </w:r>
      <w:r w:rsidRPr="00DC5CAD">
        <w:rPr>
          <w:rFonts w:ascii="Arial" w:hAnsi="Arial" w:cs="Arial"/>
          <w:sz w:val="22"/>
        </w:rPr>
        <w:t>con menos de 3 años de constitución</w:t>
      </w:r>
      <w:r w:rsidRPr="00DC5CAD">
        <w:rPr>
          <w:rFonts w:ascii="Arial" w:eastAsia="Calibri" w:hAnsi="Arial" w:cs="Arial"/>
          <w:sz w:val="22"/>
        </w:rPr>
        <w:t>─</w:t>
      </w:r>
      <w:r w:rsidRPr="00DC5CAD">
        <w:rPr>
          <w:rFonts w:ascii="Arial" w:hAnsi="Arial" w:cs="Arial"/>
          <w:sz w:val="22"/>
        </w:rPr>
        <w:t xml:space="preserve"> puedan acreditar como experiencia en el RUP la de sus accionistas, socios o constituyentes. </w:t>
      </w:r>
    </w:p>
    <w:p w14:paraId="510A8ADA" w14:textId="77777777" w:rsidR="00F2587E" w:rsidRPr="00DC5CAD" w:rsidRDefault="00F2587E" w:rsidP="00F2587E">
      <w:pPr>
        <w:spacing w:before="120" w:after="120" w:line="276" w:lineRule="auto"/>
        <w:ind w:firstLine="708"/>
        <w:jc w:val="both"/>
        <w:rPr>
          <w:rFonts w:ascii="Arial" w:hAnsi="Arial" w:cs="Arial"/>
          <w:sz w:val="22"/>
        </w:rPr>
      </w:pPr>
      <w:r w:rsidRPr="00DC5CAD">
        <w:rPr>
          <w:rFonts w:ascii="Arial" w:hAnsi="Arial" w:cs="Arial"/>
          <w:sz w:val="22"/>
        </w:rPr>
        <w:t xml:space="preserve">A pesar de que la experiencia es inherente a la persona que la ha obtenido, razón por la cual es intransferible en virtud de su carácter personalísimo, por disposición legal o reglamentaria, en casos excepcionales, como el descrito por el artículo mencionado, se aplica de otra forma. </w:t>
      </w:r>
    </w:p>
    <w:p w14:paraId="1C7DA3D1" w14:textId="77777777" w:rsidR="00F2587E" w:rsidRPr="00DC5CAD" w:rsidRDefault="00F2587E" w:rsidP="00F2587E">
      <w:pPr>
        <w:spacing w:before="120" w:after="120" w:line="276" w:lineRule="auto"/>
        <w:ind w:firstLine="708"/>
        <w:jc w:val="both"/>
        <w:rPr>
          <w:rFonts w:ascii="Arial" w:hAnsi="Arial" w:cs="Arial"/>
          <w:sz w:val="22"/>
        </w:rPr>
      </w:pPr>
      <w:r w:rsidRPr="00DC5CAD">
        <w:rPr>
          <w:rFonts w:ascii="Arial" w:hAnsi="Arial" w:cs="Arial"/>
          <w:sz w:val="22"/>
        </w:rPr>
        <w:t>La finalidad de esta norma es permitir que las sociedades que no cuentan con la experiencia suficiente para contratar con el Estado puedan apoyarse en la experiencia de sus accionistas, socios o constituyentes con el fin de incentivar la competencia en la contratación estatal. Así las cosas, el socio transfiere la experiencia adquirida directamente a la sociedad de la que es parte, para que esta, como persona jurídica independiente, pueda cumplir con los requisitos habilitantes o puntuables que establezcan las entidades estatales en sus procesos de contratación, y de esta forma promover el desarrollo de la empresa y la pluralidad de oferentes en la contratación pública.</w:t>
      </w:r>
    </w:p>
    <w:p w14:paraId="1B023B81" w14:textId="77777777" w:rsidR="00F2587E" w:rsidRPr="00DC5CAD" w:rsidRDefault="00F2587E" w:rsidP="00F2587E">
      <w:pPr>
        <w:spacing w:before="120" w:after="120" w:line="276" w:lineRule="auto"/>
        <w:ind w:firstLine="708"/>
        <w:jc w:val="both"/>
        <w:rPr>
          <w:rFonts w:ascii="Arial" w:hAnsi="Arial" w:cs="Arial"/>
          <w:sz w:val="22"/>
        </w:rPr>
      </w:pPr>
      <w:r w:rsidRPr="00DC5CAD">
        <w:rPr>
          <w:rFonts w:ascii="Arial" w:hAnsi="Arial" w:cs="Arial"/>
          <w:sz w:val="22"/>
        </w:rPr>
        <w:t xml:space="preserve">Este aspecto ofrece meridiana claridad en cuanto a su aplicación, pero el interrogante que ha generado la norma es ¿qué pasa después de que la sociedad a la que le ha sido permitido certificar la experiencia de sus socios, accionistas o constituyentes cumple 3 años de su constitución? ¿puede seguir siendo beneficiaria de la prerrogativa del numeral 2.5 del artículo 2.2.1.1.1.5.2 del Decreto 1082 de 2015? </w:t>
      </w:r>
    </w:p>
    <w:p w14:paraId="3FB18EA4" w14:textId="77777777" w:rsidR="00F2587E" w:rsidRPr="00DC5CAD" w:rsidRDefault="00F2587E" w:rsidP="00F2587E">
      <w:pPr>
        <w:spacing w:before="120" w:after="120" w:line="276" w:lineRule="auto"/>
        <w:ind w:firstLine="708"/>
        <w:jc w:val="both"/>
        <w:rPr>
          <w:rFonts w:ascii="Arial" w:hAnsi="Arial" w:cs="Arial"/>
          <w:sz w:val="22"/>
        </w:rPr>
      </w:pPr>
      <w:r w:rsidRPr="00DC5CAD">
        <w:rPr>
          <w:rFonts w:ascii="Arial" w:hAnsi="Arial" w:cs="Arial"/>
          <w:sz w:val="22"/>
        </w:rPr>
        <w:t xml:space="preserve">Estos interrogantes han sido planteados a la Subdirección de Gestión Contractual, y se ha dado respuestas en uno y otro sentido. Así, en el concepto del 7 de febrero de 2018 se sostuvo que las personas jurídicas que hubieran sido beneficiarias de la norma podían seguir acreditando la experiencia de sus socios o accionistas, inclusive después de transcurridos 3 años desde la constitución de la sociedad, siempre que se renovara el RUP.  </w:t>
      </w:r>
    </w:p>
    <w:p w14:paraId="19BA0E0F" w14:textId="77777777" w:rsidR="00F2587E" w:rsidRPr="00DC5CAD" w:rsidRDefault="00F2587E" w:rsidP="00F2587E">
      <w:pPr>
        <w:spacing w:before="120" w:after="120" w:line="276" w:lineRule="auto"/>
        <w:ind w:firstLine="708"/>
        <w:jc w:val="both"/>
        <w:rPr>
          <w:rFonts w:ascii="Arial" w:hAnsi="Arial" w:cs="Arial"/>
          <w:sz w:val="22"/>
        </w:rPr>
      </w:pPr>
      <w:r w:rsidRPr="00DC5CAD">
        <w:rPr>
          <w:rFonts w:ascii="Arial" w:hAnsi="Arial" w:cs="Arial"/>
          <w:sz w:val="22"/>
        </w:rPr>
        <w:t xml:space="preserve">Teniendo en cuenta lo anterior, aunque la persona jurídica tenga más de tres años de constituida y haya registrado inicialmente la experiencia de sus socios en el RUP </w:t>
      </w:r>
      <w:r w:rsidRPr="00DC5CAD">
        <w:rPr>
          <w:rFonts w:ascii="Arial" w:eastAsia="Calibri" w:hAnsi="Arial" w:cs="Arial"/>
          <w:sz w:val="22"/>
        </w:rPr>
        <w:t>―</w:t>
      </w:r>
      <w:r w:rsidRPr="00DC5CAD">
        <w:rPr>
          <w:rFonts w:ascii="Arial" w:hAnsi="Arial" w:cs="Arial"/>
          <w:sz w:val="22"/>
        </w:rPr>
        <w:t>pues su constitución era inferior a tres años</w:t>
      </w:r>
      <w:r w:rsidRPr="00DC5CAD">
        <w:rPr>
          <w:rFonts w:ascii="Arial" w:eastAsia="Calibri" w:hAnsi="Arial" w:cs="Arial"/>
          <w:sz w:val="22"/>
        </w:rPr>
        <w:t>―</w:t>
      </w:r>
      <w:r w:rsidRPr="00DC5CAD">
        <w:rPr>
          <w:rFonts w:ascii="Arial" w:hAnsi="Arial" w:cs="Arial"/>
          <w:sz w:val="22"/>
        </w:rPr>
        <w:t xml:space="preserve"> y este es renovado, puede continuar utilizando la experiencia inscrita mientras no cesen los efectos del RUP. Por el contrario, si el RUP no es renovado y la persona jurídica supera los tres años de constituida, la experiencia que registró de sus socios no puede ser inscrita nuevamente puesto que el RUP ha cesado sus efectos y la cámara de comercio tiene que hacer nuevamente la verificación documental de la información presentada al momento de inscribirse en el registro. </w:t>
      </w:r>
    </w:p>
    <w:p w14:paraId="11BA1F2F" w14:textId="77777777" w:rsidR="00F2587E" w:rsidRPr="00DC5CAD" w:rsidRDefault="00F2587E" w:rsidP="00F2587E">
      <w:pPr>
        <w:spacing w:before="120" w:after="120" w:line="276" w:lineRule="auto"/>
        <w:ind w:firstLine="708"/>
        <w:jc w:val="both"/>
        <w:rPr>
          <w:rFonts w:ascii="Arial" w:hAnsi="Arial" w:cs="Arial"/>
          <w:sz w:val="22"/>
        </w:rPr>
      </w:pPr>
      <w:r w:rsidRPr="00DC5CAD">
        <w:rPr>
          <w:rFonts w:ascii="Arial" w:hAnsi="Arial" w:cs="Arial"/>
          <w:sz w:val="22"/>
        </w:rPr>
        <w:t xml:space="preserve">Posición contraria se adoptó en un concepto identificado con radicado No. 4201814000001418 del 3 de abril de 2018, donde frente a la misma pregunta esta Subdirección respondió que después de cumplidos los 3 años contados desde la constitución de la sociedad, las entidades estatales no deberían tener como válida la experiencia acreditada por los socios, accionistas o constituyentes. Como fundamento de esta posición, la Subdirección consideró lo siguiente: </w:t>
      </w:r>
    </w:p>
    <w:p w14:paraId="2C4AF75C" w14:textId="77777777" w:rsidR="00F2587E" w:rsidRPr="00DC5CAD" w:rsidRDefault="00F2587E" w:rsidP="00F2587E">
      <w:pPr>
        <w:spacing w:before="120" w:after="120" w:line="276" w:lineRule="auto"/>
        <w:ind w:firstLine="708"/>
        <w:jc w:val="both"/>
        <w:rPr>
          <w:rFonts w:ascii="Arial" w:hAnsi="Arial" w:cs="Arial"/>
          <w:sz w:val="22"/>
        </w:rPr>
      </w:pPr>
      <w:r w:rsidRPr="00DC5CAD">
        <w:rPr>
          <w:rFonts w:ascii="Arial" w:hAnsi="Arial" w:cs="Arial"/>
          <w:sz w:val="22"/>
        </w:rPr>
        <w:t xml:space="preserve">i) La posición de Colombia Compra Eficiente respecto a la validez de la experiencia de los accionistas, socios o constituyentes, acreditada en el RUP por una sociedad nueva, cuando está ya superó los 3 años de constituida, ha variado. </w:t>
      </w:r>
    </w:p>
    <w:p w14:paraId="5300617B" w14:textId="77777777" w:rsidR="00F2587E" w:rsidRPr="00DC5CAD" w:rsidRDefault="00F2587E" w:rsidP="00F2587E">
      <w:pPr>
        <w:spacing w:before="120" w:after="120" w:line="276" w:lineRule="auto"/>
        <w:ind w:firstLine="708"/>
        <w:jc w:val="both"/>
        <w:rPr>
          <w:rFonts w:ascii="Arial" w:hAnsi="Arial" w:cs="Arial"/>
          <w:sz w:val="22"/>
        </w:rPr>
      </w:pPr>
      <w:proofErr w:type="spellStart"/>
      <w:r w:rsidRPr="00DC5CAD">
        <w:rPr>
          <w:rFonts w:ascii="Arial" w:hAnsi="Arial" w:cs="Arial"/>
          <w:sz w:val="22"/>
        </w:rPr>
        <w:t>ii</w:t>
      </w:r>
      <w:proofErr w:type="spellEnd"/>
      <w:r w:rsidRPr="00DC5CAD">
        <w:rPr>
          <w:rFonts w:ascii="Arial" w:hAnsi="Arial" w:cs="Arial"/>
          <w:sz w:val="22"/>
        </w:rPr>
        <w:t xml:space="preserve">) El Decreto 1082 de 2015 establece </w:t>
      </w:r>
      <w:proofErr w:type="gramStart"/>
      <w:r w:rsidRPr="00DC5CAD">
        <w:rPr>
          <w:rFonts w:ascii="Arial" w:hAnsi="Arial" w:cs="Arial"/>
          <w:sz w:val="22"/>
        </w:rPr>
        <w:t>que</w:t>
      </w:r>
      <w:proofErr w:type="gramEnd"/>
      <w:r w:rsidRPr="00DC5CAD">
        <w:rPr>
          <w:rFonts w:ascii="Arial" w:hAnsi="Arial" w:cs="Arial"/>
          <w:sz w:val="22"/>
        </w:rPr>
        <w:t xml:space="preserve"> para la inscripción en el RUP de una persona jurídica, si su constitución es menor a 3 años, puede acreditar la experiencia de sus accionistas, socios o constituyentes. </w:t>
      </w:r>
    </w:p>
    <w:p w14:paraId="50A89C73" w14:textId="77777777" w:rsidR="00F2587E" w:rsidRPr="00DC5CAD" w:rsidRDefault="00F2587E" w:rsidP="00F2587E">
      <w:pPr>
        <w:spacing w:before="120" w:after="120" w:line="276" w:lineRule="auto"/>
        <w:ind w:firstLine="708"/>
        <w:jc w:val="both"/>
        <w:rPr>
          <w:rFonts w:ascii="Arial" w:hAnsi="Arial" w:cs="Arial"/>
          <w:sz w:val="22"/>
        </w:rPr>
      </w:pPr>
      <w:proofErr w:type="spellStart"/>
      <w:r w:rsidRPr="00DC5CAD">
        <w:rPr>
          <w:rFonts w:ascii="Arial" w:hAnsi="Arial" w:cs="Arial"/>
          <w:sz w:val="22"/>
        </w:rPr>
        <w:t>iii</w:t>
      </w:r>
      <w:proofErr w:type="spellEnd"/>
      <w:r w:rsidRPr="00DC5CAD">
        <w:rPr>
          <w:rFonts w:ascii="Arial" w:hAnsi="Arial" w:cs="Arial"/>
          <w:sz w:val="22"/>
        </w:rPr>
        <w:t xml:space="preserve">) La finalidad de esta norma es permitir que las sociedades que no cuentan con la experiencia suficiente para contratar con el Estado puedan apoyarse en la experiencia de sus accionistas, socios o constituyentes con el fin de incentivar la libre competencia en la contratación estatal. </w:t>
      </w:r>
    </w:p>
    <w:p w14:paraId="6F86CFC6" w14:textId="77777777" w:rsidR="00F2587E" w:rsidRPr="00DC5CAD" w:rsidRDefault="00F2587E" w:rsidP="00F2587E">
      <w:pPr>
        <w:spacing w:before="120" w:after="120" w:line="276" w:lineRule="auto"/>
        <w:ind w:firstLine="708"/>
        <w:jc w:val="both"/>
        <w:rPr>
          <w:rFonts w:ascii="Arial" w:hAnsi="Arial" w:cs="Arial"/>
          <w:sz w:val="22"/>
        </w:rPr>
      </w:pPr>
      <w:proofErr w:type="spellStart"/>
      <w:r w:rsidRPr="00DC5CAD">
        <w:rPr>
          <w:rFonts w:ascii="Arial" w:hAnsi="Arial" w:cs="Arial"/>
          <w:sz w:val="22"/>
        </w:rPr>
        <w:t>iv</w:t>
      </w:r>
      <w:proofErr w:type="spellEnd"/>
      <w:r w:rsidRPr="00DC5CAD">
        <w:rPr>
          <w:rFonts w:ascii="Arial" w:hAnsi="Arial" w:cs="Arial"/>
          <w:sz w:val="22"/>
        </w:rPr>
        <w:t xml:space="preserve">) En consecuencia, la persona jurídica cuya constitución es menor a 3 años puede registrar la experiencia de sus socios en el RUP, la cual no podrá ser tenida en cuenta por la entidad estatal como experiencia de la sociedad una vez cumplidos los 3 años de constituida la persona jurídica a los que hace referencia la norma, pues no se cumple con el presupuesto normativo para acceder al beneficio que contempla el Decreto 1082. </w:t>
      </w:r>
    </w:p>
    <w:p w14:paraId="21DDE3A1" w14:textId="77777777" w:rsidR="00F2587E" w:rsidRPr="00DC5CAD" w:rsidRDefault="00F2587E" w:rsidP="00F2587E">
      <w:pPr>
        <w:spacing w:before="120" w:after="120" w:line="276" w:lineRule="auto"/>
        <w:ind w:firstLine="708"/>
        <w:jc w:val="both"/>
        <w:rPr>
          <w:rFonts w:ascii="Arial" w:hAnsi="Arial" w:cs="Arial"/>
          <w:sz w:val="22"/>
        </w:rPr>
      </w:pPr>
      <w:r w:rsidRPr="00DC5CAD">
        <w:rPr>
          <w:rFonts w:ascii="Arial" w:hAnsi="Arial" w:cs="Arial"/>
          <w:sz w:val="22"/>
        </w:rPr>
        <w:t xml:space="preserve">v) Las Cámaras de Comercio hacen la verificación documental de la información presentada por los interesados al momento de inscribir, renovar o actualizar su información en el RUP. De esa forma, a diferencia de la renovación, la actualización del RUP puede llevarse a cabo en cualquier momento </w:t>
      </w:r>
      <w:r w:rsidRPr="00DC5CAD">
        <w:rPr>
          <w:rFonts w:ascii="Arial" w:eastAsia="Calibri" w:hAnsi="Arial" w:cs="Arial"/>
          <w:sz w:val="22"/>
        </w:rPr>
        <w:t>―</w:t>
      </w:r>
      <w:r w:rsidRPr="00DC5CAD">
        <w:rPr>
          <w:rFonts w:ascii="Arial" w:hAnsi="Arial" w:cs="Arial"/>
          <w:sz w:val="22"/>
        </w:rPr>
        <w:t>únicamente para la capacidad jurídica y experiencia</w:t>
      </w:r>
      <w:r w:rsidRPr="00DC5CAD">
        <w:rPr>
          <w:rFonts w:ascii="Arial" w:eastAsia="Calibri" w:hAnsi="Arial" w:cs="Arial"/>
          <w:sz w:val="22"/>
        </w:rPr>
        <w:t>―</w:t>
      </w:r>
      <w:r w:rsidRPr="00DC5CAD">
        <w:rPr>
          <w:rFonts w:ascii="Arial" w:hAnsi="Arial" w:cs="Arial"/>
          <w:sz w:val="22"/>
        </w:rPr>
        <w:t xml:space="preserve"> y debe ser verificada junto con sus soportes por la Cámara de Comercio correspondiente. </w:t>
      </w:r>
    </w:p>
    <w:p w14:paraId="58726556" w14:textId="77777777" w:rsidR="00F2587E" w:rsidRPr="00DC5CAD" w:rsidRDefault="00F2587E" w:rsidP="00F2587E">
      <w:pPr>
        <w:spacing w:before="120" w:after="120" w:line="276" w:lineRule="auto"/>
        <w:ind w:firstLine="708"/>
        <w:jc w:val="both"/>
        <w:rPr>
          <w:rFonts w:ascii="Arial" w:hAnsi="Arial" w:cs="Arial"/>
          <w:sz w:val="22"/>
        </w:rPr>
      </w:pPr>
      <w:r w:rsidRPr="00DC5CAD">
        <w:rPr>
          <w:rFonts w:ascii="Arial" w:hAnsi="Arial" w:cs="Arial"/>
          <w:sz w:val="22"/>
        </w:rPr>
        <w:t xml:space="preserve">Ante esta disparidad de criterios, la Subdirección de Gestión Contractual estimó necesario recoger estos pronunciamientos y unificar la posición en el concepto con radicado No. 4201913000006797 del 19 de noviembre de 2019, en torno a la posibilidad de que las sociedades nuevas puedan seguir acreditando la experiencia de sus socios, accionistas o constituyentes, incluso después de cumplidos 3 años de constitución de la persona jurídica. </w:t>
      </w:r>
    </w:p>
    <w:p w14:paraId="37A689E1" w14:textId="77777777" w:rsidR="00F2587E" w:rsidRPr="00DC5CAD" w:rsidRDefault="00F2587E" w:rsidP="00F2587E">
      <w:pPr>
        <w:spacing w:before="120" w:after="120" w:line="276" w:lineRule="auto"/>
        <w:ind w:firstLine="708"/>
        <w:jc w:val="both"/>
        <w:rPr>
          <w:rFonts w:ascii="Arial" w:hAnsi="Arial" w:cs="Arial"/>
          <w:sz w:val="22"/>
        </w:rPr>
      </w:pPr>
      <w:r w:rsidRPr="00DC5CAD">
        <w:rPr>
          <w:rFonts w:ascii="Arial" w:hAnsi="Arial" w:cs="Arial"/>
          <w:sz w:val="22"/>
        </w:rPr>
        <w:t>El criterio que se adoptó fue que la experiencia de los socios, accionistas o constituyentes, para las sociedades que al momento de inscribirse en el RUP tenían menos de 3 años de constituidas, puede seguir siendo acreditada por la persona jurídica después de transcurridos los 3 años del acto de constitución. Esta posición había sido reiterada por esta Subdirección en pronunciamientos posteriores a la acogida en el concepto del 3 de abril de 2018 antes citado y previos a la postura definida en el concepto del 19 de noviembre de 2019</w:t>
      </w:r>
      <w:r w:rsidRPr="00DC5CAD">
        <w:rPr>
          <w:rStyle w:val="Refdenotaalpie"/>
          <w:rFonts w:ascii="Arial" w:hAnsi="Arial" w:cs="Arial"/>
          <w:sz w:val="22"/>
        </w:rPr>
        <w:footnoteReference w:id="4"/>
      </w:r>
      <w:r w:rsidRPr="00DC5CAD">
        <w:rPr>
          <w:rFonts w:ascii="Arial" w:hAnsi="Arial" w:cs="Arial"/>
          <w:sz w:val="22"/>
        </w:rPr>
        <w:t xml:space="preserve">. </w:t>
      </w:r>
    </w:p>
    <w:p w14:paraId="0B045D53" w14:textId="77777777" w:rsidR="00F2587E" w:rsidRPr="00DC5CAD" w:rsidRDefault="00F2587E" w:rsidP="00F2587E">
      <w:pPr>
        <w:spacing w:before="120" w:after="120" w:line="276" w:lineRule="auto"/>
        <w:ind w:firstLine="708"/>
        <w:jc w:val="both"/>
        <w:rPr>
          <w:rFonts w:ascii="Arial" w:hAnsi="Arial" w:cs="Arial"/>
          <w:sz w:val="22"/>
        </w:rPr>
      </w:pPr>
      <w:r w:rsidRPr="00DC5CAD">
        <w:rPr>
          <w:rFonts w:ascii="Arial" w:hAnsi="Arial" w:cs="Arial"/>
          <w:sz w:val="22"/>
        </w:rPr>
        <w:t>Se reitera que la finalidad del numeral 2.5 del artículo 2.2.1.1.1.5.2 del Decreto 1082 de 2015 es incentivar la libre competencia y la pluralidad de oferentes en la contratación estatal. Adicionalmente, el Decreto 1082 de 2015 establece que la persona inscrita en el RUP debe presentar la información para renovar su registro a más tardar el quinto día hábil del mes de abril de cada año, de lo contrario cesan sus efectos</w:t>
      </w:r>
      <w:r w:rsidRPr="00DC5CAD">
        <w:rPr>
          <w:rStyle w:val="Refdenotaalpie"/>
          <w:rFonts w:ascii="Arial" w:hAnsi="Arial" w:cs="Arial"/>
          <w:sz w:val="22"/>
        </w:rPr>
        <w:footnoteReference w:id="5"/>
      </w:r>
      <w:r w:rsidRPr="00DC5CAD">
        <w:rPr>
          <w:rFonts w:ascii="Arial" w:hAnsi="Arial" w:cs="Arial"/>
          <w:sz w:val="22"/>
        </w:rPr>
        <w:t xml:space="preserve">. En la actualidad, las cámaras de comercio solo pueden eliminar la experiencia registrada en el RUP a solicitud del proponente, por tanto, les corresponde a las personas jurídicas mantener su RUP actualizado y a las entidades estatales verificar el RUP para efectos de evaluar la experiencia. </w:t>
      </w:r>
    </w:p>
    <w:p w14:paraId="417CF1CC" w14:textId="77777777" w:rsidR="00F2587E" w:rsidRPr="00DC5CAD" w:rsidRDefault="00F2587E" w:rsidP="00F2587E">
      <w:pPr>
        <w:spacing w:before="120" w:after="120" w:line="276" w:lineRule="auto"/>
        <w:ind w:firstLine="708"/>
        <w:jc w:val="both"/>
        <w:rPr>
          <w:rFonts w:ascii="Arial" w:hAnsi="Arial" w:cs="Arial"/>
          <w:sz w:val="22"/>
        </w:rPr>
      </w:pPr>
      <w:r w:rsidRPr="00DC5CAD">
        <w:rPr>
          <w:rFonts w:ascii="Arial" w:hAnsi="Arial" w:cs="Arial"/>
          <w:sz w:val="22"/>
        </w:rPr>
        <w:t xml:space="preserve">En otras palabras, si la persona jurídica con menos de tres años de constituida registra la experiencia de sus socios en el RUP, y éste es renovado, puede continuar utilizando la experiencia inscrita mientras no cesen los efectos del RUP. Por el contrario, si no se renueva y la persona jurídica supera los tres años de constituida, la experiencia que registró de sus socios no puede ser inscrita nuevamente, puesto que el RUP ha cesado sus efectos y la cámara de comercio tiene que hacer nuevamente la verificación documental de la información presentada al momento de inscribirse en el registro.  </w:t>
      </w:r>
    </w:p>
    <w:p w14:paraId="7155053C" w14:textId="77777777" w:rsidR="00F2587E" w:rsidRPr="00DC5CAD" w:rsidRDefault="00F2587E" w:rsidP="00F2587E">
      <w:pPr>
        <w:spacing w:line="276" w:lineRule="auto"/>
        <w:ind w:firstLine="708"/>
        <w:jc w:val="both"/>
        <w:rPr>
          <w:rFonts w:ascii="Arial" w:hAnsi="Arial" w:cs="Arial"/>
          <w:sz w:val="22"/>
        </w:rPr>
      </w:pPr>
      <w:r w:rsidRPr="00DC5CAD">
        <w:rPr>
          <w:rFonts w:ascii="Arial" w:hAnsi="Arial" w:cs="Arial"/>
          <w:sz w:val="22"/>
        </w:rPr>
        <w:t xml:space="preserve">Lo anterior, tiene fundamento en la Circular Única de la Superintendencia de Industria y Comercio, en el numeral 4.2, sobre el procedimiento para llevar el registro único de proponentes, que establece:  </w:t>
      </w:r>
    </w:p>
    <w:p w14:paraId="65B6BEBD" w14:textId="77777777" w:rsidR="00F2587E" w:rsidRPr="00DC5CAD" w:rsidRDefault="00F2587E" w:rsidP="00F2587E">
      <w:pPr>
        <w:spacing w:line="276" w:lineRule="auto"/>
        <w:ind w:firstLine="708"/>
        <w:jc w:val="both"/>
        <w:rPr>
          <w:rFonts w:ascii="Arial" w:hAnsi="Arial" w:cs="Arial"/>
          <w:sz w:val="22"/>
        </w:rPr>
      </w:pPr>
    </w:p>
    <w:p w14:paraId="2EC040E3" w14:textId="77777777" w:rsidR="00F2587E" w:rsidRPr="00DC5CAD" w:rsidRDefault="00F2587E" w:rsidP="00F2587E">
      <w:pPr>
        <w:ind w:left="709" w:right="709"/>
        <w:jc w:val="both"/>
        <w:rPr>
          <w:rFonts w:ascii="Arial" w:hAnsi="Arial" w:cs="Arial"/>
          <w:sz w:val="21"/>
          <w:szCs w:val="21"/>
        </w:rPr>
      </w:pPr>
      <w:r w:rsidRPr="00DC5CAD">
        <w:rPr>
          <w:rFonts w:ascii="Arial" w:hAnsi="Arial" w:cs="Arial"/>
          <w:sz w:val="21"/>
          <w:szCs w:val="21"/>
        </w:rPr>
        <w:t xml:space="preserve">4.2.5. Vigencia de los documentos. Para efectos de renovación y actualización se considera que los documentos no pierden su vigencia salvo disposición legal en contrario. Por lo anterior, las Cámaras de Comercio no podrán abstenerse de realizar la inscripción argumentando el vencimiento de los documentos de soporte. </w:t>
      </w:r>
    </w:p>
    <w:p w14:paraId="20861158" w14:textId="77777777" w:rsidR="00F2587E" w:rsidRPr="00DC5CAD" w:rsidRDefault="00F2587E" w:rsidP="00F2587E">
      <w:pPr>
        <w:ind w:left="709" w:right="709"/>
        <w:jc w:val="both"/>
        <w:rPr>
          <w:rFonts w:ascii="Arial" w:hAnsi="Arial" w:cs="Arial"/>
          <w:sz w:val="21"/>
          <w:szCs w:val="21"/>
        </w:rPr>
      </w:pPr>
    </w:p>
    <w:p w14:paraId="52541E61" w14:textId="77777777" w:rsidR="00F2587E" w:rsidRPr="00DC5CAD" w:rsidRDefault="00F2587E" w:rsidP="00F2587E">
      <w:pPr>
        <w:spacing w:line="276" w:lineRule="auto"/>
        <w:ind w:firstLine="708"/>
        <w:jc w:val="both"/>
        <w:rPr>
          <w:rFonts w:ascii="Arial" w:hAnsi="Arial" w:cs="Arial"/>
          <w:sz w:val="22"/>
        </w:rPr>
      </w:pPr>
      <w:r w:rsidRPr="00DC5CAD">
        <w:rPr>
          <w:rFonts w:ascii="Arial" w:hAnsi="Arial" w:cs="Arial"/>
          <w:sz w:val="22"/>
        </w:rPr>
        <w:t xml:space="preserve">Así las cosas, con el fin de incentivar la participación continúa y constante de los proponentes, las entidades estatales, en sus procesos de contratación, aceptarán como válida la experiencia de los socios, accionistas o constituyentes incluso después de cumplidos los tres años de constitución de la sociedad, pues esta interpretación permite incentivar la creación de empresa y generar una mayor participación de las empresas recién constituidas.   </w:t>
      </w:r>
    </w:p>
    <w:p w14:paraId="001E5F09" w14:textId="77777777" w:rsidR="00F2587E" w:rsidRPr="00DC5CAD" w:rsidRDefault="00F2587E" w:rsidP="00F2587E">
      <w:pPr>
        <w:spacing w:before="120" w:after="120" w:line="276" w:lineRule="auto"/>
        <w:ind w:firstLine="708"/>
        <w:jc w:val="both"/>
        <w:rPr>
          <w:rFonts w:ascii="Arial" w:hAnsi="Arial" w:cs="Arial"/>
          <w:sz w:val="22"/>
        </w:rPr>
      </w:pPr>
      <w:r w:rsidRPr="00DC5CAD">
        <w:rPr>
          <w:rFonts w:ascii="Arial" w:hAnsi="Arial" w:cs="Arial"/>
          <w:sz w:val="22"/>
        </w:rPr>
        <w:t xml:space="preserve">En este sentido, si bien la norma no dispone qué sucede con la experiencia aportada por los socios, accionistas o constituyentes, después de los 3 años de constituida la persona jurídica, para esta Subdirección sigue siendo válida, por lo que la entidad la debe tener en cuenta; de esta forma se garantiza la pluralidad de oferentes en los procesos de contratación. </w:t>
      </w:r>
    </w:p>
    <w:p w14:paraId="2830900C" w14:textId="77777777" w:rsidR="00F2587E" w:rsidRPr="00DC5CAD" w:rsidRDefault="00F2587E" w:rsidP="00F2587E">
      <w:pPr>
        <w:spacing w:before="120" w:after="120" w:line="276" w:lineRule="auto"/>
        <w:ind w:firstLine="708"/>
        <w:jc w:val="both"/>
        <w:rPr>
          <w:rFonts w:ascii="Arial" w:hAnsi="Arial" w:cs="Arial"/>
          <w:sz w:val="22"/>
        </w:rPr>
      </w:pPr>
      <w:r w:rsidRPr="00DC5CAD">
        <w:rPr>
          <w:rFonts w:ascii="Arial" w:hAnsi="Arial" w:cs="Arial"/>
          <w:sz w:val="22"/>
        </w:rPr>
        <w:t xml:space="preserve">En línea con lo anterior, el numeral 2.5. del artículo 2.2.1.1.1.5.2 del Decreto 1082 de 2015 consagra, como se dijo, una prerrogativa para las sociedades nuevas, que busca fomentar la competencia de las mismas en el campo de la contratación estatal, sin establecer limitantes en relación con las entidades o procesos de contratación en los que las personas jurídicas con menos de 3 años de constitución pueden acreditar la experiencia transferida por sus socios en virtud de la referida prerrogativa. </w:t>
      </w:r>
    </w:p>
    <w:p w14:paraId="4CAC68C6" w14:textId="6A12E38A" w:rsidR="00F2587E" w:rsidRPr="00DC5CAD" w:rsidRDefault="00F2587E" w:rsidP="006451EE">
      <w:pPr>
        <w:spacing w:before="120" w:line="276" w:lineRule="auto"/>
        <w:ind w:firstLine="709"/>
        <w:jc w:val="both"/>
        <w:rPr>
          <w:rFonts w:ascii="Arial" w:hAnsi="Arial" w:cs="Arial"/>
          <w:sz w:val="22"/>
        </w:rPr>
      </w:pPr>
      <w:r w:rsidRPr="00DC5CAD">
        <w:rPr>
          <w:rFonts w:ascii="Arial" w:hAnsi="Arial" w:cs="Arial"/>
          <w:sz w:val="22"/>
        </w:rPr>
        <w:t>Por tanto, en atención al principio general de interpretación según el cual donde el legislador no distingue no le es dado hacerlo al interprete, el hecho de que una sociedad con menos de 3 años de constitución haya hecho uso de la referida prerrogativa en determinado proceso de contratación o entidad, no excluye la posibilidad de que dicha sociedad siga haciendo uso del beneficio en otros procesos de contratación adelantados por otras entidades, incluso una vez vencidos los 3 años de constitución, siempre que no hayan cesado los efectos del RUP por el incumplimiento del deber de renovación.</w:t>
      </w:r>
    </w:p>
    <w:p w14:paraId="50ED28F1" w14:textId="4F2FA328" w:rsidR="00384698" w:rsidRPr="00DC5CAD" w:rsidRDefault="00384698" w:rsidP="006451EE">
      <w:pPr>
        <w:spacing w:line="276" w:lineRule="auto"/>
        <w:ind w:firstLine="709"/>
        <w:jc w:val="both"/>
        <w:rPr>
          <w:rFonts w:ascii="Arial" w:eastAsia="Calibri" w:hAnsi="Arial" w:cs="Arial"/>
          <w:sz w:val="22"/>
        </w:rPr>
      </w:pPr>
    </w:p>
    <w:p w14:paraId="3E18A351" w14:textId="330140B9" w:rsidR="004E0F28" w:rsidRPr="00DC5CAD" w:rsidRDefault="004E0F28" w:rsidP="008F0346">
      <w:pPr>
        <w:spacing w:line="276" w:lineRule="auto"/>
        <w:jc w:val="both"/>
        <w:rPr>
          <w:rFonts w:ascii="Arial" w:eastAsia="Calibri" w:hAnsi="Arial" w:cs="Arial"/>
          <w:b/>
          <w:sz w:val="22"/>
        </w:rPr>
      </w:pPr>
      <w:r w:rsidRPr="00DC5CAD">
        <w:rPr>
          <w:rFonts w:ascii="Arial" w:eastAsia="Calibri" w:hAnsi="Arial" w:cs="Arial"/>
          <w:b/>
          <w:sz w:val="22"/>
        </w:rPr>
        <w:t>2.2</w:t>
      </w:r>
      <w:r w:rsidR="007A50A9">
        <w:rPr>
          <w:rFonts w:ascii="Arial" w:eastAsia="Calibri" w:hAnsi="Arial" w:cs="Arial"/>
          <w:b/>
          <w:sz w:val="22"/>
        </w:rPr>
        <w:t>.</w:t>
      </w:r>
      <w:r w:rsidRPr="00DC5CAD">
        <w:rPr>
          <w:rFonts w:ascii="Arial" w:eastAsia="Calibri" w:hAnsi="Arial" w:cs="Arial"/>
          <w:b/>
          <w:sz w:val="22"/>
        </w:rPr>
        <w:t xml:space="preserve"> </w:t>
      </w:r>
      <w:r w:rsidR="007A50A9">
        <w:rPr>
          <w:rFonts w:ascii="Arial" w:eastAsia="Calibri" w:hAnsi="Arial" w:cs="Arial"/>
          <w:b/>
          <w:sz w:val="22"/>
        </w:rPr>
        <w:t>A</w:t>
      </w:r>
      <w:r w:rsidR="007A50A9" w:rsidRPr="00DC5CAD">
        <w:rPr>
          <w:rFonts w:ascii="Arial" w:eastAsia="Calibri" w:hAnsi="Arial" w:cs="Arial"/>
          <w:b/>
          <w:sz w:val="22"/>
        </w:rPr>
        <w:t xml:space="preserve">proximación general al concepto </w:t>
      </w:r>
      <w:r w:rsidR="007A50A9">
        <w:rPr>
          <w:rFonts w:ascii="Arial" w:eastAsia="Calibri" w:hAnsi="Arial" w:cs="Arial"/>
          <w:b/>
          <w:sz w:val="22"/>
        </w:rPr>
        <w:t>de e</w:t>
      </w:r>
      <w:r w:rsidRPr="00DC5CAD">
        <w:rPr>
          <w:rFonts w:ascii="Arial" w:eastAsia="Calibri" w:hAnsi="Arial" w:cs="Arial"/>
          <w:b/>
          <w:sz w:val="22"/>
        </w:rPr>
        <w:t>xperiencia en la contratación pública</w:t>
      </w:r>
    </w:p>
    <w:p w14:paraId="4413A071" w14:textId="77777777" w:rsidR="004E0F28" w:rsidRPr="00DC5CAD" w:rsidRDefault="004E0F28" w:rsidP="008F0346">
      <w:pPr>
        <w:spacing w:line="276" w:lineRule="auto"/>
        <w:jc w:val="both"/>
        <w:rPr>
          <w:rFonts w:ascii="Arial" w:eastAsia="Calibri" w:hAnsi="Arial" w:cs="Arial"/>
          <w:b/>
          <w:sz w:val="22"/>
        </w:rPr>
      </w:pPr>
    </w:p>
    <w:p w14:paraId="3FFEE8F7" w14:textId="77777777" w:rsidR="004E0F28" w:rsidRPr="00DC5CAD" w:rsidRDefault="004E0F28" w:rsidP="008F0346">
      <w:pPr>
        <w:spacing w:line="276" w:lineRule="auto"/>
        <w:jc w:val="both"/>
        <w:rPr>
          <w:rFonts w:ascii="Arial" w:eastAsia="Calibri" w:hAnsi="Arial" w:cs="Arial"/>
          <w:sz w:val="22"/>
          <w:highlight w:val="yellow"/>
        </w:rPr>
      </w:pPr>
      <w:r w:rsidRPr="00DC5CAD">
        <w:rPr>
          <w:rFonts w:ascii="Arial" w:eastAsia="Calibri" w:hAnsi="Arial" w:cs="Arial"/>
          <w:sz w:val="22"/>
        </w:rPr>
        <w:t>La Ley 1150 de 2007, en el artículo 5, establece los requisitos habilitantes para participar en un procedimiento contractual, dentro de los cuales se destaca la experiencia, y cuyo propósito es que las entidades fijen unos requisitos mínimos que debe tener y acreditar el proponente, para que la entidad pueda verificar su aptitud para participar en el procedimiento de contratación y, si se le adjudica, ejecutar el contrato estatal</w:t>
      </w:r>
      <w:r w:rsidRPr="00DC5CAD">
        <w:rPr>
          <w:rStyle w:val="Refdenotaalpie"/>
          <w:rFonts w:ascii="Arial" w:eastAsia="Calibri" w:hAnsi="Arial" w:cs="Arial"/>
          <w:sz w:val="22"/>
        </w:rPr>
        <w:footnoteReference w:id="6"/>
      </w:r>
      <w:r w:rsidRPr="00DC5CAD">
        <w:rPr>
          <w:rFonts w:ascii="Arial" w:eastAsia="Calibri" w:hAnsi="Arial" w:cs="Arial"/>
          <w:sz w:val="22"/>
        </w:rPr>
        <w:t>. En ese sentido, la entidad, como responsable de la estructuración de su procedimiento de contratación, es autónoma para requerir la experiencia necesaria para el objeto contractual que se pretende satisfacer con el procedimiento, para lo cual, de acuerdo con el artículo 2.2.1.1.1.6.2. del Decreto 1082 de 2015, debe tener en cuenta el estudio del sector y sus componentes como la identificación de riesgos, el mercado y precio del bien, obra o servicio a contratar</w:t>
      </w:r>
      <w:r w:rsidRPr="00DC5CAD">
        <w:rPr>
          <w:rStyle w:val="Refdenotaalpie"/>
          <w:rFonts w:ascii="Arial" w:eastAsia="Calibri" w:hAnsi="Arial" w:cs="Arial"/>
          <w:sz w:val="22"/>
        </w:rPr>
        <w:footnoteReference w:id="7"/>
      </w:r>
      <w:r w:rsidRPr="00DC5CAD">
        <w:rPr>
          <w:rFonts w:ascii="Arial" w:eastAsia="Calibri" w:hAnsi="Arial" w:cs="Arial"/>
          <w:sz w:val="22"/>
        </w:rPr>
        <w:t>.</w:t>
      </w:r>
    </w:p>
    <w:p w14:paraId="313C245F" w14:textId="32784E79" w:rsidR="004E0F28" w:rsidRPr="00DC5CAD" w:rsidRDefault="004E0F28" w:rsidP="004E0F28">
      <w:pPr>
        <w:spacing w:before="120" w:after="120" w:line="276" w:lineRule="auto"/>
        <w:ind w:firstLine="708"/>
        <w:jc w:val="both"/>
        <w:rPr>
          <w:rFonts w:ascii="Arial" w:eastAsia="Calibri" w:hAnsi="Arial" w:cs="Arial"/>
          <w:sz w:val="22"/>
        </w:rPr>
      </w:pPr>
      <w:r w:rsidRPr="00DC5CAD">
        <w:rPr>
          <w:rFonts w:ascii="Arial" w:eastAsia="Calibri" w:hAnsi="Arial" w:cs="Arial"/>
          <w:sz w:val="22"/>
        </w:rPr>
        <w:t xml:space="preserve">La experiencia que se deriva de los contratos que el proponente ha celebrado y ejecutado con diferentes contratantes, sin importar la naturaleza de estos, se verifica con el Registro Único de Proponentes </w:t>
      </w:r>
      <w:r w:rsidR="007A50A9">
        <w:rPr>
          <w:rFonts w:ascii="Arial" w:eastAsia="Calibri" w:hAnsi="Arial" w:cs="Arial"/>
          <w:sz w:val="22"/>
        </w:rPr>
        <w:t xml:space="preserve">– </w:t>
      </w:r>
      <w:r w:rsidRPr="00DC5CAD">
        <w:rPr>
          <w:rFonts w:ascii="Arial" w:eastAsia="Calibri" w:hAnsi="Arial" w:cs="Arial"/>
          <w:sz w:val="22"/>
        </w:rPr>
        <w:t>RUP</w:t>
      </w:r>
      <w:r w:rsidRPr="00DC5CAD">
        <w:rPr>
          <w:rStyle w:val="Refdenotaalpie"/>
          <w:rFonts w:ascii="Arial" w:eastAsia="Calibri" w:hAnsi="Arial" w:cs="Arial"/>
          <w:sz w:val="22"/>
        </w:rPr>
        <w:footnoteReference w:id="8"/>
      </w:r>
      <w:r w:rsidRPr="00DC5CAD">
        <w:rPr>
          <w:rFonts w:ascii="Arial" w:eastAsia="Calibri" w:hAnsi="Arial" w:cs="Arial"/>
          <w:sz w:val="22"/>
        </w:rPr>
        <w:t xml:space="preserve">, cuando este certificado sea exigible de acuerdo con la ley, en el cual constan los requisitos habilitantes que se evalúan exclusivamente con este documento, que es su plena prueba, sin que la entidad o </w:t>
      </w:r>
      <w:r w:rsidR="00694D8E" w:rsidRPr="00DC5CAD">
        <w:rPr>
          <w:rFonts w:ascii="Arial" w:eastAsia="Calibri" w:hAnsi="Arial" w:cs="Arial"/>
          <w:sz w:val="22"/>
        </w:rPr>
        <w:t>e</w:t>
      </w:r>
      <w:r w:rsidRPr="00DC5CAD">
        <w:rPr>
          <w:rFonts w:ascii="Arial" w:eastAsia="Calibri" w:hAnsi="Arial" w:cs="Arial"/>
          <w:sz w:val="22"/>
        </w:rPr>
        <w:t xml:space="preserve">l proponente </w:t>
      </w:r>
      <w:r w:rsidR="00694D8E" w:rsidRPr="00DC5CAD">
        <w:rPr>
          <w:rFonts w:ascii="Arial" w:eastAsia="Calibri" w:hAnsi="Arial" w:cs="Arial"/>
          <w:sz w:val="22"/>
        </w:rPr>
        <w:t xml:space="preserve">puedan </w:t>
      </w:r>
      <w:r w:rsidRPr="00DC5CAD">
        <w:rPr>
          <w:rFonts w:ascii="Arial" w:eastAsia="Calibri" w:hAnsi="Arial" w:cs="Arial"/>
          <w:sz w:val="22"/>
        </w:rPr>
        <w:t>solicitar o aportar otra documentación</w:t>
      </w:r>
      <w:r w:rsidRPr="00DC5CAD">
        <w:rPr>
          <w:rStyle w:val="Refdenotaalpie"/>
          <w:rFonts w:ascii="Arial" w:eastAsia="Calibri" w:hAnsi="Arial" w:cs="Arial"/>
          <w:sz w:val="22"/>
        </w:rPr>
        <w:footnoteReference w:id="9"/>
      </w:r>
      <w:r w:rsidRPr="00DC5CAD">
        <w:rPr>
          <w:rFonts w:ascii="Arial" w:eastAsia="Calibri" w:hAnsi="Arial" w:cs="Arial"/>
          <w:sz w:val="22"/>
        </w:rPr>
        <w:t>.</w:t>
      </w:r>
    </w:p>
    <w:p w14:paraId="6B4C25C7" w14:textId="30B18831" w:rsidR="004E0F28" w:rsidRPr="00DC5CAD" w:rsidRDefault="004E0F28" w:rsidP="008F0346">
      <w:pPr>
        <w:spacing w:line="276" w:lineRule="auto"/>
        <w:ind w:firstLine="708"/>
        <w:jc w:val="both"/>
        <w:rPr>
          <w:rFonts w:ascii="Arial" w:eastAsia="Calibri" w:hAnsi="Arial" w:cs="Arial"/>
          <w:sz w:val="22"/>
        </w:rPr>
      </w:pPr>
      <w:r w:rsidRPr="00DC5CAD">
        <w:rPr>
          <w:rFonts w:ascii="Arial" w:eastAsia="Calibri" w:hAnsi="Arial" w:cs="Arial"/>
          <w:sz w:val="22"/>
        </w:rPr>
        <w:t>Respecto de la experiencia, esta debe inscribirse, renovarse o actualizarse en el RUP con copia de los contratos o con certificados de los contratos celebrados por el proponente con diferentes contratantes, quienes son terceros que los expiden cuando el contrato fue ejecutado y recibieron los bienes, obras o servicios de parte del proponente; y esos documentos deben codificarse con el clasificador de bienes y servicios en el tercer nivel</w:t>
      </w:r>
      <w:r w:rsidRPr="00DC5CAD">
        <w:rPr>
          <w:rStyle w:val="Refdenotaalpie"/>
          <w:rFonts w:ascii="Arial" w:eastAsia="Calibri" w:hAnsi="Arial" w:cs="Arial"/>
          <w:sz w:val="22"/>
        </w:rPr>
        <w:footnoteReference w:id="10"/>
      </w:r>
      <w:r w:rsidRPr="00DC5CAD">
        <w:rPr>
          <w:rFonts w:ascii="Arial" w:eastAsia="Calibri" w:hAnsi="Arial" w:cs="Arial"/>
          <w:sz w:val="22"/>
        </w:rPr>
        <w:t xml:space="preserve">. De esta manera, </w:t>
      </w:r>
      <w:r w:rsidR="007A50A9">
        <w:rPr>
          <w:rFonts w:ascii="Arial" w:eastAsia="Calibri" w:hAnsi="Arial" w:cs="Arial"/>
          <w:sz w:val="22"/>
        </w:rPr>
        <w:t>con el RUP se verifica</w:t>
      </w:r>
      <w:r w:rsidRPr="00DC5CAD">
        <w:rPr>
          <w:rFonts w:ascii="Arial" w:eastAsia="Calibri" w:hAnsi="Arial" w:cs="Arial"/>
          <w:sz w:val="22"/>
        </w:rPr>
        <w:t xml:space="preserve"> que el proponente tenga experiencia en la ejecución del objeto que pretende contratar la entidad, esto es, que haya celebrado y ejecutado contratos que se asimilen a la necesidad que la entidad requiere satisfacer con el procedimiento contractual, sin que sea necesario que su objeto sea idéntico. Por lo anterior, es pertinente aclarar que los códigos del clasificador de bienes y servicios ayudan a que exista un lenguaje común en la denominación de los bienes, obras o servicios que los proveedores ofrecen y que las entidades solicitan, sin que la entidad los evalúe, ya que lo que es objeto de evaluación es la experiencia clasificada de esta forma.</w:t>
      </w:r>
    </w:p>
    <w:p w14:paraId="63523841" w14:textId="77777777" w:rsidR="004E0F28" w:rsidRPr="00DC5CAD" w:rsidRDefault="004E0F28" w:rsidP="008F0346">
      <w:pPr>
        <w:spacing w:line="276" w:lineRule="auto"/>
        <w:jc w:val="both"/>
        <w:rPr>
          <w:rFonts w:ascii="Arial" w:eastAsia="Calibri" w:hAnsi="Arial" w:cs="Arial"/>
          <w:sz w:val="22"/>
        </w:rPr>
      </w:pPr>
    </w:p>
    <w:p w14:paraId="64450448" w14:textId="32487FE3" w:rsidR="004E0F28" w:rsidRPr="00DC5CAD" w:rsidRDefault="007A50A9" w:rsidP="008F0346">
      <w:pPr>
        <w:spacing w:line="276" w:lineRule="auto"/>
        <w:jc w:val="both"/>
        <w:rPr>
          <w:rFonts w:ascii="Arial" w:eastAsia="Calibri" w:hAnsi="Arial" w:cs="Arial"/>
          <w:b/>
          <w:bCs/>
          <w:sz w:val="22"/>
        </w:rPr>
      </w:pPr>
      <w:r>
        <w:rPr>
          <w:rFonts w:ascii="Arial" w:eastAsia="Calibri" w:hAnsi="Arial" w:cs="Arial"/>
          <w:b/>
          <w:bCs/>
          <w:sz w:val="22"/>
        </w:rPr>
        <w:t>2.3.</w:t>
      </w:r>
      <w:r w:rsidR="004E0F28" w:rsidRPr="00DC5CAD">
        <w:rPr>
          <w:rFonts w:ascii="Arial" w:eastAsia="Calibri" w:hAnsi="Arial" w:cs="Arial"/>
          <w:b/>
          <w:bCs/>
          <w:sz w:val="22"/>
        </w:rPr>
        <w:t xml:space="preserve"> Consideraciones de </w:t>
      </w:r>
      <w:r>
        <w:rPr>
          <w:rFonts w:ascii="Arial" w:eastAsia="Calibri" w:hAnsi="Arial" w:cs="Arial"/>
          <w:b/>
          <w:bCs/>
          <w:sz w:val="22"/>
        </w:rPr>
        <w:t>la Agencia</w:t>
      </w:r>
      <w:r w:rsidR="004E0F28" w:rsidRPr="00DC5CAD">
        <w:rPr>
          <w:rFonts w:ascii="Arial" w:eastAsia="Calibri" w:hAnsi="Arial" w:cs="Arial"/>
          <w:b/>
          <w:bCs/>
          <w:sz w:val="22"/>
        </w:rPr>
        <w:t xml:space="preserve"> respecto de la experiencia</w:t>
      </w:r>
    </w:p>
    <w:p w14:paraId="46C222DC" w14:textId="77777777" w:rsidR="004E0F28" w:rsidRPr="00DC5CAD" w:rsidRDefault="004E0F28" w:rsidP="008F0346">
      <w:pPr>
        <w:spacing w:line="276" w:lineRule="auto"/>
        <w:jc w:val="both"/>
        <w:rPr>
          <w:rFonts w:ascii="Arial" w:eastAsia="Calibri" w:hAnsi="Arial" w:cs="Arial"/>
          <w:b/>
          <w:bCs/>
          <w:sz w:val="22"/>
        </w:rPr>
      </w:pPr>
    </w:p>
    <w:p w14:paraId="20C0308F" w14:textId="225EE475" w:rsidR="004E0F28" w:rsidRPr="00DC5CAD" w:rsidRDefault="004E0F28" w:rsidP="008F0346">
      <w:pPr>
        <w:spacing w:line="276" w:lineRule="auto"/>
        <w:jc w:val="both"/>
        <w:rPr>
          <w:rFonts w:ascii="Arial" w:eastAsia="Calibri" w:hAnsi="Arial" w:cs="Arial"/>
          <w:sz w:val="22"/>
        </w:rPr>
      </w:pPr>
      <w:r w:rsidRPr="00DC5CAD">
        <w:rPr>
          <w:rFonts w:ascii="Arial" w:eastAsia="Calibri" w:hAnsi="Arial" w:cs="Arial"/>
          <w:sz w:val="22"/>
        </w:rPr>
        <w:t xml:space="preserve">La Agencia Nacional de Contratación Pública - Colombia Compra Eficiente puso a disposición de los interesados del Sistema de Compra Pública el Manual para determinar y verificar requisitos habilitantes en los procesos de contratación, donde se establecen las definiciones de cada requisito habilitante y se dan lineamientos orientadores sobre lo que las entidades pueden hacer para establecerlos, en este caso, frente a la experiencia. Sobre el particular, para la experiencia, como requisito habilitante señalado en su consulta, el Manual se centra en una de sus cualidades y es que es personal, lo cual significa que quien tiene la experiencia </w:t>
      </w:r>
      <w:r w:rsidR="007A50A9">
        <w:rPr>
          <w:rFonts w:ascii="Arial" w:eastAsia="Calibri" w:hAnsi="Arial" w:cs="Arial"/>
          <w:sz w:val="22"/>
        </w:rPr>
        <w:t>lo hace en razón de</w:t>
      </w:r>
      <w:r w:rsidRPr="00DC5CAD">
        <w:rPr>
          <w:rFonts w:ascii="Arial" w:eastAsia="Calibri" w:hAnsi="Arial" w:cs="Arial"/>
          <w:sz w:val="22"/>
        </w:rPr>
        <w:t xml:space="preserve"> su participación, con anterioridad, en actividades que le permitieron conocer cómo ejecutar el objeto contractual, que la entidad pretende satisfacer ahora</w:t>
      </w:r>
      <w:r w:rsidRPr="00DC5CAD">
        <w:rPr>
          <w:rStyle w:val="Refdenotaalpie"/>
          <w:rFonts w:ascii="Arial" w:eastAsia="Calibri" w:hAnsi="Arial" w:cs="Arial"/>
          <w:sz w:val="22"/>
        </w:rPr>
        <w:footnoteReference w:id="11"/>
      </w:r>
      <w:r w:rsidRPr="00DC5CAD">
        <w:rPr>
          <w:rFonts w:ascii="Arial" w:eastAsia="Calibri" w:hAnsi="Arial" w:cs="Arial"/>
          <w:sz w:val="22"/>
        </w:rPr>
        <w:t>.</w:t>
      </w:r>
    </w:p>
    <w:p w14:paraId="72AEF87E" w14:textId="00929410" w:rsidR="004F4CD4" w:rsidRPr="00DC5CAD" w:rsidRDefault="004E0F28" w:rsidP="004E0F28">
      <w:pPr>
        <w:spacing w:before="120" w:after="120" w:line="276" w:lineRule="auto"/>
        <w:ind w:firstLine="708"/>
        <w:jc w:val="both"/>
        <w:rPr>
          <w:rFonts w:ascii="Arial" w:eastAsia="Calibri" w:hAnsi="Arial" w:cs="Arial"/>
          <w:sz w:val="22"/>
        </w:rPr>
      </w:pPr>
      <w:r w:rsidRPr="00DC5CAD">
        <w:rPr>
          <w:rFonts w:ascii="Arial" w:eastAsia="Calibri" w:hAnsi="Arial" w:cs="Arial"/>
          <w:sz w:val="22"/>
        </w:rPr>
        <w:t xml:space="preserve">Lo anterior es </w:t>
      </w:r>
      <w:r w:rsidR="004F4CD4" w:rsidRPr="00DC5CAD">
        <w:rPr>
          <w:rFonts w:ascii="Arial" w:eastAsia="Calibri" w:hAnsi="Arial" w:cs="Arial"/>
          <w:sz w:val="22"/>
        </w:rPr>
        <w:t>determinante,</w:t>
      </w:r>
      <w:r w:rsidRPr="00DC5CAD">
        <w:rPr>
          <w:rFonts w:ascii="Arial" w:eastAsia="Calibri" w:hAnsi="Arial" w:cs="Arial"/>
          <w:sz w:val="22"/>
        </w:rPr>
        <w:t xml:space="preserve"> porque no es posible tener experiencia si en la práctica no se ha</w:t>
      </w:r>
      <w:r w:rsidR="007A50A9">
        <w:rPr>
          <w:rFonts w:ascii="Arial" w:eastAsia="Calibri" w:hAnsi="Arial" w:cs="Arial"/>
          <w:sz w:val="22"/>
        </w:rPr>
        <w:t>n ejecutado actividades similares previas</w:t>
      </w:r>
      <w:r w:rsidRPr="00DC5CAD">
        <w:rPr>
          <w:rFonts w:ascii="Arial" w:eastAsia="Calibri" w:hAnsi="Arial" w:cs="Arial"/>
          <w:sz w:val="22"/>
        </w:rPr>
        <w:t xml:space="preserve">; y precisamente de la experiencia se deriva el conocimiento </w:t>
      </w:r>
      <w:r w:rsidR="004F4CD4" w:rsidRPr="00DC5CAD">
        <w:rPr>
          <w:rFonts w:ascii="Arial" w:eastAsia="Calibri" w:hAnsi="Arial" w:cs="Arial"/>
          <w:sz w:val="22"/>
        </w:rPr>
        <w:t>d</w:t>
      </w:r>
      <w:r w:rsidRPr="00DC5CAD">
        <w:rPr>
          <w:rFonts w:ascii="Arial" w:eastAsia="Calibri" w:hAnsi="Arial" w:cs="Arial"/>
          <w:sz w:val="22"/>
        </w:rPr>
        <w:t xml:space="preserve">el proponente, y para la contratación pública es importante, ya que garantiza que no </w:t>
      </w:r>
      <w:r w:rsidR="004F4CD4" w:rsidRPr="00DC5CAD">
        <w:rPr>
          <w:rFonts w:ascii="Arial" w:eastAsia="Calibri" w:hAnsi="Arial" w:cs="Arial"/>
          <w:sz w:val="22"/>
        </w:rPr>
        <w:t>habrá</w:t>
      </w:r>
      <w:r w:rsidRPr="00DC5CAD">
        <w:rPr>
          <w:rFonts w:ascii="Arial" w:eastAsia="Calibri" w:hAnsi="Arial" w:cs="Arial"/>
          <w:sz w:val="22"/>
        </w:rPr>
        <w:t xml:space="preserve"> improvisación </w:t>
      </w:r>
      <w:r w:rsidR="004F4CD4" w:rsidRPr="00DC5CAD">
        <w:rPr>
          <w:rFonts w:ascii="Arial" w:eastAsia="Calibri" w:hAnsi="Arial" w:cs="Arial"/>
          <w:sz w:val="22"/>
        </w:rPr>
        <w:t xml:space="preserve">ni </w:t>
      </w:r>
      <w:r w:rsidRPr="00DC5CAD">
        <w:rPr>
          <w:rFonts w:ascii="Arial" w:eastAsia="Calibri" w:hAnsi="Arial" w:cs="Arial"/>
          <w:sz w:val="22"/>
        </w:rPr>
        <w:t xml:space="preserve">mayores costos por errores o dificultades originadas en realizar una actividad por primera vez. Adicionalmente, el Manual </w:t>
      </w:r>
      <w:r w:rsidR="004F4CD4" w:rsidRPr="00DC5CAD">
        <w:rPr>
          <w:rFonts w:ascii="Arial" w:eastAsia="Calibri" w:hAnsi="Arial" w:cs="Arial"/>
          <w:sz w:val="22"/>
        </w:rPr>
        <w:t>explica</w:t>
      </w:r>
      <w:r w:rsidRPr="00DC5CAD">
        <w:rPr>
          <w:rFonts w:ascii="Arial" w:eastAsia="Calibri" w:hAnsi="Arial" w:cs="Arial"/>
          <w:sz w:val="22"/>
        </w:rPr>
        <w:t xml:space="preserve"> que la experiencia puede obten</w:t>
      </w:r>
      <w:r w:rsidR="004F4CD4" w:rsidRPr="00DC5CAD">
        <w:rPr>
          <w:rFonts w:ascii="Arial" w:eastAsia="Calibri" w:hAnsi="Arial" w:cs="Arial"/>
          <w:sz w:val="22"/>
        </w:rPr>
        <w:t>erse</w:t>
      </w:r>
      <w:r w:rsidRPr="00DC5CAD">
        <w:rPr>
          <w:rFonts w:ascii="Arial" w:eastAsia="Calibri" w:hAnsi="Arial" w:cs="Arial"/>
          <w:sz w:val="22"/>
        </w:rPr>
        <w:t xml:space="preserve"> directamente o por participar asociado con otra persona, como es el caso de los proponentes plurales, en </w:t>
      </w:r>
      <w:r w:rsidR="004F4CD4" w:rsidRPr="00DC5CAD">
        <w:rPr>
          <w:rFonts w:ascii="Arial" w:eastAsia="Calibri" w:hAnsi="Arial" w:cs="Arial"/>
          <w:sz w:val="22"/>
        </w:rPr>
        <w:t>cuyo evento l</w:t>
      </w:r>
      <w:r w:rsidRPr="00DC5CAD">
        <w:rPr>
          <w:rFonts w:ascii="Arial" w:eastAsia="Calibri" w:hAnsi="Arial" w:cs="Arial"/>
          <w:sz w:val="22"/>
        </w:rPr>
        <w:t xml:space="preserve">a experiencia no deja de ser personal sino que es proporcional a la participación como miembro de un consorcio o unión temporal, donde por </w:t>
      </w:r>
      <w:r w:rsidR="004F4CD4" w:rsidRPr="00DC5CAD">
        <w:rPr>
          <w:rFonts w:ascii="Arial" w:eastAsia="Calibri" w:hAnsi="Arial" w:cs="Arial"/>
          <w:sz w:val="22"/>
        </w:rPr>
        <w:t>tratarse de</w:t>
      </w:r>
      <w:r w:rsidRPr="00DC5CAD">
        <w:rPr>
          <w:rFonts w:ascii="Arial" w:eastAsia="Calibri" w:hAnsi="Arial" w:cs="Arial"/>
          <w:sz w:val="22"/>
        </w:rPr>
        <w:t xml:space="preserve"> esquemas asociativos la experiencia es compartida. Por otra parte, la Agencia recomienda que la experiencia que se solicite sea proporcional y no igual al objeto que se va a contratar, ya que esto puede limitar la participación de los proveedores por no haber ejecutado un objeto igual pero sí similar, que puede funcionar para las exigencias de la entidad ayudando a que exista pluralidad de oferentes. </w:t>
      </w:r>
    </w:p>
    <w:p w14:paraId="0813A13D" w14:textId="709DD987" w:rsidR="004E0F28" w:rsidRPr="00DC5CAD" w:rsidRDefault="004E0F28" w:rsidP="004E0F28">
      <w:pPr>
        <w:spacing w:before="120" w:after="120" w:line="276" w:lineRule="auto"/>
        <w:ind w:firstLine="708"/>
        <w:jc w:val="both"/>
        <w:rPr>
          <w:rFonts w:ascii="Arial" w:eastAsia="Calibri" w:hAnsi="Arial" w:cs="Arial"/>
          <w:sz w:val="22"/>
        </w:rPr>
      </w:pPr>
      <w:r w:rsidRPr="00DC5CAD">
        <w:rPr>
          <w:rFonts w:ascii="Arial" w:eastAsia="Calibri" w:hAnsi="Arial" w:cs="Arial"/>
          <w:sz w:val="22"/>
        </w:rPr>
        <w:t xml:space="preserve">Finalmente, se pueden extraer cuatro conclusiones relevantes para evaluar las figuras y reformas estatutarias de las sociedades comerciales, respecto de la experiencia: </w:t>
      </w:r>
    </w:p>
    <w:p w14:paraId="741D58FB" w14:textId="1A376596" w:rsidR="004E0F28" w:rsidRPr="00DC5CAD" w:rsidRDefault="004E0F28" w:rsidP="004E0F28">
      <w:pPr>
        <w:spacing w:before="120" w:after="120" w:line="276" w:lineRule="auto"/>
        <w:ind w:firstLine="708"/>
        <w:jc w:val="both"/>
        <w:rPr>
          <w:rFonts w:ascii="Arial" w:eastAsia="Calibri" w:hAnsi="Arial" w:cs="Arial"/>
          <w:sz w:val="22"/>
        </w:rPr>
      </w:pPr>
      <w:r w:rsidRPr="00DC5CAD">
        <w:rPr>
          <w:rFonts w:ascii="Arial" w:eastAsia="Calibri" w:hAnsi="Arial" w:cs="Arial"/>
          <w:sz w:val="22"/>
        </w:rPr>
        <w:t xml:space="preserve">i) La experiencia es personal, esto es, se adquiere participando, directa o indirectamente, sin que sea posible </w:t>
      </w:r>
      <w:r w:rsidR="004F4CD4" w:rsidRPr="00DC5CAD">
        <w:rPr>
          <w:rFonts w:ascii="Arial" w:eastAsia="Calibri" w:hAnsi="Arial" w:cs="Arial"/>
          <w:sz w:val="22"/>
        </w:rPr>
        <w:t>no</w:t>
      </w:r>
      <w:r w:rsidRPr="00DC5CAD">
        <w:rPr>
          <w:rFonts w:ascii="Arial" w:eastAsia="Calibri" w:hAnsi="Arial" w:cs="Arial"/>
          <w:sz w:val="22"/>
        </w:rPr>
        <w:t xml:space="preserve"> </w:t>
      </w:r>
      <w:r w:rsidR="004F4CD4" w:rsidRPr="00DC5CAD">
        <w:rPr>
          <w:rFonts w:ascii="Arial" w:eastAsia="Calibri" w:hAnsi="Arial" w:cs="Arial"/>
          <w:sz w:val="22"/>
        </w:rPr>
        <w:t>hacerlo</w:t>
      </w:r>
      <w:r w:rsidRPr="00DC5CAD">
        <w:rPr>
          <w:rFonts w:ascii="Arial" w:eastAsia="Calibri" w:hAnsi="Arial" w:cs="Arial"/>
          <w:sz w:val="22"/>
        </w:rPr>
        <w:t xml:space="preserve"> y tener experiencia.</w:t>
      </w:r>
    </w:p>
    <w:p w14:paraId="24EB7B63" w14:textId="15992374" w:rsidR="004E0F28" w:rsidRPr="00DC5CAD" w:rsidRDefault="004E0F28" w:rsidP="004E0F28">
      <w:pPr>
        <w:spacing w:before="120" w:after="120" w:line="276" w:lineRule="auto"/>
        <w:ind w:firstLine="708"/>
        <w:jc w:val="both"/>
        <w:rPr>
          <w:rFonts w:ascii="Arial" w:eastAsia="Calibri" w:hAnsi="Arial" w:cs="Arial"/>
          <w:sz w:val="22"/>
        </w:rPr>
      </w:pPr>
      <w:proofErr w:type="spellStart"/>
      <w:r w:rsidRPr="00DC5CAD">
        <w:rPr>
          <w:rFonts w:ascii="Arial" w:eastAsia="Calibri" w:hAnsi="Arial" w:cs="Arial"/>
          <w:sz w:val="22"/>
        </w:rPr>
        <w:t>ii</w:t>
      </w:r>
      <w:proofErr w:type="spellEnd"/>
      <w:r w:rsidRPr="00DC5CAD">
        <w:rPr>
          <w:rFonts w:ascii="Arial" w:eastAsia="Calibri" w:hAnsi="Arial" w:cs="Arial"/>
          <w:sz w:val="22"/>
        </w:rPr>
        <w:t>) La experiencia se puede compartir, sin que implique que la compartid</w:t>
      </w:r>
      <w:r w:rsidR="004F4CD4" w:rsidRPr="00DC5CAD">
        <w:rPr>
          <w:rFonts w:ascii="Arial" w:eastAsia="Calibri" w:hAnsi="Arial" w:cs="Arial"/>
          <w:sz w:val="22"/>
        </w:rPr>
        <w:t>a</w:t>
      </w:r>
      <w:r w:rsidRPr="00DC5CAD">
        <w:rPr>
          <w:rFonts w:ascii="Arial" w:eastAsia="Calibri" w:hAnsi="Arial" w:cs="Arial"/>
          <w:sz w:val="22"/>
        </w:rPr>
        <w:t xml:space="preserve"> a una persona se entienda suya, ya que dentro del procedimiento contractual se reflejará que esa persona tiene la experiencia de otra, como </w:t>
      </w:r>
      <w:r w:rsidR="00384698" w:rsidRPr="00DC5CAD">
        <w:rPr>
          <w:rFonts w:ascii="Arial" w:eastAsia="Calibri" w:hAnsi="Arial" w:cs="Arial"/>
          <w:sz w:val="22"/>
        </w:rPr>
        <w:t>e</w:t>
      </w:r>
      <w:r w:rsidRPr="00DC5CAD">
        <w:rPr>
          <w:rFonts w:ascii="Arial" w:eastAsia="Calibri" w:hAnsi="Arial" w:cs="Arial"/>
          <w:sz w:val="22"/>
        </w:rPr>
        <w:t>s el caso de las figuras asociativas  ̶ consorcios y uniones temporales ̶  que se verificará en el documento privado de constitución</w:t>
      </w:r>
      <w:r w:rsidR="00384698" w:rsidRPr="00DC5CAD">
        <w:rPr>
          <w:rStyle w:val="Refdenotaalpie"/>
          <w:rFonts w:ascii="Arial" w:eastAsia="Calibri" w:hAnsi="Arial" w:cs="Arial"/>
          <w:sz w:val="22"/>
        </w:rPr>
        <w:footnoteReference w:id="12"/>
      </w:r>
      <w:r w:rsidRPr="00DC5CAD">
        <w:rPr>
          <w:rFonts w:ascii="Arial" w:eastAsia="Calibri" w:hAnsi="Arial" w:cs="Arial"/>
          <w:sz w:val="22"/>
        </w:rPr>
        <w:t>.</w:t>
      </w:r>
    </w:p>
    <w:p w14:paraId="78E95582" w14:textId="1246DC51" w:rsidR="004E0F28" w:rsidRPr="00DC5CAD" w:rsidRDefault="004E0F28" w:rsidP="004E0F28">
      <w:pPr>
        <w:spacing w:before="120" w:after="120" w:line="276" w:lineRule="auto"/>
        <w:ind w:firstLine="708"/>
        <w:jc w:val="both"/>
        <w:rPr>
          <w:rFonts w:ascii="Arial" w:eastAsia="Calibri" w:hAnsi="Arial" w:cs="Arial"/>
          <w:sz w:val="22"/>
        </w:rPr>
      </w:pPr>
      <w:proofErr w:type="spellStart"/>
      <w:r w:rsidRPr="00DC5CAD">
        <w:rPr>
          <w:rFonts w:ascii="Arial" w:eastAsia="Calibri" w:hAnsi="Arial" w:cs="Arial"/>
          <w:sz w:val="22"/>
        </w:rPr>
        <w:t>iii</w:t>
      </w:r>
      <w:proofErr w:type="spellEnd"/>
      <w:r w:rsidRPr="00DC5CAD">
        <w:rPr>
          <w:rFonts w:ascii="Arial" w:eastAsia="Calibri" w:hAnsi="Arial" w:cs="Arial"/>
          <w:sz w:val="22"/>
        </w:rPr>
        <w:t>) La experiencia se puede transferir, y es</w:t>
      </w:r>
      <w:r w:rsidR="005B5BB0" w:rsidRPr="00DC5CAD">
        <w:rPr>
          <w:rFonts w:ascii="Arial" w:eastAsia="Calibri" w:hAnsi="Arial" w:cs="Arial"/>
          <w:sz w:val="22"/>
        </w:rPr>
        <w:t>to es</w:t>
      </w:r>
      <w:r w:rsidRPr="00DC5CAD">
        <w:rPr>
          <w:rFonts w:ascii="Arial" w:eastAsia="Calibri" w:hAnsi="Arial" w:cs="Arial"/>
          <w:sz w:val="22"/>
        </w:rPr>
        <w:t xml:space="preserve"> diferente a compartir, </w:t>
      </w:r>
      <w:r w:rsidR="002506CF" w:rsidRPr="00DC5CAD">
        <w:rPr>
          <w:rFonts w:ascii="Arial" w:eastAsia="Calibri" w:hAnsi="Arial" w:cs="Arial"/>
          <w:sz w:val="22"/>
        </w:rPr>
        <w:t xml:space="preserve">lo </w:t>
      </w:r>
      <w:r w:rsidRPr="00DC5CAD">
        <w:rPr>
          <w:rFonts w:ascii="Arial" w:eastAsia="Calibri" w:hAnsi="Arial" w:cs="Arial"/>
          <w:sz w:val="22"/>
        </w:rPr>
        <w:t xml:space="preserve">que implica que la experiencia de una persona se traslada a otra, y esta última acredita </w:t>
      </w:r>
      <w:r w:rsidR="002506CF" w:rsidRPr="00DC5CAD">
        <w:rPr>
          <w:rFonts w:ascii="Arial" w:eastAsia="Calibri" w:hAnsi="Arial" w:cs="Arial"/>
          <w:sz w:val="22"/>
        </w:rPr>
        <w:t>la</w:t>
      </w:r>
      <w:r w:rsidRPr="00DC5CAD">
        <w:rPr>
          <w:rFonts w:ascii="Arial" w:eastAsia="Calibri" w:hAnsi="Arial" w:cs="Arial"/>
          <w:sz w:val="22"/>
        </w:rPr>
        <w:t xml:space="preserve"> experiencia como propia, </w:t>
      </w:r>
      <w:r w:rsidR="002506CF" w:rsidRPr="00DC5CAD">
        <w:rPr>
          <w:rFonts w:ascii="Arial" w:eastAsia="Calibri" w:hAnsi="Arial" w:cs="Arial"/>
          <w:sz w:val="22"/>
        </w:rPr>
        <w:t>como sucede con</w:t>
      </w:r>
      <w:r w:rsidRPr="00DC5CAD">
        <w:rPr>
          <w:rFonts w:ascii="Arial" w:eastAsia="Calibri" w:hAnsi="Arial" w:cs="Arial"/>
          <w:sz w:val="22"/>
        </w:rPr>
        <w:t xml:space="preserve"> algunas figuras y reformas estatutarias, </w:t>
      </w:r>
      <w:r w:rsidR="002506CF" w:rsidRPr="00DC5CAD">
        <w:rPr>
          <w:rFonts w:ascii="Arial" w:eastAsia="Calibri" w:hAnsi="Arial" w:cs="Arial"/>
          <w:sz w:val="22"/>
        </w:rPr>
        <w:t>que se</w:t>
      </w:r>
      <w:r w:rsidRPr="00DC5CAD">
        <w:rPr>
          <w:rFonts w:ascii="Arial" w:eastAsia="Calibri" w:hAnsi="Arial" w:cs="Arial"/>
          <w:sz w:val="22"/>
        </w:rPr>
        <w:t xml:space="preserve"> explicará</w:t>
      </w:r>
      <w:r w:rsidR="002506CF" w:rsidRPr="00DC5CAD">
        <w:rPr>
          <w:rFonts w:ascii="Arial" w:eastAsia="Calibri" w:hAnsi="Arial" w:cs="Arial"/>
          <w:sz w:val="22"/>
        </w:rPr>
        <w:t>n</w:t>
      </w:r>
      <w:r w:rsidRPr="00DC5CAD">
        <w:rPr>
          <w:rFonts w:ascii="Arial" w:eastAsia="Calibri" w:hAnsi="Arial" w:cs="Arial"/>
          <w:sz w:val="22"/>
        </w:rPr>
        <w:t xml:space="preserve"> </w:t>
      </w:r>
      <w:r w:rsidR="002506CF" w:rsidRPr="00DC5CAD">
        <w:rPr>
          <w:rFonts w:ascii="Arial" w:eastAsia="Calibri" w:hAnsi="Arial" w:cs="Arial"/>
          <w:sz w:val="22"/>
        </w:rPr>
        <w:t xml:space="preserve">con más </w:t>
      </w:r>
      <w:r w:rsidRPr="00DC5CAD">
        <w:rPr>
          <w:rFonts w:ascii="Arial" w:eastAsia="Calibri" w:hAnsi="Arial" w:cs="Arial"/>
          <w:sz w:val="22"/>
        </w:rPr>
        <w:t>detalle en el numeral 2.</w:t>
      </w:r>
      <w:r w:rsidR="007A50A9">
        <w:rPr>
          <w:rFonts w:ascii="Arial" w:eastAsia="Calibri" w:hAnsi="Arial" w:cs="Arial"/>
          <w:sz w:val="22"/>
        </w:rPr>
        <w:t>4</w:t>
      </w:r>
      <w:r w:rsidRPr="00DC5CAD">
        <w:rPr>
          <w:rFonts w:ascii="Arial" w:eastAsia="Calibri" w:hAnsi="Arial" w:cs="Arial"/>
          <w:sz w:val="22"/>
        </w:rPr>
        <w:t xml:space="preserve"> de este </w:t>
      </w:r>
      <w:r w:rsidR="002506CF" w:rsidRPr="00DC5CAD">
        <w:rPr>
          <w:rFonts w:ascii="Arial" w:eastAsia="Calibri" w:hAnsi="Arial" w:cs="Arial"/>
          <w:sz w:val="22"/>
        </w:rPr>
        <w:t>concepto</w:t>
      </w:r>
      <w:r w:rsidRPr="00DC5CAD">
        <w:rPr>
          <w:rFonts w:ascii="Arial" w:eastAsia="Calibri" w:hAnsi="Arial" w:cs="Arial"/>
          <w:sz w:val="22"/>
        </w:rPr>
        <w:t>.</w:t>
      </w:r>
    </w:p>
    <w:p w14:paraId="2A82668C" w14:textId="48FE5746" w:rsidR="004E0F28" w:rsidRPr="00DC5CAD" w:rsidRDefault="004E0F28" w:rsidP="001D1F8F">
      <w:pPr>
        <w:spacing w:line="276" w:lineRule="auto"/>
        <w:ind w:firstLine="708"/>
        <w:jc w:val="both"/>
        <w:rPr>
          <w:rFonts w:ascii="Arial" w:eastAsia="Calibri" w:hAnsi="Arial" w:cs="Arial"/>
          <w:sz w:val="22"/>
        </w:rPr>
      </w:pPr>
      <w:proofErr w:type="spellStart"/>
      <w:r w:rsidRPr="00DC5CAD">
        <w:rPr>
          <w:rFonts w:ascii="Arial" w:eastAsia="Calibri" w:hAnsi="Arial" w:cs="Arial"/>
          <w:sz w:val="22"/>
        </w:rPr>
        <w:t>iv</w:t>
      </w:r>
      <w:proofErr w:type="spellEnd"/>
      <w:r w:rsidRPr="00DC5CAD">
        <w:rPr>
          <w:rFonts w:ascii="Arial" w:eastAsia="Calibri" w:hAnsi="Arial" w:cs="Arial"/>
          <w:sz w:val="22"/>
        </w:rPr>
        <w:t>) Cuando la persona que adquirió la experiencia desaparece o se liquida no es posible que comparta o transfiera su experiencia, porque al ser personal sigue la suerte de quien la adquirió.</w:t>
      </w:r>
    </w:p>
    <w:p w14:paraId="67A4C852" w14:textId="77777777" w:rsidR="004E0F28" w:rsidRPr="00DC5CAD" w:rsidRDefault="004E0F28" w:rsidP="001D1F8F">
      <w:pPr>
        <w:spacing w:line="276" w:lineRule="auto"/>
        <w:jc w:val="both"/>
        <w:rPr>
          <w:rFonts w:ascii="Arial" w:eastAsia="Calibri" w:hAnsi="Arial" w:cs="Arial"/>
          <w:sz w:val="22"/>
        </w:rPr>
      </w:pPr>
    </w:p>
    <w:p w14:paraId="37A5EC39" w14:textId="437ED33D" w:rsidR="004E0F28" w:rsidRPr="00DC5CAD" w:rsidRDefault="004E0F28" w:rsidP="001D1F8F">
      <w:pPr>
        <w:spacing w:line="276" w:lineRule="auto"/>
        <w:jc w:val="both"/>
        <w:rPr>
          <w:rFonts w:ascii="Arial" w:eastAsia="Calibri" w:hAnsi="Arial" w:cs="Arial"/>
          <w:b/>
          <w:sz w:val="22"/>
        </w:rPr>
      </w:pPr>
      <w:r w:rsidRPr="00DC5CAD">
        <w:rPr>
          <w:rFonts w:ascii="Arial" w:eastAsia="Calibri" w:hAnsi="Arial" w:cs="Arial"/>
          <w:b/>
          <w:sz w:val="22"/>
        </w:rPr>
        <w:t>2.</w:t>
      </w:r>
      <w:r w:rsidR="007A50A9">
        <w:rPr>
          <w:rFonts w:ascii="Arial" w:eastAsia="Calibri" w:hAnsi="Arial" w:cs="Arial"/>
          <w:b/>
          <w:sz w:val="22"/>
        </w:rPr>
        <w:t>4</w:t>
      </w:r>
      <w:r w:rsidRPr="00DC5CAD">
        <w:rPr>
          <w:rFonts w:ascii="Arial" w:eastAsia="Calibri" w:hAnsi="Arial" w:cs="Arial"/>
          <w:b/>
          <w:sz w:val="22"/>
        </w:rPr>
        <w:t xml:space="preserve"> Figuras y reformas estatutarias, y efectos sobre la experiencia de las sociedades comerciales</w:t>
      </w:r>
    </w:p>
    <w:p w14:paraId="736418E7" w14:textId="77777777" w:rsidR="004E0F28" w:rsidRPr="00DC5CAD" w:rsidRDefault="004E0F28" w:rsidP="001D1F8F">
      <w:pPr>
        <w:spacing w:line="276" w:lineRule="auto"/>
        <w:jc w:val="both"/>
        <w:rPr>
          <w:rFonts w:ascii="Arial" w:eastAsia="Calibri" w:hAnsi="Arial" w:cs="Arial"/>
          <w:b/>
          <w:sz w:val="22"/>
        </w:rPr>
      </w:pPr>
    </w:p>
    <w:p w14:paraId="602EC373" w14:textId="77777777" w:rsidR="003B791C" w:rsidRPr="00DC5CAD" w:rsidRDefault="004E0F28" w:rsidP="006451EE">
      <w:pPr>
        <w:spacing w:after="120" w:line="276" w:lineRule="auto"/>
        <w:jc w:val="both"/>
        <w:rPr>
          <w:rFonts w:ascii="Arial" w:eastAsia="Calibri" w:hAnsi="Arial" w:cs="Arial"/>
          <w:bCs/>
          <w:sz w:val="22"/>
        </w:rPr>
      </w:pPr>
      <w:r w:rsidRPr="00DC5CAD">
        <w:rPr>
          <w:rFonts w:ascii="Arial" w:eastAsia="Calibri" w:hAnsi="Arial" w:cs="Arial"/>
          <w:bCs/>
          <w:sz w:val="22"/>
        </w:rPr>
        <w:t xml:space="preserve">Antes de </w:t>
      </w:r>
      <w:r w:rsidR="003B791C" w:rsidRPr="00DC5CAD">
        <w:rPr>
          <w:rFonts w:ascii="Arial" w:eastAsia="Calibri" w:hAnsi="Arial" w:cs="Arial"/>
          <w:bCs/>
          <w:sz w:val="22"/>
        </w:rPr>
        <w:t>analizar</w:t>
      </w:r>
      <w:r w:rsidRPr="00DC5CAD">
        <w:rPr>
          <w:rFonts w:ascii="Arial" w:eastAsia="Calibri" w:hAnsi="Arial" w:cs="Arial"/>
          <w:bCs/>
          <w:sz w:val="22"/>
        </w:rPr>
        <w:t xml:space="preserve"> las figuras y reformas estatutarias, es necesario aclarar dos conceptos respecto de las sociedades comerciales: i) </w:t>
      </w:r>
      <w:r w:rsidR="004E58D5" w:rsidRPr="00DC5CAD">
        <w:rPr>
          <w:rFonts w:ascii="Arial" w:eastAsia="Calibri" w:hAnsi="Arial" w:cs="Arial"/>
          <w:bCs/>
          <w:sz w:val="22"/>
        </w:rPr>
        <w:t>«</w:t>
      </w:r>
      <w:r w:rsidRPr="00DC5CAD">
        <w:rPr>
          <w:rFonts w:ascii="Arial" w:eastAsia="Calibri" w:hAnsi="Arial" w:cs="Arial"/>
          <w:bCs/>
          <w:sz w:val="22"/>
        </w:rPr>
        <w:t>disolución</w:t>
      </w:r>
      <w:r w:rsidR="004E58D5" w:rsidRPr="00DC5CAD">
        <w:rPr>
          <w:rFonts w:ascii="Arial" w:eastAsia="Calibri" w:hAnsi="Arial" w:cs="Arial"/>
          <w:bCs/>
          <w:sz w:val="22"/>
        </w:rPr>
        <w:t>»</w:t>
      </w:r>
      <w:r w:rsidRPr="00DC5CAD">
        <w:rPr>
          <w:rFonts w:ascii="Arial" w:eastAsia="Calibri" w:hAnsi="Arial" w:cs="Arial"/>
          <w:bCs/>
          <w:sz w:val="22"/>
        </w:rPr>
        <w:t xml:space="preserve"> y </w:t>
      </w:r>
      <w:proofErr w:type="spellStart"/>
      <w:r w:rsidRPr="00DC5CAD">
        <w:rPr>
          <w:rFonts w:ascii="Arial" w:eastAsia="Calibri" w:hAnsi="Arial" w:cs="Arial"/>
          <w:bCs/>
          <w:sz w:val="22"/>
        </w:rPr>
        <w:t>ii</w:t>
      </w:r>
      <w:proofErr w:type="spellEnd"/>
      <w:r w:rsidRPr="00DC5CAD">
        <w:rPr>
          <w:rFonts w:ascii="Arial" w:eastAsia="Calibri" w:hAnsi="Arial" w:cs="Arial"/>
          <w:bCs/>
          <w:sz w:val="22"/>
        </w:rPr>
        <w:t xml:space="preserve">) </w:t>
      </w:r>
      <w:r w:rsidR="004E58D5" w:rsidRPr="00DC5CAD">
        <w:rPr>
          <w:rFonts w:ascii="Arial" w:eastAsia="Calibri" w:hAnsi="Arial" w:cs="Arial"/>
          <w:bCs/>
          <w:sz w:val="22"/>
        </w:rPr>
        <w:t>«</w:t>
      </w:r>
      <w:r w:rsidRPr="00DC5CAD">
        <w:rPr>
          <w:rFonts w:ascii="Arial" w:eastAsia="Calibri" w:hAnsi="Arial" w:cs="Arial"/>
          <w:bCs/>
          <w:sz w:val="22"/>
        </w:rPr>
        <w:t>liquidación</w:t>
      </w:r>
      <w:r w:rsidR="004E58D5" w:rsidRPr="00DC5CAD">
        <w:rPr>
          <w:rFonts w:ascii="Arial" w:eastAsia="Calibri" w:hAnsi="Arial" w:cs="Arial"/>
          <w:bCs/>
          <w:sz w:val="22"/>
        </w:rPr>
        <w:t>»</w:t>
      </w:r>
      <w:r w:rsidRPr="00DC5CAD">
        <w:rPr>
          <w:rFonts w:ascii="Arial" w:eastAsia="Calibri" w:hAnsi="Arial" w:cs="Arial"/>
          <w:bCs/>
          <w:sz w:val="22"/>
        </w:rPr>
        <w:t xml:space="preserve">, ya que se aplican a las figuras y reformas estatutarias, y tienen incidencia en la posibilidad de transferir o no la experiencia de una sociedad. </w:t>
      </w:r>
    </w:p>
    <w:p w14:paraId="621C39B8" w14:textId="7D0D026B" w:rsidR="004E0F28" w:rsidRPr="00DC5CAD" w:rsidRDefault="004E0F28" w:rsidP="003B791C">
      <w:pPr>
        <w:spacing w:line="276" w:lineRule="auto"/>
        <w:ind w:firstLine="708"/>
        <w:jc w:val="both"/>
        <w:rPr>
          <w:rFonts w:ascii="Arial" w:eastAsia="Calibri" w:hAnsi="Arial" w:cs="Arial"/>
          <w:bCs/>
          <w:sz w:val="22"/>
        </w:rPr>
      </w:pPr>
      <w:r w:rsidRPr="00DC5CAD">
        <w:rPr>
          <w:rFonts w:ascii="Arial" w:eastAsia="Calibri" w:hAnsi="Arial" w:cs="Arial"/>
          <w:bCs/>
          <w:sz w:val="22"/>
        </w:rPr>
        <w:t>En primer lugar, el Código de Comercio señala</w:t>
      </w:r>
      <w:r w:rsidR="003B791C" w:rsidRPr="00DC5CAD">
        <w:rPr>
          <w:rFonts w:ascii="Arial" w:eastAsia="Calibri" w:hAnsi="Arial" w:cs="Arial"/>
          <w:bCs/>
          <w:sz w:val="22"/>
        </w:rPr>
        <w:t>,</w:t>
      </w:r>
      <w:r w:rsidRPr="00DC5CAD">
        <w:rPr>
          <w:rFonts w:ascii="Arial" w:eastAsia="Calibri" w:hAnsi="Arial" w:cs="Arial"/>
          <w:bCs/>
          <w:sz w:val="22"/>
        </w:rPr>
        <w:t xml:space="preserve"> como efecto de la </w:t>
      </w:r>
      <w:r w:rsidR="004E58D5" w:rsidRPr="00DC5CAD">
        <w:rPr>
          <w:rFonts w:ascii="Arial" w:eastAsia="Calibri" w:hAnsi="Arial" w:cs="Arial"/>
          <w:bCs/>
          <w:sz w:val="22"/>
        </w:rPr>
        <w:t>«</w:t>
      </w:r>
      <w:r w:rsidRPr="00DC5CAD">
        <w:rPr>
          <w:rFonts w:ascii="Arial" w:eastAsia="Calibri" w:hAnsi="Arial" w:cs="Arial"/>
          <w:bCs/>
          <w:sz w:val="22"/>
        </w:rPr>
        <w:t>disolución</w:t>
      </w:r>
      <w:r w:rsidR="004E58D5" w:rsidRPr="00DC5CAD">
        <w:rPr>
          <w:rFonts w:ascii="Arial" w:eastAsia="Calibri" w:hAnsi="Arial" w:cs="Arial"/>
          <w:bCs/>
          <w:sz w:val="22"/>
        </w:rPr>
        <w:t>»</w:t>
      </w:r>
      <w:r w:rsidRPr="00DC5CAD">
        <w:rPr>
          <w:rFonts w:ascii="Arial" w:eastAsia="Calibri" w:hAnsi="Arial" w:cs="Arial"/>
          <w:bCs/>
          <w:sz w:val="22"/>
        </w:rPr>
        <w:t xml:space="preserve">, que la persona jurídica no desaparece sino que conserva su capacidad jurídica, únicamente para </w:t>
      </w:r>
      <w:r w:rsidR="004E58D5" w:rsidRPr="00DC5CAD">
        <w:rPr>
          <w:rFonts w:ascii="Arial" w:eastAsia="Calibri" w:hAnsi="Arial" w:cs="Arial"/>
          <w:bCs/>
          <w:sz w:val="22"/>
        </w:rPr>
        <w:t>«</w:t>
      </w:r>
      <w:r w:rsidRPr="00DC5CAD">
        <w:rPr>
          <w:rFonts w:ascii="Arial" w:eastAsia="Calibri" w:hAnsi="Arial" w:cs="Arial"/>
          <w:bCs/>
          <w:sz w:val="22"/>
        </w:rPr>
        <w:t>liquidarse</w:t>
      </w:r>
      <w:r w:rsidR="004E58D5" w:rsidRPr="00DC5CAD">
        <w:rPr>
          <w:rFonts w:ascii="Arial" w:eastAsia="Calibri" w:hAnsi="Arial" w:cs="Arial"/>
          <w:bCs/>
          <w:sz w:val="22"/>
        </w:rPr>
        <w:t>»</w:t>
      </w:r>
      <w:r w:rsidRPr="00DC5CAD">
        <w:rPr>
          <w:rFonts w:ascii="Arial" w:eastAsia="Calibri" w:hAnsi="Arial" w:cs="Arial"/>
          <w:bCs/>
          <w:sz w:val="22"/>
        </w:rPr>
        <w:t xml:space="preserve"> y para las operaciones o actos autorizados por la ley</w:t>
      </w:r>
      <w:r w:rsidRPr="00DC5CAD">
        <w:rPr>
          <w:rStyle w:val="Refdenotaalpie"/>
          <w:rFonts w:ascii="Arial" w:eastAsia="Calibri" w:hAnsi="Arial" w:cs="Arial"/>
          <w:bCs/>
          <w:sz w:val="22"/>
        </w:rPr>
        <w:footnoteReference w:id="13"/>
      </w:r>
      <w:r w:rsidRPr="00DC5CAD">
        <w:rPr>
          <w:rFonts w:ascii="Arial" w:eastAsia="Calibri" w:hAnsi="Arial" w:cs="Arial"/>
          <w:bCs/>
          <w:sz w:val="22"/>
        </w:rPr>
        <w:t xml:space="preserve">, como las figuras y reformas estatutarias que se verán a continuación. Con esto se anticipa que si la persona jurídica no desaparece, su experiencia se conserva y puede transferirse o compartirse. Por el contrario, respecto de la </w:t>
      </w:r>
      <w:r w:rsidR="004E58D5" w:rsidRPr="00DC5CAD">
        <w:rPr>
          <w:rFonts w:ascii="Arial" w:eastAsia="Calibri" w:hAnsi="Arial" w:cs="Arial"/>
          <w:bCs/>
          <w:sz w:val="22"/>
        </w:rPr>
        <w:t>«l</w:t>
      </w:r>
      <w:r w:rsidRPr="00DC5CAD">
        <w:rPr>
          <w:rFonts w:ascii="Arial" w:eastAsia="Calibri" w:hAnsi="Arial" w:cs="Arial"/>
          <w:bCs/>
          <w:sz w:val="22"/>
        </w:rPr>
        <w:t>iquidación</w:t>
      </w:r>
      <w:r w:rsidR="004E58D5" w:rsidRPr="00DC5CAD">
        <w:rPr>
          <w:rFonts w:ascii="Arial" w:eastAsia="Calibri" w:hAnsi="Arial" w:cs="Arial"/>
          <w:bCs/>
          <w:sz w:val="22"/>
        </w:rPr>
        <w:t>»</w:t>
      </w:r>
      <w:r w:rsidRPr="00DC5CAD">
        <w:rPr>
          <w:rFonts w:ascii="Arial" w:eastAsia="Calibri" w:hAnsi="Arial" w:cs="Arial"/>
          <w:bCs/>
          <w:sz w:val="22"/>
        </w:rPr>
        <w:t xml:space="preserve"> de las sociedades comerciales, el Código de Comercio señala el procedimiento para realizar el inventario y distribución del patrimonio social, de lo cual se infiere que termina la persona jurídica</w:t>
      </w:r>
      <w:r w:rsidRPr="00DC5CAD">
        <w:rPr>
          <w:rStyle w:val="Refdenotaalpie"/>
          <w:rFonts w:ascii="Arial" w:eastAsia="Calibri" w:hAnsi="Arial" w:cs="Arial"/>
          <w:bCs/>
          <w:sz w:val="22"/>
        </w:rPr>
        <w:footnoteReference w:id="14"/>
      </w:r>
      <w:r w:rsidRPr="00DC5CAD">
        <w:rPr>
          <w:rFonts w:ascii="Arial" w:eastAsia="Calibri" w:hAnsi="Arial" w:cs="Arial"/>
          <w:bCs/>
          <w:sz w:val="22"/>
        </w:rPr>
        <w:t>, y la experiencia desaparece junto con la sociedad que la adquirió.</w:t>
      </w:r>
    </w:p>
    <w:p w14:paraId="6FDF45F2" w14:textId="77777777" w:rsidR="004E0F28" w:rsidRPr="00DC5CAD" w:rsidRDefault="004E0F28" w:rsidP="001D1F8F">
      <w:pPr>
        <w:spacing w:line="276" w:lineRule="auto"/>
        <w:jc w:val="both"/>
        <w:rPr>
          <w:rFonts w:ascii="Arial" w:eastAsia="Calibri" w:hAnsi="Arial" w:cs="Arial"/>
          <w:sz w:val="22"/>
        </w:rPr>
      </w:pPr>
    </w:p>
    <w:p w14:paraId="638B49A7" w14:textId="77777777" w:rsidR="004E0F28" w:rsidRPr="00DC5CAD" w:rsidRDefault="004E0F28" w:rsidP="001D1F8F">
      <w:pPr>
        <w:spacing w:line="276" w:lineRule="auto"/>
        <w:jc w:val="both"/>
        <w:rPr>
          <w:rFonts w:ascii="Arial" w:eastAsia="Calibri" w:hAnsi="Arial" w:cs="Arial"/>
          <w:b/>
          <w:bCs/>
          <w:sz w:val="22"/>
        </w:rPr>
      </w:pPr>
      <w:r w:rsidRPr="00DC5CAD">
        <w:rPr>
          <w:rFonts w:ascii="Arial" w:eastAsia="Calibri" w:hAnsi="Arial" w:cs="Arial"/>
          <w:b/>
          <w:bCs/>
          <w:sz w:val="22"/>
        </w:rPr>
        <w:t>a) Transformación</w:t>
      </w:r>
    </w:p>
    <w:p w14:paraId="71956581" w14:textId="77777777" w:rsidR="004E0F28" w:rsidRPr="00DC5CAD" w:rsidRDefault="004E0F28" w:rsidP="001D1F8F">
      <w:pPr>
        <w:spacing w:line="276" w:lineRule="auto"/>
        <w:jc w:val="both"/>
        <w:rPr>
          <w:rFonts w:ascii="Arial" w:eastAsia="Calibri" w:hAnsi="Arial" w:cs="Arial"/>
          <w:b/>
          <w:bCs/>
          <w:sz w:val="22"/>
        </w:rPr>
      </w:pPr>
    </w:p>
    <w:p w14:paraId="0B63FDE7" w14:textId="635E7F79" w:rsidR="004E0F28" w:rsidRPr="00DC5CAD" w:rsidRDefault="004E0F28" w:rsidP="004E58D5">
      <w:pPr>
        <w:spacing w:after="120" w:line="276" w:lineRule="auto"/>
        <w:jc w:val="both"/>
        <w:rPr>
          <w:rFonts w:ascii="Arial" w:eastAsia="Calibri" w:hAnsi="Arial" w:cs="Arial"/>
          <w:sz w:val="22"/>
        </w:rPr>
      </w:pPr>
      <w:r w:rsidRPr="00DC5CAD">
        <w:rPr>
          <w:rFonts w:ascii="Arial" w:eastAsia="Calibri" w:hAnsi="Arial" w:cs="Arial"/>
          <w:sz w:val="22"/>
        </w:rPr>
        <w:t xml:space="preserve">Es una reforma a los estatutos de una sociedad comercial, en </w:t>
      </w:r>
      <w:r w:rsidR="003B791C" w:rsidRPr="00DC5CAD">
        <w:rPr>
          <w:rFonts w:ascii="Arial" w:eastAsia="Calibri" w:hAnsi="Arial" w:cs="Arial"/>
          <w:sz w:val="22"/>
        </w:rPr>
        <w:t>la</w:t>
      </w:r>
      <w:r w:rsidRPr="00DC5CAD">
        <w:rPr>
          <w:rFonts w:ascii="Arial" w:eastAsia="Calibri" w:hAnsi="Arial" w:cs="Arial"/>
          <w:sz w:val="22"/>
        </w:rPr>
        <w:t xml:space="preserve"> cual se detalla la naturaleza jurídica, composición, estructura, capital, entre otros</w:t>
      </w:r>
      <w:r w:rsidR="003B791C" w:rsidRPr="00DC5CAD">
        <w:rPr>
          <w:rFonts w:ascii="Arial" w:eastAsia="Calibri" w:hAnsi="Arial" w:cs="Arial"/>
          <w:sz w:val="22"/>
        </w:rPr>
        <w:t>,</w:t>
      </w:r>
      <w:r w:rsidRPr="00DC5CAD">
        <w:rPr>
          <w:rFonts w:ascii="Arial" w:eastAsia="Calibri" w:hAnsi="Arial" w:cs="Arial"/>
          <w:sz w:val="22"/>
        </w:rPr>
        <w:t xml:space="preserve"> con el </w:t>
      </w:r>
      <w:r w:rsidR="003B791C" w:rsidRPr="00DC5CAD">
        <w:rPr>
          <w:rFonts w:ascii="Arial" w:eastAsia="Calibri" w:hAnsi="Arial" w:cs="Arial"/>
          <w:sz w:val="22"/>
        </w:rPr>
        <w:t>propósito</w:t>
      </w:r>
      <w:r w:rsidRPr="00DC5CAD">
        <w:rPr>
          <w:rFonts w:ascii="Arial" w:eastAsia="Calibri" w:hAnsi="Arial" w:cs="Arial"/>
          <w:sz w:val="22"/>
        </w:rPr>
        <w:t xml:space="preserve"> de transformar o cambiar la forma o tipo societario que adoptó, como sociedad anónima, limitada, en comandita, entre otras. Es decir, si una sociedad se crea como sociedad limitada, y sin </w:t>
      </w:r>
      <w:r w:rsidR="004E58D5" w:rsidRPr="00DC5CAD">
        <w:rPr>
          <w:rFonts w:ascii="Arial" w:eastAsia="Calibri" w:hAnsi="Arial" w:cs="Arial"/>
          <w:sz w:val="22"/>
        </w:rPr>
        <w:t>«</w:t>
      </w:r>
      <w:r w:rsidRPr="00DC5CAD">
        <w:rPr>
          <w:rFonts w:ascii="Arial" w:eastAsia="Calibri" w:hAnsi="Arial" w:cs="Arial"/>
          <w:sz w:val="22"/>
        </w:rPr>
        <w:t>disolverse</w:t>
      </w:r>
      <w:r w:rsidR="004E58D5" w:rsidRPr="00DC5CAD">
        <w:rPr>
          <w:rFonts w:ascii="Arial" w:eastAsia="Calibri" w:hAnsi="Arial" w:cs="Arial"/>
          <w:sz w:val="22"/>
        </w:rPr>
        <w:t>»</w:t>
      </w:r>
      <w:r w:rsidRPr="00DC5CAD">
        <w:rPr>
          <w:rFonts w:ascii="Arial" w:eastAsia="Calibri" w:hAnsi="Arial" w:cs="Arial"/>
          <w:sz w:val="22"/>
        </w:rPr>
        <w:t xml:space="preserve"> decide adoptar la figura de sociedad anónima, lo podrá hacer mediante una reforma estatutaria, sin que se interrumpa la continuidad de la sociedad comercial o persona jurídica</w:t>
      </w:r>
      <w:r w:rsidRPr="00DC5CAD">
        <w:rPr>
          <w:rStyle w:val="Refdenotaalpie"/>
          <w:rFonts w:ascii="Arial" w:eastAsia="Calibri" w:hAnsi="Arial" w:cs="Arial"/>
          <w:sz w:val="22"/>
        </w:rPr>
        <w:footnoteReference w:id="15"/>
      </w:r>
      <w:r w:rsidRPr="00DC5CAD">
        <w:rPr>
          <w:rFonts w:ascii="Arial" w:eastAsia="Calibri" w:hAnsi="Arial" w:cs="Arial"/>
          <w:sz w:val="22"/>
        </w:rPr>
        <w:t>. Es importante destacar que en esta reforma estatutaria solo participa la sociedad involucrada, y no existen otras sociedades que se relacionen o intervengan, lo cual diferencia la transformación de otras reformas o figuras.</w:t>
      </w:r>
    </w:p>
    <w:p w14:paraId="16103A19" w14:textId="3006CA7E" w:rsidR="004E0F28" w:rsidRPr="00DC5CAD" w:rsidRDefault="004E0F28" w:rsidP="001D1F8F">
      <w:pPr>
        <w:spacing w:line="276" w:lineRule="auto"/>
        <w:ind w:firstLine="708"/>
        <w:jc w:val="both"/>
        <w:rPr>
          <w:rFonts w:ascii="Arial" w:eastAsia="Calibri" w:hAnsi="Arial" w:cs="Arial"/>
          <w:sz w:val="22"/>
        </w:rPr>
      </w:pPr>
      <w:r w:rsidRPr="00DC5CAD">
        <w:rPr>
          <w:rFonts w:ascii="Arial" w:eastAsia="Calibri" w:hAnsi="Arial" w:cs="Arial"/>
          <w:sz w:val="22"/>
        </w:rPr>
        <w:t xml:space="preserve">Respecto de la experiencia, teniendo en cuenta que la sociedad solo cambia su forma, lo cual, de acuerdo con el Código de Comercio, no afecta sus actividades, la sociedad continuará con la experiencia adquirida, ya que la misma es personal y mientras la persona jurídica exista la experiencia sigue vigente y puede incrementarse, siempre que la empresa continúe ejecutando contratos que le permitan aumentar el conocimiento en su objeto social. Esto se reafirma teniendo en cuenta que en la transformación la norma señala expresamente que la sociedad no se </w:t>
      </w:r>
      <w:r w:rsidR="004E58D5" w:rsidRPr="00DC5CAD">
        <w:rPr>
          <w:rFonts w:ascii="Arial" w:eastAsia="Calibri" w:hAnsi="Arial" w:cs="Arial"/>
          <w:sz w:val="22"/>
        </w:rPr>
        <w:t>«</w:t>
      </w:r>
      <w:r w:rsidRPr="00DC5CAD">
        <w:rPr>
          <w:rFonts w:ascii="Arial" w:eastAsia="Calibri" w:hAnsi="Arial" w:cs="Arial"/>
          <w:sz w:val="22"/>
        </w:rPr>
        <w:t>disuelve</w:t>
      </w:r>
      <w:r w:rsidR="004E58D5" w:rsidRPr="00DC5CAD">
        <w:rPr>
          <w:rFonts w:ascii="Arial" w:eastAsia="Calibri" w:hAnsi="Arial" w:cs="Arial"/>
          <w:sz w:val="22"/>
        </w:rPr>
        <w:t>»</w:t>
      </w:r>
      <w:r w:rsidRPr="00DC5CAD">
        <w:rPr>
          <w:rFonts w:ascii="Arial" w:eastAsia="Calibri" w:hAnsi="Arial" w:cs="Arial"/>
          <w:sz w:val="22"/>
        </w:rPr>
        <w:t xml:space="preserve">, y por ende tampoco se </w:t>
      </w:r>
      <w:r w:rsidR="004E58D5" w:rsidRPr="00DC5CAD">
        <w:rPr>
          <w:rFonts w:ascii="Arial" w:eastAsia="Calibri" w:hAnsi="Arial" w:cs="Arial"/>
          <w:sz w:val="22"/>
        </w:rPr>
        <w:t>«</w:t>
      </w:r>
      <w:r w:rsidRPr="00DC5CAD">
        <w:rPr>
          <w:rFonts w:ascii="Arial" w:eastAsia="Calibri" w:hAnsi="Arial" w:cs="Arial"/>
          <w:sz w:val="22"/>
        </w:rPr>
        <w:t>liquida</w:t>
      </w:r>
      <w:r w:rsidR="004E58D5" w:rsidRPr="00DC5CAD">
        <w:rPr>
          <w:rFonts w:ascii="Arial" w:eastAsia="Calibri" w:hAnsi="Arial" w:cs="Arial"/>
          <w:sz w:val="22"/>
        </w:rPr>
        <w:t>»</w:t>
      </w:r>
      <w:r w:rsidRPr="00DC5CAD">
        <w:rPr>
          <w:rFonts w:ascii="Arial" w:eastAsia="Calibri" w:hAnsi="Arial" w:cs="Arial"/>
          <w:sz w:val="22"/>
        </w:rPr>
        <w:t xml:space="preserve">, porque de acuerdo con el artículo 222 del Código de Comercio para </w:t>
      </w:r>
      <w:r w:rsidR="004E58D5" w:rsidRPr="00DC5CAD">
        <w:rPr>
          <w:rFonts w:ascii="Arial" w:eastAsia="Calibri" w:hAnsi="Arial" w:cs="Arial"/>
          <w:sz w:val="22"/>
        </w:rPr>
        <w:t>«</w:t>
      </w:r>
      <w:r w:rsidRPr="00DC5CAD">
        <w:rPr>
          <w:rFonts w:ascii="Arial" w:eastAsia="Calibri" w:hAnsi="Arial" w:cs="Arial"/>
          <w:sz w:val="22"/>
        </w:rPr>
        <w:t>liquidarse</w:t>
      </w:r>
      <w:r w:rsidR="004E58D5" w:rsidRPr="00DC5CAD">
        <w:rPr>
          <w:rFonts w:ascii="Arial" w:eastAsia="Calibri" w:hAnsi="Arial" w:cs="Arial"/>
          <w:sz w:val="22"/>
        </w:rPr>
        <w:t>»</w:t>
      </w:r>
      <w:r w:rsidRPr="00DC5CAD">
        <w:rPr>
          <w:rFonts w:ascii="Arial" w:eastAsia="Calibri" w:hAnsi="Arial" w:cs="Arial"/>
          <w:sz w:val="22"/>
        </w:rPr>
        <w:t xml:space="preserve"> necesita estar </w:t>
      </w:r>
      <w:r w:rsidR="004E58D5" w:rsidRPr="00DC5CAD">
        <w:rPr>
          <w:rFonts w:ascii="Arial" w:eastAsia="Calibri" w:hAnsi="Arial" w:cs="Arial"/>
          <w:sz w:val="22"/>
        </w:rPr>
        <w:t>«</w:t>
      </w:r>
      <w:r w:rsidRPr="00DC5CAD">
        <w:rPr>
          <w:rFonts w:ascii="Arial" w:eastAsia="Calibri" w:hAnsi="Arial" w:cs="Arial"/>
          <w:sz w:val="22"/>
        </w:rPr>
        <w:t>disuelta</w:t>
      </w:r>
      <w:r w:rsidR="004E58D5" w:rsidRPr="00DC5CAD">
        <w:rPr>
          <w:rFonts w:ascii="Arial" w:eastAsia="Calibri" w:hAnsi="Arial" w:cs="Arial"/>
          <w:sz w:val="22"/>
        </w:rPr>
        <w:t>»</w:t>
      </w:r>
      <w:r w:rsidRPr="00DC5CAD">
        <w:rPr>
          <w:rFonts w:ascii="Arial" w:eastAsia="Calibri" w:hAnsi="Arial" w:cs="Arial"/>
          <w:sz w:val="22"/>
        </w:rPr>
        <w:t xml:space="preserve">; solo cambia el tipo societario que había adoptado en su constitución, es decir, no sufre modificaciones o alteraciones y por eso puede continuar adquiriendo experiencia y compartirla, pero no puede trasladarla porque para ello tendría que </w:t>
      </w:r>
      <w:r w:rsidR="004E58D5" w:rsidRPr="00DC5CAD">
        <w:rPr>
          <w:rFonts w:ascii="Arial" w:eastAsia="Calibri" w:hAnsi="Arial" w:cs="Arial"/>
          <w:sz w:val="22"/>
        </w:rPr>
        <w:t>«</w:t>
      </w:r>
      <w:r w:rsidRPr="00DC5CAD">
        <w:rPr>
          <w:rFonts w:ascii="Arial" w:eastAsia="Calibri" w:hAnsi="Arial" w:cs="Arial"/>
          <w:sz w:val="22"/>
        </w:rPr>
        <w:t>disolverse</w:t>
      </w:r>
      <w:r w:rsidR="004E58D5" w:rsidRPr="00DC5CAD">
        <w:rPr>
          <w:rFonts w:ascii="Arial" w:eastAsia="Calibri" w:hAnsi="Arial" w:cs="Arial"/>
          <w:sz w:val="22"/>
        </w:rPr>
        <w:t>»</w:t>
      </w:r>
      <w:r w:rsidRPr="00DC5CAD">
        <w:rPr>
          <w:rFonts w:ascii="Arial" w:eastAsia="Calibri" w:hAnsi="Arial" w:cs="Arial"/>
          <w:sz w:val="22"/>
        </w:rPr>
        <w:t xml:space="preserve"> o conformar un consorcio, como se verá en la fusión y en una de las modalidades de escisión.  </w:t>
      </w:r>
    </w:p>
    <w:p w14:paraId="079186E2" w14:textId="77777777" w:rsidR="004E0F28" w:rsidRPr="00DC5CAD" w:rsidRDefault="004E0F28" w:rsidP="001D1F8F">
      <w:pPr>
        <w:spacing w:line="276" w:lineRule="auto"/>
        <w:jc w:val="both"/>
        <w:rPr>
          <w:rFonts w:ascii="Arial" w:eastAsia="Calibri" w:hAnsi="Arial" w:cs="Arial"/>
          <w:b/>
          <w:bCs/>
          <w:sz w:val="22"/>
        </w:rPr>
      </w:pPr>
    </w:p>
    <w:p w14:paraId="74F04F9C" w14:textId="77777777" w:rsidR="004E0F28" w:rsidRPr="00DC5CAD" w:rsidRDefault="004E0F28" w:rsidP="001D1F8F">
      <w:pPr>
        <w:spacing w:line="276" w:lineRule="auto"/>
        <w:jc w:val="both"/>
        <w:rPr>
          <w:rFonts w:ascii="Arial" w:eastAsia="Calibri" w:hAnsi="Arial" w:cs="Arial"/>
          <w:b/>
          <w:bCs/>
          <w:sz w:val="22"/>
        </w:rPr>
      </w:pPr>
      <w:r w:rsidRPr="00DC5CAD">
        <w:rPr>
          <w:rFonts w:ascii="Arial" w:eastAsia="Calibri" w:hAnsi="Arial" w:cs="Arial"/>
          <w:b/>
          <w:bCs/>
          <w:sz w:val="22"/>
        </w:rPr>
        <w:t>b) Escisión</w:t>
      </w:r>
    </w:p>
    <w:p w14:paraId="422B06C3" w14:textId="77777777" w:rsidR="004E0F28" w:rsidRPr="00DC5CAD" w:rsidRDefault="004E0F28" w:rsidP="001D1F8F">
      <w:pPr>
        <w:spacing w:line="276" w:lineRule="auto"/>
        <w:jc w:val="both"/>
        <w:rPr>
          <w:rFonts w:ascii="Arial" w:eastAsia="Calibri" w:hAnsi="Arial" w:cs="Arial"/>
          <w:b/>
          <w:bCs/>
          <w:sz w:val="22"/>
        </w:rPr>
      </w:pPr>
    </w:p>
    <w:p w14:paraId="1B5DCA5C" w14:textId="556665D8" w:rsidR="003B791C" w:rsidRPr="00DC5CAD" w:rsidRDefault="004E0F28" w:rsidP="0094559B">
      <w:pPr>
        <w:spacing w:after="120" w:line="276" w:lineRule="auto"/>
        <w:jc w:val="both"/>
        <w:rPr>
          <w:rFonts w:ascii="Arial" w:eastAsia="Calibri" w:hAnsi="Arial" w:cs="Arial"/>
          <w:sz w:val="22"/>
        </w:rPr>
      </w:pPr>
      <w:r w:rsidRPr="00DC5CAD">
        <w:rPr>
          <w:rFonts w:ascii="Arial" w:eastAsia="Calibri" w:hAnsi="Arial" w:cs="Arial"/>
          <w:sz w:val="22"/>
        </w:rPr>
        <w:t xml:space="preserve">Es una figura con dos modalidades reguladas por la Ley 222 de 1995. La primera se refiere a una sociedad que no se </w:t>
      </w:r>
      <w:r w:rsidR="004E58D5" w:rsidRPr="00DC5CAD">
        <w:rPr>
          <w:rFonts w:ascii="Arial" w:eastAsia="Calibri" w:hAnsi="Arial" w:cs="Arial"/>
          <w:sz w:val="22"/>
        </w:rPr>
        <w:t>«</w:t>
      </w:r>
      <w:r w:rsidRPr="00DC5CAD">
        <w:rPr>
          <w:rFonts w:ascii="Arial" w:eastAsia="Calibri" w:hAnsi="Arial" w:cs="Arial"/>
          <w:sz w:val="22"/>
        </w:rPr>
        <w:t>disuelve</w:t>
      </w:r>
      <w:r w:rsidR="004E58D5" w:rsidRPr="00DC5CAD">
        <w:rPr>
          <w:rFonts w:ascii="Arial" w:eastAsia="Calibri" w:hAnsi="Arial" w:cs="Arial"/>
          <w:sz w:val="22"/>
        </w:rPr>
        <w:t>»</w:t>
      </w:r>
      <w:r w:rsidRPr="00DC5CAD">
        <w:rPr>
          <w:rFonts w:ascii="Arial" w:eastAsia="Calibri" w:hAnsi="Arial" w:cs="Arial"/>
          <w:sz w:val="22"/>
        </w:rPr>
        <w:t xml:space="preserve"> ni se </w:t>
      </w:r>
      <w:r w:rsidR="004E58D5" w:rsidRPr="00DC5CAD">
        <w:rPr>
          <w:rFonts w:ascii="Arial" w:eastAsia="Calibri" w:hAnsi="Arial" w:cs="Arial"/>
          <w:sz w:val="22"/>
        </w:rPr>
        <w:t>«</w:t>
      </w:r>
      <w:r w:rsidRPr="00DC5CAD">
        <w:rPr>
          <w:rFonts w:ascii="Arial" w:eastAsia="Calibri" w:hAnsi="Arial" w:cs="Arial"/>
          <w:sz w:val="22"/>
        </w:rPr>
        <w:t>liquida</w:t>
      </w:r>
      <w:r w:rsidR="004E58D5" w:rsidRPr="00DC5CAD">
        <w:rPr>
          <w:rFonts w:ascii="Arial" w:eastAsia="Calibri" w:hAnsi="Arial" w:cs="Arial"/>
          <w:sz w:val="22"/>
        </w:rPr>
        <w:t>»</w:t>
      </w:r>
      <w:r w:rsidRPr="00DC5CAD">
        <w:rPr>
          <w:rFonts w:ascii="Arial" w:eastAsia="Calibri" w:hAnsi="Arial" w:cs="Arial"/>
          <w:sz w:val="22"/>
        </w:rPr>
        <w:t xml:space="preserve">, es decir, permanece sin modificaciones ni reformas, pero fracciona su patrimonio para transferir una o varias partes, a una o varias sociedades existentes o por crearse. </w:t>
      </w:r>
      <w:r w:rsidR="00173A59" w:rsidRPr="00DC5CAD">
        <w:rPr>
          <w:rFonts w:ascii="Arial" w:eastAsia="Calibri" w:hAnsi="Arial" w:cs="Arial"/>
          <w:sz w:val="22"/>
        </w:rPr>
        <w:t>En este caso</w:t>
      </w:r>
      <w:r w:rsidR="00801CAD" w:rsidRPr="00DC5CAD">
        <w:rPr>
          <w:rFonts w:ascii="Arial" w:eastAsia="Calibri" w:hAnsi="Arial" w:cs="Arial"/>
          <w:sz w:val="22"/>
        </w:rPr>
        <w:t>, la escisión se refiere al pa</w:t>
      </w:r>
      <w:r w:rsidR="00173A59" w:rsidRPr="00DC5CAD">
        <w:rPr>
          <w:rFonts w:ascii="Arial" w:eastAsia="Calibri" w:hAnsi="Arial" w:cs="Arial"/>
          <w:sz w:val="22"/>
        </w:rPr>
        <w:t>trimonio</w:t>
      </w:r>
      <w:r w:rsidR="00801CAD" w:rsidRPr="00DC5CAD">
        <w:rPr>
          <w:rFonts w:ascii="Arial" w:eastAsia="Calibri" w:hAnsi="Arial" w:cs="Arial"/>
          <w:sz w:val="22"/>
        </w:rPr>
        <w:t xml:space="preserve"> de la sociedad sin incluir ningún otro aspecto</w:t>
      </w:r>
      <w:r w:rsidR="00173A59" w:rsidRPr="00DC5CAD">
        <w:rPr>
          <w:rFonts w:ascii="Arial" w:eastAsia="Calibri" w:hAnsi="Arial" w:cs="Arial"/>
          <w:sz w:val="22"/>
        </w:rPr>
        <w:t>,</w:t>
      </w:r>
      <w:r w:rsidR="00801CAD" w:rsidRPr="00DC5CAD">
        <w:rPr>
          <w:rFonts w:ascii="Arial" w:eastAsia="Calibri" w:hAnsi="Arial" w:cs="Arial"/>
          <w:sz w:val="22"/>
        </w:rPr>
        <w:t xml:space="preserve"> lo cual significa que la sociedad continúa con un patrimonio reducido debido al fraccionamiento, pero no </w:t>
      </w:r>
      <w:r w:rsidR="0094559B" w:rsidRPr="00DC5CAD">
        <w:rPr>
          <w:rFonts w:ascii="Arial" w:eastAsia="Calibri" w:hAnsi="Arial" w:cs="Arial"/>
          <w:sz w:val="22"/>
        </w:rPr>
        <w:t xml:space="preserve">existe ninguna otra implicación para la persona jurídica como su desaparición por «disolverse» o «liquidarse», de acuerdo con lo mencionado sobre estos conceptos. En ese sentido, Colombia Compra Eficiente considera que las sociedades que reciben una parte del patrimonio de una sociedad que continúa existiendo, no implica que reciben su experiencia, ya que no es posible que varias sociedades tengan la misma experiencia, duplicándola tantas veces se haya fraccionado el patrimonio porque la experiencia pertenece a quien la adquirió ejecutando </w:t>
      </w:r>
      <w:r w:rsidR="00D64CD5" w:rsidRPr="00DC5CAD">
        <w:rPr>
          <w:rFonts w:ascii="Arial" w:eastAsia="Calibri" w:hAnsi="Arial" w:cs="Arial"/>
          <w:sz w:val="22"/>
        </w:rPr>
        <w:t xml:space="preserve">los </w:t>
      </w:r>
      <w:r w:rsidR="0094559B" w:rsidRPr="00DC5CAD">
        <w:rPr>
          <w:rFonts w:ascii="Arial" w:eastAsia="Calibri" w:hAnsi="Arial" w:cs="Arial"/>
          <w:sz w:val="22"/>
        </w:rPr>
        <w:t>contratos a su cargo.</w:t>
      </w:r>
      <w:r w:rsidR="00173A59" w:rsidRPr="00DC5CAD">
        <w:rPr>
          <w:rFonts w:ascii="Arial" w:eastAsia="Calibri" w:hAnsi="Arial" w:cs="Arial"/>
          <w:sz w:val="22"/>
        </w:rPr>
        <w:t xml:space="preserve"> </w:t>
      </w:r>
    </w:p>
    <w:p w14:paraId="07AF40AF" w14:textId="21EAF948" w:rsidR="004E0F28" w:rsidRPr="00DC5CAD" w:rsidRDefault="004E0F28" w:rsidP="003B791C">
      <w:pPr>
        <w:spacing w:line="276" w:lineRule="auto"/>
        <w:ind w:firstLine="708"/>
        <w:jc w:val="both"/>
        <w:rPr>
          <w:rFonts w:ascii="Arial" w:eastAsia="Calibri" w:hAnsi="Arial" w:cs="Arial"/>
          <w:sz w:val="22"/>
        </w:rPr>
      </w:pPr>
      <w:r w:rsidRPr="00DC5CAD">
        <w:rPr>
          <w:rFonts w:ascii="Arial" w:eastAsia="Calibri" w:hAnsi="Arial" w:cs="Arial"/>
          <w:sz w:val="22"/>
        </w:rPr>
        <w:t xml:space="preserve">La segunda modalidad se trata de una sociedad que se </w:t>
      </w:r>
      <w:r w:rsidR="002B088C" w:rsidRPr="00DC5CAD">
        <w:rPr>
          <w:rFonts w:ascii="Arial" w:eastAsia="Calibri" w:hAnsi="Arial" w:cs="Arial"/>
          <w:sz w:val="22"/>
        </w:rPr>
        <w:t>«</w:t>
      </w:r>
      <w:r w:rsidRPr="00DC5CAD">
        <w:rPr>
          <w:rFonts w:ascii="Arial" w:eastAsia="Calibri" w:hAnsi="Arial" w:cs="Arial"/>
          <w:sz w:val="22"/>
        </w:rPr>
        <w:t>disuelve</w:t>
      </w:r>
      <w:r w:rsidR="002B088C" w:rsidRPr="00DC5CAD">
        <w:rPr>
          <w:rFonts w:ascii="Arial" w:eastAsia="Calibri" w:hAnsi="Arial" w:cs="Arial"/>
          <w:sz w:val="22"/>
        </w:rPr>
        <w:t>»</w:t>
      </w:r>
      <w:r w:rsidRPr="00DC5CAD">
        <w:rPr>
          <w:rFonts w:ascii="Arial" w:eastAsia="Calibri" w:hAnsi="Arial" w:cs="Arial"/>
          <w:sz w:val="22"/>
        </w:rPr>
        <w:t xml:space="preserve"> sin </w:t>
      </w:r>
      <w:r w:rsidR="002B088C" w:rsidRPr="00DC5CAD">
        <w:rPr>
          <w:rFonts w:ascii="Arial" w:eastAsia="Calibri" w:hAnsi="Arial" w:cs="Arial"/>
          <w:sz w:val="22"/>
        </w:rPr>
        <w:t>«</w:t>
      </w:r>
      <w:r w:rsidRPr="00DC5CAD">
        <w:rPr>
          <w:rFonts w:ascii="Arial" w:eastAsia="Calibri" w:hAnsi="Arial" w:cs="Arial"/>
          <w:sz w:val="22"/>
        </w:rPr>
        <w:t>liquidarse</w:t>
      </w:r>
      <w:r w:rsidR="002B088C" w:rsidRPr="00DC5CAD">
        <w:rPr>
          <w:rFonts w:ascii="Arial" w:eastAsia="Calibri" w:hAnsi="Arial" w:cs="Arial"/>
          <w:sz w:val="22"/>
        </w:rPr>
        <w:t>»</w:t>
      </w:r>
      <w:r w:rsidRPr="00DC5CAD">
        <w:rPr>
          <w:rFonts w:ascii="Arial" w:eastAsia="Calibri" w:hAnsi="Arial" w:cs="Arial"/>
          <w:sz w:val="22"/>
        </w:rPr>
        <w:t>, esto es, que implica una reforma social, lo cual no ocurre con la primera modalidad, y también existe fraccionamiento del patrimonio con el mismo fin</w:t>
      </w:r>
      <w:r w:rsidRPr="00DC5CAD">
        <w:rPr>
          <w:rStyle w:val="Refdenotaalpie"/>
          <w:rFonts w:ascii="Arial" w:eastAsia="Calibri" w:hAnsi="Arial" w:cs="Arial"/>
          <w:sz w:val="22"/>
        </w:rPr>
        <w:footnoteReference w:id="16"/>
      </w:r>
      <w:r w:rsidRPr="00DC5CAD">
        <w:rPr>
          <w:rFonts w:ascii="Arial" w:eastAsia="Calibri" w:hAnsi="Arial" w:cs="Arial"/>
          <w:sz w:val="22"/>
        </w:rPr>
        <w:t>. Como se observa, participa una sociedad y otra, u otras, que reciban la transferencia del patrimonio en bloque</w:t>
      </w:r>
      <w:r w:rsidR="00D64CD5" w:rsidRPr="00DC5CAD">
        <w:rPr>
          <w:rFonts w:ascii="Arial" w:eastAsia="Calibri" w:hAnsi="Arial" w:cs="Arial"/>
          <w:sz w:val="22"/>
        </w:rPr>
        <w:t>.</w:t>
      </w:r>
      <w:r w:rsidRPr="00DC5CAD">
        <w:rPr>
          <w:rFonts w:ascii="Arial" w:eastAsia="Calibri" w:hAnsi="Arial" w:cs="Arial"/>
          <w:sz w:val="22"/>
        </w:rPr>
        <w:t xml:space="preserve"> </w:t>
      </w:r>
    </w:p>
    <w:p w14:paraId="273C4D2F" w14:textId="4D0B9863" w:rsidR="00D64CD5" w:rsidRPr="00DC5CAD" w:rsidRDefault="004E0F28" w:rsidP="004E0F28">
      <w:pPr>
        <w:spacing w:before="120" w:after="120" w:line="276" w:lineRule="auto"/>
        <w:ind w:firstLine="708"/>
        <w:jc w:val="both"/>
        <w:rPr>
          <w:rFonts w:ascii="Arial" w:eastAsia="Calibri" w:hAnsi="Arial" w:cs="Arial"/>
          <w:sz w:val="22"/>
        </w:rPr>
      </w:pPr>
      <w:r w:rsidRPr="00DC5CAD">
        <w:rPr>
          <w:rFonts w:ascii="Arial" w:eastAsia="Calibri" w:hAnsi="Arial" w:cs="Arial"/>
          <w:sz w:val="22"/>
        </w:rPr>
        <w:t xml:space="preserve">Para la primera modalidad de escisión, teniendo en cuenta que la sociedad continúa sin alteraciones, puede compartir la experiencia a través de esquemas asociativos, pero no la transfiere porque para ello tendría que </w:t>
      </w:r>
      <w:r w:rsidR="002B088C" w:rsidRPr="00DC5CAD">
        <w:rPr>
          <w:rFonts w:ascii="Arial" w:eastAsia="Calibri" w:hAnsi="Arial" w:cs="Arial"/>
          <w:sz w:val="22"/>
        </w:rPr>
        <w:t>«</w:t>
      </w:r>
      <w:r w:rsidRPr="00DC5CAD">
        <w:rPr>
          <w:rFonts w:ascii="Arial" w:eastAsia="Calibri" w:hAnsi="Arial" w:cs="Arial"/>
          <w:sz w:val="22"/>
        </w:rPr>
        <w:t>disolverse</w:t>
      </w:r>
      <w:r w:rsidR="002B088C" w:rsidRPr="00DC5CAD">
        <w:rPr>
          <w:rFonts w:ascii="Arial" w:eastAsia="Calibri" w:hAnsi="Arial" w:cs="Arial"/>
          <w:sz w:val="22"/>
        </w:rPr>
        <w:t>»</w:t>
      </w:r>
      <w:r w:rsidRPr="00DC5CAD">
        <w:rPr>
          <w:rFonts w:ascii="Arial" w:eastAsia="Calibri" w:hAnsi="Arial" w:cs="Arial"/>
          <w:sz w:val="22"/>
        </w:rPr>
        <w:t xml:space="preserve"> pero no </w:t>
      </w:r>
      <w:r w:rsidR="002B088C" w:rsidRPr="00DC5CAD">
        <w:rPr>
          <w:rFonts w:ascii="Arial" w:eastAsia="Calibri" w:hAnsi="Arial" w:cs="Arial"/>
          <w:sz w:val="22"/>
        </w:rPr>
        <w:t>«</w:t>
      </w:r>
      <w:r w:rsidRPr="00DC5CAD">
        <w:rPr>
          <w:rFonts w:ascii="Arial" w:eastAsia="Calibri" w:hAnsi="Arial" w:cs="Arial"/>
          <w:sz w:val="22"/>
        </w:rPr>
        <w:t>liquidarse</w:t>
      </w:r>
      <w:r w:rsidR="002B088C" w:rsidRPr="00DC5CAD">
        <w:rPr>
          <w:rFonts w:ascii="Arial" w:eastAsia="Calibri" w:hAnsi="Arial" w:cs="Arial"/>
          <w:sz w:val="22"/>
        </w:rPr>
        <w:t>»</w:t>
      </w:r>
      <w:r w:rsidRPr="00DC5CAD">
        <w:rPr>
          <w:rFonts w:ascii="Arial" w:eastAsia="Calibri" w:hAnsi="Arial" w:cs="Arial"/>
          <w:sz w:val="22"/>
        </w:rPr>
        <w:t xml:space="preserve">, puesto que la </w:t>
      </w:r>
      <w:r w:rsidR="002B088C" w:rsidRPr="00DC5CAD">
        <w:rPr>
          <w:rFonts w:ascii="Arial" w:eastAsia="Calibri" w:hAnsi="Arial" w:cs="Arial"/>
          <w:sz w:val="22"/>
        </w:rPr>
        <w:t>«</w:t>
      </w:r>
      <w:r w:rsidRPr="00DC5CAD">
        <w:rPr>
          <w:rFonts w:ascii="Arial" w:eastAsia="Calibri" w:hAnsi="Arial" w:cs="Arial"/>
          <w:sz w:val="22"/>
        </w:rPr>
        <w:t>liquidación</w:t>
      </w:r>
      <w:r w:rsidR="002B088C" w:rsidRPr="00DC5CAD">
        <w:rPr>
          <w:rFonts w:ascii="Arial" w:eastAsia="Calibri" w:hAnsi="Arial" w:cs="Arial"/>
          <w:sz w:val="22"/>
        </w:rPr>
        <w:t>»</w:t>
      </w:r>
      <w:r w:rsidRPr="00DC5CAD">
        <w:rPr>
          <w:rFonts w:ascii="Arial" w:eastAsia="Calibri" w:hAnsi="Arial" w:cs="Arial"/>
          <w:sz w:val="22"/>
        </w:rPr>
        <w:t xml:space="preserve"> implicaría que desaparece la persona y así su experiencia. Para explicarlo hay que volver a la definición de </w:t>
      </w:r>
      <w:r w:rsidR="002B088C" w:rsidRPr="00DC5CAD">
        <w:rPr>
          <w:rFonts w:ascii="Arial" w:eastAsia="Calibri" w:hAnsi="Arial" w:cs="Arial"/>
          <w:sz w:val="22"/>
        </w:rPr>
        <w:t>«</w:t>
      </w:r>
      <w:r w:rsidRPr="00DC5CAD">
        <w:rPr>
          <w:rFonts w:ascii="Arial" w:eastAsia="Calibri" w:hAnsi="Arial" w:cs="Arial"/>
          <w:sz w:val="22"/>
        </w:rPr>
        <w:t>disolución</w:t>
      </w:r>
      <w:r w:rsidR="002B088C" w:rsidRPr="00DC5CAD">
        <w:rPr>
          <w:rFonts w:ascii="Arial" w:eastAsia="Calibri" w:hAnsi="Arial" w:cs="Arial"/>
          <w:sz w:val="22"/>
        </w:rPr>
        <w:t>»</w:t>
      </w:r>
      <w:r w:rsidRPr="00DC5CAD">
        <w:rPr>
          <w:rFonts w:ascii="Arial" w:eastAsia="Calibri" w:hAnsi="Arial" w:cs="Arial"/>
          <w:sz w:val="22"/>
        </w:rPr>
        <w:t xml:space="preserve">, donde la persona jurídica no desaparece y solo puede hacer trámites para </w:t>
      </w:r>
      <w:r w:rsidR="002B088C" w:rsidRPr="00DC5CAD">
        <w:rPr>
          <w:rFonts w:ascii="Arial" w:eastAsia="Calibri" w:hAnsi="Arial" w:cs="Arial"/>
          <w:sz w:val="22"/>
        </w:rPr>
        <w:t>«</w:t>
      </w:r>
      <w:r w:rsidRPr="00DC5CAD">
        <w:rPr>
          <w:rFonts w:ascii="Arial" w:eastAsia="Calibri" w:hAnsi="Arial" w:cs="Arial"/>
          <w:sz w:val="22"/>
        </w:rPr>
        <w:t>liquidarse</w:t>
      </w:r>
      <w:r w:rsidR="002B088C" w:rsidRPr="00DC5CAD">
        <w:rPr>
          <w:rFonts w:ascii="Arial" w:eastAsia="Calibri" w:hAnsi="Arial" w:cs="Arial"/>
          <w:sz w:val="22"/>
        </w:rPr>
        <w:t>»</w:t>
      </w:r>
      <w:r w:rsidRPr="00DC5CAD">
        <w:rPr>
          <w:rFonts w:ascii="Arial" w:eastAsia="Calibri" w:hAnsi="Arial" w:cs="Arial"/>
          <w:sz w:val="22"/>
        </w:rPr>
        <w:t xml:space="preserve">, sin embargo hay una excepción a esa regla y es, precisamente, las figuras y reformas estatutarias que aquí se explican, particularmente la fusión, ya que por esa excepción la persona tiene continuidad en otra persona, y sigue siendo quien era, lo cual no es el caso de la escisión, ya que en la primera modalidad no existe </w:t>
      </w:r>
      <w:r w:rsidR="002B088C" w:rsidRPr="00DC5CAD">
        <w:rPr>
          <w:rFonts w:ascii="Arial" w:eastAsia="Calibri" w:hAnsi="Arial" w:cs="Arial"/>
          <w:sz w:val="22"/>
        </w:rPr>
        <w:t>«</w:t>
      </w:r>
      <w:r w:rsidRPr="00DC5CAD">
        <w:rPr>
          <w:rFonts w:ascii="Arial" w:eastAsia="Calibri" w:hAnsi="Arial" w:cs="Arial"/>
          <w:sz w:val="22"/>
        </w:rPr>
        <w:t>disolución</w:t>
      </w:r>
      <w:r w:rsidR="002B088C" w:rsidRPr="00DC5CAD">
        <w:rPr>
          <w:rFonts w:ascii="Arial" w:eastAsia="Calibri" w:hAnsi="Arial" w:cs="Arial"/>
          <w:sz w:val="22"/>
        </w:rPr>
        <w:t>»</w:t>
      </w:r>
      <w:r w:rsidRPr="00DC5CAD">
        <w:rPr>
          <w:rFonts w:ascii="Arial" w:eastAsia="Calibri" w:hAnsi="Arial" w:cs="Arial"/>
          <w:sz w:val="22"/>
        </w:rPr>
        <w:t>, lo que significa que la persona continúa por sí misma y puede adquirir experiencia</w:t>
      </w:r>
      <w:r w:rsidR="00D64CD5" w:rsidRPr="00DC5CAD">
        <w:rPr>
          <w:rFonts w:ascii="Arial" w:eastAsia="Calibri" w:hAnsi="Arial" w:cs="Arial"/>
          <w:sz w:val="22"/>
        </w:rPr>
        <w:t xml:space="preserve"> pero no puede transferirla porque le pertenece al ser quien la adquirió. </w:t>
      </w:r>
    </w:p>
    <w:p w14:paraId="695124E1" w14:textId="3EF68839" w:rsidR="004E0F28" w:rsidRPr="00DC5CAD" w:rsidRDefault="00D64CD5" w:rsidP="004E0F28">
      <w:pPr>
        <w:spacing w:before="120" w:after="120" w:line="276" w:lineRule="auto"/>
        <w:ind w:firstLine="708"/>
        <w:jc w:val="both"/>
        <w:rPr>
          <w:rFonts w:ascii="Arial" w:eastAsia="Calibri" w:hAnsi="Arial" w:cs="Arial"/>
          <w:sz w:val="22"/>
        </w:rPr>
      </w:pPr>
      <w:r w:rsidRPr="00DC5CAD">
        <w:rPr>
          <w:rFonts w:ascii="Arial" w:eastAsia="Calibri" w:hAnsi="Arial" w:cs="Arial"/>
          <w:sz w:val="22"/>
        </w:rPr>
        <w:t>Por otro lado,</w:t>
      </w:r>
      <w:r w:rsidR="004E0F28" w:rsidRPr="00DC5CAD">
        <w:rPr>
          <w:rFonts w:ascii="Arial" w:eastAsia="Calibri" w:hAnsi="Arial" w:cs="Arial"/>
          <w:sz w:val="22"/>
        </w:rPr>
        <w:t xml:space="preserve"> a pesar de que en la segunda modalidad existe </w:t>
      </w:r>
      <w:r w:rsidR="002B088C" w:rsidRPr="00DC5CAD">
        <w:rPr>
          <w:rFonts w:ascii="Arial" w:eastAsia="Calibri" w:hAnsi="Arial" w:cs="Arial"/>
          <w:sz w:val="22"/>
        </w:rPr>
        <w:t>«</w:t>
      </w:r>
      <w:r w:rsidR="004E0F28" w:rsidRPr="00DC5CAD">
        <w:rPr>
          <w:rFonts w:ascii="Arial" w:eastAsia="Calibri" w:hAnsi="Arial" w:cs="Arial"/>
          <w:sz w:val="22"/>
        </w:rPr>
        <w:t>disolución</w:t>
      </w:r>
      <w:r w:rsidR="002B088C" w:rsidRPr="00DC5CAD">
        <w:rPr>
          <w:rFonts w:ascii="Arial" w:eastAsia="Calibri" w:hAnsi="Arial" w:cs="Arial"/>
          <w:sz w:val="22"/>
        </w:rPr>
        <w:t>»</w:t>
      </w:r>
      <w:r w:rsidR="004E0F28" w:rsidRPr="00DC5CAD">
        <w:rPr>
          <w:rFonts w:ascii="Arial" w:eastAsia="Calibri" w:hAnsi="Arial" w:cs="Arial"/>
          <w:sz w:val="22"/>
        </w:rPr>
        <w:t>, no hay transferencia de la experiencia porque la persona jurídica fraccionada deja de ser quién es y desaparece</w:t>
      </w:r>
      <w:r w:rsidR="000E1FB7" w:rsidRPr="00DC5CAD">
        <w:rPr>
          <w:rFonts w:ascii="Arial" w:eastAsia="Calibri" w:hAnsi="Arial" w:cs="Arial"/>
          <w:sz w:val="22"/>
        </w:rPr>
        <w:t xml:space="preserve">, </w:t>
      </w:r>
      <w:r w:rsidRPr="00DC5CAD">
        <w:rPr>
          <w:rFonts w:ascii="Arial" w:eastAsia="Calibri" w:hAnsi="Arial" w:cs="Arial"/>
          <w:sz w:val="22"/>
        </w:rPr>
        <w:t>queda</w:t>
      </w:r>
      <w:r w:rsidR="000E1FB7" w:rsidRPr="00DC5CAD">
        <w:rPr>
          <w:rFonts w:ascii="Arial" w:eastAsia="Calibri" w:hAnsi="Arial" w:cs="Arial"/>
          <w:sz w:val="22"/>
        </w:rPr>
        <w:t xml:space="preserve">ndo </w:t>
      </w:r>
      <w:r w:rsidRPr="00DC5CAD">
        <w:rPr>
          <w:rFonts w:ascii="Arial" w:eastAsia="Calibri" w:hAnsi="Arial" w:cs="Arial"/>
          <w:sz w:val="22"/>
        </w:rPr>
        <w:t>dividida en varias sociedades nuevas o existentes que reciben su patrimonio</w:t>
      </w:r>
      <w:r w:rsidR="00691278" w:rsidRPr="00DC5CAD">
        <w:rPr>
          <w:rFonts w:ascii="Arial" w:eastAsia="Calibri" w:hAnsi="Arial" w:cs="Arial"/>
          <w:sz w:val="22"/>
        </w:rPr>
        <w:t>,</w:t>
      </w:r>
      <w:r w:rsidRPr="00DC5CAD">
        <w:rPr>
          <w:rFonts w:ascii="Arial" w:eastAsia="Calibri" w:hAnsi="Arial" w:cs="Arial"/>
          <w:sz w:val="22"/>
        </w:rPr>
        <w:t xml:space="preserve"> sin que sea posible determinar cuál de todas las sociedades que recibieron parte del patrimonio de la sociedad escindida tiene la experiencia, y tampoco es posible que todas las sociedades que recibieron el patrimonio acrediten la misma experiencia multiplicándola </w:t>
      </w:r>
      <w:r w:rsidR="000E1FB7" w:rsidRPr="00DC5CAD">
        <w:rPr>
          <w:rFonts w:ascii="Arial" w:eastAsia="Calibri" w:hAnsi="Arial" w:cs="Arial"/>
          <w:sz w:val="22"/>
        </w:rPr>
        <w:t>tantas veces sea necesario,</w:t>
      </w:r>
      <w:r w:rsidR="00691278" w:rsidRPr="00DC5CAD">
        <w:rPr>
          <w:rFonts w:ascii="Arial" w:eastAsia="Calibri" w:hAnsi="Arial" w:cs="Arial"/>
          <w:sz w:val="22"/>
        </w:rPr>
        <w:t xml:space="preserve"> porque la experiencia es de quien la adquirió y como esa persona jurídica</w:t>
      </w:r>
      <w:r w:rsidR="004E0F28" w:rsidRPr="00DC5CAD">
        <w:rPr>
          <w:rFonts w:ascii="Arial" w:eastAsia="Calibri" w:hAnsi="Arial" w:cs="Arial"/>
          <w:sz w:val="22"/>
        </w:rPr>
        <w:t xml:space="preserve"> no puede continuar en otra persona</w:t>
      </w:r>
      <w:r w:rsidR="00691278" w:rsidRPr="00DC5CAD">
        <w:rPr>
          <w:rFonts w:ascii="Arial" w:eastAsia="Calibri" w:hAnsi="Arial" w:cs="Arial"/>
          <w:sz w:val="22"/>
        </w:rPr>
        <w:t xml:space="preserve"> porque desapareció quedando fraccionada en 2 o más partes</w:t>
      </w:r>
      <w:r w:rsidR="004E0F28" w:rsidRPr="00DC5CAD">
        <w:rPr>
          <w:rFonts w:ascii="Arial" w:eastAsia="Calibri" w:hAnsi="Arial" w:cs="Arial"/>
          <w:sz w:val="22"/>
        </w:rPr>
        <w:t>,</w:t>
      </w:r>
      <w:r w:rsidR="00691278" w:rsidRPr="00DC5CAD">
        <w:rPr>
          <w:rFonts w:ascii="Arial" w:eastAsia="Calibri" w:hAnsi="Arial" w:cs="Arial"/>
          <w:sz w:val="22"/>
        </w:rPr>
        <w:t xml:space="preserve"> esto</w:t>
      </w:r>
      <w:r w:rsidR="004E0F28" w:rsidRPr="00DC5CAD">
        <w:rPr>
          <w:rFonts w:ascii="Arial" w:eastAsia="Calibri" w:hAnsi="Arial" w:cs="Arial"/>
          <w:sz w:val="22"/>
        </w:rPr>
        <w:t xml:space="preserve"> no corresponde con la definición de experiencia personal ni de transferencia de experiencia, donde la persona jurídica sigue siendo quien es a través de otra, sin cambios como fraccionamientos que implican que la persona ya no sea quien era</w:t>
      </w:r>
      <w:r w:rsidR="0023583A" w:rsidRPr="00DC5CAD">
        <w:rPr>
          <w:rFonts w:ascii="Arial" w:eastAsia="Calibri" w:hAnsi="Arial" w:cs="Arial"/>
          <w:sz w:val="22"/>
        </w:rPr>
        <w:t xml:space="preserve"> y desaparezca</w:t>
      </w:r>
      <w:r w:rsidR="004E0F28" w:rsidRPr="00DC5CAD">
        <w:rPr>
          <w:rFonts w:ascii="Arial" w:eastAsia="Calibri" w:hAnsi="Arial" w:cs="Arial"/>
          <w:sz w:val="22"/>
        </w:rPr>
        <w:t xml:space="preserve">. </w:t>
      </w:r>
    </w:p>
    <w:p w14:paraId="6900CB7D" w14:textId="384D9D5B" w:rsidR="004E0F28" w:rsidRPr="00DC5CAD" w:rsidRDefault="004E0F28" w:rsidP="002B088C">
      <w:pPr>
        <w:spacing w:before="120" w:after="120" w:line="276" w:lineRule="auto"/>
        <w:ind w:firstLine="708"/>
        <w:jc w:val="both"/>
        <w:rPr>
          <w:rFonts w:ascii="Arial" w:eastAsia="Calibri" w:hAnsi="Arial" w:cs="Arial"/>
          <w:sz w:val="22"/>
        </w:rPr>
      </w:pPr>
      <w:r w:rsidRPr="00DC5CAD">
        <w:rPr>
          <w:rFonts w:ascii="Arial" w:eastAsia="Calibri" w:hAnsi="Arial" w:cs="Arial"/>
          <w:sz w:val="22"/>
        </w:rPr>
        <w:t xml:space="preserve">Pero en la fusión, como se verá, a pesar de que la sociedad esta </w:t>
      </w:r>
      <w:r w:rsidR="002B088C" w:rsidRPr="00DC5CAD">
        <w:rPr>
          <w:rFonts w:ascii="Arial" w:eastAsia="Calibri" w:hAnsi="Arial" w:cs="Arial"/>
          <w:sz w:val="22"/>
        </w:rPr>
        <w:t>«</w:t>
      </w:r>
      <w:r w:rsidRPr="00DC5CAD">
        <w:rPr>
          <w:rFonts w:ascii="Arial" w:eastAsia="Calibri" w:hAnsi="Arial" w:cs="Arial"/>
          <w:sz w:val="22"/>
        </w:rPr>
        <w:t>disuelta</w:t>
      </w:r>
      <w:r w:rsidR="002B088C" w:rsidRPr="00DC5CAD">
        <w:rPr>
          <w:rFonts w:ascii="Arial" w:eastAsia="Calibri" w:hAnsi="Arial" w:cs="Arial"/>
          <w:sz w:val="22"/>
        </w:rPr>
        <w:t>»</w:t>
      </w:r>
      <w:r w:rsidRPr="00DC5CAD">
        <w:rPr>
          <w:rFonts w:ascii="Arial" w:eastAsia="Calibri" w:hAnsi="Arial" w:cs="Arial"/>
          <w:sz w:val="22"/>
        </w:rPr>
        <w:t xml:space="preserve"> y debería </w:t>
      </w:r>
      <w:r w:rsidR="002B088C" w:rsidRPr="00DC5CAD">
        <w:rPr>
          <w:rFonts w:ascii="Arial" w:eastAsia="Calibri" w:hAnsi="Arial" w:cs="Arial"/>
          <w:sz w:val="22"/>
        </w:rPr>
        <w:t>«</w:t>
      </w:r>
      <w:r w:rsidRPr="00DC5CAD">
        <w:rPr>
          <w:rFonts w:ascii="Arial" w:eastAsia="Calibri" w:hAnsi="Arial" w:cs="Arial"/>
          <w:sz w:val="22"/>
        </w:rPr>
        <w:t>liquidarse</w:t>
      </w:r>
      <w:r w:rsidR="002B088C" w:rsidRPr="00DC5CAD">
        <w:rPr>
          <w:rFonts w:ascii="Arial" w:eastAsia="Calibri" w:hAnsi="Arial" w:cs="Arial"/>
          <w:sz w:val="22"/>
        </w:rPr>
        <w:t>»</w:t>
      </w:r>
      <w:r w:rsidRPr="00DC5CAD">
        <w:rPr>
          <w:rFonts w:ascii="Arial" w:eastAsia="Calibri" w:hAnsi="Arial" w:cs="Arial"/>
          <w:sz w:val="22"/>
        </w:rPr>
        <w:t xml:space="preserve">, para desaparecer, la ley permite que no desaparezca y tenga continuidad convertida en otra sociedad, por lo que, por expresa disposición legal, la sociedad puede no </w:t>
      </w:r>
      <w:r w:rsidR="002B088C" w:rsidRPr="00DC5CAD">
        <w:rPr>
          <w:rFonts w:ascii="Arial" w:eastAsia="Calibri" w:hAnsi="Arial" w:cs="Arial"/>
          <w:sz w:val="22"/>
        </w:rPr>
        <w:t>«</w:t>
      </w:r>
      <w:r w:rsidRPr="00DC5CAD">
        <w:rPr>
          <w:rFonts w:ascii="Arial" w:eastAsia="Calibri" w:hAnsi="Arial" w:cs="Arial"/>
          <w:sz w:val="22"/>
        </w:rPr>
        <w:t>liquidarse</w:t>
      </w:r>
      <w:r w:rsidR="002B088C" w:rsidRPr="00DC5CAD">
        <w:rPr>
          <w:rFonts w:ascii="Arial" w:eastAsia="Calibri" w:hAnsi="Arial" w:cs="Arial"/>
          <w:sz w:val="22"/>
        </w:rPr>
        <w:t>»</w:t>
      </w:r>
      <w:r w:rsidRPr="00DC5CAD">
        <w:rPr>
          <w:rFonts w:ascii="Arial" w:eastAsia="Calibri" w:hAnsi="Arial" w:cs="Arial"/>
          <w:sz w:val="22"/>
        </w:rPr>
        <w:t xml:space="preserve"> sino continuar a través de otra sociedad, porque así lo </w:t>
      </w:r>
      <w:r w:rsidR="00502A34" w:rsidRPr="00DC5CAD">
        <w:rPr>
          <w:rFonts w:ascii="Arial" w:eastAsia="Calibri" w:hAnsi="Arial" w:cs="Arial"/>
          <w:sz w:val="22"/>
        </w:rPr>
        <w:t>dispuso</w:t>
      </w:r>
      <w:r w:rsidRPr="00DC5CAD">
        <w:rPr>
          <w:rFonts w:ascii="Arial" w:eastAsia="Calibri" w:hAnsi="Arial" w:cs="Arial"/>
          <w:sz w:val="22"/>
        </w:rPr>
        <w:t xml:space="preserve"> el legislador, y esto implica que se traslada la experiencia y no se comparte, porque compartir implica que siga existiendo como una persona individualmente considerada, pero como continúa a través de otra lo que sucede es la transferencia de la experiencia.</w:t>
      </w:r>
    </w:p>
    <w:p w14:paraId="5E8B6EFF" w14:textId="2ED8D37A" w:rsidR="004E0F28" w:rsidRPr="00DC5CAD" w:rsidRDefault="004E0F28" w:rsidP="001D1F8F">
      <w:pPr>
        <w:spacing w:line="276" w:lineRule="auto"/>
        <w:ind w:firstLine="708"/>
        <w:jc w:val="both"/>
        <w:rPr>
          <w:rFonts w:ascii="Arial" w:eastAsia="Calibri" w:hAnsi="Arial" w:cs="Arial"/>
          <w:sz w:val="22"/>
        </w:rPr>
      </w:pPr>
      <w:r w:rsidRPr="00DC5CAD">
        <w:rPr>
          <w:rFonts w:ascii="Arial" w:eastAsia="Calibri" w:hAnsi="Arial" w:cs="Arial"/>
          <w:sz w:val="22"/>
        </w:rPr>
        <w:t xml:space="preserve">El efecto de la transferencia de experiencia es que, teniendo en cuenta que quien la adquirió, por la </w:t>
      </w:r>
      <w:r w:rsidR="002B088C" w:rsidRPr="00DC5CAD">
        <w:rPr>
          <w:rFonts w:ascii="Arial" w:eastAsia="Calibri" w:hAnsi="Arial" w:cs="Arial"/>
          <w:sz w:val="22"/>
        </w:rPr>
        <w:t>«</w:t>
      </w:r>
      <w:r w:rsidRPr="00DC5CAD">
        <w:rPr>
          <w:rFonts w:ascii="Arial" w:eastAsia="Calibri" w:hAnsi="Arial" w:cs="Arial"/>
          <w:sz w:val="22"/>
        </w:rPr>
        <w:t>disolución</w:t>
      </w:r>
      <w:r w:rsidR="002B088C" w:rsidRPr="00DC5CAD">
        <w:rPr>
          <w:rFonts w:ascii="Arial" w:eastAsia="Calibri" w:hAnsi="Arial" w:cs="Arial"/>
          <w:sz w:val="22"/>
        </w:rPr>
        <w:t>»</w:t>
      </w:r>
      <w:r w:rsidRPr="00DC5CAD">
        <w:rPr>
          <w:rFonts w:ascii="Arial" w:eastAsia="Calibri" w:hAnsi="Arial" w:cs="Arial"/>
          <w:sz w:val="22"/>
        </w:rPr>
        <w:t xml:space="preserve"> y de acuerdo con lo dispuesto por el legislador, continúa a través de otra persona y no desparece, esa experiencia es propia de la sociedad que la tiene ahora, y no deja de ser personal puesto que la sociedad se convirtió en otra sin </w:t>
      </w:r>
      <w:r w:rsidR="004C437A" w:rsidRPr="00DC5CAD">
        <w:rPr>
          <w:rFonts w:ascii="Arial" w:eastAsia="Calibri" w:hAnsi="Arial" w:cs="Arial"/>
          <w:sz w:val="22"/>
        </w:rPr>
        <w:t>desaparecer</w:t>
      </w:r>
      <w:r w:rsidRPr="00DC5CAD">
        <w:rPr>
          <w:rFonts w:ascii="Arial" w:eastAsia="Calibri" w:hAnsi="Arial" w:cs="Arial"/>
          <w:sz w:val="22"/>
        </w:rPr>
        <w:t xml:space="preserve">, y esa nueva sociedad o sociedad existente que son las beneficiarias, son la misma sociedad que se </w:t>
      </w:r>
      <w:r w:rsidR="002B088C" w:rsidRPr="00DC5CAD">
        <w:rPr>
          <w:rFonts w:ascii="Arial" w:eastAsia="Calibri" w:hAnsi="Arial" w:cs="Arial"/>
          <w:sz w:val="22"/>
        </w:rPr>
        <w:t>«</w:t>
      </w:r>
      <w:r w:rsidRPr="00DC5CAD">
        <w:rPr>
          <w:rFonts w:ascii="Arial" w:eastAsia="Calibri" w:hAnsi="Arial" w:cs="Arial"/>
          <w:sz w:val="22"/>
        </w:rPr>
        <w:t>disolvió</w:t>
      </w:r>
      <w:r w:rsidR="002B088C" w:rsidRPr="00DC5CAD">
        <w:rPr>
          <w:rFonts w:ascii="Arial" w:eastAsia="Calibri" w:hAnsi="Arial" w:cs="Arial"/>
          <w:sz w:val="22"/>
        </w:rPr>
        <w:t>»</w:t>
      </w:r>
      <w:r w:rsidRPr="00DC5CAD">
        <w:rPr>
          <w:rFonts w:ascii="Arial" w:eastAsia="Calibri" w:hAnsi="Arial" w:cs="Arial"/>
          <w:sz w:val="22"/>
        </w:rPr>
        <w:t xml:space="preserve"> para convertirse en ellas, sin afectar lo adquirido por la sociedad </w:t>
      </w:r>
      <w:r w:rsidR="002B088C" w:rsidRPr="00DC5CAD">
        <w:rPr>
          <w:rFonts w:ascii="Arial" w:eastAsia="Calibri" w:hAnsi="Arial" w:cs="Arial"/>
          <w:sz w:val="22"/>
        </w:rPr>
        <w:t>«</w:t>
      </w:r>
      <w:r w:rsidRPr="00DC5CAD">
        <w:rPr>
          <w:rFonts w:ascii="Arial" w:eastAsia="Calibri" w:hAnsi="Arial" w:cs="Arial"/>
          <w:sz w:val="22"/>
        </w:rPr>
        <w:t>disuelta</w:t>
      </w:r>
      <w:r w:rsidR="002B088C" w:rsidRPr="00DC5CAD">
        <w:rPr>
          <w:rFonts w:ascii="Arial" w:eastAsia="Calibri" w:hAnsi="Arial" w:cs="Arial"/>
          <w:sz w:val="22"/>
        </w:rPr>
        <w:t>»</w:t>
      </w:r>
      <w:r w:rsidRPr="00DC5CAD">
        <w:rPr>
          <w:rFonts w:ascii="Arial" w:eastAsia="Calibri" w:hAnsi="Arial" w:cs="Arial"/>
          <w:sz w:val="22"/>
        </w:rPr>
        <w:t>.</w:t>
      </w:r>
    </w:p>
    <w:p w14:paraId="2C8AB553" w14:textId="77777777" w:rsidR="002B088C" w:rsidRPr="00DC5CAD" w:rsidRDefault="002B088C" w:rsidP="001D1F8F">
      <w:pPr>
        <w:spacing w:line="276" w:lineRule="auto"/>
        <w:jc w:val="both"/>
        <w:rPr>
          <w:rFonts w:ascii="Arial" w:eastAsia="Calibri" w:hAnsi="Arial" w:cs="Arial"/>
          <w:b/>
          <w:bCs/>
          <w:sz w:val="22"/>
        </w:rPr>
      </w:pPr>
    </w:p>
    <w:p w14:paraId="525E9E17" w14:textId="21048609" w:rsidR="004E0F28" w:rsidRPr="00DC5CAD" w:rsidRDefault="004E0F28" w:rsidP="001D1F8F">
      <w:pPr>
        <w:spacing w:line="276" w:lineRule="auto"/>
        <w:jc w:val="both"/>
        <w:rPr>
          <w:rFonts w:ascii="Arial" w:eastAsia="Calibri" w:hAnsi="Arial" w:cs="Arial"/>
          <w:b/>
          <w:bCs/>
          <w:sz w:val="22"/>
        </w:rPr>
      </w:pPr>
      <w:r w:rsidRPr="00DC5CAD">
        <w:rPr>
          <w:rFonts w:ascii="Arial" w:eastAsia="Calibri" w:hAnsi="Arial" w:cs="Arial"/>
          <w:b/>
          <w:bCs/>
          <w:sz w:val="22"/>
        </w:rPr>
        <w:t>c) Fusión</w:t>
      </w:r>
    </w:p>
    <w:p w14:paraId="12E3B93E" w14:textId="77777777" w:rsidR="004E0F28" w:rsidRPr="00DC5CAD" w:rsidRDefault="004E0F28" w:rsidP="001D1F8F">
      <w:pPr>
        <w:spacing w:line="276" w:lineRule="auto"/>
        <w:jc w:val="both"/>
        <w:rPr>
          <w:rFonts w:ascii="Arial" w:eastAsia="Calibri" w:hAnsi="Arial" w:cs="Arial"/>
          <w:b/>
          <w:bCs/>
          <w:sz w:val="22"/>
        </w:rPr>
      </w:pPr>
    </w:p>
    <w:p w14:paraId="45462DAE" w14:textId="737A98E5" w:rsidR="004E0F28" w:rsidRPr="00DC5CAD" w:rsidRDefault="004E0F28" w:rsidP="001D1F8F">
      <w:pPr>
        <w:spacing w:line="276" w:lineRule="auto"/>
        <w:jc w:val="both"/>
        <w:rPr>
          <w:rFonts w:ascii="Arial" w:eastAsia="Calibri" w:hAnsi="Arial" w:cs="Arial"/>
          <w:sz w:val="22"/>
        </w:rPr>
      </w:pPr>
      <w:r w:rsidRPr="00DC5CAD">
        <w:rPr>
          <w:rFonts w:ascii="Arial" w:eastAsia="Calibri" w:hAnsi="Arial" w:cs="Arial"/>
          <w:sz w:val="22"/>
        </w:rPr>
        <w:t xml:space="preserve">Es una figura con 4 tipologías: i) por absorción: una o más sociedades se </w:t>
      </w:r>
      <w:r w:rsidR="002B088C" w:rsidRPr="00DC5CAD">
        <w:rPr>
          <w:rFonts w:ascii="Arial" w:eastAsia="Calibri" w:hAnsi="Arial" w:cs="Arial"/>
          <w:sz w:val="22"/>
        </w:rPr>
        <w:t>«</w:t>
      </w:r>
      <w:r w:rsidRPr="00DC5CAD">
        <w:rPr>
          <w:rFonts w:ascii="Arial" w:eastAsia="Calibri" w:hAnsi="Arial" w:cs="Arial"/>
          <w:sz w:val="22"/>
        </w:rPr>
        <w:t>disuelven</w:t>
      </w:r>
      <w:r w:rsidR="002B088C" w:rsidRPr="00DC5CAD">
        <w:rPr>
          <w:rFonts w:ascii="Arial" w:eastAsia="Calibri" w:hAnsi="Arial" w:cs="Arial"/>
          <w:sz w:val="22"/>
        </w:rPr>
        <w:t>»</w:t>
      </w:r>
      <w:r w:rsidRPr="00DC5CAD">
        <w:rPr>
          <w:rFonts w:ascii="Arial" w:eastAsia="Calibri" w:hAnsi="Arial" w:cs="Arial"/>
          <w:sz w:val="22"/>
        </w:rPr>
        <w:t xml:space="preserve"> sin </w:t>
      </w:r>
      <w:r w:rsidR="002B088C" w:rsidRPr="00DC5CAD">
        <w:rPr>
          <w:rFonts w:ascii="Arial" w:eastAsia="Calibri" w:hAnsi="Arial" w:cs="Arial"/>
          <w:sz w:val="22"/>
        </w:rPr>
        <w:t>«</w:t>
      </w:r>
      <w:r w:rsidRPr="00DC5CAD">
        <w:rPr>
          <w:rFonts w:ascii="Arial" w:eastAsia="Calibri" w:hAnsi="Arial" w:cs="Arial"/>
          <w:sz w:val="22"/>
        </w:rPr>
        <w:t>liquidarse</w:t>
      </w:r>
      <w:r w:rsidR="002B088C" w:rsidRPr="00DC5CAD">
        <w:rPr>
          <w:rFonts w:ascii="Arial" w:eastAsia="Calibri" w:hAnsi="Arial" w:cs="Arial"/>
          <w:sz w:val="22"/>
        </w:rPr>
        <w:t>»</w:t>
      </w:r>
      <w:r w:rsidRPr="00DC5CAD">
        <w:rPr>
          <w:rFonts w:ascii="Arial" w:eastAsia="Calibri" w:hAnsi="Arial" w:cs="Arial"/>
          <w:sz w:val="22"/>
        </w:rPr>
        <w:t xml:space="preserve"> para ser absorbidas por otra existente; </w:t>
      </w:r>
      <w:proofErr w:type="spellStart"/>
      <w:r w:rsidRPr="00DC5CAD">
        <w:rPr>
          <w:rFonts w:ascii="Arial" w:eastAsia="Calibri" w:hAnsi="Arial" w:cs="Arial"/>
          <w:sz w:val="22"/>
        </w:rPr>
        <w:t>ii</w:t>
      </w:r>
      <w:proofErr w:type="spellEnd"/>
      <w:r w:rsidRPr="00DC5CAD">
        <w:rPr>
          <w:rFonts w:ascii="Arial" w:eastAsia="Calibri" w:hAnsi="Arial" w:cs="Arial"/>
          <w:sz w:val="22"/>
        </w:rPr>
        <w:t xml:space="preserve">) por creación: una o más sociedades se </w:t>
      </w:r>
      <w:r w:rsidR="002B088C" w:rsidRPr="00DC5CAD">
        <w:rPr>
          <w:rFonts w:ascii="Arial" w:eastAsia="Calibri" w:hAnsi="Arial" w:cs="Arial"/>
          <w:sz w:val="22"/>
        </w:rPr>
        <w:t>«</w:t>
      </w:r>
      <w:r w:rsidRPr="00DC5CAD">
        <w:rPr>
          <w:rFonts w:ascii="Arial" w:eastAsia="Calibri" w:hAnsi="Arial" w:cs="Arial"/>
          <w:sz w:val="22"/>
        </w:rPr>
        <w:t>disuelven</w:t>
      </w:r>
      <w:r w:rsidR="002B088C" w:rsidRPr="00DC5CAD">
        <w:rPr>
          <w:rFonts w:ascii="Arial" w:eastAsia="Calibri" w:hAnsi="Arial" w:cs="Arial"/>
          <w:sz w:val="22"/>
        </w:rPr>
        <w:t>»</w:t>
      </w:r>
      <w:r w:rsidRPr="00DC5CAD">
        <w:rPr>
          <w:rFonts w:ascii="Arial" w:eastAsia="Calibri" w:hAnsi="Arial" w:cs="Arial"/>
          <w:sz w:val="22"/>
        </w:rPr>
        <w:t xml:space="preserve"> sin </w:t>
      </w:r>
      <w:r w:rsidR="002B088C" w:rsidRPr="00DC5CAD">
        <w:rPr>
          <w:rFonts w:ascii="Arial" w:eastAsia="Calibri" w:hAnsi="Arial" w:cs="Arial"/>
          <w:sz w:val="22"/>
        </w:rPr>
        <w:t>«</w:t>
      </w:r>
      <w:r w:rsidRPr="00DC5CAD">
        <w:rPr>
          <w:rFonts w:ascii="Arial" w:eastAsia="Calibri" w:hAnsi="Arial" w:cs="Arial"/>
          <w:sz w:val="22"/>
        </w:rPr>
        <w:t>liquidarse</w:t>
      </w:r>
      <w:r w:rsidR="002B088C" w:rsidRPr="00DC5CAD">
        <w:rPr>
          <w:rFonts w:ascii="Arial" w:eastAsia="Calibri" w:hAnsi="Arial" w:cs="Arial"/>
          <w:sz w:val="22"/>
        </w:rPr>
        <w:t>»</w:t>
      </w:r>
      <w:r w:rsidRPr="00DC5CAD">
        <w:rPr>
          <w:rFonts w:ascii="Arial" w:eastAsia="Calibri" w:hAnsi="Arial" w:cs="Arial"/>
          <w:sz w:val="22"/>
        </w:rPr>
        <w:t xml:space="preserve"> para ser absorbidas por otra nueva</w:t>
      </w:r>
      <w:r w:rsidRPr="00DC5CAD">
        <w:rPr>
          <w:rStyle w:val="Refdenotaalpie"/>
          <w:rFonts w:ascii="Arial" w:eastAsia="Calibri" w:hAnsi="Arial" w:cs="Arial"/>
          <w:sz w:val="22"/>
        </w:rPr>
        <w:footnoteReference w:id="17"/>
      </w:r>
      <w:r w:rsidRPr="00DC5CAD">
        <w:rPr>
          <w:rFonts w:ascii="Arial" w:eastAsia="Calibri" w:hAnsi="Arial" w:cs="Arial"/>
          <w:sz w:val="22"/>
        </w:rPr>
        <w:t xml:space="preserve">; </w:t>
      </w:r>
      <w:proofErr w:type="spellStart"/>
      <w:r w:rsidRPr="00DC5CAD">
        <w:rPr>
          <w:rFonts w:ascii="Arial" w:eastAsia="Calibri" w:hAnsi="Arial" w:cs="Arial"/>
          <w:sz w:val="22"/>
        </w:rPr>
        <w:t>iii</w:t>
      </w:r>
      <w:proofErr w:type="spellEnd"/>
      <w:r w:rsidRPr="00DC5CAD">
        <w:rPr>
          <w:rFonts w:ascii="Arial" w:eastAsia="Calibri" w:hAnsi="Arial" w:cs="Arial"/>
          <w:sz w:val="22"/>
        </w:rPr>
        <w:t xml:space="preserve">) impropia: una sociedad se </w:t>
      </w:r>
      <w:r w:rsidR="002B088C" w:rsidRPr="00DC5CAD">
        <w:rPr>
          <w:rFonts w:ascii="Arial" w:eastAsia="Calibri" w:hAnsi="Arial" w:cs="Arial"/>
          <w:sz w:val="22"/>
        </w:rPr>
        <w:t>«</w:t>
      </w:r>
      <w:r w:rsidRPr="00DC5CAD">
        <w:rPr>
          <w:rFonts w:ascii="Arial" w:eastAsia="Calibri" w:hAnsi="Arial" w:cs="Arial"/>
          <w:sz w:val="22"/>
        </w:rPr>
        <w:t>disuelve</w:t>
      </w:r>
      <w:r w:rsidR="002B088C" w:rsidRPr="00DC5CAD">
        <w:rPr>
          <w:rFonts w:ascii="Arial" w:eastAsia="Calibri" w:hAnsi="Arial" w:cs="Arial"/>
          <w:sz w:val="22"/>
        </w:rPr>
        <w:t>»</w:t>
      </w:r>
      <w:r w:rsidRPr="00DC5CAD">
        <w:rPr>
          <w:rFonts w:ascii="Arial" w:eastAsia="Calibri" w:hAnsi="Arial" w:cs="Arial"/>
          <w:sz w:val="22"/>
        </w:rPr>
        <w:t xml:space="preserve"> sin el propósito de realizar una fusión sino de </w:t>
      </w:r>
      <w:r w:rsidR="002B088C" w:rsidRPr="00DC5CAD">
        <w:rPr>
          <w:rFonts w:ascii="Arial" w:eastAsia="Calibri" w:hAnsi="Arial" w:cs="Arial"/>
          <w:sz w:val="22"/>
        </w:rPr>
        <w:t>«</w:t>
      </w:r>
      <w:r w:rsidRPr="00DC5CAD">
        <w:rPr>
          <w:rFonts w:ascii="Arial" w:eastAsia="Calibri" w:hAnsi="Arial" w:cs="Arial"/>
          <w:sz w:val="22"/>
        </w:rPr>
        <w:t>liquidarse</w:t>
      </w:r>
      <w:r w:rsidR="002B088C" w:rsidRPr="00DC5CAD">
        <w:rPr>
          <w:rFonts w:ascii="Arial" w:eastAsia="Calibri" w:hAnsi="Arial" w:cs="Arial"/>
          <w:sz w:val="22"/>
        </w:rPr>
        <w:t>»</w:t>
      </w:r>
      <w:r w:rsidRPr="00DC5CAD">
        <w:rPr>
          <w:rFonts w:ascii="Arial" w:eastAsia="Calibri" w:hAnsi="Arial" w:cs="Arial"/>
          <w:sz w:val="22"/>
        </w:rPr>
        <w:t>, y antes de la liquidación se toma la decisión de crear una sociedad</w:t>
      </w:r>
      <w:r w:rsidRPr="00DC5CAD">
        <w:rPr>
          <w:rStyle w:val="Refdenotaalpie"/>
          <w:rFonts w:ascii="Arial" w:eastAsia="Calibri" w:hAnsi="Arial" w:cs="Arial"/>
          <w:sz w:val="22"/>
        </w:rPr>
        <w:footnoteReference w:id="18"/>
      </w:r>
      <w:r w:rsidRPr="00DC5CAD">
        <w:rPr>
          <w:rFonts w:ascii="Arial" w:eastAsia="Calibri" w:hAnsi="Arial" w:cs="Arial"/>
          <w:sz w:val="22"/>
        </w:rPr>
        <w:t xml:space="preserve">; </w:t>
      </w:r>
      <w:proofErr w:type="spellStart"/>
      <w:r w:rsidRPr="00DC5CAD">
        <w:rPr>
          <w:rFonts w:ascii="Arial" w:eastAsia="Calibri" w:hAnsi="Arial" w:cs="Arial"/>
          <w:sz w:val="22"/>
        </w:rPr>
        <w:t>iv</w:t>
      </w:r>
      <w:proofErr w:type="spellEnd"/>
      <w:r w:rsidRPr="00DC5CAD">
        <w:rPr>
          <w:rFonts w:ascii="Arial" w:eastAsia="Calibri" w:hAnsi="Arial" w:cs="Arial"/>
          <w:sz w:val="22"/>
        </w:rPr>
        <w:t>) abreviada: Solo aplica cuando una Sociedad por Acciones Simplificada (S.A.S) pertenece a otra sociedad en más del 90% de sus acciones, y es posible que esa sociedad controlante absorba a la S.A.S, es decir, que ocurra una fusión por absorción</w:t>
      </w:r>
      <w:r w:rsidRPr="00DC5CAD">
        <w:rPr>
          <w:rStyle w:val="Refdenotaalpie"/>
          <w:rFonts w:ascii="Arial" w:eastAsia="Calibri" w:hAnsi="Arial" w:cs="Arial"/>
          <w:sz w:val="22"/>
        </w:rPr>
        <w:footnoteReference w:id="19"/>
      </w:r>
      <w:r w:rsidRPr="00DC5CAD">
        <w:rPr>
          <w:rFonts w:ascii="Arial" w:eastAsia="Calibri" w:hAnsi="Arial" w:cs="Arial"/>
          <w:sz w:val="22"/>
        </w:rPr>
        <w:t xml:space="preserve">. La norma no </w:t>
      </w:r>
      <w:r w:rsidR="004C437A" w:rsidRPr="00DC5CAD">
        <w:rPr>
          <w:rFonts w:ascii="Arial" w:eastAsia="Calibri" w:hAnsi="Arial" w:cs="Arial"/>
          <w:sz w:val="22"/>
        </w:rPr>
        <w:t>se refi</w:t>
      </w:r>
      <w:r w:rsidR="00FB21E1">
        <w:rPr>
          <w:rFonts w:ascii="Arial" w:eastAsia="Calibri" w:hAnsi="Arial" w:cs="Arial"/>
          <w:sz w:val="22"/>
        </w:rPr>
        <w:t>e</w:t>
      </w:r>
      <w:r w:rsidR="004C437A" w:rsidRPr="00DC5CAD">
        <w:rPr>
          <w:rFonts w:ascii="Arial" w:eastAsia="Calibri" w:hAnsi="Arial" w:cs="Arial"/>
          <w:sz w:val="22"/>
        </w:rPr>
        <w:t>re a la</w:t>
      </w:r>
      <w:r w:rsidRPr="00DC5CAD">
        <w:rPr>
          <w:rFonts w:ascii="Arial" w:eastAsia="Calibri" w:hAnsi="Arial" w:cs="Arial"/>
          <w:sz w:val="22"/>
        </w:rPr>
        <w:t xml:space="preserve"> </w:t>
      </w:r>
      <w:r w:rsidR="002B088C" w:rsidRPr="00DC5CAD">
        <w:rPr>
          <w:rFonts w:ascii="Arial" w:eastAsia="Calibri" w:hAnsi="Arial" w:cs="Arial"/>
          <w:sz w:val="22"/>
        </w:rPr>
        <w:t>«</w:t>
      </w:r>
      <w:r w:rsidRPr="00DC5CAD">
        <w:rPr>
          <w:rFonts w:ascii="Arial" w:eastAsia="Calibri" w:hAnsi="Arial" w:cs="Arial"/>
          <w:sz w:val="22"/>
        </w:rPr>
        <w:t>disolución de la S.A.S</w:t>
      </w:r>
      <w:r w:rsidR="002B088C" w:rsidRPr="00DC5CAD">
        <w:rPr>
          <w:rFonts w:ascii="Arial" w:eastAsia="Calibri" w:hAnsi="Arial" w:cs="Arial"/>
          <w:sz w:val="22"/>
        </w:rPr>
        <w:t>»</w:t>
      </w:r>
      <w:r w:rsidRPr="00DC5CAD">
        <w:rPr>
          <w:rFonts w:ascii="Arial" w:eastAsia="Calibri" w:hAnsi="Arial" w:cs="Arial"/>
          <w:sz w:val="22"/>
        </w:rPr>
        <w:t xml:space="preserve">, lo cual no implica que no exista fusión, sino que es abreviada porque no se requiere configurar el estado de </w:t>
      </w:r>
      <w:r w:rsidR="002B088C" w:rsidRPr="00DC5CAD">
        <w:rPr>
          <w:rFonts w:ascii="Arial" w:eastAsia="Calibri" w:hAnsi="Arial" w:cs="Arial"/>
          <w:sz w:val="22"/>
        </w:rPr>
        <w:t>«</w:t>
      </w:r>
      <w:r w:rsidRPr="00DC5CAD">
        <w:rPr>
          <w:rFonts w:ascii="Arial" w:eastAsia="Calibri" w:hAnsi="Arial" w:cs="Arial"/>
          <w:sz w:val="22"/>
        </w:rPr>
        <w:t>disolución</w:t>
      </w:r>
      <w:r w:rsidR="002B088C" w:rsidRPr="00DC5CAD">
        <w:rPr>
          <w:rFonts w:ascii="Arial" w:eastAsia="Calibri" w:hAnsi="Arial" w:cs="Arial"/>
          <w:sz w:val="22"/>
        </w:rPr>
        <w:t>»</w:t>
      </w:r>
      <w:r w:rsidRPr="00DC5CAD">
        <w:rPr>
          <w:rFonts w:ascii="Arial" w:eastAsia="Calibri" w:hAnsi="Arial" w:cs="Arial"/>
          <w:sz w:val="22"/>
        </w:rPr>
        <w:t xml:space="preserve"> de la sociedad.</w:t>
      </w:r>
    </w:p>
    <w:p w14:paraId="305341DB" w14:textId="3C1C4F98" w:rsidR="004E0F28" w:rsidRPr="00DC5CAD" w:rsidRDefault="004E0F28" w:rsidP="004E0F28">
      <w:pPr>
        <w:spacing w:before="120" w:line="276" w:lineRule="auto"/>
        <w:ind w:firstLine="708"/>
        <w:jc w:val="both"/>
        <w:rPr>
          <w:rFonts w:ascii="Arial" w:eastAsia="Calibri" w:hAnsi="Arial" w:cs="Arial"/>
          <w:bCs/>
          <w:sz w:val="22"/>
        </w:rPr>
      </w:pPr>
      <w:r w:rsidRPr="00DC5CAD">
        <w:rPr>
          <w:rFonts w:ascii="Arial" w:eastAsia="Calibri" w:hAnsi="Arial" w:cs="Arial"/>
          <w:bCs/>
          <w:sz w:val="22"/>
        </w:rPr>
        <w:t>Para analizar la fusión y sus efectos respecto de la experiencia de la sociedad que se</w:t>
      </w:r>
      <w:r w:rsidR="002B088C" w:rsidRPr="00DC5CAD">
        <w:rPr>
          <w:rFonts w:ascii="Arial" w:eastAsia="Calibri" w:hAnsi="Arial" w:cs="Arial"/>
          <w:bCs/>
          <w:sz w:val="22"/>
        </w:rPr>
        <w:t xml:space="preserve"> </w:t>
      </w:r>
      <w:r w:rsidR="002B088C" w:rsidRPr="00DC5CAD">
        <w:rPr>
          <w:rFonts w:ascii="Arial" w:eastAsia="Calibri" w:hAnsi="Arial" w:cs="Arial"/>
          <w:sz w:val="22"/>
        </w:rPr>
        <w:t>«</w:t>
      </w:r>
      <w:r w:rsidRPr="00DC5CAD">
        <w:rPr>
          <w:rFonts w:ascii="Arial" w:eastAsia="Calibri" w:hAnsi="Arial" w:cs="Arial"/>
          <w:bCs/>
          <w:sz w:val="22"/>
        </w:rPr>
        <w:t>disuelve</w:t>
      </w:r>
      <w:r w:rsidR="002B088C" w:rsidRPr="00DC5CAD">
        <w:rPr>
          <w:rFonts w:ascii="Arial" w:eastAsia="Calibri" w:hAnsi="Arial" w:cs="Arial"/>
          <w:bCs/>
          <w:sz w:val="22"/>
        </w:rPr>
        <w:t>»</w:t>
      </w:r>
      <w:r w:rsidRPr="00DC5CAD">
        <w:rPr>
          <w:rFonts w:ascii="Arial" w:eastAsia="Calibri" w:hAnsi="Arial" w:cs="Arial"/>
          <w:bCs/>
          <w:sz w:val="22"/>
        </w:rPr>
        <w:t xml:space="preserve"> pero no se </w:t>
      </w:r>
      <w:r w:rsidR="002B088C" w:rsidRPr="00DC5CAD">
        <w:rPr>
          <w:rFonts w:ascii="Arial" w:eastAsia="Calibri" w:hAnsi="Arial" w:cs="Arial"/>
          <w:sz w:val="22"/>
        </w:rPr>
        <w:t>«</w:t>
      </w:r>
      <w:r w:rsidRPr="00DC5CAD">
        <w:rPr>
          <w:rFonts w:ascii="Arial" w:eastAsia="Calibri" w:hAnsi="Arial" w:cs="Arial"/>
          <w:bCs/>
          <w:sz w:val="22"/>
        </w:rPr>
        <w:t>liquida</w:t>
      </w:r>
      <w:r w:rsidR="002B088C" w:rsidRPr="00DC5CAD">
        <w:rPr>
          <w:rFonts w:ascii="Arial" w:eastAsia="Calibri" w:hAnsi="Arial" w:cs="Arial"/>
          <w:bCs/>
          <w:sz w:val="22"/>
        </w:rPr>
        <w:t>»</w:t>
      </w:r>
      <w:r w:rsidRPr="00DC5CAD">
        <w:rPr>
          <w:rFonts w:ascii="Arial" w:eastAsia="Calibri" w:hAnsi="Arial" w:cs="Arial"/>
          <w:bCs/>
          <w:sz w:val="22"/>
        </w:rPr>
        <w:t xml:space="preserve">, es necesario reiterar la explicación dada respecto de la segunda modalidad de escisión, y es que siempre que la sociedad no se liquide, es decir, que no desaparezca, la experiencia puede ser trasladada y no compartida, ya que la trasferencia ocurre porque la persona jurídica continúa a través de otra, esto es, deja de ser quien es pero no desaparece porque otra sociedad se convierte en ella, ya sea una sociedad nueva cuando es fusión por creación, o una sociedad existente en la fusión por absorción, y estas sociedades serán la sociedad absorbida, y continuarán su </w:t>
      </w:r>
      <w:r w:rsidR="004C437A" w:rsidRPr="00DC5CAD">
        <w:rPr>
          <w:rFonts w:ascii="Arial" w:eastAsia="Calibri" w:hAnsi="Arial" w:cs="Arial"/>
          <w:bCs/>
          <w:sz w:val="22"/>
        </w:rPr>
        <w:t>existencia</w:t>
      </w:r>
      <w:r w:rsidRPr="00DC5CAD">
        <w:rPr>
          <w:rFonts w:ascii="Arial" w:eastAsia="Calibri" w:hAnsi="Arial" w:cs="Arial"/>
          <w:bCs/>
          <w:sz w:val="22"/>
        </w:rPr>
        <w:t xml:space="preserve"> jurídica. </w:t>
      </w:r>
      <w:r w:rsidR="004C437A" w:rsidRPr="00DC5CAD">
        <w:rPr>
          <w:rFonts w:ascii="Arial" w:eastAsia="Calibri" w:hAnsi="Arial" w:cs="Arial"/>
          <w:bCs/>
          <w:sz w:val="22"/>
        </w:rPr>
        <w:t>En este caso l</w:t>
      </w:r>
      <w:r w:rsidRPr="00DC5CAD">
        <w:rPr>
          <w:rFonts w:ascii="Arial" w:eastAsia="Calibri" w:hAnsi="Arial" w:cs="Arial"/>
          <w:bCs/>
          <w:sz w:val="22"/>
        </w:rPr>
        <w:t>a experiencia no se comparte</w:t>
      </w:r>
      <w:r w:rsidR="004C437A" w:rsidRPr="00DC5CAD">
        <w:rPr>
          <w:rFonts w:ascii="Arial" w:eastAsia="Calibri" w:hAnsi="Arial" w:cs="Arial"/>
          <w:bCs/>
          <w:sz w:val="22"/>
        </w:rPr>
        <w:t xml:space="preserve">, </w:t>
      </w:r>
      <w:r w:rsidRPr="00DC5CAD">
        <w:rPr>
          <w:rFonts w:ascii="Arial" w:eastAsia="Calibri" w:hAnsi="Arial" w:cs="Arial"/>
          <w:bCs/>
          <w:sz w:val="22"/>
        </w:rPr>
        <w:t xml:space="preserve">porque para esto la sociedad debería continuar individualmente considerada, pero en este </w:t>
      </w:r>
      <w:r w:rsidR="004C437A" w:rsidRPr="00DC5CAD">
        <w:rPr>
          <w:rFonts w:ascii="Arial" w:eastAsia="Calibri" w:hAnsi="Arial" w:cs="Arial"/>
          <w:bCs/>
          <w:sz w:val="22"/>
        </w:rPr>
        <w:t>evento</w:t>
      </w:r>
      <w:r w:rsidRPr="00DC5CAD">
        <w:rPr>
          <w:rFonts w:ascii="Arial" w:eastAsia="Calibri" w:hAnsi="Arial" w:cs="Arial"/>
          <w:bCs/>
          <w:sz w:val="22"/>
        </w:rPr>
        <w:t xml:space="preserve"> continúa a través de otra, a quien le transfiere su experiencia y todos sus derechos y obligaciones, de conformidad con el artículo 172 y siguientes del Código de Comercio. </w:t>
      </w:r>
    </w:p>
    <w:p w14:paraId="7CDF7930" w14:textId="77777777" w:rsidR="00640730" w:rsidRPr="00DC5CAD" w:rsidRDefault="00640730" w:rsidP="004E0F28">
      <w:pPr>
        <w:pStyle w:val="Sinespaciado"/>
        <w:ind w:firstLine="709"/>
        <w:jc w:val="both"/>
        <w:rPr>
          <w:rFonts w:ascii="Arial" w:hAnsi="Arial" w:cs="Arial"/>
          <w:sz w:val="22"/>
        </w:rPr>
      </w:pPr>
    </w:p>
    <w:p w14:paraId="6F5967EC" w14:textId="0C11AC21" w:rsidR="00347B31" w:rsidRPr="00DC5CAD" w:rsidRDefault="00592C46" w:rsidP="004E0F28">
      <w:pPr>
        <w:jc w:val="both"/>
        <w:rPr>
          <w:rFonts w:ascii="Arial" w:hAnsi="Arial" w:cs="Arial"/>
          <w:b/>
          <w:sz w:val="22"/>
        </w:rPr>
      </w:pPr>
      <w:r w:rsidRPr="00DC5CAD">
        <w:rPr>
          <w:rFonts w:ascii="Arial" w:hAnsi="Arial" w:cs="Arial"/>
          <w:b/>
          <w:sz w:val="22"/>
        </w:rPr>
        <w:t xml:space="preserve">3. </w:t>
      </w:r>
      <w:r w:rsidR="00347B31" w:rsidRPr="00DC5CAD">
        <w:rPr>
          <w:rFonts w:ascii="Arial" w:hAnsi="Arial" w:cs="Arial"/>
          <w:b/>
          <w:sz w:val="22"/>
        </w:rPr>
        <w:t>Respuesta</w:t>
      </w:r>
    </w:p>
    <w:p w14:paraId="2E0E5394" w14:textId="77777777" w:rsidR="00886D12" w:rsidRPr="00DC5CAD" w:rsidRDefault="00886D12" w:rsidP="004E0F28">
      <w:pPr>
        <w:pStyle w:val="Prrafodelista"/>
        <w:tabs>
          <w:tab w:val="left" w:pos="426"/>
        </w:tabs>
        <w:ind w:left="360"/>
        <w:jc w:val="both"/>
        <w:rPr>
          <w:rFonts w:ascii="Arial" w:eastAsia="Calibri" w:hAnsi="Arial" w:cs="Arial"/>
          <w:sz w:val="22"/>
        </w:rPr>
      </w:pPr>
    </w:p>
    <w:p w14:paraId="17CF93E1" w14:textId="67FA2221" w:rsidR="00592C46" w:rsidRPr="00DC5CAD" w:rsidRDefault="000E3CFC" w:rsidP="004E0F28">
      <w:pPr>
        <w:pStyle w:val="Prrafodelista"/>
        <w:tabs>
          <w:tab w:val="left" w:pos="426"/>
        </w:tabs>
        <w:ind w:left="709" w:right="709"/>
        <w:jc w:val="both"/>
        <w:rPr>
          <w:rFonts w:ascii="Arial" w:hAnsi="Arial" w:cs="Arial"/>
          <w:sz w:val="22"/>
          <w:lang w:val="es-CO"/>
        </w:rPr>
      </w:pPr>
      <w:proofErr w:type="gramStart"/>
      <w:r w:rsidRPr="00DC5CAD">
        <w:rPr>
          <w:rFonts w:ascii="Arial" w:eastAsia="Calibri" w:hAnsi="Arial" w:cs="Arial"/>
          <w:sz w:val="22"/>
        </w:rPr>
        <w:t>i)«</w:t>
      </w:r>
      <w:proofErr w:type="spellStart"/>
      <w:proofErr w:type="gramEnd"/>
      <w:r w:rsidRPr="00DC5CAD">
        <w:rPr>
          <w:rFonts w:ascii="Arial" w:hAnsi="Arial" w:cs="Arial"/>
          <w:sz w:val="22"/>
          <w:lang w:val="es-CO"/>
        </w:rPr>
        <w:t>que</w:t>
      </w:r>
      <w:proofErr w:type="spellEnd"/>
      <w:r w:rsidRPr="00DC5CAD">
        <w:rPr>
          <w:rFonts w:ascii="Arial" w:hAnsi="Arial" w:cs="Arial"/>
          <w:sz w:val="22"/>
          <w:lang w:val="es-CO"/>
        </w:rPr>
        <w:t xml:space="preserve"> pasa si dentro del curso de un proceso licitatorio (observaciones y evaluaciones), ¿el termino de 3 años otorgado por la Ley es cumplido?» </w:t>
      </w:r>
      <w:proofErr w:type="spellStart"/>
      <w:r w:rsidRPr="00DC5CAD">
        <w:rPr>
          <w:rFonts w:ascii="Arial" w:hAnsi="Arial" w:cs="Arial"/>
          <w:sz w:val="22"/>
          <w:lang w:val="es-CO"/>
        </w:rPr>
        <w:t>ii</w:t>
      </w:r>
      <w:proofErr w:type="spellEnd"/>
      <w:r w:rsidRPr="00DC5CAD">
        <w:rPr>
          <w:rFonts w:ascii="Arial" w:hAnsi="Arial" w:cs="Arial"/>
          <w:sz w:val="22"/>
          <w:lang w:val="es-CO"/>
        </w:rPr>
        <w:t>) «¿</w:t>
      </w:r>
      <w:proofErr w:type="spellStart"/>
      <w:r w:rsidRPr="00DC5CAD">
        <w:rPr>
          <w:rFonts w:ascii="Arial" w:hAnsi="Arial" w:cs="Arial"/>
          <w:sz w:val="22"/>
          <w:lang w:val="es-CO"/>
        </w:rPr>
        <w:t>Que</w:t>
      </w:r>
      <w:proofErr w:type="spellEnd"/>
      <w:r w:rsidRPr="00DC5CAD">
        <w:rPr>
          <w:rFonts w:ascii="Arial" w:hAnsi="Arial" w:cs="Arial"/>
          <w:sz w:val="22"/>
          <w:lang w:val="es-CO"/>
        </w:rPr>
        <w:t xml:space="preserve"> consecuencias tiene el cumplimiento del </w:t>
      </w:r>
      <w:proofErr w:type="spellStart"/>
      <w:r w:rsidRPr="00DC5CAD">
        <w:rPr>
          <w:rFonts w:ascii="Arial" w:hAnsi="Arial" w:cs="Arial"/>
          <w:sz w:val="22"/>
          <w:lang w:val="es-CO"/>
        </w:rPr>
        <w:t>termino</w:t>
      </w:r>
      <w:proofErr w:type="spellEnd"/>
      <w:r w:rsidRPr="00DC5CAD">
        <w:rPr>
          <w:rFonts w:ascii="Arial" w:hAnsi="Arial" w:cs="Arial"/>
          <w:sz w:val="22"/>
          <w:lang w:val="es-CO"/>
        </w:rPr>
        <w:t xml:space="preserve"> de 3 años para la presentación de la oferta del proponente?» </w:t>
      </w:r>
    </w:p>
    <w:p w14:paraId="55CAD5BA" w14:textId="61762D5D" w:rsidR="000E3CFC" w:rsidRPr="00DC5CAD" w:rsidRDefault="000E3CFC" w:rsidP="000E3CFC">
      <w:pPr>
        <w:tabs>
          <w:tab w:val="left" w:pos="426"/>
        </w:tabs>
        <w:ind w:right="709"/>
        <w:jc w:val="both"/>
        <w:rPr>
          <w:rFonts w:ascii="Arial" w:hAnsi="Arial" w:cs="Arial"/>
          <w:sz w:val="22"/>
          <w:lang w:val="es-CO"/>
        </w:rPr>
      </w:pPr>
    </w:p>
    <w:p w14:paraId="5F95EBAB" w14:textId="77777777" w:rsidR="000E3CFC" w:rsidRPr="00DC5CAD" w:rsidRDefault="000E3CFC" w:rsidP="00F30777">
      <w:pPr>
        <w:spacing w:after="120" w:line="276" w:lineRule="auto"/>
        <w:jc w:val="both"/>
        <w:rPr>
          <w:rFonts w:ascii="Arial" w:eastAsia="Calibri" w:hAnsi="Arial" w:cs="Arial"/>
          <w:sz w:val="22"/>
        </w:rPr>
      </w:pPr>
      <w:r w:rsidRPr="00DC5CAD">
        <w:rPr>
          <w:rFonts w:ascii="Arial" w:eastAsia="Calibri" w:hAnsi="Arial" w:cs="Arial"/>
          <w:sz w:val="22"/>
        </w:rPr>
        <w:t>De conformidad con la posición adoptada por la Agencia Nacional de Contratación Pública – Colombia Compra Eficiente a partir del concepto con radicado No. 4201913000006797 del 19 de noviembre de 2019, es posible que las sociedades de reciente creación que, en aplicación del beneficio establecido en el numeral 2.5 del artículo 2.2.1.1.1.5.2 del Decreto 1082 de 2015, hayan inscrito la experiencia de sus socios o accionistas en el RUP, puedan seguir acreditando dicha experiencia en los procedimientos de selección, aun después de cumplidos los 3 años de constitución, siempre que no hayan cesado los efectos del RUP por el incumplimiento del deber de renovación.</w:t>
      </w:r>
    </w:p>
    <w:p w14:paraId="0DB73F1A" w14:textId="6B18DE7A" w:rsidR="000E3CFC" w:rsidRPr="00DC5CAD" w:rsidRDefault="00F30777" w:rsidP="00F30777">
      <w:pPr>
        <w:pStyle w:val="Prrafodelista"/>
        <w:tabs>
          <w:tab w:val="left" w:pos="426"/>
        </w:tabs>
        <w:spacing w:line="276" w:lineRule="auto"/>
        <w:ind w:left="0" w:right="49"/>
        <w:jc w:val="both"/>
        <w:rPr>
          <w:rFonts w:ascii="Arial" w:hAnsi="Arial" w:cs="Arial"/>
          <w:sz w:val="22"/>
          <w:lang w:val="es-CO"/>
        </w:rPr>
      </w:pPr>
      <w:r w:rsidRPr="00DC5CAD">
        <w:rPr>
          <w:rFonts w:ascii="Arial" w:hAnsi="Arial" w:cs="Arial"/>
          <w:sz w:val="22"/>
          <w:lang w:val="es-CO"/>
        </w:rPr>
        <w:tab/>
      </w:r>
      <w:r w:rsidRPr="00DC5CAD">
        <w:rPr>
          <w:rFonts w:ascii="Arial" w:hAnsi="Arial" w:cs="Arial"/>
          <w:sz w:val="22"/>
          <w:lang w:val="es-CO"/>
        </w:rPr>
        <w:tab/>
        <w:t xml:space="preserve">En ese sentido, si en el marco del desarrollo de un proceso de selección en el que una sociedad hizo uso de la referida prerrogativa, vence el termino de tres años al que se refiere el numeral 2.5 del artículo </w:t>
      </w:r>
      <w:r w:rsidRPr="00DC5CAD">
        <w:rPr>
          <w:rFonts w:ascii="Arial" w:eastAsia="Calibri" w:hAnsi="Arial" w:cs="Arial"/>
          <w:sz w:val="22"/>
        </w:rPr>
        <w:t xml:space="preserve">2.2.1.1.1.5.2 del Decreto 1082 de 2015, la experiencia acreditada de los socios deberá ser tenida en cuenta por la referida entidad. </w:t>
      </w:r>
    </w:p>
    <w:p w14:paraId="5CD1DCD9" w14:textId="77777777" w:rsidR="00F30777" w:rsidRPr="00DC5CAD" w:rsidRDefault="00F30777" w:rsidP="004E0F28">
      <w:pPr>
        <w:pStyle w:val="Prrafodelista"/>
        <w:tabs>
          <w:tab w:val="left" w:pos="426"/>
        </w:tabs>
        <w:ind w:left="709" w:right="709"/>
        <w:jc w:val="both"/>
        <w:rPr>
          <w:rFonts w:ascii="Arial" w:hAnsi="Arial" w:cs="Arial"/>
          <w:sz w:val="22"/>
          <w:lang w:val="es-CO"/>
        </w:rPr>
      </w:pPr>
    </w:p>
    <w:p w14:paraId="7B0CD5A5" w14:textId="79EE66FC" w:rsidR="000E3CFC" w:rsidRPr="00DC5CAD" w:rsidRDefault="000E3CFC" w:rsidP="004E0F28">
      <w:pPr>
        <w:pStyle w:val="Prrafodelista"/>
        <w:tabs>
          <w:tab w:val="left" w:pos="426"/>
        </w:tabs>
        <w:ind w:left="709" w:right="709"/>
        <w:jc w:val="both"/>
        <w:rPr>
          <w:rFonts w:ascii="Arial" w:hAnsi="Arial" w:cs="Arial"/>
          <w:sz w:val="22"/>
          <w:lang w:val="es-CO"/>
        </w:rPr>
      </w:pPr>
      <w:proofErr w:type="spellStart"/>
      <w:r w:rsidRPr="00DC5CAD">
        <w:rPr>
          <w:rFonts w:ascii="Arial" w:hAnsi="Arial" w:cs="Arial"/>
          <w:sz w:val="22"/>
          <w:lang w:val="es-CO"/>
        </w:rPr>
        <w:t>iii</w:t>
      </w:r>
      <w:proofErr w:type="spellEnd"/>
      <w:r w:rsidRPr="00DC5CAD">
        <w:rPr>
          <w:rFonts w:ascii="Arial" w:hAnsi="Arial" w:cs="Arial"/>
          <w:sz w:val="22"/>
          <w:lang w:val="es-CO"/>
        </w:rPr>
        <w:t xml:space="preserve">) </w:t>
      </w:r>
      <w:r w:rsidR="00F30777" w:rsidRPr="00DC5CAD">
        <w:rPr>
          <w:rFonts w:ascii="Arial" w:hAnsi="Arial" w:cs="Arial"/>
          <w:sz w:val="22"/>
          <w:lang w:val="es-CO"/>
        </w:rPr>
        <w:t>«</w:t>
      </w:r>
      <w:r w:rsidRPr="00DC5CAD">
        <w:rPr>
          <w:rFonts w:ascii="Arial" w:hAnsi="Arial" w:cs="Arial"/>
          <w:sz w:val="22"/>
          <w:lang w:val="es-CO"/>
        </w:rPr>
        <w:t>¿Que ocurre con el traslado de la experiencia en el RUP de una compañía que se fusiona con otra? ¿La compañía que adquiere la otra compañía adquiere su experiencia?»</w:t>
      </w:r>
    </w:p>
    <w:p w14:paraId="5B4E8E24" w14:textId="77777777" w:rsidR="00F30777" w:rsidRPr="00DC5CAD" w:rsidRDefault="00F30777" w:rsidP="00F30777">
      <w:pPr>
        <w:spacing w:line="276" w:lineRule="auto"/>
        <w:jc w:val="both"/>
        <w:rPr>
          <w:rFonts w:ascii="Arial" w:eastAsia="Calibri" w:hAnsi="Arial" w:cs="Arial"/>
          <w:sz w:val="22"/>
        </w:rPr>
      </w:pPr>
    </w:p>
    <w:p w14:paraId="39D93F28" w14:textId="51523F2D" w:rsidR="00122E4E" w:rsidRPr="00DC5CAD" w:rsidRDefault="001D1F8F" w:rsidP="00F30777">
      <w:pPr>
        <w:spacing w:line="276" w:lineRule="auto"/>
        <w:jc w:val="both"/>
        <w:rPr>
          <w:rFonts w:ascii="Arial" w:eastAsia="Calibri" w:hAnsi="Arial" w:cs="Arial"/>
          <w:sz w:val="22"/>
        </w:rPr>
      </w:pPr>
      <w:r w:rsidRPr="00DC5CAD">
        <w:rPr>
          <w:rFonts w:ascii="Arial" w:eastAsia="Calibri" w:hAnsi="Arial" w:cs="Arial"/>
          <w:sz w:val="22"/>
        </w:rPr>
        <w:t>La posición de Colombia Compra Eficiente sobre las figuras y reformas estatutarias</w:t>
      </w:r>
      <w:r w:rsidR="005825BE" w:rsidRPr="00DC5CAD">
        <w:rPr>
          <w:rFonts w:ascii="Arial" w:eastAsia="Calibri" w:hAnsi="Arial" w:cs="Arial"/>
          <w:sz w:val="22"/>
        </w:rPr>
        <w:t xml:space="preserve"> de transformación, fusión y escisión</w:t>
      </w:r>
      <w:r w:rsidR="00CE1E2C" w:rsidRPr="00DC5CAD">
        <w:rPr>
          <w:rFonts w:ascii="Arial" w:eastAsia="Calibri" w:hAnsi="Arial" w:cs="Arial"/>
          <w:sz w:val="22"/>
        </w:rPr>
        <w:t>, respecto de la experiencia,</w:t>
      </w:r>
      <w:r w:rsidR="005825BE" w:rsidRPr="00DC5CAD">
        <w:rPr>
          <w:rFonts w:ascii="Arial" w:eastAsia="Calibri" w:hAnsi="Arial" w:cs="Arial"/>
          <w:sz w:val="22"/>
        </w:rPr>
        <w:t xml:space="preserve"> fue modificada teniendo en cuenta la regulación aplicable</w:t>
      </w:r>
      <w:r w:rsidR="00CE1E2C" w:rsidRPr="00DC5CAD">
        <w:rPr>
          <w:rFonts w:ascii="Arial" w:eastAsia="Calibri" w:hAnsi="Arial" w:cs="Arial"/>
          <w:sz w:val="22"/>
        </w:rPr>
        <w:t xml:space="preserve">. En consecuencia, </w:t>
      </w:r>
      <w:r w:rsidR="004E58D5" w:rsidRPr="00DC5CAD">
        <w:rPr>
          <w:rFonts w:ascii="Arial" w:eastAsia="Calibri" w:hAnsi="Arial" w:cs="Arial"/>
          <w:sz w:val="22"/>
        </w:rPr>
        <w:t xml:space="preserve">la transferencia de experiencia cuando una sociedad se transforma es posible porque </w:t>
      </w:r>
      <w:r w:rsidR="00122E4E" w:rsidRPr="00DC5CAD">
        <w:rPr>
          <w:rFonts w:ascii="Arial" w:eastAsia="Calibri" w:hAnsi="Arial" w:cs="Arial"/>
          <w:sz w:val="22"/>
        </w:rPr>
        <w:t xml:space="preserve">esta </w:t>
      </w:r>
      <w:r w:rsidR="004E58D5" w:rsidRPr="00DC5CAD">
        <w:rPr>
          <w:rFonts w:ascii="Arial" w:eastAsia="Calibri" w:hAnsi="Arial" w:cs="Arial"/>
          <w:sz w:val="22"/>
        </w:rPr>
        <w:t xml:space="preserve">no se </w:t>
      </w:r>
      <w:r w:rsidR="002B088C" w:rsidRPr="00DC5CAD">
        <w:rPr>
          <w:rFonts w:ascii="Arial" w:eastAsia="Calibri" w:hAnsi="Arial" w:cs="Arial"/>
          <w:sz w:val="22"/>
        </w:rPr>
        <w:t>«</w:t>
      </w:r>
      <w:r w:rsidR="004E58D5" w:rsidRPr="00DC5CAD">
        <w:rPr>
          <w:rFonts w:ascii="Arial" w:eastAsia="Calibri" w:hAnsi="Arial" w:cs="Arial"/>
          <w:sz w:val="22"/>
        </w:rPr>
        <w:t>disuelve</w:t>
      </w:r>
      <w:r w:rsidR="002B088C" w:rsidRPr="00DC5CAD">
        <w:rPr>
          <w:rFonts w:ascii="Arial" w:eastAsia="Calibri" w:hAnsi="Arial" w:cs="Arial"/>
          <w:sz w:val="22"/>
        </w:rPr>
        <w:t>»</w:t>
      </w:r>
      <w:r w:rsidR="004E58D5" w:rsidRPr="00DC5CAD">
        <w:rPr>
          <w:rFonts w:ascii="Arial" w:eastAsia="Calibri" w:hAnsi="Arial" w:cs="Arial"/>
          <w:sz w:val="22"/>
        </w:rPr>
        <w:t xml:space="preserve">, y por ende tampoco se </w:t>
      </w:r>
      <w:r w:rsidR="002B088C" w:rsidRPr="00DC5CAD">
        <w:rPr>
          <w:rFonts w:ascii="Arial" w:eastAsia="Calibri" w:hAnsi="Arial" w:cs="Arial"/>
          <w:sz w:val="22"/>
        </w:rPr>
        <w:t>«</w:t>
      </w:r>
      <w:r w:rsidR="004E58D5" w:rsidRPr="00DC5CAD">
        <w:rPr>
          <w:rFonts w:ascii="Arial" w:eastAsia="Calibri" w:hAnsi="Arial" w:cs="Arial"/>
          <w:sz w:val="22"/>
        </w:rPr>
        <w:t>liquida</w:t>
      </w:r>
      <w:r w:rsidR="002B088C" w:rsidRPr="00DC5CAD">
        <w:rPr>
          <w:rFonts w:ascii="Arial" w:eastAsia="Calibri" w:hAnsi="Arial" w:cs="Arial"/>
          <w:sz w:val="22"/>
        </w:rPr>
        <w:t>»</w:t>
      </w:r>
      <w:r w:rsidR="004E58D5" w:rsidRPr="00DC5CAD">
        <w:rPr>
          <w:rFonts w:ascii="Arial" w:eastAsia="Calibri" w:hAnsi="Arial" w:cs="Arial"/>
          <w:sz w:val="22"/>
        </w:rPr>
        <w:t xml:space="preserve"> </w:t>
      </w:r>
      <w:r w:rsidR="00D439F3" w:rsidRPr="00DC5CAD">
        <w:rPr>
          <w:rFonts w:ascii="Arial" w:eastAsia="Calibri" w:hAnsi="Arial" w:cs="Arial"/>
          <w:sz w:val="22"/>
        </w:rPr>
        <w:t xml:space="preserve">ya </w:t>
      </w:r>
      <w:r w:rsidR="004E58D5" w:rsidRPr="00DC5CAD">
        <w:rPr>
          <w:rFonts w:ascii="Arial" w:eastAsia="Calibri" w:hAnsi="Arial" w:cs="Arial"/>
          <w:sz w:val="22"/>
        </w:rPr>
        <w:t>que de acuerdo con el artículo 222 del Código de Comercio</w:t>
      </w:r>
      <w:r w:rsidR="00FD2843" w:rsidRPr="00DC5CAD">
        <w:rPr>
          <w:rFonts w:ascii="Arial" w:eastAsia="Calibri" w:hAnsi="Arial" w:cs="Arial"/>
          <w:sz w:val="22"/>
        </w:rPr>
        <w:t>,</w:t>
      </w:r>
      <w:r w:rsidR="004E58D5" w:rsidRPr="00DC5CAD">
        <w:rPr>
          <w:rFonts w:ascii="Arial" w:eastAsia="Calibri" w:hAnsi="Arial" w:cs="Arial"/>
          <w:sz w:val="22"/>
        </w:rPr>
        <w:t xml:space="preserve"> para </w:t>
      </w:r>
      <w:r w:rsidR="002B088C" w:rsidRPr="00DC5CAD">
        <w:rPr>
          <w:rFonts w:ascii="Arial" w:eastAsia="Calibri" w:hAnsi="Arial" w:cs="Arial"/>
          <w:sz w:val="22"/>
        </w:rPr>
        <w:t>«</w:t>
      </w:r>
      <w:r w:rsidR="004E58D5" w:rsidRPr="00DC5CAD">
        <w:rPr>
          <w:rFonts w:ascii="Arial" w:eastAsia="Calibri" w:hAnsi="Arial" w:cs="Arial"/>
          <w:sz w:val="22"/>
        </w:rPr>
        <w:t>liquidarse</w:t>
      </w:r>
      <w:r w:rsidR="002B088C" w:rsidRPr="00DC5CAD">
        <w:rPr>
          <w:rFonts w:ascii="Arial" w:eastAsia="Calibri" w:hAnsi="Arial" w:cs="Arial"/>
          <w:sz w:val="22"/>
        </w:rPr>
        <w:t>»</w:t>
      </w:r>
      <w:r w:rsidR="004E58D5" w:rsidRPr="00DC5CAD">
        <w:rPr>
          <w:rFonts w:ascii="Arial" w:eastAsia="Calibri" w:hAnsi="Arial" w:cs="Arial"/>
          <w:sz w:val="22"/>
        </w:rPr>
        <w:t xml:space="preserve"> necesita estar </w:t>
      </w:r>
      <w:r w:rsidR="002B088C" w:rsidRPr="00DC5CAD">
        <w:rPr>
          <w:rFonts w:ascii="Arial" w:eastAsia="Calibri" w:hAnsi="Arial" w:cs="Arial"/>
          <w:sz w:val="22"/>
        </w:rPr>
        <w:t>«</w:t>
      </w:r>
      <w:r w:rsidR="004E58D5" w:rsidRPr="00DC5CAD">
        <w:rPr>
          <w:rFonts w:ascii="Arial" w:eastAsia="Calibri" w:hAnsi="Arial" w:cs="Arial"/>
          <w:sz w:val="22"/>
        </w:rPr>
        <w:t>disuelta</w:t>
      </w:r>
      <w:r w:rsidR="002B088C" w:rsidRPr="00DC5CAD">
        <w:rPr>
          <w:rFonts w:ascii="Arial" w:eastAsia="Calibri" w:hAnsi="Arial" w:cs="Arial"/>
          <w:sz w:val="22"/>
        </w:rPr>
        <w:t>»</w:t>
      </w:r>
      <w:r w:rsidR="004E58D5" w:rsidRPr="00DC5CAD">
        <w:rPr>
          <w:rFonts w:ascii="Arial" w:eastAsia="Calibri" w:hAnsi="Arial" w:cs="Arial"/>
          <w:sz w:val="22"/>
        </w:rPr>
        <w:t>; solo cambia el tipo societario que había adoptado en su constitución</w:t>
      </w:r>
      <w:r w:rsidR="00122E4E" w:rsidRPr="00DC5CAD">
        <w:rPr>
          <w:rFonts w:ascii="Arial" w:eastAsia="Calibri" w:hAnsi="Arial" w:cs="Arial"/>
          <w:sz w:val="22"/>
        </w:rPr>
        <w:t>,</w:t>
      </w:r>
      <w:r w:rsidR="004E58D5" w:rsidRPr="00DC5CAD">
        <w:rPr>
          <w:rFonts w:ascii="Arial" w:eastAsia="Calibri" w:hAnsi="Arial" w:cs="Arial"/>
          <w:sz w:val="22"/>
        </w:rPr>
        <w:t xml:space="preserve"> y </w:t>
      </w:r>
      <w:r w:rsidR="00CE1E2C" w:rsidRPr="00DC5CAD">
        <w:rPr>
          <w:rFonts w:ascii="Arial" w:eastAsia="Calibri" w:hAnsi="Arial" w:cs="Arial"/>
          <w:sz w:val="22"/>
        </w:rPr>
        <w:t>la persona jurídica</w:t>
      </w:r>
      <w:r w:rsidR="004E58D5" w:rsidRPr="00DC5CAD">
        <w:rPr>
          <w:rFonts w:ascii="Arial" w:eastAsia="Calibri" w:hAnsi="Arial" w:cs="Arial"/>
          <w:sz w:val="22"/>
        </w:rPr>
        <w:t xml:space="preserve"> contin</w:t>
      </w:r>
      <w:r w:rsidR="00CE1E2C" w:rsidRPr="00DC5CAD">
        <w:rPr>
          <w:rFonts w:ascii="Arial" w:eastAsia="Calibri" w:hAnsi="Arial" w:cs="Arial"/>
          <w:sz w:val="22"/>
        </w:rPr>
        <w:t>ú</w:t>
      </w:r>
      <w:r w:rsidR="004E58D5" w:rsidRPr="00DC5CAD">
        <w:rPr>
          <w:rFonts w:ascii="Arial" w:eastAsia="Calibri" w:hAnsi="Arial" w:cs="Arial"/>
          <w:sz w:val="22"/>
        </w:rPr>
        <w:t>a</w:t>
      </w:r>
      <w:r w:rsidR="00CE1E2C" w:rsidRPr="00DC5CAD">
        <w:rPr>
          <w:rFonts w:ascii="Arial" w:eastAsia="Calibri" w:hAnsi="Arial" w:cs="Arial"/>
          <w:sz w:val="22"/>
        </w:rPr>
        <w:t xml:space="preserve"> </w:t>
      </w:r>
      <w:r w:rsidR="00060086" w:rsidRPr="00DC5CAD">
        <w:rPr>
          <w:rFonts w:ascii="Arial" w:eastAsia="Calibri" w:hAnsi="Arial" w:cs="Arial"/>
          <w:sz w:val="22"/>
        </w:rPr>
        <w:t>con</w:t>
      </w:r>
      <w:r w:rsidR="00CE1E2C" w:rsidRPr="00DC5CAD">
        <w:rPr>
          <w:rFonts w:ascii="Arial" w:eastAsia="Calibri" w:hAnsi="Arial" w:cs="Arial"/>
          <w:sz w:val="22"/>
        </w:rPr>
        <w:t xml:space="preserve"> otro tipo societario pero con</w:t>
      </w:r>
      <w:r w:rsidR="00060086" w:rsidRPr="00DC5CAD">
        <w:rPr>
          <w:rFonts w:ascii="Arial" w:eastAsia="Calibri" w:hAnsi="Arial" w:cs="Arial"/>
          <w:sz w:val="22"/>
        </w:rPr>
        <w:t xml:space="preserve"> </w:t>
      </w:r>
      <w:r w:rsidR="00122E4E" w:rsidRPr="00DC5CAD">
        <w:rPr>
          <w:rFonts w:ascii="Arial" w:eastAsia="Calibri" w:hAnsi="Arial" w:cs="Arial"/>
          <w:sz w:val="22"/>
        </w:rPr>
        <w:t xml:space="preserve">sus mismos </w:t>
      </w:r>
      <w:r w:rsidR="00060086" w:rsidRPr="00DC5CAD">
        <w:rPr>
          <w:rFonts w:ascii="Arial" w:eastAsia="Calibri" w:hAnsi="Arial" w:cs="Arial"/>
          <w:sz w:val="22"/>
        </w:rPr>
        <w:t>derechos</w:t>
      </w:r>
      <w:r w:rsidR="00122E4E" w:rsidRPr="00DC5CAD">
        <w:rPr>
          <w:rFonts w:ascii="Arial" w:eastAsia="Calibri" w:hAnsi="Arial" w:cs="Arial"/>
          <w:sz w:val="22"/>
        </w:rPr>
        <w:t xml:space="preserve"> y obligaciones</w:t>
      </w:r>
      <w:r w:rsidR="00060086" w:rsidRPr="00DC5CAD">
        <w:rPr>
          <w:rFonts w:ascii="Arial" w:eastAsia="Calibri" w:hAnsi="Arial" w:cs="Arial"/>
          <w:sz w:val="22"/>
        </w:rPr>
        <w:t>, como la experiencia.</w:t>
      </w:r>
      <w:r w:rsidR="004E58D5" w:rsidRPr="00DC5CAD">
        <w:rPr>
          <w:rFonts w:ascii="Arial" w:eastAsia="Calibri" w:hAnsi="Arial" w:cs="Arial"/>
          <w:sz w:val="22"/>
        </w:rPr>
        <w:t xml:space="preserve"> </w:t>
      </w:r>
    </w:p>
    <w:p w14:paraId="62C94061" w14:textId="18FC0389" w:rsidR="00122E4E" w:rsidRPr="00DC5CAD" w:rsidRDefault="00CE1E2C" w:rsidP="00122E4E">
      <w:pPr>
        <w:spacing w:before="120" w:line="276" w:lineRule="auto"/>
        <w:ind w:firstLine="708"/>
        <w:jc w:val="both"/>
        <w:rPr>
          <w:rFonts w:ascii="Arial" w:eastAsia="Calibri" w:hAnsi="Arial" w:cs="Arial"/>
          <w:bCs/>
          <w:sz w:val="22"/>
        </w:rPr>
      </w:pPr>
      <w:r w:rsidRPr="00DC5CAD">
        <w:rPr>
          <w:rFonts w:ascii="Arial" w:eastAsia="Calibri" w:hAnsi="Arial" w:cs="Arial"/>
          <w:sz w:val="22"/>
        </w:rPr>
        <w:t xml:space="preserve">Sobre la fusión, </w:t>
      </w:r>
      <w:r w:rsidR="00122E4E" w:rsidRPr="00DC5CAD">
        <w:rPr>
          <w:rFonts w:ascii="Arial" w:eastAsia="Calibri" w:hAnsi="Arial" w:cs="Arial"/>
          <w:bCs/>
          <w:sz w:val="22"/>
        </w:rPr>
        <w:t>siempre que la sociedad no se liquide, es decir, que no desaparezca, la experiencia puede ser trasladada porque la persona jurídica continúa a través de otra, esto es, deja de ser quien es pero no desaparece porque otra sociedad se convierte en ella, ya sea una sociedad nueva</w:t>
      </w:r>
      <w:r w:rsidR="00FD2843" w:rsidRPr="00DC5CAD">
        <w:rPr>
          <w:rFonts w:ascii="Arial" w:eastAsia="Calibri" w:hAnsi="Arial" w:cs="Arial"/>
          <w:bCs/>
          <w:sz w:val="22"/>
        </w:rPr>
        <w:t>,</w:t>
      </w:r>
      <w:r w:rsidR="00122E4E" w:rsidRPr="00DC5CAD">
        <w:rPr>
          <w:rFonts w:ascii="Arial" w:eastAsia="Calibri" w:hAnsi="Arial" w:cs="Arial"/>
          <w:bCs/>
          <w:sz w:val="22"/>
        </w:rPr>
        <w:t xml:space="preserve"> cuando es fusión por creación</w:t>
      </w:r>
      <w:r w:rsidR="00FD2843" w:rsidRPr="00DC5CAD">
        <w:rPr>
          <w:rFonts w:ascii="Arial" w:eastAsia="Calibri" w:hAnsi="Arial" w:cs="Arial"/>
          <w:bCs/>
          <w:sz w:val="22"/>
        </w:rPr>
        <w:t>;</w:t>
      </w:r>
      <w:r w:rsidR="00122E4E" w:rsidRPr="00DC5CAD">
        <w:rPr>
          <w:rFonts w:ascii="Arial" w:eastAsia="Calibri" w:hAnsi="Arial" w:cs="Arial"/>
          <w:bCs/>
          <w:sz w:val="22"/>
        </w:rPr>
        <w:t xml:space="preserve"> o una sociedad existente en la fusión por absorción. La experiencia se transfiere porque la sociedad continúa a través de otra, a quien le transfiere su experiencia</w:t>
      </w:r>
      <w:r w:rsidR="00FD2843" w:rsidRPr="00DC5CAD">
        <w:rPr>
          <w:rFonts w:ascii="Arial" w:eastAsia="Calibri" w:hAnsi="Arial" w:cs="Arial"/>
          <w:bCs/>
          <w:sz w:val="22"/>
        </w:rPr>
        <w:t>,</w:t>
      </w:r>
      <w:r w:rsidR="00122E4E" w:rsidRPr="00DC5CAD">
        <w:rPr>
          <w:rFonts w:ascii="Arial" w:eastAsia="Calibri" w:hAnsi="Arial" w:cs="Arial"/>
          <w:bCs/>
          <w:sz w:val="22"/>
        </w:rPr>
        <w:t xml:space="preserve"> y todos sus derechos y obligaciones, de conformidad con el artículo 172 y siguientes del Código de Comercio. </w:t>
      </w:r>
    </w:p>
    <w:p w14:paraId="53E90538" w14:textId="77777777" w:rsidR="00DC5CAD" w:rsidRPr="00DC5CAD" w:rsidRDefault="00DC5CAD" w:rsidP="004E0F28">
      <w:pPr>
        <w:spacing w:before="120" w:line="276" w:lineRule="auto"/>
        <w:jc w:val="both"/>
        <w:rPr>
          <w:rFonts w:ascii="Arial" w:hAnsi="Arial" w:cs="Arial"/>
          <w:sz w:val="22"/>
        </w:rPr>
      </w:pPr>
    </w:p>
    <w:p w14:paraId="6A1FBC6A" w14:textId="107E2F4B" w:rsidR="00347B31" w:rsidRPr="00DC5CAD" w:rsidRDefault="00347B31" w:rsidP="00DC5CAD">
      <w:pPr>
        <w:spacing w:line="276" w:lineRule="auto"/>
        <w:jc w:val="both"/>
        <w:rPr>
          <w:rFonts w:ascii="Arial" w:hAnsi="Arial" w:cs="Arial"/>
          <w:sz w:val="22"/>
        </w:rPr>
      </w:pPr>
      <w:r w:rsidRPr="00DC5CAD">
        <w:rPr>
          <w:rFonts w:ascii="Arial" w:hAnsi="Arial" w:cs="Arial"/>
          <w:sz w:val="22"/>
        </w:rPr>
        <w:t>Este concepto tiene el alcance previsto en el artículo 28 del Código de Procedimiento Administrativo y de lo Contencioso Administrativo.</w:t>
      </w:r>
    </w:p>
    <w:p w14:paraId="347C7BFF" w14:textId="553EF625" w:rsidR="004E0F28" w:rsidRPr="00DC5CAD" w:rsidRDefault="004E0F28" w:rsidP="004E0F28">
      <w:pPr>
        <w:spacing w:before="120" w:line="276" w:lineRule="auto"/>
        <w:jc w:val="both"/>
        <w:rPr>
          <w:rFonts w:ascii="Arial" w:hAnsi="Arial" w:cs="Arial"/>
          <w:sz w:val="22"/>
        </w:rPr>
      </w:pPr>
    </w:p>
    <w:bookmarkEnd w:id="2"/>
    <w:p w14:paraId="0F8C901F" w14:textId="1FDE9793" w:rsidR="00A37FB6" w:rsidRPr="00DC5CAD" w:rsidRDefault="00A37FB6" w:rsidP="00D01760">
      <w:pPr>
        <w:jc w:val="both"/>
        <w:rPr>
          <w:rFonts w:ascii="Arial" w:eastAsia="Calibri" w:hAnsi="Arial" w:cs="Arial"/>
          <w:sz w:val="22"/>
        </w:rPr>
      </w:pPr>
      <w:r w:rsidRPr="00DC5CAD">
        <w:rPr>
          <w:noProof/>
          <w:lang w:val="es-CO" w:eastAsia="es-CO"/>
        </w:rPr>
        <mc:AlternateContent>
          <mc:Choice Requires="wps">
            <w:drawing>
              <wp:anchor distT="0" distB="0" distL="114300" distR="114300" simplePos="0" relativeHeight="251658240" behindDoc="0" locked="0" layoutInCell="1" allowOverlap="1" wp14:anchorId="2171F34F" wp14:editId="3FE4082C">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2C2E6F44" id="Conector recto 1"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strokecolor="#dbdbdb">
                <w10:wrap anchorx="page"/>
              </v:line>
            </w:pict>
          </mc:Fallback>
        </mc:AlternateContent>
      </w:r>
    </w:p>
    <w:p w14:paraId="1E81A930" w14:textId="3969B7D2" w:rsidR="00A37FB6" w:rsidRPr="00DC5CAD" w:rsidRDefault="00F30777" w:rsidP="00D01760">
      <w:pPr>
        <w:rPr>
          <w:rFonts w:ascii="Arial" w:eastAsia="Times New Roman" w:hAnsi="Arial" w:cs="Arial"/>
          <w:sz w:val="22"/>
          <w:lang w:eastAsia="es-CO"/>
        </w:rPr>
      </w:pPr>
      <w:r w:rsidRPr="00DC5CAD">
        <w:rPr>
          <w:noProof/>
          <w:lang w:val="es-ES_tradnl" w:eastAsia="es-ES_tradnl"/>
        </w:rPr>
        <w:drawing>
          <wp:anchor distT="0" distB="0" distL="114300" distR="114300" simplePos="0" relativeHeight="251660288" behindDoc="0" locked="0" layoutInCell="1" allowOverlap="1" wp14:anchorId="69BF121B" wp14:editId="27BDCFD4">
            <wp:simplePos x="0" y="0"/>
            <wp:positionH relativeFrom="margin">
              <wp:align>center</wp:align>
            </wp:positionH>
            <wp:positionV relativeFrom="paragraph">
              <wp:posOffset>13970</wp:posOffset>
            </wp:positionV>
            <wp:extent cx="3027680" cy="1730375"/>
            <wp:effectExtent l="0" t="0" r="1270" b="3175"/>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027680" cy="1730375"/>
                    </a:xfrm>
                    <a:prstGeom prst="rect">
                      <a:avLst/>
                    </a:prstGeom>
                  </pic:spPr>
                </pic:pic>
              </a:graphicData>
            </a:graphic>
            <wp14:sizeRelH relativeFrom="page">
              <wp14:pctWidth>0</wp14:pctWidth>
            </wp14:sizeRelH>
            <wp14:sizeRelV relativeFrom="page">
              <wp14:pctHeight>0</wp14:pctHeight>
            </wp14:sizeRelV>
          </wp:anchor>
        </w:drawing>
      </w:r>
      <w:r w:rsidR="00A37FB6" w:rsidRPr="00DC5CAD">
        <w:rPr>
          <w:rFonts w:ascii="Arial" w:eastAsia="Times New Roman" w:hAnsi="Arial" w:cs="Arial"/>
          <w:sz w:val="22"/>
          <w:lang w:eastAsia="es-CO"/>
        </w:rPr>
        <w:t>Atentamente,</w:t>
      </w:r>
    </w:p>
    <w:p w14:paraId="57DD1EBD" w14:textId="0A942654" w:rsidR="00746E08" w:rsidRPr="00DC5CAD" w:rsidRDefault="00746E08" w:rsidP="00746E08">
      <w:pPr>
        <w:jc w:val="center"/>
        <w:rPr>
          <w:rFonts w:ascii="Arial" w:eastAsia="Times New Roman" w:hAnsi="Arial" w:cs="Arial"/>
          <w:sz w:val="18"/>
          <w:szCs w:val="20"/>
          <w:lang w:eastAsia="es-CO"/>
        </w:rPr>
      </w:pPr>
    </w:p>
    <w:p w14:paraId="02165A52" w14:textId="77777777" w:rsidR="00216F70" w:rsidRPr="00DC5CAD" w:rsidRDefault="00216F70" w:rsidP="00746E08">
      <w:pPr>
        <w:jc w:val="center"/>
        <w:rPr>
          <w:rFonts w:ascii="Arial" w:eastAsia="Times New Roman" w:hAnsi="Arial" w:cs="Arial"/>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C5CAD" w:rsidRPr="00DC5CAD" w14:paraId="469202AF" w14:textId="77777777" w:rsidTr="0031696B">
        <w:trPr>
          <w:trHeight w:val="315"/>
        </w:trPr>
        <w:tc>
          <w:tcPr>
            <w:tcW w:w="812" w:type="dxa"/>
            <w:vAlign w:val="center"/>
            <w:hideMark/>
          </w:tcPr>
          <w:p w14:paraId="3F62A0B3" w14:textId="77777777" w:rsidR="00746E08" w:rsidRPr="00DC5CAD" w:rsidRDefault="00746E08">
            <w:pPr>
              <w:rPr>
                <w:rFonts w:ascii="Arial" w:eastAsia="Times New Roman" w:hAnsi="Arial" w:cs="Arial"/>
                <w:sz w:val="16"/>
                <w:szCs w:val="16"/>
                <w:lang w:eastAsia="es-ES"/>
              </w:rPr>
            </w:pPr>
            <w:r w:rsidRPr="00DC5CAD">
              <w:rPr>
                <w:rFonts w:ascii="Arial" w:eastAsia="Times New Roman"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45BBD40F" w14:textId="1DEF776A" w:rsidR="00746E08" w:rsidRPr="00DC5CAD" w:rsidRDefault="00F30777">
            <w:pPr>
              <w:rPr>
                <w:rFonts w:ascii="Arial" w:eastAsia="Times New Roman" w:hAnsi="Arial" w:cs="Arial"/>
                <w:sz w:val="16"/>
                <w:szCs w:val="16"/>
                <w:lang w:eastAsia="es-ES"/>
              </w:rPr>
            </w:pPr>
            <w:r w:rsidRPr="00DC5CAD">
              <w:rPr>
                <w:rFonts w:ascii="Arial" w:eastAsia="Times New Roman" w:hAnsi="Arial" w:cs="Arial"/>
                <w:sz w:val="16"/>
                <w:szCs w:val="16"/>
                <w:lang w:eastAsia="es-ES"/>
              </w:rPr>
              <w:t>Alejandro Sarmiento Cantillo</w:t>
            </w:r>
          </w:p>
          <w:p w14:paraId="51C325E7" w14:textId="477A481D" w:rsidR="00746E08" w:rsidRPr="00DC5CAD" w:rsidRDefault="00F30777">
            <w:pPr>
              <w:rPr>
                <w:rFonts w:ascii="Arial" w:eastAsia="Times New Roman" w:hAnsi="Arial" w:cs="Arial"/>
                <w:sz w:val="16"/>
                <w:szCs w:val="16"/>
                <w:lang w:eastAsia="es-ES"/>
              </w:rPr>
            </w:pPr>
            <w:r w:rsidRPr="00DC5CAD">
              <w:rPr>
                <w:rFonts w:ascii="Arial" w:eastAsia="Times New Roman" w:hAnsi="Arial" w:cs="Arial"/>
                <w:sz w:val="16"/>
                <w:szCs w:val="16"/>
                <w:lang w:eastAsia="es-ES"/>
              </w:rPr>
              <w:t>Contratista – Subdirección de Gestión Contractual</w:t>
            </w:r>
          </w:p>
        </w:tc>
      </w:tr>
      <w:tr w:rsidR="00DC5CAD" w:rsidRPr="00DC5CAD" w14:paraId="10BC78E8" w14:textId="77777777" w:rsidTr="00822F66">
        <w:trPr>
          <w:trHeight w:val="132"/>
        </w:trPr>
        <w:tc>
          <w:tcPr>
            <w:tcW w:w="812" w:type="dxa"/>
            <w:vAlign w:val="center"/>
            <w:hideMark/>
          </w:tcPr>
          <w:p w14:paraId="6A7DBF66" w14:textId="77777777" w:rsidR="00746E08" w:rsidRPr="00DC5CAD" w:rsidRDefault="00746E08">
            <w:pPr>
              <w:rPr>
                <w:rFonts w:ascii="Arial" w:eastAsia="Times New Roman" w:hAnsi="Arial" w:cs="Arial"/>
                <w:sz w:val="16"/>
                <w:szCs w:val="16"/>
                <w:lang w:eastAsia="es-ES"/>
              </w:rPr>
            </w:pPr>
            <w:r w:rsidRPr="00DC5CAD">
              <w:rPr>
                <w:rFonts w:ascii="Arial" w:eastAsia="Times New Roman"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968FB84" w14:textId="41488785" w:rsidR="00886D12" w:rsidRDefault="0051077F" w:rsidP="00592C46">
            <w:pPr>
              <w:rPr>
                <w:rFonts w:ascii="Arial" w:eastAsia="Times New Roman" w:hAnsi="Arial" w:cs="Arial"/>
                <w:sz w:val="16"/>
                <w:szCs w:val="16"/>
                <w:lang w:eastAsia="es-ES"/>
              </w:rPr>
            </w:pPr>
            <w:r>
              <w:rPr>
                <w:rFonts w:ascii="Arial" w:eastAsia="Times New Roman" w:hAnsi="Arial" w:cs="Arial"/>
                <w:sz w:val="16"/>
                <w:szCs w:val="16"/>
                <w:lang w:eastAsia="es-ES"/>
              </w:rPr>
              <w:t>Sebastián Ramírez Grisales</w:t>
            </w:r>
          </w:p>
          <w:p w14:paraId="19E8BD8D" w14:textId="62708B32" w:rsidR="0051077F" w:rsidRPr="00DC5CAD" w:rsidRDefault="0051077F" w:rsidP="00592C46">
            <w:pPr>
              <w:rPr>
                <w:rFonts w:ascii="Arial" w:eastAsia="Times New Roman" w:hAnsi="Arial" w:cs="Arial"/>
                <w:sz w:val="16"/>
                <w:szCs w:val="16"/>
                <w:lang w:eastAsia="es-ES"/>
              </w:rPr>
            </w:pPr>
            <w:r>
              <w:rPr>
                <w:rFonts w:ascii="Arial" w:eastAsia="Times New Roman" w:hAnsi="Arial" w:cs="Arial"/>
                <w:sz w:val="16"/>
                <w:szCs w:val="16"/>
                <w:lang w:eastAsia="es-ES"/>
              </w:rPr>
              <w:t>Contratista – Subdirección de Gestión Contractual</w:t>
            </w:r>
          </w:p>
        </w:tc>
      </w:tr>
      <w:tr w:rsidR="00F741E3" w:rsidRPr="00DC5CAD" w14:paraId="50741B38" w14:textId="77777777" w:rsidTr="00885322">
        <w:trPr>
          <w:trHeight w:val="132"/>
        </w:trPr>
        <w:tc>
          <w:tcPr>
            <w:tcW w:w="812" w:type="dxa"/>
            <w:vAlign w:val="center"/>
            <w:hideMark/>
          </w:tcPr>
          <w:p w14:paraId="297715FA" w14:textId="77777777" w:rsidR="00746E08" w:rsidRPr="00DC5CAD" w:rsidRDefault="00746E08">
            <w:pPr>
              <w:rPr>
                <w:rFonts w:ascii="Arial" w:eastAsia="Times New Roman" w:hAnsi="Arial" w:cs="Arial"/>
                <w:sz w:val="16"/>
                <w:szCs w:val="16"/>
                <w:lang w:eastAsia="es-ES"/>
              </w:rPr>
            </w:pPr>
            <w:r w:rsidRPr="00DC5CAD">
              <w:rPr>
                <w:rFonts w:ascii="Arial" w:eastAsia="Times New Roman"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36F6A2F" w14:textId="77777777" w:rsidR="00746E08" w:rsidRPr="00DC5CAD" w:rsidRDefault="00746E08" w:rsidP="00746E08">
            <w:pPr>
              <w:rPr>
                <w:rFonts w:ascii="Arial" w:eastAsia="Times New Roman" w:hAnsi="Arial" w:cs="Arial"/>
                <w:sz w:val="16"/>
                <w:szCs w:val="16"/>
                <w:lang w:eastAsia="es-ES"/>
              </w:rPr>
            </w:pPr>
            <w:r w:rsidRPr="00DC5CAD">
              <w:rPr>
                <w:rFonts w:ascii="Arial" w:eastAsia="Times New Roman" w:hAnsi="Arial" w:cs="Arial"/>
                <w:sz w:val="16"/>
                <w:szCs w:val="16"/>
                <w:lang w:eastAsia="es-ES"/>
              </w:rPr>
              <w:t>Fabián Gonzalo Marín Cortés</w:t>
            </w:r>
          </w:p>
          <w:p w14:paraId="17847B1F" w14:textId="71EB0D70" w:rsidR="00746E08" w:rsidRPr="00DC5CAD" w:rsidRDefault="00746E08">
            <w:pPr>
              <w:rPr>
                <w:rFonts w:ascii="Arial" w:eastAsia="Times New Roman" w:hAnsi="Arial" w:cs="Arial"/>
                <w:sz w:val="16"/>
                <w:szCs w:val="16"/>
                <w:lang w:eastAsia="es-ES"/>
              </w:rPr>
            </w:pPr>
            <w:r w:rsidRPr="00DC5CAD">
              <w:rPr>
                <w:rFonts w:ascii="Arial" w:eastAsia="Times New Roman" w:hAnsi="Arial" w:cs="Arial"/>
                <w:sz w:val="16"/>
                <w:szCs w:val="16"/>
                <w:lang w:eastAsia="es-ES"/>
              </w:rPr>
              <w:t>Subdirector de Gestión Contractual</w:t>
            </w:r>
          </w:p>
        </w:tc>
      </w:tr>
      <w:bookmarkEnd w:id="4"/>
    </w:tbl>
    <w:p w14:paraId="35B56F46" w14:textId="77777777" w:rsidR="00746E08" w:rsidRPr="00DC5CAD" w:rsidRDefault="00746E08" w:rsidP="00746E08">
      <w:pPr>
        <w:rPr>
          <w:rFonts w:ascii="Arial" w:eastAsia="Times New Roman" w:hAnsi="Arial" w:cs="Arial"/>
          <w:sz w:val="16"/>
          <w:szCs w:val="16"/>
          <w:lang w:eastAsia="es-ES"/>
        </w:rPr>
      </w:pPr>
    </w:p>
    <w:sectPr w:rsidR="00746E08" w:rsidRPr="00DC5CAD" w:rsidSect="005D791B">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FC4BD2B" w14:textId="77777777" w:rsidR="00327336" w:rsidRDefault="00327336">
      <w:r>
        <w:separator/>
      </w:r>
    </w:p>
  </w:endnote>
  <w:endnote w:type="continuationSeparator" w:id="0">
    <w:p w14:paraId="242FAE6D" w14:textId="77777777" w:rsidR="00327336" w:rsidRDefault="003273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4F65871B" w:rsidR="000825D8" w:rsidRDefault="000825D8" w:rsidP="00322937">
    <w:pPr>
      <w:pStyle w:val="Sinespaciado"/>
      <w:jc w:val="right"/>
      <w:rPr>
        <w:rFonts w:ascii="Arial" w:hAnsi="Arial" w:cs="Arial"/>
        <w:sz w:val="18"/>
        <w:szCs w:val="18"/>
      </w:rPr>
    </w:pPr>
  </w:p>
  <w:p w14:paraId="04FCFB37" w14:textId="77777777" w:rsidR="00216F70" w:rsidRDefault="00216F70" w:rsidP="00322937">
    <w:pPr>
      <w:pStyle w:val="Sinespaciado"/>
      <w:jc w:val="right"/>
      <w:rPr>
        <w:rFonts w:ascii="Arial" w:hAnsi="Arial" w:cs="Arial"/>
        <w:sz w:val="18"/>
        <w:szCs w:val="18"/>
      </w:rPr>
    </w:pPr>
  </w:p>
  <w:p w14:paraId="7A3785F3" w14:textId="2EF28465" w:rsidR="000825D8" w:rsidRPr="008217B7" w:rsidRDefault="000825D8"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11</w:t>
    </w:r>
    <w:r w:rsidRPr="00084B97">
      <w:rPr>
        <w:rFonts w:ascii="Arial" w:hAnsi="Arial" w:cs="Arial"/>
        <w:b/>
        <w:bCs/>
        <w:color w:val="7F7F7F" w:themeColor="text1" w:themeTint="80"/>
        <w:sz w:val="16"/>
        <w:szCs w:val="16"/>
      </w:rPr>
      <w:fldChar w:fldCharType="end"/>
    </w:r>
  </w:p>
  <w:p w14:paraId="48FC6A04" w14:textId="5FD1A7C9" w:rsidR="000825D8" w:rsidRDefault="000825D8" w:rsidP="00322937">
    <w:pPr>
      <w:pStyle w:val="Piedepgina"/>
      <w:jc w:val="center"/>
      <w:rPr>
        <w:lang w:val="es-ES"/>
      </w:rPr>
    </w:pPr>
    <w:r>
      <w:rPr>
        <w:noProof/>
        <w:lang w:val="es-CO" w:eastAsia="es-CO"/>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0825D8" w:rsidRDefault="000825D8" w:rsidP="007B0854">
    <w:pPr>
      <w:pStyle w:val="Piedepgina"/>
      <w:jc w:val="center"/>
      <w:rPr>
        <w:lang w:val="es-ES"/>
      </w:rPr>
    </w:pPr>
  </w:p>
  <w:p w14:paraId="6C0EFC49" w14:textId="77777777" w:rsidR="000825D8" w:rsidRPr="007B0854" w:rsidRDefault="000825D8"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F79EE3E" w14:textId="77777777" w:rsidR="00327336" w:rsidRDefault="00327336">
      <w:r>
        <w:separator/>
      </w:r>
    </w:p>
  </w:footnote>
  <w:footnote w:type="continuationSeparator" w:id="0">
    <w:p w14:paraId="030D773A" w14:textId="77777777" w:rsidR="00327336" w:rsidRDefault="00327336">
      <w:r>
        <w:continuationSeparator/>
      </w:r>
    </w:p>
  </w:footnote>
  <w:footnote w:id="1">
    <w:p w14:paraId="72626824" w14:textId="5770767B" w:rsidR="000E3CFC" w:rsidRDefault="000E3CFC" w:rsidP="000E3CFC">
      <w:pPr>
        <w:pStyle w:val="Textonotapie"/>
        <w:ind w:firstLine="708"/>
        <w:jc w:val="both"/>
        <w:rPr>
          <w:rFonts w:ascii="Arial" w:hAnsi="Arial" w:cs="Arial"/>
          <w:sz w:val="19"/>
          <w:szCs w:val="19"/>
        </w:rPr>
      </w:pPr>
      <w:r w:rsidRPr="000E3CFC">
        <w:rPr>
          <w:rStyle w:val="Refdenotaalpie"/>
          <w:rFonts w:ascii="Arial" w:hAnsi="Arial" w:cs="Arial"/>
          <w:sz w:val="19"/>
          <w:szCs w:val="19"/>
        </w:rPr>
        <w:footnoteRef/>
      </w:r>
      <w:r w:rsidRPr="000E3CFC">
        <w:rPr>
          <w:rFonts w:ascii="Arial" w:hAnsi="Arial" w:cs="Arial"/>
          <w:sz w:val="19"/>
          <w:szCs w:val="19"/>
        </w:rPr>
        <w:t xml:space="preserve"> </w:t>
      </w:r>
      <w:r w:rsidRPr="006451EE">
        <w:rPr>
          <w:rFonts w:ascii="Arial" w:hAnsi="Arial" w:cs="Arial"/>
          <w:color w:val="000000" w:themeColor="text1"/>
          <w:sz w:val="19"/>
          <w:szCs w:val="19"/>
        </w:rPr>
        <w:t xml:space="preserve">Decreto 1082 de 2015 </w:t>
      </w:r>
      <w:r w:rsidRPr="006451EE">
        <w:rPr>
          <w:rFonts w:ascii="Arial" w:eastAsia="Calibri" w:hAnsi="Arial" w:cs="Arial"/>
          <w:color w:val="000000" w:themeColor="text1"/>
          <w:sz w:val="19"/>
          <w:szCs w:val="19"/>
        </w:rPr>
        <w:t>«Artículo 2.2.1.1.1.5.3. […] Los contratos celebrados por el interesado para cada uno de los bienes, obras y servicios que ofrecerá a las Entidades Estatales, identificados con el Clasificador de Bienes y Servicios en el tercer nivel y su valor expresado en SMMLV […]»</w:t>
      </w:r>
      <w:r w:rsidR="00DC5CAD" w:rsidRPr="006451EE">
        <w:rPr>
          <w:rFonts w:ascii="Arial" w:hAnsi="Arial" w:cs="Arial"/>
          <w:color w:val="000000" w:themeColor="text1"/>
          <w:sz w:val="19"/>
          <w:szCs w:val="19"/>
        </w:rPr>
        <w:t>.</w:t>
      </w:r>
    </w:p>
    <w:p w14:paraId="1E909BE4" w14:textId="77777777" w:rsidR="00DC5CAD" w:rsidRPr="000E3CFC" w:rsidRDefault="00DC5CAD" w:rsidP="000E3CFC">
      <w:pPr>
        <w:pStyle w:val="Textonotapie"/>
        <w:ind w:firstLine="708"/>
        <w:jc w:val="both"/>
        <w:rPr>
          <w:rFonts w:ascii="Arial" w:hAnsi="Arial" w:cs="Arial"/>
          <w:sz w:val="19"/>
          <w:szCs w:val="19"/>
          <w:lang w:val="es-CO"/>
        </w:rPr>
      </w:pPr>
    </w:p>
  </w:footnote>
  <w:footnote w:id="2">
    <w:p w14:paraId="71B022C9" w14:textId="77777777" w:rsidR="00F2587E" w:rsidRPr="004F3C32" w:rsidRDefault="00F2587E" w:rsidP="000E3CFC">
      <w:pPr>
        <w:pStyle w:val="Textonotapie"/>
        <w:ind w:firstLine="708"/>
        <w:jc w:val="both"/>
        <w:rPr>
          <w:rFonts w:ascii="Arial" w:hAnsi="Arial" w:cs="Arial"/>
          <w:sz w:val="19"/>
          <w:szCs w:val="19"/>
        </w:rPr>
      </w:pPr>
      <w:r w:rsidRPr="004F3C32">
        <w:rPr>
          <w:rStyle w:val="Refdenotaalpie"/>
          <w:rFonts w:ascii="Arial" w:hAnsi="Arial" w:cs="Arial"/>
          <w:sz w:val="19"/>
          <w:szCs w:val="19"/>
        </w:rPr>
        <w:footnoteRef/>
      </w:r>
      <w:r w:rsidRPr="004F3C32">
        <w:rPr>
          <w:rFonts w:ascii="Arial" w:hAnsi="Arial" w:cs="Arial"/>
          <w:sz w:val="19"/>
          <w:szCs w:val="19"/>
        </w:rPr>
        <w:t xml:space="preserve">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0D336A51" w14:textId="77777777" w:rsidR="00F2587E" w:rsidRPr="004F3C32" w:rsidRDefault="00F2587E" w:rsidP="000E3CFC">
      <w:pPr>
        <w:pStyle w:val="Textonotapie"/>
        <w:ind w:firstLine="708"/>
        <w:jc w:val="both"/>
        <w:rPr>
          <w:rFonts w:ascii="Arial" w:hAnsi="Arial" w:cs="Arial"/>
          <w:sz w:val="19"/>
          <w:szCs w:val="19"/>
        </w:rPr>
      </w:pPr>
      <w:r w:rsidRPr="004F3C32">
        <w:rPr>
          <w:rFonts w:ascii="Arial" w:hAnsi="Arial" w:cs="Arial"/>
          <w:sz w:val="19"/>
          <w:szCs w:val="19"/>
        </w:rPr>
        <w:t>[…]</w:t>
      </w:r>
    </w:p>
    <w:p w14:paraId="08824B1E" w14:textId="77777777" w:rsidR="00F2587E" w:rsidRPr="001E7492" w:rsidRDefault="00F2587E" w:rsidP="000E3CFC">
      <w:pPr>
        <w:pStyle w:val="Textonotapie"/>
        <w:ind w:firstLine="708"/>
        <w:jc w:val="both"/>
        <w:rPr>
          <w:rFonts w:ascii="Arial" w:hAnsi="Arial" w:cs="Arial"/>
          <w:sz w:val="19"/>
          <w:szCs w:val="19"/>
        </w:rPr>
      </w:pPr>
      <w:r w:rsidRPr="00A222AD">
        <w:rPr>
          <w:rFonts w:ascii="Arial" w:hAnsi="Arial" w:cs="Arial"/>
          <w:sz w:val="19"/>
          <w:szCs w:val="19"/>
          <w:shd w:val="clear" w:color="auto" w:fill="FFFFFF"/>
        </w:rPr>
        <w:t>»2.1.   Bienes, obras y servicios que ofrecerá a las Entidades Estatales, identificados con el Clasificador de Bienes y Servicios en el tercer nivel</w:t>
      </w:r>
      <w:r w:rsidRPr="001E7492">
        <w:rPr>
          <w:rFonts w:ascii="Arial" w:hAnsi="Arial" w:cs="Arial"/>
          <w:sz w:val="19"/>
          <w:szCs w:val="19"/>
        </w:rPr>
        <w:t>»</w:t>
      </w:r>
      <w:r w:rsidRPr="00A222AD">
        <w:rPr>
          <w:rFonts w:ascii="Arial" w:hAnsi="Arial" w:cs="Arial"/>
          <w:sz w:val="19"/>
          <w:szCs w:val="19"/>
          <w:shd w:val="clear" w:color="auto" w:fill="FFFFFF"/>
        </w:rPr>
        <w:t>.</w:t>
      </w:r>
    </w:p>
    <w:p w14:paraId="09887F64" w14:textId="77777777" w:rsidR="00F2587E" w:rsidRPr="004F3C32" w:rsidRDefault="00F2587E" w:rsidP="000E3CFC">
      <w:pPr>
        <w:pStyle w:val="Textonotapie"/>
        <w:ind w:firstLine="708"/>
        <w:jc w:val="both"/>
        <w:rPr>
          <w:rFonts w:ascii="Arial" w:hAnsi="Arial" w:cs="Arial"/>
          <w:sz w:val="19"/>
          <w:szCs w:val="19"/>
          <w:lang w:val="es-CO"/>
        </w:rPr>
      </w:pPr>
    </w:p>
  </w:footnote>
  <w:footnote w:id="3">
    <w:p w14:paraId="548BC95D" w14:textId="77777777" w:rsidR="00F2587E" w:rsidRPr="004F3C32" w:rsidRDefault="00F2587E" w:rsidP="000E3CFC">
      <w:pPr>
        <w:pStyle w:val="Textonotapie"/>
        <w:ind w:firstLine="708"/>
        <w:jc w:val="both"/>
        <w:rPr>
          <w:rFonts w:ascii="Arial" w:hAnsi="Arial" w:cs="Arial"/>
          <w:sz w:val="19"/>
          <w:szCs w:val="19"/>
        </w:rPr>
      </w:pPr>
      <w:r w:rsidRPr="004F3C32">
        <w:rPr>
          <w:rStyle w:val="Refdenotaalpie"/>
          <w:rFonts w:ascii="Arial" w:hAnsi="Arial" w:cs="Arial"/>
          <w:sz w:val="19"/>
          <w:szCs w:val="19"/>
        </w:rPr>
        <w:footnoteRef/>
      </w:r>
      <w:r w:rsidRPr="004F3C32">
        <w:rPr>
          <w:rFonts w:ascii="Arial" w:hAnsi="Arial" w:cs="Arial"/>
          <w:sz w:val="19"/>
          <w:szCs w:val="19"/>
        </w:rPr>
        <w:t xml:space="preserve">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11B8CACE" w14:textId="77777777" w:rsidR="00F2587E" w:rsidRPr="004F3C32" w:rsidRDefault="00F2587E" w:rsidP="000E3CFC">
      <w:pPr>
        <w:pStyle w:val="Textonotapie"/>
        <w:ind w:firstLine="708"/>
        <w:jc w:val="both"/>
        <w:rPr>
          <w:rFonts w:ascii="Arial" w:hAnsi="Arial" w:cs="Arial"/>
          <w:sz w:val="19"/>
          <w:szCs w:val="19"/>
        </w:rPr>
      </w:pPr>
      <w:r w:rsidRPr="004F3C32">
        <w:rPr>
          <w:rFonts w:ascii="Arial" w:hAnsi="Arial" w:cs="Arial"/>
          <w:sz w:val="19"/>
          <w:szCs w:val="19"/>
        </w:rPr>
        <w:t>[…]</w:t>
      </w:r>
    </w:p>
    <w:p w14:paraId="79490864" w14:textId="77777777" w:rsidR="00F2587E" w:rsidRPr="004F3C32" w:rsidRDefault="00F2587E" w:rsidP="000E3CFC">
      <w:pPr>
        <w:pStyle w:val="Textonotapie"/>
        <w:ind w:firstLine="708"/>
        <w:jc w:val="both"/>
        <w:rPr>
          <w:rFonts w:ascii="Arial" w:hAnsi="Arial" w:cs="Arial"/>
          <w:sz w:val="19"/>
          <w:szCs w:val="19"/>
          <w:lang w:val="es-CO"/>
        </w:rPr>
      </w:pPr>
      <w:r w:rsidRPr="00A222AD">
        <w:rPr>
          <w:rFonts w:ascii="Arial" w:hAnsi="Arial" w:cs="Arial"/>
          <w:sz w:val="19"/>
          <w:szCs w:val="19"/>
          <w:shd w:val="clear" w:color="auto" w:fill="FFFFFF"/>
        </w:rPr>
        <w:t>»2.5.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w:t>
      </w:r>
      <w:r w:rsidRPr="00A222AD">
        <w:rPr>
          <w:rFonts w:ascii="Arial" w:hAnsi="Arial" w:cs="Arial"/>
          <w:sz w:val="19"/>
          <w:szCs w:val="19"/>
          <w:shd w:val="clear" w:color="auto" w:fill="FFFFFF"/>
        </w:rPr>
        <w:softHyphen/>
        <w:t>ficador de Bienes y Servicios en el tercer nivel. Si la constitución del interesado es menor a 3 años, puede acreditar la experiencia de sus accionistas, socios o constituyentes</w:t>
      </w:r>
      <w:r w:rsidRPr="001E7492">
        <w:rPr>
          <w:rFonts w:ascii="Arial" w:hAnsi="Arial" w:cs="Arial"/>
          <w:sz w:val="19"/>
          <w:szCs w:val="19"/>
        </w:rPr>
        <w:t>».</w:t>
      </w:r>
    </w:p>
  </w:footnote>
  <w:footnote w:id="4">
    <w:p w14:paraId="01D3D014" w14:textId="7E429D55" w:rsidR="00F2587E" w:rsidRDefault="00F2587E" w:rsidP="000E3CFC">
      <w:pPr>
        <w:pStyle w:val="Textonotapie"/>
        <w:ind w:firstLine="708"/>
        <w:jc w:val="both"/>
        <w:rPr>
          <w:rFonts w:ascii="Arial" w:hAnsi="Arial" w:cs="Arial"/>
          <w:sz w:val="19"/>
          <w:szCs w:val="19"/>
        </w:rPr>
      </w:pPr>
      <w:r w:rsidRPr="004F3C32">
        <w:rPr>
          <w:rStyle w:val="Refdenotaalpie"/>
          <w:rFonts w:ascii="Arial" w:hAnsi="Arial" w:cs="Arial"/>
          <w:sz w:val="19"/>
          <w:szCs w:val="19"/>
        </w:rPr>
        <w:footnoteRef/>
      </w:r>
      <w:r>
        <w:rPr>
          <w:rFonts w:ascii="Arial" w:hAnsi="Arial" w:cs="Arial"/>
          <w:sz w:val="19"/>
          <w:szCs w:val="19"/>
        </w:rPr>
        <w:t xml:space="preserve"> </w:t>
      </w:r>
      <w:r w:rsidRPr="004F3C32">
        <w:rPr>
          <w:rFonts w:ascii="Arial" w:hAnsi="Arial" w:cs="Arial"/>
          <w:sz w:val="19"/>
          <w:szCs w:val="19"/>
        </w:rPr>
        <w:t>Al respecto, consultar, entre otros: los conceptos identificados con radicado No. 42019120000</w:t>
      </w:r>
      <w:r>
        <w:rPr>
          <w:rFonts w:ascii="Arial" w:hAnsi="Arial" w:cs="Arial"/>
          <w:sz w:val="19"/>
          <w:szCs w:val="19"/>
        </w:rPr>
        <w:t>07512 del 3 de noviembre de 2019</w:t>
      </w:r>
      <w:r w:rsidRPr="004F3C32">
        <w:rPr>
          <w:rFonts w:ascii="Arial" w:hAnsi="Arial" w:cs="Arial"/>
          <w:sz w:val="19"/>
          <w:szCs w:val="19"/>
        </w:rPr>
        <w:t>, 4201913000007182 del 18 de octubre de 2019</w:t>
      </w:r>
      <w:r>
        <w:rPr>
          <w:rFonts w:ascii="Arial" w:hAnsi="Arial" w:cs="Arial"/>
          <w:sz w:val="19"/>
          <w:szCs w:val="19"/>
        </w:rPr>
        <w:t xml:space="preserve"> y</w:t>
      </w:r>
      <w:r w:rsidRPr="004F3C32">
        <w:rPr>
          <w:rFonts w:ascii="Arial" w:hAnsi="Arial" w:cs="Arial"/>
          <w:sz w:val="19"/>
          <w:szCs w:val="19"/>
        </w:rPr>
        <w:t xml:space="preserve"> 4201913000006797 del 3 de octubre de 2019. </w:t>
      </w:r>
    </w:p>
    <w:p w14:paraId="5C9AD058" w14:textId="77777777" w:rsidR="000E1FBE" w:rsidRPr="004F3C32" w:rsidRDefault="000E1FBE" w:rsidP="000E3CFC">
      <w:pPr>
        <w:pStyle w:val="Textonotapie"/>
        <w:ind w:firstLine="708"/>
        <w:jc w:val="both"/>
        <w:rPr>
          <w:rFonts w:ascii="Arial" w:hAnsi="Arial" w:cs="Arial"/>
          <w:sz w:val="19"/>
          <w:szCs w:val="19"/>
          <w:lang w:val="es-CO"/>
        </w:rPr>
      </w:pPr>
    </w:p>
  </w:footnote>
  <w:footnote w:id="5">
    <w:p w14:paraId="35E24A89" w14:textId="77777777" w:rsidR="00F2587E" w:rsidRPr="00A222AD" w:rsidRDefault="00F2587E" w:rsidP="000E3CFC">
      <w:pPr>
        <w:pStyle w:val="Textocomentario"/>
        <w:ind w:firstLine="708"/>
        <w:jc w:val="both"/>
        <w:rPr>
          <w:rFonts w:ascii="Arial" w:hAnsi="Arial" w:cs="Arial"/>
          <w:sz w:val="19"/>
          <w:szCs w:val="19"/>
          <w:lang w:val="es-CO"/>
        </w:rPr>
      </w:pPr>
      <w:r w:rsidRPr="00A222AD">
        <w:rPr>
          <w:rStyle w:val="Refdenotaalpie"/>
          <w:rFonts w:ascii="Arial" w:hAnsi="Arial" w:cs="Arial"/>
          <w:sz w:val="19"/>
          <w:szCs w:val="19"/>
        </w:rPr>
        <w:footnoteRef/>
      </w:r>
      <w:r w:rsidRPr="00A222AD">
        <w:rPr>
          <w:rFonts w:ascii="Arial" w:hAnsi="Arial" w:cs="Arial"/>
          <w:sz w:val="19"/>
          <w:szCs w:val="19"/>
        </w:rPr>
        <w:t xml:space="preserve"> En el marco del Estado de emergencia económica, social y ecológica declarado por el Gobierno Nacional a través del Decreto 417 de 2020, a causa de la pandemia mundial desatada por el virus del </w:t>
      </w:r>
      <w:proofErr w:type="spellStart"/>
      <w:r w:rsidRPr="00A222AD">
        <w:rPr>
          <w:rFonts w:ascii="Arial" w:hAnsi="Arial" w:cs="Arial"/>
          <w:sz w:val="19"/>
          <w:szCs w:val="19"/>
        </w:rPr>
        <w:t>Covid</w:t>
      </w:r>
      <w:proofErr w:type="spellEnd"/>
      <w:r w:rsidRPr="00A222AD">
        <w:rPr>
          <w:rFonts w:ascii="Arial" w:hAnsi="Arial" w:cs="Arial"/>
          <w:sz w:val="19"/>
          <w:szCs w:val="19"/>
        </w:rPr>
        <w:t xml:space="preserve"> 19, se expidió el Decreto 434 de 2020 el cual dispone lo siguiente: «Artículo 2°. Renovación del Registro Único de Proponentes. Las personas naturales y jurídicas, nacionales o extranjeras, con domicilio en Colombia, interesadas en participar en Procesos de Contratación convocados por las entidades estatales, deben estar inscritas en el RUP, salvo las excepciones previstas de forma taxativa en la ley. Las personas inscritas en el RUP deben presentar la información para renovar su registro a más tardar el quinto día hábil del mes de julio de 2020».</w:t>
      </w:r>
    </w:p>
  </w:footnote>
  <w:footnote w:id="6">
    <w:p w14:paraId="71C6399B" w14:textId="0E601E6E" w:rsidR="000825D8" w:rsidRPr="009C5188" w:rsidRDefault="000825D8" w:rsidP="000E3CFC">
      <w:pPr>
        <w:pStyle w:val="Textonotapie"/>
        <w:ind w:firstLine="708"/>
        <w:jc w:val="both"/>
        <w:rPr>
          <w:rFonts w:ascii="Arial" w:hAnsi="Arial" w:cs="Arial"/>
          <w:sz w:val="19"/>
          <w:szCs w:val="19"/>
        </w:rPr>
      </w:pPr>
      <w:r w:rsidRPr="009C5188">
        <w:rPr>
          <w:rStyle w:val="Refdenotaalpie"/>
          <w:rFonts w:ascii="Arial" w:hAnsi="Arial" w:cs="Arial"/>
          <w:sz w:val="19"/>
          <w:szCs w:val="19"/>
        </w:rPr>
        <w:footnoteRef/>
      </w:r>
      <w:r w:rsidRPr="009C5188">
        <w:rPr>
          <w:rFonts w:ascii="Arial" w:hAnsi="Arial" w:cs="Arial"/>
          <w:sz w:val="19"/>
          <w:szCs w:val="19"/>
        </w:rPr>
        <w:t xml:space="preserve"> Ley 1150 de 2007: «Artículo 5.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equivalentes, tendrán en cuenta los siguientes criterios:</w:t>
      </w:r>
    </w:p>
    <w:p w14:paraId="0913B134" w14:textId="2A8E2DF5" w:rsidR="000825D8" w:rsidRPr="009C5188" w:rsidRDefault="000825D8" w:rsidP="000E3CFC">
      <w:pPr>
        <w:pStyle w:val="Textonotapie"/>
        <w:ind w:firstLine="708"/>
        <w:jc w:val="both"/>
        <w:rPr>
          <w:rFonts w:ascii="Arial" w:hAnsi="Arial" w:cs="Arial"/>
          <w:sz w:val="19"/>
          <w:szCs w:val="19"/>
        </w:rPr>
      </w:pPr>
      <w:r w:rsidRPr="009C5188">
        <w:rPr>
          <w:rFonts w:ascii="Arial" w:hAnsi="Arial" w:cs="Arial"/>
          <w:sz w:val="19"/>
          <w:szCs w:val="19"/>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p>
    <w:p w14:paraId="5381DEC6" w14:textId="77777777" w:rsidR="000825D8" w:rsidRPr="009C5188" w:rsidRDefault="000825D8" w:rsidP="000E3CFC">
      <w:pPr>
        <w:pStyle w:val="Textonotapie"/>
        <w:jc w:val="both"/>
        <w:rPr>
          <w:rFonts w:ascii="Arial" w:hAnsi="Arial" w:cs="Arial"/>
          <w:sz w:val="19"/>
          <w:szCs w:val="19"/>
          <w:lang w:val="es-ES"/>
        </w:rPr>
      </w:pPr>
    </w:p>
  </w:footnote>
  <w:footnote w:id="7">
    <w:p w14:paraId="384C2553" w14:textId="613F394C" w:rsidR="000825D8" w:rsidRPr="009C5188" w:rsidRDefault="000825D8" w:rsidP="000E3CFC">
      <w:pPr>
        <w:pStyle w:val="Textonotapie"/>
        <w:ind w:firstLine="708"/>
        <w:jc w:val="both"/>
        <w:rPr>
          <w:rFonts w:ascii="Arial" w:hAnsi="Arial" w:cs="Arial"/>
          <w:sz w:val="19"/>
          <w:szCs w:val="19"/>
        </w:rPr>
      </w:pPr>
      <w:r w:rsidRPr="009C5188">
        <w:rPr>
          <w:rStyle w:val="Refdenotaalpie"/>
          <w:rFonts w:ascii="Arial" w:hAnsi="Arial" w:cs="Arial"/>
          <w:sz w:val="19"/>
          <w:szCs w:val="19"/>
        </w:rPr>
        <w:footnoteRef/>
      </w:r>
      <w:r w:rsidRPr="009C5188">
        <w:rPr>
          <w:rFonts w:ascii="Arial" w:hAnsi="Arial" w:cs="Arial"/>
          <w:sz w:val="19"/>
          <w:szCs w:val="19"/>
        </w:rPr>
        <w:t xml:space="preserve"> Decreto 1082 de 2015: «Artículo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p w14:paraId="5C40C15C" w14:textId="77777777" w:rsidR="000825D8" w:rsidRPr="009C5188" w:rsidRDefault="000825D8" w:rsidP="000E3CFC">
      <w:pPr>
        <w:pStyle w:val="Textonotapie"/>
        <w:ind w:firstLine="708"/>
        <w:jc w:val="both"/>
        <w:rPr>
          <w:rFonts w:ascii="Arial" w:hAnsi="Arial" w:cs="Arial"/>
          <w:sz w:val="19"/>
          <w:szCs w:val="19"/>
          <w:lang w:val="es-ES"/>
        </w:rPr>
      </w:pPr>
    </w:p>
  </w:footnote>
  <w:footnote w:id="8">
    <w:p w14:paraId="3B46C8F4" w14:textId="52B8C8D5" w:rsidR="000825D8" w:rsidRPr="009C5188" w:rsidRDefault="000825D8" w:rsidP="000E3CFC">
      <w:pPr>
        <w:pStyle w:val="Textonotapie"/>
        <w:ind w:firstLine="708"/>
        <w:jc w:val="both"/>
        <w:rPr>
          <w:rFonts w:ascii="Arial" w:hAnsi="Arial" w:cs="Arial"/>
          <w:sz w:val="19"/>
          <w:szCs w:val="19"/>
        </w:rPr>
      </w:pPr>
      <w:r w:rsidRPr="009C5188">
        <w:rPr>
          <w:rStyle w:val="Refdenotaalpie"/>
          <w:rFonts w:ascii="Arial" w:hAnsi="Arial" w:cs="Arial"/>
          <w:sz w:val="19"/>
          <w:szCs w:val="19"/>
        </w:rPr>
        <w:footnoteRef/>
      </w:r>
      <w:r w:rsidRPr="009C5188">
        <w:rPr>
          <w:rFonts w:ascii="Arial" w:hAnsi="Arial" w:cs="Arial"/>
          <w:sz w:val="19"/>
          <w:szCs w:val="19"/>
        </w:rPr>
        <w:t xml:space="preserve"> Decreto 1082 de 2015: «Artículo 2.2.1.1.1.5.3. Requisitos habilitantes contenidos en el RUP. Las cámaras de comercio, con base en la información a la que hace referencia el artículo anterior, deben verificar y certificar los siguientes requisitos habilitantes:</w:t>
      </w:r>
    </w:p>
    <w:p w14:paraId="5537F3CC" w14:textId="1FB214BC" w:rsidR="000825D8" w:rsidRPr="009C5188" w:rsidRDefault="000825D8" w:rsidP="000E3CFC">
      <w:pPr>
        <w:pStyle w:val="Textonotapie"/>
        <w:ind w:firstLine="708"/>
        <w:jc w:val="both"/>
        <w:rPr>
          <w:rFonts w:ascii="Arial" w:hAnsi="Arial" w:cs="Arial"/>
          <w:sz w:val="19"/>
          <w:szCs w:val="19"/>
        </w:rPr>
      </w:pPr>
      <w:r w:rsidRPr="009C5188">
        <w:rPr>
          <w:rFonts w:ascii="Arial" w:hAnsi="Arial" w:cs="Arial"/>
          <w:sz w:val="19"/>
          <w:szCs w:val="19"/>
        </w:rPr>
        <w:t>»1. Experiencia – Los contratos celebrados por el interesado para cada uno de los bienes, obras y servicios que ofrecerá a las Entidades Estatales, identificados con el Clasificador de Bienes y Servicios en el tercer nivel y su valor expresado en SMMLV.</w:t>
      </w:r>
    </w:p>
    <w:p w14:paraId="5E90AC6E" w14:textId="7C373962" w:rsidR="000825D8" w:rsidRPr="009C5188" w:rsidRDefault="000825D8" w:rsidP="000E3CFC">
      <w:pPr>
        <w:pStyle w:val="Textonotapie"/>
        <w:ind w:firstLine="708"/>
        <w:jc w:val="both"/>
        <w:rPr>
          <w:rFonts w:ascii="Arial" w:hAnsi="Arial" w:cs="Arial"/>
          <w:sz w:val="19"/>
          <w:szCs w:val="19"/>
        </w:rPr>
      </w:pPr>
      <w:r w:rsidRPr="009C5188">
        <w:rPr>
          <w:rFonts w:ascii="Arial" w:hAnsi="Arial" w:cs="Arial"/>
          <w:sz w:val="19"/>
          <w:szCs w:val="19"/>
        </w:rPr>
        <w:t>[...]».</w:t>
      </w:r>
    </w:p>
    <w:p w14:paraId="6F33D133" w14:textId="77777777" w:rsidR="000825D8" w:rsidRPr="009C5188" w:rsidRDefault="000825D8" w:rsidP="000E3CFC">
      <w:pPr>
        <w:pStyle w:val="Textonotapie"/>
        <w:ind w:firstLine="708"/>
        <w:jc w:val="both"/>
        <w:rPr>
          <w:rFonts w:ascii="Arial" w:hAnsi="Arial" w:cs="Arial"/>
          <w:sz w:val="19"/>
          <w:szCs w:val="19"/>
          <w:lang w:val="es-ES"/>
        </w:rPr>
      </w:pPr>
    </w:p>
  </w:footnote>
  <w:footnote w:id="9">
    <w:p w14:paraId="31ED782E" w14:textId="3EAAA6D7" w:rsidR="000825D8" w:rsidRPr="009C5188" w:rsidRDefault="000825D8" w:rsidP="000E3CFC">
      <w:pPr>
        <w:pStyle w:val="Textonotapie"/>
        <w:ind w:firstLine="708"/>
        <w:jc w:val="both"/>
        <w:rPr>
          <w:rFonts w:ascii="Arial" w:hAnsi="Arial" w:cs="Arial"/>
          <w:sz w:val="19"/>
          <w:szCs w:val="19"/>
        </w:rPr>
      </w:pPr>
      <w:r w:rsidRPr="009C5188">
        <w:rPr>
          <w:rStyle w:val="Refdenotaalpie"/>
          <w:rFonts w:ascii="Arial" w:hAnsi="Arial" w:cs="Arial"/>
          <w:sz w:val="19"/>
          <w:szCs w:val="19"/>
        </w:rPr>
        <w:footnoteRef/>
      </w:r>
      <w:r w:rsidRPr="009C5188">
        <w:rPr>
          <w:rFonts w:ascii="Arial" w:hAnsi="Arial" w:cs="Arial"/>
          <w:sz w:val="19"/>
          <w:szCs w:val="19"/>
        </w:rPr>
        <w:t xml:space="preserve"> Ley 1150 de 2007: «Artículo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7E2850DA" w14:textId="66822339" w:rsidR="000825D8" w:rsidRPr="009C5188" w:rsidRDefault="000825D8" w:rsidP="000E3CFC">
      <w:pPr>
        <w:pStyle w:val="Textonotapie"/>
        <w:ind w:firstLine="708"/>
        <w:jc w:val="both"/>
        <w:rPr>
          <w:rFonts w:ascii="Arial" w:hAnsi="Arial" w:cs="Arial"/>
          <w:sz w:val="19"/>
          <w:szCs w:val="19"/>
        </w:rPr>
      </w:pPr>
      <w:r w:rsidRPr="009C5188">
        <w:rPr>
          <w:rFonts w:ascii="Arial" w:hAnsi="Arial" w:cs="Arial"/>
          <w:sz w:val="19"/>
          <w:szCs w:val="19"/>
        </w:rPr>
        <w:t>[...]</w:t>
      </w:r>
    </w:p>
    <w:p w14:paraId="42B22B0A" w14:textId="4EC31900" w:rsidR="000825D8" w:rsidRPr="009C5188" w:rsidRDefault="000825D8" w:rsidP="000E3CFC">
      <w:pPr>
        <w:pStyle w:val="Textonotapie"/>
        <w:ind w:firstLine="708"/>
        <w:jc w:val="both"/>
        <w:rPr>
          <w:rFonts w:ascii="Arial" w:hAnsi="Arial" w:cs="Arial"/>
          <w:sz w:val="19"/>
          <w:szCs w:val="19"/>
        </w:rPr>
      </w:pPr>
      <w:r w:rsidRPr="009C5188">
        <w:rPr>
          <w:rFonts w:ascii="Arial" w:hAnsi="Arial" w:cs="Arial"/>
          <w:sz w:val="19"/>
          <w:szCs w:val="19"/>
        </w:rPr>
        <w:t>»El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14:paraId="0F05766C" w14:textId="1874DE4F" w:rsidR="000825D8" w:rsidRPr="009C5188" w:rsidRDefault="000825D8" w:rsidP="000E3CFC">
      <w:pPr>
        <w:pStyle w:val="Textonotapie"/>
        <w:ind w:firstLine="708"/>
        <w:jc w:val="both"/>
        <w:rPr>
          <w:rFonts w:ascii="Arial" w:hAnsi="Arial" w:cs="Arial"/>
          <w:sz w:val="19"/>
          <w:szCs w:val="19"/>
        </w:rPr>
      </w:pPr>
      <w:r w:rsidRPr="009C5188">
        <w:rPr>
          <w:rFonts w:ascii="Arial" w:hAnsi="Arial" w:cs="Arial"/>
          <w:sz w:val="19"/>
          <w:szCs w:val="19"/>
        </w:rPr>
        <w:t>»No obstante lo anterior, sólo en aquellos casos en que por las características del objeto a contratar se requiera la verificación de requisitos del proponente adicionales a los contenidos en el Registro, la entidad podrá hacer tal verificación en forma directa».</w:t>
      </w:r>
    </w:p>
    <w:p w14:paraId="5F9CCEF2" w14:textId="77777777" w:rsidR="000825D8" w:rsidRPr="009C5188" w:rsidRDefault="000825D8" w:rsidP="000E3CFC">
      <w:pPr>
        <w:pStyle w:val="Textonotapie"/>
        <w:jc w:val="both"/>
        <w:rPr>
          <w:rFonts w:ascii="Arial" w:hAnsi="Arial" w:cs="Arial"/>
          <w:sz w:val="19"/>
          <w:szCs w:val="19"/>
          <w:lang w:val="es-ES"/>
        </w:rPr>
      </w:pPr>
    </w:p>
  </w:footnote>
  <w:footnote w:id="10">
    <w:p w14:paraId="1DBBFF38" w14:textId="34B4C4EF" w:rsidR="000825D8" w:rsidRPr="009C5188" w:rsidRDefault="000825D8" w:rsidP="000E3CFC">
      <w:pPr>
        <w:pStyle w:val="Textonotapie"/>
        <w:ind w:firstLine="708"/>
        <w:jc w:val="both"/>
        <w:rPr>
          <w:rFonts w:ascii="Arial" w:hAnsi="Arial" w:cs="Arial"/>
          <w:sz w:val="19"/>
          <w:szCs w:val="19"/>
        </w:rPr>
      </w:pPr>
      <w:r w:rsidRPr="009C5188">
        <w:rPr>
          <w:rStyle w:val="Refdenotaalpie"/>
          <w:rFonts w:ascii="Arial" w:hAnsi="Arial" w:cs="Arial"/>
          <w:sz w:val="19"/>
          <w:szCs w:val="19"/>
        </w:rPr>
        <w:footnoteRef/>
      </w:r>
      <w:r w:rsidRPr="009C5188">
        <w:rPr>
          <w:rFonts w:ascii="Arial" w:hAnsi="Arial" w:cs="Arial"/>
          <w:sz w:val="19"/>
          <w:szCs w:val="19"/>
        </w:rPr>
        <w:t xml:space="preserve"> Decreto 1082 de 2015: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7B70B5AD" w14:textId="48196CC6" w:rsidR="000825D8" w:rsidRPr="009C5188" w:rsidRDefault="000825D8" w:rsidP="000E3CFC">
      <w:pPr>
        <w:pStyle w:val="Textonotapie"/>
        <w:ind w:firstLine="708"/>
        <w:jc w:val="both"/>
        <w:rPr>
          <w:rFonts w:ascii="Arial" w:hAnsi="Arial" w:cs="Arial"/>
          <w:sz w:val="19"/>
          <w:szCs w:val="19"/>
        </w:rPr>
      </w:pPr>
      <w:r w:rsidRPr="009C5188">
        <w:rPr>
          <w:rFonts w:ascii="Arial" w:hAnsi="Arial" w:cs="Arial"/>
          <w:sz w:val="19"/>
          <w:szCs w:val="19"/>
        </w:rPr>
        <w:t>»1.    Si es una persona natural:</w:t>
      </w:r>
    </w:p>
    <w:p w14:paraId="6C99ADCB" w14:textId="3EBEAC38" w:rsidR="000825D8" w:rsidRPr="009C5188" w:rsidRDefault="000825D8" w:rsidP="000E3CFC">
      <w:pPr>
        <w:pStyle w:val="Textonotapie"/>
        <w:ind w:firstLine="708"/>
        <w:jc w:val="both"/>
        <w:rPr>
          <w:rFonts w:ascii="Arial" w:hAnsi="Arial" w:cs="Arial"/>
          <w:sz w:val="19"/>
          <w:szCs w:val="19"/>
        </w:rPr>
      </w:pPr>
      <w:r w:rsidRPr="009C5188">
        <w:rPr>
          <w:rFonts w:ascii="Arial" w:hAnsi="Arial" w:cs="Arial"/>
          <w:sz w:val="19"/>
          <w:szCs w:val="19"/>
        </w:rPr>
        <w:t>»1.1. Bienes, obras y servicios que ofrecerá a las Entidades Estatales, identificados con el Clasificador de Bienes y Servicios en el tercer nivel.</w:t>
      </w:r>
    </w:p>
    <w:p w14:paraId="362CE79E" w14:textId="16670890" w:rsidR="000825D8" w:rsidRPr="009C5188" w:rsidRDefault="000825D8" w:rsidP="000E3CFC">
      <w:pPr>
        <w:pStyle w:val="Textonotapie"/>
        <w:ind w:firstLine="708"/>
        <w:jc w:val="both"/>
        <w:rPr>
          <w:rFonts w:ascii="Arial" w:hAnsi="Arial" w:cs="Arial"/>
          <w:sz w:val="19"/>
          <w:szCs w:val="19"/>
        </w:rPr>
      </w:pPr>
      <w:r w:rsidRPr="009C5188">
        <w:rPr>
          <w:rFonts w:ascii="Arial" w:hAnsi="Arial" w:cs="Arial"/>
          <w:sz w:val="19"/>
          <w:szCs w:val="19"/>
        </w:rPr>
        <w:t>»1.2.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w:t>
      </w:r>
    </w:p>
    <w:p w14:paraId="73BE64AC" w14:textId="77777777" w:rsidR="000825D8" w:rsidRPr="009C5188" w:rsidRDefault="000825D8" w:rsidP="000E3CFC">
      <w:pPr>
        <w:pStyle w:val="Textonotapie"/>
        <w:ind w:firstLine="708"/>
        <w:jc w:val="both"/>
        <w:rPr>
          <w:rFonts w:ascii="Arial" w:hAnsi="Arial" w:cs="Arial"/>
          <w:sz w:val="19"/>
          <w:szCs w:val="19"/>
          <w:lang w:val="es-ES"/>
        </w:rPr>
      </w:pPr>
    </w:p>
  </w:footnote>
  <w:footnote w:id="11">
    <w:p w14:paraId="6A29173D" w14:textId="2E9F96EA" w:rsidR="000825D8" w:rsidRPr="009C5188" w:rsidRDefault="000825D8" w:rsidP="000E3CFC">
      <w:pPr>
        <w:pStyle w:val="Textonotapie"/>
        <w:ind w:firstLine="708"/>
        <w:jc w:val="both"/>
        <w:rPr>
          <w:rFonts w:ascii="Arial" w:hAnsi="Arial" w:cs="Arial"/>
          <w:sz w:val="19"/>
          <w:szCs w:val="19"/>
        </w:rPr>
      </w:pPr>
      <w:r w:rsidRPr="009C5188">
        <w:rPr>
          <w:rStyle w:val="Refdenotaalpie"/>
          <w:rFonts w:ascii="Arial" w:hAnsi="Arial" w:cs="Arial"/>
          <w:sz w:val="19"/>
          <w:szCs w:val="19"/>
        </w:rPr>
        <w:footnoteRef/>
      </w:r>
      <w:r w:rsidRPr="009C5188">
        <w:rPr>
          <w:rFonts w:ascii="Arial" w:hAnsi="Arial" w:cs="Arial"/>
          <w:sz w:val="19"/>
          <w:szCs w:val="19"/>
        </w:rPr>
        <w:t xml:space="preserve"> Colombia Compra Eficiente, Manual para determinar y verificar requisitos habilitantes en los procesos de contratación: «La experiencia es el conocimiento del proponente derivado de su participación previa en actividades iguales o similares a las previstas en el objeto del contrato.</w:t>
      </w:r>
    </w:p>
    <w:p w14:paraId="117A49F7" w14:textId="27CB393E" w:rsidR="000825D8" w:rsidRPr="009C5188" w:rsidRDefault="000825D8" w:rsidP="000E3CFC">
      <w:pPr>
        <w:pStyle w:val="Textonotapie"/>
        <w:ind w:firstLine="708"/>
        <w:jc w:val="both"/>
        <w:rPr>
          <w:rFonts w:ascii="Arial" w:hAnsi="Arial" w:cs="Arial"/>
          <w:sz w:val="19"/>
          <w:szCs w:val="19"/>
        </w:rPr>
      </w:pPr>
      <w:r w:rsidRPr="009C5188">
        <w:rPr>
          <w:rFonts w:ascii="Arial" w:hAnsi="Arial" w:cs="Arial"/>
          <w:sz w:val="19"/>
          <w:szCs w:val="19"/>
        </w:rPr>
        <w:t>»Los proponentes deben registrar en el RUP los contratos que hayan celebrado para prestar los bienes y servicios que pretenden ofrecer a las Entidades Estatales, identificando los bienes, obras y servicios con el Clasificador de Bienes y Servicios en el tercer nivel y expresar el valor del contrato respectivo en SMMLV. El registro debe contener la experiencia adquirida de forma directa o a través de la participación en proponentes plurales. Esta experiencia se obtiene con contratantes públicos, privados, nacionales o extranjeros. No hay límite frente al número de contratos o a la fecha en la cual estos fueron celebrados.</w:t>
      </w:r>
    </w:p>
    <w:p w14:paraId="03949F1B" w14:textId="4D534B36" w:rsidR="000825D8" w:rsidRPr="009C5188" w:rsidRDefault="000825D8" w:rsidP="000E3CFC">
      <w:pPr>
        <w:pStyle w:val="Textonotapie"/>
        <w:ind w:firstLine="708"/>
        <w:jc w:val="both"/>
        <w:rPr>
          <w:rFonts w:ascii="Arial" w:hAnsi="Arial" w:cs="Arial"/>
          <w:sz w:val="19"/>
          <w:szCs w:val="19"/>
        </w:rPr>
      </w:pPr>
      <w:r w:rsidRPr="009C5188">
        <w:rPr>
          <w:rFonts w:ascii="Arial" w:hAnsi="Arial" w:cs="Arial"/>
          <w:sz w:val="19"/>
          <w:szCs w:val="19"/>
        </w:rPr>
        <w:t>[...]</w:t>
      </w:r>
    </w:p>
    <w:p w14:paraId="2CE3BB9E" w14:textId="4D2AF20C" w:rsidR="000825D8" w:rsidRPr="009C5188" w:rsidRDefault="000825D8" w:rsidP="000E3CFC">
      <w:pPr>
        <w:pStyle w:val="Textonotapie"/>
        <w:ind w:firstLine="708"/>
        <w:jc w:val="both"/>
        <w:rPr>
          <w:rFonts w:ascii="Arial" w:hAnsi="Arial" w:cs="Arial"/>
          <w:sz w:val="19"/>
          <w:szCs w:val="19"/>
        </w:rPr>
      </w:pPr>
      <w:r w:rsidRPr="009C5188">
        <w:rPr>
          <w:rFonts w:ascii="Arial" w:hAnsi="Arial" w:cs="Arial"/>
          <w:sz w:val="19"/>
          <w:szCs w:val="19"/>
        </w:rPr>
        <w:t xml:space="preserve">»La experiencia requerida en un Proceso de Contratación debe ser adecuada y proporcional a la naturaleza del contrato y su valor. La experiencia es adecuada cuando es afín al tipo de actividades previstas en el objeto del contrato a celebrar. Por ejemplo, si el Proceso de Contratación es para un servicio de aseo general, el proponente debe tener experiencia en el servicio de aseo, sin que sea relevante el lugar en el cual ha prestado el servicio o quién ha sido el contratante. </w:t>
      </w:r>
    </w:p>
    <w:p w14:paraId="44CF5B89" w14:textId="33C56C9D" w:rsidR="000825D8" w:rsidRPr="009C5188" w:rsidRDefault="000825D8" w:rsidP="000E3CFC">
      <w:pPr>
        <w:pStyle w:val="Textonotapie"/>
        <w:ind w:firstLine="708"/>
        <w:jc w:val="both"/>
        <w:rPr>
          <w:rFonts w:ascii="Arial" w:hAnsi="Arial" w:cs="Arial"/>
          <w:sz w:val="19"/>
          <w:szCs w:val="19"/>
        </w:rPr>
      </w:pPr>
      <w:r w:rsidRPr="009C5188">
        <w:rPr>
          <w:rFonts w:ascii="Arial" w:hAnsi="Arial" w:cs="Arial"/>
          <w:sz w:val="19"/>
          <w:szCs w:val="19"/>
        </w:rPr>
        <w:t>»La experiencia es proporcional cuando tiene relación con el alcance, la cuantía y complejidad del contrato a celebrar. Por ejemplo, en un Proceso de Contratación de obra pública con un presupuesto oficial de 100 SMMLV, la experiencia exigida es proporcional si la Entidad Estatal exige que los proponentes hayan participado en Procesos de Contratación de 50 SMMLV del mismo tipo de obra.</w:t>
      </w:r>
    </w:p>
    <w:p w14:paraId="6C77048A" w14:textId="7B9D8ECA" w:rsidR="000825D8" w:rsidRPr="00694D8E" w:rsidRDefault="000825D8" w:rsidP="000E3CFC">
      <w:pPr>
        <w:pStyle w:val="Textonotapie"/>
        <w:ind w:firstLine="708"/>
        <w:jc w:val="both"/>
        <w:rPr>
          <w:rFonts w:ascii="Arial" w:hAnsi="Arial" w:cs="Arial"/>
          <w:sz w:val="19"/>
          <w:szCs w:val="19"/>
        </w:rPr>
      </w:pPr>
      <w:r w:rsidRPr="009C5188">
        <w:rPr>
          <w:rFonts w:ascii="Arial" w:hAnsi="Arial" w:cs="Arial"/>
          <w:sz w:val="19"/>
          <w:szCs w:val="19"/>
        </w:rPr>
        <w:t>[...]».</w:t>
      </w:r>
    </w:p>
  </w:footnote>
  <w:footnote w:id="12">
    <w:p w14:paraId="2EF1DA68" w14:textId="1D2DB3F7" w:rsidR="000825D8" w:rsidRPr="003513C4" w:rsidRDefault="000825D8" w:rsidP="000E3CFC">
      <w:pPr>
        <w:pStyle w:val="Textonotapie"/>
        <w:ind w:firstLine="708"/>
        <w:jc w:val="both"/>
        <w:rPr>
          <w:rFonts w:ascii="Arial" w:hAnsi="Arial" w:cs="Arial"/>
          <w:sz w:val="19"/>
          <w:szCs w:val="19"/>
        </w:rPr>
      </w:pPr>
      <w:r>
        <w:rPr>
          <w:rStyle w:val="Refdenotaalpie"/>
        </w:rPr>
        <w:footnoteRef/>
      </w:r>
      <w:r>
        <w:t xml:space="preserve"> </w:t>
      </w:r>
      <w:r w:rsidR="003513C4">
        <w:rPr>
          <w:rFonts w:ascii="Arial" w:hAnsi="Arial" w:cs="Arial"/>
          <w:sz w:val="19"/>
          <w:szCs w:val="19"/>
        </w:rPr>
        <w:t>Esta conclusión cambió respecto del concepto C – 002 del 20 de febrero de 2020, para adecuarla a un mejor entendimiento de las normas sobre la experiencia.</w:t>
      </w:r>
    </w:p>
    <w:p w14:paraId="1710A887" w14:textId="77777777" w:rsidR="003513C4" w:rsidRPr="00384698" w:rsidRDefault="003513C4" w:rsidP="000E3CFC">
      <w:pPr>
        <w:pStyle w:val="Textonotapie"/>
        <w:ind w:firstLine="708"/>
        <w:jc w:val="both"/>
        <w:rPr>
          <w:lang w:val="es-CO"/>
        </w:rPr>
      </w:pPr>
    </w:p>
  </w:footnote>
  <w:footnote w:id="13">
    <w:p w14:paraId="2CF61B38" w14:textId="75F0243D" w:rsidR="000825D8" w:rsidRPr="009C5188" w:rsidRDefault="000825D8" w:rsidP="000E3CFC">
      <w:pPr>
        <w:pStyle w:val="Textonotapie"/>
        <w:ind w:firstLine="708"/>
        <w:jc w:val="both"/>
        <w:rPr>
          <w:rFonts w:ascii="Arial" w:hAnsi="Arial" w:cs="Arial"/>
          <w:sz w:val="19"/>
          <w:szCs w:val="19"/>
        </w:rPr>
      </w:pPr>
      <w:r w:rsidRPr="009C5188">
        <w:rPr>
          <w:rStyle w:val="Refdenotaalpie"/>
          <w:rFonts w:ascii="Arial" w:hAnsi="Arial" w:cs="Arial"/>
          <w:sz w:val="19"/>
          <w:szCs w:val="19"/>
        </w:rPr>
        <w:footnoteRef/>
      </w:r>
      <w:r w:rsidRPr="009C5188">
        <w:rPr>
          <w:rFonts w:ascii="Arial" w:hAnsi="Arial" w:cs="Arial"/>
          <w:sz w:val="19"/>
          <w:szCs w:val="19"/>
        </w:rPr>
        <w:t xml:space="preserve"> Código de Comercio: «Artículo 222. Efectos posteriores a la liquidación de la sociedad. Disuelta la sociedad se procederá de inmediato a su liquidación. En consecuencia, no podrá iniciar nuevas operaciones en desarrollo de su objeto y conservará su capacidad jurídica únicamente para los actos necesarios a la inmediata liquidación. Cualquier operación o acto ajeno a este fin, salvo los autorizados expresamente por la Ley, hará responsables frente a la sociedad, a los asociados y a terceros, en forma ilimitada y solidaria, al liquidador, y al revisor fiscal que no se hubiere opuesto.</w:t>
      </w:r>
    </w:p>
    <w:p w14:paraId="3A77B4C9" w14:textId="369D18D0" w:rsidR="000825D8" w:rsidRPr="009C5188" w:rsidRDefault="000825D8" w:rsidP="000E3CFC">
      <w:pPr>
        <w:pStyle w:val="Textonotapie"/>
        <w:ind w:firstLine="708"/>
        <w:jc w:val="both"/>
        <w:rPr>
          <w:rFonts w:ascii="Arial" w:hAnsi="Arial" w:cs="Arial"/>
          <w:sz w:val="19"/>
          <w:szCs w:val="19"/>
        </w:rPr>
      </w:pPr>
      <w:r w:rsidRPr="009C5188">
        <w:rPr>
          <w:rFonts w:ascii="Arial" w:hAnsi="Arial" w:cs="Arial"/>
          <w:sz w:val="19"/>
          <w:szCs w:val="19"/>
        </w:rPr>
        <w:t>»El nombre de la sociedad disuelta deberá adicionarse siempre con la expresión ‘en liquidación’. Los encargados de realizarla responderán de los daños y perjuicios que se deriven por dicha omisión».</w:t>
      </w:r>
    </w:p>
    <w:p w14:paraId="1D5F542B" w14:textId="77777777" w:rsidR="000825D8" w:rsidRPr="009C5188" w:rsidRDefault="000825D8" w:rsidP="000E3CFC">
      <w:pPr>
        <w:pStyle w:val="Textonotapie"/>
        <w:jc w:val="both"/>
        <w:rPr>
          <w:rFonts w:ascii="Arial" w:hAnsi="Arial" w:cs="Arial"/>
          <w:sz w:val="19"/>
          <w:szCs w:val="19"/>
          <w:lang w:val="es-CO"/>
        </w:rPr>
      </w:pPr>
    </w:p>
  </w:footnote>
  <w:footnote w:id="14">
    <w:p w14:paraId="6D2CC498" w14:textId="77777777" w:rsidR="000825D8" w:rsidRPr="009C5188" w:rsidRDefault="000825D8" w:rsidP="000E3CFC">
      <w:pPr>
        <w:pStyle w:val="Textonotapie"/>
        <w:ind w:firstLine="708"/>
        <w:jc w:val="both"/>
        <w:rPr>
          <w:rFonts w:ascii="Arial" w:hAnsi="Arial" w:cs="Arial"/>
          <w:sz w:val="19"/>
          <w:szCs w:val="19"/>
        </w:rPr>
      </w:pPr>
      <w:r w:rsidRPr="009C5188">
        <w:rPr>
          <w:rStyle w:val="Refdenotaalpie"/>
          <w:rFonts w:ascii="Arial" w:hAnsi="Arial" w:cs="Arial"/>
          <w:sz w:val="19"/>
          <w:szCs w:val="19"/>
        </w:rPr>
        <w:footnoteRef/>
      </w:r>
      <w:r w:rsidRPr="009C5188">
        <w:rPr>
          <w:rFonts w:ascii="Arial" w:hAnsi="Arial" w:cs="Arial"/>
          <w:sz w:val="19"/>
          <w:szCs w:val="19"/>
        </w:rPr>
        <w:t xml:space="preserve"> Ver artículos 225 y ss. del Código de Comercio.</w:t>
      </w:r>
    </w:p>
    <w:p w14:paraId="697EE64A" w14:textId="77777777" w:rsidR="000825D8" w:rsidRPr="009C5188" w:rsidRDefault="000825D8" w:rsidP="000E3CFC">
      <w:pPr>
        <w:pStyle w:val="Textonotapie"/>
        <w:ind w:firstLine="708"/>
        <w:jc w:val="both"/>
        <w:rPr>
          <w:rFonts w:ascii="Arial" w:hAnsi="Arial" w:cs="Arial"/>
          <w:sz w:val="19"/>
          <w:szCs w:val="19"/>
          <w:lang w:val="es-CO"/>
        </w:rPr>
      </w:pPr>
      <w:r w:rsidRPr="009C5188">
        <w:rPr>
          <w:rFonts w:ascii="Arial" w:hAnsi="Arial" w:cs="Arial"/>
          <w:sz w:val="19"/>
          <w:szCs w:val="19"/>
        </w:rPr>
        <w:t xml:space="preserve"> </w:t>
      </w:r>
    </w:p>
  </w:footnote>
  <w:footnote w:id="15">
    <w:p w14:paraId="44559473" w14:textId="0874D38C" w:rsidR="000825D8" w:rsidRPr="009C5188" w:rsidRDefault="000825D8" w:rsidP="000E3CFC">
      <w:pPr>
        <w:pStyle w:val="Textonotapie"/>
        <w:ind w:firstLine="708"/>
        <w:jc w:val="both"/>
        <w:rPr>
          <w:rFonts w:ascii="Arial" w:hAnsi="Arial" w:cs="Arial"/>
          <w:sz w:val="19"/>
          <w:szCs w:val="19"/>
        </w:rPr>
      </w:pPr>
      <w:r w:rsidRPr="009C5188">
        <w:rPr>
          <w:rStyle w:val="Refdenotaalpie"/>
          <w:rFonts w:ascii="Arial" w:hAnsi="Arial" w:cs="Arial"/>
          <w:sz w:val="19"/>
          <w:szCs w:val="19"/>
        </w:rPr>
        <w:footnoteRef/>
      </w:r>
      <w:r w:rsidRPr="009C5188">
        <w:rPr>
          <w:rFonts w:ascii="Arial" w:hAnsi="Arial" w:cs="Arial"/>
          <w:sz w:val="19"/>
          <w:szCs w:val="19"/>
        </w:rPr>
        <w:t xml:space="preserve"> Código de Comercio: «Artículo 167. Reforma de contrato social por transformación de sociedad. Una sociedad podrá, antes de su disolución, adoptar cualquiera otra de las formas de la sociedad comercial reguladas en este Código, mediante una reforma del contrato social.</w:t>
      </w:r>
    </w:p>
    <w:p w14:paraId="304E956C" w14:textId="04E458F0" w:rsidR="000825D8" w:rsidRPr="009C5188" w:rsidRDefault="000825D8" w:rsidP="000E3CFC">
      <w:pPr>
        <w:pStyle w:val="Textonotapie"/>
        <w:ind w:firstLine="708"/>
        <w:jc w:val="both"/>
        <w:rPr>
          <w:rFonts w:ascii="Arial" w:hAnsi="Arial" w:cs="Arial"/>
          <w:sz w:val="19"/>
          <w:szCs w:val="19"/>
        </w:rPr>
      </w:pPr>
      <w:r w:rsidRPr="009C5188">
        <w:rPr>
          <w:rFonts w:ascii="Arial" w:hAnsi="Arial" w:cs="Arial"/>
          <w:sz w:val="19"/>
          <w:szCs w:val="19"/>
        </w:rPr>
        <w:t>»La transformación no producirá solución de continuidad en la existencia de la sociedad como persona jurídica, ni en sus actividades ni en su patrimonio».</w:t>
      </w:r>
    </w:p>
    <w:p w14:paraId="47348FB5" w14:textId="77777777" w:rsidR="000825D8" w:rsidRPr="009C5188" w:rsidRDefault="000825D8" w:rsidP="000E3CFC">
      <w:pPr>
        <w:pStyle w:val="Textonotapie"/>
        <w:ind w:firstLine="708"/>
        <w:jc w:val="both"/>
        <w:rPr>
          <w:rFonts w:ascii="Arial" w:hAnsi="Arial" w:cs="Arial"/>
          <w:sz w:val="19"/>
          <w:szCs w:val="19"/>
        </w:rPr>
      </w:pPr>
    </w:p>
  </w:footnote>
  <w:footnote w:id="16">
    <w:p w14:paraId="5DF12BBD" w14:textId="1104D5A7" w:rsidR="000825D8" w:rsidRPr="009C5188" w:rsidRDefault="000825D8" w:rsidP="000E3CFC">
      <w:pPr>
        <w:pStyle w:val="Textonotapie"/>
        <w:ind w:firstLine="708"/>
        <w:jc w:val="both"/>
        <w:rPr>
          <w:rFonts w:ascii="Arial" w:hAnsi="Arial" w:cs="Arial"/>
          <w:sz w:val="19"/>
          <w:szCs w:val="19"/>
        </w:rPr>
      </w:pPr>
      <w:r w:rsidRPr="009C5188">
        <w:rPr>
          <w:rStyle w:val="Refdenotaalpie"/>
          <w:rFonts w:ascii="Arial" w:hAnsi="Arial" w:cs="Arial"/>
          <w:sz w:val="19"/>
          <w:szCs w:val="19"/>
        </w:rPr>
        <w:footnoteRef/>
      </w:r>
      <w:r w:rsidRPr="009C5188">
        <w:rPr>
          <w:rFonts w:ascii="Arial" w:hAnsi="Arial" w:cs="Arial"/>
          <w:sz w:val="19"/>
          <w:szCs w:val="19"/>
        </w:rPr>
        <w:t xml:space="preserve"> Ley 222 de 1995: «Artículo 3. Modalidades. Habrá escisión cuando:</w:t>
      </w:r>
    </w:p>
    <w:p w14:paraId="0827ED25" w14:textId="7D0AA921" w:rsidR="000825D8" w:rsidRPr="009C5188" w:rsidRDefault="000825D8" w:rsidP="000E3CFC">
      <w:pPr>
        <w:pStyle w:val="Textonotapie"/>
        <w:ind w:firstLine="708"/>
        <w:jc w:val="both"/>
        <w:rPr>
          <w:rFonts w:ascii="Arial" w:hAnsi="Arial" w:cs="Arial"/>
          <w:sz w:val="19"/>
          <w:szCs w:val="19"/>
        </w:rPr>
      </w:pPr>
      <w:r w:rsidRPr="009C5188">
        <w:rPr>
          <w:rFonts w:ascii="Arial" w:hAnsi="Arial" w:cs="Arial"/>
          <w:sz w:val="19"/>
          <w:szCs w:val="19"/>
        </w:rPr>
        <w:t>»1. Una sociedad sin disolverse, transfiere en bloque una o varias partes de su patrimonio a una o más sociedades existentes o las destina a la creación de una o varias sociedades.</w:t>
      </w:r>
    </w:p>
    <w:p w14:paraId="5C508D48" w14:textId="3AF123D8" w:rsidR="000825D8" w:rsidRPr="009C5188" w:rsidRDefault="000825D8" w:rsidP="000E3CFC">
      <w:pPr>
        <w:pStyle w:val="Textonotapie"/>
        <w:ind w:firstLine="708"/>
        <w:jc w:val="both"/>
        <w:rPr>
          <w:rFonts w:ascii="Arial" w:hAnsi="Arial" w:cs="Arial"/>
          <w:sz w:val="19"/>
          <w:szCs w:val="19"/>
        </w:rPr>
      </w:pPr>
      <w:r w:rsidRPr="009C5188">
        <w:rPr>
          <w:rFonts w:ascii="Arial" w:hAnsi="Arial" w:cs="Arial"/>
          <w:sz w:val="19"/>
          <w:szCs w:val="19"/>
        </w:rPr>
        <w:t>»2. Una sociedad se disuelve sin liquidarse, dividiendo su patrimonio en dos o más partes, que se transfieren a varias sociedades existentes o se destinan a la creación de nuevas sociedades.</w:t>
      </w:r>
    </w:p>
    <w:p w14:paraId="1BD16E9F" w14:textId="6B734160" w:rsidR="000825D8" w:rsidRPr="009C5188" w:rsidRDefault="000825D8" w:rsidP="000E3CFC">
      <w:pPr>
        <w:pStyle w:val="Textonotapie"/>
        <w:ind w:firstLine="708"/>
        <w:jc w:val="both"/>
        <w:rPr>
          <w:rFonts w:ascii="Arial" w:hAnsi="Arial" w:cs="Arial"/>
          <w:sz w:val="19"/>
          <w:szCs w:val="19"/>
        </w:rPr>
      </w:pPr>
      <w:r w:rsidRPr="009C5188">
        <w:rPr>
          <w:rFonts w:ascii="Arial" w:hAnsi="Arial" w:cs="Arial"/>
          <w:sz w:val="19"/>
          <w:szCs w:val="19"/>
        </w:rPr>
        <w:t>»La sociedad o sociedades destinatarias de las transferencias resultantes de la escisión, se denominarán sociedades beneficiarias.</w:t>
      </w:r>
    </w:p>
    <w:p w14:paraId="17911942" w14:textId="1C87639A" w:rsidR="000825D8" w:rsidRPr="009C5188" w:rsidRDefault="000825D8" w:rsidP="000E3CFC">
      <w:pPr>
        <w:pStyle w:val="Textonotapie"/>
        <w:ind w:firstLine="708"/>
        <w:jc w:val="both"/>
        <w:rPr>
          <w:rFonts w:ascii="Arial" w:hAnsi="Arial" w:cs="Arial"/>
          <w:sz w:val="19"/>
          <w:szCs w:val="19"/>
          <w:lang w:val="es-CO"/>
        </w:rPr>
      </w:pPr>
      <w:r w:rsidRPr="009C5188">
        <w:rPr>
          <w:rFonts w:ascii="Arial" w:hAnsi="Arial" w:cs="Arial"/>
          <w:sz w:val="19"/>
          <w:szCs w:val="19"/>
        </w:rPr>
        <w:t>»Los socios de la sociedad escindida participarán en el capital de las Sociedades beneficiarias en la misma proporción que tengan en aquélla, salvo que por unanimidad de las acciones, cuotas sociales o partes de interés representadas en la asamblea o junta de socios de la escindente, se apruebe una participación diferente».</w:t>
      </w:r>
    </w:p>
  </w:footnote>
  <w:footnote w:id="17">
    <w:p w14:paraId="40C0581E" w14:textId="16DEF021" w:rsidR="000825D8" w:rsidRPr="009C5188" w:rsidRDefault="000825D8" w:rsidP="000E3CFC">
      <w:pPr>
        <w:pStyle w:val="Textonotapie"/>
        <w:ind w:firstLine="708"/>
        <w:jc w:val="both"/>
        <w:rPr>
          <w:rFonts w:ascii="Arial" w:hAnsi="Arial" w:cs="Arial"/>
          <w:sz w:val="19"/>
          <w:szCs w:val="19"/>
        </w:rPr>
      </w:pPr>
      <w:r w:rsidRPr="009C5188">
        <w:rPr>
          <w:rStyle w:val="Refdenotaalpie"/>
          <w:rFonts w:ascii="Arial" w:hAnsi="Arial" w:cs="Arial"/>
          <w:sz w:val="19"/>
          <w:szCs w:val="19"/>
        </w:rPr>
        <w:footnoteRef/>
      </w:r>
      <w:r w:rsidRPr="009C5188">
        <w:rPr>
          <w:rFonts w:ascii="Arial" w:hAnsi="Arial" w:cs="Arial"/>
          <w:sz w:val="19"/>
          <w:szCs w:val="19"/>
        </w:rPr>
        <w:t xml:space="preserve"> Código de Comercio: «Artículo 172. Fusión de la sociedad-concepto. Habrá fusión cuando una o más sociedades se disuelvan, sin liquidarse, para ser absorbidas por otra o para crear una nueva.</w:t>
      </w:r>
    </w:p>
    <w:p w14:paraId="038EB3D2" w14:textId="5E519984" w:rsidR="000825D8" w:rsidRPr="009C5188" w:rsidRDefault="000825D8" w:rsidP="000E3CFC">
      <w:pPr>
        <w:pStyle w:val="Textonotapie"/>
        <w:ind w:firstLine="708"/>
        <w:jc w:val="both"/>
        <w:rPr>
          <w:rFonts w:ascii="Arial" w:hAnsi="Arial" w:cs="Arial"/>
          <w:sz w:val="19"/>
          <w:szCs w:val="19"/>
        </w:rPr>
      </w:pPr>
      <w:r w:rsidRPr="009C5188">
        <w:rPr>
          <w:rFonts w:ascii="Arial" w:hAnsi="Arial" w:cs="Arial"/>
          <w:sz w:val="19"/>
          <w:szCs w:val="19"/>
        </w:rPr>
        <w:t>»La absorbente o la nueva compañía adquirirá los derechos y obligaciones de la sociedad o sociedades disueltas al formalizarse el acuerdo de fusión».</w:t>
      </w:r>
    </w:p>
    <w:p w14:paraId="149521D6" w14:textId="77777777" w:rsidR="000825D8" w:rsidRPr="009C5188" w:rsidRDefault="000825D8" w:rsidP="000E3CFC">
      <w:pPr>
        <w:pStyle w:val="Textonotapie"/>
        <w:jc w:val="both"/>
        <w:rPr>
          <w:rFonts w:ascii="Arial" w:hAnsi="Arial" w:cs="Arial"/>
          <w:sz w:val="19"/>
          <w:szCs w:val="19"/>
          <w:lang w:val="es-CO"/>
        </w:rPr>
      </w:pPr>
    </w:p>
  </w:footnote>
  <w:footnote w:id="18">
    <w:p w14:paraId="383FB81A" w14:textId="38FF5E02" w:rsidR="000825D8" w:rsidRPr="009C5188" w:rsidRDefault="000825D8" w:rsidP="000E3CFC">
      <w:pPr>
        <w:pStyle w:val="Textonotapie"/>
        <w:ind w:firstLine="708"/>
        <w:jc w:val="both"/>
        <w:rPr>
          <w:rFonts w:ascii="Arial" w:hAnsi="Arial" w:cs="Arial"/>
          <w:sz w:val="19"/>
          <w:szCs w:val="19"/>
        </w:rPr>
      </w:pPr>
      <w:r w:rsidRPr="009C5188">
        <w:rPr>
          <w:rStyle w:val="Refdenotaalpie"/>
          <w:rFonts w:ascii="Arial" w:hAnsi="Arial" w:cs="Arial"/>
          <w:sz w:val="19"/>
          <w:szCs w:val="19"/>
        </w:rPr>
        <w:footnoteRef/>
      </w:r>
      <w:r w:rsidRPr="009C5188">
        <w:rPr>
          <w:rFonts w:ascii="Arial" w:hAnsi="Arial" w:cs="Arial"/>
          <w:sz w:val="19"/>
          <w:szCs w:val="19"/>
        </w:rPr>
        <w:t xml:space="preserve"> Código de Comercio: «Artículo 180. Formación de nueva sociedad que continua negocios de la disuelta. Lo dispuesto en esta Sección podrá aplicarse también al caso de la formación de una nueva sociedad para continuar los negocios de una sociedad disuelta, siempre que no haya variaciones en el giro de sus actividades o negocios y que la operación se celebre dentro de los seis meses siguientes a la fecha de disolución».</w:t>
      </w:r>
    </w:p>
    <w:p w14:paraId="7F86A179" w14:textId="77777777" w:rsidR="000825D8" w:rsidRPr="009C5188" w:rsidRDefault="000825D8" w:rsidP="000E3CFC">
      <w:pPr>
        <w:pStyle w:val="Textonotapie"/>
        <w:ind w:firstLine="708"/>
        <w:jc w:val="both"/>
        <w:rPr>
          <w:rFonts w:ascii="Arial" w:hAnsi="Arial" w:cs="Arial"/>
          <w:sz w:val="19"/>
          <w:szCs w:val="19"/>
          <w:lang w:val="es-CO"/>
        </w:rPr>
      </w:pPr>
    </w:p>
  </w:footnote>
  <w:footnote w:id="19">
    <w:p w14:paraId="6AED8B9A" w14:textId="6C0C85A3" w:rsidR="000825D8" w:rsidRPr="009C5188" w:rsidRDefault="000825D8" w:rsidP="000E3CFC">
      <w:pPr>
        <w:pStyle w:val="Textonotapie"/>
        <w:ind w:firstLine="708"/>
        <w:jc w:val="both"/>
        <w:rPr>
          <w:rFonts w:ascii="Arial" w:hAnsi="Arial" w:cs="Arial"/>
          <w:sz w:val="19"/>
          <w:szCs w:val="19"/>
        </w:rPr>
      </w:pPr>
      <w:r w:rsidRPr="009C5188">
        <w:rPr>
          <w:rStyle w:val="Refdenotaalpie"/>
          <w:rFonts w:ascii="Arial" w:hAnsi="Arial" w:cs="Arial"/>
          <w:sz w:val="19"/>
          <w:szCs w:val="19"/>
        </w:rPr>
        <w:footnoteRef/>
      </w:r>
      <w:r w:rsidRPr="009C5188">
        <w:rPr>
          <w:rFonts w:ascii="Arial" w:hAnsi="Arial" w:cs="Arial"/>
          <w:sz w:val="19"/>
          <w:szCs w:val="19"/>
        </w:rPr>
        <w:t xml:space="preserve"> Ley 1258 de 2008: «Artículo 33. Fusión abreviada. En aquellos casos en que una sociedad detente más del noventa (90%) de las acciones de una sociedad por acciones simplificada, aquella podrá absorber a esta, mediante determinación adoptada por los representantes legales o por las juntas directivas de las sociedades participantes en el proceso de fusión.</w:t>
      </w:r>
    </w:p>
    <w:p w14:paraId="6BE9B31C" w14:textId="77777777" w:rsidR="000825D8" w:rsidRPr="009C5188" w:rsidRDefault="000825D8" w:rsidP="000E3CFC">
      <w:pPr>
        <w:pStyle w:val="Textonotapie"/>
        <w:ind w:firstLine="708"/>
        <w:jc w:val="both"/>
        <w:rPr>
          <w:rFonts w:ascii="Arial" w:hAnsi="Arial" w:cs="Arial"/>
          <w:sz w:val="19"/>
          <w:szCs w:val="19"/>
        </w:rPr>
      </w:pPr>
      <w:r w:rsidRPr="009C5188">
        <w:rPr>
          <w:rFonts w:ascii="Arial" w:hAnsi="Arial" w:cs="Arial"/>
          <w:sz w:val="19"/>
          <w:szCs w:val="19"/>
        </w:rPr>
        <w:t>»El acuerdo de fusión podrá realizarse por documento privado inscrito en el Registro Mercantil, salvo que dentro de los activos transferidos se encuentren bienes cuya enajenación requiera escritura pública. La fusión podrá dar lugar al derecho de retiro a favor de los accionistas ausentes y disidentes en los términos de la Ley 222 de 1995, así como a la acción de oposición judicial prevista en el artículo 175 del Código de Comercio.</w:t>
      </w:r>
    </w:p>
    <w:p w14:paraId="0BE0352A" w14:textId="4E6CEB4E" w:rsidR="000825D8" w:rsidRPr="009C5188" w:rsidRDefault="000825D8" w:rsidP="000E3CFC">
      <w:pPr>
        <w:pStyle w:val="Textonotapie"/>
        <w:ind w:firstLine="708"/>
        <w:jc w:val="both"/>
        <w:rPr>
          <w:rFonts w:ascii="Arial" w:hAnsi="Arial" w:cs="Arial"/>
          <w:sz w:val="19"/>
          <w:szCs w:val="19"/>
        </w:rPr>
      </w:pPr>
      <w:r w:rsidRPr="009C5188">
        <w:rPr>
          <w:rFonts w:ascii="Arial" w:hAnsi="Arial" w:cs="Arial"/>
          <w:sz w:val="19"/>
          <w:szCs w:val="19"/>
        </w:rPr>
        <w:t>»El texto del acuerdo de fusión abreviada tendrá que ser publicado en un diario de amplia circulación según lo establece la Ley 222 de 1995, dentro de ese mismo término habrá lugar a la oposición por parte de terceros interesados quienes podrán exigir garantías necesarias y/o suficientes».</w:t>
      </w:r>
    </w:p>
    <w:p w14:paraId="438BF2D7" w14:textId="77777777" w:rsidR="000825D8" w:rsidRPr="009C5188" w:rsidRDefault="000825D8" w:rsidP="000E3CFC">
      <w:pPr>
        <w:pStyle w:val="Textonotapie"/>
        <w:ind w:firstLine="708"/>
        <w:jc w:val="both"/>
        <w:rPr>
          <w:rFonts w:ascii="Arial" w:hAnsi="Arial" w:cs="Arial"/>
          <w:sz w:val="19"/>
          <w:szCs w:val="19"/>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0825D8" w:rsidRDefault="000825D8">
    <w:pPr>
      <w:pStyle w:val="Encabezado"/>
    </w:pPr>
    <w:r>
      <w:rPr>
        <w:noProof/>
        <w:lang w:val="es-CO" w:eastAsia="es-CO"/>
      </w:rPr>
      <w:drawing>
        <wp:anchor distT="0" distB="0" distL="114300" distR="114300" simplePos="0" relativeHeight="251661312" behindDoc="1" locked="0" layoutInCell="1" allowOverlap="1" wp14:anchorId="1A706351" wp14:editId="3F23CBDB">
          <wp:simplePos x="0" y="0"/>
          <wp:positionH relativeFrom="column">
            <wp:posOffset>4421891</wp:posOffset>
          </wp:positionH>
          <wp:positionV relativeFrom="paragraph">
            <wp:posOffset>474648</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3AC4F752"/>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3F683917"/>
    <w:multiLevelType w:val="multilevel"/>
    <w:tmpl w:val="DB86260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6"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8" w15:restartNumberingAfterBreak="0">
    <w:nsid w:val="7F7A468A"/>
    <w:multiLevelType w:val="multilevel"/>
    <w:tmpl w:val="FEA47526"/>
    <w:lvl w:ilvl="0">
      <w:start w:val="1"/>
      <w:numFmt w:val="decimal"/>
      <w:lvlText w:val="%1."/>
      <w:lvlJc w:val="left"/>
      <w:pPr>
        <w:ind w:left="360" w:hanging="360"/>
      </w:pPr>
      <w:rPr>
        <w:rFonts w:hint="default"/>
      </w:rPr>
    </w:lvl>
    <w:lvl w:ilvl="1">
      <w:start w:val="1"/>
      <w:numFmt w:val="decimal"/>
      <w:isLgl/>
      <w:lvlText w:val="%1.%2"/>
      <w:lvlJc w:val="left"/>
      <w:pPr>
        <w:ind w:left="947" w:hanging="380"/>
      </w:pPr>
      <w:rPr>
        <w:rFonts w:hint="default"/>
        <w:b/>
        <w:i w:val="0"/>
      </w:rPr>
    </w:lvl>
    <w:lvl w:ilvl="2">
      <w:start w:val="1"/>
      <w:numFmt w:val="decimal"/>
      <w:isLgl/>
      <w:lvlText w:val="%1.%2.%3"/>
      <w:lvlJc w:val="left"/>
      <w:pPr>
        <w:ind w:left="1854" w:hanging="720"/>
      </w:pPr>
      <w:rPr>
        <w:rFonts w:hint="default"/>
      </w:rPr>
    </w:lvl>
    <w:lvl w:ilvl="3">
      <w:start w:val="1"/>
      <w:numFmt w:val="decimal"/>
      <w:isLgl/>
      <w:lvlText w:val="%1.%2.%3.%4"/>
      <w:lvlJc w:val="left"/>
      <w:pPr>
        <w:ind w:left="2421" w:hanging="720"/>
      </w:pPr>
      <w:rPr>
        <w:rFonts w:hint="default"/>
      </w:rPr>
    </w:lvl>
    <w:lvl w:ilvl="4">
      <w:start w:val="1"/>
      <w:numFmt w:val="decimal"/>
      <w:isLgl/>
      <w:lvlText w:val="%1.%2.%3.%4.%5"/>
      <w:lvlJc w:val="left"/>
      <w:pPr>
        <w:ind w:left="3348" w:hanging="1080"/>
      </w:pPr>
      <w:rPr>
        <w:rFonts w:hint="default"/>
      </w:rPr>
    </w:lvl>
    <w:lvl w:ilvl="5">
      <w:start w:val="1"/>
      <w:numFmt w:val="decimal"/>
      <w:isLgl/>
      <w:lvlText w:val="%1.%2.%3.%4.%5.%6"/>
      <w:lvlJc w:val="left"/>
      <w:pPr>
        <w:ind w:left="3915" w:hanging="1080"/>
      </w:pPr>
      <w:rPr>
        <w:rFonts w:hint="default"/>
      </w:rPr>
    </w:lvl>
    <w:lvl w:ilvl="6">
      <w:start w:val="1"/>
      <w:numFmt w:val="decimal"/>
      <w:isLgl/>
      <w:lvlText w:val="%1.%2.%3.%4.%5.%6.%7"/>
      <w:lvlJc w:val="left"/>
      <w:pPr>
        <w:ind w:left="4842" w:hanging="1440"/>
      </w:pPr>
      <w:rPr>
        <w:rFonts w:hint="default"/>
      </w:rPr>
    </w:lvl>
    <w:lvl w:ilvl="7">
      <w:start w:val="1"/>
      <w:numFmt w:val="decimal"/>
      <w:isLgl/>
      <w:lvlText w:val="%1.%2.%3.%4.%5.%6.%7.%8"/>
      <w:lvlJc w:val="left"/>
      <w:pPr>
        <w:ind w:left="5409" w:hanging="1440"/>
      </w:pPr>
      <w:rPr>
        <w:rFonts w:hint="default"/>
      </w:rPr>
    </w:lvl>
    <w:lvl w:ilvl="8">
      <w:start w:val="1"/>
      <w:numFmt w:val="decimal"/>
      <w:isLgl/>
      <w:lvlText w:val="%1.%2.%3.%4.%5.%6.%7.%8.%9"/>
      <w:lvlJc w:val="left"/>
      <w:pPr>
        <w:ind w:left="6336" w:hanging="1800"/>
      </w:pPr>
      <w:rPr>
        <w:rFonts w:hint="default"/>
      </w:rPr>
    </w:lvl>
  </w:abstractNum>
  <w:num w:numId="1">
    <w:abstractNumId w:val="2"/>
  </w:num>
  <w:num w:numId="2">
    <w:abstractNumId w:val="1"/>
  </w:num>
  <w:num w:numId="3">
    <w:abstractNumId w:val="4"/>
  </w:num>
  <w:num w:numId="4">
    <w:abstractNumId w:val="5"/>
  </w:num>
  <w:num w:numId="5">
    <w:abstractNumId w:val="7"/>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8"/>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5A"/>
    <w:rsid w:val="00000966"/>
    <w:rsid w:val="00015A51"/>
    <w:rsid w:val="00060086"/>
    <w:rsid w:val="0006498C"/>
    <w:rsid w:val="000825D8"/>
    <w:rsid w:val="00084B97"/>
    <w:rsid w:val="000929CA"/>
    <w:rsid w:val="000942EB"/>
    <w:rsid w:val="000A354F"/>
    <w:rsid w:val="000B103F"/>
    <w:rsid w:val="000D50F8"/>
    <w:rsid w:val="000E1FB7"/>
    <w:rsid w:val="000E1FBE"/>
    <w:rsid w:val="000E3CFC"/>
    <w:rsid w:val="000E41F0"/>
    <w:rsid w:val="000F14E8"/>
    <w:rsid w:val="00103915"/>
    <w:rsid w:val="0011541D"/>
    <w:rsid w:val="00122B23"/>
    <w:rsid w:val="00122E4E"/>
    <w:rsid w:val="00137FFA"/>
    <w:rsid w:val="00172749"/>
    <w:rsid w:val="00173A59"/>
    <w:rsid w:val="001B0444"/>
    <w:rsid w:val="001C55B7"/>
    <w:rsid w:val="001D1F8F"/>
    <w:rsid w:val="001D4567"/>
    <w:rsid w:val="0020632A"/>
    <w:rsid w:val="002110EB"/>
    <w:rsid w:val="00211338"/>
    <w:rsid w:val="00216F70"/>
    <w:rsid w:val="00234066"/>
    <w:rsid w:val="00234B84"/>
    <w:rsid w:val="0023583A"/>
    <w:rsid w:val="00236E03"/>
    <w:rsid w:val="00240920"/>
    <w:rsid w:val="002506CF"/>
    <w:rsid w:val="002720D2"/>
    <w:rsid w:val="002A3B8D"/>
    <w:rsid w:val="002B088C"/>
    <w:rsid w:val="002B3991"/>
    <w:rsid w:val="002B7945"/>
    <w:rsid w:val="002C4C0C"/>
    <w:rsid w:val="002D2815"/>
    <w:rsid w:val="002D60F6"/>
    <w:rsid w:val="002E1195"/>
    <w:rsid w:val="002F1750"/>
    <w:rsid w:val="003033BA"/>
    <w:rsid w:val="003116C2"/>
    <w:rsid w:val="0031696B"/>
    <w:rsid w:val="0032086B"/>
    <w:rsid w:val="00322937"/>
    <w:rsid w:val="00324524"/>
    <w:rsid w:val="00327336"/>
    <w:rsid w:val="0034177C"/>
    <w:rsid w:val="0034680A"/>
    <w:rsid w:val="00347B31"/>
    <w:rsid w:val="003513C4"/>
    <w:rsid w:val="00353DD5"/>
    <w:rsid w:val="00372B70"/>
    <w:rsid w:val="00384698"/>
    <w:rsid w:val="0038524B"/>
    <w:rsid w:val="00386456"/>
    <w:rsid w:val="003A0878"/>
    <w:rsid w:val="003A581E"/>
    <w:rsid w:val="003B2FD9"/>
    <w:rsid w:val="003B6EE8"/>
    <w:rsid w:val="003B791C"/>
    <w:rsid w:val="0040170E"/>
    <w:rsid w:val="004023D4"/>
    <w:rsid w:val="00423F9F"/>
    <w:rsid w:val="004422D6"/>
    <w:rsid w:val="00474D4C"/>
    <w:rsid w:val="00475A77"/>
    <w:rsid w:val="00483977"/>
    <w:rsid w:val="0049241A"/>
    <w:rsid w:val="004A34D2"/>
    <w:rsid w:val="004B19D5"/>
    <w:rsid w:val="004C0517"/>
    <w:rsid w:val="004C437A"/>
    <w:rsid w:val="004D2DD0"/>
    <w:rsid w:val="004E0F28"/>
    <w:rsid w:val="004E58D5"/>
    <w:rsid w:val="004F4CD4"/>
    <w:rsid w:val="00502A34"/>
    <w:rsid w:val="005064CD"/>
    <w:rsid w:val="0051074C"/>
    <w:rsid w:val="0051077F"/>
    <w:rsid w:val="00512D26"/>
    <w:rsid w:val="00513AF2"/>
    <w:rsid w:val="005428FA"/>
    <w:rsid w:val="0054413A"/>
    <w:rsid w:val="0055556D"/>
    <w:rsid w:val="005564CA"/>
    <w:rsid w:val="0056182B"/>
    <w:rsid w:val="005756AA"/>
    <w:rsid w:val="005825BE"/>
    <w:rsid w:val="00592C46"/>
    <w:rsid w:val="005A3280"/>
    <w:rsid w:val="005A57E1"/>
    <w:rsid w:val="005B3726"/>
    <w:rsid w:val="005B56F2"/>
    <w:rsid w:val="005B5BB0"/>
    <w:rsid w:val="005C17BC"/>
    <w:rsid w:val="005C7C14"/>
    <w:rsid w:val="005D4C89"/>
    <w:rsid w:val="005D51FA"/>
    <w:rsid w:val="005D791B"/>
    <w:rsid w:val="005E002D"/>
    <w:rsid w:val="0060502C"/>
    <w:rsid w:val="00614817"/>
    <w:rsid w:val="00633DBF"/>
    <w:rsid w:val="00640730"/>
    <w:rsid w:val="006451EE"/>
    <w:rsid w:val="00655371"/>
    <w:rsid w:val="006854AD"/>
    <w:rsid w:val="00691278"/>
    <w:rsid w:val="00694D8E"/>
    <w:rsid w:val="00697665"/>
    <w:rsid w:val="006A0F23"/>
    <w:rsid w:val="006A7CB5"/>
    <w:rsid w:val="006A7FD0"/>
    <w:rsid w:val="006D7687"/>
    <w:rsid w:val="006E0572"/>
    <w:rsid w:val="00705631"/>
    <w:rsid w:val="00715EAA"/>
    <w:rsid w:val="0072019B"/>
    <w:rsid w:val="00742DD2"/>
    <w:rsid w:val="00743973"/>
    <w:rsid w:val="00746E08"/>
    <w:rsid w:val="00747C96"/>
    <w:rsid w:val="0075094E"/>
    <w:rsid w:val="007522E8"/>
    <w:rsid w:val="0075647A"/>
    <w:rsid w:val="007634AD"/>
    <w:rsid w:val="00775AA7"/>
    <w:rsid w:val="0078122E"/>
    <w:rsid w:val="0078635B"/>
    <w:rsid w:val="00795647"/>
    <w:rsid w:val="007A50A9"/>
    <w:rsid w:val="007B0854"/>
    <w:rsid w:val="007B6436"/>
    <w:rsid w:val="007C04DA"/>
    <w:rsid w:val="007C64EB"/>
    <w:rsid w:val="007D5F91"/>
    <w:rsid w:val="007D7F4A"/>
    <w:rsid w:val="007F0BA4"/>
    <w:rsid w:val="007F4B6B"/>
    <w:rsid w:val="007F6B46"/>
    <w:rsid w:val="007F72CB"/>
    <w:rsid w:val="00801CAD"/>
    <w:rsid w:val="008217B7"/>
    <w:rsid w:val="008221C5"/>
    <w:rsid w:val="00822F66"/>
    <w:rsid w:val="00824095"/>
    <w:rsid w:val="0083017E"/>
    <w:rsid w:val="0083119B"/>
    <w:rsid w:val="00836EAB"/>
    <w:rsid w:val="0085092D"/>
    <w:rsid w:val="00850F79"/>
    <w:rsid w:val="00851174"/>
    <w:rsid w:val="00852AAA"/>
    <w:rsid w:val="00885322"/>
    <w:rsid w:val="00886D12"/>
    <w:rsid w:val="0089774F"/>
    <w:rsid w:val="008A7E9C"/>
    <w:rsid w:val="008B409F"/>
    <w:rsid w:val="008C1939"/>
    <w:rsid w:val="008C44A0"/>
    <w:rsid w:val="008E1C15"/>
    <w:rsid w:val="008F0346"/>
    <w:rsid w:val="008F538E"/>
    <w:rsid w:val="009047C5"/>
    <w:rsid w:val="00912110"/>
    <w:rsid w:val="0094559B"/>
    <w:rsid w:val="0095385A"/>
    <w:rsid w:val="009C5188"/>
    <w:rsid w:val="009D4651"/>
    <w:rsid w:val="009F59C2"/>
    <w:rsid w:val="00A24560"/>
    <w:rsid w:val="00A34538"/>
    <w:rsid w:val="00A37D22"/>
    <w:rsid w:val="00A37FB6"/>
    <w:rsid w:val="00A61E3D"/>
    <w:rsid w:val="00A6322D"/>
    <w:rsid w:val="00A8361D"/>
    <w:rsid w:val="00A92AFF"/>
    <w:rsid w:val="00AA08E7"/>
    <w:rsid w:val="00AA442B"/>
    <w:rsid w:val="00AA669D"/>
    <w:rsid w:val="00AA6CDB"/>
    <w:rsid w:val="00AA6D5C"/>
    <w:rsid w:val="00AB745E"/>
    <w:rsid w:val="00AD0EF9"/>
    <w:rsid w:val="00AD2C6C"/>
    <w:rsid w:val="00AF5090"/>
    <w:rsid w:val="00AF5A6D"/>
    <w:rsid w:val="00B0765B"/>
    <w:rsid w:val="00B13EC0"/>
    <w:rsid w:val="00B22E22"/>
    <w:rsid w:val="00B525CB"/>
    <w:rsid w:val="00B63872"/>
    <w:rsid w:val="00B63CB2"/>
    <w:rsid w:val="00B64EDB"/>
    <w:rsid w:val="00B7315F"/>
    <w:rsid w:val="00B91B8E"/>
    <w:rsid w:val="00BB11AA"/>
    <w:rsid w:val="00BB225A"/>
    <w:rsid w:val="00BB5221"/>
    <w:rsid w:val="00BD27BA"/>
    <w:rsid w:val="00BD78FE"/>
    <w:rsid w:val="00C05A27"/>
    <w:rsid w:val="00C3390B"/>
    <w:rsid w:val="00C368B6"/>
    <w:rsid w:val="00C5063E"/>
    <w:rsid w:val="00C56E30"/>
    <w:rsid w:val="00CA38FE"/>
    <w:rsid w:val="00CC00CD"/>
    <w:rsid w:val="00CC1605"/>
    <w:rsid w:val="00CD426E"/>
    <w:rsid w:val="00CE1E2C"/>
    <w:rsid w:val="00D01760"/>
    <w:rsid w:val="00D106B8"/>
    <w:rsid w:val="00D16E39"/>
    <w:rsid w:val="00D223B6"/>
    <w:rsid w:val="00D335E2"/>
    <w:rsid w:val="00D439F3"/>
    <w:rsid w:val="00D60327"/>
    <w:rsid w:val="00D64CD5"/>
    <w:rsid w:val="00D72E9D"/>
    <w:rsid w:val="00D82CE5"/>
    <w:rsid w:val="00D8339C"/>
    <w:rsid w:val="00DA5AB1"/>
    <w:rsid w:val="00DC5CAD"/>
    <w:rsid w:val="00DC62E5"/>
    <w:rsid w:val="00DD06AA"/>
    <w:rsid w:val="00DD735D"/>
    <w:rsid w:val="00DE3119"/>
    <w:rsid w:val="00DF236B"/>
    <w:rsid w:val="00E03AC6"/>
    <w:rsid w:val="00E13AB8"/>
    <w:rsid w:val="00E25CB3"/>
    <w:rsid w:val="00E33B62"/>
    <w:rsid w:val="00E4143A"/>
    <w:rsid w:val="00E5123A"/>
    <w:rsid w:val="00E577E2"/>
    <w:rsid w:val="00E936BC"/>
    <w:rsid w:val="00ED1DDD"/>
    <w:rsid w:val="00ED3D2E"/>
    <w:rsid w:val="00EE59B5"/>
    <w:rsid w:val="00F03213"/>
    <w:rsid w:val="00F1581F"/>
    <w:rsid w:val="00F2587E"/>
    <w:rsid w:val="00F30777"/>
    <w:rsid w:val="00F34B57"/>
    <w:rsid w:val="00F61A30"/>
    <w:rsid w:val="00F7120D"/>
    <w:rsid w:val="00F741E3"/>
    <w:rsid w:val="00F7794A"/>
    <w:rsid w:val="00F84899"/>
    <w:rsid w:val="00F859F0"/>
    <w:rsid w:val="00FB1E56"/>
    <w:rsid w:val="00FB21E1"/>
    <w:rsid w:val="00FB291F"/>
    <w:rsid w:val="00FD2843"/>
    <w:rsid w:val="00FD4FD0"/>
    <w:rsid w:val="00FD782C"/>
    <w:rsid w:val="00FE141E"/>
    <w:rsid w:val="00FE2612"/>
    <w:rsid w:val="00FE42ED"/>
    <w:rsid w:val="00FF3C49"/>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48FC69B5"/>
  <w15:docId w15:val="{BAC9DA39-EAE9-485B-A43F-871BF06EB4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1"/>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sz w:val="20"/>
      <w:szCs w:val="20"/>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47B31"/>
    <w:pPr>
      <w:autoSpaceDE w:val="0"/>
      <w:autoSpaceDN w:val="0"/>
      <w:adjustRightInd w:val="0"/>
      <w:spacing w:after="0" w:line="240" w:lineRule="auto"/>
    </w:pPr>
    <w:rPr>
      <w:rFonts w:ascii="Arial" w:hAnsi="Arial" w:cs="Arial"/>
      <w:color w:val="000000"/>
      <w:sz w:val="24"/>
      <w:szCs w:val="24"/>
      <w:lang w:val="es-ES"/>
    </w:rPr>
  </w:style>
  <w:style w:type="paragraph" w:customStyle="1" w:styleId="Cuadrculamedia1-nfasis21">
    <w:name w:val="Cuadrícula media 1 - Énfasis 21"/>
    <w:basedOn w:val="Normal"/>
    <w:uiPriority w:val="34"/>
    <w:qFormat/>
    <w:rsid w:val="00347B31"/>
    <w:pPr>
      <w:spacing w:after="160" w:line="259" w:lineRule="auto"/>
      <w:ind w:left="720"/>
      <w:contextualSpacing/>
    </w:pPr>
    <w:rPr>
      <w:rFonts w:ascii="Calibri" w:eastAsia="Calibri" w:hAnsi="Calibri" w:cs="Times New Roman"/>
      <w:sz w:val="22"/>
      <w:lang w:val="es-CO"/>
    </w:rPr>
  </w:style>
  <w:style w:type="paragraph" w:customStyle="1" w:styleId="bodytext23">
    <w:name w:val="bodytext23"/>
    <w:basedOn w:val="Normal"/>
    <w:rsid w:val="00347B31"/>
    <w:pPr>
      <w:spacing w:before="100" w:beforeAutospacing="1" w:after="100" w:afterAutospacing="1"/>
    </w:pPr>
    <w:rPr>
      <w:rFonts w:ascii="Times New Roman" w:eastAsia="Times New Roman" w:hAnsi="Times New Roman" w:cs="Times New Roman"/>
      <w:szCs w:val="24"/>
      <w:lang w:val="es-ES" w:eastAsia="es-ES"/>
    </w:rPr>
  </w:style>
  <w:style w:type="character" w:styleId="Textodelmarcadordeposicin">
    <w:name w:val="Placeholder Text"/>
    <w:basedOn w:val="Fuentedeprrafopredeter"/>
    <w:uiPriority w:val="99"/>
    <w:semiHidden/>
    <w:rsid w:val="004E58D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5A471F8B-B709-4632-A3B7-01549058829F}">
  <ds:schemaRefs>
    <ds:schemaRef ds:uri="http://schemas.openxmlformats.org/officeDocument/2006/bibliography"/>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27DAA273-B051-47DD-BF60-6B7C4AD87C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4FEF290-17E0-464B-95FE-65704296FB23}">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3</TotalTime>
  <Pages>18</Pages>
  <Words>6216</Words>
  <Characters>34188</Characters>
  <Application>Microsoft Office Word</Application>
  <DocSecurity>0</DocSecurity>
  <Lines>284</Lines>
  <Paragraphs>80</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40324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Alejandro Sarmiento</cp:lastModifiedBy>
  <cp:revision>2</cp:revision>
  <cp:lastPrinted>2020-01-30T15:05:00Z</cp:lastPrinted>
  <dcterms:created xsi:type="dcterms:W3CDTF">2020-08-31T22:07:00Z</dcterms:created>
  <dcterms:modified xsi:type="dcterms:W3CDTF">2020-08-31T22:07:00Z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