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7133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7133F">
        <w:rPr>
          <w:rFonts w:ascii="Arial" w:hAnsi="Arial" w:cs="Arial"/>
          <w:bCs/>
          <w:color w:val="000000" w:themeColor="text1"/>
          <w:sz w:val="16"/>
          <w:szCs w:val="16"/>
          <w:lang w:val="es-ES_tradnl" w:eastAsia="es-ES"/>
        </w:rPr>
        <w:t>CCE-DES-FM-17</w:t>
      </w:r>
      <w:bookmarkEnd w:id="0"/>
      <w:bookmarkEnd w:id="1"/>
    </w:p>
    <w:p w14:paraId="17A05F16" w14:textId="77777777" w:rsidR="00580772" w:rsidRPr="00A7133F" w:rsidRDefault="00580772" w:rsidP="00E52CE7">
      <w:pPr>
        <w:jc w:val="both"/>
        <w:rPr>
          <w:rFonts w:ascii="Arial" w:eastAsia="Calibri" w:hAnsi="Arial" w:cs="Arial"/>
          <w:b/>
          <w:color w:val="000000" w:themeColor="text1"/>
          <w:sz w:val="22"/>
          <w:lang w:val="es-ES_tradnl"/>
        </w:rPr>
      </w:pPr>
    </w:p>
    <w:p w14:paraId="65D74FF6" w14:textId="77777777" w:rsidR="008A78D9" w:rsidRPr="00A7133F" w:rsidRDefault="008A78D9" w:rsidP="008A78D9">
      <w:pPr>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SELECCIÓN OBJETIVA – Contratación estatal – Concepto</w:t>
      </w:r>
    </w:p>
    <w:p w14:paraId="10239046" w14:textId="77777777" w:rsidR="008A78D9" w:rsidRPr="00A7133F" w:rsidRDefault="008A78D9" w:rsidP="008A78D9">
      <w:pPr>
        <w:jc w:val="both"/>
        <w:rPr>
          <w:rFonts w:ascii="Arial" w:eastAsia="Calibri" w:hAnsi="Arial" w:cs="Arial"/>
          <w:b/>
          <w:color w:val="000000" w:themeColor="text1"/>
          <w:sz w:val="22"/>
          <w:lang w:val="es-ES_tradnl"/>
        </w:rPr>
      </w:pPr>
    </w:p>
    <w:p w14:paraId="3F62833B" w14:textId="77777777" w:rsidR="008A78D9" w:rsidRPr="00A7133F" w:rsidRDefault="008A78D9" w:rsidP="008A78D9">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A7133F" w:rsidRDefault="008A78D9" w:rsidP="008A78D9">
      <w:pPr>
        <w:jc w:val="both"/>
        <w:rPr>
          <w:rFonts w:ascii="Arial" w:eastAsia="Calibri" w:hAnsi="Arial" w:cs="Arial"/>
          <w:b/>
          <w:color w:val="000000" w:themeColor="text1"/>
          <w:sz w:val="22"/>
          <w:lang w:val="es-ES_tradnl"/>
        </w:rPr>
      </w:pPr>
    </w:p>
    <w:p w14:paraId="62F5DDA4" w14:textId="77777777" w:rsidR="008A78D9" w:rsidRPr="00A7133F" w:rsidRDefault="008A78D9" w:rsidP="008A78D9">
      <w:pPr>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EMPATE – Procedimiento de selección – Concepto</w:t>
      </w:r>
    </w:p>
    <w:p w14:paraId="0D44B66C" w14:textId="77777777" w:rsidR="008A78D9" w:rsidRPr="00A7133F" w:rsidRDefault="008A78D9" w:rsidP="008A78D9">
      <w:pPr>
        <w:jc w:val="both"/>
        <w:rPr>
          <w:rFonts w:ascii="Arial" w:eastAsia="Calibri" w:hAnsi="Arial" w:cs="Arial"/>
          <w:b/>
          <w:color w:val="000000" w:themeColor="text1"/>
          <w:sz w:val="22"/>
          <w:lang w:val="es-ES_tradnl"/>
        </w:rPr>
      </w:pPr>
    </w:p>
    <w:p w14:paraId="2016F88C" w14:textId="77777777" w:rsidR="008A78D9" w:rsidRPr="00A7133F" w:rsidRDefault="008A78D9" w:rsidP="008A78D9">
      <w:pPr>
        <w:jc w:val="both"/>
        <w:rPr>
          <w:rFonts w:ascii="Arial" w:hAnsi="Arial" w:cs="Arial"/>
          <w:noProof/>
          <w:color w:val="000000" w:themeColor="text1"/>
          <w:sz w:val="22"/>
          <w:lang w:val="es-ES_tradnl"/>
        </w:rPr>
      </w:pPr>
      <w:r w:rsidRPr="00A7133F">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C49C5E3" w14:textId="77777777" w:rsidR="008A78D9" w:rsidRPr="00A7133F" w:rsidRDefault="008A78D9" w:rsidP="008A78D9">
      <w:pPr>
        <w:jc w:val="both"/>
        <w:rPr>
          <w:rFonts w:ascii="Arial" w:eastAsia="Calibri" w:hAnsi="Arial" w:cs="Arial"/>
          <w:b/>
          <w:color w:val="000000" w:themeColor="text1"/>
          <w:sz w:val="22"/>
          <w:lang w:val="es-ES_tradnl"/>
        </w:rPr>
      </w:pPr>
    </w:p>
    <w:p w14:paraId="253963B1" w14:textId="77777777" w:rsidR="008A78D9" w:rsidRPr="00A7133F" w:rsidRDefault="008A78D9" w:rsidP="008A78D9">
      <w:pPr>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Características – Límites</w:t>
      </w:r>
    </w:p>
    <w:p w14:paraId="25B2490E" w14:textId="77777777" w:rsidR="008A78D9" w:rsidRPr="00A7133F" w:rsidRDefault="008A78D9" w:rsidP="008A78D9">
      <w:pPr>
        <w:spacing w:line="276" w:lineRule="auto"/>
        <w:jc w:val="both"/>
        <w:rPr>
          <w:rFonts w:ascii="Arial" w:hAnsi="Arial" w:cs="Arial"/>
          <w:noProof/>
          <w:color w:val="000000" w:themeColor="text1"/>
          <w:sz w:val="22"/>
          <w:lang w:val="es-ES_tradnl"/>
        </w:rPr>
      </w:pPr>
    </w:p>
    <w:p w14:paraId="57D66E31" w14:textId="5DF848A0" w:rsidR="00DC17C0" w:rsidRPr="00A7133F" w:rsidRDefault="00DC17C0" w:rsidP="00DC17C0">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0E4D3DE7" w14:textId="77777777" w:rsidR="00DC17C0" w:rsidRPr="00A7133F" w:rsidRDefault="00DC17C0" w:rsidP="00DC17C0">
      <w:pPr>
        <w:jc w:val="both"/>
        <w:rPr>
          <w:rFonts w:ascii="Arial" w:eastAsia="Calibri" w:hAnsi="Arial" w:cs="Arial"/>
          <w:color w:val="000000" w:themeColor="text1"/>
          <w:sz w:val="20"/>
          <w:szCs w:val="20"/>
          <w:lang w:val="es-ES_tradnl"/>
        </w:rPr>
      </w:pPr>
    </w:p>
    <w:p w14:paraId="205EC5B8" w14:textId="450EA5B7" w:rsidR="008A78D9" w:rsidRPr="00A7133F" w:rsidRDefault="00DC17C0" w:rsidP="00DC17C0">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6ED3EEFF" w14:textId="77777777" w:rsidR="008A78D9" w:rsidRPr="00A7133F" w:rsidRDefault="008A78D9" w:rsidP="008A78D9">
      <w:pPr>
        <w:jc w:val="both"/>
        <w:rPr>
          <w:rFonts w:ascii="Arial" w:eastAsia="Calibri" w:hAnsi="Arial" w:cs="Arial"/>
          <w:color w:val="000000" w:themeColor="text1"/>
          <w:sz w:val="20"/>
          <w:szCs w:val="20"/>
          <w:lang w:val="es-ES_tradnl"/>
        </w:rPr>
      </w:pPr>
    </w:p>
    <w:p w14:paraId="53848D98" w14:textId="77777777" w:rsidR="008A78D9" w:rsidRPr="00A7133F" w:rsidRDefault="008A78D9" w:rsidP="008A78D9">
      <w:pPr>
        <w:jc w:val="both"/>
        <w:rPr>
          <w:rFonts w:ascii="Arial" w:eastAsia="Calibri" w:hAnsi="Arial" w:cs="Arial"/>
          <w:b/>
          <w:color w:val="000000" w:themeColor="text1"/>
          <w:sz w:val="22"/>
          <w:lang w:val="es-ES_tradnl"/>
        </w:rPr>
      </w:pPr>
    </w:p>
    <w:p w14:paraId="6A63EF45" w14:textId="77777777" w:rsidR="000D299D" w:rsidRPr="00A7133F" w:rsidRDefault="000D299D" w:rsidP="008A78D9">
      <w:pPr>
        <w:jc w:val="both"/>
        <w:rPr>
          <w:rFonts w:ascii="Arial" w:eastAsia="Calibri" w:hAnsi="Arial" w:cs="Arial"/>
          <w:b/>
          <w:color w:val="000000" w:themeColor="text1"/>
          <w:sz w:val="22"/>
          <w:lang w:val="es-ES_tradnl"/>
        </w:rPr>
      </w:pPr>
    </w:p>
    <w:p w14:paraId="09E41090" w14:textId="77777777" w:rsidR="000D299D" w:rsidRPr="00A7133F" w:rsidRDefault="000D299D" w:rsidP="008A78D9">
      <w:pPr>
        <w:jc w:val="both"/>
        <w:rPr>
          <w:rFonts w:ascii="Arial" w:eastAsia="Calibri" w:hAnsi="Arial" w:cs="Arial"/>
          <w:b/>
          <w:color w:val="000000" w:themeColor="text1"/>
          <w:sz w:val="22"/>
          <w:lang w:val="es-ES_tradnl"/>
        </w:rPr>
      </w:pPr>
    </w:p>
    <w:p w14:paraId="1F38DBDC" w14:textId="16DF26E6" w:rsidR="008A78D9" w:rsidRPr="00A7133F" w:rsidRDefault="008A78D9" w:rsidP="008A78D9">
      <w:pPr>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lastRenderedPageBreak/>
        <w:t xml:space="preserve">LEY DE EMPRENDIMIENTO – Ley 2069 de 2020 – Vigencia </w:t>
      </w:r>
    </w:p>
    <w:p w14:paraId="63574004" w14:textId="77777777" w:rsidR="008A78D9" w:rsidRPr="00A7133F" w:rsidRDefault="008A78D9" w:rsidP="008A78D9">
      <w:pPr>
        <w:jc w:val="both"/>
        <w:rPr>
          <w:rFonts w:ascii="Arial" w:eastAsia="Calibri" w:hAnsi="Arial" w:cs="Arial"/>
          <w:b/>
          <w:color w:val="000000" w:themeColor="text1"/>
          <w:sz w:val="22"/>
          <w:lang w:val="es-ES_tradnl"/>
        </w:rPr>
      </w:pPr>
    </w:p>
    <w:p w14:paraId="253FC307" w14:textId="77777777" w:rsidR="008A78D9" w:rsidRPr="00A7133F" w:rsidRDefault="008A78D9" w:rsidP="008A78D9">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A7133F" w:rsidRDefault="008A78D9" w:rsidP="008A78D9">
      <w:pPr>
        <w:jc w:val="both"/>
        <w:rPr>
          <w:rFonts w:ascii="Arial" w:eastAsia="Calibri" w:hAnsi="Arial" w:cs="Arial"/>
          <w:color w:val="000000" w:themeColor="text1"/>
          <w:sz w:val="20"/>
          <w:szCs w:val="20"/>
          <w:lang w:val="es-ES_tradnl"/>
        </w:rPr>
      </w:pPr>
    </w:p>
    <w:p w14:paraId="4DEE8ECD" w14:textId="77777777" w:rsidR="008A78D9" w:rsidRPr="00A7133F" w:rsidRDefault="008A78D9" w:rsidP="008A78D9">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7133F">
        <w:rPr>
          <w:rFonts w:ascii="Arial" w:eastAsia="Calibri" w:hAnsi="Arial" w:cs="Arial"/>
          <w:color w:val="000000" w:themeColor="text1"/>
          <w:sz w:val="20"/>
          <w:szCs w:val="20"/>
          <w:lang w:val="es-ES_tradnl"/>
        </w:rPr>
        <w:t>mipymes</w:t>
      </w:r>
      <w:proofErr w:type="spellEnd"/>
      <w:r w:rsidRPr="00A7133F">
        <w:rPr>
          <w:rFonts w:ascii="Arial" w:eastAsia="Calibri" w:hAnsi="Arial" w:cs="Arial"/>
          <w:color w:val="000000" w:themeColor="text1"/>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A7133F" w:rsidRDefault="008A78D9" w:rsidP="008A78D9">
      <w:pPr>
        <w:jc w:val="both"/>
        <w:rPr>
          <w:rFonts w:ascii="Arial" w:eastAsia="Calibri" w:hAnsi="Arial" w:cs="Arial"/>
          <w:b/>
          <w:color w:val="000000" w:themeColor="text1"/>
          <w:sz w:val="22"/>
          <w:lang w:val="es-ES_tradnl"/>
        </w:rPr>
      </w:pPr>
    </w:p>
    <w:p w14:paraId="3149876B" w14:textId="77777777" w:rsidR="008A78D9" w:rsidRPr="00A7133F" w:rsidRDefault="008A78D9" w:rsidP="008A78D9">
      <w:pPr>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FACTORES DE DESEMPATE – Ley 2069 – Artículo 35 – Acreditación</w:t>
      </w:r>
    </w:p>
    <w:p w14:paraId="6CDCE7CA" w14:textId="77777777" w:rsidR="008A78D9" w:rsidRPr="00A7133F" w:rsidRDefault="008A78D9" w:rsidP="008A78D9">
      <w:pPr>
        <w:spacing w:line="276" w:lineRule="auto"/>
        <w:jc w:val="both"/>
        <w:rPr>
          <w:rFonts w:ascii="Arial" w:hAnsi="Arial" w:cs="Arial"/>
          <w:noProof/>
          <w:color w:val="000000" w:themeColor="text1"/>
          <w:sz w:val="22"/>
          <w:lang w:val="es-ES_tradnl"/>
        </w:rPr>
      </w:pPr>
    </w:p>
    <w:p w14:paraId="71B51B01" w14:textId="1BB33BC0" w:rsidR="008A78D9" w:rsidRDefault="008A78D9" w:rsidP="008A78D9">
      <w:pPr>
        <w:jc w:val="both"/>
        <w:rPr>
          <w:rFonts w:ascii="Arial" w:eastAsia="Calibri" w:hAnsi="Arial" w:cs="Arial"/>
          <w:color w:val="000000" w:themeColor="text1"/>
          <w:sz w:val="20"/>
          <w:szCs w:val="20"/>
          <w:lang w:val="es-ES_tradnl"/>
        </w:rPr>
      </w:pPr>
      <w:r w:rsidRPr="00A7133F">
        <w:rPr>
          <w:rFonts w:ascii="Arial" w:eastAsia="Calibri" w:hAnsi="Arial" w:cs="Arial"/>
          <w:color w:val="000000" w:themeColor="text1"/>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6080885" w14:textId="3D3BB301" w:rsidR="00DC4A78" w:rsidRDefault="00DC4A78" w:rsidP="008A78D9">
      <w:pPr>
        <w:jc w:val="both"/>
        <w:rPr>
          <w:rFonts w:ascii="Arial" w:eastAsia="Calibri" w:hAnsi="Arial" w:cs="Arial"/>
          <w:color w:val="000000" w:themeColor="text1"/>
          <w:sz w:val="20"/>
          <w:szCs w:val="20"/>
          <w:lang w:val="es-ES_tradnl"/>
        </w:rPr>
      </w:pPr>
    </w:p>
    <w:p w14:paraId="0F0B1C21" w14:textId="77777777" w:rsidR="00DC4A78" w:rsidRPr="001B0268" w:rsidRDefault="00DC4A78" w:rsidP="00DC4A78">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PERSONAS MAYORES</w:t>
      </w:r>
      <w:r w:rsidRPr="001B0268">
        <w:rPr>
          <w:rFonts w:ascii="Arial" w:eastAsia="Calibri" w:hAnsi="Arial" w:cs="Arial"/>
          <w:b/>
          <w:color w:val="000000" w:themeColor="text1"/>
          <w:sz w:val="22"/>
          <w:lang w:val="es-ES_tradnl"/>
        </w:rPr>
        <w:t xml:space="preserve"> – Ley 2069 – Artículo 35 – </w:t>
      </w:r>
      <w:r>
        <w:rPr>
          <w:rFonts w:ascii="Arial" w:eastAsia="Calibri" w:hAnsi="Arial" w:cs="Arial"/>
          <w:b/>
          <w:color w:val="000000" w:themeColor="text1"/>
          <w:sz w:val="22"/>
          <w:lang w:val="es-ES_tradnl"/>
        </w:rPr>
        <w:t xml:space="preserve">Numeral 4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Subrogación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Parágrafo 4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Artículo 12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Ley 1150</w:t>
      </w:r>
    </w:p>
    <w:p w14:paraId="3842D416" w14:textId="77777777" w:rsidR="00DC4A78" w:rsidRDefault="00DC4A78" w:rsidP="00DC4A78">
      <w:pPr>
        <w:jc w:val="both"/>
        <w:rPr>
          <w:rFonts w:ascii="Arial" w:hAnsi="Arial" w:cs="Arial"/>
          <w:noProof/>
          <w:color w:val="000000" w:themeColor="text1"/>
          <w:sz w:val="20"/>
          <w:szCs w:val="20"/>
          <w:lang w:val="es-ES_tradnl"/>
        </w:rPr>
      </w:pPr>
    </w:p>
    <w:p w14:paraId="76CF2F5F" w14:textId="77777777" w:rsidR="00DC4A78" w:rsidRPr="00A65C5E" w:rsidRDefault="00DC4A78" w:rsidP="00DC4A78">
      <w:pPr>
        <w:jc w:val="both"/>
        <w:rPr>
          <w:rFonts w:ascii="Arial" w:eastAsia="Calibri" w:hAnsi="Arial" w:cs="Arial"/>
          <w:color w:val="000000" w:themeColor="text1"/>
          <w:sz w:val="20"/>
          <w:szCs w:val="20"/>
          <w:lang w:val="es-ES_tradnl"/>
        </w:rPr>
      </w:pPr>
      <w:r w:rsidRPr="00A65C5E">
        <w:rPr>
          <w:rFonts w:ascii="Arial" w:eastAsia="Calibri" w:hAnsi="Arial" w:cs="Arial"/>
          <w:color w:val="000000" w:themeColor="text1"/>
          <w:sz w:val="20"/>
          <w:szCs w:val="20"/>
          <w:lang w:val="es-ES_tradnl"/>
        </w:rPr>
        <w:t xml:space="preserve">El parágrafo cuarto, que había quedado agregado al artículo 12 de la Ley 1150 de 2007 en virtud de la Ley 2040 de 2020, se vio afectado por el efecto de la </w:t>
      </w:r>
      <w:r w:rsidRPr="00A65C5E">
        <w:rPr>
          <w:rFonts w:ascii="Arial" w:eastAsia="Calibri" w:hAnsi="Arial" w:cs="Arial"/>
          <w:i/>
          <w:iCs/>
          <w:color w:val="000000" w:themeColor="text1"/>
          <w:sz w:val="20"/>
          <w:szCs w:val="20"/>
          <w:lang w:val="es-ES_tradnl"/>
        </w:rPr>
        <w:t>subrogación</w:t>
      </w:r>
      <w:r w:rsidRPr="00A65C5E">
        <w:rPr>
          <w:rFonts w:ascii="Arial" w:eastAsia="Calibri" w:hAnsi="Arial" w:cs="Arial"/>
          <w:color w:val="000000" w:themeColor="text1"/>
          <w:sz w:val="20"/>
          <w:szCs w:val="20"/>
          <w:lang w:val="es-ES_tradnl"/>
        </w:rPr>
        <w:t xml:space="preserve"> producida por el artículo 34 de la Ley 2069 de 2020, porque en este artículo no se dice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0559587C" w14:textId="77777777" w:rsidR="00DC4A78" w:rsidRDefault="00DC4A78" w:rsidP="00DC4A78">
      <w:pPr>
        <w:jc w:val="both"/>
        <w:rPr>
          <w:rFonts w:ascii="Arial" w:eastAsia="Calibri" w:hAnsi="Arial" w:cs="Arial"/>
          <w:color w:val="000000" w:themeColor="text1"/>
          <w:sz w:val="20"/>
          <w:szCs w:val="20"/>
          <w:lang w:val="es-ES_tradnl"/>
        </w:rPr>
      </w:pPr>
    </w:p>
    <w:p w14:paraId="4FA44205" w14:textId="77777777" w:rsidR="00DC4A78" w:rsidRPr="00A65C5E" w:rsidRDefault="00DC4A78" w:rsidP="00DC4A78">
      <w:pPr>
        <w:jc w:val="both"/>
        <w:rPr>
          <w:rFonts w:ascii="Arial" w:eastAsia="Calibri" w:hAnsi="Arial" w:cs="Arial"/>
          <w:color w:val="000000" w:themeColor="text1"/>
          <w:sz w:val="20"/>
          <w:szCs w:val="20"/>
          <w:lang w:val="es-ES_tradnl"/>
        </w:rPr>
      </w:pPr>
      <w:r w:rsidRPr="00A65C5E">
        <w:rPr>
          <w:rFonts w:ascii="Arial" w:eastAsia="Calibri" w:hAnsi="Arial" w:cs="Arial"/>
          <w:color w:val="000000" w:themeColor="text1"/>
          <w:sz w:val="20"/>
          <w:szCs w:val="20"/>
          <w:lang w:val="es-ES_tradnl"/>
        </w:rPr>
        <w:lastRenderedPageBreak/>
        <w:t>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Al respecto,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5FC6AE10" w14:textId="4389EDA2" w:rsidR="00E84B55" w:rsidRPr="00DC4A78" w:rsidRDefault="00DC4A78" w:rsidP="00DC4A78">
      <w:pPr>
        <w:jc w:val="both"/>
        <w:rPr>
          <w:rFonts w:ascii="Arial" w:hAnsi="Arial" w:cs="Arial"/>
          <w:noProof/>
          <w:color w:val="000000" w:themeColor="text1"/>
          <w:sz w:val="20"/>
          <w:szCs w:val="20"/>
          <w:lang w:val="es-ES_tradnl"/>
        </w:rPr>
      </w:pPr>
      <w:r w:rsidRPr="00CF16CF">
        <w:rPr>
          <w:rFonts w:ascii="Arial" w:hAnsi="Arial" w:cs="Arial"/>
          <w:noProof/>
          <w:color w:val="000000" w:themeColor="text1"/>
          <w:sz w:val="20"/>
          <w:szCs w:val="20"/>
          <w:lang w:val="es-ES_tradnl"/>
        </w:rPr>
        <w:br w:type="page"/>
      </w:r>
      <w:r w:rsidR="00E84B55" w:rsidRPr="00A7133F">
        <w:rPr>
          <w:rFonts w:ascii="Arial" w:hAnsi="Arial" w:cs="Arial"/>
          <w:noProof/>
          <w:color w:val="000000" w:themeColor="text1"/>
          <w:sz w:val="22"/>
          <w:lang w:val="es-ES_tradnl"/>
        </w:rPr>
        <w:lastRenderedPageBreak/>
        <w:t xml:space="preserve">Bogotá D.C., </w:t>
      </w:r>
      <w:r w:rsidR="009E22B0">
        <w:rPr>
          <w:rFonts w:ascii="Arial" w:hAnsi="Arial" w:cs="Arial"/>
          <w:b/>
          <w:color w:val="000000" w:themeColor="text1"/>
          <w:sz w:val="22"/>
          <w:lang w:val="es-ES_tradnl"/>
        </w:rPr>
        <w:t>13/12/2021</w:t>
      </w:r>
      <w:r w:rsidR="00B1356B">
        <w:rPr>
          <w:rFonts w:ascii="Arial" w:hAnsi="Arial" w:cs="Arial"/>
          <w:b/>
          <w:color w:val="000000" w:themeColor="text1"/>
          <w:sz w:val="22"/>
          <w:lang w:val="es-ES_tradnl"/>
        </w:rPr>
        <w:t xml:space="preserve"> 15:16:13</w:t>
      </w:r>
    </w:p>
    <w:p w14:paraId="1E9630F5" w14:textId="4CC341A3" w:rsidR="009E22B0" w:rsidRPr="009E22B0" w:rsidRDefault="006F1AFC" w:rsidP="009E22B0">
      <w:pPr>
        <w:jc w:val="right"/>
      </w:pPr>
      <w:r w:rsidRPr="006F1AFC">
        <w:drawing>
          <wp:inline distT="0" distB="0" distL="0" distR="0" wp14:anchorId="79B9F6A2" wp14:editId="6E379EAF">
            <wp:extent cx="2705100" cy="8255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5100" cy="825500"/>
                    </a:xfrm>
                    <a:prstGeom prst="rect">
                      <a:avLst/>
                    </a:prstGeom>
                  </pic:spPr>
                </pic:pic>
              </a:graphicData>
            </a:graphic>
          </wp:inline>
        </w:drawing>
      </w:r>
    </w:p>
    <w:p w14:paraId="67786E16" w14:textId="77777777" w:rsidR="00E84B55" w:rsidRPr="00A7133F" w:rsidRDefault="00E84B55" w:rsidP="00E84B55">
      <w:pPr>
        <w:jc w:val="both"/>
        <w:rPr>
          <w:rFonts w:ascii="Arial" w:hAnsi="Arial" w:cs="Arial"/>
          <w:b/>
          <w:sz w:val="22"/>
          <w:lang w:val="es-ES_tradnl"/>
        </w:rPr>
      </w:pPr>
    </w:p>
    <w:p w14:paraId="1224347C" w14:textId="77777777" w:rsidR="00E84B55" w:rsidRPr="00A7133F" w:rsidRDefault="00E84B55" w:rsidP="00E84B55">
      <w:pPr>
        <w:jc w:val="both"/>
        <w:rPr>
          <w:rFonts w:ascii="Arial" w:hAnsi="Arial" w:cs="Arial"/>
          <w:b/>
          <w:sz w:val="22"/>
          <w:lang w:val="es-ES_tradnl"/>
        </w:rPr>
      </w:pPr>
    </w:p>
    <w:p w14:paraId="5F5AE9EF" w14:textId="28173CA2" w:rsidR="00B95C30" w:rsidRPr="00A7133F" w:rsidRDefault="00B95C30" w:rsidP="00B95C30">
      <w:pPr>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Señor</w:t>
      </w:r>
      <w:r w:rsidR="001536EC" w:rsidRPr="00A7133F">
        <w:rPr>
          <w:rFonts w:ascii="Arial" w:eastAsia="Calibri" w:hAnsi="Arial" w:cs="Arial"/>
          <w:color w:val="000000" w:themeColor="text1"/>
          <w:sz w:val="22"/>
          <w:lang w:val="es-ES_tradnl"/>
        </w:rPr>
        <w:t>a</w:t>
      </w:r>
    </w:p>
    <w:p w14:paraId="4A85BC29" w14:textId="1C2C1B4B" w:rsidR="00F8198B" w:rsidRPr="00A7133F" w:rsidRDefault="001536EC" w:rsidP="00F8198B">
      <w:pPr>
        <w:rPr>
          <w:rFonts w:ascii="Arial" w:eastAsia="Calibri" w:hAnsi="Arial" w:cs="Arial"/>
          <w:b/>
          <w:sz w:val="22"/>
          <w:lang w:val="es-ES_tradnl"/>
        </w:rPr>
      </w:pPr>
      <w:r w:rsidRPr="00A7133F">
        <w:rPr>
          <w:rFonts w:ascii="Arial" w:eastAsia="Calibri" w:hAnsi="Arial" w:cs="Arial"/>
          <w:b/>
          <w:sz w:val="22"/>
          <w:lang w:val="es-ES_tradnl"/>
        </w:rPr>
        <w:t>Laura Beatriz Vallejo Pachón</w:t>
      </w:r>
    </w:p>
    <w:p w14:paraId="3F3D1203" w14:textId="3CC99CC0" w:rsidR="00B95C30" w:rsidRPr="00A7133F" w:rsidRDefault="00D461B4" w:rsidP="00B95C30">
      <w:pPr>
        <w:jc w:val="both"/>
        <w:rPr>
          <w:rFonts w:ascii="Arial" w:eastAsia="Calibri" w:hAnsi="Arial" w:cs="Arial"/>
          <w:color w:val="000000" w:themeColor="text1"/>
          <w:sz w:val="22"/>
          <w:lang w:val="es-ES_tradnl"/>
        </w:rPr>
      </w:pPr>
      <w:r w:rsidRPr="00A7133F">
        <w:rPr>
          <w:rFonts w:ascii="Arial" w:hAnsi="Arial" w:cs="Arial"/>
          <w:noProof/>
          <w:color w:val="000000" w:themeColor="text1"/>
          <w:sz w:val="22"/>
          <w:lang w:val="es-ES_tradnl"/>
        </w:rPr>
        <w:t>Bogotá D.C.</w:t>
      </w:r>
    </w:p>
    <w:p w14:paraId="24E8D2A9" w14:textId="77777777" w:rsidR="00B95C30" w:rsidRPr="00A7133F" w:rsidRDefault="00B95C30" w:rsidP="00B95C30">
      <w:pPr>
        <w:jc w:val="both"/>
        <w:rPr>
          <w:rFonts w:ascii="Arial" w:eastAsia="Calibri" w:hAnsi="Arial" w:cs="Arial"/>
          <w:color w:val="000000" w:themeColor="text1"/>
          <w:sz w:val="22"/>
          <w:lang w:val="es-ES_tradnl"/>
        </w:rPr>
      </w:pPr>
    </w:p>
    <w:p w14:paraId="12E66182" w14:textId="1078B596" w:rsidR="00B95C30" w:rsidRPr="00A7133F" w:rsidRDefault="00B95C30" w:rsidP="00B95C30">
      <w:pPr>
        <w:jc w:val="center"/>
        <w:rPr>
          <w:rFonts w:ascii="Arial" w:eastAsia="Calibri" w:hAnsi="Arial" w:cs="Arial"/>
          <w:b/>
          <w:bCs/>
          <w:color w:val="000000" w:themeColor="text1"/>
          <w:sz w:val="22"/>
          <w:lang w:val="es-ES_tradnl"/>
        </w:rPr>
      </w:pPr>
      <w:r w:rsidRPr="00A7133F">
        <w:rPr>
          <w:rFonts w:ascii="Arial" w:eastAsia="Calibri" w:hAnsi="Arial" w:cs="Arial"/>
          <w:b/>
          <w:bCs/>
          <w:color w:val="000000" w:themeColor="text1"/>
          <w:sz w:val="22"/>
          <w:lang w:val="es-ES_tradnl"/>
        </w:rPr>
        <w:t xml:space="preserve">Concepto C ‒ </w:t>
      </w:r>
      <w:r w:rsidR="00DB0D09">
        <w:rPr>
          <w:rFonts w:ascii="Arial" w:eastAsia="Calibri" w:hAnsi="Arial" w:cs="Arial"/>
          <w:b/>
          <w:bCs/>
          <w:color w:val="000000" w:themeColor="text1"/>
          <w:sz w:val="22"/>
          <w:lang w:val="es-ES_tradnl"/>
        </w:rPr>
        <w:t>584</w:t>
      </w:r>
      <w:r w:rsidRPr="00A7133F">
        <w:rPr>
          <w:rFonts w:ascii="Arial" w:eastAsia="Calibri" w:hAnsi="Arial" w:cs="Arial"/>
          <w:b/>
          <w:bCs/>
          <w:color w:val="000000" w:themeColor="text1"/>
          <w:sz w:val="22"/>
          <w:lang w:val="es-ES_tradnl"/>
        </w:rPr>
        <w:t xml:space="preserve"> de 202</w:t>
      </w:r>
      <w:r w:rsidR="00C56976" w:rsidRPr="00A7133F">
        <w:rPr>
          <w:rFonts w:ascii="Arial" w:eastAsia="Calibri" w:hAnsi="Arial" w:cs="Arial"/>
          <w:b/>
          <w:bCs/>
          <w:color w:val="000000" w:themeColor="text1"/>
          <w:sz w:val="22"/>
          <w:lang w:val="es-ES_tradnl"/>
        </w:rPr>
        <w:t>1</w:t>
      </w:r>
    </w:p>
    <w:p w14:paraId="2B376FFA" w14:textId="77777777" w:rsidR="00B95C30" w:rsidRPr="00A7133F" w:rsidRDefault="00B95C30" w:rsidP="00B95C30">
      <w:pPr>
        <w:jc w:val="both"/>
        <w:rPr>
          <w:rFonts w:ascii="Arial" w:eastAsia="Calibri" w:hAnsi="Arial" w:cs="Arial"/>
          <w:color w:val="000000" w:themeColor="text1"/>
          <w:sz w:val="22"/>
          <w:lang w:val="es-ES_tradnl"/>
        </w:rPr>
      </w:pPr>
    </w:p>
    <w:p w14:paraId="08CF82B2" w14:textId="77777777" w:rsidR="00B95C30" w:rsidRPr="00A7133F" w:rsidRDefault="00B95C30" w:rsidP="00B95C30">
      <w:pPr>
        <w:jc w:val="both"/>
        <w:rPr>
          <w:rFonts w:ascii="Arial" w:eastAsia="Calibri" w:hAnsi="Arial" w:cs="Arial"/>
          <w:color w:val="000000" w:themeColor="text1"/>
          <w:sz w:val="22"/>
          <w:lang w:val="es-ES_tradnl"/>
        </w:rPr>
      </w:pPr>
    </w:p>
    <w:p w14:paraId="1BD594F9" w14:textId="77777777" w:rsidR="00B95C30" w:rsidRPr="00A7133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342B6" w:rsidRPr="00A7133F" w14:paraId="19DFC051" w14:textId="77777777" w:rsidTr="003D3D44">
        <w:tc>
          <w:tcPr>
            <w:tcW w:w="2689" w:type="dxa"/>
          </w:tcPr>
          <w:p w14:paraId="6BC0D1AC" w14:textId="77777777" w:rsidR="00B95C30" w:rsidRPr="00A7133F" w:rsidRDefault="00B95C30" w:rsidP="003D3D44">
            <w:pPr>
              <w:jc w:val="both"/>
              <w:rPr>
                <w:rFonts w:ascii="Arial" w:eastAsia="Calibri" w:hAnsi="Arial" w:cs="Arial"/>
                <w:color w:val="000000" w:themeColor="text1"/>
                <w:sz w:val="22"/>
                <w:lang w:val="es-ES_tradnl"/>
              </w:rPr>
            </w:pPr>
            <w:r w:rsidRPr="00A7133F">
              <w:rPr>
                <w:rFonts w:ascii="Arial" w:eastAsia="Calibri" w:hAnsi="Arial" w:cs="Arial"/>
                <w:b/>
                <w:color w:val="000000" w:themeColor="text1"/>
                <w:sz w:val="22"/>
                <w:lang w:val="es-ES_tradnl"/>
              </w:rPr>
              <w:t>Temas:</w:t>
            </w:r>
            <w:r w:rsidRPr="00A7133F">
              <w:rPr>
                <w:rFonts w:ascii="Arial" w:eastAsia="Calibri" w:hAnsi="Arial" w:cs="Arial"/>
                <w:color w:val="000000" w:themeColor="text1"/>
                <w:sz w:val="22"/>
                <w:lang w:val="es-ES_tradnl"/>
              </w:rPr>
              <w:t xml:space="preserve">                                      </w:t>
            </w:r>
          </w:p>
        </w:tc>
        <w:tc>
          <w:tcPr>
            <w:tcW w:w="6237" w:type="dxa"/>
          </w:tcPr>
          <w:p w14:paraId="5F389CAF" w14:textId="5C70F21B" w:rsidR="00B95C30" w:rsidRPr="00A7133F" w:rsidRDefault="00B020EB" w:rsidP="0038512F">
            <w:pPr>
              <w:pStyle w:val="Sinespaciado"/>
              <w:jc w:val="both"/>
              <w:rPr>
                <w:rFonts w:ascii="Arial" w:hAnsi="Arial" w:cs="Arial"/>
                <w:bCs/>
                <w:color w:val="000000" w:themeColor="text1"/>
                <w:sz w:val="22"/>
                <w:lang w:val="es-ES_tradnl"/>
              </w:rPr>
            </w:pPr>
            <w:r w:rsidRPr="00A7133F">
              <w:rPr>
                <w:rFonts w:ascii="Arial" w:eastAsia="Calibri" w:hAnsi="Arial" w:cs="Arial"/>
                <w:color w:val="000000" w:themeColor="text1"/>
                <w:sz w:val="22"/>
                <w:lang w:val="es-ES_tradnl"/>
              </w:rPr>
              <w:t>SELECCIÓN OBJETIVA – Contratación estatal – Concepto / EMPATE – Procedimiento de selección – Concepto / FACTORES DE DESEMPATE – Características – Límites / LEY DE EMPRENDIMIENTO – Ley 2069 de 2020 – Vigencia / FACTORES DE DESEMPATE – Ley 2069 – Artículo 35 – Acreditación</w:t>
            </w:r>
            <w:r w:rsidR="00DC4A78">
              <w:rPr>
                <w:rFonts w:ascii="Arial" w:eastAsia="Calibri" w:hAnsi="Arial" w:cs="Arial"/>
                <w:color w:val="000000" w:themeColor="text1"/>
                <w:sz w:val="22"/>
                <w:lang w:val="es-ES_tradnl"/>
              </w:rPr>
              <w:t xml:space="preserve"> / </w:t>
            </w:r>
            <w:r w:rsidR="00DC4A78" w:rsidRPr="00DC4A78">
              <w:rPr>
                <w:rFonts w:ascii="Arial" w:eastAsia="Calibri" w:hAnsi="Arial" w:cs="Arial"/>
                <w:color w:val="000000" w:themeColor="text1"/>
                <w:sz w:val="22"/>
                <w:lang w:val="es-ES_tradnl"/>
              </w:rPr>
              <w:t>PERSONAS MAYORES – Ley 2069 – Artículo 35 – Numeral 4 – Subrogación – Parágrafo 4 – Artículo 12 – Ley 1150</w:t>
            </w:r>
            <w:r w:rsidR="00DC4A78">
              <w:rPr>
                <w:rFonts w:ascii="Arial" w:eastAsia="Calibri" w:hAnsi="Arial" w:cs="Arial"/>
                <w:color w:val="000000" w:themeColor="text1"/>
                <w:sz w:val="22"/>
                <w:lang w:val="es-ES_tradnl"/>
              </w:rPr>
              <w:t>.</w:t>
            </w:r>
          </w:p>
        </w:tc>
      </w:tr>
      <w:tr w:rsidR="009342B6" w:rsidRPr="00A7133F" w14:paraId="27CD52AB" w14:textId="77777777" w:rsidTr="003D3D44">
        <w:tc>
          <w:tcPr>
            <w:tcW w:w="2689" w:type="dxa"/>
          </w:tcPr>
          <w:p w14:paraId="37E195A1" w14:textId="4C368209" w:rsidR="00B95C30" w:rsidRPr="00A7133F" w:rsidRDefault="00B95C30" w:rsidP="003D3D44">
            <w:pPr>
              <w:spacing w:before="120"/>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Radicación:</w:t>
            </w:r>
            <w:r w:rsidRPr="00A7133F">
              <w:rPr>
                <w:rFonts w:ascii="Arial" w:eastAsia="Calibri" w:hAnsi="Arial" w:cs="Arial"/>
                <w:color w:val="000000" w:themeColor="text1"/>
                <w:sz w:val="22"/>
                <w:lang w:val="es-ES_tradnl"/>
              </w:rPr>
              <w:t xml:space="preserve">                              </w:t>
            </w:r>
          </w:p>
        </w:tc>
        <w:tc>
          <w:tcPr>
            <w:tcW w:w="6237" w:type="dxa"/>
          </w:tcPr>
          <w:p w14:paraId="64360FC9" w14:textId="3ACA8618" w:rsidR="00B95C30" w:rsidRPr="00A7133F" w:rsidRDefault="00B95C30" w:rsidP="003D3D44">
            <w:pPr>
              <w:spacing w:before="120"/>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Respuesta a consulta # </w:t>
            </w:r>
            <w:r w:rsidR="00AE777E" w:rsidRPr="00A7133F">
              <w:rPr>
                <w:rFonts w:ascii="Arial" w:eastAsia="Calibri" w:hAnsi="Arial" w:cs="Arial"/>
                <w:color w:val="000000" w:themeColor="text1"/>
                <w:sz w:val="22"/>
                <w:lang w:val="es-ES_tradnl"/>
              </w:rPr>
              <w:t>P20211108010308</w:t>
            </w:r>
          </w:p>
          <w:p w14:paraId="09088B1B" w14:textId="77777777" w:rsidR="00B95C30" w:rsidRPr="00A7133F" w:rsidRDefault="00B95C30" w:rsidP="003D3D44">
            <w:pPr>
              <w:spacing w:before="120"/>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 </w:t>
            </w:r>
          </w:p>
        </w:tc>
      </w:tr>
    </w:tbl>
    <w:p w14:paraId="1CF4AEA0" w14:textId="10201A76" w:rsidR="003C3339" w:rsidRPr="00A7133F" w:rsidRDefault="003C3339" w:rsidP="003C3339">
      <w:pPr>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Estimad</w:t>
      </w:r>
      <w:r w:rsidR="00AA22C6" w:rsidRPr="00A7133F">
        <w:rPr>
          <w:rFonts w:ascii="Arial" w:eastAsia="Calibri" w:hAnsi="Arial" w:cs="Arial"/>
          <w:color w:val="000000" w:themeColor="text1"/>
          <w:sz w:val="22"/>
          <w:lang w:val="es-ES_tradnl"/>
        </w:rPr>
        <w:t>a</w:t>
      </w:r>
      <w:r w:rsidRPr="00A7133F">
        <w:rPr>
          <w:rFonts w:ascii="Arial" w:eastAsia="Calibri" w:hAnsi="Arial" w:cs="Arial"/>
          <w:color w:val="000000" w:themeColor="text1"/>
          <w:sz w:val="22"/>
          <w:lang w:val="es-ES_tradnl"/>
        </w:rPr>
        <w:t xml:space="preserve"> </w:t>
      </w:r>
      <w:r w:rsidR="00677E9C" w:rsidRPr="00A7133F">
        <w:rPr>
          <w:rFonts w:ascii="Arial" w:eastAsia="Calibri" w:hAnsi="Arial" w:cs="Arial"/>
          <w:color w:val="000000" w:themeColor="text1"/>
          <w:sz w:val="22"/>
          <w:lang w:val="es-ES_tradnl"/>
        </w:rPr>
        <w:t>señor</w:t>
      </w:r>
      <w:r w:rsidR="00AA22C6" w:rsidRPr="00A7133F">
        <w:rPr>
          <w:rFonts w:ascii="Arial" w:eastAsia="Calibri" w:hAnsi="Arial" w:cs="Arial"/>
          <w:color w:val="000000" w:themeColor="text1"/>
          <w:sz w:val="22"/>
          <w:lang w:val="es-ES_tradnl"/>
        </w:rPr>
        <w:t>a</w:t>
      </w:r>
      <w:r w:rsidR="00677E9C" w:rsidRPr="00A7133F">
        <w:rPr>
          <w:rFonts w:ascii="Arial" w:eastAsia="Calibri" w:hAnsi="Arial" w:cs="Arial"/>
          <w:color w:val="000000" w:themeColor="text1"/>
          <w:sz w:val="22"/>
          <w:lang w:val="es-ES_tradnl"/>
        </w:rPr>
        <w:t xml:space="preserve"> </w:t>
      </w:r>
      <w:r w:rsidR="00AA22C6" w:rsidRPr="00A7133F">
        <w:rPr>
          <w:rFonts w:ascii="Arial" w:eastAsia="Calibri" w:hAnsi="Arial" w:cs="Arial"/>
          <w:color w:val="000000" w:themeColor="text1"/>
          <w:sz w:val="22"/>
          <w:lang w:val="es-ES_tradnl"/>
        </w:rPr>
        <w:t>Vallejo</w:t>
      </w:r>
      <w:r w:rsidRPr="00A7133F">
        <w:rPr>
          <w:rFonts w:ascii="Arial" w:eastAsia="Calibri" w:hAnsi="Arial" w:cs="Arial"/>
          <w:color w:val="000000" w:themeColor="text1"/>
          <w:sz w:val="22"/>
          <w:lang w:val="es-ES_tradnl"/>
        </w:rPr>
        <w:t>:</w:t>
      </w:r>
    </w:p>
    <w:p w14:paraId="1EAE5543" w14:textId="77777777" w:rsidR="00DD5B04" w:rsidRPr="00A7133F" w:rsidRDefault="00DD5B04" w:rsidP="00DF76A2">
      <w:pPr>
        <w:jc w:val="both"/>
        <w:rPr>
          <w:rFonts w:ascii="Arial" w:eastAsia="Calibri" w:hAnsi="Arial" w:cs="Arial"/>
          <w:color w:val="000000" w:themeColor="text1"/>
          <w:sz w:val="22"/>
          <w:lang w:val="es-ES_tradnl"/>
        </w:rPr>
      </w:pPr>
    </w:p>
    <w:p w14:paraId="2109B2D3" w14:textId="7375C912" w:rsidR="00DD5B04" w:rsidRPr="00A7133F" w:rsidRDefault="00DD5B04" w:rsidP="00DF76A2">
      <w:pPr>
        <w:spacing w:line="276" w:lineRule="auto"/>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AB1340" w:rsidRPr="00A7133F">
        <w:rPr>
          <w:rFonts w:ascii="Arial" w:eastAsia="Calibri" w:hAnsi="Arial" w:cs="Arial"/>
          <w:color w:val="000000" w:themeColor="text1"/>
          <w:sz w:val="22"/>
          <w:lang w:val="es-ES_tradnl"/>
        </w:rPr>
        <w:t xml:space="preserve"> </w:t>
      </w:r>
      <w:r w:rsidRPr="00A7133F">
        <w:rPr>
          <w:rFonts w:ascii="Arial" w:eastAsia="Calibri" w:hAnsi="Arial" w:cs="Arial"/>
          <w:color w:val="000000" w:themeColor="text1"/>
          <w:sz w:val="22"/>
          <w:lang w:val="es-ES_tradnl"/>
        </w:rPr>
        <w:t>la Agencia Nacional de Contratación Pública ― Colombia Compra Eficiente</w:t>
      </w:r>
      <w:r w:rsidR="008C3C57" w:rsidRPr="00A7133F">
        <w:rPr>
          <w:rFonts w:ascii="Arial" w:eastAsia="Calibri" w:hAnsi="Arial" w:cs="Arial"/>
          <w:color w:val="000000" w:themeColor="text1"/>
          <w:sz w:val="22"/>
          <w:lang w:val="es-ES_tradnl"/>
        </w:rPr>
        <w:t xml:space="preserve"> </w:t>
      </w:r>
      <w:r w:rsidRPr="00A7133F">
        <w:rPr>
          <w:rFonts w:ascii="Arial" w:eastAsia="Calibri" w:hAnsi="Arial" w:cs="Arial"/>
          <w:color w:val="000000" w:themeColor="text1"/>
          <w:sz w:val="22"/>
          <w:lang w:val="es-ES_tradnl"/>
        </w:rPr>
        <w:t xml:space="preserve">responde su consulta del </w:t>
      </w:r>
      <w:r w:rsidR="009E31AE" w:rsidRPr="00A7133F">
        <w:rPr>
          <w:rFonts w:ascii="Arial" w:eastAsia="Calibri" w:hAnsi="Arial" w:cs="Arial"/>
          <w:color w:val="000000" w:themeColor="text1"/>
          <w:sz w:val="22"/>
          <w:lang w:val="es-ES_tradnl"/>
        </w:rPr>
        <w:t>5</w:t>
      </w:r>
      <w:r w:rsidR="00FD4AF3" w:rsidRPr="00A7133F">
        <w:rPr>
          <w:rFonts w:ascii="Arial" w:eastAsia="Calibri" w:hAnsi="Arial" w:cs="Arial"/>
          <w:color w:val="000000" w:themeColor="text1"/>
          <w:sz w:val="22"/>
          <w:lang w:val="es-ES_tradnl"/>
        </w:rPr>
        <w:t xml:space="preserve"> de </w:t>
      </w:r>
      <w:r w:rsidR="009E31AE" w:rsidRPr="00A7133F">
        <w:rPr>
          <w:rFonts w:ascii="Arial" w:eastAsia="Calibri" w:hAnsi="Arial" w:cs="Arial"/>
          <w:color w:val="000000" w:themeColor="text1"/>
          <w:sz w:val="22"/>
          <w:lang w:val="es-ES_tradnl"/>
        </w:rPr>
        <w:t>noviembre</w:t>
      </w:r>
      <w:r w:rsidRPr="00A7133F">
        <w:rPr>
          <w:rFonts w:ascii="Arial" w:eastAsia="Calibri" w:hAnsi="Arial" w:cs="Arial"/>
          <w:color w:val="000000" w:themeColor="text1"/>
          <w:sz w:val="22"/>
          <w:lang w:val="es-ES_tradnl"/>
        </w:rPr>
        <w:t xml:space="preserve"> del</w:t>
      </w:r>
      <w:r w:rsidR="007E74BF" w:rsidRPr="00A7133F">
        <w:rPr>
          <w:rFonts w:ascii="Arial" w:eastAsia="Calibri" w:hAnsi="Arial" w:cs="Arial"/>
          <w:color w:val="000000" w:themeColor="text1"/>
          <w:sz w:val="22"/>
          <w:lang w:val="es-ES_tradnl"/>
        </w:rPr>
        <w:t xml:space="preserve"> </w:t>
      </w:r>
      <w:r w:rsidRPr="00A7133F">
        <w:rPr>
          <w:rFonts w:ascii="Arial" w:eastAsia="Calibri" w:hAnsi="Arial" w:cs="Arial"/>
          <w:color w:val="000000" w:themeColor="text1"/>
          <w:sz w:val="22"/>
          <w:lang w:val="es-ES_tradnl"/>
        </w:rPr>
        <w:t>202</w:t>
      </w:r>
      <w:r w:rsidR="004673A8" w:rsidRPr="00A7133F">
        <w:rPr>
          <w:rFonts w:ascii="Arial" w:eastAsia="Calibri" w:hAnsi="Arial" w:cs="Arial"/>
          <w:color w:val="000000" w:themeColor="text1"/>
          <w:sz w:val="22"/>
          <w:lang w:val="es-ES_tradnl"/>
        </w:rPr>
        <w:t>1</w:t>
      </w:r>
      <w:r w:rsidR="008C3C57" w:rsidRPr="00A7133F">
        <w:rPr>
          <w:rFonts w:ascii="Arial" w:eastAsia="Calibri" w:hAnsi="Arial" w:cs="Arial"/>
          <w:color w:val="000000" w:themeColor="text1"/>
          <w:sz w:val="22"/>
          <w:lang w:val="es-ES_tradnl"/>
        </w:rPr>
        <w:t>.</w:t>
      </w:r>
    </w:p>
    <w:p w14:paraId="0C1E0712" w14:textId="77777777" w:rsidR="00DD5B04" w:rsidRPr="00A7133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7133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 xml:space="preserve">Problema planteado </w:t>
      </w:r>
    </w:p>
    <w:p w14:paraId="224B43D3" w14:textId="77777777" w:rsidR="00DD5B04" w:rsidRPr="00A7133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78D8EB0" w:rsidR="00443B55" w:rsidRPr="00A7133F" w:rsidRDefault="00DD5B04" w:rsidP="0099583D">
      <w:pPr>
        <w:spacing w:line="276" w:lineRule="auto"/>
        <w:jc w:val="both"/>
        <w:rPr>
          <w:rFonts w:ascii="Arial" w:hAnsi="Arial" w:cs="Arial"/>
          <w:color w:val="000000" w:themeColor="text1"/>
          <w:sz w:val="22"/>
          <w:lang w:val="es-ES_tradnl"/>
        </w:rPr>
      </w:pPr>
      <w:r w:rsidRPr="00A7133F">
        <w:rPr>
          <w:rFonts w:ascii="Arial" w:hAnsi="Arial" w:cs="Arial"/>
          <w:color w:val="000000" w:themeColor="text1"/>
          <w:sz w:val="22"/>
          <w:lang w:val="es-ES_tradnl"/>
        </w:rPr>
        <w:t xml:space="preserve">Usted </w:t>
      </w:r>
      <w:r w:rsidR="00B422C0" w:rsidRPr="00A7133F">
        <w:rPr>
          <w:rFonts w:ascii="Arial" w:hAnsi="Arial" w:cs="Arial"/>
          <w:color w:val="000000" w:themeColor="text1"/>
          <w:sz w:val="22"/>
          <w:lang w:val="es-ES_tradnl"/>
        </w:rPr>
        <w:t>formula</w:t>
      </w:r>
      <w:r w:rsidR="006D46A3" w:rsidRPr="00A7133F">
        <w:rPr>
          <w:rFonts w:ascii="Arial" w:hAnsi="Arial" w:cs="Arial"/>
          <w:color w:val="000000" w:themeColor="text1"/>
          <w:sz w:val="22"/>
          <w:lang w:val="es-ES_tradnl"/>
        </w:rPr>
        <w:t xml:space="preserve"> la siguiente </w:t>
      </w:r>
      <w:r w:rsidR="00B46915" w:rsidRPr="00A7133F">
        <w:rPr>
          <w:rFonts w:ascii="Arial" w:hAnsi="Arial" w:cs="Arial"/>
          <w:color w:val="000000" w:themeColor="text1"/>
          <w:sz w:val="22"/>
          <w:lang w:val="es-ES_tradnl"/>
        </w:rPr>
        <w:t>consulta</w:t>
      </w:r>
      <w:r w:rsidR="009E31AE" w:rsidRPr="00A7133F">
        <w:rPr>
          <w:rFonts w:ascii="Arial" w:hAnsi="Arial" w:cs="Arial"/>
          <w:color w:val="000000" w:themeColor="text1"/>
          <w:sz w:val="22"/>
          <w:lang w:val="es-ES_tradnl"/>
        </w:rPr>
        <w:t>, relacionada con el alcance del artículo</w:t>
      </w:r>
      <w:r w:rsidR="006B7340" w:rsidRPr="00A7133F">
        <w:rPr>
          <w:rFonts w:ascii="Arial" w:hAnsi="Arial" w:cs="Arial"/>
          <w:color w:val="000000" w:themeColor="text1"/>
          <w:sz w:val="22"/>
          <w:lang w:val="es-ES_tradnl"/>
        </w:rPr>
        <w:t xml:space="preserve"> 3, parágrafo 4</w:t>
      </w:r>
      <w:r w:rsidR="0025430C" w:rsidRPr="00A7133F">
        <w:rPr>
          <w:rFonts w:ascii="Arial" w:hAnsi="Arial" w:cs="Arial"/>
          <w:color w:val="000000" w:themeColor="text1"/>
          <w:sz w:val="22"/>
          <w:lang w:val="es-ES_tradnl"/>
        </w:rPr>
        <w:t>, de la Ley 2040</w:t>
      </w:r>
      <w:r w:rsidR="0079196A" w:rsidRPr="00A7133F">
        <w:rPr>
          <w:rFonts w:ascii="Arial" w:hAnsi="Arial" w:cs="Arial"/>
          <w:color w:val="000000" w:themeColor="text1"/>
          <w:sz w:val="22"/>
          <w:lang w:val="es-ES_tradnl"/>
        </w:rPr>
        <w:t xml:space="preserve"> de 2020 y del artículo 35, numeral 4, de la Ley 2069 de 2020</w:t>
      </w:r>
      <w:r w:rsidR="000314BD" w:rsidRPr="00A7133F">
        <w:rPr>
          <w:rFonts w:ascii="Arial" w:hAnsi="Arial" w:cs="Arial"/>
          <w:color w:val="000000" w:themeColor="text1"/>
          <w:sz w:val="22"/>
          <w:lang w:val="es-ES_tradnl"/>
        </w:rPr>
        <w:t>:</w:t>
      </w:r>
      <w:r w:rsidR="007E18DF" w:rsidRPr="00A7133F">
        <w:rPr>
          <w:rFonts w:ascii="Arial" w:hAnsi="Arial" w:cs="Arial"/>
          <w:color w:val="000000" w:themeColor="text1"/>
          <w:sz w:val="22"/>
          <w:lang w:val="es-ES_tradnl"/>
        </w:rPr>
        <w:t xml:space="preserve"> </w:t>
      </w:r>
    </w:p>
    <w:p w14:paraId="559EE20C" w14:textId="77777777" w:rsidR="00443B55" w:rsidRPr="00A7133F" w:rsidRDefault="00443B55" w:rsidP="0099583D">
      <w:pPr>
        <w:spacing w:line="276" w:lineRule="auto"/>
        <w:jc w:val="both"/>
        <w:rPr>
          <w:rFonts w:ascii="Arial" w:hAnsi="Arial" w:cs="Arial"/>
          <w:color w:val="000000" w:themeColor="text1"/>
          <w:sz w:val="22"/>
          <w:lang w:val="es-ES_tradnl"/>
        </w:rPr>
      </w:pPr>
    </w:p>
    <w:p w14:paraId="60D8B65B" w14:textId="3315C95B" w:rsidR="0072722A" w:rsidRPr="00A7133F" w:rsidRDefault="0072722A" w:rsidP="00ED5367">
      <w:pPr>
        <w:ind w:left="709" w:right="709"/>
        <w:jc w:val="both"/>
        <w:rPr>
          <w:rFonts w:ascii="Arial" w:eastAsia="Calibri" w:hAnsi="Arial" w:cs="Arial"/>
          <w:color w:val="000000" w:themeColor="text1"/>
          <w:sz w:val="21"/>
          <w:szCs w:val="21"/>
          <w:lang w:val="es-ES_tradnl"/>
        </w:rPr>
      </w:pPr>
      <w:r w:rsidRPr="00A7133F">
        <w:rPr>
          <w:rFonts w:ascii="Arial" w:eastAsia="Calibri" w:hAnsi="Arial" w:cs="Arial"/>
          <w:color w:val="000000" w:themeColor="text1"/>
          <w:sz w:val="21"/>
          <w:szCs w:val="21"/>
          <w:lang w:val="es-ES_tradnl"/>
        </w:rPr>
        <w:t>«</w:t>
      </w:r>
      <w:r w:rsidR="00176DD1" w:rsidRPr="00A7133F">
        <w:rPr>
          <w:rFonts w:ascii="Arial" w:eastAsia="Calibri" w:hAnsi="Arial" w:cs="Arial"/>
          <w:color w:val="000000" w:themeColor="text1"/>
          <w:sz w:val="21"/>
          <w:szCs w:val="21"/>
          <w:lang w:val="es-ES_tradnl"/>
        </w:rPr>
        <w:t xml:space="preserve">Se solicita a Colombia Compra Eficiente, que, de conformidad con las Leyes expuestas, informe </w:t>
      </w:r>
      <w:r w:rsidR="00A7133F">
        <w:rPr>
          <w:rFonts w:ascii="Arial" w:eastAsia="Calibri" w:hAnsi="Arial" w:cs="Arial"/>
          <w:color w:val="000000" w:themeColor="text1"/>
          <w:sz w:val="21"/>
          <w:szCs w:val="21"/>
          <w:lang w:val="es-ES_tradnl"/>
        </w:rPr>
        <w:t>[…]</w:t>
      </w:r>
      <w:r w:rsidR="00176DD1" w:rsidRPr="00A7133F">
        <w:rPr>
          <w:rFonts w:ascii="Arial" w:eastAsia="Calibri" w:hAnsi="Arial" w:cs="Arial"/>
          <w:color w:val="000000" w:themeColor="text1"/>
          <w:sz w:val="21"/>
          <w:szCs w:val="21"/>
          <w:lang w:val="es-ES_tradnl"/>
        </w:rPr>
        <w:t>, bajo que</w:t>
      </w:r>
      <w:r w:rsidR="00A7133F">
        <w:rPr>
          <w:rFonts w:ascii="Arial" w:eastAsia="Calibri" w:hAnsi="Arial" w:cs="Arial"/>
          <w:color w:val="000000" w:themeColor="text1"/>
          <w:sz w:val="21"/>
          <w:szCs w:val="21"/>
          <w:lang w:val="es-ES_tradnl"/>
        </w:rPr>
        <w:t xml:space="preserve"> (sic)</w:t>
      </w:r>
      <w:r w:rsidR="00176DD1" w:rsidRPr="00A7133F">
        <w:rPr>
          <w:rFonts w:ascii="Arial" w:eastAsia="Calibri" w:hAnsi="Arial" w:cs="Arial"/>
          <w:color w:val="000000" w:themeColor="text1"/>
          <w:sz w:val="21"/>
          <w:szCs w:val="21"/>
          <w:lang w:val="es-ES_tradnl"/>
        </w:rPr>
        <w:t xml:space="preserve"> criterio se entiende la </w:t>
      </w:r>
      <w:r w:rsidR="00A7133F" w:rsidRPr="00A7133F">
        <w:rPr>
          <w:rFonts w:ascii="Arial" w:eastAsia="Calibri" w:hAnsi="Arial" w:cs="Arial"/>
          <w:color w:val="000000" w:themeColor="text1"/>
          <w:sz w:val="21"/>
          <w:szCs w:val="21"/>
          <w:lang w:val="es-ES_tradnl"/>
        </w:rPr>
        <w:t>vinculación</w:t>
      </w:r>
      <w:r w:rsidR="00176DD1" w:rsidRPr="00A7133F">
        <w:rPr>
          <w:rFonts w:ascii="Arial" w:eastAsia="Calibri" w:hAnsi="Arial" w:cs="Arial"/>
          <w:color w:val="000000" w:themeColor="text1"/>
          <w:sz w:val="21"/>
          <w:szCs w:val="21"/>
          <w:lang w:val="es-ES_tradnl"/>
        </w:rPr>
        <w:t xml:space="preserve"> de los profesionales mayores que no sean beneficiarios de la </w:t>
      </w:r>
      <w:r w:rsidR="00A7133F" w:rsidRPr="00A7133F">
        <w:rPr>
          <w:rFonts w:ascii="Arial" w:eastAsia="Calibri" w:hAnsi="Arial" w:cs="Arial"/>
          <w:color w:val="000000" w:themeColor="text1"/>
          <w:sz w:val="21"/>
          <w:szCs w:val="21"/>
          <w:lang w:val="es-ES_tradnl"/>
        </w:rPr>
        <w:t>pensión</w:t>
      </w:r>
      <w:r w:rsidR="00176DD1" w:rsidRPr="00A7133F">
        <w:rPr>
          <w:rFonts w:ascii="Arial" w:eastAsia="Calibri" w:hAnsi="Arial" w:cs="Arial"/>
          <w:color w:val="000000" w:themeColor="text1"/>
          <w:sz w:val="21"/>
          <w:szCs w:val="21"/>
          <w:lang w:val="es-ES_tradnl"/>
        </w:rPr>
        <w:t xml:space="preserve"> de vejez; entiendo si la </w:t>
      </w:r>
      <w:r w:rsidR="00ED5367" w:rsidRPr="00A7133F">
        <w:rPr>
          <w:rFonts w:ascii="Arial" w:eastAsia="Calibri" w:hAnsi="Arial" w:cs="Arial"/>
          <w:color w:val="000000" w:themeColor="text1"/>
          <w:sz w:val="21"/>
          <w:szCs w:val="21"/>
          <w:lang w:val="es-ES_tradnl"/>
        </w:rPr>
        <w:t>vinculación</w:t>
      </w:r>
      <w:r w:rsidR="00176DD1" w:rsidRPr="00A7133F">
        <w:rPr>
          <w:rFonts w:ascii="Arial" w:eastAsia="Calibri" w:hAnsi="Arial" w:cs="Arial"/>
          <w:color w:val="000000" w:themeColor="text1"/>
          <w:sz w:val="21"/>
          <w:szCs w:val="21"/>
          <w:lang w:val="es-ES_tradnl"/>
        </w:rPr>
        <w:t xml:space="preserve"> se aplica a la </w:t>
      </w:r>
      <w:r w:rsidR="00ED5367" w:rsidRPr="00A7133F">
        <w:rPr>
          <w:rFonts w:ascii="Arial" w:eastAsia="Calibri" w:hAnsi="Arial" w:cs="Arial"/>
          <w:color w:val="000000" w:themeColor="text1"/>
          <w:sz w:val="21"/>
          <w:szCs w:val="21"/>
          <w:lang w:val="es-ES_tradnl"/>
        </w:rPr>
        <w:t>tipología</w:t>
      </w:r>
      <w:r w:rsidR="00176DD1" w:rsidRPr="00A7133F">
        <w:rPr>
          <w:rFonts w:ascii="Arial" w:eastAsia="Calibri" w:hAnsi="Arial" w:cs="Arial"/>
          <w:color w:val="000000" w:themeColor="text1"/>
          <w:sz w:val="21"/>
          <w:szCs w:val="21"/>
          <w:lang w:val="es-ES_tradnl"/>
        </w:rPr>
        <w:t xml:space="preserve"> contractual del contrato laboral a </w:t>
      </w:r>
      <w:r w:rsidR="00ED5367" w:rsidRPr="00A7133F">
        <w:rPr>
          <w:rFonts w:ascii="Arial" w:eastAsia="Calibri" w:hAnsi="Arial" w:cs="Arial"/>
          <w:color w:val="000000" w:themeColor="text1"/>
          <w:sz w:val="21"/>
          <w:szCs w:val="21"/>
          <w:lang w:val="es-ES_tradnl"/>
        </w:rPr>
        <w:t>término</w:t>
      </w:r>
      <w:r w:rsidR="00176DD1" w:rsidRPr="00A7133F">
        <w:rPr>
          <w:rFonts w:ascii="Arial" w:eastAsia="Calibri" w:hAnsi="Arial" w:cs="Arial"/>
          <w:color w:val="000000" w:themeColor="text1"/>
          <w:sz w:val="21"/>
          <w:szCs w:val="21"/>
          <w:lang w:val="es-ES_tradnl"/>
        </w:rPr>
        <w:t xml:space="preserve"> fijo, al contrato de obra o labor, y si la misma se extiende a la </w:t>
      </w:r>
      <w:r w:rsidR="00ED5367" w:rsidRPr="00A7133F">
        <w:rPr>
          <w:rFonts w:ascii="Arial" w:eastAsia="Calibri" w:hAnsi="Arial" w:cs="Arial"/>
          <w:color w:val="000000" w:themeColor="text1"/>
          <w:sz w:val="21"/>
          <w:szCs w:val="21"/>
          <w:lang w:val="es-ES_tradnl"/>
        </w:rPr>
        <w:t>tipología</w:t>
      </w:r>
      <w:r w:rsidR="00176DD1" w:rsidRPr="00A7133F">
        <w:rPr>
          <w:rFonts w:ascii="Arial" w:eastAsia="Calibri" w:hAnsi="Arial" w:cs="Arial"/>
          <w:color w:val="000000" w:themeColor="text1"/>
          <w:sz w:val="21"/>
          <w:szCs w:val="21"/>
          <w:lang w:val="es-ES_tradnl"/>
        </w:rPr>
        <w:t xml:space="preserve"> contractual del contrato civil de </w:t>
      </w:r>
      <w:r w:rsidR="00ED5367" w:rsidRPr="00A7133F">
        <w:rPr>
          <w:rFonts w:ascii="Arial" w:eastAsia="Calibri" w:hAnsi="Arial" w:cs="Arial"/>
          <w:color w:val="000000" w:themeColor="text1"/>
          <w:sz w:val="21"/>
          <w:szCs w:val="21"/>
          <w:lang w:val="es-ES_tradnl"/>
        </w:rPr>
        <w:t>prestación</w:t>
      </w:r>
      <w:r w:rsidR="00176DD1" w:rsidRPr="00A7133F">
        <w:rPr>
          <w:rFonts w:ascii="Arial" w:eastAsia="Calibri" w:hAnsi="Arial" w:cs="Arial"/>
          <w:color w:val="000000" w:themeColor="text1"/>
          <w:sz w:val="21"/>
          <w:szCs w:val="21"/>
          <w:lang w:val="es-ES_tradnl"/>
        </w:rPr>
        <w:t xml:space="preserve"> de servicios</w:t>
      </w:r>
      <w:r w:rsidRPr="00A7133F">
        <w:rPr>
          <w:rFonts w:ascii="Arial" w:eastAsia="Calibri" w:hAnsi="Arial" w:cs="Arial"/>
          <w:color w:val="000000" w:themeColor="text1"/>
          <w:sz w:val="21"/>
          <w:szCs w:val="21"/>
          <w:lang w:val="es-ES_tradnl"/>
        </w:rPr>
        <w:t>».</w:t>
      </w:r>
    </w:p>
    <w:p w14:paraId="0EF4AE16" w14:textId="18D90EDD" w:rsidR="00B75972" w:rsidRDefault="00B75972" w:rsidP="001266DB">
      <w:pPr>
        <w:ind w:right="709"/>
        <w:jc w:val="both"/>
        <w:rPr>
          <w:rFonts w:ascii="Arial" w:hAnsi="Arial" w:cs="Arial"/>
          <w:color w:val="000000" w:themeColor="text1"/>
          <w:sz w:val="22"/>
          <w:lang w:val="es-ES_tradnl"/>
        </w:rPr>
      </w:pPr>
    </w:p>
    <w:p w14:paraId="5A1BE6C9" w14:textId="7B719731" w:rsidR="00C51653" w:rsidRDefault="00C51653" w:rsidP="001266DB">
      <w:pPr>
        <w:ind w:right="709"/>
        <w:jc w:val="both"/>
        <w:rPr>
          <w:rFonts w:ascii="Arial" w:hAnsi="Arial" w:cs="Arial"/>
          <w:color w:val="000000" w:themeColor="text1"/>
          <w:sz w:val="22"/>
          <w:lang w:val="es-ES_tradnl"/>
        </w:rPr>
      </w:pPr>
    </w:p>
    <w:p w14:paraId="4FC21B66" w14:textId="77777777" w:rsidR="00C51653" w:rsidRPr="00A7133F" w:rsidRDefault="00C51653" w:rsidP="001266DB">
      <w:pPr>
        <w:ind w:right="709"/>
        <w:jc w:val="both"/>
        <w:rPr>
          <w:rFonts w:ascii="Arial" w:hAnsi="Arial" w:cs="Arial"/>
          <w:color w:val="000000" w:themeColor="text1"/>
          <w:sz w:val="22"/>
          <w:lang w:val="es-ES_tradnl"/>
        </w:rPr>
      </w:pPr>
    </w:p>
    <w:p w14:paraId="124D2DCA" w14:textId="77777777" w:rsidR="00DD5B04" w:rsidRPr="00A7133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7133F">
        <w:rPr>
          <w:rFonts w:ascii="Arial" w:eastAsia="Calibri" w:hAnsi="Arial" w:cs="Arial"/>
          <w:b/>
          <w:color w:val="000000" w:themeColor="text1"/>
          <w:sz w:val="22"/>
          <w:lang w:val="es-ES_tradnl"/>
        </w:rPr>
        <w:t>Consideraciones</w:t>
      </w:r>
    </w:p>
    <w:p w14:paraId="7D050D2E" w14:textId="4381E36A" w:rsidR="00435703" w:rsidRPr="00A7133F" w:rsidRDefault="00435703" w:rsidP="00DF76A2">
      <w:pPr>
        <w:spacing w:line="276" w:lineRule="auto"/>
        <w:jc w:val="both"/>
        <w:rPr>
          <w:rFonts w:ascii="Arial" w:eastAsia="Calibri" w:hAnsi="Arial" w:cs="Arial"/>
          <w:color w:val="000000" w:themeColor="text1"/>
          <w:sz w:val="22"/>
          <w:szCs w:val="22"/>
          <w:lang w:val="es-ES_tradnl"/>
        </w:rPr>
      </w:pPr>
    </w:p>
    <w:p w14:paraId="7BBB1CC4" w14:textId="7D974F29" w:rsidR="009D1D53" w:rsidRPr="00A7133F" w:rsidRDefault="009D1D53" w:rsidP="009D1D53">
      <w:pPr>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La Subdirección de Gestión Contractual responderá</w:t>
      </w:r>
      <w:r w:rsidR="006C36F9">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la consulta, luego de analizar los siguientes temas: i) definición de los criterios de desempate en la contratación estatal, ii)</w:t>
      </w:r>
      <w:r w:rsidR="006401D8" w:rsidRPr="00A7133F">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ámbito de aplicación de la Ley 2069 de 2020</w:t>
      </w:r>
      <w:r w:rsidR="006401D8" w:rsidRPr="00A7133F">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 xml:space="preserve">iii) </w:t>
      </w:r>
      <w:r w:rsidR="00D339D4" w:rsidRPr="00A7133F">
        <w:rPr>
          <w:rFonts w:ascii="Arial" w:eastAsia="Calibri" w:hAnsi="Arial" w:cs="Arial"/>
          <w:color w:val="000000" w:themeColor="text1"/>
          <w:sz w:val="22"/>
          <w:szCs w:val="22"/>
          <w:lang w:val="es-ES_tradnl"/>
        </w:rPr>
        <w:t xml:space="preserve">vigencia y </w:t>
      </w:r>
      <w:r w:rsidRPr="00A7133F">
        <w:rPr>
          <w:rFonts w:ascii="Arial" w:eastAsia="Calibri" w:hAnsi="Arial" w:cs="Arial"/>
          <w:color w:val="000000" w:themeColor="text1"/>
          <w:sz w:val="22"/>
          <w:szCs w:val="22"/>
          <w:lang w:val="es-ES_tradnl"/>
        </w:rPr>
        <w:t>forma de acreditación de los factores de desempate consagrados en el artículo 35 de la mencionada Ley</w:t>
      </w:r>
      <w:r w:rsidR="00985CE1" w:rsidRPr="00A7133F">
        <w:rPr>
          <w:rFonts w:ascii="Arial" w:eastAsia="Calibri" w:hAnsi="Arial" w:cs="Arial"/>
          <w:color w:val="000000" w:themeColor="text1"/>
          <w:sz w:val="22"/>
          <w:szCs w:val="22"/>
          <w:lang w:val="es-ES_tradnl"/>
        </w:rPr>
        <w:t xml:space="preserve">, </w:t>
      </w:r>
      <w:r w:rsidR="003F7191" w:rsidRPr="00A7133F">
        <w:rPr>
          <w:rFonts w:ascii="Arial" w:eastAsia="Calibri" w:hAnsi="Arial" w:cs="Arial"/>
          <w:color w:val="000000" w:themeColor="text1"/>
          <w:sz w:val="22"/>
          <w:szCs w:val="22"/>
          <w:lang w:val="es-ES_tradnl"/>
        </w:rPr>
        <w:t>i</w:t>
      </w:r>
      <w:r w:rsidR="00985CE1" w:rsidRPr="00A7133F">
        <w:rPr>
          <w:rFonts w:ascii="Arial" w:eastAsia="Calibri" w:hAnsi="Arial" w:cs="Arial"/>
          <w:color w:val="000000" w:themeColor="text1"/>
          <w:sz w:val="22"/>
          <w:szCs w:val="22"/>
          <w:lang w:val="es-ES_tradnl"/>
        </w:rPr>
        <w:t>v)</w:t>
      </w:r>
      <w:r w:rsidR="000F59E8" w:rsidRPr="00A7133F">
        <w:rPr>
          <w:rFonts w:ascii="Arial" w:eastAsia="Calibri" w:hAnsi="Arial" w:cs="Arial"/>
          <w:color w:val="000000" w:themeColor="text1"/>
          <w:sz w:val="22"/>
          <w:szCs w:val="22"/>
          <w:lang w:val="es-ES_tradnl"/>
        </w:rPr>
        <w:t xml:space="preserve"> </w:t>
      </w:r>
      <w:r w:rsidR="00070E05">
        <w:rPr>
          <w:rFonts w:ascii="Arial" w:eastAsia="Calibri" w:hAnsi="Arial" w:cs="Arial"/>
          <w:color w:val="000000" w:themeColor="text1"/>
          <w:sz w:val="22"/>
          <w:szCs w:val="22"/>
          <w:lang w:val="es-ES_tradnl"/>
        </w:rPr>
        <w:t>alcance</w:t>
      </w:r>
      <w:r w:rsidR="000F59E8" w:rsidRPr="00A7133F">
        <w:rPr>
          <w:rFonts w:ascii="Arial" w:eastAsia="Calibri" w:hAnsi="Arial" w:cs="Arial"/>
          <w:color w:val="000000" w:themeColor="text1"/>
          <w:sz w:val="22"/>
          <w:szCs w:val="22"/>
          <w:lang w:val="es-ES_tradnl"/>
        </w:rPr>
        <w:t xml:space="preserve"> del factor de desempate previsto en el numeral 4 del artículo 35 de la Ley 2069 de 2020</w:t>
      </w:r>
      <w:r w:rsidR="00C51653">
        <w:rPr>
          <w:rFonts w:ascii="Arial" w:eastAsia="Calibri" w:hAnsi="Arial" w:cs="Arial"/>
          <w:color w:val="000000" w:themeColor="text1"/>
          <w:sz w:val="22"/>
          <w:szCs w:val="22"/>
          <w:lang w:val="es-ES_tradnl"/>
        </w:rPr>
        <w:t xml:space="preserve"> y </w:t>
      </w:r>
      <w:r w:rsidR="00070E05">
        <w:rPr>
          <w:rFonts w:ascii="Arial" w:eastAsia="Calibri" w:hAnsi="Arial" w:cs="Arial"/>
          <w:color w:val="000000" w:themeColor="text1"/>
          <w:sz w:val="22"/>
          <w:szCs w:val="22"/>
          <w:lang w:val="es-ES_tradnl"/>
        </w:rPr>
        <w:t>v) p</w:t>
      </w:r>
      <w:r w:rsidR="00070E05" w:rsidRPr="00070E05">
        <w:rPr>
          <w:rFonts w:ascii="Arial" w:eastAsia="Calibri" w:hAnsi="Arial" w:cs="Arial"/>
          <w:color w:val="000000" w:themeColor="text1"/>
          <w:sz w:val="22"/>
          <w:szCs w:val="22"/>
          <w:lang w:val="es-ES_tradnl"/>
        </w:rPr>
        <w:t>érdida de vigencia del parágrafo 4 del artículo 12 de la Ley 1150 de 2007, adicionado por el artículo 3 de la Ley 2040 de 2020, y aplicación del factor de desempate previsto en el numeral 4 del artículo 35 de la Ley 2069 de 2020</w:t>
      </w:r>
      <w:r w:rsidR="006640CF">
        <w:rPr>
          <w:rFonts w:ascii="Arial" w:eastAsia="Calibri" w:hAnsi="Arial" w:cs="Arial"/>
          <w:color w:val="000000" w:themeColor="text1"/>
          <w:sz w:val="22"/>
          <w:szCs w:val="22"/>
          <w:lang w:val="es-ES_tradnl"/>
        </w:rPr>
        <w:t>.</w:t>
      </w:r>
    </w:p>
    <w:p w14:paraId="544B9598" w14:textId="0ECB184D" w:rsidR="009D1D53" w:rsidRPr="00A7133F" w:rsidRDefault="009D1D53" w:rsidP="009D1D53">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004064D7" w:rsidRPr="00A7133F">
        <w:rPr>
          <w:rFonts w:ascii="Arial" w:eastAsia="Calibri" w:hAnsi="Arial" w:cs="Arial"/>
          <w:color w:val="000000" w:themeColor="text1"/>
          <w:sz w:val="22"/>
          <w:szCs w:val="22"/>
          <w:lang w:val="es-ES_tradnl"/>
        </w:rPr>
        <w:t xml:space="preserve">estudió los factores de desempate del artículo 35 de la Ley 2069 de 2020 </w:t>
      </w:r>
      <w:r w:rsidRPr="00A7133F">
        <w:rPr>
          <w:rFonts w:ascii="Arial" w:eastAsia="Calibri" w:hAnsi="Arial" w:cs="Arial"/>
          <w:color w:val="000000" w:themeColor="text1"/>
          <w:sz w:val="22"/>
          <w:szCs w:val="22"/>
          <w:lang w:val="es-ES_tradnl"/>
        </w:rPr>
        <w:t>en los conceptos</w:t>
      </w:r>
      <w:r w:rsidR="004064D7" w:rsidRPr="00A7133F">
        <w:rPr>
          <w:rFonts w:ascii="Arial" w:eastAsia="Calibri" w:hAnsi="Arial" w:cs="Arial"/>
          <w:color w:val="000000" w:themeColor="text1"/>
          <w:sz w:val="22"/>
          <w:szCs w:val="22"/>
          <w:lang w:val="es-ES_tradnl"/>
        </w:rPr>
        <w:t>:</w:t>
      </w:r>
      <w:r w:rsidR="00FD6609" w:rsidRPr="00A7133F">
        <w:rPr>
          <w:rFonts w:ascii="Arial" w:eastAsia="Calibri" w:hAnsi="Arial" w:cs="Arial"/>
          <w:color w:val="000000" w:themeColor="text1"/>
          <w:sz w:val="22"/>
          <w:szCs w:val="22"/>
          <w:lang w:val="es-ES_tradnl"/>
        </w:rPr>
        <w:t xml:space="preserve">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w:t>
      </w:r>
      <w:r w:rsidR="00DC3FCF" w:rsidRPr="00A7133F">
        <w:rPr>
          <w:rFonts w:ascii="Arial" w:eastAsia="Calibri" w:hAnsi="Arial" w:cs="Arial"/>
          <w:color w:val="000000" w:themeColor="text1"/>
          <w:sz w:val="22"/>
          <w:szCs w:val="22"/>
          <w:lang w:val="es-ES_tradnl"/>
        </w:rPr>
        <w:t xml:space="preserve">, </w:t>
      </w:r>
      <w:r w:rsidR="00FD6609" w:rsidRPr="00A7133F">
        <w:rPr>
          <w:rFonts w:ascii="Arial" w:eastAsia="Calibri" w:hAnsi="Arial" w:cs="Arial"/>
          <w:color w:val="000000" w:themeColor="text1"/>
          <w:sz w:val="22"/>
          <w:szCs w:val="22"/>
          <w:lang w:val="es-ES_tradnl"/>
        </w:rPr>
        <w:t>C-221 del 18 de mayo de 2021</w:t>
      </w:r>
      <w:r w:rsidR="005508B2" w:rsidRPr="00A7133F">
        <w:rPr>
          <w:rFonts w:ascii="Arial" w:eastAsia="Calibri" w:hAnsi="Arial" w:cs="Arial"/>
          <w:color w:val="000000" w:themeColor="text1"/>
          <w:sz w:val="22"/>
          <w:szCs w:val="22"/>
          <w:lang w:val="es-ES_tradnl"/>
        </w:rPr>
        <w:t>,</w:t>
      </w:r>
      <w:r w:rsidR="00DC6A2B" w:rsidRPr="00A7133F">
        <w:rPr>
          <w:rFonts w:ascii="Arial" w:eastAsia="Calibri" w:hAnsi="Arial" w:cs="Arial"/>
          <w:color w:val="000000" w:themeColor="text1"/>
          <w:sz w:val="22"/>
          <w:szCs w:val="22"/>
          <w:lang w:val="es-ES_tradnl"/>
        </w:rPr>
        <w:t xml:space="preserve"> </w:t>
      </w:r>
      <w:r w:rsidR="00DC3FCF" w:rsidRPr="00A7133F">
        <w:rPr>
          <w:rFonts w:ascii="Arial" w:eastAsia="Calibri" w:hAnsi="Arial" w:cs="Arial"/>
          <w:color w:val="000000" w:themeColor="text1"/>
          <w:sz w:val="22"/>
          <w:szCs w:val="22"/>
          <w:lang w:val="es-ES_tradnl"/>
        </w:rPr>
        <w:t>C-239 del 25 de mayo de 2021</w:t>
      </w:r>
      <w:r w:rsidR="005508B2" w:rsidRPr="00A7133F">
        <w:rPr>
          <w:rFonts w:ascii="Arial" w:eastAsia="Calibri" w:hAnsi="Arial" w:cs="Arial"/>
          <w:color w:val="000000" w:themeColor="text1"/>
          <w:sz w:val="22"/>
          <w:szCs w:val="22"/>
          <w:lang w:val="es-ES_tradnl"/>
        </w:rPr>
        <w:t xml:space="preserve"> entre otros</w:t>
      </w:r>
      <w:r w:rsidR="005508B2" w:rsidRPr="00A7133F">
        <w:rPr>
          <w:rStyle w:val="Refdenotaalpie"/>
          <w:rFonts w:ascii="Arial" w:eastAsia="Calibri" w:hAnsi="Arial" w:cs="Arial"/>
          <w:color w:val="000000" w:themeColor="text1"/>
          <w:sz w:val="22"/>
          <w:szCs w:val="22"/>
          <w:lang w:val="es-ES_tradnl"/>
        </w:rPr>
        <w:footnoteReference w:id="2"/>
      </w:r>
      <w:r w:rsidR="00DC6A2B" w:rsidRPr="00A7133F">
        <w:rPr>
          <w:rFonts w:ascii="Arial" w:eastAsia="Calibri" w:hAnsi="Arial" w:cs="Arial"/>
          <w:color w:val="000000" w:themeColor="text1"/>
          <w:sz w:val="22"/>
          <w:szCs w:val="22"/>
          <w:lang w:val="es-ES_tradnl"/>
        </w:rPr>
        <w:t xml:space="preserve">. </w:t>
      </w:r>
      <w:r w:rsidRPr="00A7133F">
        <w:rPr>
          <w:rFonts w:ascii="Arial" w:eastAsia="Calibri" w:hAnsi="Arial" w:cs="Arial"/>
          <w:color w:val="000000" w:themeColor="text1"/>
          <w:sz w:val="22"/>
          <w:szCs w:val="22"/>
          <w:lang w:val="es-ES_tradnl"/>
        </w:rPr>
        <w:t>Algunas de las consideraciones de estos conceptos se reiteran a continuación.</w:t>
      </w:r>
    </w:p>
    <w:p w14:paraId="30BF18FD" w14:textId="5251E127" w:rsidR="00095D3C" w:rsidRPr="00A7133F" w:rsidRDefault="00095D3C" w:rsidP="004D1C27">
      <w:pPr>
        <w:spacing w:line="276" w:lineRule="auto"/>
        <w:jc w:val="both"/>
        <w:rPr>
          <w:rFonts w:ascii="Arial" w:eastAsia="Calibri" w:hAnsi="Arial" w:cs="Arial"/>
          <w:b/>
          <w:color w:val="000000" w:themeColor="text1"/>
          <w:sz w:val="22"/>
          <w:lang w:val="es-ES_tradnl"/>
        </w:rPr>
      </w:pPr>
    </w:p>
    <w:p w14:paraId="2C11ECBF" w14:textId="77777777" w:rsidR="0000500B" w:rsidRPr="00A7133F" w:rsidRDefault="0000500B" w:rsidP="0000500B">
      <w:pPr>
        <w:spacing w:line="276" w:lineRule="auto"/>
        <w:jc w:val="both"/>
        <w:rPr>
          <w:rFonts w:ascii="Arial" w:eastAsia="Calibri" w:hAnsi="Arial" w:cs="Arial"/>
          <w:b/>
          <w:bCs/>
          <w:color w:val="000000" w:themeColor="text1"/>
          <w:sz w:val="22"/>
          <w:szCs w:val="22"/>
          <w:lang w:val="es-ES_tradnl"/>
        </w:rPr>
      </w:pPr>
      <w:r w:rsidRPr="00A7133F">
        <w:rPr>
          <w:rFonts w:ascii="Arial" w:eastAsia="Calibri" w:hAnsi="Arial" w:cs="Arial"/>
          <w:b/>
          <w:bCs/>
          <w:color w:val="000000" w:themeColor="text1"/>
          <w:sz w:val="22"/>
          <w:szCs w:val="22"/>
          <w:lang w:val="es-ES_tradnl"/>
        </w:rPr>
        <w:t>2.1. Factores de desempate en la contratación estatal: concepto y características</w:t>
      </w:r>
    </w:p>
    <w:p w14:paraId="46B41382" w14:textId="77777777" w:rsidR="0000500B" w:rsidRPr="00A7133F" w:rsidRDefault="0000500B" w:rsidP="0000500B">
      <w:pPr>
        <w:spacing w:line="276" w:lineRule="auto"/>
        <w:jc w:val="both"/>
        <w:rPr>
          <w:rFonts w:ascii="Arial" w:eastAsia="Calibri" w:hAnsi="Arial" w:cs="Arial"/>
          <w:color w:val="000000" w:themeColor="text1"/>
          <w:sz w:val="22"/>
          <w:szCs w:val="22"/>
          <w:lang w:val="es-ES_tradnl"/>
        </w:rPr>
      </w:pPr>
    </w:p>
    <w:p w14:paraId="055D3DF1" w14:textId="1E1AE0FD" w:rsidR="0000500B" w:rsidRPr="00A7133F" w:rsidRDefault="0000500B" w:rsidP="0000500B">
      <w:pPr>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w:t>
      </w:r>
      <w:r w:rsidRPr="00A7133F">
        <w:rPr>
          <w:rFonts w:ascii="Arial" w:eastAsia="Calibri" w:hAnsi="Arial" w:cs="Arial"/>
          <w:color w:val="000000" w:themeColor="text1"/>
          <w:sz w:val="22"/>
          <w:szCs w:val="22"/>
          <w:lang w:val="es-ES_tradnl"/>
        </w:rPr>
        <w:lastRenderedPageBreak/>
        <w:t>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642DB590" w:rsidR="0000500B" w:rsidRPr="00A7133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536902" w:rsidRPr="00A7133F">
        <w:rPr>
          <w:rFonts w:ascii="Arial" w:eastAsia="Calibri" w:hAnsi="Arial" w:cs="Arial"/>
          <w:color w:val="000000" w:themeColor="text1"/>
          <w:sz w:val="22"/>
          <w:szCs w:val="22"/>
          <w:lang w:val="es-ES_tradnl"/>
        </w:rPr>
        <w:t xml:space="preserve">materializar </w:t>
      </w:r>
      <w:r w:rsidRPr="00A7133F">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047311" w:rsidRPr="00A7133F">
        <w:rPr>
          <w:rFonts w:ascii="Arial" w:eastAsia="Calibri" w:hAnsi="Arial" w:cs="Arial"/>
          <w:color w:val="000000" w:themeColor="text1"/>
          <w:sz w:val="22"/>
          <w:szCs w:val="22"/>
          <w:lang w:val="es-ES_tradnl"/>
        </w:rPr>
        <w:t>id</w:t>
      </w:r>
      <w:r w:rsidRPr="00A7133F">
        <w:rPr>
          <w:rFonts w:ascii="Arial" w:eastAsia="Calibri" w:hAnsi="Arial" w:cs="Arial"/>
          <w:color w:val="000000" w:themeColor="text1"/>
          <w:sz w:val="22"/>
          <w:szCs w:val="22"/>
          <w:lang w:val="es-ES_tradnl"/>
        </w:rPr>
        <w:t>ó</w:t>
      </w:r>
      <w:r w:rsidR="00047311" w:rsidRPr="00A7133F">
        <w:rPr>
          <w:rFonts w:ascii="Arial" w:eastAsia="Calibri" w:hAnsi="Arial" w:cs="Arial"/>
          <w:color w:val="000000" w:themeColor="text1"/>
          <w:sz w:val="22"/>
          <w:szCs w:val="22"/>
          <w:lang w:val="es-ES_tradnl"/>
        </w:rPr>
        <w:t>neos</w:t>
      </w:r>
      <w:r w:rsidRPr="00A7133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A7133F">
        <w:rPr>
          <w:rFonts w:ascii="Arial" w:eastAsia="Calibri" w:hAnsi="Arial" w:cs="Arial"/>
          <w:color w:val="000000" w:themeColor="text1"/>
          <w:sz w:val="22"/>
          <w:szCs w:val="22"/>
          <w:lang w:val="es-ES_tradnl"/>
        </w:rPr>
        <w:t>equivalente</w:t>
      </w:r>
      <w:r w:rsidRPr="00A7133F">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0A698A7" w14:textId="77777777" w:rsidR="00B0749C" w:rsidRPr="00A7133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A7133F">
        <w:rPr>
          <w:rStyle w:val="Refdenotaalpie"/>
          <w:rFonts w:ascii="Arial" w:hAnsi="Arial" w:cs="Arial"/>
          <w:color w:val="000000" w:themeColor="text1"/>
          <w:sz w:val="21"/>
          <w:szCs w:val="21"/>
          <w:lang w:val="es-ES_tradnl"/>
        </w:rPr>
        <w:footnoteReference w:id="3"/>
      </w:r>
      <w:r w:rsidRPr="00A7133F">
        <w:rPr>
          <w:rFonts w:ascii="Arial" w:eastAsia="Calibri" w:hAnsi="Arial" w:cs="Arial"/>
          <w:color w:val="000000" w:themeColor="text1"/>
          <w:sz w:val="22"/>
          <w:szCs w:val="22"/>
          <w:lang w:val="es-ES_tradnl"/>
        </w:rPr>
        <w:t xml:space="preserve">. </w:t>
      </w:r>
    </w:p>
    <w:p w14:paraId="223B25B2" w14:textId="77777777" w:rsidR="00B0749C" w:rsidRPr="00A7133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A7133F">
        <w:rPr>
          <w:rStyle w:val="Refdenotaalpie"/>
          <w:rFonts w:ascii="Arial" w:eastAsia="Calibri" w:hAnsi="Arial" w:cs="Arial"/>
          <w:color w:val="000000" w:themeColor="text1"/>
          <w:sz w:val="22"/>
          <w:szCs w:val="22"/>
          <w:lang w:val="es-ES_tradnl"/>
        </w:rPr>
        <w:footnoteReference w:id="4"/>
      </w:r>
      <w:r w:rsidRPr="00A7133F">
        <w:rPr>
          <w:rFonts w:ascii="Arial" w:eastAsia="Calibri" w:hAnsi="Arial" w:cs="Arial"/>
          <w:color w:val="000000" w:themeColor="text1"/>
          <w:sz w:val="22"/>
          <w:szCs w:val="22"/>
          <w:lang w:val="es-ES_tradnl"/>
        </w:rPr>
        <w:t xml:space="preserve">. Más aún, el </w:t>
      </w:r>
      <w:r w:rsidRPr="00A7133F">
        <w:rPr>
          <w:rFonts w:ascii="Arial" w:eastAsia="Calibri" w:hAnsi="Arial" w:cs="Arial"/>
          <w:color w:val="000000" w:themeColor="text1"/>
          <w:sz w:val="22"/>
          <w:szCs w:val="22"/>
          <w:lang w:val="es-ES_tradnl"/>
        </w:rPr>
        <w:lastRenderedPageBreak/>
        <w:t>Consejo de Estado ha señalado que contrariar los factores de desempate genera la nulidad del contrato, conforme al artículo 44, inciso 1º de la Ley 80 de 1993</w:t>
      </w:r>
      <w:r w:rsidRPr="00A7133F">
        <w:rPr>
          <w:rStyle w:val="Refdenotaalpie"/>
          <w:rFonts w:ascii="Arial" w:eastAsia="Calibri" w:hAnsi="Arial" w:cs="Arial"/>
          <w:color w:val="000000" w:themeColor="text1"/>
          <w:sz w:val="22"/>
          <w:szCs w:val="22"/>
          <w:lang w:val="es-ES_tradnl"/>
        </w:rPr>
        <w:footnoteReference w:id="5"/>
      </w:r>
      <w:r w:rsidRPr="00A7133F">
        <w:rPr>
          <w:rFonts w:ascii="Arial" w:eastAsia="Calibri" w:hAnsi="Arial" w:cs="Arial"/>
          <w:color w:val="000000" w:themeColor="text1"/>
          <w:sz w:val="22"/>
          <w:szCs w:val="22"/>
          <w:lang w:val="es-ES_tradnl"/>
        </w:rPr>
        <w:t>.</w:t>
      </w:r>
    </w:p>
    <w:p w14:paraId="4CF237CD" w14:textId="77777777" w:rsidR="0000500B" w:rsidRPr="00A7133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Ahora bien, en cumplimiento de los principios de reciprocidad y de </w:t>
      </w:r>
      <w:r w:rsidRPr="00A7133F">
        <w:rPr>
          <w:rFonts w:ascii="Arial" w:eastAsia="Calibri" w:hAnsi="Arial" w:cs="Arial"/>
          <w:i/>
          <w:iCs/>
          <w:color w:val="000000" w:themeColor="text1"/>
          <w:sz w:val="22"/>
          <w:szCs w:val="22"/>
          <w:lang w:val="es-ES_tradnl"/>
        </w:rPr>
        <w:t xml:space="preserve">pacta </w:t>
      </w:r>
      <w:proofErr w:type="spellStart"/>
      <w:r w:rsidRPr="00A7133F">
        <w:rPr>
          <w:rFonts w:ascii="Arial" w:eastAsia="Calibri" w:hAnsi="Arial" w:cs="Arial"/>
          <w:i/>
          <w:iCs/>
          <w:color w:val="000000" w:themeColor="text1"/>
          <w:sz w:val="22"/>
          <w:szCs w:val="22"/>
          <w:lang w:val="es-ES_tradnl"/>
        </w:rPr>
        <w:t>sunt</w:t>
      </w:r>
      <w:proofErr w:type="spellEnd"/>
      <w:r w:rsidRPr="00A7133F">
        <w:rPr>
          <w:rFonts w:ascii="Arial" w:eastAsia="Calibri" w:hAnsi="Arial" w:cs="Arial"/>
          <w:i/>
          <w:iCs/>
          <w:color w:val="000000" w:themeColor="text1"/>
          <w:sz w:val="22"/>
          <w:szCs w:val="22"/>
          <w:lang w:val="es-ES_tradnl"/>
        </w:rPr>
        <w:t xml:space="preserve"> </w:t>
      </w:r>
      <w:proofErr w:type="spellStart"/>
      <w:r w:rsidRPr="00A7133F">
        <w:rPr>
          <w:rFonts w:ascii="Arial" w:eastAsia="Calibri" w:hAnsi="Arial" w:cs="Arial"/>
          <w:i/>
          <w:iCs/>
          <w:color w:val="000000" w:themeColor="text1"/>
          <w:sz w:val="22"/>
          <w:szCs w:val="22"/>
          <w:lang w:val="es-ES_tradnl"/>
        </w:rPr>
        <w:t>servanda</w:t>
      </w:r>
      <w:proofErr w:type="spellEnd"/>
      <w:r w:rsidRPr="00A7133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3539568" w14:textId="77777777" w:rsidR="0000500B" w:rsidRPr="00A7133F" w:rsidRDefault="0000500B" w:rsidP="0000500B">
      <w:pPr>
        <w:spacing w:line="276" w:lineRule="auto"/>
        <w:rPr>
          <w:rFonts w:ascii="Arial" w:eastAsia="Calibri" w:hAnsi="Arial" w:cs="Arial"/>
          <w:color w:val="000000" w:themeColor="text1"/>
          <w:sz w:val="22"/>
          <w:szCs w:val="22"/>
          <w:lang w:val="es-ES_tradnl"/>
        </w:rPr>
      </w:pPr>
    </w:p>
    <w:p w14:paraId="389779C5" w14:textId="22E24AB8" w:rsidR="0000500B" w:rsidRPr="00A7133F" w:rsidRDefault="0000500B" w:rsidP="0000500B">
      <w:pPr>
        <w:spacing w:line="276" w:lineRule="auto"/>
        <w:jc w:val="both"/>
        <w:rPr>
          <w:rFonts w:ascii="Arial" w:eastAsia="Calibri" w:hAnsi="Arial" w:cs="Arial"/>
          <w:b/>
          <w:bCs/>
          <w:color w:val="000000" w:themeColor="text1"/>
          <w:sz w:val="22"/>
          <w:szCs w:val="22"/>
          <w:lang w:val="es-ES_tradnl"/>
        </w:rPr>
      </w:pPr>
      <w:r w:rsidRPr="00A7133F">
        <w:rPr>
          <w:rFonts w:ascii="Arial" w:eastAsia="Calibri" w:hAnsi="Arial" w:cs="Arial"/>
          <w:b/>
          <w:bCs/>
          <w:color w:val="000000" w:themeColor="text1"/>
          <w:sz w:val="22"/>
          <w:szCs w:val="22"/>
          <w:lang w:val="es-ES_tradnl"/>
        </w:rPr>
        <w:t xml:space="preserve">2.2. </w:t>
      </w:r>
      <w:r w:rsidR="006401D8" w:rsidRPr="00A7133F">
        <w:rPr>
          <w:rFonts w:ascii="Arial" w:eastAsia="Calibri" w:hAnsi="Arial" w:cs="Arial"/>
          <w:b/>
          <w:bCs/>
          <w:color w:val="000000" w:themeColor="text1"/>
          <w:sz w:val="22"/>
          <w:szCs w:val="22"/>
          <w:lang w:val="es-ES_tradnl"/>
        </w:rPr>
        <w:t>Á</w:t>
      </w:r>
      <w:r w:rsidRPr="00A7133F">
        <w:rPr>
          <w:rFonts w:ascii="Arial" w:eastAsia="Calibri" w:hAnsi="Arial" w:cs="Arial"/>
          <w:b/>
          <w:bCs/>
          <w:color w:val="000000" w:themeColor="text1"/>
          <w:sz w:val="22"/>
          <w:szCs w:val="22"/>
          <w:lang w:val="es-ES_tradnl"/>
        </w:rPr>
        <w:t>mbito de aplicación de la Ley 2069 de 2020</w:t>
      </w:r>
    </w:p>
    <w:p w14:paraId="26273CE2" w14:textId="77777777" w:rsidR="0000500B" w:rsidRPr="00A7133F" w:rsidRDefault="0000500B" w:rsidP="0000500B">
      <w:pPr>
        <w:spacing w:line="276" w:lineRule="auto"/>
        <w:jc w:val="both"/>
        <w:rPr>
          <w:rFonts w:ascii="Arial" w:eastAsia="Calibri" w:hAnsi="Arial" w:cs="Arial"/>
          <w:color w:val="000000" w:themeColor="text1"/>
          <w:sz w:val="22"/>
          <w:szCs w:val="22"/>
          <w:lang w:val="es-ES_tradnl"/>
        </w:rPr>
      </w:pPr>
    </w:p>
    <w:p w14:paraId="4A576B10" w14:textId="7E8F450A" w:rsidR="0000500B" w:rsidRPr="00A7133F" w:rsidRDefault="0000500B" w:rsidP="0000500B">
      <w:pPr>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32D7325B" w:rsidR="0000500B" w:rsidRPr="00A7133F" w:rsidRDefault="0000500B" w:rsidP="00F94206">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En cuan</w:t>
      </w:r>
      <w:r w:rsidR="00536902" w:rsidRPr="00A7133F">
        <w:rPr>
          <w:rFonts w:ascii="Arial" w:eastAsia="Calibri" w:hAnsi="Arial" w:cs="Arial"/>
          <w:color w:val="000000" w:themeColor="text1"/>
          <w:sz w:val="22"/>
          <w:szCs w:val="22"/>
          <w:lang w:val="es-ES_tradnl"/>
        </w:rPr>
        <w:t>t</w:t>
      </w:r>
      <w:r w:rsidRPr="00A7133F">
        <w:rPr>
          <w:rFonts w:ascii="Arial" w:eastAsia="Calibri" w:hAnsi="Arial" w:cs="Arial"/>
          <w:color w:val="000000" w:themeColor="text1"/>
          <w:sz w:val="22"/>
          <w:szCs w:val="22"/>
          <w:lang w:val="es-ES_tradnl"/>
        </w:rPr>
        <w:t xml:space="preserve">o </w:t>
      </w:r>
      <w:r w:rsidR="00F94206" w:rsidRPr="00A7133F">
        <w:rPr>
          <w:rFonts w:ascii="Arial" w:eastAsia="Calibri" w:hAnsi="Arial" w:cs="Arial"/>
          <w:color w:val="000000" w:themeColor="text1"/>
          <w:sz w:val="22"/>
          <w:szCs w:val="22"/>
          <w:lang w:val="es-ES_tradnl"/>
        </w:rPr>
        <w:t xml:space="preserve">al </w:t>
      </w:r>
      <w:r w:rsidRPr="00A7133F">
        <w:rPr>
          <w:rFonts w:ascii="Arial" w:eastAsia="Calibri" w:hAnsi="Arial" w:cs="Arial"/>
          <w:color w:val="000000" w:themeColor="text1"/>
          <w:sz w:val="22"/>
          <w:szCs w:val="22"/>
          <w:lang w:val="es-ES_tradnl"/>
        </w:rPr>
        <w:t>contenido</w:t>
      </w:r>
      <w:r w:rsidR="00F94206" w:rsidRPr="00A7133F">
        <w:rPr>
          <w:rFonts w:ascii="Arial" w:eastAsia="Calibri" w:hAnsi="Arial" w:cs="Arial"/>
          <w:color w:val="000000" w:themeColor="text1"/>
          <w:sz w:val="22"/>
          <w:szCs w:val="22"/>
          <w:lang w:val="es-ES_tradnl"/>
        </w:rPr>
        <w:t xml:space="preserve"> de la Ley 2069 de 2020</w:t>
      </w:r>
      <w:r w:rsidRPr="00A7133F">
        <w:rPr>
          <w:rFonts w:ascii="Arial" w:eastAsia="Calibri" w:hAnsi="Arial" w:cs="Arial"/>
          <w:color w:val="000000" w:themeColor="text1"/>
          <w:sz w:val="22"/>
          <w:szCs w:val="22"/>
          <w:lang w:val="es-ES_tradnl"/>
        </w:rPr>
        <w:t>,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mediante la racionalización y simplificación de los trámites y tarifas</w:t>
      </w:r>
      <w:r w:rsidRPr="00A7133F">
        <w:rPr>
          <w:rStyle w:val="Refdenotaalpie"/>
          <w:rFonts w:ascii="Arial" w:eastAsia="Calibri" w:hAnsi="Arial" w:cs="Arial"/>
          <w:color w:val="000000" w:themeColor="text1"/>
          <w:sz w:val="22"/>
          <w:szCs w:val="22"/>
          <w:lang w:val="es-ES_tradnl"/>
        </w:rPr>
        <w:footnoteReference w:id="6"/>
      </w:r>
      <w:r w:rsidRPr="00A7133F">
        <w:rPr>
          <w:rFonts w:ascii="Arial" w:eastAsia="Calibri" w:hAnsi="Arial" w:cs="Arial"/>
          <w:color w:val="000000" w:themeColor="text1"/>
          <w:sz w:val="22"/>
          <w:szCs w:val="22"/>
          <w:lang w:val="es-ES_tradnl"/>
        </w:rPr>
        <w:t>, así como incentivos a favor de aquellas dentro del sistema de compras y contratación pública</w:t>
      </w:r>
      <w:r w:rsidRPr="00A7133F">
        <w:rPr>
          <w:rStyle w:val="Refdenotaalpie"/>
          <w:rFonts w:ascii="Arial" w:eastAsia="Calibri" w:hAnsi="Arial" w:cs="Arial"/>
          <w:color w:val="000000" w:themeColor="text1"/>
          <w:sz w:val="22"/>
          <w:szCs w:val="22"/>
          <w:lang w:val="es-ES_tradnl"/>
        </w:rPr>
        <w:footnoteReference w:id="7"/>
      </w:r>
      <w:r w:rsidRPr="00A7133F">
        <w:rPr>
          <w:rFonts w:ascii="Arial" w:eastAsia="Calibri" w:hAnsi="Arial" w:cs="Arial"/>
          <w:color w:val="000000" w:themeColor="text1"/>
          <w:sz w:val="22"/>
          <w:szCs w:val="22"/>
          <w:lang w:val="es-ES_tradnl"/>
        </w:rPr>
        <w:t>. También se consagran mecanismos de acceso al financiamiento</w:t>
      </w:r>
      <w:r w:rsidRPr="00A7133F">
        <w:rPr>
          <w:rStyle w:val="Refdenotaalpie"/>
          <w:rFonts w:ascii="Arial" w:eastAsia="Calibri" w:hAnsi="Arial" w:cs="Arial"/>
          <w:color w:val="000000" w:themeColor="text1"/>
          <w:sz w:val="22"/>
          <w:szCs w:val="22"/>
          <w:lang w:val="es-ES_tradnl"/>
        </w:rPr>
        <w:footnoteReference w:id="8"/>
      </w:r>
      <w:r w:rsidRPr="00A7133F">
        <w:rPr>
          <w:rFonts w:ascii="Arial" w:eastAsia="Calibri" w:hAnsi="Arial" w:cs="Arial"/>
          <w:color w:val="000000" w:themeColor="text1"/>
          <w:sz w:val="22"/>
          <w:szCs w:val="22"/>
          <w:lang w:val="es-ES_tradnl"/>
        </w:rPr>
        <w:t xml:space="preserve">, se unifican las fuentes de emprendimiento y de desarrollo empresarial, para fortalecer y promover los </w:t>
      </w:r>
      <w:r w:rsidRPr="00A7133F">
        <w:rPr>
          <w:rFonts w:ascii="Arial" w:eastAsia="Calibri" w:hAnsi="Arial" w:cs="Arial"/>
          <w:color w:val="000000" w:themeColor="text1"/>
          <w:sz w:val="22"/>
          <w:szCs w:val="22"/>
          <w:lang w:val="es-ES_tradnl"/>
        </w:rPr>
        <w:lastRenderedPageBreak/>
        <w:t>distintos sectores de la economía</w:t>
      </w:r>
      <w:r w:rsidRPr="00A7133F">
        <w:rPr>
          <w:rStyle w:val="Refdenotaalpie"/>
          <w:rFonts w:ascii="Arial" w:eastAsia="Calibri" w:hAnsi="Arial" w:cs="Arial"/>
          <w:color w:val="000000" w:themeColor="text1"/>
          <w:sz w:val="22"/>
          <w:szCs w:val="22"/>
          <w:lang w:val="es-ES_tradnl"/>
        </w:rPr>
        <w:footnoteReference w:id="9"/>
      </w:r>
      <w:r w:rsidRPr="00A7133F">
        <w:rPr>
          <w:rFonts w:ascii="Arial" w:eastAsia="Calibri" w:hAnsi="Arial" w:cs="Arial"/>
          <w:color w:val="000000" w:themeColor="text1"/>
          <w:sz w:val="22"/>
          <w:szCs w:val="22"/>
          <w:lang w:val="es-ES_tradnl"/>
        </w:rPr>
        <w:t xml:space="preserve"> y se prevén medidas de educación para el emprendimiento y la innovación</w:t>
      </w:r>
      <w:r w:rsidRPr="00A7133F">
        <w:rPr>
          <w:rStyle w:val="Refdenotaalpie"/>
          <w:rFonts w:ascii="Arial" w:eastAsia="Calibri" w:hAnsi="Arial" w:cs="Arial"/>
          <w:color w:val="000000" w:themeColor="text1"/>
          <w:sz w:val="22"/>
          <w:szCs w:val="22"/>
          <w:lang w:val="es-ES_tradnl"/>
        </w:rPr>
        <w:footnoteReference w:id="10"/>
      </w:r>
      <w:r w:rsidRPr="00A7133F">
        <w:rPr>
          <w:rFonts w:ascii="Arial" w:eastAsia="Calibri" w:hAnsi="Arial" w:cs="Arial"/>
          <w:color w:val="000000" w:themeColor="text1"/>
          <w:sz w:val="22"/>
          <w:szCs w:val="22"/>
          <w:lang w:val="es-ES_tradnl"/>
        </w:rPr>
        <w:t>.</w:t>
      </w:r>
    </w:p>
    <w:p w14:paraId="7371BE65" w14:textId="6713ED8E" w:rsidR="0000500B" w:rsidRPr="00A7133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0088321E" w:rsidRPr="00A7133F">
        <w:rPr>
          <w:rFonts w:ascii="Arial" w:eastAsia="Calibri" w:hAnsi="Arial" w:cs="Arial"/>
          <w:color w:val="000000" w:themeColor="text1"/>
          <w:sz w:val="22"/>
          <w:szCs w:val="22"/>
          <w:lang w:val="es-ES_tradnl"/>
        </w:rPr>
        <w:t>continuación,</w:t>
      </w:r>
      <w:r w:rsidRPr="00A7133F">
        <w:rPr>
          <w:rFonts w:ascii="Arial" w:eastAsia="Calibri" w:hAnsi="Arial" w:cs="Arial"/>
          <w:color w:val="000000" w:themeColor="text1"/>
          <w:sz w:val="22"/>
          <w:szCs w:val="22"/>
          <w:lang w:val="es-ES_tradnl"/>
        </w:rPr>
        <w:t xml:space="preserve"> se estudiará el contenido y alcance de dicha norma.  </w:t>
      </w:r>
    </w:p>
    <w:p w14:paraId="6DA213FC" w14:textId="77777777" w:rsidR="0000500B" w:rsidRPr="00A7133F" w:rsidRDefault="0000500B" w:rsidP="0000500B">
      <w:pPr>
        <w:spacing w:line="276" w:lineRule="auto"/>
        <w:jc w:val="both"/>
        <w:rPr>
          <w:rFonts w:ascii="Arial" w:eastAsia="Calibri" w:hAnsi="Arial" w:cs="Arial"/>
          <w:color w:val="000000" w:themeColor="text1"/>
          <w:sz w:val="22"/>
          <w:szCs w:val="22"/>
          <w:lang w:val="es-ES_tradnl"/>
        </w:rPr>
      </w:pPr>
    </w:p>
    <w:p w14:paraId="2B848175" w14:textId="00D811E8" w:rsidR="00473A2E" w:rsidRPr="00A7133F" w:rsidRDefault="00473A2E" w:rsidP="00473A2E">
      <w:pPr>
        <w:spacing w:line="276" w:lineRule="auto"/>
        <w:jc w:val="both"/>
        <w:rPr>
          <w:rFonts w:ascii="Arial" w:eastAsia="Calibri" w:hAnsi="Arial" w:cs="Arial"/>
          <w:b/>
          <w:bCs/>
          <w:color w:val="000000" w:themeColor="text1"/>
          <w:sz w:val="22"/>
          <w:szCs w:val="22"/>
          <w:lang w:val="es-ES_tradnl"/>
        </w:rPr>
      </w:pPr>
      <w:r w:rsidRPr="00A7133F">
        <w:rPr>
          <w:rFonts w:ascii="Arial" w:eastAsia="Calibri" w:hAnsi="Arial" w:cs="Arial"/>
          <w:b/>
          <w:bCs/>
          <w:color w:val="000000" w:themeColor="text1"/>
          <w:sz w:val="22"/>
          <w:szCs w:val="22"/>
          <w:lang w:val="es-ES_tradnl"/>
        </w:rPr>
        <w:t xml:space="preserve">2.3. </w:t>
      </w:r>
      <w:r w:rsidR="009E02D9" w:rsidRPr="00A7133F">
        <w:rPr>
          <w:rFonts w:ascii="Arial" w:eastAsia="Calibri" w:hAnsi="Arial" w:cs="Arial"/>
          <w:b/>
          <w:bCs/>
          <w:color w:val="000000" w:themeColor="text1"/>
          <w:sz w:val="22"/>
          <w:szCs w:val="22"/>
          <w:lang w:val="es-ES_tradnl"/>
        </w:rPr>
        <w:t>Vigencia y f</w:t>
      </w:r>
      <w:r w:rsidRPr="00A7133F">
        <w:rPr>
          <w:rFonts w:ascii="Arial" w:eastAsia="Calibri" w:hAnsi="Arial" w:cs="Arial"/>
          <w:b/>
          <w:bCs/>
          <w:color w:val="000000" w:themeColor="text1"/>
          <w:sz w:val="22"/>
          <w:szCs w:val="22"/>
          <w:lang w:val="es-ES_tradnl"/>
        </w:rPr>
        <w:t>orma de acreditación de los factores de desempate consagrados en el artículo 35 de la Ley 2069 de 2020</w:t>
      </w:r>
    </w:p>
    <w:p w14:paraId="15672F50" w14:textId="77777777" w:rsidR="00473A2E" w:rsidRPr="00A7133F" w:rsidRDefault="00473A2E" w:rsidP="00473A2E">
      <w:pPr>
        <w:spacing w:line="276" w:lineRule="auto"/>
        <w:jc w:val="both"/>
        <w:rPr>
          <w:rFonts w:ascii="Arial" w:eastAsia="Calibri" w:hAnsi="Arial" w:cs="Arial"/>
          <w:color w:val="000000" w:themeColor="text1"/>
          <w:sz w:val="22"/>
          <w:szCs w:val="22"/>
          <w:lang w:val="es-ES_tradnl"/>
        </w:rPr>
      </w:pPr>
    </w:p>
    <w:p w14:paraId="328EC051" w14:textId="6815A44C" w:rsidR="00473A2E" w:rsidRPr="00A7133F" w:rsidRDefault="00473A2E" w:rsidP="00473A2E">
      <w:pPr>
        <w:spacing w:line="276" w:lineRule="auto"/>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sidR="00D512A1" w:rsidRPr="00A7133F">
        <w:rPr>
          <w:rFonts w:ascii="Arial" w:eastAsia="Calibri" w:hAnsi="Arial" w:cs="Arial"/>
          <w:color w:val="000000" w:themeColor="text1"/>
          <w:sz w:val="22"/>
          <w:szCs w:val="22"/>
          <w:lang w:val="es-ES_tradnl"/>
        </w:rPr>
        <w:t xml:space="preserve">algunos apartes normativos </w:t>
      </w:r>
      <w:r w:rsidR="00775DEC" w:rsidRPr="00A7133F">
        <w:rPr>
          <w:rFonts w:ascii="Arial" w:eastAsia="Calibri" w:hAnsi="Arial" w:cs="Arial"/>
          <w:color w:val="000000" w:themeColor="text1"/>
          <w:sz w:val="22"/>
          <w:szCs w:val="22"/>
          <w:lang w:val="es-ES_tradnl"/>
        </w:rPr>
        <w:t xml:space="preserve">de </w:t>
      </w:r>
      <w:r w:rsidRPr="00A7133F">
        <w:rPr>
          <w:rFonts w:ascii="Arial" w:eastAsia="Calibri" w:hAnsi="Arial" w:cs="Arial"/>
          <w:color w:val="000000" w:themeColor="text1"/>
          <w:sz w:val="22"/>
          <w:szCs w:val="22"/>
          <w:lang w:val="es-ES_tradnl"/>
        </w:rPr>
        <w:t>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2974BC5E" w14:textId="77777777"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7E6B2CEC" w14:textId="77777777"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A7133F">
        <w:rPr>
          <w:rFonts w:ascii="Arial" w:eastAsia="Calibri" w:hAnsi="Arial" w:cs="Arial"/>
          <w:color w:val="000000" w:themeColor="text1"/>
          <w:sz w:val="22"/>
          <w:szCs w:val="22"/>
          <w:lang w:val="es-ES_tradnl"/>
        </w:rPr>
        <w:t>mipymes</w:t>
      </w:r>
      <w:proofErr w:type="spellEnd"/>
      <w:r w:rsidRPr="00A7133F">
        <w:rPr>
          <w:rFonts w:ascii="Arial" w:eastAsia="Calibri" w:hAnsi="Arial" w:cs="Arial"/>
          <w:color w:val="000000" w:themeColor="text1"/>
          <w:sz w:val="22"/>
          <w:szCs w:val="22"/>
          <w:lang w:val="es-ES_tradnl"/>
        </w:rPr>
        <w:t xml:space="preserve"> en procedimientos de mínima cuantía, </w:t>
      </w:r>
      <w:r w:rsidRPr="00A7133F">
        <w:rPr>
          <w:rFonts w:ascii="Arial" w:eastAsia="Calibri" w:hAnsi="Arial" w:cs="Arial"/>
          <w:color w:val="000000" w:themeColor="text1"/>
          <w:sz w:val="22"/>
          <w:szCs w:val="22"/>
          <w:lang w:val="es-ES_tradnl"/>
        </w:rPr>
        <w:lastRenderedPageBreak/>
        <w:t xml:space="preserve">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0A76493" w14:textId="028D5567"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w:t>
      </w:r>
      <w:r w:rsidR="0018107C" w:rsidRPr="00A7133F">
        <w:rPr>
          <w:rFonts w:ascii="Arial" w:eastAsia="Calibri" w:hAnsi="Arial" w:cs="Arial"/>
          <w:color w:val="000000" w:themeColor="text1"/>
          <w:sz w:val="22"/>
          <w:szCs w:val="22"/>
          <w:lang w:val="es-ES_tradnl"/>
        </w:rPr>
        <w:t xml:space="preserve"> igual forma</w:t>
      </w:r>
      <w:r w:rsidRPr="00A7133F">
        <w:rPr>
          <w:rFonts w:ascii="Arial" w:eastAsia="Calibri" w:hAnsi="Arial" w:cs="Arial"/>
          <w:color w:val="000000" w:themeColor="text1"/>
          <w:sz w:val="22"/>
          <w:szCs w:val="22"/>
          <w:lang w:val="es-ES_tradnl"/>
        </w:rPr>
        <w:t>,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Lo mismo no sucede con el artículo 35. En efecto, </w:t>
      </w:r>
      <w:r w:rsidRPr="00A7133F">
        <w:rPr>
          <w:rFonts w:ascii="Arial" w:hAnsi="Arial" w:cs="Arial"/>
          <w:color w:val="000000" w:themeColor="text1"/>
          <w:sz w:val="22"/>
          <w:szCs w:val="22"/>
          <w:lang w:val="es-ES_tradnl"/>
        </w:rPr>
        <w:t>si bien los factores de desempate regulados en el artículo 35 deben aplicarse «</w:t>
      </w:r>
      <w:r w:rsidRPr="00A7133F">
        <w:rPr>
          <w:rFonts w:ascii="Arial" w:hAnsi="Arial" w:cs="Arial"/>
          <w:color w:val="000000" w:themeColor="text1"/>
          <w:lang w:val="es-ES_tradnl"/>
        </w:rPr>
        <w:t xml:space="preserve">[…] </w:t>
      </w:r>
      <w:r w:rsidRPr="00A7133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A7133F">
        <w:rPr>
          <w:rFonts w:ascii="Arial" w:eastAsia="Calibri" w:hAnsi="Arial" w:cs="Arial"/>
          <w:color w:val="000000" w:themeColor="text1"/>
          <w:sz w:val="22"/>
          <w:szCs w:val="22"/>
          <w:lang w:val="es-ES_tradnl"/>
        </w:rPr>
        <w:t xml:space="preserve">  </w:t>
      </w:r>
    </w:p>
    <w:p w14:paraId="4BC1F6BB" w14:textId="4EA51E06"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A7133F">
        <w:rPr>
          <w:rFonts w:ascii="Arial" w:eastAsia="Calibri" w:hAnsi="Arial" w:cs="Arial"/>
          <w:i/>
          <w:iCs/>
          <w:color w:val="000000" w:themeColor="text1"/>
          <w:sz w:val="22"/>
          <w:szCs w:val="22"/>
          <w:lang w:val="es-ES_tradnl"/>
        </w:rPr>
        <w:t>podrá reglamentar</w:t>
      </w:r>
      <w:r w:rsidRPr="00A7133F">
        <w:rPr>
          <w:rFonts w:ascii="Arial" w:eastAsia="Calibri" w:hAnsi="Arial" w:cs="Arial"/>
          <w:color w:val="000000" w:themeColor="text1"/>
          <w:sz w:val="22"/>
          <w:szCs w:val="22"/>
          <w:lang w:val="es-ES_tradnl"/>
        </w:rPr>
        <w:t xml:space="preserve"> la aplicación de factores de desempate en casos en que concurran dos o más de los factores aquí previstos» (</w:t>
      </w:r>
      <w:r w:rsidR="005010EC" w:rsidRPr="00A7133F">
        <w:rPr>
          <w:rFonts w:ascii="Arial" w:eastAsia="Calibri" w:hAnsi="Arial" w:cs="Arial"/>
          <w:color w:val="000000" w:themeColor="text1"/>
          <w:sz w:val="22"/>
          <w:szCs w:val="22"/>
          <w:lang w:val="es-ES_tradnl"/>
        </w:rPr>
        <w:t>é</w:t>
      </w:r>
      <w:r w:rsidRPr="00A7133F">
        <w:rPr>
          <w:rFonts w:ascii="Arial" w:eastAsia="Calibri" w:hAnsi="Arial" w:cs="Arial"/>
          <w:color w:val="000000" w:themeColor="text1"/>
          <w:sz w:val="22"/>
          <w:szCs w:val="22"/>
          <w:lang w:val="es-ES_tradnl"/>
        </w:rPr>
        <w:t>nfasis fuera de texto).</w:t>
      </w:r>
    </w:p>
    <w:p w14:paraId="6B2343D7" w14:textId="55FDE2A2" w:rsidR="00473A2E" w:rsidRPr="00A7133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A7133F">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w:t>
      </w:r>
      <w:r w:rsidRPr="00A7133F">
        <w:rPr>
          <w:rFonts w:ascii="Arial" w:eastAsia="Calibri" w:hAnsi="Arial" w:cs="Arial"/>
          <w:color w:val="000000" w:themeColor="text1"/>
          <w:sz w:val="22"/>
          <w:szCs w:val="22"/>
          <w:lang w:val="es-ES_tradnl"/>
        </w:rPr>
        <w:lastRenderedPageBreak/>
        <w:t>de desempate del artículo citado son exigibles desde la fecha de su promulgación, es decir, deben tenerse en cuenta en los procesos de selección que se inicien después del 31 de diciembre de 2020.</w:t>
      </w:r>
    </w:p>
    <w:p w14:paraId="6BB099B2" w14:textId="34EC4B41" w:rsidR="00820E59" w:rsidRPr="00A7133F" w:rsidRDefault="00820E59" w:rsidP="004D1C27">
      <w:pPr>
        <w:spacing w:line="276" w:lineRule="auto"/>
        <w:jc w:val="both"/>
        <w:rPr>
          <w:rFonts w:ascii="Arial" w:hAnsi="Arial" w:cs="Arial"/>
          <w:color w:val="000000" w:themeColor="text1"/>
          <w:sz w:val="22"/>
          <w:szCs w:val="22"/>
          <w:lang w:val="es-ES_tradnl"/>
        </w:rPr>
      </w:pPr>
    </w:p>
    <w:p w14:paraId="680FDEFE" w14:textId="1EC5E771" w:rsidR="00271CD3" w:rsidRPr="00A7133F" w:rsidRDefault="00271CD3" w:rsidP="004D1C27">
      <w:pPr>
        <w:spacing w:line="276" w:lineRule="auto"/>
        <w:jc w:val="both"/>
        <w:rPr>
          <w:rFonts w:ascii="Arial" w:hAnsi="Arial" w:cs="Arial"/>
          <w:b/>
          <w:bCs/>
          <w:color w:val="000000" w:themeColor="text1"/>
          <w:sz w:val="22"/>
          <w:szCs w:val="22"/>
          <w:lang w:val="es-ES_tradnl"/>
        </w:rPr>
      </w:pPr>
      <w:r w:rsidRPr="00A7133F">
        <w:rPr>
          <w:rFonts w:ascii="Arial" w:hAnsi="Arial" w:cs="Arial"/>
          <w:b/>
          <w:bCs/>
          <w:color w:val="000000" w:themeColor="text1"/>
          <w:sz w:val="22"/>
          <w:szCs w:val="22"/>
          <w:lang w:val="es-ES_tradnl"/>
        </w:rPr>
        <w:t xml:space="preserve">2.4. Análisis del factor de desempate </w:t>
      </w:r>
      <w:r w:rsidR="0097072C" w:rsidRPr="00A7133F">
        <w:rPr>
          <w:rFonts w:ascii="Arial" w:hAnsi="Arial" w:cs="Arial"/>
          <w:b/>
          <w:bCs/>
          <w:color w:val="000000" w:themeColor="text1"/>
          <w:sz w:val="22"/>
          <w:szCs w:val="22"/>
          <w:lang w:val="es-ES_tradnl"/>
        </w:rPr>
        <w:t xml:space="preserve">del artículo 35, numeral 4, de la Ley 2069 de 2020: </w:t>
      </w:r>
      <w:r w:rsidR="00E14A47" w:rsidRPr="00A7133F">
        <w:rPr>
          <w:rFonts w:ascii="Arial" w:hAnsi="Arial" w:cs="Arial"/>
          <w:b/>
          <w:bCs/>
          <w:color w:val="000000" w:themeColor="text1"/>
          <w:sz w:val="22"/>
          <w:szCs w:val="22"/>
          <w:lang w:val="es-ES_tradnl"/>
        </w:rPr>
        <w:t>vinculación de personas mayores</w:t>
      </w:r>
      <w:r w:rsidR="002612D5" w:rsidRPr="00A7133F">
        <w:rPr>
          <w:rFonts w:ascii="Arial" w:hAnsi="Arial" w:cs="Arial"/>
          <w:b/>
          <w:bCs/>
          <w:color w:val="000000" w:themeColor="text1"/>
          <w:sz w:val="22"/>
          <w:szCs w:val="22"/>
          <w:lang w:val="es-ES_tradnl"/>
        </w:rPr>
        <w:t xml:space="preserve"> no beneficiarias de pensión de vejez, familiar o de sobrevivencia</w:t>
      </w:r>
    </w:p>
    <w:p w14:paraId="7CD94905" w14:textId="77777777" w:rsidR="00E14A47" w:rsidRPr="00A7133F" w:rsidRDefault="00E14A47" w:rsidP="00E14A47">
      <w:pPr>
        <w:spacing w:line="276" w:lineRule="auto"/>
        <w:jc w:val="both"/>
        <w:rPr>
          <w:rFonts w:ascii="Arial" w:eastAsia="Calibri" w:hAnsi="Arial" w:cs="Arial"/>
          <w:color w:val="000000" w:themeColor="text1"/>
          <w:sz w:val="22"/>
          <w:lang w:val="es-ES_tradnl"/>
        </w:rPr>
      </w:pPr>
    </w:p>
    <w:p w14:paraId="09B0D843" w14:textId="388309D3" w:rsidR="00271CD3" w:rsidRPr="00A7133F" w:rsidRDefault="000916DD" w:rsidP="00E14A47">
      <w:pPr>
        <w:spacing w:line="276" w:lineRule="auto"/>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En relación con el</w:t>
      </w:r>
      <w:r w:rsidR="00271CD3" w:rsidRPr="00A7133F">
        <w:rPr>
          <w:rFonts w:ascii="Arial" w:eastAsia="Calibri" w:hAnsi="Arial" w:cs="Arial"/>
          <w:color w:val="000000" w:themeColor="text1"/>
          <w:sz w:val="22"/>
          <w:lang w:val="es-ES_tradnl"/>
        </w:rPr>
        <w:t xml:space="preserve"> numeral 4 del artículo 35 de la Ley 2069 de 2020</w:t>
      </w:r>
      <w:r w:rsidR="00271CD3" w:rsidRPr="00A7133F">
        <w:rPr>
          <w:rStyle w:val="Refdenotaalpie"/>
          <w:rFonts w:ascii="Arial" w:eastAsia="Calibri" w:hAnsi="Arial" w:cs="Arial"/>
          <w:color w:val="000000" w:themeColor="text1"/>
          <w:sz w:val="22"/>
          <w:lang w:val="es-ES_tradnl"/>
        </w:rPr>
        <w:footnoteReference w:id="11"/>
      </w:r>
      <w:r w:rsidR="00271CD3" w:rsidRPr="00A7133F">
        <w:rPr>
          <w:rFonts w:ascii="Arial" w:eastAsia="Calibri" w:hAnsi="Arial" w:cs="Arial"/>
          <w:color w:val="000000" w:themeColor="text1"/>
          <w:sz w:val="22"/>
          <w:lang w:val="es-ES_tradnl"/>
        </w:rPr>
        <w:t xml:space="preserve"> –que es aquel por el cual se indaga en la consulta–, </w:t>
      </w:r>
      <w:r w:rsidR="002612D5" w:rsidRPr="00A7133F">
        <w:rPr>
          <w:rFonts w:ascii="Arial" w:eastAsia="Calibri" w:hAnsi="Arial" w:cs="Arial"/>
          <w:color w:val="000000" w:themeColor="text1"/>
          <w:sz w:val="22"/>
          <w:lang w:val="es-ES_tradnl"/>
        </w:rPr>
        <w:t xml:space="preserve">esta Agencia, </w:t>
      </w:r>
      <w:r w:rsidR="00271CD3" w:rsidRPr="00A7133F">
        <w:rPr>
          <w:rFonts w:ascii="Arial" w:eastAsia="Calibri" w:hAnsi="Arial" w:cs="Arial"/>
          <w:color w:val="000000" w:themeColor="text1"/>
          <w:sz w:val="22"/>
          <w:lang w:val="es-ES_tradnl"/>
        </w:rPr>
        <w:t>en los conceptos</w:t>
      </w:r>
      <w:r w:rsidR="002612D5" w:rsidRPr="00A7133F">
        <w:rPr>
          <w:rFonts w:ascii="Arial" w:eastAsia="Calibri" w:hAnsi="Arial" w:cs="Arial"/>
          <w:color w:val="000000" w:themeColor="text1"/>
          <w:sz w:val="22"/>
          <w:lang w:val="es-ES_tradnl"/>
        </w:rPr>
        <w:t xml:space="preserve"> a los que se hizo referencia al inicio,</w:t>
      </w:r>
      <w:r w:rsidR="00271CD3" w:rsidRPr="00A7133F">
        <w:rPr>
          <w:rFonts w:ascii="Arial" w:eastAsia="Calibri" w:hAnsi="Arial" w:cs="Arial"/>
          <w:color w:val="000000" w:themeColor="text1"/>
          <w:sz w:val="22"/>
          <w:lang w:val="es-ES_tradnl"/>
        </w:rPr>
        <w:t xml:space="preserve"> ha indicado que</w:t>
      </w:r>
      <w:bookmarkStart w:id="2" w:name="_Hlk62459524"/>
      <w:r w:rsidR="00271CD3" w:rsidRPr="00A7133F">
        <w:rPr>
          <w:rFonts w:ascii="Arial" w:eastAsia="Calibri" w:hAnsi="Arial" w:cs="Arial"/>
          <w:color w:val="000000" w:themeColor="text1"/>
          <w:sz w:val="22"/>
          <w:lang w:val="es-ES_tradnl"/>
        </w:rPr>
        <w:t xml:space="preserve"> dicho numeral no establece un medio específico para acreditar las circunstancias a las que se refiere. Por lo tanto, al igual que sucede con los demás numerales,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2"/>
    <w:p w14:paraId="606534C4" w14:textId="77777777"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w:t>
      </w:r>
      <w:r w:rsidRPr="00A7133F">
        <w:rPr>
          <w:rFonts w:ascii="Arial" w:eastAsia="Calibri" w:hAnsi="Arial" w:cs="Arial"/>
          <w:color w:val="000000" w:themeColor="text1"/>
          <w:sz w:val="22"/>
          <w:lang w:val="es-ES_tradnl"/>
        </w:rPr>
        <w:lastRenderedPageBreak/>
        <w:t>mayores»– como «[…] aquella persona que cuenta con sesenta (60) años de edad o más», lo cual se puede acreditar con el documento de identidad correspondiente. En todo caso, sin perjuicio de lo que defina el reglamento, también existe la posibilidad de entender que esta causal aplica a todas las personas que –en el rango de edad correspondiente a cada género– no han alcanzado la pensión, interpretación que está mas ajustada al principio de favorabilidad.</w:t>
      </w:r>
    </w:p>
    <w:p w14:paraId="25A62669" w14:textId="77777777" w:rsidR="00271CD3" w:rsidRPr="00A7133F" w:rsidRDefault="00271CD3" w:rsidP="00271CD3">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p>
    <w:p w14:paraId="721C5080" w14:textId="77777777" w:rsidR="00271CD3" w:rsidRPr="00A7133F" w:rsidRDefault="00271CD3" w:rsidP="00271CD3">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p>
    <w:p w14:paraId="43492DD8" w14:textId="3F2C4A4E" w:rsidR="00271CD3" w:rsidRPr="00A7133F" w:rsidRDefault="00271CD3" w:rsidP="00271CD3">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 xml:space="preserve">Como lo indicó la Agencia en </w:t>
      </w:r>
      <w:r w:rsidR="00183494">
        <w:rPr>
          <w:rFonts w:ascii="Arial" w:hAnsi="Arial" w:cs="Arial"/>
          <w:color w:val="000000" w:themeColor="text1"/>
          <w:sz w:val="22"/>
          <w:lang w:val="es-ES_tradnl"/>
        </w:rPr>
        <w:t>los</w:t>
      </w:r>
      <w:r w:rsidRPr="00A7133F">
        <w:rPr>
          <w:rFonts w:ascii="Arial" w:hAnsi="Arial" w:cs="Arial"/>
          <w:color w:val="000000" w:themeColor="text1"/>
          <w:sz w:val="22"/>
          <w:lang w:val="es-ES_tradnl"/>
        </w:rPr>
        <w:t xml:space="preserve"> concepto</w:t>
      </w:r>
      <w:r w:rsidR="00183494">
        <w:rPr>
          <w:rFonts w:ascii="Arial" w:hAnsi="Arial" w:cs="Arial"/>
          <w:color w:val="000000" w:themeColor="text1"/>
          <w:sz w:val="22"/>
          <w:lang w:val="es-ES_tradnl"/>
        </w:rPr>
        <w:t>s</w:t>
      </w:r>
      <w:r w:rsidRPr="00A7133F">
        <w:rPr>
          <w:rFonts w:ascii="Arial" w:hAnsi="Arial" w:cs="Arial"/>
          <w:color w:val="000000" w:themeColor="text1"/>
          <w:sz w:val="22"/>
          <w:lang w:val="es-ES_tradnl"/>
        </w:rPr>
        <w:t xml:space="preserve"> </w:t>
      </w:r>
      <w:r w:rsidRPr="00A7133F">
        <w:rPr>
          <w:rFonts w:ascii="Arial" w:eastAsia="Calibri" w:hAnsi="Arial" w:cs="Arial"/>
          <w:color w:val="000000" w:themeColor="text1"/>
          <w:sz w:val="22"/>
          <w:lang w:val="es-ES_tradnl"/>
        </w:rPr>
        <w:t>C-206 del 03 de mayo de 2021</w:t>
      </w:r>
      <w:r w:rsidR="00183494">
        <w:rPr>
          <w:rFonts w:ascii="Arial" w:eastAsia="Calibri" w:hAnsi="Arial" w:cs="Arial"/>
          <w:color w:val="000000" w:themeColor="text1"/>
          <w:sz w:val="22"/>
          <w:lang w:val="es-ES_tradnl"/>
        </w:rPr>
        <w:t xml:space="preserve"> y </w:t>
      </w:r>
      <w:r w:rsidR="001F6C58">
        <w:rPr>
          <w:rFonts w:ascii="Arial" w:eastAsia="Calibri" w:hAnsi="Arial" w:cs="Arial"/>
          <w:color w:val="000000" w:themeColor="text1"/>
          <w:sz w:val="22"/>
          <w:lang w:val="es-ES_tradnl"/>
        </w:rPr>
        <w:t>C-487 del 3 de agosto de 2021</w:t>
      </w:r>
      <w:r w:rsidRPr="00A7133F">
        <w:rPr>
          <w:rFonts w:ascii="Arial" w:eastAsia="Calibri" w:hAnsi="Arial" w:cs="Arial"/>
          <w:color w:val="000000" w:themeColor="text1"/>
          <w:sz w:val="22"/>
          <w:lang w:val="es-ES_tradnl"/>
        </w:rPr>
        <w:t xml:space="preserve">, </w:t>
      </w:r>
      <w:r w:rsidRPr="00A7133F">
        <w:rPr>
          <w:rFonts w:ascii="Arial" w:hAnsi="Arial" w:cs="Arial"/>
          <w:color w:val="000000" w:themeColor="text1"/>
          <w:sz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A7133F">
        <w:rPr>
          <w:rFonts w:ascii="Arial" w:hAnsi="Arial" w:cs="Arial"/>
          <w:i/>
          <w:iCs/>
          <w:color w:val="000000" w:themeColor="text1"/>
          <w:sz w:val="22"/>
          <w:lang w:val="es-ES_tradnl"/>
        </w:rPr>
        <w:t>vinculación de capital humano</w:t>
      </w:r>
      <w:r w:rsidRPr="00A7133F">
        <w:rPr>
          <w:rFonts w:ascii="Arial" w:hAnsi="Arial" w:cs="Arial"/>
          <w:color w:val="000000" w:themeColor="text1"/>
          <w:sz w:val="22"/>
          <w:lang w:val="es-ES_tradnl"/>
        </w:rPr>
        <w:t xml:space="preserve">, el oferente deberá acreditar una antigüedad igual o mayor a un año. Para los casos de constitución inferior a un año </w:t>
      </w:r>
      <w:r w:rsidRPr="00A7133F">
        <w:rPr>
          <w:rFonts w:ascii="Arial" w:hAnsi="Arial" w:cs="Arial"/>
          <w:i/>
          <w:iCs/>
          <w:color w:val="000000" w:themeColor="text1"/>
          <w:sz w:val="22"/>
          <w:lang w:val="es-ES_tradnl"/>
        </w:rPr>
        <w:t>se tendrá en cuenta a aquellos trabajadores</w:t>
      </w:r>
      <w:r w:rsidRPr="00A7133F">
        <w:rPr>
          <w:rFonts w:ascii="Arial" w:hAnsi="Arial" w:cs="Arial"/>
          <w:color w:val="000000" w:themeColor="text1"/>
          <w:sz w:val="22"/>
          <w:lang w:val="es-ES_tradnl"/>
        </w:rPr>
        <w:t xml:space="preserve"> que hayan estado vinculados desde el momento de constitución de la misma» (Énfasis </w:t>
      </w:r>
      <w:r w:rsidRPr="00A7133F">
        <w:rPr>
          <w:rFonts w:ascii="Arial" w:hAnsi="Arial" w:cs="Arial"/>
          <w:color w:val="000000" w:themeColor="text1"/>
          <w:sz w:val="22"/>
          <w:lang w:val="es-ES_tradnl"/>
        </w:rPr>
        <w:lastRenderedPageBreak/>
        <w:t xml:space="preserve">fuera de texto). Como se observa, la norma se refiere a la vinculación de trabajadores, lo cual excluye la posibilidad de acreditar el factor de desempate con prestadores de servicios.  </w:t>
      </w:r>
    </w:p>
    <w:p w14:paraId="69708E4F" w14:textId="77777777" w:rsidR="00271CD3" w:rsidRPr="00A7133F" w:rsidRDefault="00271CD3" w:rsidP="00271CD3">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Esto aplica incluso en el evento en el cual se haya presentado la sustitución de empleadores.</w:t>
      </w:r>
    </w:p>
    <w:p w14:paraId="1E105A8C" w14:textId="77777777" w:rsidR="00271CD3" w:rsidRPr="00A7133F" w:rsidRDefault="00271CD3" w:rsidP="00271CD3">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La anterior figura se define en el artículo 67 del Código Sustantivo del Trabajo como «todo cambio de un empleador por otro, por cualquier causa, siempre que subsista la identidad del establecimiento, es decir, en cuanto éste no sufra variaciones esenciales en el giro de sus actividades o negocios».  Es decir que este fenómeno opera cuando lo que cambia es el empleador, pero el giro ordinario de la empresa se mantiene. En tal sentido, el artículo 68 del mismo Código señala que «La sola sustitución de empleadores no extingue, suspende ni modifica los contratos de trabajo existentes». Así lo indicó recientemente la Sala de Casación Laboral de la Corte Suprema de Justicia:</w:t>
      </w:r>
    </w:p>
    <w:p w14:paraId="746E6B46"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4B164208"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De acuerdo con este precepto, la sustitución de empleadores se configura cuando existe un cambio en la titularidad de la empresa, independientemente de cuál sea el negocio jurídico subyacente, y siempre que esta operación implique la continuidad de las actividades empresariales.</w:t>
      </w:r>
    </w:p>
    <w:p w14:paraId="2FF0126F"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28000AE3"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Por tanto, el cambio de titularidad de la empresa (sale un titular y entra otro respecto del mismo negocio), también conocido como sucesión de empresa (un empresario sucede a otro en la misma empresa) o transmisión de empresa (el titular anterior de la empresa la vende o traspasa a un nuevo titular) es un elemento ineludible para que la figura de marras se configure.</w:t>
      </w:r>
    </w:p>
    <w:p w14:paraId="24AE62C9"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511074F6"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 xml:space="preserve">Adicionalmente, este cambio de empleador supone que, en virtud de un acto, el empresario cedente transfiere al cesionario bienes susceptibles de explotación económica, con capacidad para ofrecer bienes o servicios al mercado. Dicho de otra forma, la sucesión de empresa supone el traspaso de un conjunto de medios organizados susceptibles de permitir la continuación de la actividad económica correspondiente. Por consiguiente, la mera transmisión de la actividad, sin que esté acompañada del traspaso de los medios de producción o de la organización empresarial, no configura una sustitución de empleadores. </w:t>
      </w:r>
    </w:p>
    <w:p w14:paraId="7F63E731"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36A93D3C"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 xml:space="preserve">Precisamente en este aspecto reside la diferencia entre la tercerización laboral y la sustitución de empleadores. En la primera, el empresario «hace un encargo a un tercero de determinadas partes u operaciones del proceso productivo» (CSJ SL467-2019), lo que usualmente se concreta a través de la figura de los contratistas y subcontratistas prevista en el artículo 34 del Código Sustantivo del Trabajo. Luego, en la tercerización laboral, hay una externalización de tareas o, si se quiere, un traspaso de actividades de una empresa a otra, pero sin </w:t>
      </w:r>
      <w:r w:rsidRPr="00A7133F">
        <w:rPr>
          <w:rFonts w:ascii="Arial" w:hAnsi="Arial" w:cs="Arial"/>
          <w:color w:val="000000" w:themeColor="text1"/>
          <w:sz w:val="21"/>
          <w:szCs w:val="21"/>
          <w:lang w:val="es-ES_tradnl"/>
        </w:rPr>
        <w:lastRenderedPageBreak/>
        <w:t xml:space="preserve">transferencia de la organización empresarial. Por ello, la empresa cesionaria puede reversar la actividad cedida o delegarla en otro contratista. </w:t>
      </w:r>
    </w:p>
    <w:p w14:paraId="159EF925"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0EC8CBD3"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En cambio, en la sustitución de empleadores, no solo hay una transmisión de actividad; también se trasfieren las estructuras y elementos organizativos suficientes para dar continuidad a la explotación de bienes y servicios ofrecidos al mercado. Por tanto, no hay sucesión de empresas si no opera este trasvase de los medios organizativos y productivos de una compañía a la otra, que le permitan seguir explotando el negocio cedido</w:t>
      </w:r>
      <w:r w:rsidRPr="00A7133F">
        <w:rPr>
          <w:rStyle w:val="Refdenotaalpie"/>
          <w:rFonts w:ascii="Arial" w:hAnsi="Arial" w:cs="Arial"/>
          <w:color w:val="000000" w:themeColor="text1"/>
          <w:sz w:val="21"/>
          <w:szCs w:val="21"/>
          <w:lang w:val="es-ES_tradnl"/>
        </w:rPr>
        <w:footnoteReference w:id="12"/>
      </w:r>
      <w:r w:rsidRPr="00A7133F">
        <w:rPr>
          <w:rFonts w:ascii="Arial" w:hAnsi="Arial" w:cs="Arial"/>
          <w:color w:val="000000" w:themeColor="text1"/>
          <w:sz w:val="21"/>
          <w:szCs w:val="21"/>
          <w:lang w:val="es-ES_tradnl"/>
        </w:rPr>
        <w:t>.</w:t>
      </w:r>
    </w:p>
    <w:p w14:paraId="484006CA" w14:textId="77777777" w:rsidR="00271CD3" w:rsidRPr="00A7133F" w:rsidRDefault="00271CD3" w:rsidP="00271CD3">
      <w:pPr>
        <w:spacing w:line="276" w:lineRule="auto"/>
        <w:ind w:firstLine="709"/>
        <w:jc w:val="both"/>
        <w:rPr>
          <w:rFonts w:ascii="Arial" w:hAnsi="Arial" w:cs="Arial"/>
          <w:color w:val="000000" w:themeColor="text1"/>
          <w:sz w:val="22"/>
          <w:lang w:val="es-ES_tradnl"/>
        </w:rPr>
      </w:pPr>
    </w:p>
    <w:p w14:paraId="5B514281" w14:textId="77777777" w:rsidR="00271CD3" w:rsidRPr="00A7133F" w:rsidRDefault="00271CD3" w:rsidP="00271CD3">
      <w:pPr>
        <w:spacing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 xml:space="preserve">Por lo tanto, sin perjuicio de que el decreto que expida el gobierno nacional para reglamentar el numeral 4 del artículo 35 de la Ley 2069 de 2020 disponga algo diferente, esta Subdirección en principio no advierte que la sustitución de empleadores sea óbice para que se siga computando el período de antigüedad exigido en el parágrafo segundo del mencionado artículo, pues el hecho de que opere tal sustitución no modifica por sí solo el contrato de trabajo, es decir, que se mantiene la misma relación laboral. Sin embargo, el oferente que pretenda beneficiarse con el factor de desempate previsto en el numeral 4 debe conservar el mismo giro ordinario del negocio que existía antes de la sustitución de empleadores, si quiere que se le tenga en cuenta la vinculación del trabajador previa a dicha sustitución. </w:t>
      </w:r>
    </w:p>
    <w:p w14:paraId="577147DF" w14:textId="77777777"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hAnsi="Arial" w:cs="Arial"/>
          <w:color w:val="000000" w:themeColor="text1"/>
          <w:sz w:val="22"/>
          <w:lang w:val="es-ES_tradnl"/>
        </w:rPr>
        <w:t xml:space="preserve">Ahora bien, </w:t>
      </w:r>
      <w:r w:rsidRPr="00A7133F">
        <w:rPr>
          <w:rFonts w:ascii="Arial" w:eastAsia="Calibri" w:hAnsi="Arial" w:cs="Arial"/>
          <w:color w:val="000000" w:themeColor="text1"/>
          <w:sz w:val="22"/>
          <w:lang w:val="es-ES_tradnl"/>
        </w:rPr>
        <w:t xml:space="preserve">el hecho de que el artículo 84 de la Ley 2069 de 2020 establezca que esta rige a partir de su promulgación –o sea, desde el 31 de diciembre de 2020–, no se opone a que el Congreso de la República haya previsto dentro de la misma Ley condiciones temporales para la eficacia de algunas de sus disposiciones. Así, por ejemplo, el parágrafo segundo del artículo 35 señala: «Para los criterios enunciados que involucren la vinculación de capital humano, el oferente deberá acreditar una antigüedad </w:t>
      </w:r>
      <w:r w:rsidRPr="00A7133F">
        <w:rPr>
          <w:rFonts w:ascii="Arial" w:eastAsia="Calibri" w:hAnsi="Arial" w:cs="Arial"/>
          <w:i/>
          <w:iCs/>
          <w:color w:val="000000" w:themeColor="text1"/>
          <w:sz w:val="22"/>
          <w:lang w:val="es-ES_tradnl"/>
        </w:rPr>
        <w:t>igual o mayor a un año</w:t>
      </w:r>
      <w:r w:rsidRPr="00A7133F">
        <w:rPr>
          <w:rFonts w:ascii="Arial" w:eastAsia="Calibri" w:hAnsi="Arial" w:cs="Arial"/>
          <w:color w:val="000000" w:themeColor="text1"/>
          <w:sz w:val="22"/>
          <w:lang w:val="es-ES_tradnl"/>
        </w:rPr>
        <w:t xml:space="preserve">. Para los casos de constitución inferior a un año se tendrá en cuenta a aquellos trabajadores que hayan estado vinculados </w:t>
      </w:r>
      <w:r w:rsidRPr="00A7133F">
        <w:rPr>
          <w:rFonts w:ascii="Arial" w:eastAsia="Calibri" w:hAnsi="Arial" w:cs="Arial"/>
          <w:i/>
          <w:iCs/>
          <w:color w:val="000000" w:themeColor="text1"/>
          <w:sz w:val="22"/>
          <w:lang w:val="es-ES_tradnl"/>
        </w:rPr>
        <w:t>desde el momento de constitución de la misma</w:t>
      </w:r>
      <w:r w:rsidRPr="00A7133F">
        <w:rPr>
          <w:rFonts w:ascii="Arial" w:eastAsia="Calibri" w:hAnsi="Arial" w:cs="Arial"/>
          <w:color w:val="000000" w:themeColor="text1"/>
          <w:sz w:val="22"/>
          <w:lang w:val="es-ES_tradnl"/>
        </w:rPr>
        <w:t xml:space="preserve">» (énfasis fuera de texto). </w:t>
      </w:r>
    </w:p>
    <w:p w14:paraId="2FDF1D44" w14:textId="77777777"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Es decir, si bien es cierto que los factores de desempate previstos en el artículo 35 de la Ley 2069 de 2020 deben aplicarse en los procedimientos de selección iniciados a partir de la promulgación de esta, también lo es que –al tenor del parágrafo segundo del mismo artículo–, cuando en dichos factores se exija la vinculación laboral de personas, el oferente debe acreditar que lo están, como mínimo, con un año de antigüedad, salvo que el proponente se haya constituido con una anterioridad menor al año, pues en este caso deberá acreditar que el capital humano está vinculado al menos desde el momento de la constitución. O sea que el período contenido en el parágrafo segundo, en sentido estricto, no se comienza a computar desde la promulgación de la Ley 2069 de 2020, sino que para </w:t>
      </w:r>
      <w:r w:rsidRPr="00A7133F">
        <w:rPr>
          <w:rFonts w:ascii="Arial" w:eastAsia="Calibri" w:hAnsi="Arial" w:cs="Arial"/>
          <w:color w:val="000000" w:themeColor="text1"/>
          <w:sz w:val="22"/>
          <w:lang w:val="es-ES_tradnl"/>
        </w:rPr>
        <w:lastRenderedPageBreak/>
        <w:t>el momento en el que la entidad estatal evalúe la viabilidad de aplicar los factores de desempate vigentes del artículo 35 de dicha Ley –que exijan la vinculación de capital humano–, debe analizar si se cumple con dicho término de vinculación.</w:t>
      </w:r>
    </w:p>
    <w:p w14:paraId="1D7278B8" w14:textId="77777777"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En conclusión, como el numeral 4 del artículo 35 de la Ley 2069 de 2020 no establece una tarifa legal, las entidades estatales gozan de discrecionalidad administrativa para establecer en el pliego de condiciones la forma como se puede acreditar este factor de desempate por parte de los oferentes, incluidos los proponentes plurales. En caso de que el pliego de condiciones guarde silencio al respecto, la libertad probatoria se traslada al proponente, quien podrá acreditar la circunstancia prevista en el referido numeral con los medios probatorios idóneos, quedándole a la entidad estatal la carga de valorarlos, para concluir si aquellos son pertinentes y conducentes. </w:t>
      </w:r>
    </w:p>
    <w:p w14:paraId="4B8DFB77" w14:textId="77777777"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 xml:space="preserve">Sin embargo, precisamente por no existir tarifa legal, y además teniendo en cuenta que la competencia consultiva de la Agencia Nacional de Contratación Pública –Colombia Compra Eficiente se circunscribe a la expedición de conceptos sobre la interpretación de normas con un alcance general, no le es dado a este órgano rector definir un listado de documentos específicos con los que se debe probar el factor de desempate contenido en el numeral 4 del artículo 35 de la Ley 2069 de 2020. El gobierno nacional, en ejercicio de la competencia conferida por el artículo 189 –numeral 11– de la Constitución, podría hacerlo en el reglamento que expida. Entretanto, las entidades estatales gozan de autonomía para valorar las pruebas aportadas por el oferente y para tomar una decisión que garantice los principios de legalidad y proporcionalidad. </w:t>
      </w:r>
    </w:p>
    <w:p w14:paraId="20F4EF28" w14:textId="22EACD08" w:rsidR="00271CD3" w:rsidRPr="00A7133F" w:rsidRDefault="00271CD3" w:rsidP="00271CD3">
      <w:pPr>
        <w:spacing w:before="120"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Ahora bien, tratándose de proponentes plurales,</w:t>
      </w:r>
      <w:r w:rsidR="00DF057C" w:rsidRPr="00A7133F">
        <w:rPr>
          <w:rFonts w:ascii="Arial" w:eastAsia="Calibri" w:hAnsi="Arial" w:cs="Arial"/>
          <w:color w:val="000000" w:themeColor="text1"/>
          <w:sz w:val="22"/>
          <w:lang w:val="es-ES_tradnl"/>
        </w:rPr>
        <w:t xml:space="preserve"> en ejercicio de la competencia conferida por el artículo 1</w:t>
      </w:r>
      <w:r w:rsidR="00393173" w:rsidRPr="00A7133F">
        <w:rPr>
          <w:rFonts w:ascii="Arial" w:eastAsia="Calibri" w:hAnsi="Arial" w:cs="Arial"/>
          <w:color w:val="000000" w:themeColor="text1"/>
          <w:sz w:val="22"/>
          <w:lang w:val="es-ES_tradnl"/>
        </w:rPr>
        <w:t xml:space="preserve"> de la Ley 2022 de 2020,</w:t>
      </w:r>
      <w:r w:rsidRPr="00A7133F">
        <w:rPr>
          <w:rFonts w:ascii="Arial" w:eastAsia="Calibri" w:hAnsi="Arial" w:cs="Arial"/>
          <w:color w:val="000000" w:themeColor="text1"/>
          <w:sz w:val="22"/>
          <w:lang w:val="es-ES_tradnl"/>
        </w:rPr>
        <w:t xml:space="preserve"> esta Agencia adoptó el siguiente criterio en el numeral 4.6 de los documentos tipo para licitación de obra pública de infraestructura de transporte –versión 3, con las modificaciones de la Resolución 161 de 2021–:</w:t>
      </w:r>
    </w:p>
    <w:p w14:paraId="6F878CB9"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3E2E8214"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 xml:space="preserve">En el caso de los proponentes plurales, su representante legal diligenciará el «Formato 10 C – Vinculación de personas mayores y no beneficiaria de pensión de vejez, familiar o sobrevivencia – (Empleador – proponente)», mediante el cual certifique el número de trabajadores vinculados que siendo personas mayores no beneficiarias de la pensión de vejez, familiar o de sobrevivencia y que cumplieron el requisito de edad de pensión establecido en la ley, </w:t>
      </w:r>
      <w:r w:rsidRPr="00A7133F">
        <w:rPr>
          <w:rFonts w:ascii="Arial" w:hAnsi="Arial" w:cs="Arial"/>
          <w:i/>
          <w:iCs/>
          <w:color w:val="000000" w:themeColor="text1"/>
          <w:sz w:val="21"/>
          <w:szCs w:val="21"/>
          <w:lang w:val="es-ES_tradnl"/>
        </w:rPr>
        <w:t>de todos los integrantes del consorcio o de la unión temporal. Las personas enunciadas anteriormente podrán estar vinculadas a cualquiera de sus integrantes</w:t>
      </w:r>
      <w:r w:rsidRPr="00A7133F">
        <w:rPr>
          <w:rFonts w:ascii="Arial" w:hAnsi="Arial" w:cs="Arial"/>
          <w:color w:val="000000" w:themeColor="text1"/>
          <w:sz w:val="21"/>
          <w:szCs w:val="21"/>
          <w:lang w:val="es-ES_tradnl"/>
        </w:rPr>
        <w:t>.</w:t>
      </w:r>
    </w:p>
    <w:p w14:paraId="19411043"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70198964"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 xml:space="preserve">En cualquiera de los dos supuestos anteriores, para el otorgamiento del criterio de desempate, cada uno de los trabajadores que cumpla las condiciones previstas por la ley diligenciará el «Formato 10 C – Vinculación de personas mayores y no beneficiaria de pensión de vejez, familiar o sobrevivencia (Trabajador)», mediante el cual certifica bajo la gravedad de juramento que no es beneficiario de pensión de vejez, familiar o sobrevivencia y cumple la edad </w:t>
      </w:r>
      <w:r w:rsidRPr="00A7133F">
        <w:rPr>
          <w:rFonts w:ascii="Arial" w:hAnsi="Arial" w:cs="Arial"/>
          <w:color w:val="000000" w:themeColor="text1"/>
          <w:sz w:val="21"/>
          <w:szCs w:val="21"/>
          <w:lang w:val="es-ES_tradnl"/>
        </w:rPr>
        <w:lastRenderedPageBreak/>
        <w:t>de pensión, además, se deberá allegar el documento de identificación del trabajador que lo firma.</w:t>
      </w:r>
    </w:p>
    <w:p w14:paraId="1EB8C43B" w14:textId="77777777" w:rsidR="00271CD3" w:rsidRPr="00A7133F" w:rsidRDefault="00271CD3" w:rsidP="00271CD3">
      <w:pPr>
        <w:ind w:left="709" w:right="709"/>
        <w:jc w:val="both"/>
        <w:rPr>
          <w:rFonts w:ascii="Arial" w:hAnsi="Arial" w:cs="Arial"/>
          <w:color w:val="000000" w:themeColor="text1"/>
          <w:sz w:val="21"/>
          <w:szCs w:val="21"/>
          <w:lang w:val="es-ES_tradnl"/>
        </w:rPr>
      </w:pPr>
    </w:p>
    <w:p w14:paraId="314CCB80" w14:textId="77777777" w:rsidR="00271CD3" w:rsidRPr="00A7133F" w:rsidRDefault="00271CD3" w:rsidP="00271CD3">
      <w:pPr>
        <w:ind w:left="709" w:right="709"/>
        <w:jc w:val="both"/>
        <w:rPr>
          <w:rFonts w:ascii="Arial" w:hAnsi="Arial" w:cs="Arial"/>
          <w:color w:val="000000" w:themeColor="text1"/>
          <w:sz w:val="21"/>
          <w:szCs w:val="21"/>
          <w:lang w:val="es-ES_tradnl"/>
        </w:rPr>
      </w:pPr>
      <w:r w:rsidRPr="00A7133F">
        <w:rPr>
          <w:rFonts w:ascii="Arial" w:hAnsi="Arial" w:cs="Arial"/>
          <w:color w:val="000000" w:themeColor="text1"/>
          <w:sz w:val="21"/>
          <w:szCs w:val="21"/>
          <w:lang w:val="es-ES_tradnl"/>
        </w:rPr>
        <w:t xml:space="preserve">La mayor proporción se definirá en relación con el número total de trabajadores vinculados en la planta de personal, por lo que se preferirá al oferente que acredite un porcentaje mayor. </w:t>
      </w:r>
      <w:r w:rsidRPr="00A7133F">
        <w:rPr>
          <w:rFonts w:ascii="Arial" w:hAnsi="Arial" w:cs="Arial"/>
          <w:i/>
          <w:iCs/>
          <w:color w:val="000000" w:themeColor="text1"/>
          <w:sz w:val="21"/>
          <w:szCs w:val="21"/>
          <w:lang w:val="es-ES_tradnl"/>
        </w:rPr>
        <w:t>En el caso de proponentes plurales, la mayor proporción se definirá con la sumatoria de trabajadores vinculados en la planta de personal de cada uno de sus integrantes</w:t>
      </w:r>
      <w:r w:rsidRPr="00A7133F">
        <w:rPr>
          <w:rStyle w:val="Refdenotaalpie"/>
          <w:rFonts w:ascii="Arial" w:hAnsi="Arial" w:cs="Arial"/>
          <w:color w:val="000000" w:themeColor="text1"/>
          <w:sz w:val="21"/>
          <w:szCs w:val="21"/>
          <w:lang w:val="es-ES_tradnl"/>
        </w:rPr>
        <w:footnoteReference w:id="13"/>
      </w:r>
      <w:r w:rsidRPr="00A7133F">
        <w:rPr>
          <w:rFonts w:ascii="Arial" w:hAnsi="Arial" w:cs="Arial"/>
          <w:i/>
          <w:iCs/>
          <w:color w:val="000000" w:themeColor="text1"/>
          <w:sz w:val="21"/>
          <w:szCs w:val="21"/>
          <w:lang w:val="es-ES_tradnl"/>
        </w:rPr>
        <w:t xml:space="preserve"> </w:t>
      </w:r>
      <w:r w:rsidRPr="00A7133F">
        <w:rPr>
          <w:rFonts w:ascii="Arial" w:hAnsi="Arial" w:cs="Arial"/>
          <w:color w:val="000000" w:themeColor="text1"/>
          <w:sz w:val="21"/>
          <w:szCs w:val="21"/>
          <w:lang w:val="es-ES_tradnl"/>
        </w:rPr>
        <w:t>(Énfasis fuera de texto).</w:t>
      </w:r>
    </w:p>
    <w:p w14:paraId="6A27AC96" w14:textId="77777777" w:rsidR="00271CD3" w:rsidRPr="00A7133F" w:rsidRDefault="00271CD3" w:rsidP="00271CD3">
      <w:pPr>
        <w:spacing w:line="276" w:lineRule="auto"/>
        <w:ind w:firstLine="709"/>
        <w:jc w:val="both"/>
        <w:rPr>
          <w:rFonts w:ascii="Arial" w:eastAsia="Calibri" w:hAnsi="Arial" w:cs="Arial"/>
          <w:color w:val="000000" w:themeColor="text1"/>
          <w:sz w:val="22"/>
          <w:lang w:val="es-ES_tradnl"/>
        </w:rPr>
      </w:pPr>
    </w:p>
    <w:p w14:paraId="0F14F473" w14:textId="3E7DF01D" w:rsidR="00271CD3" w:rsidRPr="00A7133F" w:rsidRDefault="00271CD3" w:rsidP="00271CD3">
      <w:pPr>
        <w:spacing w:line="276" w:lineRule="auto"/>
        <w:ind w:firstLine="709"/>
        <w:jc w:val="both"/>
        <w:rPr>
          <w:rFonts w:ascii="Arial" w:eastAsia="Calibri" w:hAnsi="Arial" w:cs="Arial"/>
          <w:color w:val="000000" w:themeColor="text1"/>
          <w:sz w:val="22"/>
          <w:lang w:val="es-ES_tradnl"/>
        </w:rPr>
      </w:pPr>
      <w:r w:rsidRPr="00A7133F">
        <w:rPr>
          <w:rFonts w:ascii="Arial" w:eastAsia="Calibri" w:hAnsi="Arial" w:cs="Arial"/>
          <w:color w:val="000000" w:themeColor="text1"/>
          <w:sz w:val="22"/>
          <w:lang w:val="es-ES_tradnl"/>
        </w:rPr>
        <w:t>Si bien los documentos tipo no rigen en todos los procedimientos de selección, la anterior es la interpretación de la Agencia sobre la forma de acreditar el factor de desempate del artículo 35, numeral 4, de la Ley 2069 de 2020, por parte de los proponentes plurales. En consecuencia, esta consideración le puede servir como guía ilustrativa. Sin embargo, se reitera que cada entidad estatal en el pliego de condiciones o equivalente –en aquellos casos en los cuales el procedimiento no se rige por los documentos tipo–, tiene discrecionalidad para definir la manera como deben acreditarse los factores de desempate sobre los cuales el ordenamiento jurídico no ha establecido un medio probatorio específico.</w:t>
      </w:r>
      <w:r w:rsidR="00EB1C52" w:rsidRPr="00A7133F">
        <w:rPr>
          <w:rFonts w:ascii="Arial" w:eastAsia="Calibri" w:hAnsi="Arial" w:cs="Arial"/>
          <w:color w:val="000000" w:themeColor="text1"/>
          <w:sz w:val="22"/>
          <w:lang w:val="es-ES_tradnl"/>
        </w:rPr>
        <w:t xml:space="preserve"> Esto sin perjuicio de que en el reglamento que expida el gobierno nacional se establezca</w:t>
      </w:r>
      <w:r w:rsidR="008A7EC4" w:rsidRPr="00A7133F">
        <w:rPr>
          <w:rFonts w:ascii="Arial" w:eastAsia="Calibri" w:hAnsi="Arial" w:cs="Arial"/>
          <w:color w:val="000000" w:themeColor="text1"/>
          <w:sz w:val="22"/>
          <w:lang w:val="es-ES_tradnl"/>
        </w:rPr>
        <w:t>n medios probatorios específicos</w:t>
      </w:r>
      <w:r w:rsidR="00260C7E" w:rsidRPr="00A7133F">
        <w:rPr>
          <w:rFonts w:ascii="Arial" w:eastAsia="Calibri" w:hAnsi="Arial" w:cs="Arial"/>
          <w:color w:val="000000" w:themeColor="text1"/>
          <w:sz w:val="22"/>
          <w:lang w:val="es-ES_tradnl"/>
        </w:rPr>
        <w:t xml:space="preserve"> –como</w:t>
      </w:r>
      <w:r w:rsidR="007D5A68" w:rsidRPr="00A7133F">
        <w:rPr>
          <w:rFonts w:ascii="Arial" w:eastAsia="Calibri" w:hAnsi="Arial" w:cs="Arial"/>
          <w:color w:val="000000" w:themeColor="text1"/>
          <w:sz w:val="22"/>
          <w:lang w:val="es-ES_tradnl"/>
        </w:rPr>
        <w:t>,</w:t>
      </w:r>
      <w:r w:rsidR="00260C7E" w:rsidRPr="00A7133F">
        <w:rPr>
          <w:rFonts w:ascii="Arial" w:eastAsia="Calibri" w:hAnsi="Arial" w:cs="Arial"/>
          <w:color w:val="000000" w:themeColor="text1"/>
          <w:sz w:val="22"/>
          <w:lang w:val="es-ES_tradnl"/>
        </w:rPr>
        <w:t xml:space="preserve"> en efecto</w:t>
      </w:r>
      <w:r w:rsidR="007D5A68" w:rsidRPr="00A7133F">
        <w:rPr>
          <w:rFonts w:ascii="Arial" w:eastAsia="Calibri" w:hAnsi="Arial" w:cs="Arial"/>
          <w:color w:val="000000" w:themeColor="text1"/>
          <w:sz w:val="22"/>
          <w:lang w:val="es-ES_tradnl"/>
        </w:rPr>
        <w:t>,</w:t>
      </w:r>
      <w:r w:rsidR="00260C7E" w:rsidRPr="00A7133F">
        <w:rPr>
          <w:rFonts w:ascii="Arial" w:eastAsia="Calibri" w:hAnsi="Arial" w:cs="Arial"/>
          <w:color w:val="000000" w:themeColor="text1"/>
          <w:sz w:val="22"/>
          <w:lang w:val="es-ES_tradnl"/>
        </w:rPr>
        <w:t xml:space="preserve"> lo hace el proyecto de decreto sobre la materia</w:t>
      </w:r>
      <w:r w:rsidR="00D841F9" w:rsidRPr="00A7133F">
        <w:rPr>
          <w:rStyle w:val="Refdenotaalpie"/>
          <w:rFonts w:ascii="Arial" w:eastAsia="Calibri" w:hAnsi="Arial" w:cs="Arial"/>
          <w:color w:val="000000" w:themeColor="text1"/>
          <w:sz w:val="22"/>
          <w:lang w:val="es-ES_tradnl"/>
        </w:rPr>
        <w:footnoteReference w:id="14"/>
      </w:r>
      <w:r w:rsidR="00260C7E" w:rsidRPr="00A7133F">
        <w:rPr>
          <w:rFonts w:ascii="Arial" w:eastAsia="Calibri" w:hAnsi="Arial" w:cs="Arial"/>
          <w:color w:val="000000" w:themeColor="text1"/>
          <w:sz w:val="22"/>
          <w:lang w:val="es-ES_tradnl"/>
        </w:rPr>
        <w:t>–</w:t>
      </w:r>
      <w:r w:rsidR="008A7EC4" w:rsidRPr="00A7133F">
        <w:rPr>
          <w:rFonts w:ascii="Arial" w:eastAsia="Calibri" w:hAnsi="Arial" w:cs="Arial"/>
          <w:color w:val="000000" w:themeColor="text1"/>
          <w:sz w:val="22"/>
          <w:lang w:val="es-ES_tradnl"/>
        </w:rPr>
        <w:t>, los cuales deberán respetarse por parte de las entidades contratantes y los particulares</w:t>
      </w:r>
      <w:r w:rsidR="002905EF" w:rsidRPr="00A7133F">
        <w:rPr>
          <w:rFonts w:ascii="Arial" w:eastAsia="Calibri" w:hAnsi="Arial" w:cs="Arial"/>
          <w:color w:val="000000" w:themeColor="text1"/>
          <w:sz w:val="22"/>
          <w:lang w:val="es-ES_tradnl"/>
        </w:rPr>
        <w:t>,</w:t>
      </w:r>
      <w:r w:rsidR="007D5A68" w:rsidRPr="00A7133F">
        <w:rPr>
          <w:rFonts w:ascii="Arial" w:eastAsia="Calibri" w:hAnsi="Arial" w:cs="Arial"/>
          <w:color w:val="000000" w:themeColor="text1"/>
          <w:sz w:val="22"/>
          <w:lang w:val="es-ES_tradnl"/>
        </w:rPr>
        <w:t xml:space="preserve"> una vez entre en vigencia</w:t>
      </w:r>
      <w:r w:rsidR="00307ED9" w:rsidRPr="00A7133F">
        <w:rPr>
          <w:rFonts w:ascii="Arial" w:eastAsia="Calibri" w:hAnsi="Arial" w:cs="Arial"/>
          <w:color w:val="000000" w:themeColor="text1"/>
          <w:sz w:val="22"/>
          <w:lang w:val="es-ES_tradnl"/>
        </w:rPr>
        <w:t xml:space="preserve"> dicho cuerpo normativo</w:t>
      </w:r>
      <w:r w:rsidR="008A7EC4" w:rsidRPr="00A7133F">
        <w:rPr>
          <w:rFonts w:ascii="Arial" w:eastAsia="Calibri" w:hAnsi="Arial" w:cs="Arial"/>
          <w:color w:val="000000" w:themeColor="text1"/>
          <w:sz w:val="22"/>
          <w:lang w:val="es-ES_tradnl"/>
        </w:rPr>
        <w:t>.</w:t>
      </w:r>
    </w:p>
    <w:p w14:paraId="6B6E326B" w14:textId="20939CDC" w:rsidR="009407A9" w:rsidRPr="00356CD9" w:rsidRDefault="009407A9" w:rsidP="009407A9">
      <w:pPr>
        <w:spacing w:line="276" w:lineRule="auto"/>
        <w:jc w:val="both"/>
        <w:rPr>
          <w:rFonts w:ascii="Arial" w:hAnsi="Arial" w:cs="Arial"/>
          <w:b/>
          <w:bCs/>
          <w:color w:val="000000" w:themeColor="text1"/>
          <w:sz w:val="22"/>
          <w:szCs w:val="22"/>
          <w:lang w:val="es-ES_tradnl"/>
        </w:rPr>
      </w:pPr>
      <w:r w:rsidRPr="002E4857">
        <w:rPr>
          <w:rFonts w:ascii="Arial" w:eastAsia="Calibri" w:hAnsi="Arial" w:cs="Arial"/>
          <w:b/>
          <w:bCs/>
          <w:color w:val="000000" w:themeColor="text1"/>
          <w:sz w:val="22"/>
          <w:szCs w:val="22"/>
          <w:lang w:val="es-ES_tradnl"/>
        </w:rPr>
        <w:lastRenderedPageBreak/>
        <w:t xml:space="preserve">2.5. </w:t>
      </w:r>
      <w:r>
        <w:rPr>
          <w:rFonts w:ascii="Arial" w:eastAsia="Calibri" w:hAnsi="Arial" w:cs="Arial"/>
          <w:b/>
          <w:bCs/>
          <w:color w:val="000000" w:themeColor="text1"/>
          <w:sz w:val="22"/>
          <w:szCs w:val="22"/>
          <w:lang w:val="es-ES_tradnl"/>
        </w:rPr>
        <w:t>Pérdida de v</w:t>
      </w:r>
      <w:r w:rsidRPr="002E4857">
        <w:rPr>
          <w:rFonts w:ascii="Arial" w:eastAsia="Calibri" w:hAnsi="Arial" w:cs="Arial"/>
          <w:b/>
          <w:bCs/>
          <w:color w:val="000000" w:themeColor="text1"/>
          <w:sz w:val="22"/>
          <w:szCs w:val="22"/>
          <w:lang w:val="es-ES_tradnl"/>
        </w:rPr>
        <w:t>igencia del parágrafo 4 del artículo 12 de la Ley 1150 de 2007</w:t>
      </w:r>
      <w:r w:rsidR="00070E05">
        <w:rPr>
          <w:rFonts w:ascii="Arial" w:eastAsia="Calibri" w:hAnsi="Arial" w:cs="Arial"/>
          <w:b/>
          <w:bCs/>
          <w:color w:val="000000" w:themeColor="text1"/>
          <w:sz w:val="22"/>
          <w:szCs w:val="22"/>
          <w:lang w:val="es-ES_tradnl"/>
        </w:rPr>
        <w:t>, adicionado por el artículo 3 de la Ley 2040 de 2020,</w:t>
      </w:r>
      <w:r>
        <w:rPr>
          <w:rFonts w:ascii="Arial" w:eastAsia="Calibri" w:hAnsi="Arial" w:cs="Arial"/>
          <w:b/>
          <w:bCs/>
          <w:color w:val="000000" w:themeColor="text1"/>
          <w:sz w:val="22"/>
          <w:szCs w:val="22"/>
          <w:lang w:val="es-ES_tradnl"/>
        </w:rPr>
        <w:t xml:space="preserve"> y aplicación del factor de desempate previsto en el numeral 4 del artículo 35 de la Ley 2069 de 2020</w:t>
      </w:r>
    </w:p>
    <w:p w14:paraId="7D911074" w14:textId="77777777" w:rsidR="009407A9" w:rsidRDefault="009407A9" w:rsidP="009407A9">
      <w:pPr>
        <w:spacing w:line="276" w:lineRule="auto"/>
        <w:jc w:val="both"/>
        <w:rPr>
          <w:rFonts w:ascii="Arial" w:hAnsi="Arial" w:cs="Arial"/>
          <w:color w:val="000000" w:themeColor="text1"/>
          <w:sz w:val="22"/>
          <w:szCs w:val="22"/>
          <w:lang w:val="es-ES_tradnl"/>
        </w:rPr>
      </w:pPr>
    </w:p>
    <w:p w14:paraId="41312D66" w14:textId="23B300EE" w:rsidR="009407A9" w:rsidRPr="00521681" w:rsidRDefault="0092097B" w:rsidP="009407A9">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Así mismo</w:t>
      </w:r>
      <w:r w:rsidR="009407A9">
        <w:rPr>
          <w:rFonts w:ascii="Arial" w:eastAsia="Calibri" w:hAnsi="Arial" w:cs="Arial"/>
          <w:color w:val="000000" w:themeColor="text1"/>
          <w:sz w:val="22"/>
          <w:szCs w:val="22"/>
          <w:lang w:val="es-ES_tradnl"/>
        </w:rPr>
        <w:t>, conviene señalar que e</w:t>
      </w:r>
      <w:r w:rsidR="009407A9" w:rsidRPr="00521681">
        <w:rPr>
          <w:rFonts w:ascii="Arial" w:eastAsia="Calibri" w:hAnsi="Arial" w:cs="Arial"/>
          <w:color w:val="000000" w:themeColor="text1"/>
          <w:sz w:val="22"/>
          <w:szCs w:val="22"/>
          <w:lang w:val="es-ES_tradnl"/>
        </w:rPr>
        <w:t xml:space="preserve">l artículo 34 de la Ley 2069 de 2020 </w:t>
      </w:r>
      <w:r w:rsidR="009407A9">
        <w:rPr>
          <w:rFonts w:ascii="Arial" w:eastAsia="Calibri" w:hAnsi="Arial" w:cs="Arial"/>
          <w:color w:val="000000" w:themeColor="text1"/>
          <w:sz w:val="22"/>
          <w:szCs w:val="22"/>
          <w:lang w:val="es-ES_tradnl"/>
        </w:rPr>
        <w:t>dispone</w:t>
      </w:r>
      <w:r w:rsidR="009407A9" w:rsidRPr="00521681">
        <w:rPr>
          <w:rFonts w:ascii="Arial" w:eastAsia="Calibri" w:hAnsi="Arial" w:cs="Arial"/>
          <w:color w:val="000000" w:themeColor="text1"/>
          <w:sz w:val="22"/>
          <w:szCs w:val="22"/>
          <w:lang w:val="es-ES_tradnl"/>
        </w:rPr>
        <w:t xml:space="preserve"> nuevas reglas sobre la promoción al desarrollo en la contratación estatal. Concretamente, modifica el contenido del artículo 12 de la Ley 1150 de 2007</w:t>
      </w:r>
      <w:r w:rsidR="009407A9" w:rsidRPr="00521681">
        <w:rPr>
          <w:rStyle w:val="Refdenotaalpie"/>
          <w:rFonts w:ascii="Arial" w:eastAsia="Calibri" w:hAnsi="Arial" w:cs="Arial"/>
          <w:color w:val="000000" w:themeColor="text1"/>
          <w:sz w:val="22"/>
          <w:szCs w:val="22"/>
          <w:lang w:val="es-ES_tradnl"/>
        </w:rPr>
        <w:footnoteReference w:id="15"/>
      </w:r>
      <w:r w:rsidR="009407A9" w:rsidRPr="00521681">
        <w:rPr>
          <w:rFonts w:ascii="Arial" w:eastAsia="Calibri" w:hAnsi="Arial" w:cs="Arial"/>
          <w:color w:val="000000" w:themeColor="text1"/>
          <w:sz w:val="22"/>
          <w:szCs w:val="22"/>
          <w:lang w:val="es-ES_tradnl"/>
        </w:rPr>
        <w:t xml:space="preserve">, </w:t>
      </w:r>
      <w:r w:rsidR="009407A9">
        <w:rPr>
          <w:rFonts w:ascii="Arial" w:eastAsia="Calibri" w:hAnsi="Arial" w:cs="Arial"/>
          <w:color w:val="000000" w:themeColor="text1"/>
          <w:sz w:val="22"/>
          <w:szCs w:val="22"/>
          <w:lang w:val="es-ES_tradnl"/>
        </w:rPr>
        <w:t>regulación que se resume en los siguientes aspectos</w:t>
      </w:r>
      <w:r w:rsidR="009407A9" w:rsidRPr="00521681">
        <w:rPr>
          <w:rFonts w:ascii="Arial" w:eastAsia="Calibri" w:hAnsi="Arial" w:cs="Arial"/>
          <w:color w:val="000000" w:themeColor="text1"/>
          <w:sz w:val="22"/>
          <w:szCs w:val="22"/>
          <w:lang w:val="es-ES_tradnl"/>
        </w:rPr>
        <w:t>:</w:t>
      </w:r>
    </w:p>
    <w:p w14:paraId="16A77441"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en los procesos de contratación. </w:t>
      </w:r>
      <w:r>
        <w:rPr>
          <w:rFonts w:ascii="Arial" w:eastAsia="Calibri" w:hAnsi="Arial" w:cs="Arial"/>
          <w:color w:val="000000" w:themeColor="text1"/>
          <w:sz w:val="22"/>
          <w:szCs w:val="22"/>
          <w:lang w:val="es-ES_tradnl"/>
        </w:rPr>
        <w:t>Además,</w:t>
      </w:r>
      <w:r w:rsidRPr="00521681">
        <w:rPr>
          <w:rFonts w:ascii="Arial" w:eastAsia="Calibri" w:hAnsi="Arial" w:cs="Arial"/>
          <w:color w:val="000000" w:themeColor="text1"/>
          <w:sz w:val="22"/>
          <w:szCs w:val="22"/>
          <w:lang w:val="es-ES_tradnl"/>
        </w:rPr>
        <w:t xml:space="preserve"> agrega que estas convocatorias se pueden realizar también en el ámbito municipal o departamental en el que se ejecute el contrato. </w:t>
      </w:r>
    </w:p>
    <w:p w14:paraId="31239F0E"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ii) Indica que dichas convocatorias se deben efectuar –y así lo deberá reglamentar el gobierno nacional– siempre y cuando, antes del acto administrativo de apertura del proceso de selección, por lo menos dos (2)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hayan manifestado su interés.</w:t>
      </w:r>
    </w:p>
    <w:p w14:paraId="3E99B3D4"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9949A64"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iv) Establece que, en el reglamento, el gobierno nacional podría establecer condiciones preferenciales para los bienes y servicios producidos por las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sin </w:t>
      </w:r>
      <w:r>
        <w:rPr>
          <w:rFonts w:ascii="Arial" w:eastAsia="Calibri" w:hAnsi="Arial" w:cs="Arial"/>
          <w:color w:val="000000" w:themeColor="text1"/>
          <w:sz w:val="22"/>
          <w:szCs w:val="22"/>
          <w:lang w:val="es-ES_tradnl"/>
        </w:rPr>
        <w:t>perjuicio de</w:t>
      </w:r>
      <w:r w:rsidRPr="00521681">
        <w:rPr>
          <w:rFonts w:ascii="Arial" w:eastAsia="Calibri" w:hAnsi="Arial" w:cs="Arial"/>
          <w:color w:val="000000" w:themeColor="text1"/>
          <w:sz w:val="22"/>
          <w:szCs w:val="22"/>
          <w:lang w:val="es-ES_tradnl"/>
        </w:rPr>
        <w:t xml:space="preserve"> los compromisos internacionales vigentes.</w:t>
      </w:r>
    </w:p>
    <w:p w14:paraId="44F3C804"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  Aclara que tanto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574D2B8D"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68CA1DB"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1C2A1C09" w14:textId="77777777" w:rsidR="009407A9" w:rsidRPr="005216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viii) Hace obligatorio el cumplimiento de lo dispuesto en los artículos 90 a 95 de la Ley 418 de 1997 –normas que establecen la obligación de declarar la caducidad y la </w:t>
      </w:r>
      <w:r w:rsidRPr="00521681">
        <w:rPr>
          <w:rFonts w:ascii="Arial" w:eastAsia="Calibri" w:hAnsi="Arial" w:cs="Arial"/>
          <w:color w:val="000000" w:themeColor="text1"/>
          <w:sz w:val="22"/>
          <w:szCs w:val="22"/>
          <w:lang w:val="es-ES_tradnl"/>
        </w:rPr>
        <w:lastRenderedPageBreak/>
        <w:t>liquidación unilateral cuando el contratista beneficie grupos armados organizados al margen de la ley– en la ejecución de los contratos celebrados en virtud del artículo 34 de la Ley 2069 de 2020.</w:t>
      </w:r>
    </w:p>
    <w:p w14:paraId="16825811" w14:textId="77777777" w:rsidR="009407A9" w:rsidRPr="006972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w:t>
      </w:r>
      <w:r>
        <w:rPr>
          <w:rFonts w:ascii="Arial" w:eastAsia="Calibri" w:hAnsi="Arial" w:cs="Arial"/>
          <w:color w:val="000000" w:themeColor="text1"/>
          <w:sz w:val="22"/>
          <w:szCs w:val="22"/>
          <w:lang w:val="es-ES_tradnl"/>
        </w:rPr>
        <w:t>explica</w:t>
      </w:r>
      <w:r w:rsidRPr="00697281">
        <w:rPr>
          <w:rFonts w:ascii="Arial" w:eastAsia="Calibri" w:hAnsi="Arial" w:cs="Arial"/>
          <w:color w:val="000000" w:themeColor="text1"/>
          <w:sz w:val="22"/>
          <w:szCs w:val="22"/>
          <w:lang w:val="es-ES_tradnl"/>
        </w:rPr>
        <w:t xml:space="preserve"> la Corte Constitucional en los siguientes términos: </w:t>
      </w:r>
    </w:p>
    <w:p w14:paraId="21795301" w14:textId="77777777" w:rsidR="009407A9" w:rsidRPr="00697281" w:rsidRDefault="009407A9" w:rsidP="009407A9">
      <w:pPr>
        <w:spacing w:line="276" w:lineRule="auto"/>
        <w:ind w:left="709" w:right="709"/>
        <w:jc w:val="both"/>
        <w:rPr>
          <w:rFonts w:ascii="Arial" w:eastAsia="Calibri" w:hAnsi="Arial" w:cs="Arial"/>
          <w:color w:val="000000" w:themeColor="text1"/>
          <w:sz w:val="21"/>
          <w:szCs w:val="21"/>
          <w:lang w:val="es-ES_tradnl"/>
        </w:rPr>
      </w:pPr>
    </w:p>
    <w:p w14:paraId="46720423" w14:textId="77777777" w:rsidR="009407A9" w:rsidRPr="00697281" w:rsidRDefault="009407A9" w:rsidP="009407A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697281">
        <w:rPr>
          <w:rStyle w:val="Refdenotaalpie"/>
          <w:rFonts w:ascii="Arial" w:eastAsia="Calibri" w:hAnsi="Arial" w:cs="Arial"/>
          <w:color w:val="000000" w:themeColor="text1"/>
          <w:sz w:val="21"/>
          <w:szCs w:val="21"/>
          <w:lang w:val="es-ES_tradnl"/>
        </w:rPr>
        <w:footnoteReference w:id="16"/>
      </w:r>
      <w:r w:rsidRPr="00697281">
        <w:rPr>
          <w:rFonts w:ascii="Arial" w:eastAsia="Calibri" w:hAnsi="Arial" w:cs="Arial"/>
          <w:color w:val="000000" w:themeColor="text1"/>
          <w:sz w:val="21"/>
          <w:szCs w:val="21"/>
          <w:lang w:val="es-ES_tradnl"/>
        </w:rPr>
        <w:t>.</w:t>
      </w:r>
    </w:p>
    <w:p w14:paraId="1F158417" w14:textId="77777777" w:rsidR="009407A9" w:rsidRPr="00697281" w:rsidRDefault="009407A9" w:rsidP="009407A9">
      <w:pPr>
        <w:spacing w:line="276" w:lineRule="auto"/>
        <w:ind w:firstLine="709"/>
        <w:jc w:val="both"/>
        <w:rPr>
          <w:rFonts w:ascii="Arial" w:eastAsia="Calibri" w:hAnsi="Arial" w:cs="Arial"/>
          <w:color w:val="000000" w:themeColor="text1"/>
          <w:sz w:val="22"/>
          <w:szCs w:val="22"/>
          <w:lang w:val="es-ES_tradnl"/>
        </w:rPr>
      </w:pPr>
    </w:p>
    <w:p w14:paraId="177923E0" w14:textId="77777777" w:rsidR="009407A9" w:rsidRPr="00697281" w:rsidRDefault="009407A9" w:rsidP="009407A9">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D6200B9" w14:textId="77777777" w:rsidR="009407A9" w:rsidRPr="00697281"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El artículo 12 de la Ley 1150 de 2007 fue subrogado por el artículo 34 de la Ley 2069 de 2020, porque este contiene una regulación diferente de la promoción del desarrollo en la contratación estatal. Además, en el primer inciso del artículo 34 de la Ley 2069 de 2020 </w:t>
      </w:r>
      <w:r>
        <w:rPr>
          <w:rFonts w:ascii="Arial" w:eastAsia="Calibri" w:hAnsi="Arial" w:cs="Arial"/>
          <w:color w:val="000000" w:themeColor="text1"/>
          <w:sz w:val="22"/>
          <w:szCs w:val="22"/>
          <w:lang w:val="es-ES_tradnl"/>
        </w:rPr>
        <w:t>dispone</w:t>
      </w:r>
      <w:r w:rsidRPr="00697281">
        <w:rPr>
          <w:rFonts w:ascii="Arial" w:eastAsia="Calibri" w:hAnsi="Arial" w:cs="Arial"/>
          <w:color w:val="000000" w:themeColor="text1"/>
          <w:sz w:val="22"/>
          <w:szCs w:val="22"/>
          <w:lang w:val="es-ES_tradnl"/>
        </w:rPr>
        <w:t xml:space="preserv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53C28376" w14:textId="77777777" w:rsidR="009407A9" w:rsidRPr="00697281" w:rsidRDefault="009407A9" w:rsidP="009407A9">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Así las cosas</w:t>
      </w:r>
      <w:r w:rsidRPr="00697281">
        <w:rPr>
          <w:rFonts w:ascii="Arial" w:eastAsia="Calibri" w:hAnsi="Arial" w:cs="Arial"/>
          <w:color w:val="000000" w:themeColor="text1"/>
          <w:sz w:val="22"/>
          <w:szCs w:val="22"/>
          <w:lang w:val="es-ES_tradnl"/>
        </w:rPr>
        <w:t xml:space="preserve">,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683A1FEE" w14:textId="77777777" w:rsidR="009407A9" w:rsidRPr="00697281" w:rsidRDefault="009407A9" w:rsidP="009407A9">
      <w:pPr>
        <w:ind w:left="709" w:right="709"/>
        <w:jc w:val="both"/>
        <w:rPr>
          <w:rFonts w:ascii="Arial" w:eastAsia="Calibri" w:hAnsi="Arial" w:cs="Arial"/>
          <w:color w:val="000000" w:themeColor="text1"/>
          <w:sz w:val="21"/>
          <w:szCs w:val="21"/>
          <w:lang w:val="es-ES_tradnl"/>
        </w:rPr>
      </w:pPr>
    </w:p>
    <w:p w14:paraId="18E7D40A" w14:textId="77777777" w:rsidR="009407A9" w:rsidRPr="00697281" w:rsidRDefault="009407A9" w:rsidP="009407A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lastRenderedPageBreak/>
        <w:t>Adiciónese un parágrafo al artículo 12 de la Ley 1150 de 2007:</w:t>
      </w:r>
    </w:p>
    <w:p w14:paraId="10BE50AA" w14:textId="77777777" w:rsidR="009407A9" w:rsidRPr="00697281" w:rsidRDefault="009407A9" w:rsidP="009407A9">
      <w:pPr>
        <w:ind w:right="709"/>
        <w:jc w:val="both"/>
        <w:rPr>
          <w:rFonts w:ascii="Arial" w:eastAsia="Calibri" w:hAnsi="Arial" w:cs="Arial"/>
          <w:color w:val="000000" w:themeColor="text1"/>
          <w:sz w:val="21"/>
          <w:szCs w:val="21"/>
          <w:lang w:val="es-ES_tradnl"/>
        </w:rPr>
      </w:pPr>
    </w:p>
    <w:p w14:paraId="702932BE" w14:textId="77777777" w:rsidR="009407A9" w:rsidRPr="00697281" w:rsidRDefault="009407A9" w:rsidP="009407A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778C8A92" w14:textId="77777777" w:rsidR="009407A9" w:rsidRPr="00697281" w:rsidRDefault="009407A9" w:rsidP="009407A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65AD0470" w14:textId="77777777" w:rsidR="009407A9" w:rsidRPr="00697281" w:rsidRDefault="009407A9" w:rsidP="009407A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39903134" w14:textId="77777777" w:rsidR="009407A9" w:rsidRPr="00697281" w:rsidRDefault="009407A9" w:rsidP="009407A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6BBC5CAC" w14:textId="77777777" w:rsidR="009407A9" w:rsidRPr="00697281" w:rsidRDefault="009407A9" w:rsidP="009407A9">
      <w:pPr>
        <w:spacing w:line="276" w:lineRule="auto"/>
        <w:ind w:firstLine="709"/>
        <w:jc w:val="both"/>
        <w:rPr>
          <w:rFonts w:ascii="Arial" w:eastAsia="Calibri" w:hAnsi="Arial" w:cs="Arial"/>
          <w:color w:val="000000" w:themeColor="text1"/>
          <w:sz w:val="22"/>
          <w:szCs w:val="22"/>
          <w:lang w:val="es-ES_tradnl"/>
        </w:rPr>
      </w:pPr>
    </w:p>
    <w:p w14:paraId="343C28F2" w14:textId="77777777" w:rsidR="009407A9" w:rsidRPr="00697281" w:rsidRDefault="009407A9" w:rsidP="009407A9">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El anterior texto, que según se indicó, había quedado agregado al artículo 12 de la Ley 1150 de 2007 como parágrafo 4, también se ve afectado por el efecto de la subrogación producida por el artículo 34 de la Ley 2069 de 2020, porque en este artículo no se dice que se mantiene vigente el parágrafo</w:t>
      </w:r>
      <w:r>
        <w:rPr>
          <w:rFonts w:ascii="Arial" w:eastAsia="Calibri" w:hAnsi="Arial" w:cs="Arial"/>
          <w:color w:val="000000" w:themeColor="text1"/>
          <w:sz w:val="22"/>
          <w:szCs w:val="22"/>
          <w:lang w:val="es-ES_tradnl"/>
        </w:rPr>
        <w:t xml:space="preserve"> citado</w:t>
      </w:r>
      <w:r w:rsidRPr="0069728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En otras palabras</w:t>
      </w:r>
      <w:r w:rsidRPr="00697281">
        <w:rPr>
          <w:rFonts w:ascii="Arial" w:eastAsia="Calibri" w:hAnsi="Arial" w:cs="Arial"/>
          <w:color w:val="000000" w:themeColor="text1"/>
          <w:sz w:val="22"/>
          <w:szCs w:val="22"/>
          <w:lang w:val="es-ES_tradnl"/>
        </w:rPr>
        <w:t>,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02FBAC80" w14:textId="07FD75BE" w:rsidR="009407A9" w:rsidRDefault="009407A9" w:rsidP="009407A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w:t>
      </w:r>
      <w:r w:rsidR="00DA3710">
        <w:rPr>
          <w:rFonts w:ascii="Arial" w:eastAsia="Calibri" w:hAnsi="Arial" w:cs="Arial"/>
          <w:color w:val="000000" w:themeColor="text1"/>
          <w:sz w:val="22"/>
          <w:szCs w:val="22"/>
          <w:lang w:val="es-ES_tradnl"/>
        </w:rPr>
        <w:t>Concretamente</w:t>
      </w:r>
      <w:r w:rsidRPr="00697281">
        <w:rPr>
          <w:rFonts w:ascii="Arial" w:eastAsia="Calibri" w:hAnsi="Arial" w:cs="Arial"/>
          <w:color w:val="000000" w:themeColor="text1"/>
          <w:sz w:val="22"/>
          <w:szCs w:val="22"/>
          <w:lang w:val="es-ES_tradnl"/>
        </w:rPr>
        <w:t>,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w:t>
      </w:r>
      <w:r w:rsidR="00DA3710">
        <w:rPr>
          <w:rFonts w:ascii="Arial" w:eastAsia="Calibri" w:hAnsi="Arial" w:cs="Arial"/>
          <w:color w:val="000000" w:themeColor="text1"/>
          <w:sz w:val="22"/>
          <w:szCs w:val="22"/>
          <w:lang w:val="es-ES_tradnl"/>
        </w:rPr>
        <w:t xml:space="preserve">, como se indicó en el </w:t>
      </w:r>
      <w:r w:rsidR="00DA3710">
        <w:rPr>
          <w:rFonts w:ascii="Arial" w:eastAsia="Calibri" w:hAnsi="Arial" w:cs="Arial"/>
          <w:color w:val="000000" w:themeColor="text1"/>
          <w:sz w:val="22"/>
          <w:szCs w:val="22"/>
          <w:lang w:val="es-ES_tradnl"/>
        </w:rPr>
        <w:lastRenderedPageBreak/>
        <w:t>anterior numeral,</w:t>
      </w:r>
      <w:r w:rsidRPr="00697281">
        <w:rPr>
          <w:rFonts w:ascii="Arial" w:eastAsia="Calibri" w:hAnsi="Arial" w:cs="Arial"/>
          <w:color w:val="000000" w:themeColor="text1"/>
          <w:sz w:val="22"/>
          <w:szCs w:val="22"/>
          <w:lang w:val="es-ES_tradnl"/>
        </w:rPr>
        <w:t xml:space="preserve"> se encuentra vigente, teniendo en cuenta que el legislador no condicionó su </w:t>
      </w:r>
      <w:r>
        <w:rPr>
          <w:rFonts w:ascii="Arial" w:eastAsia="Calibri" w:hAnsi="Arial" w:cs="Arial"/>
          <w:color w:val="000000" w:themeColor="text1"/>
          <w:sz w:val="22"/>
          <w:szCs w:val="22"/>
          <w:lang w:val="es-ES_tradnl"/>
        </w:rPr>
        <w:t>vigencia</w:t>
      </w:r>
      <w:r w:rsidRPr="00697281">
        <w:rPr>
          <w:rFonts w:ascii="Arial" w:eastAsia="Calibri" w:hAnsi="Arial" w:cs="Arial"/>
          <w:color w:val="000000" w:themeColor="text1"/>
          <w:sz w:val="22"/>
          <w:szCs w:val="22"/>
          <w:lang w:val="es-ES_tradnl"/>
        </w:rPr>
        <w:t xml:space="preserve">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02144C09" w14:textId="77777777" w:rsidR="00B452FD" w:rsidRDefault="00B452FD" w:rsidP="00B452FD">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w:t>
      </w:r>
    </w:p>
    <w:p w14:paraId="4F304416" w14:textId="77777777" w:rsidR="00271CD3" w:rsidRPr="00A7133F" w:rsidRDefault="00271CD3" w:rsidP="004D1C27">
      <w:pPr>
        <w:spacing w:line="276" w:lineRule="auto"/>
        <w:jc w:val="both"/>
        <w:rPr>
          <w:rFonts w:ascii="Arial" w:hAnsi="Arial" w:cs="Arial"/>
          <w:color w:val="000000" w:themeColor="text1"/>
          <w:sz w:val="22"/>
          <w:szCs w:val="22"/>
          <w:lang w:val="es-ES_tradnl"/>
        </w:rPr>
      </w:pPr>
    </w:p>
    <w:p w14:paraId="37CA9805" w14:textId="0A56C02E" w:rsidR="00DD5B04" w:rsidRPr="00A7133F" w:rsidRDefault="004177A6" w:rsidP="004D1C27">
      <w:pPr>
        <w:spacing w:line="276" w:lineRule="auto"/>
        <w:jc w:val="both"/>
        <w:rPr>
          <w:rFonts w:ascii="Arial" w:hAnsi="Arial" w:cs="Arial"/>
          <w:color w:val="000000" w:themeColor="text1"/>
          <w:sz w:val="22"/>
          <w:lang w:val="es-ES_tradnl"/>
        </w:rPr>
      </w:pPr>
      <w:r w:rsidRPr="00A7133F">
        <w:rPr>
          <w:rFonts w:ascii="Arial" w:eastAsia="Calibri" w:hAnsi="Arial" w:cs="Arial"/>
          <w:b/>
          <w:color w:val="000000" w:themeColor="text1"/>
          <w:sz w:val="22"/>
          <w:lang w:val="es-ES_tradnl"/>
        </w:rPr>
        <w:t>3</w:t>
      </w:r>
      <w:r w:rsidR="00B011A9" w:rsidRPr="00A7133F">
        <w:rPr>
          <w:rFonts w:ascii="Arial" w:eastAsia="Calibri" w:hAnsi="Arial" w:cs="Arial"/>
          <w:b/>
          <w:color w:val="000000" w:themeColor="text1"/>
          <w:sz w:val="22"/>
          <w:lang w:val="es-ES_tradnl"/>
        </w:rPr>
        <w:t xml:space="preserve">. </w:t>
      </w:r>
      <w:r w:rsidR="00DD5B04" w:rsidRPr="00A7133F">
        <w:rPr>
          <w:rFonts w:ascii="Arial" w:eastAsia="Calibri" w:hAnsi="Arial" w:cs="Arial"/>
          <w:b/>
          <w:color w:val="000000" w:themeColor="text1"/>
          <w:sz w:val="22"/>
          <w:lang w:val="es-ES_tradnl"/>
        </w:rPr>
        <w:t>Respuest</w:t>
      </w:r>
      <w:r w:rsidR="00BF0E64" w:rsidRPr="00A7133F">
        <w:rPr>
          <w:rFonts w:ascii="Arial" w:eastAsia="Calibri" w:hAnsi="Arial" w:cs="Arial"/>
          <w:b/>
          <w:color w:val="000000" w:themeColor="text1"/>
          <w:sz w:val="22"/>
          <w:lang w:val="es-ES_tradnl"/>
        </w:rPr>
        <w:t>a</w:t>
      </w:r>
    </w:p>
    <w:p w14:paraId="0B74D5B8" w14:textId="59C73EB8" w:rsidR="00C4581D" w:rsidRPr="00A7133F" w:rsidRDefault="00C4581D" w:rsidP="00510DE9">
      <w:pPr>
        <w:tabs>
          <w:tab w:val="left" w:pos="0"/>
        </w:tabs>
        <w:jc w:val="both"/>
        <w:rPr>
          <w:rFonts w:ascii="Arial" w:eastAsia="Calibri" w:hAnsi="Arial" w:cs="Arial"/>
          <w:color w:val="000000" w:themeColor="text1"/>
          <w:sz w:val="22"/>
          <w:lang w:val="es-ES_tradnl"/>
        </w:rPr>
      </w:pPr>
    </w:p>
    <w:p w14:paraId="7F3E0E3D" w14:textId="77777777" w:rsidR="003361DC" w:rsidRPr="00A7133F" w:rsidRDefault="003361DC" w:rsidP="003361DC">
      <w:pPr>
        <w:ind w:left="709" w:right="709"/>
        <w:jc w:val="both"/>
        <w:rPr>
          <w:rFonts w:ascii="Arial" w:eastAsia="Calibri" w:hAnsi="Arial" w:cs="Arial"/>
          <w:color w:val="000000" w:themeColor="text1"/>
          <w:sz w:val="21"/>
          <w:szCs w:val="21"/>
          <w:lang w:val="es-ES_tradnl"/>
        </w:rPr>
      </w:pPr>
      <w:r w:rsidRPr="00A7133F">
        <w:rPr>
          <w:rFonts w:ascii="Arial" w:eastAsia="Calibri" w:hAnsi="Arial" w:cs="Arial"/>
          <w:color w:val="000000" w:themeColor="text1"/>
          <w:sz w:val="21"/>
          <w:szCs w:val="21"/>
          <w:lang w:val="es-ES_tradnl"/>
        </w:rPr>
        <w:t xml:space="preserve">«Se solicita a Colombia Compra Eficiente, que, de conformidad con las Leyes expuestas, informe </w:t>
      </w:r>
      <w:r>
        <w:rPr>
          <w:rFonts w:ascii="Arial" w:eastAsia="Calibri" w:hAnsi="Arial" w:cs="Arial"/>
          <w:color w:val="000000" w:themeColor="text1"/>
          <w:sz w:val="21"/>
          <w:szCs w:val="21"/>
          <w:lang w:val="es-ES_tradnl"/>
        </w:rPr>
        <w:t>[…]</w:t>
      </w:r>
      <w:r w:rsidRPr="00A7133F">
        <w:rPr>
          <w:rFonts w:ascii="Arial" w:eastAsia="Calibri" w:hAnsi="Arial" w:cs="Arial"/>
          <w:color w:val="000000" w:themeColor="text1"/>
          <w:sz w:val="21"/>
          <w:szCs w:val="21"/>
          <w:lang w:val="es-ES_tradnl"/>
        </w:rPr>
        <w:t>, bajo que</w:t>
      </w:r>
      <w:r>
        <w:rPr>
          <w:rFonts w:ascii="Arial" w:eastAsia="Calibri" w:hAnsi="Arial" w:cs="Arial"/>
          <w:color w:val="000000" w:themeColor="text1"/>
          <w:sz w:val="21"/>
          <w:szCs w:val="21"/>
          <w:lang w:val="es-ES_tradnl"/>
        </w:rPr>
        <w:t xml:space="preserve"> (sic)</w:t>
      </w:r>
      <w:r w:rsidRPr="00A7133F">
        <w:rPr>
          <w:rFonts w:ascii="Arial" w:eastAsia="Calibri" w:hAnsi="Arial" w:cs="Arial"/>
          <w:color w:val="000000" w:themeColor="text1"/>
          <w:sz w:val="21"/>
          <w:szCs w:val="21"/>
          <w:lang w:val="es-ES_tradnl"/>
        </w:rPr>
        <w:t xml:space="preserve"> criterio se entiende la vinculación de los profesionales mayores que no sean beneficiarios de la pensión de vejez; entiendo si la vinculación se aplica a la tipología contractual del contrato laboral a término fijo, al contrato de obra o labor, y si la misma se extiende a la tipología contractual del contrato civil de prestación de servicios».</w:t>
      </w:r>
    </w:p>
    <w:p w14:paraId="56F3329F" w14:textId="7411D4C8" w:rsidR="00A85290" w:rsidRDefault="00A85290" w:rsidP="00853A3C">
      <w:pPr>
        <w:ind w:right="709"/>
        <w:jc w:val="both"/>
        <w:rPr>
          <w:rFonts w:ascii="Arial" w:hAnsi="Arial" w:cs="Arial"/>
          <w:color w:val="000000" w:themeColor="text1"/>
          <w:sz w:val="21"/>
          <w:szCs w:val="21"/>
          <w:lang w:val="es-ES_tradnl"/>
        </w:rPr>
      </w:pPr>
    </w:p>
    <w:p w14:paraId="507F684A" w14:textId="77777777" w:rsidR="00896756" w:rsidRPr="00A7133F" w:rsidRDefault="00896756" w:rsidP="00896756">
      <w:pPr>
        <w:spacing w:line="276" w:lineRule="auto"/>
        <w:jc w:val="both"/>
        <w:rPr>
          <w:rFonts w:ascii="Arial" w:hAnsi="Arial" w:cs="Arial"/>
          <w:color w:val="000000" w:themeColor="text1"/>
          <w:sz w:val="22"/>
          <w:lang w:val="es-ES_tradnl"/>
        </w:rPr>
      </w:pPr>
      <w:r w:rsidRPr="00A7133F">
        <w:rPr>
          <w:rFonts w:ascii="Arial" w:hAnsi="Arial" w:cs="Arial"/>
          <w:color w:val="000000" w:themeColor="text1"/>
          <w:sz w:val="22"/>
          <w:lang w:val="es-ES_tradnl"/>
        </w:rPr>
        <w:t xml:space="preserve">Como lo indicó la Agencia en </w:t>
      </w:r>
      <w:r>
        <w:rPr>
          <w:rFonts w:ascii="Arial" w:hAnsi="Arial" w:cs="Arial"/>
          <w:color w:val="000000" w:themeColor="text1"/>
          <w:sz w:val="22"/>
          <w:lang w:val="es-ES_tradnl"/>
        </w:rPr>
        <w:t>los</w:t>
      </w:r>
      <w:r w:rsidRPr="00A7133F">
        <w:rPr>
          <w:rFonts w:ascii="Arial" w:hAnsi="Arial" w:cs="Arial"/>
          <w:color w:val="000000" w:themeColor="text1"/>
          <w:sz w:val="22"/>
          <w:lang w:val="es-ES_tradnl"/>
        </w:rPr>
        <w:t xml:space="preserve"> concepto</w:t>
      </w:r>
      <w:r>
        <w:rPr>
          <w:rFonts w:ascii="Arial" w:hAnsi="Arial" w:cs="Arial"/>
          <w:color w:val="000000" w:themeColor="text1"/>
          <w:sz w:val="22"/>
          <w:lang w:val="es-ES_tradnl"/>
        </w:rPr>
        <w:t>s</w:t>
      </w:r>
      <w:r w:rsidRPr="00A7133F">
        <w:rPr>
          <w:rFonts w:ascii="Arial" w:hAnsi="Arial" w:cs="Arial"/>
          <w:color w:val="000000" w:themeColor="text1"/>
          <w:sz w:val="22"/>
          <w:lang w:val="es-ES_tradnl"/>
        </w:rPr>
        <w:t xml:space="preserve"> </w:t>
      </w:r>
      <w:r w:rsidRPr="00A7133F">
        <w:rPr>
          <w:rFonts w:ascii="Arial" w:eastAsia="Calibri" w:hAnsi="Arial" w:cs="Arial"/>
          <w:color w:val="000000" w:themeColor="text1"/>
          <w:sz w:val="22"/>
          <w:lang w:val="es-ES_tradnl"/>
        </w:rPr>
        <w:t>C-206 del 03 de mayo de 2021</w:t>
      </w:r>
      <w:r>
        <w:rPr>
          <w:rFonts w:ascii="Arial" w:eastAsia="Calibri" w:hAnsi="Arial" w:cs="Arial"/>
          <w:color w:val="000000" w:themeColor="text1"/>
          <w:sz w:val="22"/>
          <w:lang w:val="es-ES_tradnl"/>
        </w:rPr>
        <w:t xml:space="preserve"> y C-487 del 3 de agosto de 2021</w:t>
      </w:r>
      <w:r w:rsidRPr="00A7133F">
        <w:rPr>
          <w:rFonts w:ascii="Arial" w:eastAsia="Calibri" w:hAnsi="Arial" w:cs="Arial"/>
          <w:color w:val="000000" w:themeColor="text1"/>
          <w:sz w:val="22"/>
          <w:lang w:val="es-ES_tradnl"/>
        </w:rPr>
        <w:t xml:space="preserve">, </w:t>
      </w:r>
      <w:r w:rsidRPr="00A7133F">
        <w:rPr>
          <w:rFonts w:ascii="Arial" w:hAnsi="Arial" w:cs="Arial"/>
          <w:color w:val="000000" w:themeColor="text1"/>
          <w:sz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A7133F">
        <w:rPr>
          <w:rFonts w:ascii="Arial" w:hAnsi="Arial" w:cs="Arial"/>
          <w:i/>
          <w:iCs/>
          <w:color w:val="000000" w:themeColor="text1"/>
          <w:sz w:val="22"/>
          <w:lang w:val="es-ES_tradnl"/>
        </w:rPr>
        <w:t>vinculación de capital humano</w:t>
      </w:r>
      <w:r w:rsidRPr="00A7133F">
        <w:rPr>
          <w:rFonts w:ascii="Arial" w:hAnsi="Arial" w:cs="Arial"/>
          <w:color w:val="000000" w:themeColor="text1"/>
          <w:sz w:val="22"/>
          <w:lang w:val="es-ES_tradnl"/>
        </w:rPr>
        <w:t xml:space="preserve">, el oferente deberá acreditar una antigüedad igual o mayor a un año. Para los casos de constitución inferior a un año </w:t>
      </w:r>
      <w:r w:rsidRPr="00A7133F">
        <w:rPr>
          <w:rFonts w:ascii="Arial" w:hAnsi="Arial" w:cs="Arial"/>
          <w:i/>
          <w:iCs/>
          <w:color w:val="000000" w:themeColor="text1"/>
          <w:sz w:val="22"/>
          <w:lang w:val="es-ES_tradnl"/>
        </w:rPr>
        <w:t>se tendrá en cuenta a aquellos trabajadores</w:t>
      </w:r>
      <w:r w:rsidRPr="00A7133F">
        <w:rPr>
          <w:rFonts w:ascii="Arial" w:hAnsi="Arial" w:cs="Arial"/>
          <w:color w:val="000000" w:themeColor="text1"/>
          <w:sz w:val="22"/>
          <w:lang w:val="es-ES_tradnl"/>
        </w:rPr>
        <w:t xml:space="preserve"> que hayan estado vinculados desde el momento de constitución de la misma» (Énfasis fuera de texto). Como se observa, la norma se refiere a la vinculación de trabajadores, lo cual excluye la posibilidad de acreditar el factor de desempate con prestadores de servicios.  </w:t>
      </w:r>
    </w:p>
    <w:p w14:paraId="42D0D14C" w14:textId="6708FC16" w:rsidR="00896756" w:rsidRDefault="00896756" w:rsidP="00896756">
      <w:pPr>
        <w:spacing w:before="120" w:line="276" w:lineRule="auto"/>
        <w:ind w:firstLine="709"/>
        <w:jc w:val="both"/>
        <w:rPr>
          <w:rFonts w:ascii="Arial" w:hAnsi="Arial" w:cs="Arial"/>
          <w:color w:val="000000" w:themeColor="text1"/>
          <w:sz w:val="22"/>
          <w:lang w:val="es-ES_tradnl"/>
        </w:rPr>
      </w:pPr>
      <w:r w:rsidRPr="00A7133F">
        <w:rPr>
          <w:rFonts w:ascii="Arial" w:hAnsi="Arial" w:cs="Arial"/>
          <w:color w:val="000000" w:themeColor="text1"/>
          <w:sz w:val="22"/>
          <w:lang w:val="es-ES_tradnl"/>
        </w:rPr>
        <w:t>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Esto aplica incluso en el evento en el cual se haya presentado la sustitución de empleadores.</w:t>
      </w:r>
    </w:p>
    <w:p w14:paraId="5EBBC875" w14:textId="77777777" w:rsidR="009407A9" w:rsidRPr="00A7133F" w:rsidRDefault="009407A9" w:rsidP="00896756">
      <w:pPr>
        <w:spacing w:before="120" w:line="276" w:lineRule="auto"/>
        <w:ind w:firstLine="709"/>
        <w:jc w:val="both"/>
        <w:rPr>
          <w:rFonts w:ascii="Arial" w:hAnsi="Arial" w:cs="Arial"/>
          <w:color w:val="000000" w:themeColor="text1"/>
          <w:sz w:val="22"/>
          <w:lang w:val="es-ES_tradnl"/>
        </w:rPr>
      </w:pPr>
    </w:p>
    <w:p w14:paraId="6B1CF211" w14:textId="77777777" w:rsidR="00896756" w:rsidRPr="00A7133F" w:rsidRDefault="00896756" w:rsidP="00853A3C">
      <w:pPr>
        <w:ind w:right="709"/>
        <w:jc w:val="both"/>
        <w:rPr>
          <w:rFonts w:ascii="Arial" w:hAnsi="Arial" w:cs="Arial"/>
          <w:color w:val="000000" w:themeColor="text1"/>
          <w:sz w:val="21"/>
          <w:szCs w:val="21"/>
          <w:lang w:val="es-ES_tradnl"/>
        </w:rPr>
      </w:pPr>
    </w:p>
    <w:p w14:paraId="7B2C921D" w14:textId="0383AF9A" w:rsidR="00DD5B04" w:rsidRPr="00A7133F" w:rsidRDefault="00DD5B04" w:rsidP="00DF76A2">
      <w:pPr>
        <w:spacing w:line="276" w:lineRule="auto"/>
        <w:jc w:val="both"/>
        <w:rPr>
          <w:rFonts w:ascii="Arial" w:hAnsi="Arial" w:cs="Arial"/>
          <w:color w:val="000000" w:themeColor="text1"/>
          <w:sz w:val="22"/>
          <w:lang w:val="es-ES_tradnl"/>
        </w:rPr>
      </w:pPr>
      <w:r w:rsidRPr="00A7133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7133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7133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7133F">
        <w:rPr>
          <w:rFonts w:ascii="Arial" w:hAnsi="Arial" w:cs="Arial"/>
          <w:color w:val="000000" w:themeColor="text1"/>
          <w:sz w:val="22"/>
          <w:szCs w:val="22"/>
          <w:lang w:val="es-ES_tradnl"/>
        </w:rPr>
        <w:t>Atentamente,</w:t>
      </w:r>
    </w:p>
    <w:p w14:paraId="692FC307" w14:textId="210AA6B5" w:rsidR="00921304" w:rsidRPr="00A7133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016727E" w:rsidR="00921304" w:rsidRPr="00A7133F" w:rsidRDefault="006E2837" w:rsidP="00F90C4D">
      <w:pPr>
        <w:pStyle w:val="NormalWeb"/>
        <w:spacing w:before="0" w:beforeAutospacing="0" w:after="0" w:afterAutospacing="0" w:line="276" w:lineRule="auto"/>
        <w:jc w:val="center"/>
        <w:rPr>
          <w:rFonts w:ascii="Arial" w:hAnsi="Arial" w:cs="Arial"/>
          <w:b/>
          <w:bCs/>
          <w:color w:val="000000" w:themeColor="text1"/>
          <w:sz w:val="22"/>
          <w:szCs w:val="22"/>
          <w:lang w:val="es-ES_tradnl"/>
        </w:rPr>
      </w:pPr>
      <w:r>
        <w:rPr>
          <w:noProof/>
        </w:rPr>
        <w:drawing>
          <wp:inline distT="0" distB="0" distL="0" distR="0" wp14:anchorId="583345E8" wp14:editId="420DB1F8">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9730030" w14:textId="217D35F3" w:rsidR="00DD5B04" w:rsidRPr="00A7133F" w:rsidRDefault="00DD5B04" w:rsidP="00AD314B">
      <w:pPr>
        <w:rPr>
          <w:rFonts w:ascii="Arial" w:hAnsi="Arial" w:cs="Arial"/>
          <w:color w:val="000000" w:themeColor="text1"/>
          <w:sz w:val="18"/>
          <w:szCs w:val="20"/>
          <w:lang w:val="es-ES_tradnl"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113A33" w:rsidRPr="00A7133F" w14:paraId="3E00527A" w14:textId="77777777" w:rsidTr="00CC7B61">
        <w:trPr>
          <w:trHeight w:val="286"/>
        </w:trPr>
        <w:tc>
          <w:tcPr>
            <w:tcW w:w="886" w:type="dxa"/>
            <w:vAlign w:val="center"/>
            <w:hideMark/>
          </w:tcPr>
          <w:p w14:paraId="594C03B1"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Elaboró:</w:t>
            </w:r>
          </w:p>
        </w:tc>
        <w:tc>
          <w:tcPr>
            <w:tcW w:w="4003" w:type="dxa"/>
            <w:tcBorders>
              <w:top w:val="nil"/>
              <w:left w:val="nil"/>
              <w:bottom w:val="dotted" w:sz="4" w:space="0" w:color="7F7F7F"/>
              <w:right w:val="nil"/>
            </w:tcBorders>
            <w:vAlign w:val="center"/>
            <w:hideMark/>
          </w:tcPr>
          <w:p w14:paraId="54368A19"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Cristian Andrés Díaz Díez</w:t>
            </w:r>
          </w:p>
          <w:p w14:paraId="4B5CB108"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Contratista de la Subdirección de Gestión Contractual</w:t>
            </w:r>
          </w:p>
        </w:tc>
      </w:tr>
      <w:tr w:rsidR="00113A33" w:rsidRPr="00A7133F" w14:paraId="5F27D1D6" w14:textId="77777777" w:rsidTr="00CC7B61">
        <w:trPr>
          <w:trHeight w:val="299"/>
        </w:trPr>
        <w:tc>
          <w:tcPr>
            <w:tcW w:w="886" w:type="dxa"/>
            <w:vAlign w:val="center"/>
          </w:tcPr>
          <w:p w14:paraId="2D68F29B"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Revisó:</w:t>
            </w:r>
          </w:p>
        </w:tc>
        <w:tc>
          <w:tcPr>
            <w:tcW w:w="4003" w:type="dxa"/>
            <w:tcBorders>
              <w:top w:val="dotted" w:sz="4" w:space="0" w:color="7F7F7F"/>
              <w:left w:val="nil"/>
              <w:bottom w:val="dotted" w:sz="4" w:space="0" w:color="7F7F7F"/>
              <w:right w:val="nil"/>
            </w:tcBorders>
            <w:vAlign w:val="center"/>
          </w:tcPr>
          <w:p w14:paraId="2E2FE772"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Sebastián Ramírez Grisales</w:t>
            </w:r>
          </w:p>
          <w:p w14:paraId="7ECED0A9"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 xml:space="preserve">Gestor T1-15 de la Subdirección de Gestión Contractual  </w:t>
            </w:r>
          </w:p>
        </w:tc>
      </w:tr>
      <w:tr w:rsidR="00113A33" w:rsidRPr="00A7133F" w14:paraId="57C8EB8F" w14:textId="77777777" w:rsidTr="00CC7B61">
        <w:trPr>
          <w:trHeight w:val="272"/>
        </w:trPr>
        <w:tc>
          <w:tcPr>
            <w:tcW w:w="886" w:type="dxa"/>
            <w:vAlign w:val="center"/>
            <w:hideMark/>
          </w:tcPr>
          <w:p w14:paraId="15A9F50F"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Aprobó:</w:t>
            </w:r>
          </w:p>
        </w:tc>
        <w:tc>
          <w:tcPr>
            <w:tcW w:w="4003" w:type="dxa"/>
            <w:tcBorders>
              <w:top w:val="dotted" w:sz="4" w:space="0" w:color="7F7F7F"/>
              <w:left w:val="nil"/>
              <w:bottom w:val="dotted" w:sz="4" w:space="0" w:color="7F7F7F"/>
              <w:right w:val="nil"/>
            </w:tcBorders>
            <w:vAlign w:val="center"/>
            <w:hideMark/>
          </w:tcPr>
          <w:p w14:paraId="342AECA8"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Jorge Augusto Tirado Navarro</w:t>
            </w:r>
          </w:p>
          <w:p w14:paraId="6DC5C950" w14:textId="77777777" w:rsidR="00113A33" w:rsidRPr="00A7133F" w:rsidRDefault="00113A33" w:rsidP="00CC7B61">
            <w:pPr>
              <w:rPr>
                <w:rFonts w:ascii="Arial" w:hAnsi="Arial" w:cs="Arial"/>
                <w:sz w:val="14"/>
                <w:szCs w:val="14"/>
                <w:lang w:val="es-ES_tradnl" w:eastAsia="es-ES"/>
              </w:rPr>
            </w:pPr>
            <w:r w:rsidRPr="00A7133F">
              <w:rPr>
                <w:rFonts w:ascii="Arial" w:hAnsi="Arial" w:cs="Arial"/>
                <w:sz w:val="14"/>
                <w:szCs w:val="14"/>
                <w:lang w:val="es-ES_tradnl" w:eastAsia="es-ES"/>
              </w:rPr>
              <w:t>Subdirector de Gestión Contractual ANCP – CCE</w:t>
            </w:r>
          </w:p>
        </w:tc>
      </w:tr>
    </w:tbl>
    <w:p w14:paraId="35B56F46" w14:textId="77777777" w:rsidR="00746E08" w:rsidRPr="00A7133F" w:rsidRDefault="00746E08" w:rsidP="00215B8E">
      <w:pPr>
        <w:jc w:val="both"/>
        <w:rPr>
          <w:rFonts w:ascii="Arial" w:hAnsi="Arial" w:cs="Arial"/>
          <w:color w:val="000000" w:themeColor="text1"/>
          <w:lang w:val="es-ES_tradnl"/>
        </w:rPr>
      </w:pPr>
    </w:p>
    <w:sectPr w:rsidR="00746E08" w:rsidRPr="00A7133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5D7D2" w14:textId="77777777" w:rsidR="00646CBA" w:rsidRDefault="00646CBA">
      <w:r>
        <w:separator/>
      </w:r>
    </w:p>
  </w:endnote>
  <w:endnote w:type="continuationSeparator" w:id="0">
    <w:p w14:paraId="45667FF3" w14:textId="77777777" w:rsidR="00646CBA" w:rsidRDefault="00646CBA">
      <w:r>
        <w:continuationSeparator/>
      </w:r>
    </w:p>
  </w:endnote>
  <w:endnote w:type="continuationNotice" w:id="1">
    <w:p w14:paraId="371AB242" w14:textId="77777777" w:rsidR="00646CBA" w:rsidRDefault="00646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AAACC0" w14:textId="77777777" w:rsidR="00646CBA" w:rsidRDefault="00646CBA">
      <w:r>
        <w:separator/>
      </w:r>
    </w:p>
  </w:footnote>
  <w:footnote w:type="continuationSeparator" w:id="0">
    <w:p w14:paraId="514930F9" w14:textId="77777777" w:rsidR="00646CBA" w:rsidRDefault="00646CBA">
      <w:r>
        <w:continuationSeparator/>
      </w:r>
    </w:p>
  </w:footnote>
  <w:footnote w:type="continuationNotice" w:id="1">
    <w:p w14:paraId="1AD2D782" w14:textId="77777777" w:rsidR="00646CBA" w:rsidRDefault="00646CBA"/>
  </w:footnote>
  <w:footnote w:id="2">
    <w:p w14:paraId="20700D94" w14:textId="6D66BB23" w:rsidR="005508B2" w:rsidRPr="00892E76" w:rsidRDefault="005508B2" w:rsidP="007F6D1B">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CO"/>
        </w:rPr>
        <w:t>La Agencia tam</w:t>
      </w:r>
      <w:r w:rsidR="00C562CD" w:rsidRPr="00892E76">
        <w:rPr>
          <w:rFonts w:ascii="Arial" w:hAnsi="Arial" w:cs="Arial"/>
          <w:sz w:val="19"/>
          <w:szCs w:val="19"/>
          <w:lang w:val="es-CO"/>
        </w:rPr>
        <w:t>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w:t>
      </w:r>
      <w:r w:rsidR="00714D20" w:rsidRPr="00892E76">
        <w:rPr>
          <w:rFonts w:ascii="Arial" w:hAnsi="Arial" w:cs="Arial"/>
          <w:sz w:val="19"/>
          <w:szCs w:val="19"/>
          <w:lang w:val="es-CO"/>
        </w:rPr>
        <w:t xml:space="preserve"> y</w:t>
      </w:r>
      <w:r w:rsidR="00C562CD" w:rsidRPr="00892E76">
        <w:rPr>
          <w:rFonts w:ascii="Arial" w:hAnsi="Arial" w:cs="Arial"/>
          <w:sz w:val="19"/>
          <w:szCs w:val="19"/>
          <w:lang w:val="es-CO"/>
        </w:rPr>
        <w:t xml:space="preserve"> C-102 del 25 de marzo de 2020</w:t>
      </w:r>
      <w:r w:rsidR="00714D20" w:rsidRPr="00892E76">
        <w:rPr>
          <w:rFonts w:ascii="Arial" w:hAnsi="Arial" w:cs="Arial"/>
          <w:sz w:val="19"/>
          <w:szCs w:val="19"/>
          <w:lang w:val="es-CO"/>
        </w:rPr>
        <w:t>.</w:t>
      </w:r>
    </w:p>
  </w:footnote>
  <w:footnote w:id="3">
    <w:p w14:paraId="5221EE23" w14:textId="77777777" w:rsidR="00B0749C" w:rsidRPr="00892E76" w:rsidRDefault="00B0749C"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892E76" w:rsidRDefault="00B0749C" w:rsidP="007F6D1B">
      <w:pPr>
        <w:pStyle w:val="Textonotapie"/>
        <w:ind w:firstLine="709"/>
        <w:jc w:val="both"/>
        <w:rPr>
          <w:rFonts w:ascii="Arial" w:hAnsi="Arial" w:cs="Arial"/>
          <w:sz w:val="19"/>
          <w:szCs w:val="19"/>
          <w:lang w:val="es-ES"/>
        </w:rPr>
      </w:pPr>
    </w:p>
  </w:footnote>
  <w:footnote w:id="4">
    <w:p w14:paraId="3C1769D4" w14:textId="77777777" w:rsidR="00B0749C" w:rsidRPr="00892E76" w:rsidRDefault="00B0749C"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Corte Constitucional. Sentencia T-684A del 14 de septiembre de 2011. Magistrado Ponente: Mauricio González Cuervo.</w:t>
      </w:r>
    </w:p>
    <w:p w14:paraId="6943AFC6" w14:textId="77777777" w:rsidR="00B0749C" w:rsidRPr="00892E76" w:rsidRDefault="00B0749C" w:rsidP="007F6D1B">
      <w:pPr>
        <w:pStyle w:val="Textonotapie"/>
        <w:ind w:firstLine="709"/>
        <w:jc w:val="both"/>
        <w:rPr>
          <w:rFonts w:ascii="Arial" w:hAnsi="Arial" w:cs="Arial"/>
          <w:sz w:val="19"/>
          <w:szCs w:val="19"/>
          <w:lang w:val="es-ES"/>
        </w:rPr>
      </w:pPr>
    </w:p>
  </w:footnote>
  <w:footnote w:id="5">
    <w:p w14:paraId="7950281F" w14:textId="46CC4611" w:rsidR="00B0749C" w:rsidRPr="00892E76" w:rsidRDefault="00B0749C" w:rsidP="007F6D1B">
      <w:pPr>
        <w:pStyle w:val="Textonotapie"/>
        <w:ind w:firstLine="709"/>
        <w:jc w:val="both"/>
        <w:rPr>
          <w:rFonts w:ascii="Arial" w:hAnsi="Arial" w:cs="Arial"/>
          <w:sz w:val="19"/>
          <w:szCs w:val="19"/>
          <w:lang w:val="es-CO"/>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Consejo de Estado. Sección Tercera. Sentencia del 6 de diciembre de 2.013. Consejera </w:t>
      </w:r>
      <w:proofErr w:type="spellStart"/>
      <w:r w:rsidRPr="00892E76">
        <w:rPr>
          <w:rFonts w:ascii="Arial" w:hAnsi="Arial" w:cs="Arial"/>
          <w:sz w:val="19"/>
          <w:szCs w:val="19"/>
          <w:lang w:val="es-ES"/>
        </w:rPr>
        <w:t>Ponent</w:t>
      </w:r>
      <w:r w:rsidR="00831E8B" w:rsidRPr="00892E76">
        <w:rPr>
          <w:rFonts w:ascii="Arial" w:hAnsi="Arial" w:cs="Arial"/>
          <w:sz w:val="19"/>
          <w:szCs w:val="19"/>
          <w:lang w:val="es-ES"/>
        </w:rPr>
        <w:t>g</w:t>
      </w:r>
      <w:r w:rsidRPr="00892E76">
        <w:rPr>
          <w:rFonts w:ascii="Arial" w:hAnsi="Arial" w:cs="Arial"/>
          <w:sz w:val="19"/>
          <w:szCs w:val="19"/>
          <w:lang w:val="es-ES"/>
        </w:rPr>
        <w:t>e</w:t>
      </w:r>
      <w:proofErr w:type="spellEnd"/>
      <w:r w:rsidRPr="00892E76">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6">
    <w:p w14:paraId="7E5E2C24"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2 al 29.</w:t>
      </w:r>
    </w:p>
    <w:p w14:paraId="7DD04EFF" w14:textId="77777777" w:rsidR="0000500B" w:rsidRPr="00892E76" w:rsidRDefault="0000500B" w:rsidP="007F6D1B">
      <w:pPr>
        <w:pStyle w:val="Textonotapie"/>
        <w:ind w:firstLine="709"/>
        <w:jc w:val="both"/>
        <w:rPr>
          <w:rFonts w:ascii="Arial" w:hAnsi="Arial" w:cs="Arial"/>
          <w:sz w:val="19"/>
          <w:szCs w:val="19"/>
          <w:lang w:val="es-ES"/>
        </w:rPr>
      </w:pPr>
    </w:p>
  </w:footnote>
  <w:footnote w:id="7">
    <w:p w14:paraId="3B737876"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30 al 36.</w:t>
      </w:r>
    </w:p>
    <w:p w14:paraId="57E10907" w14:textId="77777777" w:rsidR="0000500B" w:rsidRPr="00892E76" w:rsidRDefault="0000500B" w:rsidP="007F6D1B">
      <w:pPr>
        <w:pStyle w:val="Textonotapie"/>
        <w:ind w:firstLine="709"/>
        <w:jc w:val="both"/>
        <w:rPr>
          <w:rFonts w:ascii="Arial" w:hAnsi="Arial" w:cs="Arial"/>
          <w:sz w:val="19"/>
          <w:szCs w:val="19"/>
          <w:lang w:val="es-ES"/>
        </w:rPr>
      </w:pPr>
    </w:p>
  </w:footnote>
  <w:footnote w:id="8">
    <w:p w14:paraId="6F243A4A"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37 al 45.</w:t>
      </w:r>
    </w:p>
    <w:p w14:paraId="5BDD2689" w14:textId="77777777" w:rsidR="0000500B" w:rsidRPr="00892E76" w:rsidRDefault="0000500B" w:rsidP="007F6D1B">
      <w:pPr>
        <w:pStyle w:val="Textonotapie"/>
        <w:ind w:firstLine="709"/>
        <w:jc w:val="both"/>
        <w:rPr>
          <w:rFonts w:ascii="Arial" w:hAnsi="Arial" w:cs="Arial"/>
          <w:sz w:val="19"/>
          <w:szCs w:val="19"/>
          <w:lang w:val="es-ES"/>
        </w:rPr>
      </w:pPr>
    </w:p>
  </w:footnote>
  <w:footnote w:id="9">
    <w:p w14:paraId="4E1C4723"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46 al 73.</w:t>
      </w:r>
    </w:p>
    <w:p w14:paraId="2DE1DCBD" w14:textId="77777777" w:rsidR="0000500B" w:rsidRPr="00892E76" w:rsidRDefault="0000500B" w:rsidP="007F6D1B">
      <w:pPr>
        <w:pStyle w:val="Textonotapie"/>
        <w:ind w:firstLine="709"/>
        <w:jc w:val="both"/>
        <w:rPr>
          <w:rFonts w:ascii="Arial" w:hAnsi="Arial" w:cs="Arial"/>
          <w:sz w:val="19"/>
          <w:szCs w:val="19"/>
          <w:lang w:val="es-ES"/>
        </w:rPr>
      </w:pPr>
    </w:p>
  </w:footnote>
  <w:footnote w:id="10">
    <w:p w14:paraId="4CDDFC07" w14:textId="77777777" w:rsidR="0000500B" w:rsidRPr="00892E76" w:rsidRDefault="0000500B"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Artículos 74 al 83.</w:t>
      </w:r>
    </w:p>
    <w:p w14:paraId="7B1A6950" w14:textId="77777777" w:rsidR="0000500B" w:rsidRPr="00892E76" w:rsidRDefault="0000500B" w:rsidP="007F6D1B">
      <w:pPr>
        <w:pStyle w:val="Textonotapie"/>
        <w:ind w:firstLine="709"/>
        <w:jc w:val="both"/>
        <w:rPr>
          <w:rFonts w:ascii="Arial" w:hAnsi="Arial" w:cs="Arial"/>
          <w:sz w:val="19"/>
          <w:szCs w:val="19"/>
          <w:lang w:val="es-ES"/>
        </w:rPr>
      </w:pPr>
    </w:p>
  </w:footnote>
  <w:footnote w:id="11">
    <w:p w14:paraId="31F2A038"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Norma que prescribe: «</w:t>
      </w:r>
      <w:r w:rsidRPr="00892E76">
        <w:rPr>
          <w:rFonts w:ascii="Arial" w:eastAsia="Calibri" w:hAnsi="Arial" w:cs="Arial"/>
          <w:color w:val="000000" w:themeColor="text1"/>
          <w:sz w:val="19"/>
          <w:szCs w:val="19"/>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43F93FE9"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w:t>
      </w:r>
    </w:p>
    <w:p w14:paraId="4C15B6FE"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81A16F2" w14:textId="77777777" w:rsidR="00271CD3" w:rsidRPr="00892E76" w:rsidRDefault="00271CD3" w:rsidP="007F6D1B">
      <w:pPr>
        <w:ind w:firstLine="709"/>
        <w:jc w:val="both"/>
        <w:rPr>
          <w:rFonts w:ascii="Arial" w:eastAsia="Calibri" w:hAnsi="Arial" w:cs="Arial"/>
          <w:color w:val="000000" w:themeColor="text1"/>
          <w:sz w:val="19"/>
          <w:szCs w:val="19"/>
          <w:lang w:val="es-ES_tradnl"/>
        </w:rPr>
      </w:pPr>
      <w:r w:rsidRPr="00892E76">
        <w:rPr>
          <w:rFonts w:ascii="Arial" w:eastAsia="Calibri" w:hAnsi="Arial" w:cs="Arial"/>
          <w:color w:val="000000" w:themeColor="text1"/>
          <w:sz w:val="19"/>
          <w:szCs w:val="19"/>
          <w:lang w:val="es-ES_tradnl"/>
        </w:rPr>
        <w:t>»[…]».</w:t>
      </w:r>
    </w:p>
    <w:p w14:paraId="1BEF389A" w14:textId="77777777" w:rsidR="00271CD3" w:rsidRPr="00892E76" w:rsidRDefault="00271CD3" w:rsidP="007F6D1B">
      <w:pPr>
        <w:pStyle w:val="Textonotapie"/>
        <w:ind w:firstLine="709"/>
        <w:jc w:val="both"/>
        <w:rPr>
          <w:rFonts w:ascii="Arial" w:hAnsi="Arial" w:cs="Arial"/>
          <w:sz w:val="19"/>
          <w:szCs w:val="19"/>
          <w:lang w:val="es-ES"/>
        </w:rPr>
      </w:pPr>
    </w:p>
  </w:footnote>
  <w:footnote w:id="12">
    <w:p w14:paraId="435B3AFF" w14:textId="77777777" w:rsidR="00271CD3" w:rsidRPr="00892E76" w:rsidRDefault="00271CD3"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w:t>
      </w:r>
      <w:r w:rsidRPr="00892E76">
        <w:rPr>
          <w:rFonts w:ascii="Arial" w:hAnsi="Arial" w:cs="Arial"/>
          <w:sz w:val="19"/>
          <w:szCs w:val="19"/>
          <w:lang w:val="es-ES"/>
        </w:rPr>
        <w:t xml:space="preserve">Corte Suprema de Justicia. Sala de Casación Laboral. Sentencia del 5 de agosto de 2020. Magistrada Ponente: Clara Cecilia Dueñas Quevedo. Radicación No. 47613. Acta 28. </w:t>
      </w:r>
    </w:p>
  </w:footnote>
  <w:footnote w:id="13">
    <w:p w14:paraId="1DF31451" w14:textId="77777777" w:rsidR="00271CD3" w:rsidRPr="00892E76" w:rsidRDefault="00271CD3" w:rsidP="007F6D1B">
      <w:pPr>
        <w:pStyle w:val="Textonotapie"/>
        <w:ind w:firstLine="709"/>
        <w:jc w:val="both"/>
        <w:rPr>
          <w:rFonts w:ascii="Arial" w:hAnsi="Arial" w:cs="Arial"/>
          <w:sz w:val="19"/>
          <w:szCs w:val="19"/>
          <w:lang w:val="es-ES"/>
        </w:rPr>
      </w:pPr>
      <w:r w:rsidRPr="00892E76">
        <w:rPr>
          <w:rStyle w:val="Refdenotaalpie"/>
          <w:rFonts w:ascii="Arial" w:hAnsi="Arial" w:cs="Arial"/>
          <w:sz w:val="19"/>
          <w:szCs w:val="19"/>
        </w:rPr>
        <w:footnoteRef/>
      </w:r>
      <w:r w:rsidRPr="00892E76">
        <w:rPr>
          <w:rFonts w:ascii="Arial" w:hAnsi="Arial" w:cs="Arial"/>
          <w:sz w:val="19"/>
          <w:szCs w:val="19"/>
        </w:rPr>
        <w:t xml:space="preserve"> Disponibles en: https://www.colombiacompra.gov.co/content/02-documentos-tipo-para-licitacion-de-obra-publica-de-infraestructura-de-transporte-version</w:t>
      </w:r>
    </w:p>
  </w:footnote>
  <w:footnote w:id="14">
    <w:p w14:paraId="6E7C4FBA" w14:textId="77777777" w:rsidR="007679A2" w:rsidRPr="00892E76" w:rsidRDefault="007679A2" w:rsidP="007F6D1B">
      <w:pPr>
        <w:pStyle w:val="Textonotapie"/>
        <w:ind w:firstLine="709"/>
        <w:jc w:val="both"/>
        <w:rPr>
          <w:rFonts w:ascii="Arial" w:hAnsi="Arial" w:cs="Arial"/>
          <w:color w:val="000000" w:themeColor="text1"/>
          <w:sz w:val="19"/>
          <w:szCs w:val="19"/>
        </w:rPr>
      </w:pPr>
    </w:p>
    <w:p w14:paraId="06B5EDA9" w14:textId="0EECECA7" w:rsidR="00D841F9" w:rsidRPr="00892E76" w:rsidRDefault="00D841F9" w:rsidP="007F6D1B">
      <w:pPr>
        <w:pStyle w:val="Textonotapie"/>
        <w:ind w:firstLine="709"/>
        <w:jc w:val="both"/>
        <w:rPr>
          <w:rFonts w:ascii="Arial" w:hAnsi="Arial" w:cs="Arial"/>
          <w:color w:val="000000" w:themeColor="text1"/>
          <w:sz w:val="19"/>
          <w:szCs w:val="19"/>
        </w:rPr>
      </w:pPr>
      <w:r w:rsidRPr="00892E76">
        <w:rPr>
          <w:rStyle w:val="Refdenotaalpie"/>
          <w:rFonts w:ascii="Arial" w:hAnsi="Arial" w:cs="Arial"/>
          <w:color w:val="000000" w:themeColor="text1"/>
          <w:sz w:val="19"/>
          <w:szCs w:val="19"/>
        </w:rPr>
        <w:footnoteRef/>
      </w:r>
      <w:r w:rsidRPr="00892E76">
        <w:rPr>
          <w:rFonts w:ascii="Arial" w:hAnsi="Arial" w:cs="Arial"/>
          <w:color w:val="000000" w:themeColor="text1"/>
          <w:sz w:val="19"/>
          <w:szCs w:val="19"/>
        </w:rPr>
        <w:t xml:space="preserve"> El proyecto de </w:t>
      </w:r>
      <w:r w:rsidR="007679A2" w:rsidRPr="00892E76">
        <w:rPr>
          <w:rFonts w:ascii="Arial" w:hAnsi="Arial" w:cs="Arial"/>
          <w:color w:val="000000" w:themeColor="text1"/>
          <w:sz w:val="19"/>
          <w:szCs w:val="19"/>
        </w:rPr>
        <w:t>decreto</w:t>
      </w:r>
      <w:r w:rsidR="00C2719D" w:rsidRPr="00892E76">
        <w:rPr>
          <w:rFonts w:ascii="Arial" w:hAnsi="Arial" w:cs="Arial"/>
          <w:color w:val="000000" w:themeColor="text1"/>
          <w:sz w:val="19"/>
          <w:szCs w:val="19"/>
        </w:rPr>
        <w:t xml:space="preserve">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4C11F0" w:rsidRPr="00892E76">
        <w:rPr>
          <w:rFonts w:ascii="Arial" w:hAnsi="Arial" w:cs="Arial"/>
          <w:color w:val="000000" w:themeColor="text1"/>
          <w:sz w:val="19"/>
          <w:szCs w:val="19"/>
        </w:rPr>
        <w:t>, definiendo medios probatorios específicos</w:t>
      </w:r>
      <w:r w:rsidR="007D5A68" w:rsidRPr="00892E76">
        <w:rPr>
          <w:rFonts w:ascii="Arial" w:hAnsi="Arial" w:cs="Arial"/>
          <w:color w:val="000000" w:themeColor="text1"/>
          <w:sz w:val="19"/>
          <w:szCs w:val="19"/>
        </w:rPr>
        <w:t xml:space="preserve"> para acreditar algunos factores de desempate</w:t>
      </w:r>
      <w:r w:rsidR="004C11F0" w:rsidRPr="00892E76">
        <w:rPr>
          <w:rFonts w:ascii="Arial" w:hAnsi="Arial" w:cs="Arial"/>
          <w:color w:val="000000" w:themeColor="text1"/>
          <w:sz w:val="19"/>
          <w:szCs w:val="19"/>
        </w:rPr>
        <w:t>,</w:t>
      </w:r>
      <w:r w:rsidR="00C2719D" w:rsidRPr="00892E76">
        <w:rPr>
          <w:rFonts w:ascii="Arial" w:hAnsi="Arial" w:cs="Arial"/>
          <w:color w:val="000000" w:themeColor="text1"/>
          <w:sz w:val="19"/>
          <w:szCs w:val="19"/>
        </w:rPr>
        <w:t xml:space="preserve"> </w:t>
      </w:r>
      <w:r w:rsidR="000724E3" w:rsidRPr="00892E76">
        <w:rPr>
          <w:rFonts w:ascii="Arial" w:hAnsi="Arial" w:cs="Arial"/>
          <w:color w:val="000000" w:themeColor="text1"/>
          <w:sz w:val="19"/>
          <w:szCs w:val="19"/>
        </w:rPr>
        <w:t xml:space="preserve">está </w:t>
      </w:r>
      <w:r w:rsidR="00C2719D" w:rsidRPr="00892E76">
        <w:rPr>
          <w:rFonts w:ascii="Arial" w:hAnsi="Arial" w:cs="Arial"/>
          <w:color w:val="000000" w:themeColor="text1"/>
          <w:sz w:val="19"/>
          <w:szCs w:val="19"/>
        </w:rPr>
        <w:t xml:space="preserve">disponible en el siguiente enlace: </w:t>
      </w:r>
      <w:hyperlink r:id="rId1" w:history="1">
        <w:r w:rsidR="00CC4C57" w:rsidRPr="00892E76">
          <w:rPr>
            <w:rStyle w:val="Hipervnculo"/>
            <w:rFonts w:ascii="Arial" w:hAnsi="Arial" w:cs="Arial"/>
            <w:color w:val="000000" w:themeColor="text1"/>
            <w:sz w:val="19"/>
            <w:szCs w:val="19"/>
            <w:u w:val="none"/>
          </w:rPr>
          <w:t>https://www.dnp.gov.co/DNPN/normativa/proyectos-de-normatividad</w:t>
        </w:r>
      </w:hyperlink>
    </w:p>
    <w:p w14:paraId="75D4B4BE" w14:textId="5EFFC943" w:rsidR="005D31BA" w:rsidRPr="00892E76" w:rsidRDefault="00CC4C57" w:rsidP="007679A2">
      <w:pPr>
        <w:pStyle w:val="Textonotapie"/>
        <w:ind w:firstLine="709"/>
        <w:jc w:val="both"/>
        <w:rPr>
          <w:rFonts w:ascii="Arial" w:hAnsi="Arial" w:cs="Arial"/>
          <w:sz w:val="19"/>
          <w:szCs w:val="19"/>
        </w:rPr>
      </w:pPr>
      <w:r w:rsidRPr="00892E76">
        <w:rPr>
          <w:rFonts w:ascii="Arial" w:hAnsi="Arial" w:cs="Arial"/>
          <w:sz w:val="19"/>
          <w:szCs w:val="19"/>
        </w:rPr>
        <w:t xml:space="preserve">En dicho </w:t>
      </w:r>
      <w:r w:rsidR="00B1271A" w:rsidRPr="00892E76">
        <w:rPr>
          <w:rFonts w:ascii="Arial" w:hAnsi="Arial" w:cs="Arial"/>
          <w:sz w:val="19"/>
          <w:szCs w:val="19"/>
        </w:rPr>
        <w:t>proyecto</w:t>
      </w:r>
      <w:r w:rsidR="0042002B" w:rsidRPr="00892E76">
        <w:rPr>
          <w:rFonts w:ascii="Arial" w:hAnsi="Arial" w:cs="Arial"/>
          <w:sz w:val="19"/>
          <w:szCs w:val="19"/>
        </w:rPr>
        <w:t xml:space="preserve"> –que se encuentra en fase de revisión de las observaciones de la ciudadanía–</w:t>
      </w:r>
      <w:r w:rsidR="00B1271A" w:rsidRPr="00892E76">
        <w:rPr>
          <w:rFonts w:ascii="Arial" w:hAnsi="Arial" w:cs="Arial"/>
          <w:sz w:val="19"/>
          <w:szCs w:val="19"/>
        </w:rPr>
        <w:t xml:space="preserve"> se dice</w:t>
      </w:r>
      <w:r w:rsidR="0042002B" w:rsidRPr="00892E76">
        <w:rPr>
          <w:rFonts w:ascii="Arial" w:hAnsi="Arial" w:cs="Arial"/>
          <w:sz w:val="19"/>
          <w:szCs w:val="19"/>
        </w:rPr>
        <w:t>,</w:t>
      </w:r>
      <w:r w:rsidR="00B1271A" w:rsidRPr="00892E76">
        <w:rPr>
          <w:rFonts w:ascii="Arial" w:hAnsi="Arial" w:cs="Arial"/>
          <w:sz w:val="19"/>
          <w:szCs w:val="19"/>
        </w:rPr>
        <w:t xml:space="preserve"> respecto del numeral 4</w:t>
      </w:r>
      <w:r w:rsidR="00731DBE" w:rsidRPr="00892E76">
        <w:rPr>
          <w:rFonts w:ascii="Arial" w:hAnsi="Arial" w:cs="Arial"/>
          <w:sz w:val="19"/>
          <w:szCs w:val="19"/>
        </w:rPr>
        <w:t>,</w:t>
      </w:r>
      <w:r w:rsidR="00B1271A" w:rsidRPr="00892E76">
        <w:rPr>
          <w:rFonts w:ascii="Arial" w:hAnsi="Arial" w:cs="Arial"/>
          <w:sz w:val="19"/>
          <w:szCs w:val="19"/>
        </w:rPr>
        <w:t xml:space="preserve"> </w:t>
      </w:r>
      <w:r w:rsidR="00731DBE" w:rsidRPr="00892E76">
        <w:rPr>
          <w:rFonts w:ascii="Arial" w:hAnsi="Arial" w:cs="Arial"/>
          <w:sz w:val="19"/>
          <w:szCs w:val="19"/>
        </w:rPr>
        <w:t>que se debe</w:t>
      </w:r>
      <w:r w:rsidR="00B1271A" w:rsidRPr="00892E76">
        <w:rPr>
          <w:rFonts w:ascii="Arial" w:hAnsi="Arial" w:cs="Arial"/>
          <w:sz w:val="19"/>
          <w:szCs w:val="19"/>
        </w:rPr>
        <w:t>: «4.</w:t>
      </w:r>
      <w:r w:rsidR="007679A2" w:rsidRPr="00892E76">
        <w:rPr>
          <w:rFonts w:ascii="Arial" w:hAnsi="Arial" w:cs="Arial"/>
          <w:sz w:val="19"/>
          <w:szCs w:val="19"/>
        </w:rPr>
        <w:t xml:space="preserve"> </w:t>
      </w:r>
      <w:r w:rsidR="00B1271A" w:rsidRPr="00892E76">
        <w:rPr>
          <w:rFonts w:ascii="Arial" w:hAnsi="Arial" w:cs="Arial"/>
          <w:sz w:val="19"/>
          <w:szCs w:val="19"/>
        </w:rPr>
        <w:t>Preferir la propuesta presentada por el</w:t>
      </w:r>
      <w:r w:rsidR="00731DBE" w:rsidRPr="00892E76">
        <w:rPr>
          <w:rFonts w:ascii="Arial" w:hAnsi="Arial" w:cs="Arial"/>
          <w:sz w:val="19"/>
          <w:szCs w:val="19"/>
        </w:rPr>
        <w:t xml:space="preserve"> </w:t>
      </w:r>
      <w:r w:rsidR="00B1271A" w:rsidRPr="00892E76">
        <w:rPr>
          <w:rFonts w:ascii="Arial" w:hAnsi="Arial" w:cs="Arial"/>
          <w:sz w:val="19"/>
          <w:szCs w:val="19"/>
        </w:rPr>
        <w:t>oferente que acredite la vinculación</w:t>
      </w:r>
      <w:r w:rsidR="00731DBE" w:rsidRPr="00892E76">
        <w:rPr>
          <w:rFonts w:ascii="Arial" w:hAnsi="Arial" w:cs="Arial"/>
          <w:sz w:val="19"/>
          <w:szCs w:val="19"/>
        </w:rPr>
        <w:t xml:space="preserve"> </w:t>
      </w:r>
      <w:r w:rsidR="00B1271A" w:rsidRPr="00892E76">
        <w:rPr>
          <w:rFonts w:ascii="Arial" w:hAnsi="Arial" w:cs="Arial"/>
          <w:sz w:val="19"/>
          <w:szCs w:val="19"/>
        </w:rPr>
        <w:t>en mayor proporción de personas mayores que no sean beneficiarias de la</w:t>
      </w:r>
      <w:r w:rsidR="00731DBE" w:rsidRPr="00892E76">
        <w:rPr>
          <w:rFonts w:ascii="Arial" w:hAnsi="Arial" w:cs="Arial"/>
          <w:sz w:val="19"/>
          <w:szCs w:val="19"/>
        </w:rPr>
        <w:t xml:space="preserve"> </w:t>
      </w:r>
      <w:r w:rsidR="00B1271A" w:rsidRPr="00892E76">
        <w:rPr>
          <w:rFonts w:ascii="Arial" w:hAnsi="Arial" w:cs="Arial"/>
          <w:sz w:val="19"/>
          <w:szCs w:val="19"/>
        </w:rPr>
        <w:t>pensión de vejez, familiar o de sobrevivencia y que hayan cumplido el requisito</w:t>
      </w:r>
      <w:r w:rsidR="00731DBE" w:rsidRPr="00892E76">
        <w:rPr>
          <w:rFonts w:ascii="Arial" w:hAnsi="Arial" w:cs="Arial"/>
          <w:sz w:val="19"/>
          <w:szCs w:val="19"/>
        </w:rPr>
        <w:t xml:space="preserve"> </w:t>
      </w:r>
      <w:r w:rsidR="00B1271A" w:rsidRPr="00892E76">
        <w:rPr>
          <w:rFonts w:ascii="Arial" w:hAnsi="Arial" w:cs="Arial"/>
          <w:sz w:val="19"/>
          <w:szCs w:val="19"/>
        </w:rPr>
        <w:t>de edad de pensión</w:t>
      </w:r>
      <w:r w:rsidR="00731DBE" w:rsidRPr="00892E76">
        <w:rPr>
          <w:rFonts w:ascii="Arial" w:hAnsi="Arial" w:cs="Arial"/>
          <w:sz w:val="19"/>
          <w:szCs w:val="19"/>
        </w:rPr>
        <w:t xml:space="preserve"> </w:t>
      </w:r>
      <w:r w:rsidR="00B1271A" w:rsidRPr="00892E76">
        <w:rPr>
          <w:rFonts w:ascii="Arial" w:hAnsi="Arial" w:cs="Arial"/>
          <w:sz w:val="19"/>
          <w:szCs w:val="19"/>
        </w:rPr>
        <w:t>establecido en la ley, para ello, la persona natural, el</w:t>
      </w:r>
      <w:r w:rsidR="00731DBE" w:rsidRPr="00892E76">
        <w:rPr>
          <w:rFonts w:ascii="Arial" w:hAnsi="Arial" w:cs="Arial"/>
          <w:sz w:val="19"/>
          <w:szCs w:val="19"/>
        </w:rPr>
        <w:t xml:space="preserve"> </w:t>
      </w:r>
      <w:r w:rsidR="00B1271A" w:rsidRPr="00892E76">
        <w:rPr>
          <w:rFonts w:ascii="Arial" w:hAnsi="Arial" w:cs="Arial"/>
          <w:sz w:val="19"/>
          <w:szCs w:val="19"/>
        </w:rPr>
        <w:t>representante legal de la persona jurídica o el revisor fiscal, según</w:t>
      </w:r>
      <w:r w:rsidR="00731DBE" w:rsidRPr="00892E76">
        <w:rPr>
          <w:rFonts w:ascii="Arial" w:hAnsi="Arial" w:cs="Arial"/>
          <w:sz w:val="19"/>
          <w:szCs w:val="19"/>
        </w:rPr>
        <w:t xml:space="preserve"> </w:t>
      </w:r>
      <w:r w:rsidR="00B1271A" w:rsidRPr="00892E76">
        <w:rPr>
          <w:rFonts w:ascii="Arial" w:hAnsi="Arial" w:cs="Arial"/>
          <w:sz w:val="19"/>
          <w:szCs w:val="19"/>
        </w:rPr>
        <w:t>corresponda, entregará un certificado, en el que se acredite, bajo la gravedad</w:t>
      </w:r>
      <w:r w:rsidR="00731DBE" w:rsidRPr="00892E76">
        <w:rPr>
          <w:rFonts w:ascii="Arial" w:hAnsi="Arial" w:cs="Arial"/>
          <w:sz w:val="19"/>
          <w:szCs w:val="19"/>
        </w:rPr>
        <w:t xml:space="preserve"> </w:t>
      </w:r>
      <w:r w:rsidR="00B1271A" w:rsidRPr="00892E76">
        <w:rPr>
          <w:rFonts w:ascii="Arial" w:hAnsi="Arial" w:cs="Arial"/>
          <w:sz w:val="19"/>
          <w:szCs w:val="19"/>
        </w:rPr>
        <w:t>de juramento, las</w:t>
      </w:r>
      <w:r w:rsidR="00731DBE" w:rsidRPr="00892E76">
        <w:rPr>
          <w:rFonts w:ascii="Arial" w:hAnsi="Arial" w:cs="Arial"/>
          <w:sz w:val="19"/>
          <w:szCs w:val="19"/>
        </w:rPr>
        <w:t xml:space="preserve"> </w:t>
      </w:r>
      <w:r w:rsidR="00B1271A" w:rsidRPr="00892E76">
        <w:rPr>
          <w:rFonts w:ascii="Arial" w:hAnsi="Arial" w:cs="Arial"/>
          <w:sz w:val="19"/>
          <w:szCs w:val="19"/>
        </w:rPr>
        <w:t>personas vinculadas en su nómina y el número de</w:t>
      </w:r>
      <w:r w:rsidR="00731DBE" w:rsidRPr="00892E76">
        <w:rPr>
          <w:rFonts w:ascii="Arial" w:hAnsi="Arial" w:cs="Arial"/>
          <w:sz w:val="19"/>
          <w:szCs w:val="19"/>
        </w:rPr>
        <w:t xml:space="preserve"> </w:t>
      </w:r>
      <w:r w:rsidR="00B1271A" w:rsidRPr="00892E76">
        <w:rPr>
          <w:rFonts w:ascii="Arial" w:hAnsi="Arial" w:cs="Arial"/>
          <w:sz w:val="19"/>
          <w:szCs w:val="19"/>
        </w:rPr>
        <w:t>trabajadores que no son beneficiarios de la pensión de vejez, familiar o de</w:t>
      </w:r>
      <w:r w:rsidR="00731DBE" w:rsidRPr="00892E76">
        <w:rPr>
          <w:rFonts w:ascii="Arial" w:hAnsi="Arial" w:cs="Arial"/>
          <w:sz w:val="19"/>
          <w:szCs w:val="19"/>
        </w:rPr>
        <w:t xml:space="preserve"> </w:t>
      </w:r>
      <w:r w:rsidR="00B1271A" w:rsidRPr="00892E76">
        <w:rPr>
          <w:rFonts w:ascii="Arial" w:hAnsi="Arial" w:cs="Arial"/>
          <w:sz w:val="19"/>
          <w:szCs w:val="19"/>
        </w:rPr>
        <w:t>sobrevivencia y que cumplieron el requisito de edad de pensión. Solo se tendrá</w:t>
      </w:r>
      <w:r w:rsidR="00731DBE" w:rsidRPr="00892E76">
        <w:rPr>
          <w:rFonts w:ascii="Arial" w:hAnsi="Arial" w:cs="Arial"/>
          <w:sz w:val="19"/>
          <w:szCs w:val="19"/>
        </w:rPr>
        <w:t xml:space="preserve"> </w:t>
      </w:r>
      <w:r w:rsidR="00B1271A" w:rsidRPr="00892E76">
        <w:rPr>
          <w:rFonts w:ascii="Arial" w:hAnsi="Arial" w:cs="Arial"/>
          <w:sz w:val="19"/>
          <w:szCs w:val="19"/>
        </w:rPr>
        <w:t>en cuenta</w:t>
      </w:r>
      <w:r w:rsidR="00731DBE" w:rsidRPr="00892E76">
        <w:rPr>
          <w:rFonts w:ascii="Arial" w:hAnsi="Arial" w:cs="Arial"/>
          <w:sz w:val="19"/>
          <w:szCs w:val="19"/>
        </w:rPr>
        <w:t xml:space="preserve"> </w:t>
      </w:r>
      <w:r w:rsidR="00B1271A" w:rsidRPr="00892E76">
        <w:rPr>
          <w:rFonts w:ascii="Arial" w:hAnsi="Arial" w:cs="Arial"/>
          <w:sz w:val="19"/>
          <w:szCs w:val="19"/>
        </w:rPr>
        <w:t>la vinculación de aquellas personas que se encuentren en las</w:t>
      </w:r>
      <w:r w:rsidR="00731DBE" w:rsidRPr="00892E76">
        <w:rPr>
          <w:rFonts w:ascii="Arial" w:hAnsi="Arial" w:cs="Arial"/>
          <w:sz w:val="19"/>
          <w:szCs w:val="19"/>
        </w:rPr>
        <w:t xml:space="preserve"> </w:t>
      </w:r>
      <w:r w:rsidR="00B1271A" w:rsidRPr="00892E76">
        <w:rPr>
          <w:rFonts w:ascii="Arial" w:hAnsi="Arial" w:cs="Arial"/>
          <w:sz w:val="19"/>
          <w:szCs w:val="19"/>
        </w:rPr>
        <w:t>condiciones descritas y que hayan estado vinculadas con una anterioridad</w:t>
      </w:r>
      <w:r w:rsidR="00731DBE" w:rsidRPr="00892E76">
        <w:rPr>
          <w:rFonts w:ascii="Arial" w:hAnsi="Arial" w:cs="Arial"/>
          <w:sz w:val="19"/>
          <w:szCs w:val="19"/>
        </w:rPr>
        <w:t xml:space="preserve"> </w:t>
      </w:r>
      <w:r w:rsidR="00B1271A" w:rsidRPr="00892E76">
        <w:rPr>
          <w:rFonts w:ascii="Arial" w:hAnsi="Arial" w:cs="Arial"/>
          <w:sz w:val="19"/>
          <w:szCs w:val="19"/>
        </w:rPr>
        <w:t>igual o mayor a un (1) año contado a partir de la fecha del cierre del proceso.</w:t>
      </w:r>
      <w:r w:rsidR="005D31BA" w:rsidRPr="00892E76">
        <w:rPr>
          <w:rFonts w:ascii="Arial" w:hAnsi="Arial" w:cs="Arial"/>
          <w:sz w:val="19"/>
          <w:szCs w:val="19"/>
        </w:rPr>
        <w:t xml:space="preserve"> </w:t>
      </w:r>
      <w:r w:rsidR="00B1271A" w:rsidRPr="00892E76">
        <w:rPr>
          <w:rFonts w:ascii="Arial" w:hAnsi="Arial" w:cs="Arial"/>
          <w:sz w:val="19"/>
          <w:szCs w:val="19"/>
        </w:rPr>
        <w:t>Para los casos de constitución inferior a un (1) año, se tendrá en cuenta a</w:t>
      </w:r>
      <w:r w:rsidR="005D31BA" w:rsidRPr="00892E76">
        <w:rPr>
          <w:rFonts w:ascii="Arial" w:hAnsi="Arial" w:cs="Arial"/>
          <w:sz w:val="19"/>
          <w:szCs w:val="19"/>
        </w:rPr>
        <w:t xml:space="preserve"> </w:t>
      </w:r>
      <w:r w:rsidR="00B1271A" w:rsidRPr="00892E76">
        <w:rPr>
          <w:rFonts w:ascii="Arial" w:hAnsi="Arial" w:cs="Arial"/>
          <w:sz w:val="19"/>
          <w:szCs w:val="19"/>
        </w:rPr>
        <w:t>aquellos que hayan estado</w:t>
      </w:r>
      <w:r w:rsidR="005D31BA" w:rsidRPr="00892E76">
        <w:rPr>
          <w:rFonts w:ascii="Arial" w:hAnsi="Arial" w:cs="Arial"/>
          <w:sz w:val="19"/>
          <w:szCs w:val="19"/>
        </w:rPr>
        <w:t xml:space="preserve"> </w:t>
      </w:r>
      <w:r w:rsidR="00B1271A" w:rsidRPr="00892E76">
        <w:rPr>
          <w:rFonts w:ascii="Arial" w:hAnsi="Arial" w:cs="Arial"/>
          <w:sz w:val="19"/>
          <w:szCs w:val="19"/>
        </w:rPr>
        <w:t>vinculados desde el momento de la constitución de</w:t>
      </w:r>
      <w:r w:rsidR="005D31BA" w:rsidRPr="00892E76">
        <w:rPr>
          <w:rFonts w:ascii="Arial" w:hAnsi="Arial" w:cs="Arial"/>
          <w:sz w:val="19"/>
          <w:szCs w:val="19"/>
        </w:rPr>
        <w:t xml:space="preserve"> </w:t>
      </w:r>
      <w:r w:rsidR="00B1271A" w:rsidRPr="00892E76">
        <w:rPr>
          <w:rFonts w:ascii="Arial" w:hAnsi="Arial" w:cs="Arial"/>
          <w:sz w:val="19"/>
          <w:szCs w:val="19"/>
        </w:rPr>
        <w:t>la persona jurídica.</w:t>
      </w:r>
    </w:p>
    <w:p w14:paraId="48D1186A" w14:textId="758551D7" w:rsidR="005D31BA"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El tiempo de vinculación en la planta referida, de que trata el inciso anterior,</w:t>
      </w:r>
      <w:r w:rsidR="005D31BA" w:rsidRPr="00892E76">
        <w:rPr>
          <w:rFonts w:ascii="Arial" w:hAnsi="Arial" w:cs="Arial"/>
          <w:sz w:val="19"/>
          <w:szCs w:val="19"/>
        </w:rPr>
        <w:t xml:space="preserve"> </w:t>
      </w:r>
      <w:r w:rsidR="00B1271A" w:rsidRPr="00892E76">
        <w:rPr>
          <w:rFonts w:ascii="Arial" w:hAnsi="Arial" w:cs="Arial"/>
          <w:sz w:val="19"/>
          <w:szCs w:val="19"/>
        </w:rPr>
        <w:t>se acreditará con el certificado</w:t>
      </w:r>
      <w:r w:rsidR="005D31BA" w:rsidRPr="00892E76">
        <w:rPr>
          <w:rFonts w:ascii="Arial" w:hAnsi="Arial" w:cs="Arial"/>
          <w:sz w:val="19"/>
          <w:szCs w:val="19"/>
        </w:rPr>
        <w:t xml:space="preserve"> </w:t>
      </w:r>
      <w:r w:rsidR="00B1271A" w:rsidRPr="00892E76">
        <w:rPr>
          <w:rFonts w:ascii="Arial" w:hAnsi="Arial" w:cs="Arial"/>
          <w:sz w:val="19"/>
          <w:szCs w:val="19"/>
        </w:rPr>
        <w:t>de aportes a seguridad social del último año o</w:t>
      </w:r>
      <w:r w:rsidR="005D31BA" w:rsidRPr="00892E76">
        <w:rPr>
          <w:rFonts w:ascii="Arial" w:hAnsi="Arial" w:cs="Arial"/>
          <w:sz w:val="19"/>
          <w:szCs w:val="19"/>
        </w:rPr>
        <w:t xml:space="preserve"> </w:t>
      </w:r>
      <w:r w:rsidR="00B1271A" w:rsidRPr="00892E76">
        <w:rPr>
          <w:rFonts w:ascii="Arial" w:hAnsi="Arial" w:cs="Arial"/>
          <w:sz w:val="19"/>
          <w:szCs w:val="19"/>
        </w:rPr>
        <w:t>del tiempo de constitución de la persona jurídica, cuando su</w:t>
      </w:r>
      <w:r w:rsidR="005D31BA" w:rsidRPr="00892E76">
        <w:rPr>
          <w:rFonts w:ascii="Arial" w:hAnsi="Arial" w:cs="Arial"/>
          <w:sz w:val="19"/>
          <w:szCs w:val="19"/>
        </w:rPr>
        <w:t xml:space="preserve"> </w:t>
      </w:r>
      <w:r w:rsidR="00B1271A" w:rsidRPr="00892E76">
        <w:rPr>
          <w:rFonts w:ascii="Arial" w:hAnsi="Arial" w:cs="Arial"/>
          <w:sz w:val="19"/>
          <w:szCs w:val="19"/>
        </w:rPr>
        <w:t>conformación es</w:t>
      </w:r>
      <w:r w:rsidR="005D31BA" w:rsidRPr="00892E76">
        <w:rPr>
          <w:rFonts w:ascii="Arial" w:hAnsi="Arial" w:cs="Arial"/>
          <w:sz w:val="19"/>
          <w:szCs w:val="19"/>
        </w:rPr>
        <w:t xml:space="preserve"> </w:t>
      </w:r>
      <w:r w:rsidR="00B1271A" w:rsidRPr="00892E76">
        <w:rPr>
          <w:rFonts w:ascii="Arial" w:hAnsi="Arial" w:cs="Arial"/>
          <w:sz w:val="19"/>
          <w:szCs w:val="19"/>
        </w:rPr>
        <w:t>inferior a un (1) año, en el que se demuestren los pagos realizados por el</w:t>
      </w:r>
      <w:r w:rsidR="005D31BA" w:rsidRPr="00892E76">
        <w:rPr>
          <w:rFonts w:ascii="Arial" w:hAnsi="Arial" w:cs="Arial"/>
          <w:sz w:val="19"/>
          <w:szCs w:val="19"/>
        </w:rPr>
        <w:t xml:space="preserve"> </w:t>
      </w:r>
      <w:r w:rsidR="00B1271A" w:rsidRPr="00892E76">
        <w:rPr>
          <w:rFonts w:ascii="Arial" w:hAnsi="Arial" w:cs="Arial"/>
          <w:sz w:val="19"/>
          <w:szCs w:val="19"/>
        </w:rPr>
        <w:t>empleador.</w:t>
      </w:r>
    </w:p>
    <w:p w14:paraId="2861FE78" w14:textId="62CC9729" w:rsidR="007F6D1B"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En el caso de los proponentes plurales, su representante legal acreditará el</w:t>
      </w:r>
      <w:r w:rsidRPr="00892E76">
        <w:rPr>
          <w:rFonts w:ascii="Arial" w:hAnsi="Arial" w:cs="Arial"/>
          <w:sz w:val="19"/>
          <w:szCs w:val="19"/>
        </w:rPr>
        <w:t xml:space="preserve"> </w:t>
      </w:r>
      <w:r w:rsidR="00B1271A" w:rsidRPr="00892E76">
        <w:rPr>
          <w:rFonts w:ascii="Arial" w:hAnsi="Arial" w:cs="Arial"/>
          <w:sz w:val="19"/>
          <w:szCs w:val="19"/>
        </w:rPr>
        <w:t>número de trabajadores</w:t>
      </w:r>
      <w:r w:rsidRPr="00892E76">
        <w:rPr>
          <w:rFonts w:ascii="Arial" w:hAnsi="Arial" w:cs="Arial"/>
          <w:sz w:val="19"/>
          <w:szCs w:val="19"/>
        </w:rPr>
        <w:t xml:space="preserve"> </w:t>
      </w:r>
      <w:r w:rsidR="00B1271A" w:rsidRPr="00892E76">
        <w:rPr>
          <w:rFonts w:ascii="Arial" w:hAnsi="Arial" w:cs="Arial"/>
          <w:sz w:val="19"/>
          <w:szCs w:val="19"/>
        </w:rPr>
        <w:t>vinculados que son personas mayores no</w:t>
      </w:r>
      <w:r w:rsidRPr="00892E76">
        <w:rPr>
          <w:rFonts w:ascii="Arial" w:hAnsi="Arial" w:cs="Arial"/>
          <w:sz w:val="19"/>
          <w:szCs w:val="19"/>
        </w:rPr>
        <w:t xml:space="preserve"> </w:t>
      </w:r>
      <w:r w:rsidR="00B1271A" w:rsidRPr="00892E76">
        <w:rPr>
          <w:rFonts w:ascii="Arial" w:hAnsi="Arial" w:cs="Arial"/>
          <w:sz w:val="19"/>
          <w:szCs w:val="19"/>
        </w:rPr>
        <w:t>beneficiarias de la pensión de vejez, familiar o de sobrevivencia, y</w:t>
      </w:r>
      <w:r w:rsidRPr="00892E76">
        <w:rPr>
          <w:rFonts w:ascii="Arial" w:hAnsi="Arial" w:cs="Arial"/>
          <w:sz w:val="19"/>
          <w:szCs w:val="19"/>
        </w:rPr>
        <w:t xml:space="preserve"> </w:t>
      </w:r>
      <w:r w:rsidR="00B1271A" w:rsidRPr="00892E76">
        <w:rPr>
          <w:rFonts w:ascii="Arial" w:hAnsi="Arial" w:cs="Arial"/>
          <w:sz w:val="19"/>
          <w:szCs w:val="19"/>
        </w:rPr>
        <w:t>que</w:t>
      </w:r>
      <w:r w:rsidRPr="00892E76">
        <w:rPr>
          <w:rFonts w:ascii="Arial" w:hAnsi="Arial" w:cs="Arial"/>
          <w:sz w:val="19"/>
          <w:szCs w:val="19"/>
        </w:rPr>
        <w:t xml:space="preserve"> </w:t>
      </w:r>
      <w:r w:rsidR="00B1271A" w:rsidRPr="00892E76">
        <w:rPr>
          <w:rFonts w:ascii="Arial" w:hAnsi="Arial" w:cs="Arial"/>
          <w:sz w:val="19"/>
          <w:szCs w:val="19"/>
        </w:rPr>
        <w:t>cumplieron el requisito de edad de pensión establecido en la ley, de todos los</w:t>
      </w:r>
      <w:r w:rsidRPr="00892E76">
        <w:rPr>
          <w:rFonts w:ascii="Arial" w:hAnsi="Arial" w:cs="Arial"/>
          <w:sz w:val="19"/>
          <w:szCs w:val="19"/>
        </w:rPr>
        <w:t xml:space="preserve"> </w:t>
      </w:r>
      <w:r w:rsidR="00B1271A" w:rsidRPr="00892E76">
        <w:rPr>
          <w:rFonts w:ascii="Arial" w:hAnsi="Arial" w:cs="Arial"/>
          <w:sz w:val="19"/>
          <w:szCs w:val="19"/>
        </w:rPr>
        <w:t>integrantes del consorcio</w:t>
      </w:r>
      <w:r w:rsidRPr="00892E76">
        <w:rPr>
          <w:rFonts w:ascii="Arial" w:hAnsi="Arial" w:cs="Arial"/>
          <w:sz w:val="19"/>
          <w:szCs w:val="19"/>
        </w:rPr>
        <w:t xml:space="preserve"> </w:t>
      </w:r>
      <w:r w:rsidR="00B1271A" w:rsidRPr="00892E76">
        <w:rPr>
          <w:rFonts w:ascii="Arial" w:hAnsi="Arial" w:cs="Arial"/>
          <w:sz w:val="19"/>
          <w:szCs w:val="19"/>
        </w:rPr>
        <w:t>o de la unión temporal. Las personas enunciadas</w:t>
      </w:r>
      <w:r w:rsidRPr="00892E76">
        <w:rPr>
          <w:rFonts w:ascii="Arial" w:hAnsi="Arial" w:cs="Arial"/>
          <w:sz w:val="19"/>
          <w:szCs w:val="19"/>
        </w:rPr>
        <w:t xml:space="preserve"> </w:t>
      </w:r>
      <w:r w:rsidR="00B1271A" w:rsidRPr="00892E76">
        <w:rPr>
          <w:rFonts w:ascii="Arial" w:hAnsi="Arial" w:cs="Arial"/>
          <w:sz w:val="19"/>
          <w:szCs w:val="19"/>
        </w:rPr>
        <w:t>anteriormente podrán estar vinculadas a cualquiera de sus</w:t>
      </w:r>
      <w:r w:rsidRPr="00892E76">
        <w:rPr>
          <w:rFonts w:ascii="Arial" w:hAnsi="Arial" w:cs="Arial"/>
          <w:sz w:val="19"/>
          <w:szCs w:val="19"/>
        </w:rPr>
        <w:t xml:space="preserve"> </w:t>
      </w:r>
      <w:r w:rsidR="00B1271A" w:rsidRPr="00892E76">
        <w:rPr>
          <w:rFonts w:ascii="Arial" w:hAnsi="Arial" w:cs="Arial"/>
          <w:sz w:val="19"/>
          <w:szCs w:val="19"/>
        </w:rPr>
        <w:t>integrantes.</w:t>
      </w:r>
    </w:p>
    <w:p w14:paraId="38896C7A" w14:textId="36645DC4" w:rsidR="007F6D1B" w:rsidRPr="00892E76" w:rsidRDefault="007F6D1B" w:rsidP="007679A2">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En cualquiera de los dos supuestos anteriores, para el otorgamiento del criterio</w:t>
      </w:r>
      <w:r w:rsidRPr="00892E76">
        <w:rPr>
          <w:rFonts w:ascii="Arial" w:hAnsi="Arial" w:cs="Arial"/>
          <w:sz w:val="19"/>
          <w:szCs w:val="19"/>
        </w:rPr>
        <w:t xml:space="preserve"> </w:t>
      </w:r>
      <w:r w:rsidR="00B1271A" w:rsidRPr="00892E76">
        <w:rPr>
          <w:rFonts w:ascii="Arial" w:hAnsi="Arial" w:cs="Arial"/>
          <w:sz w:val="19"/>
          <w:szCs w:val="19"/>
        </w:rPr>
        <w:t>de desempate, cada uno de</w:t>
      </w:r>
      <w:r w:rsidRPr="00892E76">
        <w:rPr>
          <w:rFonts w:ascii="Arial" w:hAnsi="Arial" w:cs="Arial"/>
          <w:sz w:val="19"/>
          <w:szCs w:val="19"/>
        </w:rPr>
        <w:t xml:space="preserve"> </w:t>
      </w:r>
      <w:r w:rsidR="00B1271A" w:rsidRPr="00892E76">
        <w:rPr>
          <w:rFonts w:ascii="Arial" w:hAnsi="Arial" w:cs="Arial"/>
          <w:sz w:val="19"/>
          <w:szCs w:val="19"/>
        </w:rPr>
        <w:t>los trabajadores que cumpla las condiciones</w:t>
      </w:r>
      <w:r w:rsidRPr="00892E76">
        <w:rPr>
          <w:rFonts w:ascii="Arial" w:hAnsi="Arial" w:cs="Arial"/>
          <w:sz w:val="19"/>
          <w:szCs w:val="19"/>
        </w:rPr>
        <w:t xml:space="preserve"> </w:t>
      </w:r>
      <w:r w:rsidR="00B1271A" w:rsidRPr="00892E76">
        <w:rPr>
          <w:rFonts w:ascii="Arial" w:hAnsi="Arial" w:cs="Arial"/>
          <w:sz w:val="19"/>
          <w:szCs w:val="19"/>
        </w:rPr>
        <w:t>previstas por la ley, allegará un certificado, mediante el cual acredita, bajo la</w:t>
      </w:r>
      <w:r w:rsidRPr="00892E76">
        <w:rPr>
          <w:rFonts w:ascii="Arial" w:hAnsi="Arial" w:cs="Arial"/>
          <w:sz w:val="19"/>
          <w:szCs w:val="19"/>
        </w:rPr>
        <w:t xml:space="preserve"> </w:t>
      </w:r>
      <w:r w:rsidR="00B1271A" w:rsidRPr="00892E76">
        <w:rPr>
          <w:rFonts w:ascii="Arial" w:hAnsi="Arial" w:cs="Arial"/>
          <w:sz w:val="19"/>
          <w:szCs w:val="19"/>
        </w:rPr>
        <w:t>gravedad de juramento, que no es beneficiario de pensión de vejez, familiar o</w:t>
      </w:r>
      <w:r w:rsidRPr="00892E76">
        <w:rPr>
          <w:rFonts w:ascii="Arial" w:hAnsi="Arial" w:cs="Arial"/>
          <w:sz w:val="19"/>
          <w:szCs w:val="19"/>
        </w:rPr>
        <w:t xml:space="preserve"> </w:t>
      </w:r>
      <w:r w:rsidR="00B1271A" w:rsidRPr="00892E76">
        <w:rPr>
          <w:rFonts w:ascii="Arial" w:hAnsi="Arial" w:cs="Arial"/>
          <w:sz w:val="19"/>
          <w:szCs w:val="19"/>
        </w:rPr>
        <w:t>sobrevivencia,</w:t>
      </w:r>
      <w:r w:rsidRPr="00892E76">
        <w:rPr>
          <w:rFonts w:ascii="Arial" w:hAnsi="Arial" w:cs="Arial"/>
          <w:sz w:val="19"/>
          <w:szCs w:val="19"/>
        </w:rPr>
        <w:t xml:space="preserve"> </w:t>
      </w:r>
      <w:r w:rsidR="00B1271A" w:rsidRPr="00892E76">
        <w:rPr>
          <w:rFonts w:ascii="Arial" w:hAnsi="Arial" w:cs="Arial"/>
          <w:sz w:val="19"/>
          <w:szCs w:val="19"/>
        </w:rPr>
        <w:t>y cumple la edad de pensión; además, se deberá allegar el</w:t>
      </w:r>
      <w:r w:rsidRPr="00892E76">
        <w:rPr>
          <w:rFonts w:ascii="Arial" w:hAnsi="Arial" w:cs="Arial"/>
          <w:sz w:val="19"/>
          <w:szCs w:val="19"/>
        </w:rPr>
        <w:t xml:space="preserve"> </w:t>
      </w:r>
      <w:r w:rsidR="00B1271A" w:rsidRPr="00892E76">
        <w:rPr>
          <w:rFonts w:ascii="Arial" w:hAnsi="Arial" w:cs="Arial"/>
          <w:sz w:val="19"/>
          <w:szCs w:val="19"/>
        </w:rPr>
        <w:t>documento de identificación del trabajador que lo firma.</w:t>
      </w:r>
    </w:p>
    <w:p w14:paraId="49441C20" w14:textId="5BEA0C5F" w:rsidR="00CC4C57" w:rsidRPr="00892E76" w:rsidRDefault="007F6D1B" w:rsidP="007F6D1B">
      <w:pPr>
        <w:pStyle w:val="Textonotapie"/>
        <w:ind w:firstLine="709"/>
        <w:jc w:val="both"/>
        <w:rPr>
          <w:rFonts w:ascii="Arial" w:hAnsi="Arial" w:cs="Arial"/>
          <w:sz w:val="19"/>
          <w:szCs w:val="19"/>
        </w:rPr>
      </w:pPr>
      <w:r w:rsidRPr="00892E76">
        <w:rPr>
          <w:rFonts w:ascii="Arial" w:hAnsi="Arial" w:cs="Arial"/>
          <w:sz w:val="19"/>
          <w:szCs w:val="19"/>
        </w:rPr>
        <w:t>»</w:t>
      </w:r>
      <w:r w:rsidR="00B1271A" w:rsidRPr="00892E76">
        <w:rPr>
          <w:rFonts w:ascii="Arial" w:hAnsi="Arial" w:cs="Arial"/>
          <w:sz w:val="19"/>
          <w:szCs w:val="19"/>
        </w:rPr>
        <w:t>La mayor proporción se definirá en relación con el número total de trabajadores</w:t>
      </w:r>
      <w:r w:rsidRPr="00892E76">
        <w:rPr>
          <w:rFonts w:ascii="Arial" w:hAnsi="Arial" w:cs="Arial"/>
          <w:sz w:val="19"/>
          <w:szCs w:val="19"/>
        </w:rPr>
        <w:t xml:space="preserve"> </w:t>
      </w:r>
      <w:r w:rsidR="00B1271A" w:rsidRPr="00892E76">
        <w:rPr>
          <w:rFonts w:ascii="Arial" w:hAnsi="Arial" w:cs="Arial"/>
          <w:sz w:val="19"/>
          <w:szCs w:val="19"/>
        </w:rPr>
        <w:t>vinculados en la planta de</w:t>
      </w:r>
      <w:r w:rsidRPr="00892E76">
        <w:rPr>
          <w:rFonts w:ascii="Arial" w:hAnsi="Arial" w:cs="Arial"/>
          <w:sz w:val="19"/>
          <w:szCs w:val="19"/>
        </w:rPr>
        <w:t xml:space="preserve"> </w:t>
      </w:r>
      <w:r w:rsidR="00B1271A" w:rsidRPr="00892E76">
        <w:rPr>
          <w:rFonts w:ascii="Arial" w:hAnsi="Arial" w:cs="Arial"/>
          <w:sz w:val="19"/>
          <w:szCs w:val="19"/>
        </w:rPr>
        <w:t>personal, por lo que se preferirá al oferente que</w:t>
      </w:r>
      <w:r w:rsidRPr="00892E76">
        <w:rPr>
          <w:rFonts w:ascii="Arial" w:hAnsi="Arial" w:cs="Arial"/>
          <w:sz w:val="19"/>
          <w:szCs w:val="19"/>
        </w:rPr>
        <w:t xml:space="preserve"> </w:t>
      </w:r>
      <w:r w:rsidR="00B1271A" w:rsidRPr="00892E76">
        <w:rPr>
          <w:rFonts w:ascii="Arial" w:hAnsi="Arial" w:cs="Arial"/>
          <w:sz w:val="19"/>
          <w:szCs w:val="19"/>
        </w:rPr>
        <w:t>acredite un porcentaje mayor. En el caso de proponentes</w:t>
      </w:r>
      <w:r w:rsidRPr="00892E76">
        <w:rPr>
          <w:rFonts w:ascii="Arial" w:hAnsi="Arial" w:cs="Arial"/>
          <w:sz w:val="19"/>
          <w:szCs w:val="19"/>
        </w:rPr>
        <w:t xml:space="preserve"> </w:t>
      </w:r>
      <w:r w:rsidR="00B1271A" w:rsidRPr="00892E76">
        <w:rPr>
          <w:rFonts w:ascii="Arial" w:hAnsi="Arial" w:cs="Arial"/>
          <w:sz w:val="19"/>
          <w:szCs w:val="19"/>
        </w:rPr>
        <w:t>plurales, la mayor</w:t>
      </w:r>
      <w:r w:rsidR="00731DBE" w:rsidRPr="00892E76">
        <w:rPr>
          <w:rFonts w:ascii="Arial" w:hAnsi="Arial" w:cs="Arial"/>
          <w:sz w:val="19"/>
          <w:szCs w:val="19"/>
        </w:rPr>
        <w:t xml:space="preserve"> proporción se definirá con la sumatoria de trabajadores vinculados en la planta</w:t>
      </w:r>
      <w:r w:rsidRPr="00892E76">
        <w:rPr>
          <w:rFonts w:ascii="Arial" w:hAnsi="Arial" w:cs="Arial"/>
          <w:sz w:val="19"/>
          <w:szCs w:val="19"/>
        </w:rPr>
        <w:t xml:space="preserve"> </w:t>
      </w:r>
      <w:r w:rsidR="00731DBE" w:rsidRPr="00892E76">
        <w:rPr>
          <w:rFonts w:ascii="Arial" w:hAnsi="Arial" w:cs="Arial"/>
          <w:sz w:val="19"/>
          <w:szCs w:val="19"/>
        </w:rPr>
        <w:t>de personal de cada uno de sus integrantes</w:t>
      </w:r>
      <w:r w:rsidRPr="00892E76">
        <w:rPr>
          <w:rFonts w:ascii="Arial" w:hAnsi="Arial" w:cs="Arial"/>
          <w:sz w:val="19"/>
          <w:szCs w:val="19"/>
        </w:rPr>
        <w:t>»</w:t>
      </w:r>
      <w:r w:rsidR="00731DBE" w:rsidRPr="00892E76">
        <w:rPr>
          <w:rFonts w:ascii="Arial" w:hAnsi="Arial" w:cs="Arial"/>
          <w:sz w:val="19"/>
          <w:szCs w:val="19"/>
        </w:rPr>
        <w:t>.</w:t>
      </w:r>
    </w:p>
  </w:footnote>
  <w:footnote w:id="15">
    <w:p w14:paraId="0C156326" w14:textId="77777777" w:rsidR="009407A9" w:rsidRPr="00534503" w:rsidRDefault="009407A9" w:rsidP="009407A9">
      <w:pPr>
        <w:ind w:firstLine="709"/>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En efecto, el artículo 34 de la Ley 2069 de 2020 establece: «</w:t>
      </w:r>
      <w:r w:rsidRPr="00534503">
        <w:rPr>
          <w:rFonts w:ascii="Arial" w:hAnsi="Arial" w:cs="Arial"/>
          <w:sz w:val="19"/>
          <w:szCs w:val="19"/>
        </w:rPr>
        <w:t xml:space="preserve">Modifíquese el artículo 12 de la Ley 1150 de 2007, el cual quedará así: </w:t>
      </w:r>
    </w:p>
    <w:p w14:paraId="2B896893"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rPr>
        <w:t>»</w:t>
      </w:r>
      <w:r w:rsidRPr="00534503">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w:t>
      </w:r>
    </w:p>
    <w:p w14:paraId="517D899D"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»Asimismo, el reglamento podrá establecer condiciones preferenciales a favor de la oferta de bienes y servicios producidos por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58151BCC"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3CD8357B"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4D887764"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»Parágrafo Primero. En los Procesos de Contratación que se desarrollen con base en el primer inciso, las entidades podrán realizar las convocatorias limitadas que beneficien a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del ámbito municipal o departamental correspondiente al de la ejecución del contrato.</w:t>
      </w:r>
    </w:p>
    <w:p w14:paraId="07590AA7"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DFA5B8A" w14:textId="77777777" w:rsidR="009407A9" w:rsidRPr="00534503" w:rsidRDefault="009407A9" w:rsidP="009407A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0896CA27" w14:textId="77777777" w:rsidR="009407A9" w:rsidRPr="00534503" w:rsidRDefault="009407A9" w:rsidP="009407A9">
      <w:pPr>
        <w:pStyle w:val="Textonotapie"/>
        <w:ind w:firstLine="709"/>
        <w:jc w:val="both"/>
        <w:rPr>
          <w:rFonts w:ascii="Arial" w:hAnsi="Arial" w:cs="Arial"/>
          <w:sz w:val="19"/>
          <w:szCs w:val="19"/>
          <w:lang w:val="es-ES_tradnl"/>
        </w:rPr>
      </w:pPr>
    </w:p>
  </w:footnote>
  <w:footnote w:id="16">
    <w:p w14:paraId="1BD5E7F4" w14:textId="77777777" w:rsidR="009407A9" w:rsidRPr="00534503" w:rsidRDefault="009407A9" w:rsidP="009407A9">
      <w:pPr>
        <w:ind w:firstLine="709"/>
        <w:jc w:val="both"/>
        <w:rPr>
          <w:rFonts w:ascii="Arial" w:eastAsiaTheme="minorHAnsi" w:hAnsi="Arial" w:cs="Arial"/>
          <w:sz w:val="19"/>
          <w:szCs w:val="19"/>
          <w:lang w:val="es-ES" w:eastAsia="en-U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 xml:space="preserve">Corte Constitucional. Sentencia C-502 de 2012. Magistrada Ponente: </w:t>
      </w:r>
      <w:r w:rsidRPr="00534503">
        <w:rPr>
          <w:rFonts w:ascii="Arial" w:eastAsiaTheme="minorHAnsi" w:hAnsi="Arial" w:cs="Arial"/>
          <w:sz w:val="19"/>
          <w:szCs w:val="19"/>
          <w:lang w:val="es-ES" w:eastAsia="en-US"/>
        </w:rPr>
        <w:t>Adriana María Guillén Arango.</w:t>
      </w:r>
    </w:p>
    <w:p w14:paraId="78302E70" w14:textId="77777777" w:rsidR="009407A9" w:rsidRPr="00534503" w:rsidRDefault="009407A9" w:rsidP="009407A9">
      <w:pPr>
        <w:pStyle w:val="Textonotapie"/>
        <w:ind w:firstLine="709"/>
        <w:jc w:val="both"/>
        <w:rPr>
          <w:rFonts w:ascii="Arial" w:hAnsi="Arial" w:cs="Arial"/>
          <w:sz w:val="19"/>
          <w:szCs w:val="19"/>
          <w:lang w:val="es-ES"/>
        </w:rPr>
      </w:pPr>
      <w:r w:rsidRPr="00534503">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0F22924"/>
    <w:multiLevelType w:val="hybridMultilevel"/>
    <w:tmpl w:val="09F0843A"/>
    <w:lvl w:ilvl="0" w:tplc="040A0001">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3"/>
  </w:num>
  <w:num w:numId="2">
    <w:abstractNumId w:val="11"/>
  </w:num>
  <w:num w:numId="3">
    <w:abstractNumId w:val="16"/>
  </w:num>
  <w:num w:numId="4">
    <w:abstractNumId w:val="19"/>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0"/>
  </w:num>
  <w:num w:numId="9">
    <w:abstractNumId w:val="5"/>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10"/>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7"/>
  </w:num>
  <w:num w:numId="19">
    <w:abstractNumId w:val="4"/>
  </w:num>
  <w:num w:numId="20">
    <w:abstractNumId w:val="26"/>
  </w:num>
  <w:num w:numId="21">
    <w:abstractNumId w:val="18"/>
  </w:num>
  <w:num w:numId="22">
    <w:abstractNumId w:val="8"/>
  </w:num>
  <w:num w:numId="23">
    <w:abstractNumId w:val="6"/>
  </w:num>
  <w:num w:numId="24">
    <w:abstractNumId w:val="24"/>
  </w:num>
  <w:num w:numId="25">
    <w:abstractNumId w:val="20"/>
  </w:num>
  <w:num w:numId="26">
    <w:abstractNumId w:val="27"/>
  </w:num>
  <w:num w:numId="27">
    <w:abstractNumId w:val="9"/>
  </w:num>
  <w:num w:numId="28">
    <w:abstractNumId w:val="3"/>
  </w:num>
  <w:num w:numId="29">
    <w:abstractNumId w:val="2"/>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00B"/>
    <w:rsid w:val="000051AF"/>
    <w:rsid w:val="000059D3"/>
    <w:rsid w:val="00005B6D"/>
    <w:rsid w:val="00005FC5"/>
    <w:rsid w:val="0000600A"/>
    <w:rsid w:val="00006081"/>
    <w:rsid w:val="0000656F"/>
    <w:rsid w:val="000073C0"/>
    <w:rsid w:val="00007564"/>
    <w:rsid w:val="00007750"/>
    <w:rsid w:val="000077FD"/>
    <w:rsid w:val="00007E37"/>
    <w:rsid w:val="0001061E"/>
    <w:rsid w:val="00010C40"/>
    <w:rsid w:val="000112B4"/>
    <w:rsid w:val="0001193D"/>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27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11"/>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9CB"/>
    <w:rsid w:val="00066A59"/>
    <w:rsid w:val="00066E52"/>
    <w:rsid w:val="00070AF1"/>
    <w:rsid w:val="00070E05"/>
    <w:rsid w:val="000714DE"/>
    <w:rsid w:val="00071E45"/>
    <w:rsid w:val="000724E3"/>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5A"/>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0A6A"/>
    <w:rsid w:val="00091354"/>
    <w:rsid w:val="000914D6"/>
    <w:rsid w:val="00091569"/>
    <w:rsid w:val="000916DD"/>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2D7B"/>
    <w:rsid w:val="000A362F"/>
    <w:rsid w:val="000A3B49"/>
    <w:rsid w:val="000A47E6"/>
    <w:rsid w:val="000A52C0"/>
    <w:rsid w:val="000A5AAF"/>
    <w:rsid w:val="000A5E0E"/>
    <w:rsid w:val="000A5F97"/>
    <w:rsid w:val="000A63A0"/>
    <w:rsid w:val="000A648E"/>
    <w:rsid w:val="000A6DAD"/>
    <w:rsid w:val="000A738A"/>
    <w:rsid w:val="000A73BB"/>
    <w:rsid w:val="000A7EF4"/>
    <w:rsid w:val="000B0A15"/>
    <w:rsid w:val="000B103F"/>
    <w:rsid w:val="000B1437"/>
    <w:rsid w:val="000B1470"/>
    <w:rsid w:val="000B244D"/>
    <w:rsid w:val="000B2570"/>
    <w:rsid w:val="000B27DC"/>
    <w:rsid w:val="000B2991"/>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B90"/>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29EF"/>
    <w:rsid w:val="000D3282"/>
    <w:rsid w:val="000D3FDC"/>
    <w:rsid w:val="000D490B"/>
    <w:rsid w:val="000D4E38"/>
    <w:rsid w:val="000D4EBB"/>
    <w:rsid w:val="000D4EFA"/>
    <w:rsid w:val="000D50DB"/>
    <w:rsid w:val="000D5EF9"/>
    <w:rsid w:val="000D6288"/>
    <w:rsid w:val="000D6B5E"/>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DC5"/>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9E8"/>
    <w:rsid w:val="000F5D2E"/>
    <w:rsid w:val="000F6578"/>
    <w:rsid w:val="000F7BF3"/>
    <w:rsid w:val="000F7D1B"/>
    <w:rsid w:val="000F7E8F"/>
    <w:rsid w:val="000F7FBB"/>
    <w:rsid w:val="001000FB"/>
    <w:rsid w:val="00100A9E"/>
    <w:rsid w:val="00100F6A"/>
    <w:rsid w:val="001021F3"/>
    <w:rsid w:val="00102605"/>
    <w:rsid w:val="00102686"/>
    <w:rsid w:val="00102745"/>
    <w:rsid w:val="00103348"/>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6F30"/>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A33"/>
    <w:rsid w:val="00113CFC"/>
    <w:rsid w:val="00113FEA"/>
    <w:rsid w:val="00114003"/>
    <w:rsid w:val="00114049"/>
    <w:rsid w:val="00114631"/>
    <w:rsid w:val="00114A22"/>
    <w:rsid w:val="00114E9D"/>
    <w:rsid w:val="00115002"/>
    <w:rsid w:val="0011507B"/>
    <w:rsid w:val="0011627A"/>
    <w:rsid w:val="00116328"/>
    <w:rsid w:val="001163CF"/>
    <w:rsid w:val="001174C9"/>
    <w:rsid w:val="00117E69"/>
    <w:rsid w:val="00120409"/>
    <w:rsid w:val="001204D2"/>
    <w:rsid w:val="00120DA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8B9"/>
    <w:rsid w:val="00137FFA"/>
    <w:rsid w:val="00140109"/>
    <w:rsid w:val="00140157"/>
    <w:rsid w:val="0014029B"/>
    <w:rsid w:val="00140464"/>
    <w:rsid w:val="0014049C"/>
    <w:rsid w:val="001407A1"/>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795"/>
    <w:rsid w:val="001518D7"/>
    <w:rsid w:val="00151AEB"/>
    <w:rsid w:val="00151B99"/>
    <w:rsid w:val="00151C1E"/>
    <w:rsid w:val="001521B2"/>
    <w:rsid w:val="00152EDD"/>
    <w:rsid w:val="00153451"/>
    <w:rsid w:val="00153491"/>
    <w:rsid w:val="0015361C"/>
    <w:rsid w:val="001536A6"/>
    <w:rsid w:val="001536EC"/>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6DD1"/>
    <w:rsid w:val="00177F50"/>
    <w:rsid w:val="001802FE"/>
    <w:rsid w:val="001802FF"/>
    <w:rsid w:val="001805C1"/>
    <w:rsid w:val="001807AC"/>
    <w:rsid w:val="001807B6"/>
    <w:rsid w:val="00180A2E"/>
    <w:rsid w:val="0018107C"/>
    <w:rsid w:val="001813AF"/>
    <w:rsid w:val="001829CD"/>
    <w:rsid w:val="00182BC4"/>
    <w:rsid w:val="00182F01"/>
    <w:rsid w:val="00183494"/>
    <w:rsid w:val="00183CAA"/>
    <w:rsid w:val="00183FCD"/>
    <w:rsid w:val="00184BDF"/>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199"/>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331"/>
    <w:rsid w:val="001A476E"/>
    <w:rsid w:val="001A4A9B"/>
    <w:rsid w:val="001A4DAF"/>
    <w:rsid w:val="001A54CD"/>
    <w:rsid w:val="001A66DF"/>
    <w:rsid w:val="001A67D0"/>
    <w:rsid w:val="001A6863"/>
    <w:rsid w:val="001A7109"/>
    <w:rsid w:val="001A7591"/>
    <w:rsid w:val="001A75B1"/>
    <w:rsid w:val="001A7AA9"/>
    <w:rsid w:val="001A7B06"/>
    <w:rsid w:val="001B0268"/>
    <w:rsid w:val="001B0366"/>
    <w:rsid w:val="001B0444"/>
    <w:rsid w:val="001B096B"/>
    <w:rsid w:val="001B0F9F"/>
    <w:rsid w:val="001B0FAA"/>
    <w:rsid w:val="001B123C"/>
    <w:rsid w:val="001B129B"/>
    <w:rsid w:val="001B1A0D"/>
    <w:rsid w:val="001B1BF1"/>
    <w:rsid w:val="001B1C97"/>
    <w:rsid w:val="001B2456"/>
    <w:rsid w:val="001B246B"/>
    <w:rsid w:val="001B255B"/>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014"/>
    <w:rsid w:val="001D12D1"/>
    <w:rsid w:val="001D1435"/>
    <w:rsid w:val="001D15DF"/>
    <w:rsid w:val="001D30F3"/>
    <w:rsid w:val="001D31A0"/>
    <w:rsid w:val="001D338E"/>
    <w:rsid w:val="001D3EA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28A0"/>
    <w:rsid w:val="001E2ECF"/>
    <w:rsid w:val="001E36BB"/>
    <w:rsid w:val="001E3F3C"/>
    <w:rsid w:val="001E4258"/>
    <w:rsid w:val="001E44EA"/>
    <w:rsid w:val="001E5AEF"/>
    <w:rsid w:val="001E5B65"/>
    <w:rsid w:val="001E5D6A"/>
    <w:rsid w:val="001E6A94"/>
    <w:rsid w:val="001E70FB"/>
    <w:rsid w:val="001E780A"/>
    <w:rsid w:val="001F0FA0"/>
    <w:rsid w:val="001F1349"/>
    <w:rsid w:val="001F1863"/>
    <w:rsid w:val="001F2356"/>
    <w:rsid w:val="001F25CA"/>
    <w:rsid w:val="001F2A68"/>
    <w:rsid w:val="001F2F56"/>
    <w:rsid w:val="001F3E63"/>
    <w:rsid w:val="001F4773"/>
    <w:rsid w:val="001F5008"/>
    <w:rsid w:val="001F5089"/>
    <w:rsid w:val="001F51A9"/>
    <w:rsid w:val="001F56AA"/>
    <w:rsid w:val="001F58AA"/>
    <w:rsid w:val="001F5A4E"/>
    <w:rsid w:val="001F5C3E"/>
    <w:rsid w:val="001F5EF6"/>
    <w:rsid w:val="001F657F"/>
    <w:rsid w:val="001F6C58"/>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2DBE"/>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095"/>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427"/>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6F9B"/>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68"/>
    <w:rsid w:val="0024489B"/>
    <w:rsid w:val="002450F5"/>
    <w:rsid w:val="00245718"/>
    <w:rsid w:val="00245E07"/>
    <w:rsid w:val="00245E42"/>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430C"/>
    <w:rsid w:val="002554DE"/>
    <w:rsid w:val="00255575"/>
    <w:rsid w:val="00255E11"/>
    <w:rsid w:val="00256835"/>
    <w:rsid w:val="002569F0"/>
    <w:rsid w:val="00256E1A"/>
    <w:rsid w:val="00256E30"/>
    <w:rsid w:val="00256ECF"/>
    <w:rsid w:val="002573FB"/>
    <w:rsid w:val="00257730"/>
    <w:rsid w:val="00257999"/>
    <w:rsid w:val="002604AA"/>
    <w:rsid w:val="00260AF8"/>
    <w:rsid w:val="00260C7E"/>
    <w:rsid w:val="0026129B"/>
    <w:rsid w:val="002612D5"/>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6A4"/>
    <w:rsid w:val="00265D28"/>
    <w:rsid w:val="002661F1"/>
    <w:rsid w:val="00266AC9"/>
    <w:rsid w:val="00266DB6"/>
    <w:rsid w:val="002674E8"/>
    <w:rsid w:val="002706A0"/>
    <w:rsid w:val="00270802"/>
    <w:rsid w:val="002711A4"/>
    <w:rsid w:val="00271CD3"/>
    <w:rsid w:val="00271ECB"/>
    <w:rsid w:val="00271F13"/>
    <w:rsid w:val="0027278E"/>
    <w:rsid w:val="00273F2E"/>
    <w:rsid w:val="0027482E"/>
    <w:rsid w:val="00274842"/>
    <w:rsid w:val="00274DB5"/>
    <w:rsid w:val="00275423"/>
    <w:rsid w:val="00275BB1"/>
    <w:rsid w:val="00275C6F"/>
    <w:rsid w:val="002778FC"/>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878"/>
    <w:rsid w:val="00286CEC"/>
    <w:rsid w:val="002870F9"/>
    <w:rsid w:val="002871A9"/>
    <w:rsid w:val="00287505"/>
    <w:rsid w:val="00287D71"/>
    <w:rsid w:val="002900C0"/>
    <w:rsid w:val="002905EF"/>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922"/>
    <w:rsid w:val="00297098"/>
    <w:rsid w:val="0029717F"/>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629"/>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57"/>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692"/>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07ED9"/>
    <w:rsid w:val="0031088E"/>
    <w:rsid w:val="00310D01"/>
    <w:rsid w:val="00311376"/>
    <w:rsid w:val="00311A1F"/>
    <w:rsid w:val="00311B47"/>
    <w:rsid w:val="00311D52"/>
    <w:rsid w:val="00311EE7"/>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678"/>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932"/>
    <w:rsid w:val="00332E7C"/>
    <w:rsid w:val="00332F8C"/>
    <w:rsid w:val="00332FCC"/>
    <w:rsid w:val="00333196"/>
    <w:rsid w:val="00333A88"/>
    <w:rsid w:val="00335B15"/>
    <w:rsid w:val="00335B21"/>
    <w:rsid w:val="00335D3F"/>
    <w:rsid w:val="00336104"/>
    <w:rsid w:val="00336155"/>
    <w:rsid w:val="003361DC"/>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799"/>
    <w:rsid w:val="0035087D"/>
    <w:rsid w:val="0035140D"/>
    <w:rsid w:val="00351E10"/>
    <w:rsid w:val="003528F1"/>
    <w:rsid w:val="00352A71"/>
    <w:rsid w:val="003533F4"/>
    <w:rsid w:val="003536F6"/>
    <w:rsid w:val="00353765"/>
    <w:rsid w:val="0035388E"/>
    <w:rsid w:val="00353DD5"/>
    <w:rsid w:val="00355131"/>
    <w:rsid w:val="00355AEB"/>
    <w:rsid w:val="00355C52"/>
    <w:rsid w:val="00355F74"/>
    <w:rsid w:val="003560DB"/>
    <w:rsid w:val="003564DB"/>
    <w:rsid w:val="00356A69"/>
    <w:rsid w:val="00356CD9"/>
    <w:rsid w:val="00356F87"/>
    <w:rsid w:val="00357DFE"/>
    <w:rsid w:val="00360CF3"/>
    <w:rsid w:val="00361A59"/>
    <w:rsid w:val="00363348"/>
    <w:rsid w:val="0036366B"/>
    <w:rsid w:val="00363857"/>
    <w:rsid w:val="00363D59"/>
    <w:rsid w:val="003640F7"/>
    <w:rsid w:val="00364315"/>
    <w:rsid w:val="00365D3A"/>
    <w:rsid w:val="00366314"/>
    <w:rsid w:val="003663C3"/>
    <w:rsid w:val="003664FF"/>
    <w:rsid w:val="00366BD2"/>
    <w:rsid w:val="003670B8"/>
    <w:rsid w:val="00367519"/>
    <w:rsid w:val="00367A7A"/>
    <w:rsid w:val="00370488"/>
    <w:rsid w:val="003704A3"/>
    <w:rsid w:val="003706F2"/>
    <w:rsid w:val="0037124F"/>
    <w:rsid w:val="00371840"/>
    <w:rsid w:val="00371A1B"/>
    <w:rsid w:val="003722A9"/>
    <w:rsid w:val="003722B3"/>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3BBC"/>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F33"/>
    <w:rsid w:val="0039317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DF0"/>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6DE0"/>
    <w:rsid w:val="003D7566"/>
    <w:rsid w:val="003D7836"/>
    <w:rsid w:val="003D7AD9"/>
    <w:rsid w:val="003D7FB3"/>
    <w:rsid w:val="003E0224"/>
    <w:rsid w:val="003E09BB"/>
    <w:rsid w:val="003E0D76"/>
    <w:rsid w:val="003E159D"/>
    <w:rsid w:val="003E198A"/>
    <w:rsid w:val="003E20EA"/>
    <w:rsid w:val="003E210C"/>
    <w:rsid w:val="003E284B"/>
    <w:rsid w:val="003E290D"/>
    <w:rsid w:val="003E2A8F"/>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191"/>
    <w:rsid w:val="003F7343"/>
    <w:rsid w:val="003F77C5"/>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76E"/>
    <w:rsid w:val="00405B8A"/>
    <w:rsid w:val="00405CE5"/>
    <w:rsid w:val="0040602B"/>
    <w:rsid w:val="004064D7"/>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DC6"/>
    <w:rsid w:val="00413FFA"/>
    <w:rsid w:val="00414229"/>
    <w:rsid w:val="00414246"/>
    <w:rsid w:val="004147A0"/>
    <w:rsid w:val="00414D9A"/>
    <w:rsid w:val="00415194"/>
    <w:rsid w:val="00415393"/>
    <w:rsid w:val="00415816"/>
    <w:rsid w:val="00415B88"/>
    <w:rsid w:val="00415D32"/>
    <w:rsid w:val="004160A2"/>
    <w:rsid w:val="00416A15"/>
    <w:rsid w:val="00416CB0"/>
    <w:rsid w:val="004170D7"/>
    <w:rsid w:val="004177A6"/>
    <w:rsid w:val="00417C23"/>
    <w:rsid w:val="00417EFD"/>
    <w:rsid w:val="0042002B"/>
    <w:rsid w:val="004200EE"/>
    <w:rsid w:val="004209D2"/>
    <w:rsid w:val="00420D6E"/>
    <w:rsid w:val="0042158C"/>
    <w:rsid w:val="004215F7"/>
    <w:rsid w:val="00421BD2"/>
    <w:rsid w:val="00421E00"/>
    <w:rsid w:val="00421FCB"/>
    <w:rsid w:val="00422029"/>
    <w:rsid w:val="0042260E"/>
    <w:rsid w:val="0042288C"/>
    <w:rsid w:val="00422DCA"/>
    <w:rsid w:val="00423562"/>
    <w:rsid w:val="004236BF"/>
    <w:rsid w:val="00423BE1"/>
    <w:rsid w:val="00423F9F"/>
    <w:rsid w:val="00424AB2"/>
    <w:rsid w:val="00424E3A"/>
    <w:rsid w:val="004254D2"/>
    <w:rsid w:val="00425C43"/>
    <w:rsid w:val="00426149"/>
    <w:rsid w:val="00426384"/>
    <w:rsid w:val="004273FA"/>
    <w:rsid w:val="004275A7"/>
    <w:rsid w:val="004278E1"/>
    <w:rsid w:val="0043014F"/>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598"/>
    <w:rsid w:val="00454717"/>
    <w:rsid w:val="00454AFE"/>
    <w:rsid w:val="00455004"/>
    <w:rsid w:val="00455047"/>
    <w:rsid w:val="00455111"/>
    <w:rsid w:val="00455354"/>
    <w:rsid w:val="0045558D"/>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487"/>
    <w:rsid w:val="004647F8"/>
    <w:rsid w:val="004647FB"/>
    <w:rsid w:val="00464E4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5E9D"/>
    <w:rsid w:val="004861B4"/>
    <w:rsid w:val="00486BD0"/>
    <w:rsid w:val="00486D00"/>
    <w:rsid w:val="00487263"/>
    <w:rsid w:val="0048734F"/>
    <w:rsid w:val="00487532"/>
    <w:rsid w:val="00487F69"/>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A20"/>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2823"/>
    <w:rsid w:val="004A3044"/>
    <w:rsid w:val="004A33AC"/>
    <w:rsid w:val="004A34D2"/>
    <w:rsid w:val="004A3CF6"/>
    <w:rsid w:val="004A4301"/>
    <w:rsid w:val="004A4D93"/>
    <w:rsid w:val="004A58EE"/>
    <w:rsid w:val="004A59B7"/>
    <w:rsid w:val="004A6051"/>
    <w:rsid w:val="004A623B"/>
    <w:rsid w:val="004A6A04"/>
    <w:rsid w:val="004A6A52"/>
    <w:rsid w:val="004B0A44"/>
    <w:rsid w:val="004B0F0B"/>
    <w:rsid w:val="004B11B7"/>
    <w:rsid w:val="004B2113"/>
    <w:rsid w:val="004B2197"/>
    <w:rsid w:val="004B28E0"/>
    <w:rsid w:val="004B298A"/>
    <w:rsid w:val="004B31C6"/>
    <w:rsid w:val="004B34C4"/>
    <w:rsid w:val="004B400F"/>
    <w:rsid w:val="004B50CB"/>
    <w:rsid w:val="004B578D"/>
    <w:rsid w:val="004B5BE7"/>
    <w:rsid w:val="004B5E2D"/>
    <w:rsid w:val="004B6394"/>
    <w:rsid w:val="004B652A"/>
    <w:rsid w:val="004B66CD"/>
    <w:rsid w:val="004B6B5D"/>
    <w:rsid w:val="004B6C07"/>
    <w:rsid w:val="004B74D3"/>
    <w:rsid w:val="004B788E"/>
    <w:rsid w:val="004B7E5D"/>
    <w:rsid w:val="004C072C"/>
    <w:rsid w:val="004C11F0"/>
    <w:rsid w:val="004C1B39"/>
    <w:rsid w:val="004C2180"/>
    <w:rsid w:val="004C22F7"/>
    <w:rsid w:val="004C2B27"/>
    <w:rsid w:val="004C3219"/>
    <w:rsid w:val="004C38BD"/>
    <w:rsid w:val="004C3929"/>
    <w:rsid w:val="004C3BDA"/>
    <w:rsid w:val="004C47DF"/>
    <w:rsid w:val="004C4DED"/>
    <w:rsid w:val="004C5212"/>
    <w:rsid w:val="004C580A"/>
    <w:rsid w:val="004C5E63"/>
    <w:rsid w:val="004C5EF0"/>
    <w:rsid w:val="004C5FEC"/>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0E"/>
    <w:rsid w:val="004D5CD1"/>
    <w:rsid w:val="004D6120"/>
    <w:rsid w:val="004D62A3"/>
    <w:rsid w:val="004D6826"/>
    <w:rsid w:val="004D6D7F"/>
    <w:rsid w:val="004D7229"/>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4CC0"/>
    <w:rsid w:val="004E5736"/>
    <w:rsid w:val="004E58ED"/>
    <w:rsid w:val="004E5A3C"/>
    <w:rsid w:val="004E5AA8"/>
    <w:rsid w:val="004E5B36"/>
    <w:rsid w:val="004E5D5D"/>
    <w:rsid w:val="004E6045"/>
    <w:rsid w:val="004E6F43"/>
    <w:rsid w:val="004E702F"/>
    <w:rsid w:val="004E7200"/>
    <w:rsid w:val="004E787E"/>
    <w:rsid w:val="004F0960"/>
    <w:rsid w:val="004F0A5C"/>
    <w:rsid w:val="004F0F12"/>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D3"/>
    <w:rsid w:val="005010EC"/>
    <w:rsid w:val="0050112F"/>
    <w:rsid w:val="0050160F"/>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73D"/>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503"/>
    <w:rsid w:val="005346AD"/>
    <w:rsid w:val="005346BC"/>
    <w:rsid w:val="00534EFB"/>
    <w:rsid w:val="00534F60"/>
    <w:rsid w:val="005357F1"/>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7F8"/>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08B2"/>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2A"/>
    <w:rsid w:val="005564CA"/>
    <w:rsid w:val="00556827"/>
    <w:rsid w:val="005568EA"/>
    <w:rsid w:val="00557140"/>
    <w:rsid w:val="00557984"/>
    <w:rsid w:val="00560677"/>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5F6E"/>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565"/>
    <w:rsid w:val="005B19BD"/>
    <w:rsid w:val="005B1E45"/>
    <w:rsid w:val="005B21C4"/>
    <w:rsid w:val="005B2A28"/>
    <w:rsid w:val="005B2E64"/>
    <w:rsid w:val="005B3621"/>
    <w:rsid w:val="005B3CD9"/>
    <w:rsid w:val="005B48A8"/>
    <w:rsid w:val="005B4948"/>
    <w:rsid w:val="005B501D"/>
    <w:rsid w:val="005B54CC"/>
    <w:rsid w:val="005B660E"/>
    <w:rsid w:val="005B74AD"/>
    <w:rsid w:val="005B7B3E"/>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713"/>
    <w:rsid w:val="005C7E45"/>
    <w:rsid w:val="005C7F3E"/>
    <w:rsid w:val="005D06D3"/>
    <w:rsid w:val="005D0C3B"/>
    <w:rsid w:val="005D1051"/>
    <w:rsid w:val="005D1606"/>
    <w:rsid w:val="005D2044"/>
    <w:rsid w:val="005D2917"/>
    <w:rsid w:val="005D2EB2"/>
    <w:rsid w:val="005D2F48"/>
    <w:rsid w:val="005D31BA"/>
    <w:rsid w:val="005D399C"/>
    <w:rsid w:val="005D3B32"/>
    <w:rsid w:val="005D3BD0"/>
    <w:rsid w:val="005D4643"/>
    <w:rsid w:val="005D464B"/>
    <w:rsid w:val="005D466F"/>
    <w:rsid w:val="005D49F0"/>
    <w:rsid w:val="005D5125"/>
    <w:rsid w:val="005D51F7"/>
    <w:rsid w:val="005D51FA"/>
    <w:rsid w:val="005D53E8"/>
    <w:rsid w:val="005D5702"/>
    <w:rsid w:val="005D5A9D"/>
    <w:rsid w:val="005D6441"/>
    <w:rsid w:val="005D6651"/>
    <w:rsid w:val="005D6675"/>
    <w:rsid w:val="005D691D"/>
    <w:rsid w:val="005D6A72"/>
    <w:rsid w:val="005D6E87"/>
    <w:rsid w:val="005D6F38"/>
    <w:rsid w:val="005D7279"/>
    <w:rsid w:val="005D791B"/>
    <w:rsid w:val="005D7CF2"/>
    <w:rsid w:val="005D7E2D"/>
    <w:rsid w:val="005D7F92"/>
    <w:rsid w:val="005D7FCC"/>
    <w:rsid w:val="005E032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45A8"/>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A8B"/>
    <w:rsid w:val="00646B20"/>
    <w:rsid w:val="00646CBA"/>
    <w:rsid w:val="00646D0F"/>
    <w:rsid w:val="00646FB0"/>
    <w:rsid w:val="0064763F"/>
    <w:rsid w:val="00647A36"/>
    <w:rsid w:val="00647DCC"/>
    <w:rsid w:val="00647EFA"/>
    <w:rsid w:val="00647F14"/>
    <w:rsid w:val="00650027"/>
    <w:rsid w:val="00651501"/>
    <w:rsid w:val="00651B9C"/>
    <w:rsid w:val="00651C47"/>
    <w:rsid w:val="00651C9A"/>
    <w:rsid w:val="006520AC"/>
    <w:rsid w:val="0065247D"/>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0CF"/>
    <w:rsid w:val="00664351"/>
    <w:rsid w:val="00664668"/>
    <w:rsid w:val="0066495B"/>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6BE6"/>
    <w:rsid w:val="00677E9C"/>
    <w:rsid w:val="00677F26"/>
    <w:rsid w:val="006800EE"/>
    <w:rsid w:val="006802A7"/>
    <w:rsid w:val="00680B19"/>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0E5E"/>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D6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E76"/>
    <w:rsid w:val="006B1ED3"/>
    <w:rsid w:val="006B2534"/>
    <w:rsid w:val="006B274A"/>
    <w:rsid w:val="006B2CB2"/>
    <w:rsid w:val="006B347D"/>
    <w:rsid w:val="006B3E19"/>
    <w:rsid w:val="006B4488"/>
    <w:rsid w:val="006B49FC"/>
    <w:rsid w:val="006B4F10"/>
    <w:rsid w:val="006B50C4"/>
    <w:rsid w:val="006B525D"/>
    <w:rsid w:val="006B53AE"/>
    <w:rsid w:val="006B58B4"/>
    <w:rsid w:val="006B67AC"/>
    <w:rsid w:val="006B6DB3"/>
    <w:rsid w:val="006B7340"/>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6F9"/>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2FCB"/>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D7DE7"/>
    <w:rsid w:val="006E0079"/>
    <w:rsid w:val="006E02C4"/>
    <w:rsid w:val="006E0572"/>
    <w:rsid w:val="006E05D8"/>
    <w:rsid w:val="006E08EE"/>
    <w:rsid w:val="006E155A"/>
    <w:rsid w:val="006E2837"/>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AFC"/>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835"/>
    <w:rsid w:val="00714D20"/>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22A"/>
    <w:rsid w:val="0072760C"/>
    <w:rsid w:val="00727B1D"/>
    <w:rsid w:val="00727DDC"/>
    <w:rsid w:val="007302AE"/>
    <w:rsid w:val="00730CD6"/>
    <w:rsid w:val="00730F74"/>
    <w:rsid w:val="0073114B"/>
    <w:rsid w:val="00731DBE"/>
    <w:rsid w:val="00732151"/>
    <w:rsid w:val="00732C4B"/>
    <w:rsid w:val="007339EC"/>
    <w:rsid w:val="007341F8"/>
    <w:rsid w:val="00734236"/>
    <w:rsid w:val="00734952"/>
    <w:rsid w:val="00734990"/>
    <w:rsid w:val="00734FF5"/>
    <w:rsid w:val="007351F2"/>
    <w:rsid w:val="007356B8"/>
    <w:rsid w:val="00735B78"/>
    <w:rsid w:val="00735DA7"/>
    <w:rsid w:val="007368B4"/>
    <w:rsid w:val="007378E0"/>
    <w:rsid w:val="00737C51"/>
    <w:rsid w:val="00737D92"/>
    <w:rsid w:val="00740529"/>
    <w:rsid w:val="00740876"/>
    <w:rsid w:val="00740F0D"/>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6BA"/>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9E"/>
    <w:rsid w:val="00760EB6"/>
    <w:rsid w:val="007616DB"/>
    <w:rsid w:val="00761AB7"/>
    <w:rsid w:val="00761CE6"/>
    <w:rsid w:val="0076228A"/>
    <w:rsid w:val="00762440"/>
    <w:rsid w:val="00762499"/>
    <w:rsid w:val="007629B7"/>
    <w:rsid w:val="00762E60"/>
    <w:rsid w:val="007634AD"/>
    <w:rsid w:val="0076445F"/>
    <w:rsid w:val="00764EC5"/>
    <w:rsid w:val="007651B3"/>
    <w:rsid w:val="00765F28"/>
    <w:rsid w:val="00766E2E"/>
    <w:rsid w:val="00766E9D"/>
    <w:rsid w:val="00766ECC"/>
    <w:rsid w:val="007672F3"/>
    <w:rsid w:val="007676EE"/>
    <w:rsid w:val="007677B5"/>
    <w:rsid w:val="007678B1"/>
    <w:rsid w:val="007679A2"/>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96A"/>
    <w:rsid w:val="00791C32"/>
    <w:rsid w:val="00791FF0"/>
    <w:rsid w:val="007923D0"/>
    <w:rsid w:val="00792E15"/>
    <w:rsid w:val="007930D3"/>
    <w:rsid w:val="0079381F"/>
    <w:rsid w:val="00793A57"/>
    <w:rsid w:val="00793B2E"/>
    <w:rsid w:val="007948F5"/>
    <w:rsid w:val="00795647"/>
    <w:rsid w:val="007956C2"/>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25A9"/>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A68"/>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8F"/>
    <w:rsid w:val="007F3AC1"/>
    <w:rsid w:val="007F3B1B"/>
    <w:rsid w:val="007F4976"/>
    <w:rsid w:val="007F4B92"/>
    <w:rsid w:val="007F52AF"/>
    <w:rsid w:val="007F5A56"/>
    <w:rsid w:val="007F616E"/>
    <w:rsid w:val="007F6790"/>
    <w:rsid w:val="007F6B46"/>
    <w:rsid w:val="007F6D1B"/>
    <w:rsid w:val="007F6D56"/>
    <w:rsid w:val="007F72CB"/>
    <w:rsid w:val="007F736A"/>
    <w:rsid w:val="007F7635"/>
    <w:rsid w:val="007F77DF"/>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49BC"/>
    <w:rsid w:val="0081513E"/>
    <w:rsid w:val="00815DA5"/>
    <w:rsid w:val="00816169"/>
    <w:rsid w:val="00816221"/>
    <w:rsid w:val="00816551"/>
    <w:rsid w:val="00816AD6"/>
    <w:rsid w:val="00817063"/>
    <w:rsid w:val="0081766B"/>
    <w:rsid w:val="008178B7"/>
    <w:rsid w:val="008179A1"/>
    <w:rsid w:val="008179E1"/>
    <w:rsid w:val="00817D12"/>
    <w:rsid w:val="00820037"/>
    <w:rsid w:val="00820705"/>
    <w:rsid w:val="00820842"/>
    <w:rsid w:val="00820BA7"/>
    <w:rsid w:val="00820CBF"/>
    <w:rsid w:val="00820DBC"/>
    <w:rsid w:val="00820E59"/>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D29"/>
    <w:rsid w:val="00831026"/>
    <w:rsid w:val="0083119B"/>
    <w:rsid w:val="00831BAE"/>
    <w:rsid w:val="00831E8B"/>
    <w:rsid w:val="00832216"/>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C43"/>
    <w:rsid w:val="00852FDC"/>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8E0"/>
    <w:rsid w:val="00861E75"/>
    <w:rsid w:val="00861F53"/>
    <w:rsid w:val="0086289E"/>
    <w:rsid w:val="008629CB"/>
    <w:rsid w:val="0086394E"/>
    <w:rsid w:val="00863A41"/>
    <w:rsid w:val="00863F8A"/>
    <w:rsid w:val="00863FE3"/>
    <w:rsid w:val="00864241"/>
    <w:rsid w:val="0086468A"/>
    <w:rsid w:val="00864FA1"/>
    <w:rsid w:val="008650BE"/>
    <w:rsid w:val="00865AE0"/>
    <w:rsid w:val="0086633B"/>
    <w:rsid w:val="00866495"/>
    <w:rsid w:val="00866881"/>
    <w:rsid w:val="00866931"/>
    <w:rsid w:val="00867512"/>
    <w:rsid w:val="008678A3"/>
    <w:rsid w:val="00867C13"/>
    <w:rsid w:val="00867C1D"/>
    <w:rsid w:val="0087033C"/>
    <w:rsid w:val="00870B93"/>
    <w:rsid w:val="00871064"/>
    <w:rsid w:val="008715ED"/>
    <w:rsid w:val="00871621"/>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3E"/>
    <w:rsid w:val="0088106B"/>
    <w:rsid w:val="0088107D"/>
    <w:rsid w:val="00881475"/>
    <w:rsid w:val="00881E64"/>
    <w:rsid w:val="00882A31"/>
    <w:rsid w:val="00882D24"/>
    <w:rsid w:val="00882E39"/>
    <w:rsid w:val="0088321E"/>
    <w:rsid w:val="00884978"/>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2E76"/>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675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A7EC4"/>
    <w:rsid w:val="008B020E"/>
    <w:rsid w:val="008B0783"/>
    <w:rsid w:val="008B0862"/>
    <w:rsid w:val="008B088C"/>
    <w:rsid w:val="008B0991"/>
    <w:rsid w:val="008B1303"/>
    <w:rsid w:val="008B1BF5"/>
    <w:rsid w:val="008B263F"/>
    <w:rsid w:val="008B2686"/>
    <w:rsid w:val="008B3045"/>
    <w:rsid w:val="008B3AFB"/>
    <w:rsid w:val="008B44F6"/>
    <w:rsid w:val="008B47A6"/>
    <w:rsid w:val="008B56B9"/>
    <w:rsid w:val="008B6416"/>
    <w:rsid w:val="008B672C"/>
    <w:rsid w:val="008B74F7"/>
    <w:rsid w:val="008C065F"/>
    <w:rsid w:val="008C0743"/>
    <w:rsid w:val="008C0B4C"/>
    <w:rsid w:val="008C0D9F"/>
    <w:rsid w:val="008C11F0"/>
    <w:rsid w:val="008C1516"/>
    <w:rsid w:val="008C1DBA"/>
    <w:rsid w:val="008C24E7"/>
    <w:rsid w:val="008C2500"/>
    <w:rsid w:val="008C2CAC"/>
    <w:rsid w:val="008C2E00"/>
    <w:rsid w:val="008C3095"/>
    <w:rsid w:val="008C3B1E"/>
    <w:rsid w:val="008C3C57"/>
    <w:rsid w:val="008C3E2A"/>
    <w:rsid w:val="008C45BD"/>
    <w:rsid w:val="008C4B19"/>
    <w:rsid w:val="008C515F"/>
    <w:rsid w:val="008C5207"/>
    <w:rsid w:val="008C606E"/>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60"/>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905"/>
    <w:rsid w:val="008F7989"/>
    <w:rsid w:val="009001B8"/>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97B"/>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365"/>
    <w:rsid w:val="00931451"/>
    <w:rsid w:val="009314FA"/>
    <w:rsid w:val="0093194F"/>
    <w:rsid w:val="00931BF3"/>
    <w:rsid w:val="00931C55"/>
    <w:rsid w:val="00933333"/>
    <w:rsid w:val="0093349A"/>
    <w:rsid w:val="009338BA"/>
    <w:rsid w:val="00933B54"/>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7A9"/>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1E9"/>
    <w:rsid w:val="0096470D"/>
    <w:rsid w:val="009648D6"/>
    <w:rsid w:val="00964B3F"/>
    <w:rsid w:val="00964C98"/>
    <w:rsid w:val="009654C6"/>
    <w:rsid w:val="00965DAF"/>
    <w:rsid w:val="00965DF2"/>
    <w:rsid w:val="009661D7"/>
    <w:rsid w:val="00966769"/>
    <w:rsid w:val="0097072C"/>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CE1"/>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780"/>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084"/>
    <w:rsid w:val="009E22B0"/>
    <w:rsid w:val="009E2391"/>
    <w:rsid w:val="009E2771"/>
    <w:rsid w:val="009E2EF9"/>
    <w:rsid w:val="009E31AE"/>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CD"/>
    <w:rsid w:val="00A0156A"/>
    <w:rsid w:val="00A01852"/>
    <w:rsid w:val="00A0188B"/>
    <w:rsid w:val="00A01D27"/>
    <w:rsid w:val="00A01E73"/>
    <w:rsid w:val="00A02137"/>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2BF"/>
    <w:rsid w:val="00A1036D"/>
    <w:rsid w:val="00A1069F"/>
    <w:rsid w:val="00A107F8"/>
    <w:rsid w:val="00A10AAD"/>
    <w:rsid w:val="00A10ACA"/>
    <w:rsid w:val="00A10D08"/>
    <w:rsid w:val="00A11215"/>
    <w:rsid w:val="00A11E78"/>
    <w:rsid w:val="00A12355"/>
    <w:rsid w:val="00A127D2"/>
    <w:rsid w:val="00A12C0C"/>
    <w:rsid w:val="00A13CF5"/>
    <w:rsid w:val="00A143EC"/>
    <w:rsid w:val="00A149E8"/>
    <w:rsid w:val="00A149F3"/>
    <w:rsid w:val="00A1500F"/>
    <w:rsid w:val="00A15621"/>
    <w:rsid w:val="00A15670"/>
    <w:rsid w:val="00A157A0"/>
    <w:rsid w:val="00A1585B"/>
    <w:rsid w:val="00A15AA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662"/>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A62"/>
    <w:rsid w:val="00A56BBF"/>
    <w:rsid w:val="00A56DE7"/>
    <w:rsid w:val="00A579F1"/>
    <w:rsid w:val="00A57DDD"/>
    <w:rsid w:val="00A57EB2"/>
    <w:rsid w:val="00A6009E"/>
    <w:rsid w:val="00A60265"/>
    <w:rsid w:val="00A60B1F"/>
    <w:rsid w:val="00A60B4A"/>
    <w:rsid w:val="00A610C3"/>
    <w:rsid w:val="00A613E5"/>
    <w:rsid w:val="00A6160B"/>
    <w:rsid w:val="00A6195E"/>
    <w:rsid w:val="00A61993"/>
    <w:rsid w:val="00A61C60"/>
    <w:rsid w:val="00A62589"/>
    <w:rsid w:val="00A62AD0"/>
    <w:rsid w:val="00A62C3A"/>
    <w:rsid w:val="00A6319C"/>
    <w:rsid w:val="00A63812"/>
    <w:rsid w:val="00A63DF7"/>
    <w:rsid w:val="00A6454D"/>
    <w:rsid w:val="00A64F18"/>
    <w:rsid w:val="00A64F2F"/>
    <w:rsid w:val="00A65505"/>
    <w:rsid w:val="00A65AA4"/>
    <w:rsid w:val="00A65C5E"/>
    <w:rsid w:val="00A6611E"/>
    <w:rsid w:val="00A6634D"/>
    <w:rsid w:val="00A668BA"/>
    <w:rsid w:val="00A66FA7"/>
    <w:rsid w:val="00A67E16"/>
    <w:rsid w:val="00A67E2C"/>
    <w:rsid w:val="00A67EB1"/>
    <w:rsid w:val="00A703CC"/>
    <w:rsid w:val="00A7074F"/>
    <w:rsid w:val="00A70C5C"/>
    <w:rsid w:val="00A710A2"/>
    <w:rsid w:val="00A7133F"/>
    <w:rsid w:val="00A71859"/>
    <w:rsid w:val="00A719D1"/>
    <w:rsid w:val="00A71EA7"/>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5290"/>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58E"/>
    <w:rsid w:val="00A9766C"/>
    <w:rsid w:val="00A976D3"/>
    <w:rsid w:val="00A977F8"/>
    <w:rsid w:val="00A979DB"/>
    <w:rsid w:val="00A97C93"/>
    <w:rsid w:val="00A97E85"/>
    <w:rsid w:val="00AA08E7"/>
    <w:rsid w:val="00AA0A06"/>
    <w:rsid w:val="00AA1351"/>
    <w:rsid w:val="00AA184C"/>
    <w:rsid w:val="00AA1C84"/>
    <w:rsid w:val="00AA1E7E"/>
    <w:rsid w:val="00AA20FA"/>
    <w:rsid w:val="00AA22C6"/>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5E4"/>
    <w:rsid w:val="00AC1957"/>
    <w:rsid w:val="00AC24CE"/>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77E"/>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421"/>
    <w:rsid w:val="00B01078"/>
    <w:rsid w:val="00B011A7"/>
    <w:rsid w:val="00B011A9"/>
    <w:rsid w:val="00B01BAF"/>
    <w:rsid w:val="00B01C36"/>
    <w:rsid w:val="00B020EB"/>
    <w:rsid w:val="00B024ED"/>
    <w:rsid w:val="00B026B8"/>
    <w:rsid w:val="00B02EB3"/>
    <w:rsid w:val="00B02FCB"/>
    <w:rsid w:val="00B033F8"/>
    <w:rsid w:val="00B0395C"/>
    <w:rsid w:val="00B03C1E"/>
    <w:rsid w:val="00B04400"/>
    <w:rsid w:val="00B04835"/>
    <w:rsid w:val="00B04A88"/>
    <w:rsid w:val="00B0515B"/>
    <w:rsid w:val="00B05A55"/>
    <w:rsid w:val="00B05DE1"/>
    <w:rsid w:val="00B06595"/>
    <w:rsid w:val="00B06798"/>
    <w:rsid w:val="00B0749C"/>
    <w:rsid w:val="00B10109"/>
    <w:rsid w:val="00B10720"/>
    <w:rsid w:val="00B10776"/>
    <w:rsid w:val="00B1085E"/>
    <w:rsid w:val="00B10FD1"/>
    <w:rsid w:val="00B119AE"/>
    <w:rsid w:val="00B1219D"/>
    <w:rsid w:val="00B12469"/>
    <w:rsid w:val="00B1271A"/>
    <w:rsid w:val="00B12735"/>
    <w:rsid w:val="00B12F44"/>
    <w:rsid w:val="00B1356B"/>
    <w:rsid w:val="00B13C48"/>
    <w:rsid w:val="00B13E35"/>
    <w:rsid w:val="00B13EC0"/>
    <w:rsid w:val="00B14102"/>
    <w:rsid w:val="00B144EA"/>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0FD"/>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2F77"/>
    <w:rsid w:val="00B43449"/>
    <w:rsid w:val="00B4364A"/>
    <w:rsid w:val="00B4387A"/>
    <w:rsid w:val="00B43AFE"/>
    <w:rsid w:val="00B43DA1"/>
    <w:rsid w:val="00B43EAC"/>
    <w:rsid w:val="00B43F98"/>
    <w:rsid w:val="00B44281"/>
    <w:rsid w:val="00B44746"/>
    <w:rsid w:val="00B44854"/>
    <w:rsid w:val="00B44BA5"/>
    <w:rsid w:val="00B44FF6"/>
    <w:rsid w:val="00B452FD"/>
    <w:rsid w:val="00B458D0"/>
    <w:rsid w:val="00B4595C"/>
    <w:rsid w:val="00B4661B"/>
    <w:rsid w:val="00B46915"/>
    <w:rsid w:val="00B4792C"/>
    <w:rsid w:val="00B5054D"/>
    <w:rsid w:val="00B50CAE"/>
    <w:rsid w:val="00B50E01"/>
    <w:rsid w:val="00B512AD"/>
    <w:rsid w:val="00B5196C"/>
    <w:rsid w:val="00B525CB"/>
    <w:rsid w:val="00B52697"/>
    <w:rsid w:val="00B52AE8"/>
    <w:rsid w:val="00B52FA2"/>
    <w:rsid w:val="00B54D8F"/>
    <w:rsid w:val="00B55857"/>
    <w:rsid w:val="00B55C69"/>
    <w:rsid w:val="00B56851"/>
    <w:rsid w:val="00B569D4"/>
    <w:rsid w:val="00B56BA8"/>
    <w:rsid w:val="00B56D4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8C1"/>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5B"/>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860"/>
    <w:rsid w:val="00BE6938"/>
    <w:rsid w:val="00BE6EDD"/>
    <w:rsid w:val="00BE7257"/>
    <w:rsid w:val="00BE7302"/>
    <w:rsid w:val="00BF020D"/>
    <w:rsid w:val="00BF0609"/>
    <w:rsid w:val="00BF0E64"/>
    <w:rsid w:val="00BF0EE8"/>
    <w:rsid w:val="00BF131B"/>
    <w:rsid w:val="00BF1C07"/>
    <w:rsid w:val="00BF1DD2"/>
    <w:rsid w:val="00BF22BF"/>
    <w:rsid w:val="00BF23A3"/>
    <w:rsid w:val="00BF2A7E"/>
    <w:rsid w:val="00BF3331"/>
    <w:rsid w:val="00BF3521"/>
    <w:rsid w:val="00BF3A45"/>
    <w:rsid w:val="00BF436F"/>
    <w:rsid w:val="00BF4484"/>
    <w:rsid w:val="00BF519C"/>
    <w:rsid w:val="00BF5C05"/>
    <w:rsid w:val="00BF5CB4"/>
    <w:rsid w:val="00BF6FC6"/>
    <w:rsid w:val="00BF7562"/>
    <w:rsid w:val="00BF77A5"/>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BAB"/>
    <w:rsid w:val="00C26D76"/>
    <w:rsid w:val="00C27143"/>
    <w:rsid w:val="00C2719D"/>
    <w:rsid w:val="00C272CE"/>
    <w:rsid w:val="00C27490"/>
    <w:rsid w:val="00C27712"/>
    <w:rsid w:val="00C27D37"/>
    <w:rsid w:val="00C30038"/>
    <w:rsid w:val="00C30658"/>
    <w:rsid w:val="00C309E8"/>
    <w:rsid w:val="00C32017"/>
    <w:rsid w:val="00C32571"/>
    <w:rsid w:val="00C325CD"/>
    <w:rsid w:val="00C3322E"/>
    <w:rsid w:val="00C33548"/>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7120"/>
    <w:rsid w:val="00C4719C"/>
    <w:rsid w:val="00C47472"/>
    <w:rsid w:val="00C500F0"/>
    <w:rsid w:val="00C504A7"/>
    <w:rsid w:val="00C506C9"/>
    <w:rsid w:val="00C50A16"/>
    <w:rsid w:val="00C50AFD"/>
    <w:rsid w:val="00C51653"/>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2CD"/>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403A"/>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5C62"/>
    <w:rsid w:val="00CA7500"/>
    <w:rsid w:val="00CA76FC"/>
    <w:rsid w:val="00CA7E7B"/>
    <w:rsid w:val="00CB0028"/>
    <w:rsid w:val="00CB0236"/>
    <w:rsid w:val="00CB0DAD"/>
    <w:rsid w:val="00CB0DC1"/>
    <w:rsid w:val="00CB144F"/>
    <w:rsid w:val="00CB1969"/>
    <w:rsid w:val="00CB19E3"/>
    <w:rsid w:val="00CB1DC1"/>
    <w:rsid w:val="00CB29D5"/>
    <w:rsid w:val="00CB2C3A"/>
    <w:rsid w:val="00CB2D38"/>
    <w:rsid w:val="00CB4137"/>
    <w:rsid w:val="00CB4A29"/>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C57"/>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F79"/>
    <w:rsid w:val="00D012BF"/>
    <w:rsid w:val="00D014AB"/>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B7"/>
    <w:rsid w:val="00D223E8"/>
    <w:rsid w:val="00D224E1"/>
    <w:rsid w:val="00D227ED"/>
    <w:rsid w:val="00D22DC8"/>
    <w:rsid w:val="00D22F86"/>
    <w:rsid w:val="00D24626"/>
    <w:rsid w:val="00D2477B"/>
    <w:rsid w:val="00D24BBC"/>
    <w:rsid w:val="00D24FE1"/>
    <w:rsid w:val="00D2522A"/>
    <w:rsid w:val="00D2531C"/>
    <w:rsid w:val="00D2553E"/>
    <w:rsid w:val="00D25CFA"/>
    <w:rsid w:val="00D25F7C"/>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49D"/>
    <w:rsid w:val="00D379A5"/>
    <w:rsid w:val="00D37A67"/>
    <w:rsid w:val="00D37AEC"/>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47F83"/>
    <w:rsid w:val="00D50113"/>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6503"/>
    <w:rsid w:val="00D57940"/>
    <w:rsid w:val="00D6015F"/>
    <w:rsid w:val="00D60327"/>
    <w:rsid w:val="00D61384"/>
    <w:rsid w:val="00D6140F"/>
    <w:rsid w:val="00D61526"/>
    <w:rsid w:val="00D61F81"/>
    <w:rsid w:val="00D620DD"/>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0C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34D"/>
    <w:rsid w:val="00D82B57"/>
    <w:rsid w:val="00D82CE5"/>
    <w:rsid w:val="00D830CF"/>
    <w:rsid w:val="00D8318E"/>
    <w:rsid w:val="00D831E3"/>
    <w:rsid w:val="00D8342C"/>
    <w:rsid w:val="00D841F9"/>
    <w:rsid w:val="00D852EE"/>
    <w:rsid w:val="00D85494"/>
    <w:rsid w:val="00D85501"/>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2C1"/>
    <w:rsid w:val="00D96594"/>
    <w:rsid w:val="00D967CB"/>
    <w:rsid w:val="00D968D4"/>
    <w:rsid w:val="00D96EE0"/>
    <w:rsid w:val="00D97871"/>
    <w:rsid w:val="00D97ACE"/>
    <w:rsid w:val="00D97BD1"/>
    <w:rsid w:val="00D97D05"/>
    <w:rsid w:val="00D97DAD"/>
    <w:rsid w:val="00DA06B8"/>
    <w:rsid w:val="00DA14A9"/>
    <w:rsid w:val="00DA2164"/>
    <w:rsid w:val="00DA2471"/>
    <w:rsid w:val="00DA2616"/>
    <w:rsid w:val="00DA2862"/>
    <w:rsid w:val="00DA286D"/>
    <w:rsid w:val="00DA2969"/>
    <w:rsid w:val="00DA29B7"/>
    <w:rsid w:val="00DA337C"/>
    <w:rsid w:val="00DA3710"/>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0D09"/>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5CA4"/>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3FCF"/>
    <w:rsid w:val="00DC478F"/>
    <w:rsid w:val="00DC4A78"/>
    <w:rsid w:val="00DC537E"/>
    <w:rsid w:val="00DC62E5"/>
    <w:rsid w:val="00DC669F"/>
    <w:rsid w:val="00DC6A2B"/>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E3B"/>
    <w:rsid w:val="00DE3FB3"/>
    <w:rsid w:val="00DE3FF0"/>
    <w:rsid w:val="00DE4105"/>
    <w:rsid w:val="00DE41C4"/>
    <w:rsid w:val="00DE5189"/>
    <w:rsid w:val="00DE7108"/>
    <w:rsid w:val="00DE73C5"/>
    <w:rsid w:val="00DE78D1"/>
    <w:rsid w:val="00DE78FF"/>
    <w:rsid w:val="00DF0263"/>
    <w:rsid w:val="00DF057C"/>
    <w:rsid w:val="00DF084C"/>
    <w:rsid w:val="00DF0D9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DD9"/>
    <w:rsid w:val="00E04EDD"/>
    <w:rsid w:val="00E05264"/>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4A47"/>
    <w:rsid w:val="00E14B0F"/>
    <w:rsid w:val="00E15044"/>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2B1"/>
    <w:rsid w:val="00E275D9"/>
    <w:rsid w:val="00E27720"/>
    <w:rsid w:val="00E27801"/>
    <w:rsid w:val="00E27988"/>
    <w:rsid w:val="00E3044A"/>
    <w:rsid w:val="00E30E49"/>
    <w:rsid w:val="00E314A5"/>
    <w:rsid w:val="00E3174A"/>
    <w:rsid w:val="00E31A4A"/>
    <w:rsid w:val="00E3223E"/>
    <w:rsid w:val="00E32AE4"/>
    <w:rsid w:val="00E3344A"/>
    <w:rsid w:val="00E33B29"/>
    <w:rsid w:val="00E33B62"/>
    <w:rsid w:val="00E3403D"/>
    <w:rsid w:val="00E344BD"/>
    <w:rsid w:val="00E34964"/>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6F8"/>
    <w:rsid w:val="00E46BBC"/>
    <w:rsid w:val="00E4759C"/>
    <w:rsid w:val="00E50A7B"/>
    <w:rsid w:val="00E50B0B"/>
    <w:rsid w:val="00E510FE"/>
    <w:rsid w:val="00E51129"/>
    <w:rsid w:val="00E516C7"/>
    <w:rsid w:val="00E51E25"/>
    <w:rsid w:val="00E5205B"/>
    <w:rsid w:val="00E521AE"/>
    <w:rsid w:val="00E52212"/>
    <w:rsid w:val="00E52639"/>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304"/>
    <w:rsid w:val="00E6453E"/>
    <w:rsid w:val="00E64700"/>
    <w:rsid w:val="00E64854"/>
    <w:rsid w:val="00E65074"/>
    <w:rsid w:val="00E6526E"/>
    <w:rsid w:val="00E654CD"/>
    <w:rsid w:val="00E65E70"/>
    <w:rsid w:val="00E66087"/>
    <w:rsid w:val="00E66A24"/>
    <w:rsid w:val="00E66D79"/>
    <w:rsid w:val="00E66FF9"/>
    <w:rsid w:val="00E6706F"/>
    <w:rsid w:val="00E67587"/>
    <w:rsid w:val="00E67856"/>
    <w:rsid w:val="00E679C8"/>
    <w:rsid w:val="00E701D9"/>
    <w:rsid w:val="00E70314"/>
    <w:rsid w:val="00E724E7"/>
    <w:rsid w:val="00E72B41"/>
    <w:rsid w:val="00E7336C"/>
    <w:rsid w:val="00E7347B"/>
    <w:rsid w:val="00E73792"/>
    <w:rsid w:val="00E73D03"/>
    <w:rsid w:val="00E74040"/>
    <w:rsid w:val="00E7471C"/>
    <w:rsid w:val="00E7498A"/>
    <w:rsid w:val="00E74D8C"/>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4B55"/>
    <w:rsid w:val="00E85170"/>
    <w:rsid w:val="00E8542B"/>
    <w:rsid w:val="00E85915"/>
    <w:rsid w:val="00E86556"/>
    <w:rsid w:val="00E86754"/>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1C52"/>
    <w:rsid w:val="00EB227B"/>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135"/>
    <w:rsid w:val="00EC3BC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173"/>
    <w:rsid w:val="00ED3347"/>
    <w:rsid w:val="00ED3441"/>
    <w:rsid w:val="00ED3860"/>
    <w:rsid w:val="00ED3954"/>
    <w:rsid w:val="00ED40F2"/>
    <w:rsid w:val="00ED43A2"/>
    <w:rsid w:val="00ED4862"/>
    <w:rsid w:val="00ED4967"/>
    <w:rsid w:val="00ED5140"/>
    <w:rsid w:val="00ED5367"/>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680"/>
    <w:rsid w:val="00F02744"/>
    <w:rsid w:val="00F02BFD"/>
    <w:rsid w:val="00F02D25"/>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3AB5"/>
    <w:rsid w:val="00F24644"/>
    <w:rsid w:val="00F24EF4"/>
    <w:rsid w:val="00F2573C"/>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268"/>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1D4"/>
    <w:rsid w:val="00F45921"/>
    <w:rsid w:val="00F45B14"/>
    <w:rsid w:val="00F45B91"/>
    <w:rsid w:val="00F45E78"/>
    <w:rsid w:val="00F46639"/>
    <w:rsid w:val="00F46DBB"/>
    <w:rsid w:val="00F46EC3"/>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3A40"/>
    <w:rsid w:val="00F5417E"/>
    <w:rsid w:val="00F55679"/>
    <w:rsid w:val="00F56091"/>
    <w:rsid w:val="00F561E3"/>
    <w:rsid w:val="00F565E6"/>
    <w:rsid w:val="00F56AFA"/>
    <w:rsid w:val="00F56FEA"/>
    <w:rsid w:val="00F56FF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198B"/>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7AC"/>
    <w:rsid w:val="00F91CB2"/>
    <w:rsid w:val="00F91E38"/>
    <w:rsid w:val="00F9232A"/>
    <w:rsid w:val="00F927E8"/>
    <w:rsid w:val="00F9289C"/>
    <w:rsid w:val="00F9374A"/>
    <w:rsid w:val="00F9375C"/>
    <w:rsid w:val="00F93973"/>
    <w:rsid w:val="00F93DBC"/>
    <w:rsid w:val="00F93E41"/>
    <w:rsid w:val="00F93F18"/>
    <w:rsid w:val="00F94206"/>
    <w:rsid w:val="00F94644"/>
    <w:rsid w:val="00F952E4"/>
    <w:rsid w:val="00F9537B"/>
    <w:rsid w:val="00F9576A"/>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8E"/>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ADA"/>
    <w:rsid w:val="00FC7BE7"/>
    <w:rsid w:val="00FC7D25"/>
    <w:rsid w:val="00FC7DAC"/>
    <w:rsid w:val="00FD005D"/>
    <w:rsid w:val="00FD023A"/>
    <w:rsid w:val="00FD0360"/>
    <w:rsid w:val="00FD04AE"/>
    <w:rsid w:val="00FD0DFA"/>
    <w:rsid w:val="00FD128D"/>
    <w:rsid w:val="00FD1607"/>
    <w:rsid w:val="00FD1890"/>
    <w:rsid w:val="00FD1994"/>
    <w:rsid w:val="00FD1E2E"/>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07D8"/>
    <w:rsid w:val="00FE141E"/>
    <w:rsid w:val="00FE144E"/>
    <w:rsid w:val="00FE1768"/>
    <w:rsid w:val="00FE24F4"/>
    <w:rsid w:val="00FE2560"/>
    <w:rsid w:val="00FE29AD"/>
    <w:rsid w:val="00FE35D0"/>
    <w:rsid w:val="00FE42ED"/>
    <w:rsid w:val="00FE4E06"/>
    <w:rsid w:val="00FE55A7"/>
    <w:rsid w:val="00FE5C5A"/>
    <w:rsid w:val="00FE6432"/>
    <w:rsid w:val="00FE66E4"/>
    <w:rsid w:val="00FE6D20"/>
    <w:rsid w:val="00FE72A0"/>
    <w:rsid w:val="00FE76F7"/>
    <w:rsid w:val="00FE76F9"/>
    <w:rsid w:val="00FF0050"/>
    <w:rsid w:val="00FF0075"/>
    <w:rsid w:val="00FF045F"/>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Ha,列出段落"/>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3314033">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9423539">
      <w:bodyDiv w:val="1"/>
      <w:marLeft w:val="0"/>
      <w:marRight w:val="0"/>
      <w:marTop w:val="0"/>
      <w:marBottom w:val="0"/>
      <w:divBdr>
        <w:top w:val="none" w:sz="0" w:space="0" w:color="auto"/>
        <w:left w:val="none" w:sz="0" w:space="0" w:color="auto"/>
        <w:bottom w:val="none" w:sz="0" w:space="0" w:color="auto"/>
        <w:right w:val="none" w:sz="0" w:space="0" w:color="auto"/>
      </w:divBdr>
      <w:divsChild>
        <w:div w:id="297150234">
          <w:marLeft w:val="0"/>
          <w:marRight w:val="0"/>
          <w:marTop w:val="0"/>
          <w:marBottom w:val="0"/>
          <w:divBdr>
            <w:top w:val="none" w:sz="0" w:space="0" w:color="auto"/>
            <w:left w:val="none" w:sz="0" w:space="0" w:color="auto"/>
            <w:bottom w:val="none" w:sz="0" w:space="0" w:color="auto"/>
            <w:right w:val="none" w:sz="0" w:space="0" w:color="auto"/>
          </w:divBdr>
        </w:div>
      </w:divsChild>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08174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15697">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5635074">
      <w:bodyDiv w:val="1"/>
      <w:marLeft w:val="0"/>
      <w:marRight w:val="0"/>
      <w:marTop w:val="0"/>
      <w:marBottom w:val="0"/>
      <w:divBdr>
        <w:top w:val="none" w:sz="0" w:space="0" w:color="auto"/>
        <w:left w:val="none" w:sz="0" w:space="0" w:color="auto"/>
        <w:bottom w:val="none" w:sz="0" w:space="0" w:color="auto"/>
        <w:right w:val="none" w:sz="0" w:space="0" w:color="auto"/>
      </w:divBdr>
      <w:divsChild>
        <w:div w:id="2116821556">
          <w:marLeft w:val="0"/>
          <w:marRight w:val="0"/>
          <w:marTop w:val="0"/>
          <w:marBottom w:val="0"/>
          <w:divBdr>
            <w:top w:val="none" w:sz="0" w:space="0" w:color="auto"/>
            <w:left w:val="none" w:sz="0" w:space="0" w:color="auto"/>
            <w:bottom w:val="none" w:sz="0" w:space="0" w:color="auto"/>
            <w:right w:val="none" w:sz="0" w:space="0" w:color="auto"/>
          </w:divBdr>
          <w:divsChild>
            <w:div w:id="1963924595">
              <w:marLeft w:val="0"/>
              <w:marRight w:val="0"/>
              <w:marTop w:val="0"/>
              <w:marBottom w:val="0"/>
              <w:divBdr>
                <w:top w:val="none" w:sz="0" w:space="0" w:color="auto"/>
                <w:left w:val="none" w:sz="0" w:space="0" w:color="auto"/>
                <w:bottom w:val="none" w:sz="0" w:space="0" w:color="auto"/>
                <w:right w:val="none" w:sz="0" w:space="0" w:color="auto"/>
              </w:divBdr>
              <w:divsChild>
                <w:div w:id="2023819144">
                  <w:marLeft w:val="0"/>
                  <w:marRight w:val="0"/>
                  <w:marTop w:val="0"/>
                  <w:marBottom w:val="0"/>
                  <w:divBdr>
                    <w:top w:val="none" w:sz="0" w:space="0" w:color="auto"/>
                    <w:left w:val="none" w:sz="0" w:space="0" w:color="auto"/>
                    <w:bottom w:val="none" w:sz="0" w:space="0" w:color="auto"/>
                    <w:right w:val="none" w:sz="0" w:space="0" w:color="auto"/>
                  </w:divBdr>
                  <w:divsChild>
                    <w:div w:id="71816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5009050">
      <w:bodyDiv w:val="1"/>
      <w:marLeft w:val="0"/>
      <w:marRight w:val="0"/>
      <w:marTop w:val="0"/>
      <w:marBottom w:val="0"/>
      <w:divBdr>
        <w:top w:val="none" w:sz="0" w:space="0" w:color="auto"/>
        <w:left w:val="none" w:sz="0" w:space="0" w:color="auto"/>
        <w:bottom w:val="none" w:sz="0" w:space="0" w:color="auto"/>
        <w:right w:val="none" w:sz="0" w:space="0" w:color="auto"/>
      </w:divBdr>
      <w:divsChild>
        <w:div w:id="391272046">
          <w:marLeft w:val="0"/>
          <w:marRight w:val="0"/>
          <w:marTop w:val="0"/>
          <w:marBottom w:val="0"/>
          <w:divBdr>
            <w:top w:val="none" w:sz="0" w:space="0" w:color="auto"/>
            <w:left w:val="none" w:sz="0" w:space="0" w:color="auto"/>
            <w:bottom w:val="none" w:sz="0" w:space="0" w:color="auto"/>
            <w:right w:val="none" w:sz="0" w:space="0" w:color="auto"/>
          </w:divBdr>
          <w:divsChild>
            <w:div w:id="28797870">
              <w:marLeft w:val="0"/>
              <w:marRight w:val="0"/>
              <w:marTop w:val="0"/>
              <w:marBottom w:val="0"/>
              <w:divBdr>
                <w:top w:val="none" w:sz="0" w:space="0" w:color="auto"/>
                <w:left w:val="none" w:sz="0" w:space="0" w:color="auto"/>
                <w:bottom w:val="none" w:sz="0" w:space="0" w:color="auto"/>
                <w:right w:val="none" w:sz="0" w:space="0" w:color="auto"/>
              </w:divBdr>
              <w:divsChild>
                <w:div w:id="9305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783379">
      <w:bodyDiv w:val="1"/>
      <w:marLeft w:val="0"/>
      <w:marRight w:val="0"/>
      <w:marTop w:val="0"/>
      <w:marBottom w:val="0"/>
      <w:divBdr>
        <w:top w:val="none" w:sz="0" w:space="0" w:color="auto"/>
        <w:left w:val="none" w:sz="0" w:space="0" w:color="auto"/>
        <w:bottom w:val="none" w:sz="0" w:space="0" w:color="auto"/>
        <w:right w:val="none" w:sz="0" w:space="0" w:color="auto"/>
      </w:divBdr>
      <w:divsChild>
        <w:div w:id="194587720">
          <w:marLeft w:val="0"/>
          <w:marRight w:val="0"/>
          <w:marTop w:val="0"/>
          <w:marBottom w:val="0"/>
          <w:divBdr>
            <w:top w:val="none" w:sz="0" w:space="0" w:color="auto"/>
            <w:left w:val="none" w:sz="0" w:space="0" w:color="auto"/>
            <w:bottom w:val="none" w:sz="0" w:space="0" w:color="auto"/>
            <w:right w:val="none" w:sz="0" w:space="0" w:color="auto"/>
          </w:divBdr>
        </w:div>
      </w:divsChild>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239229">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1645719">
      <w:bodyDiv w:val="1"/>
      <w:marLeft w:val="0"/>
      <w:marRight w:val="0"/>
      <w:marTop w:val="0"/>
      <w:marBottom w:val="0"/>
      <w:divBdr>
        <w:top w:val="none" w:sz="0" w:space="0" w:color="auto"/>
        <w:left w:val="none" w:sz="0" w:space="0" w:color="auto"/>
        <w:bottom w:val="none" w:sz="0" w:space="0" w:color="auto"/>
        <w:right w:val="none" w:sz="0" w:space="0" w:color="auto"/>
      </w:divBdr>
      <w:divsChild>
        <w:div w:id="2043360423">
          <w:marLeft w:val="0"/>
          <w:marRight w:val="0"/>
          <w:marTop w:val="0"/>
          <w:marBottom w:val="0"/>
          <w:divBdr>
            <w:top w:val="none" w:sz="0" w:space="0" w:color="auto"/>
            <w:left w:val="none" w:sz="0" w:space="0" w:color="auto"/>
            <w:bottom w:val="none" w:sz="0" w:space="0" w:color="auto"/>
            <w:right w:val="none" w:sz="0" w:space="0" w:color="auto"/>
          </w:divBdr>
          <w:divsChild>
            <w:div w:id="1639845949">
              <w:marLeft w:val="0"/>
              <w:marRight w:val="0"/>
              <w:marTop w:val="0"/>
              <w:marBottom w:val="0"/>
              <w:divBdr>
                <w:top w:val="none" w:sz="0" w:space="0" w:color="auto"/>
                <w:left w:val="none" w:sz="0" w:space="0" w:color="auto"/>
                <w:bottom w:val="none" w:sz="0" w:space="0" w:color="auto"/>
                <w:right w:val="none" w:sz="0" w:space="0" w:color="auto"/>
              </w:divBdr>
              <w:divsChild>
                <w:div w:id="131472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36085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dnp.gov.co/DNPN/normativa/proyectos-de-normativid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6AD42D-83BE-4135-9BC3-FB7134B3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131</TotalTime>
  <Pages>21</Pages>
  <Words>7927</Words>
  <Characters>43599</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49</cp:revision>
  <cp:lastPrinted>2020-01-30T15:05:00Z</cp:lastPrinted>
  <dcterms:created xsi:type="dcterms:W3CDTF">2021-08-03T19:47:00Z</dcterms:created>
  <dcterms:modified xsi:type="dcterms:W3CDTF">2021-12-13T20:21:00Z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