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E2C9D" w14:textId="152F352B" w:rsidR="00D116D9" w:rsidRPr="00FF7287" w:rsidRDefault="00D116D9" w:rsidP="00D116D9">
      <w:pPr>
        <w:spacing w:after="0" w:line="240" w:lineRule="auto"/>
        <w:jc w:val="right"/>
        <w:rPr>
          <w:rFonts w:ascii="Arial" w:hAnsi="Arial" w:cs="Arial"/>
          <w:b/>
          <w:bCs/>
          <w:sz w:val="20"/>
          <w:szCs w:val="20"/>
          <w:lang w:val="es-ES" w:eastAsia="es-ES"/>
        </w:rPr>
      </w:pPr>
      <w:bookmarkStart w:id="0" w:name="_Hlk28946138"/>
      <w:bookmarkStart w:id="1" w:name="_Hlk29548183"/>
      <w:r w:rsidRPr="00FF7287">
        <w:rPr>
          <w:rFonts w:ascii="Arial" w:hAnsi="Arial" w:cs="Arial"/>
          <w:b/>
          <w:bCs/>
          <w:sz w:val="16"/>
          <w:szCs w:val="16"/>
          <w:lang w:val="es-ES" w:eastAsia="es-ES"/>
        </w:rPr>
        <w:t>CCE-DES-FM-17</w:t>
      </w:r>
    </w:p>
    <w:p w14:paraId="40E254A2" w14:textId="77777777" w:rsidR="00D116D9" w:rsidRPr="00FF7287" w:rsidRDefault="00D116D9" w:rsidP="00D116D9">
      <w:pPr>
        <w:spacing w:after="0" w:line="240" w:lineRule="auto"/>
        <w:jc w:val="right"/>
        <w:rPr>
          <w:rFonts w:ascii="Arial" w:hAnsi="Arial" w:cs="Arial"/>
          <w:b/>
          <w:bCs/>
          <w:color w:val="000000" w:themeColor="text1"/>
          <w:sz w:val="20"/>
          <w:szCs w:val="20"/>
          <w:lang w:val="es-ES"/>
        </w:rPr>
      </w:pPr>
    </w:p>
    <w:p w14:paraId="45D59D46" w14:textId="77777777" w:rsidR="00D116D9" w:rsidRPr="00FF7287" w:rsidRDefault="00D116D9" w:rsidP="002838AC">
      <w:pPr>
        <w:spacing w:after="0" w:line="240" w:lineRule="auto"/>
        <w:jc w:val="both"/>
        <w:rPr>
          <w:rFonts w:ascii="Arial" w:eastAsia="Calibri" w:hAnsi="Arial" w:cs="Arial"/>
          <w:b/>
          <w:lang w:val="es-ES"/>
        </w:rPr>
      </w:pPr>
      <w:r w:rsidRPr="00FF7287">
        <w:rPr>
          <w:rFonts w:ascii="Arial" w:eastAsia="Calibri" w:hAnsi="Arial" w:cs="Arial"/>
          <w:b/>
          <w:lang w:val="es-ES"/>
        </w:rPr>
        <w:t>GARANTÍAS – Contratación estatal – Constitución de garantías – Finalidad – Cumplimiento – Obligaciones contractuales</w:t>
      </w:r>
    </w:p>
    <w:p w14:paraId="2EFF58C7" w14:textId="77777777" w:rsidR="00D116D9" w:rsidRPr="00FF7287" w:rsidRDefault="00D116D9" w:rsidP="002838AC">
      <w:pPr>
        <w:spacing w:after="0" w:line="240" w:lineRule="auto"/>
        <w:jc w:val="both"/>
        <w:rPr>
          <w:rFonts w:ascii="Arial" w:eastAsia="Calibri" w:hAnsi="Arial" w:cs="Arial"/>
          <w:bCs/>
          <w:sz w:val="20"/>
          <w:szCs w:val="20"/>
          <w:lang w:val="es-ES"/>
        </w:rPr>
      </w:pPr>
    </w:p>
    <w:p w14:paraId="75020EAD" w14:textId="0E35EC72" w:rsidR="002838AC" w:rsidRPr="002838AC" w:rsidRDefault="002838AC" w:rsidP="002838AC">
      <w:pPr>
        <w:spacing w:after="0" w:line="240" w:lineRule="auto"/>
        <w:jc w:val="both"/>
        <w:rPr>
          <w:rFonts w:ascii="Arial" w:eastAsia="Calibri" w:hAnsi="Arial" w:cs="Arial"/>
          <w:color w:val="000000"/>
          <w:sz w:val="20"/>
          <w:szCs w:val="20"/>
          <w:lang w:val="es-ES_tradnl"/>
        </w:rPr>
      </w:pPr>
      <w:r w:rsidRPr="002838AC">
        <w:rPr>
          <w:rFonts w:ascii="Arial" w:eastAsia="Calibri" w:hAnsi="Arial" w:cs="Arial"/>
          <w:color w:val="000000"/>
          <w:sz w:val="20"/>
          <w:szCs w:val="20"/>
          <w:lang w:val="es-ES_tradnl" w:eastAsia="es-ES_tradnl"/>
        </w:rPr>
        <w:t xml:space="preserve">El Estatuto General de Contratación de la Administración Pública exige, por regla general, en los procesos de contratación pública </w:t>
      </w:r>
      <w:r w:rsidRPr="002838AC">
        <w:rPr>
          <w:rFonts w:ascii="Arial" w:eastAsia="Calibri" w:hAnsi="Arial" w:cs="Arial"/>
          <w:color w:val="000000"/>
          <w:sz w:val="20"/>
          <w:szCs w:val="20"/>
          <w:lang w:val="es-ES" w:eastAsia="es-ES_tradnl"/>
        </w:rPr>
        <w:t xml:space="preserve">la constitución de </w:t>
      </w:r>
      <w:proofErr w:type="gramStart"/>
      <w:r w:rsidRPr="002838AC">
        <w:rPr>
          <w:rFonts w:ascii="Arial" w:eastAsia="Calibri" w:hAnsi="Arial" w:cs="Arial"/>
          <w:color w:val="000000"/>
          <w:sz w:val="20"/>
          <w:szCs w:val="20"/>
          <w:lang w:val="es-ES" w:eastAsia="es-ES_tradnl"/>
        </w:rPr>
        <w:t>garantías,</w:t>
      </w:r>
      <w:proofErr w:type="gramEnd"/>
      <w:r w:rsidRPr="002838AC">
        <w:rPr>
          <w:rFonts w:ascii="Arial" w:eastAsia="Calibri" w:hAnsi="Arial" w:cs="Arial"/>
          <w:color w:val="000000"/>
          <w:sz w:val="20"/>
          <w:szCs w:val="20"/>
          <w:lang w:val="es-ES" w:eastAsia="es-ES_tradnl"/>
        </w:rPr>
        <w:t xml:space="preserve"> ya sea en la etapa precontractual, contractual o </w:t>
      </w:r>
      <w:proofErr w:type="spellStart"/>
      <w:r w:rsidRPr="002838AC">
        <w:rPr>
          <w:rFonts w:ascii="Arial" w:eastAsia="Calibri" w:hAnsi="Arial" w:cs="Arial"/>
          <w:color w:val="000000"/>
          <w:sz w:val="20"/>
          <w:szCs w:val="20"/>
          <w:lang w:val="es-ES" w:eastAsia="es-ES_tradnl"/>
        </w:rPr>
        <w:t>postcontractual</w:t>
      </w:r>
      <w:proofErr w:type="spellEnd"/>
      <w:r w:rsidRPr="002838AC">
        <w:rPr>
          <w:rFonts w:ascii="Arial" w:eastAsia="Calibri" w:hAnsi="Arial" w:cs="Arial"/>
          <w:color w:val="000000"/>
          <w:sz w:val="20"/>
          <w:szCs w:val="20"/>
          <w:lang w:val="es-ES" w:eastAsia="es-ES_tradnl"/>
        </w:rPr>
        <w:t>, con el fin de evitar o mitigar posibles riesgos</w:t>
      </w:r>
      <w:r w:rsidRPr="002838AC">
        <w:rPr>
          <w:rFonts w:ascii="Arial" w:eastAsia="Calibri" w:hAnsi="Arial" w:cs="Arial"/>
          <w:color w:val="000000"/>
          <w:sz w:val="20"/>
          <w:szCs w:val="20"/>
          <w:lang w:val="es-ES_tradnl" w:eastAsia="es-ES_tradnl"/>
        </w:rPr>
        <w:t xml:space="preserve">. En esa orientación, </w:t>
      </w:r>
      <w:r w:rsidRPr="002838AC">
        <w:rPr>
          <w:rFonts w:ascii="Arial" w:eastAsia="Calibri" w:hAnsi="Arial" w:cs="Arial"/>
          <w:color w:val="000000"/>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r w:rsidRPr="002838AC">
        <w:rPr>
          <w:rFonts w:ascii="Arial" w:eastAsia="Calibri" w:hAnsi="Arial" w:cs="Arial"/>
          <w:color w:val="000000"/>
          <w:sz w:val="20"/>
          <w:szCs w:val="20"/>
          <w:lang w:val="es-ES_tradnl"/>
        </w:rPr>
        <w:t>.</w:t>
      </w:r>
    </w:p>
    <w:p w14:paraId="45BC7CDF" w14:textId="77777777" w:rsidR="002838AC" w:rsidRDefault="002838AC" w:rsidP="002838AC">
      <w:pPr>
        <w:spacing w:after="0" w:line="240" w:lineRule="auto"/>
        <w:jc w:val="both"/>
        <w:rPr>
          <w:rFonts w:ascii="Arial" w:eastAsia="Calibri" w:hAnsi="Arial" w:cs="Arial"/>
          <w:color w:val="000000"/>
          <w:lang w:val="es-ES_tradnl"/>
        </w:rPr>
      </w:pPr>
    </w:p>
    <w:p w14:paraId="5F63B6FB" w14:textId="6B0F5E56" w:rsidR="00D116D9" w:rsidRDefault="00D116D9" w:rsidP="002838AC">
      <w:pPr>
        <w:spacing w:after="0" w:line="240" w:lineRule="auto"/>
        <w:jc w:val="both"/>
        <w:rPr>
          <w:rFonts w:ascii="Arial" w:eastAsia="Calibri" w:hAnsi="Arial" w:cs="Arial"/>
          <w:b/>
          <w:bCs/>
          <w:lang w:val="es-ES"/>
        </w:rPr>
      </w:pPr>
      <w:r w:rsidRPr="00FF7287">
        <w:rPr>
          <w:rFonts w:ascii="Arial" w:eastAsia="Calibri" w:hAnsi="Arial" w:cs="Arial"/>
          <w:b/>
          <w:bCs/>
          <w:lang w:val="es-ES"/>
        </w:rPr>
        <w:t>GARANTÍA DE SERIEDAD – Alcance – Finalidad</w:t>
      </w:r>
    </w:p>
    <w:p w14:paraId="47A2F597" w14:textId="77777777" w:rsidR="002838AC" w:rsidRPr="00FF7287" w:rsidRDefault="002838AC" w:rsidP="002838AC">
      <w:pPr>
        <w:spacing w:after="0" w:line="240" w:lineRule="auto"/>
        <w:jc w:val="both"/>
        <w:rPr>
          <w:rFonts w:ascii="Arial" w:eastAsia="Calibri" w:hAnsi="Arial" w:cs="Arial"/>
          <w:b/>
          <w:bCs/>
          <w:lang w:val="es-ES"/>
        </w:rPr>
      </w:pPr>
    </w:p>
    <w:p w14:paraId="697738F8" w14:textId="77777777" w:rsidR="002838AC" w:rsidRPr="002838AC" w:rsidRDefault="002838AC" w:rsidP="002838AC">
      <w:pPr>
        <w:spacing w:after="120" w:line="240" w:lineRule="auto"/>
        <w:jc w:val="both"/>
        <w:rPr>
          <w:rFonts w:ascii="Arial" w:eastAsia="Calibri" w:hAnsi="Arial" w:cs="Arial"/>
          <w:color w:val="000000"/>
          <w:sz w:val="20"/>
          <w:szCs w:val="20"/>
          <w:lang w:val="es-ES" w:eastAsia="es-ES_tradnl"/>
        </w:rPr>
      </w:pPr>
      <w:r w:rsidRPr="002838AC">
        <w:rPr>
          <w:rFonts w:ascii="Arial" w:eastAsia="Calibri" w:hAnsi="Arial" w:cs="Arial"/>
          <w:color w:val="000000"/>
          <w:sz w:val="20"/>
          <w:szCs w:val="20"/>
          <w:lang w:val="es-ES_tradnl"/>
        </w:rPr>
        <w:t xml:space="preserve">La </w:t>
      </w:r>
      <w:r w:rsidRPr="002838AC">
        <w:rPr>
          <w:rFonts w:ascii="Arial" w:eastAsia="Calibri" w:hAnsi="Arial" w:cs="Arial"/>
          <w:i/>
          <w:iCs/>
          <w:color w:val="000000"/>
          <w:sz w:val="20"/>
          <w:szCs w:val="20"/>
          <w:lang w:val="es-ES_tradnl"/>
        </w:rPr>
        <w:t>garantía de seriedad</w:t>
      </w:r>
      <w:r w:rsidRPr="002838AC">
        <w:rPr>
          <w:rFonts w:ascii="Arial" w:eastAsia="Calibri" w:hAnsi="Arial" w:cs="Arial"/>
          <w:color w:val="000000"/>
          <w:sz w:val="20"/>
          <w:szCs w:val="20"/>
          <w:lang w:val="es-ES_tradnl"/>
        </w:rPr>
        <w:t xml:space="preserve"> implica una caución provisional que avala la propuesta y es una garantía precontractual –y parcialmente contractual– destinada a asegurar la suscripción del futuro acuerdo, entre otras obligaciones. En contraste, la </w:t>
      </w:r>
      <w:r w:rsidRPr="002838AC">
        <w:rPr>
          <w:rFonts w:ascii="Arial" w:eastAsia="Calibri" w:hAnsi="Arial" w:cs="Arial"/>
          <w:i/>
          <w:iCs/>
          <w:color w:val="000000"/>
          <w:sz w:val="20"/>
          <w:szCs w:val="20"/>
          <w:lang w:val="es-ES_tradnl"/>
        </w:rPr>
        <w:t>garantía de cumplimiento</w:t>
      </w:r>
      <w:r w:rsidRPr="002838AC">
        <w:rPr>
          <w:rFonts w:ascii="Arial" w:eastAsia="Calibri" w:hAnsi="Arial" w:cs="Arial"/>
          <w:color w:val="000000"/>
          <w:sz w:val="20"/>
          <w:szCs w:val="20"/>
          <w:lang w:val="es-ES_tradnl"/>
        </w:rPr>
        <w:t xml:space="preserve"> es un mecanismo de cobertura del riesgo derivado del incumplimiento de las obligaciones del contrato. Desde esta perspectiva, ambas constituyen una obligación de seguridad, es decir, aquella donde el interés del acreedor no consiste en una utilidad específica y tangible, sino en la tranquilidad frente a ciertos riesgos por la cobertura de sus consecuencias nocivas.</w:t>
      </w:r>
    </w:p>
    <w:p w14:paraId="1DD17BDB" w14:textId="08893A68" w:rsidR="002838AC" w:rsidRPr="002838AC" w:rsidRDefault="002838AC" w:rsidP="002838AC">
      <w:pPr>
        <w:spacing w:after="0" w:line="240" w:lineRule="auto"/>
        <w:jc w:val="both"/>
        <w:rPr>
          <w:rFonts w:ascii="Arial" w:eastAsia="Calibri" w:hAnsi="Arial" w:cs="Arial"/>
          <w:color w:val="000000"/>
          <w:sz w:val="20"/>
          <w:szCs w:val="20"/>
          <w:lang w:val="es-ES" w:eastAsia="es-ES_tradnl"/>
        </w:rPr>
      </w:pPr>
      <w:r w:rsidRPr="002838AC">
        <w:rPr>
          <w:rFonts w:ascii="Arial" w:eastAsia="Calibri" w:hAnsi="Arial" w:cs="Arial"/>
          <w:color w:val="000000"/>
          <w:sz w:val="20"/>
          <w:szCs w:val="20"/>
          <w:lang w:val="es-ES" w:eastAsia="es-ES_tradnl"/>
        </w:rPr>
        <w:t xml:space="preserve">Sobre la </w:t>
      </w:r>
      <w:r w:rsidRPr="002838AC">
        <w:rPr>
          <w:rFonts w:ascii="Arial" w:eastAsia="Calibri" w:hAnsi="Arial" w:cs="Arial"/>
          <w:i/>
          <w:iCs/>
          <w:color w:val="000000"/>
          <w:sz w:val="20"/>
          <w:szCs w:val="20"/>
          <w:lang w:val="es-ES" w:eastAsia="es-ES_tradnl"/>
        </w:rPr>
        <w:t>garantía de seriedad</w:t>
      </w:r>
      <w:r w:rsidRPr="002838AC">
        <w:rPr>
          <w:rFonts w:ascii="Arial" w:eastAsia="Calibri" w:hAnsi="Arial" w:cs="Arial"/>
          <w:color w:val="000000"/>
          <w:sz w:val="20"/>
          <w:szCs w:val="20"/>
          <w:lang w:val="es-ES" w:eastAsia="es-ES_tradnl"/>
        </w:rPr>
        <w:t xml:space="preserve"> se destaca que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 </w:t>
      </w:r>
    </w:p>
    <w:p w14:paraId="139263F4" w14:textId="77777777" w:rsidR="002838AC" w:rsidRPr="00FF7287" w:rsidRDefault="002838AC" w:rsidP="002838AC">
      <w:pPr>
        <w:spacing w:after="0" w:line="276" w:lineRule="auto"/>
        <w:jc w:val="both"/>
        <w:rPr>
          <w:rFonts w:ascii="Arial" w:eastAsia="Calibri" w:hAnsi="Arial" w:cs="Arial"/>
          <w:color w:val="000000"/>
          <w:szCs w:val="24"/>
          <w:lang w:val="es-ES" w:eastAsia="es-ES_tradnl"/>
        </w:rPr>
      </w:pPr>
    </w:p>
    <w:p w14:paraId="166E9E3E" w14:textId="3888ACBB" w:rsidR="00D116D9" w:rsidRDefault="00D116D9" w:rsidP="002838AC">
      <w:pPr>
        <w:spacing w:after="0" w:line="240" w:lineRule="auto"/>
        <w:jc w:val="both"/>
        <w:rPr>
          <w:rFonts w:ascii="Arial" w:eastAsia="Calibri" w:hAnsi="Arial" w:cs="Arial"/>
          <w:b/>
          <w:lang w:val="es-ES"/>
        </w:rPr>
      </w:pPr>
      <w:r w:rsidRPr="00FF7287">
        <w:rPr>
          <w:rFonts w:ascii="Arial" w:eastAsia="Calibri" w:hAnsi="Arial" w:cs="Arial"/>
          <w:b/>
          <w:lang w:val="es-ES"/>
        </w:rPr>
        <w:t>GARANTÍA ÚNICA DE CUMPLIMIENTO – Amparos – Finalidad</w:t>
      </w:r>
    </w:p>
    <w:p w14:paraId="6E5749A3" w14:textId="77777777" w:rsidR="002838AC" w:rsidRPr="00FF7287" w:rsidRDefault="002838AC" w:rsidP="002838AC">
      <w:pPr>
        <w:spacing w:after="0" w:line="240" w:lineRule="auto"/>
        <w:jc w:val="both"/>
        <w:rPr>
          <w:rFonts w:ascii="Arial" w:eastAsia="Calibri" w:hAnsi="Arial" w:cs="Arial"/>
          <w:b/>
          <w:lang w:val="es-ES"/>
        </w:rPr>
      </w:pPr>
    </w:p>
    <w:p w14:paraId="0A26315F" w14:textId="77777777" w:rsidR="002838AC" w:rsidRPr="002838AC" w:rsidRDefault="00D116D9" w:rsidP="002838AC">
      <w:pPr>
        <w:spacing w:after="120" w:line="240" w:lineRule="auto"/>
        <w:jc w:val="both"/>
        <w:rPr>
          <w:rFonts w:ascii="Arial" w:eastAsia="Times New Roman" w:hAnsi="Arial" w:cs="Arial"/>
          <w:bCs/>
          <w:color w:val="000000" w:themeColor="text1"/>
          <w:sz w:val="20"/>
          <w:szCs w:val="20"/>
          <w:lang w:val="es-ES_tradnl"/>
        </w:rPr>
      </w:pPr>
      <w:r w:rsidRPr="002838AC">
        <w:rPr>
          <w:rFonts w:ascii="Arial" w:eastAsia="Calibri" w:hAnsi="Arial" w:cs="Arial"/>
          <w:bCs/>
          <w:sz w:val="20"/>
          <w:szCs w:val="20"/>
          <w:lang w:val="es-ES"/>
        </w:rPr>
        <w:t xml:space="preserve">[…] </w:t>
      </w:r>
      <w:r w:rsidR="002838AC" w:rsidRPr="002838AC">
        <w:rPr>
          <w:rFonts w:ascii="Arial" w:eastAsia="Times New Roman" w:hAnsi="Arial" w:cs="Arial"/>
          <w:bCs/>
          <w:color w:val="000000" w:themeColor="text1"/>
          <w:sz w:val="20"/>
          <w:szCs w:val="20"/>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7640CA8C" w14:textId="77777777" w:rsidR="002838AC" w:rsidRPr="002838AC" w:rsidRDefault="002838AC" w:rsidP="002838AC">
      <w:pPr>
        <w:spacing w:after="0" w:line="240" w:lineRule="auto"/>
        <w:jc w:val="both"/>
        <w:rPr>
          <w:rFonts w:ascii="Arial" w:eastAsia="Calibri" w:hAnsi="Arial" w:cs="Arial"/>
          <w:color w:val="000000"/>
          <w:sz w:val="20"/>
          <w:szCs w:val="20"/>
          <w:lang w:val="es-ES_tradnl"/>
        </w:rPr>
      </w:pPr>
      <w:r w:rsidRPr="002838AC">
        <w:rPr>
          <w:rFonts w:ascii="Arial" w:eastAsia="Times New Roman" w:hAnsi="Arial" w:cs="Arial"/>
          <w:bCs/>
          <w:color w:val="000000" w:themeColor="text1"/>
          <w:sz w:val="20"/>
          <w:szCs w:val="20"/>
          <w:lang w:val="es-ES_tradnl"/>
        </w:rPr>
        <w:t xml:space="preserve">Finalizando con el análisis general del régimen de garantías en el Decreto 1082 de 2015, </w:t>
      </w:r>
      <w:r w:rsidRPr="002838AC">
        <w:rPr>
          <w:rFonts w:ascii="Arial" w:eastAsia="Calibri" w:hAnsi="Arial" w:cs="Arial"/>
          <w:color w:val="000000"/>
          <w:sz w:val="20"/>
          <w:szCs w:val="20"/>
          <w:lang w:val="es-ES" w:eastAsia="es-ES_tradnl"/>
        </w:rPr>
        <w:t xml:space="preserve">los artículos 2.2.1.2.3.1.6 y 2.2.1.2.3.1.9 establecen las condiciones que debe cumplir la garantía de los riesgos derivados del incumplimiento de la oferta. </w:t>
      </w:r>
      <w:r w:rsidRPr="002838AC">
        <w:rPr>
          <w:rFonts w:ascii="Arial" w:eastAsia="Calibri" w:hAnsi="Arial" w:cs="Arial"/>
          <w:color w:val="000000"/>
          <w:sz w:val="20"/>
          <w:szCs w:val="20"/>
          <w:lang w:val="es-ES_tradnl"/>
        </w:rPr>
        <w:t xml:space="preserve">De otro lado, el artículo 2.2.1.3.1.7 prescribe que la garantía de cumplimiento debe cubrir: i) el buen manejo y correcta inversión del anticipo; </w:t>
      </w:r>
      <w:proofErr w:type="spellStart"/>
      <w:r w:rsidRPr="002838AC">
        <w:rPr>
          <w:rFonts w:ascii="Arial" w:eastAsia="Calibri" w:hAnsi="Arial" w:cs="Arial"/>
          <w:color w:val="000000"/>
          <w:sz w:val="20"/>
          <w:szCs w:val="20"/>
          <w:lang w:val="es-ES_tradnl"/>
        </w:rPr>
        <w:t>ii</w:t>
      </w:r>
      <w:proofErr w:type="spellEnd"/>
      <w:r w:rsidRPr="002838AC">
        <w:rPr>
          <w:rFonts w:ascii="Arial" w:eastAsia="Calibri" w:hAnsi="Arial" w:cs="Arial"/>
          <w:color w:val="000000"/>
          <w:sz w:val="20"/>
          <w:szCs w:val="20"/>
          <w:lang w:val="es-ES_tradnl"/>
        </w:rPr>
        <w:t xml:space="preserve">) la devolución del pago anticipado; </w:t>
      </w:r>
      <w:proofErr w:type="spellStart"/>
      <w:r w:rsidRPr="002838AC">
        <w:rPr>
          <w:rFonts w:ascii="Arial" w:eastAsia="Calibri" w:hAnsi="Arial" w:cs="Arial"/>
          <w:color w:val="000000"/>
          <w:sz w:val="20"/>
          <w:szCs w:val="20"/>
          <w:lang w:val="es-ES_tradnl"/>
        </w:rPr>
        <w:t>iii</w:t>
      </w:r>
      <w:proofErr w:type="spellEnd"/>
      <w:r w:rsidRPr="002838AC">
        <w:rPr>
          <w:rFonts w:ascii="Arial" w:eastAsia="Calibri" w:hAnsi="Arial" w:cs="Arial"/>
          <w:color w:val="000000"/>
          <w:sz w:val="20"/>
          <w:szCs w:val="20"/>
          <w:lang w:val="es-ES_tradnl"/>
        </w:rPr>
        <w:t xml:space="preserve">) el cumplimiento del contrato; </w:t>
      </w:r>
      <w:proofErr w:type="spellStart"/>
      <w:r w:rsidRPr="002838AC">
        <w:rPr>
          <w:rFonts w:ascii="Arial" w:eastAsia="Calibri" w:hAnsi="Arial" w:cs="Arial"/>
          <w:color w:val="000000"/>
          <w:sz w:val="20"/>
          <w:szCs w:val="20"/>
          <w:lang w:val="es-ES_tradnl"/>
        </w:rPr>
        <w:t>iv</w:t>
      </w:r>
      <w:proofErr w:type="spellEnd"/>
      <w:r w:rsidRPr="002838AC">
        <w:rPr>
          <w:rFonts w:ascii="Arial" w:eastAsia="Calibri" w:hAnsi="Arial" w:cs="Arial"/>
          <w:color w:val="000000"/>
          <w:sz w:val="20"/>
          <w:szCs w:val="20"/>
          <w:lang w:val="es-ES_tradnl"/>
        </w:rPr>
        <w:t xml:space="preserve">) el pago de salarios, prestaciones sociales legales e indemnizaciones laborales; v) la estabilidad y calidad de la obra; vi) la calidad del servicio; </w:t>
      </w:r>
      <w:proofErr w:type="spellStart"/>
      <w:r w:rsidRPr="002838AC">
        <w:rPr>
          <w:rFonts w:ascii="Arial" w:eastAsia="Calibri" w:hAnsi="Arial" w:cs="Arial"/>
          <w:color w:val="000000"/>
          <w:sz w:val="20"/>
          <w:szCs w:val="20"/>
          <w:lang w:val="es-ES_tradnl"/>
        </w:rPr>
        <w:t>vii</w:t>
      </w:r>
      <w:proofErr w:type="spellEnd"/>
      <w:r w:rsidRPr="002838AC">
        <w:rPr>
          <w:rFonts w:ascii="Arial" w:eastAsia="Calibri" w:hAnsi="Arial" w:cs="Arial"/>
          <w:color w:val="000000"/>
          <w:sz w:val="20"/>
          <w:szCs w:val="20"/>
          <w:lang w:val="es-ES_tradnl"/>
        </w:rPr>
        <w:t xml:space="preserve">) la calidad y correcto funcionamiento de los bienes; y </w:t>
      </w:r>
      <w:proofErr w:type="spellStart"/>
      <w:r w:rsidRPr="002838AC">
        <w:rPr>
          <w:rFonts w:ascii="Arial" w:eastAsia="Calibri" w:hAnsi="Arial" w:cs="Arial"/>
          <w:color w:val="000000"/>
          <w:sz w:val="20"/>
          <w:szCs w:val="20"/>
          <w:lang w:val="es-ES_tradnl"/>
        </w:rPr>
        <w:t>viii</w:t>
      </w:r>
      <w:proofErr w:type="spellEnd"/>
      <w:r w:rsidRPr="002838AC">
        <w:rPr>
          <w:rFonts w:ascii="Arial" w:eastAsia="Calibri" w:hAnsi="Arial" w:cs="Arial"/>
          <w:color w:val="000000"/>
          <w:sz w:val="20"/>
          <w:szCs w:val="20"/>
          <w:lang w:val="es-ES_tradnl"/>
        </w:rPr>
        <w:t>) los demás incumplimientos de las obligaciones que la entidad estatal considere deben ser amparados.</w:t>
      </w:r>
    </w:p>
    <w:p w14:paraId="60F8D1C1" w14:textId="2EA7502D" w:rsidR="00D116D9" w:rsidRPr="00FF7287" w:rsidRDefault="00D116D9" w:rsidP="002838AC">
      <w:pPr>
        <w:spacing w:after="0" w:line="240" w:lineRule="auto"/>
        <w:jc w:val="both"/>
        <w:rPr>
          <w:rFonts w:ascii="Arial" w:eastAsia="Calibri" w:hAnsi="Arial" w:cs="Arial"/>
          <w:bCs/>
          <w:color w:val="000000" w:themeColor="text1"/>
          <w:sz w:val="20"/>
          <w:szCs w:val="20"/>
          <w:lang w:val="es-ES"/>
        </w:rPr>
      </w:pPr>
    </w:p>
    <w:p w14:paraId="4493C409" w14:textId="77777777" w:rsidR="00D116D9" w:rsidRPr="00FF7287" w:rsidRDefault="00D116D9" w:rsidP="00D116D9">
      <w:pPr>
        <w:spacing w:line="240" w:lineRule="auto"/>
        <w:jc w:val="both"/>
        <w:rPr>
          <w:rFonts w:ascii="Arial" w:eastAsia="Calibri" w:hAnsi="Arial" w:cs="Arial"/>
          <w:b/>
          <w:lang w:val="es-ES"/>
        </w:rPr>
      </w:pPr>
      <w:r w:rsidRPr="00FF7287">
        <w:rPr>
          <w:rFonts w:ascii="Arial" w:eastAsia="Calibri" w:hAnsi="Arial" w:cs="Arial"/>
          <w:b/>
          <w:lang w:val="es-ES"/>
        </w:rPr>
        <w:t>GARANTÍAS BANCARIAS – Requisitos – Entidad financiera autorizada</w:t>
      </w:r>
    </w:p>
    <w:p w14:paraId="650F78A9" w14:textId="77777777" w:rsidR="002838AC" w:rsidRPr="002838AC" w:rsidRDefault="002838AC" w:rsidP="002838AC">
      <w:pPr>
        <w:spacing w:after="120" w:line="240" w:lineRule="auto"/>
        <w:jc w:val="both"/>
        <w:rPr>
          <w:rFonts w:ascii="Arial" w:eastAsia="Calibri" w:hAnsi="Arial" w:cs="Arial"/>
          <w:sz w:val="20"/>
          <w:szCs w:val="20"/>
          <w:lang w:val="es-ES"/>
        </w:rPr>
      </w:pPr>
      <w:r w:rsidRPr="002838AC">
        <w:rPr>
          <w:rFonts w:ascii="Arial" w:eastAsia="Calibri" w:hAnsi="Arial" w:cs="Arial"/>
          <w:sz w:val="20"/>
          <w:szCs w:val="20"/>
          <w:lang w:val="es-ES"/>
        </w:rPr>
        <w:t xml:space="preserve">Ahora bien, con el fin de abordar el objeto de la consulta y sin perjuicio de que en todo caso deba verificarse el cumplimiento del resto de condiciones exigidas para este tipo de garantías, se profundizará en la exigencia del primer numeral del artículo citado en el párrafo anterior: «1. La garantía debe constar en documento expedido por una entidad financiera autorizada por la Superintendencia Financiera o quien haga sus veces, otorgado de acuerdo con las normas del Estatuto Orgánico del Sistema Financiero». </w:t>
      </w:r>
    </w:p>
    <w:p w14:paraId="1D94E7A1" w14:textId="714490CB" w:rsidR="002838AC" w:rsidRPr="002838AC" w:rsidRDefault="002838AC" w:rsidP="002838AC">
      <w:pPr>
        <w:spacing w:after="120" w:line="240" w:lineRule="auto"/>
        <w:jc w:val="both"/>
        <w:rPr>
          <w:rFonts w:ascii="Arial" w:eastAsia="Calibri" w:hAnsi="Arial" w:cs="Arial"/>
          <w:sz w:val="20"/>
          <w:szCs w:val="20"/>
          <w:lang w:val="es-ES"/>
        </w:rPr>
      </w:pPr>
      <w:r w:rsidRPr="002838AC">
        <w:rPr>
          <w:rFonts w:ascii="Arial" w:eastAsia="Calibri" w:hAnsi="Arial" w:cs="Arial"/>
          <w:sz w:val="20"/>
          <w:szCs w:val="20"/>
          <w:lang w:val="es-ES"/>
        </w:rPr>
        <w:t xml:space="preserve">Como se observa de dicha condición, para que la garantía bancaria pueda recibirse por la entidad estatal, ya sea como garantía de cumplimiento o de seriedad de la oferta, se requiere que: i) el documento sea expedido por una entidad financiera autorizada por la Superintendencia Financiera, y </w:t>
      </w:r>
      <w:proofErr w:type="spellStart"/>
      <w:r w:rsidRPr="002838AC">
        <w:rPr>
          <w:rFonts w:ascii="Arial" w:eastAsia="Calibri" w:hAnsi="Arial" w:cs="Arial"/>
          <w:sz w:val="20"/>
          <w:szCs w:val="20"/>
          <w:lang w:val="es-ES"/>
        </w:rPr>
        <w:t>ii</w:t>
      </w:r>
      <w:proofErr w:type="spellEnd"/>
      <w:r w:rsidRPr="002838AC">
        <w:rPr>
          <w:rFonts w:ascii="Arial" w:eastAsia="Calibri" w:hAnsi="Arial" w:cs="Arial"/>
          <w:sz w:val="20"/>
          <w:szCs w:val="20"/>
          <w:lang w:val="es-ES"/>
        </w:rPr>
        <w:t>) que este se otorgue de conformidad con las normas del Estatuto Orgánico del Sistema Financiero.</w:t>
      </w:r>
    </w:p>
    <w:p w14:paraId="7486C51B" w14:textId="77777777" w:rsidR="002838AC" w:rsidRPr="002838AC" w:rsidRDefault="002838AC" w:rsidP="002838AC">
      <w:pPr>
        <w:spacing w:after="120" w:line="240" w:lineRule="auto"/>
        <w:jc w:val="both"/>
        <w:rPr>
          <w:rFonts w:ascii="Arial" w:eastAsia="Calibri" w:hAnsi="Arial" w:cs="Arial"/>
          <w:sz w:val="20"/>
          <w:szCs w:val="20"/>
          <w:lang w:val="es-ES"/>
        </w:rPr>
      </w:pPr>
      <w:r w:rsidRPr="002838AC">
        <w:rPr>
          <w:rFonts w:ascii="Arial" w:eastAsia="Calibri" w:hAnsi="Arial" w:cs="Arial"/>
          <w:sz w:val="20"/>
          <w:szCs w:val="20"/>
          <w:lang w:val="es-ES"/>
        </w:rPr>
        <w:t xml:space="preserve">De esta manera, y para responder la pregunta del peticionario, resulta imprescindible que la Superintendencia Financiera haya autorizado a la entidad financiera para el otorgamiento de las garantías bancarias y cartas de crédito </w:t>
      </w:r>
      <w:r w:rsidRPr="002838AC">
        <w:rPr>
          <w:rFonts w:ascii="Arial" w:eastAsia="Calibri" w:hAnsi="Arial" w:cs="Arial"/>
          <w:i/>
          <w:iCs/>
          <w:sz w:val="20"/>
          <w:szCs w:val="20"/>
          <w:lang w:val="es-ES"/>
        </w:rPr>
        <w:t xml:space="preserve">stand </w:t>
      </w:r>
      <w:proofErr w:type="spellStart"/>
      <w:r w:rsidRPr="002838AC">
        <w:rPr>
          <w:rFonts w:ascii="Arial" w:eastAsia="Calibri" w:hAnsi="Arial" w:cs="Arial"/>
          <w:i/>
          <w:iCs/>
          <w:sz w:val="20"/>
          <w:szCs w:val="20"/>
          <w:lang w:val="es-ES"/>
        </w:rPr>
        <w:t>by</w:t>
      </w:r>
      <w:proofErr w:type="spellEnd"/>
      <w:r w:rsidRPr="002838AC">
        <w:rPr>
          <w:rFonts w:ascii="Arial" w:eastAsia="Calibri" w:hAnsi="Arial" w:cs="Arial"/>
          <w:sz w:val="20"/>
          <w:szCs w:val="20"/>
          <w:lang w:val="es-ES"/>
        </w:rPr>
        <w:t>; pues de lo contrario, la entidad estatal no podría aceptar dichas garantías al no cumplir con las condiciones previstas en el artículo 2.2.1.2.1.4.1 del Decreto 1082 de 2015.</w:t>
      </w:r>
    </w:p>
    <w:p w14:paraId="29AC43E8" w14:textId="77777777" w:rsidR="00D116D9" w:rsidRPr="00FF7287" w:rsidRDefault="00D116D9" w:rsidP="00D116D9">
      <w:pPr>
        <w:spacing w:line="240" w:lineRule="auto"/>
        <w:jc w:val="both"/>
        <w:rPr>
          <w:rFonts w:ascii="Arial" w:eastAsia="Calibri" w:hAnsi="Arial" w:cs="Arial"/>
          <w:b/>
          <w:color w:val="000000" w:themeColor="text1"/>
          <w:sz w:val="20"/>
          <w:szCs w:val="20"/>
        </w:rPr>
      </w:pPr>
    </w:p>
    <w:p w14:paraId="50B5D174"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A31357E"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7CDE0141"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BE31CB0"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02D0725E"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11C03F51"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1749BEA1"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0322D373"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A1695A7"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7F780E52"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3BCA4ACA"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5AA3E98B"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5D43623F"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7D1CE22D"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581DC9A3"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09CD64A2"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279A5C57"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7D54600"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7BEB6A61"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115CF929"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36CF5F5B"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4C89E825"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19BB539"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2D84271F"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41DD9AD1"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6D89137F"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3EBDEB98"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1703F4D2" w14:textId="77777777" w:rsidR="00D116D9" w:rsidRPr="00FF7287" w:rsidRDefault="00D116D9" w:rsidP="00D116D9">
      <w:pPr>
        <w:tabs>
          <w:tab w:val="left" w:pos="709"/>
        </w:tabs>
        <w:spacing w:after="0" w:line="240" w:lineRule="auto"/>
        <w:jc w:val="right"/>
        <w:rPr>
          <w:rFonts w:ascii="Arial" w:eastAsia="Calibri" w:hAnsi="Arial" w:cs="Arial"/>
          <w:color w:val="000000" w:themeColor="text1"/>
          <w:sz w:val="20"/>
          <w:szCs w:val="20"/>
          <w:lang w:val="es-ES"/>
        </w:rPr>
      </w:pPr>
    </w:p>
    <w:p w14:paraId="0DD3E486" w14:textId="77777777" w:rsidR="00D116D9" w:rsidRPr="00FF7287" w:rsidRDefault="00D116D9" w:rsidP="00D116D9">
      <w:pPr>
        <w:tabs>
          <w:tab w:val="left" w:pos="709"/>
        </w:tabs>
        <w:spacing w:after="0" w:line="240" w:lineRule="auto"/>
        <w:rPr>
          <w:rFonts w:ascii="Arial" w:eastAsia="Calibri" w:hAnsi="Arial" w:cs="Arial"/>
          <w:color w:val="000000" w:themeColor="text1"/>
          <w:sz w:val="20"/>
          <w:szCs w:val="20"/>
          <w:lang w:val="es-ES"/>
        </w:rPr>
      </w:pPr>
    </w:p>
    <w:p w14:paraId="14F2A00E" w14:textId="77777777" w:rsidR="00D116D9" w:rsidRPr="00FF7287" w:rsidRDefault="00D116D9" w:rsidP="00D116D9">
      <w:pPr>
        <w:tabs>
          <w:tab w:val="left" w:pos="709"/>
        </w:tabs>
        <w:spacing w:after="0" w:line="240" w:lineRule="auto"/>
        <w:jc w:val="right"/>
        <w:rPr>
          <w:rFonts w:ascii="Arial" w:hAnsi="Arial" w:cs="Arial"/>
          <w:b/>
          <w:bCs/>
          <w:sz w:val="16"/>
          <w:szCs w:val="16"/>
          <w:lang w:val="es-ES"/>
        </w:rPr>
      </w:pPr>
    </w:p>
    <w:p w14:paraId="3AF2F57B" w14:textId="77777777" w:rsidR="00D116D9" w:rsidRPr="00FF7287" w:rsidRDefault="00D116D9" w:rsidP="00D116D9">
      <w:pPr>
        <w:tabs>
          <w:tab w:val="left" w:pos="709"/>
        </w:tabs>
        <w:spacing w:after="0" w:line="240" w:lineRule="auto"/>
        <w:jc w:val="right"/>
        <w:rPr>
          <w:rFonts w:ascii="Arial" w:hAnsi="Arial" w:cs="Arial"/>
          <w:b/>
          <w:bCs/>
          <w:sz w:val="16"/>
          <w:szCs w:val="16"/>
          <w:lang w:val="es-ES"/>
        </w:rPr>
      </w:pPr>
    </w:p>
    <w:p w14:paraId="15C03299" w14:textId="77777777" w:rsidR="00D116D9" w:rsidRPr="00FF7287" w:rsidRDefault="00D116D9" w:rsidP="00D116D9">
      <w:pPr>
        <w:tabs>
          <w:tab w:val="left" w:pos="709"/>
        </w:tabs>
        <w:spacing w:after="0" w:line="240" w:lineRule="auto"/>
        <w:jc w:val="right"/>
        <w:rPr>
          <w:rFonts w:ascii="Arial" w:hAnsi="Arial" w:cs="Arial"/>
          <w:b/>
          <w:bCs/>
          <w:sz w:val="16"/>
          <w:szCs w:val="16"/>
          <w:lang w:val="es-ES"/>
        </w:rPr>
      </w:pPr>
    </w:p>
    <w:p w14:paraId="0961D2EE" w14:textId="77777777" w:rsidR="00D116D9" w:rsidRPr="00FF7287" w:rsidRDefault="00D116D9" w:rsidP="00D116D9">
      <w:pPr>
        <w:tabs>
          <w:tab w:val="left" w:pos="709"/>
        </w:tabs>
        <w:spacing w:after="0" w:line="240" w:lineRule="auto"/>
        <w:jc w:val="right"/>
        <w:rPr>
          <w:rFonts w:ascii="Arial" w:hAnsi="Arial" w:cs="Arial"/>
          <w:b/>
          <w:bCs/>
          <w:sz w:val="16"/>
          <w:szCs w:val="16"/>
          <w:lang w:val="es-ES"/>
        </w:rPr>
      </w:pPr>
    </w:p>
    <w:p w14:paraId="2EB1548A" w14:textId="52886472" w:rsidR="00D116D9" w:rsidRDefault="002838AC" w:rsidP="002838AC">
      <w:pPr>
        <w:spacing w:after="0" w:line="240" w:lineRule="auto"/>
        <w:jc w:val="right"/>
        <w:outlineLvl w:val="0"/>
        <w:rPr>
          <w:rFonts w:ascii="Arial" w:hAnsi="Arial" w:cs="Arial"/>
          <w:b/>
          <w:lang w:val="es-ES"/>
        </w:rPr>
      </w:pPr>
      <w:r>
        <w:rPr>
          <w:noProof/>
        </w:rPr>
        <w:drawing>
          <wp:inline distT="0" distB="0" distL="0" distR="0" wp14:anchorId="55825AEE" wp14:editId="04E73D6C">
            <wp:extent cx="2832652" cy="762000"/>
            <wp:effectExtent l="0" t="0" r="6350" b="0"/>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10;&#10;Descripción generada automáticamente"/>
                    <pic:cNvPicPr/>
                  </pic:nvPicPr>
                  <pic:blipFill rotWithShape="1">
                    <a:blip r:embed="rId11"/>
                    <a:srcRect l="57533" t="43589" r="15064" b="44616"/>
                    <a:stretch/>
                  </pic:blipFill>
                  <pic:spPr bwMode="auto">
                    <a:xfrm>
                      <a:off x="0" y="0"/>
                      <a:ext cx="2834580" cy="762519"/>
                    </a:xfrm>
                    <a:prstGeom prst="rect">
                      <a:avLst/>
                    </a:prstGeom>
                    <a:ln>
                      <a:noFill/>
                    </a:ln>
                    <a:extLst>
                      <a:ext uri="{53640926-AAD7-44D8-BBD7-CCE9431645EC}">
                        <a14:shadowObscured xmlns:a14="http://schemas.microsoft.com/office/drawing/2010/main"/>
                      </a:ext>
                    </a:extLst>
                  </pic:spPr>
                </pic:pic>
              </a:graphicData>
            </a:graphic>
          </wp:inline>
        </w:drawing>
      </w:r>
    </w:p>
    <w:p w14:paraId="18F5E866" w14:textId="7D0C88C6" w:rsidR="002838AC" w:rsidRPr="002838AC" w:rsidRDefault="002838AC" w:rsidP="00D116D9">
      <w:pPr>
        <w:spacing w:after="0" w:line="240" w:lineRule="auto"/>
        <w:jc w:val="both"/>
        <w:outlineLvl w:val="0"/>
        <w:rPr>
          <w:rFonts w:ascii="Arial" w:eastAsia="Calibri" w:hAnsi="Arial" w:cs="Arial"/>
          <w:lang w:val="es-ES"/>
        </w:rPr>
      </w:pPr>
      <w:r w:rsidRPr="002838AC">
        <w:rPr>
          <w:rFonts w:ascii="Arial" w:hAnsi="Arial" w:cs="Arial"/>
        </w:rPr>
        <w:t xml:space="preserve">Bogotá D.C., 26 </w:t>
      </w:r>
      <w:proofErr w:type="gramStart"/>
      <w:r w:rsidRPr="002838AC">
        <w:rPr>
          <w:rFonts w:ascii="Arial" w:hAnsi="Arial" w:cs="Arial"/>
        </w:rPr>
        <w:t>Septiembre</w:t>
      </w:r>
      <w:proofErr w:type="gramEnd"/>
      <w:r w:rsidRPr="002838AC">
        <w:rPr>
          <w:rFonts w:ascii="Arial" w:hAnsi="Arial" w:cs="Arial"/>
        </w:rPr>
        <w:t xml:space="preserve"> 2022</w:t>
      </w:r>
    </w:p>
    <w:p w14:paraId="65F5F787" w14:textId="362C0D5C" w:rsidR="002838AC" w:rsidRDefault="002838AC" w:rsidP="00D116D9">
      <w:pPr>
        <w:spacing w:after="0" w:line="240" w:lineRule="auto"/>
        <w:jc w:val="both"/>
        <w:outlineLvl w:val="0"/>
        <w:rPr>
          <w:rFonts w:ascii="Arial" w:eastAsia="Calibri" w:hAnsi="Arial" w:cs="Arial"/>
          <w:lang w:val="es-ES"/>
        </w:rPr>
      </w:pPr>
    </w:p>
    <w:p w14:paraId="530953F1" w14:textId="27E6365E" w:rsidR="002838AC" w:rsidRDefault="002838AC" w:rsidP="00D116D9">
      <w:pPr>
        <w:spacing w:after="0" w:line="240" w:lineRule="auto"/>
        <w:jc w:val="both"/>
        <w:outlineLvl w:val="0"/>
        <w:rPr>
          <w:rFonts w:ascii="Arial" w:eastAsia="Calibri" w:hAnsi="Arial" w:cs="Arial"/>
          <w:lang w:val="es-ES"/>
        </w:rPr>
      </w:pPr>
    </w:p>
    <w:p w14:paraId="45C08A9E" w14:textId="77777777" w:rsidR="002838AC" w:rsidRDefault="002838AC" w:rsidP="00D116D9">
      <w:pPr>
        <w:spacing w:after="0" w:line="240" w:lineRule="auto"/>
        <w:jc w:val="both"/>
        <w:outlineLvl w:val="0"/>
        <w:rPr>
          <w:rFonts w:ascii="Arial" w:eastAsia="Calibri" w:hAnsi="Arial" w:cs="Arial"/>
          <w:lang w:val="es-ES"/>
        </w:rPr>
      </w:pPr>
    </w:p>
    <w:p w14:paraId="6404F258" w14:textId="5EEA84D0" w:rsidR="00D116D9" w:rsidRPr="00FF7287" w:rsidRDefault="00D116D9" w:rsidP="00D116D9">
      <w:pPr>
        <w:spacing w:after="0" w:line="240" w:lineRule="auto"/>
        <w:jc w:val="both"/>
        <w:outlineLvl w:val="0"/>
        <w:rPr>
          <w:rFonts w:ascii="Arial" w:eastAsia="Calibri" w:hAnsi="Arial" w:cs="Arial"/>
          <w:lang w:val="es-ES"/>
        </w:rPr>
      </w:pPr>
      <w:r w:rsidRPr="00FF7287">
        <w:rPr>
          <w:rFonts w:ascii="Arial" w:eastAsia="Calibri" w:hAnsi="Arial" w:cs="Arial"/>
          <w:lang w:val="es-ES"/>
        </w:rPr>
        <w:t>Señor</w:t>
      </w:r>
    </w:p>
    <w:p w14:paraId="2CD20D5C" w14:textId="05313FED" w:rsidR="00D116D9" w:rsidRPr="00FF7287" w:rsidRDefault="00D116D9" w:rsidP="00D116D9">
      <w:pPr>
        <w:spacing w:after="0" w:line="240" w:lineRule="auto"/>
        <w:jc w:val="both"/>
        <w:rPr>
          <w:rFonts w:ascii="Arial" w:hAnsi="Arial" w:cs="Arial"/>
          <w:b/>
          <w:bCs/>
          <w:lang w:val="es-ES"/>
        </w:rPr>
      </w:pPr>
      <w:r w:rsidRPr="00FF7287">
        <w:rPr>
          <w:rFonts w:ascii="Arial" w:hAnsi="Arial" w:cs="Arial"/>
          <w:b/>
          <w:bCs/>
          <w:lang w:val="es-ES"/>
        </w:rPr>
        <w:t>Liliana Andrea Rojas Martínez</w:t>
      </w:r>
    </w:p>
    <w:p w14:paraId="5DE8DA1E" w14:textId="5A4F588C" w:rsidR="00D116D9" w:rsidRPr="00FF7287" w:rsidRDefault="00D116D9" w:rsidP="00D116D9">
      <w:pPr>
        <w:spacing w:after="0" w:line="240" w:lineRule="auto"/>
        <w:jc w:val="both"/>
        <w:rPr>
          <w:rFonts w:ascii="Arial" w:eastAsia="Calibri" w:hAnsi="Arial" w:cs="Arial"/>
          <w:lang w:val="es-ES"/>
        </w:rPr>
      </w:pPr>
      <w:r w:rsidRPr="00FF7287">
        <w:rPr>
          <w:rFonts w:ascii="Arial" w:eastAsia="Calibri" w:hAnsi="Arial" w:cs="Arial"/>
          <w:lang w:val="es-ES"/>
        </w:rPr>
        <w:t>Villavicencio-Meta</w:t>
      </w:r>
    </w:p>
    <w:p w14:paraId="2A2D4C4D" w14:textId="06929A68" w:rsidR="00D116D9" w:rsidRDefault="00D116D9" w:rsidP="00D116D9">
      <w:pPr>
        <w:spacing w:after="0" w:line="240" w:lineRule="auto"/>
        <w:jc w:val="both"/>
        <w:rPr>
          <w:rFonts w:ascii="Arial" w:eastAsia="Calibri" w:hAnsi="Arial" w:cs="Arial"/>
          <w:lang w:val="es-ES"/>
        </w:rPr>
      </w:pPr>
    </w:p>
    <w:p w14:paraId="413A3470" w14:textId="70FA906A" w:rsidR="002838AC" w:rsidRDefault="002838AC" w:rsidP="00D116D9">
      <w:pPr>
        <w:spacing w:after="0" w:line="240" w:lineRule="auto"/>
        <w:jc w:val="both"/>
        <w:rPr>
          <w:rFonts w:ascii="Arial" w:eastAsia="Calibri" w:hAnsi="Arial" w:cs="Arial"/>
          <w:lang w:val="es-ES"/>
        </w:rPr>
      </w:pPr>
    </w:p>
    <w:p w14:paraId="578329A5" w14:textId="77777777" w:rsidR="002838AC" w:rsidRPr="00FF7287" w:rsidRDefault="002838AC" w:rsidP="00D116D9">
      <w:pPr>
        <w:spacing w:after="0" w:line="240" w:lineRule="auto"/>
        <w:jc w:val="both"/>
        <w:rPr>
          <w:rFonts w:ascii="Arial" w:eastAsia="Calibri" w:hAnsi="Arial" w:cs="Arial"/>
          <w:lang w:val="es-ES"/>
        </w:rPr>
      </w:pPr>
    </w:p>
    <w:p w14:paraId="2E946F51" w14:textId="77777777" w:rsidR="00D116D9" w:rsidRPr="00FF7287" w:rsidRDefault="00D116D9" w:rsidP="00D116D9">
      <w:pPr>
        <w:spacing w:after="0" w:line="240" w:lineRule="auto"/>
        <w:jc w:val="both"/>
        <w:rPr>
          <w:rFonts w:ascii="Arial" w:eastAsia="Calibri" w:hAnsi="Arial" w:cs="Arial"/>
          <w:lang w:val="es-ES"/>
        </w:rPr>
      </w:pPr>
    </w:p>
    <w:p w14:paraId="49048BC9" w14:textId="5DE17196" w:rsidR="00D116D9" w:rsidRDefault="00D116D9" w:rsidP="00D116D9">
      <w:pPr>
        <w:spacing w:after="0" w:line="240" w:lineRule="auto"/>
        <w:ind w:firstLine="2694"/>
        <w:jc w:val="both"/>
        <w:outlineLvl w:val="0"/>
        <w:rPr>
          <w:rFonts w:ascii="Arial" w:eastAsia="Calibri" w:hAnsi="Arial" w:cs="Arial"/>
          <w:b/>
          <w:lang w:val="es-ES"/>
        </w:rPr>
      </w:pPr>
      <w:r w:rsidRPr="00FF7287">
        <w:rPr>
          <w:rFonts w:ascii="Arial" w:eastAsia="Calibri" w:hAnsi="Arial" w:cs="Arial"/>
          <w:b/>
          <w:lang w:val="es-ES"/>
        </w:rPr>
        <w:t>Concepto C – 5</w:t>
      </w:r>
      <w:r w:rsidR="00FE5AFF" w:rsidRPr="00FF7287">
        <w:rPr>
          <w:rFonts w:ascii="Arial" w:eastAsia="Calibri" w:hAnsi="Arial" w:cs="Arial"/>
          <w:b/>
          <w:lang w:val="es-ES"/>
        </w:rPr>
        <w:t>84 de 2022</w:t>
      </w:r>
    </w:p>
    <w:p w14:paraId="2CCF6EBF" w14:textId="2CD85467" w:rsidR="002838AC" w:rsidRDefault="002838AC" w:rsidP="00D116D9">
      <w:pPr>
        <w:spacing w:after="0" w:line="240" w:lineRule="auto"/>
        <w:ind w:firstLine="2694"/>
        <w:jc w:val="both"/>
        <w:outlineLvl w:val="0"/>
        <w:rPr>
          <w:rFonts w:ascii="Arial" w:eastAsia="Calibri" w:hAnsi="Arial" w:cs="Arial"/>
          <w:b/>
          <w:lang w:val="es-ES"/>
        </w:rPr>
      </w:pPr>
    </w:p>
    <w:p w14:paraId="022AC40B" w14:textId="77777777" w:rsidR="002838AC" w:rsidRPr="00FF7287" w:rsidRDefault="002838AC" w:rsidP="00D116D9">
      <w:pPr>
        <w:spacing w:after="0" w:line="240" w:lineRule="auto"/>
        <w:ind w:firstLine="2694"/>
        <w:jc w:val="both"/>
        <w:outlineLvl w:val="0"/>
        <w:rPr>
          <w:rFonts w:ascii="Arial" w:eastAsia="Calibri" w:hAnsi="Arial" w:cs="Arial"/>
          <w:b/>
          <w:lang w:val="es-ES"/>
        </w:rPr>
      </w:pPr>
    </w:p>
    <w:p w14:paraId="4E738485" w14:textId="77777777" w:rsidR="00D116D9" w:rsidRPr="00FF7287" w:rsidRDefault="00D116D9" w:rsidP="00D116D9">
      <w:pPr>
        <w:spacing w:after="0" w:line="240" w:lineRule="auto"/>
        <w:rPr>
          <w:rFonts w:ascii="Arial" w:eastAsia="Calibri" w:hAnsi="Arial" w:cs="Arial"/>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16D9" w:rsidRPr="00FF7287" w14:paraId="0B80DAAC" w14:textId="77777777" w:rsidTr="000E3474">
        <w:trPr>
          <w:trHeight w:val="1509"/>
        </w:trPr>
        <w:tc>
          <w:tcPr>
            <w:tcW w:w="2689" w:type="dxa"/>
            <w:hideMark/>
          </w:tcPr>
          <w:p w14:paraId="40AFCEBD" w14:textId="77777777" w:rsidR="00D116D9" w:rsidRPr="00FF7287" w:rsidRDefault="00D116D9" w:rsidP="00D116D9">
            <w:pPr>
              <w:rPr>
                <w:rFonts w:ascii="Arial" w:eastAsia="Calibri" w:hAnsi="Arial" w:cs="Arial"/>
                <w:lang w:val="es-ES"/>
              </w:rPr>
            </w:pPr>
            <w:r w:rsidRPr="00FF7287">
              <w:rPr>
                <w:rFonts w:ascii="Arial" w:eastAsia="Calibri" w:hAnsi="Arial" w:cs="Arial"/>
                <w:b/>
                <w:lang w:val="es-ES"/>
              </w:rPr>
              <w:t>Temas:</w:t>
            </w:r>
            <w:r w:rsidRPr="00FF7287">
              <w:rPr>
                <w:rFonts w:ascii="Arial" w:eastAsia="Calibri" w:hAnsi="Arial" w:cs="Arial"/>
                <w:lang w:val="es-ES"/>
              </w:rPr>
              <w:t xml:space="preserve">      </w:t>
            </w:r>
          </w:p>
          <w:p w14:paraId="339AFC22" w14:textId="77777777" w:rsidR="00D116D9" w:rsidRPr="00FF7287" w:rsidRDefault="00D116D9" w:rsidP="00D116D9">
            <w:pPr>
              <w:rPr>
                <w:rFonts w:ascii="Arial" w:eastAsia="Calibri" w:hAnsi="Arial" w:cs="Arial"/>
                <w:lang w:val="es-ES"/>
              </w:rPr>
            </w:pPr>
            <w:r w:rsidRPr="00FF7287">
              <w:rPr>
                <w:rFonts w:ascii="Arial" w:eastAsia="Calibri" w:hAnsi="Arial" w:cs="Arial"/>
                <w:lang w:val="es-ES"/>
              </w:rPr>
              <w:t xml:space="preserve">              </w:t>
            </w:r>
          </w:p>
        </w:tc>
        <w:tc>
          <w:tcPr>
            <w:tcW w:w="6237" w:type="dxa"/>
            <w:hideMark/>
          </w:tcPr>
          <w:p w14:paraId="69CD4DB2" w14:textId="6BD374FF" w:rsidR="00D116D9" w:rsidRPr="00FF7287" w:rsidRDefault="00D116D9" w:rsidP="00D116D9">
            <w:pPr>
              <w:jc w:val="both"/>
              <w:rPr>
                <w:rFonts w:ascii="Arial" w:eastAsia="Calibri" w:hAnsi="Arial" w:cs="Arial"/>
                <w:lang w:val="es-ES"/>
              </w:rPr>
            </w:pPr>
            <w:r w:rsidRPr="00FF7287">
              <w:rPr>
                <w:rFonts w:ascii="Arial" w:eastAsia="Calibri" w:hAnsi="Arial" w:cs="Arial"/>
                <w:lang w:val="es-ES"/>
              </w:rPr>
              <w:t>GARANTÍAS – Contratación estatal – Constitución de garantías – Finalidad – Cumplimiento – Obligaciones contractuales</w:t>
            </w:r>
            <w:r w:rsidR="0068093C" w:rsidRPr="00FF7287">
              <w:rPr>
                <w:rFonts w:ascii="Arial" w:eastAsia="Calibri" w:hAnsi="Arial" w:cs="Arial"/>
                <w:lang w:val="es-ES"/>
              </w:rPr>
              <w:t xml:space="preserve"> –TIPOS DE GARANTÍAS – Póliza de seguro – Garantía bancaria o cartas de crédito de stand </w:t>
            </w:r>
            <w:proofErr w:type="spellStart"/>
            <w:r w:rsidR="0068093C" w:rsidRPr="00FF7287">
              <w:rPr>
                <w:rFonts w:ascii="Arial" w:eastAsia="Calibri" w:hAnsi="Arial" w:cs="Arial"/>
                <w:lang w:val="es-ES"/>
              </w:rPr>
              <w:t>by</w:t>
            </w:r>
            <w:proofErr w:type="spellEnd"/>
            <w:r w:rsidR="0068093C" w:rsidRPr="00FF7287">
              <w:rPr>
                <w:rFonts w:ascii="Arial" w:eastAsia="Calibri" w:hAnsi="Arial" w:cs="Arial"/>
                <w:lang w:val="es-ES"/>
              </w:rPr>
              <w:t xml:space="preserve"> – fiducia mercantil de garantía</w:t>
            </w:r>
            <w:r w:rsidRPr="00FF7287">
              <w:rPr>
                <w:rFonts w:ascii="Arial" w:eastAsia="Calibri" w:hAnsi="Arial" w:cs="Arial"/>
                <w:lang w:val="es-ES"/>
              </w:rPr>
              <w:t xml:space="preserve"> / GARANTÍA DE SERIEDAD – Alcance – Finalidad / GARANTÍA DE CUMPLIMIENTO – Amparos – Finalidad / GARANTÍAS BANCARIAS – Requisitos</w:t>
            </w:r>
            <w:r w:rsidR="0068093C" w:rsidRPr="00FF7287">
              <w:rPr>
                <w:rFonts w:ascii="Arial" w:eastAsia="Calibri" w:hAnsi="Arial" w:cs="Arial"/>
                <w:lang w:val="es-ES"/>
              </w:rPr>
              <w:t xml:space="preserve"> – Entidad financiera autorizada.</w:t>
            </w:r>
          </w:p>
          <w:p w14:paraId="5BC7652A" w14:textId="3FE5B13D" w:rsidR="0068093C" w:rsidRPr="00FF7287" w:rsidRDefault="0068093C" w:rsidP="00D116D9">
            <w:pPr>
              <w:jc w:val="both"/>
              <w:rPr>
                <w:rFonts w:ascii="Arial" w:eastAsia="Calibri" w:hAnsi="Arial" w:cs="Arial"/>
                <w:lang w:val="es-ES"/>
              </w:rPr>
            </w:pPr>
          </w:p>
        </w:tc>
      </w:tr>
      <w:tr w:rsidR="00D116D9" w:rsidRPr="00FF7287" w14:paraId="22BF0E76" w14:textId="77777777" w:rsidTr="000E3474">
        <w:tc>
          <w:tcPr>
            <w:tcW w:w="2689" w:type="dxa"/>
          </w:tcPr>
          <w:p w14:paraId="6951A6DD" w14:textId="1329A62F" w:rsidR="00D116D9" w:rsidRPr="00FF7287" w:rsidRDefault="0068093C" w:rsidP="00D116D9">
            <w:pPr>
              <w:rPr>
                <w:rFonts w:ascii="Arial" w:eastAsia="Calibri" w:hAnsi="Arial" w:cs="Arial"/>
                <w:b/>
                <w:lang w:val="es-ES"/>
              </w:rPr>
            </w:pPr>
            <w:r w:rsidRPr="00FF7287">
              <w:rPr>
                <w:rFonts w:ascii="Arial" w:eastAsia="Calibri" w:hAnsi="Arial" w:cs="Arial"/>
                <w:b/>
                <w:lang w:val="es-ES"/>
              </w:rPr>
              <w:t xml:space="preserve"> </w:t>
            </w:r>
            <w:r w:rsidR="00D116D9" w:rsidRPr="00FF7287">
              <w:rPr>
                <w:rFonts w:ascii="Arial" w:eastAsia="Calibri" w:hAnsi="Arial" w:cs="Arial"/>
                <w:b/>
                <w:lang w:val="es-ES"/>
              </w:rPr>
              <w:t>Radicación:</w:t>
            </w:r>
            <w:r w:rsidR="00D116D9" w:rsidRPr="00FF7287">
              <w:rPr>
                <w:rFonts w:ascii="Arial" w:eastAsia="Calibri" w:hAnsi="Arial" w:cs="Arial"/>
                <w:lang w:val="es-ES"/>
              </w:rPr>
              <w:t xml:space="preserve">               </w:t>
            </w:r>
          </w:p>
        </w:tc>
        <w:tc>
          <w:tcPr>
            <w:tcW w:w="6237" w:type="dxa"/>
          </w:tcPr>
          <w:p w14:paraId="7C7B56D4" w14:textId="4CFD7641" w:rsidR="00D116D9" w:rsidRPr="00FF7287" w:rsidRDefault="00D116D9" w:rsidP="00D116D9">
            <w:pPr>
              <w:jc w:val="both"/>
              <w:rPr>
                <w:rFonts w:ascii="Arial" w:eastAsia="Calibri" w:hAnsi="Arial" w:cs="Arial"/>
                <w:lang w:val="es-ES"/>
              </w:rPr>
            </w:pPr>
            <w:r w:rsidRPr="00FF7287">
              <w:rPr>
                <w:rFonts w:ascii="Arial" w:eastAsia="Calibri" w:hAnsi="Arial" w:cs="Arial"/>
                <w:lang w:val="es-ES"/>
              </w:rPr>
              <w:t xml:space="preserve">Respuesta a consulta </w:t>
            </w:r>
            <w:r w:rsidRPr="00FF7287">
              <w:rPr>
                <w:rFonts w:ascii="Arial" w:hAnsi="Arial" w:cs="Arial"/>
                <w:bCs/>
                <w:color w:val="323130"/>
                <w:shd w:val="clear" w:color="auto" w:fill="FFFFFF"/>
              </w:rPr>
              <w:t>P20220805007772</w:t>
            </w:r>
          </w:p>
        </w:tc>
      </w:tr>
      <w:tr w:rsidR="00D116D9" w:rsidRPr="00FF7287" w14:paraId="629173FF" w14:textId="77777777" w:rsidTr="000E3474">
        <w:tc>
          <w:tcPr>
            <w:tcW w:w="2689" w:type="dxa"/>
          </w:tcPr>
          <w:p w14:paraId="169A79B2" w14:textId="77777777" w:rsidR="00D116D9" w:rsidRPr="00FF7287" w:rsidRDefault="00D116D9" w:rsidP="00D116D9">
            <w:pPr>
              <w:spacing w:before="120"/>
              <w:rPr>
                <w:rFonts w:ascii="Arial" w:eastAsia="Calibri" w:hAnsi="Arial" w:cs="Arial"/>
                <w:b/>
                <w:lang w:val="es-ES"/>
              </w:rPr>
            </w:pPr>
          </w:p>
        </w:tc>
        <w:tc>
          <w:tcPr>
            <w:tcW w:w="6237" w:type="dxa"/>
          </w:tcPr>
          <w:p w14:paraId="3F3B5750" w14:textId="77777777" w:rsidR="00D116D9" w:rsidRPr="00FF7287" w:rsidRDefault="00D116D9" w:rsidP="00D116D9">
            <w:pPr>
              <w:spacing w:before="120"/>
              <w:jc w:val="both"/>
              <w:rPr>
                <w:rFonts w:ascii="Arial" w:eastAsia="Calibri" w:hAnsi="Arial" w:cs="Arial"/>
                <w:lang w:val="es-ES"/>
              </w:rPr>
            </w:pPr>
          </w:p>
        </w:tc>
      </w:tr>
    </w:tbl>
    <w:p w14:paraId="011BF8F9" w14:textId="421AD200" w:rsidR="00D116D9" w:rsidRPr="00FF7287" w:rsidRDefault="00D116D9" w:rsidP="00D116D9">
      <w:pPr>
        <w:spacing w:after="0" w:line="240" w:lineRule="auto"/>
        <w:rPr>
          <w:rFonts w:ascii="Arial" w:eastAsia="Calibri" w:hAnsi="Arial" w:cs="Arial"/>
          <w:lang w:val="es-ES"/>
        </w:rPr>
      </w:pPr>
      <w:r w:rsidRPr="00FF7287">
        <w:rPr>
          <w:rFonts w:ascii="Arial" w:eastAsia="Calibri" w:hAnsi="Arial" w:cs="Arial"/>
          <w:lang w:val="es-ES"/>
        </w:rPr>
        <w:t>Estimado Señor Rojas:</w:t>
      </w:r>
    </w:p>
    <w:p w14:paraId="292B1B2F" w14:textId="77777777" w:rsidR="00D116D9" w:rsidRPr="00FF7287" w:rsidRDefault="00D116D9" w:rsidP="00D116D9">
      <w:pPr>
        <w:spacing w:after="0" w:line="240" w:lineRule="auto"/>
        <w:rPr>
          <w:rFonts w:ascii="Arial" w:eastAsia="Calibri" w:hAnsi="Arial" w:cs="Arial"/>
          <w:lang w:val="es-ES"/>
        </w:rPr>
      </w:pPr>
    </w:p>
    <w:p w14:paraId="75BEB2CA" w14:textId="08FED071" w:rsidR="00D116D9" w:rsidRPr="00FF7287" w:rsidRDefault="00D116D9" w:rsidP="00D116D9">
      <w:pPr>
        <w:spacing w:after="0" w:line="276" w:lineRule="auto"/>
        <w:jc w:val="both"/>
        <w:rPr>
          <w:rFonts w:ascii="Arial" w:eastAsia="Calibri" w:hAnsi="Arial" w:cs="Arial"/>
          <w:lang w:val="es-ES"/>
        </w:rPr>
      </w:pPr>
      <w:r w:rsidRPr="00FF7287">
        <w:rPr>
          <w:rFonts w:ascii="Arial" w:eastAsia="Calibri" w:hAnsi="Arial" w:cs="Arial"/>
          <w:lang w:val="es-ES"/>
        </w:rPr>
        <w:t>En ejercicio de la competencia otorgada por los artículos 11, numeral 8º, y 3º, numeral 5º, del Decreto Ley 4170 de 2011, la Agencia Nac</w:t>
      </w:r>
      <w:r w:rsidR="00520021" w:rsidRPr="00FF7287">
        <w:rPr>
          <w:rFonts w:ascii="Arial" w:eastAsia="Calibri" w:hAnsi="Arial" w:cs="Arial"/>
          <w:lang w:val="es-ES"/>
        </w:rPr>
        <w:t>ional de Contratación Pública −</w:t>
      </w:r>
      <w:r w:rsidRPr="00FF7287">
        <w:rPr>
          <w:rFonts w:ascii="Arial" w:eastAsia="Calibri" w:hAnsi="Arial" w:cs="Arial"/>
          <w:lang w:val="es-ES"/>
        </w:rPr>
        <w:t xml:space="preserve">Colombia Compra Eficiente responde su consulta del 5 de agosto de 2022. </w:t>
      </w:r>
    </w:p>
    <w:p w14:paraId="2FDDD71F" w14:textId="77777777" w:rsidR="00D116D9" w:rsidRPr="00FF7287" w:rsidRDefault="00D116D9" w:rsidP="00D116D9">
      <w:pPr>
        <w:spacing w:after="0" w:line="276" w:lineRule="auto"/>
        <w:jc w:val="both"/>
        <w:rPr>
          <w:rFonts w:ascii="Arial" w:eastAsia="Calibri" w:hAnsi="Arial" w:cs="Arial"/>
          <w:lang w:val="es-ES"/>
        </w:rPr>
      </w:pPr>
    </w:p>
    <w:p w14:paraId="6C929980" w14:textId="77777777" w:rsidR="00D116D9" w:rsidRPr="00FF7287" w:rsidRDefault="00D116D9" w:rsidP="00D116D9">
      <w:pPr>
        <w:numPr>
          <w:ilvl w:val="0"/>
          <w:numId w:val="7"/>
        </w:numPr>
        <w:tabs>
          <w:tab w:val="left" w:pos="284"/>
        </w:tabs>
        <w:spacing w:after="0" w:line="276" w:lineRule="auto"/>
        <w:ind w:left="0" w:firstLine="0"/>
        <w:contextualSpacing/>
        <w:jc w:val="both"/>
        <w:rPr>
          <w:rFonts w:ascii="Arial" w:eastAsia="Calibri" w:hAnsi="Arial" w:cs="Arial"/>
          <w:b/>
          <w:lang w:val="es-ES"/>
        </w:rPr>
      </w:pPr>
      <w:r w:rsidRPr="00FF7287">
        <w:rPr>
          <w:rFonts w:ascii="Arial" w:eastAsia="Calibri" w:hAnsi="Arial" w:cs="Arial"/>
          <w:b/>
          <w:lang w:val="es-ES"/>
        </w:rPr>
        <w:t xml:space="preserve">Problema planteado </w:t>
      </w:r>
    </w:p>
    <w:p w14:paraId="4F17AA27" w14:textId="77777777" w:rsidR="00D116D9" w:rsidRPr="00FF7287" w:rsidRDefault="00D116D9" w:rsidP="00D116D9">
      <w:pPr>
        <w:tabs>
          <w:tab w:val="left" w:pos="426"/>
        </w:tabs>
        <w:spacing w:after="0" w:line="276" w:lineRule="auto"/>
        <w:jc w:val="both"/>
        <w:rPr>
          <w:rFonts w:ascii="Arial" w:eastAsia="Calibri" w:hAnsi="Arial" w:cs="Arial"/>
          <w:b/>
          <w:lang w:val="es-ES"/>
        </w:rPr>
      </w:pPr>
    </w:p>
    <w:p w14:paraId="59E76E50" w14:textId="4729F2B6" w:rsidR="00D116D9" w:rsidRPr="00FF7287" w:rsidRDefault="00D116D9" w:rsidP="00FE5AFF">
      <w:pPr>
        <w:autoSpaceDE w:val="0"/>
        <w:autoSpaceDN w:val="0"/>
        <w:adjustRightInd w:val="0"/>
        <w:spacing w:after="0" w:line="276" w:lineRule="auto"/>
        <w:jc w:val="both"/>
        <w:rPr>
          <w:rFonts w:ascii="Arial" w:hAnsi="Arial" w:cs="Arial"/>
        </w:rPr>
      </w:pPr>
      <w:r w:rsidRPr="00FF7287">
        <w:rPr>
          <w:rFonts w:ascii="Arial" w:eastAsia="Calibri" w:hAnsi="Arial" w:cs="Arial"/>
          <w:lang w:val="es-ES"/>
        </w:rPr>
        <w:t>Con respecto, a los mecanismos de cobertura de riesgos</w:t>
      </w:r>
      <w:r w:rsidR="0068093C" w:rsidRPr="00FF7287">
        <w:rPr>
          <w:rFonts w:ascii="Arial" w:eastAsia="Calibri" w:hAnsi="Arial" w:cs="Arial"/>
          <w:lang w:val="es-ES"/>
        </w:rPr>
        <w:t xml:space="preserve"> y a la competencia para expedir garantías</w:t>
      </w:r>
      <w:r w:rsidRPr="00FF7287">
        <w:rPr>
          <w:rFonts w:ascii="Arial" w:eastAsia="Calibri" w:hAnsi="Arial" w:cs="Arial"/>
          <w:lang w:val="es-ES"/>
        </w:rPr>
        <w:t xml:space="preserve">, usted realiza la siguiente consulta: </w:t>
      </w:r>
      <w:bookmarkStart w:id="2" w:name="_Hlk64545847"/>
      <w:bookmarkStart w:id="3" w:name="_Hlk80613088"/>
      <w:r w:rsidRPr="00FF7287">
        <w:rPr>
          <w:rFonts w:ascii="Arial" w:eastAsia="Calibri" w:hAnsi="Arial" w:cs="Arial"/>
          <w:lang w:val="es-ES"/>
        </w:rPr>
        <w:t>«</w:t>
      </w:r>
      <w:bookmarkEnd w:id="2"/>
      <w:r w:rsidRPr="00FF7287">
        <w:rPr>
          <w:rFonts w:ascii="Arial" w:hAnsi="Arial" w:cs="Arial"/>
        </w:rPr>
        <w:t xml:space="preserve">¿una cooperativa de aporte y </w:t>
      </w:r>
      <w:proofErr w:type="gramStart"/>
      <w:r w:rsidRPr="00FF7287">
        <w:rPr>
          <w:rFonts w:ascii="Arial" w:hAnsi="Arial" w:cs="Arial"/>
        </w:rPr>
        <w:t>crédito,</w:t>
      </w:r>
      <w:proofErr w:type="gramEnd"/>
      <w:r w:rsidRPr="00FF7287">
        <w:rPr>
          <w:rFonts w:ascii="Arial" w:hAnsi="Arial" w:cs="Arial"/>
        </w:rPr>
        <w:t xml:space="preserve"> puede aprobar garantía de seriedad admisible como amparo de las ofertas para la ejecución de contratos con entidades </w:t>
      </w:r>
      <w:r w:rsidR="00FE5AFF" w:rsidRPr="00FF7287">
        <w:rPr>
          <w:rFonts w:ascii="Arial" w:hAnsi="Arial" w:cs="Arial"/>
        </w:rPr>
        <w:t>públicas</w:t>
      </w:r>
      <w:r w:rsidRPr="00FF7287">
        <w:rPr>
          <w:rFonts w:ascii="Arial" w:hAnsi="Arial" w:cs="Arial"/>
        </w:rPr>
        <w:t>?</w:t>
      </w:r>
      <w:r w:rsidRPr="00FF7287">
        <w:rPr>
          <w:rFonts w:ascii="Arial" w:eastAsia="Calibri" w:hAnsi="Arial" w:cs="Arial"/>
          <w:lang w:val="es-ES"/>
        </w:rPr>
        <w:t>».</w:t>
      </w:r>
    </w:p>
    <w:bookmarkEnd w:id="3"/>
    <w:p w14:paraId="1E7FCC3B" w14:textId="0702D51B" w:rsidR="00D116D9" w:rsidRPr="00FF7287" w:rsidRDefault="00D116D9" w:rsidP="00D116D9">
      <w:pPr>
        <w:shd w:val="clear" w:color="auto" w:fill="FFFFFF"/>
        <w:spacing w:after="0" w:line="240" w:lineRule="auto"/>
        <w:ind w:left="709" w:right="709"/>
        <w:jc w:val="both"/>
        <w:rPr>
          <w:rFonts w:ascii="Arial" w:eastAsia="Calibri" w:hAnsi="Arial" w:cs="Arial"/>
          <w:lang w:eastAsia="es-ES_tradnl"/>
        </w:rPr>
      </w:pPr>
    </w:p>
    <w:p w14:paraId="27CAACC1" w14:textId="77777777" w:rsidR="00D116D9" w:rsidRPr="00FF7287" w:rsidRDefault="00D116D9" w:rsidP="00D116D9">
      <w:pPr>
        <w:numPr>
          <w:ilvl w:val="0"/>
          <w:numId w:val="7"/>
        </w:numPr>
        <w:tabs>
          <w:tab w:val="left" w:pos="426"/>
        </w:tabs>
        <w:spacing w:after="0" w:line="276" w:lineRule="auto"/>
        <w:ind w:left="284" w:hanging="284"/>
        <w:contextualSpacing/>
        <w:jc w:val="both"/>
        <w:rPr>
          <w:rFonts w:ascii="Arial" w:eastAsia="Calibri" w:hAnsi="Arial" w:cs="Arial"/>
          <w:b/>
          <w:lang w:val="es-ES"/>
        </w:rPr>
      </w:pPr>
      <w:r w:rsidRPr="00FF7287">
        <w:rPr>
          <w:rFonts w:ascii="Arial" w:eastAsia="Calibri" w:hAnsi="Arial" w:cs="Arial"/>
          <w:b/>
          <w:lang w:val="es-ES"/>
        </w:rPr>
        <w:t>Consideraciones</w:t>
      </w:r>
    </w:p>
    <w:p w14:paraId="2552403B" w14:textId="77777777" w:rsidR="00D116D9" w:rsidRPr="00FF7287" w:rsidRDefault="00D116D9" w:rsidP="00D116D9">
      <w:pPr>
        <w:tabs>
          <w:tab w:val="left" w:pos="426"/>
        </w:tabs>
        <w:spacing w:after="0" w:line="240" w:lineRule="auto"/>
        <w:ind w:left="284"/>
        <w:contextualSpacing/>
        <w:jc w:val="both"/>
        <w:rPr>
          <w:rFonts w:ascii="Arial" w:eastAsia="Calibri" w:hAnsi="Arial" w:cs="Arial"/>
          <w:b/>
          <w:lang w:val="es-ES"/>
        </w:rPr>
      </w:pPr>
    </w:p>
    <w:p w14:paraId="65F86683" w14:textId="59DB72C1" w:rsidR="00D904FC" w:rsidRPr="00FF7287" w:rsidRDefault="00D904FC" w:rsidP="00D904FC">
      <w:pPr>
        <w:spacing w:after="120" w:line="276" w:lineRule="auto"/>
        <w:jc w:val="both"/>
        <w:rPr>
          <w:rFonts w:ascii="Arial" w:eastAsia="Calibri" w:hAnsi="Arial" w:cs="Arial"/>
          <w:lang w:val="es-ES_tradnl"/>
        </w:rPr>
      </w:pPr>
      <w:r w:rsidRPr="00FF7287">
        <w:rPr>
          <w:rFonts w:ascii="Arial" w:eastAsia="Arial" w:hAnsi="Arial" w:cs="Arial"/>
          <w:lang w:val="es-MX" w:eastAsia="es-ES_tradnl"/>
        </w:rPr>
        <w:lastRenderedPageBreak/>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FF7287">
        <w:rPr>
          <w:rFonts w:ascii="Arial" w:eastAsia="Arial" w:hAnsi="Arial" w:cs="Arial"/>
          <w:vertAlign w:val="superscript"/>
          <w:lang w:val="es-MX" w:eastAsia="es-ES_tradnl"/>
        </w:rPr>
        <w:footnoteReference w:id="1"/>
      </w:r>
      <w:r w:rsidRPr="00FF7287">
        <w:rPr>
          <w:rFonts w:ascii="Arial" w:eastAsia="Arial" w:hAnsi="Arial" w:cs="Arial"/>
          <w:lang w:val="es-MX" w:eastAsia="es-ES_tradnl"/>
        </w:rPr>
        <w:t xml:space="preserve">. </w:t>
      </w:r>
      <w:r w:rsidRPr="00FF7287">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w:t>
      </w:r>
      <w:r w:rsidR="000C6439" w:rsidRPr="00FF7287">
        <w:rPr>
          <w:rFonts w:ascii="Arial" w:eastAsia="Calibri" w:hAnsi="Arial" w:cs="Arial"/>
          <w:lang w:val="es-ES_tradnl"/>
        </w:rPr>
        <w:t xml:space="preserve">ipes de la contratación estatal. </w:t>
      </w:r>
    </w:p>
    <w:p w14:paraId="319E133D" w14:textId="4251F200" w:rsidR="009E581F" w:rsidRPr="00FF7287" w:rsidRDefault="00D904FC" w:rsidP="005132DD">
      <w:pPr>
        <w:spacing w:after="120" w:line="276" w:lineRule="auto"/>
        <w:ind w:firstLine="708"/>
        <w:jc w:val="both"/>
        <w:rPr>
          <w:rFonts w:ascii="Arial" w:eastAsia="Calibri" w:hAnsi="Arial" w:cs="Arial"/>
        </w:rPr>
      </w:pPr>
      <w:r w:rsidRPr="00FF7287">
        <w:rPr>
          <w:rFonts w:ascii="Arial" w:eastAsia="Calibri"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r w:rsidR="009E581F" w:rsidRPr="00FF7287">
        <w:rPr>
          <w:rFonts w:ascii="Arial" w:eastAsia="Calibri" w:hAnsi="Arial" w:cs="Arial"/>
          <w:lang w:val="es-ES_tradnl"/>
        </w:rPr>
        <w:t>.</w:t>
      </w:r>
    </w:p>
    <w:p w14:paraId="5F76E249" w14:textId="5435EC4F" w:rsidR="00D116D9" w:rsidRPr="00FF7287" w:rsidRDefault="00D904FC" w:rsidP="005132DD">
      <w:pPr>
        <w:spacing w:after="120" w:line="276" w:lineRule="auto"/>
        <w:ind w:firstLine="708"/>
        <w:jc w:val="both"/>
        <w:rPr>
          <w:rFonts w:ascii="Arial" w:eastAsia="Calibri" w:hAnsi="Arial" w:cs="Arial"/>
          <w:lang w:val="es-ES"/>
        </w:rPr>
      </w:pPr>
      <w:r w:rsidRPr="00FF7287">
        <w:rPr>
          <w:rFonts w:ascii="Arial" w:eastAsia="Calibri" w:hAnsi="Arial" w:cs="Arial"/>
        </w:rPr>
        <w:t xml:space="preserve">Así las cosas, </w:t>
      </w:r>
      <w:r w:rsidRPr="00FF7287">
        <w:rPr>
          <w:rFonts w:ascii="Arial" w:eastAsia="Calibri" w:hAnsi="Arial" w:cs="Arial"/>
          <w:lang w:val="es-ES"/>
        </w:rPr>
        <w:t xml:space="preserve">la Agencia –dentro de los límites de sus atribuciones–, resolverá la consulta conforme a las normas generales en materia de contratación estatal. </w:t>
      </w:r>
      <w:r w:rsidRPr="00FF7287">
        <w:rPr>
          <w:rFonts w:ascii="Arial" w:eastAsia="Calibri" w:hAnsi="Arial" w:cs="Arial"/>
          <w:color w:val="000000"/>
          <w:lang w:eastAsia="es-ES_tradnl"/>
        </w:rPr>
        <w:t xml:space="preserve">Para responder sus interrogantes, </w:t>
      </w:r>
      <w:r w:rsidRPr="00FF7287">
        <w:rPr>
          <w:rFonts w:ascii="Arial" w:eastAsia="Calibri" w:hAnsi="Arial" w:cs="Arial"/>
          <w:color w:val="000000"/>
          <w:szCs w:val="24"/>
          <w:lang w:val="es-ES" w:eastAsia="es-ES_tradnl"/>
        </w:rPr>
        <w:t>se analizarán los siguientes temas</w:t>
      </w:r>
      <w:r w:rsidRPr="00FF7287">
        <w:rPr>
          <w:rFonts w:ascii="Arial" w:eastAsia="Calibri" w:hAnsi="Arial" w:cs="Arial"/>
          <w:bCs/>
          <w:color w:val="000000"/>
          <w:szCs w:val="24"/>
          <w:lang w:eastAsia="es-ES_tradnl"/>
        </w:rPr>
        <w:t>:</w:t>
      </w:r>
      <w:r w:rsidR="00D116D9" w:rsidRPr="00FF7287">
        <w:rPr>
          <w:rFonts w:ascii="Arial" w:eastAsia="Calibri" w:hAnsi="Arial" w:cs="Arial"/>
          <w:lang w:val="es-ES"/>
        </w:rPr>
        <w:t xml:space="preserve"> i) las garantías en la contratación estatal y </w:t>
      </w:r>
      <w:proofErr w:type="spellStart"/>
      <w:r w:rsidR="00D116D9" w:rsidRPr="00FF7287">
        <w:rPr>
          <w:rFonts w:ascii="Arial" w:eastAsia="Calibri" w:hAnsi="Arial" w:cs="Arial"/>
          <w:lang w:val="es-ES"/>
        </w:rPr>
        <w:t>ii</w:t>
      </w:r>
      <w:proofErr w:type="spellEnd"/>
      <w:r w:rsidR="00D116D9" w:rsidRPr="00FF7287">
        <w:rPr>
          <w:rFonts w:ascii="Arial" w:eastAsia="Calibri" w:hAnsi="Arial" w:cs="Arial"/>
          <w:lang w:val="es-ES"/>
        </w:rPr>
        <w:t xml:space="preserve">) el otorgamiento de garantías bancarias y cartas de crédito </w:t>
      </w:r>
      <w:r w:rsidR="00D116D9" w:rsidRPr="00FF7287">
        <w:rPr>
          <w:rFonts w:ascii="Arial" w:eastAsia="Calibri" w:hAnsi="Arial" w:cs="Arial"/>
          <w:i/>
          <w:iCs/>
          <w:lang w:val="es-ES"/>
        </w:rPr>
        <w:t xml:space="preserve">stand </w:t>
      </w:r>
      <w:proofErr w:type="spellStart"/>
      <w:r w:rsidR="00D116D9" w:rsidRPr="00FF7287">
        <w:rPr>
          <w:rFonts w:ascii="Arial" w:eastAsia="Calibri" w:hAnsi="Arial" w:cs="Arial"/>
          <w:i/>
          <w:iCs/>
          <w:lang w:val="es-ES"/>
        </w:rPr>
        <w:t>by</w:t>
      </w:r>
      <w:proofErr w:type="spellEnd"/>
      <w:r w:rsidR="00D116D9" w:rsidRPr="00FF7287">
        <w:rPr>
          <w:rFonts w:ascii="Arial" w:eastAsia="Calibri" w:hAnsi="Arial" w:cs="Arial"/>
          <w:i/>
          <w:iCs/>
          <w:lang w:val="es-ES"/>
        </w:rPr>
        <w:t xml:space="preserve"> </w:t>
      </w:r>
      <w:r w:rsidR="00D116D9" w:rsidRPr="00FF7287">
        <w:rPr>
          <w:rFonts w:ascii="Arial" w:eastAsia="Calibri" w:hAnsi="Arial" w:cs="Arial"/>
          <w:lang w:val="es-ES"/>
        </w:rPr>
        <w:t>en la contratación estatal, en particular, el requisito relacionado con la entidad financie</w:t>
      </w:r>
      <w:r w:rsidR="00520021" w:rsidRPr="00FF7287">
        <w:rPr>
          <w:rFonts w:ascii="Arial" w:eastAsia="Calibri" w:hAnsi="Arial" w:cs="Arial"/>
          <w:lang w:val="es-ES"/>
        </w:rPr>
        <w:t>ra que puede otorgar la garantía</w:t>
      </w:r>
      <w:r w:rsidR="00D116D9" w:rsidRPr="00FF7287">
        <w:rPr>
          <w:rFonts w:ascii="Arial" w:eastAsia="Calibri" w:hAnsi="Arial" w:cs="Arial"/>
          <w:lang w:val="es-ES"/>
        </w:rPr>
        <w:t xml:space="preserve">. </w:t>
      </w:r>
    </w:p>
    <w:p w14:paraId="6ED3F5F7" w14:textId="55D06321" w:rsidR="00D116D9" w:rsidRPr="00FF7287" w:rsidRDefault="00D116D9" w:rsidP="002838AC">
      <w:pPr>
        <w:spacing w:after="0" w:line="276" w:lineRule="auto"/>
        <w:ind w:firstLine="709"/>
        <w:jc w:val="both"/>
        <w:rPr>
          <w:rFonts w:ascii="Arial" w:hAnsi="Arial" w:cs="Arial"/>
          <w:color w:val="000000" w:themeColor="text1"/>
          <w:lang w:val="es-ES"/>
        </w:rPr>
      </w:pPr>
      <w:r w:rsidRPr="00FF7287">
        <w:rPr>
          <w:rFonts w:ascii="Arial" w:hAnsi="Arial" w:cs="Arial"/>
          <w:color w:val="000000" w:themeColor="text1"/>
          <w:lang w:val="es-ES"/>
        </w:rPr>
        <w:t>La Agencia Nacional de Contratación Pública – Colombia Compra Eficiente se pronunció en términos generales de las garantías en la contratación estatal en los conceptos 2201913000009075 del 9 de diciembre de 2012 y</w:t>
      </w:r>
      <w:r w:rsidR="00520021" w:rsidRPr="00FF7287">
        <w:rPr>
          <w:rFonts w:ascii="Arial" w:hAnsi="Arial" w:cs="Arial"/>
          <w:color w:val="000000" w:themeColor="text1"/>
          <w:lang w:val="es-ES"/>
        </w:rPr>
        <w:t xml:space="preserve"> C-080 del 8 de abril de 2021, C-525 del 24 de </w:t>
      </w:r>
      <w:r w:rsidR="005132DD" w:rsidRPr="00FF7287">
        <w:rPr>
          <w:rFonts w:ascii="Arial" w:hAnsi="Arial" w:cs="Arial"/>
          <w:color w:val="000000" w:themeColor="text1"/>
          <w:lang w:val="es-ES"/>
        </w:rPr>
        <w:t>septiembre de 2021</w:t>
      </w:r>
      <w:r w:rsidR="00520021" w:rsidRPr="00FF7287">
        <w:rPr>
          <w:rFonts w:ascii="Arial" w:hAnsi="Arial" w:cs="Arial"/>
          <w:color w:val="000000" w:themeColor="text1"/>
          <w:lang w:val="es-ES"/>
        </w:rPr>
        <w:t xml:space="preserve">, entre otros. </w:t>
      </w:r>
      <w:r w:rsidRPr="00FF7287">
        <w:rPr>
          <w:rFonts w:ascii="Arial" w:hAnsi="Arial" w:cs="Arial"/>
          <w:color w:val="000000" w:themeColor="text1"/>
          <w:lang w:val="es-ES"/>
        </w:rPr>
        <w:t>En lo pertinente, algunas de las consideraciones realizadas en dichos conceptos se reiteran a continuación.</w:t>
      </w:r>
    </w:p>
    <w:p w14:paraId="3F977952" w14:textId="4D90E8E3" w:rsidR="00FE5AFF" w:rsidRPr="00FF7287" w:rsidRDefault="00FE5AFF" w:rsidP="002838AC">
      <w:pPr>
        <w:spacing w:after="0" w:line="276" w:lineRule="auto"/>
        <w:jc w:val="both"/>
        <w:rPr>
          <w:rFonts w:ascii="Arial" w:eastAsia="Arial" w:hAnsi="Arial" w:cs="Arial"/>
          <w:b/>
          <w:bCs/>
          <w:color w:val="000000"/>
          <w:lang w:val="es-ES" w:eastAsia="es-ES_tradnl"/>
        </w:rPr>
      </w:pPr>
    </w:p>
    <w:p w14:paraId="106D5904" w14:textId="17CA1127" w:rsidR="00520021" w:rsidRPr="00FF7287" w:rsidRDefault="00FE5AFF" w:rsidP="002838AC">
      <w:pPr>
        <w:spacing w:after="0" w:line="276" w:lineRule="auto"/>
        <w:jc w:val="both"/>
        <w:rPr>
          <w:rFonts w:ascii="Arial" w:eastAsia="Times New Roman" w:hAnsi="Arial" w:cs="Arial"/>
          <w:b/>
          <w:bCs/>
          <w:lang w:val="es-ES_tradnl" w:eastAsia="es-ES_tradnl"/>
        </w:rPr>
      </w:pPr>
      <w:r w:rsidRPr="00FF7287">
        <w:rPr>
          <w:rFonts w:ascii="Arial" w:eastAsia="Arial" w:hAnsi="Arial" w:cs="Arial"/>
          <w:b/>
          <w:bCs/>
          <w:color w:val="000000"/>
          <w:lang w:val="es-ES" w:eastAsia="es-ES_tradnl"/>
        </w:rPr>
        <w:t>2</w:t>
      </w:r>
      <w:r w:rsidR="00D116D9" w:rsidRPr="00FF7287">
        <w:rPr>
          <w:rFonts w:ascii="Arial" w:eastAsia="Arial" w:hAnsi="Arial" w:cs="Arial"/>
          <w:b/>
          <w:bCs/>
          <w:color w:val="000000"/>
          <w:lang w:val="es-ES" w:eastAsia="es-ES_tradnl"/>
        </w:rPr>
        <w:t>.1</w:t>
      </w:r>
      <w:r w:rsidR="00D116D9" w:rsidRPr="00FF7287">
        <w:rPr>
          <w:rFonts w:ascii="Arial" w:eastAsia="Calibri" w:hAnsi="Arial" w:cs="Arial"/>
          <w:b/>
          <w:bCs/>
          <w:color w:val="000000"/>
          <w:lang w:eastAsia="en-GB"/>
        </w:rPr>
        <w:t>.</w:t>
      </w:r>
      <w:r w:rsidR="00D116D9" w:rsidRPr="00FF7287">
        <w:rPr>
          <w:rFonts w:ascii="Arial" w:eastAsia="Times New Roman" w:hAnsi="Arial" w:cs="Arial"/>
          <w:b/>
          <w:bCs/>
          <w:lang w:val="es-ES_tradnl" w:eastAsia="es-ES_tradnl"/>
        </w:rPr>
        <w:t xml:space="preserve"> Garantías en la contratación estatal</w:t>
      </w:r>
      <w:r w:rsidR="0068093C" w:rsidRPr="00FF7287">
        <w:rPr>
          <w:rFonts w:ascii="Arial" w:eastAsia="Times New Roman" w:hAnsi="Arial" w:cs="Arial"/>
          <w:b/>
          <w:bCs/>
          <w:lang w:val="es-ES_tradnl" w:eastAsia="es-ES_tradnl"/>
        </w:rPr>
        <w:t xml:space="preserve"> como mecanismos de cobertura de riesgos</w:t>
      </w:r>
    </w:p>
    <w:p w14:paraId="548FF0B4" w14:textId="7E11EAE5" w:rsidR="00D116D9" w:rsidRPr="00FF7287" w:rsidRDefault="00D116D9" w:rsidP="002838AC">
      <w:pPr>
        <w:spacing w:after="0" w:line="276" w:lineRule="auto"/>
        <w:jc w:val="both"/>
        <w:rPr>
          <w:rFonts w:ascii="Arial" w:eastAsia="Arial" w:hAnsi="Arial" w:cs="Arial"/>
          <w:b/>
          <w:bCs/>
          <w:color w:val="000000"/>
          <w:lang w:val="es-ES_tradnl" w:eastAsia="es-ES_tradnl"/>
        </w:rPr>
      </w:pPr>
    </w:p>
    <w:p w14:paraId="3111F97D" w14:textId="5ABA32FD" w:rsidR="00D116D9" w:rsidRPr="00FF7287" w:rsidRDefault="00D116D9" w:rsidP="002838AC">
      <w:pPr>
        <w:spacing w:after="0" w:line="276" w:lineRule="auto"/>
        <w:jc w:val="both"/>
        <w:rPr>
          <w:rFonts w:ascii="Arial" w:eastAsia="Calibri" w:hAnsi="Arial" w:cs="Arial"/>
          <w:color w:val="000000"/>
          <w:lang w:val="es-ES_tradnl"/>
        </w:rPr>
      </w:pPr>
      <w:bookmarkStart w:id="4" w:name="_Hlk35876968"/>
      <w:r w:rsidRPr="00FF7287">
        <w:rPr>
          <w:rFonts w:ascii="Arial" w:eastAsia="Calibri" w:hAnsi="Arial" w:cs="Arial"/>
          <w:color w:val="000000"/>
          <w:lang w:val="es-ES_tradnl" w:eastAsia="es-ES_tradnl"/>
        </w:rPr>
        <w:lastRenderedPageBreak/>
        <w:t>El Estatuto General de Contratación de la Administración Pública exige, p</w:t>
      </w:r>
      <w:r w:rsidR="00053C6E" w:rsidRPr="00FF7287">
        <w:rPr>
          <w:rFonts w:ascii="Arial" w:eastAsia="Calibri" w:hAnsi="Arial" w:cs="Arial"/>
          <w:color w:val="000000"/>
          <w:lang w:val="es-ES_tradnl" w:eastAsia="es-ES_tradnl"/>
        </w:rPr>
        <w:t xml:space="preserve">or regla general, en los procesos de contratación pública </w:t>
      </w:r>
      <w:r w:rsidRPr="00FF7287">
        <w:rPr>
          <w:rFonts w:ascii="Arial" w:eastAsia="Calibri" w:hAnsi="Arial" w:cs="Arial"/>
          <w:color w:val="000000"/>
          <w:lang w:val="es-ES" w:eastAsia="es-ES_tradnl"/>
        </w:rPr>
        <w:t xml:space="preserve">la constitución de </w:t>
      </w:r>
      <w:proofErr w:type="gramStart"/>
      <w:r w:rsidRPr="00FF7287">
        <w:rPr>
          <w:rFonts w:ascii="Arial" w:eastAsia="Calibri" w:hAnsi="Arial" w:cs="Arial"/>
          <w:color w:val="000000"/>
          <w:lang w:val="es-ES" w:eastAsia="es-ES_tradnl"/>
        </w:rPr>
        <w:t>garantías</w:t>
      </w:r>
      <w:r w:rsidR="00053C6E" w:rsidRPr="00FF7287">
        <w:rPr>
          <w:rFonts w:ascii="Arial" w:eastAsia="Calibri" w:hAnsi="Arial" w:cs="Arial"/>
          <w:color w:val="000000"/>
          <w:lang w:val="es-ES" w:eastAsia="es-ES_tradnl"/>
        </w:rPr>
        <w:t>,</w:t>
      </w:r>
      <w:proofErr w:type="gramEnd"/>
      <w:r w:rsidR="00053C6E" w:rsidRPr="00FF7287">
        <w:rPr>
          <w:rFonts w:ascii="Arial" w:eastAsia="Calibri" w:hAnsi="Arial" w:cs="Arial"/>
          <w:color w:val="000000"/>
          <w:lang w:val="es-ES" w:eastAsia="es-ES_tradnl"/>
        </w:rPr>
        <w:t xml:space="preserve"> ya sea en la etapa precontractual, contractual o </w:t>
      </w:r>
      <w:proofErr w:type="spellStart"/>
      <w:r w:rsidR="00053C6E" w:rsidRPr="00FF7287">
        <w:rPr>
          <w:rFonts w:ascii="Arial" w:eastAsia="Calibri" w:hAnsi="Arial" w:cs="Arial"/>
          <w:color w:val="000000"/>
          <w:lang w:val="es-ES" w:eastAsia="es-ES_tradnl"/>
        </w:rPr>
        <w:t>postcontractual</w:t>
      </w:r>
      <w:proofErr w:type="spellEnd"/>
      <w:r w:rsidR="000C6439" w:rsidRPr="00FF7287">
        <w:rPr>
          <w:rFonts w:ascii="Arial" w:eastAsia="Calibri" w:hAnsi="Arial" w:cs="Arial"/>
          <w:color w:val="000000"/>
          <w:lang w:val="es-ES" w:eastAsia="es-ES_tradnl"/>
        </w:rPr>
        <w:t>, con el fin de evitar o mitigar posibles riesgos</w:t>
      </w:r>
      <w:r w:rsidR="00053C6E" w:rsidRPr="00FF7287">
        <w:rPr>
          <w:rFonts w:ascii="Arial" w:eastAsia="Calibri" w:hAnsi="Arial" w:cs="Arial"/>
          <w:color w:val="000000"/>
          <w:lang w:val="es-ES_tradnl" w:eastAsia="es-ES_tradnl"/>
        </w:rPr>
        <w:t>.</w:t>
      </w:r>
      <w:r w:rsidR="001B28F8" w:rsidRPr="00FF7287">
        <w:rPr>
          <w:rFonts w:ascii="Arial" w:eastAsia="Calibri" w:hAnsi="Arial" w:cs="Arial"/>
          <w:color w:val="000000"/>
          <w:lang w:val="es-ES_tradnl" w:eastAsia="es-ES_tradnl"/>
        </w:rPr>
        <w:t xml:space="preserve"> En esa orientación</w:t>
      </w:r>
      <w:r w:rsidRPr="00FF7287">
        <w:rPr>
          <w:rFonts w:ascii="Arial" w:eastAsia="Calibri" w:hAnsi="Arial" w:cs="Arial"/>
          <w:color w:val="000000"/>
          <w:lang w:val="es-ES_tradnl" w:eastAsia="es-ES_tradnl"/>
        </w:rPr>
        <w:t xml:space="preserve">, </w:t>
      </w:r>
      <w:r w:rsidRPr="00FF7287">
        <w:rPr>
          <w:rFonts w:ascii="Arial" w:eastAsia="Calibri" w:hAnsi="Arial" w:cs="Arial"/>
          <w:color w:val="000000"/>
          <w:lang w:val="es-ES_tradnl"/>
        </w:rPr>
        <w:t xml:space="preserve">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w:t>
      </w:r>
      <w:r w:rsidR="00053C6E" w:rsidRPr="00FF7287">
        <w:rPr>
          <w:rFonts w:ascii="Arial" w:eastAsia="Calibri" w:hAnsi="Arial" w:cs="Arial"/>
          <w:color w:val="000000"/>
          <w:lang w:val="es-ES_tradnl"/>
        </w:rPr>
        <w:t>el reglamento. La precitada norma dispon</w:t>
      </w:r>
      <w:r w:rsidRPr="00FF7287">
        <w:rPr>
          <w:rFonts w:ascii="Arial" w:eastAsia="Calibri" w:hAnsi="Arial" w:cs="Arial"/>
          <w:color w:val="000000"/>
          <w:lang w:val="es-ES_tradnl"/>
        </w:rPr>
        <w:t>e:</w:t>
      </w:r>
    </w:p>
    <w:p w14:paraId="199D10EC" w14:textId="77777777" w:rsidR="00D116D9" w:rsidRPr="00FF7287" w:rsidRDefault="00D116D9" w:rsidP="00D116D9">
      <w:pPr>
        <w:spacing w:after="0" w:line="276" w:lineRule="auto"/>
        <w:jc w:val="both"/>
        <w:rPr>
          <w:rFonts w:ascii="Arial" w:eastAsia="Calibri" w:hAnsi="Arial" w:cs="Arial"/>
          <w:color w:val="000000"/>
          <w:lang w:val="es-ES_tradnl"/>
        </w:rPr>
      </w:pPr>
    </w:p>
    <w:p w14:paraId="399EDF6A" w14:textId="2EFC4AD8" w:rsidR="00D116D9"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 xml:space="preserve">Los contratistas prestarán garantía única para el cumplimiento de las obligaciones surgidas del contrato. Los proponentes prestarán garantía de seriedad de los ofrecimientos hechos. </w:t>
      </w:r>
    </w:p>
    <w:p w14:paraId="1FD007E1" w14:textId="77777777" w:rsidR="00157D6F" w:rsidRPr="00FF7287" w:rsidRDefault="00157D6F" w:rsidP="00157D6F">
      <w:pPr>
        <w:spacing w:after="0" w:line="240" w:lineRule="auto"/>
        <w:ind w:left="709" w:right="709"/>
        <w:jc w:val="both"/>
        <w:rPr>
          <w:rFonts w:ascii="Arial" w:eastAsia="Calibri" w:hAnsi="Arial" w:cs="Arial"/>
          <w:color w:val="000000"/>
          <w:sz w:val="21"/>
          <w:szCs w:val="21"/>
          <w:lang w:val="es-ES_tradnl"/>
        </w:rPr>
      </w:pPr>
    </w:p>
    <w:p w14:paraId="1EEDA965" w14:textId="77777777" w:rsidR="00D116D9"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1C574067" w14:textId="77777777" w:rsidR="00157D6F" w:rsidRPr="00FF7287" w:rsidRDefault="00157D6F" w:rsidP="00157D6F">
      <w:pPr>
        <w:spacing w:after="0" w:line="240" w:lineRule="auto"/>
        <w:ind w:left="709" w:right="709"/>
        <w:jc w:val="both"/>
        <w:rPr>
          <w:rFonts w:ascii="Arial" w:eastAsia="Calibri" w:hAnsi="Arial" w:cs="Arial"/>
          <w:color w:val="000000"/>
          <w:sz w:val="21"/>
          <w:szCs w:val="21"/>
          <w:lang w:val="es-ES_tradnl"/>
        </w:rPr>
      </w:pPr>
    </w:p>
    <w:p w14:paraId="1E8850E6" w14:textId="30D2A6D7" w:rsidR="00D116D9"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 xml:space="preserve">El Gobierno Nacional señalará los criterios que seguirán las entidades para la exigencia de garantías, las clases y niveles de amparo de los riesgos de los contratos, así como los casos en </w:t>
      </w:r>
      <w:proofErr w:type="gramStart"/>
      <w:r w:rsidRPr="00FF7287">
        <w:rPr>
          <w:rFonts w:ascii="Arial" w:eastAsia="Calibri" w:hAnsi="Arial" w:cs="Arial"/>
          <w:color w:val="000000"/>
          <w:sz w:val="21"/>
          <w:szCs w:val="21"/>
          <w:lang w:val="es-ES_tradnl"/>
        </w:rPr>
        <w:t>que</w:t>
      </w:r>
      <w:proofErr w:type="gramEnd"/>
      <w:r w:rsidRPr="00FF7287">
        <w:rPr>
          <w:rFonts w:ascii="Arial" w:eastAsia="Calibri" w:hAnsi="Arial" w:cs="Arial"/>
          <w:color w:val="000000"/>
          <w:sz w:val="21"/>
          <w:szCs w:val="21"/>
          <w:lang w:val="es-ES_tradnl"/>
        </w:rPr>
        <w:t xml:space="preserve"> por las características y complejidad del contrato a celebrar, la garantía pueda ser dividida teniendo en cuenta las etapas o riesgos relativos a la ejecución del respectivo contrato. </w:t>
      </w:r>
    </w:p>
    <w:p w14:paraId="5A8842FC" w14:textId="77777777" w:rsidR="00157D6F" w:rsidRPr="00FF7287" w:rsidRDefault="00157D6F" w:rsidP="00157D6F">
      <w:pPr>
        <w:spacing w:after="0" w:line="240" w:lineRule="auto"/>
        <w:ind w:left="709" w:right="709"/>
        <w:jc w:val="both"/>
        <w:rPr>
          <w:rFonts w:ascii="Arial" w:eastAsia="Calibri" w:hAnsi="Arial" w:cs="Arial"/>
          <w:color w:val="000000"/>
          <w:sz w:val="21"/>
          <w:szCs w:val="21"/>
          <w:lang w:val="es-ES_tradnl"/>
        </w:rPr>
      </w:pPr>
    </w:p>
    <w:p w14:paraId="51123C0B" w14:textId="77777777" w:rsidR="00157D6F"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El acaecimiento del siniestro que amparan las garantías será comunicado por la entidad pública al respectivo asegurador mediante la notificación del acto administrativo que así lo declare.</w:t>
      </w:r>
    </w:p>
    <w:p w14:paraId="6E944CC9" w14:textId="47E25636" w:rsidR="00D116D9"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 xml:space="preserve"> </w:t>
      </w:r>
    </w:p>
    <w:p w14:paraId="4A52B4ED" w14:textId="77777777" w:rsidR="00D116D9" w:rsidRPr="00FF7287" w:rsidRDefault="00D116D9" w:rsidP="00157D6F">
      <w:pPr>
        <w:spacing w:after="0" w:line="240" w:lineRule="auto"/>
        <w:ind w:left="709" w:right="709"/>
        <w:jc w:val="both"/>
        <w:rPr>
          <w:rFonts w:ascii="Arial" w:eastAsia="Calibri" w:hAnsi="Arial" w:cs="Arial"/>
          <w:color w:val="000000"/>
          <w:sz w:val="21"/>
          <w:szCs w:val="21"/>
          <w:lang w:val="es-ES_tradnl"/>
        </w:rPr>
      </w:pPr>
      <w:r w:rsidRPr="00FF7287">
        <w:rPr>
          <w:rFonts w:ascii="Arial" w:eastAsia="Calibri" w:hAnsi="Arial" w:cs="Arial"/>
          <w:color w:val="000000"/>
          <w:sz w:val="21"/>
          <w:szCs w:val="21"/>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4"/>
    </w:p>
    <w:p w14:paraId="61F3D651" w14:textId="77777777" w:rsidR="00D116D9" w:rsidRPr="00FF7287" w:rsidRDefault="00D116D9" w:rsidP="00D116D9">
      <w:pPr>
        <w:spacing w:after="0" w:line="276" w:lineRule="auto"/>
        <w:ind w:left="709" w:right="709"/>
        <w:jc w:val="both"/>
        <w:rPr>
          <w:rFonts w:ascii="Arial" w:eastAsia="Calibri" w:hAnsi="Arial" w:cs="Arial"/>
          <w:lang w:val="es-ES_tradnl"/>
        </w:rPr>
      </w:pPr>
    </w:p>
    <w:p w14:paraId="223D27B6" w14:textId="77777777" w:rsidR="00307A23" w:rsidRPr="00FF7287" w:rsidRDefault="00D116D9" w:rsidP="00307A23">
      <w:pPr>
        <w:spacing w:after="120" w:line="276" w:lineRule="auto"/>
        <w:ind w:firstLine="709"/>
        <w:jc w:val="both"/>
        <w:rPr>
          <w:rFonts w:ascii="Arial" w:eastAsia="Calibri" w:hAnsi="Arial" w:cs="Arial"/>
          <w:lang w:val="es-ES_tradnl"/>
        </w:rPr>
      </w:pPr>
      <w:r w:rsidRPr="00FF7287">
        <w:rPr>
          <w:rFonts w:ascii="Arial" w:eastAsia="Calibri" w:hAnsi="Arial" w:cs="Arial"/>
          <w:lang w:val="es-ES_tradnl"/>
        </w:rPr>
        <w:t xml:space="preserve">Las condiciones para el cumplimiento de estas obligaciones fueron reglamentadas por el Decreto </w:t>
      </w:r>
      <w:r w:rsidR="00F64049" w:rsidRPr="00FF7287">
        <w:rPr>
          <w:rFonts w:ascii="Arial" w:eastAsia="Calibri" w:hAnsi="Arial" w:cs="Arial"/>
          <w:lang w:val="es-ES_tradnl"/>
        </w:rPr>
        <w:t>1082 de 2015, el cual prescribe</w:t>
      </w:r>
      <w:r w:rsidRPr="00FF7287">
        <w:rPr>
          <w:rFonts w:ascii="Arial" w:eastAsia="Calibri" w:hAnsi="Arial" w:cs="Arial"/>
          <w:lang w:val="es-ES_tradnl"/>
        </w:rPr>
        <w:t xml:space="preserve"> en los artículos 2.2.1.2.3.1.1. a</w:t>
      </w:r>
      <w:r w:rsidR="00F64049" w:rsidRPr="00FF7287">
        <w:rPr>
          <w:rFonts w:ascii="Arial" w:eastAsia="Calibri" w:hAnsi="Arial" w:cs="Arial"/>
          <w:lang w:val="es-ES_tradnl"/>
        </w:rPr>
        <w:t xml:space="preserve"> 2.2.1.2.3.1.19</w:t>
      </w:r>
      <w:r w:rsidRPr="00FF7287">
        <w:rPr>
          <w:rFonts w:ascii="Arial" w:eastAsia="Calibri" w:hAnsi="Arial" w:cs="Arial"/>
          <w:lang w:val="es-ES_tradnl"/>
        </w:rPr>
        <w:t xml:space="preserve">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w:t>
      </w:r>
      <w:r w:rsidR="001B28F8" w:rsidRPr="00FF7287">
        <w:rPr>
          <w:rFonts w:ascii="Arial" w:eastAsia="Calibri" w:hAnsi="Arial" w:cs="Arial"/>
          <w:lang w:val="es-ES_tradnl"/>
        </w:rPr>
        <w:t xml:space="preserve"> Este último tipo de garantía fue establecida por el reglamento, previa autorización del artículo 7° de la Ley 1150 de 2007. </w:t>
      </w:r>
    </w:p>
    <w:p w14:paraId="56B236A5" w14:textId="4D7ADD44" w:rsidR="007A6055" w:rsidRPr="00FF7287" w:rsidRDefault="00AD448E" w:rsidP="00307A23">
      <w:pPr>
        <w:spacing w:after="120" w:line="276" w:lineRule="auto"/>
        <w:ind w:firstLine="709"/>
        <w:jc w:val="both"/>
        <w:rPr>
          <w:rFonts w:ascii="Arial" w:hAnsi="Arial" w:cs="Arial"/>
        </w:rPr>
      </w:pPr>
      <w:r w:rsidRPr="00FF7287">
        <w:rPr>
          <w:rFonts w:ascii="Arial" w:eastAsia="Calibri" w:hAnsi="Arial" w:cs="Arial"/>
          <w:lang w:val="es-ES_tradnl"/>
        </w:rPr>
        <w:lastRenderedPageBreak/>
        <w:t xml:space="preserve">De acuerdo a lo expresado anteriormente, </w:t>
      </w:r>
      <w:r w:rsidR="00832CC0" w:rsidRPr="00FF7287">
        <w:rPr>
          <w:rFonts w:ascii="Arial" w:eastAsia="Calibri" w:hAnsi="Arial" w:cs="Arial"/>
          <w:lang w:val="es-ES_tradnl"/>
        </w:rPr>
        <w:t>l</w:t>
      </w:r>
      <w:r w:rsidR="00832CC0" w:rsidRPr="00FF7287">
        <w:rPr>
          <w:rFonts w:ascii="Arial" w:hAnsi="Arial" w:cs="Arial"/>
        </w:rPr>
        <w:t xml:space="preserve">os proponentes o contratistas para garantizar el cumplimiento de sus obligaciones frente a </w:t>
      </w:r>
      <w:r w:rsidR="0052079C" w:rsidRPr="00FF7287">
        <w:rPr>
          <w:rFonts w:ascii="Arial" w:hAnsi="Arial" w:cs="Arial"/>
        </w:rPr>
        <w:t>e</w:t>
      </w:r>
      <w:r w:rsidR="00832CC0" w:rsidRPr="00FF7287">
        <w:rPr>
          <w:rFonts w:ascii="Arial" w:hAnsi="Arial" w:cs="Arial"/>
        </w:rPr>
        <w:t xml:space="preserve">ntidades </w:t>
      </w:r>
      <w:r w:rsidR="0052079C" w:rsidRPr="00FF7287">
        <w:rPr>
          <w:rFonts w:ascii="Arial" w:hAnsi="Arial" w:cs="Arial"/>
        </w:rPr>
        <w:t>e</w:t>
      </w:r>
      <w:r w:rsidR="00832CC0" w:rsidRPr="00FF7287">
        <w:rPr>
          <w:rFonts w:ascii="Arial" w:hAnsi="Arial" w:cs="Arial"/>
        </w:rPr>
        <w:t xml:space="preserve">statales en </w:t>
      </w:r>
      <w:r w:rsidR="0052079C" w:rsidRPr="00FF7287">
        <w:rPr>
          <w:rFonts w:ascii="Arial" w:hAnsi="Arial" w:cs="Arial"/>
        </w:rPr>
        <w:t>p</w:t>
      </w:r>
      <w:r w:rsidR="00832CC0" w:rsidRPr="00FF7287">
        <w:rPr>
          <w:rFonts w:ascii="Arial" w:hAnsi="Arial" w:cs="Arial"/>
        </w:rPr>
        <w:t xml:space="preserve">rocesos de </w:t>
      </w:r>
      <w:r w:rsidR="0052079C" w:rsidRPr="00FF7287">
        <w:rPr>
          <w:rFonts w:ascii="Arial" w:hAnsi="Arial" w:cs="Arial"/>
        </w:rPr>
        <w:t>c</w:t>
      </w:r>
      <w:r w:rsidR="00832CC0" w:rsidRPr="00FF7287">
        <w:rPr>
          <w:rFonts w:ascii="Arial" w:hAnsi="Arial" w:cs="Arial"/>
        </w:rPr>
        <w:t>ontratación pueden otorgar, a su elección, cualquiera de las siguientes garantías: i) contratos de seguro,</w:t>
      </w:r>
      <w:r w:rsidR="00307A23" w:rsidRPr="00FF7287">
        <w:rPr>
          <w:rFonts w:ascii="Arial" w:hAnsi="Arial" w:cs="Arial"/>
        </w:rPr>
        <w:t xml:space="preserve"> que por su esencia, es el medio más usado </w:t>
      </w:r>
      <w:r w:rsidR="00307A23" w:rsidRPr="00FF7287">
        <w:rPr>
          <w:rFonts w:ascii="Arial" w:eastAsia="Calibri" w:hAnsi="Arial" w:cs="Arial"/>
        </w:rPr>
        <w:t xml:space="preserve">para amparar los riesgos contractuales; </w:t>
      </w:r>
      <w:proofErr w:type="spellStart"/>
      <w:r w:rsidR="00832CC0" w:rsidRPr="00FF7287">
        <w:rPr>
          <w:rFonts w:ascii="Arial" w:hAnsi="Arial" w:cs="Arial"/>
        </w:rPr>
        <w:t>ii</w:t>
      </w:r>
      <w:proofErr w:type="spellEnd"/>
      <w:r w:rsidR="00832CC0" w:rsidRPr="00FF7287">
        <w:rPr>
          <w:rFonts w:ascii="Arial" w:hAnsi="Arial" w:cs="Arial"/>
        </w:rPr>
        <w:t>)</w:t>
      </w:r>
      <w:r w:rsidR="00307A23" w:rsidRPr="00FF7287">
        <w:rPr>
          <w:rFonts w:ascii="Arial" w:hAnsi="Arial" w:cs="Arial"/>
        </w:rPr>
        <w:t xml:space="preserve"> fiducia mercantil de garantía, </w:t>
      </w:r>
      <w:r w:rsidR="0052079C" w:rsidRPr="00FF7287">
        <w:rPr>
          <w:rFonts w:ascii="Arial" w:hAnsi="Arial" w:cs="Arial"/>
        </w:rPr>
        <w:t xml:space="preserve">que </w:t>
      </w:r>
      <w:r w:rsidR="00307A23" w:rsidRPr="00FF7287">
        <w:rPr>
          <w:rFonts w:ascii="Arial" w:hAnsi="Arial" w:cs="Arial"/>
        </w:rPr>
        <w:t xml:space="preserve">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w:t>
      </w:r>
      <w:r w:rsidR="0052079C" w:rsidRPr="00FF7287">
        <w:rPr>
          <w:rFonts w:ascii="Arial" w:hAnsi="Arial" w:cs="Arial"/>
        </w:rPr>
        <w:t>e</w:t>
      </w:r>
      <w:r w:rsidR="00307A23" w:rsidRPr="00FF7287">
        <w:rPr>
          <w:rFonts w:ascii="Arial" w:hAnsi="Arial" w:cs="Arial"/>
        </w:rPr>
        <w:t xml:space="preserve">ntidad </w:t>
      </w:r>
      <w:r w:rsidR="0052079C" w:rsidRPr="00FF7287">
        <w:rPr>
          <w:rFonts w:ascii="Arial" w:hAnsi="Arial" w:cs="Arial"/>
        </w:rPr>
        <w:t>e</w:t>
      </w:r>
      <w:r w:rsidR="00307A23" w:rsidRPr="00FF7287">
        <w:rPr>
          <w:rFonts w:ascii="Arial" w:hAnsi="Arial" w:cs="Arial"/>
        </w:rPr>
        <w:t>statal beneficiaria</w:t>
      </w:r>
      <w:r w:rsidR="00307A23" w:rsidRPr="00FF7287">
        <w:rPr>
          <w:rStyle w:val="Refdenotaalpie"/>
          <w:rFonts w:ascii="Arial" w:hAnsi="Arial" w:cs="Arial"/>
        </w:rPr>
        <w:footnoteReference w:id="2"/>
      </w:r>
      <w:r w:rsidR="00307A23" w:rsidRPr="00FF7287">
        <w:rPr>
          <w:rFonts w:ascii="Arial" w:hAnsi="Arial" w:cs="Arial"/>
        </w:rPr>
        <w:t xml:space="preserve">; </w:t>
      </w:r>
      <w:r w:rsidR="00832CC0" w:rsidRPr="00FF7287">
        <w:rPr>
          <w:rFonts w:ascii="Arial" w:hAnsi="Arial" w:cs="Arial"/>
        </w:rPr>
        <w:t xml:space="preserve"> </w:t>
      </w:r>
      <w:proofErr w:type="spellStart"/>
      <w:r w:rsidR="00832CC0" w:rsidRPr="00FF7287">
        <w:rPr>
          <w:rFonts w:ascii="Arial" w:hAnsi="Arial" w:cs="Arial"/>
        </w:rPr>
        <w:t>iii</w:t>
      </w:r>
      <w:proofErr w:type="spellEnd"/>
      <w:r w:rsidR="00832CC0" w:rsidRPr="00FF7287">
        <w:rPr>
          <w:rFonts w:ascii="Arial" w:hAnsi="Arial" w:cs="Arial"/>
        </w:rPr>
        <w:t xml:space="preserve">) garantías bancarias o cartas de crédito </w:t>
      </w:r>
      <w:r w:rsidR="00832CC0" w:rsidRPr="00FF7287">
        <w:rPr>
          <w:rFonts w:ascii="Arial" w:hAnsi="Arial" w:cs="Arial"/>
          <w:i/>
          <w:iCs/>
        </w:rPr>
        <w:t>stand</w:t>
      </w:r>
      <w:r w:rsidR="00832CC0" w:rsidRPr="00FF7287">
        <w:rPr>
          <w:rFonts w:ascii="Arial" w:hAnsi="Arial" w:cs="Arial"/>
        </w:rPr>
        <w:t xml:space="preserve"> </w:t>
      </w:r>
      <w:r w:rsidR="00832CC0" w:rsidRPr="00FF7287">
        <w:rPr>
          <w:rFonts w:ascii="Arial" w:hAnsi="Arial" w:cs="Arial"/>
          <w:i/>
          <w:iCs/>
        </w:rPr>
        <w:t>by</w:t>
      </w:r>
      <w:r w:rsidR="0052079C" w:rsidRPr="00FF7287">
        <w:rPr>
          <w:rFonts w:ascii="Arial" w:hAnsi="Arial" w:cs="Arial"/>
        </w:rPr>
        <w:t>, que</w:t>
      </w:r>
      <w:r w:rsidR="00307A23" w:rsidRPr="00FF7287">
        <w:rPr>
          <w:rFonts w:ascii="Arial" w:hAnsi="Arial" w:cs="Arial"/>
        </w:rPr>
        <w:t xml:space="preserve"> consisten en compromisos irrevocables o incondicionales asumidos por una entidad financiera de pagar una suma determinada de dinero</w:t>
      </w:r>
      <w:r w:rsidR="00307A23" w:rsidRPr="00FF7287">
        <w:rPr>
          <w:rStyle w:val="Refdenotaalpie"/>
          <w:rFonts w:ascii="Arial" w:hAnsi="Arial" w:cs="Arial"/>
        </w:rPr>
        <w:footnoteReference w:id="3"/>
      </w:r>
      <w:r w:rsidR="00307A23" w:rsidRPr="00FF7287">
        <w:rPr>
          <w:rFonts w:ascii="Arial" w:hAnsi="Arial" w:cs="Arial"/>
        </w:rPr>
        <w:t xml:space="preserve">. </w:t>
      </w:r>
      <w:r w:rsidR="00832CC0" w:rsidRPr="00FF7287">
        <w:rPr>
          <w:rFonts w:ascii="Arial" w:hAnsi="Arial" w:cs="Arial"/>
        </w:rPr>
        <w:t xml:space="preserve">La suficiencia y la vigencia </w:t>
      </w:r>
      <w:r w:rsidR="000C6439" w:rsidRPr="00FF7287">
        <w:rPr>
          <w:rFonts w:ascii="Arial" w:hAnsi="Arial" w:cs="Arial"/>
        </w:rPr>
        <w:t>de las garantías deben ser las reguladas</w:t>
      </w:r>
      <w:r w:rsidR="00832CC0" w:rsidRPr="00FF7287">
        <w:rPr>
          <w:rFonts w:ascii="Arial" w:hAnsi="Arial" w:cs="Arial"/>
        </w:rPr>
        <w:t xml:space="preserve"> en los artículos 2.2.1.2.3.1.9 a 2.2.1.2.</w:t>
      </w:r>
      <w:r w:rsidR="00485CEE" w:rsidRPr="00FF7287">
        <w:rPr>
          <w:rFonts w:ascii="Arial" w:hAnsi="Arial" w:cs="Arial"/>
        </w:rPr>
        <w:t xml:space="preserve">3.1.16 del Decreto 1082 de 2015. </w:t>
      </w:r>
    </w:p>
    <w:p w14:paraId="14C0BEE2" w14:textId="6CFFCB39" w:rsidR="006A2E67" w:rsidRPr="00FF7287" w:rsidRDefault="00AD448E" w:rsidP="009E537C">
      <w:pPr>
        <w:spacing w:after="120" w:line="276" w:lineRule="auto"/>
        <w:ind w:firstLine="709"/>
        <w:jc w:val="both"/>
        <w:rPr>
          <w:rFonts w:ascii="Arial" w:hAnsi="Arial" w:cs="Arial"/>
        </w:rPr>
      </w:pPr>
      <w:r w:rsidRPr="00FF7287">
        <w:rPr>
          <w:rFonts w:ascii="Arial" w:hAnsi="Arial" w:cs="Arial"/>
        </w:rPr>
        <w:t xml:space="preserve">Ahora bien, este tipo de garantías cubren </w:t>
      </w:r>
      <w:r w:rsidR="00485CEE" w:rsidRPr="00FF7287">
        <w:rPr>
          <w:rFonts w:ascii="Arial" w:hAnsi="Arial" w:cs="Arial"/>
        </w:rPr>
        <w:t xml:space="preserve">ciertos riesgos identificados </w:t>
      </w:r>
      <w:r w:rsidR="009E537C" w:rsidRPr="00FF7287">
        <w:rPr>
          <w:rFonts w:ascii="Arial" w:hAnsi="Arial" w:cs="Arial"/>
        </w:rPr>
        <w:t xml:space="preserve">por las </w:t>
      </w:r>
      <w:r w:rsidR="0020524A" w:rsidRPr="00FF7287">
        <w:rPr>
          <w:rFonts w:ascii="Arial" w:hAnsi="Arial" w:cs="Arial"/>
        </w:rPr>
        <w:t>e</w:t>
      </w:r>
      <w:r w:rsidR="009E537C" w:rsidRPr="00FF7287">
        <w:rPr>
          <w:rFonts w:ascii="Arial" w:hAnsi="Arial" w:cs="Arial"/>
        </w:rPr>
        <w:t xml:space="preserve">ntidades </w:t>
      </w:r>
      <w:r w:rsidR="0020524A" w:rsidRPr="00FF7287">
        <w:rPr>
          <w:rFonts w:ascii="Arial" w:hAnsi="Arial" w:cs="Arial"/>
        </w:rPr>
        <w:t>e</w:t>
      </w:r>
      <w:r w:rsidR="009E537C" w:rsidRPr="00FF7287">
        <w:rPr>
          <w:rFonts w:ascii="Arial" w:hAnsi="Arial" w:cs="Arial"/>
        </w:rPr>
        <w:t xml:space="preserve">statales. Por ejemplo, en las </w:t>
      </w:r>
      <w:r w:rsidR="006A2E67" w:rsidRPr="00FF7287">
        <w:rPr>
          <w:rFonts w:ascii="Arial" w:hAnsi="Arial" w:cs="Arial"/>
        </w:rPr>
        <w:t xml:space="preserve">modalidades de selección de contratación directa y mínima </w:t>
      </w:r>
      <w:r w:rsidR="009E537C" w:rsidRPr="00FF7287">
        <w:rPr>
          <w:rFonts w:ascii="Arial" w:hAnsi="Arial" w:cs="Arial"/>
        </w:rPr>
        <w:t>cuantía,</w:t>
      </w:r>
      <w:r w:rsidR="006A2E67" w:rsidRPr="00FF7287">
        <w:rPr>
          <w:rFonts w:ascii="Arial" w:hAnsi="Arial" w:cs="Arial"/>
        </w:rPr>
        <w:t xml:space="preserve"> así como en la contratación de</w:t>
      </w:r>
      <w:r w:rsidR="009E537C" w:rsidRPr="00FF7287">
        <w:rPr>
          <w:rFonts w:ascii="Arial" w:hAnsi="Arial" w:cs="Arial"/>
        </w:rPr>
        <w:t xml:space="preserve"> </w:t>
      </w:r>
      <w:r w:rsidR="006A2E67" w:rsidRPr="00FF7287">
        <w:rPr>
          <w:rFonts w:ascii="Arial" w:hAnsi="Arial" w:cs="Arial"/>
        </w:rPr>
        <w:t xml:space="preserve">seguros, la </w:t>
      </w:r>
      <w:r w:rsidR="0020524A" w:rsidRPr="00FF7287">
        <w:rPr>
          <w:rFonts w:ascii="Arial" w:hAnsi="Arial" w:cs="Arial"/>
        </w:rPr>
        <w:t>e</w:t>
      </w:r>
      <w:r w:rsidR="006A2E67" w:rsidRPr="00FF7287">
        <w:rPr>
          <w:rFonts w:ascii="Arial" w:hAnsi="Arial" w:cs="Arial"/>
        </w:rPr>
        <w:t xml:space="preserve">ntidad </w:t>
      </w:r>
      <w:r w:rsidR="0020524A" w:rsidRPr="00FF7287">
        <w:rPr>
          <w:rFonts w:ascii="Arial" w:hAnsi="Arial" w:cs="Arial"/>
        </w:rPr>
        <w:t>e</w:t>
      </w:r>
      <w:r w:rsidR="006A2E67" w:rsidRPr="00FF7287">
        <w:rPr>
          <w:rFonts w:ascii="Arial" w:hAnsi="Arial" w:cs="Arial"/>
        </w:rPr>
        <w:t>statal debe justificar la necesidad de exigir o no la constitución de garantías.</w:t>
      </w:r>
      <w:r w:rsidR="009E537C" w:rsidRPr="00FF7287">
        <w:rPr>
          <w:rFonts w:ascii="Arial" w:hAnsi="Arial" w:cs="Arial"/>
        </w:rPr>
        <w:t xml:space="preserve"> Con respecto a las demás </w:t>
      </w:r>
      <w:r w:rsidR="006A2E67" w:rsidRPr="00FF7287">
        <w:rPr>
          <w:rFonts w:ascii="Arial" w:hAnsi="Arial" w:cs="Arial"/>
        </w:rPr>
        <w:t>modalidades de selección</w:t>
      </w:r>
      <w:r w:rsidR="0020524A" w:rsidRPr="00FF7287">
        <w:rPr>
          <w:rFonts w:ascii="Arial" w:hAnsi="Arial" w:cs="Arial"/>
        </w:rPr>
        <w:t>, en principio,</w:t>
      </w:r>
      <w:r w:rsidR="006A2E67" w:rsidRPr="00FF7287">
        <w:rPr>
          <w:rFonts w:ascii="Arial" w:hAnsi="Arial" w:cs="Arial"/>
        </w:rPr>
        <w:t xml:space="preserve"> son obligatorias las garantías de seriedad de la oferta y </w:t>
      </w:r>
      <w:r w:rsidR="0020524A" w:rsidRPr="00FF7287">
        <w:rPr>
          <w:rFonts w:ascii="Arial" w:hAnsi="Arial" w:cs="Arial"/>
        </w:rPr>
        <w:t xml:space="preserve">de </w:t>
      </w:r>
      <w:r w:rsidR="006A2E67" w:rsidRPr="00FF7287">
        <w:rPr>
          <w:rFonts w:ascii="Arial" w:hAnsi="Arial" w:cs="Arial"/>
        </w:rPr>
        <w:t>cumplimiento</w:t>
      </w:r>
      <w:r w:rsidR="004D69C9" w:rsidRPr="00FF7287">
        <w:rPr>
          <w:rFonts w:ascii="Arial" w:hAnsi="Arial" w:cs="Arial"/>
        </w:rPr>
        <w:t>, y frente a la</w:t>
      </w:r>
      <w:r w:rsidR="006A2E67" w:rsidRPr="00FF7287">
        <w:rPr>
          <w:rFonts w:ascii="Arial" w:hAnsi="Arial" w:cs="Arial"/>
        </w:rPr>
        <w:t xml:space="preserve"> garantía de responsabilidad civil extracontractual es obligatoria en los contratos de obra y en aquellos</w:t>
      </w:r>
      <w:r w:rsidR="009E537C" w:rsidRPr="00FF7287">
        <w:rPr>
          <w:rFonts w:ascii="Arial" w:hAnsi="Arial" w:cs="Arial"/>
        </w:rPr>
        <w:t xml:space="preserve"> </w:t>
      </w:r>
      <w:r w:rsidR="006A2E67" w:rsidRPr="00FF7287">
        <w:rPr>
          <w:rFonts w:ascii="Arial" w:hAnsi="Arial" w:cs="Arial"/>
        </w:rPr>
        <w:t xml:space="preserve">en que por su objeto o naturaleza la </w:t>
      </w:r>
      <w:r w:rsidR="0020524A" w:rsidRPr="00FF7287">
        <w:rPr>
          <w:rFonts w:ascii="Arial" w:hAnsi="Arial" w:cs="Arial"/>
        </w:rPr>
        <w:t>en</w:t>
      </w:r>
      <w:r w:rsidR="006A2E67" w:rsidRPr="00FF7287">
        <w:rPr>
          <w:rFonts w:ascii="Arial" w:hAnsi="Arial" w:cs="Arial"/>
        </w:rPr>
        <w:t xml:space="preserve">tidad </w:t>
      </w:r>
      <w:r w:rsidR="0020524A" w:rsidRPr="00FF7287">
        <w:rPr>
          <w:rFonts w:ascii="Arial" w:hAnsi="Arial" w:cs="Arial"/>
        </w:rPr>
        <w:t>e</w:t>
      </w:r>
      <w:r w:rsidR="006A2E67" w:rsidRPr="00FF7287">
        <w:rPr>
          <w:rFonts w:ascii="Arial" w:hAnsi="Arial" w:cs="Arial"/>
        </w:rPr>
        <w:t>statal lo considere necesario</w:t>
      </w:r>
      <w:r w:rsidR="001A0E21" w:rsidRPr="00FF7287">
        <w:rPr>
          <w:rFonts w:ascii="Arial" w:hAnsi="Arial" w:cs="Arial"/>
        </w:rPr>
        <w:t>.</w:t>
      </w:r>
    </w:p>
    <w:p w14:paraId="41468492" w14:textId="426B3744" w:rsidR="00D116D9" w:rsidRPr="00FF7287" w:rsidRDefault="001A0E21" w:rsidP="001A0E21">
      <w:pPr>
        <w:spacing w:after="120" w:line="276" w:lineRule="auto"/>
        <w:ind w:firstLine="709"/>
        <w:jc w:val="both"/>
        <w:rPr>
          <w:rFonts w:ascii="Arial" w:hAnsi="Arial" w:cs="Arial"/>
        </w:rPr>
      </w:pPr>
      <w:r w:rsidRPr="00FF7287">
        <w:rPr>
          <w:rFonts w:ascii="Arial" w:hAnsi="Arial" w:cs="Arial"/>
        </w:rPr>
        <w:t>Teniendo en cuenta este panorama general</w:t>
      </w:r>
      <w:r w:rsidR="000C6439" w:rsidRPr="00FF7287">
        <w:rPr>
          <w:rFonts w:ascii="Arial" w:hAnsi="Arial" w:cs="Arial"/>
        </w:rPr>
        <w:t>,</w:t>
      </w:r>
      <w:r w:rsidRPr="00FF7287">
        <w:rPr>
          <w:rFonts w:ascii="Arial" w:hAnsi="Arial" w:cs="Arial"/>
        </w:rPr>
        <w:t xml:space="preserve"> se precisa que</w:t>
      </w:r>
      <w:r w:rsidR="000C6439" w:rsidRPr="00FF7287">
        <w:rPr>
          <w:rFonts w:ascii="Arial" w:hAnsi="Arial" w:cs="Arial"/>
        </w:rPr>
        <w:t xml:space="preserve"> un tipo de garantías</w:t>
      </w:r>
      <w:r w:rsidR="0020524A" w:rsidRPr="00FF7287">
        <w:rPr>
          <w:rFonts w:ascii="Arial" w:hAnsi="Arial" w:cs="Arial"/>
        </w:rPr>
        <w:t>,</w:t>
      </w:r>
      <w:r w:rsidR="000C6439" w:rsidRPr="00FF7287">
        <w:rPr>
          <w:rFonts w:ascii="Arial" w:hAnsi="Arial" w:cs="Arial"/>
        </w:rPr>
        <w:t xml:space="preserve"> como las</w:t>
      </w:r>
      <w:r w:rsidRPr="00FF7287">
        <w:rPr>
          <w:rFonts w:ascii="Arial" w:hAnsi="Arial" w:cs="Arial"/>
        </w:rPr>
        <w:t xml:space="preserve"> </w:t>
      </w:r>
      <w:r w:rsidR="0020524A" w:rsidRPr="00FF7287">
        <w:rPr>
          <w:rFonts w:ascii="Arial" w:hAnsi="Arial" w:cs="Arial"/>
        </w:rPr>
        <w:t xml:space="preserve">garantías </w:t>
      </w:r>
      <w:r w:rsidR="00D116D9" w:rsidRPr="00FF7287">
        <w:rPr>
          <w:rFonts w:ascii="Arial" w:eastAsia="Calibri" w:hAnsi="Arial" w:cs="Arial"/>
          <w:color w:val="000000"/>
          <w:lang w:val="es-ES_tradnl"/>
        </w:rPr>
        <w:t>bancarias</w:t>
      </w:r>
      <w:r w:rsidR="0020524A" w:rsidRPr="00FF7287">
        <w:rPr>
          <w:rFonts w:ascii="Arial" w:eastAsia="Calibri" w:hAnsi="Arial" w:cs="Arial"/>
          <w:color w:val="000000"/>
          <w:lang w:val="es-ES_tradnl"/>
        </w:rPr>
        <w:t>,</w:t>
      </w:r>
      <w:r w:rsidR="00D116D9" w:rsidRPr="00FF7287">
        <w:rPr>
          <w:rFonts w:ascii="Arial" w:eastAsia="Calibri" w:hAnsi="Arial" w:cs="Arial"/>
          <w:color w:val="000000"/>
          <w:lang w:val="es-ES_tradnl"/>
        </w:rPr>
        <w:t xml:space="preserve"> se limitan </w:t>
      </w:r>
      <w:r w:rsidR="0020524A" w:rsidRPr="00FF7287">
        <w:rPr>
          <w:rFonts w:ascii="Arial" w:eastAsia="Calibri" w:hAnsi="Arial" w:cs="Arial"/>
          <w:color w:val="000000"/>
          <w:lang w:val="es-ES_tradnl"/>
        </w:rPr>
        <w:t xml:space="preserve">a </w:t>
      </w:r>
      <w:r w:rsidR="00D116D9" w:rsidRPr="00FF7287">
        <w:rPr>
          <w:rFonts w:ascii="Arial" w:eastAsia="Calibri" w:hAnsi="Arial" w:cs="Arial"/>
          <w:color w:val="000000"/>
          <w:lang w:val="es-ES_tradnl"/>
        </w:rPr>
        <w:t xml:space="preserve">la </w:t>
      </w:r>
      <w:r w:rsidR="0020524A" w:rsidRPr="00FF7287">
        <w:rPr>
          <w:rFonts w:ascii="Arial" w:eastAsia="Calibri" w:hAnsi="Arial" w:cs="Arial"/>
          <w:color w:val="000000"/>
          <w:lang w:val="es-ES_tradnl"/>
        </w:rPr>
        <w:t xml:space="preserve">seriedad de la </w:t>
      </w:r>
      <w:r w:rsidR="00D116D9" w:rsidRPr="00FF7287">
        <w:rPr>
          <w:rFonts w:ascii="Arial" w:eastAsia="Calibri" w:hAnsi="Arial" w:cs="Arial"/>
          <w:color w:val="000000"/>
          <w:lang w:val="es-ES_tradnl"/>
        </w:rPr>
        <w:t xml:space="preserve">oferta y </w:t>
      </w:r>
      <w:r w:rsidR="0020524A" w:rsidRPr="00FF7287">
        <w:rPr>
          <w:rFonts w:ascii="Arial" w:eastAsia="Calibri" w:hAnsi="Arial" w:cs="Arial"/>
          <w:color w:val="000000"/>
          <w:lang w:val="es-ES_tradnl"/>
        </w:rPr>
        <w:t>la de cumplimiento, pues respecto de la c</w:t>
      </w:r>
      <w:r w:rsidR="0020524A" w:rsidRPr="002838AC">
        <w:rPr>
          <w:rFonts w:ascii="Arial" w:eastAsia="Calibri" w:hAnsi="Arial" w:cs="Arial"/>
          <w:color w:val="000000"/>
          <w:lang w:val="es-ES_tradnl"/>
        </w:rPr>
        <w:t xml:space="preserve">obertura del </w:t>
      </w:r>
      <w:r w:rsidR="00343B38" w:rsidRPr="00FF7287">
        <w:rPr>
          <w:rFonts w:ascii="Arial" w:eastAsia="Calibri" w:hAnsi="Arial" w:cs="Arial"/>
          <w:color w:val="000000"/>
          <w:lang w:val="es-ES_tradnl"/>
        </w:rPr>
        <w:t>r</w:t>
      </w:r>
      <w:r w:rsidR="0020524A" w:rsidRPr="002838AC">
        <w:rPr>
          <w:rFonts w:ascii="Arial" w:eastAsia="Calibri" w:hAnsi="Arial" w:cs="Arial"/>
          <w:color w:val="000000"/>
          <w:lang w:val="es-ES_tradnl"/>
        </w:rPr>
        <w:t>iesgo de responsabilidad civil extracontractual</w:t>
      </w:r>
      <w:r w:rsidR="00343B38" w:rsidRPr="00FF7287">
        <w:rPr>
          <w:rFonts w:ascii="Arial" w:eastAsia="Calibri" w:hAnsi="Arial" w:cs="Arial"/>
          <w:color w:val="000000"/>
          <w:lang w:val="es-ES_tradnl"/>
        </w:rPr>
        <w:t>, el artículo 2.2.1.2.3.1.5. del decreto 1082 de 2015 establece que solamente puede ser amparada con un contrato de seguro</w:t>
      </w:r>
      <w:r w:rsidRPr="00FF7287">
        <w:rPr>
          <w:rFonts w:ascii="Arial" w:eastAsia="Calibri" w:hAnsi="Arial" w:cs="Arial"/>
          <w:color w:val="000000"/>
          <w:lang w:val="es-ES_tradnl"/>
        </w:rPr>
        <w:t>. A</w:t>
      </w:r>
      <w:r w:rsidR="00D116D9" w:rsidRPr="00FF7287">
        <w:rPr>
          <w:rFonts w:ascii="Arial" w:eastAsia="Calibri" w:hAnsi="Arial" w:cs="Arial"/>
          <w:color w:val="000000"/>
          <w:lang w:val="es-ES_tradnl"/>
        </w:rPr>
        <w:t xml:space="preserve"> continuación</w:t>
      </w:r>
      <w:r w:rsidR="00597E16" w:rsidRPr="00FF7287">
        <w:rPr>
          <w:rFonts w:ascii="Arial" w:eastAsia="Calibri" w:hAnsi="Arial" w:cs="Arial"/>
          <w:color w:val="000000"/>
          <w:lang w:val="es-ES_tradnl"/>
        </w:rPr>
        <w:t>,</w:t>
      </w:r>
      <w:r w:rsidR="00D116D9" w:rsidRPr="00FF7287">
        <w:rPr>
          <w:rFonts w:ascii="Arial" w:eastAsia="Calibri" w:hAnsi="Arial" w:cs="Arial"/>
          <w:color w:val="000000"/>
          <w:lang w:val="es-ES_tradnl"/>
        </w:rPr>
        <w:t xml:space="preserve"> se presentan algunas consideraciones relacionadas con la garantía de seriedad de la oferta y la garantía de cumplimiento. </w:t>
      </w:r>
    </w:p>
    <w:p w14:paraId="4958BC71" w14:textId="77777777" w:rsidR="00D116D9" w:rsidRPr="00FF7287" w:rsidRDefault="00D116D9" w:rsidP="00D116D9">
      <w:pPr>
        <w:spacing w:before="120" w:after="0" w:line="276" w:lineRule="auto"/>
        <w:ind w:firstLine="708"/>
        <w:jc w:val="both"/>
        <w:rPr>
          <w:rFonts w:ascii="Arial" w:eastAsia="Calibri" w:hAnsi="Arial" w:cs="Arial"/>
          <w:color w:val="000000"/>
          <w:szCs w:val="24"/>
          <w:lang w:val="es-ES" w:eastAsia="es-ES_tradnl"/>
        </w:rPr>
      </w:pPr>
      <w:r w:rsidRPr="00FF7287">
        <w:rPr>
          <w:rFonts w:ascii="Arial" w:eastAsia="Calibri" w:hAnsi="Arial" w:cs="Arial"/>
          <w:color w:val="000000"/>
          <w:lang w:val="es-ES_tradnl"/>
        </w:rPr>
        <w:t xml:space="preserve">La </w:t>
      </w:r>
      <w:r w:rsidRPr="00FF7287">
        <w:rPr>
          <w:rFonts w:ascii="Arial" w:eastAsia="Calibri" w:hAnsi="Arial" w:cs="Arial"/>
          <w:i/>
          <w:iCs/>
          <w:color w:val="000000"/>
          <w:lang w:val="es-ES_tradnl"/>
        </w:rPr>
        <w:t>garantía de seriedad</w:t>
      </w:r>
      <w:r w:rsidRPr="00FF7287">
        <w:rPr>
          <w:rFonts w:ascii="Arial" w:eastAsia="Calibri" w:hAnsi="Arial" w:cs="Arial"/>
          <w:color w:val="000000"/>
          <w:lang w:val="es-ES_tradnl"/>
        </w:rPr>
        <w:t xml:space="preserve"> implica una caución provisional que avala la propuesta y es una garantía precontractual –y parcialmente contractual– destinada a asegurar la suscripción del futuro acuerdo, entre otras obligaciones. En contraste, la </w:t>
      </w:r>
      <w:r w:rsidRPr="00FF7287">
        <w:rPr>
          <w:rFonts w:ascii="Arial" w:eastAsia="Calibri" w:hAnsi="Arial" w:cs="Arial"/>
          <w:i/>
          <w:iCs/>
          <w:color w:val="000000"/>
          <w:lang w:val="es-ES_tradnl"/>
        </w:rPr>
        <w:t>garantía de cumplimiento</w:t>
      </w:r>
      <w:r w:rsidRPr="00FF7287">
        <w:rPr>
          <w:rFonts w:ascii="Arial" w:eastAsia="Calibri" w:hAnsi="Arial" w:cs="Arial"/>
          <w:color w:val="000000"/>
          <w:lang w:val="es-ES_tradnl"/>
        </w:rPr>
        <w:t xml:space="preserve"> es un mecanismo de cobertura del riesgo derivado del incumplimiento de las obligaciones del contrato. Desde esta perspectiva, ambas constituyen una obligación de seguridad, es decir, aquella donde </w:t>
      </w:r>
      <w:r w:rsidRPr="00FF7287">
        <w:rPr>
          <w:rFonts w:ascii="Arial" w:eastAsia="Calibri" w:hAnsi="Arial" w:cs="Arial"/>
          <w:color w:val="000000"/>
          <w:lang w:val="es-ES_tradnl"/>
        </w:rPr>
        <w:lastRenderedPageBreak/>
        <w:t>el interés del acreedor no consiste en una utilidad específica y tangible, sino en la tranquilidad frente a ciertos riesgos por la cobertura de sus consecuencias nocivas.</w:t>
      </w:r>
    </w:p>
    <w:p w14:paraId="6C420800" w14:textId="77777777" w:rsidR="00D116D9" w:rsidRPr="00FF7287" w:rsidRDefault="00D116D9" w:rsidP="00D116D9">
      <w:pPr>
        <w:spacing w:before="120" w:after="0" w:line="276" w:lineRule="auto"/>
        <w:ind w:firstLine="708"/>
        <w:jc w:val="both"/>
        <w:rPr>
          <w:rFonts w:ascii="Arial" w:eastAsia="Calibri" w:hAnsi="Arial" w:cs="Arial"/>
          <w:color w:val="000000"/>
          <w:szCs w:val="24"/>
          <w:lang w:val="es-ES" w:eastAsia="es-ES_tradnl"/>
        </w:rPr>
      </w:pPr>
      <w:r w:rsidRPr="00FF7287">
        <w:rPr>
          <w:rFonts w:ascii="Arial" w:eastAsia="Calibri" w:hAnsi="Arial" w:cs="Arial"/>
          <w:color w:val="000000"/>
          <w:szCs w:val="24"/>
          <w:lang w:val="es-ES" w:eastAsia="es-ES_tradnl"/>
        </w:rPr>
        <w:t xml:space="preserve">Sobre la </w:t>
      </w:r>
      <w:r w:rsidRPr="00FF7287">
        <w:rPr>
          <w:rFonts w:ascii="Arial" w:eastAsia="Calibri" w:hAnsi="Arial" w:cs="Arial"/>
          <w:i/>
          <w:iCs/>
          <w:color w:val="000000"/>
          <w:szCs w:val="24"/>
          <w:lang w:val="es-ES" w:eastAsia="es-ES_tradnl"/>
        </w:rPr>
        <w:t>garantía de seriedad</w:t>
      </w:r>
      <w:r w:rsidRPr="00FF7287">
        <w:rPr>
          <w:rFonts w:ascii="Arial" w:eastAsia="Calibri" w:hAnsi="Arial" w:cs="Arial"/>
          <w:color w:val="000000"/>
          <w:szCs w:val="24"/>
          <w:lang w:val="es-ES" w:eastAsia="es-ES_tradnl"/>
        </w:rPr>
        <w:t xml:space="preserve"> se destaca que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 esto pondría en desventaja a los demás oferentes, en perjuicio de los principios de igualdad y buena fe. </w:t>
      </w:r>
    </w:p>
    <w:p w14:paraId="3C39D6BF" w14:textId="4D3E47F4" w:rsidR="00D116D9" w:rsidRPr="00FF7287" w:rsidRDefault="00D116D9" w:rsidP="00D116D9">
      <w:pPr>
        <w:spacing w:before="120" w:after="0" w:line="276" w:lineRule="auto"/>
        <w:ind w:firstLine="708"/>
        <w:jc w:val="both"/>
        <w:rPr>
          <w:rFonts w:ascii="Arial" w:eastAsia="Calibri" w:hAnsi="Arial" w:cs="Arial"/>
          <w:color w:val="000000" w:themeColor="text1"/>
          <w:lang w:val="es-ES"/>
        </w:rPr>
      </w:pPr>
      <w:r w:rsidRPr="00FF7287">
        <w:rPr>
          <w:rFonts w:ascii="Arial" w:eastAsia="Calibri" w:hAnsi="Arial" w:cs="Arial"/>
          <w:color w:val="000000" w:themeColor="text1"/>
          <w:lang w:val="es-ES"/>
        </w:rPr>
        <w:t>El inciso primero del artículo 846 del Código de Comercio dispone que «La propuesta será irrevocable, por lo tanto, una vez comunicada, no podrá retractars</w:t>
      </w:r>
      <w:r w:rsidR="00F64049" w:rsidRPr="00FF7287">
        <w:rPr>
          <w:rFonts w:ascii="Arial" w:eastAsia="Calibri" w:hAnsi="Arial" w:cs="Arial"/>
          <w:color w:val="000000" w:themeColor="text1"/>
          <w:lang w:val="es-ES"/>
        </w:rPr>
        <w:t>e el proponente, so pena de ind</w:t>
      </w:r>
      <w:r w:rsidR="00315DC1" w:rsidRPr="00FF7287">
        <w:rPr>
          <w:rFonts w:ascii="Arial" w:eastAsia="Calibri" w:hAnsi="Arial" w:cs="Arial"/>
          <w:color w:val="000000" w:themeColor="text1"/>
          <w:lang w:val="es-ES"/>
        </w:rPr>
        <w:t>e</w:t>
      </w:r>
      <w:r w:rsidRPr="00FF7287">
        <w:rPr>
          <w:rFonts w:ascii="Arial" w:eastAsia="Calibri" w:hAnsi="Arial" w:cs="Arial"/>
          <w:color w:val="000000" w:themeColor="text1"/>
          <w:lang w:val="es-ES"/>
        </w:rPr>
        <w:t xml:space="preserve">mnizar los perjuicios que con su revocación cause al destinatario». Aunque la contratación estatal se rige por una regla similar, son evidentes los matices introducidos en el régimen de la garantía precontractual, pues el artículo </w:t>
      </w:r>
      <w:bookmarkStart w:id="5" w:name="_Hlk50454376"/>
      <w:r w:rsidRPr="00FF7287">
        <w:rPr>
          <w:rFonts w:ascii="Arial" w:eastAsia="Calibri" w:hAnsi="Arial" w:cs="Arial"/>
          <w:color w:val="000000" w:themeColor="text1"/>
          <w:lang w:val="es-ES"/>
        </w:rPr>
        <w:t>2.2.1.2.3.2.8</w:t>
      </w:r>
      <w:bookmarkEnd w:id="5"/>
      <w:r w:rsidRPr="00FF7287">
        <w:rPr>
          <w:rFonts w:ascii="Arial" w:eastAsia="Calibri" w:hAnsi="Arial" w:cs="Arial"/>
          <w:color w:val="000000" w:themeColor="text1"/>
          <w:lang w:val="es-ES"/>
        </w:rPr>
        <w:t xml:space="preserve"> del Decreto 1082 de 2015 dispone que «En caso de siniestro en la garantía de la seriedad de la oferta, la compañía de seguros debe responder por el total del valor asegurado a título de sanción».</w:t>
      </w:r>
    </w:p>
    <w:p w14:paraId="11F022D9" w14:textId="77777777" w:rsidR="00D116D9" w:rsidRPr="00FF7287" w:rsidRDefault="00D116D9" w:rsidP="00D116D9">
      <w:pPr>
        <w:spacing w:before="120" w:after="120" w:line="276" w:lineRule="auto"/>
        <w:ind w:firstLine="709"/>
        <w:jc w:val="both"/>
        <w:rPr>
          <w:rFonts w:ascii="Arial" w:eastAsia="Calibri" w:hAnsi="Arial" w:cs="Arial"/>
          <w:color w:val="000000" w:themeColor="text1"/>
          <w:lang w:val="es-ES"/>
        </w:rPr>
      </w:pPr>
      <w:r w:rsidRPr="00FF7287">
        <w:rPr>
          <w:rFonts w:ascii="Arial" w:eastAsia="Calibri" w:hAnsi="Arial" w:cs="Arial"/>
          <w:color w:val="000000" w:themeColor="text1"/>
          <w:lang w:val="es-ES"/>
        </w:rPr>
        <w:t>Naturalmente, esta garantía de seriedad solo la constituyen quienes presenten oferta, motivo por el cual sus efectos no se extienden a personas ajenas a la actividad precontractual; sin perjuicio de que la garantía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FF7287">
        <w:rPr>
          <w:rFonts w:ascii="Arial" w:eastAsia="Calibri" w:hAnsi="Arial" w:cs="Arial"/>
          <w:color w:val="000000" w:themeColor="text1"/>
          <w:vertAlign w:val="superscript"/>
          <w:lang w:val="es-ES"/>
        </w:rPr>
        <w:footnoteReference w:id="4"/>
      </w:r>
      <w:r w:rsidRPr="00FF7287">
        <w:rPr>
          <w:rFonts w:ascii="Arial" w:eastAsia="Calibri" w:hAnsi="Arial" w:cs="Arial"/>
          <w:color w:val="000000" w:themeColor="text1"/>
          <w:lang w:val="es-ES"/>
        </w:rPr>
        <w:t>.</w:t>
      </w:r>
    </w:p>
    <w:p w14:paraId="4475A0EB" w14:textId="6E38C589" w:rsidR="00D116D9" w:rsidRPr="00FF7287" w:rsidRDefault="00D116D9" w:rsidP="00D116D9">
      <w:pPr>
        <w:spacing w:after="0" w:line="276" w:lineRule="auto"/>
        <w:ind w:firstLine="708"/>
        <w:jc w:val="both"/>
        <w:rPr>
          <w:rFonts w:ascii="Arial" w:eastAsia="Times New Roman" w:hAnsi="Arial" w:cs="Arial"/>
          <w:bCs/>
          <w:color w:val="000000" w:themeColor="text1"/>
          <w:szCs w:val="24"/>
          <w:lang w:val="es-ES_tradnl"/>
        </w:rPr>
      </w:pPr>
      <w:r w:rsidRPr="00FF7287">
        <w:rPr>
          <w:rFonts w:ascii="Arial" w:eastAsia="Calibri" w:hAnsi="Arial" w:cs="Arial"/>
          <w:color w:val="000000" w:themeColor="text1"/>
          <w:lang w:val="es-ES_tradnl"/>
        </w:rPr>
        <w:t xml:space="preserve">En lo que atañe a la </w:t>
      </w:r>
      <w:r w:rsidRPr="00FF7287">
        <w:rPr>
          <w:rFonts w:ascii="Arial" w:eastAsia="Calibri" w:hAnsi="Arial" w:cs="Arial"/>
          <w:i/>
          <w:iCs/>
          <w:color w:val="000000" w:themeColor="text1"/>
          <w:lang w:val="es-ES_tradnl"/>
        </w:rPr>
        <w:t xml:space="preserve">garantía de cumplimiento, </w:t>
      </w:r>
      <w:r w:rsidRPr="00FF7287">
        <w:rPr>
          <w:rFonts w:ascii="Arial" w:eastAsia="Times New Roman" w:hAnsi="Arial" w:cs="Arial"/>
          <w:bCs/>
          <w:color w:val="000000" w:themeColor="text1"/>
          <w:szCs w:val="24"/>
          <w:lang w:val="es-ES_tradnl"/>
        </w:rPr>
        <w:t>la Agencia Nacional de Contratación P</w:t>
      </w:r>
      <w:r w:rsidR="00315DC1" w:rsidRPr="00FF7287">
        <w:rPr>
          <w:rFonts w:ascii="Arial" w:eastAsia="Times New Roman" w:hAnsi="Arial" w:cs="Arial"/>
          <w:bCs/>
          <w:color w:val="000000" w:themeColor="text1"/>
          <w:szCs w:val="24"/>
          <w:lang w:val="es-ES_tradnl"/>
        </w:rPr>
        <w:t>ública ha sostenido</w:t>
      </w:r>
      <w:r w:rsidRPr="00FF7287">
        <w:rPr>
          <w:rFonts w:ascii="Arial" w:eastAsia="Times New Roman" w:hAnsi="Arial" w:cs="Arial"/>
          <w:bCs/>
          <w:color w:val="000000" w:themeColor="text1"/>
          <w:szCs w:val="24"/>
          <w:lang w:val="es-ES_tradnl"/>
        </w:rPr>
        <w:t>:</w:t>
      </w:r>
    </w:p>
    <w:p w14:paraId="6FAB3926" w14:textId="77777777" w:rsidR="00D116D9" w:rsidRPr="00FF7287" w:rsidRDefault="00D116D9" w:rsidP="00D116D9">
      <w:pPr>
        <w:spacing w:after="0" w:line="240" w:lineRule="auto"/>
        <w:ind w:left="709" w:right="758"/>
        <w:jc w:val="both"/>
        <w:rPr>
          <w:rFonts w:ascii="Arial" w:eastAsia="Times New Roman" w:hAnsi="Arial" w:cs="Arial"/>
          <w:bCs/>
          <w:color w:val="000000" w:themeColor="text1"/>
          <w:sz w:val="21"/>
          <w:szCs w:val="21"/>
          <w:lang w:val="es-ES_tradnl"/>
        </w:rPr>
      </w:pPr>
    </w:p>
    <w:p w14:paraId="16BC6895" w14:textId="77777777" w:rsidR="00D116D9" w:rsidRPr="00FF7287" w:rsidRDefault="00D116D9" w:rsidP="00D116D9">
      <w:pPr>
        <w:spacing w:after="0" w:line="240" w:lineRule="auto"/>
        <w:ind w:left="709" w:right="758"/>
        <w:jc w:val="both"/>
        <w:rPr>
          <w:rFonts w:ascii="Arial" w:eastAsia="Times New Roman" w:hAnsi="Arial" w:cs="Arial"/>
          <w:bCs/>
          <w:color w:val="000000" w:themeColor="text1"/>
          <w:sz w:val="21"/>
          <w:szCs w:val="21"/>
          <w:lang w:val="es-ES_tradnl"/>
        </w:rPr>
      </w:pPr>
      <w:r w:rsidRPr="00FF7287">
        <w:rPr>
          <w:rFonts w:ascii="Arial" w:eastAsia="Times New Roman" w:hAnsi="Arial" w:cs="Arial"/>
          <w:bCs/>
          <w:color w:val="000000" w:themeColor="text1"/>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5504E6AE" w14:textId="77777777" w:rsidR="00D116D9" w:rsidRPr="00FF7287" w:rsidRDefault="00D116D9" w:rsidP="00D116D9">
      <w:pPr>
        <w:spacing w:after="0" w:line="240" w:lineRule="auto"/>
        <w:ind w:left="709" w:right="758"/>
        <w:jc w:val="both"/>
        <w:rPr>
          <w:rFonts w:ascii="Arial" w:eastAsia="Times New Roman" w:hAnsi="Arial" w:cs="Arial"/>
          <w:bCs/>
          <w:color w:val="000000" w:themeColor="text1"/>
          <w:sz w:val="21"/>
          <w:szCs w:val="21"/>
          <w:lang w:val="es-ES_tradnl"/>
        </w:rPr>
      </w:pPr>
    </w:p>
    <w:p w14:paraId="38129726" w14:textId="77777777" w:rsidR="00D116D9" w:rsidRPr="00FF7287" w:rsidRDefault="00D116D9" w:rsidP="00D116D9">
      <w:pPr>
        <w:spacing w:after="0" w:line="240" w:lineRule="auto"/>
        <w:ind w:left="709" w:right="758"/>
        <w:jc w:val="both"/>
        <w:rPr>
          <w:rFonts w:ascii="Arial" w:eastAsia="Times New Roman" w:hAnsi="Arial" w:cs="Arial"/>
          <w:bCs/>
          <w:color w:val="000000" w:themeColor="text1"/>
          <w:sz w:val="21"/>
          <w:szCs w:val="21"/>
          <w:lang w:val="es-ES_tradnl"/>
        </w:rPr>
      </w:pPr>
      <w:r w:rsidRPr="00FF7287">
        <w:rPr>
          <w:rFonts w:ascii="Arial" w:eastAsia="Times New Roman" w:hAnsi="Arial" w:cs="Arial"/>
          <w:bCs/>
          <w:color w:val="000000" w:themeColor="text1"/>
          <w:sz w:val="21"/>
          <w:szCs w:val="21"/>
          <w:lang w:val="es-ES_tradnl"/>
        </w:rPr>
        <w:t xml:space="preserve">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w:t>
      </w:r>
      <w:r w:rsidRPr="00FF7287">
        <w:rPr>
          <w:rFonts w:ascii="Arial" w:eastAsia="Times New Roman" w:hAnsi="Arial" w:cs="Arial"/>
          <w:bCs/>
          <w:color w:val="000000" w:themeColor="text1"/>
          <w:sz w:val="21"/>
          <w:szCs w:val="21"/>
          <w:lang w:val="es-ES_tradnl"/>
        </w:rPr>
        <w:lastRenderedPageBreak/>
        <w:t>contratos en los cuales la ley establece su obligatoriedad, se presume incorporada en el respectivo contrato y no podrá ser renunciada por la Administración</w:t>
      </w:r>
      <w:r w:rsidRPr="00FF7287">
        <w:rPr>
          <w:rFonts w:ascii="Arial" w:eastAsia="Times New Roman" w:hAnsi="Arial" w:cs="Arial"/>
          <w:bCs/>
          <w:color w:val="000000" w:themeColor="text1"/>
          <w:sz w:val="21"/>
          <w:szCs w:val="21"/>
          <w:vertAlign w:val="superscript"/>
          <w:lang w:val="es-ES_tradnl"/>
        </w:rPr>
        <w:footnoteReference w:id="5"/>
      </w:r>
      <w:r w:rsidRPr="00FF7287">
        <w:rPr>
          <w:rFonts w:ascii="Arial" w:eastAsia="Times New Roman" w:hAnsi="Arial" w:cs="Arial"/>
          <w:bCs/>
          <w:color w:val="000000" w:themeColor="text1"/>
          <w:sz w:val="21"/>
          <w:szCs w:val="21"/>
          <w:lang w:val="es-ES_tradnl"/>
        </w:rPr>
        <w:t>.</w:t>
      </w:r>
    </w:p>
    <w:p w14:paraId="3C3D62E6" w14:textId="77777777" w:rsidR="00D116D9" w:rsidRPr="00FF7287" w:rsidRDefault="00D116D9" w:rsidP="00D116D9">
      <w:pPr>
        <w:spacing w:after="0" w:line="276" w:lineRule="auto"/>
        <w:jc w:val="both"/>
        <w:rPr>
          <w:rFonts w:ascii="Arial" w:eastAsia="Times New Roman" w:hAnsi="Arial" w:cs="Arial"/>
          <w:bCs/>
          <w:color w:val="000000" w:themeColor="text1"/>
          <w:szCs w:val="24"/>
          <w:lang w:val="es-ES_tradnl"/>
        </w:rPr>
      </w:pPr>
    </w:p>
    <w:p w14:paraId="1A07E015" w14:textId="77777777" w:rsidR="00D116D9" w:rsidRPr="00FF7287" w:rsidRDefault="00D116D9" w:rsidP="00D116D9">
      <w:pPr>
        <w:spacing w:after="120" w:line="276" w:lineRule="auto"/>
        <w:ind w:firstLine="709"/>
        <w:jc w:val="both"/>
        <w:rPr>
          <w:rFonts w:ascii="Arial" w:eastAsia="Times New Roman" w:hAnsi="Arial" w:cs="Arial"/>
          <w:bCs/>
          <w:color w:val="000000" w:themeColor="text1"/>
          <w:szCs w:val="24"/>
          <w:lang w:val="es-ES_tradnl"/>
        </w:rPr>
      </w:pPr>
      <w:r w:rsidRPr="00FF7287">
        <w:rPr>
          <w:rFonts w:ascii="Arial" w:eastAsia="Times New Roman" w:hAnsi="Arial" w:cs="Arial"/>
          <w:bCs/>
          <w:color w:val="000000" w:themeColor="text1"/>
          <w:szCs w:val="24"/>
          <w:lang w:val="es-ES_tradnl"/>
        </w:rPr>
        <w:t xml:space="preserve">Como se observa,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3B2C46E4" w14:textId="7EAD8761" w:rsidR="00D116D9" w:rsidRPr="00FF7287" w:rsidRDefault="00D116D9" w:rsidP="002838AC">
      <w:pPr>
        <w:spacing w:before="120" w:after="0" w:line="276" w:lineRule="auto"/>
        <w:ind w:firstLine="709"/>
        <w:jc w:val="both"/>
        <w:rPr>
          <w:rFonts w:ascii="Arial" w:eastAsia="Calibri" w:hAnsi="Arial" w:cs="Arial"/>
          <w:color w:val="000000"/>
          <w:lang w:val="es-ES_tradnl"/>
        </w:rPr>
      </w:pPr>
      <w:r w:rsidRPr="00FF7287">
        <w:rPr>
          <w:rFonts w:ascii="Arial" w:eastAsia="Times New Roman" w:hAnsi="Arial" w:cs="Arial"/>
          <w:bCs/>
          <w:color w:val="000000" w:themeColor="text1"/>
          <w:szCs w:val="24"/>
          <w:lang w:val="es-ES_tradnl"/>
        </w:rPr>
        <w:t xml:space="preserve">Finalizando con el análisis general del régimen de garantías en el Decreto 1082 de 2015, </w:t>
      </w:r>
      <w:r w:rsidRPr="00FF7287">
        <w:rPr>
          <w:rFonts w:ascii="Arial" w:eastAsia="Calibri" w:hAnsi="Arial" w:cs="Arial"/>
          <w:color w:val="000000"/>
          <w:szCs w:val="24"/>
          <w:lang w:val="es-ES" w:eastAsia="es-ES_tradnl"/>
        </w:rPr>
        <w:t xml:space="preserve">los artículos 2.2.1.2.3.1.6 y 2.2.1.2.3.1.9 establecen las condiciones que debe cumplir la garantía de los riesgos derivados del incumplimiento de la oferta. </w:t>
      </w:r>
      <w:r w:rsidRPr="00FF7287">
        <w:rPr>
          <w:rFonts w:ascii="Arial" w:eastAsia="Calibri" w:hAnsi="Arial" w:cs="Arial"/>
          <w:color w:val="000000"/>
          <w:lang w:val="es-ES_tradnl"/>
        </w:rPr>
        <w:t xml:space="preserve">De otro lado, el artículo 2.2.1.3.1.7 prescribe que la garantía de cumplimiento debe cubrir: i) el buen manejo y correcta inversión del anticipo; </w:t>
      </w:r>
      <w:proofErr w:type="spellStart"/>
      <w:r w:rsidRPr="00FF7287">
        <w:rPr>
          <w:rFonts w:ascii="Arial" w:eastAsia="Calibri" w:hAnsi="Arial" w:cs="Arial"/>
          <w:color w:val="000000"/>
          <w:lang w:val="es-ES_tradnl"/>
        </w:rPr>
        <w:t>ii</w:t>
      </w:r>
      <w:proofErr w:type="spellEnd"/>
      <w:r w:rsidRPr="00FF7287">
        <w:rPr>
          <w:rFonts w:ascii="Arial" w:eastAsia="Calibri" w:hAnsi="Arial" w:cs="Arial"/>
          <w:color w:val="000000"/>
          <w:lang w:val="es-ES_tradnl"/>
        </w:rPr>
        <w:t xml:space="preserve">) la devolución del pago anticipado; </w:t>
      </w:r>
      <w:proofErr w:type="spellStart"/>
      <w:r w:rsidRPr="00FF7287">
        <w:rPr>
          <w:rFonts w:ascii="Arial" w:eastAsia="Calibri" w:hAnsi="Arial" w:cs="Arial"/>
          <w:color w:val="000000"/>
          <w:lang w:val="es-ES_tradnl"/>
        </w:rPr>
        <w:t>iii</w:t>
      </w:r>
      <w:proofErr w:type="spellEnd"/>
      <w:r w:rsidRPr="00FF7287">
        <w:rPr>
          <w:rFonts w:ascii="Arial" w:eastAsia="Calibri" w:hAnsi="Arial" w:cs="Arial"/>
          <w:color w:val="000000"/>
          <w:lang w:val="es-ES_tradnl"/>
        </w:rPr>
        <w:t xml:space="preserve">) el cumplimiento del contrato; </w:t>
      </w:r>
      <w:proofErr w:type="spellStart"/>
      <w:r w:rsidRPr="00FF7287">
        <w:rPr>
          <w:rFonts w:ascii="Arial" w:eastAsia="Calibri" w:hAnsi="Arial" w:cs="Arial"/>
          <w:color w:val="000000"/>
          <w:lang w:val="es-ES_tradnl"/>
        </w:rPr>
        <w:t>iv</w:t>
      </w:r>
      <w:proofErr w:type="spellEnd"/>
      <w:r w:rsidRPr="00FF7287">
        <w:rPr>
          <w:rFonts w:ascii="Arial" w:eastAsia="Calibri" w:hAnsi="Arial" w:cs="Arial"/>
          <w:color w:val="000000"/>
          <w:lang w:val="es-ES_tradnl"/>
        </w:rPr>
        <w:t xml:space="preserve">) el pago de salarios, prestaciones sociales legales e indemnizaciones laborales; v) la estabilidad y calidad de la obra; vi) la calidad del servicio; </w:t>
      </w:r>
      <w:proofErr w:type="spellStart"/>
      <w:r w:rsidRPr="00FF7287">
        <w:rPr>
          <w:rFonts w:ascii="Arial" w:eastAsia="Calibri" w:hAnsi="Arial" w:cs="Arial"/>
          <w:color w:val="000000"/>
          <w:lang w:val="es-ES_tradnl"/>
        </w:rPr>
        <w:t>vii</w:t>
      </w:r>
      <w:proofErr w:type="spellEnd"/>
      <w:r w:rsidRPr="00FF7287">
        <w:rPr>
          <w:rFonts w:ascii="Arial" w:eastAsia="Calibri" w:hAnsi="Arial" w:cs="Arial"/>
          <w:color w:val="000000"/>
          <w:lang w:val="es-ES_tradnl"/>
        </w:rPr>
        <w:t xml:space="preserve">) la calidad y correcto funcionamiento de los bienes; y </w:t>
      </w:r>
      <w:proofErr w:type="spellStart"/>
      <w:r w:rsidRPr="00FF7287">
        <w:rPr>
          <w:rFonts w:ascii="Arial" w:eastAsia="Calibri" w:hAnsi="Arial" w:cs="Arial"/>
          <w:color w:val="000000"/>
          <w:lang w:val="es-ES_tradnl"/>
        </w:rPr>
        <w:t>viii</w:t>
      </w:r>
      <w:proofErr w:type="spellEnd"/>
      <w:r w:rsidRPr="00FF7287">
        <w:rPr>
          <w:rFonts w:ascii="Arial" w:eastAsia="Calibri" w:hAnsi="Arial" w:cs="Arial"/>
          <w:color w:val="000000"/>
          <w:lang w:val="es-ES_tradnl"/>
        </w:rPr>
        <w:t>) los demás incumplimientos de las obligaciones que la entidad estatal considere deben ser amparados.</w:t>
      </w:r>
    </w:p>
    <w:p w14:paraId="622F87B3" w14:textId="77777777" w:rsidR="0023186C" w:rsidRPr="00FF7287" w:rsidRDefault="0023186C" w:rsidP="002838AC">
      <w:pPr>
        <w:spacing w:after="0" w:line="276" w:lineRule="auto"/>
        <w:ind w:firstLine="709"/>
        <w:jc w:val="both"/>
        <w:rPr>
          <w:rFonts w:ascii="Arial" w:eastAsia="Calibri" w:hAnsi="Arial" w:cs="Arial"/>
          <w:color w:val="000000"/>
          <w:lang w:val="es-ES_tradnl"/>
        </w:rPr>
      </w:pPr>
    </w:p>
    <w:p w14:paraId="0DDD4EA4" w14:textId="77777777" w:rsidR="00D038FE" w:rsidRPr="00FF7287" w:rsidRDefault="00D116D9" w:rsidP="000831F5">
      <w:pPr>
        <w:spacing w:after="0" w:line="276" w:lineRule="auto"/>
        <w:jc w:val="both"/>
        <w:rPr>
          <w:rFonts w:ascii="Arial" w:eastAsia="Calibri" w:hAnsi="Arial" w:cs="Arial"/>
          <w:b/>
          <w:bCs/>
          <w:lang w:val="es-ES"/>
        </w:rPr>
      </w:pPr>
      <w:r w:rsidRPr="002838AC">
        <w:rPr>
          <w:rFonts w:ascii="Arial" w:eastAsia="Calibri" w:hAnsi="Arial" w:cs="Arial"/>
          <w:b/>
          <w:bCs/>
          <w:color w:val="000000"/>
          <w:szCs w:val="24"/>
          <w:lang w:val="es-ES" w:eastAsia="es-ES_tradnl"/>
        </w:rPr>
        <w:t xml:space="preserve">2.2. </w:t>
      </w:r>
      <w:r w:rsidRPr="002838AC">
        <w:rPr>
          <w:rFonts w:ascii="Arial" w:eastAsia="Calibri" w:hAnsi="Arial" w:cs="Arial"/>
          <w:b/>
          <w:bCs/>
          <w:lang w:val="es-ES"/>
        </w:rPr>
        <w:t xml:space="preserve">Otorgamiento de garantías bancarias y cartas de crédito </w:t>
      </w:r>
      <w:r w:rsidRPr="002838AC">
        <w:rPr>
          <w:rFonts w:ascii="Arial" w:eastAsia="Calibri" w:hAnsi="Arial" w:cs="Arial"/>
          <w:b/>
          <w:bCs/>
          <w:i/>
          <w:iCs/>
          <w:lang w:val="es-ES"/>
        </w:rPr>
        <w:t xml:space="preserve">stand </w:t>
      </w:r>
      <w:proofErr w:type="spellStart"/>
      <w:r w:rsidRPr="002838AC">
        <w:rPr>
          <w:rFonts w:ascii="Arial" w:eastAsia="Calibri" w:hAnsi="Arial" w:cs="Arial"/>
          <w:b/>
          <w:bCs/>
          <w:i/>
          <w:iCs/>
          <w:lang w:val="es-ES"/>
        </w:rPr>
        <w:t>by</w:t>
      </w:r>
      <w:proofErr w:type="spellEnd"/>
      <w:r w:rsidRPr="002838AC">
        <w:rPr>
          <w:rFonts w:ascii="Arial" w:eastAsia="Calibri" w:hAnsi="Arial" w:cs="Arial"/>
          <w:b/>
          <w:bCs/>
          <w:i/>
          <w:iCs/>
          <w:lang w:val="es-ES"/>
        </w:rPr>
        <w:t xml:space="preserve"> </w:t>
      </w:r>
      <w:r w:rsidRPr="002838AC">
        <w:rPr>
          <w:rFonts w:ascii="Arial" w:eastAsia="Calibri" w:hAnsi="Arial" w:cs="Arial"/>
          <w:b/>
          <w:bCs/>
          <w:lang w:val="es-ES"/>
        </w:rPr>
        <w:t>en la contratación estatal: el requisito relacionado con la entidad financiera que debe otorgar la garantía</w:t>
      </w:r>
    </w:p>
    <w:p w14:paraId="2B843648" w14:textId="77777777" w:rsidR="00D038FE" w:rsidRPr="00FF7287" w:rsidRDefault="00D038FE" w:rsidP="00D038FE">
      <w:pPr>
        <w:spacing w:after="0" w:line="276" w:lineRule="auto"/>
        <w:jc w:val="both"/>
        <w:rPr>
          <w:rFonts w:ascii="Arial" w:eastAsia="Calibri" w:hAnsi="Arial" w:cs="Arial"/>
          <w:b/>
          <w:bCs/>
          <w:lang w:val="es-ES"/>
        </w:rPr>
      </w:pPr>
    </w:p>
    <w:p w14:paraId="56776DF4" w14:textId="5D9E18A9" w:rsidR="00D116D9" w:rsidRPr="00FF7287" w:rsidRDefault="00D116D9" w:rsidP="00D038FE">
      <w:pPr>
        <w:spacing w:after="120" w:line="276" w:lineRule="auto"/>
        <w:jc w:val="both"/>
        <w:rPr>
          <w:rFonts w:ascii="Arial" w:eastAsia="Calibri" w:hAnsi="Arial" w:cs="Arial"/>
          <w:b/>
          <w:bCs/>
          <w:lang w:val="es-ES"/>
        </w:rPr>
      </w:pPr>
      <w:r w:rsidRPr="00FF7287">
        <w:rPr>
          <w:rFonts w:ascii="Arial" w:eastAsia="Calibri" w:hAnsi="Arial" w:cs="Arial"/>
          <w:lang w:val="es-ES"/>
        </w:rPr>
        <w:t xml:space="preserve">Como se mencionó en el acápite anterior, una de las garantías que pueden otorgar los contratistas o proponentes </w:t>
      </w:r>
      <w:r w:rsidR="000831F5" w:rsidRPr="00FF7287">
        <w:rPr>
          <w:rFonts w:ascii="Arial" w:eastAsia="Calibri" w:hAnsi="Arial" w:cs="Arial"/>
          <w:lang w:val="es-ES"/>
        </w:rPr>
        <w:t>son</w:t>
      </w:r>
      <w:r w:rsidRPr="00FF7287">
        <w:rPr>
          <w:rFonts w:ascii="Arial" w:eastAsia="Calibri" w:hAnsi="Arial" w:cs="Arial"/>
          <w:lang w:val="es-ES"/>
        </w:rPr>
        <w:t xml:space="preserve"> las garantías bancarias. En efecto, el artículo 2.2.1.2.1.4.1 del Decreto 1082 de 2015 establece que la </w:t>
      </w:r>
      <w:r w:rsidR="000831F5" w:rsidRPr="00FF7287">
        <w:rPr>
          <w:rFonts w:ascii="Arial" w:eastAsia="Calibri" w:hAnsi="Arial" w:cs="Arial"/>
          <w:lang w:val="es-ES"/>
        </w:rPr>
        <w:t>e</w:t>
      </w:r>
      <w:r w:rsidRPr="00FF7287">
        <w:rPr>
          <w:rFonts w:ascii="Arial" w:eastAsia="Calibri" w:hAnsi="Arial" w:cs="Arial"/>
          <w:lang w:val="es-ES"/>
        </w:rPr>
        <w:t xml:space="preserve">ntidad </w:t>
      </w:r>
      <w:r w:rsidR="000831F5" w:rsidRPr="00FF7287">
        <w:rPr>
          <w:rFonts w:ascii="Arial" w:eastAsia="Calibri" w:hAnsi="Arial" w:cs="Arial"/>
          <w:lang w:val="es-ES"/>
        </w:rPr>
        <w:t>e</w:t>
      </w:r>
      <w:r w:rsidRPr="00FF7287">
        <w:rPr>
          <w:rFonts w:ascii="Arial" w:eastAsia="Calibri" w:hAnsi="Arial" w:cs="Arial"/>
          <w:lang w:val="es-ES"/>
        </w:rPr>
        <w:t xml:space="preserve">statal puede recibir como garantía de seriedad de la oferta o garantía de cumplimiento, garantías bancarias y cartas de crédito </w:t>
      </w:r>
      <w:r w:rsidRPr="00FF7287">
        <w:rPr>
          <w:rFonts w:ascii="Arial" w:eastAsia="Calibri" w:hAnsi="Arial" w:cs="Arial"/>
          <w:i/>
          <w:iCs/>
          <w:lang w:val="es-ES"/>
        </w:rPr>
        <w:t xml:space="preserve">stand </w:t>
      </w:r>
      <w:proofErr w:type="spellStart"/>
      <w:r w:rsidRPr="00FF7287">
        <w:rPr>
          <w:rFonts w:ascii="Arial" w:eastAsia="Calibri" w:hAnsi="Arial" w:cs="Arial"/>
          <w:i/>
          <w:iCs/>
          <w:lang w:val="es-ES"/>
        </w:rPr>
        <w:t>by</w:t>
      </w:r>
      <w:proofErr w:type="spellEnd"/>
      <w:r w:rsidRPr="00FF7287">
        <w:rPr>
          <w:rFonts w:ascii="Arial" w:eastAsia="Calibri" w:hAnsi="Arial" w:cs="Arial"/>
          <w:lang w:val="es-ES"/>
        </w:rPr>
        <w:t xml:space="preserve">, </w:t>
      </w:r>
      <w:proofErr w:type="gramStart"/>
      <w:r w:rsidR="00D038FE" w:rsidRPr="00FF7287">
        <w:rPr>
          <w:rFonts w:ascii="Arial" w:eastAsia="Calibri" w:hAnsi="Arial" w:cs="Arial"/>
          <w:lang w:val="es-ES"/>
        </w:rPr>
        <w:t>con la condición que</w:t>
      </w:r>
      <w:proofErr w:type="gramEnd"/>
      <w:r w:rsidR="00D038FE" w:rsidRPr="00FF7287">
        <w:rPr>
          <w:rFonts w:ascii="Arial" w:eastAsia="Calibri" w:hAnsi="Arial" w:cs="Arial"/>
          <w:lang w:val="es-ES"/>
        </w:rPr>
        <w:t xml:space="preserve"> </w:t>
      </w:r>
      <w:r w:rsidRPr="00FF7287">
        <w:rPr>
          <w:rFonts w:ascii="Arial" w:eastAsia="Calibri" w:hAnsi="Arial" w:cs="Arial"/>
          <w:lang w:val="es-ES"/>
        </w:rPr>
        <w:t>cumplan con las condiciones previstas en dicho artículo</w:t>
      </w:r>
      <w:r w:rsidRPr="00FF7287">
        <w:rPr>
          <w:rFonts w:ascii="Arial" w:eastAsia="Calibri" w:hAnsi="Arial" w:cs="Arial"/>
          <w:vertAlign w:val="superscript"/>
          <w:lang w:val="es-ES"/>
        </w:rPr>
        <w:footnoteReference w:id="6"/>
      </w:r>
      <w:r w:rsidRPr="00FF7287">
        <w:rPr>
          <w:rFonts w:ascii="Arial" w:eastAsia="Calibri" w:hAnsi="Arial" w:cs="Arial"/>
          <w:lang w:val="es-ES"/>
        </w:rPr>
        <w:t>.</w:t>
      </w:r>
    </w:p>
    <w:p w14:paraId="3EC21670" w14:textId="45B706BC" w:rsidR="00D116D9" w:rsidRPr="00FF7287" w:rsidRDefault="00D116D9" w:rsidP="00D116D9">
      <w:pPr>
        <w:spacing w:after="120" w:line="276" w:lineRule="auto"/>
        <w:jc w:val="both"/>
        <w:rPr>
          <w:rFonts w:ascii="Arial" w:eastAsia="Calibri" w:hAnsi="Arial" w:cs="Arial"/>
          <w:lang w:val="es-ES"/>
        </w:rPr>
      </w:pPr>
      <w:r w:rsidRPr="00FF7287">
        <w:rPr>
          <w:rFonts w:ascii="Arial" w:eastAsia="Calibri" w:hAnsi="Arial" w:cs="Arial"/>
          <w:lang w:val="es-ES"/>
        </w:rPr>
        <w:lastRenderedPageBreak/>
        <w:tab/>
        <w:t xml:space="preserve">Ahora bien, con el fin de </w:t>
      </w:r>
      <w:r w:rsidR="000831F5" w:rsidRPr="00FF7287">
        <w:rPr>
          <w:rFonts w:ascii="Arial" w:eastAsia="Calibri" w:hAnsi="Arial" w:cs="Arial"/>
          <w:lang w:val="es-ES"/>
        </w:rPr>
        <w:t>abordar</w:t>
      </w:r>
      <w:r w:rsidRPr="00FF7287">
        <w:rPr>
          <w:rFonts w:ascii="Arial" w:eastAsia="Calibri" w:hAnsi="Arial" w:cs="Arial"/>
          <w:lang w:val="es-ES"/>
        </w:rPr>
        <w:t xml:space="preserve"> el objeto de la consulta y sin p</w:t>
      </w:r>
      <w:r w:rsidR="006E6934" w:rsidRPr="00FF7287">
        <w:rPr>
          <w:rFonts w:ascii="Arial" w:eastAsia="Calibri" w:hAnsi="Arial" w:cs="Arial"/>
          <w:lang w:val="es-ES"/>
        </w:rPr>
        <w:t xml:space="preserve">erjuicio de que en todo caso deba verificarse </w:t>
      </w:r>
      <w:r w:rsidRPr="00FF7287">
        <w:rPr>
          <w:rFonts w:ascii="Arial" w:eastAsia="Calibri" w:hAnsi="Arial" w:cs="Arial"/>
          <w:lang w:val="es-ES"/>
        </w:rPr>
        <w:t xml:space="preserve">el cumplimiento del resto de condiciones </w:t>
      </w:r>
      <w:r w:rsidR="003B60EC" w:rsidRPr="00FF7287">
        <w:rPr>
          <w:rFonts w:ascii="Arial" w:eastAsia="Calibri" w:hAnsi="Arial" w:cs="Arial"/>
          <w:lang w:val="es-ES"/>
        </w:rPr>
        <w:t>exigidas para este tipo de garantías</w:t>
      </w:r>
      <w:r w:rsidRPr="00FF7287">
        <w:rPr>
          <w:rFonts w:ascii="Arial" w:eastAsia="Calibri" w:hAnsi="Arial" w:cs="Arial"/>
          <w:lang w:val="es-ES"/>
        </w:rPr>
        <w:t xml:space="preserve">, se profundizará en la exigencia del primer numeral del artículo citado en el párrafo anterior: «1. La garantía debe constar en documento expedido por una entidad financiera autorizada por la Superintendencia Financiera o quien haga sus veces, otorgado de acuerdo con las normas del Estatuto Orgánico del Sistema Financiero». </w:t>
      </w:r>
    </w:p>
    <w:p w14:paraId="36E396A3" w14:textId="63C2EE1F" w:rsidR="00D116D9" w:rsidRPr="00FF7287" w:rsidRDefault="00D116D9" w:rsidP="00D116D9">
      <w:pPr>
        <w:spacing w:after="120" w:line="276" w:lineRule="auto"/>
        <w:jc w:val="both"/>
        <w:rPr>
          <w:rFonts w:ascii="Arial" w:eastAsia="Calibri" w:hAnsi="Arial" w:cs="Arial"/>
          <w:lang w:val="es-ES"/>
        </w:rPr>
      </w:pPr>
      <w:r w:rsidRPr="00FF7287">
        <w:rPr>
          <w:rFonts w:ascii="Arial" w:eastAsia="Calibri" w:hAnsi="Arial" w:cs="Arial"/>
          <w:lang w:val="es-ES"/>
        </w:rPr>
        <w:tab/>
        <w:t xml:space="preserve">Como se observa de dicha condición, para que la garantía bancaria pueda </w:t>
      </w:r>
      <w:r w:rsidR="005A74B0" w:rsidRPr="00FF7287">
        <w:rPr>
          <w:rFonts w:ascii="Arial" w:eastAsia="Calibri" w:hAnsi="Arial" w:cs="Arial"/>
          <w:lang w:val="es-ES"/>
        </w:rPr>
        <w:t xml:space="preserve">recibirse </w:t>
      </w:r>
      <w:r w:rsidRPr="00FF7287">
        <w:rPr>
          <w:rFonts w:ascii="Arial" w:eastAsia="Calibri" w:hAnsi="Arial" w:cs="Arial"/>
          <w:lang w:val="es-ES"/>
        </w:rPr>
        <w:t xml:space="preserve">por la </w:t>
      </w:r>
      <w:r w:rsidR="003B60EC" w:rsidRPr="00FF7287">
        <w:rPr>
          <w:rFonts w:ascii="Arial" w:eastAsia="Calibri" w:hAnsi="Arial" w:cs="Arial"/>
          <w:lang w:val="es-ES"/>
        </w:rPr>
        <w:t>e</w:t>
      </w:r>
      <w:r w:rsidRPr="00FF7287">
        <w:rPr>
          <w:rFonts w:ascii="Arial" w:eastAsia="Calibri" w:hAnsi="Arial" w:cs="Arial"/>
          <w:lang w:val="es-ES"/>
        </w:rPr>
        <w:t xml:space="preserve">ntidad </w:t>
      </w:r>
      <w:r w:rsidR="003B60EC" w:rsidRPr="00FF7287">
        <w:rPr>
          <w:rFonts w:ascii="Arial" w:eastAsia="Calibri" w:hAnsi="Arial" w:cs="Arial"/>
          <w:lang w:val="es-ES"/>
        </w:rPr>
        <w:t>e</w:t>
      </w:r>
      <w:r w:rsidRPr="00FF7287">
        <w:rPr>
          <w:rFonts w:ascii="Arial" w:eastAsia="Calibri" w:hAnsi="Arial" w:cs="Arial"/>
          <w:lang w:val="es-ES"/>
        </w:rPr>
        <w:t xml:space="preserve">statal, ya sea como garantía de cumplimiento o de seriedad de la oferta, se requiere que: i) el documento sea expedido por una entidad financiera autorizada por la Superintendencia Financiera, y </w:t>
      </w:r>
      <w:proofErr w:type="spellStart"/>
      <w:r w:rsidRPr="00FF7287">
        <w:rPr>
          <w:rFonts w:ascii="Arial" w:eastAsia="Calibri" w:hAnsi="Arial" w:cs="Arial"/>
          <w:lang w:val="es-ES"/>
        </w:rPr>
        <w:t>ii</w:t>
      </w:r>
      <w:proofErr w:type="spellEnd"/>
      <w:r w:rsidRPr="00FF7287">
        <w:rPr>
          <w:rFonts w:ascii="Arial" w:eastAsia="Calibri" w:hAnsi="Arial" w:cs="Arial"/>
          <w:lang w:val="es-ES"/>
        </w:rPr>
        <w:t>) que este se otorgue de conformidad con las normas del Estatuto Orgáni</w:t>
      </w:r>
      <w:r w:rsidR="000051BB" w:rsidRPr="00FF7287">
        <w:rPr>
          <w:rFonts w:ascii="Arial" w:eastAsia="Calibri" w:hAnsi="Arial" w:cs="Arial"/>
          <w:lang w:val="es-ES"/>
        </w:rPr>
        <w:t>co del Sistema Financiero</w:t>
      </w:r>
      <w:r w:rsidRPr="00FF7287">
        <w:rPr>
          <w:rFonts w:ascii="Arial" w:eastAsia="Calibri" w:hAnsi="Arial" w:cs="Arial"/>
          <w:lang w:val="es-ES"/>
        </w:rPr>
        <w:t>.</w:t>
      </w:r>
    </w:p>
    <w:p w14:paraId="5416BDC9" w14:textId="4BFB89D7" w:rsidR="00D116D9" w:rsidRPr="00FF7287" w:rsidRDefault="00D116D9" w:rsidP="00D116D9">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De esta manera, y para responder </w:t>
      </w:r>
      <w:r w:rsidR="00E05216" w:rsidRPr="00FF7287">
        <w:rPr>
          <w:rFonts w:ascii="Arial" w:eastAsia="Calibri" w:hAnsi="Arial" w:cs="Arial"/>
          <w:lang w:val="es-ES"/>
        </w:rPr>
        <w:t xml:space="preserve">la </w:t>
      </w:r>
      <w:r w:rsidRPr="00FF7287">
        <w:rPr>
          <w:rFonts w:ascii="Arial" w:eastAsia="Calibri" w:hAnsi="Arial" w:cs="Arial"/>
          <w:lang w:val="es-ES"/>
        </w:rPr>
        <w:t>pregunta</w:t>
      </w:r>
      <w:r w:rsidR="00E05216" w:rsidRPr="00FF7287">
        <w:rPr>
          <w:rFonts w:ascii="Arial" w:eastAsia="Calibri" w:hAnsi="Arial" w:cs="Arial"/>
          <w:lang w:val="es-ES"/>
        </w:rPr>
        <w:t xml:space="preserve"> del peticionario</w:t>
      </w:r>
      <w:r w:rsidRPr="00FF7287">
        <w:rPr>
          <w:rFonts w:ascii="Arial" w:eastAsia="Calibri" w:hAnsi="Arial" w:cs="Arial"/>
          <w:lang w:val="es-ES"/>
        </w:rPr>
        <w:t xml:space="preserve">, resulta imprescindible que la Superintendencia Financiera haya autorizado a la entidad financiera para el otorgamiento de las garantías bancarias y cartas de crédito </w:t>
      </w:r>
      <w:r w:rsidRPr="00FF7287">
        <w:rPr>
          <w:rFonts w:ascii="Arial" w:eastAsia="Calibri" w:hAnsi="Arial" w:cs="Arial"/>
          <w:i/>
          <w:iCs/>
          <w:lang w:val="es-ES"/>
        </w:rPr>
        <w:t xml:space="preserve">stand </w:t>
      </w:r>
      <w:proofErr w:type="spellStart"/>
      <w:r w:rsidRPr="00FF7287">
        <w:rPr>
          <w:rFonts w:ascii="Arial" w:eastAsia="Calibri" w:hAnsi="Arial" w:cs="Arial"/>
          <w:i/>
          <w:iCs/>
          <w:lang w:val="es-ES"/>
        </w:rPr>
        <w:t>by</w:t>
      </w:r>
      <w:proofErr w:type="spellEnd"/>
      <w:r w:rsidR="00E05216" w:rsidRPr="00FF7287">
        <w:rPr>
          <w:rFonts w:ascii="Arial" w:eastAsia="Calibri" w:hAnsi="Arial" w:cs="Arial"/>
          <w:lang w:val="es-ES"/>
        </w:rPr>
        <w:t>;</w:t>
      </w:r>
      <w:r w:rsidRPr="00FF7287">
        <w:rPr>
          <w:rFonts w:ascii="Arial" w:eastAsia="Calibri" w:hAnsi="Arial" w:cs="Arial"/>
          <w:lang w:val="es-ES"/>
        </w:rPr>
        <w:t xml:space="preserve"> pues de lo contrario, la entidad estatal no podría aceptar dichas garantías al no cumplir con las condiciones previstas en el artículo 2.2.1.2.1.4.1 del Decreto 1082 de 2015.</w:t>
      </w:r>
    </w:p>
    <w:p w14:paraId="077BA84E" w14:textId="06ADB5F9" w:rsidR="00D116D9" w:rsidRPr="00FF7287" w:rsidRDefault="00E05216" w:rsidP="00576BD0">
      <w:pPr>
        <w:spacing w:after="120" w:line="276" w:lineRule="auto"/>
        <w:ind w:firstLine="708"/>
        <w:jc w:val="both"/>
        <w:rPr>
          <w:rFonts w:ascii="Arial" w:eastAsia="Calibri" w:hAnsi="Arial" w:cs="Arial"/>
          <w:lang w:val="es-ES"/>
        </w:rPr>
      </w:pPr>
      <w:r w:rsidRPr="00FF7287">
        <w:rPr>
          <w:rFonts w:ascii="Arial" w:eastAsia="Calibri" w:hAnsi="Arial" w:cs="Arial"/>
          <w:lang w:val="es-ES"/>
        </w:rPr>
        <w:t>De esta manera, e</w:t>
      </w:r>
      <w:r w:rsidR="00D116D9" w:rsidRPr="00FF7287">
        <w:rPr>
          <w:rFonts w:ascii="Arial" w:eastAsia="Calibri" w:hAnsi="Arial" w:cs="Arial"/>
          <w:lang w:val="es-ES"/>
        </w:rPr>
        <w:t xml:space="preserve">n cuanto a la posibilidad de que </w:t>
      </w:r>
      <w:r w:rsidR="00B43413" w:rsidRPr="00FF7287">
        <w:rPr>
          <w:rFonts w:ascii="Arial" w:eastAsia="Calibri" w:hAnsi="Arial" w:cs="Arial"/>
          <w:lang w:val="es-ES"/>
        </w:rPr>
        <w:t xml:space="preserve">las Cooperativas de Aporte y Crédito </w:t>
      </w:r>
      <w:r w:rsidR="00D116D9" w:rsidRPr="00FF7287">
        <w:rPr>
          <w:rFonts w:ascii="Arial" w:eastAsia="Calibri" w:hAnsi="Arial" w:cs="Arial"/>
          <w:lang w:val="es-ES"/>
        </w:rPr>
        <w:t xml:space="preserve">puedan otorgar las garantías mencionadas </w:t>
      </w:r>
      <w:r w:rsidR="00D116D9" w:rsidRPr="00FF7287">
        <w:rPr>
          <w:rFonts w:ascii="Arial" w:eastAsia="Calibri" w:hAnsi="Arial" w:cs="Arial"/>
          <w:i/>
          <w:iCs/>
          <w:lang w:val="es-ES"/>
        </w:rPr>
        <w:t>ut supra,</w:t>
      </w:r>
      <w:r w:rsidR="001D1D1B" w:rsidRPr="00FF7287">
        <w:rPr>
          <w:rFonts w:ascii="Arial" w:eastAsia="Calibri" w:hAnsi="Arial" w:cs="Arial"/>
          <w:lang w:val="es-ES"/>
        </w:rPr>
        <w:t xml:space="preserve"> es necesario remitirse al Decreto Ley 663 de 1993,</w:t>
      </w:r>
      <w:r w:rsidR="00D116D9" w:rsidRPr="00FF7287">
        <w:rPr>
          <w:rFonts w:ascii="Arial" w:eastAsia="Calibri" w:hAnsi="Arial" w:cs="Arial"/>
          <w:lang w:val="es-ES"/>
        </w:rPr>
        <w:t xml:space="preserve"> </w:t>
      </w:r>
      <w:r w:rsidR="001D1D1B" w:rsidRPr="00FF7287">
        <w:rPr>
          <w:rFonts w:ascii="Arial" w:eastAsia="Calibri" w:hAnsi="Arial" w:cs="Arial"/>
          <w:color w:val="000000" w:themeColor="text1"/>
          <w:lang w:val="es-ES"/>
        </w:rPr>
        <w:t>«</w:t>
      </w:r>
      <w:r w:rsidR="00D116D9" w:rsidRPr="00FF7287">
        <w:rPr>
          <w:rFonts w:ascii="Arial" w:eastAsia="Calibri" w:hAnsi="Arial" w:cs="Arial"/>
          <w:lang w:val="es-ES"/>
        </w:rPr>
        <w:t>Estatuto Orgánico del Sistema Financiero</w:t>
      </w:r>
      <w:r w:rsidR="001D1D1B" w:rsidRPr="00FF7287">
        <w:rPr>
          <w:rFonts w:ascii="Arial" w:eastAsia="Calibri" w:hAnsi="Arial" w:cs="Arial"/>
          <w:color w:val="000000" w:themeColor="text1"/>
          <w:lang w:val="es-ES"/>
        </w:rPr>
        <w:t>»</w:t>
      </w:r>
      <w:r w:rsidRPr="00FF7287">
        <w:rPr>
          <w:rFonts w:ascii="Arial" w:eastAsia="Calibri" w:hAnsi="Arial" w:cs="Arial"/>
          <w:lang w:val="es-ES"/>
        </w:rPr>
        <w:t xml:space="preserve"> –en adelante, EOSF–</w:t>
      </w:r>
      <w:r w:rsidR="00D116D9" w:rsidRPr="00FF7287">
        <w:rPr>
          <w:rFonts w:ascii="Arial" w:eastAsia="Calibri" w:hAnsi="Arial" w:cs="Arial"/>
          <w:lang w:val="es-ES"/>
        </w:rPr>
        <w:t xml:space="preserve"> </w:t>
      </w:r>
      <w:r w:rsidR="00B43413" w:rsidRPr="00FF7287">
        <w:rPr>
          <w:rFonts w:ascii="Arial" w:eastAsia="Calibri" w:hAnsi="Arial" w:cs="Arial"/>
          <w:lang w:val="es-ES"/>
        </w:rPr>
        <w:t>la cual define las organizaciones y entidades autorizadas para ex</w:t>
      </w:r>
      <w:r w:rsidR="002747CA" w:rsidRPr="00FF7287">
        <w:rPr>
          <w:rFonts w:ascii="Arial" w:eastAsia="Calibri" w:hAnsi="Arial" w:cs="Arial"/>
          <w:lang w:val="es-ES"/>
        </w:rPr>
        <w:t>p</w:t>
      </w:r>
      <w:r w:rsidR="005F582C" w:rsidRPr="00FF7287">
        <w:rPr>
          <w:rFonts w:ascii="Arial" w:eastAsia="Calibri" w:hAnsi="Arial" w:cs="Arial"/>
          <w:lang w:val="es-ES"/>
        </w:rPr>
        <w:t>edirlas. Al respecto, la Agencia Nacional de Contratación Pública –Colombia Compra Eficiente</w:t>
      </w:r>
      <w:r w:rsidRPr="00FF7287">
        <w:rPr>
          <w:rFonts w:ascii="Arial" w:eastAsia="Calibri" w:hAnsi="Arial" w:cs="Arial"/>
          <w:lang w:val="es-ES"/>
        </w:rPr>
        <w:t>–</w:t>
      </w:r>
      <w:r w:rsidR="005F582C" w:rsidRPr="00FF7287">
        <w:rPr>
          <w:rFonts w:ascii="Arial" w:eastAsia="Calibri" w:hAnsi="Arial" w:cs="Arial"/>
          <w:lang w:val="es-ES"/>
        </w:rPr>
        <w:t xml:space="preserve"> en </w:t>
      </w:r>
      <w:r w:rsidRPr="00FF7287">
        <w:rPr>
          <w:rFonts w:ascii="Arial" w:eastAsia="Calibri" w:hAnsi="Arial" w:cs="Arial"/>
          <w:lang w:val="es-ES"/>
        </w:rPr>
        <w:t xml:space="preserve">la </w:t>
      </w:r>
      <w:r w:rsidR="005F582C" w:rsidRPr="00FF7287">
        <w:rPr>
          <w:rFonts w:ascii="Arial" w:eastAsia="Calibri" w:hAnsi="Arial" w:cs="Arial"/>
          <w:lang w:val="es-ES"/>
        </w:rPr>
        <w:t xml:space="preserve">Guía de garantías en procesos de contratación </w:t>
      </w:r>
      <w:r w:rsidRPr="00FF7287">
        <w:rPr>
          <w:rFonts w:ascii="Arial" w:eastAsia="Calibri" w:hAnsi="Arial" w:cs="Arial"/>
          <w:lang w:val="es-ES"/>
        </w:rPr>
        <w:t>señala que</w:t>
      </w:r>
      <w:r w:rsidR="005F582C" w:rsidRPr="00FF7287">
        <w:rPr>
          <w:rFonts w:ascii="Arial" w:eastAsia="Calibri" w:hAnsi="Arial" w:cs="Arial"/>
          <w:lang w:val="es-ES"/>
        </w:rPr>
        <w:t xml:space="preserve">: </w:t>
      </w:r>
      <w:r w:rsidR="005F582C" w:rsidRPr="00FF7287">
        <w:rPr>
          <w:rFonts w:ascii="Arial" w:eastAsia="Calibri" w:hAnsi="Arial" w:cs="Arial"/>
          <w:color w:val="000000" w:themeColor="text1"/>
          <w:lang w:val="es-ES"/>
        </w:rPr>
        <w:t>«</w:t>
      </w:r>
      <w:r w:rsidR="005F582C" w:rsidRPr="00FF7287">
        <w:rPr>
          <w:rFonts w:ascii="Arial" w:hAnsi="Arial" w:cs="Arial"/>
        </w:rPr>
        <w:t>En Colombia están facultados a emitir garantías</w:t>
      </w:r>
      <w:r w:rsidR="005F582C" w:rsidRPr="00FF7287">
        <w:rPr>
          <w:rFonts w:ascii="Arial" w:eastAsia="Calibri" w:hAnsi="Arial" w:cs="Arial"/>
          <w:lang w:val="es-ES"/>
        </w:rPr>
        <w:t xml:space="preserve"> </w:t>
      </w:r>
      <w:r w:rsidR="005F582C" w:rsidRPr="00FF7287">
        <w:rPr>
          <w:rFonts w:ascii="Arial" w:hAnsi="Arial" w:cs="Arial"/>
        </w:rPr>
        <w:t xml:space="preserve">bancarias las siguientes entidades financieras habilitadas por la Superintendencia Financiera: </w:t>
      </w:r>
      <w:r w:rsidR="005F582C" w:rsidRPr="00FF7287">
        <w:rPr>
          <w:rFonts w:ascii="Arial" w:hAnsi="Arial" w:cs="Arial"/>
          <w:i/>
          <w:iCs/>
        </w:rPr>
        <w:t xml:space="preserve">a) </w:t>
      </w:r>
      <w:r w:rsidR="005F582C" w:rsidRPr="00FF7287">
        <w:rPr>
          <w:rFonts w:ascii="Arial" w:hAnsi="Arial" w:cs="Arial"/>
        </w:rPr>
        <w:t>los bancos,</w:t>
      </w:r>
      <w:r w:rsidR="005F582C" w:rsidRPr="00FF7287">
        <w:rPr>
          <w:rFonts w:ascii="Arial" w:eastAsia="Calibri" w:hAnsi="Arial" w:cs="Arial"/>
          <w:lang w:val="es-ES"/>
        </w:rPr>
        <w:t xml:space="preserve"> </w:t>
      </w:r>
      <w:r w:rsidR="005F582C" w:rsidRPr="00FF7287">
        <w:rPr>
          <w:rFonts w:ascii="Arial" w:hAnsi="Arial" w:cs="Arial"/>
          <w:i/>
          <w:iCs/>
        </w:rPr>
        <w:t xml:space="preserve">b) </w:t>
      </w:r>
      <w:r w:rsidR="005F582C" w:rsidRPr="00FF7287">
        <w:rPr>
          <w:rFonts w:ascii="Arial" w:hAnsi="Arial" w:cs="Arial"/>
        </w:rPr>
        <w:t xml:space="preserve">las corporaciones financieras y </w:t>
      </w:r>
      <w:r w:rsidR="005F582C" w:rsidRPr="00FF7287">
        <w:rPr>
          <w:rFonts w:ascii="Arial" w:hAnsi="Arial" w:cs="Arial"/>
          <w:i/>
          <w:iCs/>
        </w:rPr>
        <w:t xml:space="preserve">c) </w:t>
      </w:r>
      <w:r w:rsidR="005F582C" w:rsidRPr="00FF7287">
        <w:rPr>
          <w:rFonts w:ascii="Arial" w:hAnsi="Arial" w:cs="Arial"/>
        </w:rPr>
        <w:t>las compañías de financiamiento. Por otra parte, únicamente los</w:t>
      </w:r>
      <w:r w:rsidR="005F582C" w:rsidRPr="00FF7287">
        <w:rPr>
          <w:rFonts w:ascii="Arial" w:eastAsia="Calibri" w:hAnsi="Arial" w:cs="Arial"/>
          <w:lang w:val="es-ES"/>
        </w:rPr>
        <w:t xml:space="preserve"> </w:t>
      </w:r>
      <w:r w:rsidR="005F582C" w:rsidRPr="00FF7287">
        <w:rPr>
          <w:rFonts w:ascii="Arial" w:hAnsi="Arial" w:cs="Arial"/>
        </w:rPr>
        <w:t xml:space="preserve">bancos y las corporaciones financieras están autorizados a emitir cartas de crédito </w:t>
      </w:r>
      <w:r w:rsidR="005F582C" w:rsidRPr="00FF7287">
        <w:rPr>
          <w:rFonts w:ascii="Arial" w:hAnsi="Arial" w:cs="Arial"/>
          <w:i/>
          <w:iCs/>
        </w:rPr>
        <w:t>stand by</w:t>
      </w:r>
      <w:r w:rsidR="005F582C" w:rsidRPr="00FF7287">
        <w:rPr>
          <w:rFonts w:ascii="Arial" w:eastAsia="Calibri" w:hAnsi="Arial" w:cs="Arial"/>
          <w:color w:val="000000" w:themeColor="text1"/>
          <w:lang w:val="es-ES"/>
        </w:rPr>
        <w:t>»</w:t>
      </w:r>
      <w:r w:rsidR="00307A23" w:rsidRPr="00FF7287">
        <w:rPr>
          <w:rStyle w:val="Refdenotaalpie"/>
          <w:rFonts w:ascii="Arial" w:eastAsia="Calibri" w:hAnsi="Arial" w:cs="Arial"/>
          <w:color w:val="000000" w:themeColor="text1"/>
          <w:lang w:val="es-ES"/>
        </w:rPr>
        <w:footnoteReference w:id="7"/>
      </w:r>
      <w:r w:rsidR="005F582C" w:rsidRPr="00FF7287">
        <w:rPr>
          <w:rFonts w:ascii="Arial" w:eastAsia="Calibri" w:hAnsi="Arial" w:cs="Arial"/>
          <w:color w:val="000000" w:themeColor="text1"/>
          <w:lang w:val="es-ES"/>
        </w:rPr>
        <w:t xml:space="preserve">. </w:t>
      </w:r>
      <w:r w:rsidR="00D116D9" w:rsidRPr="00FF7287">
        <w:rPr>
          <w:rFonts w:ascii="Arial" w:eastAsia="Calibri" w:hAnsi="Arial" w:cs="Arial"/>
          <w:lang w:val="es-ES"/>
        </w:rPr>
        <w:t xml:space="preserve">En este sentido, a </w:t>
      </w:r>
      <w:proofErr w:type="gramStart"/>
      <w:r w:rsidR="00D116D9" w:rsidRPr="00FF7287">
        <w:rPr>
          <w:rFonts w:ascii="Arial" w:eastAsia="Calibri" w:hAnsi="Arial" w:cs="Arial"/>
          <w:lang w:val="es-ES"/>
        </w:rPr>
        <w:t>continuación</w:t>
      </w:r>
      <w:proofErr w:type="gramEnd"/>
      <w:r w:rsidR="00D116D9" w:rsidRPr="00FF7287">
        <w:rPr>
          <w:rFonts w:ascii="Arial" w:eastAsia="Calibri" w:hAnsi="Arial" w:cs="Arial"/>
          <w:lang w:val="es-ES"/>
        </w:rPr>
        <w:t xml:space="preserve"> se analizarán las disposiciones que fundamentan la anterior afirmación.</w:t>
      </w:r>
    </w:p>
    <w:p w14:paraId="0CB97CF8" w14:textId="58A65783" w:rsidR="00990E95" w:rsidRPr="00FF7287" w:rsidRDefault="00D116D9" w:rsidP="001D1D1B">
      <w:pPr>
        <w:spacing w:after="120" w:line="276" w:lineRule="auto"/>
        <w:ind w:firstLine="708"/>
        <w:jc w:val="both"/>
        <w:rPr>
          <w:rFonts w:ascii="Arial" w:eastAsia="Calibri" w:hAnsi="Arial" w:cs="Arial"/>
          <w:lang w:val="es-ES"/>
        </w:rPr>
      </w:pPr>
      <w:r w:rsidRPr="00FF7287">
        <w:rPr>
          <w:rFonts w:ascii="Arial" w:eastAsia="Calibri" w:hAnsi="Arial" w:cs="Arial"/>
          <w:lang w:val="es-ES"/>
        </w:rPr>
        <w:t>En primer lugar,</w:t>
      </w:r>
      <w:r w:rsidR="001D1D1B" w:rsidRPr="00FF7287">
        <w:rPr>
          <w:rFonts w:ascii="Arial" w:eastAsia="Calibri" w:hAnsi="Arial" w:cs="Arial"/>
          <w:lang w:val="es-ES"/>
        </w:rPr>
        <w:t xml:space="preserve"> la </w:t>
      </w:r>
      <w:r w:rsidR="001F06DF" w:rsidRPr="00FF7287">
        <w:rPr>
          <w:rFonts w:ascii="Arial" w:eastAsia="Calibri" w:hAnsi="Arial" w:cs="Arial"/>
          <w:lang w:val="es-ES"/>
        </w:rPr>
        <w:t>capacidad de los bancos para la expedición de</w:t>
      </w:r>
      <w:r w:rsidR="001D1D1B" w:rsidRPr="00FF7287">
        <w:rPr>
          <w:rFonts w:ascii="Arial" w:eastAsia="Calibri" w:hAnsi="Arial" w:cs="Arial"/>
          <w:lang w:val="es-ES"/>
        </w:rPr>
        <w:t xml:space="preserve"> garantías bancarias es el artículo 7, numeral 1, literal l, </w:t>
      </w:r>
      <w:r w:rsidR="00E05216" w:rsidRPr="00FF7287">
        <w:rPr>
          <w:rFonts w:ascii="Arial" w:eastAsia="Calibri" w:hAnsi="Arial" w:cs="Arial"/>
          <w:lang w:val="es-ES"/>
        </w:rPr>
        <w:t xml:space="preserve">del EOSF </w:t>
      </w:r>
      <w:r w:rsidR="001D1D1B" w:rsidRPr="00FF7287">
        <w:rPr>
          <w:rFonts w:ascii="Arial" w:eastAsia="Calibri" w:hAnsi="Arial" w:cs="Arial"/>
          <w:lang w:val="es-ES"/>
        </w:rPr>
        <w:t xml:space="preserve">el cual dispone: </w:t>
      </w:r>
      <w:bookmarkStart w:id="6" w:name="7"/>
      <w:r w:rsidR="001D1D1B" w:rsidRPr="00FF7287">
        <w:rPr>
          <w:rFonts w:ascii="Arial" w:eastAsia="Calibri" w:hAnsi="Arial" w:cs="Arial"/>
          <w:color w:val="000000" w:themeColor="text1"/>
          <w:lang w:val="es-ES"/>
        </w:rPr>
        <w:t>«</w:t>
      </w:r>
      <w:r w:rsidR="001D1D1B" w:rsidRPr="00FF7287">
        <w:rPr>
          <w:rFonts w:ascii="Arial" w:hAnsi="Arial" w:cs="Arial"/>
          <w:bCs/>
        </w:rPr>
        <w:t>ARTICULO 7o. OPERACIONES.</w:t>
      </w:r>
      <w:bookmarkEnd w:id="6"/>
      <w:r w:rsidR="001D1D1B" w:rsidRPr="00FF7287">
        <w:rPr>
          <w:rFonts w:ascii="Arial" w:hAnsi="Arial" w:cs="Arial"/>
          <w:bCs/>
        </w:rPr>
        <w:t xml:space="preserve"> 1</w:t>
      </w:r>
      <w:r w:rsidR="001D1D1B" w:rsidRPr="00FF7287">
        <w:rPr>
          <w:rStyle w:val="baj"/>
          <w:rFonts w:ascii="Arial" w:hAnsi="Arial" w:cs="Arial"/>
          <w:bCs/>
        </w:rPr>
        <w:t>. Operaciones autorizadas.</w:t>
      </w:r>
      <w:r w:rsidR="001D1D1B" w:rsidRPr="00FF7287">
        <w:rPr>
          <w:rFonts w:ascii="Arial" w:hAnsi="Arial" w:cs="Arial"/>
        </w:rPr>
        <w:t xml:space="preserve"> Todo establecimiento bancario organizado de conformidad con este Estatuto tendrá las siguientes facultades, con sujeción a las restricciones y limitaciones impuestas por las leyes: […] l. Otorgar avales y garantías, con sujeción a los límites y prohibiciones que establezcan la Junta Directiva del Banco de la República y el Gobierno Nacional, cada uno dentro de su competencia</w:t>
      </w:r>
      <w:r w:rsidR="001D1D1B" w:rsidRPr="00FF7287">
        <w:rPr>
          <w:rFonts w:ascii="Arial" w:eastAsia="Calibri" w:hAnsi="Arial" w:cs="Arial"/>
          <w:color w:val="000000" w:themeColor="text1"/>
          <w:lang w:val="es-ES"/>
        </w:rPr>
        <w:t>»</w:t>
      </w:r>
      <w:r w:rsidR="001D1D1B" w:rsidRPr="00FF7287">
        <w:rPr>
          <w:rFonts w:ascii="Arial" w:hAnsi="Arial" w:cs="Arial"/>
        </w:rPr>
        <w:t>.</w:t>
      </w:r>
    </w:p>
    <w:p w14:paraId="652C0717" w14:textId="72644463" w:rsidR="001D1D1B" w:rsidRPr="00FF7287" w:rsidRDefault="00D116D9" w:rsidP="003553D1">
      <w:pPr>
        <w:spacing w:after="120" w:line="276" w:lineRule="auto"/>
        <w:ind w:firstLine="708"/>
        <w:jc w:val="both"/>
        <w:rPr>
          <w:rFonts w:ascii="Arial" w:hAnsi="Arial" w:cs="Arial"/>
        </w:rPr>
      </w:pPr>
      <w:r w:rsidRPr="00FF7287">
        <w:rPr>
          <w:rFonts w:ascii="Arial" w:eastAsia="Calibri" w:hAnsi="Arial" w:cs="Arial"/>
          <w:lang w:val="es-ES"/>
        </w:rPr>
        <w:lastRenderedPageBreak/>
        <w:t xml:space="preserve"> </w:t>
      </w:r>
      <w:r w:rsidR="001D1D1B" w:rsidRPr="00FF7287">
        <w:rPr>
          <w:rFonts w:ascii="Arial" w:eastAsia="Calibri" w:hAnsi="Arial" w:cs="Arial"/>
          <w:lang w:val="es-ES"/>
        </w:rPr>
        <w:t>En segundo lugar, las corporaciones financieras</w:t>
      </w:r>
      <w:r w:rsidR="003553D1" w:rsidRPr="00FF7287">
        <w:rPr>
          <w:rFonts w:ascii="Arial" w:eastAsia="Calibri" w:hAnsi="Arial" w:cs="Arial"/>
          <w:lang w:val="es-ES"/>
        </w:rPr>
        <w:t xml:space="preserve"> tienen la capacidad o competencia para la expedición de garantías bancarias, de acuerdo </w:t>
      </w:r>
      <w:r w:rsidR="00E05216" w:rsidRPr="00FF7287">
        <w:rPr>
          <w:rFonts w:ascii="Arial" w:eastAsia="Calibri" w:hAnsi="Arial" w:cs="Arial"/>
          <w:lang w:val="es-ES"/>
        </w:rPr>
        <w:t xml:space="preserve">con el </w:t>
      </w:r>
      <w:r w:rsidR="003553D1" w:rsidRPr="00FF7287">
        <w:rPr>
          <w:rFonts w:ascii="Arial" w:eastAsia="Calibri" w:hAnsi="Arial" w:cs="Arial"/>
          <w:lang w:val="es-ES"/>
        </w:rPr>
        <w:t xml:space="preserve">artículo 12, </w:t>
      </w:r>
      <w:bookmarkStart w:id="7" w:name="12"/>
      <w:r w:rsidR="003553D1" w:rsidRPr="00FF7287">
        <w:rPr>
          <w:rFonts w:ascii="Arial" w:eastAsia="Calibri" w:hAnsi="Arial" w:cs="Arial"/>
          <w:lang w:val="es-ES"/>
        </w:rPr>
        <w:t>literal k</w:t>
      </w:r>
      <w:r w:rsidR="00E05216" w:rsidRPr="00FF7287">
        <w:rPr>
          <w:rFonts w:ascii="Arial" w:eastAsia="Calibri" w:hAnsi="Arial" w:cs="Arial"/>
          <w:lang w:val="es-ES"/>
        </w:rPr>
        <w:t xml:space="preserve"> del EOSF</w:t>
      </w:r>
      <w:r w:rsidR="003553D1" w:rsidRPr="00FF7287">
        <w:rPr>
          <w:rFonts w:ascii="Arial" w:eastAsia="Calibri" w:hAnsi="Arial" w:cs="Arial"/>
          <w:lang w:val="es-ES"/>
        </w:rPr>
        <w:t xml:space="preserve"> que dispone: </w:t>
      </w:r>
      <w:r w:rsidR="00DF55AB" w:rsidRPr="00FF7287">
        <w:rPr>
          <w:rFonts w:ascii="Arial" w:eastAsia="Calibri" w:hAnsi="Arial" w:cs="Arial"/>
          <w:color w:val="000000" w:themeColor="text1"/>
          <w:lang w:val="es-ES"/>
        </w:rPr>
        <w:t>«</w:t>
      </w:r>
      <w:r w:rsidR="001D1D1B" w:rsidRPr="00FF7287">
        <w:rPr>
          <w:rFonts w:ascii="Arial" w:hAnsi="Arial" w:cs="Arial"/>
          <w:bCs/>
        </w:rPr>
        <w:t>ARTICULO 12. OPERACIONES AUTORIZADAS CON LAS EMPRESAS.</w:t>
      </w:r>
      <w:bookmarkEnd w:id="7"/>
      <w:r w:rsidR="003553D1" w:rsidRPr="00FF7287">
        <w:rPr>
          <w:rFonts w:ascii="Arial" w:hAnsi="Arial" w:cs="Arial"/>
        </w:rPr>
        <w:t xml:space="preserve"> </w:t>
      </w:r>
      <w:r w:rsidR="001D1D1B" w:rsidRPr="00FF7287">
        <w:rPr>
          <w:rFonts w:ascii="Arial" w:hAnsi="Arial" w:cs="Arial"/>
        </w:rPr>
        <w:t>Las corporaciones financieras, en relación con las empres</w:t>
      </w:r>
      <w:r w:rsidR="003553D1" w:rsidRPr="00FF7287">
        <w:rPr>
          <w:rFonts w:ascii="Arial" w:hAnsi="Arial" w:cs="Arial"/>
        </w:rPr>
        <w:t xml:space="preserve">as a que se refiere el artículo </w:t>
      </w:r>
      <w:hyperlink r:id="rId12" w:anchor="11" w:history="1">
        <w:r w:rsidR="001D1D1B" w:rsidRPr="00FF7287">
          <w:rPr>
            <w:rFonts w:ascii="Arial" w:hAnsi="Arial" w:cs="Arial"/>
          </w:rPr>
          <w:t>11</w:t>
        </w:r>
      </w:hyperlink>
      <w:r w:rsidR="003553D1" w:rsidRPr="00FF7287">
        <w:rPr>
          <w:rFonts w:ascii="Arial" w:hAnsi="Arial" w:cs="Arial"/>
        </w:rPr>
        <w:t xml:space="preserve"> </w:t>
      </w:r>
      <w:r w:rsidR="001D1D1B" w:rsidRPr="00FF7287">
        <w:rPr>
          <w:rFonts w:ascii="Arial" w:hAnsi="Arial" w:cs="Arial"/>
        </w:rPr>
        <w:t>del presente Estatuto, sólo podrán realizar las siguientes operaciones:</w:t>
      </w:r>
      <w:r w:rsidR="003553D1" w:rsidRPr="00FF7287">
        <w:rPr>
          <w:rFonts w:ascii="Arial" w:hAnsi="Arial" w:cs="Arial"/>
        </w:rPr>
        <w:t xml:space="preserve"> […] k. Otorgar y recibir avales y garantías en moneda legal o extranjera de acuerdo con las disposiciones de la Junta Directiva del Banco de la República y del Gobierno Nacional, cada uno dentro de su competencia</w:t>
      </w:r>
      <w:r w:rsidR="003553D1" w:rsidRPr="00FF7287">
        <w:rPr>
          <w:rFonts w:ascii="Arial" w:eastAsia="Calibri" w:hAnsi="Arial" w:cs="Arial"/>
          <w:color w:val="000000" w:themeColor="text1"/>
          <w:lang w:val="es-ES"/>
        </w:rPr>
        <w:t>»</w:t>
      </w:r>
      <w:r w:rsidR="003553D1" w:rsidRPr="00FF7287">
        <w:rPr>
          <w:rFonts w:ascii="Arial" w:hAnsi="Arial" w:cs="Arial"/>
        </w:rPr>
        <w:t>.</w:t>
      </w:r>
    </w:p>
    <w:p w14:paraId="2ECA34C4" w14:textId="1EF97223" w:rsidR="003553D1" w:rsidRPr="00FF7287" w:rsidRDefault="003553D1" w:rsidP="003553D1">
      <w:pPr>
        <w:spacing w:after="120" w:line="276" w:lineRule="auto"/>
        <w:ind w:firstLine="708"/>
        <w:jc w:val="both"/>
        <w:rPr>
          <w:rFonts w:ascii="Arial" w:eastAsia="Calibri" w:hAnsi="Arial" w:cs="Arial"/>
          <w:lang w:val="es-ES"/>
        </w:rPr>
      </w:pPr>
      <w:r w:rsidRPr="00FF7287">
        <w:rPr>
          <w:rFonts w:ascii="Arial" w:eastAsia="Calibri" w:hAnsi="Arial" w:cs="Arial"/>
          <w:lang w:val="es-ES"/>
        </w:rPr>
        <w:t>En tercer lugar, las compañías financieras tienen la facultad para la expedición de garantías bancarias, de conformidad con el artículo 24, literal g</w:t>
      </w:r>
      <w:r w:rsidR="00E05216" w:rsidRPr="00FF7287">
        <w:rPr>
          <w:rFonts w:ascii="Arial" w:eastAsia="Calibri" w:hAnsi="Arial" w:cs="Arial"/>
          <w:lang w:val="es-ES"/>
        </w:rPr>
        <w:t xml:space="preserve"> del EOSF</w:t>
      </w:r>
      <w:r w:rsidRPr="00FF7287">
        <w:rPr>
          <w:rFonts w:ascii="Arial" w:eastAsia="Calibri" w:hAnsi="Arial" w:cs="Arial"/>
          <w:lang w:val="es-ES"/>
        </w:rPr>
        <w:t xml:space="preserve"> el cual prescribe: </w:t>
      </w:r>
      <w:bookmarkStart w:id="8" w:name="24"/>
      <w:r w:rsidRPr="00FF7287">
        <w:rPr>
          <w:rFonts w:ascii="Arial" w:eastAsia="Calibri" w:hAnsi="Arial" w:cs="Arial"/>
          <w:color w:val="000000" w:themeColor="text1"/>
          <w:lang w:val="es-ES"/>
        </w:rPr>
        <w:t>«</w:t>
      </w:r>
      <w:r w:rsidRPr="00FF7287">
        <w:rPr>
          <w:rFonts w:ascii="Arial" w:hAnsi="Arial" w:cs="Arial"/>
          <w:bCs/>
        </w:rPr>
        <w:t>ARTICULO 24. OPERACIONES AUTORIZADAS.</w:t>
      </w:r>
      <w:bookmarkEnd w:id="8"/>
      <w:r w:rsidRPr="00FF7287">
        <w:rPr>
          <w:rFonts w:ascii="Arial" w:hAnsi="Arial" w:cs="Arial"/>
        </w:rPr>
        <w:t xml:space="preserve"> Las compañ</w:t>
      </w:r>
      <w:r w:rsidR="000051BB" w:rsidRPr="00FF7287">
        <w:rPr>
          <w:rFonts w:ascii="Arial" w:hAnsi="Arial" w:cs="Arial"/>
        </w:rPr>
        <w:t>ías de financiamiento comercial</w:t>
      </w:r>
      <w:r w:rsidRPr="00FF7287">
        <w:rPr>
          <w:rFonts w:ascii="Arial" w:hAnsi="Arial" w:cs="Arial"/>
        </w:rPr>
        <w:t xml:space="preserve"> en desarrollo de su objeto principal podrán: […] g. Otorgar avales y garantías en los términos que para el efecto autoricen la Junta Directiva del Banco de la República y el Gobierno Nacional, cada uno según sus facultades legales</w:t>
      </w:r>
      <w:r w:rsidRPr="00FF7287">
        <w:rPr>
          <w:rFonts w:ascii="Arial" w:eastAsia="Calibri" w:hAnsi="Arial" w:cs="Arial"/>
          <w:color w:val="000000" w:themeColor="text1"/>
          <w:lang w:val="es-ES"/>
        </w:rPr>
        <w:t>»</w:t>
      </w:r>
      <w:r w:rsidRPr="00FF7287">
        <w:rPr>
          <w:rFonts w:ascii="Arial" w:hAnsi="Arial" w:cs="Arial"/>
        </w:rPr>
        <w:t xml:space="preserve">. </w:t>
      </w:r>
    </w:p>
    <w:p w14:paraId="1731A135" w14:textId="629C6841" w:rsidR="00D116D9" w:rsidRPr="00FF7287" w:rsidRDefault="00D116D9" w:rsidP="00D116D9">
      <w:pPr>
        <w:spacing w:after="120" w:line="276" w:lineRule="auto"/>
        <w:ind w:firstLine="708"/>
        <w:jc w:val="both"/>
        <w:rPr>
          <w:rFonts w:ascii="Arial" w:eastAsia="Calibri" w:hAnsi="Arial" w:cs="Arial"/>
          <w:lang w:val="es-ES"/>
        </w:rPr>
      </w:pPr>
      <w:r w:rsidRPr="00FF7287">
        <w:rPr>
          <w:rFonts w:ascii="Arial" w:eastAsia="Calibri" w:hAnsi="Arial" w:cs="Arial"/>
          <w:lang w:val="es-ES"/>
        </w:rPr>
        <w:t>Teniendo en cuenta lo anterior, es necesario que la entidad financiera se organice de conf</w:t>
      </w:r>
      <w:r w:rsidR="00F66123" w:rsidRPr="00FF7287">
        <w:rPr>
          <w:rFonts w:ascii="Arial" w:eastAsia="Calibri" w:hAnsi="Arial" w:cs="Arial"/>
          <w:lang w:val="es-ES"/>
        </w:rPr>
        <w:t xml:space="preserve">ormidad </w:t>
      </w:r>
      <w:r w:rsidR="00E05216" w:rsidRPr="00FF7287">
        <w:rPr>
          <w:rFonts w:ascii="Arial" w:eastAsia="Calibri" w:hAnsi="Arial" w:cs="Arial"/>
          <w:lang w:val="es-ES"/>
        </w:rPr>
        <w:t>con</w:t>
      </w:r>
      <w:r w:rsidR="00F66123" w:rsidRPr="00FF7287">
        <w:rPr>
          <w:rFonts w:ascii="Arial" w:eastAsia="Calibri" w:hAnsi="Arial" w:cs="Arial"/>
          <w:lang w:val="es-ES"/>
        </w:rPr>
        <w:t xml:space="preserve"> lo previsto en el Estatuto Orgánico del Sistema Financiero</w:t>
      </w:r>
      <w:r w:rsidRPr="00FF7287">
        <w:rPr>
          <w:rFonts w:ascii="Arial" w:eastAsia="Calibri" w:hAnsi="Arial" w:cs="Arial"/>
          <w:lang w:val="es-ES"/>
        </w:rPr>
        <w:t xml:space="preserve">, pues si no lo hiciera, no podría realizar las operaciones autorizadas mencionadas previamente. De esta manera, el artículo 53 del Estatuto Orgánico del Sistema Financiero consagra un procedimiento para la constitución de las entidades financieras, que al final resulta determinante para que la entidad pueda otorgar, tanto cartas de crédito como garantías bancarias. </w:t>
      </w:r>
    </w:p>
    <w:p w14:paraId="6CCEAB05" w14:textId="4A80B4BE" w:rsidR="000051BB" w:rsidRPr="00FF7287" w:rsidRDefault="000051BB" w:rsidP="002838AC">
      <w:pPr>
        <w:spacing w:after="0" w:line="276" w:lineRule="auto"/>
        <w:ind w:firstLine="709"/>
        <w:jc w:val="both"/>
        <w:rPr>
          <w:rFonts w:ascii="Arial" w:eastAsia="Calibri" w:hAnsi="Arial" w:cs="Arial"/>
          <w:lang w:val="es-ES"/>
        </w:rPr>
      </w:pPr>
      <w:r w:rsidRPr="00FF7287">
        <w:rPr>
          <w:rFonts w:ascii="Arial" w:eastAsia="Calibri" w:hAnsi="Arial" w:cs="Arial"/>
          <w:lang w:val="es-ES"/>
        </w:rPr>
        <w:t xml:space="preserve">No obstante, se recomienda </w:t>
      </w:r>
      <w:r w:rsidR="00DA48B6">
        <w:rPr>
          <w:rFonts w:ascii="Arial" w:eastAsia="Calibri" w:hAnsi="Arial" w:cs="Arial"/>
          <w:lang w:val="es-ES"/>
        </w:rPr>
        <w:t xml:space="preserve">al peticionario </w:t>
      </w:r>
      <w:r w:rsidRPr="00FF7287">
        <w:rPr>
          <w:rFonts w:ascii="Arial" w:eastAsia="Calibri" w:hAnsi="Arial" w:cs="Arial"/>
          <w:lang w:val="es-ES"/>
        </w:rPr>
        <w:t>que si requiere un mayor análisis sobre quién o qui</w:t>
      </w:r>
      <w:r w:rsidR="00DA48B6">
        <w:rPr>
          <w:rFonts w:ascii="Arial" w:eastAsia="Calibri" w:hAnsi="Arial" w:cs="Arial"/>
          <w:lang w:val="es-ES"/>
        </w:rPr>
        <w:t>é</w:t>
      </w:r>
      <w:r w:rsidRPr="00FF7287">
        <w:rPr>
          <w:rFonts w:ascii="Arial" w:eastAsia="Calibri" w:hAnsi="Arial" w:cs="Arial"/>
          <w:lang w:val="es-ES"/>
        </w:rPr>
        <w:t>nes están autorizados para expedir garantías bancarias</w:t>
      </w:r>
      <w:r w:rsidR="006E6934" w:rsidRPr="00FF7287">
        <w:rPr>
          <w:rFonts w:ascii="Arial" w:eastAsia="Calibri" w:hAnsi="Arial" w:cs="Arial"/>
          <w:lang w:val="es-ES"/>
        </w:rPr>
        <w:t xml:space="preserve"> o cartas de crédito </w:t>
      </w:r>
      <w:r w:rsidR="006E6934" w:rsidRPr="004646EA">
        <w:rPr>
          <w:rFonts w:ascii="Arial" w:eastAsia="Calibri" w:hAnsi="Arial" w:cs="Arial"/>
          <w:i/>
          <w:iCs/>
          <w:lang w:val="es-ES"/>
        </w:rPr>
        <w:t xml:space="preserve">stand </w:t>
      </w:r>
      <w:proofErr w:type="spellStart"/>
      <w:r w:rsidR="006E6934" w:rsidRPr="004646EA">
        <w:rPr>
          <w:rFonts w:ascii="Arial" w:eastAsia="Calibri" w:hAnsi="Arial" w:cs="Arial"/>
          <w:i/>
          <w:iCs/>
          <w:lang w:val="es-ES"/>
        </w:rPr>
        <w:t>by</w:t>
      </w:r>
      <w:proofErr w:type="spellEnd"/>
      <w:r w:rsidR="0088518F" w:rsidRPr="00FF7287">
        <w:rPr>
          <w:rFonts w:ascii="Arial" w:eastAsia="Calibri" w:hAnsi="Arial" w:cs="Arial"/>
          <w:lang w:val="es-ES"/>
        </w:rPr>
        <w:t>,</w:t>
      </w:r>
      <w:r w:rsidRPr="00FF7287">
        <w:rPr>
          <w:rFonts w:ascii="Arial" w:eastAsia="Calibri" w:hAnsi="Arial" w:cs="Arial"/>
          <w:lang w:val="es-ES"/>
        </w:rPr>
        <w:t xml:space="preserve"> </w:t>
      </w:r>
      <w:r w:rsidR="0088518F" w:rsidRPr="00FF7287">
        <w:rPr>
          <w:rFonts w:ascii="Arial" w:eastAsia="Calibri" w:hAnsi="Arial" w:cs="Arial"/>
          <w:lang w:val="es-ES"/>
        </w:rPr>
        <w:t xml:space="preserve">se </w:t>
      </w:r>
      <w:r w:rsidRPr="00FF7287">
        <w:rPr>
          <w:rFonts w:ascii="Arial" w:eastAsia="Calibri" w:hAnsi="Arial" w:cs="Arial"/>
          <w:lang w:val="es-ES"/>
        </w:rPr>
        <w:t>acuda a la S</w:t>
      </w:r>
      <w:r w:rsidR="006E6934" w:rsidRPr="00FF7287">
        <w:rPr>
          <w:rFonts w:ascii="Arial" w:eastAsia="Calibri" w:hAnsi="Arial" w:cs="Arial"/>
          <w:lang w:val="es-ES"/>
        </w:rPr>
        <w:t xml:space="preserve">uperintendencia </w:t>
      </w:r>
      <w:r w:rsidRPr="00FF7287">
        <w:rPr>
          <w:rFonts w:ascii="Arial" w:eastAsia="Calibri" w:hAnsi="Arial" w:cs="Arial"/>
          <w:lang w:val="es-ES"/>
        </w:rPr>
        <w:t>Financiera</w:t>
      </w:r>
      <w:r w:rsidR="00DA48B6">
        <w:rPr>
          <w:rFonts w:ascii="Arial" w:eastAsia="Calibri" w:hAnsi="Arial" w:cs="Arial"/>
          <w:lang w:val="es-ES"/>
        </w:rPr>
        <w:t xml:space="preserve"> de Colombia,</w:t>
      </w:r>
      <w:r w:rsidR="006E6934" w:rsidRPr="00FF7287">
        <w:rPr>
          <w:rFonts w:ascii="Arial" w:eastAsia="Calibri" w:hAnsi="Arial" w:cs="Arial"/>
          <w:lang w:val="es-ES"/>
        </w:rPr>
        <w:t xml:space="preserve"> </w:t>
      </w:r>
      <w:r w:rsidR="00DA48B6">
        <w:rPr>
          <w:rFonts w:ascii="Arial" w:eastAsia="Calibri" w:hAnsi="Arial" w:cs="Arial"/>
          <w:lang w:val="es-ES"/>
        </w:rPr>
        <w:t>de acuerdo con las competencias establecidas en el Decreto 2555 de 2010</w:t>
      </w:r>
      <w:r w:rsidR="006E6934" w:rsidRPr="00FF7287">
        <w:rPr>
          <w:rFonts w:ascii="Arial" w:eastAsia="Calibri" w:hAnsi="Arial" w:cs="Arial"/>
          <w:lang w:val="es-ES"/>
        </w:rPr>
        <w:t xml:space="preserve">, pues se precisa </w:t>
      </w:r>
      <w:r w:rsidRPr="00FF7287">
        <w:rPr>
          <w:rFonts w:ascii="Arial" w:eastAsia="Calibri" w:hAnsi="Arial" w:cs="Arial"/>
          <w:lang w:val="es-ES"/>
        </w:rPr>
        <w:t>que la Agencia Nacional de Contratación Pública – Colombia Compra Eficiente solo está facultada</w:t>
      </w:r>
      <w:r w:rsidR="006E6934" w:rsidRPr="00FF7287">
        <w:rPr>
          <w:rFonts w:ascii="Arial" w:eastAsia="Calibri" w:hAnsi="Arial" w:cs="Arial"/>
          <w:lang w:val="es-ES"/>
        </w:rPr>
        <w:t xml:space="preserve"> para absolver consultas sobre disposiciones de carácter general en el sistema de compra pública.</w:t>
      </w:r>
      <w:r w:rsidR="00DA48B6">
        <w:rPr>
          <w:rFonts w:ascii="Arial" w:eastAsia="Calibri" w:hAnsi="Arial" w:cs="Arial"/>
          <w:lang w:val="es-ES"/>
        </w:rPr>
        <w:t xml:space="preserve"> Lo anterior</w:t>
      </w:r>
      <w:r w:rsidR="004646EA">
        <w:rPr>
          <w:rFonts w:ascii="Arial" w:eastAsia="Calibri" w:hAnsi="Arial" w:cs="Arial"/>
          <w:lang w:val="es-ES"/>
        </w:rPr>
        <w:t>, además</w:t>
      </w:r>
      <w:r w:rsidR="00DA48B6">
        <w:rPr>
          <w:rFonts w:ascii="Arial" w:eastAsia="Calibri" w:hAnsi="Arial" w:cs="Arial"/>
          <w:lang w:val="es-ES"/>
        </w:rPr>
        <w:t xml:space="preserve">, bajo el entendido de que, como lo establece el </w:t>
      </w:r>
      <w:r w:rsidR="001C1878">
        <w:rPr>
          <w:rFonts w:ascii="Arial" w:eastAsia="Calibri" w:hAnsi="Arial" w:cs="Arial"/>
          <w:lang w:val="es-ES"/>
        </w:rPr>
        <w:t xml:space="preserve">artículo </w:t>
      </w:r>
      <w:r w:rsidR="001C1878" w:rsidRPr="001C1878">
        <w:rPr>
          <w:rFonts w:ascii="Arial" w:eastAsia="Calibri" w:hAnsi="Arial" w:cs="Arial"/>
          <w:lang w:val="es-ES"/>
        </w:rPr>
        <w:t>2.2.1.2.3.4.1.</w:t>
      </w:r>
      <w:r w:rsidR="004646EA">
        <w:rPr>
          <w:rFonts w:ascii="Arial" w:eastAsia="Calibri" w:hAnsi="Arial" w:cs="Arial"/>
          <w:lang w:val="es-ES"/>
        </w:rPr>
        <w:t xml:space="preserve"> del Decreto 1082 de 2015, las</w:t>
      </w:r>
      <w:r w:rsidR="001C1878">
        <w:rPr>
          <w:rFonts w:ascii="Arial" w:eastAsia="Calibri" w:hAnsi="Arial" w:cs="Arial"/>
          <w:lang w:val="es-ES"/>
        </w:rPr>
        <w:t xml:space="preserve"> garantías bancarias deben ser expedidas por una entidad financiera autorizada por la Superintendencia Financiera.</w:t>
      </w:r>
      <w:r w:rsidR="00DA48B6">
        <w:rPr>
          <w:rFonts w:ascii="Arial" w:eastAsia="Calibri" w:hAnsi="Arial" w:cs="Arial"/>
          <w:lang w:val="es-ES"/>
        </w:rPr>
        <w:t xml:space="preserve"> </w:t>
      </w:r>
    </w:p>
    <w:p w14:paraId="37F98DD6" w14:textId="77777777" w:rsidR="006E6934" w:rsidRPr="00FF7287" w:rsidRDefault="006E6934" w:rsidP="002838AC">
      <w:pPr>
        <w:spacing w:after="0" w:line="276" w:lineRule="auto"/>
        <w:ind w:firstLine="709"/>
        <w:jc w:val="both"/>
        <w:rPr>
          <w:rFonts w:ascii="Arial" w:eastAsia="Calibri" w:hAnsi="Arial" w:cs="Arial"/>
          <w:lang w:val="es-ES"/>
        </w:rPr>
      </w:pPr>
    </w:p>
    <w:p w14:paraId="1AAD2404" w14:textId="08921383" w:rsidR="00D116D9" w:rsidRPr="00FF7287" w:rsidRDefault="00D116D9" w:rsidP="00D116D9">
      <w:pPr>
        <w:numPr>
          <w:ilvl w:val="0"/>
          <w:numId w:val="7"/>
        </w:numPr>
        <w:tabs>
          <w:tab w:val="left" w:pos="284"/>
        </w:tabs>
        <w:spacing w:after="120" w:line="276" w:lineRule="auto"/>
        <w:ind w:left="0" w:right="709" w:firstLine="0"/>
        <w:contextualSpacing/>
        <w:jc w:val="both"/>
        <w:rPr>
          <w:rFonts w:ascii="Arial" w:hAnsi="Arial" w:cs="Arial"/>
          <w:lang w:val="es-ES"/>
        </w:rPr>
      </w:pPr>
      <w:r w:rsidRPr="00FF7287">
        <w:rPr>
          <w:rFonts w:ascii="Arial" w:hAnsi="Arial" w:cs="Arial"/>
          <w:b/>
          <w:bCs/>
          <w:lang w:val="es-ES"/>
        </w:rPr>
        <w:t xml:space="preserve">Respuesta </w:t>
      </w:r>
    </w:p>
    <w:p w14:paraId="67032B94" w14:textId="77777777" w:rsidR="006E6934" w:rsidRPr="00FF7287" w:rsidRDefault="006E6934" w:rsidP="006E6934">
      <w:pPr>
        <w:tabs>
          <w:tab w:val="left" w:pos="284"/>
        </w:tabs>
        <w:spacing w:after="120" w:line="276" w:lineRule="auto"/>
        <w:ind w:right="709"/>
        <w:contextualSpacing/>
        <w:jc w:val="both"/>
        <w:rPr>
          <w:rFonts w:ascii="Arial" w:hAnsi="Arial" w:cs="Arial"/>
          <w:lang w:val="es-ES"/>
        </w:rPr>
      </w:pPr>
    </w:p>
    <w:p w14:paraId="7F4B6FD6" w14:textId="08537BDA" w:rsidR="00D116D9" w:rsidRPr="00FF7287" w:rsidRDefault="000C145F" w:rsidP="00D116D9">
      <w:pPr>
        <w:spacing w:after="120" w:line="240" w:lineRule="auto"/>
        <w:ind w:left="709" w:right="709"/>
        <w:jc w:val="both"/>
        <w:rPr>
          <w:rFonts w:ascii="Arial" w:hAnsi="Arial" w:cs="Arial"/>
          <w:color w:val="000000" w:themeColor="text1"/>
          <w:sz w:val="21"/>
          <w:szCs w:val="21"/>
          <w:lang w:val="es-ES"/>
        </w:rPr>
      </w:pPr>
      <w:r w:rsidRPr="00FF7287">
        <w:rPr>
          <w:rFonts w:ascii="Arial" w:eastAsia="Calibri" w:hAnsi="Arial" w:cs="Arial"/>
          <w:lang w:val="es-ES"/>
        </w:rPr>
        <w:t>«</w:t>
      </w:r>
      <w:r w:rsidRPr="00FF7287">
        <w:rPr>
          <w:rFonts w:ascii="Arial" w:hAnsi="Arial" w:cs="Arial"/>
        </w:rPr>
        <w:t xml:space="preserve">¿una cooperativa de aporte y </w:t>
      </w:r>
      <w:proofErr w:type="gramStart"/>
      <w:r w:rsidRPr="00FF7287">
        <w:rPr>
          <w:rFonts w:ascii="Arial" w:hAnsi="Arial" w:cs="Arial"/>
        </w:rPr>
        <w:t>crédito,</w:t>
      </w:r>
      <w:proofErr w:type="gramEnd"/>
      <w:r w:rsidRPr="00FF7287">
        <w:rPr>
          <w:rFonts w:ascii="Arial" w:hAnsi="Arial" w:cs="Arial"/>
        </w:rPr>
        <w:t xml:space="preserve"> puede aprobar garantía de seriedad admisible como amparo de las ofertas para la ejecución de contratos con entidades públicas?</w:t>
      </w:r>
      <w:r w:rsidRPr="00FF7287">
        <w:rPr>
          <w:rFonts w:ascii="Arial" w:eastAsia="Calibri" w:hAnsi="Arial" w:cs="Arial"/>
          <w:lang w:val="es-ES"/>
        </w:rPr>
        <w:t>».</w:t>
      </w:r>
    </w:p>
    <w:p w14:paraId="5AEC0752" w14:textId="16AF7309" w:rsidR="00D116D9" w:rsidRPr="00FF7287" w:rsidRDefault="00D116D9" w:rsidP="00D116D9">
      <w:pPr>
        <w:spacing w:after="0" w:line="240" w:lineRule="auto"/>
        <w:jc w:val="both"/>
        <w:rPr>
          <w:rFonts w:ascii="Arial" w:eastAsia="Arial" w:hAnsi="Arial" w:cs="Arial"/>
          <w:color w:val="000000" w:themeColor="text1"/>
          <w:lang w:eastAsia="es-ES"/>
        </w:rPr>
      </w:pPr>
    </w:p>
    <w:p w14:paraId="3602F7F9" w14:textId="77777777" w:rsidR="00FF5818" w:rsidRPr="00FF7287" w:rsidRDefault="00FF5818" w:rsidP="00FF5818">
      <w:pPr>
        <w:spacing w:after="120" w:line="276" w:lineRule="auto"/>
        <w:jc w:val="both"/>
        <w:rPr>
          <w:rFonts w:ascii="Arial" w:eastAsia="Calibri" w:hAnsi="Arial" w:cs="Arial"/>
          <w:lang w:val="es-ES"/>
        </w:rPr>
      </w:pPr>
      <w:r w:rsidRPr="00FF7287">
        <w:rPr>
          <w:rFonts w:ascii="Arial" w:eastAsia="Calibri" w:hAnsi="Arial" w:cs="Arial"/>
          <w:lang w:val="es-ES"/>
        </w:rPr>
        <w:t xml:space="preserve">De acuerdo con las consideraciones de este concepto, con el fin de abordar el objeto de la consulta y sin perjuicio de que en todo caso deba verificarse el cumplimiento del resto de </w:t>
      </w:r>
      <w:r w:rsidRPr="00FF7287">
        <w:rPr>
          <w:rFonts w:ascii="Arial" w:eastAsia="Calibri" w:hAnsi="Arial" w:cs="Arial"/>
          <w:lang w:val="es-ES"/>
        </w:rPr>
        <w:lastRenderedPageBreak/>
        <w:t xml:space="preserve">condiciones exigidas para este tipo de garantías, se profundizará en la exigencia del primer numeral del artículo citado en el párrafo anterior: «1. La garantía debe constar en documento expedido por una entidad financiera autorizada por la Superintendencia Financiera o quien haga sus veces, otorgado de acuerdo con las normas del Estatuto Orgánico del Sistema Financiero». </w:t>
      </w:r>
    </w:p>
    <w:p w14:paraId="2AEFD8EF" w14:textId="77777777" w:rsidR="00FF5818" w:rsidRPr="00FF7287" w:rsidRDefault="00FF5818" w:rsidP="00FF5818">
      <w:pPr>
        <w:spacing w:after="120" w:line="276" w:lineRule="auto"/>
        <w:jc w:val="both"/>
        <w:rPr>
          <w:rFonts w:ascii="Arial" w:eastAsia="Calibri" w:hAnsi="Arial" w:cs="Arial"/>
          <w:lang w:val="es-ES"/>
        </w:rPr>
      </w:pPr>
      <w:r w:rsidRPr="00FF7287">
        <w:rPr>
          <w:rFonts w:ascii="Arial" w:eastAsia="Calibri" w:hAnsi="Arial" w:cs="Arial"/>
          <w:lang w:val="es-ES"/>
        </w:rPr>
        <w:tab/>
        <w:t xml:space="preserve">Como se observa de dicha condición, para que la garantía bancaria pueda recibirse por la entidad estatal, ya sea como garantía de cumplimiento o de seriedad de la oferta, se requiere que: i) el documento sea expedido por una entidad financiera autorizada por la Superintendencia Financiera, y </w:t>
      </w:r>
      <w:proofErr w:type="spellStart"/>
      <w:r w:rsidRPr="00FF7287">
        <w:rPr>
          <w:rFonts w:ascii="Arial" w:eastAsia="Calibri" w:hAnsi="Arial" w:cs="Arial"/>
          <w:lang w:val="es-ES"/>
        </w:rPr>
        <w:t>ii</w:t>
      </w:r>
      <w:proofErr w:type="spellEnd"/>
      <w:r w:rsidRPr="00FF7287">
        <w:rPr>
          <w:rFonts w:ascii="Arial" w:eastAsia="Calibri" w:hAnsi="Arial" w:cs="Arial"/>
          <w:lang w:val="es-ES"/>
        </w:rPr>
        <w:t>) que este se otorgue de conformidad con las normas del Estatuto Orgánico del Sistema Financiero.</w:t>
      </w:r>
    </w:p>
    <w:p w14:paraId="4E621B9F" w14:textId="77777777" w:rsidR="00FF5818" w:rsidRPr="00FF7287" w:rsidRDefault="00FF5818" w:rsidP="00FF5818">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De esta manera, y para responder la pregunta del peticionario, resulta imprescindible que la Superintendencia Financiera haya autorizado a la entidad financiera para el otorgamiento de las garantías bancarias y cartas de crédito </w:t>
      </w:r>
      <w:r w:rsidRPr="00FF7287">
        <w:rPr>
          <w:rFonts w:ascii="Arial" w:eastAsia="Calibri" w:hAnsi="Arial" w:cs="Arial"/>
          <w:i/>
          <w:iCs/>
          <w:lang w:val="es-ES"/>
        </w:rPr>
        <w:t xml:space="preserve">stand </w:t>
      </w:r>
      <w:proofErr w:type="spellStart"/>
      <w:r w:rsidRPr="00FF7287">
        <w:rPr>
          <w:rFonts w:ascii="Arial" w:eastAsia="Calibri" w:hAnsi="Arial" w:cs="Arial"/>
          <w:i/>
          <w:iCs/>
          <w:lang w:val="es-ES"/>
        </w:rPr>
        <w:t>by</w:t>
      </w:r>
      <w:proofErr w:type="spellEnd"/>
      <w:r w:rsidRPr="00FF7287">
        <w:rPr>
          <w:rFonts w:ascii="Arial" w:eastAsia="Calibri" w:hAnsi="Arial" w:cs="Arial"/>
          <w:lang w:val="es-ES"/>
        </w:rPr>
        <w:t>; pues de lo contrario, la entidad estatal no podría aceptar dichas garantías al no cumplir con las condiciones previstas en el artículo 2.2.1.2.1.4.1 del Decreto 1082 de 2015.</w:t>
      </w:r>
    </w:p>
    <w:p w14:paraId="24CA7197" w14:textId="77777777" w:rsidR="00FF5818" w:rsidRPr="00FF7287" w:rsidRDefault="00FF5818" w:rsidP="00FF5818">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De esta manera, en cuanto a la posibilidad de que las Cooperativas de Aporte y Crédito puedan otorgar las garantías mencionadas </w:t>
      </w:r>
      <w:r w:rsidRPr="00FF7287">
        <w:rPr>
          <w:rFonts w:ascii="Arial" w:eastAsia="Calibri" w:hAnsi="Arial" w:cs="Arial"/>
          <w:i/>
          <w:iCs/>
          <w:lang w:val="es-ES"/>
        </w:rPr>
        <w:t>ut supra,</w:t>
      </w:r>
      <w:r w:rsidRPr="00FF7287">
        <w:rPr>
          <w:rFonts w:ascii="Arial" w:eastAsia="Calibri" w:hAnsi="Arial" w:cs="Arial"/>
          <w:lang w:val="es-ES"/>
        </w:rPr>
        <w:t xml:space="preserve"> es necesario remitirse al Decreto Ley 663 de 1993, </w:t>
      </w:r>
      <w:r w:rsidRPr="00FF7287">
        <w:rPr>
          <w:rFonts w:ascii="Arial" w:eastAsia="Calibri" w:hAnsi="Arial" w:cs="Arial"/>
          <w:color w:val="000000" w:themeColor="text1"/>
          <w:lang w:val="es-ES"/>
        </w:rPr>
        <w:t>«</w:t>
      </w:r>
      <w:r w:rsidRPr="00FF7287">
        <w:rPr>
          <w:rFonts w:ascii="Arial" w:eastAsia="Calibri" w:hAnsi="Arial" w:cs="Arial"/>
          <w:lang w:val="es-ES"/>
        </w:rPr>
        <w:t>Estatuto Orgánico del Sistema Financiero</w:t>
      </w:r>
      <w:r w:rsidRPr="00FF7287">
        <w:rPr>
          <w:rFonts w:ascii="Arial" w:eastAsia="Calibri" w:hAnsi="Arial" w:cs="Arial"/>
          <w:color w:val="000000" w:themeColor="text1"/>
          <w:lang w:val="es-ES"/>
        </w:rPr>
        <w:t>»</w:t>
      </w:r>
      <w:r w:rsidRPr="00FF7287">
        <w:rPr>
          <w:rFonts w:ascii="Arial" w:eastAsia="Calibri" w:hAnsi="Arial" w:cs="Arial"/>
          <w:lang w:val="es-ES"/>
        </w:rPr>
        <w:t xml:space="preserve"> –en adelante, EOSF– la cual define las organizaciones y entidades autorizadas para expedirlas. Al respecto, la Agencia Nacional de Contratación Pública –Colombia Compra Eficiente– en la Guía de garantías en procesos de contratación señala que: </w:t>
      </w:r>
      <w:r w:rsidRPr="00FF7287">
        <w:rPr>
          <w:rFonts w:ascii="Arial" w:eastAsia="Calibri" w:hAnsi="Arial" w:cs="Arial"/>
          <w:color w:val="000000" w:themeColor="text1"/>
          <w:lang w:val="es-ES"/>
        </w:rPr>
        <w:t>«</w:t>
      </w:r>
      <w:r w:rsidRPr="00FF7287">
        <w:rPr>
          <w:rFonts w:ascii="Arial" w:hAnsi="Arial" w:cs="Arial"/>
        </w:rPr>
        <w:t>En Colombia están facultados a emitir garantías</w:t>
      </w:r>
      <w:r w:rsidRPr="00FF7287">
        <w:rPr>
          <w:rFonts w:ascii="Arial" w:eastAsia="Calibri" w:hAnsi="Arial" w:cs="Arial"/>
          <w:lang w:val="es-ES"/>
        </w:rPr>
        <w:t xml:space="preserve"> </w:t>
      </w:r>
      <w:r w:rsidRPr="00FF7287">
        <w:rPr>
          <w:rFonts w:ascii="Arial" w:hAnsi="Arial" w:cs="Arial"/>
        </w:rPr>
        <w:t xml:space="preserve">bancarias las siguientes entidades financieras habilitadas por la Superintendencia Financiera: </w:t>
      </w:r>
      <w:r w:rsidRPr="00FF7287">
        <w:rPr>
          <w:rFonts w:ascii="Arial" w:hAnsi="Arial" w:cs="Arial"/>
          <w:i/>
          <w:iCs/>
        </w:rPr>
        <w:t xml:space="preserve">a) </w:t>
      </w:r>
      <w:r w:rsidRPr="00FF7287">
        <w:rPr>
          <w:rFonts w:ascii="Arial" w:hAnsi="Arial" w:cs="Arial"/>
        </w:rPr>
        <w:t>los bancos,</w:t>
      </w:r>
      <w:r w:rsidRPr="00FF7287">
        <w:rPr>
          <w:rFonts w:ascii="Arial" w:eastAsia="Calibri" w:hAnsi="Arial" w:cs="Arial"/>
          <w:lang w:val="es-ES"/>
        </w:rPr>
        <w:t xml:space="preserve"> </w:t>
      </w:r>
      <w:r w:rsidRPr="00FF7287">
        <w:rPr>
          <w:rFonts w:ascii="Arial" w:hAnsi="Arial" w:cs="Arial"/>
          <w:i/>
          <w:iCs/>
        </w:rPr>
        <w:t xml:space="preserve">b) </w:t>
      </w:r>
      <w:r w:rsidRPr="00FF7287">
        <w:rPr>
          <w:rFonts w:ascii="Arial" w:hAnsi="Arial" w:cs="Arial"/>
        </w:rPr>
        <w:t xml:space="preserve">las corporaciones financieras y </w:t>
      </w:r>
      <w:r w:rsidRPr="00FF7287">
        <w:rPr>
          <w:rFonts w:ascii="Arial" w:hAnsi="Arial" w:cs="Arial"/>
          <w:i/>
          <w:iCs/>
        </w:rPr>
        <w:t xml:space="preserve">c) </w:t>
      </w:r>
      <w:r w:rsidRPr="00FF7287">
        <w:rPr>
          <w:rFonts w:ascii="Arial" w:hAnsi="Arial" w:cs="Arial"/>
        </w:rPr>
        <w:t>las compañías de financiamiento. Por otra parte, únicamente los</w:t>
      </w:r>
      <w:r w:rsidRPr="00FF7287">
        <w:rPr>
          <w:rFonts w:ascii="Arial" w:eastAsia="Calibri" w:hAnsi="Arial" w:cs="Arial"/>
          <w:lang w:val="es-ES"/>
        </w:rPr>
        <w:t xml:space="preserve"> </w:t>
      </w:r>
      <w:r w:rsidRPr="00FF7287">
        <w:rPr>
          <w:rFonts w:ascii="Arial" w:hAnsi="Arial" w:cs="Arial"/>
        </w:rPr>
        <w:t xml:space="preserve">bancos y las corporaciones financieras están autorizados a emitir cartas de crédito </w:t>
      </w:r>
      <w:r w:rsidRPr="00FF7287">
        <w:rPr>
          <w:rFonts w:ascii="Arial" w:hAnsi="Arial" w:cs="Arial"/>
          <w:i/>
          <w:iCs/>
        </w:rPr>
        <w:t>stand by</w:t>
      </w:r>
      <w:r w:rsidRPr="00FF7287">
        <w:rPr>
          <w:rFonts w:ascii="Arial" w:eastAsia="Calibri" w:hAnsi="Arial" w:cs="Arial"/>
          <w:color w:val="000000" w:themeColor="text1"/>
          <w:lang w:val="es-ES"/>
        </w:rPr>
        <w:t>»</w:t>
      </w:r>
      <w:r w:rsidRPr="00FF7287">
        <w:rPr>
          <w:rStyle w:val="Refdenotaalpie"/>
          <w:rFonts w:ascii="Arial" w:eastAsia="Calibri" w:hAnsi="Arial" w:cs="Arial"/>
          <w:color w:val="000000" w:themeColor="text1"/>
          <w:lang w:val="es-ES"/>
        </w:rPr>
        <w:footnoteReference w:id="8"/>
      </w:r>
      <w:r w:rsidRPr="00FF7287">
        <w:rPr>
          <w:rFonts w:ascii="Arial" w:eastAsia="Calibri" w:hAnsi="Arial" w:cs="Arial"/>
          <w:color w:val="000000" w:themeColor="text1"/>
          <w:lang w:val="es-ES"/>
        </w:rPr>
        <w:t xml:space="preserve">. </w:t>
      </w:r>
      <w:r w:rsidRPr="00FF7287">
        <w:rPr>
          <w:rFonts w:ascii="Arial" w:eastAsia="Calibri" w:hAnsi="Arial" w:cs="Arial"/>
          <w:lang w:val="es-ES"/>
        </w:rPr>
        <w:t xml:space="preserve">En este sentido, a </w:t>
      </w:r>
      <w:proofErr w:type="gramStart"/>
      <w:r w:rsidRPr="00FF7287">
        <w:rPr>
          <w:rFonts w:ascii="Arial" w:eastAsia="Calibri" w:hAnsi="Arial" w:cs="Arial"/>
          <w:lang w:val="es-ES"/>
        </w:rPr>
        <w:t>continuación</w:t>
      </w:r>
      <w:proofErr w:type="gramEnd"/>
      <w:r w:rsidRPr="00FF7287">
        <w:rPr>
          <w:rFonts w:ascii="Arial" w:eastAsia="Calibri" w:hAnsi="Arial" w:cs="Arial"/>
          <w:lang w:val="es-ES"/>
        </w:rPr>
        <w:t xml:space="preserve"> se analizarán las disposiciones que fundamentan la anterior afirmación.</w:t>
      </w:r>
    </w:p>
    <w:p w14:paraId="057464A2" w14:textId="77777777" w:rsidR="00FF5818" w:rsidRPr="00FF7287" w:rsidRDefault="00FF5818" w:rsidP="00FF5818">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En primer lugar, la capacidad de los bancos para la expedición de garantías bancarias es el artículo 7, numeral 1, literal l, del EOSF el cual dispone: </w:t>
      </w:r>
      <w:r w:rsidRPr="00FF7287">
        <w:rPr>
          <w:rFonts w:ascii="Arial" w:eastAsia="Calibri" w:hAnsi="Arial" w:cs="Arial"/>
          <w:color w:val="000000" w:themeColor="text1"/>
          <w:lang w:val="es-ES"/>
        </w:rPr>
        <w:t>«</w:t>
      </w:r>
      <w:r w:rsidRPr="00FF7287">
        <w:rPr>
          <w:rFonts w:ascii="Arial" w:hAnsi="Arial" w:cs="Arial"/>
          <w:bCs/>
        </w:rPr>
        <w:t>ARTICULO 7o. OPERACIONES. 1</w:t>
      </w:r>
      <w:r w:rsidRPr="00FF7287">
        <w:rPr>
          <w:rStyle w:val="baj"/>
          <w:rFonts w:ascii="Arial" w:hAnsi="Arial" w:cs="Arial"/>
          <w:bCs/>
        </w:rPr>
        <w:t>. Operaciones autorizadas.</w:t>
      </w:r>
      <w:r w:rsidRPr="00FF7287">
        <w:rPr>
          <w:rFonts w:ascii="Arial" w:hAnsi="Arial" w:cs="Arial"/>
        </w:rPr>
        <w:t xml:space="preserve"> Todo establecimiento bancario organizado de conformidad con este Estatuto tendrá las siguientes facultades, con sujeción a las restricciones y limitaciones impuestas por las leyes: […] l. Otorgar avales y garantías, con sujeción a los límites y prohibiciones que establezcan la Junta Directiva del Banco de la República y el Gobierno Nacional, cada uno dentro de su competencia</w:t>
      </w:r>
      <w:r w:rsidRPr="00FF7287">
        <w:rPr>
          <w:rFonts w:ascii="Arial" w:eastAsia="Calibri" w:hAnsi="Arial" w:cs="Arial"/>
          <w:color w:val="000000" w:themeColor="text1"/>
          <w:lang w:val="es-ES"/>
        </w:rPr>
        <w:t>»</w:t>
      </w:r>
      <w:r w:rsidRPr="00FF7287">
        <w:rPr>
          <w:rFonts w:ascii="Arial" w:hAnsi="Arial" w:cs="Arial"/>
        </w:rPr>
        <w:t>.</w:t>
      </w:r>
    </w:p>
    <w:p w14:paraId="5D4545DC" w14:textId="77777777" w:rsidR="00FF5818" w:rsidRPr="00FF7287" w:rsidRDefault="00FF5818" w:rsidP="00FF5818">
      <w:pPr>
        <w:spacing w:after="120" w:line="276" w:lineRule="auto"/>
        <w:ind w:firstLine="708"/>
        <w:jc w:val="both"/>
        <w:rPr>
          <w:rFonts w:ascii="Arial" w:hAnsi="Arial" w:cs="Arial"/>
        </w:rPr>
      </w:pPr>
      <w:r w:rsidRPr="00FF7287">
        <w:rPr>
          <w:rFonts w:ascii="Arial" w:eastAsia="Calibri" w:hAnsi="Arial" w:cs="Arial"/>
          <w:lang w:val="es-ES"/>
        </w:rPr>
        <w:t xml:space="preserve"> En segundo lugar, las corporaciones financieras tienen la capacidad o competencia para la expedición de garantías bancarias, de acuerdo con el artículo 12, literal k del EOSF que </w:t>
      </w:r>
      <w:r w:rsidRPr="00FF7287">
        <w:rPr>
          <w:rFonts w:ascii="Arial" w:eastAsia="Calibri" w:hAnsi="Arial" w:cs="Arial"/>
          <w:lang w:val="es-ES"/>
        </w:rPr>
        <w:lastRenderedPageBreak/>
        <w:t xml:space="preserve">dispone: </w:t>
      </w:r>
      <w:r w:rsidRPr="00FF7287">
        <w:rPr>
          <w:rFonts w:ascii="Arial" w:eastAsia="Calibri" w:hAnsi="Arial" w:cs="Arial"/>
          <w:color w:val="000000" w:themeColor="text1"/>
          <w:lang w:val="es-ES"/>
        </w:rPr>
        <w:t>«</w:t>
      </w:r>
      <w:r w:rsidRPr="00FF7287">
        <w:rPr>
          <w:rFonts w:ascii="Arial" w:hAnsi="Arial" w:cs="Arial"/>
          <w:bCs/>
        </w:rPr>
        <w:t>ARTICULO 12. OPERACIONES AUTORIZADAS CON LAS EMPRESAS.</w:t>
      </w:r>
      <w:r w:rsidRPr="00FF7287">
        <w:rPr>
          <w:rFonts w:ascii="Arial" w:hAnsi="Arial" w:cs="Arial"/>
        </w:rPr>
        <w:t xml:space="preserve"> Las corporaciones financieras, en relación con las empresas a que se refiere el artículo </w:t>
      </w:r>
      <w:hyperlink r:id="rId13" w:anchor="11" w:history="1">
        <w:r w:rsidRPr="00FF7287">
          <w:rPr>
            <w:rFonts w:ascii="Arial" w:hAnsi="Arial" w:cs="Arial"/>
          </w:rPr>
          <w:t>11</w:t>
        </w:r>
      </w:hyperlink>
      <w:r w:rsidRPr="00FF7287">
        <w:rPr>
          <w:rFonts w:ascii="Arial" w:hAnsi="Arial" w:cs="Arial"/>
        </w:rPr>
        <w:t xml:space="preserve"> del presente Estatuto, sólo podrán realizar las siguientes operaciones: […] k. Otorgar y recibir avales y garantías en moneda legal o extranjera de acuerdo con las disposiciones de la Junta Directiva del Banco de la República y del Gobierno Nacional, cada uno dentro de su competencia</w:t>
      </w:r>
      <w:r w:rsidRPr="00FF7287">
        <w:rPr>
          <w:rFonts w:ascii="Arial" w:eastAsia="Calibri" w:hAnsi="Arial" w:cs="Arial"/>
          <w:color w:val="000000" w:themeColor="text1"/>
          <w:lang w:val="es-ES"/>
        </w:rPr>
        <w:t>»</w:t>
      </w:r>
      <w:r w:rsidRPr="00FF7287">
        <w:rPr>
          <w:rFonts w:ascii="Arial" w:hAnsi="Arial" w:cs="Arial"/>
        </w:rPr>
        <w:t>.</w:t>
      </w:r>
    </w:p>
    <w:p w14:paraId="4595ECCD" w14:textId="77777777" w:rsidR="00FF5818" w:rsidRPr="00FF7287" w:rsidRDefault="00FF5818" w:rsidP="00FF5818">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En tercer lugar, las compañías financieras tienen la facultad para la expedición de garantías bancarias, de conformidad con el artículo 24, literal g del EOSF el cual prescribe: </w:t>
      </w:r>
      <w:r w:rsidRPr="00FF7287">
        <w:rPr>
          <w:rFonts w:ascii="Arial" w:eastAsia="Calibri" w:hAnsi="Arial" w:cs="Arial"/>
          <w:color w:val="000000" w:themeColor="text1"/>
          <w:lang w:val="es-ES"/>
        </w:rPr>
        <w:t>«</w:t>
      </w:r>
      <w:r w:rsidRPr="00FF7287">
        <w:rPr>
          <w:rFonts w:ascii="Arial" w:hAnsi="Arial" w:cs="Arial"/>
          <w:bCs/>
        </w:rPr>
        <w:t>ARTICULO 24. OPERACIONES AUTORIZADAS.</w:t>
      </w:r>
      <w:r w:rsidRPr="00FF7287">
        <w:rPr>
          <w:rFonts w:ascii="Arial" w:hAnsi="Arial" w:cs="Arial"/>
        </w:rPr>
        <w:t xml:space="preserve"> Las compañías de financiamiento comercial en desarrollo de su objeto principal podrán: […] g. Otorgar avales y garantías en los términos que para el efecto autoricen la Junta Directiva del Banco de la República y el Gobierno Nacional, cada uno según sus facultades legales</w:t>
      </w:r>
      <w:r w:rsidRPr="00FF7287">
        <w:rPr>
          <w:rFonts w:ascii="Arial" w:eastAsia="Calibri" w:hAnsi="Arial" w:cs="Arial"/>
          <w:color w:val="000000" w:themeColor="text1"/>
          <w:lang w:val="es-ES"/>
        </w:rPr>
        <w:t>»</w:t>
      </w:r>
      <w:r w:rsidRPr="00FF7287">
        <w:rPr>
          <w:rFonts w:ascii="Arial" w:hAnsi="Arial" w:cs="Arial"/>
        </w:rPr>
        <w:t xml:space="preserve">. </w:t>
      </w:r>
    </w:p>
    <w:p w14:paraId="23AA532F" w14:textId="77777777" w:rsidR="00FF5818" w:rsidRPr="00FF7287" w:rsidRDefault="00FF5818" w:rsidP="00FF5818">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Teniendo en cuenta lo anterior, es necesario que la entidad financiera se organice de conformidad con lo previsto en el Estatuto Orgánico del Sistema Financiero, pues si no lo hiciera, no podría realizar las operaciones autorizadas mencionadas previamente. De esta manera, el artículo 53 del Estatuto Orgánico del Sistema Financiero consagra un procedimiento para la constitución de las entidades financieras, que al final resulta determinante para que la entidad pueda otorgar, tanto cartas de crédito como garantías bancarias. </w:t>
      </w:r>
    </w:p>
    <w:p w14:paraId="13D11273" w14:textId="57957CEA" w:rsidR="006E6934" w:rsidRDefault="00E60D06" w:rsidP="00E60D06">
      <w:pPr>
        <w:spacing w:after="120" w:line="276" w:lineRule="auto"/>
        <w:ind w:firstLine="708"/>
        <w:jc w:val="both"/>
        <w:rPr>
          <w:rFonts w:ascii="Arial" w:eastAsia="Calibri" w:hAnsi="Arial" w:cs="Arial"/>
          <w:lang w:val="es-ES"/>
        </w:rPr>
      </w:pPr>
      <w:r w:rsidRPr="00FF7287">
        <w:rPr>
          <w:rFonts w:ascii="Arial" w:eastAsia="Calibri" w:hAnsi="Arial" w:cs="Arial"/>
          <w:lang w:val="es-ES"/>
        </w:rPr>
        <w:t xml:space="preserve">No obstante, se recomienda </w:t>
      </w:r>
      <w:r>
        <w:rPr>
          <w:rFonts w:ascii="Arial" w:eastAsia="Calibri" w:hAnsi="Arial" w:cs="Arial"/>
          <w:lang w:val="es-ES"/>
        </w:rPr>
        <w:t xml:space="preserve">al peticionario </w:t>
      </w:r>
      <w:r w:rsidRPr="00FF7287">
        <w:rPr>
          <w:rFonts w:ascii="Arial" w:eastAsia="Calibri" w:hAnsi="Arial" w:cs="Arial"/>
          <w:lang w:val="es-ES"/>
        </w:rPr>
        <w:t>que si requiere un mayor análisis sobre quién o qui</w:t>
      </w:r>
      <w:r>
        <w:rPr>
          <w:rFonts w:ascii="Arial" w:eastAsia="Calibri" w:hAnsi="Arial" w:cs="Arial"/>
          <w:lang w:val="es-ES"/>
        </w:rPr>
        <w:t>é</w:t>
      </w:r>
      <w:r w:rsidRPr="00FF7287">
        <w:rPr>
          <w:rFonts w:ascii="Arial" w:eastAsia="Calibri" w:hAnsi="Arial" w:cs="Arial"/>
          <w:lang w:val="es-ES"/>
        </w:rPr>
        <w:t xml:space="preserve">nes están autorizados para expedir garantías bancarias o cartas de crédito </w:t>
      </w:r>
      <w:r w:rsidRPr="004646EA">
        <w:rPr>
          <w:rFonts w:ascii="Arial" w:eastAsia="Calibri" w:hAnsi="Arial" w:cs="Arial"/>
          <w:i/>
          <w:iCs/>
          <w:lang w:val="es-ES"/>
        </w:rPr>
        <w:t xml:space="preserve">stand </w:t>
      </w:r>
      <w:proofErr w:type="spellStart"/>
      <w:r w:rsidRPr="004646EA">
        <w:rPr>
          <w:rFonts w:ascii="Arial" w:eastAsia="Calibri" w:hAnsi="Arial" w:cs="Arial"/>
          <w:i/>
          <w:iCs/>
          <w:lang w:val="es-ES"/>
        </w:rPr>
        <w:t>by</w:t>
      </w:r>
      <w:proofErr w:type="spellEnd"/>
      <w:r w:rsidRPr="00FF7287">
        <w:rPr>
          <w:rFonts w:ascii="Arial" w:eastAsia="Calibri" w:hAnsi="Arial" w:cs="Arial"/>
          <w:lang w:val="es-ES"/>
        </w:rPr>
        <w:t>, se acuda a la Superintendencia Financiera</w:t>
      </w:r>
      <w:r>
        <w:rPr>
          <w:rFonts w:ascii="Arial" w:eastAsia="Calibri" w:hAnsi="Arial" w:cs="Arial"/>
          <w:lang w:val="es-ES"/>
        </w:rPr>
        <w:t xml:space="preserve"> de Colombia,</w:t>
      </w:r>
      <w:r w:rsidRPr="00FF7287">
        <w:rPr>
          <w:rFonts w:ascii="Arial" w:eastAsia="Calibri" w:hAnsi="Arial" w:cs="Arial"/>
          <w:lang w:val="es-ES"/>
        </w:rPr>
        <w:t xml:space="preserve"> </w:t>
      </w:r>
      <w:r>
        <w:rPr>
          <w:rFonts w:ascii="Arial" w:eastAsia="Calibri" w:hAnsi="Arial" w:cs="Arial"/>
          <w:lang w:val="es-ES"/>
        </w:rPr>
        <w:t>de acuerdo con las competencias establecidas en el Decreto 2555 de 2010</w:t>
      </w:r>
      <w:r w:rsidRPr="00FF7287">
        <w:rPr>
          <w:rFonts w:ascii="Arial" w:eastAsia="Calibri" w:hAnsi="Arial" w:cs="Arial"/>
          <w:lang w:val="es-ES"/>
        </w:rPr>
        <w:t>, pues se precisa que la Agencia Nacional de Contratación Pública – Colombia Compra Eficiente solo está facultada para absolver consultas sobre disposiciones de carácter general en el sistema de compra pública.</w:t>
      </w:r>
      <w:r>
        <w:rPr>
          <w:rFonts w:ascii="Arial" w:eastAsia="Calibri" w:hAnsi="Arial" w:cs="Arial"/>
          <w:lang w:val="es-ES"/>
        </w:rPr>
        <w:t xml:space="preserve"> Lo anterior, además, bajo el entendido de que, como lo establece el artículo </w:t>
      </w:r>
      <w:r w:rsidRPr="001C1878">
        <w:rPr>
          <w:rFonts w:ascii="Arial" w:eastAsia="Calibri" w:hAnsi="Arial" w:cs="Arial"/>
          <w:lang w:val="es-ES"/>
        </w:rPr>
        <w:t>2.2.1.2.3.4.1.</w:t>
      </w:r>
      <w:r>
        <w:rPr>
          <w:rFonts w:ascii="Arial" w:eastAsia="Calibri" w:hAnsi="Arial" w:cs="Arial"/>
          <w:lang w:val="es-ES"/>
        </w:rPr>
        <w:t xml:space="preserve"> del Decreto 1082 de 2015, las garantías bancarias deben ser expedidas por una entidad financiera autorizada por la Superintendencia Financiera.</w:t>
      </w:r>
    </w:p>
    <w:p w14:paraId="4977592C" w14:textId="7C896D76" w:rsidR="00FF5818" w:rsidRPr="00FF7287" w:rsidRDefault="00FF5818" w:rsidP="00E60D06">
      <w:pPr>
        <w:spacing w:after="120" w:line="276" w:lineRule="auto"/>
        <w:ind w:firstLine="708"/>
        <w:jc w:val="both"/>
        <w:rPr>
          <w:rFonts w:ascii="Arial" w:eastAsia="Calibri" w:hAnsi="Arial" w:cs="Arial"/>
          <w:lang w:val="es-ES"/>
        </w:rPr>
      </w:pPr>
    </w:p>
    <w:p w14:paraId="3F39393C" w14:textId="58596C50" w:rsidR="00FF5818" w:rsidRPr="00FF7287" w:rsidRDefault="00FF5818" w:rsidP="006E6934">
      <w:pPr>
        <w:spacing w:after="120" w:line="276" w:lineRule="auto"/>
        <w:jc w:val="both"/>
        <w:rPr>
          <w:rFonts w:ascii="Arial" w:eastAsia="Calibri" w:hAnsi="Arial" w:cs="Arial"/>
          <w:lang w:val="es-ES"/>
        </w:rPr>
      </w:pPr>
      <w:r w:rsidRPr="00FF7287">
        <w:rPr>
          <w:rFonts w:ascii="Arial" w:eastAsia="Calibri" w:hAnsi="Arial" w:cs="Arial"/>
        </w:rPr>
        <w:t>Este concepto tiene el alcance previsto en el artículo 28 del Código de Procedimiento Administrativo y de lo Contencioso Administrativo.</w:t>
      </w:r>
    </w:p>
    <w:p w14:paraId="63DCD551" w14:textId="0EE20B2E" w:rsidR="000C145F" w:rsidRPr="00FF7287" w:rsidRDefault="000C145F" w:rsidP="00D116D9">
      <w:pPr>
        <w:spacing w:after="0" w:line="240" w:lineRule="auto"/>
        <w:jc w:val="both"/>
        <w:rPr>
          <w:rFonts w:ascii="Arial" w:eastAsia="Arial" w:hAnsi="Arial" w:cs="Arial"/>
          <w:color w:val="000000" w:themeColor="text1"/>
          <w:lang w:val="es-ES" w:eastAsia="es-ES"/>
        </w:rPr>
      </w:pPr>
    </w:p>
    <w:p w14:paraId="0F293BF4" w14:textId="77777777" w:rsidR="00127233" w:rsidRPr="00FF7287" w:rsidRDefault="00D116D9" w:rsidP="000C6439">
      <w:pPr>
        <w:spacing w:after="0" w:line="240" w:lineRule="auto"/>
        <w:jc w:val="both"/>
        <w:rPr>
          <w:rFonts w:ascii="Arial" w:hAnsi="Arial" w:cs="Arial"/>
          <w:lang w:val="es-ES"/>
        </w:rPr>
      </w:pPr>
      <w:r w:rsidRPr="00FF7287">
        <w:rPr>
          <w:rFonts w:ascii="Arial" w:eastAsia="Times New Roman" w:hAnsi="Arial" w:cs="Arial"/>
          <w:lang w:val="es-ES" w:eastAsia="es-CO"/>
        </w:rPr>
        <w:t>Atentamente,</w:t>
      </w:r>
      <w:bookmarkEnd w:id="0"/>
      <w:bookmarkEnd w:id="1"/>
      <w:r w:rsidR="000C6439" w:rsidRPr="00FF7287">
        <w:rPr>
          <w:rFonts w:ascii="Arial" w:hAnsi="Arial" w:cs="Arial"/>
          <w:lang w:val="es-ES"/>
        </w:rPr>
        <w:t xml:space="preserve"> </w:t>
      </w:r>
    </w:p>
    <w:p w14:paraId="07574CF0" w14:textId="0846C435" w:rsidR="000C6439" w:rsidRPr="00FF7287" w:rsidRDefault="002838AC" w:rsidP="000C6439">
      <w:pPr>
        <w:spacing w:before="120" w:after="0" w:line="276" w:lineRule="auto"/>
        <w:jc w:val="center"/>
        <w:rPr>
          <w:rFonts w:ascii="Arial" w:eastAsia="Calibri" w:hAnsi="Arial" w:cs="Arial"/>
          <w:color w:val="000000"/>
          <w:sz w:val="18"/>
          <w:szCs w:val="20"/>
          <w:lang w:val="es-ES_tradnl" w:eastAsia="es-CO"/>
        </w:rPr>
      </w:pPr>
      <w:r>
        <w:rPr>
          <w:rFonts w:ascii="Arial" w:hAnsi="Arial" w:cs="Arial"/>
          <w:noProof/>
          <w:color w:val="000000" w:themeColor="text1"/>
          <w:lang w:val="es-ES_tradnl"/>
        </w:rPr>
        <w:drawing>
          <wp:inline distT="0" distB="0" distL="0" distR="0" wp14:anchorId="1DE1CE8B" wp14:editId="7ABD6131">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C6439" w:rsidRPr="00FF7287" w14:paraId="52916CF9" w14:textId="77777777" w:rsidTr="00194240">
        <w:trPr>
          <w:trHeight w:val="315"/>
        </w:trPr>
        <w:tc>
          <w:tcPr>
            <w:tcW w:w="812" w:type="dxa"/>
            <w:vAlign w:val="center"/>
            <w:hideMark/>
          </w:tcPr>
          <w:p w14:paraId="1DDF4EA4"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1AD8B449"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José Luis Sánchez Cardona</w:t>
            </w:r>
          </w:p>
          <w:p w14:paraId="06890BAC"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 xml:space="preserve">Contratista de la Subdirección de Gestión Contractual  </w:t>
            </w:r>
          </w:p>
        </w:tc>
      </w:tr>
      <w:tr w:rsidR="000C6439" w:rsidRPr="00FF7287" w14:paraId="15FC6E7F" w14:textId="77777777" w:rsidTr="00194240">
        <w:trPr>
          <w:trHeight w:val="330"/>
        </w:trPr>
        <w:tc>
          <w:tcPr>
            <w:tcW w:w="812" w:type="dxa"/>
            <w:vAlign w:val="center"/>
            <w:hideMark/>
          </w:tcPr>
          <w:p w14:paraId="300E5BBC"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1E1F584" w14:textId="77777777" w:rsidR="000C6439" w:rsidRPr="00FF7287" w:rsidRDefault="000C6439" w:rsidP="000C6439">
            <w:pPr>
              <w:rPr>
                <w:rFonts w:ascii="Arial" w:eastAsia="Calibri" w:hAnsi="Arial" w:cs="Arial"/>
                <w:color w:val="000000"/>
                <w:sz w:val="16"/>
                <w:szCs w:val="16"/>
                <w:lang w:eastAsia="es-ES"/>
              </w:rPr>
            </w:pPr>
            <w:r w:rsidRPr="00FF7287">
              <w:rPr>
                <w:rFonts w:ascii="Arial" w:eastAsia="Calibri" w:hAnsi="Arial" w:cs="Arial"/>
                <w:color w:val="000000"/>
                <w:sz w:val="16"/>
                <w:szCs w:val="16"/>
                <w:lang w:eastAsia="es-ES"/>
              </w:rPr>
              <w:t xml:space="preserve">Sebastián Ramírez Griales </w:t>
            </w:r>
          </w:p>
          <w:p w14:paraId="4494A7F6"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Contratista de la Subdirección de Gestión Contractual</w:t>
            </w:r>
          </w:p>
        </w:tc>
      </w:tr>
      <w:tr w:rsidR="000C6439" w:rsidRPr="000C6439" w14:paraId="370DC77C" w14:textId="77777777" w:rsidTr="00194240">
        <w:trPr>
          <w:trHeight w:val="300"/>
        </w:trPr>
        <w:tc>
          <w:tcPr>
            <w:tcW w:w="812" w:type="dxa"/>
            <w:vAlign w:val="center"/>
            <w:hideMark/>
          </w:tcPr>
          <w:p w14:paraId="1027C7B8"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1259F8E" w14:textId="77777777" w:rsidR="000C6439" w:rsidRPr="00FF7287"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Juan David Marín López</w:t>
            </w:r>
          </w:p>
          <w:p w14:paraId="7B66EFE3" w14:textId="77777777" w:rsidR="000C6439" w:rsidRPr="000C6439" w:rsidRDefault="000C6439" w:rsidP="000C6439">
            <w:pPr>
              <w:jc w:val="both"/>
              <w:rPr>
                <w:rFonts w:ascii="Arial" w:eastAsia="Times New Roman" w:hAnsi="Arial" w:cs="Arial"/>
                <w:color w:val="000000"/>
                <w:sz w:val="16"/>
                <w:szCs w:val="16"/>
                <w:lang w:val="es-ES_tradnl" w:eastAsia="es-ES"/>
              </w:rPr>
            </w:pPr>
            <w:r w:rsidRPr="00FF7287">
              <w:rPr>
                <w:rFonts w:ascii="Arial" w:eastAsia="Times New Roman" w:hAnsi="Arial" w:cs="Arial"/>
                <w:color w:val="000000"/>
                <w:sz w:val="16"/>
                <w:szCs w:val="16"/>
                <w:lang w:val="es-ES_tradnl" w:eastAsia="es-ES"/>
              </w:rPr>
              <w:t>Subdirector de Gestión Contractual (E)</w:t>
            </w:r>
          </w:p>
        </w:tc>
      </w:tr>
    </w:tbl>
    <w:p w14:paraId="26AAA8CE" w14:textId="77777777" w:rsidR="000C6439" w:rsidRPr="000C6439" w:rsidRDefault="000C6439" w:rsidP="000C6439">
      <w:pPr>
        <w:spacing w:after="0" w:line="276" w:lineRule="auto"/>
        <w:jc w:val="both"/>
        <w:rPr>
          <w:rFonts w:ascii="Arial" w:eastAsia="Times New Roman" w:hAnsi="Arial" w:cs="Arial"/>
          <w:lang w:val="es-ES_tradnl" w:eastAsia="es-CO"/>
        </w:rPr>
      </w:pPr>
    </w:p>
    <w:p w14:paraId="0A804ED9" w14:textId="06FC5858" w:rsidR="000C6439" w:rsidRPr="000C6439" w:rsidRDefault="000C6439" w:rsidP="00D116D9">
      <w:pPr>
        <w:rPr>
          <w:lang w:val="es-ES_tradnl"/>
        </w:rPr>
      </w:pPr>
    </w:p>
    <w:sectPr w:rsidR="000C6439" w:rsidRPr="000C6439" w:rsidSect="00AF2438">
      <w:headerReference w:type="default" r:id="rId15"/>
      <w:footerReference w:type="default" r:id="rId16"/>
      <w:pgSz w:w="12240" w:h="15840"/>
      <w:pgMar w:top="1701" w:right="1440" w:bottom="1701" w:left="1440"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7E272" w14:textId="77777777" w:rsidR="00BF1B8F" w:rsidRDefault="00BF1B8F" w:rsidP="004A1847">
      <w:pPr>
        <w:spacing w:after="0" w:line="240" w:lineRule="auto"/>
      </w:pPr>
      <w:r>
        <w:separator/>
      </w:r>
    </w:p>
  </w:endnote>
  <w:endnote w:type="continuationSeparator" w:id="0">
    <w:p w14:paraId="1512E2B7" w14:textId="77777777" w:rsidR="00BF1B8F" w:rsidRDefault="00BF1B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4B5F" w14:textId="77777777" w:rsidR="002838AC" w:rsidRDefault="002838AC">
    <w:pPr>
      <w:pStyle w:val="Piedepgina"/>
    </w:pPr>
  </w:p>
  <w:p w14:paraId="18911A32" w14:textId="77692E11" w:rsidR="00DD0F8F" w:rsidRDefault="00DD0F8F">
    <w:pPr>
      <w:pStyle w:val="Piedepgina"/>
    </w:pPr>
    <w:r>
      <w:rPr>
        <w:noProof/>
        <w:lang w:val="en-US"/>
      </w:rPr>
      <w:drawing>
        <wp:inline distT="0" distB="0" distL="0" distR="0" wp14:anchorId="1F77499E" wp14:editId="58F58CA2">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DD0F8F" w:rsidRPr="00080DA3" w14:paraId="0534DA7F"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DD0F8F" w:rsidRPr="00080DA3" w:rsidRDefault="00DD0F8F"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DD0F8F" w:rsidRPr="00080DA3" w:rsidRDefault="00DD0F8F" w:rsidP="006219F8">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DD0F8F" w:rsidRPr="00080DA3" w:rsidRDefault="00DD0F8F"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DD0F8F" w:rsidRPr="00080DA3" w:rsidRDefault="00DD0F8F"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DD0F8F" w:rsidRPr="00080DA3" w:rsidRDefault="00DD0F8F"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DD0F8F" w:rsidRPr="00080DA3" w:rsidRDefault="00DD0F8F" w:rsidP="006219F8">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19AC18A5" w:rsidR="00DD0F8F" w:rsidRPr="00080DA3" w:rsidRDefault="00DD0F8F"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F0BA5">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F0BA5">
            <w:rPr>
              <w:rFonts w:ascii="Geomanist Light" w:hAnsi="Geomanist Light"/>
              <w:b/>
              <w:bCs/>
              <w:noProof/>
              <w:sz w:val="18"/>
              <w:szCs w:val="18"/>
            </w:rPr>
            <w:t>12</w:t>
          </w:r>
          <w:r w:rsidRPr="00080DA3">
            <w:rPr>
              <w:rFonts w:ascii="Geomanist Light" w:hAnsi="Geomanist Light"/>
              <w:b/>
              <w:bCs/>
              <w:sz w:val="18"/>
              <w:szCs w:val="18"/>
            </w:rPr>
            <w:fldChar w:fldCharType="end"/>
          </w:r>
        </w:p>
      </w:tc>
    </w:tr>
  </w:tbl>
  <w:p w14:paraId="744661F5" w14:textId="77777777" w:rsidR="00DD0F8F" w:rsidRDefault="00DD0F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9A507" w14:textId="77777777" w:rsidR="00BF1B8F" w:rsidRDefault="00BF1B8F" w:rsidP="004A1847">
      <w:pPr>
        <w:spacing w:after="0" w:line="240" w:lineRule="auto"/>
      </w:pPr>
      <w:r>
        <w:separator/>
      </w:r>
    </w:p>
  </w:footnote>
  <w:footnote w:type="continuationSeparator" w:id="0">
    <w:p w14:paraId="3F454FCA" w14:textId="77777777" w:rsidR="00BF1B8F" w:rsidRDefault="00BF1B8F" w:rsidP="004A1847">
      <w:pPr>
        <w:spacing w:after="0" w:line="240" w:lineRule="auto"/>
      </w:pPr>
      <w:r>
        <w:continuationSeparator/>
      </w:r>
    </w:p>
  </w:footnote>
  <w:footnote w:id="1">
    <w:p w14:paraId="0329483A" w14:textId="1FA0CFBE" w:rsidR="00D904FC" w:rsidRPr="00307A23" w:rsidRDefault="00D904FC" w:rsidP="00307A23">
      <w:pPr>
        <w:pBdr>
          <w:top w:val="nil"/>
          <w:left w:val="nil"/>
          <w:bottom w:val="nil"/>
          <w:right w:val="nil"/>
          <w:between w:val="nil"/>
        </w:pBdr>
        <w:spacing w:after="0"/>
        <w:ind w:firstLine="708"/>
        <w:jc w:val="both"/>
        <w:rPr>
          <w:rFonts w:ascii="Arial" w:eastAsia="Arial" w:hAnsi="Arial" w:cs="Arial"/>
          <w:sz w:val="19"/>
          <w:szCs w:val="19"/>
        </w:rPr>
      </w:pPr>
      <w:r w:rsidRPr="00307A23">
        <w:rPr>
          <w:rFonts w:ascii="Arial" w:hAnsi="Arial" w:cs="Arial"/>
          <w:sz w:val="19"/>
          <w:szCs w:val="19"/>
          <w:vertAlign w:val="superscript"/>
        </w:rPr>
        <w:footnoteRef/>
      </w:r>
      <w:r w:rsidRPr="00307A23">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307A23">
        <w:rPr>
          <w:rFonts w:ascii="Arial" w:eastAsia="Arial" w:hAnsi="Arial" w:cs="Arial"/>
          <w:i/>
          <w:sz w:val="19"/>
          <w:szCs w:val="19"/>
        </w:rPr>
        <w:t>ibídem</w:t>
      </w:r>
      <w:proofErr w:type="spellEnd"/>
      <w:r w:rsidRPr="00307A23">
        <w:rPr>
          <w:rFonts w:ascii="Arial" w:eastAsia="Arial" w:hAnsi="Arial" w:cs="Arial"/>
          <w:i/>
          <w:sz w:val="19"/>
          <w:szCs w:val="19"/>
        </w:rPr>
        <w:t xml:space="preserve"> </w:t>
      </w:r>
      <w:r w:rsidRPr="00307A23">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307A23">
        <w:rPr>
          <w:rFonts w:ascii="Arial" w:eastAsia="Arial" w:hAnsi="Arial" w:cs="Arial"/>
          <w:sz w:val="19"/>
          <w:szCs w:val="19"/>
        </w:rPr>
        <w:t>bsolver</w:t>
      </w:r>
      <w:proofErr w:type="spellEnd"/>
      <w:r w:rsidRPr="00307A23">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61C4989C" w14:textId="77777777" w:rsidR="00D904FC" w:rsidRPr="00307A23" w:rsidRDefault="00D904FC" w:rsidP="00307A23">
      <w:pPr>
        <w:pBdr>
          <w:top w:val="nil"/>
          <w:left w:val="nil"/>
          <w:bottom w:val="nil"/>
          <w:right w:val="nil"/>
          <w:between w:val="nil"/>
        </w:pBdr>
        <w:spacing w:after="0"/>
        <w:ind w:firstLine="709"/>
        <w:jc w:val="both"/>
        <w:rPr>
          <w:rFonts w:ascii="Arial" w:eastAsia="Arial" w:hAnsi="Arial" w:cs="Arial"/>
          <w:sz w:val="19"/>
          <w:szCs w:val="19"/>
        </w:rPr>
      </w:pPr>
    </w:p>
  </w:footnote>
  <w:footnote w:id="2">
    <w:p w14:paraId="3833F6DE" w14:textId="6BFD08A4" w:rsidR="00307A23" w:rsidRDefault="00307A23" w:rsidP="00307A23">
      <w:pPr>
        <w:pStyle w:val="Textonotapie"/>
        <w:ind w:firstLine="708"/>
        <w:rPr>
          <w:rFonts w:ascii="Arial" w:hAnsi="Arial" w:cs="Arial"/>
          <w:sz w:val="19"/>
          <w:szCs w:val="19"/>
        </w:rPr>
      </w:pPr>
      <w:r w:rsidRPr="00307A23">
        <w:rPr>
          <w:rStyle w:val="Refdenotaalpie"/>
          <w:rFonts w:ascii="Arial" w:hAnsi="Arial" w:cs="Arial"/>
          <w:sz w:val="19"/>
          <w:szCs w:val="19"/>
        </w:rPr>
        <w:footnoteRef/>
      </w:r>
      <w:r w:rsidRPr="00307A23">
        <w:rPr>
          <w:rFonts w:ascii="Arial" w:hAnsi="Arial" w:cs="Arial"/>
          <w:sz w:val="19"/>
          <w:szCs w:val="19"/>
        </w:rPr>
        <w:t xml:space="preserve"> COLOMBIA COMPRA EFICIENTE. Guía de garantías en procesos de contratación. p. 12. </w:t>
      </w:r>
      <w:r w:rsidR="00F074CF">
        <w:rPr>
          <w:rFonts w:ascii="Arial" w:hAnsi="Arial" w:cs="Arial"/>
          <w:sz w:val="19"/>
          <w:szCs w:val="19"/>
        </w:rPr>
        <w:t xml:space="preserve">Disponible en: </w:t>
      </w:r>
      <w:hyperlink r:id="rId1" w:history="1">
        <w:r w:rsidR="00F074CF" w:rsidRPr="002F3B67">
          <w:rPr>
            <w:rStyle w:val="Hipervnculo"/>
            <w:rFonts w:ascii="Arial" w:hAnsi="Arial" w:cs="Arial"/>
            <w:sz w:val="19"/>
            <w:szCs w:val="19"/>
          </w:rPr>
          <w:t>https://www.colombiacompra.gov.co/manuales-guias-y-pliegos-tipo/manuales-y-guias</w:t>
        </w:r>
      </w:hyperlink>
      <w:r w:rsidR="00F074CF">
        <w:rPr>
          <w:rFonts w:ascii="Arial" w:hAnsi="Arial" w:cs="Arial"/>
          <w:sz w:val="19"/>
          <w:szCs w:val="19"/>
        </w:rPr>
        <w:t xml:space="preserve">. </w:t>
      </w:r>
    </w:p>
    <w:p w14:paraId="16C65ED2" w14:textId="77777777" w:rsidR="0052079C" w:rsidRPr="00307A23" w:rsidRDefault="0052079C" w:rsidP="00307A23">
      <w:pPr>
        <w:pStyle w:val="Textonotapie"/>
        <w:ind w:firstLine="708"/>
        <w:rPr>
          <w:rFonts w:ascii="Arial" w:hAnsi="Arial" w:cs="Arial"/>
          <w:sz w:val="19"/>
          <w:szCs w:val="19"/>
          <w:lang w:val="es-CO"/>
        </w:rPr>
      </w:pPr>
    </w:p>
  </w:footnote>
  <w:footnote w:id="3">
    <w:p w14:paraId="1724D79D" w14:textId="287575B1" w:rsidR="00307A23" w:rsidRPr="002838AC" w:rsidRDefault="00307A23" w:rsidP="002838AC">
      <w:pPr>
        <w:pStyle w:val="Textonotapie"/>
        <w:ind w:firstLine="708"/>
        <w:jc w:val="both"/>
        <w:rPr>
          <w:rFonts w:ascii="Arial" w:hAnsi="Arial" w:cs="Arial"/>
          <w:sz w:val="19"/>
          <w:szCs w:val="19"/>
        </w:rPr>
      </w:pPr>
      <w:r w:rsidRPr="00307A23">
        <w:rPr>
          <w:rStyle w:val="Refdenotaalpie"/>
          <w:rFonts w:ascii="Arial" w:hAnsi="Arial" w:cs="Arial"/>
          <w:sz w:val="19"/>
          <w:szCs w:val="19"/>
        </w:rPr>
        <w:footnoteRef/>
      </w:r>
      <w:r w:rsidRPr="00307A23">
        <w:rPr>
          <w:rFonts w:ascii="Arial" w:hAnsi="Arial" w:cs="Arial"/>
          <w:sz w:val="19"/>
          <w:szCs w:val="19"/>
        </w:rPr>
        <w:t xml:space="preserve"> </w:t>
      </w:r>
      <w:proofErr w:type="spellStart"/>
      <w:r w:rsidRPr="00307A23">
        <w:rPr>
          <w:rFonts w:ascii="Arial" w:hAnsi="Arial" w:cs="Arial"/>
          <w:sz w:val="19"/>
          <w:szCs w:val="19"/>
        </w:rPr>
        <w:t>Ibídem</w:t>
      </w:r>
      <w:proofErr w:type="spellEnd"/>
      <w:r w:rsidRPr="00307A23">
        <w:rPr>
          <w:rFonts w:ascii="Arial" w:hAnsi="Arial" w:cs="Arial"/>
          <w:sz w:val="19"/>
          <w:szCs w:val="19"/>
        </w:rPr>
        <w:t xml:space="preserve">., p. 17. </w:t>
      </w:r>
      <w:r w:rsidR="0052079C">
        <w:rPr>
          <w:rFonts w:ascii="Arial" w:hAnsi="Arial" w:cs="Arial"/>
          <w:sz w:val="19"/>
          <w:szCs w:val="19"/>
        </w:rPr>
        <w:t xml:space="preserve">La guía además señala en relación con las </w:t>
      </w:r>
      <w:r w:rsidR="0052079C" w:rsidRPr="002838AC">
        <w:rPr>
          <w:rFonts w:ascii="Arial" w:hAnsi="Arial" w:cs="Arial"/>
          <w:sz w:val="19"/>
          <w:szCs w:val="19"/>
        </w:rPr>
        <w:t>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r w:rsidR="0052079C">
        <w:rPr>
          <w:rFonts w:ascii="Arial" w:hAnsi="Arial" w:cs="Arial"/>
          <w:sz w:val="19"/>
          <w:szCs w:val="19"/>
        </w:rPr>
        <w:t>»</w:t>
      </w:r>
      <w:r w:rsidR="0052079C" w:rsidRPr="002838AC">
        <w:rPr>
          <w:rFonts w:ascii="Arial" w:hAnsi="Arial" w:cs="Arial"/>
          <w:sz w:val="19"/>
          <w:szCs w:val="19"/>
        </w:rPr>
        <w:t>.</w:t>
      </w:r>
    </w:p>
  </w:footnote>
  <w:footnote w:id="4">
    <w:p w14:paraId="7939FF3F" w14:textId="77777777" w:rsidR="00D116D9" w:rsidRPr="00307A23" w:rsidRDefault="00D116D9" w:rsidP="00307A23">
      <w:pPr>
        <w:pStyle w:val="Textonotapie"/>
        <w:ind w:firstLine="708"/>
        <w:jc w:val="both"/>
        <w:rPr>
          <w:rFonts w:ascii="Arial" w:hAnsi="Arial" w:cs="Arial"/>
          <w:color w:val="000000" w:themeColor="text1"/>
          <w:sz w:val="19"/>
          <w:szCs w:val="19"/>
        </w:rPr>
      </w:pPr>
      <w:r w:rsidRPr="00307A23">
        <w:rPr>
          <w:rStyle w:val="Refdenotaalpie"/>
          <w:rFonts w:ascii="Arial" w:hAnsi="Arial" w:cs="Arial"/>
          <w:color w:val="000000" w:themeColor="text1"/>
          <w:sz w:val="19"/>
          <w:szCs w:val="19"/>
        </w:rPr>
        <w:footnoteRef/>
      </w:r>
      <w:r w:rsidRPr="00307A23">
        <w:rPr>
          <w:rFonts w:ascii="Arial" w:hAnsi="Arial" w:cs="Arial"/>
          <w:color w:val="000000" w:themeColor="text1"/>
          <w:sz w:val="19"/>
          <w:szCs w:val="19"/>
          <w:lang w:val="pt-BR"/>
        </w:rPr>
        <w:t xml:space="preserve"> CORTE CONSTITUCIONAL. Sentencia C-452 de 1999. </w:t>
      </w:r>
      <w:r w:rsidRPr="00307A23">
        <w:rPr>
          <w:rFonts w:ascii="Arial" w:hAnsi="Arial" w:cs="Arial"/>
          <w:color w:val="000000" w:themeColor="text1"/>
          <w:sz w:val="19"/>
          <w:szCs w:val="19"/>
        </w:rPr>
        <w:t xml:space="preserve">M.P. Eduardo Cifuentes Muñoz. </w:t>
      </w:r>
    </w:p>
    <w:p w14:paraId="41020960" w14:textId="77777777" w:rsidR="00D116D9" w:rsidRPr="00307A23" w:rsidRDefault="00D116D9" w:rsidP="00307A23">
      <w:pPr>
        <w:pStyle w:val="Textonotapie"/>
        <w:ind w:firstLine="708"/>
        <w:jc w:val="both"/>
        <w:rPr>
          <w:rFonts w:ascii="Arial" w:hAnsi="Arial" w:cs="Arial"/>
          <w:color w:val="000000" w:themeColor="text1"/>
          <w:sz w:val="19"/>
          <w:szCs w:val="19"/>
        </w:rPr>
      </w:pPr>
    </w:p>
  </w:footnote>
  <w:footnote w:id="5">
    <w:p w14:paraId="062E7A86" w14:textId="77777777" w:rsidR="00D116D9" w:rsidRPr="00307A23" w:rsidRDefault="00D116D9" w:rsidP="00307A23">
      <w:pPr>
        <w:pStyle w:val="Textonotapie"/>
        <w:ind w:firstLine="708"/>
        <w:jc w:val="both"/>
        <w:rPr>
          <w:rFonts w:ascii="Arial" w:hAnsi="Arial" w:cs="Arial"/>
          <w:sz w:val="19"/>
          <w:szCs w:val="19"/>
          <w:lang w:val="es-ES"/>
        </w:rPr>
      </w:pPr>
      <w:r w:rsidRPr="00307A23">
        <w:rPr>
          <w:rStyle w:val="Refdenotaalpie"/>
          <w:rFonts w:ascii="Arial" w:hAnsi="Arial" w:cs="Arial"/>
          <w:sz w:val="19"/>
          <w:szCs w:val="19"/>
        </w:rPr>
        <w:footnoteRef/>
      </w:r>
      <w:r w:rsidRPr="00307A23">
        <w:rPr>
          <w:rFonts w:ascii="Arial" w:hAnsi="Arial" w:cs="Arial"/>
          <w:sz w:val="19"/>
          <w:szCs w:val="19"/>
        </w:rPr>
        <w:t xml:space="preserve"> </w:t>
      </w:r>
      <w:r w:rsidRPr="00307A23">
        <w:rPr>
          <w:rFonts w:ascii="Arial" w:hAnsi="Arial" w:cs="Arial"/>
          <w:sz w:val="19"/>
          <w:szCs w:val="19"/>
          <w:lang w:val="es-ES"/>
        </w:rPr>
        <w:t xml:space="preserve">COLOMBIA COMPRA EFICIENTE. Síntesis: 8. Etapa precontractual: Garantía de cumplimiento del contrato estatal. </w:t>
      </w:r>
    </w:p>
    <w:p w14:paraId="401F2791" w14:textId="77777777" w:rsidR="00D116D9" w:rsidRPr="00307A23" w:rsidRDefault="00D116D9" w:rsidP="00307A23">
      <w:pPr>
        <w:pStyle w:val="Textonotapie"/>
        <w:ind w:firstLine="708"/>
        <w:jc w:val="both"/>
        <w:rPr>
          <w:rFonts w:ascii="Arial" w:hAnsi="Arial" w:cs="Arial"/>
          <w:sz w:val="19"/>
          <w:szCs w:val="19"/>
        </w:rPr>
      </w:pPr>
    </w:p>
  </w:footnote>
  <w:footnote w:id="6">
    <w:p w14:paraId="063DCB0F" w14:textId="77777777" w:rsidR="00D116D9" w:rsidRPr="00307A23" w:rsidRDefault="00D116D9" w:rsidP="00307A23">
      <w:pPr>
        <w:pStyle w:val="Textonotapie"/>
        <w:ind w:firstLine="709"/>
        <w:jc w:val="both"/>
        <w:rPr>
          <w:rFonts w:ascii="Arial" w:hAnsi="Arial" w:cs="Arial"/>
          <w:sz w:val="19"/>
          <w:szCs w:val="19"/>
        </w:rPr>
      </w:pPr>
      <w:r w:rsidRPr="00307A23">
        <w:rPr>
          <w:rStyle w:val="Refdenotaalpie"/>
          <w:rFonts w:ascii="Arial" w:hAnsi="Arial" w:cs="Arial"/>
          <w:sz w:val="19"/>
          <w:szCs w:val="19"/>
        </w:rPr>
        <w:footnoteRef/>
      </w:r>
      <w:r w:rsidRPr="00307A23">
        <w:rPr>
          <w:rFonts w:ascii="Arial" w:hAnsi="Arial" w:cs="Arial"/>
          <w:sz w:val="19"/>
          <w:szCs w:val="19"/>
        </w:rPr>
        <w:t xml:space="preserve"> «ARTÍCULO 2.2.1.2.3.4.1. Garantías bancarias. La Entidad Estatal puede recibir como garantía, en los términos de los artículos 2.2.1.2.3.1.6 y 2.2.1.2.3.1.7 del presente decreto, garantías bancarias y las cartas de crédito stand by, siempre y cuando reúnan las siguientes condiciones:</w:t>
      </w:r>
    </w:p>
    <w:p w14:paraId="0BA3A8B6" w14:textId="77777777" w:rsidR="00D116D9" w:rsidRPr="00307A23" w:rsidRDefault="00D116D9" w:rsidP="00307A23">
      <w:pPr>
        <w:pStyle w:val="Textonotapie"/>
        <w:ind w:firstLine="708"/>
        <w:jc w:val="both"/>
        <w:rPr>
          <w:rFonts w:ascii="Arial" w:hAnsi="Arial" w:cs="Arial"/>
          <w:sz w:val="19"/>
          <w:szCs w:val="19"/>
        </w:rPr>
      </w:pPr>
      <w:r w:rsidRPr="00307A23">
        <w:rPr>
          <w:rFonts w:ascii="Arial" w:hAnsi="Arial" w:cs="Arial"/>
          <w:sz w:val="19"/>
          <w:szCs w:val="19"/>
        </w:rPr>
        <w:t>»1. La garantía debe constar en documento expedido por una entidad financiera autorizada por la Superintendencia Financiera o quien haga sus veces, otorgado de acuerdo con las normas del Estatuto Orgánico del Sistema Financiero.</w:t>
      </w:r>
    </w:p>
    <w:p w14:paraId="208C12AE" w14:textId="77777777" w:rsidR="00D116D9" w:rsidRPr="00307A23" w:rsidRDefault="00D116D9" w:rsidP="00307A23">
      <w:pPr>
        <w:pStyle w:val="Textonotapie"/>
        <w:ind w:firstLine="708"/>
        <w:jc w:val="both"/>
        <w:rPr>
          <w:rFonts w:ascii="Arial" w:hAnsi="Arial" w:cs="Arial"/>
          <w:sz w:val="19"/>
          <w:szCs w:val="19"/>
        </w:rPr>
      </w:pPr>
      <w:r w:rsidRPr="00307A23">
        <w:rPr>
          <w:rFonts w:ascii="Arial" w:hAnsi="Arial" w:cs="Arial"/>
          <w:sz w:val="19"/>
          <w:szCs w:val="19"/>
        </w:rPr>
        <w:t>»2. La garantía debe ser efectiva a primer requerimiento o primera demanda de la Entidad Estatal.</w:t>
      </w:r>
    </w:p>
    <w:p w14:paraId="38B55868" w14:textId="77777777" w:rsidR="00D116D9" w:rsidRPr="00307A23" w:rsidRDefault="00D116D9" w:rsidP="00307A23">
      <w:pPr>
        <w:pStyle w:val="Textonotapie"/>
        <w:ind w:firstLine="708"/>
        <w:jc w:val="both"/>
        <w:rPr>
          <w:rFonts w:ascii="Arial" w:hAnsi="Arial" w:cs="Arial"/>
          <w:sz w:val="19"/>
          <w:szCs w:val="19"/>
        </w:rPr>
      </w:pPr>
      <w:r w:rsidRPr="00307A23">
        <w:rPr>
          <w:rFonts w:ascii="Arial" w:hAnsi="Arial" w:cs="Arial"/>
          <w:sz w:val="19"/>
          <w:szCs w:val="19"/>
        </w:rPr>
        <w:t>»3. La garantía bancaria debe ser irrevocable.</w:t>
      </w:r>
    </w:p>
    <w:p w14:paraId="200D544B" w14:textId="77777777" w:rsidR="00D116D9" w:rsidRPr="00307A23" w:rsidRDefault="00D116D9" w:rsidP="00307A23">
      <w:pPr>
        <w:pStyle w:val="Textonotapie"/>
        <w:ind w:firstLine="708"/>
        <w:jc w:val="both"/>
        <w:rPr>
          <w:rFonts w:ascii="Arial" w:hAnsi="Arial" w:cs="Arial"/>
          <w:sz w:val="19"/>
          <w:szCs w:val="19"/>
        </w:rPr>
      </w:pPr>
      <w:r w:rsidRPr="00307A23">
        <w:rPr>
          <w:rFonts w:ascii="Arial" w:hAnsi="Arial" w:cs="Arial"/>
          <w:sz w:val="19"/>
          <w:szCs w:val="19"/>
        </w:rPr>
        <w:t>»4. La garantía bancaria debe ser suficiente en los términos de los artículos 2.2.1.2.3.1.9 a 2.2.1.2.3.1.16 del presente decreto.</w:t>
      </w:r>
    </w:p>
    <w:p w14:paraId="3A6771CD" w14:textId="77777777" w:rsidR="00D116D9" w:rsidRPr="00307A23" w:rsidRDefault="00D116D9" w:rsidP="00307A23">
      <w:pPr>
        <w:pStyle w:val="Textonotapie"/>
        <w:ind w:firstLine="708"/>
        <w:jc w:val="both"/>
        <w:rPr>
          <w:rFonts w:ascii="Arial" w:hAnsi="Arial" w:cs="Arial"/>
          <w:sz w:val="19"/>
          <w:szCs w:val="19"/>
        </w:rPr>
      </w:pPr>
      <w:r w:rsidRPr="00307A23">
        <w:rPr>
          <w:rFonts w:ascii="Arial" w:hAnsi="Arial" w:cs="Arial"/>
          <w:sz w:val="19"/>
          <w:szCs w:val="19"/>
        </w:rPr>
        <w:t>»5. El garante debe haber renunciado al beneficio de excusión».</w:t>
      </w:r>
    </w:p>
    <w:p w14:paraId="2D8593ED" w14:textId="77777777" w:rsidR="00D116D9" w:rsidRPr="00307A23" w:rsidRDefault="00D116D9" w:rsidP="00307A23">
      <w:pPr>
        <w:pStyle w:val="Textonotapie"/>
        <w:ind w:firstLine="708"/>
        <w:jc w:val="both"/>
        <w:rPr>
          <w:rFonts w:ascii="Arial" w:hAnsi="Arial" w:cs="Arial"/>
          <w:sz w:val="19"/>
          <w:szCs w:val="19"/>
          <w:lang w:val="es-CO"/>
        </w:rPr>
      </w:pPr>
    </w:p>
  </w:footnote>
  <w:footnote w:id="7">
    <w:p w14:paraId="46D17CE2" w14:textId="35D56F71" w:rsidR="00307A23" w:rsidRPr="00307A23" w:rsidRDefault="00307A23" w:rsidP="00307A23">
      <w:pPr>
        <w:pStyle w:val="Textonotapie"/>
        <w:ind w:firstLine="708"/>
        <w:rPr>
          <w:lang w:val="es-CO"/>
        </w:rPr>
      </w:pPr>
      <w:r w:rsidRPr="00307A23">
        <w:rPr>
          <w:rStyle w:val="Refdenotaalpie"/>
          <w:rFonts w:ascii="Arial" w:hAnsi="Arial" w:cs="Arial"/>
          <w:sz w:val="19"/>
          <w:szCs w:val="19"/>
        </w:rPr>
        <w:footnoteRef/>
      </w:r>
      <w:r w:rsidRPr="00307A23">
        <w:rPr>
          <w:rFonts w:ascii="Arial" w:hAnsi="Arial" w:cs="Arial"/>
          <w:sz w:val="19"/>
          <w:szCs w:val="19"/>
        </w:rPr>
        <w:t xml:space="preserve"> </w:t>
      </w:r>
      <w:r w:rsidRPr="00307A23">
        <w:rPr>
          <w:rFonts w:ascii="Arial" w:hAnsi="Arial" w:cs="Arial"/>
          <w:sz w:val="19"/>
          <w:szCs w:val="19"/>
          <w:lang w:val="es-CO"/>
        </w:rPr>
        <w:t xml:space="preserve">COLOMBIA COMPRA EFICIENTE. </w:t>
      </w:r>
      <w:proofErr w:type="spellStart"/>
      <w:r w:rsidRPr="00307A23">
        <w:rPr>
          <w:rFonts w:ascii="Arial" w:hAnsi="Arial" w:cs="Arial"/>
          <w:sz w:val="19"/>
          <w:szCs w:val="19"/>
          <w:lang w:val="es-CO"/>
        </w:rPr>
        <w:t>Op</w:t>
      </w:r>
      <w:proofErr w:type="spellEnd"/>
      <w:r w:rsidRPr="00307A23">
        <w:rPr>
          <w:rFonts w:ascii="Arial" w:hAnsi="Arial" w:cs="Arial"/>
          <w:sz w:val="19"/>
          <w:szCs w:val="19"/>
          <w:lang w:val="es-CO"/>
        </w:rPr>
        <w:t xml:space="preserve"> cit., pp. 17-18.</w:t>
      </w:r>
      <w:r>
        <w:rPr>
          <w:lang w:val="es-CO"/>
        </w:rPr>
        <w:t xml:space="preserve"> </w:t>
      </w:r>
    </w:p>
  </w:footnote>
  <w:footnote w:id="8">
    <w:p w14:paraId="37FFA058" w14:textId="77777777" w:rsidR="00FF5818" w:rsidRPr="00307A23" w:rsidRDefault="00FF5818" w:rsidP="00FF5818">
      <w:pPr>
        <w:pStyle w:val="Textonotapie"/>
        <w:ind w:firstLine="708"/>
        <w:rPr>
          <w:lang w:val="es-CO"/>
        </w:rPr>
      </w:pPr>
      <w:r w:rsidRPr="00307A23">
        <w:rPr>
          <w:rStyle w:val="Refdenotaalpie"/>
          <w:rFonts w:ascii="Arial" w:hAnsi="Arial" w:cs="Arial"/>
          <w:sz w:val="19"/>
          <w:szCs w:val="19"/>
        </w:rPr>
        <w:footnoteRef/>
      </w:r>
      <w:r w:rsidRPr="00307A23">
        <w:rPr>
          <w:rFonts w:ascii="Arial" w:hAnsi="Arial" w:cs="Arial"/>
          <w:sz w:val="19"/>
          <w:szCs w:val="19"/>
        </w:rPr>
        <w:t xml:space="preserve"> </w:t>
      </w:r>
      <w:r w:rsidRPr="00307A23">
        <w:rPr>
          <w:rFonts w:ascii="Arial" w:hAnsi="Arial" w:cs="Arial"/>
          <w:sz w:val="19"/>
          <w:szCs w:val="19"/>
          <w:lang w:val="es-CO"/>
        </w:rPr>
        <w:t xml:space="preserve">COLOMBIA COMPRA EFICIENTE. </w:t>
      </w:r>
      <w:proofErr w:type="spellStart"/>
      <w:r w:rsidRPr="00307A23">
        <w:rPr>
          <w:rFonts w:ascii="Arial" w:hAnsi="Arial" w:cs="Arial"/>
          <w:sz w:val="19"/>
          <w:szCs w:val="19"/>
          <w:lang w:val="es-CO"/>
        </w:rPr>
        <w:t>Op</w:t>
      </w:r>
      <w:proofErr w:type="spellEnd"/>
      <w:r w:rsidRPr="00307A23">
        <w:rPr>
          <w:rFonts w:ascii="Arial" w:hAnsi="Arial" w:cs="Arial"/>
          <w:sz w:val="19"/>
          <w:szCs w:val="19"/>
          <w:lang w:val="es-CO"/>
        </w:rPr>
        <w:t xml:space="preserve"> cit., pp. 17-18.</w:t>
      </w:r>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DD0F8F" w:rsidRDefault="00DD0F8F">
    <w:pPr>
      <w:pStyle w:val="Encabezado"/>
    </w:pPr>
    <w:r>
      <w:rPr>
        <w:noProof/>
        <w:lang w:val="en-US"/>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FC97A57"/>
    <w:multiLevelType w:val="hybridMultilevel"/>
    <w:tmpl w:val="DD7A11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447A913"/>
    <w:multiLevelType w:val="hybridMultilevel"/>
    <w:tmpl w:val="841EFB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CB4C620"/>
    <w:multiLevelType w:val="hybridMultilevel"/>
    <w:tmpl w:val="96EDC8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29280335">
    <w:abstractNumId w:val="3"/>
  </w:num>
  <w:num w:numId="2" w16cid:durableId="141776721">
    <w:abstractNumId w:val="2"/>
  </w:num>
  <w:num w:numId="3" w16cid:durableId="304966675">
    <w:abstractNumId w:val="1"/>
  </w:num>
  <w:num w:numId="4" w16cid:durableId="352614828">
    <w:abstractNumId w:val="0"/>
  </w:num>
  <w:num w:numId="5" w16cid:durableId="733040064">
    <w:abstractNumId w:val="5"/>
  </w:num>
  <w:num w:numId="6" w16cid:durableId="1332414826">
    <w:abstractNumId w:val="4"/>
  </w:num>
  <w:num w:numId="7" w16cid:durableId="134678935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1BB"/>
    <w:rsid w:val="0002644E"/>
    <w:rsid w:val="00053C6E"/>
    <w:rsid w:val="000667AB"/>
    <w:rsid w:val="000831F5"/>
    <w:rsid w:val="000845C8"/>
    <w:rsid w:val="000A1D2C"/>
    <w:rsid w:val="000B79BD"/>
    <w:rsid w:val="000C145F"/>
    <w:rsid w:val="000C6439"/>
    <w:rsid w:val="000C67C7"/>
    <w:rsid w:val="000E3474"/>
    <w:rsid w:val="000E44B3"/>
    <w:rsid w:val="000E4816"/>
    <w:rsid w:val="00112EA7"/>
    <w:rsid w:val="00127233"/>
    <w:rsid w:val="00154B2C"/>
    <w:rsid w:val="00157D6F"/>
    <w:rsid w:val="00160480"/>
    <w:rsid w:val="00160CD3"/>
    <w:rsid w:val="00161C60"/>
    <w:rsid w:val="001A0E21"/>
    <w:rsid w:val="001B28F8"/>
    <w:rsid w:val="001C1878"/>
    <w:rsid w:val="001D1D1B"/>
    <w:rsid w:val="001F06DF"/>
    <w:rsid w:val="0020524A"/>
    <w:rsid w:val="0023186C"/>
    <w:rsid w:val="00242DD1"/>
    <w:rsid w:val="002747CA"/>
    <w:rsid w:val="002838AC"/>
    <w:rsid w:val="002951A0"/>
    <w:rsid w:val="002A64FD"/>
    <w:rsid w:val="002C500D"/>
    <w:rsid w:val="002F1A52"/>
    <w:rsid w:val="00307A23"/>
    <w:rsid w:val="00315DC1"/>
    <w:rsid w:val="00343B38"/>
    <w:rsid w:val="003553D1"/>
    <w:rsid w:val="0037654C"/>
    <w:rsid w:val="003A2CA7"/>
    <w:rsid w:val="003A7E42"/>
    <w:rsid w:val="003B60EC"/>
    <w:rsid w:val="003C3368"/>
    <w:rsid w:val="003D0F4D"/>
    <w:rsid w:val="003D2EB6"/>
    <w:rsid w:val="003F4ADC"/>
    <w:rsid w:val="004057BF"/>
    <w:rsid w:val="00430BEC"/>
    <w:rsid w:val="004431A4"/>
    <w:rsid w:val="004646EA"/>
    <w:rsid w:val="004661B2"/>
    <w:rsid w:val="00485CEE"/>
    <w:rsid w:val="004A1847"/>
    <w:rsid w:val="004C5B01"/>
    <w:rsid w:val="004D69C9"/>
    <w:rsid w:val="004E0B2A"/>
    <w:rsid w:val="004E59DC"/>
    <w:rsid w:val="005132DD"/>
    <w:rsid w:val="00520021"/>
    <w:rsid w:val="0052079C"/>
    <w:rsid w:val="005566E8"/>
    <w:rsid w:val="00567075"/>
    <w:rsid w:val="005716C4"/>
    <w:rsid w:val="00576BD0"/>
    <w:rsid w:val="00597E16"/>
    <w:rsid w:val="005A74B0"/>
    <w:rsid w:val="005F582C"/>
    <w:rsid w:val="00607F39"/>
    <w:rsid w:val="0061066D"/>
    <w:rsid w:val="00614ACC"/>
    <w:rsid w:val="006219F8"/>
    <w:rsid w:val="00636030"/>
    <w:rsid w:val="00675E6A"/>
    <w:rsid w:val="0068093C"/>
    <w:rsid w:val="006A2E67"/>
    <w:rsid w:val="006D15FF"/>
    <w:rsid w:val="006E6934"/>
    <w:rsid w:val="006E7E91"/>
    <w:rsid w:val="006F0BA5"/>
    <w:rsid w:val="00703654"/>
    <w:rsid w:val="0070772C"/>
    <w:rsid w:val="007703FC"/>
    <w:rsid w:val="00792B8A"/>
    <w:rsid w:val="007A6055"/>
    <w:rsid w:val="008115CD"/>
    <w:rsid w:val="00832CC0"/>
    <w:rsid w:val="00835669"/>
    <w:rsid w:val="008359F7"/>
    <w:rsid w:val="008407C5"/>
    <w:rsid w:val="00876E61"/>
    <w:rsid w:val="0088518F"/>
    <w:rsid w:val="00887E27"/>
    <w:rsid w:val="0089488B"/>
    <w:rsid w:val="008A046F"/>
    <w:rsid w:val="008A79B3"/>
    <w:rsid w:val="008C093E"/>
    <w:rsid w:val="00923A6F"/>
    <w:rsid w:val="009322E2"/>
    <w:rsid w:val="00952CDB"/>
    <w:rsid w:val="009825BF"/>
    <w:rsid w:val="00990E95"/>
    <w:rsid w:val="009B161E"/>
    <w:rsid w:val="009B3A50"/>
    <w:rsid w:val="009D79CC"/>
    <w:rsid w:val="009E537C"/>
    <w:rsid w:val="009E581F"/>
    <w:rsid w:val="00A00879"/>
    <w:rsid w:val="00A42156"/>
    <w:rsid w:val="00A70C96"/>
    <w:rsid w:val="00A81B68"/>
    <w:rsid w:val="00A938A1"/>
    <w:rsid w:val="00AB4327"/>
    <w:rsid w:val="00AD448E"/>
    <w:rsid w:val="00AF2438"/>
    <w:rsid w:val="00B14279"/>
    <w:rsid w:val="00B43413"/>
    <w:rsid w:val="00B61E2B"/>
    <w:rsid w:val="00B80283"/>
    <w:rsid w:val="00BA2473"/>
    <w:rsid w:val="00BF1B8F"/>
    <w:rsid w:val="00C56B5A"/>
    <w:rsid w:val="00C636F5"/>
    <w:rsid w:val="00C754BE"/>
    <w:rsid w:val="00CC1B26"/>
    <w:rsid w:val="00CC3DC2"/>
    <w:rsid w:val="00D038FE"/>
    <w:rsid w:val="00D0472D"/>
    <w:rsid w:val="00D07091"/>
    <w:rsid w:val="00D116D9"/>
    <w:rsid w:val="00D16C89"/>
    <w:rsid w:val="00D43C25"/>
    <w:rsid w:val="00D505B1"/>
    <w:rsid w:val="00D60542"/>
    <w:rsid w:val="00D644B7"/>
    <w:rsid w:val="00D904FC"/>
    <w:rsid w:val="00DA2FFF"/>
    <w:rsid w:val="00DA48B6"/>
    <w:rsid w:val="00DA6ED1"/>
    <w:rsid w:val="00DD0F8F"/>
    <w:rsid w:val="00DF55AB"/>
    <w:rsid w:val="00E04A00"/>
    <w:rsid w:val="00E05216"/>
    <w:rsid w:val="00E20894"/>
    <w:rsid w:val="00E5613E"/>
    <w:rsid w:val="00E60D06"/>
    <w:rsid w:val="00E878DC"/>
    <w:rsid w:val="00E8791A"/>
    <w:rsid w:val="00EC4D29"/>
    <w:rsid w:val="00F074CF"/>
    <w:rsid w:val="00F20105"/>
    <w:rsid w:val="00F21F25"/>
    <w:rsid w:val="00F37366"/>
    <w:rsid w:val="00F56AB0"/>
    <w:rsid w:val="00F64049"/>
    <w:rsid w:val="00F66123"/>
    <w:rsid w:val="00F76AFC"/>
    <w:rsid w:val="00FC012F"/>
    <w:rsid w:val="00FC0899"/>
    <w:rsid w:val="00FE023E"/>
    <w:rsid w:val="00FE2B77"/>
    <w:rsid w:val="00FE5AFF"/>
    <w:rsid w:val="00FF35B3"/>
    <w:rsid w:val="00FF5490"/>
    <w:rsid w:val="00FF5818"/>
    <w:rsid w:val="00FF72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B062142-15FF-4DA0-8777-0A944A26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D5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505B1"/>
    <w:rPr>
      <w:color w:val="F2F2F2"/>
      <w:u w:val="single"/>
    </w:rPr>
  </w:style>
  <w:style w:type="paragraph" w:customStyle="1" w:styleId="Appelnotedebasde">
    <w:name w:val="Appel note de bas de..."/>
    <w:basedOn w:val="Normal"/>
    <w:link w:val="Refdenotaalpie"/>
    <w:uiPriority w:val="99"/>
    <w:rsid w:val="00D505B1"/>
    <w:pPr>
      <w:spacing w:line="240" w:lineRule="exact"/>
    </w:pPr>
    <w:rPr>
      <w:vertAlign w:val="superscript"/>
    </w:rPr>
  </w:style>
  <w:style w:type="character" w:styleId="Hipervnculo">
    <w:name w:val="Hyperlink"/>
    <w:basedOn w:val="Fuentedeprrafopredeter"/>
    <w:uiPriority w:val="99"/>
    <w:unhideWhenUsed/>
    <w:rsid w:val="00D505B1"/>
    <w:rPr>
      <w:color w:val="0563C1" w:themeColor="hyperlink"/>
      <w:u w:val="single"/>
    </w:rPr>
  </w:style>
  <w:style w:type="paragraph" w:styleId="NormalWeb">
    <w:name w:val="Normal (Web)"/>
    <w:basedOn w:val="Normal"/>
    <w:uiPriority w:val="99"/>
    <w:unhideWhenUsed/>
    <w:rsid w:val="00D16C89"/>
    <w:rPr>
      <w:rFonts w:ascii="Times New Roman" w:hAnsi="Times New Roman" w:cs="Times New Roman"/>
      <w:sz w:val="24"/>
      <w:szCs w:val="24"/>
    </w:rPr>
  </w:style>
  <w:style w:type="paragraph" w:styleId="Revisin">
    <w:name w:val="Revision"/>
    <w:hidden/>
    <w:uiPriority w:val="99"/>
    <w:semiHidden/>
    <w:rsid w:val="00D43C25"/>
    <w:pPr>
      <w:spacing w:after="0" w:line="240" w:lineRule="auto"/>
    </w:pPr>
  </w:style>
  <w:style w:type="character" w:customStyle="1" w:styleId="Mencinsinresolver1">
    <w:name w:val="Mención sin resolver1"/>
    <w:basedOn w:val="Fuentedeprrafopredeter"/>
    <w:uiPriority w:val="99"/>
    <w:semiHidden/>
    <w:unhideWhenUsed/>
    <w:rsid w:val="00E04A00"/>
    <w:rPr>
      <w:color w:val="605E5C"/>
      <w:shd w:val="clear" w:color="auto" w:fill="E1DFDD"/>
    </w:rPr>
  </w:style>
  <w:style w:type="character" w:styleId="Refdecomentario">
    <w:name w:val="annotation reference"/>
    <w:basedOn w:val="Fuentedeprrafopredeter"/>
    <w:uiPriority w:val="99"/>
    <w:semiHidden/>
    <w:unhideWhenUsed/>
    <w:rsid w:val="009B3A50"/>
    <w:rPr>
      <w:sz w:val="16"/>
      <w:szCs w:val="16"/>
    </w:rPr>
  </w:style>
  <w:style w:type="paragraph" w:styleId="Textocomentario">
    <w:name w:val="annotation text"/>
    <w:basedOn w:val="Normal"/>
    <w:link w:val="TextocomentarioCar"/>
    <w:uiPriority w:val="99"/>
    <w:unhideWhenUsed/>
    <w:rsid w:val="009B3A50"/>
    <w:pPr>
      <w:spacing w:line="240" w:lineRule="auto"/>
    </w:pPr>
    <w:rPr>
      <w:sz w:val="20"/>
      <w:szCs w:val="20"/>
    </w:rPr>
  </w:style>
  <w:style w:type="character" w:customStyle="1" w:styleId="TextocomentarioCar">
    <w:name w:val="Texto comentario Car"/>
    <w:basedOn w:val="Fuentedeprrafopredeter"/>
    <w:link w:val="Textocomentario"/>
    <w:uiPriority w:val="99"/>
    <w:rsid w:val="009B3A50"/>
    <w:rPr>
      <w:sz w:val="20"/>
      <w:szCs w:val="20"/>
    </w:rPr>
  </w:style>
  <w:style w:type="paragraph" w:styleId="Asuntodelcomentario">
    <w:name w:val="annotation subject"/>
    <w:basedOn w:val="Textocomentario"/>
    <w:next w:val="Textocomentario"/>
    <w:link w:val="AsuntodelcomentarioCar"/>
    <w:uiPriority w:val="99"/>
    <w:semiHidden/>
    <w:unhideWhenUsed/>
    <w:rsid w:val="009B3A50"/>
    <w:rPr>
      <w:b/>
      <w:bCs/>
    </w:rPr>
  </w:style>
  <w:style w:type="character" w:customStyle="1" w:styleId="AsuntodelcomentarioCar">
    <w:name w:val="Asunto del comentario Car"/>
    <w:basedOn w:val="TextocomentarioCar"/>
    <w:link w:val="Asuntodelcomentario"/>
    <w:uiPriority w:val="99"/>
    <w:semiHidden/>
    <w:rsid w:val="009B3A50"/>
    <w:rPr>
      <w:b/>
      <w:bCs/>
      <w:sz w:val="20"/>
      <w:szCs w:val="20"/>
    </w:rPr>
  </w:style>
  <w:style w:type="paragraph" w:styleId="Textodeglobo">
    <w:name w:val="Balloon Text"/>
    <w:basedOn w:val="Normal"/>
    <w:link w:val="TextodegloboCar"/>
    <w:uiPriority w:val="99"/>
    <w:semiHidden/>
    <w:unhideWhenUsed/>
    <w:rsid w:val="00D047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0472D"/>
    <w:rPr>
      <w:rFonts w:ascii="Segoe UI" w:hAnsi="Segoe UI" w:cs="Segoe UI"/>
      <w:sz w:val="18"/>
      <w:szCs w:val="18"/>
    </w:rPr>
  </w:style>
  <w:style w:type="character" w:customStyle="1" w:styleId="baj">
    <w:name w:val="b_aj"/>
    <w:basedOn w:val="Fuentedeprrafopredeter"/>
    <w:rsid w:val="001D1D1B"/>
  </w:style>
  <w:style w:type="table" w:customStyle="1" w:styleId="Tablaconcuadrcula12">
    <w:name w:val="Tabla con cuadrícula12"/>
    <w:basedOn w:val="Tablanormal"/>
    <w:next w:val="Tablaconcuadrcula"/>
    <w:uiPriority w:val="59"/>
    <w:rsid w:val="000C6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Fuentedeprrafopredeter"/>
    <w:rsid w:val="00307A23"/>
    <w:rPr>
      <w:rFonts w:ascii="Bookman Old Style" w:eastAsia="Bookman Old Style" w:hAnsi="Bookman Old Style" w:cs="Bookman Old Style"/>
      <w:u w:val="single"/>
    </w:rPr>
  </w:style>
  <w:style w:type="character" w:styleId="Mencinsinresolver">
    <w:name w:val="Unresolved Mention"/>
    <w:basedOn w:val="Fuentedeprrafopredeter"/>
    <w:uiPriority w:val="99"/>
    <w:semiHidden/>
    <w:unhideWhenUsed/>
    <w:rsid w:val="00F074CF"/>
    <w:rPr>
      <w:color w:val="605E5C"/>
      <w:shd w:val="clear" w:color="auto" w:fill="E1DFDD"/>
    </w:rPr>
  </w:style>
  <w:style w:type="character" w:styleId="nfasis">
    <w:name w:val="Emphasis"/>
    <w:basedOn w:val="Fuentedeprrafopredeter"/>
    <w:uiPriority w:val="20"/>
    <w:qFormat/>
    <w:rsid w:val="002052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80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estatuto_organico_sistema_financiero.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estatuto_organico_sistema_financiero.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582E2E-F2D9-43C0-921A-29D6046E9582}"/>
</file>

<file path=customXml/itemProps2.xml><?xml version="1.0" encoding="utf-8"?>
<ds:datastoreItem xmlns:ds="http://schemas.openxmlformats.org/officeDocument/2006/customXml" ds:itemID="{EB595326-FED0-456D-8452-05D7316B7838}">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terms/"/>
    <ds:schemaRef ds:uri="f9ae46af-b90d-4283-a1b5-2aa014e542ff"/>
    <ds:schemaRef ds:uri="http://schemas.openxmlformats.org/package/2006/metadata/core-properties"/>
    <ds:schemaRef ds:uri="http://purl.org/dc/dcmitype/"/>
    <ds:schemaRef ds:uri="http://purl.org/dc/elements/1.1/"/>
    <ds:schemaRef ds:uri="http://schemas.microsoft.com/office/infopath/2007/PartnerControls"/>
    <ds:schemaRef ds:uri="f17844fe-8756-4fd2-bf3b-6eeeb231e599"/>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4600</Words>
  <Characters>25300</Characters>
  <Application>Microsoft Office Word</Application>
  <DocSecurity>4</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2</cp:revision>
  <dcterms:created xsi:type="dcterms:W3CDTF">2022-10-04T18:48:00Z</dcterms:created>
  <dcterms:modified xsi:type="dcterms:W3CDTF">2022-10-04T18:48:00Z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