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07F56817" w:rsidR="00BE1E33" w:rsidRPr="00E52B90" w:rsidRDefault="00BE1E33" w:rsidP="00B86532">
      <w:pPr>
        <w:spacing w:line="276" w:lineRule="auto"/>
        <w:jc w:val="right"/>
        <w:rPr>
          <w:rFonts w:ascii="Arial" w:hAnsi="Arial" w:cs="Arial"/>
          <w:bCs/>
          <w:sz w:val="16"/>
          <w:szCs w:val="16"/>
          <w:lang w:val="es-ES_tradnl" w:eastAsia="es-ES"/>
        </w:rPr>
      </w:pPr>
      <w:bookmarkStart w:id="0" w:name="_Hlk28946138"/>
      <w:bookmarkStart w:id="1" w:name="_Hlk29548183"/>
      <w:r w:rsidRPr="00E52B90">
        <w:rPr>
          <w:rFonts w:ascii="Arial" w:hAnsi="Arial" w:cs="Arial"/>
          <w:bCs/>
          <w:sz w:val="16"/>
          <w:szCs w:val="16"/>
          <w:lang w:val="es-ES_tradnl" w:eastAsia="es-ES"/>
        </w:rPr>
        <w:t>CCE-DES-FM-17</w:t>
      </w:r>
    </w:p>
    <w:p w14:paraId="3A8125AB" w14:textId="77777777" w:rsidR="00B74D24" w:rsidRPr="00E52B90" w:rsidRDefault="00B74D24" w:rsidP="00B86532">
      <w:pPr>
        <w:spacing w:line="276" w:lineRule="auto"/>
        <w:jc w:val="both"/>
        <w:rPr>
          <w:rFonts w:ascii="Arial" w:eastAsia="Calibri" w:hAnsi="Arial" w:cs="Arial"/>
          <w:b/>
          <w:sz w:val="22"/>
          <w:lang w:val="es-ES_tradnl"/>
        </w:rPr>
      </w:pPr>
    </w:p>
    <w:p w14:paraId="2D698004" w14:textId="77777777" w:rsidR="00B744E8" w:rsidRPr="00E52B90" w:rsidRDefault="00B744E8" w:rsidP="00B744E8">
      <w:pPr>
        <w:jc w:val="both"/>
        <w:rPr>
          <w:rFonts w:ascii="Arial" w:eastAsia="Calibri" w:hAnsi="Arial" w:cs="Arial"/>
          <w:b/>
          <w:szCs w:val="24"/>
          <w:lang w:val="es-ES_tradnl" w:eastAsia="es-ES_tradnl"/>
        </w:rPr>
      </w:pPr>
      <w:r w:rsidRPr="00E52B90">
        <w:rPr>
          <w:rFonts w:ascii="Arial" w:eastAsia="Calibri" w:hAnsi="Arial" w:cs="Arial"/>
          <w:b/>
          <w:szCs w:val="24"/>
          <w:lang w:val="es-ES_tradnl" w:eastAsia="es-ES_tradnl"/>
        </w:rPr>
        <w:t xml:space="preserve">SANCIONES CONTRACTUALES </w:t>
      </w:r>
      <w:r w:rsidRPr="00E52B90">
        <w:rPr>
          <w:rFonts w:ascii="Arial" w:eastAsia="Calibri" w:hAnsi="Arial" w:cs="Arial"/>
          <w:b/>
          <w:color w:val="000000"/>
          <w:szCs w:val="24"/>
          <w:lang w:val="es-ES_tradnl" w:eastAsia="es-ES_tradnl"/>
        </w:rPr>
        <w:t>–</w:t>
      </w:r>
      <w:r w:rsidRPr="00E52B90">
        <w:rPr>
          <w:rFonts w:ascii="Arial" w:eastAsia="Calibri" w:hAnsi="Arial" w:cs="Arial"/>
          <w:b/>
          <w:szCs w:val="24"/>
          <w:lang w:val="es-ES_tradnl" w:eastAsia="es-ES_tradnl"/>
        </w:rPr>
        <w:t xml:space="preserve"> Clases </w:t>
      </w:r>
      <w:r w:rsidRPr="00E52B90">
        <w:rPr>
          <w:rFonts w:ascii="Arial" w:eastAsia="Calibri" w:hAnsi="Arial" w:cs="Arial"/>
          <w:b/>
          <w:color w:val="000000"/>
          <w:szCs w:val="24"/>
          <w:lang w:val="es-ES_tradnl" w:eastAsia="es-ES_tradnl"/>
        </w:rPr>
        <w:t>– Consagración legal</w:t>
      </w:r>
    </w:p>
    <w:p w14:paraId="4360D313" w14:textId="77777777" w:rsidR="00B744E8" w:rsidRPr="00E52B90" w:rsidRDefault="00B744E8" w:rsidP="00B744E8">
      <w:pPr>
        <w:jc w:val="both"/>
        <w:rPr>
          <w:rFonts w:ascii="Arial" w:eastAsia="Calibri" w:hAnsi="Arial" w:cs="Arial"/>
          <w:b/>
          <w:sz w:val="21"/>
          <w:szCs w:val="21"/>
          <w:lang w:val="es-ES_tradnl" w:eastAsia="es-ES_tradnl"/>
        </w:rPr>
      </w:pPr>
    </w:p>
    <w:p w14:paraId="748E4D86" w14:textId="2DFCD63A" w:rsidR="00B744E8" w:rsidRPr="00E52B90" w:rsidRDefault="00B744E8" w:rsidP="00B744E8">
      <w:pPr>
        <w:jc w:val="both"/>
        <w:rPr>
          <w:rFonts w:ascii="Arial" w:eastAsia="Times New Roman" w:hAnsi="Arial" w:cs="Arial"/>
          <w:iCs/>
          <w:color w:val="000000"/>
          <w:sz w:val="20"/>
          <w:szCs w:val="20"/>
          <w:lang w:val="es-ES_tradnl" w:eastAsia="es-ES_tradnl"/>
        </w:rPr>
      </w:pPr>
      <w:r w:rsidRPr="00E52B90">
        <w:rPr>
          <w:rFonts w:ascii="Arial" w:eastAsia="Times New Roman" w:hAnsi="Arial" w:cs="Arial"/>
          <w:iCs/>
          <w:color w:val="000000"/>
          <w:sz w:val="20"/>
          <w:szCs w:val="20"/>
          <w:lang w:val="es-ES_tradnl" w:eastAsia="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00406C44" w:rsidRPr="00E52B90">
        <w:rPr>
          <w:rFonts w:ascii="Arial" w:eastAsia="Times New Roman" w:hAnsi="Arial" w:cs="Arial"/>
          <w:i/>
          <w:color w:val="000000"/>
          <w:sz w:val="20"/>
          <w:szCs w:val="20"/>
          <w:lang w:val="es-ES_tradnl" w:eastAsia="es-ES_tradnl"/>
        </w:rPr>
        <w:t>ibídem</w:t>
      </w:r>
      <w:r w:rsidRPr="00E52B90">
        <w:rPr>
          <w:rFonts w:ascii="Arial" w:eastAsia="Times New Roman" w:hAnsi="Arial" w:cs="Arial"/>
          <w:iCs/>
          <w:color w:val="000000"/>
          <w:sz w:val="20"/>
          <w:szCs w:val="20"/>
          <w:lang w:val="es-ES_tradnl" w:eastAsia="es-ES_tradnl"/>
        </w:rPr>
        <w:t xml:space="preserve">. ii) En algunas disposiciones también se establecen otras potestades exorbitantes, como la liquidación unilateral y la declaratoria unilateral del siniestro –artículos 7 y 11 de la Ley 1150 de 2007–. Dentro de las potestades unilaterales también se encuentran iii) las cláusulas excepcionales de </w:t>
      </w:r>
      <w:r w:rsidRPr="00E52B90">
        <w:rPr>
          <w:rFonts w:ascii="Arial" w:eastAsia="Times New Roman" w:hAnsi="Arial" w:cs="Arial"/>
          <w:i/>
          <w:color w:val="000000"/>
          <w:sz w:val="20"/>
          <w:szCs w:val="20"/>
          <w:lang w:val="es-ES_tradnl" w:eastAsia="es-ES_tradnl"/>
        </w:rPr>
        <w:t>imposición unilateral</w:t>
      </w:r>
      <w:r w:rsidRPr="00E52B90">
        <w:rPr>
          <w:rFonts w:ascii="Arial" w:eastAsia="Times New Roman" w:hAnsi="Arial" w:cs="Arial"/>
          <w:iCs/>
          <w:color w:val="000000"/>
          <w:sz w:val="20"/>
          <w:szCs w:val="20"/>
          <w:lang w:val="es-ES_tradnl" w:eastAsia="es-ES_tradnl"/>
        </w:rPr>
        <w:t xml:space="preserve"> de las cláusulas penales y de multas –artículo 17 de la Ley 1150 de 2007–, aclarando que su exorbitancia se refiere a su imposición unilateral, no a su pacto, que es posible en virtud de las normas civiles y comerciales.</w:t>
      </w:r>
    </w:p>
    <w:p w14:paraId="3A2E769B" w14:textId="77777777" w:rsidR="00B744E8" w:rsidRPr="00E52B90" w:rsidRDefault="00B744E8" w:rsidP="00B744E8">
      <w:pPr>
        <w:jc w:val="both"/>
        <w:rPr>
          <w:rFonts w:ascii="Arial" w:eastAsia="Times New Roman" w:hAnsi="Arial" w:cs="Arial"/>
          <w:iCs/>
          <w:color w:val="000000"/>
          <w:sz w:val="20"/>
          <w:szCs w:val="20"/>
          <w:lang w:val="es-ES_tradnl" w:eastAsia="es-ES_tradnl"/>
        </w:rPr>
      </w:pPr>
    </w:p>
    <w:p w14:paraId="12EFED11" w14:textId="7C796A3D" w:rsidR="00B744E8" w:rsidRPr="00E52B90" w:rsidRDefault="00B744E8" w:rsidP="00B744E8">
      <w:pPr>
        <w:jc w:val="both"/>
        <w:rPr>
          <w:rFonts w:ascii="Arial" w:eastAsia="Calibri" w:hAnsi="Arial" w:cs="Arial"/>
          <w:b/>
          <w:szCs w:val="24"/>
          <w:lang w:val="es-ES_tradnl" w:eastAsia="es-ES_tradnl"/>
        </w:rPr>
      </w:pPr>
      <w:r w:rsidRPr="00E52B90">
        <w:rPr>
          <w:rFonts w:ascii="Arial" w:eastAsia="Calibri" w:hAnsi="Arial" w:cs="Arial"/>
          <w:b/>
          <w:szCs w:val="24"/>
          <w:lang w:val="es-ES_tradnl" w:eastAsia="es-ES_tradnl"/>
        </w:rPr>
        <w:t xml:space="preserve">PROCEDIMIENTO SANCIONATORIO CONTRACTUAL – Marco normativo – </w:t>
      </w:r>
      <w:r w:rsidRPr="00E52B90">
        <w:rPr>
          <w:rFonts w:ascii="Arial" w:eastAsia="Calibri" w:hAnsi="Arial" w:cs="Arial"/>
          <w:b/>
          <w:color w:val="000000"/>
          <w:szCs w:val="24"/>
          <w:lang w:val="es-ES_tradnl" w:eastAsia="es-ES_tradnl"/>
        </w:rPr>
        <w:t xml:space="preserve">Artículo 86 de la </w:t>
      </w:r>
      <w:r w:rsidRPr="00E52B90">
        <w:rPr>
          <w:rFonts w:ascii="Arial" w:eastAsia="Calibri" w:hAnsi="Arial" w:cs="Arial"/>
          <w:b/>
          <w:szCs w:val="24"/>
          <w:lang w:val="es-ES_tradnl" w:eastAsia="es-ES_tradnl"/>
        </w:rPr>
        <w:t>Ley 1474 de 2011</w:t>
      </w:r>
    </w:p>
    <w:p w14:paraId="1966604C" w14:textId="77777777" w:rsidR="00B744E8" w:rsidRPr="00E52B90" w:rsidRDefault="00B744E8" w:rsidP="00B744E8">
      <w:pPr>
        <w:jc w:val="both"/>
        <w:rPr>
          <w:rFonts w:ascii="Arial" w:eastAsia="Times New Roman" w:hAnsi="Arial" w:cs="Arial"/>
          <w:sz w:val="21"/>
          <w:szCs w:val="21"/>
          <w:lang w:val="es-ES_tradnl" w:eastAsia="es-ES_tradnl"/>
        </w:rPr>
      </w:pPr>
    </w:p>
    <w:p w14:paraId="2E4AA3D8" w14:textId="6E44DBDA" w:rsidR="00B744E8" w:rsidRPr="00E52B90" w:rsidRDefault="00B744E8" w:rsidP="00B744E8">
      <w:pPr>
        <w:jc w:val="both"/>
        <w:rPr>
          <w:rFonts w:ascii="Arial" w:eastAsia="Times New Roman" w:hAnsi="Arial" w:cs="Arial"/>
          <w:iCs/>
          <w:color w:val="000000"/>
          <w:sz w:val="20"/>
          <w:szCs w:val="20"/>
          <w:lang w:val="es-ES_tradnl" w:eastAsia="es-ES_tradnl"/>
        </w:rPr>
      </w:pPr>
      <w:r w:rsidRPr="00E52B90">
        <w:rPr>
          <w:rFonts w:ascii="Arial" w:eastAsia="Times New Roman" w:hAnsi="Arial" w:cs="Arial"/>
          <w:iCs/>
          <w:color w:val="000000"/>
          <w:sz w:val="20"/>
          <w:szCs w:val="20"/>
          <w:lang w:val="es-ES_tradnl" w:eastAsia="es-ES_tradnl"/>
        </w:rPr>
        <w:t xml:space="preserve">El artículo 86 de la Ley 1474 de 2011 establece las reglas de procedimiento, mediante las cuales se materializan los derechos y garantías derivadas del debido proceso, para su aplicación concreta en materia sancionatoria contractual. </w:t>
      </w:r>
    </w:p>
    <w:p w14:paraId="62B3215F" w14:textId="77777777" w:rsidR="007F42DA" w:rsidRPr="00E52B90" w:rsidRDefault="007F42DA" w:rsidP="00B744E8">
      <w:pPr>
        <w:jc w:val="both"/>
        <w:rPr>
          <w:rFonts w:ascii="Arial" w:eastAsia="Times New Roman" w:hAnsi="Arial" w:cs="Arial"/>
          <w:iCs/>
          <w:color w:val="000000"/>
          <w:sz w:val="20"/>
          <w:szCs w:val="20"/>
          <w:lang w:val="es-ES_tradnl" w:eastAsia="es-ES_tradnl"/>
        </w:rPr>
      </w:pPr>
    </w:p>
    <w:p w14:paraId="007C638C" w14:textId="77777777" w:rsidR="00B744E8" w:rsidRPr="00E52B90" w:rsidRDefault="00B744E8" w:rsidP="00B744E8">
      <w:pPr>
        <w:jc w:val="both"/>
        <w:rPr>
          <w:rFonts w:ascii="Arial" w:eastAsia="Times New Roman" w:hAnsi="Arial" w:cs="Arial"/>
          <w:iCs/>
          <w:color w:val="000000"/>
          <w:sz w:val="20"/>
          <w:szCs w:val="20"/>
          <w:lang w:val="es-ES_tradnl" w:eastAsia="es-ES_tradnl"/>
        </w:rPr>
      </w:pPr>
      <w:r w:rsidRPr="00E52B90">
        <w:rPr>
          <w:rFonts w:ascii="Arial" w:eastAsia="Times New Roman" w:hAnsi="Arial" w:cs="Arial"/>
          <w:iCs/>
          <w:color w:val="000000"/>
          <w:sz w:val="20"/>
          <w:szCs w:val="20"/>
          <w:lang w:val="es-ES_tradnl" w:eastAsia="es-ES_tradnl"/>
        </w:rPr>
        <w:t xml:space="preserve">Cabe destacar que esta norma no se circunscribe a ciertos tipos de incumplimiento. En consecuencia, la declaratoria de cualquier incumplimiento, sea total o parcial, o independientemente de su gravedad, debe hacerse con plena observancia de las reglas procedimentales establecidas en el artículo 86 de la Ley 1474 de 2011. Esto es así como consecuencia del «principio general de interpretación jurídica según el cual donde la norma no distingue, no le corresponde distinguir al intérprete». A la misma conclusión se llega si se tiene en consideración la necesidad de respetar el debido proceso en «todas las actuaciones administrativas» como lo ordena el artículo 29 superior. </w:t>
      </w:r>
    </w:p>
    <w:p w14:paraId="12C9B696" w14:textId="77777777" w:rsidR="007F42DA" w:rsidRPr="00E52B90" w:rsidRDefault="007F42DA" w:rsidP="00B744E8">
      <w:pPr>
        <w:rPr>
          <w:rFonts w:ascii="Arial" w:eastAsia="Calibri" w:hAnsi="Arial" w:cs="Arial"/>
        </w:rPr>
      </w:pPr>
    </w:p>
    <w:p w14:paraId="51F54342" w14:textId="77777777" w:rsidR="007F42DA" w:rsidRPr="00E52B90" w:rsidRDefault="007F42DA" w:rsidP="007F42DA">
      <w:pPr>
        <w:jc w:val="both"/>
        <w:rPr>
          <w:rFonts w:ascii="Arial" w:eastAsia="Calibri" w:hAnsi="Arial" w:cs="Arial"/>
          <w:b/>
          <w:bCs/>
          <w:sz w:val="22"/>
          <w:lang w:val="es-ES_tradnl"/>
        </w:rPr>
      </w:pPr>
      <w:r w:rsidRPr="00E52B90">
        <w:rPr>
          <w:rFonts w:ascii="Arial" w:eastAsia="Calibri" w:hAnsi="Arial" w:cs="Arial"/>
          <w:b/>
          <w:bCs/>
          <w:sz w:val="22"/>
          <w:lang w:val="es-ES_tradnl"/>
        </w:rPr>
        <w:t xml:space="preserve">CONTRATACIÓN CON ESAL </w:t>
      </w:r>
      <w:r w:rsidRPr="00E52B90">
        <w:rPr>
          <w:rFonts w:ascii="Arial" w:eastAsia="Calibri" w:hAnsi="Arial" w:cs="Arial"/>
          <w:b/>
          <w:bCs/>
          <w:color w:val="000000" w:themeColor="text1"/>
          <w:sz w:val="22"/>
          <w:lang w:val="es-ES_tradnl"/>
        </w:rPr>
        <w:t xml:space="preserve">– </w:t>
      </w:r>
      <w:r w:rsidRPr="00E52B90">
        <w:rPr>
          <w:rFonts w:ascii="Arial" w:eastAsia="Calibri" w:hAnsi="Arial" w:cs="Arial"/>
          <w:b/>
          <w:bCs/>
          <w:sz w:val="22"/>
          <w:lang w:val="es-ES_tradnl"/>
        </w:rPr>
        <w:t xml:space="preserve">Contratos </w:t>
      </w:r>
      <w:r w:rsidRPr="00E52B90">
        <w:rPr>
          <w:rFonts w:ascii="Arial" w:eastAsia="Calibri" w:hAnsi="Arial" w:cs="Arial"/>
          <w:b/>
          <w:bCs/>
          <w:color w:val="000000" w:themeColor="text1"/>
          <w:sz w:val="22"/>
          <w:lang w:val="es-ES_tradnl"/>
        </w:rPr>
        <w:t>– Artículo</w:t>
      </w:r>
      <w:r w:rsidRPr="00E52B90">
        <w:rPr>
          <w:rFonts w:ascii="Arial" w:eastAsia="Calibri" w:hAnsi="Arial" w:cs="Arial"/>
          <w:b/>
          <w:bCs/>
          <w:sz w:val="22"/>
          <w:lang w:val="es-ES_tradnl"/>
        </w:rPr>
        <w:t xml:space="preserve"> 355 </w:t>
      </w:r>
      <w:r w:rsidRPr="00E52B90">
        <w:rPr>
          <w:rFonts w:ascii="Arial" w:eastAsia="Calibri" w:hAnsi="Arial" w:cs="Arial"/>
          <w:b/>
          <w:bCs/>
          <w:color w:val="000000" w:themeColor="text1"/>
          <w:sz w:val="22"/>
          <w:lang w:val="es-ES_tradnl"/>
        </w:rPr>
        <w:t xml:space="preserve">– Constitución Política </w:t>
      </w:r>
      <w:proofErr w:type="gramStart"/>
      <w:r w:rsidRPr="00E52B90">
        <w:rPr>
          <w:rFonts w:ascii="Arial" w:eastAsia="Calibri" w:hAnsi="Arial" w:cs="Arial"/>
          <w:b/>
          <w:bCs/>
          <w:color w:val="000000" w:themeColor="text1"/>
          <w:sz w:val="22"/>
          <w:lang w:val="es-ES_tradnl"/>
        </w:rPr>
        <w:t>–  Convenios</w:t>
      </w:r>
      <w:proofErr w:type="gramEnd"/>
      <w:r w:rsidRPr="00E52B90">
        <w:rPr>
          <w:rFonts w:ascii="Arial" w:eastAsia="Calibri" w:hAnsi="Arial" w:cs="Arial"/>
          <w:b/>
          <w:bCs/>
          <w:color w:val="000000" w:themeColor="text1"/>
          <w:sz w:val="22"/>
          <w:lang w:val="es-ES_tradnl"/>
        </w:rPr>
        <w:t xml:space="preserve"> de asociación –</w:t>
      </w:r>
      <w:r w:rsidRPr="00E52B90">
        <w:rPr>
          <w:rFonts w:ascii="Arial" w:eastAsia="Calibri" w:hAnsi="Arial" w:cs="Arial"/>
          <w:b/>
          <w:bCs/>
          <w:sz w:val="22"/>
          <w:lang w:val="es-ES_tradnl"/>
        </w:rPr>
        <w:t xml:space="preserve"> Diferencias  </w:t>
      </w:r>
    </w:p>
    <w:p w14:paraId="4922260D" w14:textId="77777777" w:rsidR="007F42DA" w:rsidRPr="00E52B90" w:rsidRDefault="007F42DA" w:rsidP="007F42DA">
      <w:pPr>
        <w:jc w:val="both"/>
        <w:rPr>
          <w:rFonts w:ascii="Arial" w:eastAsia="Calibri" w:hAnsi="Arial" w:cs="Arial"/>
          <w:sz w:val="20"/>
          <w:szCs w:val="20"/>
          <w:lang w:val="es-ES_tradnl"/>
        </w:rPr>
      </w:pPr>
    </w:p>
    <w:p w14:paraId="3E1A89DA" w14:textId="77777777" w:rsidR="007F42DA" w:rsidRPr="00E52B90" w:rsidRDefault="007F42DA" w:rsidP="007F42DA">
      <w:pPr>
        <w:jc w:val="both"/>
        <w:rPr>
          <w:rFonts w:ascii="Arial" w:eastAsia="Calibri" w:hAnsi="Arial" w:cs="Arial"/>
          <w:sz w:val="20"/>
          <w:lang w:val="es-ES_tradnl"/>
        </w:rPr>
      </w:pPr>
      <w:r w:rsidRPr="00E52B90">
        <w:rPr>
          <w:rFonts w:ascii="Arial" w:eastAsia="Calibri" w:hAnsi="Arial" w:cs="Arial"/>
          <w:sz w:val="20"/>
          <w:lang w:val="es-ES_tradnl"/>
        </w:rPr>
        <w:t>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w:t>
      </w:r>
    </w:p>
    <w:p w14:paraId="1B2754D4" w14:textId="77777777" w:rsidR="007F42DA" w:rsidRPr="00E52B90" w:rsidRDefault="007F42DA" w:rsidP="007F42DA">
      <w:pPr>
        <w:jc w:val="both"/>
        <w:rPr>
          <w:rFonts w:ascii="Arial" w:eastAsia="Calibri" w:hAnsi="Arial" w:cs="Arial"/>
          <w:sz w:val="20"/>
          <w:lang w:val="es-ES_tradnl"/>
        </w:rPr>
      </w:pPr>
    </w:p>
    <w:p w14:paraId="4EEDFA51" w14:textId="4635A9D0" w:rsidR="007F42DA" w:rsidRPr="00E52B90" w:rsidRDefault="007F42DA" w:rsidP="007F42DA">
      <w:pPr>
        <w:jc w:val="both"/>
        <w:rPr>
          <w:rFonts w:ascii="Arial" w:eastAsia="Calibri" w:hAnsi="Arial" w:cs="Arial"/>
          <w:b/>
          <w:bCs/>
          <w:sz w:val="22"/>
          <w:lang w:val="es-ES_tradnl"/>
        </w:rPr>
      </w:pPr>
      <w:r w:rsidRPr="00E52B90">
        <w:rPr>
          <w:rFonts w:ascii="Arial" w:eastAsia="Calibri" w:hAnsi="Arial" w:cs="Arial"/>
          <w:b/>
          <w:bCs/>
          <w:sz w:val="22"/>
          <w:lang w:val="es-ES_tradnl"/>
        </w:rPr>
        <w:t xml:space="preserve">DECRETO 92 DE 2017 </w:t>
      </w:r>
      <w:r w:rsidRPr="00E52B90">
        <w:rPr>
          <w:rFonts w:ascii="Arial" w:eastAsia="Calibri" w:hAnsi="Arial" w:cs="Arial"/>
          <w:b/>
          <w:bCs/>
          <w:color w:val="000000" w:themeColor="text1"/>
          <w:sz w:val="22"/>
          <w:lang w:val="es-ES_tradnl"/>
        </w:rPr>
        <w:t>–</w:t>
      </w:r>
      <w:r w:rsidRPr="00E52B90">
        <w:rPr>
          <w:rFonts w:ascii="Arial" w:eastAsia="Calibri" w:hAnsi="Arial" w:cs="Arial"/>
          <w:b/>
          <w:bCs/>
          <w:sz w:val="22"/>
          <w:lang w:val="es-ES_tradnl"/>
        </w:rPr>
        <w:t xml:space="preserve"> Alcance </w:t>
      </w:r>
      <w:r w:rsidRPr="00E52B90">
        <w:rPr>
          <w:rFonts w:ascii="Arial" w:eastAsia="Calibri" w:hAnsi="Arial" w:cs="Arial"/>
          <w:b/>
          <w:bCs/>
          <w:color w:val="000000" w:themeColor="text1"/>
          <w:sz w:val="22"/>
          <w:lang w:val="es-ES_tradnl"/>
        </w:rPr>
        <w:t xml:space="preserve">– Artículo </w:t>
      </w:r>
      <w:r w:rsidRPr="00E52B90">
        <w:rPr>
          <w:rFonts w:ascii="Arial" w:eastAsia="Calibri" w:hAnsi="Arial" w:cs="Arial"/>
          <w:b/>
          <w:bCs/>
          <w:sz w:val="22"/>
          <w:lang w:val="es-ES_tradnl"/>
        </w:rPr>
        <w:t xml:space="preserve">8 </w:t>
      </w:r>
    </w:p>
    <w:p w14:paraId="1AA8E333" w14:textId="77777777" w:rsidR="007F42DA" w:rsidRPr="00E52B90" w:rsidRDefault="007F42DA" w:rsidP="007F42DA">
      <w:pPr>
        <w:jc w:val="both"/>
        <w:rPr>
          <w:rFonts w:ascii="Arial" w:eastAsia="Calibri" w:hAnsi="Arial" w:cs="Arial"/>
          <w:sz w:val="20"/>
          <w:szCs w:val="20"/>
          <w:lang w:val="es-ES_tradnl"/>
        </w:rPr>
      </w:pPr>
    </w:p>
    <w:p w14:paraId="15CF1372" w14:textId="39E0FD7A" w:rsidR="007F42DA" w:rsidRPr="00E52B90" w:rsidRDefault="007F42DA" w:rsidP="008D5F1D">
      <w:pPr>
        <w:tabs>
          <w:tab w:val="left" w:pos="426"/>
        </w:tabs>
        <w:spacing w:after="120"/>
        <w:jc w:val="both"/>
        <w:rPr>
          <w:rFonts w:ascii="Arial" w:eastAsia="Calibri" w:hAnsi="Arial" w:cs="Arial"/>
          <w:sz w:val="20"/>
          <w:lang w:val="es-ES_tradnl"/>
        </w:rPr>
      </w:pPr>
      <w:r w:rsidRPr="00E52B90">
        <w:rPr>
          <w:rFonts w:ascii="Arial" w:eastAsia="Calibri" w:hAnsi="Arial" w:cs="Arial"/>
          <w:sz w:val="20"/>
          <w:lang w:val="es-ES_tradnl"/>
        </w:rPr>
        <w:t>Ahora bien, cuando el decreto menciona las «[…] normas generales aplicables a la contratación pública […]», bien podrían referirse a las disposiciones comunes del Estatuto General –</w:t>
      </w:r>
      <w:r w:rsidRPr="00E52B90">
        <w:rPr>
          <w:rFonts w:ascii="Arial" w:eastAsia="Calibri" w:hAnsi="Arial" w:cs="Arial"/>
          <w:i/>
          <w:iCs/>
          <w:sz w:val="20"/>
          <w:lang w:val="es-ES_tradnl"/>
        </w:rPr>
        <w:t xml:space="preserve">remisión parcial </w:t>
      </w:r>
      <w:proofErr w:type="spellStart"/>
      <w:r w:rsidRPr="00E52B90">
        <w:rPr>
          <w:rFonts w:ascii="Arial" w:eastAsia="Calibri" w:hAnsi="Arial" w:cs="Arial"/>
          <w:i/>
          <w:iCs/>
          <w:sz w:val="20"/>
          <w:lang w:val="es-ES_tradnl"/>
        </w:rPr>
        <w:t>latu</w:t>
      </w:r>
      <w:proofErr w:type="spellEnd"/>
      <w:r w:rsidRPr="00E52B90">
        <w:rPr>
          <w:rFonts w:ascii="Arial" w:eastAsia="Calibri" w:hAnsi="Arial" w:cs="Arial"/>
          <w:i/>
          <w:iCs/>
          <w:sz w:val="20"/>
          <w:lang w:val="es-ES_tradnl"/>
        </w:rPr>
        <w:t xml:space="preserve"> sensu</w:t>
      </w:r>
      <w:r w:rsidRPr="00E52B90">
        <w:rPr>
          <w:rFonts w:ascii="Arial" w:eastAsia="Calibri" w:hAnsi="Arial" w:cs="Arial"/>
          <w:sz w:val="20"/>
          <w:lang w:val="es-ES_tradnl"/>
        </w:rPr>
        <w:t>– o la totalidad de la Ley 80 de 1993 –</w:t>
      </w:r>
      <w:r w:rsidRPr="00E52B90">
        <w:rPr>
          <w:rFonts w:ascii="Arial" w:eastAsia="Calibri" w:hAnsi="Arial" w:cs="Arial"/>
          <w:i/>
          <w:iCs/>
          <w:sz w:val="20"/>
          <w:lang w:val="es-ES_tradnl"/>
        </w:rPr>
        <w:t>remisión integral</w:t>
      </w:r>
      <w:r w:rsidRPr="00E52B90">
        <w:rPr>
          <w:rFonts w:ascii="Arial" w:eastAsia="Calibri" w:hAnsi="Arial" w:cs="Arial"/>
          <w:sz w:val="20"/>
          <w:lang w:val="es-ES_tradnl"/>
        </w:rPr>
        <w:t xml:space="preserve">–. En esta medida, determinar el alcance de la remisión del artículo 8 del Decreto 092 requiere considerar que no hay lugar a distinguir entre normas de carácter general o especial dentro del Estatuto de Contratación de </w:t>
      </w:r>
      <w:r w:rsidRPr="00E52B90">
        <w:rPr>
          <w:rFonts w:ascii="Arial" w:eastAsia="Calibri" w:hAnsi="Arial" w:cs="Arial"/>
          <w:sz w:val="20"/>
          <w:lang w:val="es-ES_tradnl"/>
        </w:rPr>
        <w:lastRenderedPageBreak/>
        <w:t>la Administración Pública, ya que de la competencia dispuesta en el inciso final del artículo 150 de la Constitución Política se desprende que todas estas disposiciones regulan con el mismo grado de generalidad la actividad contractual del Estado.</w:t>
      </w:r>
    </w:p>
    <w:p w14:paraId="2D3CCA02" w14:textId="3F2BAA08" w:rsidR="00792B9C" w:rsidRPr="008D5F1D" w:rsidRDefault="005E0108" w:rsidP="008D5F1D">
      <w:pPr>
        <w:tabs>
          <w:tab w:val="left" w:pos="426"/>
        </w:tabs>
        <w:spacing w:after="120"/>
        <w:jc w:val="both"/>
        <w:rPr>
          <w:rFonts w:ascii="Arial" w:eastAsia="Calibri" w:hAnsi="Arial" w:cs="Arial"/>
          <w:sz w:val="20"/>
          <w:lang w:val="es-ES_tradnl"/>
        </w:rPr>
      </w:pPr>
      <w:r w:rsidRPr="008D5F1D">
        <w:rPr>
          <w:rFonts w:ascii="Arial" w:eastAsia="Calibri" w:hAnsi="Arial" w:cs="Arial"/>
          <w:sz w:val="20"/>
          <w:lang w:val="es-ES_tradnl"/>
        </w:rPr>
        <w:t>En esta medida, los contratos del artículo 355 de la Constitución  y los convenios de asociación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y la prohibición de adicionarlo en más del cincuenta por ciento –art. 40–, el régimen de perfeccionamiento –art. 41–, las causales de nulidad –art. 44 y ss.–, el régimen de responsabilidad contractual –art. 50 y ss.–, de liquidación de los contratos –art. 60– y el procedimiento administrativo sancionatorio establecido en el artículo 17 de la Ley 1150 de 2007 y el artículo  86 de la Ley 1474 de 2011, puesto que el Decreto 92 de 2017 no contempla normas particulares sobre el procedimiento para declarar el incumplimiento del contratista.</w:t>
      </w:r>
      <w:r w:rsidR="005F7A80" w:rsidRPr="00E52B90" w:rsidDel="005E0108">
        <w:rPr>
          <w:rFonts w:ascii="Arial" w:eastAsia="Calibri" w:hAnsi="Arial" w:cs="Arial"/>
          <w:sz w:val="20"/>
          <w:lang w:val="es-ES_tradnl"/>
        </w:rPr>
        <w:t xml:space="preserve"> </w:t>
      </w:r>
    </w:p>
    <w:p w14:paraId="657E3669" w14:textId="77777777" w:rsidR="00792B9C" w:rsidRPr="00E52B90" w:rsidRDefault="00792B9C" w:rsidP="00B86532">
      <w:pPr>
        <w:tabs>
          <w:tab w:val="left" w:pos="709"/>
        </w:tabs>
        <w:spacing w:line="276" w:lineRule="auto"/>
        <w:jc w:val="right"/>
        <w:rPr>
          <w:rFonts w:ascii="Arial" w:eastAsia="Calibri" w:hAnsi="Arial" w:cs="Arial"/>
          <w:sz w:val="22"/>
        </w:rPr>
      </w:pPr>
    </w:p>
    <w:p w14:paraId="637E31FA" w14:textId="2C31842B" w:rsidR="00792B9C" w:rsidRPr="00E52B90" w:rsidRDefault="00792B9C" w:rsidP="00B86532">
      <w:pPr>
        <w:tabs>
          <w:tab w:val="left" w:pos="709"/>
        </w:tabs>
        <w:spacing w:line="276" w:lineRule="auto"/>
        <w:jc w:val="right"/>
        <w:rPr>
          <w:rFonts w:ascii="Arial" w:eastAsia="Calibri" w:hAnsi="Arial" w:cs="Arial"/>
          <w:sz w:val="22"/>
        </w:rPr>
      </w:pPr>
    </w:p>
    <w:p w14:paraId="02A8264A" w14:textId="07D18EFF" w:rsidR="002B4245" w:rsidRPr="00E52B90" w:rsidRDefault="002B4245" w:rsidP="00B86532">
      <w:pPr>
        <w:tabs>
          <w:tab w:val="left" w:pos="709"/>
        </w:tabs>
        <w:spacing w:line="276" w:lineRule="auto"/>
        <w:jc w:val="right"/>
        <w:rPr>
          <w:rFonts w:ascii="Arial" w:eastAsia="Calibri" w:hAnsi="Arial" w:cs="Arial"/>
          <w:sz w:val="22"/>
        </w:rPr>
      </w:pPr>
    </w:p>
    <w:p w14:paraId="0D678344" w14:textId="57237BC5" w:rsidR="002B4245" w:rsidRPr="00E52B90" w:rsidRDefault="002B4245" w:rsidP="00B86532">
      <w:pPr>
        <w:tabs>
          <w:tab w:val="left" w:pos="709"/>
        </w:tabs>
        <w:spacing w:line="276" w:lineRule="auto"/>
        <w:jc w:val="right"/>
        <w:rPr>
          <w:rFonts w:ascii="Arial" w:eastAsia="Calibri" w:hAnsi="Arial" w:cs="Arial"/>
          <w:sz w:val="22"/>
        </w:rPr>
      </w:pPr>
    </w:p>
    <w:p w14:paraId="07500861" w14:textId="245E17E7" w:rsidR="002B4245" w:rsidRPr="00E52B90" w:rsidRDefault="002B4245" w:rsidP="00B86532">
      <w:pPr>
        <w:tabs>
          <w:tab w:val="left" w:pos="709"/>
        </w:tabs>
        <w:spacing w:line="276" w:lineRule="auto"/>
        <w:jc w:val="right"/>
        <w:rPr>
          <w:rFonts w:ascii="Arial" w:eastAsia="Calibri" w:hAnsi="Arial" w:cs="Arial"/>
          <w:sz w:val="22"/>
        </w:rPr>
      </w:pPr>
    </w:p>
    <w:p w14:paraId="48C7C844" w14:textId="335AC041" w:rsidR="002B4245" w:rsidRPr="00E52B90" w:rsidRDefault="002B4245" w:rsidP="00B86532">
      <w:pPr>
        <w:tabs>
          <w:tab w:val="left" w:pos="709"/>
        </w:tabs>
        <w:spacing w:line="276" w:lineRule="auto"/>
        <w:jc w:val="right"/>
        <w:rPr>
          <w:rFonts w:ascii="Arial" w:eastAsia="Calibri" w:hAnsi="Arial" w:cs="Arial"/>
          <w:sz w:val="22"/>
        </w:rPr>
      </w:pPr>
    </w:p>
    <w:p w14:paraId="3B8E5880" w14:textId="5EE60D00" w:rsidR="002B4245" w:rsidRPr="00E52B90" w:rsidRDefault="002B4245" w:rsidP="00B86532">
      <w:pPr>
        <w:tabs>
          <w:tab w:val="left" w:pos="709"/>
        </w:tabs>
        <w:spacing w:line="276" w:lineRule="auto"/>
        <w:jc w:val="right"/>
        <w:rPr>
          <w:rFonts w:ascii="Arial" w:eastAsia="Calibri" w:hAnsi="Arial" w:cs="Arial"/>
          <w:sz w:val="22"/>
        </w:rPr>
      </w:pPr>
    </w:p>
    <w:p w14:paraId="3A8DA56C" w14:textId="670FF3B4" w:rsidR="002B4245" w:rsidRPr="00E52B90" w:rsidRDefault="002B4245" w:rsidP="00B86532">
      <w:pPr>
        <w:tabs>
          <w:tab w:val="left" w:pos="709"/>
        </w:tabs>
        <w:spacing w:line="276" w:lineRule="auto"/>
        <w:jc w:val="right"/>
        <w:rPr>
          <w:rFonts w:ascii="Arial" w:eastAsia="Calibri" w:hAnsi="Arial" w:cs="Arial"/>
          <w:sz w:val="22"/>
        </w:rPr>
      </w:pPr>
    </w:p>
    <w:p w14:paraId="6A052791" w14:textId="62CBC415" w:rsidR="002B4245" w:rsidRPr="00E52B90" w:rsidRDefault="002B4245" w:rsidP="00B86532">
      <w:pPr>
        <w:tabs>
          <w:tab w:val="left" w:pos="709"/>
        </w:tabs>
        <w:spacing w:line="276" w:lineRule="auto"/>
        <w:jc w:val="right"/>
        <w:rPr>
          <w:rFonts w:ascii="Arial" w:eastAsia="Calibri" w:hAnsi="Arial" w:cs="Arial"/>
          <w:sz w:val="22"/>
        </w:rPr>
      </w:pPr>
    </w:p>
    <w:p w14:paraId="3E2E54BD" w14:textId="12759AD9" w:rsidR="002B4245" w:rsidRPr="00E52B90" w:rsidRDefault="002B4245" w:rsidP="00B86532">
      <w:pPr>
        <w:tabs>
          <w:tab w:val="left" w:pos="709"/>
        </w:tabs>
        <w:spacing w:line="276" w:lineRule="auto"/>
        <w:jc w:val="right"/>
        <w:rPr>
          <w:rFonts w:ascii="Arial" w:eastAsia="Calibri" w:hAnsi="Arial" w:cs="Arial"/>
          <w:sz w:val="22"/>
        </w:rPr>
      </w:pPr>
    </w:p>
    <w:p w14:paraId="44C2358C" w14:textId="698D16F8" w:rsidR="002B4245" w:rsidRPr="00E52B90" w:rsidRDefault="002B4245" w:rsidP="00B86532">
      <w:pPr>
        <w:tabs>
          <w:tab w:val="left" w:pos="709"/>
        </w:tabs>
        <w:spacing w:line="276" w:lineRule="auto"/>
        <w:jc w:val="right"/>
        <w:rPr>
          <w:rFonts w:ascii="Arial" w:eastAsia="Calibri" w:hAnsi="Arial" w:cs="Arial"/>
          <w:sz w:val="22"/>
        </w:rPr>
      </w:pPr>
    </w:p>
    <w:p w14:paraId="64B72380" w14:textId="60D9C58E" w:rsidR="002B4245" w:rsidRPr="00E52B90" w:rsidRDefault="002B4245" w:rsidP="00B86532">
      <w:pPr>
        <w:tabs>
          <w:tab w:val="left" w:pos="709"/>
        </w:tabs>
        <w:spacing w:line="276" w:lineRule="auto"/>
        <w:jc w:val="right"/>
        <w:rPr>
          <w:rFonts w:ascii="Arial" w:eastAsia="Calibri" w:hAnsi="Arial" w:cs="Arial"/>
          <w:sz w:val="22"/>
        </w:rPr>
      </w:pPr>
    </w:p>
    <w:p w14:paraId="1D7CD38C" w14:textId="58CC581B" w:rsidR="002B4245" w:rsidRPr="00E52B90" w:rsidRDefault="002B4245" w:rsidP="00B86532">
      <w:pPr>
        <w:tabs>
          <w:tab w:val="left" w:pos="709"/>
        </w:tabs>
        <w:spacing w:line="276" w:lineRule="auto"/>
        <w:jc w:val="right"/>
        <w:rPr>
          <w:rFonts w:ascii="Arial" w:eastAsia="Calibri" w:hAnsi="Arial" w:cs="Arial"/>
          <w:sz w:val="22"/>
        </w:rPr>
      </w:pPr>
    </w:p>
    <w:p w14:paraId="325CF121" w14:textId="329B595A" w:rsidR="002B4245" w:rsidRPr="00E52B90" w:rsidRDefault="002B4245" w:rsidP="00B86532">
      <w:pPr>
        <w:tabs>
          <w:tab w:val="left" w:pos="709"/>
        </w:tabs>
        <w:spacing w:line="276" w:lineRule="auto"/>
        <w:jc w:val="right"/>
        <w:rPr>
          <w:rFonts w:ascii="Arial" w:eastAsia="Calibri" w:hAnsi="Arial" w:cs="Arial"/>
          <w:sz w:val="22"/>
        </w:rPr>
      </w:pPr>
    </w:p>
    <w:p w14:paraId="0CBFADC9" w14:textId="307AB490" w:rsidR="002B4245" w:rsidRPr="00E52B90" w:rsidRDefault="002B4245" w:rsidP="00B86532">
      <w:pPr>
        <w:tabs>
          <w:tab w:val="left" w:pos="709"/>
        </w:tabs>
        <w:spacing w:line="276" w:lineRule="auto"/>
        <w:jc w:val="right"/>
        <w:rPr>
          <w:rFonts w:ascii="Arial" w:eastAsia="Calibri" w:hAnsi="Arial" w:cs="Arial"/>
          <w:sz w:val="22"/>
        </w:rPr>
      </w:pPr>
    </w:p>
    <w:p w14:paraId="6E6DC928" w14:textId="04CB035D" w:rsidR="002B4245" w:rsidRPr="00E52B90" w:rsidRDefault="002B4245" w:rsidP="00B86532">
      <w:pPr>
        <w:tabs>
          <w:tab w:val="left" w:pos="709"/>
        </w:tabs>
        <w:spacing w:line="276" w:lineRule="auto"/>
        <w:jc w:val="right"/>
        <w:rPr>
          <w:rFonts w:ascii="Arial" w:eastAsia="Calibri" w:hAnsi="Arial" w:cs="Arial"/>
          <w:sz w:val="22"/>
        </w:rPr>
      </w:pPr>
    </w:p>
    <w:p w14:paraId="7B4CB5C3" w14:textId="48E5F5C5" w:rsidR="002B4245" w:rsidRPr="00E52B90" w:rsidRDefault="002B4245" w:rsidP="00B86532">
      <w:pPr>
        <w:tabs>
          <w:tab w:val="left" w:pos="709"/>
        </w:tabs>
        <w:spacing w:line="276" w:lineRule="auto"/>
        <w:jc w:val="right"/>
        <w:rPr>
          <w:rFonts w:ascii="Arial" w:eastAsia="Calibri" w:hAnsi="Arial" w:cs="Arial"/>
          <w:sz w:val="22"/>
        </w:rPr>
      </w:pPr>
    </w:p>
    <w:p w14:paraId="39127131" w14:textId="138D2A7D" w:rsidR="002B4245" w:rsidRPr="00E52B90" w:rsidRDefault="002B4245" w:rsidP="00B86532">
      <w:pPr>
        <w:tabs>
          <w:tab w:val="left" w:pos="709"/>
        </w:tabs>
        <w:spacing w:line="276" w:lineRule="auto"/>
        <w:jc w:val="right"/>
        <w:rPr>
          <w:rFonts w:ascii="Arial" w:eastAsia="Calibri" w:hAnsi="Arial" w:cs="Arial"/>
          <w:sz w:val="22"/>
        </w:rPr>
      </w:pPr>
    </w:p>
    <w:p w14:paraId="29A3AE0A" w14:textId="07588B0E" w:rsidR="002B4245" w:rsidRPr="00E52B90" w:rsidRDefault="002B4245" w:rsidP="00B86532">
      <w:pPr>
        <w:tabs>
          <w:tab w:val="left" w:pos="709"/>
        </w:tabs>
        <w:spacing w:line="276" w:lineRule="auto"/>
        <w:jc w:val="right"/>
        <w:rPr>
          <w:rFonts w:ascii="Arial" w:eastAsia="Calibri" w:hAnsi="Arial" w:cs="Arial"/>
          <w:sz w:val="22"/>
        </w:rPr>
      </w:pPr>
    </w:p>
    <w:p w14:paraId="6ADB4E42" w14:textId="7A562053" w:rsidR="002B4245" w:rsidRPr="00E52B90" w:rsidRDefault="002B4245" w:rsidP="00B86532">
      <w:pPr>
        <w:tabs>
          <w:tab w:val="left" w:pos="709"/>
        </w:tabs>
        <w:spacing w:line="276" w:lineRule="auto"/>
        <w:jc w:val="right"/>
        <w:rPr>
          <w:rFonts w:ascii="Arial" w:eastAsia="Calibri" w:hAnsi="Arial" w:cs="Arial"/>
          <w:sz w:val="22"/>
        </w:rPr>
      </w:pPr>
    </w:p>
    <w:p w14:paraId="55231526" w14:textId="3DEF3C87" w:rsidR="002B4245" w:rsidRPr="00E52B90" w:rsidRDefault="002B4245" w:rsidP="00B86532">
      <w:pPr>
        <w:tabs>
          <w:tab w:val="left" w:pos="709"/>
        </w:tabs>
        <w:spacing w:line="276" w:lineRule="auto"/>
        <w:jc w:val="right"/>
        <w:rPr>
          <w:rFonts w:ascii="Arial" w:eastAsia="Calibri" w:hAnsi="Arial" w:cs="Arial"/>
          <w:sz w:val="22"/>
        </w:rPr>
      </w:pPr>
    </w:p>
    <w:p w14:paraId="1DF1EC33" w14:textId="64FF1C3E" w:rsidR="002B4245" w:rsidRPr="00E52B90" w:rsidRDefault="002B4245" w:rsidP="00B86532">
      <w:pPr>
        <w:tabs>
          <w:tab w:val="left" w:pos="709"/>
        </w:tabs>
        <w:spacing w:line="276" w:lineRule="auto"/>
        <w:jc w:val="right"/>
        <w:rPr>
          <w:rFonts w:ascii="Arial" w:eastAsia="Calibri" w:hAnsi="Arial" w:cs="Arial"/>
          <w:sz w:val="22"/>
        </w:rPr>
      </w:pPr>
    </w:p>
    <w:p w14:paraId="29EB6DD0" w14:textId="1B6A42BD" w:rsidR="002B4245" w:rsidRPr="00E52B90" w:rsidRDefault="002B4245" w:rsidP="00B86532">
      <w:pPr>
        <w:tabs>
          <w:tab w:val="left" w:pos="709"/>
        </w:tabs>
        <w:spacing w:line="276" w:lineRule="auto"/>
        <w:jc w:val="right"/>
        <w:rPr>
          <w:rFonts w:ascii="Arial" w:eastAsia="Calibri" w:hAnsi="Arial" w:cs="Arial"/>
          <w:sz w:val="22"/>
        </w:rPr>
      </w:pPr>
    </w:p>
    <w:p w14:paraId="568F1244" w14:textId="77777777" w:rsidR="00E21549" w:rsidRPr="00E52B90" w:rsidRDefault="00E21549" w:rsidP="00B86532">
      <w:pPr>
        <w:tabs>
          <w:tab w:val="left" w:pos="709"/>
        </w:tabs>
        <w:spacing w:line="276" w:lineRule="auto"/>
        <w:jc w:val="right"/>
        <w:rPr>
          <w:rFonts w:ascii="Arial" w:eastAsia="Calibri" w:hAnsi="Arial" w:cs="Arial"/>
          <w:sz w:val="22"/>
        </w:rPr>
      </w:pPr>
    </w:p>
    <w:p w14:paraId="0A66DDED" w14:textId="275C951B" w:rsidR="002B4245" w:rsidRPr="00E52B90" w:rsidRDefault="002B4245" w:rsidP="00B86532">
      <w:pPr>
        <w:tabs>
          <w:tab w:val="left" w:pos="709"/>
        </w:tabs>
        <w:spacing w:line="276" w:lineRule="auto"/>
        <w:jc w:val="right"/>
        <w:rPr>
          <w:rFonts w:ascii="Arial" w:eastAsia="Calibri" w:hAnsi="Arial" w:cs="Arial"/>
          <w:sz w:val="22"/>
        </w:rPr>
      </w:pPr>
    </w:p>
    <w:p w14:paraId="25D0F5A4" w14:textId="5C6C5D55" w:rsidR="002B4245" w:rsidRPr="00E52B90" w:rsidRDefault="002B4245" w:rsidP="00B86532">
      <w:pPr>
        <w:tabs>
          <w:tab w:val="left" w:pos="709"/>
        </w:tabs>
        <w:spacing w:line="276" w:lineRule="auto"/>
        <w:jc w:val="right"/>
        <w:rPr>
          <w:rFonts w:ascii="Arial" w:eastAsia="Calibri" w:hAnsi="Arial" w:cs="Arial"/>
          <w:sz w:val="22"/>
        </w:rPr>
      </w:pPr>
    </w:p>
    <w:p w14:paraId="44456E07" w14:textId="2CEF85CB" w:rsidR="002B4245" w:rsidRPr="00E52B90" w:rsidRDefault="002B4245" w:rsidP="00B86532">
      <w:pPr>
        <w:tabs>
          <w:tab w:val="left" w:pos="709"/>
        </w:tabs>
        <w:spacing w:line="276" w:lineRule="auto"/>
        <w:jc w:val="right"/>
        <w:rPr>
          <w:rFonts w:ascii="Arial" w:eastAsia="Calibri" w:hAnsi="Arial" w:cs="Arial"/>
          <w:sz w:val="22"/>
        </w:rPr>
      </w:pPr>
    </w:p>
    <w:p w14:paraId="70C88D75" w14:textId="7A4BF918" w:rsidR="002B4245" w:rsidRPr="00E52B90" w:rsidRDefault="002B4245" w:rsidP="00B86532">
      <w:pPr>
        <w:tabs>
          <w:tab w:val="left" w:pos="709"/>
        </w:tabs>
        <w:spacing w:line="276" w:lineRule="auto"/>
        <w:jc w:val="right"/>
        <w:rPr>
          <w:rFonts w:ascii="Arial" w:eastAsia="Calibri" w:hAnsi="Arial" w:cs="Arial"/>
          <w:sz w:val="22"/>
        </w:rPr>
      </w:pPr>
    </w:p>
    <w:p w14:paraId="34DBC9F0" w14:textId="0FAB5A83" w:rsidR="00E35B0E" w:rsidRPr="00E52B90" w:rsidRDefault="00C07B5D" w:rsidP="00B86532">
      <w:pPr>
        <w:tabs>
          <w:tab w:val="left" w:pos="709"/>
        </w:tabs>
        <w:spacing w:line="276" w:lineRule="auto"/>
        <w:jc w:val="right"/>
        <w:rPr>
          <w:rFonts w:ascii="Arial" w:hAnsi="Arial" w:cs="Arial"/>
          <w:sz w:val="18"/>
          <w:szCs w:val="18"/>
          <w:lang w:val="es-ES"/>
        </w:rPr>
      </w:pPr>
      <w:r w:rsidRPr="00D86FEA">
        <w:rPr>
          <w:rFonts w:ascii="Arial" w:eastAsia="Calibri" w:hAnsi="Arial" w:cs="Arial"/>
          <w:noProof/>
          <w:sz w:val="22"/>
        </w:rPr>
        <w:lastRenderedPageBreak/>
        <w:drawing>
          <wp:anchor distT="0" distB="0" distL="114300" distR="114300" simplePos="0" relativeHeight="251658240" behindDoc="1" locked="0" layoutInCell="1" allowOverlap="1" wp14:anchorId="4F844538" wp14:editId="3D24DFE7">
            <wp:simplePos x="0" y="0"/>
            <wp:positionH relativeFrom="column">
              <wp:posOffset>2139591</wp:posOffset>
            </wp:positionH>
            <wp:positionV relativeFrom="paragraph">
              <wp:posOffset>-725999</wp:posOffset>
            </wp:positionV>
            <wp:extent cx="3617844" cy="1030350"/>
            <wp:effectExtent l="0" t="0" r="1905" b="0"/>
            <wp:wrapNone/>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617844" cy="1030350"/>
                    </a:xfrm>
                    <a:prstGeom prst="rect">
                      <a:avLst/>
                    </a:prstGeom>
                  </pic:spPr>
                </pic:pic>
              </a:graphicData>
            </a:graphic>
            <wp14:sizeRelH relativeFrom="page">
              <wp14:pctWidth>0</wp14:pctWidth>
            </wp14:sizeRelH>
            <wp14:sizeRelV relativeFrom="page">
              <wp14:pctHeight>0</wp14:pctHeight>
            </wp14:sizeRelV>
          </wp:anchor>
        </w:drawing>
      </w:r>
    </w:p>
    <w:p w14:paraId="6EDECE02" w14:textId="01EACB27" w:rsidR="00E35B0E" w:rsidRPr="00E52B90" w:rsidRDefault="00E35B0E" w:rsidP="006026D9">
      <w:pPr>
        <w:outlineLvl w:val="0"/>
        <w:rPr>
          <w:rFonts w:ascii="Arial" w:hAnsi="Arial" w:cs="Arial"/>
          <w:sz w:val="22"/>
          <w:lang w:val="es-CO"/>
        </w:rPr>
      </w:pPr>
    </w:p>
    <w:p w14:paraId="05B25C09" w14:textId="511E9C8C" w:rsidR="00113AD4" w:rsidRPr="00E52B90" w:rsidRDefault="00113AD4" w:rsidP="006026D9">
      <w:pPr>
        <w:rPr>
          <w:rFonts w:ascii="Arial" w:hAnsi="Arial" w:cs="Arial"/>
          <w:sz w:val="22"/>
        </w:rPr>
      </w:pPr>
    </w:p>
    <w:p w14:paraId="3C8EB0A5" w14:textId="7DF12311" w:rsidR="00080255" w:rsidRPr="0017585A" w:rsidRDefault="0017585A" w:rsidP="0017585A">
      <w:pPr>
        <w:spacing w:before="100" w:beforeAutospacing="1" w:after="100" w:afterAutospacing="1"/>
        <w:rPr>
          <w:rFonts w:ascii="Times New Roman" w:eastAsia="Times New Roman" w:hAnsi="Times New Roman" w:cs="Times New Roman"/>
          <w:szCs w:val="24"/>
          <w:lang w:val="es-CO" w:eastAsia="es-MX"/>
        </w:rPr>
      </w:pPr>
      <w:r w:rsidRPr="0017585A">
        <w:rPr>
          <w:rFonts w:ascii="ArialMT" w:eastAsia="Times New Roman" w:hAnsi="ArialMT" w:cs="Times New Roman"/>
          <w:color w:val="4C4C4C"/>
          <w:sz w:val="22"/>
          <w:lang w:val="es-CO" w:eastAsia="es-MX"/>
        </w:rPr>
        <w:t>Bogot</w:t>
      </w:r>
      <w:r>
        <w:rPr>
          <w:rFonts w:ascii="ArialMT" w:eastAsia="Times New Roman" w:hAnsi="ArialMT" w:cs="Times New Roman"/>
          <w:color w:val="4C4C4C"/>
          <w:sz w:val="22"/>
          <w:lang w:val="es-CO" w:eastAsia="es-MX"/>
        </w:rPr>
        <w:t>á,</w:t>
      </w:r>
      <w:r w:rsidRPr="0017585A">
        <w:rPr>
          <w:rFonts w:ascii="ArialMT" w:eastAsia="Times New Roman" w:hAnsi="ArialMT" w:cs="Times New Roman"/>
          <w:color w:val="4C4C4C"/>
          <w:sz w:val="22"/>
          <w:lang w:val="es-CO" w:eastAsia="es-MX"/>
        </w:rPr>
        <w:t xml:space="preserve"> 15 Octubre 2021</w:t>
      </w:r>
    </w:p>
    <w:p w14:paraId="156C00BE" w14:textId="77777777" w:rsidR="00E35B0E" w:rsidRPr="00E52B90" w:rsidRDefault="00E35B0E" w:rsidP="006026D9">
      <w:pPr>
        <w:jc w:val="both"/>
        <w:outlineLvl w:val="0"/>
        <w:rPr>
          <w:rFonts w:ascii="Arial" w:hAnsi="Arial" w:cs="Arial"/>
          <w:b/>
          <w:sz w:val="22"/>
          <w:lang w:val="es-ES"/>
        </w:rPr>
      </w:pPr>
    </w:p>
    <w:p w14:paraId="6B6535B7" w14:textId="0555F6B9" w:rsidR="00E35B0E" w:rsidRPr="00E52B90" w:rsidRDefault="00F41276" w:rsidP="006026D9">
      <w:pPr>
        <w:jc w:val="both"/>
        <w:outlineLvl w:val="0"/>
        <w:rPr>
          <w:rFonts w:ascii="Arial" w:eastAsia="Calibri" w:hAnsi="Arial" w:cs="Arial"/>
          <w:sz w:val="22"/>
          <w:lang w:val="es-ES"/>
        </w:rPr>
      </w:pPr>
      <w:r w:rsidRPr="00E52B90">
        <w:rPr>
          <w:rFonts w:ascii="Arial" w:eastAsia="Calibri" w:hAnsi="Arial" w:cs="Arial"/>
          <w:sz w:val="22"/>
          <w:lang w:val="es-ES"/>
        </w:rPr>
        <w:t>Señor</w:t>
      </w:r>
    </w:p>
    <w:p w14:paraId="0A324933" w14:textId="2BABB66A" w:rsidR="00F41276" w:rsidRPr="00E52B90" w:rsidRDefault="00080255" w:rsidP="006026D9">
      <w:pPr>
        <w:jc w:val="both"/>
        <w:rPr>
          <w:rFonts w:ascii="Arial" w:hAnsi="Arial" w:cs="Arial"/>
          <w:b/>
          <w:bCs/>
          <w:sz w:val="22"/>
          <w:lang w:val="es-CO"/>
        </w:rPr>
      </w:pPr>
      <w:r w:rsidRPr="00E52B90">
        <w:rPr>
          <w:rFonts w:ascii="Arial" w:hAnsi="Arial" w:cs="Arial"/>
          <w:b/>
          <w:bCs/>
          <w:sz w:val="22"/>
          <w:lang w:val="es-CO"/>
        </w:rPr>
        <w:t>Miguel Cruz Ramírez</w:t>
      </w:r>
    </w:p>
    <w:p w14:paraId="66E298E5" w14:textId="4349E4D8" w:rsidR="00E21549" w:rsidRPr="00E52B90" w:rsidRDefault="00E21549" w:rsidP="006026D9">
      <w:pPr>
        <w:jc w:val="both"/>
        <w:rPr>
          <w:rFonts w:ascii="Arial" w:hAnsi="Arial" w:cs="Arial"/>
          <w:sz w:val="22"/>
          <w:lang w:val="es-CO"/>
        </w:rPr>
      </w:pPr>
      <w:r w:rsidRPr="00E52B90">
        <w:rPr>
          <w:rFonts w:ascii="Arial" w:hAnsi="Arial" w:cs="Arial"/>
          <w:sz w:val="22"/>
          <w:lang w:val="es-CO"/>
        </w:rPr>
        <w:t>Bogotá D.C.</w:t>
      </w:r>
    </w:p>
    <w:p w14:paraId="0973DE01" w14:textId="721284D5" w:rsidR="00E35B0E" w:rsidRPr="00E52B90" w:rsidRDefault="00E35B0E" w:rsidP="006026D9">
      <w:pPr>
        <w:jc w:val="both"/>
        <w:rPr>
          <w:rFonts w:ascii="Arial" w:eastAsia="Calibri" w:hAnsi="Arial" w:cs="Arial"/>
          <w:sz w:val="22"/>
          <w:lang w:val="es-ES"/>
        </w:rPr>
      </w:pPr>
    </w:p>
    <w:p w14:paraId="3D1882E9" w14:textId="77777777" w:rsidR="00E35B0E" w:rsidRPr="00E52B90" w:rsidRDefault="00E35B0E" w:rsidP="006026D9">
      <w:pPr>
        <w:jc w:val="both"/>
        <w:rPr>
          <w:rFonts w:ascii="Arial" w:eastAsia="Calibri" w:hAnsi="Arial" w:cs="Arial"/>
          <w:sz w:val="22"/>
          <w:lang w:val="es-ES"/>
        </w:rPr>
      </w:pPr>
    </w:p>
    <w:p w14:paraId="70630779" w14:textId="67560C88" w:rsidR="00E35B0E" w:rsidRPr="00E52B90" w:rsidRDefault="00E35B0E" w:rsidP="006026D9">
      <w:pPr>
        <w:ind w:firstLine="2694"/>
        <w:jc w:val="both"/>
        <w:outlineLvl w:val="0"/>
        <w:rPr>
          <w:rFonts w:ascii="Arial" w:eastAsia="Calibri" w:hAnsi="Arial" w:cs="Arial"/>
          <w:b/>
          <w:sz w:val="22"/>
          <w:lang w:val="es-ES"/>
        </w:rPr>
      </w:pPr>
      <w:r w:rsidRPr="00E52B90">
        <w:rPr>
          <w:rFonts w:ascii="Arial" w:eastAsia="Calibri" w:hAnsi="Arial" w:cs="Arial"/>
          <w:b/>
          <w:sz w:val="22"/>
          <w:lang w:val="es-ES"/>
        </w:rPr>
        <w:t>Concepto C –</w:t>
      </w:r>
      <w:r w:rsidR="00E21549" w:rsidRPr="00E52B90">
        <w:rPr>
          <w:rFonts w:ascii="Arial" w:eastAsia="Calibri" w:hAnsi="Arial" w:cs="Arial"/>
          <w:b/>
          <w:sz w:val="22"/>
          <w:lang w:val="es-ES"/>
        </w:rPr>
        <w:t xml:space="preserve"> 585</w:t>
      </w:r>
      <w:r w:rsidRPr="00E52B90">
        <w:rPr>
          <w:rFonts w:ascii="Arial" w:eastAsia="Calibri" w:hAnsi="Arial" w:cs="Arial"/>
          <w:b/>
          <w:sz w:val="22"/>
          <w:lang w:val="es-ES"/>
        </w:rPr>
        <w:t xml:space="preserve"> de 2021</w:t>
      </w:r>
    </w:p>
    <w:p w14:paraId="234727AD" w14:textId="77777777" w:rsidR="00BE1E33" w:rsidRPr="00E52B90" w:rsidRDefault="00BE1E33" w:rsidP="006026D9">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32"/>
      </w:tblGrid>
      <w:tr w:rsidR="00782A9F" w:rsidRPr="00E52B90" w14:paraId="2553E4F3" w14:textId="77777777" w:rsidTr="006026D9">
        <w:tc>
          <w:tcPr>
            <w:tcW w:w="2694" w:type="dxa"/>
            <w:hideMark/>
          </w:tcPr>
          <w:p w14:paraId="7BC9E971" w14:textId="77777777" w:rsidR="00782A9F" w:rsidRPr="00E52B90" w:rsidRDefault="00782A9F" w:rsidP="006026D9">
            <w:pPr>
              <w:rPr>
                <w:rFonts w:ascii="Arial" w:eastAsia="Calibri" w:hAnsi="Arial" w:cs="Arial"/>
                <w:sz w:val="22"/>
                <w:lang w:val="es-ES_tradnl"/>
              </w:rPr>
            </w:pPr>
            <w:r w:rsidRPr="00E52B90">
              <w:rPr>
                <w:rFonts w:ascii="Arial" w:eastAsia="Calibri" w:hAnsi="Arial" w:cs="Arial"/>
                <w:b/>
                <w:sz w:val="22"/>
                <w:lang w:val="es-ES_tradnl"/>
              </w:rPr>
              <w:t>Temas:</w:t>
            </w:r>
            <w:r w:rsidRPr="00E52B90">
              <w:rPr>
                <w:rFonts w:ascii="Arial" w:eastAsia="Calibri" w:hAnsi="Arial" w:cs="Arial"/>
                <w:sz w:val="22"/>
                <w:lang w:val="es-ES_tradnl"/>
              </w:rPr>
              <w:t xml:space="preserve">           </w:t>
            </w:r>
          </w:p>
          <w:p w14:paraId="0C0D8CD7" w14:textId="77777777" w:rsidR="00782A9F" w:rsidRPr="00E52B90" w:rsidRDefault="00782A9F" w:rsidP="006026D9">
            <w:pPr>
              <w:rPr>
                <w:rFonts w:ascii="Arial" w:eastAsia="Calibri" w:hAnsi="Arial" w:cs="Arial"/>
                <w:sz w:val="22"/>
                <w:lang w:val="es-ES_tradnl"/>
              </w:rPr>
            </w:pPr>
            <w:r w:rsidRPr="00E52B90">
              <w:rPr>
                <w:rFonts w:ascii="Arial" w:eastAsia="Calibri" w:hAnsi="Arial" w:cs="Arial"/>
                <w:sz w:val="22"/>
                <w:lang w:val="es-ES_tradnl"/>
              </w:rPr>
              <w:t xml:space="preserve">                           </w:t>
            </w:r>
          </w:p>
        </w:tc>
        <w:tc>
          <w:tcPr>
            <w:tcW w:w="6232" w:type="dxa"/>
            <w:hideMark/>
          </w:tcPr>
          <w:p w14:paraId="0F35FDBD" w14:textId="114F31CE" w:rsidR="00782A9F" w:rsidRPr="00E52B90" w:rsidRDefault="004D5263" w:rsidP="006026D9">
            <w:pPr>
              <w:jc w:val="both"/>
              <w:rPr>
                <w:rFonts w:ascii="Arial" w:eastAsia="Calibri" w:hAnsi="Arial" w:cs="Arial"/>
                <w:sz w:val="22"/>
                <w:lang w:val="es-ES_tradnl"/>
              </w:rPr>
            </w:pPr>
            <w:r w:rsidRPr="00E52B90">
              <w:rPr>
                <w:rFonts w:ascii="Arial" w:eastAsia="Calibri" w:hAnsi="Arial" w:cs="Arial"/>
                <w:color w:val="000000" w:themeColor="text1"/>
                <w:sz w:val="22"/>
                <w:lang w:val="es-ES_tradnl"/>
              </w:rPr>
              <w:t>CONVENIO DE ASOCIACIÓN – Entidades públicas – Poderes exorbitantes – Inaplicabilidad / CONTRATOS Y CONVENIOS – Contratos de colaboración – Convenios de Asociación – Entidades públicas y ESAL – Artículo 355 / DECRETO 092 DE 2017 – Alcance – Artículos 6, 7 y 8 – Remisión</w:t>
            </w:r>
            <w:r w:rsidR="007F42DA" w:rsidRPr="00E52B90">
              <w:rPr>
                <w:rFonts w:ascii="Arial" w:eastAsia="Calibri" w:hAnsi="Arial" w:cs="Arial"/>
                <w:color w:val="000000" w:themeColor="text1"/>
                <w:sz w:val="22"/>
                <w:lang w:val="es-ES_tradnl"/>
              </w:rPr>
              <w:t xml:space="preserve">        </w:t>
            </w:r>
          </w:p>
        </w:tc>
      </w:tr>
      <w:tr w:rsidR="00782A9F" w:rsidRPr="00E52B90" w14:paraId="20F2A3B6" w14:textId="77777777" w:rsidTr="006026D9">
        <w:tc>
          <w:tcPr>
            <w:tcW w:w="2694" w:type="dxa"/>
          </w:tcPr>
          <w:p w14:paraId="1E82F4FA" w14:textId="7BA64145" w:rsidR="00782A9F" w:rsidRPr="00E52B90" w:rsidRDefault="00782A9F" w:rsidP="006026D9">
            <w:pPr>
              <w:spacing w:before="120"/>
              <w:rPr>
                <w:rFonts w:ascii="Arial" w:eastAsia="Calibri" w:hAnsi="Arial" w:cs="Arial"/>
                <w:b/>
                <w:sz w:val="22"/>
                <w:lang w:val="es-ES_tradnl"/>
              </w:rPr>
            </w:pPr>
            <w:r w:rsidRPr="00E52B90">
              <w:rPr>
                <w:rFonts w:ascii="Arial" w:eastAsia="Calibri" w:hAnsi="Arial" w:cs="Arial"/>
                <w:b/>
                <w:sz w:val="22"/>
                <w:lang w:val="es-ES_tradnl"/>
              </w:rPr>
              <w:t>Radicación:</w:t>
            </w:r>
            <w:r w:rsidRPr="00E52B90">
              <w:rPr>
                <w:rFonts w:ascii="Arial" w:eastAsia="Calibri" w:hAnsi="Arial" w:cs="Arial"/>
                <w:sz w:val="22"/>
                <w:lang w:val="es-ES_tradnl"/>
              </w:rPr>
              <w:t xml:space="preserve">                              </w:t>
            </w:r>
          </w:p>
        </w:tc>
        <w:tc>
          <w:tcPr>
            <w:tcW w:w="6232" w:type="dxa"/>
          </w:tcPr>
          <w:p w14:paraId="20FCE53A" w14:textId="3DF32D71" w:rsidR="00782A9F" w:rsidRPr="00E52B90" w:rsidRDefault="00782A9F" w:rsidP="006026D9">
            <w:pPr>
              <w:spacing w:before="120"/>
              <w:jc w:val="both"/>
              <w:rPr>
                <w:rFonts w:ascii="Arial" w:eastAsia="Calibri" w:hAnsi="Arial" w:cs="Arial"/>
                <w:sz w:val="22"/>
                <w:lang w:val="es-ES_tradnl"/>
              </w:rPr>
            </w:pPr>
            <w:r w:rsidRPr="00E52B90">
              <w:rPr>
                <w:rFonts w:ascii="Arial" w:eastAsia="Calibri" w:hAnsi="Arial" w:cs="Arial"/>
                <w:sz w:val="22"/>
                <w:lang w:val="es-ES_tradnl"/>
              </w:rPr>
              <w:t xml:space="preserve">Respuesta a consulta </w:t>
            </w:r>
            <w:r w:rsidR="00080255" w:rsidRPr="00E52B90">
              <w:rPr>
                <w:rFonts w:ascii="Arial" w:eastAsia="Calibri" w:hAnsi="Arial" w:cs="Arial"/>
                <w:sz w:val="22"/>
                <w:lang w:val="es-ES_tradnl"/>
              </w:rPr>
              <w:t>P20210905008046</w:t>
            </w:r>
          </w:p>
        </w:tc>
      </w:tr>
    </w:tbl>
    <w:p w14:paraId="06248123" w14:textId="6D917F7A" w:rsidR="00BE1E33" w:rsidRPr="00E52B90" w:rsidRDefault="00BE1E33" w:rsidP="00080255">
      <w:pPr>
        <w:jc w:val="both"/>
        <w:rPr>
          <w:rFonts w:ascii="Arial" w:eastAsia="Calibri" w:hAnsi="Arial" w:cs="Arial"/>
          <w:sz w:val="22"/>
          <w:lang w:val="es-ES_tradnl"/>
        </w:rPr>
      </w:pPr>
    </w:p>
    <w:p w14:paraId="01D461F0" w14:textId="77777777" w:rsidR="00080255" w:rsidRPr="00E52B90" w:rsidRDefault="00080255" w:rsidP="006026D9">
      <w:pPr>
        <w:jc w:val="both"/>
        <w:rPr>
          <w:rFonts w:ascii="Arial" w:eastAsia="Calibri" w:hAnsi="Arial" w:cs="Arial"/>
          <w:sz w:val="22"/>
          <w:lang w:val="es-ES_tradnl"/>
        </w:rPr>
      </w:pPr>
    </w:p>
    <w:p w14:paraId="417ABDA8" w14:textId="6288330D" w:rsidR="00BE1E33" w:rsidRPr="00E52B90" w:rsidRDefault="004E402A" w:rsidP="00B86532">
      <w:pPr>
        <w:spacing w:line="276" w:lineRule="auto"/>
        <w:rPr>
          <w:rFonts w:ascii="Arial" w:eastAsia="Calibri" w:hAnsi="Arial" w:cs="Arial"/>
          <w:sz w:val="22"/>
          <w:lang w:val="es-ES_tradnl"/>
        </w:rPr>
      </w:pPr>
      <w:r w:rsidRPr="00E52B90">
        <w:rPr>
          <w:rFonts w:ascii="Arial" w:eastAsia="Calibri" w:hAnsi="Arial" w:cs="Arial"/>
          <w:sz w:val="22"/>
          <w:lang w:val="es-ES_tradnl"/>
        </w:rPr>
        <w:t>Respetada</w:t>
      </w:r>
      <w:r w:rsidR="00F41276" w:rsidRPr="00E52B90">
        <w:rPr>
          <w:rFonts w:ascii="Arial" w:eastAsia="Calibri" w:hAnsi="Arial" w:cs="Arial"/>
          <w:sz w:val="22"/>
          <w:lang w:val="es-ES_tradnl"/>
        </w:rPr>
        <w:t xml:space="preserve"> señor</w:t>
      </w:r>
      <w:r w:rsidR="00871471" w:rsidRPr="00E52B90">
        <w:rPr>
          <w:rFonts w:ascii="Arial" w:eastAsia="Calibri" w:hAnsi="Arial" w:cs="Arial"/>
          <w:sz w:val="22"/>
          <w:lang w:val="es-ES_tradnl"/>
        </w:rPr>
        <w:t xml:space="preserve"> Cruz</w:t>
      </w:r>
      <w:r w:rsidRPr="00E52B90">
        <w:rPr>
          <w:rFonts w:ascii="Arial" w:eastAsia="Calibri" w:hAnsi="Arial" w:cs="Arial"/>
          <w:sz w:val="22"/>
          <w:lang w:val="es-ES_tradnl"/>
        </w:rPr>
        <w:t>:</w:t>
      </w:r>
    </w:p>
    <w:p w14:paraId="1CCABABD" w14:textId="77777777" w:rsidR="00BE1E33" w:rsidRPr="00E52B90" w:rsidRDefault="00BE1E33" w:rsidP="00B86532">
      <w:pPr>
        <w:spacing w:line="276" w:lineRule="auto"/>
        <w:rPr>
          <w:rFonts w:ascii="Arial" w:eastAsia="Calibri" w:hAnsi="Arial" w:cs="Arial"/>
          <w:sz w:val="22"/>
          <w:lang w:val="es-ES_tradnl"/>
        </w:rPr>
      </w:pPr>
    </w:p>
    <w:p w14:paraId="286A9CEF" w14:textId="42C0F329" w:rsidR="00BE1E33" w:rsidRPr="00E52B90" w:rsidRDefault="00BE1E33" w:rsidP="00B86532">
      <w:pPr>
        <w:spacing w:line="276" w:lineRule="auto"/>
        <w:jc w:val="both"/>
        <w:rPr>
          <w:rFonts w:ascii="Arial" w:eastAsia="Calibri" w:hAnsi="Arial" w:cs="Arial"/>
          <w:sz w:val="22"/>
          <w:lang w:val="es-ES_tradnl"/>
        </w:rPr>
      </w:pPr>
      <w:r w:rsidRPr="00E52B90">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131937" w:rsidRPr="00E52B90">
        <w:rPr>
          <w:rFonts w:ascii="Arial" w:eastAsia="Calibri" w:hAnsi="Arial" w:cs="Arial"/>
          <w:sz w:val="22"/>
          <w:lang w:val="es-ES_tradnl"/>
        </w:rPr>
        <w:t xml:space="preserve">con fecha de </w:t>
      </w:r>
      <w:r w:rsidR="00ED3B2F" w:rsidRPr="00E52B90">
        <w:rPr>
          <w:rFonts w:ascii="Arial" w:eastAsia="Calibri" w:hAnsi="Arial" w:cs="Arial"/>
          <w:sz w:val="22"/>
          <w:lang w:val="es-ES_tradnl"/>
        </w:rPr>
        <w:t>5 de septiembre</w:t>
      </w:r>
      <w:r w:rsidR="00787F0A" w:rsidRPr="00E52B90">
        <w:rPr>
          <w:rFonts w:ascii="Arial" w:eastAsia="Calibri" w:hAnsi="Arial" w:cs="Arial"/>
          <w:sz w:val="22"/>
          <w:lang w:val="es-ES_tradnl"/>
        </w:rPr>
        <w:t xml:space="preserve"> de 20</w:t>
      </w:r>
      <w:r w:rsidR="00731B46" w:rsidRPr="00E52B90">
        <w:rPr>
          <w:rFonts w:ascii="Arial" w:eastAsia="Calibri" w:hAnsi="Arial" w:cs="Arial"/>
          <w:sz w:val="22"/>
          <w:lang w:val="es-ES_tradnl"/>
        </w:rPr>
        <w:t>21.</w:t>
      </w:r>
    </w:p>
    <w:p w14:paraId="1D13401D" w14:textId="77777777" w:rsidR="00BE1E33" w:rsidRPr="00E52B90" w:rsidRDefault="00BE1E33" w:rsidP="00B86532">
      <w:pPr>
        <w:spacing w:line="276" w:lineRule="auto"/>
        <w:jc w:val="both"/>
        <w:rPr>
          <w:rFonts w:ascii="Arial" w:eastAsia="Calibri" w:hAnsi="Arial" w:cs="Arial"/>
          <w:sz w:val="22"/>
          <w:lang w:val="es-ES_tradnl"/>
        </w:rPr>
      </w:pPr>
    </w:p>
    <w:p w14:paraId="068F505C" w14:textId="3C890D1C" w:rsidR="00BE1E33" w:rsidRPr="00E52B90" w:rsidRDefault="00BE1E33" w:rsidP="00B86532">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E52B90">
        <w:rPr>
          <w:rFonts w:ascii="Arial" w:eastAsia="Calibri" w:hAnsi="Arial" w:cs="Arial"/>
          <w:b/>
          <w:sz w:val="22"/>
          <w:lang w:val="es-ES_tradnl"/>
        </w:rPr>
        <w:t xml:space="preserve">Problema planteado </w:t>
      </w:r>
    </w:p>
    <w:p w14:paraId="70C8CC6D" w14:textId="77777777" w:rsidR="00ED3B2F" w:rsidRPr="00E52B90" w:rsidRDefault="00ED3B2F" w:rsidP="006026D9">
      <w:pPr>
        <w:pStyle w:val="Prrafodelista"/>
        <w:tabs>
          <w:tab w:val="left" w:pos="284"/>
        </w:tabs>
        <w:spacing w:line="276" w:lineRule="auto"/>
        <w:ind w:left="0"/>
        <w:jc w:val="both"/>
        <w:rPr>
          <w:rFonts w:ascii="Arial" w:eastAsia="Calibri" w:hAnsi="Arial" w:cs="Arial"/>
          <w:b/>
          <w:sz w:val="22"/>
          <w:lang w:val="es-ES_tradnl"/>
        </w:rPr>
      </w:pPr>
    </w:p>
    <w:p w14:paraId="53F0188E" w14:textId="0EC00942" w:rsidR="00E33680" w:rsidRPr="00E52B90" w:rsidRDefault="00ED3B2F" w:rsidP="006026D9">
      <w:pPr>
        <w:pStyle w:val="NormalWeb"/>
        <w:shd w:val="clear" w:color="auto" w:fill="FFFFFF"/>
        <w:spacing w:before="0" w:beforeAutospacing="0" w:after="0" w:afterAutospacing="0" w:line="276" w:lineRule="auto"/>
        <w:jc w:val="both"/>
        <w:rPr>
          <w:rFonts w:ascii="Arial" w:hAnsi="Arial" w:cs="Arial"/>
          <w:sz w:val="22"/>
        </w:rPr>
      </w:pPr>
      <w:r w:rsidRPr="00E52B90">
        <w:rPr>
          <w:rFonts w:ascii="Arial" w:eastAsia="Calibri" w:hAnsi="Arial" w:cs="Arial"/>
          <w:sz w:val="22"/>
          <w:lang w:val="es-ES"/>
        </w:rPr>
        <w:t>E</w:t>
      </w:r>
      <w:r w:rsidR="00A70F57" w:rsidRPr="00E52B90">
        <w:rPr>
          <w:rFonts w:ascii="Arial" w:eastAsia="Calibri" w:hAnsi="Arial" w:cs="Arial"/>
          <w:sz w:val="22"/>
          <w:lang w:val="es-ES"/>
        </w:rPr>
        <w:t xml:space="preserve">n relación con </w:t>
      </w:r>
      <w:r w:rsidR="00E03290" w:rsidRPr="00E52B90">
        <w:rPr>
          <w:rFonts w:ascii="Arial" w:eastAsia="Calibri" w:hAnsi="Arial" w:cs="Arial"/>
          <w:sz w:val="22"/>
          <w:lang w:val="es-ES"/>
        </w:rPr>
        <w:t>los convenios de asociación y el procedimiento sancionatorio establecido en el artículo 86 de la Ley 1474 de 2011</w:t>
      </w:r>
      <w:r w:rsidRPr="00E52B90">
        <w:rPr>
          <w:rFonts w:ascii="Arial" w:eastAsia="Calibri" w:hAnsi="Arial" w:cs="Arial"/>
          <w:sz w:val="22"/>
          <w:lang w:val="es-ES"/>
        </w:rPr>
        <w:t>, usted pregunta lo siguiente</w:t>
      </w:r>
      <w:r w:rsidR="00FF780B" w:rsidRPr="00E52B90">
        <w:rPr>
          <w:rFonts w:ascii="Arial" w:eastAsia="Calibri" w:hAnsi="Arial" w:cs="Arial"/>
          <w:sz w:val="22"/>
          <w:lang w:val="es-ES"/>
        </w:rPr>
        <w:t>:</w:t>
      </w:r>
      <w:r w:rsidRPr="00E52B90">
        <w:rPr>
          <w:rFonts w:ascii="Arial" w:eastAsia="Calibri" w:hAnsi="Arial" w:cs="Arial"/>
          <w:sz w:val="22"/>
          <w:lang w:val="es-ES"/>
        </w:rPr>
        <w:t xml:space="preserve"> i) «</w:t>
      </w:r>
      <w:r w:rsidR="00A04962" w:rsidRPr="00E52B90">
        <w:rPr>
          <w:rFonts w:ascii="Arial" w:hAnsi="Arial" w:cs="Arial"/>
          <w:sz w:val="22"/>
        </w:rPr>
        <w:t>¿En los convenios interadministrativos del artículo 85</w:t>
      </w:r>
      <w:r w:rsidR="0048714C" w:rsidRPr="00E52B90">
        <w:rPr>
          <w:rFonts w:ascii="Arial" w:hAnsi="Arial" w:cs="Arial"/>
          <w:sz w:val="22"/>
        </w:rPr>
        <w:t xml:space="preserve"> (sic)</w:t>
      </w:r>
      <w:r w:rsidR="00A04962" w:rsidRPr="00E52B90">
        <w:rPr>
          <w:rFonts w:ascii="Arial" w:hAnsi="Arial" w:cs="Arial"/>
          <w:sz w:val="22"/>
        </w:rPr>
        <w:t xml:space="preserve"> de la Ley 489 de 1998, para la declaratoria de incumplimiento aplica el artículo </w:t>
      </w:r>
      <w:r w:rsidR="00657C16" w:rsidRPr="00E52B90">
        <w:rPr>
          <w:rFonts w:ascii="Arial" w:hAnsi="Arial" w:cs="Arial"/>
          <w:sz w:val="22"/>
        </w:rPr>
        <w:t>9</w:t>
      </w:r>
      <w:r w:rsidR="00A04962" w:rsidRPr="00E52B90">
        <w:rPr>
          <w:rFonts w:ascii="Arial" w:hAnsi="Arial" w:cs="Arial"/>
          <w:sz w:val="22"/>
        </w:rPr>
        <w:t>6 de la Ley 1474 de 2011?</w:t>
      </w:r>
      <w:r w:rsidRPr="00E52B90">
        <w:rPr>
          <w:rFonts w:ascii="Arial" w:hAnsi="Arial" w:cs="Arial"/>
          <w:sz w:val="22"/>
        </w:rPr>
        <w:t>», ii) «</w:t>
      </w:r>
      <w:r w:rsidR="00A04962" w:rsidRPr="00E52B90">
        <w:rPr>
          <w:rFonts w:ascii="Arial" w:hAnsi="Arial" w:cs="Arial"/>
          <w:sz w:val="22"/>
        </w:rPr>
        <w:t>¿En los convenios del artículo 96 de la Ley 489 de 1998, para la declaratoria de incumplimiento aplica el artículo 86 de la Ley 1474 de 2011?</w:t>
      </w:r>
      <w:r w:rsidRPr="00E52B90">
        <w:rPr>
          <w:rFonts w:ascii="Arial" w:hAnsi="Arial" w:cs="Arial"/>
          <w:sz w:val="22"/>
        </w:rPr>
        <w:t>» y iii) «</w:t>
      </w:r>
      <w:r w:rsidR="00A04962" w:rsidRPr="00E52B90">
        <w:rPr>
          <w:rFonts w:ascii="Arial" w:hAnsi="Arial" w:cs="Arial"/>
          <w:bCs/>
          <w:color w:val="000000" w:themeColor="text1"/>
          <w:sz w:val="22"/>
          <w:lang w:val="es-ES"/>
        </w:rPr>
        <w:t>¿En los contratos del artículo 2º del Decreto 92 de 2017, para la declaratoria de incumplimiento aplica el artículo 86 de la Ley 1474 de 2011?»</w:t>
      </w:r>
      <w:r w:rsidRPr="00E52B90">
        <w:rPr>
          <w:rFonts w:ascii="Arial" w:hAnsi="Arial" w:cs="Arial"/>
          <w:bCs/>
          <w:color w:val="000000" w:themeColor="text1"/>
          <w:sz w:val="22"/>
          <w:lang w:val="es-ES"/>
        </w:rPr>
        <w:t>.</w:t>
      </w:r>
    </w:p>
    <w:p w14:paraId="78A09763" w14:textId="77777777" w:rsidR="00F31211" w:rsidRPr="00E52B90" w:rsidRDefault="00F31211" w:rsidP="006026D9">
      <w:pPr>
        <w:spacing w:line="276" w:lineRule="auto"/>
        <w:ind w:left="709" w:right="709"/>
        <w:jc w:val="both"/>
        <w:rPr>
          <w:lang w:val="es-ES"/>
        </w:rPr>
      </w:pPr>
    </w:p>
    <w:p w14:paraId="01D94D72" w14:textId="209C116B" w:rsidR="00BE1E33" w:rsidRPr="00E52B90" w:rsidRDefault="00BE1E33" w:rsidP="00B86532">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E52B90">
        <w:rPr>
          <w:rFonts w:ascii="Arial" w:eastAsia="Calibri" w:hAnsi="Arial" w:cs="Arial"/>
          <w:b/>
          <w:sz w:val="22"/>
          <w:lang w:val="es-ES_tradnl"/>
        </w:rPr>
        <w:t>Consideraciones</w:t>
      </w:r>
    </w:p>
    <w:p w14:paraId="1E54FC88" w14:textId="77777777" w:rsidR="00ED3B2F" w:rsidRPr="00E52B90" w:rsidRDefault="00ED3B2F" w:rsidP="006026D9">
      <w:pPr>
        <w:pStyle w:val="Prrafodelista"/>
        <w:tabs>
          <w:tab w:val="left" w:pos="426"/>
        </w:tabs>
        <w:spacing w:line="276" w:lineRule="auto"/>
        <w:ind w:left="284"/>
        <w:jc w:val="both"/>
        <w:rPr>
          <w:rFonts w:ascii="Arial" w:eastAsia="Calibri" w:hAnsi="Arial" w:cs="Arial"/>
          <w:b/>
          <w:sz w:val="22"/>
          <w:lang w:val="es-ES_tradnl"/>
        </w:rPr>
      </w:pPr>
    </w:p>
    <w:p w14:paraId="58A877F3" w14:textId="7D907106" w:rsidR="00216CC6" w:rsidRPr="00E52B90" w:rsidRDefault="00B67C63" w:rsidP="006026D9">
      <w:pPr>
        <w:spacing w:line="276" w:lineRule="auto"/>
        <w:jc w:val="both"/>
        <w:rPr>
          <w:rFonts w:ascii="Arial" w:eastAsia="Calibri" w:hAnsi="Arial" w:cs="Arial"/>
          <w:sz w:val="22"/>
        </w:rPr>
      </w:pPr>
      <w:r w:rsidRPr="00E52B90">
        <w:rPr>
          <w:rFonts w:ascii="Arial" w:eastAsia="Calibri" w:hAnsi="Arial" w:cs="Arial"/>
          <w:sz w:val="22"/>
        </w:rPr>
        <w:t xml:space="preserve">Para </w:t>
      </w:r>
      <w:r w:rsidR="00EA4081" w:rsidRPr="00E52B90">
        <w:rPr>
          <w:rFonts w:ascii="Arial" w:eastAsia="Calibri" w:hAnsi="Arial" w:cs="Arial"/>
          <w:sz w:val="22"/>
        </w:rPr>
        <w:t xml:space="preserve">absolver los interrogantes formulados, esta dependencia analizará los siguientes temas: </w:t>
      </w:r>
      <w:r w:rsidR="008E5EB0" w:rsidRPr="00E52B90">
        <w:rPr>
          <w:rFonts w:ascii="Arial" w:eastAsia="Calibri" w:hAnsi="Arial" w:cs="Arial"/>
          <w:sz w:val="22"/>
        </w:rPr>
        <w:t xml:space="preserve">i) </w:t>
      </w:r>
      <w:r w:rsidR="0048714C" w:rsidRPr="00E52B90">
        <w:rPr>
          <w:rFonts w:ascii="Arial" w:eastAsia="Calibri" w:hAnsi="Arial" w:cs="Arial"/>
          <w:sz w:val="22"/>
        </w:rPr>
        <w:t xml:space="preserve">inaplicabilidad de las facultades exorbitantes en los convenios del artículo 95 de </w:t>
      </w:r>
      <w:r w:rsidR="0048714C" w:rsidRPr="00E52B90">
        <w:rPr>
          <w:rFonts w:ascii="Arial" w:eastAsia="Calibri" w:hAnsi="Arial" w:cs="Arial"/>
          <w:sz w:val="22"/>
        </w:rPr>
        <w:lastRenderedPageBreak/>
        <w:t>la Ley 489 de 1998, ii) régimen de los contratos de colaboración y convenios de asociación entre entidades públicas y entidades privadas sin ánimo de lucro y iii) alcance de las remisiones previstas en los artículos 6, 7 y 8 del Decreto 092 de 2017 para efectos de la competencia sancionatoria y el procedimiento aplicable</w:t>
      </w:r>
      <w:r w:rsidR="00216CC6" w:rsidRPr="00E52B90">
        <w:rPr>
          <w:rFonts w:ascii="Arial" w:eastAsia="Calibri" w:hAnsi="Arial" w:cs="Arial"/>
          <w:sz w:val="22"/>
        </w:rPr>
        <w:t>.</w:t>
      </w:r>
    </w:p>
    <w:p w14:paraId="5C65F02D" w14:textId="392AD8C2" w:rsidR="00A4372E" w:rsidRPr="00E52B90" w:rsidRDefault="00BE1E33" w:rsidP="00B416C7">
      <w:pPr>
        <w:spacing w:before="120" w:line="276" w:lineRule="auto"/>
        <w:ind w:firstLine="708"/>
        <w:jc w:val="both"/>
        <w:rPr>
          <w:rFonts w:ascii="Arial" w:hAnsi="Arial" w:cs="Arial"/>
          <w:bCs/>
          <w:color w:val="000000" w:themeColor="text1"/>
          <w:sz w:val="22"/>
        </w:rPr>
      </w:pPr>
      <w:r w:rsidRPr="00E52B90">
        <w:rPr>
          <w:rFonts w:ascii="Arial" w:eastAsia="Calibri" w:hAnsi="Arial" w:cs="Arial"/>
          <w:sz w:val="22"/>
          <w:lang w:val="es-ES_tradnl"/>
        </w:rPr>
        <w:t>La Agencia Nacional de Contratación Pública − Colombia Compra Eficiente se ha pro</w:t>
      </w:r>
      <w:r w:rsidR="00A4372E" w:rsidRPr="00E52B90">
        <w:rPr>
          <w:rFonts w:ascii="Arial" w:eastAsia="Calibri" w:hAnsi="Arial" w:cs="Arial"/>
          <w:sz w:val="22"/>
          <w:lang w:val="es-ES_tradnl"/>
        </w:rPr>
        <w:t>nunciado en diferentes oportunidades</w:t>
      </w:r>
      <w:r w:rsidRPr="00E52B90">
        <w:rPr>
          <w:rFonts w:ascii="Arial" w:eastAsia="Calibri" w:hAnsi="Arial" w:cs="Arial"/>
          <w:sz w:val="22"/>
          <w:lang w:val="es-ES_tradnl"/>
        </w:rPr>
        <w:t xml:space="preserve"> sobre</w:t>
      </w:r>
      <w:r w:rsidR="00216CC6" w:rsidRPr="00E52B90">
        <w:rPr>
          <w:rFonts w:ascii="Arial" w:eastAsia="Calibri" w:hAnsi="Arial" w:cs="Arial"/>
          <w:sz w:val="22"/>
          <w:lang w:val="es-ES_tradnl"/>
        </w:rPr>
        <w:t xml:space="preserve"> la potestad sancionatoria de las entidades estatales como herramienta para la dirección general del negocio y para la vigilancia y control en materia contractual y el trámite para su ejercicio</w:t>
      </w:r>
      <w:r w:rsidR="00E33680" w:rsidRPr="00E52B90">
        <w:rPr>
          <w:rFonts w:ascii="Arial" w:eastAsia="Calibri" w:hAnsi="Arial" w:cs="Arial"/>
          <w:sz w:val="22"/>
          <w:lang w:val="es-ES_tradnl"/>
        </w:rPr>
        <w:t>. Así lo ha hecho</w:t>
      </w:r>
      <w:r w:rsidR="00216CC6" w:rsidRPr="00E52B90">
        <w:rPr>
          <w:rFonts w:ascii="Arial" w:eastAsia="Calibri" w:hAnsi="Arial" w:cs="Arial"/>
          <w:sz w:val="22"/>
          <w:lang w:val="es-ES_tradnl"/>
        </w:rPr>
        <w:t xml:space="preserve"> en los conceptos C-147 del 17 de marzo de 2020, C-219 del 29 de abril de 2020, C–251 del 27 de mayo de 2020, C–280 del 6 de julio de 2020, C-434 del 29 de julio de 2020, C-516 del 11 de agosto de 2020, C-569 del 31 de agosto de 2020, C-607 del 13 de octubre de 2020, C-641 del 4 de noviembre de 2020, C-025 del 25 de febrero de 2021, C-060 del 8 de marzo de 2021, C-128 del 5 de abril de 2021 y C-194 del 13 de mayo de 2021.  De igual manera, se ha pronunciado sobre </w:t>
      </w:r>
      <w:r w:rsidR="002C2C8A" w:rsidRPr="00E52B90">
        <w:rPr>
          <w:rFonts w:ascii="Arial" w:eastAsia="Calibri" w:hAnsi="Arial" w:cs="Arial"/>
          <w:bCs/>
          <w:color w:val="000000" w:themeColor="text1"/>
          <w:sz w:val="22"/>
          <w:lang w:val="es-ES_tradnl"/>
        </w:rPr>
        <w:t>el régimen de los convenios de asociación regulados en el artículo 95 de la Ley 489 de 1998 en los conceptos C-158 del 3 de abril de 2020, C-57</w:t>
      </w:r>
      <w:r w:rsidR="00216CC6" w:rsidRPr="00E52B90">
        <w:rPr>
          <w:rFonts w:ascii="Arial" w:eastAsia="Calibri" w:hAnsi="Arial" w:cs="Arial"/>
          <w:bCs/>
          <w:color w:val="000000" w:themeColor="text1"/>
          <w:sz w:val="22"/>
          <w:lang w:val="es-ES_tradnl"/>
        </w:rPr>
        <w:t xml:space="preserve">9 del 4 de septiembre de 2020, </w:t>
      </w:r>
      <w:r w:rsidR="002C2C8A" w:rsidRPr="00E52B90">
        <w:rPr>
          <w:rFonts w:ascii="Arial" w:eastAsia="Calibri" w:hAnsi="Arial" w:cs="Arial"/>
          <w:bCs/>
          <w:color w:val="000000" w:themeColor="text1"/>
          <w:sz w:val="22"/>
          <w:lang w:val="es-ES_tradnl"/>
        </w:rPr>
        <w:t>C-</w:t>
      </w:r>
      <w:r w:rsidR="00B416C7" w:rsidRPr="00E52B90">
        <w:rPr>
          <w:rFonts w:ascii="Arial" w:eastAsia="Calibri" w:hAnsi="Arial" w:cs="Arial"/>
          <w:bCs/>
          <w:color w:val="000000" w:themeColor="text1"/>
          <w:sz w:val="22"/>
          <w:lang w:val="es-ES_tradnl"/>
        </w:rPr>
        <w:t xml:space="preserve">168 del 15 de </w:t>
      </w:r>
      <w:r w:rsidR="00216CC6" w:rsidRPr="00E52B90">
        <w:rPr>
          <w:rFonts w:ascii="Arial" w:eastAsia="Calibri" w:hAnsi="Arial" w:cs="Arial"/>
          <w:bCs/>
          <w:color w:val="000000" w:themeColor="text1"/>
          <w:sz w:val="22"/>
          <w:lang w:val="es-ES_tradnl"/>
        </w:rPr>
        <w:t>abril de 2021. También</w:t>
      </w:r>
      <w:r w:rsidR="00B416C7" w:rsidRPr="00E52B90">
        <w:rPr>
          <w:rFonts w:ascii="Arial" w:eastAsia="Calibri" w:hAnsi="Arial" w:cs="Arial"/>
          <w:bCs/>
          <w:color w:val="000000" w:themeColor="text1"/>
          <w:sz w:val="22"/>
          <w:lang w:val="es-ES_tradnl"/>
        </w:rPr>
        <w:t xml:space="preserve"> se ha pronunciado sobre </w:t>
      </w:r>
      <w:r w:rsidR="00B416C7" w:rsidRPr="00E52B90">
        <w:rPr>
          <w:rFonts w:ascii="Arial" w:eastAsia="Calibri" w:hAnsi="Arial" w:cs="Arial"/>
          <w:sz w:val="22"/>
          <w:lang w:val="es-ES_tradnl"/>
        </w:rPr>
        <w:t xml:space="preserve">la contratación con </w:t>
      </w:r>
      <w:r w:rsidR="00B416C7" w:rsidRPr="00E52B90">
        <w:rPr>
          <w:rFonts w:ascii="Arial" w:hAnsi="Arial" w:cs="Arial"/>
          <w:sz w:val="22"/>
          <w:lang w:val="es-ES_tradnl"/>
        </w:rPr>
        <w:t>entidades privadas sin ánimo de lucro y de reconocida idoneidad</w:t>
      </w:r>
      <w:r w:rsidR="00B416C7" w:rsidRPr="00E52B90">
        <w:rPr>
          <w:rFonts w:ascii="Arial" w:eastAsia="Calibri" w:hAnsi="Arial" w:cs="Arial"/>
          <w:sz w:val="22"/>
          <w:lang w:val="es-ES_tradnl"/>
        </w:rPr>
        <w:t xml:space="preserve"> en los conceptos del 30 de agosto y el 20 de diciembre de 2019 ─Radicados Nos. 2201913000006394 y 2201913000009467─ y, recientemente, en los conceptos C-081 del 3 de marzo de 2020, C-</w:t>
      </w:r>
      <w:r w:rsidR="00216CC6" w:rsidRPr="00E52B90">
        <w:rPr>
          <w:rFonts w:ascii="Arial" w:eastAsia="Calibri" w:hAnsi="Arial" w:cs="Arial"/>
          <w:sz w:val="22"/>
          <w:lang w:val="es-ES_tradnl"/>
        </w:rPr>
        <w:t>070 del</w:t>
      </w:r>
      <w:r w:rsidR="00B416C7" w:rsidRPr="00E52B90">
        <w:rPr>
          <w:rFonts w:ascii="Arial" w:eastAsia="Calibri" w:hAnsi="Arial" w:cs="Arial"/>
          <w:sz w:val="22"/>
          <w:lang w:val="es-ES_tradnl"/>
        </w:rPr>
        <w:t xml:space="preserve"> 4 de marzo de 2020, C-094 del 4 de marzo de 2020, C-416 del 30 de junio de 2020, C–447 del 27 de julio de 2020, C-513 del 30 de julio de 2020</w:t>
      </w:r>
      <w:r w:rsidR="00DE3F5F" w:rsidRPr="00E52B90">
        <w:rPr>
          <w:rFonts w:ascii="Arial" w:eastAsia="Calibri" w:hAnsi="Arial" w:cs="Arial"/>
          <w:sz w:val="22"/>
          <w:lang w:val="es-ES_tradnl"/>
        </w:rPr>
        <w:t>,</w:t>
      </w:r>
      <w:r w:rsidR="00B416C7" w:rsidRPr="00E52B90">
        <w:rPr>
          <w:rFonts w:ascii="Arial" w:eastAsia="Calibri" w:hAnsi="Arial" w:cs="Arial"/>
          <w:sz w:val="22"/>
          <w:lang w:val="es-ES_tradnl"/>
        </w:rPr>
        <w:t xml:space="preserve"> C-532 del 11</w:t>
      </w:r>
      <w:r w:rsidR="00216CC6" w:rsidRPr="00E52B90">
        <w:rPr>
          <w:rFonts w:ascii="Arial" w:eastAsia="Calibri" w:hAnsi="Arial" w:cs="Arial"/>
          <w:sz w:val="22"/>
          <w:lang w:val="es-ES_tradnl"/>
        </w:rPr>
        <w:t xml:space="preserve"> de agosto de 2020</w:t>
      </w:r>
      <w:r w:rsidR="00DE3F5F" w:rsidRPr="00E52B90">
        <w:rPr>
          <w:rFonts w:ascii="Arial" w:eastAsia="Calibri" w:hAnsi="Arial" w:cs="Arial"/>
          <w:sz w:val="22"/>
          <w:lang w:val="es-ES_tradnl"/>
        </w:rPr>
        <w:t xml:space="preserve"> y C-548 del 5 de octubre de 2021</w:t>
      </w:r>
      <w:r w:rsidR="00216CC6" w:rsidRPr="00E52B90">
        <w:rPr>
          <w:rFonts w:ascii="Arial" w:eastAsia="Calibri" w:hAnsi="Arial" w:cs="Arial"/>
          <w:sz w:val="22"/>
          <w:lang w:val="es-ES_tradnl"/>
        </w:rPr>
        <w:t>, entre otros</w:t>
      </w:r>
      <w:r w:rsidR="00B416C7" w:rsidRPr="00E52B90">
        <w:rPr>
          <w:rFonts w:ascii="Arial" w:eastAsia="Calibri" w:hAnsi="Arial" w:cs="Arial"/>
          <w:sz w:val="22"/>
          <w:lang w:val="es-ES_tradnl"/>
        </w:rPr>
        <w:t xml:space="preserve">. </w:t>
      </w:r>
      <w:r w:rsidR="0084374B" w:rsidRPr="00E52B90">
        <w:rPr>
          <w:rFonts w:ascii="Arial" w:hAnsi="Arial" w:cs="Arial"/>
          <w:color w:val="000000" w:themeColor="text1"/>
          <w:sz w:val="22"/>
        </w:rPr>
        <w:t xml:space="preserve">Las </w:t>
      </w:r>
      <w:r w:rsidR="00FF780B" w:rsidRPr="00E52B90">
        <w:rPr>
          <w:rFonts w:ascii="Arial" w:hAnsi="Arial" w:cs="Arial"/>
          <w:color w:val="000000" w:themeColor="text1"/>
          <w:sz w:val="22"/>
        </w:rPr>
        <w:t xml:space="preserve">tesis </w:t>
      </w:r>
      <w:r w:rsidR="0084374B" w:rsidRPr="00E52B90">
        <w:rPr>
          <w:rFonts w:ascii="Arial" w:hAnsi="Arial" w:cs="Arial"/>
          <w:color w:val="000000" w:themeColor="text1"/>
          <w:sz w:val="22"/>
        </w:rPr>
        <w:t xml:space="preserve">expuestas en los anteriores conceptos </w:t>
      </w:r>
      <w:r w:rsidR="00FF780B" w:rsidRPr="00E52B90">
        <w:rPr>
          <w:rFonts w:ascii="Arial" w:hAnsi="Arial" w:cs="Arial"/>
          <w:color w:val="000000" w:themeColor="text1"/>
          <w:sz w:val="22"/>
        </w:rPr>
        <w:t>se reitera</w:t>
      </w:r>
      <w:r w:rsidR="0084374B" w:rsidRPr="00E52B90">
        <w:rPr>
          <w:rFonts w:ascii="Arial" w:hAnsi="Arial" w:cs="Arial"/>
          <w:color w:val="000000" w:themeColor="text1"/>
          <w:sz w:val="22"/>
        </w:rPr>
        <w:t>n a continuación</w:t>
      </w:r>
      <w:r w:rsidR="00606FE0" w:rsidRPr="00E52B90">
        <w:rPr>
          <w:rFonts w:ascii="Arial" w:hAnsi="Arial" w:cs="Arial"/>
          <w:bCs/>
          <w:color w:val="000000" w:themeColor="text1"/>
          <w:sz w:val="22"/>
        </w:rPr>
        <w:t xml:space="preserve"> y se complementa</w:t>
      </w:r>
      <w:r w:rsidR="0084374B" w:rsidRPr="00E52B90">
        <w:rPr>
          <w:rFonts w:ascii="Arial" w:hAnsi="Arial" w:cs="Arial"/>
          <w:bCs/>
          <w:color w:val="000000" w:themeColor="text1"/>
          <w:sz w:val="22"/>
        </w:rPr>
        <w:t>n</w:t>
      </w:r>
      <w:r w:rsidR="00606FE0" w:rsidRPr="00E52B90">
        <w:rPr>
          <w:rFonts w:ascii="Arial" w:hAnsi="Arial" w:cs="Arial"/>
          <w:bCs/>
          <w:color w:val="000000" w:themeColor="text1"/>
          <w:sz w:val="22"/>
        </w:rPr>
        <w:t xml:space="preserve"> en lo pertinente. </w:t>
      </w:r>
    </w:p>
    <w:p w14:paraId="63258E41" w14:textId="77777777" w:rsidR="00524B1D" w:rsidRPr="00E52B90" w:rsidRDefault="00524B1D" w:rsidP="006026D9">
      <w:pPr>
        <w:spacing w:line="276" w:lineRule="auto"/>
        <w:ind w:firstLine="708"/>
        <w:jc w:val="both"/>
        <w:rPr>
          <w:rFonts w:ascii="Arial" w:hAnsi="Arial" w:cs="Arial"/>
          <w:bCs/>
          <w:color w:val="000000" w:themeColor="text1"/>
          <w:sz w:val="22"/>
        </w:rPr>
      </w:pPr>
    </w:p>
    <w:p w14:paraId="14E6DE8E" w14:textId="1961BAD5" w:rsidR="00524B1D" w:rsidRPr="00E52B90" w:rsidRDefault="00524B1D" w:rsidP="00524B1D">
      <w:pPr>
        <w:spacing w:line="276" w:lineRule="auto"/>
        <w:jc w:val="both"/>
        <w:rPr>
          <w:rFonts w:ascii="Arial" w:eastAsia="Calibri" w:hAnsi="Arial" w:cs="Arial"/>
          <w:color w:val="000000" w:themeColor="text1"/>
          <w:sz w:val="22"/>
          <w:lang w:val="es-ES_tradnl"/>
        </w:rPr>
      </w:pPr>
      <w:r w:rsidRPr="00E52B90">
        <w:rPr>
          <w:rFonts w:ascii="Arial" w:hAnsi="Arial" w:cs="Arial"/>
          <w:b/>
          <w:bCs/>
          <w:color w:val="000000" w:themeColor="text1"/>
          <w:sz w:val="22"/>
          <w:lang w:val="es-ES_tradnl"/>
        </w:rPr>
        <w:t>2.1. Convenios de asociación entre entidades públicas: inaplicabilidad de los poderes exorbitantes</w:t>
      </w:r>
    </w:p>
    <w:p w14:paraId="77F49751" w14:textId="77777777" w:rsidR="00524B1D" w:rsidRPr="00E52B90" w:rsidRDefault="00524B1D" w:rsidP="00524B1D">
      <w:pPr>
        <w:spacing w:line="276" w:lineRule="auto"/>
        <w:jc w:val="both"/>
        <w:rPr>
          <w:rFonts w:ascii="Arial" w:eastAsia="Calibri" w:hAnsi="Arial" w:cs="Arial"/>
          <w:color w:val="000000" w:themeColor="text1"/>
          <w:sz w:val="22"/>
          <w:lang w:val="es-ES_tradnl"/>
        </w:rPr>
      </w:pPr>
    </w:p>
    <w:p w14:paraId="7D5E054B" w14:textId="77777777" w:rsidR="00524B1D" w:rsidRPr="00E52B90" w:rsidRDefault="00524B1D" w:rsidP="00524B1D">
      <w:pPr>
        <w:spacing w:after="120" w:line="276" w:lineRule="auto"/>
        <w:jc w:val="both"/>
        <w:rPr>
          <w:rFonts w:ascii="Arial" w:eastAsia="Calibri" w:hAnsi="Arial" w:cs="Arial"/>
          <w:color w:val="000000" w:themeColor="text1"/>
          <w:sz w:val="22"/>
          <w:lang w:val="es-ES_tradnl"/>
        </w:rPr>
      </w:pPr>
      <w:r w:rsidRPr="00E52B90">
        <w:rPr>
          <w:rFonts w:ascii="Arial" w:eastAsia="Calibri" w:hAnsi="Arial" w:cs="Arial"/>
          <w:color w:val="000000" w:themeColor="text1"/>
          <w:sz w:val="22"/>
          <w:lang w:val="es-ES_tradnl"/>
        </w:rPr>
        <w:t xml:space="preserve">Como es sabido, el contrato o convenio interadministrativo es el acuerdo en el que concurren las voluntades de dos o más órganos de derecho público, con la finalidad de acordar actividades que les permitan cumplir, en el marco de sus objetivos misionales y competencias, con los fines del Estado. Es decir, los contratos o convenios interadministrativos nominados en la Ley 80 de 1993 están determinados por un criterio orgánico, pues es necesario que los extremos de la relación contractual sean entidades estatales. 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que se rige por la Ley 80 de 1993 celebrar esta clase de convenios con una entidad estatal de régimen especial y no </w:t>
      </w:r>
      <w:r w:rsidRPr="00E52B90">
        <w:rPr>
          <w:rFonts w:ascii="Arial" w:eastAsia="Calibri" w:hAnsi="Arial" w:cs="Arial"/>
          <w:color w:val="000000" w:themeColor="text1"/>
          <w:sz w:val="22"/>
          <w:lang w:val="es-ES_tradnl"/>
        </w:rPr>
        <w:lastRenderedPageBreak/>
        <w:t>por ello dejará de ser un contrato o convenio interadministrativo, caso en el cual su ejecución  estará sometida al Estatuto General de Contratación de la Administración Pública</w:t>
      </w:r>
      <w:r w:rsidRPr="00E52B90">
        <w:rPr>
          <w:rStyle w:val="Refdenotaalpie"/>
          <w:rFonts w:ascii="Arial" w:eastAsia="Calibri" w:hAnsi="Arial" w:cs="Arial"/>
          <w:color w:val="000000" w:themeColor="text1"/>
          <w:sz w:val="22"/>
          <w:lang w:val="es-ES_tradnl"/>
        </w:rPr>
        <w:footnoteReference w:id="1"/>
      </w:r>
      <w:r w:rsidRPr="00E52B90">
        <w:rPr>
          <w:rFonts w:ascii="Arial" w:eastAsia="Calibri" w:hAnsi="Arial" w:cs="Arial"/>
          <w:color w:val="000000" w:themeColor="text1"/>
          <w:sz w:val="22"/>
          <w:lang w:val="es-ES_tradnl"/>
        </w:rPr>
        <w:t>.</w:t>
      </w:r>
    </w:p>
    <w:p w14:paraId="1AFE0CA7" w14:textId="6F7341A5" w:rsidR="00524B1D" w:rsidRPr="00E52B90" w:rsidRDefault="00524B1D" w:rsidP="00524B1D">
      <w:pPr>
        <w:spacing w:before="120" w:after="120" w:line="276" w:lineRule="auto"/>
        <w:ind w:firstLine="708"/>
        <w:jc w:val="both"/>
        <w:rPr>
          <w:rFonts w:ascii="Arial" w:eastAsia="Calibri" w:hAnsi="Arial" w:cs="Arial"/>
          <w:color w:val="000000" w:themeColor="text1"/>
          <w:sz w:val="22"/>
          <w:lang w:val="es-ES_tradnl"/>
        </w:rPr>
      </w:pPr>
      <w:r w:rsidRPr="00E52B90">
        <w:rPr>
          <w:rFonts w:ascii="Arial" w:eastAsia="Calibri" w:hAnsi="Arial" w:cs="Arial"/>
          <w:color w:val="000000" w:themeColor="text1"/>
          <w:sz w:val="22"/>
          <w:lang w:val="es-ES_tradnl"/>
        </w:rPr>
        <w:t>Un contrato o convenio interadministrativo no está determinado por la modalidad de selección utilizada para celebrarlo. La Ley 1150 de 2007 establece que puede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E52B90">
        <w:rPr>
          <w:rStyle w:val="Refdenotaalpie"/>
          <w:rFonts w:ascii="Arial" w:eastAsia="Calibri" w:hAnsi="Arial" w:cs="Arial"/>
          <w:color w:val="000000" w:themeColor="text1"/>
          <w:sz w:val="22"/>
          <w:lang w:val="es-ES_tradnl"/>
        </w:rPr>
        <w:footnoteReference w:id="2"/>
      </w:r>
      <w:r w:rsidRPr="00E52B90">
        <w:rPr>
          <w:rFonts w:ascii="Arial" w:eastAsia="Calibri" w:hAnsi="Arial" w:cs="Arial"/>
          <w:color w:val="000000" w:themeColor="text1"/>
          <w:sz w:val="22"/>
          <w:lang w:val="es-ES_tradnl"/>
        </w:rPr>
        <w:t xml:space="preserve">. Nótese que, en este caso, lo que cambia es la modalidad de selección y no la naturaleza de contrato interadministrativo. </w:t>
      </w:r>
      <w:r w:rsidR="00C01306" w:rsidRPr="00E52B90">
        <w:rPr>
          <w:rFonts w:ascii="Arial" w:eastAsia="Calibri" w:hAnsi="Arial" w:cs="Arial"/>
          <w:color w:val="000000" w:themeColor="text1"/>
          <w:sz w:val="22"/>
          <w:lang w:val="es-ES_tradnl"/>
        </w:rPr>
        <w:t>Por ello</w:t>
      </w:r>
      <w:r w:rsidRPr="00E52B90">
        <w:rPr>
          <w:rFonts w:ascii="Arial" w:eastAsia="Calibri" w:hAnsi="Arial" w:cs="Arial"/>
          <w:color w:val="000000" w:themeColor="text1"/>
          <w:sz w:val="22"/>
          <w:lang w:val="es-ES_tradnl"/>
        </w:rPr>
        <w:t>,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1F3826A1" w14:textId="77777777" w:rsidR="00524B1D" w:rsidRPr="00E52B90" w:rsidRDefault="00524B1D" w:rsidP="00524B1D">
      <w:pPr>
        <w:spacing w:before="120" w:line="276" w:lineRule="auto"/>
        <w:ind w:firstLine="709"/>
        <w:jc w:val="both"/>
        <w:rPr>
          <w:rFonts w:ascii="Arial" w:eastAsia="Calibri" w:hAnsi="Arial" w:cs="Arial"/>
          <w:color w:val="000000" w:themeColor="text1"/>
          <w:sz w:val="22"/>
          <w:lang w:val="es-ES_tradnl"/>
        </w:rPr>
      </w:pPr>
      <w:r w:rsidRPr="00E52B90">
        <w:rPr>
          <w:rFonts w:ascii="Arial" w:eastAsia="Calibri" w:hAnsi="Arial" w:cs="Arial"/>
          <w:color w:val="000000" w:themeColor="text1"/>
          <w:sz w:val="22"/>
          <w:lang w:val="es-ES_tradnl"/>
        </w:rPr>
        <w:t>En este sentido, la Corte Constitucional expresó, 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w:t>
      </w:r>
      <w:r w:rsidRPr="00E52B90">
        <w:rPr>
          <w:rStyle w:val="Refdenotaalpie"/>
          <w:rFonts w:ascii="Arial" w:eastAsia="Calibri" w:hAnsi="Arial" w:cs="Arial"/>
          <w:color w:val="000000" w:themeColor="text1"/>
          <w:sz w:val="22"/>
          <w:lang w:val="es-ES_tradnl"/>
        </w:rPr>
        <w:footnoteReference w:id="3"/>
      </w:r>
      <w:r w:rsidRPr="00E52B90">
        <w:rPr>
          <w:rFonts w:ascii="Arial" w:eastAsia="Calibri" w:hAnsi="Arial" w:cs="Arial"/>
          <w:color w:val="000000" w:themeColor="text1"/>
          <w:sz w:val="22"/>
          <w:lang w:val="es-ES_tradnl"/>
        </w:rPr>
        <w:t>. En la misma línea, el Consejo de Estado ha indicado, frente al convenio interadministrativo y sus características, que:</w:t>
      </w:r>
    </w:p>
    <w:p w14:paraId="482EBEA9" w14:textId="77777777" w:rsidR="00524B1D" w:rsidRPr="00E52B90" w:rsidRDefault="00524B1D" w:rsidP="00524B1D">
      <w:pPr>
        <w:spacing w:line="276" w:lineRule="auto"/>
        <w:ind w:firstLine="708"/>
        <w:jc w:val="both"/>
        <w:rPr>
          <w:rFonts w:ascii="Arial" w:eastAsia="Calibri" w:hAnsi="Arial" w:cs="Arial"/>
          <w:color w:val="000000" w:themeColor="text1"/>
          <w:sz w:val="22"/>
          <w:lang w:val="es-ES_tradnl"/>
        </w:rPr>
      </w:pPr>
    </w:p>
    <w:p w14:paraId="445540DF" w14:textId="77777777" w:rsidR="00524B1D" w:rsidRPr="00E52B90" w:rsidRDefault="00524B1D" w:rsidP="00524B1D">
      <w:pPr>
        <w:spacing w:after="120"/>
        <w:ind w:left="709" w:right="709"/>
        <w:jc w:val="both"/>
        <w:rPr>
          <w:rFonts w:ascii="Arial" w:eastAsia="Calibri" w:hAnsi="Arial" w:cs="Arial"/>
          <w:color w:val="000000" w:themeColor="text1"/>
          <w:sz w:val="21"/>
          <w:szCs w:val="21"/>
          <w:lang w:val="es-ES_tradnl"/>
        </w:rPr>
      </w:pPr>
      <w:r w:rsidRPr="00E52B90">
        <w:rPr>
          <w:rFonts w:ascii="Arial" w:eastAsia="Calibri" w:hAnsi="Arial" w:cs="Arial"/>
          <w:color w:val="000000" w:themeColor="text1"/>
          <w:sz w:val="21"/>
          <w:szCs w:val="21"/>
          <w:lang w:val="es-ES_tradnl"/>
        </w:rPr>
        <w:t>[…] se puede señalar que los convenios o contratos interadministrativos tienen como características principales las siguientes:</w:t>
      </w:r>
    </w:p>
    <w:p w14:paraId="15A67EEF" w14:textId="77777777" w:rsidR="00524B1D" w:rsidRPr="00E52B90" w:rsidRDefault="00524B1D" w:rsidP="00524B1D">
      <w:pPr>
        <w:ind w:left="709" w:right="709"/>
        <w:jc w:val="both"/>
        <w:rPr>
          <w:rFonts w:ascii="Arial" w:eastAsia="Calibri" w:hAnsi="Arial" w:cs="Arial"/>
          <w:color w:val="000000" w:themeColor="text1"/>
          <w:sz w:val="21"/>
          <w:szCs w:val="21"/>
          <w:lang w:val="es-ES_tradnl"/>
        </w:rPr>
      </w:pPr>
      <w:r w:rsidRPr="00E52B90">
        <w:rPr>
          <w:rFonts w:ascii="Arial" w:eastAsia="Calibri" w:hAnsi="Arial" w:cs="Arial"/>
          <w:color w:val="000000" w:themeColor="text1"/>
          <w:sz w:val="21"/>
          <w:szCs w:val="21"/>
          <w:lang w:val="es-ES_tradnl"/>
        </w:rPr>
        <w:t xml:space="preserve">(i)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w:t>
      </w:r>
      <w:r w:rsidRPr="00E52B90">
        <w:rPr>
          <w:rFonts w:ascii="Arial" w:eastAsia="Calibri" w:hAnsi="Arial" w:cs="Arial"/>
          <w:color w:val="000000" w:themeColor="text1"/>
          <w:sz w:val="21"/>
          <w:szCs w:val="21"/>
          <w:lang w:val="es-ES_tradnl"/>
        </w:rPr>
        <w:lastRenderedPageBreak/>
        <w:t>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E52B90">
        <w:rPr>
          <w:rStyle w:val="Refdenotaalpie"/>
          <w:rFonts w:ascii="Arial" w:eastAsia="Calibri" w:hAnsi="Arial" w:cs="Arial"/>
          <w:color w:val="000000" w:themeColor="text1"/>
          <w:sz w:val="21"/>
          <w:szCs w:val="21"/>
          <w:lang w:val="es-ES_tradnl"/>
        </w:rPr>
        <w:footnoteReference w:id="4"/>
      </w:r>
      <w:r w:rsidRPr="00E52B90">
        <w:rPr>
          <w:rFonts w:ascii="Arial" w:eastAsia="Calibri" w:hAnsi="Arial" w:cs="Arial"/>
          <w:color w:val="000000" w:themeColor="text1"/>
          <w:sz w:val="21"/>
          <w:szCs w:val="21"/>
          <w:lang w:val="es-ES_tradnl"/>
        </w:rPr>
        <w:t>.</w:t>
      </w:r>
    </w:p>
    <w:p w14:paraId="2F605B16" w14:textId="77777777" w:rsidR="00524B1D" w:rsidRPr="00E52B90" w:rsidRDefault="00524B1D" w:rsidP="00524B1D">
      <w:pPr>
        <w:spacing w:line="276" w:lineRule="auto"/>
        <w:ind w:right="709"/>
        <w:jc w:val="both"/>
        <w:rPr>
          <w:rFonts w:ascii="Arial" w:eastAsia="Calibri" w:hAnsi="Arial" w:cs="Arial"/>
          <w:color w:val="000000" w:themeColor="text1"/>
          <w:sz w:val="22"/>
          <w:lang w:val="es-ES_tradnl"/>
        </w:rPr>
      </w:pPr>
    </w:p>
    <w:p w14:paraId="1E9320AE" w14:textId="33AA3B1F" w:rsidR="00524B1D" w:rsidRPr="00E52B90" w:rsidRDefault="00524B1D" w:rsidP="00524B1D">
      <w:pPr>
        <w:spacing w:after="120" w:line="276" w:lineRule="auto"/>
        <w:ind w:firstLine="709"/>
        <w:jc w:val="both"/>
        <w:rPr>
          <w:rFonts w:ascii="Arial" w:eastAsia="Calibri" w:hAnsi="Arial" w:cs="Arial"/>
          <w:color w:val="000000" w:themeColor="text1"/>
          <w:sz w:val="22"/>
          <w:lang w:val="es-ES_tradnl"/>
        </w:rPr>
      </w:pPr>
      <w:r w:rsidRPr="00E52B90">
        <w:rPr>
          <w:rFonts w:ascii="Arial" w:eastAsia="Calibri" w:hAnsi="Arial" w:cs="Arial"/>
          <w:color w:val="000000" w:themeColor="text1"/>
          <w:sz w:val="22"/>
          <w:lang w:val="es-ES_tradnl"/>
        </w:rPr>
        <w:t>Así las cosas, atendiendo a la literalidad de las normas enunciadas, no cabe una interpretación diferente</w:t>
      </w:r>
      <w:r w:rsidRPr="00E52B90">
        <w:rPr>
          <w:rStyle w:val="Refdenotaalpie"/>
          <w:rFonts w:ascii="Arial" w:hAnsi="Arial" w:cs="Arial"/>
          <w:color w:val="000000" w:themeColor="text1"/>
          <w:sz w:val="22"/>
          <w:lang w:val="es-ES_tradnl"/>
        </w:rPr>
        <w:footnoteReference w:id="5"/>
      </w:r>
      <w:r w:rsidRPr="00E52B90">
        <w:rPr>
          <w:rFonts w:ascii="Arial" w:eastAsia="Calibri" w:hAnsi="Arial" w:cs="Arial"/>
          <w:color w:val="000000" w:themeColor="text1"/>
          <w:sz w:val="22"/>
          <w:lang w:val="es-ES_tradnl"/>
        </w:rPr>
        <w:t xml:space="preserve">, pues, de acuerdo con lo anotado, esta clase de acuerdos de voluntades se definen por un criterio orgánico, por lo que uno de sus elementos esenciales es que en los extremos de la relación jurídico </w:t>
      </w:r>
      <w:proofErr w:type="spellStart"/>
      <w:r w:rsidRPr="00E52B90">
        <w:rPr>
          <w:rFonts w:ascii="Arial" w:eastAsia="Calibri" w:hAnsi="Arial" w:cs="Arial"/>
          <w:color w:val="000000" w:themeColor="text1"/>
          <w:sz w:val="22"/>
          <w:lang w:val="es-ES_tradnl"/>
        </w:rPr>
        <w:t>negocial</w:t>
      </w:r>
      <w:proofErr w:type="spellEnd"/>
      <w:r w:rsidRPr="00E52B90">
        <w:rPr>
          <w:rFonts w:ascii="Arial" w:eastAsia="Calibri" w:hAnsi="Arial" w:cs="Arial"/>
          <w:color w:val="000000" w:themeColor="text1"/>
          <w:sz w:val="22"/>
          <w:lang w:val="es-ES_tradnl"/>
        </w:rPr>
        <w:t xml:space="preserve"> concurran personas de derecho público. La celebración de contratos interadministrativos no se limita a la modalidad de selección de contratación directa. Si bien el artículo 2, numeral 4, literal c), de la Ley 1150 de 2007 consagra esta causal, es posible que se celebren contratos interadministrativos en el marco de un proceso donde sea posible la participación de los interesados en ofertar, es decir, a través de las otras modalidades de selección previstas en dicha Ley, diferentes a la contratación directa. Esto por cuanto, como se indicó, la existencia de un contrato interadministrativo no está determinada por la modalidad de selección, sino por la naturaleza jurídica de las partes.</w:t>
      </w:r>
    </w:p>
    <w:p w14:paraId="0D5963D8" w14:textId="19B56185" w:rsidR="00524B1D" w:rsidRPr="00E52B90" w:rsidRDefault="00524B1D" w:rsidP="00494315">
      <w:pPr>
        <w:spacing w:after="120" w:line="276" w:lineRule="auto"/>
        <w:ind w:firstLine="709"/>
        <w:jc w:val="both"/>
        <w:rPr>
          <w:rFonts w:ascii="Arial" w:eastAsia="Calibri" w:hAnsi="Arial" w:cs="Arial"/>
          <w:color w:val="000000" w:themeColor="text1"/>
          <w:sz w:val="22"/>
          <w:lang w:val="es-ES_tradnl"/>
        </w:rPr>
      </w:pPr>
      <w:r w:rsidRPr="00E52B90">
        <w:rPr>
          <w:rFonts w:ascii="Arial" w:eastAsia="Calibri" w:hAnsi="Arial" w:cs="Arial"/>
          <w:color w:val="000000" w:themeColor="text1"/>
          <w:sz w:val="22"/>
          <w:lang w:val="es-ES_tradnl"/>
        </w:rPr>
        <w:t>Además de los casos mencionados en el artículo 2, numeral 4, literal c), de la Ley 1150 de 2007, el artículo 95 de la Ley 489 de 1998 permite a las entidades públicas asociarse entre ellas, para ejecutar actividades que son de su competencia</w:t>
      </w:r>
      <w:r w:rsidRPr="00E52B90">
        <w:rPr>
          <w:rStyle w:val="Refdenotaalpie"/>
          <w:rFonts w:ascii="Arial" w:eastAsia="Calibri" w:hAnsi="Arial" w:cs="Arial"/>
          <w:color w:val="000000" w:themeColor="text1"/>
          <w:sz w:val="22"/>
          <w:lang w:val="es-ES_tradnl"/>
        </w:rPr>
        <w:footnoteReference w:id="6"/>
      </w:r>
      <w:r w:rsidRPr="00E52B90">
        <w:rPr>
          <w:rFonts w:ascii="Arial" w:eastAsia="Calibri" w:hAnsi="Arial" w:cs="Arial"/>
          <w:color w:val="000000" w:themeColor="text1"/>
          <w:sz w:val="22"/>
          <w:lang w:val="es-ES_tradnl"/>
        </w:rPr>
        <w:t xml:space="preserve">. La celebración de este tipo de acuerdos puede dar lugar o no a la conformación de una persona jurídica por parte de los asociados. Tal es el sentido de la norma, cuando </w:t>
      </w:r>
      <w:r w:rsidR="00494315" w:rsidRPr="00E52B90">
        <w:rPr>
          <w:rFonts w:ascii="Arial" w:eastAsia="Calibri" w:hAnsi="Arial" w:cs="Arial"/>
          <w:color w:val="000000" w:themeColor="text1"/>
          <w:sz w:val="22"/>
          <w:lang w:val="es-ES_tradnl"/>
        </w:rPr>
        <w:t>dispone</w:t>
      </w:r>
      <w:r w:rsidRPr="00E52B90">
        <w:rPr>
          <w:rFonts w:ascii="Arial" w:eastAsia="Calibri" w:hAnsi="Arial" w:cs="Arial"/>
          <w:color w:val="000000" w:themeColor="text1"/>
          <w:sz w:val="22"/>
          <w:lang w:val="es-ES_tradnl"/>
        </w:rPr>
        <w:t xml:space="preserve"> que «Las entidades públicas podrán </w:t>
      </w:r>
      <w:bookmarkStart w:id="2" w:name="_Hlk85116814"/>
      <w:r w:rsidRPr="00E52B90">
        <w:rPr>
          <w:rFonts w:ascii="Arial" w:eastAsia="Calibri" w:hAnsi="Arial" w:cs="Arial"/>
          <w:color w:val="000000" w:themeColor="text1"/>
          <w:sz w:val="22"/>
          <w:lang w:val="es-ES_tradnl"/>
        </w:rPr>
        <w:t>asociarse con el fin de cooperar en el cumplimiento de funciones administrativas</w:t>
      </w:r>
      <w:bookmarkEnd w:id="2"/>
      <w:r w:rsidRPr="00E52B90">
        <w:rPr>
          <w:rFonts w:ascii="Arial" w:eastAsia="Calibri" w:hAnsi="Arial" w:cs="Arial"/>
          <w:color w:val="000000" w:themeColor="text1"/>
          <w:sz w:val="22"/>
          <w:lang w:val="es-ES_tradnl"/>
        </w:rPr>
        <w:t xml:space="preserve"> o de prestar conjuntamente servicios que se hallen a su cargo, mediante la </w:t>
      </w:r>
      <w:r w:rsidRPr="00E52B90">
        <w:rPr>
          <w:rFonts w:ascii="Arial" w:eastAsia="Calibri" w:hAnsi="Arial" w:cs="Arial"/>
          <w:color w:val="000000" w:themeColor="text1"/>
          <w:sz w:val="22"/>
          <w:lang w:val="es-ES_tradnl"/>
        </w:rPr>
        <w:lastRenderedPageBreak/>
        <w:t>celebración de convenios interadministrativos o la conformación de personas jurídicas sin ánimo de lucro». Esto significa que no necesariamente la asociación entre entidades públicas se materializa en la creación de una persona jurídica autónoma.</w:t>
      </w:r>
    </w:p>
    <w:p w14:paraId="01C2B4C1" w14:textId="4BA876B0" w:rsidR="00851088" w:rsidRPr="00E52B90" w:rsidRDefault="00077A75" w:rsidP="00494315">
      <w:pPr>
        <w:spacing w:after="120" w:line="276" w:lineRule="auto"/>
        <w:ind w:firstLine="709"/>
        <w:jc w:val="both"/>
        <w:rPr>
          <w:rFonts w:ascii="Arial" w:eastAsia="Calibri" w:hAnsi="Arial" w:cs="Arial"/>
          <w:color w:val="000000" w:themeColor="text1"/>
          <w:sz w:val="22"/>
          <w:lang w:val="es-ES_tradnl"/>
        </w:rPr>
      </w:pPr>
      <w:r w:rsidRPr="00E52B90">
        <w:rPr>
          <w:rFonts w:ascii="Arial" w:eastAsia="Calibri" w:hAnsi="Arial" w:cs="Arial"/>
          <w:color w:val="000000" w:themeColor="text1"/>
          <w:sz w:val="22"/>
          <w:lang w:val="es-ES_tradnl"/>
        </w:rPr>
        <w:t>Estas</w:t>
      </w:r>
      <w:r w:rsidR="00494315" w:rsidRPr="00E52B90">
        <w:rPr>
          <w:rFonts w:ascii="Arial" w:eastAsia="Calibri" w:hAnsi="Arial" w:cs="Arial"/>
          <w:color w:val="000000" w:themeColor="text1"/>
          <w:sz w:val="22"/>
          <w:lang w:val="es-ES_tradnl"/>
        </w:rPr>
        <w:t xml:space="preserve"> figuras se fundamentan en el principio de coordinación</w:t>
      </w:r>
      <w:r w:rsidRPr="00E52B90">
        <w:rPr>
          <w:rFonts w:ascii="Arial" w:eastAsia="Calibri" w:hAnsi="Arial" w:cs="Arial"/>
          <w:color w:val="000000" w:themeColor="text1"/>
          <w:sz w:val="22"/>
          <w:lang w:val="es-ES_tradnl"/>
        </w:rPr>
        <w:t xml:space="preserve"> entre los diferentes órganos del Estado</w:t>
      </w:r>
      <w:r w:rsidR="00494315" w:rsidRPr="00E52B90">
        <w:rPr>
          <w:rFonts w:ascii="Arial" w:eastAsia="Calibri" w:hAnsi="Arial" w:cs="Arial"/>
          <w:color w:val="000000" w:themeColor="text1"/>
          <w:sz w:val="22"/>
          <w:lang w:val="es-ES_tradnl"/>
        </w:rPr>
        <w:t xml:space="preserve">. </w:t>
      </w:r>
      <w:r w:rsidR="007B233E" w:rsidRPr="00E52B90">
        <w:rPr>
          <w:rFonts w:ascii="Arial" w:eastAsia="Calibri" w:hAnsi="Arial" w:cs="Arial"/>
          <w:color w:val="000000" w:themeColor="text1"/>
          <w:sz w:val="22"/>
          <w:lang w:val="es-ES_tradnl"/>
        </w:rPr>
        <w:t xml:space="preserve">En desarrollo del artículo </w:t>
      </w:r>
      <w:r w:rsidR="00FD2124" w:rsidRPr="00E52B90">
        <w:rPr>
          <w:rFonts w:ascii="Arial" w:eastAsia="Calibri" w:hAnsi="Arial" w:cs="Arial"/>
          <w:color w:val="000000" w:themeColor="text1"/>
          <w:sz w:val="22"/>
          <w:lang w:val="es-ES_tradnl"/>
        </w:rPr>
        <w:t xml:space="preserve">113 y </w:t>
      </w:r>
      <w:r w:rsidR="007B233E" w:rsidRPr="00E52B90">
        <w:rPr>
          <w:rFonts w:ascii="Arial" w:eastAsia="Calibri" w:hAnsi="Arial" w:cs="Arial"/>
          <w:color w:val="000000" w:themeColor="text1"/>
          <w:sz w:val="22"/>
          <w:lang w:val="es-ES_tradnl"/>
        </w:rPr>
        <w:t>209 superior, e</w:t>
      </w:r>
      <w:r w:rsidR="00494315" w:rsidRPr="00E52B90">
        <w:rPr>
          <w:rFonts w:ascii="Arial" w:eastAsia="Calibri" w:hAnsi="Arial" w:cs="Arial"/>
          <w:color w:val="000000" w:themeColor="text1"/>
          <w:sz w:val="22"/>
          <w:lang w:val="es-ES_tradnl"/>
        </w:rPr>
        <w:t>l artículo 6 de la Ley 489 de 1998</w:t>
      </w:r>
      <w:r w:rsidR="007B233E" w:rsidRPr="00E52B90">
        <w:rPr>
          <w:rFonts w:ascii="Arial" w:eastAsia="Calibri" w:hAnsi="Arial" w:cs="Arial"/>
          <w:color w:val="000000" w:themeColor="text1"/>
          <w:sz w:val="22"/>
          <w:lang w:val="es-ES_tradnl"/>
        </w:rPr>
        <w:t xml:space="preserve"> dispone que </w:t>
      </w:r>
      <w:r w:rsidR="00494315" w:rsidRPr="00E52B90">
        <w:rPr>
          <w:rFonts w:ascii="Arial" w:eastAsia="Calibri" w:hAnsi="Arial" w:cs="Arial"/>
          <w:color w:val="000000" w:themeColor="text1"/>
          <w:sz w:val="22"/>
          <w:lang w:val="es-ES_tradnl"/>
        </w:rPr>
        <w:t>«[…] las autoridades administrativas [en virtud de este principio] deben garantizar la armonía en el ejercicio de sus respectivas funciones con el fin de lograr los fines y cometidos estatales</w:t>
      </w:r>
      <w:r w:rsidRPr="00E52B90">
        <w:rPr>
          <w:rFonts w:ascii="Arial" w:eastAsia="Calibri" w:hAnsi="Arial" w:cs="Arial"/>
          <w:color w:val="000000" w:themeColor="text1"/>
          <w:sz w:val="22"/>
          <w:lang w:val="es-ES_tradnl"/>
        </w:rPr>
        <w:t xml:space="preserve">. </w:t>
      </w:r>
      <w:r w:rsidRPr="00E52B90">
        <w:rPr>
          <w:rFonts w:ascii="Arial" w:eastAsia="Calibri" w:hAnsi="Arial" w:cs="Arial"/>
          <w:color w:val="000000" w:themeColor="text1"/>
          <w:sz w:val="22"/>
        </w:rPr>
        <w:t>En consecuencia, prestarán su colaboración a las demás entidades para facilitar el ejercicio de sus funciones y se abstendrán de impedir o estorbar su cumplimiento por los órganos, dependencias, organismos y entidades titulares</w:t>
      </w:r>
      <w:r w:rsidR="00494315" w:rsidRPr="00E52B90">
        <w:rPr>
          <w:rFonts w:ascii="Arial" w:eastAsia="Calibri" w:hAnsi="Arial" w:cs="Arial"/>
          <w:color w:val="000000" w:themeColor="text1"/>
          <w:sz w:val="22"/>
          <w:lang w:val="es-ES_tradnl"/>
        </w:rPr>
        <w:t>»</w:t>
      </w:r>
      <w:r w:rsidRPr="00E52B90">
        <w:rPr>
          <w:rFonts w:ascii="Arial" w:eastAsia="Calibri" w:hAnsi="Arial" w:cs="Arial"/>
          <w:color w:val="000000" w:themeColor="text1"/>
          <w:sz w:val="22"/>
          <w:lang w:val="es-ES_tradnl"/>
        </w:rPr>
        <w:t xml:space="preserve"> (Corchetes fuera de texto). De esta manera, teniendo en cuenta que las entidades contratantes actúan en pie de igual</w:t>
      </w:r>
      <w:r w:rsidR="00885DEA" w:rsidRPr="00E52B90">
        <w:rPr>
          <w:rFonts w:ascii="Arial" w:eastAsia="Calibri" w:hAnsi="Arial" w:cs="Arial"/>
          <w:color w:val="000000" w:themeColor="text1"/>
          <w:sz w:val="22"/>
          <w:lang w:val="es-ES_tradnl"/>
        </w:rPr>
        <w:t>dad</w:t>
      </w:r>
      <w:r w:rsidRPr="00E52B90">
        <w:rPr>
          <w:rFonts w:ascii="Arial" w:eastAsia="Calibri" w:hAnsi="Arial" w:cs="Arial"/>
          <w:color w:val="000000" w:themeColor="text1"/>
          <w:sz w:val="22"/>
          <w:lang w:val="es-ES_tradnl"/>
        </w:rPr>
        <w:t xml:space="preserve"> en </w:t>
      </w:r>
      <w:r w:rsidR="00812482" w:rsidRPr="00E52B90">
        <w:rPr>
          <w:rFonts w:ascii="Arial" w:eastAsia="Calibri" w:hAnsi="Arial" w:cs="Arial"/>
          <w:color w:val="000000" w:themeColor="text1"/>
          <w:sz w:val="22"/>
          <w:lang w:val="es-ES_tradnl"/>
        </w:rPr>
        <w:t xml:space="preserve">la consecución de </w:t>
      </w:r>
      <w:r w:rsidRPr="00E52B90">
        <w:rPr>
          <w:rFonts w:ascii="Arial" w:eastAsia="Calibri" w:hAnsi="Arial" w:cs="Arial"/>
          <w:color w:val="000000" w:themeColor="text1"/>
          <w:sz w:val="22"/>
          <w:lang w:val="es-ES_tradnl"/>
        </w:rPr>
        <w:t xml:space="preserve">objetivos de utilidad común, no es posible el ejercicio de potestades </w:t>
      </w:r>
      <w:r w:rsidR="00891979" w:rsidRPr="00E52B90">
        <w:rPr>
          <w:rFonts w:ascii="Arial" w:eastAsia="Calibri" w:hAnsi="Arial" w:cs="Arial"/>
          <w:color w:val="000000" w:themeColor="text1"/>
          <w:sz w:val="22"/>
          <w:lang w:val="es-ES_tradnl"/>
        </w:rPr>
        <w:t>excepcionales</w:t>
      </w:r>
      <w:r w:rsidRPr="00E52B90">
        <w:rPr>
          <w:rFonts w:ascii="Arial" w:eastAsia="Calibri" w:hAnsi="Arial" w:cs="Arial"/>
          <w:color w:val="000000" w:themeColor="text1"/>
          <w:sz w:val="22"/>
          <w:lang w:val="es-ES_tradnl"/>
        </w:rPr>
        <w:t xml:space="preserve"> en los convenios interadministrativos de asociación.</w:t>
      </w:r>
      <w:r w:rsidR="00851088" w:rsidRPr="00E52B90">
        <w:rPr>
          <w:rFonts w:ascii="Arial" w:eastAsia="Calibri" w:hAnsi="Arial" w:cs="Arial"/>
          <w:color w:val="000000" w:themeColor="text1"/>
          <w:sz w:val="22"/>
          <w:lang w:val="es-ES_tradnl"/>
        </w:rPr>
        <w:t xml:space="preserve"> </w:t>
      </w:r>
    </w:p>
    <w:p w14:paraId="2585185F" w14:textId="1AE7031B" w:rsidR="00891979" w:rsidRPr="00E52B90" w:rsidRDefault="00891979" w:rsidP="00891979">
      <w:pPr>
        <w:spacing w:after="120" w:line="276" w:lineRule="auto"/>
        <w:ind w:firstLine="709"/>
        <w:jc w:val="both"/>
        <w:rPr>
          <w:rFonts w:ascii="Arial" w:eastAsia="Calibri" w:hAnsi="Arial" w:cs="Arial"/>
          <w:color w:val="000000" w:themeColor="text1"/>
          <w:sz w:val="22"/>
        </w:rPr>
      </w:pPr>
      <w:r w:rsidRPr="00E52B90">
        <w:rPr>
          <w:rFonts w:ascii="Arial" w:eastAsia="Calibri" w:hAnsi="Arial" w:cs="Arial"/>
          <w:color w:val="000000" w:themeColor="text1"/>
          <w:sz w:val="22"/>
        </w:rPr>
        <w:t xml:space="preserve">A estos poderes también se les denomina como «exorbitantes». Etimológicamente, esta palabra viene del latín: se compone del prefijo </w:t>
      </w:r>
      <w:r w:rsidRPr="00E52B90">
        <w:rPr>
          <w:rFonts w:ascii="Arial" w:eastAsia="Calibri" w:hAnsi="Arial" w:cs="Arial"/>
          <w:i/>
          <w:iCs/>
          <w:color w:val="000000" w:themeColor="text1"/>
          <w:sz w:val="22"/>
        </w:rPr>
        <w:t>ex</w:t>
      </w:r>
      <w:r w:rsidRPr="00E52B90">
        <w:rPr>
          <w:rFonts w:ascii="Arial" w:eastAsia="Calibri" w:hAnsi="Arial" w:cs="Arial"/>
          <w:color w:val="000000" w:themeColor="text1"/>
          <w:sz w:val="22"/>
        </w:rPr>
        <w:t xml:space="preserve">, que indica separación o movimiento de salida, y la raíz de la palabra </w:t>
      </w:r>
      <w:r w:rsidRPr="00E52B90">
        <w:rPr>
          <w:rFonts w:ascii="Arial" w:eastAsia="Calibri" w:hAnsi="Arial" w:cs="Arial"/>
          <w:i/>
          <w:iCs/>
          <w:color w:val="000000" w:themeColor="text1"/>
          <w:sz w:val="22"/>
        </w:rPr>
        <w:t>orbita</w:t>
      </w:r>
      <w:r w:rsidRPr="00E52B90">
        <w:rPr>
          <w:rFonts w:ascii="Arial" w:eastAsia="Calibri" w:hAnsi="Arial" w:cs="Arial"/>
          <w:color w:val="000000" w:themeColor="text1"/>
          <w:sz w:val="22"/>
        </w:rPr>
        <w:t xml:space="preserve">, relacionado con el curso de los astros, un derivado de la palabra </w:t>
      </w:r>
      <w:r w:rsidRPr="00E52B90">
        <w:rPr>
          <w:rFonts w:ascii="Arial" w:eastAsia="Calibri" w:hAnsi="Arial" w:cs="Arial"/>
          <w:i/>
          <w:iCs/>
          <w:color w:val="000000" w:themeColor="text1"/>
          <w:sz w:val="22"/>
        </w:rPr>
        <w:t>orbis</w:t>
      </w:r>
      <w:r w:rsidRPr="00E52B90">
        <w:rPr>
          <w:rFonts w:ascii="Arial" w:eastAsia="Calibri" w:hAnsi="Arial" w:cs="Arial"/>
          <w:color w:val="000000" w:themeColor="text1"/>
          <w:sz w:val="22"/>
        </w:rPr>
        <w:t>, que significa circunferencia</w:t>
      </w:r>
      <w:r w:rsidR="00597215" w:rsidRPr="00E52B90">
        <w:rPr>
          <w:rFonts w:ascii="Arial" w:eastAsia="Calibri" w:hAnsi="Arial" w:cs="Arial"/>
          <w:color w:val="000000" w:themeColor="text1"/>
          <w:sz w:val="22"/>
        </w:rPr>
        <w:t>:</w:t>
      </w:r>
      <w:r w:rsidRPr="00E52B90">
        <w:rPr>
          <w:rFonts w:ascii="Arial" w:eastAsia="Calibri" w:hAnsi="Arial" w:cs="Arial"/>
          <w:color w:val="000000" w:themeColor="text1"/>
          <w:sz w:val="22"/>
        </w:rPr>
        <w:t xml:space="preserve"> </w:t>
      </w:r>
      <w:r w:rsidR="00597215" w:rsidRPr="00E52B90">
        <w:rPr>
          <w:rFonts w:ascii="Arial" w:eastAsia="Calibri" w:hAnsi="Arial" w:cs="Arial"/>
          <w:color w:val="000000" w:themeColor="text1"/>
          <w:sz w:val="22"/>
        </w:rPr>
        <w:t>e</w:t>
      </w:r>
      <w:r w:rsidRPr="00E52B90">
        <w:rPr>
          <w:rFonts w:ascii="Arial" w:eastAsia="Calibri" w:hAnsi="Arial" w:cs="Arial"/>
          <w:color w:val="000000" w:themeColor="text1"/>
          <w:sz w:val="22"/>
        </w:rPr>
        <w:t>n esta medida, lo exorbitante es lo que se sale excesivamente de su ritmo o medida habitual</w:t>
      </w:r>
      <w:r w:rsidRPr="00E52B90">
        <w:rPr>
          <w:rFonts w:ascii="Arial" w:eastAsia="Calibri" w:hAnsi="Arial" w:cs="Arial"/>
          <w:color w:val="000000" w:themeColor="text1"/>
          <w:sz w:val="22"/>
          <w:vertAlign w:val="superscript"/>
        </w:rPr>
        <w:footnoteReference w:id="7"/>
      </w:r>
      <w:r w:rsidRPr="00E52B90">
        <w:rPr>
          <w:rFonts w:ascii="Arial" w:eastAsia="Calibri" w:hAnsi="Arial" w:cs="Arial"/>
          <w:color w:val="000000" w:themeColor="text1"/>
          <w:sz w:val="22"/>
        </w:rPr>
        <w:t>. Para la doctrina, estas cláusulas son exorbitantes bien porque son poco habituales en los contratos entre particulares o porque, pactadas en los mismos, están viciadas de nulidad</w:t>
      </w:r>
      <w:r w:rsidRPr="00E52B90">
        <w:rPr>
          <w:rFonts w:ascii="Arial" w:eastAsia="Calibri" w:hAnsi="Arial" w:cs="Arial"/>
          <w:color w:val="000000" w:themeColor="text1"/>
          <w:sz w:val="22"/>
          <w:vertAlign w:val="superscript"/>
        </w:rPr>
        <w:footnoteReference w:id="8"/>
      </w:r>
      <w:r w:rsidRPr="00E52B90">
        <w:rPr>
          <w:rFonts w:ascii="Arial" w:eastAsia="Calibri" w:hAnsi="Arial" w:cs="Arial"/>
          <w:color w:val="000000" w:themeColor="text1"/>
          <w:sz w:val="22"/>
        </w:rPr>
        <w:t xml:space="preserve">. Por ser poco habituales, cláusulas como las de supervisión e interventoría tendrían esta naturaleza, las cuales –pese a la definición– pueden pactarse en los contratos entre particulares, pues no están expresamente prohibidas. </w:t>
      </w:r>
    </w:p>
    <w:p w14:paraId="0318EFA0" w14:textId="2B6EE69F" w:rsidR="00891979" w:rsidRPr="00E52B90" w:rsidRDefault="00891979" w:rsidP="00891979">
      <w:pPr>
        <w:spacing w:after="120" w:line="276" w:lineRule="auto"/>
        <w:ind w:firstLine="709"/>
        <w:jc w:val="both"/>
        <w:rPr>
          <w:rFonts w:ascii="Arial" w:eastAsia="Calibri" w:hAnsi="Arial" w:cs="Arial"/>
          <w:color w:val="000000" w:themeColor="text1"/>
          <w:sz w:val="22"/>
        </w:rPr>
      </w:pPr>
      <w:r w:rsidRPr="00E52B90">
        <w:rPr>
          <w:rFonts w:ascii="Arial" w:eastAsia="Calibri" w:hAnsi="Arial" w:cs="Arial"/>
          <w:color w:val="000000" w:themeColor="text1"/>
          <w:sz w:val="22"/>
        </w:rPr>
        <w:t xml:space="preserve">En contraste, las cláusulas de caducidad, interpretación unilateral, imposición unilateral sanciones pecuniarias, etc. están prohibidas en contratos sometidos al derecho privado, </w:t>
      </w:r>
      <w:r w:rsidR="00DB6988" w:rsidRPr="00E52B90">
        <w:rPr>
          <w:rFonts w:ascii="Arial" w:eastAsia="Calibri" w:hAnsi="Arial" w:cs="Arial"/>
          <w:color w:val="000000" w:themeColor="text1"/>
          <w:sz w:val="22"/>
        </w:rPr>
        <w:t>pues</w:t>
      </w:r>
      <w:r w:rsidRPr="00E52B90">
        <w:rPr>
          <w:rFonts w:ascii="Arial" w:eastAsia="Calibri" w:hAnsi="Arial" w:cs="Arial"/>
          <w:color w:val="000000" w:themeColor="text1"/>
          <w:sz w:val="22"/>
        </w:rPr>
        <w:t xml:space="preserve"> derogan las leyes de orden público –art. 16 del Código Civil–, existe objeto ilícito en todo lo que contraviene el derecho público de la nación –art. 1519 del Código Civil– </w:t>
      </w:r>
      <w:r w:rsidRPr="00E52B90">
        <w:rPr>
          <w:rFonts w:ascii="Arial" w:eastAsia="Calibri" w:hAnsi="Arial" w:cs="Arial"/>
          <w:color w:val="000000" w:themeColor="text1"/>
          <w:sz w:val="22"/>
        </w:rPr>
        <w:lastRenderedPageBreak/>
        <w:t xml:space="preserve">y, por tanto, están viciadas de nulidad absoluta –art. 1741 del Código Civil–. En este sentido, las cláusulas exorbitantes se reservan </w:t>
      </w:r>
      <w:r w:rsidR="0059347A" w:rsidRPr="00E52B90">
        <w:rPr>
          <w:rFonts w:ascii="Arial" w:eastAsia="Calibri" w:hAnsi="Arial" w:cs="Arial"/>
          <w:color w:val="000000" w:themeColor="text1"/>
          <w:sz w:val="22"/>
        </w:rPr>
        <w:t>p</w:t>
      </w:r>
      <w:r w:rsidRPr="00E52B90">
        <w:rPr>
          <w:rFonts w:ascii="Arial" w:eastAsia="Calibri" w:hAnsi="Arial" w:cs="Arial"/>
          <w:color w:val="000000" w:themeColor="text1"/>
          <w:sz w:val="22"/>
        </w:rPr>
        <w:t>a</w:t>
      </w:r>
      <w:r w:rsidR="0059347A" w:rsidRPr="00E52B90">
        <w:rPr>
          <w:rFonts w:ascii="Arial" w:eastAsia="Calibri" w:hAnsi="Arial" w:cs="Arial"/>
          <w:color w:val="000000" w:themeColor="text1"/>
          <w:sz w:val="22"/>
        </w:rPr>
        <w:t>ra</w:t>
      </w:r>
      <w:r w:rsidRPr="00E52B90">
        <w:rPr>
          <w:rFonts w:ascii="Arial" w:eastAsia="Calibri" w:hAnsi="Arial" w:cs="Arial"/>
          <w:color w:val="000000" w:themeColor="text1"/>
          <w:sz w:val="22"/>
        </w:rPr>
        <w:t xml:space="preserve"> los contratos autorizados por la ley, pues son poderes derogatorios del derecho común y requieren una norma excepcional que las autorice.</w:t>
      </w:r>
    </w:p>
    <w:p w14:paraId="39008705" w14:textId="4F27BED4" w:rsidR="00891979" w:rsidRPr="00E52B90" w:rsidRDefault="00891979" w:rsidP="00BF7B9F">
      <w:pPr>
        <w:spacing w:after="120" w:line="276" w:lineRule="auto"/>
        <w:ind w:firstLine="709"/>
        <w:jc w:val="both"/>
        <w:rPr>
          <w:rFonts w:ascii="Arial" w:eastAsia="Calibri" w:hAnsi="Arial" w:cs="Arial"/>
          <w:color w:val="000000" w:themeColor="text1"/>
          <w:sz w:val="22"/>
        </w:rPr>
      </w:pPr>
      <w:r w:rsidRPr="00E52B90">
        <w:rPr>
          <w:rFonts w:ascii="Arial" w:eastAsia="Calibri" w:hAnsi="Arial" w:cs="Arial"/>
          <w:color w:val="000000" w:themeColor="text1"/>
          <w:sz w:val="22"/>
        </w:rPr>
        <w:t>Estas potestades exorbitantes son una forma de ejercer el control y vigilancia de la ejecución de</w:t>
      </w:r>
      <w:r w:rsidR="00505280" w:rsidRPr="00E52B90">
        <w:rPr>
          <w:rFonts w:ascii="Arial" w:eastAsia="Calibri" w:hAnsi="Arial" w:cs="Arial"/>
          <w:color w:val="000000" w:themeColor="text1"/>
          <w:sz w:val="22"/>
        </w:rPr>
        <w:t xml:space="preserve"> </w:t>
      </w:r>
      <w:r w:rsidRPr="00E52B90">
        <w:rPr>
          <w:rFonts w:ascii="Arial" w:eastAsia="Calibri" w:hAnsi="Arial" w:cs="Arial"/>
          <w:color w:val="000000" w:themeColor="text1"/>
          <w:sz w:val="22"/>
        </w:rPr>
        <w:t>l</w:t>
      </w:r>
      <w:r w:rsidR="00505280" w:rsidRPr="00E52B90">
        <w:rPr>
          <w:rFonts w:ascii="Arial" w:eastAsia="Calibri" w:hAnsi="Arial" w:cs="Arial"/>
          <w:color w:val="000000" w:themeColor="text1"/>
          <w:sz w:val="22"/>
        </w:rPr>
        <w:t>os</w:t>
      </w:r>
      <w:r w:rsidRPr="00E52B90">
        <w:rPr>
          <w:rFonts w:ascii="Arial" w:eastAsia="Calibri" w:hAnsi="Arial" w:cs="Arial"/>
          <w:color w:val="000000" w:themeColor="text1"/>
          <w:sz w:val="22"/>
        </w:rPr>
        <w:t xml:space="preserve"> contrato</w:t>
      </w:r>
      <w:r w:rsidR="00505280" w:rsidRPr="00E52B90">
        <w:rPr>
          <w:rFonts w:ascii="Arial" w:eastAsia="Calibri" w:hAnsi="Arial" w:cs="Arial"/>
          <w:color w:val="000000" w:themeColor="text1"/>
          <w:sz w:val="22"/>
        </w:rPr>
        <w:t>s estatales</w:t>
      </w:r>
      <w:r w:rsidR="008C0723" w:rsidRPr="00E52B90">
        <w:rPr>
          <w:rFonts w:ascii="Arial" w:eastAsia="Calibri" w:hAnsi="Arial" w:cs="Arial"/>
          <w:color w:val="000000" w:themeColor="text1"/>
          <w:sz w:val="22"/>
        </w:rPr>
        <w:t xml:space="preserve">, por lo que son un medio para proteger el interés general y la prestación de los servicios públicos. </w:t>
      </w:r>
      <w:r w:rsidR="00505280" w:rsidRPr="00E52B90">
        <w:rPr>
          <w:rFonts w:ascii="Arial" w:eastAsia="Calibri" w:hAnsi="Arial" w:cs="Arial"/>
          <w:color w:val="000000" w:themeColor="text1"/>
          <w:sz w:val="22"/>
        </w:rPr>
        <w:t>Cuando estos se suscriben con particulares, dichas facultades excepcionales</w:t>
      </w:r>
      <w:r w:rsidR="008C0723" w:rsidRPr="00E52B90">
        <w:rPr>
          <w:rFonts w:ascii="Arial" w:eastAsia="Calibri" w:hAnsi="Arial" w:cs="Arial"/>
          <w:color w:val="000000" w:themeColor="text1"/>
          <w:sz w:val="22"/>
        </w:rPr>
        <w:t xml:space="preserve"> se justifican</w:t>
      </w:r>
      <w:r w:rsidR="00505280" w:rsidRPr="00E52B90">
        <w:rPr>
          <w:rFonts w:ascii="Arial" w:eastAsia="Calibri" w:hAnsi="Arial" w:cs="Arial"/>
          <w:color w:val="000000" w:themeColor="text1"/>
          <w:sz w:val="22"/>
        </w:rPr>
        <w:t>,</w:t>
      </w:r>
      <w:r w:rsidR="008C0723" w:rsidRPr="00E52B90">
        <w:rPr>
          <w:rFonts w:ascii="Arial" w:eastAsia="Calibri" w:hAnsi="Arial" w:cs="Arial"/>
          <w:color w:val="000000" w:themeColor="text1"/>
          <w:sz w:val="22"/>
        </w:rPr>
        <w:t xml:space="preserve"> porque las partes no se encuentran en un plano de igualdad</w:t>
      </w:r>
      <w:r w:rsidR="00505280" w:rsidRPr="00E52B90">
        <w:rPr>
          <w:rFonts w:ascii="Arial" w:eastAsia="Calibri" w:hAnsi="Arial" w:cs="Arial"/>
          <w:color w:val="000000" w:themeColor="text1"/>
          <w:sz w:val="22"/>
        </w:rPr>
        <w:t>:</w:t>
      </w:r>
      <w:r w:rsidR="008C0723" w:rsidRPr="00E52B90">
        <w:rPr>
          <w:rFonts w:ascii="Arial" w:eastAsia="Calibri" w:hAnsi="Arial" w:cs="Arial"/>
          <w:color w:val="000000" w:themeColor="text1"/>
          <w:sz w:val="22"/>
        </w:rPr>
        <w:t xml:space="preserve"> el contratista se ubica en una relación de </w:t>
      </w:r>
      <w:r w:rsidR="008C0723" w:rsidRPr="00E52B90">
        <w:rPr>
          <w:rFonts w:ascii="Arial" w:eastAsia="Calibri" w:hAnsi="Arial" w:cs="Arial"/>
          <w:i/>
          <w:iCs/>
          <w:color w:val="000000" w:themeColor="text1"/>
          <w:sz w:val="22"/>
        </w:rPr>
        <w:t>subordinación</w:t>
      </w:r>
      <w:r w:rsidR="008C0723" w:rsidRPr="00E52B90">
        <w:rPr>
          <w:rFonts w:ascii="Arial" w:eastAsia="Calibri" w:hAnsi="Arial" w:cs="Arial"/>
          <w:color w:val="000000" w:themeColor="text1"/>
          <w:sz w:val="22"/>
        </w:rPr>
        <w:t xml:space="preserve"> respecto a la entidad contratante</w:t>
      </w:r>
      <w:r w:rsidR="00174532" w:rsidRPr="00E52B90">
        <w:rPr>
          <w:rStyle w:val="Refdenotaalpie"/>
          <w:rFonts w:ascii="Arial" w:eastAsia="Calibri" w:hAnsi="Arial" w:cs="Arial"/>
          <w:color w:val="000000" w:themeColor="text1"/>
          <w:sz w:val="22"/>
        </w:rPr>
        <w:footnoteReference w:id="9"/>
      </w:r>
      <w:r w:rsidR="008C0723" w:rsidRPr="00E52B90">
        <w:rPr>
          <w:rFonts w:ascii="Arial" w:eastAsia="Calibri" w:hAnsi="Arial" w:cs="Arial"/>
          <w:color w:val="000000" w:themeColor="text1"/>
          <w:sz w:val="22"/>
        </w:rPr>
        <w:t>.</w:t>
      </w:r>
      <w:r w:rsidR="00505280" w:rsidRPr="00E52B90">
        <w:rPr>
          <w:rFonts w:ascii="Arial" w:eastAsia="Calibri" w:hAnsi="Arial" w:cs="Arial"/>
          <w:color w:val="000000" w:themeColor="text1"/>
          <w:sz w:val="22"/>
        </w:rPr>
        <w:t xml:space="preserve"> Por el contrario, tratándose de los convenios de asociación del artículo 95 de la Ley 489 de 1998, estos se basan en un nexo de </w:t>
      </w:r>
      <w:r w:rsidR="00505280" w:rsidRPr="00E52B90">
        <w:rPr>
          <w:rFonts w:ascii="Arial" w:eastAsia="Calibri" w:hAnsi="Arial" w:cs="Arial"/>
          <w:i/>
          <w:iCs/>
          <w:color w:val="000000" w:themeColor="text1"/>
          <w:sz w:val="22"/>
        </w:rPr>
        <w:t>coordinación</w:t>
      </w:r>
      <w:r w:rsidR="00505280" w:rsidRPr="00E52B90">
        <w:rPr>
          <w:rFonts w:ascii="Arial" w:eastAsia="Calibri" w:hAnsi="Arial" w:cs="Arial"/>
          <w:color w:val="000000" w:themeColor="text1"/>
          <w:sz w:val="22"/>
        </w:rPr>
        <w:t>, pues las entidades contratantes tienen como objeto «[…] asociarse con el fin de cooperar en el cumplimiento de funciones administrativas […]». Este nexo entre las partes del convenio impide el ejercicio de facultades unilaterales,</w:t>
      </w:r>
      <w:r w:rsidR="0024539A" w:rsidRPr="00E52B90">
        <w:rPr>
          <w:rFonts w:ascii="Arial" w:eastAsia="Calibri" w:hAnsi="Arial" w:cs="Arial"/>
          <w:color w:val="000000" w:themeColor="text1"/>
          <w:sz w:val="22"/>
        </w:rPr>
        <w:t xml:space="preserve"> pues –como explica la doctrina–</w:t>
      </w:r>
      <w:r w:rsidR="00505280" w:rsidRPr="00E52B90">
        <w:rPr>
          <w:rFonts w:ascii="Arial" w:eastAsia="Calibri" w:hAnsi="Arial" w:cs="Arial"/>
          <w:color w:val="000000" w:themeColor="text1"/>
          <w:sz w:val="22"/>
        </w:rPr>
        <w:t xml:space="preserve"> </w:t>
      </w:r>
      <w:r w:rsidR="00BF7B9F" w:rsidRPr="00E52B90">
        <w:rPr>
          <w:rFonts w:ascii="Arial" w:eastAsia="Calibri" w:hAnsi="Arial" w:cs="Arial"/>
          <w:color w:val="000000" w:themeColor="text1"/>
          <w:sz w:val="22"/>
        </w:rPr>
        <w:t>«Respecto de las relaciones entre personas públicas estatales correspondientes a distintas esferas de competencias constitucionales, es patente y obvio que</w:t>
      </w:r>
      <w:r w:rsidR="00505280" w:rsidRPr="00E52B90">
        <w:rPr>
          <w:rFonts w:ascii="Arial" w:eastAsia="Calibri" w:hAnsi="Arial" w:cs="Arial"/>
          <w:color w:val="000000" w:themeColor="text1"/>
          <w:sz w:val="22"/>
        </w:rPr>
        <w:t xml:space="preserve"> </w:t>
      </w:r>
      <w:r w:rsidR="00BF7B9F" w:rsidRPr="00E52B90">
        <w:rPr>
          <w:rFonts w:ascii="Arial" w:eastAsia="Calibri" w:hAnsi="Arial" w:cs="Arial"/>
          <w:color w:val="000000" w:themeColor="text1"/>
          <w:sz w:val="22"/>
        </w:rPr>
        <w:t>no existe subordinación ni supremacía de una entidad respecto de otra y que por lo tanto no se da la posibilidad de que se ejerzan prerrogativas de poder público […]»</w:t>
      </w:r>
      <w:r w:rsidR="0024539A" w:rsidRPr="00E52B90">
        <w:rPr>
          <w:rStyle w:val="Refdenotaalpie"/>
          <w:rFonts w:ascii="Arial" w:eastAsia="Calibri" w:hAnsi="Arial" w:cs="Arial"/>
          <w:color w:val="000000" w:themeColor="text1"/>
          <w:sz w:val="22"/>
        </w:rPr>
        <w:footnoteReference w:id="10"/>
      </w:r>
      <w:r w:rsidR="00BF7B9F" w:rsidRPr="00E52B90">
        <w:rPr>
          <w:rFonts w:ascii="Arial" w:eastAsia="Calibri" w:hAnsi="Arial" w:cs="Arial"/>
          <w:color w:val="000000" w:themeColor="text1"/>
          <w:sz w:val="22"/>
        </w:rPr>
        <w:t>.</w:t>
      </w:r>
      <w:r w:rsidR="00505280" w:rsidRPr="00E52B90">
        <w:rPr>
          <w:rFonts w:ascii="Arial" w:eastAsia="Calibri" w:hAnsi="Arial" w:cs="Arial"/>
          <w:color w:val="000000" w:themeColor="text1"/>
          <w:sz w:val="22"/>
        </w:rPr>
        <w:t xml:space="preserve"> </w:t>
      </w:r>
    </w:p>
    <w:p w14:paraId="1F620704" w14:textId="07999223" w:rsidR="00CB66A1" w:rsidRPr="00E52B90" w:rsidRDefault="0024539A" w:rsidP="00111D1A">
      <w:pPr>
        <w:spacing w:line="276" w:lineRule="auto"/>
        <w:jc w:val="both"/>
        <w:rPr>
          <w:rFonts w:ascii="Arial" w:eastAsia="Calibri" w:hAnsi="Arial" w:cs="Arial"/>
          <w:color w:val="000000" w:themeColor="text1"/>
          <w:sz w:val="22"/>
        </w:rPr>
      </w:pPr>
      <w:r w:rsidRPr="00E52B90">
        <w:rPr>
          <w:rFonts w:ascii="Arial" w:eastAsia="Calibri" w:hAnsi="Arial" w:cs="Arial"/>
          <w:color w:val="000000" w:themeColor="text1"/>
          <w:sz w:val="22"/>
        </w:rPr>
        <w:tab/>
        <w:t xml:space="preserve">En este contexto, en los convenios de asociación entre entidades públicas </w:t>
      </w:r>
      <w:r w:rsidR="00CB66A1" w:rsidRPr="00E52B90">
        <w:rPr>
          <w:rFonts w:ascii="Arial" w:eastAsia="Calibri" w:hAnsi="Arial" w:cs="Arial"/>
          <w:color w:val="000000" w:themeColor="text1"/>
          <w:sz w:val="22"/>
        </w:rPr>
        <w:t>no es posible decretar la caducidad o</w:t>
      </w:r>
      <w:r w:rsidR="003C752E" w:rsidRPr="00E52B90">
        <w:rPr>
          <w:rFonts w:ascii="Arial" w:eastAsia="Calibri" w:hAnsi="Arial" w:cs="Arial"/>
          <w:color w:val="000000" w:themeColor="text1"/>
          <w:sz w:val="22"/>
        </w:rPr>
        <w:t xml:space="preserve"> </w:t>
      </w:r>
      <w:r w:rsidR="00CB66A1" w:rsidRPr="00E52B90">
        <w:rPr>
          <w:rFonts w:ascii="Arial" w:eastAsia="Calibri" w:hAnsi="Arial" w:cs="Arial"/>
          <w:color w:val="000000" w:themeColor="text1"/>
          <w:sz w:val="22"/>
        </w:rPr>
        <w:t xml:space="preserve">hacer efectivas las multas o la cláusula penal pecuniaria. Esto en la medida que las facultades unilaterales en la contratación estatal se aplican en aquellos negocios donde existe una relación de subordinación entre las partes, la cual se descarta cuando ambas entidades –dentro de un plano de igualdad– aúnan esfuerzos para un objetivo común. De esta manera, </w:t>
      </w:r>
      <w:r w:rsidR="00111D1A" w:rsidRPr="00E52B90">
        <w:rPr>
          <w:rFonts w:ascii="Arial" w:eastAsia="Calibri" w:hAnsi="Arial" w:cs="Arial"/>
          <w:color w:val="000000" w:themeColor="text1"/>
          <w:sz w:val="22"/>
        </w:rPr>
        <w:t xml:space="preserve">respecto a las sanciones pecuniarias del artículo 17 de la Ley 1150 de 2007, </w:t>
      </w:r>
      <w:r w:rsidR="00CB66A1" w:rsidRPr="00E52B90">
        <w:rPr>
          <w:rFonts w:ascii="Arial" w:eastAsia="Calibri" w:hAnsi="Arial" w:cs="Arial"/>
          <w:color w:val="000000" w:themeColor="text1"/>
          <w:sz w:val="22"/>
        </w:rPr>
        <w:t>la Sala de Consulta y Servicio Civil del Consejo de Estado considera que:</w:t>
      </w:r>
    </w:p>
    <w:p w14:paraId="4944CA93" w14:textId="77777777" w:rsidR="00111D1A" w:rsidRPr="00E52B90" w:rsidRDefault="00111D1A" w:rsidP="006026D9">
      <w:pPr>
        <w:spacing w:line="276" w:lineRule="auto"/>
        <w:jc w:val="both"/>
        <w:rPr>
          <w:rFonts w:ascii="Arial" w:eastAsia="Calibri" w:hAnsi="Arial" w:cs="Arial"/>
          <w:color w:val="000000" w:themeColor="text1"/>
          <w:sz w:val="22"/>
        </w:rPr>
      </w:pPr>
    </w:p>
    <w:p w14:paraId="6EBB9A69" w14:textId="6F1C3381" w:rsidR="00CB66A1" w:rsidRPr="00E52B90" w:rsidRDefault="00CB66A1" w:rsidP="006026D9">
      <w:pPr>
        <w:ind w:left="709" w:right="709"/>
        <w:jc w:val="both"/>
        <w:rPr>
          <w:rFonts w:ascii="Arial" w:eastAsia="Calibri" w:hAnsi="Arial" w:cs="Arial"/>
          <w:color w:val="000000" w:themeColor="text1"/>
          <w:sz w:val="21"/>
          <w:szCs w:val="21"/>
        </w:rPr>
      </w:pPr>
      <w:r w:rsidRPr="00E52B90">
        <w:rPr>
          <w:rFonts w:ascii="Arial" w:eastAsia="Calibri" w:hAnsi="Arial" w:cs="Arial"/>
          <w:color w:val="000000" w:themeColor="text1"/>
          <w:sz w:val="21"/>
          <w:szCs w:val="21"/>
        </w:rPr>
        <w:t xml:space="preserve">En materia de convenios administrativos puros en principio no es admisible la imposición de sanciones de una entidad a otra, pues su objeto es ejecutar actividades que contribuyen directamente al fin común de los sujetos vinculados al convenio; es decir, las partes tienen intereses convergentes, coincidentes o </w:t>
      </w:r>
      <w:r w:rsidRPr="00E52B90">
        <w:rPr>
          <w:rFonts w:ascii="Arial" w:eastAsia="Calibri" w:hAnsi="Arial" w:cs="Arial"/>
          <w:color w:val="000000" w:themeColor="text1"/>
          <w:sz w:val="21"/>
          <w:szCs w:val="21"/>
        </w:rPr>
        <w:lastRenderedPageBreak/>
        <w:t>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 En síntesis, las partes se relacionan en un paralelismo de intereses bajo un ámbito o posición de igualdad o equivalencia</w:t>
      </w:r>
      <w:r w:rsidR="00A54D07" w:rsidRPr="00E52B90">
        <w:rPr>
          <w:rStyle w:val="Refdenotaalpie"/>
          <w:rFonts w:ascii="Arial" w:eastAsia="Calibri" w:hAnsi="Arial" w:cs="Arial"/>
          <w:color w:val="000000" w:themeColor="text1"/>
          <w:sz w:val="21"/>
          <w:szCs w:val="21"/>
        </w:rPr>
        <w:footnoteReference w:id="11"/>
      </w:r>
      <w:r w:rsidRPr="00E52B90">
        <w:rPr>
          <w:rFonts w:ascii="Arial" w:eastAsia="Calibri" w:hAnsi="Arial" w:cs="Arial"/>
          <w:color w:val="000000" w:themeColor="text1"/>
          <w:sz w:val="21"/>
          <w:szCs w:val="21"/>
        </w:rPr>
        <w:t>.</w:t>
      </w:r>
    </w:p>
    <w:p w14:paraId="27F0CE5B" w14:textId="77777777" w:rsidR="00111D1A" w:rsidRPr="00E52B90" w:rsidRDefault="00111D1A" w:rsidP="006026D9">
      <w:pPr>
        <w:spacing w:line="276" w:lineRule="auto"/>
        <w:jc w:val="both"/>
        <w:rPr>
          <w:rFonts w:ascii="Arial" w:eastAsia="Calibri" w:hAnsi="Arial" w:cs="Arial"/>
          <w:color w:val="000000" w:themeColor="text1"/>
          <w:sz w:val="22"/>
        </w:rPr>
      </w:pPr>
    </w:p>
    <w:p w14:paraId="7B37D125" w14:textId="3A522EEA" w:rsidR="00FD2124" w:rsidRPr="00E52B90" w:rsidRDefault="00FD2124" w:rsidP="00FD2124">
      <w:pPr>
        <w:spacing w:line="276" w:lineRule="auto"/>
        <w:jc w:val="both"/>
        <w:rPr>
          <w:rFonts w:ascii="Arial" w:eastAsia="Calibri" w:hAnsi="Arial" w:cs="Arial"/>
          <w:color w:val="000000" w:themeColor="text1"/>
          <w:sz w:val="22"/>
        </w:rPr>
      </w:pPr>
      <w:r w:rsidRPr="00E52B90">
        <w:rPr>
          <w:rFonts w:ascii="Arial" w:eastAsia="Calibri" w:hAnsi="Arial" w:cs="Arial"/>
          <w:color w:val="000000" w:themeColor="text1"/>
          <w:sz w:val="22"/>
        </w:rPr>
        <w:tab/>
        <w:t>Desde una perspectiva más amplia, respecto al negocio jurídico objeto de consulta, también agrega lo siguiente:</w:t>
      </w:r>
    </w:p>
    <w:p w14:paraId="7DDE9109" w14:textId="77777777" w:rsidR="00FD2124" w:rsidRPr="00E52B90" w:rsidRDefault="00FD2124" w:rsidP="006026D9">
      <w:pPr>
        <w:spacing w:line="276" w:lineRule="auto"/>
        <w:jc w:val="both"/>
        <w:rPr>
          <w:rFonts w:ascii="Arial" w:eastAsia="Calibri" w:hAnsi="Arial" w:cs="Arial"/>
          <w:color w:val="000000" w:themeColor="text1"/>
          <w:sz w:val="22"/>
        </w:rPr>
      </w:pPr>
    </w:p>
    <w:p w14:paraId="613EC565" w14:textId="32658990" w:rsidR="00FD2124" w:rsidRPr="00E52B90" w:rsidRDefault="00FD2124" w:rsidP="00FD2124">
      <w:pPr>
        <w:ind w:left="709" w:right="709"/>
        <w:jc w:val="both"/>
        <w:rPr>
          <w:rFonts w:ascii="Arial" w:eastAsia="Calibri" w:hAnsi="Arial" w:cs="Arial"/>
          <w:color w:val="000000" w:themeColor="text1"/>
          <w:sz w:val="21"/>
          <w:szCs w:val="21"/>
        </w:rPr>
      </w:pPr>
      <w:r w:rsidRPr="00E52B90">
        <w:rPr>
          <w:rFonts w:ascii="Arial" w:eastAsia="Calibri" w:hAnsi="Arial" w:cs="Arial"/>
          <w:color w:val="000000" w:themeColor="text1"/>
          <w:sz w:val="21"/>
          <w:szCs w:val="21"/>
        </w:rPr>
        <w:t xml:space="preserve">Como se observa, la nota distintiva de los convenios interadministrativos la constituye la concurrencia de dos o más entidades estatales para la realización de </w:t>
      </w:r>
      <w:r w:rsidRPr="00E52B90">
        <w:rPr>
          <w:rFonts w:ascii="Arial" w:eastAsia="Calibri" w:hAnsi="Arial" w:cs="Arial"/>
          <w:color w:val="000000" w:themeColor="text1"/>
          <w:sz w:val="21"/>
          <w:szCs w:val="21"/>
          <w:u w:val="single"/>
        </w:rPr>
        <w:t>fines comunes</w:t>
      </w:r>
      <w:r w:rsidRPr="00E52B90">
        <w:rPr>
          <w:rFonts w:ascii="Arial" w:eastAsia="Calibri" w:hAnsi="Arial" w:cs="Arial"/>
          <w:color w:val="000000" w:themeColor="text1"/>
          <w:sz w:val="21"/>
          <w:szCs w:val="21"/>
        </w:rPr>
        <w:t xml:space="preserve"> a ambas partes, respecto del cual cada entidad está interesada u obligada desde sus propias funciones o atribuciones legales. Se da pues un </w:t>
      </w:r>
      <w:r w:rsidRPr="00E52B90">
        <w:rPr>
          <w:rFonts w:ascii="Arial" w:eastAsia="Calibri" w:hAnsi="Arial" w:cs="Arial"/>
          <w:color w:val="000000" w:themeColor="text1"/>
          <w:sz w:val="21"/>
          <w:szCs w:val="21"/>
          <w:u w:val="single"/>
        </w:rPr>
        <w:t>ánimo de cooperación</w:t>
      </w:r>
      <w:r w:rsidRPr="00E52B90">
        <w:rPr>
          <w:rFonts w:ascii="Arial" w:eastAsia="Calibri" w:hAnsi="Arial" w:cs="Arial"/>
          <w:color w:val="000000" w:themeColor="text1"/>
          <w:sz w:val="21"/>
          <w:szCs w:val="21"/>
        </w:rPr>
        <w:t xml:space="preserve"> entre organismos o entidades públicas con funciones interrelacionadas o complementarias. Como se ha indicado, se habla de </w:t>
      </w:r>
      <w:r w:rsidRPr="00E52B90">
        <w:rPr>
          <w:rFonts w:ascii="Arial" w:eastAsia="Calibri" w:hAnsi="Arial" w:cs="Arial"/>
          <w:i/>
          <w:iCs/>
          <w:color w:val="000000" w:themeColor="text1"/>
          <w:sz w:val="21"/>
          <w:szCs w:val="21"/>
        </w:rPr>
        <w:t>cooperación</w:t>
      </w:r>
      <w:r w:rsidRPr="00E52B90">
        <w:rPr>
          <w:rFonts w:ascii="Arial" w:eastAsia="Calibri" w:hAnsi="Arial" w:cs="Arial"/>
          <w:color w:val="000000" w:themeColor="text1"/>
          <w:sz w:val="21"/>
          <w:szCs w:val="21"/>
        </w:rPr>
        <w:t xml:space="preserve"> porque la entidad pública celebra el convenio “</w:t>
      </w:r>
      <w:r w:rsidRPr="00E52B90">
        <w:rPr>
          <w:rFonts w:ascii="Arial" w:eastAsia="Calibri" w:hAnsi="Arial" w:cs="Arial"/>
          <w:i/>
          <w:iCs/>
          <w:color w:val="000000" w:themeColor="text1"/>
          <w:sz w:val="21"/>
          <w:szCs w:val="21"/>
        </w:rPr>
        <w:t xml:space="preserve">cuando tiene algo que aportar desde su ámbito funcional, obligándose a ejecutar actividades que contribuyen directamente al fin común de los sujetos contratantes, compartiendo tareas entre ellas.” </w:t>
      </w:r>
      <w:r w:rsidRPr="00E52B90">
        <w:rPr>
          <w:rFonts w:ascii="Arial" w:eastAsia="Calibri" w:hAnsi="Arial" w:cs="Arial"/>
          <w:color w:val="000000" w:themeColor="text1"/>
          <w:sz w:val="21"/>
          <w:szCs w:val="21"/>
        </w:rPr>
        <w:t>Esa finalidad común y ánimo de cooperación, agrega en esta oportunidad la Sala, se da en el ámbito de un “</w:t>
      </w:r>
      <w:r w:rsidRPr="00E52B90">
        <w:rPr>
          <w:rFonts w:ascii="Arial" w:eastAsia="Calibri" w:hAnsi="Arial" w:cs="Arial"/>
          <w:i/>
          <w:iCs/>
          <w:color w:val="000000" w:themeColor="text1"/>
          <w:sz w:val="21"/>
          <w:szCs w:val="21"/>
        </w:rPr>
        <w:t>paralelismo de intereses</w:t>
      </w:r>
      <w:r w:rsidRPr="00E52B90">
        <w:rPr>
          <w:rFonts w:ascii="Arial" w:eastAsia="Calibri" w:hAnsi="Arial" w:cs="Arial"/>
          <w:color w:val="000000" w:themeColor="text1"/>
          <w:sz w:val="21"/>
          <w:szCs w:val="21"/>
        </w:rPr>
        <w:t>”, por lo que no existe preeminencia del contratante respecto del contratista, sino más bien las relaciones se desarrollan en un plano de igualdad o equivalencia, esto es, sin que existan prerrogativas en favor de una parte a costa de la otra</w:t>
      </w:r>
      <w:r w:rsidRPr="00E52B90">
        <w:rPr>
          <w:rStyle w:val="Refdenotaalpie"/>
          <w:rFonts w:ascii="Arial" w:eastAsia="Calibri" w:hAnsi="Arial" w:cs="Arial"/>
          <w:color w:val="000000" w:themeColor="text1"/>
          <w:sz w:val="21"/>
          <w:szCs w:val="21"/>
        </w:rPr>
        <w:footnoteReference w:id="12"/>
      </w:r>
      <w:r w:rsidRPr="00E52B90">
        <w:rPr>
          <w:rFonts w:ascii="Arial" w:eastAsia="Calibri" w:hAnsi="Arial" w:cs="Arial"/>
          <w:color w:val="000000" w:themeColor="text1"/>
          <w:sz w:val="21"/>
          <w:szCs w:val="21"/>
        </w:rPr>
        <w:t>. (Énfasis dentro del texto)</w:t>
      </w:r>
      <w:r w:rsidR="00111D1A" w:rsidRPr="00E52B90">
        <w:rPr>
          <w:rFonts w:ascii="Arial" w:eastAsia="Calibri" w:hAnsi="Arial" w:cs="Arial"/>
          <w:color w:val="000000" w:themeColor="text1"/>
          <w:sz w:val="21"/>
          <w:szCs w:val="21"/>
        </w:rPr>
        <w:tab/>
      </w:r>
    </w:p>
    <w:p w14:paraId="23375DFD" w14:textId="77777777" w:rsidR="00FD2124" w:rsidRPr="00E52B90" w:rsidRDefault="00FD2124" w:rsidP="006026D9">
      <w:pPr>
        <w:spacing w:line="276" w:lineRule="auto"/>
        <w:ind w:left="709" w:right="709"/>
        <w:jc w:val="both"/>
        <w:rPr>
          <w:rFonts w:ascii="Arial" w:eastAsia="Calibri" w:hAnsi="Arial" w:cs="Arial"/>
          <w:color w:val="000000" w:themeColor="text1"/>
          <w:sz w:val="22"/>
        </w:rPr>
      </w:pPr>
    </w:p>
    <w:p w14:paraId="067F59C2" w14:textId="797BDD5A" w:rsidR="00111D1A" w:rsidRPr="00E52B90" w:rsidRDefault="00111D1A" w:rsidP="006026D9">
      <w:pPr>
        <w:spacing w:line="276" w:lineRule="auto"/>
        <w:ind w:firstLine="708"/>
        <w:jc w:val="both"/>
        <w:rPr>
          <w:rFonts w:ascii="Arial" w:eastAsia="Calibri" w:hAnsi="Arial" w:cs="Arial"/>
          <w:color w:val="000000" w:themeColor="text1"/>
          <w:sz w:val="22"/>
        </w:rPr>
      </w:pPr>
      <w:r w:rsidRPr="00E52B90">
        <w:rPr>
          <w:rFonts w:ascii="Arial" w:eastAsia="Calibri" w:hAnsi="Arial" w:cs="Arial"/>
          <w:color w:val="000000" w:themeColor="text1"/>
          <w:sz w:val="22"/>
        </w:rPr>
        <w:t>Por tanto, si en los convenios de asociación del artículo 95 de la Ley 489 de 1998 no es posible la imposición de sanciones contractuales con fundamento en ejercicio de poderes exorbitantes, mucho menos es posible aplicar el</w:t>
      </w:r>
      <w:r w:rsidR="00791D6A" w:rsidRPr="00E52B90">
        <w:rPr>
          <w:rFonts w:ascii="Arial" w:eastAsia="Calibri" w:hAnsi="Arial" w:cs="Arial"/>
          <w:color w:val="000000" w:themeColor="text1"/>
          <w:sz w:val="22"/>
        </w:rPr>
        <w:t xml:space="preserve"> procedimiento del</w:t>
      </w:r>
      <w:r w:rsidRPr="00E52B90">
        <w:rPr>
          <w:rFonts w:ascii="Arial" w:eastAsia="Calibri" w:hAnsi="Arial" w:cs="Arial"/>
          <w:color w:val="000000" w:themeColor="text1"/>
          <w:sz w:val="22"/>
        </w:rPr>
        <w:t xml:space="preserve"> artículo 86 de la Ley 1474 de 2011 </w:t>
      </w:r>
      <w:r w:rsidR="00791D6A" w:rsidRPr="00E52B90">
        <w:rPr>
          <w:rFonts w:ascii="Arial" w:eastAsia="Calibri" w:hAnsi="Arial" w:cs="Arial"/>
          <w:color w:val="000000" w:themeColor="text1"/>
          <w:sz w:val="22"/>
        </w:rPr>
        <w:t>por sustracción de materia</w:t>
      </w:r>
      <w:r w:rsidRPr="00E52B90">
        <w:rPr>
          <w:rFonts w:ascii="Arial" w:eastAsia="Calibri" w:hAnsi="Arial" w:cs="Arial"/>
          <w:color w:val="000000" w:themeColor="text1"/>
          <w:sz w:val="22"/>
        </w:rPr>
        <w:t xml:space="preserve">. </w:t>
      </w:r>
      <w:r w:rsidR="004C42C0" w:rsidRPr="00E52B90">
        <w:rPr>
          <w:rFonts w:ascii="Arial" w:eastAsia="Calibri" w:hAnsi="Arial" w:cs="Arial"/>
          <w:color w:val="000000" w:themeColor="text1"/>
          <w:sz w:val="22"/>
        </w:rPr>
        <w:t>En esta medida, para exigir el cumplimiento de las obligaciones asumidas en un convenio interadministrativo y salvaguardar los recursos públicos comprometidos</w:t>
      </w:r>
      <w:r w:rsidR="003A2D20" w:rsidRPr="00E52B90">
        <w:rPr>
          <w:rFonts w:ascii="Arial" w:eastAsia="Calibri" w:hAnsi="Arial" w:cs="Arial"/>
          <w:color w:val="000000" w:themeColor="text1"/>
          <w:sz w:val="22"/>
        </w:rPr>
        <w:t>,</w:t>
      </w:r>
      <w:r w:rsidR="004C42C0" w:rsidRPr="00E52B90">
        <w:rPr>
          <w:rFonts w:ascii="Arial" w:eastAsia="Calibri" w:hAnsi="Arial" w:cs="Arial"/>
          <w:color w:val="000000" w:themeColor="text1"/>
          <w:sz w:val="22"/>
        </w:rPr>
        <w:t xml:space="preserve"> las entidades estatales pueden </w:t>
      </w:r>
      <w:r w:rsidR="00D6064B" w:rsidRPr="00E52B90">
        <w:rPr>
          <w:rFonts w:ascii="Arial" w:eastAsia="Calibri" w:hAnsi="Arial" w:cs="Arial"/>
          <w:color w:val="000000" w:themeColor="text1"/>
          <w:sz w:val="22"/>
        </w:rPr>
        <w:t xml:space="preserve">i) incluir un “pacto de conocimiento y diligencia”; ii) requerir garantías; iii) supervisar la ejecución del convenio; iv) pactar la terminación anticipada del negocio jurídico, bien sea por mutuo disenso o </w:t>
      </w:r>
      <w:r w:rsidR="00613B07" w:rsidRPr="00E52B90">
        <w:rPr>
          <w:rFonts w:ascii="Arial" w:eastAsia="Calibri" w:hAnsi="Arial" w:cs="Arial"/>
          <w:color w:val="000000" w:themeColor="text1"/>
          <w:sz w:val="22"/>
        </w:rPr>
        <w:t>mediante</w:t>
      </w:r>
      <w:r w:rsidR="00D6064B" w:rsidRPr="00E52B90">
        <w:rPr>
          <w:rFonts w:ascii="Arial" w:eastAsia="Calibri" w:hAnsi="Arial" w:cs="Arial"/>
          <w:color w:val="000000" w:themeColor="text1"/>
          <w:sz w:val="22"/>
        </w:rPr>
        <w:t xml:space="preserve"> condiciones resolutorias expresas por incumplimiento; v) pactar multas o cláusulas penales, pero la declaratoria de incumplimiento o la imposición de las sanciones pecuniarias así como su ejecución corresponderán al juez del convenio; y vi) establecer los mecanismos de seguimiento, vigilancia y control de la ejecución del convenio y de los compromisos adquiridos por los firmantes, así como pactar expresamente las </w:t>
      </w:r>
      <w:r w:rsidR="00D6064B" w:rsidRPr="00E52B90">
        <w:rPr>
          <w:rFonts w:ascii="Arial" w:eastAsia="Calibri" w:hAnsi="Arial" w:cs="Arial"/>
          <w:color w:val="000000" w:themeColor="text1"/>
          <w:sz w:val="22"/>
        </w:rPr>
        <w:lastRenderedPageBreak/>
        <w:t>consecuencias aplicables en caso de incumplimiento de las obligaciones y compromisos asumidos por cada una de las partes y, en su caso, los criterios para determinar la posible indemnización por el incumplimiento</w:t>
      </w:r>
      <w:r w:rsidR="00D6064B" w:rsidRPr="00E52B90">
        <w:rPr>
          <w:rStyle w:val="Refdenotaalpie"/>
          <w:rFonts w:ascii="Arial" w:eastAsia="Calibri" w:hAnsi="Arial" w:cs="Arial"/>
          <w:color w:val="000000" w:themeColor="text1"/>
          <w:sz w:val="22"/>
        </w:rPr>
        <w:footnoteReference w:id="13"/>
      </w:r>
      <w:r w:rsidR="00D6064B" w:rsidRPr="00E52B90">
        <w:rPr>
          <w:rFonts w:ascii="Arial" w:eastAsia="Calibri" w:hAnsi="Arial" w:cs="Arial"/>
          <w:color w:val="000000" w:themeColor="text1"/>
          <w:sz w:val="22"/>
        </w:rPr>
        <w:t>.</w:t>
      </w:r>
    </w:p>
    <w:p w14:paraId="1EC237D5" w14:textId="153AB938" w:rsidR="0054315A" w:rsidRPr="00E52B90" w:rsidRDefault="0054315A">
      <w:pPr>
        <w:spacing w:line="276" w:lineRule="auto"/>
        <w:jc w:val="both"/>
        <w:rPr>
          <w:rFonts w:ascii="Arial" w:eastAsia="Calibri" w:hAnsi="Arial" w:cs="Arial"/>
          <w:color w:val="000000" w:themeColor="text1"/>
          <w:sz w:val="22"/>
        </w:rPr>
      </w:pPr>
    </w:p>
    <w:p w14:paraId="2E4AD90A" w14:textId="4D7B15F2" w:rsidR="0054315A" w:rsidRPr="00E52B90" w:rsidRDefault="0054315A" w:rsidP="0054315A">
      <w:pPr>
        <w:spacing w:line="276" w:lineRule="auto"/>
        <w:jc w:val="both"/>
        <w:rPr>
          <w:rFonts w:ascii="Arial" w:eastAsia="Calibri" w:hAnsi="Arial" w:cs="Arial"/>
          <w:b/>
          <w:color w:val="000000" w:themeColor="text1"/>
          <w:sz w:val="22"/>
          <w:lang w:val="es-ES_tradnl"/>
        </w:rPr>
      </w:pPr>
      <w:r w:rsidRPr="00E52B90">
        <w:rPr>
          <w:rFonts w:ascii="Arial" w:eastAsia="Calibri" w:hAnsi="Arial" w:cs="Arial"/>
          <w:b/>
          <w:color w:val="000000" w:themeColor="text1"/>
          <w:sz w:val="22"/>
          <w:lang w:val="es-ES_tradnl"/>
        </w:rPr>
        <w:t>2.2. C</w:t>
      </w:r>
      <w:r w:rsidR="004365FE" w:rsidRPr="00E52B90">
        <w:rPr>
          <w:rFonts w:ascii="Arial" w:eastAsia="Calibri" w:hAnsi="Arial" w:cs="Arial"/>
          <w:b/>
          <w:color w:val="000000" w:themeColor="text1"/>
          <w:sz w:val="22"/>
          <w:lang w:val="es-ES_tradnl"/>
        </w:rPr>
        <w:t>ontratos de colaboración y c</w:t>
      </w:r>
      <w:r w:rsidRPr="00E52B90">
        <w:rPr>
          <w:rFonts w:ascii="Arial" w:eastAsia="Calibri" w:hAnsi="Arial" w:cs="Arial"/>
          <w:b/>
          <w:color w:val="000000" w:themeColor="text1"/>
          <w:sz w:val="22"/>
          <w:lang w:val="es-ES_tradnl"/>
        </w:rPr>
        <w:t xml:space="preserve">onvenios de asociación entre entidades públicas y entidades privadas sin ánimo de lucro y de reconocida idoneidad: régimen del Decreto 092 de 2017 </w:t>
      </w:r>
    </w:p>
    <w:p w14:paraId="08752389" w14:textId="77777777" w:rsidR="0054315A" w:rsidRPr="00E52B90" w:rsidRDefault="0054315A" w:rsidP="0054315A">
      <w:pPr>
        <w:spacing w:line="276" w:lineRule="auto"/>
        <w:jc w:val="both"/>
        <w:rPr>
          <w:rFonts w:ascii="Arial" w:eastAsia="Calibri" w:hAnsi="Arial" w:cs="Arial"/>
          <w:b/>
          <w:color w:val="000000" w:themeColor="text1"/>
          <w:sz w:val="22"/>
          <w:lang w:val="es-ES_tradnl"/>
        </w:rPr>
      </w:pPr>
    </w:p>
    <w:p w14:paraId="10E0FC83" w14:textId="77777777" w:rsidR="0054315A" w:rsidRPr="00E52B90" w:rsidRDefault="0054315A" w:rsidP="0054315A">
      <w:pPr>
        <w:spacing w:line="276" w:lineRule="auto"/>
        <w:jc w:val="both"/>
        <w:rPr>
          <w:rFonts w:ascii="Arial" w:eastAsia="Calibri" w:hAnsi="Arial" w:cs="Arial"/>
          <w:bCs/>
          <w:sz w:val="22"/>
          <w:lang w:val="es-ES_tradnl"/>
        </w:rPr>
      </w:pPr>
      <w:r w:rsidRPr="00E52B90">
        <w:rPr>
          <w:rFonts w:ascii="Arial" w:eastAsia="Calibri" w:hAnsi="Arial" w:cs="Arial"/>
          <w:bCs/>
          <w:sz w:val="22"/>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E52B90">
        <w:rPr>
          <w:rStyle w:val="Refdenotaalpie"/>
          <w:rFonts w:ascii="Arial" w:hAnsi="Arial" w:cs="Arial"/>
          <w:sz w:val="22"/>
          <w:lang w:val="es-ES_tradnl"/>
        </w:rPr>
        <w:footnoteReference w:id="14"/>
      </w:r>
      <w:r w:rsidRPr="00E52B90">
        <w:rPr>
          <w:rFonts w:ascii="Arial" w:eastAsia="Calibri" w:hAnsi="Arial" w:cs="Arial"/>
          <w:bCs/>
          <w:sz w:val="22"/>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E52B90">
        <w:rPr>
          <w:rStyle w:val="Refdenotaalpie"/>
          <w:rFonts w:ascii="Arial" w:eastAsia="Calibri" w:hAnsi="Arial" w:cs="Arial"/>
          <w:bCs/>
          <w:sz w:val="22"/>
          <w:lang w:val="es-ES_tradnl"/>
        </w:rPr>
        <w:footnoteReference w:id="15"/>
      </w:r>
      <w:r w:rsidRPr="00E52B90">
        <w:rPr>
          <w:rFonts w:ascii="Arial" w:eastAsia="Calibri" w:hAnsi="Arial" w:cs="Arial"/>
          <w:bCs/>
          <w:sz w:val="22"/>
          <w:lang w:val="es-ES_tradnl"/>
        </w:rPr>
        <w:t>.</w:t>
      </w:r>
    </w:p>
    <w:p w14:paraId="2243FAD8" w14:textId="77777777" w:rsidR="0054315A" w:rsidRPr="00E52B90" w:rsidRDefault="0054315A" w:rsidP="0054315A">
      <w:pPr>
        <w:spacing w:before="120" w:after="120" w:line="276" w:lineRule="auto"/>
        <w:ind w:firstLine="709"/>
        <w:jc w:val="both"/>
        <w:rPr>
          <w:rFonts w:ascii="Arial" w:eastAsia="Calibri" w:hAnsi="Arial" w:cs="Arial"/>
          <w:bCs/>
          <w:sz w:val="22"/>
          <w:lang w:val="es-ES_tradnl"/>
        </w:rPr>
      </w:pPr>
      <w:r w:rsidRPr="00E52B90">
        <w:rPr>
          <w:rFonts w:ascii="Arial" w:eastAsia="Calibri" w:hAnsi="Arial" w:cs="Arial"/>
          <w:bCs/>
          <w:sz w:val="22"/>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p>
    <w:p w14:paraId="24FAEE5D" w14:textId="77777777" w:rsidR="0054315A" w:rsidRPr="00E52B90" w:rsidRDefault="0054315A" w:rsidP="0054315A">
      <w:pPr>
        <w:spacing w:before="120" w:after="120" w:line="276" w:lineRule="auto"/>
        <w:ind w:firstLine="709"/>
        <w:jc w:val="both"/>
        <w:rPr>
          <w:rFonts w:ascii="Arial" w:eastAsia="Calibri" w:hAnsi="Arial" w:cs="Arial"/>
          <w:bCs/>
          <w:sz w:val="22"/>
          <w:lang w:val="es-ES_tradnl"/>
        </w:rPr>
      </w:pPr>
      <w:r w:rsidRPr="00E52B90">
        <w:rPr>
          <w:rFonts w:ascii="Arial" w:eastAsia="Calibri" w:hAnsi="Arial" w:cs="Arial"/>
          <w:bCs/>
          <w:sz w:val="22"/>
          <w:lang w:val="es-ES_tradnl"/>
        </w:rPr>
        <w:t xml:space="preserve">Los </w:t>
      </w:r>
      <w:r w:rsidRPr="00E52B90">
        <w:rPr>
          <w:rFonts w:ascii="Arial" w:eastAsia="Calibri" w:hAnsi="Arial" w:cs="Arial"/>
          <w:bCs/>
          <w:i/>
          <w:sz w:val="22"/>
          <w:lang w:val="es-ES_tradnl"/>
        </w:rPr>
        <w:t>contratos del artículo 355 de la Constitución Política</w:t>
      </w:r>
      <w:r w:rsidRPr="00E52B90">
        <w:rPr>
          <w:rFonts w:ascii="Arial" w:eastAsia="Calibri" w:hAnsi="Arial" w:cs="Arial"/>
          <w:bCs/>
          <w:sz w:val="22"/>
          <w:lang w:val="es-ES_tradnl"/>
        </w:rPr>
        <w:t xml:space="preserve"> tienen como objeto promover acciones de fomento social en beneficio de los sectores más desprotegidos de la población, siempre que estén previstas en los planes de desarrollo, motivo por el cual no </w:t>
      </w:r>
      <w:r w:rsidRPr="00E52B90">
        <w:rPr>
          <w:rFonts w:ascii="Arial" w:eastAsia="Calibri" w:hAnsi="Arial" w:cs="Arial"/>
          <w:bCs/>
          <w:sz w:val="22"/>
          <w:lang w:val="es-ES_tradnl"/>
        </w:rPr>
        <w:lastRenderedPageBreak/>
        <w:t>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49971A9C" w14:textId="77777777" w:rsidR="0054315A" w:rsidRPr="00E52B90" w:rsidRDefault="0054315A" w:rsidP="0054315A">
      <w:pPr>
        <w:spacing w:before="120" w:after="120" w:line="276" w:lineRule="auto"/>
        <w:ind w:firstLine="709"/>
        <w:jc w:val="both"/>
        <w:rPr>
          <w:rFonts w:ascii="Arial" w:eastAsia="Calibri" w:hAnsi="Arial" w:cs="Arial"/>
          <w:bCs/>
          <w:sz w:val="22"/>
          <w:lang w:val="es-ES_tradnl"/>
        </w:rPr>
      </w:pPr>
      <w:r w:rsidRPr="00E52B90">
        <w:rPr>
          <w:rFonts w:ascii="Arial" w:eastAsia="Calibri" w:hAnsi="Arial" w:cs="Arial"/>
          <w:bCs/>
          <w:sz w:val="22"/>
          <w:lang w:val="es-ES_tradnl"/>
        </w:rPr>
        <w:t xml:space="preserve">De otro lado, los </w:t>
      </w:r>
      <w:r w:rsidRPr="00E52B90">
        <w:rPr>
          <w:rFonts w:ascii="Arial" w:eastAsia="Calibri" w:hAnsi="Arial" w:cs="Arial"/>
          <w:bCs/>
          <w:i/>
          <w:sz w:val="22"/>
          <w:lang w:val="es-ES_tradnl"/>
        </w:rPr>
        <w:t>convenios de asociación</w:t>
      </w:r>
      <w:r w:rsidRPr="00E52B90">
        <w:rPr>
          <w:rFonts w:ascii="Arial" w:eastAsia="Calibri" w:hAnsi="Arial" w:cs="Arial"/>
          <w:bCs/>
          <w:sz w:val="22"/>
          <w:lang w:val="es-ES_tradnl"/>
        </w:rPr>
        <w:t xml:space="preserve"> «[t]</w:t>
      </w:r>
      <w:proofErr w:type="spellStart"/>
      <w:r w:rsidRPr="00E52B90">
        <w:rPr>
          <w:rFonts w:ascii="Arial" w:eastAsia="Calibri" w:hAnsi="Arial" w:cs="Arial"/>
          <w:bCs/>
          <w:sz w:val="22"/>
          <w:lang w:val="es-ES_tradnl"/>
        </w:rPr>
        <w:t>ienen</w:t>
      </w:r>
      <w:proofErr w:type="spellEnd"/>
      <w:r w:rsidRPr="00E52B90">
        <w:rPr>
          <w:rFonts w:ascii="Arial" w:eastAsia="Calibri" w:hAnsi="Arial" w:cs="Arial"/>
          <w:bCs/>
          <w:sz w:val="22"/>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E52B90">
        <w:rPr>
          <w:rStyle w:val="Refdenotaalpie"/>
          <w:rFonts w:ascii="Arial" w:hAnsi="Arial" w:cs="Arial"/>
          <w:sz w:val="22"/>
          <w:lang w:val="es-ES_tradnl"/>
        </w:rPr>
        <w:footnoteReference w:id="16"/>
      </w:r>
      <w:r w:rsidRPr="00E52B90">
        <w:rPr>
          <w:rFonts w:ascii="Arial" w:eastAsia="Calibri" w:hAnsi="Arial" w:cs="Arial"/>
          <w:bCs/>
          <w:sz w:val="22"/>
          <w:lang w:val="es-ES_tradnl"/>
        </w:rPr>
        <w:t xml:space="preserve">.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proofErr w:type="gramStart"/>
      <w:r w:rsidRPr="00E52B90">
        <w:rPr>
          <w:rFonts w:ascii="Arial" w:eastAsia="Calibri" w:hAnsi="Arial" w:cs="Arial"/>
          <w:bCs/>
          <w:sz w:val="22"/>
          <w:lang w:val="es-ES_tradnl"/>
        </w:rPr>
        <w:t>y</w:t>
      </w:r>
      <w:proofErr w:type="gramEnd"/>
      <w:r w:rsidRPr="00E52B90">
        <w:rPr>
          <w:rFonts w:ascii="Arial" w:eastAsia="Calibri" w:hAnsi="Arial" w:cs="Arial"/>
          <w:bCs/>
          <w:sz w:val="22"/>
          <w:lang w:val="es-ES_tradnl"/>
        </w:rPr>
        <w:t xml:space="preserve"> por tanto, la entidad no instruye al contratista para desarrollar los programas o actividades previstas, sino que se asocia con él para el cumplimiento de objetivos comunes</w:t>
      </w:r>
      <w:r w:rsidRPr="00E52B90">
        <w:rPr>
          <w:rStyle w:val="Refdenotaalpie"/>
          <w:rFonts w:ascii="Arial" w:hAnsi="Arial" w:cs="Arial"/>
          <w:sz w:val="22"/>
          <w:lang w:val="es-ES_tradnl"/>
        </w:rPr>
        <w:footnoteReference w:id="17"/>
      </w:r>
      <w:r w:rsidRPr="00E52B90">
        <w:rPr>
          <w:rFonts w:ascii="Arial" w:eastAsia="Calibri" w:hAnsi="Arial" w:cs="Arial"/>
          <w:bCs/>
          <w:sz w:val="22"/>
          <w:lang w:val="es-ES_tradnl"/>
        </w:rPr>
        <w:t>.</w:t>
      </w:r>
    </w:p>
    <w:p w14:paraId="44E4AEAF" w14:textId="77777777" w:rsidR="0054315A" w:rsidRPr="00E52B90" w:rsidRDefault="0054315A" w:rsidP="0054315A">
      <w:pPr>
        <w:spacing w:before="120" w:after="120" w:line="276" w:lineRule="auto"/>
        <w:ind w:firstLine="709"/>
        <w:jc w:val="both"/>
        <w:rPr>
          <w:rFonts w:ascii="Arial" w:eastAsia="Calibri" w:hAnsi="Arial" w:cs="Arial"/>
          <w:bCs/>
          <w:sz w:val="22"/>
          <w:lang w:val="es-ES_tradnl"/>
        </w:rPr>
      </w:pPr>
      <w:r w:rsidRPr="00E52B90">
        <w:rPr>
          <w:rFonts w:ascii="Arial" w:eastAsia="Calibri" w:hAnsi="Arial" w:cs="Arial"/>
          <w:bCs/>
          <w:sz w:val="22"/>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E52B90">
        <w:rPr>
          <w:rStyle w:val="Refdenotaalpie"/>
          <w:rFonts w:ascii="Arial" w:eastAsia="Calibri" w:hAnsi="Arial" w:cs="Arial"/>
          <w:sz w:val="22"/>
          <w:lang w:val="es-ES_tradnl"/>
        </w:rPr>
        <w:footnoteReference w:id="18"/>
      </w:r>
      <w:r w:rsidRPr="00E52B90">
        <w:rPr>
          <w:rFonts w:ascii="Arial" w:eastAsia="Calibri" w:hAnsi="Arial" w:cs="Arial"/>
          <w:bCs/>
          <w:sz w:val="22"/>
          <w:lang w:val="es-ES_tradnl"/>
        </w:rPr>
        <w:t xml:space="preserve">. Sin embargo, como el artículo 96 de la Ley 489 de 1998 determina que el </w:t>
      </w:r>
      <w:r w:rsidRPr="00E52B90">
        <w:rPr>
          <w:rFonts w:ascii="Arial" w:eastAsia="Calibri" w:hAnsi="Arial" w:cs="Arial"/>
          <w:bCs/>
          <w:sz w:val="22"/>
          <w:lang w:val="es-ES_tradnl"/>
        </w:rPr>
        <w:lastRenderedPageBreak/>
        <w:t>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140E4B84" w14:textId="77777777" w:rsidR="0054315A" w:rsidRPr="00E52B90" w:rsidRDefault="0054315A" w:rsidP="0054315A">
      <w:pPr>
        <w:spacing w:before="120" w:line="276" w:lineRule="auto"/>
        <w:ind w:firstLine="709"/>
        <w:jc w:val="both"/>
        <w:rPr>
          <w:rFonts w:ascii="Arial" w:eastAsia="Calibri" w:hAnsi="Arial" w:cs="Arial"/>
          <w:bCs/>
          <w:sz w:val="22"/>
          <w:lang w:val="es-ES_tradnl"/>
        </w:rPr>
      </w:pPr>
      <w:r w:rsidRPr="00E52B90">
        <w:rPr>
          <w:rFonts w:ascii="Arial" w:eastAsia="Calibri" w:hAnsi="Arial" w:cs="Arial"/>
          <w:bCs/>
          <w:sz w:val="22"/>
          <w:lang w:val="es-ES_tradnl"/>
        </w:rPr>
        <w:t xml:space="preserve">En todo caso, debe tenerse en cuenta que, mediante el Auto del 6 de agosto de 2019, la Sección Tercera del Consejo de Estado suspendió provisionalmente el inciso 2 del artículo 1, los literales a y c del artículo 2, el inciso 5 del artículo 2, el inciso 2 del artículo 3 y el inciso final del artículo 4 del Decreto 092 de 2017. </w:t>
      </w:r>
    </w:p>
    <w:p w14:paraId="0373B590" w14:textId="77777777" w:rsidR="0054315A" w:rsidRPr="00E52B90" w:rsidRDefault="0054315A" w:rsidP="0054315A">
      <w:pPr>
        <w:spacing w:line="276" w:lineRule="auto"/>
        <w:jc w:val="both"/>
        <w:rPr>
          <w:rFonts w:ascii="Arial" w:eastAsia="Calibri" w:hAnsi="Arial" w:cs="Arial"/>
          <w:b/>
          <w:color w:val="000000" w:themeColor="text1"/>
          <w:sz w:val="22"/>
          <w:lang w:val="es-ES_tradnl"/>
        </w:rPr>
      </w:pPr>
    </w:p>
    <w:p w14:paraId="0909080B" w14:textId="484C7666" w:rsidR="0054315A" w:rsidRPr="00E52B90" w:rsidRDefault="0054315A" w:rsidP="0054315A">
      <w:pPr>
        <w:spacing w:line="276" w:lineRule="auto"/>
        <w:jc w:val="both"/>
        <w:rPr>
          <w:rFonts w:ascii="Arial" w:eastAsia="Calibri" w:hAnsi="Arial" w:cs="Arial"/>
          <w:b/>
          <w:bCs/>
          <w:sz w:val="22"/>
          <w:lang w:val="es-ES_tradnl"/>
        </w:rPr>
      </w:pPr>
      <w:r w:rsidRPr="00E52B90">
        <w:rPr>
          <w:rFonts w:ascii="Arial" w:eastAsia="Calibri" w:hAnsi="Arial" w:cs="Arial"/>
          <w:b/>
          <w:bCs/>
          <w:sz w:val="22"/>
          <w:lang w:val="es-ES_tradnl"/>
        </w:rPr>
        <w:t xml:space="preserve">2.3. </w:t>
      </w:r>
      <w:bookmarkStart w:id="4" w:name="_Hlk85184625"/>
      <w:r w:rsidRPr="00E52B90">
        <w:rPr>
          <w:rFonts w:ascii="Arial" w:eastAsia="Calibri" w:hAnsi="Arial" w:cs="Arial"/>
          <w:b/>
          <w:bCs/>
          <w:sz w:val="22"/>
          <w:lang w:val="es-ES_tradnl"/>
        </w:rPr>
        <w:t>Alcance de las remisiones previstas en los artículos 6, 7 y 8 del Decreto 092 de 2017</w:t>
      </w:r>
      <w:bookmarkEnd w:id="4"/>
      <w:r w:rsidRPr="00E52B90">
        <w:rPr>
          <w:rFonts w:ascii="Arial" w:eastAsia="Calibri" w:hAnsi="Arial" w:cs="Arial"/>
          <w:b/>
          <w:bCs/>
          <w:sz w:val="22"/>
          <w:lang w:val="es-ES_tradnl"/>
        </w:rPr>
        <w:t>. Procedencia de</w:t>
      </w:r>
      <w:r w:rsidR="004365FE" w:rsidRPr="00E52B90">
        <w:rPr>
          <w:rFonts w:ascii="Arial" w:eastAsia="Calibri" w:hAnsi="Arial" w:cs="Arial"/>
          <w:b/>
          <w:bCs/>
          <w:sz w:val="22"/>
          <w:lang w:val="es-ES_tradnl"/>
        </w:rPr>
        <w:t>l ejercicio de poderes unilaterales en</w:t>
      </w:r>
      <w:r w:rsidRPr="00E52B90">
        <w:rPr>
          <w:rFonts w:ascii="Arial" w:eastAsia="Calibri" w:hAnsi="Arial" w:cs="Arial"/>
          <w:b/>
          <w:bCs/>
          <w:sz w:val="22"/>
          <w:lang w:val="es-ES_tradnl"/>
        </w:rPr>
        <w:t xml:space="preserve"> los convenios de asociación con entidades privadas sin ánimo de lucro y de reconocida idoneidad</w:t>
      </w:r>
    </w:p>
    <w:p w14:paraId="3A864059" w14:textId="77777777" w:rsidR="0054315A" w:rsidRPr="00E52B90" w:rsidRDefault="0054315A" w:rsidP="0054315A">
      <w:pPr>
        <w:spacing w:line="276" w:lineRule="auto"/>
        <w:jc w:val="both"/>
        <w:rPr>
          <w:rFonts w:ascii="Arial" w:eastAsia="Calibri" w:hAnsi="Arial" w:cs="Arial"/>
          <w:sz w:val="22"/>
          <w:lang w:val="es-ES_tradnl"/>
        </w:rPr>
      </w:pPr>
    </w:p>
    <w:p w14:paraId="4B5F7292" w14:textId="667429AF" w:rsidR="0054315A" w:rsidRPr="00E52B90" w:rsidRDefault="0054315A" w:rsidP="0054315A">
      <w:pPr>
        <w:spacing w:after="120" w:line="276" w:lineRule="auto"/>
        <w:jc w:val="both"/>
        <w:rPr>
          <w:rFonts w:ascii="Arial" w:eastAsia="Calibri" w:hAnsi="Arial" w:cs="Arial"/>
          <w:sz w:val="22"/>
          <w:lang w:val="es-ES_tradnl"/>
        </w:rPr>
      </w:pPr>
      <w:r w:rsidRPr="00E52B90">
        <w:rPr>
          <w:rFonts w:ascii="Arial" w:eastAsia="Calibri" w:hAnsi="Arial" w:cs="Arial"/>
          <w:sz w:val="22"/>
          <w:lang w:val="es-ES_tradnl"/>
        </w:rPr>
        <w:t>Para resolver la</w:t>
      </w:r>
      <w:r w:rsidR="004365FE" w:rsidRPr="00E52B90">
        <w:rPr>
          <w:rFonts w:ascii="Arial" w:eastAsia="Calibri" w:hAnsi="Arial" w:cs="Arial"/>
          <w:sz w:val="22"/>
          <w:lang w:val="es-ES_tradnl"/>
        </w:rPr>
        <w:t>s</w:t>
      </w:r>
      <w:r w:rsidRPr="00E52B90">
        <w:rPr>
          <w:rFonts w:ascii="Arial" w:eastAsia="Calibri" w:hAnsi="Arial" w:cs="Arial"/>
          <w:sz w:val="22"/>
          <w:lang w:val="es-ES_tradnl"/>
        </w:rPr>
        <w:t xml:space="preserve"> pregunta</w:t>
      </w:r>
      <w:r w:rsidR="004365FE" w:rsidRPr="00E52B90">
        <w:rPr>
          <w:rFonts w:ascii="Arial" w:eastAsia="Calibri" w:hAnsi="Arial" w:cs="Arial"/>
          <w:sz w:val="22"/>
          <w:lang w:val="es-ES_tradnl"/>
        </w:rPr>
        <w:t>s</w:t>
      </w:r>
      <w:r w:rsidRPr="00E52B90">
        <w:rPr>
          <w:rFonts w:ascii="Arial" w:eastAsia="Calibri" w:hAnsi="Arial" w:cs="Arial"/>
          <w:sz w:val="22"/>
          <w:lang w:val="es-ES_tradnl"/>
        </w:rPr>
        <w:t xml:space="preserve"> planteada</w:t>
      </w:r>
      <w:r w:rsidR="004365FE" w:rsidRPr="00E52B90">
        <w:rPr>
          <w:rFonts w:ascii="Arial" w:eastAsia="Calibri" w:hAnsi="Arial" w:cs="Arial"/>
          <w:sz w:val="22"/>
          <w:lang w:val="es-ES_tradnl"/>
        </w:rPr>
        <w:t>s</w:t>
      </w:r>
      <w:r w:rsidRPr="00E52B90">
        <w:rPr>
          <w:rFonts w:ascii="Arial" w:eastAsia="Calibri" w:hAnsi="Arial" w:cs="Arial"/>
          <w:sz w:val="22"/>
          <w:lang w:val="es-ES_tradnl"/>
        </w:rPr>
        <w:t xml:space="preserve"> en la consulta, es importante tener en cuenta que la Constitución Política de 1991 establece tres (3) regímenes de contratación. El primero se fundamenta en la competencia prevista en el inciso final del artículo 150 superior, por el cual se faculta al Congreso de la República para expedir un Estatuto General de Contratación de la Administración Pública. El segundo se relaciona con la posibilidad de crear regímenes especiales, caso en el cual la Constitución los exceptúa directamente, como sucede con las universidades públicas y el Banco de la República –arts. 69 y 371–, o permite que la ley defina el régimen jurídico de determinados órganos del Estado, como en el caso de las entidades descentralizadas por servicios –art. 210– y las empresas de servicios públicos domiciliarios –art. 365–. Finalmente, el citado artículo 355 establece el régimen de los contratos con las ESAL, el cual –además de extenderse a los </w:t>
      </w:r>
      <w:r w:rsidRPr="00E52B90">
        <w:rPr>
          <w:rFonts w:ascii="Arial" w:eastAsia="Calibri" w:hAnsi="Arial" w:cs="Arial"/>
          <w:i/>
          <w:iCs/>
          <w:sz w:val="22"/>
          <w:lang w:val="es-ES_tradnl"/>
        </w:rPr>
        <w:t>convenios de asociación</w:t>
      </w:r>
      <w:r w:rsidRPr="00E52B90">
        <w:rPr>
          <w:rFonts w:ascii="Arial" w:eastAsia="Calibri" w:hAnsi="Arial" w:cs="Arial"/>
          <w:sz w:val="22"/>
          <w:lang w:val="es-ES_tradnl"/>
        </w:rPr>
        <w:t xml:space="preserve"> en virtud de lo dispuesto en el artículo 96 de la Ley 489 de 1998– se desarrolló </w:t>
      </w:r>
      <w:r w:rsidR="00DB5EE5" w:rsidRPr="00E52B90">
        <w:rPr>
          <w:rFonts w:ascii="Arial" w:eastAsia="Calibri" w:hAnsi="Arial" w:cs="Arial"/>
          <w:sz w:val="22"/>
          <w:lang w:val="es-ES_tradnl"/>
        </w:rPr>
        <w:t xml:space="preserve">mediante </w:t>
      </w:r>
      <w:r w:rsidRPr="00E52B90">
        <w:rPr>
          <w:rFonts w:ascii="Arial" w:eastAsia="Calibri" w:hAnsi="Arial" w:cs="Arial"/>
          <w:sz w:val="22"/>
          <w:lang w:val="es-ES_tradnl"/>
        </w:rPr>
        <w:t xml:space="preserve">el Decreto 092 de 2017. </w:t>
      </w:r>
    </w:p>
    <w:p w14:paraId="27BB1585" w14:textId="0AB1D971" w:rsidR="0054315A" w:rsidRPr="00E52B90" w:rsidRDefault="0054315A" w:rsidP="0054315A">
      <w:pPr>
        <w:spacing w:line="276" w:lineRule="auto"/>
        <w:jc w:val="both"/>
        <w:rPr>
          <w:rFonts w:ascii="Arial" w:eastAsia="Calibri" w:hAnsi="Arial" w:cs="Arial"/>
          <w:sz w:val="22"/>
          <w:lang w:val="es-ES_tradnl"/>
        </w:rPr>
      </w:pPr>
      <w:r w:rsidRPr="00E52B90">
        <w:rPr>
          <w:rFonts w:ascii="Arial" w:eastAsia="Calibri" w:hAnsi="Arial" w:cs="Arial"/>
          <w:sz w:val="22"/>
          <w:lang w:val="es-ES_tradnl"/>
        </w:rPr>
        <w:lastRenderedPageBreak/>
        <w:tab/>
        <w:t>Los primeros dos regímenes se caracterizan por la exhaustiva regulación de la actividad contractual. Los contratos sometidos al Estatuto General, aunque se rigen por el derecho público, permiten la aplicación del derecho civil y comercial en los casos previstos en los artículos 13, 32 y 40 de la Ley 80 de 1993. As</w:t>
      </w:r>
      <w:r w:rsidR="004365FE" w:rsidRPr="00E52B90">
        <w:rPr>
          <w:rFonts w:ascii="Arial" w:eastAsia="Calibri" w:hAnsi="Arial" w:cs="Arial"/>
          <w:sz w:val="22"/>
          <w:lang w:val="es-ES_tradnl"/>
        </w:rPr>
        <w:t>i</w:t>
      </w:r>
      <w:r w:rsidRPr="00E52B90">
        <w:rPr>
          <w:rFonts w:ascii="Arial" w:eastAsia="Calibri" w:hAnsi="Arial" w:cs="Arial"/>
          <w:sz w:val="22"/>
          <w:lang w:val="es-ES_tradnl"/>
        </w:rPr>
        <w:t xml:space="preserve">mismo, pese a la aplicación de las normas comunes sobre obligaciones y contratos en las entidades del régimen exceptuado, deben respetar los principios de la función administrativa, de la gestión fiscal y el régimen de inhabilidades e incompatibilidades –Ley 1150 de 2007, art. 13–, los cuales se concretan en los respectivos manuales de contratación. Sin embargo, frente a la regulación sumaria de los </w:t>
      </w:r>
      <w:r w:rsidRPr="00E52B90">
        <w:rPr>
          <w:rFonts w:ascii="Arial" w:eastAsia="Calibri" w:hAnsi="Arial" w:cs="Arial"/>
          <w:i/>
          <w:iCs/>
          <w:sz w:val="22"/>
          <w:lang w:val="es-ES_tradnl"/>
        </w:rPr>
        <w:t>contratos del art. 355 de la Constitución</w:t>
      </w:r>
      <w:r w:rsidRPr="00E52B90">
        <w:rPr>
          <w:rFonts w:ascii="Arial" w:eastAsia="Calibri" w:hAnsi="Arial" w:cs="Arial"/>
          <w:sz w:val="22"/>
          <w:lang w:val="es-ES_tradnl"/>
        </w:rPr>
        <w:t xml:space="preserve"> y los </w:t>
      </w:r>
      <w:r w:rsidRPr="00E52B90">
        <w:rPr>
          <w:rFonts w:ascii="Arial" w:eastAsia="Calibri" w:hAnsi="Arial" w:cs="Arial"/>
          <w:i/>
          <w:iCs/>
          <w:sz w:val="22"/>
          <w:lang w:val="es-ES_tradnl"/>
        </w:rPr>
        <w:t>convenios de asociación</w:t>
      </w:r>
      <w:r w:rsidRPr="00E52B90">
        <w:rPr>
          <w:rFonts w:ascii="Arial" w:eastAsia="Calibri" w:hAnsi="Arial" w:cs="Arial"/>
          <w:sz w:val="22"/>
          <w:lang w:val="es-ES_tradnl"/>
        </w:rPr>
        <w:t xml:space="preserve">, los artículos 6, 7 y 8 del </w:t>
      </w:r>
      <w:bookmarkStart w:id="5" w:name="_Hlk38214426"/>
      <w:r w:rsidRPr="00E52B90">
        <w:rPr>
          <w:rFonts w:ascii="Arial" w:eastAsia="Calibri" w:hAnsi="Arial" w:cs="Arial"/>
          <w:sz w:val="22"/>
          <w:lang w:val="es-ES_tradnl"/>
        </w:rPr>
        <w:t>Decreto 092 de 2017</w:t>
      </w:r>
      <w:bookmarkEnd w:id="5"/>
      <w:r w:rsidRPr="00E52B90">
        <w:rPr>
          <w:rFonts w:ascii="Arial" w:eastAsia="Calibri" w:hAnsi="Arial" w:cs="Arial"/>
          <w:sz w:val="22"/>
          <w:lang w:val="es-ES_tradnl"/>
        </w:rPr>
        <w:t xml:space="preserve"> disponen lo siguiente:</w:t>
      </w:r>
    </w:p>
    <w:p w14:paraId="4F3557EC" w14:textId="77777777" w:rsidR="0054315A" w:rsidRPr="00E52B90" w:rsidRDefault="0054315A" w:rsidP="0054315A">
      <w:pPr>
        <w:spacing w:line="276" w:lineRule="auto"/>
        <w:jc w:val="both"/>
        <w:rPr>
          <w:rFonts w:ascii="Arial" w:eastAsia="Calibri" w:hAnsi="Arial" w:cs="Arial"/>
          <w:sz w:val="22"/>
          <w:lang w:val="es-ES_tradnl"/>
        </w:rPr>
      </w:pPr>
    </w:p>
    <w:p w14:paraId="4C7AD2F3" w14:textId="77777777" w:rsidR="0054315A" w:rsidRPr="00E52B90" w:rsidRDefault="0054315A" w:rsidP="0054315A">
      <w:pPr>
        <w:spacing w:after="120"/>
        <w:ind w:left="709" w:right="709"/>
        <w:jc w:val="both"/>
        <w:rPr>
          <w:rFonts w:ascii="Arial" w:eastAsia="Calibri" w:hAnsi="Arial" w:cs="Arial"/>
          <w:sz w:val="21"/>
          <w:szCs w:val="21"/>
          <w:lang w:val="es-ES_tradnl"/>
        </w:rPr>
      </w:pPr>
      <w:r w:rsidRPr="00E52B90">
        <w:rPr>
          <w:rFonts w:ascii="Arial" w:eastAsia="Calibri" w:hAnsi="Arial" w:cs="Arial"/>
          <w:sz w:val="21"/>
          <w:szCs w:val="21"/>
          <w:lang w:val="es-ES_tradnl"/>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1EFB826E" w14:textId="77777777" w:rsidR="0054315A" w:rsidRPr="00E52B90" w:rsidRDefault="0054315A" w:rsidP="0054315A">
      <w:pPr>
        <w:spacing w:after="120"/>
        <w:ind w:left="709" w:right="709"/>
        <w:jc w:val="both"/>
        <w:rPr>
          <w:rFonts w:ascii="Arial" w:eastAsia="Calibri" w:hAnsi="Arial" w:cs="Arial"/>
          <w:sz w:val="21"/>
          <w:szCs w:val="21"/>
          <w:lang w:val="es-ES_tradnl"/>
        </w:rPr>
      </w:pPr>
      <w:r w:rsidRPr="00E52B90">
        <w:rPr>
          <w:rFonts w:ascii="Arial" w:eastAsia="Calibri" w:hAnsi="Arial" w:cs="Arial"/>
          <w:sz w:val="21"/>
          <w:szCs w:val="21"/>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31C77ABF" w14:textId="77777777" w:rsidR="0054315A" w:rsidRPr="00E52B90" w:rsidRDefault="0054315A" w:rsidP="0054315A">
      <w:pPr>
        <w:ind w:left="709" w:right="709"/>
        <w:jc w:val="both"/>
        <w:rPr>
          <w:rFonts w:ascii="Arial" w:eastAsia="Calibri" w:hAnsi="Arial" w:cs="Arial"/>
          <w:sz w:val="21"/>
          <w:szCs w:val="21"/>
          <w:lang w:val="es-ES_tradnl"/>
        </w:rPr>
      </w:pPr>
      <w:r w:rsidRPr="00E52B90">
        <w:rPr>
          <w:rFonts w:ascii="Arial" w:eastAsia="Calibri" w:hAnsi="Arial" w:cs="Arial"/>
          <w:sz w:val="21"/>
          <w:szCs w:val="21"/>
          <w:lang w:val="es-ES_tradnl"/>
        </w:rPr>
        <w:t xml:space="preserve">Artículo 8°. Aplicación de normas generales del sistema de contratación pública. La contratación a la que hace referencia el presente decreto está sujeta </w:t>
      </w:r>
      <w:bookmarkStart w:id="6" w:name="_Hlk38206940"/>
      <w:r w:rsidRPr="00E52B90">
        <w:rPr>
          <w:rFonts w:ascii="Arial" w:eastAsia="Calibri" w:hAnsi="Arial" w:cs="Arial"/>
          <w:sz w:val="21"/>
          <w:szCs w:val="21"/>
          <w:lang w:val="es-ES_tradnl"/>
        </w:rPr>
        <w:t xml:space="preserve">a las </w:t>
      </w:r>
      <w:bookmarkStart w:id="7" w:name="_Hlk38633960"/>
      <w:r w:rsidRPr="00E52B90">
        <w:rPr>
          <w:rFonts w:ascii="Arial" w:eastAsia="Calibri" w:hAnsi="Arial" w:cs="Arial"/>
          <w:sz w:val="21"/>
          <w:szCs w:val="21"/>
          <w:lang w:val="es-ES_tradnl"/>
        </w:rPr>
        <w:t xml:space="preserve">normas generales </w:t>
      </w:r>
      <w:bookmarkStart w:id="8" w:name="_Hlk38275055"/>
      <w:r w:rsidRPr="00E52B90">
        <w:rPr>
          <w:rFonts w:ascii="Arial" w:eastAsia="Calibri" w:hAnsi="Arial" w:cs="Arial"/>
          <w:sz w:val="21"/>
          <w:szCs w:val="21"/>
          <w:lang w:val="es-ES_tradnl"/>
        </w:rPr>
        <w:t>aplicables a la contratación pública</w:t>
      </w:r>
      <w:bookmarkEnd w:id="6"/>
      <w:bookmarkEnd w:id="7"/>
      <w:r w:rsidRPr="00E52B90">
        <w:rPr>
          <w:rFonts w:ascii="Arial" w:eastAsia="Calibri" w:hAnsi="Arial" w:cs="Arial"/>
          <w:sz w:val="21"/>
          <w:szCs w:val="21"/>
          <w:lang w:val="es-ES_tradnl"/>
        </w:rPr>
        <w:t xml:space="preserve"> </w:t>
      </w:r>
      <w:bookmarkEnd w:id="8"/>
      <w:r w:rsidRPr="00E52B90">
        <w:rPr>
          <w:rFonts w:ascii="Arial" w:eastAsia="Calibri" w:hAnsi="Arial" w:cs="Arial"/>
          <w:sz w:val="21"/>
          <w:szCs w:val="21"/>
          <w:lang w:val="es-ES_tradnl"/>
        </w:rPr>
        <w:t xml:space="preserve">excepto en lo reglamentado en el presente decreto. </w:t>
      </w:r>
    </w:p>
    <w:p w14:paraId="4CBCC17C" w14:textId="77777777" w:rsidR="0054315A" w:rsidRPr="00E52B90" w:rsidRDefault="0054315A" w:rsidP="0054315A">
      <w:pPr>
        <w:ind w:left="709" w:right="709"/>
        <w:jc w:val="both"/>
        <w:rPr>
          <w:rFonts w:ascii="Arial" w:eastAsia="Calibri" w:hAnsi="Arial" w:cs="Arial"/>
          <w:sz w:val="22"/>
          <w:lang w:val="es-ES_tradnl"/>
        </w:rPr>
      </w:pPr>
    </w:p>
    <w:p w14:paraId="0057928F" w14:textId="77777777" w:rsidR="0054315A" w:rsidRPr="00E52B90" w:rsidRDefault="0054315A" w:rsidP="0054315A">
      <w:pPr>
        <w:spacing w:after="120" w:line="276" w:lineRule="auto"/>
        <w:jc w:val="both"/>
        <w:rPr>
          <w:rFonts w:ascii="Arial" w:eastAsia="Calibri" w:hAnsi="Arial" w:cs="Arial"/>
          <w:sz w:val="22"/>
          <w:lang w:val="es-ES_tradnl"/>
        </w:rPr>
      </w:pPr>
      <w:r w:rsidRPr="00E52B90">
        <w:rPr>
          <w:rFonts w:ascii="Arial" w:eastAsia="Calibri" w:hAnsi="Arial" w:cs="Arial"/>
          <w:sz w:val="22"/>
          <w:lang w:val="es-ES_tradnl"/>
        </w:rPr>
        <w:tab/>
        <w:t xml:space="preserve">Estas normas integran las lagunas o vacíos normativos del reglamento autónomo, y se aplican a todo lo que no esté expresamente regulado en él. Por ello no es posible aplicar ninguna de las disposiciones anteriormente citadas en temas como la competencia para celebrar los </w:t>
      </w:r>
      <w:r w:rsidRPr="00E52B90">
        <w:rPr>
          <w:rFonts w:ascii="Arial" w:eastAsia="Calibri" w:hAnsi="Arial" w:cs="Arial"/>
          <w:i/>
          <w:iCs/>
          <w:sz w:val="22"/>
          <w:lang w:val="es-ES_tradnl"/>
        </w:rPr>
        <w:t xml:space="preserve">contratos del artículo 355 de la Constitución </w:t>
      </w:r>
      <w:r w:rsidRPr="00E52B90">
        <w:rPr>
          <w:rFonts w:ascii="Arial" w:eastAsia="Calibri" w:hAnsi="Arial" w:cs="Arial"/>
          <w:sz w:val="22"/>
          <w:lang w:val="es-ES_tradnl"/>
        </w:rPr>
        <w:t xml:space="preserve">y la </w:t>
      </w:r>
      <w:proofErr w:type="spellStart"/>
      <w:r w:rsidRPr="00E52B90">
        <w:rPr>
          <w:rFonts w:ascii="Arial" w:eastAsia="Calibri" w:hAnsi="Arial" w:cs="Arial"/>
          <w:sz w:val="22"/>
          <w:lang w:val="es-ES_tradnl"/>
        </w:rPr>
        <w:t>indelegabilidad</w:t>
      </w:r>
      <w:proofErr w:type="spellEnd"/>
      <w:r w:rsidRPr="00E52B90">
        <w:rPr>
          <w:rFonts w:ascii="Arial" w:eastAsia="Calibri" w:hAnsi="Arial" w:cs="Arial"/>
          <w:sz w:val="22"/>
          <w:lang w:val="es-ES_tradnl"/>
        </w:rPr>
        <w:t xml:space="preserve"> de la autorización –art. 2–, la idoneidad de las ESAL –art. 3–, su registro en el SECOP –art. 9– y la inaplicación del registro único de proponentes –art. 10–. </w:t>
      </w:r>
    </w:p>
    <w:p w14:paraId="60AFC960" w14:textId="2917CBD1" w:rsidR="0054315A" w:rsidRPr="00E52B90" w:rsidRDefault="0054315A">
      <w:pPr>
        <w:spacing w:line="276" w:lineRule="auto"/>
        <w:ind w:firstLine="708"/>
        <w:jc w:val="both"/>
        <w:rPr>
          <w:rFonts w:ascii="Arial" w:eastAsia="Calibri" w:hAnsi="Arial" w:cs="Arial"/>
          <w:sz w:val="22"/>
          <w:lang w:val="es-ES_tradnl"/>
        </w:rPr>
      </w:pPr>
      <w:r w:rsidRPr="00E52B90">
        <w:rPr>
          <w:rFonts w:ascii="Arial" w:eastAsia="Calibri" w:hAnsi="Arial" w:cs="Arial"/>
          <w:sz w:val="22"/>
          <w:lang w:val="es-ES_tradnl"/>
        </w:rPr>
        <w:t xml:space="preserve">En contraste, en los vacíos es necesario resolver si las tres (3) normas expresan la misma idea o, por el contrario, son autónomas en su interpretación. Para resolver este interrogante, </w:t>
      </w:r>
      <w:bookmarkStart w:id="9" w:name="_Hlk38282598"/>
      <w:r w:rsidRPr="00E52B90">
        <w:rPr>
          <w:rFonts w:ascii="Arial" w:eastAsia="Calibri" w:hAnsi="Arial" w:cs="Arial"/>
          <w:sz w:val="22"/>
          <w:lang w:val="es-ES_tradnl"/>
        </w:rPr>
        <w:t xml:space="preserve">en principio, podría considerarse que dichas disposiciones son independientes, pues si los supuestos están regulados en normas separadas, cada una produciría consecuencias distintas. Esta posición no se comparte, ya que están relacionadas entre sí. En efecto, el artículo 6 del Decreto 092 de 2017 se refiere a las inhabilidades e incompatibilidades previstas en el ordenamiento jurídico, incluyendo las previstas en el artículo 8 de la Ley 80 de 1993; además, los artículos 23, 24, 25, 26 y otros del Estatuto General regulan los principios de la contratación estatal, relacionándose parcialmente con el artículo 7 </w:t>
      </w:r>
      <w:proofErr w:type="spellStart"/>
      <w:r w:rsidRPr="00E52B90">
        <w:rPr>
          <w:rFonts w:ascii="Arial" w:eastAsia="Calibri" w:hAnsi="Arial" w:cs="Arial"/>
          <w:i/>
          <w:iCs/>
          <w:sz w:val="22"/>
          <w:lang w:val="es-ES_tradnl"/>
        </w:rPr>
        <w:t>ibidem</w:t>
      </w:r>
      <w:bookmarkEnd w:id="9"/>
      <w:proofErr w:type="spellEnd"/>
      <w:r w:rsidRPr="00E52B90">
        <w:rPr>
          <w:rFonts w:ascii="Arial" w:eastAsia="Calibri" w:hAnsi="Arial" w:cs="Arial"/>
          <w:sz w:val="22"/>
          <w:lang w:val="es-ES_tradnl"/>
        </w:rPr>
        <w:t xml:space="preserve"> al disponer lo siguiente: </w:t>
      </w:r>
    </w:p>
    <w:p w14:paraId="52CD3F77" w14:textId="77777777" w:rsidR="0054315A" w:rsidRPr="00E52B90" w:rsidRDefault="0054315A" w:rsidP="0054315A">
      <w:pPr>
        <w:spacing w:line="276" w:lineRule="auto"/>
        <w:ind w:firstLine="708"/>
        <w:jc w:val="both"/>
        <w:rPr>
          <w:rFonts w:ascii="Arial" w:eastAsia="Calibri" w:hAnsi="Arial" w:cs="Arial"/>
          <w:sz w:val="22"/>
          <w:lang w:val="es-ES_tradnl"/>
        </w:rPr>
      </w:pPr>
    </w:p>
    <w:p w14:paraId="27089F09" w14:textId="5D514DCD" w:rsidR="0054315A" w:rsidRPr="00E52B90" w:rsidRDefault="0054315A" w:rsidP="0054315A">
      <w:pPr>
        <w:ind w:left="709" w:right="709"/>
        <w:jc w:val="both"/>
        <w:rPr>
          <w:rFonts w:ascii="Arial" w:eastAsia="Calibri" w:hAnsi="Arial" w:cs="Arial"/>
          <w:sz w:val="21"/>
          <w:szCs w:val="21"/>
          <w:lang w:val="es-ES_tradnl"/>
        </w:rPr>
      </w:pPr>
      <w:r w:rsidRPr="00E52B90">
        <w:rPr>
          <w:rFonts w:ascii="Arial" w:eastAsia="Calibri" w:hAnsi="Arial" w:cs="Arial"/>
          <w:sz w:val="21"/>
          <w:szCs w:val="21"/>
          <w:lang w:val="es-ES_tradnl"/>
        </w:rPr>
        <w:lastRenderedPageBreak/>
        <w:t>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10C9D7D7" w14:textId="77777777" w:rsidR="0054315A" w:rsidRPr="00E52B90" w:rsidRDefault="0054315A" w:rsidP="0054315A">
      <w:pPr>
        <w:spacing w:line="276" w:lineRule="auto"/>
        <w:jc w:val="both"/>
        <w:rPr>
          <w:rFonts w:ascii="Arial" w:eastAsia="Calibri" w:hAnsi="Arial" w:cs="Arial"/>
          <w:sz w:val="22"/>
          <w:lang w:val="es-ES_tradnl"/>
        </w:rPr>
      </w:pPr>
    </w:p>
    <w:p w14:paraId="2A6A1618" w14:textId="2052BFED" w:rsidR="0054315A" w:rsidRPr="00E52B90" w:rsidRDefault="0054315A" w:rsidP="0054315A">
      <w:pPr>
        <w:spacing w:after="120" w:line="276" w:lineRule="auto"/>
        <w:ind w:firstLine="708"/>
        <w:jc w:val="both"/>
        <w:rPr>
          <w:rFonts w:ascii="Arial" w:eastAsia="Calibri" w:hAnsi="Arial" w:cs="Arial"/>
          <w:sz w:val="22"/>
          <w:lang w:val="es-ES_tradnl"/>
        </w:rPr>
      </w:pPr>
      <w:bookmarkStart w:id="10" w:name="_Hlk38282653"/>
      <w:r w:rsidRPr="00E52B90">
        <w:rPr>
          <w:rFonts w:ascii="Arial" w:eastAsia="Calibri" w:hAnsi="Arial" w:cs="Arial"/>
          <w:sz w:val="22"/>
          <w:lang w:val="es-ES_tradnl"/>
        </w:rPr>
        <w:t>A su vez, tanto el «régimen de inhabilidades e incompatibilidades» como los «principios» hacen parte de las normas generales aplicables a la contratación pública. Naturalmente, podría preguntarse si el artículo 8 del Decreto 092 de 2017 se relaciona con estos dos (2) aspectos por ser comunes a los procesos de selección o, incluso, si se extiende a la totalidad del Estatuto General. De concluirse lo primero, el ámbito de los artículos 6, 7 y 8 del reglamento es similar, refiriéndose –entre otros aspectos– a las «inhabilidades e incompatibilidades» y a los «principios», pues están contenidos en la Ley 80 de 1993 y son aplicables en todos los regímenes de contratación que se analizaron al inicio de este apartado –</w:t>
      </w:r>
      <w:r w:rsidRPr="00E52B90">
        <w:rPr>
          <w:rFonts w:ascii="Arial" w:eastAsia="Calibri" w:hAnsi="Arial" w:cs="Arial"/>
          <w:i/>
          <w:iCs/>
          <w:sz w:val="22"/>
          <w:lang w:val="es-ES_tradnl"/>
        </w:rPr>
        <w:t>remisión parcial</w:t>
      </w:r>
      <w:r w:rsidRPr="00E52B90">
        <w:rPr>
          <w:rFonts w:ascii="Arial" w:eastAsia="Calibri" w:hAnsi="Arial" w:cs="Arial"/>
          <w:sz w:val="22"/>
          <w:lang w:val="es-ES_tradnl"/>
        </w:rPr>
        <w:t xml:space="preserve">–. Por el contrario, de concluirse lo segundo, la remisión del artículo 8 del Decreto 092 de 2017 es más amplia que la de los artículos 6 y 7 </w:t>
      </w:r>
      <w:r w:rsidRPr="00E52B90">
        <w:rPr>
          <w:rFonts w:ascii="Arial" w:eastAsia="Calibri" w:hAnsi="Arial" w:cs="Arial"/>
          <w:i/>
          <w:iCs/>
          <w:sz w:val="22"/>
          <w:lang w:val="es-ES_tradnl"/>
        </w:rPr>
        <w:t>ibídem</w:t>
      </w:r>
      <w:r w:rsidRPr="00E52B90">
        <w:rPr>
          <w:rFonts w:ascii="Arial" w:eastAsia="Calibri" w:hAnsi="Arial" w:cs="Arial"/>
          <w:sz w:val="22"/>
          <w:lang w:val="es-ES_tradnl"/>
        </w:rPr>
        <w:t>. En otras palabras, no se restringiría a las «inhabilidades e incompatibilidades», a los «principios» y a las demás normas generales de la Ley 80, sino a todo lo previsto en el Estatuto General. Desde esta perspectiva, las «[…] normas generales aplicables a la contratación pública […]» comprenderían los artículos 6 y 7 del decreto autónomo, ampliándose a las demás normas de</w:t>
      </w:r>
      <w:r w:rsidR="004365FE" w:rsidRPr="00E52B90">
        <w:rPr>
          <w:rFonts w:ascii="Arial" w:eastAsia="Calibri" w:hAnsi="Arial" w:cs="Arial"/>
          <w:sz w:val="22"/>
          <w:lang w:val="es-ES_tradnl"/>
        </w:rPr>
        <w:t xml:space="preserve">l Estatuto General de Contratación </w:t>
      </w:r>
      <w:r w:rsidRPr="00E52B90">
        <w:rPr>
          <w:rFonts w:ascii="Arial" w:eastAsia="Calibri" w:hAnsi="Arial" w:cs="Arial"/>
          <w:sz w:val="22"/>
          <w:lang w:val="es-ES_tradnl"/>
        </w:rPr>
        <w:t>–</w:t>
      </w:r>
      <w:r w:rsidRPr="00E52B90">
        <w:rPr>
          <w:rFonts w:ascii="Arial" w:eastAsia="Calibri" w:hAnsi="Arial" w:cs="Arial"/>
          <w:i/>
          <w:iCs/>
          <w:sz w:val="22"/>
          <w:lang w:val="es-ES_tradnl"/>
        </w:rPr>
        <w:t>remisión total</w:t>
      </w:r>
      <w:r w:rsidRPr="00E52B90">
        <w:rPr>
          <w:rFonts w:ascii="Arial" w:eastAsia="Calibri" w:hAnsi="Arial" w:cs="Arial"/>
          <w:sz w:val="22"/>
          <w:lang w:val="es-ES_tradnl"/>
        </w:rPr>
        <w:t xml:space="preserve">–. </w:t>
      </w:r>
    </w:p>
    <w:p w14:paraId="42DE5908" w14:textId="77777777" w:rsidR="0054315A" w:rsidRPr="00E52B90" w:rsidRDefault="0054315A" w:rsidP="0054315A">
      <w:pPr>
        <w:spacing w:after="120" w:line="276" w:lineRule="auto"/>
        <w:ind w:firstLine="708"/>
        <w:jc w:val="both"/>
        <w:rPr>
          <w:rFonts w:ascii="Arial" w:eastAsia="Calibri" w:hAnsi="Arial" w:cs="Arial"/>
          <w:sz w:val="22"/>
          <w:lang w:val="es-ES_tradnl"/>
        </w:rPr>
      </w:pPr>
      <w:r w:rsidRPr="00E52B90">
        <w:rPr>
          <w:rFonts w:ascii="Arial" w:eastAsia="Calibri" w:hAnsi="Arial" w:cs="Arial"/>
          <w:sz w:val="22"/>
          <w:lang w:val="es-ES_tradnl"/>
        </w:rPr>
        <w:t xml:space="preserve">La postura sobre el tema es relevante, pues quien opte por la </w:t>
      </w:r>
      <w:r w:rsidRPr="00E52B90">
        <w:rPr>
          <w:rFonts w:ascii="Arial" w:eastAsia="Calibri" w:hAnsi="Arial" w:cs="Arial"/>
          <w:i/>
          <w:iCs/>
          <w:sz w:val="22"/>
          <w:lang w:val="es-ES_tradnl"/>
        </w:rPr>
        <w:t xml:space="preserve">remisión parcial </w:t>
      </w:r>
      <w:r w:rsidRPr="00E52B90">
        <w:rPr>
          <w:rFonts w:ascii="Arial" w:eastAsia="Calibri" w:hAnsi="Arial" w:cs="Arial"/>
          <w:sz w:val="22"/>
          <w:lang w:val="es-ES_tradnl"/>
        </w:rPr>
        <w:t>o bien debe entender que el artículo 8 del Decreto 092 se refiere únicamente a las «inhabilidades e incompatibilidades» y a los «principios» –</w:t>
      </w:r>
      <w:r w:rsidRPr="00E52B90">
        <w:rPr>
          <w:rFonts w:ascii="Arial" w:eastAsia="Calibri" w:hAnsi="Arial" w:cs="Arial"/>
          <w:i/>
          <w:iCs/>
          <w:sz w:val="22"/>
          <w:lang w:val="es-ES_tradnl"/>
        </w:rPr>
        <w:t>remisión parcial stricto sensu</w:t>
      </w:r>
      <w:r w:rsidRPr="00E52B90">
        <w:rPr>
          <w:rFonts w:ascii="Arial" w:eastAsia="Calibri" w:hAnsi="Arial" w:cs="Arial"/>
          <w:sz w:val="22"/>
          <w:lang w:val="es-ES_tradnl"/>
        </w:rPr>
        <w:t>– o debe explicar qué normas son transversales a la actividad contractual del Estado, justificando la razón por las que se excluyen aquellas privativas de determinados procesos de selección, tipologías contractuales, etc. –</w:t>
      </w:r>
      <w:r w:rsidRPr="00E52B90">
        <w:rPr>
          <w:rFonts w:ascii="Arial" w:eastAsia="Calibri" w:hAnsi="Arial" w:cs="Arial"/>
          <w:i/>
          <w:iCs/>
          <w:sz w:val="22"/>
          <w:lang w:val="es-ES_tradnl"/>
        </w:rPr>
        <w:t xml:space="preserve">remisión parcial </w:t>
      </w:r>
      <w:proofErr w:type="spellStart"/>
      <w:r w:rsidRPr="00E52B90">
        <w:rPr>
          <w:rFonts w:ascii="Arial" w:eastAsia="Calibri" w:hAnsi="Arial" w:cs="Arial"/>
          <w:i/>
          <w:iCs/>
          <w:sz w:val="22"/>
          <w:lang w:val="es-ES_tradnl"/>
        </w:rPr>
        <w:t>latu</w:t>
      </w:r>
      <w:proofErr w:type="spellEnd"/>
      <w:r w:rsidRPr="00E52B90">
        <w:rPr>
          <w:rFonts w:ascii="Arial" w:eastAsia="Calibri" w:hAnsi="Arial" w:cs="Arial"/>
          <w:i/>
          <w:iCs/>
          <w:sz w:val="22"/>
          <w:lang w:val="es-ES_tradnl"/>
        </w:rPr>
        <w:t xml:space="preserve"> sensu</w:t>
      </w:r>
      <w:r w:rsidRPr="00E52B90">
        <w:rPr>
          <w:rFonts w:ascii="Arial" w:eastAsia="Calibri" w:hAnsi="Arial" w:cs="Arial"/>
          <w:sz w:val="22"/>
          <w:lang w:val="es-ES_tradnl"/>
        </w:rPr>
        <w:t xml:space="preserve">–. </w:t>
      </w:r>
    </w:p>
    <w:p w14:paraId="670A583A" w14:textId="4993C0FB" w:rsidR="0054315A" w:rsidRPr="00E52B90" w:rsidRDefault="0054315A" w:rsidP="0054315A">
      <w:pPr>
        <w:spacing w:after="120" w:line="276" w:lineRule="auto"/>
        <w:ind w:firstLine="708"/>
        <w:jc w:val="both"/>
        <w:rPr>
          <w:rFonts w:ascii="Arial" w:eastAsia="Calibri" w:hAnsi="Arial" w:cs="Arial"/>
          <w:sz w:val="22"/>
          <w:lang w:val="es-ES_tradnl"/>
        </w:rPr>
      </w:pPr>
      <w:r w:rsidRPr="00E52B90">
        <w:rPr>
          <w:rFonts w:ascii="Arial" w:eastAsia="Calibri" w:hAnsi="Arial" w:cs="Arial"/>
          <w:sz w:val="22"/>
          <w:lang w:val="es-ES_tradnl"/>
        </w:rPr>
        <w:t xml:space="preserve">Para quienes adopten la primera postura, el ámbito de los artículos 6, 7 y 8 del Decreto 092 de 2017 sería exactamente el mismo, pues el último –referido a las normas generales– contiene a los otros dos –es decir, tanto las «inhabilidades e incompatibilidades» como a los «principios»–. En contraste, la segunda idea implica que –además de estos– las normas generales se refieren </w:t>
      </w:r>
      <w:r w:rsidR="00063AEF" w:rsidRPr="00E52B90">
        <w:rPr>
          <w:rFonts w:ascii="Arial" w:eastAsia="Calibri" w:hAnsi="Arial" w:cs="Arial"/>
          <w:sz w:val="22"/>
          <w:lang w:val="es-ES_tradnl"/>
        </w:rPr>
        <w:t xml:space="preserve">a </w:t>
      </w:r>
      <w:r w:rsidRPr="00E52B90">
        <w:rPr>
          <w:rFonts w:ascii="Arial" w:eastAsia="Calibri" w:hAnsi="Arial" w:cs="Arial"/>
          <w:sz w:val="22"/>
          <w:lang w:val="es-ES_tradnl"/>
        </w:rPr>
        <w:t xml:space="preserve">disposiciones comunes de los contratos estatales. Ambas interpretaciones se apoyarían en el artículo 8 del reglamento autónomo que regula la contratación del artículo 355 constitucional y del artículo 96 de la Ley 489 de 1998, </w:t>
      </w:r>
      <w:r w:rsidR="00FF4D95" w:rsidRPr="00E52B90">
        <w:rPr>
          <w:rFonts w:ascii="Arial" w:eastAsia="Calibri" w:hAnsi="Arial" w:cs="Arial"/>
          <w:sz w:val="22"/>
          <w:lang w:val="es-ES_tradnl"/>
        </w:rPr>
        <w:t>pues</w:t>
      </w:r>
      <w:r w:rsidRPr="00E52B90">
        <w:rPr>
          <w:rFonts w:ascii="Arial" w:eastAsia="Calibri" w:hAnsi="Arial" w:cs="Arial"/>
          <w:sz w:val="22"/>
          <w:lang w:val="es-ES_tradnl"/>
        </w:rPr>
        <w:t xml:space="preserve"> cuando prescribe que se regirán por las «[…] normas generales aplicables a la contratación pública […]», significaría que no es posible una remisión integra al Estatuto General, ya que habría que descartar normas especiales de determinados </w:t>
      </w:r>
      <w:r w:rsidRPr="00E52B90">
        <w:rPr>
          <w:rFonts w:ascii="Arial" w:eastAsia="Calibri" w:hAnsi="Arial" w:cs="Arial"/>
          <w:sz w:val="22"/>
          <w:lang w:val="es-ES_tradnl"/>
        </w:rPr>
        <w:lastRenderedPageBreak/>
        <w:t>contratos o procesos de selección y verificar la ausencia de regulación en el Decreto 092 de 2017 para aplicar aquellas transversales a la gestión contractual.</w:t>
      </w:r>
    </w:p>
    <w:p w14:paraId="12E79E7C" w14:textId="445F29E9" w:rsidR="0054315A" w:rsidRPr="00E52B90" w:rsidRDefault="0054315A" w:rsidP="0054315A">
      <w:pPr>
        <w:spacing w:after="120" w:line="276" w:lineRule="auto"/>
        <w:ind w:firstLine="708"/>
        <w:jc w:val="both"/>
        <w:rPr>
          <w:rFonts w:ascii="Arial" w:eastAsia="Calibri" w:hAnsi="Arial" w:cs="Arial"/>
          <w:sz w:val="22"/>
          <w:lang w:val="es-ES_tradnl"/>
        </w:rPr>
      </w:pPr>
      <w:r w:rsidRPr="00E52B90">
        <w:rPr>
          <w:rFonts w:ascii="Arial" w:eastAsia="Calibri" w:hAnsi="Arial" w:cs="Arial"/>
          <w:sz w:val="22"/>
          <w:lang w:val="es-ES_tradnl"/>
        </w:rPr>
        <w:t xml:space="preserve">Por lo pronto, se descarta razonablemente de que los artículos 6, 7 y 8 del Decreto 092 de 2017 tengan </w:t>
      </w:r>
      <w:r w:rsidR="00C77521" w:rsidRPr="00E52B90">
        <w:rPr>
          <w:rFonts w:ascii="Arial" w:eastAsia="Calibri" w:hAnsi="Arial" w:cs="Arial"/>
          <w:sz w:val="22"/>
          <w:lang w:val="es-ES_tradnl"/>
        </w:rPr>
        <w:t>u</w:t>
      </w:r>
      <w:r w:rsidRPr="00E52B90">
        <w:rPr>
          <w:rFonts w:ascii="Arial" w:eastAsia="Calibri" w:hAnsi="Arial" w:cs="Arial"/>
          <w:sz w:val="22"/>
          <w:lang w:val="es-ES_tradnl"/>
        </w:rPr>
        <w:t>n mismo ámbito de aplicación –</w:t>
      </w:r>
      <w:r w:rsidRPr="00E52B90">
        <w:rPr>
          <w:rFonts w:ascii="Arial" w:eastAsia="Calibri" w:hAnsi="Arial" w:cs="Arial"/>
          <w:i/>
          <w:iCs/>
          <w:sz w:val="22"/>
          <w:lang w:val="es-ES_tradnl"/>
        </w:rPr>
        <w:t>remisión parcial stricto sensu</w:t>
      </w:r>
      <w:r w:rsidRPr="00E52B90">
        <w:rPr>
          <w:rFonts w:ascii="Arial" w:eastAsia="Calibri" w:hAnsi="Arial" w:cs="Arial"/>
          <w:sz w:val="22"/>
          <w:lang w:val="es-ES_tradnl"/>
        </w:rPr>
        <w:t>–, ya que esta última disposición no produciría ningún efecto útil, es decir, habría bastado la remisión a las «inhabilidades e incompatibilidades» y a los «principios» sin necesidad de remisiones adicionales a otras normas de contratación. Lo anterior se fundamenta en la directriz hermenéutica según la cual</w:t>
      </w:r>
      <w:r w:rsidRPr="00E52B90">
        <w:rPr>
          <w:lang w:val="es-ES_tradnl"/>
        </w:rPr>
        <w:t xml:space="preserve"> </w:t>
      </w:r>
      <w:r w:rsidRPr="00E52B90">
        <w:rPr>
          <w:rFonts w:ascii="Arial" w:eastAsia="Calibri" w:hAnsi="Arial" w:cs="Arial"/>
          <w:sz w:val="22"/>
          <w:lang w:val="es-ES_tradnl"/>
        </w:rPr>
        <w:t xml:space="preserve">el sentido en el que una disposición produce efectos se prefiere sobre aquel en que no produzca efecto.       </w:t>
      </w:r>
    </w:p>
    <w:p w14:paraId="5AB7C6B9" w14:textId="11D7A97D" w:rsidR="0054315A" w:rsidRPr="00E52B90" w:rsidRDefault="0054315A" w:rsidP="0054315A">
      <w:pPr>
        <w:spacing w:after="120" w:line="276" w:lineRule="auto"/>
        <w:ind w:firstLine="708"/>
        <w:jc w:val="both"/>
        <w:rPr>
          <w:rFonts w:ascii="Arial" w:eastAsia="Calibri" w:hAnsi="Arial" w:cs="Arial"/>
          <w:sz w:val="22"/>
          <w:lang w:val="es-ES_tradnl"/>
        </w:rPr>
      </w:pPr>
      <w:r w:rsidRPr="00E52B90">
        <w:rPr>
          <w:rFonts w:ascii="Arial" w:eastAsia="Calibri" w:hAnsi="Arial" w:cs="Arial"/>
          <w:sz w:val="22"/>
          <w:lang w:val="es-ES_tradnl"/>
        </w:rPr>
        <w:t>Ahora bien, cuando el artículo 8 del decreto menciona a las «[…] normas generales aplicables a la contratación pública […]», bien podrían referirse a las disposiciones comunes del Estatuto General –</w:t>
      </w:r>
      <w:r w:rsidRPr="00E52B90">
        <w:rPr>
          <w:rFonts w:ascii="Arial" w:eastAsia="Calibri" w:hAnsi="Arial" w:cs="Arial"/>
          <w:i/>
          <w:iCs/>
          <w:sz w:val="22"/>
          <w:lang w:val="es-ES_tradnl"/>
        </w:rPr>
        <w:t xml:space="preserve">remisión parcial </w:t>
      </w:r>
      <w:proofErr w:type="spellStart"/>
      <w:r w:rsidRPr="00E52B90">
        <w:rPr>
          <w:rFonts w:ascii="Arial" w:eastAsia="Calibri" w:hAnsi="Arial" w:cs="Arial"/>
          <w:i/>
          <w:iCs/>
          <w:sz w:val="22"/>
          <w:lang w:val="es-ES_tradnl"/>
        </w:rPr>
        <w:t>latu</w:t>
      </w:r>
      <w:proofErr w:type="spellEnd"/>
      <w:r w:rsidRPr="00E52B90">
        <w:rPr>
          <w:rFonts w:ascii="Arial" w:eastAsia="Calibri" w:hAnsi="Arial" w:cs="Arial"/>
          <w:i/>
          <w:iCs/>
          <w:sz w:val="22"/>
          <w:lang w:val="es-ES_tradnl"/>
        </w:rPr>
        <w:t xml:space="preserve"> sensu</w:t>
      </w:r>
      <w:r w:rsidRPr="00E52B90">
        <w:rPr>
          <w:rFonts w:ascii="Arial" w:eastAsia="Calibri" w:hAnsi="Arial" w:cs="Arial"/>
          <w:sz w:val="22"/>
          <w:lang w:val="es-ES_tradnl"/>
        </w:rPr>
        <w:t>– o a la totalidad de la Ley 80 de 1993 –</w:t>
      </w:r>
      <w:r w:rsidRPr="00E52B90">
        <w:rPr>
          <w:rFonts w:ascii="Arial" w:eastAsia="Calibri" w:hAnsi="Arial" w:cs="Arial"/>
          <w:i/>
          <w:iCs/>
          <w:sz w:val="22"/>
          <w:lang w:val="es-ES_tradnl"/>
        </w:rPr>
        <w:t>remisión integral</w:t>
      </w:r>
      <w:r w:rsidRPr="00E52B90">
        <w:rPr>
          <w:rFonts w:ascii="Arial" w:eastAsia="Calibri" w:hAnsi="Arial" w:cs="Arial"/>
          <w:sz w:val="22"/>
          <w:lang w:val="es-ES_tradnl"/>
        </w:rPr>
        <w:t xml:space="preserve">–. En esta medida, determinar el alcance de la remisión del artículo 8 del Decreto 092 requiere considerar que no hay lugar a distinguir entre normas de carácter general o especial dentro del Estatuto de Contratación de la Administración Pública, </w:t>
      </w:r>
      <w:r w:rsidR="00DD17C8" w:rsidRPr="00E52B90">
        <w:rPr>
          <w:rFonts w:ascii="Arial" w:eastAsia="Calibri" w:hAnsi="Arial" w:cs="Arial"/>
          <w:sz w:val="22"/>
          <w:lang w:val="es-ES_tradnl"/>
        </w:rPr>
        <w:t>pues</w:t>
      </w:r>
      <w:r w:rsidRPr="00E52B90">
        <w:rPr>
          <w:rFonts w:ascii="Arial" w:eastAsia="Calibri" w:hAnsi="Arial" w:cs="Arial"/>
          <w:sz w:val="22"/>
          <w:lang w:val="es-ES_tradnl"/>
        </w:rPr>
        <w:t xml:space="preserve"> la competencia dispuesta en el inciso final del artículo 150 de la Constitución Política se desprende que todas estas disposiciones regulan con el mismo grado de generalidad la actividad contractual del Estado.     </w:t>
      </w:r>
    </w:p>
    <w:p w14:paraId="574F9294" w14:textId="1DCA93E4" w:rsidR="0054315A" w:rsidRPr="00E52B90" w:rsidRDefault="0054315A" w:rsidP="0054315A">
      <w:pPr>
        <w:spacing w:after="120" w:line="276" w:lineRule="auto"/>
        <w:ind w:firstLine="708"/>
        <w:jc w:val="both"/>
        <w:rPr>
          <w:rFonts w:ascii="Arial" w:eastAsia="Calibri" w:hAnsi="Arial" w:cs="Arial"/>
          <w:sz w:val="22"/>
          <w:lang w:val="es-ES_tradnl"/>
        </w:rPr>
      </w:pPr>
      <w:r w:rsidRPr="00E52B90">
        <w:rPr>
          <w:rFonts w:ascii="Arial" w:eastAsia="Calibri" w:hAnsi="Arial" w:cs="Arial"/>
          <w:sz w:val="22"/>
          <w:lang w:val="es-ES_tradnl"/>
        </w:rPr>
        <w:t xml:space="preserve">Por ello, considerando que la Ley 80 de 1993 tiene el mismo grado de generalidad, esta Subdirección concluye que el artículo 8 del Decreto 092 de 2017 </w:t>
      </w:r>
      <w:r w:rsidRPr="00E52B90">
        <w:rPr>
          <w:rFonts w:ascii="Arial" w:eastAsia="Calibri" w:hAnsi="Arial" w:cs="Arial"/>
          <w:i/>
          <w:iCs/>
          <w:sz w:val="22"/>
          <w:lang w:val="es-ES_tradnl"/>
        </w:rPr>
        <w:t>remite integralmente</w:t>
      </w:r>
      <w:r w:rsidRPr="00E52B90">
        <w:rPr>
          <w:rFonts w:ascii="Arial" w:eastAsia="Calibri" w:hAnsi="Arial" w:cs="Arial"/>
          <w:sz w:val="22"/>
          <w:lang w:val="es-ES_tradnl"/>
        </w:rPr>
        <w:t xml:space="preserve"> al Estatuto de Contratación. Esta remisión alcanza tanto el régimen de inhabilidades e incompatibilidades como los principios aplicables a la contratación estatal. Por tanto, los artículos 6, 7 y 8 del reglamento autónomo deben interpretarse en bloque, es decir, aplicando </w:t>
      </w:r>
      <w:r w:rsidR="005724E7" w:rsidRPr="00E52B90">
        <w:rPr>
          <w:rFonts w:ascii="Arial" w:eastAsia="Calibri" w:hAnsi="Arial" w:cs="Arial"/>
          <w:sz w:val="22"/>
          <w:lang w:val="es-ES_tradnl"/>
        </w:rPr>
        <w:t>el Estatuto General de Contratación de la Administración Pública</w:t>
      </w:r>
      <w:r w:rsidRPr="00E52B90">
        <w:rPr>
          <w:rFonts w:ascii="Arial" w:eastAsia="Calibri" w:hAnsi="Arial" w:cs="Arial"/>
          <w:sz w:val="22"/>
          <w:lang w:val="es-ES_tradnl"/>
        </w:rPr>
        <w:t xml:space="preserve"> a todo supuesto que no esté expresamente regulado en el Decreto 092 de 2017.  </w:t>
      </w:r>
    </w:p>
    <w:bookmarkEnd w:id="10"/>
    <w:p w14:paraId="22B71CC5" w14:textId="56084C7B" w:rsidR="0054315A" w:rsidRPr="00E52B90" w:rsidRDefault="0054315A" w:rsidP="0054315A">
      <w:pPr>
        <w:spacing w:after="120" w:line="276" w:lineRule="auto"/>
        <w:ind w:firstLine="708"/>
        <w:jc w:val="both"/>
        <w:rPr>
          <w:rFonts w:ascii="Arial" w:eastAsia="Calibri" w:hAnsi="Arial" w:cs="Arial"/>
          <w:sz w:val="22"/>
          <w:lang w:val="es-ES_tradnl"/>
        </w:rPr>
      </w:pPr>
      <w:r w:rsidRPr="00E52B90">
        <w:rPr>
          <w:rFonts w:ascii="Arial" w:eastAsia="Calibri" w:hAnsi="Arial" w:cs="Arial"/>
          <w:sz w:val="22"/>
          <w:lang w:val="es-ES_tradnl"/>
        </w:rPr>
        <w:t xml:space="preserve">En esta medida, los </w:t>
      </w:r>
      <w:r w:rsidRPr="00E52B90">
        <w:rPr>
          <w:rFonts w:ascii="Arial" w:eastAsia="Calibri" w:hAnsi="Arial" w:cs="Arial"/>
          <w:i/>
          <w:iCs/>
          <w:sz w:val="22"/>
          <w:lang w:val="es-ES_tradnl"/>
        </w:rPr>
        <w:t xml:space="preserve">contratos del artículo 355 de la Constitución  </w:t>
      </w:r>
      <w:r w:rsidRPr="00E52B90">
        <w:rPr>
          <w:rFonts w:ascii="Arial" w:eastAsia="Calibri" w:hAnsi="Arial" w:cs="Arial"/>
          <w:sz w:val="22"/>
          <w:lang w:val="es-ES_tradnl"/>
        </w:rPr>
        <w:t xml:space="preserve">y los </w:t>
      </w:r>
      <w:r w:rsidRPr="00E52B90">
        <w:rPr>
          <w:rFonts w:ascii="Arial" w:eastAsia="Calibri" w:hAnsi="Arial" w:cs="Arial"/>
          <w:i/>
          <w:iCs/>
          <w:sz w:val="22"/>
          <w:lang w:val="es-ES_tradnl"/>
        </w:rPr>
        <w:t>convenios de asociación</w:t>
      </w:r>
      <w:r w:rsidRPr="00E52B90">
        <w:rPr>
          <w:rFonts w:ascii="Arial" w:eastAsia="Calibri" w:hAnsi="Arial" w:cs="Arial"/>
          <w:sz w:val="22"/>
          <w:lang w:val="es-ES_tradnl"/>
        </w:rPr>
        <w:t xml:space="preserve">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y la prohibición de adicionarlo en más del cincuenta por ciento –art. 40–, el régimen de perfeccionamiento –art. 41–, las causales de nulidad –art. 44 y ss.–, el régimen de responsabilidad contractual –art. 50 y ss.– y de liquidación de los contratos –art. 60–. </w:t>
      </w:r>
      <w:r w:rsidR="005724E7" w:rsidRPr="00E52B90">
        <w:rPr>
          <w:rFonts w:ascii="Arial" w:eastAsia="Calibri" w:hAnsi="Arial" w:cs="Arial"/>
          <w:sz w:val="22"/>
          <w:lang w:val="es-ES_tradnl"/>
        </w:rPr>
        <w:t xml:space="preserve">De igual manera, conforme a la explicación precedente, la contratación del Decreto 092 de 2017 se integra con el régimen de las sanciones pecuniarias –Ley 1150 de 2007, art. 17– y con el procedimiento administrativo para la imposición de sanciones contractuales –Ley 1474 de 2011, art. 86–.  </w:t>
      </w:r>
    </w:p>
    <w:p w14:paraId="65D785B5" w14:textId="77777777" w:rsidR="0054315A" w:rsidRPr="00E52B90" w:rsidRDefault="0054315A" w:rsidP="0054315A">
      <w:pPr>
        <w:spacing w:line="276" w:lineRule="auto"/>
        <w:ind w:firstLine="708"/>
        <w:jc w:val="both"/>
        <w:rPr>
          <w:rFonts w:ascii="Arial" w:eastAsia="Calibri" w:hAnsi="Arial" w:cs="Arial"/>
          <w:sz w:val="22"/>
          <w:lang w:val="es-ES_tradnl"/>
        </w:rPr>
      </w:pPr>
      <w:r w:rsidRPr="00E52B90">
        <w:rPr>
          <w:rFonts w:ascii="Arial" w:eastAsia="Calibri" w:hAnsi="Arial" w:cs="Arial"/>
          <w:sz w:val="22"/>
          <w:lang w:val="es-ES_tradnl"/>
        </w:rPr>
        <w:lastRenderedPageBreak/>
        <w:t xml:space="preserve">Incluso, en ambos es posible el ejercicio de poderes exorbitantes, siempre que estén relacionados con alguna de las tipologías previstas en el artículo 14, numeral 2, de la Ley 80 de 1993. Esta precisión es importante, porque –en los términos del artículo 1495 del Código Civil– los </w:t>
      </w:r>
      <w:r w:rsidRPr="00E52B90">
        <w:rPr>
          <w:rFonts w:ascii="Arial" w:eastAsia="Calibri" w:hAnsi="Arial" w:cs="Arial"/>
          <w:i/>
          <w:iCs/>
          <w:sz w:val="22"/>
          <w:lang w:val="es-ES_tradnl"/>
        </w:rPr>
        <w:t xml:space="preserve">contratos del artículo 355 de la Constitución </w:t>
      </w:r>
      <w:r w:rsidRPr="00E52B90">
        <w:rPr>
          <w:rFonts w:ascii="Arial" w:eastAsia="Calibri" w:hAnsi="Arial" w:cs="Arial"/>
          <w:sz w:val="22"/>
          <w:lang w:val="es-ES_tradnl"/>
        </w:rPr>
        <w:t xml:space="preserve">o los </w:t>
      </w:r>
      <w:r w:rsidRPr="00E52B90">
        <w:rPr>
          <w:rFonts w:ascii="Arial" w:eastAsia="Calibri" w:hAnsi="Arial" w:cs="Arial"/>
          <w:i/>
          <w:iCs/>
          <w:sz w:val="22"/>
          <w:lang w:val="es-ES_tradnl"/>
        </w:rPr>
        <w:t>convenios de asociación</w:t>
      </w:r>
      <w:r w:rsidRPr="00E52B90">
        <w:rPr>
          <w:rFonts w:ascii="Arial" w:eastAsia="Calibri" w:hAnsi="Arial" w:cs="Arial"/>
          <w:sz w:val="22"/>
          <w:lang w:val="es-ES_tradnl"/>
        </w:rPr>
        <w:t xml:space="preserve"> no son tipologías contractuales, sino acuerdos de voluntades para producir obligaciones. Si bien el Decreto 092 de 2017 define los sujetos y la causa del contrato, la tipología contractual se establece en función del objeto como uno de los elementos de la esencia del negocio jurídico, pues sin él no existe o degenera en otro</w:t>
      </w:r>
      <w:r w:rsidRPr="00E52B90">
        <w:rPr>
          <w:rStyle w:val="Refdenotaalpie"/>
          <w:rFonts w:ascii="Arial" w:eastAsia="Calibri" w:hAnsi="Arial" w:cs="Arial"/>
          <w:sz w:val="22"/>
          <w:lang w:val="es-ES_tradnl"/>
        </w:rPr>
        <w:footnoteReference w:id="19"/>
      </w:r>
      <w:r w:rsidRPr="00E52B90">
        <w:rPr>
          <w:rFonts w:ascii="Arial" w:eastAsia="Calibri" w:hAnsi="Arial" w:cs="Arial"/>
          <w:sz w:val="22"/>
          <w:lang w:val="es-ES_tradnl"/>
        </w:rPr>
        <w:t xml:space="preserve">. Por ello, a modo de ejemplo, no hay donación sin la transferencia del derecho dominio, pero degenera en una compraventa cuando supone el pago de un precio en dinero, o en una permuta, si existe el cambio de un bien por otro. Estas situaciones son independientes de las personas y del objetivo del contrato, razón por la cual, dentro de los </w:t>
      </w:r>
      <w:r w:rsidRPr="00E52B90">
        <w:rPr>
          <w:rFonts w:ascii="Arial" w:eastAsia="Calibri" w:hAnsi="Arial" w:cs="Arial"/>
          <w:i/>
          <w:iCs/>
          <w:sz w:val="22"/>
          <w:lang w:val="es-ES_tradnl"/>
        </w:rPr>
        <w:t xml:space="preserve">contratos del artículo 355 </w:t>
      </w:r>
      <w:r w:rsidRPr="00E52B90">
        <w:rPr>
          <w:rFonts w:ascii="Arial" w:eastAsia="Calibri" w:hAnsi="Arial" w:cs="Arial"/>
          <w:sz w:val="22"/>
          <w:lang w:val="es-ES_tradnl"/>
        </w:rPr>
        <w:t xml:space="preserve">y de los </w:t>
      </w:r>
      <w:r w:rsidRPr="00E52B90">
        <w:rPr>
          <w:rFonts w:ascii="Arial" w:eastAsia="Calibri" w:hAnsi="Arial" w:cs="Arial"/>
          <w:i/>
          <w:iCs/>
          <w:sz w:val="22"/>
          <w:lang w:val="es-ES_tradnl"/>
        </w:rPr>
        <w:t>convenios de asociación</w:t>
      </w:r>
      <w:r w:rsidRPr="00E52B90">
        <w:rPr>
          <w:rFonts w:ascii="Arial" w:eastAsia="Calibri" w:hAnsi="Arial" w:cs="Arial"/>
          <w:sz w:val="22"/>
          <w:lang w:val="es-ES_tradnl"/>
        </w:rPr>
        <w:t xml:space="preserve"> es posible definir las tipologías contractuales necesarias para el cumplimiento de los planes de desarrollo o de las funciones de la entidad contratante, respectivamente. Esto no implica que carezcan de existencia cuando no se celebran con una ESAL o cuando tienen un propósito diferente, caso en el que los contratos surgen a la vida jurídica pero viciados de nulidad. </w:t>
      </w:r>
    </w:p>
    <w:p w14:paraId="18317049" w14:textId="17AC1696" w:rsidR="0054315A" w:rsidRPr="00E52B90" w:rsidRDefault="00DC1080" w:rsidP="0054315A">
      <w:pPr>
        <w:spacing w:before="120" w:line="276" w:lineRule="auto"/>
        <w:ind w:firstLine="709"/>
        <w:jc w:val="both"/>
        <w:rPr>
          <w:rFonts w:ascii="Arial" w:hAnsi="Arial" w:cs="Arial"/>
          <w:color w:val="000000" w:themeColor="text1"/>
          <w:sz w:val="22"/>
          <w:lang w:val="es-ES_tradnl"/>
        </w:rPr>
      </w:pPr>
      <w:r w:rsidRPr="00E52B90">
        <w:rPr>
          <w:rFonts w:ascii="Arial" w:eastAsia="Calibri" w:hAnsi="Arial" w:cs="Arial"/>
          <w:sz w:val="22"/>
          <w:lang w:val="es-ES_tradnl"/>
        </w:rPr>
        <w:t>De esta manera</w:t>
      </w:r>
      <w:r w:rsidR="0054315A" w:rsidRPr="00E52B90">
        <w:rPr>
          <w:rFonts w:ascii="Arial" w:eastAsia="Calibri" w:hAnsi="Arial" w:cs="Arial"/>
          <w:sz w:val="22"/>
          <w:lang w:val="es-ES_tradnl"/>
        </w:rPr>
        <w:t xml:space="preserve">, aunque en el </w:t>
      </w:r>
      <w:r w:rsidRPr="00E52B90">
        <w:rPr>
          <w:rFonts w:ascii="Arial" w:eastAsia="Calibri" w:hAnsi="Arial" w:cs="Arial"/>
          <w:sz w:val="22"/>
          <w:lang w:val="es-ES_tradnl"/>
        </w:rPr>
        <w:t>apartado 2.1 del presente concepto se</w:t>
      </w:r>
      <w:r w:rsidR="0054315A" w:rsidRPr="00E52B90">
        <w:rPr>
          <w:rFonts w:ascii="Arial" w:eastAsia="Calibri" w:hAnsi="Arial" w:cs="Arial"/>
          <w:bCs/>
          <w:color w:val="000000" w:themeColor="text1"/>
          <w:sz w:val="22"/>
          <w:lang w:val="es-ES_tradnl"/>
        </w:rPr>
        <w:t xml:space="preserve"> exp</w:t>
      </w:r>
      <w:r w:rsidRPr="00E52B90">
        <w:rPr>
          <w:rFonts w:ascii="Arial" w:eastAsia="Calibri" w:hAnsi="Arial" w:cs="Arial"/>
          <w:bCs/>
          <w:color w:val="000000" w:themeColor="text1"/>
          <w:sz w:val="22"/>
          <w:lang w:val="es-ES_tradnl"/>
        </w:rPr>
        <w:t>licó</w:t>
      </w:r>
      <w:r w:rsidR="0054315A" w:rsidRPr="00E52B90">
        <w:rPr>
          <w:rFonts w:ascii="Arial" w:eastAsia="Calibri" w:hAnsi="Arial" w:cs="Arial"/>
          <w:bCs/>
          <w:color w:val="000000" w:themeColor="text1"/>
          <w:sz w:val="22"/>
          <w:lang w:val="es-ES_tradnl"/>
        </w:rPr>
        <w:t xml:space="preserve"> que, </w:t>
      </w:r>
      <w:r w:rsidR="0054315A" w:rsidRPr="00E52B90">
        <w:rPr>
          <w:rFonts w:ascii="Arial" w:hAnsi="Arial" w:cs="Arial"/>
          <w:color w:val="000000" w:themeColor="text1"/>
          <w:sz w:val="22"/>
          <w:lang w:val="es-ES_tradnl"/>
        </w:rPr>
        <w:t xml:space="preserve">tratándose de convenios de asociación </w:t>
      </w:r>
      <w:r w:rsidR="0054315A" w:rsidRPr="00E52B90">
        <w:rPr>
          <w:rFonts w:ascii="Arial" w:hAnsi="Arial" w:cs="Arial"/>
          <w:i/>
          <w:iCs/>
          <w:color w:val="000000" w:themeColor="text1"/>
          <w:sz w:val="22"/>
          <w:lang w:val="es-ES_tradnl"/>
        </w:rPr>
        <w:t>entre entidades públicas</w:t>
      </w:r>
      <w:r w:rsidR="0054315A" w:rsidRPr="00E52B90">
        <w:rPr>
          <w:rFonts w:ascii="Arial" w:hAnsi="Arial" w:cs="Arial"/>
          <w:color w:val="000000" w:themeColor="text1"/>
          <w:sz w:val="22"/>
          <w:lang w:val="es-ES_tradnl"/>
        </w:rPr>
        <w:t>, no resulta procedente</w:t>
      </w:r>
      <w:r w:rsidRPr="00E52B90">
        <w:rPr>
          <w:rFonts w:ascii="Arial" w:hAnsi="Arial" w:cs="Arial"/>
          <w:color w:val="000000" w:themeColor="text1"/>
          <w:sz w:val="22"/>
          <w:lang w:val="es-ES_tradnl"/>
        </w:rPr>
        <w:t xml:space="preserve"> el ejercicio de facultades unilaterales</w:t>
      </w:r>
      <w:r w:rsidR="0054315A" w:rsidRPr="00E52B90">
        <w:rPr>
          <w:rFonts w:ascii="Arial" w:hAnsi="Arial" w:cs="Arial"/>
          <w:color w:val="000000" w:themeColor="text1"/>
          <w:sz w:val="22"/>
          <w:lang w:val="es-ES_tradnl"/>
        </w:rPr>
        <w:t xml:space="preserve"> –pues en aquellos convenios las entidades estatales tienen una «finalidad asociativa» y actúan en pie de igualdad–, est</w:t>
      </w:r>
      <w:r w:rsidRPr="00E52B90">
        <w:rPr>
          <w:rFonts w:ascii="Arial" w:hAnsi="Arial" w:cs="Arial"/>
          <w:color w:val="000000" w:themeColor="text1"/>
          <w:sz w:val="22"/>
          <w:lang w:val="es-ES_tradnl"/>
        </w:rPr>
        <w:t>a</w:t>
      </w:r>
      <w:r w:rsidR="0054315A" w:rsidRPr="00E52B90">
        <w:rPr>
          <w:rFonts w:ascii="Arial" w:hAnsi="Arial" w:cs="Arial"/>
          <w:color w:val="000000" w:themeColor="text1"/>
          <w:sz w:val="22"/>
          <w:lang w:val="es-ES_tradnl"/>
        </w:rPr>
        <w:t xml:space="preserve"> conclusión no es predicable de los</w:t>
      </w:r>
      <w:r w:rsidRPr="00E52B90">
        <w:rPr>
          <w:rFonts w:ascii="Arial" w:hAnsi="Arial" w:cs="Arial"/>
          <w:color w:val="000000" w:themeColor="text1"/>
          <w:sz w:val="22"/>
          <w:lang w:val="es-ES_tradnl"/>
        </w:rPr>
        <w:t xml:space="preserve"> contratos de colaboración y los</w:t>
      </w:r>
      <w:r w:rsidR="0054315A" w:rsidRPr="00E52B90">
        <w:rPr>
          <w:rFonts w:ascii="Arial" w:hAnsi="Arial" w:cs="Arial"/>
          <w:color w:val="000000" w:themeColor="text1"/>
          <w:sz w:val="22"/>
          <w:lang w:val="es-ES_tradnl"/>
        </w:rPr>
        <w:t xml:space="preserve"> convenios de asociación entre entidades públicas y ESAL</w:t>
      </w:r>
      <w:r w:rsidR="00B02AB2" w:rsidRPr="00E52B90">
        <w:rPr>
          <w:rFonts w:ascii="Arial" w:hAnsi="Arial" w:cs="Arial"/>
          <w:color w:val="000000" w:themeColor="text1"/>
          <w:sz w:val="22"/>
          <w:lang w:val="es-ES_tradnl"/>
        </w:rPr>
        <w:t xml:space="preserve"> </w:t>
      </w:r>
      <w:r w:rsidR="0054315A" w:rsidRPr="00E52B90">
        <w:rPr>
          <w:rFonts w:ascii="Arial" w:hAnsi="Arial" w:cs="Arial"/>
          <w:color w:val="000000" w:themeColor="text1"/>
          <w:sz w:val="22"/>
          <w:lang w:val="es-ES_tradnl"/>
        </w:rPr>
        <w:t>del Decreto 092 de 2017</w:t>
      </w:r>
      <w:r w:rsidR="003C752E" w:rsidRPr="00E52B90">
        <w:rPr>
          <w:rFonts w:ascii="Arial" w:hAnsi="Arial" w:cs="Arial"/>
          <w:color w:val="000000" w:themeColor="text1"/>
          <w:sz w:val="22"/>
          <w:lang w:val="es-ES_tradnl"/>
        </w:rPr>
        <w:t xml:space="preserve">, </w:t>
      </w:r>
      <w:r w:rsidR="0054315A" w:rsidRPr="00E52B90">
        <w:rPr>
          <w:rFonts w:ascii="Arial" w:hAnsi="Arial" w:cs="Arial"/>
          <w:color w:val="000000" w:themeColor="text1"/>
          <w:sz w:val="22"/>
          <w:lang w:val="es-ES_tradnl"/>
        </w:rPr>
        <w:t xml:space="preserve">que </w:t>
      </w:r>
      <w:r w:rsidRPr="00E52B90">
        <w:rPr>
          <w:rFonts w:ascii="Arial" w:hAnsi="Arial" w:cs="Arial"/>
          <w:color w:val="000000" w:themeColor="text1"/>
          <w:sz w:val="22"/>
          <w:lang w:val="es-ES_tradnl"/>
        </w:rPr>
        <w:t>desarrolla tanto el artículo 355 superior como</w:t>
      </w:r>
      <w:r w:rsidR="0054315A" w:rsidRPr="00E52B90">
        <w:rPr>
          <w:rFonts w:ascii="Arial" w:hAnsi="Arial" w:cs="Arial"/>
          <w:color w:val="000000" w:themeColor="text1"/>
          <w:sz w:val="22"/>
          <w:lang w:val="es-ES_tradnl"/>
        </w:rPr>
        <w:t xml:space="preserve"> el artículo 96 de la Ley 489 de 1998–</w:t>
      </w:r>
      <w:r w:rsidR="003C752E" w:rsidRPr="00E52B90">
        <w:rPr>
          <w:rFonts w:ascii="Arial" w:hAnsi="Arial" w:cs="Arial"/>
          <w:color w:val="000000" w:themeColor="text1"/>
          <w:sz w:val="22"/>
          <w:lang w:val="es-ES_tradnl"/>
        </w:rPr>
        <w:t>, pues no se celebran entre entidades estatales</w:t>
      </w:r>
      <w:r w:rsidR="0054315A" w:rsidRPr="00E52B90">
        <w:rPr>
          <w:rFonts w:ascii="Arial" w:hAnsi="Arial" w:cs="Arial"/>
          <w:color w:val="000000" w:themeColor="text1"/>
          <w:sz w:val="22"/>
          <w:lang w:val="es-ES_tradnl"/>
        </w:rPr>
        <w:t xml:space="preserve">. Esto por cuanto, como se explicó anteriormente y como lo viene sosteniendo la Agencia a partir del concepto C-223 del 29 de abril de 2020, el Decreto 092 de 2017 </w:t>
      </w:r>
      <w:r w:rsidRPr="00E52B90">
        <w:rPr>
          <w:rFonts w:ascii="Arial" w:hAnsi="Arial" w:cs="Arial"/>
          <w:color w:val="000000" w:themeColor="text1"/>
          <w:sz w:val="22"/>
          <w:lang w:val="es-ES_tradnl"/>
        </w:rPr>
        <w:t>realiza</w:t>
      </w:r>
      <w:r w:rsidR="0054315A" w:rsidRPr="00E52B90">
        <w:rPr>
          <w:rFonts w:ascii="Arial" w:hAnsi="Arial" w:cs="Arial"/>
          <w:color w:val="000000" w:themeColor="text1"/>
          <w:sz w:val="22"/>
          <w:lang w:val="es-ES_tradnl"/>
        </w:rPr>
        <w:t xml:space="preserve"> una remisión a las disposiciones del Estatuto General de Contratación de la Administración Pública para aquellas materias que no estén expresamente reguladas en dicho </w:t>
      </w:r>
      <w:r w:rsidR="00B02AB2" w:rsidRPr="00E52B90">
        <w:rPr>
          <w:rFonts w:ascii="Arial" w:hAnsi="Arial" w:cs="Arial"/>
          <w:color w:val="000000" w:themeColor="text1"/>
          <w:sz w:val="22"/>
          <w:lang w:val="es-ES_tradnl"/>
        </w:rPr>
        <w:t>reglamento</w:t>
      </w:r>
      <w:r w:rsidR="000F2FE4" w:rsidRPr="00E52B90">
        <w:rPr>
          <w:rFonts w:ascii="Arial" w:hAnsi="Arial" w:cs="Arial"/>
          <w:color w:val="000000" w:themeColor="text1"/>
          <w:sz w:val="22"/>
          <w:lang w:val="es-ES_tradnl"/>
        </w:rPr>
        <w:t>, y</w:t>
      </w:r>
      <w:r w:rsidR="0054315A" w:rsidRPr="00E52B90">
        <w:rPr>
          <w:rFonts w:ascii="Arial" w:hAnsi="Arial" w:cs="Arial"/>
          <w:color w:val="000000" w:themeColor="text1"/>
          <w:sz w:val="22"/>
          <w:lang w:val="es-ES_tradnl"/>
        </w:rPr>
        <w:t xml:space="preserve"> </w:t>
      </w:r>
      <w:r w:rsidR="000F2FE4" w:rsidRPr="00E52B90">
        <w:rPr>
          <w:rFonts w:ascii="Arial" w:hAnsi="Arial" w:cs="Arial"/>
          <w:color w:val="000000" w:themeColor="text1"/>
          <w:sz w:val="22"/>
          <w:lang w:val="es-ES_tradnl"/>
        </w:rPr>
        <w:t>l</w:t>
      </w:r>
      <w:r w:rsidR="0054315A" w:rsidRPr="00E52B90">
        <w:rPr>
          <w:rFonts w:ascii="Arial" w:hAnsi="Arial" w:cs="Arial"/>
          <w:color w:val="000000" w:themeColor="text1"/>
          <w:sz w:val="22"/>
          <w:lang w:val="es-ES_tradnl"/>
        </w:rPr>
        <w:t xml:space="preserve">a </w:t>
      </w:r>
      <w:r w:rsidRPr="00E52B90">
        <w:rPr>
          <w:rFonts w:ascii="Arial" w:hAnsi="Arial" w:cs="Arial"/>
          <w:color w:val="000000" w:themeColor="text1"/>
          <w:sz w:val="22"/>
          <w:lang w:val="es-ES_tradnl"/>
        </w:rPr>
        <w:t>competencia para imponer sanciones y el procedimiento administrativo para su aplicación son dos</w:t>
      </w:r>
      <w:r w:rsidR="00C33F31" w:rsidRPr="00E52B90">
        <w:rPr>
          <w:rFonts w:ascii="Arial" w:hAnsi="Arial" w:cs="Arial"/>
          <w:color w:val="000000" w:themeColor="text1"/>
          <w:sz w:val="22"/>
          <w:lang w:val="es-ES_tradnl"/>
        </w:rPr>
        <w:t xml:space="preserve"> (2)</w:t>
      </w:r>
      <w:r w:rsidR="0054315A" w:rsidRPr="00E52B90">
        <w:rPr>
          <w:rFonts w:ascii="Arial" w:hAnsi="Arial" w:cs="Arial"/>
          <w:color w:val="000000" w:themeColor="text1"/>
          <w:sz w:val="22"/>
          <w:lang w:val="es-ES_tradnl"/>
        </w:rPr>
        <w:t xml:space="preserve"> de tales materias. </w:t>
      </w:r>
    </w:p>
    <w:p w14:paraId="52BC5B9A" w14:textId="5D1EE2C3" w:rsidR="00FA7068" w:rsidRPr="00E52B90" w:rsidRDefault="0054315A" w:rsidP="006026D9">
      <w:pPr>
        <w:spacing w:before="120" w:line="276" w:lineRule="auto"/>
        <w:ind w:firstLine="709"/>
        <w:jc w:val="both"/>
        <w:rPr>
          <w:rFonts w:ascii="Arial" w:hAnsi="Arial" w:cs="Arial"/>
          <w:bCs/>
          <w:color w:val="000000" w:themeColor="text1"/>
          <w:sz w:val="22"/>
        </w:rPr>
      </w:pPr>
      <w:r w:rsidRPr="00E52B90">
        <w:rPr>
          <w:rFonts w:ascii="Arial" w:hAnsi="Arial" w:cs="Arial"/>
          <w:color w:val="000000" w:themeColor="text1"/>
          <w:sz w:val="22"/>
          <w:lang w:val="es-ES_tradnl"/>
        </w:rPr>
        <w:t xml:space="preserve">Por lo tanto, ante el silencio del Decreto 092 de 2017 en lo que respecta a la </w:t>
      </w:r>
      <w:r w:rsidR="00D22702" w:rsidRPr="00E52B90">
        <w:rPr>
          <w:rFonts w:ascii="Arial" w:hAnsi="Arial" w:cs="Arial"/>
          <w:color w:val="000000" w:themeColor="text1"/>
          <w:sz w:val="22"/>
          <w:lang w:val="es-ES_tradnl"/>
        </w:rPr>
        <w:t xml:space="preserve">competencia sancionadora y el procedimiento administrativo </w:t>
      </w:r>
      <w:r w:rsidR="00C33F31" w:rsidRPr="00E52B90">
        <w:rPr>
          <w:rFonts w:ascii="Arial" w:hAnsi="Arial" w:cs="Arial"/>
          <w:color w:val="000000" w:themeColor="text1"/>
          <w:sz w:val="22"/>
          <w:lang w:val="es-ES_tradnl"/>
        </w:rPr>
        <w:t>correspondiente</w:t>
      </w:r>
      <w:r w:rsidRPr="00E52B90">
        <w:rPr>
          <w:rFonts w:ascii="Arial" w:hAnsi="Arial" w:cs="Arial"/>
          <w:color w:val="000000" w:themeColor="text1"/>
          <w:sz w:val="22"/>
          <w:lang w:val="es-ES_tradnl"/>
        </w:rPr>
        <w:t xml:space="preserve">, son aplicables </w:t>
      </w:r>
      <w:r w:rsidR="00D22702" w:rsidRPr="00E52B90">
        <w:rPr>
          <w:rFonts w:ascii="Arial" w:hAnsi="Arial" w:cs="Arial"/>
          <w:color w:val="000000" w:themeColor="text1"/>
          <w:sz w:val="22"/>
          <w:lang w:val="es-ES_tradnl"/>
        </w:rPr>
        <w:t xml:space="preserve">los artículos 14 y 18 de la Ley 80 de 1993, el artículo 17 de la Ley 1150 de 2007 </w:t>
      </w:r>
      <w:r w:rsidR="00D22702" w:rsidRPr="00E52B90">
        <w:rPr>
          <w:rFonts w:ascii="Arial" w:hAnsi="Arial" w:cs="Arial"/>
          <w:color w:val="000000" w:themeColor="text1"/>
          <w:sz w:val="22"/>
          <w:lang w:val="es-ES_tradnl"/>
        </w:rPr>
        <w:lastRenderedPageBreak/>
        <w:t>y el artículo 86 de la Ley 1474 de 2011</w:t>
      </w:r>
      <w:r w:rsidR="00B02AB2" w:rsidRPr="00E52B90">
        <w:rPr>
          <w:rFonts w:ascii="Arial" w:hAnsi="Arial" w:cs="Arial"/>
          <w:color w:val="000000" w:themeColor="text1"/>
          <w:sz w:val="22"/>
          <w:lang w:val="es-ES_tradnl"/>
        </w:rPr>
        <w:t xml:space="preserve"> a los convenios regulados por dicho reglamento autónomo</w:t>
      </w:r>
      <w:r w:rsidR="003C752E" w:rsidRPr="00E52B90">
        <w:rPr>
          <w:rFonts w:ascii="Arial" w:hAnsi="Arial" w:cs="Arial"/>
          <w:color w:val="000000" w:themeColor="text1"/>
          <w:sz w:val="22"/>
          <w:lang w:val="es-ES_tradnl"/>
        </w:rPr>
        <w:t>, ya que –a diferencia de los convenios del artículo 96 de la Ley 489 de 1998– no se celebran entre entidades públicas</w:t>
      </w:r>
      <w:r w:rsidRPr="00E52B90">
        <w:rPr>
          <w:rFonts w:ascii="Arial" w:hAnsi="Arial" w:cs="Arial"/>
          <w:color w:val="000000" w:themeColor="text1"/>
          <w:sz w:val="22"/>
          <w:lang w:val="es-ES_tradnl"/>
        </w:rPr>
        <w:t xml:space="preserve">. </w:t>
      </w:r>
      <w:r w:rsidR="00D22702" w:rsidRPr="00E52B90">
        <w:rPr>
          <w:rFonts w:ascii="Arial" w:hAnsi="Arial" w:cs="Arial"/>
          <w:color w:val="000000" w:themeColor="text1"/>
          <w:sz w:val="22"/>
          <w:lang w:val="es-ES_tradnl"/>
        </w:rPr>
        <w:t xml:space="preserve">En </w:t>
      </w:r>
      <w:r w:rsidR="00461585" w:rsidRPr="00E52B90">
        <w:rPr>
          <w:rFonts w:ascii="Arial" w:hAnsi="Arial" w:cs="Arial"/>
          <w:color w:val="000000" w:themeColor="text1"/>
          <w:sz w:val="22"/>
          <w:lang w:val="es-ES_tradnl"/>
        </w:rPr>
        <w:t>conjunto</w:t>
      </w:r>
      <w:r w:rsidR="00D22702" w:rsidRPr="00E52B90">
        <w:rPr>
          <w:rFonts w:ascii="Arial" w:hAnsi="Arial" w:cs="Arial"/>
          <w:color w:val="000000" w:themeColor="text1"/>
          <w:sz w:val="22"/>
          <w:lang w:val="es-ES_tradnl"/>
        </w:rPr>
        <w:t xml:space="preserve">, </w:t>
      </w:r>
      <w:r w:rsidR="003C752E" w:rsidRPr="00E52B90">
        <w:rPr>
          <w:rFonts w:ascii="Arial" w:hAnsi="Arial" w:cs="Arial"/>
          <w:color w:val="000000" w:themeColor="text1"/>
          <w:sz w:val="22"/>
          <w:lang w:val="es-ES_tradnl"/>
        </w:rPr>
        <w:t>las normas citadas</w:t>
      </w:r>
      <w:r w:rsidRPr="00E52B90">
        <w:rPr>
          <w:rFonts w:ascii="Arial" w:hAnsi="Arial" w:cs="Arial"/>
          <w:color w:val="000000" w:themeColor="text1"/>
          <w:sz w:val="22"/>
          <w:lang w:val="es-ES_tradnl"/>
        </w:rPr>
        <w:t xml:space="preserve"> les reconoce</w:t>
      </w:r>
      <w:r w:rsidR="00D22702" w:rsidRPr="00E52B90">
        <w:rPr>
          <w:rFonts w:ascii="Arial" w:hAnsi="Arial" w:cs="Arial"/>
          <w:color w:val="000000" w:themeColor="text1"/>
          <w:sz w:val="22"/>
          <w:lang w:val="es-ES_tradnl"/>
        </w:rPr>
        <w:t>n</w:t>
      </w:r>
      <w:r w:rsidRPr="00E52B90">
        <w:rPr>
          <w:rFonts w:ascii="Arial" w:hAnsi="Arial" w:cs="Arial"/>
          <w:color w:val="000000" w:themeColor="text1"/>
          <w:sz w:val="22"/>
          <w:lang w:val="es-ES_tradnl"/>
        </w:rPr>
        <w:t xml:space="preserve"> a las entidades estatales competencia</w:t>
      </w:r>
      <w:r w:rsidR="00841CC4" w:rsidRPr="00E52B90">
        <w:rPr>
          <w:rFonts w:ascii="Arial" w:hAnsi="Arial" w:cs="Arial"/>
          <w:color w:val="000000" w:themeColor="text1"/>
          <w:sz w:val="22"/>
          <w:lang w:val="es-ES_tradnl"/>
        </w:rPr>
        <w:t>, entre otras,</w:t>
      </w:r>
      <w:r w:rsidRPr="00E52B90">
        <w:rPr>
          <w:rFonts w:ascii="Arial" w:hAnsi="Arial" w:cs="Arial"/>
          <w:color w:val="000000" w:themeColor="text1"/>
          <w:sz w:val="22"/>
          <w:lang w:val="es-ES_tradnl"/>
        </w:rPr>
        <w:t xml:space="preserve"> para</w:t>
      </w:r>
      <w:r w:rsidR="00D22702" w:rsidRPr="00E52B90">
        <w:rPr>
          <w:rFonts w:ascii="Arial" w:hAnsi="Arial" w:cs="Arial"/>
          <w:color w:val="000000" w:themeColor="text1"/>
          <w:sz w:val="22"/>
          <w:lang w:val="es-ES_tradnl"/>
        </w:rPr>
        <w:t xml:space="preserve"> la</w:t>
      </w:r>
      <w:r w:rsidRPr="00E52B90">
        <w:rPr>
          <w:rFonts w:ascii="Arial" w:hAnsi="Arial" w:cs="Arial"/>
          <w:color w:val="000000" w:themeColor="text1"/>
          <w:sz w:val="22"/>
          <w:lang w:val="es-ES_tradnl"/>
        </w:rPr>
        <w:t xml:space="preserve"> </w:t>
      </w:r>
      <w:r w:rsidR="00D22702" w:rsidRPr="00E52B90">
        <w:rPr>
          <w:rFonts w:ascii="Arial" w:eastAsia="Calibri" w:hAnsi="Arial" w:cs="Arial"/>
          <w:color w:val="000000" w:themeColor="text1"/>
          <w:sz w:val="22"/>
        </w:rPr>
        <w:t>declaración de incumplimiento con miras a decretar la caducidad o hacer efectivas las multas o la cláusula penal pecuniaria de acuerdo con el procedimiento previsto en el Estatuto Anticorrupción</w:t>
      </w:r>
      <w:r w:rsidRPr="00E52B90">
        <w:rPr>
          <w:rFonts w:ascii="Arial" w:hAnsi="Arial" w:cs="Arial"/>
          <w:color w:val="000000" w:themeColor="text1"/>
          <w:sz w:val="22"/>
          <w:lang w:val="es-ES_tradnl"/>
        </w:rPr>
        <w:t>. Dicha</w:t>
      </w:r>
      <w:r w:rsidR="00B02AB2" w:rsidRPr="00E52B90">
        <w:rPr>
          <w:rFonts w:ascii="Arial" w:hAnsi="Arial" w:cs="Arial"/>
          <w:color w:val="000000" w:themeColor="text1"/>
          <w:sz w:val="22"/>
          <w:lang w:val="es-ES_tradnl"/>
        </w:rPr>
        <w:t>s atribuciones</w:t>
      </w:r>
      <w:r w:rsidRPr="00E52B90">
        <w:rPr>
          <w:rFonts w:ascii="Arial" w:hAnsi="Arial" w:cs="Arial"/>
          <w:color w:val="000000" w:themeColor="text1"/>
          <w:sz w:val="22"/>
          <w:lang w:val="es-ES_tradnl"/>
        </w:rPr>
        <w:t xml:space="preserve"> también se tiene</w:t>
      </w:r>
      <w:r w:rsidR="00B02AB2" w:rsidRPr="00E52B90">
        <w:rPr>
          <w:rFonts w:ascii="Arial" w:hAnsi="Arial" w:cs="Arial"/>
          <w:color w:val="000000" w:themeColor="text1"/>
          <w:sz w:val="22"/>
          <w:lang w:val="es-ES_tradnl"/>
        </w:rPr>
        <w:t>n</w:t>
      </w:r>
      <w:r w:rsidRPr="00E52B90">
        <w:rPr>
          <w:rFonts w:ascii="Arial" w:hAnsi="Arial" w:cs="Arial"/>
          <w:color w:val="000000" w:themeColor="text1"/>
          <w:sz w:val="22"/>
          <w:lang w:val="es-ES_tradnl"/>
        </w:rPr>
        <w:t xml:space="preserve"> para </w:t>
      </w:r>
      <w:r w:rsidR="00D22702" w:rsidRPr="00E52B90">
        <w:rPr>
          <w:rFonts w:ascii="Arial" w:hAnsi="Arial" w:cs="Arial"/>
          <w:color w:val="000000" w:themeColor="text1"/>
          <w:sz w:val="22"/>
          <w:lang w:val="es-ES_tradnl"/>
        </w:rPr>
        <w:t>ejercer la potestad sancionadora en</w:t>
      </w:r>
      <w:r w:rsidRPr="00E52B90">
        <w:rPr>
          <w:rFonts w:ascii="Arial" w:hAnsi="Arial" w:cs="Arial"/>
          <w:color w:val="000000" w:themeColor="text1"/>
          <w:sz w:val="22"/>
          <w:lang w:val="es-ES_tradnl"/>
        </w:rPr>
        <w:t xml:space="preserve"> los </w:t>
      </w:r>
      <w:r w:rsidR="00D22702" w:rsidRPr="00E52B90">
        <w:rPr>
          <w:rFonts w:ascii="Arial" w:hAnsi="Arial" w:cs="Arial"/>
          <w:color w:val="000000" w:themeColor="text1"/>
          <w:sz w:val="22"/>
          <w:lang w:val="es-ES_tradnl"/>
        </w:rPr>
        <w:t xml:space="preserve">contratos de colaboración y los </w:t>
      </w:r>
      <w:r w:rsidRPr="00E52B90">
        <w:rPr>
          <w:rFonts w:ascii="Arial" w:hAnsi="Arial" w:cs="Arial"/>
          <w:color w:val="000000" w:themeColor="text1"/>
          <w:sz w:val="22"/>
          <w:lang w:val="es-ES_tradnl"/>
        </w:rPr>
        <w:t xml:space="preserve">convenios de asociación, por la remisión especial prevista en el artículo 8 </w:t>
      </w:r>
      <w:r w:rsidR="00D22702" w:rsidRPr="00E52B90">
        <w:rPr>
          <w:rFonts w:ascii="Arial" w:hAnsi="Arial" w:cs="Arial"/>
          <w:color w:val="000000" w:themeColor="text1"/>
          <w:sz w:val="22"/>
          <w:lang w:val="es-ES_tradnl"/>
        </w:rPr>
        <w:t>del Decreto 092 de 2017</w:t>
      </w:r>
      <w:r w:rsidR="00B02AB2" w:rsidRPr="00E52B90">
        <w:rPr>
          <w:rFonts w:ascii="Arial" w:hAnsi="Arial" w:cs="Arial"/>
          <w:color w:val="000000" w:themeColor="text1"/>
          <w:sz w:val="22"/>
          <w:lang w:val="es-ES_tradnl"/>
        </w:rPr>
        <w:t xml:space="preserve"> a las normas generales aplicables a la contratación pública</w:t>
      </w:r>
      <w:r w:rsidRPr="00E52B90">
        <w:rPr>
          <w:rFonts w:ascii="Arial" w:hAnsi="Arial" w:cs="Arial"/>
          <w:color w:val="000000" w:themeColor="text1"/>
          <w:sz w:val="22"/>
          <w:lang w:val="es-ES_tradnl"/>
        </w:rPr>
        <w:t xml:space="preserve">. </w:t>
      </w:r>
    </w:p>
    <w:p w14:paraId="45F4FBF2" w14:textId="77777777" w:rsidR="00E9217A" w:rsidRPr="00E52B90" w:rsidRDefault="00E9217A" w:rsidP="00B86532">
      <w:pPr>
        <w:pStyle w:val="Textoindependiente"/>
        <w:spacing w:line="276" w:lineRule="auto"/>
        <w:ind w:left="180" w:right="107"/>
        <w:jc w:val="both"/>
        <w:rPr>
          <w:color w:val="000000" w:themeColor="text1"/>
          <w:u w:val="single"/>
        </w:rPr>
      </w:pPr>
    </w:p>
    <w:p w14:paraId="65A409E7" w14:textId="29CDD852" w:rsidR="0025163D" w:rsidRPr="00E52B90" w:rsidRDefault="00E824C0" w:rsidP="006026D9">
      <w:pPr>
        <w:pStyle w:val="Textoindependiente"/>
        <w:spacing w:line="276" w:lineRule="auto"/>
        <w:ind w:right="107"/>
        <w:jc w:val="both"/>
        <w:rPr>
          <w:rFonts w:eastAsia="Times New Roman"/>
          <w:bCs/>
          <w:color w:val="000000" w:themeColor="text1"/>
          <w:lang w:eastAsia="es-ES_tradnl"/>
        </w:rPr>
      </w:pPr>
      <w:r w:rsidRPr="00E52B90">
        <w:rPr>
          <w:b/>
          <w:bCs/>
          <w:color w:val="000000" w:themeColor="text1"/>
        </w:rPr>
        <w:t xml:space="preserve">3. </w:t>
      </w:r>
      <w:r w:rsidR="00F31211" w:rsidRPr="00E52B90">
        <w:rPr>
          <w:b/>
          <w:bCs/>
          <w:color w:val="000000" w:themeColor="text1"/>
        </w:rPr>
        <w:t>Respuesta</w:t>
      </w:r>
      <w:r w:rsidR="00F31211" w:rsidRPr="00E52B90">
        <w:rPr>
          <w:rFonts w:eastAsia="Times New Roman"/>
          <w:bCs/>
          <w:color w:val="000000" w:themeColor="text1"/>
          <w:lang w:eastAsia="es-ES_tradnl"/>
        </w:rPr>
        <w:t xml:space="preserve"> </w:t>
      </w:r>
    </w:p>
    <w:p w14:paraId="59831A9E" w14:textId="77777777" w:rsidR="0025163D" w:rsidRPr="00E52B90" w:rsidRDefault="0025163D" w:rsidP="00B86532">
      <w:pPr>
        <w:pStyle w:val="Textoindependiente"/>
        <w:spacing w:line="276" w:lineRule="auto"/>
        <w:ind w:left="180" w:right="107"/>
        <w:jc w:val="both"/>
        <w:rPr>
          <w:rFonts w:eastAsia="Times New Roman"/>
          <w:bCs/>
          <w:color w:val="000000" w:themeColor="text1"/>
          <w:lang w:eastAsia="es-ES_tradnl"/>
        </w:rPr>
      </w:pPr>
    </w:p>
    <w:p w14:paraId="41B0ADCA" w14:textId="58F08B84" w:rsidR="008056B3" w:rsidRPr="00E52B90" w:rsidRDefault="003A2D20" w:rsidP="006026D9">
      <w:pPr>
        <w:ind w:left="709" w:right="709"/>
        <w:jc w:val="both"/>
        <w:rPr>
          <w:rFonts w:ascii="Arial" w:eastAsia="Times New Roman" w:hAnsi="Arial" w:cs="Arial"/>
          <w:bCs/>
          <w:color w:val="000000" w:themeColor="text1"/>
          <w:sz w:val="21"/>
          <w:szCs w:val="21"/>
          <w:lang w:val="es-ES" w:eastAsia="es-ES_tradnl"/>
        </w:rPr>
      </w:pPr>
      <w:r w:rsidRPr="00E52B90">
        <w:rPr>
          <w:rFonts w:ascii="Arial" w:eastAsia="Times New Roman" w:hAnsi="Arial" w:cs="Arial"/>
          <w:bCs/>
          <w:color w:val="000000" w:themeColor="text1"/>
          <w:sz w:val="21"/>
          <w:szCs w:val="21"/>
          <w:lang w:val="es-ES" w:eastAsia="es-ES_tradnl"/>
        </w:rPr>
        <w:t>i) «</w:t>
      </w:r>
      <w:r w:rsidR="008056B3" w:rsidRPr="00E52B90">
        <w:rPr>
          <w:rFonts w:ascii="Arial" w:eastAsia="Times New Roman" w:hAnsi="Arial" w:cs="Arial"/>
          <w:bCs/>
          <w:color w:val="000000" w:themeColor="text1"/>
          <w:sz w:val="21"/>
          <w:szCs w:val="21"/>
          <w:lang w:val="es-ES" w:eastAsia="es-ES_tradnl"/>
        </w:rPr>
        <w:t xml:space="preserve">¿En los convenios interadministrativos del artículo 85 </w:t>
      </w:r>
      <w:r w:rsidR="00657C16" w:rsidRPr="00E52B90">
        <w:rPr>
          <w:rFonts w:ascii="Arial" w:eastAsia="Times New Roman" w:hAnsi="Arial" w:cs="Arial"/>
          <w:bCs/>
          <w:color w:val="000000" w:themeColor="text1"/>
          <w:sz w:val="21"/>
          <w:szCs w:val="21"/>
          <w:lang w:val="es-ES" w:eastAsia="es-ES_tradnl"/>
        </w:rPr>
        <w:t xml:space="preserve">(sic) </w:t>
      </w:r>
      <w:r w:rsidR="008056B3" w:rsidRPr="00E52B90">
        <w:rPr>
          <w:rFonts w:ascii="Arial" w:eastAsia="Times New Roman" w:hAnsi="Arial" w:cs="Arial"/>
          <w:bCs/>
          <w:color w:val="000000" w:themeColor="text1"/>
          <w:sz w:val="21"/>
          <w:szCs w:val="21"/>
          <w:lang w:val="es-ES" w:eastAsia="es-ES_tradnl"/>
        </w:rPr>
        <w:t>de la Ley 489 de 1998, para la declaratoria de incumplimiento aplica el artículo 86 de la Ley 1474 de 2011?</w:t>
      </w:r>
      <w:r w:rsidRPr="00E52B90">
        <w:rPr>
          <w:rFonts w:ascii="Arial" w:eastAsia="Times New Roman" w:hAnsi="Arial" w:cs="Arial"/>
          <w:bCs/>
          <w:color w:val="000000" w:themeColor="text1"/>
          <w:sz w:val="21"/>
          <w:szCs w:val="21"/>
          <w:lang w:val="es-ES" w:eastAsia="es-ES_tradnl"/>
        </w:rPr>
        <w:t>».</w:t>
      </w:r>
    </w:p>
    <w:p w14:paraId="5DCFEBD7" w14:textId="77777777" w:rsidR="008056B3" w:rsidRPr="00E52B90" w:rsidRDefault="008056B3" w:rsidP="006026D9">
      <w:pPr>
        <w:spacing w:line="276" w:lineRule="auto"/>
        <w:ind w:firstLine="708"/>
        <w:jc w:val="both"/>
        <w:rPr>
          <w:rFonts w:ascii="Arial" w:eastAsia="Times New Roman" w:hAnsi="Arial" w:cs="Arial"/>
          <w:bCs/>
          <w:color w:val="000000" w:themeColor="text1"/>
          <w:sz w:val="22"/>
          <w:lang w:val="es-ES" w:eastAsia="es-ES_tradnl"/>
        </w:rPr>
      </w:pPr>
    </w:p>
    <w:p w14:paraId="65D94C82" w14:textId="1911B227" w:rsidR="00C33F31" w:rsidRPr="00E52B90" w:rsidRDefault="003A2D20" w:rsidP="006026D9">
      <w:pPr>
        <w:spacing w:after="120" w:line="276" w:lineRule="auto"/>
        <w:jc w:val="both"/>
        <w:rPr>
          <w:rFonts w:ascii="Arial" w:eastAsia="Calibri" w:hAnsi="Arial" w:cs="Arial"/>
          <w:color w:val="000000" w:themeColor="text1"/>
          <w:sz w:val="22"/>
        </w:rPr>
      </w:pPr>
      <w:r w:rsidRPr="00E52B90">
        <w:rPr>
          <w:rFonts w:ascii="Arial" w:hAnsi="Arial" w:cs="Arial"/>
          <w:color w:val="000000"/>
          <w:sz w:val="22"/>
          <w:bdr w:val="none" w:sz="0" w:space="0" w:color="auto" w:frame="1"/>
          <w:lang w:val="es-ES_tradnl"/>
        </w:rPr>
        <w:t>De acuerdo con</w:t>
      </w:r>
      <w:r w:rsidR="008056B3" w:rsidRPr="00E52B90">
        <w:rPr>
          <w:rFonts w:ascii="Arial" w:hAnsi="Arial" w:cs="Arial"/>
          <w:color w:val="000000"/>
          <w:sz w:val="22"/>
          <w:bdr w:val="none" w:sz="0" w:space="0" w:color="auto" w:frame="1"/>
          <w:lang w:val="es-ES_tradnl"/>
        </w:rPr>
        <w:t xml:space="preserve"> las consideraciones expuestas</w:t>
      </w:r>
      <w:r w:rsidRPr="00E52B90">
        <w:rPr>
          <w:rFonts w:ascii="Arial" w:eastAsia="Calibri" w:hAnsi="Arial" w:cs="Arial"/>
          <w:color w:val="000000" w:themeColor="text1"/>
          <w:sz w:val="22"/>
        </w:rPr>
        <w:t xml:space="preserve">, los convenios de asociación del artículo 95 de la Ley 489 de 1998 se basan en un nexo de </w:t>
      </w:r>
      <w:r w:rsidRPr="00E52B90">
        <w:rPr>
          <w:rFonts w:ascii="Arial" w:eastAsia="Calibri" w:hAnsi="Arial" w:cs="Arial"/>
          <w:i/>
          <w:iCs/>
          <w:color w:val="000000" w:themeColor="text1"/>
          <w:sz w:val="22"/>
        </w:rPr>
        <w:t>coordinación</w:t>
      </w:r>
      <w:r w:rsidRPr="00E52B90">
        <w:rPr>
          <w:rFonts w:ascii="Arial" w:eastAsia="Calibri" w:hAnsi="Arial" w:cs="Arial"/>
          <w:color w:val="000000" w:themeColor="text1"/>
          <w:sz w:val="22"/>
        </w:rPr>
        <w:t xml:space="preserve">, pues las entidades contratantes tienen como objeto «[…] asociarse con el fin de cooperar en el cumplimiento de funciones administrativas […]». Este nexo entre las partes del convenio impide el ejercicio de facultades unilaterales, pues –como explica la doctrina– «Respecto de las relaciones entre personas públicas estatales correspondientes a distintas esferas de competencias constitucionales, es patente y obvio que no existe subordinación ni supremacía de una entidad respecto de otra y que por lo tanto no se da la posibilidad de que se ejerzan prerrogativas de poder público […]». </w:t>
      </w:r>
    </w:p>
    <w:p w14:paraId="3FAE8C75" w14:textId="0CA412D0" w:rsidR="00C33F31" w:rsidRPr="00E52B90" w:rsidRDefault="003A2D20" w:rsidP="006026D9">
      <w:pPr>
        <w:spacing w:line="276" w:lineRule="auto"/>
        <w:jc w:val="both"/>
        <w:rPr>
          <w:rFonts w:ascii="Arial" w:hAnsi="Arial" w:cs="Arial"/>
          <w:sz w:val="22"/>
          <w:lang w:val="es-ES"/>
        </w:rPr>
      </w:pPr>
      <w:r w:rsidRPr="00E52B90">
        <w:rPr>
          <w:rFonts w:ascii="Arial" w:eastAsia="Calibri" w:hAnsi="Arial" w:cs="Arial"/>
          <w:color w:val="000000" w:themeColor="text1"/>
          <w:sz w:val="22"/>
        </w:rPr>
        <w:tab/>
        <w:t>En este contexto, en los convenios de asociación entre entidades públicas no es posible decretar la caducidad o</w:t>
      </w:r>
      <w:r w:rsidR="003C752E" w:rsidRPr="00E52B90">
        <w:rPr>
          <w:rFonts w:ascii="Arial" w:eastAsia="Calibri" w:hAnsi="Arial" w:cs="Arial"/>
          <w:color w:val="000000" w:themeColor="text1"/>
          <w:sz w:val="22"/>
        </w:rPr>
        <w:t xml:space="preserve"> </w:t>
      </w:r>
      <w:r w:rsidRPr="00E52B90">
        <w:rPr>
          <w:rFonts w:ascii="Arial" w:eastAsia="Calibri" w:hAnsi="Arial" w:cs="Arial"/>
          <w:color w:val="000000" w:themeColor="text1"/>
          <w:sz w:val="22"/>
        </w:rPr>
        <w:t xml:space="preserve">hacer efectivas las multas o la cláusula penal pecuniaria. Esto en la medida que las facultades unilaterales en la contratación estatal se aplican en aquellos negocios donde existe una relación de </w:t>
      </w:r>
      <w:r w:rsidRPr="00E52B90">
        <w:rPr>
          <w:rFonts w:ascii="Arial" w:eastAsia="Calibri" w:hAnsi="Arial" w:cs="Arial"/>
          <w:i/>
          <w:iCs/>
          <w:color w:val="000000" w:themeColor="text1"/>
          <w:sz w:val="22"/>
        </w:rPr>
        <w:t>subordinación</w:t>
      </w:r>
      <w:r w:rsidRPr="00E52B90">
        <w:rPr>
          <w:rFonts w:ascii="Arial" w:eastAsia="Calibri" w:hAnsi="Arial" w:cs="Arial"/>
          <w:color w:val="000000" w:themeColor="text1"/>
          <w:sz w:val="22"/>
        </w:rPr>
        <w:t xml:space="preserve"> entre las partes, la cual se descarta cuando ambas entidades –dentro de un plano de igualdad– aúnan esfuerzos para un objetivo común.</w:t>
      </w:r>
      <w:r w:rsidR="00C33F31" w:rsidRPr="00E52B90">
        <w:rPr>
          <w:rFonts w:ascii="Arial" w:hAnsi="Arial" w:cs="Arial"/>
          <w:sz w:val="22"/>
        </w:rPr>
        <w:t xml:space="preserve"> </w:t>
      </w:r>
      <w:r w:rsidRPr="00E52B90">
        <w:rPr>
          <w:rFonts w:ascii="Arial" w:eastAsia="Calibri" w:hAnsi="Arial" w:cs="Arial"/>
          <w:color w:val="000000" w:themeColor="text1"/>
          <w:sz w:val="22"/>
        </w:rPr>
        <w:t xml:space="preserve">Por tanto, si en los convenios de asociación del artículo 95 de la Ley 489 de 1998 no es posible la imposición de sanciones contractuales con fundamento en ejercicio de poderes exorbitantes, mucho menos es posible aplicar el procedimiento del artículo 86 de la Ley 1474 de 2011 por sustracción de materia. </w:t>
      </w:r>
    </w:p>
    <w:p w14:paraId="4EC753EE" w14:textId="77777777" w:rsidR="0092216E" w:rsidRPr="00E52B90" w:rsidRDefault="0092216E" w:rsidP="006026D9">
      <w:pPr>
        <w:spacing w:line="276" w:lineRule="auto"/>
        <w:jc w:val="both"/>
        <w:rPr>
          <w:rFonts w:ascii="Arial" w:eastAsia="Times New Roman" w:hAnsi="Arial" w:cs="Arial"/>
          <w:b/>
          <w:bCs/>
          <w:color w:val="000000" w:themeColor="text1"/>
          <w:sz w:val="22"/>
          <w:lang w:val="es-ES" w:eastAsia="es-ES_tradnl"/>
        </w:rPr>
      </w:pPr>
    </w:p>
    <w:p w14:paraId="431BC952" w14:textId="70583AE5" w:rsidR="0092216E" w:rsidRPr="00E52B90" w:rsidRDefault="00C33F31" w:rsidP="006026D9">
      <w:pPr>
        <w:spacing w:after="120"/>
        <w:ind w:left="709" w:right="709"/>
        <w:jc w:val="both"/>
        <w:rPr>
          <w:rFonts w:ascii="Arial" w:eastAsia="Times New Roman" w:hAnsi="Arial" w:cs="Arial"/>
          <w:bCs/>
          <w:color w:val="000000" w:themeColor="text1"/>
          <w:sz w:val="21"/>
          <w:szCs w:val="21"/>
          <w:lang w:val="es-ES" w:eastAsia="es-ES_tradnl"/>
        </w:rPr>
      </w:pPr>
      <w:r w:rsidRPr="00E52B90">
        <w:rPr>
          <w:rFonts w:ascii="Arial" w:eastAsia="Times New Roman" w:hAnsi="Arial" w:cs="Arial"/>
          <w:bCs/>
          <w:color w:val="000000" w:themeColor="text1"/>
          <w:sz w:val="21"/>
          <w:szCs w:val="21"/>
          <w:lang w:val="es-ES" w:eastAsia="es-ES_tradnl"/>
        </w:rPr>
        <w:t>ii)</w:t>
      </w:r>
      <w:r w:rsidR="00847E94" w:rsidRPr="00E52B90">
        <w:rPr>
          <w:rFonts w:ascii="Arial" w:eastAsia="Times New Roman" w:hAnsi="Arial" w:cs="Arial"/>
          <w:bCs/>
          <w:color w:val="000000" w:themeColor="text1"/>
          <w:sz w:val="21"/>
          <w:szCs w:val="21"/>
          <w:lang w:val="es-ES" w:eastAsia="es-ES_tradnl"/>
        </w:rPr>
        <w:t xml:space="preserve"> </w:t>
      </w:r>
      <w:r w:rsidRPr="00E52B90">
        <w:rPr>
          <w:rFonts w:ascii="Arial" w:eastAsia="Times New Roman" w:hAnsi="Arial" w:cs="Arial"/>
          <w:bCs/>
          <w:color w:val="000000" w:themeColor="text1"/>
          <w:sz w:val="21"/>
          <w:szCs w:val="21"/>
          <w:lang w:val="es-ES" w:eastAsia="es-ES_tradnl"/>
        </w:rPr>
        <w:t>«</w:t>
      </w:r>
      <w:r w:rsidR="00847E94" w:rsidRPr="00E52B90">
        <w:rPr>
          <w:rFonts w:ascii="Arial" w:eastAsia="Times New Roman" w:hAnsi="Arial" w:cs="Arial"/>
          <w:bCs/>
          <w:color w:val="000000" w:themeColor="text1"/>
          <w:sz w:val="21"/>
          <w:szCs w:val="21"/>
          <w:lang w:val="es-ES" w:eastAsia="es-ES_tradnl"/>
        </w:rPr>
        <w:t>¿En los convenios del artículo 96 de la Ley 489 de 1998, para la declaratoria de incumplimiento aplica el artículo 86 de la Ley 1474 de 2011?</w:t>
      </w:r>
      <w:r w:rsidRPr="00E52B90">
        <w:rPr>
          <w:rFonts w:ascii="Arial" w:eastAsia="Times New Roman" w:hAnsi="Arial" w:cs="Arial"/>
          <w:bCs/>
          <w:color w:val="000000" w:themeColor="text1"/>
          <w:sz w:val="21"/>
          <w:szCs w:val="21"/>
          <w:lang w:val="es-ES" w:eastAsia="es-ES_tradnl"/>
        </w:rPr>
        <w:t>».</w:t>
      </w:r>
    </w:p>
    <w:p w14:paraId="084F0063" w14:textId="03D84FEB" w:rsidR="0092216E" w:rsidRPr="00E52B90" w:rsidRDefault="00C33F31" w:rsidP="006026D9">
      <w:pPr>
        <w:ind w:left="709" w:right="709"/>
        <w:jc w:val="both"/>
        <w:rPr>
          <w:rFonts w:ascii="Arial" w:eastAsia="Times New Roman" w:hAnsi="Arial" w:cs="Arial"/>
          <w:bCs/>
          <w:color w:val="000000" w:themeColor="text1"/>
          <w:sz w:val="21"/>
          <w:szCs w:val="21"/>
          <w:lang w:val="es-ES" w:eastAsia="es-ES_tradnl"/>
        </w:rPr>
      </w:pPr>
      <w:r w:rsidRPr="00E52B90">
        <w:rPr>
          <w:rFonts w:ascii="Arial" w:eastAsia="Times New Roman" w:hAnsi="Arial" w:cs="Arial"/>
          <w:bCs/>
          <w:color w:val="000000" w:themeColor="text1"/>
          <w:sz w:val="21"/>
          <w:szCs w:val="21"/>
          <w:lang w:val="es-ES" w:eastAsia="es-ES_tradnl"/>
        </w:rPr>
        <w:t>iii)</w:t>
      </w:r>
      <w:r w:rsidR="0092216E" w:rsidRPr="00E52B90">
        <w:rPr>
          <w:rFonts w:ascii="Arial" w:eastAsia="Times New Roman" w:hAnsi="Arial" w:cs="Arial"/>
          <w:bCs/>
          <w:color w:val="000000" w:themeColor="text1"/>
          <w:sz w:val="21"/>
          <w:szCs w:val="21"/>
          <w:lang w:val="es-ES" w:eastAsia="es-ES_tradnl"/>
        </w:rPr>
        <w:t xml:space="preserve"> </w:t>
      </w:r>
      <w:r w:rsidRPr="00E52B90">
        <w:rPr>
          <w:rFonts w:ascii="Arial" w:eastAsia="Times New Roman" w:hAnsi="Arial" w:cs="Arial"/>
          <w:bCs/>
          <w:color w:val="000000" w:themeColor="text1"/>
          <w:sz w:val="21"/>
          <w:szCs w:val="21"/>
          <w:lang w:val="es-ES" w:eastAsia="es-ES_tradnl"/>
        </w:rPr>
        <w:t>«</w:t>
      </w:r>
      <w:r w:rsidR="0092216E" w:rsidRPr="00E52B90">
        <w:rPr>
          <w:rFonts w:ascii="Arial" w:eastAsia="Times New Roman" w:hAnsi="Arial" w:cs="Arial"/>
          <w:bCs/>
          <w:color w:val="000000" w:themeColor="text1"/>
          <w:sz w:val="21"/>
          <w:szCs w:val="21"/>
          <w:lang w:val="es-ES" w:eastAsia="es-ES_tradnl"/>
        </w:rPr>
        <w:t>¿En los contratos del artículo 2º del Decreto 92 de 2017, para la declaratoria de incumplimiento aplica el artículo 86 de la Ley 1474 de 2011?</w:t>
      </w:r>
      <w:r w:rsidRPr="00E52B90">
        <w:rPr>
          <w:rFonts w:ascii="Arial" w:eastAsia="Times New Roman" w:hAnsi="Arial" w:cs="Arial"/>
          <w:bCs/>
          <w:color w:val="000000" w:themeColor="text1"/>
          <w:sz w:val="21"/>
          <w:szCs w:val="21"/>
          <w:lang w:val="es-ES" w:eastAsia="es-ES_tradnl"/>
        </w:rPr>
        <w:t>».</w:t>
      </w:r>
    </w:p>
    <w:p w14:paraId="59CE7CED" w14:textId="77777777" w:rsidR="0092216E" w:rsidRPr="00E52B90" w:rsidRDefault="0092216E" w:rsidP="006026D9">
      <w:pPr>
        <w:spacing w:line="276" w:lineRule="auto"/>
        <w:ind w:firstLine="708"/>
        <w:jc w:val="both"/>
        <w:rPr>
          <w:rFonts w:ascii="Arial" w:hAnsi="Arial" w:cs="Arial"/>
          <w:sz w:val="22"/>
          <w:lang w:val="es-ES"/>
        </w:rPr>
      </w:pPr>
    </w:p>
    <w:p w14:paraId="5C8ECFD9" w14:textId="209F575B" w:rsidR="00C33F31" w:rsidRPr="00E52B90" w:rsidRDefault="00C33F31" w:rsidP="006026D9">
      <w:pPr>
        <w:spacing w:before="120" w:after="120" w:line="276" w:lineRule="auto"/>
        <w:jc w:val="both"/>
        <w:rPr>
          <w:rFonts w:ascii="Arial" w:hAnsi="Arial" w:cs="Arial"/>
          <w:color w:val="000000" w:themeColor="text1"/>
          <w:sz w:val="22"/>
          <w:lang w:val="es-ES_tradnl"/>
        </w:rPr>
      </w:pPr>
      <w:r w:rsidRPr="00E52B90">
        <w:rPr>
          <w:rFonts w:ascii="Arial" w:eastAsia="Calibri" w:hAnsi="Arial" w:cs="Arial"/>
          <w:sz w:val="22"/>
          <w:lang w:val="es-ES_tradnl"/>
        </w:rPr>
        <w:lastRenderedPageBreak/>
        <w:t>Aunque</w:t>
      </w:r>
      <w:r w:rsidRPr="00E52B90">
        <w:rPr>
          <w:rFonts w:ascii="Arial" w:eastAsia="Calibri" w:hAnsi="Arial" w:cs="Arial"/>
          <w:bCs/>
          <w:color w:val="000000" w:themeColor="text1"/>
          <w:sz w:val="22"/>
          <w:lang w:val="es-ES_tradnl"/>
        </w:rPr>
        <w:t xml:space="preserve"> </w:t>
      </w:r>
      <w:r w:rsidRPr="00E52B90">
        <w:rPr>
          <w:rFonts w:ascii="Arial" w:hAnsi="Arial" w:cs="Arial"/>
          <w:color w:val="000000" w:themeColor="text1"/>
          <w:sz w:val="22"/>
          <w:lang w:val="es-ES_tradnl"/>
        </w:rPr>
        <w:t xml:space="preserve">tratándose de convenios de asociación </w:t>
      </w:r>
      <w:r w:rsidRPr="00E52B90">
        <w:rPr>
          <w:rFonts w:ascii="Arial" w:hAnsi="Arial" w:cs="Arial"/>
          <w:i/>
          <w:iCs/>
          <w:color w:val="000000" w:themeColor="text1"/>
          <w:sz w:val="22"/>
          <w:lang w:val="es-ES_tradnl"/>
        </w:rPr>
        <w:t>entre entidades públicas</w:t>
      </w:r>
      <w:r w:rsidRPr="00E52B90">
        <w:rPr>
          <w:rFonts w:ascii="Arial" w:hAnsi="Arial" w:cs="Arial"/>
          <w:color w:val="000000" w:themeColor="text1"/>
          <w:sz w:val="22"/>
          <w:lang w:val="es-ES_tradnl"/>
        </w:rPr>
        <w:t>, no resulta procedente el ejercicio de facultades unilaterales –pues en aquellos convenios las entidades estatales tienen una «finalidad asociativa» y actúan en pie de igualdad–, esta conclusión no es predicable de los contratos de colaboración y los convenios de asociación entre entidades públicas y ESAL del Decreto 092 de 2017 –que desarrolla tanto el artículo 355 superior como el artículo 96 de la Ley 489 de 1998–</w:t>
      </w:r>
      <w:r w:rsidR="003C752E" w:rsidRPr="00E52B90">
        <w:rPr>
          <w:rFonts w:ascii="Arial" w:hAnsi="Arial" w:cs="Arial"/>
          <w:color w:val="000000" w:themeColor="text1"/>
          <w:sz w:val="22"/>
          <w:lang w:val="es-ES_tradnl"/>
        </w:rPr>
        <w:t>, pues no se celebran entre entidades estatales</w:t>
      </w:r>
      <w:r w:rsidRPr="00E52B90">
        <w:rPr>
          <w:rFonts w:ascii="Arial" w:hAnsi="Arial" w:cs="Arial"/>
          <w:color w:val="000000" w:themeColor="text1"/>
          <w:sz w:val="22"/>
          <w:lang w:val="es-ES_tradnl"/>
        </w:rPr>
        <w:t xml:space="preserve">. Esto por cuanto, como se explicó anteriormente y como lo viene sosteniendo la Agencia a partir del concepto C-223 del 29 de abril de 2020, el Decreto 092 de 2017 realiza una remisión a las disposiciones del Estatuto General de Contratación de la Administración Pública para aquellas materias que no estén expresamente reguladas en dicho reglamento. La competencia para imponer sanciones y el procedimiento administrativo para su aplicación son dos (2) de tales materias. </w:t>
      </w:r>
    </w:p>
    <w:p w14:paraId="045571DE" w14:textId="4699DEB2" w:rsidR="00681ABE" w:rsidRPr="00E52B90" w:rsidRDefault="003C752E" w:rsidP="00B86532">
      <w:pPr>
        <w:spacing w:after="120" w:line="276" w:lineRule="auto"/>
        <w:ind w:firstLine="708"/>
        <w:jc w:val="both"/>
        <w:rPr>
          <w:rFonts w:ascii="Arial" w:eastAsia="Calibri" w:hAnsi="Arial" w:cs="Arial"/>
          <w:color w:val="000000" w:themeColor="text1"/>
          <w:sz w:val="22"/>
        </w:rPr>
      </w:pPr>
      <w:r w:rsidRPr="00E52B90">
        <w:rPr>
          <w:rFonts w:ascii="Arial" w:hAnsi="Arial" w:cs="Arial"/>
          <w:color w:val="000000" w:themeColor="text1"/>
          <w:sz w:val="22"/>
          <w:lang w:val="es-ES_tradnl"/>
        </w:rPr>
        <w:t xml:space="preserve">Por lo tanto, ante el silencio del Decreto 092 de 2017 en lo que respecta a la competencia sancionadora y el procedimiento administrativo correspondiente, son aplicables los artículos 14 y 18 de la Ley 80 de 1993, el artículo 17 de la Ley 1150 de 2007 y el artículo 86 de la Ley 1474 de 2011 a los convenios regulados por dicho reglamento autónomo, ya que –a diferencia de los convenios del artículo 96 de la Ley 489 de 1998– no se celebran entre entidades públicas. En conjunto, las normas citadas les reconocen a las entidades estatales competencia, entre otras, para la </w:t>
      </w:r>
      <w:r w:rsidRPr="00E52B90">
        <w:rPr>
          <w:rFonts w:ascii="Arial" w:eastAsia="Calibri" w:hAnsi="Arial" w:cs="Arial"/>
          <w:color w:val="000000" w:themeColor="text1"/>
          <w:sz w:val="22"/>
        </w:rPr>
        <w:t>declaración de incumplimiento con miras a decretar la caducidad o hacer efectivas las multas o la cláusula penal pecuniaria de acuerdo con el procedimiento previsto en el Estatuto Anticorrupción</w:t>
      </w:r>
      <w:r w:rsidRPr="00E52B90">
        <w:rPr>
          <w:rFonts w:ascii="Arial" w:hAnsi="Arial" w:cs="Arial"/>
          <w:color w:val="000000" w:themeColor="text1"/>
          <w:sz w:val="22"/>
          <w:lang w:val="es-ES_tradnl"/>
        </w:rPr>
        <w:t>. Dichas atribuciones también se tienen para ejercer la potestad sancionadora en los contratos de colaboración y los convenios de asociación, por la remisión especial prevista en el artículo 8 del Decreto 092 de 2017 a las normas generales aplicables a la contratación pública</w:t>
      </w:r>
      <w:r w:rsidR="00D051D2" w:rsidRPr="00E52B90">
        <w:rPr>
          <w:rFonts w:ascii="Arial" w:eastAsia="Calibri" w:hAnsi="Arial" w:cs="Arial"/>
          <w:color w:val="000000" w:themeColor="text1"/>
          <w:sz w:val="22"/>
        </w:rPr>
        <w:t>.</w:t>
      </w:r>
    </w:p>
    <w:p w14:paraId="3A5403D4" w14:textId="77777777" w:rsidR="00C33F31" w:rsidRPr="00E52B90" w:rsidRDefault="00C33F31" w:rsidP="006026D9">
      <w:pPr>
        <w:spacing w:line="276" w:lineRule="auto"/>
        <w:ind w:firstLine="708"/>
        <w:jc w:val="both"/>
        <w:rPr>
          <w:rFonts w:ascii="Arial" w:eastAsia="Calibri" w:hAnsi="Arial" w:cs="Arial"/>
          <w:color w:val="000000" w:themeColor="text1"/>
          <w:sz w:val="22"/>
        </w:rPr>
      </w:pPr>
    </w:p>
    <w:p w14:paraId="138D33A2" w14:textId="1F5FAB06" w:rsidR="00BE1E33" w:rsidRPr="00E52B90" w:rsidRDefault="00BE1E33" w:rsidP="006026D9">
      <w:pPr>
        <w:spacing w:line="276" w:lineRule="auto"/>
        <w:jc w:val="both"/>
        <w:rPr>
          <w:rFonts w:ascii="Arial" w:eastAsia="Times New Roman" w:hAnsi="Arial" w:cs="Arial"/>
          <w:sz w:val="22"/>
          <w:bdr w:val="none" w:sz="0" w:space="0" w:color="auto" w:frame="1"/>
          <w:shd w:val="clear" w:color="auto" w:fill="FFFFFF"/>
          <w:lang w:val="es-ES_tradnl" w:eastAsia="es-ES_tradnl"/>
        </w:rPr>
      </w:pPr>
      <w:r w:rsidRPr="00E52B90">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3430DAF9" w14:textId="77777777" w:rsidR="00F61FCE" w:rsidRPr="00E52B90" w:rsidRDefault="00F61FCE" w:rsidP="00B86532">
      <w:pPr>
        <w:spacing w:line="276" w:lineRule="auto"/>
        <w:ind w:firstLine="708"/>
        <w:jc w:val="both"/>
        <w:rPr>
          <w:rFonts w:ascii="Arial" w:eastAsia="Calibri" w:hAnsi="Arial" w:cs="Arial"/>
          <w:sz w:val="22"/>
          <w:lang w:val="es-ES_tradnl"/>
        </w:rPr>
      </w:pPr>
    </w:p>
    <w:p w14:paraId="2B02915D" w14:textId="77777777" w:rsidR="00BE1E33" w:rsidRPr="00E52B90" w:rsidRDefault="00BE1E33" w:rsidP="00B86532">
      <w:pPr>
        <w:spacing w:line="276" w:lineRule="auto"/>
        <w:jc w:val="both"/>
        <w:rPr>
          <w:rFonts w:ascii="Arial" w:eastAsia="Times New Roman" w:hAnsi="Arial" w:cs="Arial"/>
          <w:sz w:val="22"/>
          <w:lang w:val="es-ES_tradnl" w:eastAsia="es-CO"/>
        </w:rPr>
      </w:pPr>
      <w:r w:rsidRPr="00E52B90">
        <w:rPr>
          <w:rFonts w:ascii="Arial" w:eastAsia="Times New Roman" w:hAnsi="Arial" w:cs="Arial"/>
          <w:sz w:val="22"/>
          <w:lang w:val="es-ES_tradnl" w:eastAsia="es-CO"/>
        </w:rPr>
        <w:t>Atentamente,</w:t>
      </w:r>
    </w:p>
    <w:bookmarkEnd w:id="0"/>
    <w:bookmarkEnd w:id="1"/>
    <w:p w14:paraId="1C8F6984" w14:textId="53100FDA" w:rsidR="00BE1E33" w:rsidRPr="00E52B90" w:rsidRDefault="00BE1E33" w:rsidP="00B86532">
      <w:pPr>
        <w:spacing w:line="276" w:lineRule="auto"/>
        <w:jc w:val="center"/>
        <w:rPr>
          <w:rFonts w:ascii="Arial" w:eastAsia="Times New Roman" w:hAnsi="Arial" w:cs="Arial"/>
          <w:sz w:val="22"/>
          <w:lang w:val="es-ES_tradnl" w:eastAsia="es-CO"/>
        </w:rPr>
      </w:pPr>
    </w:p>
    <w:p w14:paraId="724B0300" w14:textId="345969A1" w:rsidR="00730CDB" w:rsidRPr="00E52B90" w:rsidRDefault="00546BE0">
      <w:pPr>
        <w:spacing w:line="276" w:lineRule="auto"/>
        <w:jc w:val="center"/>
        <w:rPr>
          <w:rFonts w:ascii="Arial" w:eastAsia="Times New Roman" w:hAnsi="Arial" w:cs="Arial"/>
          <w:sz w:val="22"/>
          <w:lang w:val="es-ES_tradnl" w:eastAsia="es-CO"/>
        </w:rPr>
      </w:pPr>
      <w:r w:rsidRPr="00E52B90">
        <w:rPr>
          <w:rFonts w:ascii="Arial" w:hAnsi="Arial" w:cs="Arial"/>
          <w:noProof/>
          <w:sz w:val="22"/>
          <w:lang w:val="en-US"/>
        </w:rPr>
        <w:drawing>
          <wp:inline distT="0" distB="0" distL="0" distR="0" wp14:anchorId="57D46200" wp14:editId="2A920E9A">
            <wp:extent cx="2924623" cy="1279522"/>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924623" cy="1279522"/>
                    </a:xfrm>
                    <a:prstGeom prst="rect">
                      <a:avLst/>
                    </a:prstGeom>
                  </pic:spPr>
                </pic:pic>
              </a:graphicData>
            </a:graphic>
          </wp:inline>
        </w:drawing>
      </w:r>
      <w:r w:rsidR="00346F88" w:rsidRPr="00E52B90">
        <w:rPr>
          <w:rFonts w:ascii="Arial" w:hAnsi="Arial" w:cs="Arial"/>
          <w:sz w:val="22"/>
          <w:shd w:val="clear" w:color="auto" w:fill="FFFFFF"/>
          <w:lang w:val="es-ES_tradnl"/>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5172"/>
      </w:tblGrid>
      <w:tr w:rsidR="00ED1F11" w:rsidRPr="00E52B90" w14:paraId="7E5CB93D" w14:textId="77777777" w:rsidTr="006026D9">
        <w:trPr>
          <w:trHeight w:val="315"/>
        </w:trPr>
        <w:tc>
          <w:tcPr>
            <w:tcW w:w="924" w:type="dxa"/>
            <w:vAlign w:val="center"/>
            <w:hideMark/>
          </w:tcPr>
          <w:p w14:paraId="44CFA06E" w14:textId="77777777" w:rsidR="00BE1E33" w:rsidRPr="00E52B90" w:rsidRDefault="00BE1E33"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Elaboró:</w:t>
            </w:r>
          </w:p>
        </w:tc>
        <w:tc>
          <w:tcPr>
            <w:tcW w:w="5172" w:type="dxa"/>
            <w:tcBorders>
              <w:top w:val="nil"/>
              <w:left w:val="nil"/>
              <w:bottom w:val="dotted" w:sz="4" w:space="0" w:color="7F7F7F" w:themeColor="text1" w:themeTint="80"/>
              <w:right w:val="nil"/>
            </w:tcBorders>
            <w:vAlign w:val="center"/>
            <w:hideMark/>
          </w:tcPr>
          <w:p w14:paraId="56D7561C" w14:textId="0FCFA97D" w:rsidR="00BE1E33" w:rsidRPr="00E52B90" w:rsidRDefault="00346F88"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Guillermo Escolar Flórez</w:t>
            </w:r>
          </w:p>
          <w:p w14:paraId="6C4A6DA1" w14:textId="5897BB3C" w:rsidR="00982E99" w:rsidRPr="00E52B90" w:rsidRDefault="00982E99"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Contratista de la Subdirección de Gestión Contractual</w:t>
            </w:r>
          </w:p>
        </w:tc>
      </w:tr>
      <w:tr w:rsidR="00ED1F11" w:rsidRPr="00E52B90" w14:paraId="092BCD16" w14:textId="77777777" w:rsidTr="006026D9">
        <w:trPr>
          <w:trHeight w:val="330"/>
        </w:trPr>
        <w:tc>
          <w:tcPr>
            <w:tcW w:w="924" w:type="dxa"/>
            <w:vAlign w:val="center"/>
            <w:hideMark/>
          </w:tcPr>
          <w:p w14:paraId="463B4DD3" w14:textId="77777777" w:rsidR="00BE1E33" w:rsidRPr="00E52B90" w:rsidRDefault="00BE1E33"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lastRenderedPageBreak/>
              <w:t>Revisó:</w:t>
            </w:r>
          </w:p>
        </w:tc>
        <w:tc>
          <w:tcPr>
            <w:tcW w:w="5172" w:type="dxa"/>
            <w:tcBorders>
              <w:top w:val="dotted" w:sz="4" w:space="0" w:color="7F7F7F" w:themeColor="text1" w:themeTint="80"/>
              <w:left w:val="nil"/>
              <w:bottom w:val="dotted" w:sz="4" w:space="0" w:color="7F7F7F" w:themeColor="text1" w:themeTint="80"/>
              <w:right w:val="nil"/>
            </w:tcBorders>
            <w:vAlign w:val="center"/>
            <w:hideMark/>
          </w:tcPr>
          <w:p w14:paraId="3D30E9FA" w14:textId="77777777" w:rsidR="002166C0" w:rsidRPr="00E52B90" w:rsidRDefault="002166C0" w:rsidP="006026D9">
            <w:pPr>
              <w:rPr>
                <w:rFonts w:ascii="Arial" w:eastAsia="Times New Roman" w:hAnsi="Arial" w:cs="Arial"/>
                <w:color w:val="000000" w:themeColor="text1"/>
                <w:sz w:val="16"/>
                <w:szCs w:val="16"/>
                <w:lang w:val="es-CO" w:eastAsia="es-ES"/>
              </w:rPr>
            </w:pPr>
            <w:r w:rsidRPr="00E52B90">
              <w:rPr>
                <w:rFonts w:ascii="Arial" w:eastAsia="Times New Roman" w:hAnsi="Arial" w:cs="Arial"/>
                <w:color w:val="000000" w:themeColor="text1"/>
                <w:sz w:val="16"/>
                <w:szCs w:val="16"/>
                <w:lang w:val="es-CO" w:eastAsia="es-ES"/>
              </w:rPr>
              <w:t xml:space="preserve">Juan David Montoya Penagos </w:t>
            </w:r>
          </w:p>
          <w:p w14:paraId="72718C99" w14:textId="188CDDFC" w:rsidR="00BE1E33" w:rsidRPr="00E52B90" w:rsidRDefault="002166C0" w:rsidP="006026D9">
            <w:pPr>
              <w:rPr>
                <w:rFonts w:ascii="Arial" w:eastAsia="Times New Roman" w:hAnsi="Arial" w:cs="Arial"/>
                <w:sz w:val="16"/>
                <w:szCs w:val="16"/>
                <w:lang w:val="es-ES_tradnl" w:eastAsia="es-ES"/>
              </w:rPr>
            </w:pPr>
            <w:r w:rsidRPr="00E52B90">
              <w:rPr>
                <w:rFonts w:ascii="Arial" w:eastAsia="Times New Roman" w:hAnsi="Arial" w:cs="Arial"/>
                <w:color w:val="000000" w:themeColor="text1"/>
                <w:sz w:val="16"/>
                <w:szCs w:val="16"/>
                <w:lang w:val="es-CO" w:eastAsia="es-ES"/>
              </w:rPr>
              <w:t>Gestor T1-15 de la Subdirección de Gestión Contractual</w:t>
            </w:r>
          </w:p>
        </w:tc>
      </w:tr>
      <w:tr w:rsidR="00982E99" w:rsidRPr="00B02AB2" w14:paraId="57DAFEF9" w14:textId="77777777" w:rsidTr="006026D9">
        <w:trPr>
          <w:trHeight w:val="300"/>
        </w:trPr>
        <w:tc>
          <w:tcPr>
            <w:tcW w:w="924" w:type="dxa"/>
            <w:vAlign w:val="center"/>
            <w:hideMark/>
          </w:tcPr>
          <w:p w14:paraId="70677013" w14:textId="77777777" w:rsidR="00BE1E33" w:rsidRPr="00E52B90" w:rsidRDefault="00BE1E33"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Aprobó:</w:t>
            </w:r>
          </w:p>
        </w:tc>
        <w:tc>
          <w:tcPr>
            <w:tcW w:w="5172"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E52B90" w:rsidRDefault="00346F88"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Jorge Augusto Tirado Navarro</w:t>
            </w:r>
          </w:p>
          <w:p w14:paraId="75BC677C" w14:textId="76A38807" w:rsidR="00BE1E33" w:rsidRPr="006026D9" w:rsidRDefault="00346F88"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Subdirector de Gestión Contractual</w:t>
            </w:r>
          </w:p>
        </w:tc>
      </w:tr>
    </w:tbl>
    <w:p w14:paraId="085A31AB" w14:textId="5A2FF330" w:rsidR="006C5955" w:rsidRPr="00B86532" w:rsidRDefault="006C5955" w:rsidP="00B86532">
      <w:pPr>
        <w:spacing w:line="276" w:lineRule="auto"/>
        <w:rPr>
          <w:rFonts w:ascii="Arial" w:hAnsi="Arial" w:cs="Arial"/>
          <w:sz w:val="22"/>
          <w:lang w:val="es-CO"/>
        </w:rPr>
      </w:pPr>
    </w:p>
    <w:p w14:paraId="7C9156C5" w14:textId="51FDBC12" w:rsidR="005E440E" w:rsidRPr="00B86532" w:rsidRDefault="005E440E" w:rsidP="00B86532">
      <w:pPr>
        <w:spacing w:line="276" w:lineRule="auto"/>
        <w:rPr>
          <w:rFonts w:ascii="Arial" w:hAnsi="Arial" w:cs="Arial"/>
          <w:sz w:val="22"/>
          <w:lang w:val="es-CO"/>
        </w:rPr>
      </w:pPr>
    </w:p>
    <w:p w14:paraId="0E24D948" w14:textId="73D9EFF2" w:rsidR="005E440E" w:rsidRPr="00B86532" w:rsidRDefault="005E440E" w:rsidP="00B86532">
      <w:pPr>
        <w:spacing w:line="276" w:lineRule="auto"/>
        <w:rPr>
          <w:rFonts w:ascii="Arial" w:hAnsi="Arial" w:cs="Arial"/>
          <w:sz w:val="22"/>
          <w:lang w:val="es-CO"/>
        </w:rPr>
      </w:pPr>
    </w:p>
    <w:p w14:paraId="2277C317" w14:textId="77777777" w:rsidR="005E440E" w:rsidRPr="00B86532" w:rsidRDefault="005E440E" w:rsidP="00B86532">
      <w:pPr>
        <w:spacing w:line="276" w:lineRule="auto"/>
        <w:jc w:val="both"/>
        <w:rPr>
          <w:rFonts w:ascii="Arial" w:hAnsi="Arial" w:cs="Arial"/>
          <w:sz w:val="22"/>
        </w:rPr>
      </w:pPr>
    </w:p>
    <w:p w14:paraId="67841242" w14:textId="77777777" w:rsidR="005E440E" w:rsidRPr="00B86532" w:rsidRDefault="005E440E" w:rsidP="00B86532">
      <w:pPr>
        <w:spacing w:line="276" w:lineRule="auto"/>
        <w:jc w:val="both"/>
        <w:rPr>
          <w:rFonts w:ascii="Arial" w:hAnsi="Arial" w:cs="Arial"/>
          <w:sz w:val="22"/>
        </w:rPr>
      </w:pPr>
    </w:p>
    <w:p w14:paraId="0AD7000B" w14:textId="77777777" w:rsidR="005E440E" w:rsidRPr="00B86532" w:rsidRDefault="005E440E" w:rsidP="00B86532">
      <w:pPr>
        <w:spacing w:line="276" w:lineRule="auto"/>
        <w:rPr>
          <w:rFonts w:ascii="Arial" w:hAnsi="Arial" w:cs="Arial"/>
          <w:sz w:val="22"/>
        </w:rPr>
      </w:pPr>
    </w:p>
    <w:sectPr w:rsidR="005E440E" w:rsidRPr="00B86532"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3708F" w14:textId="77777777" w:rsidR="00706CF4" w:rsidRDefault="00706CF4" w:rsidP="008C487C">
      <w:r>
        <w:separator/>
      </w:r>
    </w:p>
  </w:endnote>
  <w:endnote w:type="continuationSeparator" w:id="0">
    <w:p w14:paraId="30B23689" w14:textId="77777777" w:rsidR="00706CF4" w:rsidRDefault="00706CF4"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596BA1" w:rsidRDefault="00596BA1" w:rsidP="0043588C">
    <w:pPr>
      <w:pStyle w:val="Sinespaciado"/>
      <w:jc w:val="right"/>
      <w:rPr>
        <w:rFonts w:ascii="Arial" w:hAnsi="Arial" w:cs="Arial"/>
        <w:sz w:val="18"/>
        <w:szCs w:val="18"/>
      </w:rPr>
    </w:pPr>
  </w:p>
  <w:p w14:paraId="709352A1" w14:textId="77777777" w:rsidR="00596BA1" w:rsidRDefault="00596BA1" w:rsidP="0043588C">
    <w:pPr>
      <w:pStyle w:val="Sinespaciado"/>
      <w:jc w:val="right"/>
      <w:rPr>
        <w:rFonts w:ascii="Arial" w:hAnsi="Arial" w:cs="Arial"/>
        <w:sz w:val="18"/>
        <w:szCs w:val="18"/>
      </w:rPr>
    </w:pPr>
  </w:p>
  <w:p w14:paraId="3D3EB348" w14:textId="7E8128F7" w:rsidR="00596BA1" w:rsidRPr="008217B7" w:rsidRDefault="00596BA1"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66C55">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66C55">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9709EEF" w14:textId="77777777" w:rsidR="00596BA1" w:rsidRDefault="00596BA1"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596BA1" w:rsidRPr="00E756AC" w:rsidRDefault="00596BA1" w:rsidP="0043588C">
    <w:pPr>
      <w:pStyle w:val="Piedepgina"/>
      <w:jc w:val="center"/>
      <w:rPr>
        <w:sz w:val="18"/>
        <w:szCs w:val="18"/>
        <w:lang w:val="es-ES"/>
      </w:rPr>
    </w:pPr>
  </w:p>
  <w:p w14:paraId="428179B1" w14:textId="77777777" w:rsidR="00596BA1" w:rsidRPr="00E756AC" w:rsidRDefault="00596BA1"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154D9" w14:textId="77777777" w:rsidR="00706CF4" w:rsidRDefault="00706CF4" w:rsidP="008C487C">
      <w:r>
        <w:separator/>
      </w:r>
    </w:p>
  </w:footnote>
  <w:footnote w:type="continuationSeparator" w:id="0">
    <w:p w14:paraId="446F6A8B" w14:textId="77777777" w:rsidR="00706CF4" w:rsidRDefault="00706CF4" w:rsidP="008C487C">
      <w:r>
        <w:continuationSeparator/>
      </w:r>
    </w:p>
  </w:footnote>
  <w:footnote w:id="1">
    <w:p w14:paraId="39580486" w14:textId="77777777" w:rsidR="00524B1D" w:rsidRPr="007A4DBA" w:rsidRDefault="00524B1D" w:rsidP="00524B1D">
      <w:pPr>
        <w:ind w:firstLine="709"/>
        <w:jc w:val="both"/>
        <w:rPr>
          <w:rFonts w:ascii="Arial" w:hAnsi="Arial" w:cs="Arial"/>
          <w:color w:val="000000" w:themeColor="text1"/>
          <w:sz w:val="19"/>
          <w:szCs w:val="19"/>
        </w:rPr>
      </w:pPr>
      <w:r w:rsidRPr="007A4DBA">
        <w:rPr>
          <w:rStyle w:val="Refdenotaalpie"/>
          <w:rFonts w:ascii="Arial" w:hAnsi="Arial" w:cs="Arial"/>
          <w:color w:val="000000" w:themeColor="text1"/>
          <w:sz w:val="19"/>
          <w:szCs w:val="19"/>
        </w:rPr>
        <w:footnoteRef/>
      </w:r>
      <w:r w:rsidRPr="007A4DBA">
        <w:rPr>
          <w:rStyle w:val="Refdenotaalpie"/>
          <w:rFonts w:ascii="Arial" w:hAnsi="Arial" w:cs="Arial"/>
          <w:color w:val="000000" w:themeColor="text1"/>
          <w:sz w:val="19"/>
          <w:szCs w:val="19"/>
        </w:rPr>
        <w:t xml:space="preserve"> </w:t>
      </w:r>
      <w:r w:rsidRPr="007A4DBA">
        <w:rPr>
          <w:rFonts w:ascii="Arial" w:hAnsi="Arial" w:cs="Arial"/>
          <w:color w:val="000000" w:themeColor="text1"/>
          <w:sz w:val="19"/>
          <w:szCs w:val="19"/>
        </w:rPr>
        <w:t>Ley 1150 de 2007, artículo 2, literal 4, numeral c, modificada por el artículo 92 de la Ley 1474 de 2011.</w:t>
      </w:r>
    </w:p>
    <w:p w14:paraId="00B26538" w14:textId="77777777" w:rsidR="00524B1D" w:rsidRPr="007A4DBA" w:rsidRDefault="00524B1D" w:rsidP="00524B1D">
      <w:pPr>
        <w:ind w:firstLine="709"/>
        <w:jc w:val="both"/>
        <w:rPr>
          <w:rFonts w:ascii="Arial" w:hAnsi="Arial" w:cs="Arial"/>
          <w:color w:val="000000" w:themeColor="text1"/>
          <w:sz w:val="19"/>
          <w:szCs w:val="19"/>
        </w:rPr>
      </w:pPr>
    </w:p>
  </w:footnote>
  <w:footnote w:id="2">
    <w:p w14:paraId="56E1D555" w14:textId="77777777" w:rsidR="00524B1D" w:rsidRPr="007A4DBA" w:rsidRDefault="00524B1D" w:rsidP="00524B1D">
      <w:pPr>
        <w:ind w:firstLine="709"/>
        <w:jc w:val="both"/>
        <w:rPr>
          <w:rFonts w:ascii="Arial" w:hAnsi="Arial" w:cs="Arial"/>
          <w:color w:val="000000" w:themeColor="text1"/>
          <w:sz w:val="19"/>
          <w:szCs w:val="19"/>
        </w:rPr>
      </w:pPr>
      <w:r w:rsidRPr="007A4DBA">
        <w:rPr>
          <w:rStyle w:val="Refdenotaalpie"/>
          <w:rFonts w:ascii="Arial" w:hAnsi="Arial" w:cs="Arial"/>
          <w:color w:val="000000" w:themeColor="text1"/>
          <w:sz w:val="19"/>
          <w:szCs w:val="19"/>
        </w:rPr>
        <w:footnoteRef/>
      </w:r>
      <w:r w:rsidRPr="007A4DBA">
        <w:rPr>
          <w:rStyle w:val="Refdenotaalpie"/>
          <w:rFonts w:ascii="Arial" w:hAnsi="Arial" w:cs="Arial"/>
          <w:color w:val="000000" w:themeColor="text1"/>
          <w:sz w:val="19"/>
          <w:szCs w:val="19"/>
        </w:rPr>
        <w:t xml:space="preserve"> </w:t>
      </w:r>
      <w:r w:rsidRPr="007A4DBA">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30C1FC5E" w14:textId="77777777" w:rsidR="00524B1D" w:rsidRPr="007A4DBA" w:rsidRDefault="00524B1D" w:rsidP="00524B1D">
      <w:pPr>
        <w:ind w:firstLine="709"/>
        <w:jc w:val="both"/>
        <w:rPr>
          <w:rFonts w:ascii="Arial" w:hAnsi="Arial" w:cs="Arial"/>
          <w:color w:val="000000" w:themeColor="text1"/>
          <w:sz w:val="19"/>
          <w:szCs w:val="19"/>
        </w:rPr>
      </w:pPr>
    </w:p>
  </w:footnote>
  <w:footnote w:id="3">
    <w:p w14:paraId="1CFB62F7" w14:textId="77777777" w:rsidR="00524B1D" w:rsidRPr="007A4DBA" w:rsidRDefault="00524B1D" w:rsidP="00524B1D">
      <w:pPr>
        <w:pStyle w:val="Textonotapie"/>
        <w:ind w:firstLine="709"/>
        <w:jc w:val="both"/>
        <w:rPr>
          <w:rFonts w:ascii="Arial" w:eastAsia="Calibri" w:hAnsi="Arial" w:cs="Arial"/>
          <w:color w:val="000000" w:themeColor="text1"/>
          <w:sz w:val="19"/>
          <w:szCs w:val="19"/>
        </w:rPr>
      </w:pPr>
      <w:r w:rsidRPr="007A4DBA">
        <w:rPr>
          <w:rStyle w:val="Refdenotaalpie"/>
          <w:rFonts w:ascii="Arial" w:hAnsi="Arial" w:cs="Arial"/>
          <w:sz w:val="19"/>
          <w:szCs w:val="19"/>
        </w:rPr>
        <w:footnoteRef/>
      </w:r>
      <w:r w:rsidRPr="007A4DBA">
        <w:rPr>
          <w:rFonts w:ascii="Arial" w:hAnsi="Arial" w:cs="Arial"/>
          <w:sz w:val="19"/>
          <w:szCs w:val="19"/>
        </w:rPr>
        <w:t xml:space="preserve"> </w:t>
      </w:r>
      <w:r w:rsidRPr="007A4DBA">
        <w:rPr>
          <w:rFonts w:ascii="Arial" w:eastAsia="Calibri" w:hAnsi="Arial" w:cs="Arial"/>
          <w:color w:val="000000" w:themeColor="text1"/>
          <w:sz w:val="19"/>
          <w:szCs w:val="19"/>
        </w:rPr>
        <w:t>Sentencia C-671 de 2015. Magistrado Ponente: Alberto Rojas Ríos.</w:t>
      </w:r>
    </w:p>
    <w:p w14:paraId="731055C6" w14:textId="77777777" w:rsidR="00524B1D" w:rsidRPr="007A4DBA" w:rsidRDefault="00524B1D" w:rsidP="00524B1D">
      <w:pPr>
        <w:pStyle w:val="Textonotapie"/>
        <w:ind w:firstLine="709"/>
        <w:jc w:val="both"/>
        <w:rPr>
          <w:rFonts w:ascii="Arial" w:eastAsia="Calibri" w:hAnsi="Arial" w:cs="Arial"/>
          <w:color w:val="000000" w:themeColor="text1"/>
          <w:sz w:val="19"/>
          <w:szCs w:val="19"/>
        </w:rPr>
      </w:pPr>
    </w:p>
  </w:footnote>
  <w:footnote w:id="4">
    <w:p w14:paraId="54B78809" w14:textId="77777777" w:rsidR="00524B1D" w:rsidRPr="007A4DBA" w:rsidRDefault="00524B1D" w:rsidP="00524B1D">
      <w:pPr>
        <w:pStyle w:val="Textonotapie"/>
        <w:ind w:firstLine="709"/>
        <w:jc w:val="both"/>
        <w:rPr>
          <w:rFonts w:ascii="Arial" w:hAnsi="Arial" w:cs="Arial"/>
          <w:color w:val="000000" w:themeColor="text1"/>
          <w:sz w:val="19"/>
          <w:szCs w:val="19"/>
        </w:rPr>
      </w:pPr>
      <w:r w:rsidRPr="007A4DBA">
        <w:rPr>
          <w:rStyle w:val="Refdenotaalpie"/>
          <w:rFonts w:ascii="Arial" w:hAnsi="Arial" w:cs="Arial"/>
          <w:color w:val="000000" w:themeColor="text1"/>
          <w:sz w:val="19"/>
          <w:szCs w:val="19"/>
        </w:rPr>
        <w:footnoteRef/>
      </w:r>
      <w:r w:rsidRPr="007A4DBA">
        <w:rPr>
          <w:rFonts w:ascii="Arial" w:hAnsi="Arial" w:cs="Arial"/>
          <w:color w:val="000000" w:themeColor="text1"/>
          <w:sz w:val="19"/>
          <w:szCs w:val="19"/>
        </w:rPr>
        <w:t xml:space="preserve"> </w:t>
      </w:r>
      <w:r w:rsidRPr="007A4DBA">
        <w:rPr>
          <w:rFonts w:ascii="Arial" w:hAnsi="Arial" w:cs="Arial"/>
          <w:color w:val="000000" w:themeColor="text1"/>
          <w:sz w:val="19"/>
          <w:szCs w:val="19"/>
        </w:rPr>
        <w:t>Consejo de Estado. Sección Tercera. Sentencia del 23 de junio de 2010. Radicación No. 66001-23-31-000-1998-00261-01(17.860). Consejero Ponente: Mauricio Fajardo Gómez.</w:t>
      </w:r>
    </w:p>
    <w:p w14:paraId="1FEAABE5" w14:textId="77777777" w:rsidR="00524B1D" w:rsidRPr="007A4DBA" w:rsidRDefault="00524B1D" w:rsidP="00524B1D">
      <w:pPr>
        <w:pStyle w:val="Textonotapie"/>
        <w:ind w:firstLine="709"/>
        <w:jc w:val="both"/>
        <w:rPr>
          <w:rFonts w:ascii="Arial" w:hAnsi="Arial" w:cs="Arial"/>
          <w:color w:val="000000" w:themeColor="text1"/>
          <w:sz w:val="19"/>
          <w:szCs w:val="19"/>
          <w:lang w:val="es-ES"/>
        </w:rPr>
      </w:pPr>
    </w:p>
  </w:footnote>
  <w:footnote w:id="5">
    <w:p w14:paraId="08D135E1" w14:textId="77777777" w:rsidR="00524B1D" w:rsidRPr="007A4DBA" w:rsidRDefault="00524B1D" w:rsidP="00524B1D">
      <w:pPr>
        <w:pStyle w:val="Textonotapie"/>
        <w:ind w:firstLine="709"/>
        <w:jc w:val="both"/>
        <w:rPr>
          <w:rFonts w:ascii="Arial" w:hAnsi="Arial" w:cs="Arial"/>
          <w:color w:val="000000" w:themeColor="text1"/>
          <w:sz w:val="19"/>
          <w:szCs w:val="19"/>
        </w:rPr>
      </w:pPr>
      <w:r w:rsidRPr="007A4DBA">
        <w:rPr>
          <w:rStyle w:val="Refdenotaalpie"/>
          <w:rFonts w:ascii="Arial" w:hAnsi="Arial" w:cs="Arial"/>
          <w:color w:val="000000" w:themeColor="text1"/>
          <w:sz w:val="19"/>
          <w:szCs w:val="19"/>
        </w:rPr>
        <w:footnoteRef/>
      </w:r>
      <w:r w:rsidRPr="007A4DBA">
        <w:rPr>
          <w:rFonts w:ascii="Arial" w:hAnsi="Arial" w:cs="Arial"/>
          <w:color w:val="000000" w:themeColor="text1"/>
          <w:sz w:val="19"/>
          <w:szCs w:val="19"/>
        </w:rPr>
        <w:t xml:space="preserve"> </w:t>
      </w:r>
      <w:r w:rsidRPr="007A4DBA">
        <w:rPr>
          <w:rFonts w:ascii="Arial" w:hAnsi="Arial" w:cs="Arial"/>
          <w:color w:val="000000" w:themeColor="text1"/>
          <w:sz w:val="19"/>
          <w:szCs w:val="19"/>
        </w:rPr>
        <w:t>Código Civil: «Artículo 27. Cuando el sentido de la ley sea claro, no se desatenderá su tenor a pretexto de consultar su espíritu».</w:t>
      </w:r>
    </w:p>
    <w:p w14:paraId="5D0CA95E" w14:textId="77777777" w:rsidR="00524B1D" w:rsidRPr="007A4DBA" w:rsidRDefault="00524B1D" w:rsidP="00524B1D">
      <w:pPr>
        <w:pStyle w:val="Textonotapie"/>
        <w:ind w:firstLine="709"/>
        <w:jc w:val="both"/>
        <w:rPr>
          <w:rFonts w:ascii="Arial" w:hAnsi="Arial" w:cs="Arial"/>
          <w:color w:val="000000" w:themeColor="text1"/>
          <w:sz w:val="19"/>
          <w:szCs w:val="19"/>
          <w:lang w:val="es-ES"/>
        </w:rPr>
      </w:pPr>
    </w:p>
  </w:footnote>
  <w:footnote w:id="6">
    <w:p w14:paraId="49CA5091" w14:textId="77777777" w:rsidR="00524B1D" w:rsidRPr="007A4DBA" w:rsidRDefault="00524B1D" w:rsidP="00524B1D">
      <w:pPr>
        <w:pStyle w:val="Textonotapie"/>
        <w:ind w:firstLine="709"/>
        <w:jc w:val="both"/>
        <w:rPr>
          <w:rFonts w:ascii="Arial" w:hAnsi="Arial" w:cs="Arial"/>
          <w:color w:val="000000" w:themeColor="text1"/>
          <w:sz w:val="19"/>
          <w:szCs w:val="19"/>
        </w:rPr>
      </w:pPr>
      <w:r w:rsidRPr="007A4DBA">
        <w:rPr>
          <w:rStyle w:val="Refdenotaalpie"/>
          <w:rFonts w:ascii="Arial" w:hAnsi="Arial" w:cs="Arial"/>
          <w:color w:val="000000" w:themeColor="text1"/>
          <w:sz w:val="19"/>
          <w:szCs w:val="19"/>
        </w:rPr>
        <w:footnoteRef/>
      </w:r>
      <w:r w:rsidRPr="007A4DBA">
        <w:rPr>
          <w:rFonts w:ascii="Arial" w:hAnsi="Arial" w:cs="Arial"/>
          <w:color w:val="000000" w:themeColor="text1"/>
          <w:sz w:val="19"/>
          <w:szCs w:val="19"/>
        </w:rPr>
        <w:t xml:space="preserve"> </w:t>
      </w:r>
      <w:r w:rsidRPr="007A4DBA">
        <w:rPr>
          <w:rFonts w:ascii="Arial" w:hAnsi="Arial" w:cs="Arial"/>
          <w:color w:val="000000" w:themeColor="text1"/>
          <w:sz w:val="19"/>
          <w:szCs w:val="19"/>
        </w:rPr>
        <w:t>Así lo prevé dicho artículo: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7181A736" w14:textId="7E83B68F" w:rsidR="00524B1D" w:rsidRDefault="00524B1D" w:rsidP="00524B1D">
      <w:pPr>
        <w:pStyle w:val="Textonotapie"/>
        <w:ind w:firstLine="709"/>
        <w:jc w:val="both"/>
        <w:rPr>
          <w:rFonts w:ascii="Arial" w:hAnsi="Arial" w:cs="Arial"/>
          <w:color w:val="000000" w:themeColor="text1"/>
          <w:sz w:val="19"/>
          <w:szCs w:val="19"/>
        </w:rPr>
      </w:pPr>
      <w:r w:rsidRPr="007A4DBA">
        <w:rPr>
          <w:rFonts w:ascii="Arial" w:hAnsi="Arial" w:cs="Arial"/>
          <w:color w:val="000000" w:themeColor="text1"/>
          <w:sz w:val="19"/>
          <w:szCs w:val="19"/>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p w14:paraId="1DFF83B0" w14:textId="77777777" w:rsidR="00524B1D" w:rsidRPr="007A4DBA" w:rsidRDefault="00524B1D" w:rsidP="00524B1D">
      <w:pPr>
        <w:pStyle w:val="Textonotapie"/>
        <w:ind w:firstLine="709"/>
        <w:jc w:val="both"/>
        <w:rPr>
          <w:rFonts w:ascii="Arial" w:hAnsi="Arial" w:cs="Arial"/>
          <w:color w:val="000000" w:themeColor="text1"/>
          <w:sz w:val="19"/>
          <w:szCs w:val="19"/>
        </w:rPr>
      </w:pPr>
    </w:p>
  </w:footnote>
  <w:footnote w:id="7">
    <w:p w14:paraId="7E04B0E7" w14:textId="1AFB4044" w:rsidR="00891979" w:rsidRDefault="00891979" w:rsidP="00891979">
      <w:pPr>
        <w:pStyle w:val="Textonotapie"/>
        <w:ind w:firstLine="708"/>
        <w:jc w:val="both"/>
        <w:rPr>
          <w:rFonts w:ascii="Arial" w:hAnsi="Arial" w:cs="Arial"/>
          <w:sz w:val="19"/>
          <w:szCs w:val="19"/>
        </w:rPr>
      </w:pPr>
      <w:r w:rsidRPr="00A9229F">
        <w:rPr>
          <w:rStyle w:val="Refdenotaalpie"/>
          <w:rFonts w:ascii="Arial" w:hAnsi="Arial" w:cs="Arial"/>
          <w:sz w:val="19"/>
          <w:szCs w:val="19"/>
        </w:rPr>
        <w:footnoteRef/>
      </w:r>
      <w:r w:rsidRPr="00A9229F">
        <w:rPr>
          <w:rFonts w:ascii="Arial" w:hAnsi="Arial" w:cs="Arial"/>
          <w:sz w:val="19"/>
          <w:szCs w:val="19"/>
        </w:rPr>
        <w:t xml:space="preserve"> </w:t>
      </w:r>
      <w:r>
        <w:rPr>
          <w:rFonts w:ascii="Arial" w:hAnsi="Arial" w:cs="Arial"/>
          <w:sz w:val="19"/>
          <w:szCs w:val="19"/>
        </w:rPr>
        <w:t xml:space="preserve">Cfr. </w:t>
      </w:r>
      <w:hyperlink r:id="rId1" w:history="1">
        <w:r w:rsidRPr="008A2938">
          <w:rPr>
            <w:rStyle w:val="Hipervnculo"/>
            <w:rFonts w:ascii="Arial" w:hAnsi="Arial" w:cs="Arial"/>
            <w:sz w:val="19"/>
            <w:szCs w:val="19"/>
          </w:rPr>
          <w:t>http://etimologias.dechile.net/?exorbitante</w:t>
        </w:r>
      </w:hyperlink>
      <w:r>
        <w:rPr>
          <w:rFonts w:ascii="Arial" w:hAnsi="Arial" w:cs="Arial"/>
          <w:sz w:val="19"/>
          <w:szCs w:val="19"/>
        </w:rPr>
        <w:t>. Consultado el 14 de octubre de 2021.</w:t>
      </w:r>
    </w:p>
    <w:p w14:paraId="15037732" w14:textId="77777777" w:rsidR="00891979" w:rsidRPr="00A9229F" w:rsidRDefault="00891979" w:rsidP="00891979">
      <w:pPr>
        <w:pStyle w:val="Textonotapie"/>
        <w:ind w:firstLine="708"/>
        <w:jc w:val="both"/>
        <w:rPr>
          <w:rFonts w:ascii="Arial" w:hAnsi="Arial" w:cs="Arial"/>
          <w:sz w:val="19"/>
          <w:szCs w:val="19"/>
          <w:lang w:val="es-ES"/>
        </w:rPr>
      </w:pPr>
    </w:p>
  </w:footnote>
  <w:footnote w:id="8">
    <w:p w14:paraId="41007495" w14:textId="77777777" w:rsidR="00891979" w:rsidRDefault="00891979" w:rsidP="00891979">
      <w:pPr>
        <w:pStyle w:val="Textonotapie"/>
        <w:ind w:firstLine="708"/>
        <w:jc w:val="both"/>
        <w:rPr>
          <w:rFonts w:ascii="Arial" w:hAnsi="Arial" w:cs="Arial"/>
          <w:sz w:val="19"/>
          <w:szCs w:val="19"/>
        </w:rPr>
      </w:pPr>
      <w:r w:rsidRPr="00A9229F">
        <w:rPr>
          <w:rStyle w:val="Refdenotaalpie"/>
          <w:rFonts w:ascii="Arial" w:hAnsi="Arial" w:cs="Arial"/>
          <w:sz w:val="19"/>
          <w:szCs w:val="19"/>
        </w:rPr>
        <w:footnoteRef/>
      </w:r>
      <w:r w:rsidRPr="00A9229F">
        <w:rPr>
          <w:rFonts w:ascii="Arial" w:hAnsi="Arial" w:cs="Arial"/>
          <w:sz w:val="19"/>
          <w:szCs w:val="19"/>
        </w:rPr>
        <w:t xml:space="preserve"> </w:t>
      </w:r>
      <w:r>
        <w:rPr>
          <w:rFonts w:ascii="Arial" w:hAnsi="Arial" w:cs="Arial"/>
          <w:sz w:val="19"/>
          <w:szCs w:val="19"/>
        </w:rPr>
        <w:t>En efecto, «</w:t>
      </w:r>
      <w:r w:rsidRPr="00860A39">
        <w:rPr>
          <w:rFonts w:ascii="Arial" w:hAnsi="Arial" w:cs="Arial"/>
          <w:sz w:val="19"/>
          <w:szCs w:val="19"/>
        </w:rPr>
        <w:t>Se llaman así porque son evidentemente diferentes del derecho común. No se concebirían en los contratos civiles porque quedaría roto el principio de igualdad entre las partes y el de libertad contractual. Estas cláusulas exorbitantes del derecho común sobrepasan el ámbito de este derecho, ya sea porque son inusuales o porque incluidas en los contratos de derecho privado resultarían ilícitas por exceder el ámbito de la libertad contractual. Vale decir, en consecuencia, que las cláusulas exorbitantes pueden ser inusuales o ilícitas y en este caso por afectar el orden público</w:t>
      </w:r>
      <w:r>
        <w:rPr>
          <w:rFonts w:ascii="Arial" w:hAnsi="Arial" w:cs="Arial"/>
          <w:sz w:val="19"/>
          <w:szCs w:val="19"/>
        </w:rPr>
        <w:t>» (</w:t>
      </w:r>
      <w:r w:rsidRPr="00A9229F">
        <w:rPr>
          <w:rFonts w:ascii="Arial" w:hAnsi="Arial" w:cs="Arial"/>
          <w:sz w:val="19"/>
          <w:szCs w:val="19"/>
        </w:rPr>
        <w:t>DÍEZ, Manuel María. Manual de derecho administrativo. Tomo I. Décima Edición. Buenos Aires: Editorial Plus Ultra. p. 293.</w:t>
      </w:r>
      <w:r>
        <w:rPr>
          <w:rFonts w:ascii="Arial" w:hAnsi="Arial" w:cs="Arial"/>
          <w:sz w:val="19"/>
          <w:szCs w:val="19"/>
        </w:rPr>
        <w:t xml:space="preserve"> En el mismo sentido, </w:t>
      </w:r>
      <w:r w:rsidRPr="00A9229F">
        <w:rPr>
          <w:rFonts w:ascii="Arial" w:hAnsi="Arial" w:cs="Arial"/>
          <w:sz w:val="19"/>
          <w:szCs w:val="19"/>
        </w:rPr>
        <w:t>RIVERÓ, Jean. Derecho Administrativo. Caracas: Universidad Central de Venezuela, 1984. pp. 128-129</w:t>
      </w:r>
      <w:r>
        <w:rPr>
          <w:rFonts w:ascii="Arial" w:hAnsi="Arial" w:cs="Arial"/>
          <w:sz w:val="19"/>
          <w:szCs w:val="19"/>
        </w:rPr>
        <w:t xml:space="preserve">. VEDEL, George. Derecho administrativo. Madrid: Editorial Aguilar, 1980. p. 191). </w:t>
      </w:r>
      <w:r w:rsidRPr="002F2DB4">
        <w:rPr>
          <w:rFonts w:ascii="Arial" w:hAnsi="Arial" w:cs="Arial"/>
          <w:sz w:val="19"/>
          <w:szCs w:val="19"/>
        </w:rPr>
        <w:t xml:space="preserve"> </w:t>
      </w:r>
    </w:p>
    <w:p w14:paraId="4985538B" w14:textId="77777777" w:rsidR="00891979" w:rsidRPr="00A9229F" w:rsidRDefault="00891979" w:rsidP="00891979">
      <w:pPr>
        <w:pStyle w:val="Textonotapie"/>
        <w:ind w:firstLine="708"/>
        <w:jc w:val="both"/>
        <w:rPr>
          <w:rFonts w:ascii="Arial" w:hAnsi="Arial" w:cs="Arial"/>
          <w:sz w:val="19"/>
          <w:szCs w:val="19"/>
          <w:lang w:val="es-ES"/>
        </w:rPr>
      </w:pPr>
    </w:p>
  </w:footnote>
  <w:footnote w:id="9">
    <w:p w14:paraId="42D0B08B" w14:textId="28456EFF" w:rsidR="00174532" w:rsidRPr="006026D9" w:rsidRDefault="00174532">
      <w:pPr>
        <w:pStyle w:val="Textonotapie"/>
        <w:ind w:firstLine="708"/>
        <w:jc w:val="both"/>
        <w:rPr>
          <w:rFonts w:ascii="Arial" w:hAnsi="Arial" w:cs="Arial"/>
          <w:color w:val="1B2B11" w:themeColor="accent6" w:themeShade="40"/>
          <w:sz w:val="19"/>
          <w:szCs w:val="19"/>
        </w:rPr>
      </w:pPr>
      <w:r w:rsidRPr="006026D9">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rPr>
        <w:t xml:space="preserve">Al respecto, la doctrina considera que «Los principios de la autonomía de la voluntad e igualdad jurídica de las partes, quedan subordinados en el contrato de la Administración. Es el interés público el que prevalece sobre los intereses privados </w:t>
      </w:r>
      <w:r w:rsidR="00FE1B8F">
        <w:rPr>
          <w:rFonts w:ascii="Arial" w:hAnsi="Arial" w:cs="Arial"/>
          <w:sz w:val="19"/>
          <w:szCs w:val="19"/>
        </w:rPr>
        <w:t>o de los particulares. En consecuencia, la Administración aparece investida de una posición de superioridad jurídica y de prerrogativas en cuanto a la interpretación, modificación y resolución del contrato en virtud de las “cláusulas exorbitantes al derecho común” que éste contine. En suma, esas prerrogativas de la Administración se manifiestan en la desigualdad jurídica de los contratantes y en las cláusulas exorbitantes al derecho común»</w:t>
      </w:r>
      <w:r w:rsidR="00B648FF">
        <w:rPr>
          <w:rFonts w:ascii="Arial" w:hAnsi="Arial" w:cs="Arial"/>
          <w:sz w:val="19"/>
          <w:szCs w:val="19"/>
        </w:rPr>
        <w:t xml:space="preserve"> (</w:t>
      </w:r>
      <w:r w:rsidR="00B648FF" w:rsidRPr="00EE5402">
        <w:rPr>
          <w:rFonts w:ascii="Arial" w:hAnsi="Arial" w:cs="Arial"/>
          <w:color w:val="1B2B11" w:themeColor="accent6" w:themeShade="40"/>
          <w:sz w:val="19"/>
          <w:szCs w:val="19"/>
        </w:rPr>
        <w:t xml:space="preserve">DROMI, José Roberto. La licitación pública. Buenos Aires: Ciudad Argentina, 1980. </w:t>
      </w:r>
      <w:r w:rsidR="00D6064B">
        <w:rPr>
          <w:rFonts w:ascii="Arial" w:hAnsi="Arial" w:cs="Arial"/>
          <w:color w:val="1B2B11" w:themeColor="accent6" w:themeShade="40"/>
          <w:sz w:val="19"/>
          <w:szCs w:val="19"/>
        </w:rPr>
        <w:t>p</w:t>
      </w:r>
      <w:r w:rsidR="00B648FF">
        <w:rPr>
          <w:rFonts w:ascii="Arial" w:hAnsi="Arial" w:cs="Arial"/>
          <w:color w:val="1B2B11" w:themeColor="accent6" w:themeShade="40"/>
          <w:sz w:val="19"/>
          <w:szCs w:val="19"/>
        </w:rPr>
        <w:t>. 50)</w:t>
      </w:r>
      <w:r w:rsidR="00FE1B8F">
        <w:rPr>
          <w:rFonts w:ascii="Arial" w:hAnsi="Arial" w:cs="Arial"/>
          <w:sz w:val="19"/>
          <w:szCs w:val="19"/>
        </w:rPr>
        <w:t xml:space="preserve">. </w:t>
      </w:r>
      <w:r w:rsidRPr="006026D9">
        <w:rPr>
          <w:rFonts w:ascii="Arial" w:hAnsi="Arial" w:cs="Arial"/>
          <w:sz w:val="19"/>
          <w:szCs w:val="19"/>
        </w:rPr>
        <w:t xml:space="preserve"> </w:t>
      </w:r>
    </w:p>
    <w:p w14:paraId="12543A3E" w14:textId="77777777" w:rsidR="00174532" w:rsidRPr="006026D9" w:rsidRDefault="00174532" w:rsidP="006026D9">
      <w:pPr>
        <w:pStyle w:val="Textonotapie"/>
        <w:ind w:firstLine="708"/>
        <w:jc w:val="both"/>
        <w:rPr>
          <w:rFonts w:ascii="Arial" w:hAnsi="Arial" w:cs="Arial"/>
          <w:sz w:val="19"/>
          <w:szCs w:val="19"/>
        </w:rPr>
      </w:pPr>
    </w:p>
  </w:footnote>
  <w:footnote w:id="10">
    <w:p w14:paraId="4926E63E" w14:textId="58E3972F" w:rsidR="0024539A" w:rsidRPr="006026D9" w:rsidRDefault="0024539A" w:rsidP="006026D9">
      <w:pPr>
        <w:pStyle w:val="Textonotapie"/>
        <w:ind w:firstLine="708"/>
        <w:jc w:val="both"/>
        <w:rPr>
          <w:rFonts w:ascii="Arial" w:hAnsi="Arial" w:cs="Arial"/>
          <w:sz w:val="19"/>
          <w:szCs w:val="19"/>
        </w:rPr>
      </w:pPr>
      <w:r w:rsidRPr="006026D9">
        <w:rPr>
          <w:rStyle w:val="Refdenotaalpie"/>
          <w:rFonts w:ascii="Arial" w:hAnsi="Arial" w:cs="Arial"/>
          <w:sz w:val="19"/>
          <w:szCs w:val="19"/>
        </w:rPr>
        <w:footnoteRef/>
      </w:r>
      <w:r w:rsidRPr="006026D9">
        <w:rPr>
          <w:rFonts w:ascii="Arial" w:hAnsi="Arial" w:cs="Arial"/>
          <w:sz w:val="19"/>
          <w:szCs w:val="19"/>
        </w:rPr>
        <w:t xml:space="preserve"> </w:t>
      </w:r>
      <w:r w:rsidRPr="0024539A">
        <w:rPr>
          <w:rFonts w:ascii="Arial" w:hAnsi="Arial" w:cs="Arial"/>
          <w:sz w:val="19"/>
          <w:szCs w:val="19"/>
        </w:rPr>
        <w:t>CASSAGNE,</w:t>
      </w:r>
      <w:r>
        <w:rPr>
          <w:rFonts w:ascii="Arial" w:hAnsi="Arial" w:cs="Arial"/>
          <w:sz w:val="19"/>
          <w:szCs w:val="19"/>
        </w:rPr>
        <w:t xml:space="preserve"> Juan Carlos.</w:t>
      </w:r>
      <w:r w:rsidRPr="0024539A">
        <w:rPr>
          <w:rFonts w:ascii="Arial" w:hAnsi="Arial" w:cs="Arial"/>
          <w:sz w:val="19"/>
          <w:szCs w:val="19"/>
        </w:rPr>
        <w:t xml:space="preserve"> El acto administrativo</w:t>
      </w:r>
      <w:r>
        <w:rPr>
          <w:rFonts w:ascii="Arial" w:hAnsi="Arial" w:cs="Arial"/>
          <w:sz w:val="19"/>
          <w:szCs w:val="19"/>
        </w:rPr>
        <w:t xml:space="preserve">. </w:t>
      </w:r>
      <w:r w:rsidRPr="0024539A">
        <w:rPr>
          <w:rFonts w:ascii="Arial" w:hAnsi="Arial" w:cs="Arial"/>
          <w:sz w:val="19"/>
          <w:szCs w:val="19"/>
        </w:rPr>
        <w:t>Buenos Aires</w:t>
      </w:r>
      <w:r>
        <w:rPr>
          <w:rFonts w:ascii="Arial" w:hAnsi="Arial" w:cs="Arial"/>
          <w:sz w:val="19"/>
          <w:szCs w:val="19"/>
        </w:rPr>
        <w:t>:</w:t>
      </w:r>
      <w:r w:rsidRPr="0024539A">
        <w:rPr>
          <w:rFonts w:ascii="Arial" w:hAnsi="Arial" w:cs="Arial"/>
          <w:sz w:val="19"/>
          <w:szCs w:val="19"/>
        </w:rPr>
        <w:t xml:space="preserve"> Abeledo Perrot,</w:t>
      </w:r>
      <w:r>
        <w:rPr>
          <w:rFonts w:ascii="Arial" w:hAnsi="Arial" w:cs="Arial"/>
          <w:sz w:val="19"/>
          <w:szCs w:val="19"/>
        </w:rPr>
        <w:t xml:space="preserve"> 1981.</w:t>
      </w:r>
      <w:r w:rsidRPr="0024539A">
        <w:rPr>
          <w:rFonts w:ascii="Arial" w:hAnsi="Arial" w:cs="Arial"/>
          <w:sz w:val="19"/>
          <w:szCs w:val="19"/>
        </w:rPr>
        <w:t xml:space="preserve"> p</w:t>
      </w:r>
      <w:r>
        <w:rPr>
          <w:rFonts w:ascii="Arial" w:hAnsi="Arial" w:cs="Arial"/>
          <w:sz w:val="19"/>
          <w:szCs w:val="19"/>
        </w:rPr>
        <w:t xml:space="preserve">. </w:t>
      </w:r>
      <w:r w:rsidRPr="0024539A">
        <w:rPr>
          <w:rFonts w:ascii="Arial" w:hAnsi="Arial" w:cs="Arial"/>
          <w:sz w:val="19"/>
          <w:szCs w:val="19"/>
        </w:rPr>
        <w:t>118</w:t>
      </w:r>
      <w:r>
        <w:rPr>
          <w:rFonts w:ascii="Arial" w:hAnsi="Arial" w:cs="Arial"/>
          <w:sz w:val="19"/>
          <w:szCs w:val="19"/>
        </w:rPr>
        <w:t>.</w:t>
      </w:r>
    </w:p>
  </w:footnote>
  <w:footnote w:id="11">
    <w:p w14:paraId="211A0802" w14:textId="7AC112A6" w:rsidR="00A54D07" w:rsidRPr="006026D9" w:rsidRDefault="00A54D07" w:rsidP="00A54D07">
      <w:pPr>
        <w:pStyle w:val="Textonotapie"/>
        <w:ind w:firstLine="708"/>
        <w:jc w:val="both"/>
        <w:rPr>
          <w:rFonts w:ascii="Arial" w:hAnsi="Arial" w:cs="Arial"/>
          <w:sz w:val="19"/>
          <w:szCs w:val="19"/>
        </w:rPr>
      </w:pPr>
      <w:r w:rsidRPr="006026D9">
        <w:rPr>
          <w:rStyle w:val="Refdenotaalpie"/>
          <w:rFonts w:ascii="Arial" w:hAnsi="Arial" w:cs="Arial"/>
          <w:sz w:val="19"/>
          <w:szCs w:val="19"/>
        </w:rPr>
        <w:footnoteRef/>
      </w:r>
      <w:r w:rsidRPr="006026D9">
        <w:rPr>
          <w:rFonts w:ascii="Arial" w:hAnsi="Arial" w:cs="Arial"/>
          <w:sz w:val="19"/>
          <w:szCs w:val="19"/>
        </w:rPr>
        <w:t xml:space="preserve"> </w:t>
      </w:r>
      <w:r w:rsidRPr="006026D9">
        <w:rPr>
          <w:rFonts w:ascii="Arial" w:hAnsi="Arial" w:cs="Arial"/>
          <w:sz w:val="19"/>
          <w:szCs w:val="19"/>
        </w:rPr>
        <w:t xml:space="preserve">CONSEJO DE ESTADO. </w:t>
      </w:r>
      <w:r w:rsidRPr="006026D9">
        <w:rPr>
          <w:rFonts w:ascii="Arial" w:eastAsia="Calibri" w:hAnsi="Arial" w:cs="Arial"/>
          <w:color w:val="000000" w:themeColor="text1"/>
          <w:sz w:val="19"/>
          <w:szCs w:val="19"/>
        </w:rPr>
        <w:t xml:space="preserve">Sala de Consulta y Servicio Civil. Concepto </w:t>
      </w:r>
      <w:r>
        <w:rPr>
          <w:rFonts w:ascii="Arial" w:eastAsia="Calibri" w:hAnsi="Arial" w:cs="Arial"/>
          <w:color w:val="000000" w:themeColor="text1"/>
          <w:sz w:val="19"/>
          <w:szCs w:val="19"/>
        </w:rPr>
        <w:t xml:space="preserve">del 1° de noviembre de 2016. Exp. 2305. C.P. </w:t>
      </w:r>
      <w:r w:rsidRPr="00A54D07">
        <w:rPr>
          <w:rFonts w:ascii="Arial" w:eastAsia="Calibri" w:hAnsi="Arial" w:cs="Arial"/>
          <w:color w:val="000000" w:themeColor="text1"/>
          <w:sz w:val="19"/>
          <w:szCs w:val="19"/>
        </w:rPr>
        <w:t>Germán Alberto Bula Escobar</w:t>
      </w:r>
      <w:r>
        <w:rPr>
          <w:rFonts w:ascii="Arial" w:eastAsia="Calibri" w:hAnsi="Arial" w:cs="Arial"/>
          <w:color w:val="000000" w:themeColor="text1"/>
          <w:sz w:val="19"/>
          <w:szCs w:val="19"/>
        </w:rPr>
        <w:t>.</w:t>
      </w:r>
    </w:p>
    <w:p w14:paraId="5649386B" w14:textId="77777777" w:rsidR="00A54D07" w:rsidRPr="006026D9" w:rsidRDefault="00A54D07" w:rsidP="006026D9">
      <w:pPr>
        <w:pStyle w:val="Textonotapie"/>
        <w:ind w:firstLine="708"/>
        <w:jc w:val="both"/>
        <w:rPr>
          <w:rFonts w:ascii="Arial" w:hAnsi="Arial" w:cs="Arial"/>
        </w:rPr>
      </w:pPr>
    </w:p>
  </w:footnote>
  <w:footnote w:id="12">
    <w:p w14:paraId="2921D45F" w14:textId="6FF53B77" w:rsidR="00FD2124" w:rsidRPr="006026D9" w:rsidRDefault="00FD2124" w:rsidP="006026D9">
      <w:pPr>
        <w:pStyle w:val="Textonotapie"/>
        <w:ind w:firstLine="708"/>
        <w:jc w:val="both"/>
        <w:rPr>
          <w:rFonts w:ascii="Arial" w:hAnsi="Arial" w:cs="Arial"/>
          <w:sz w:val="19"/>
          <w:szCs w:val="19"/>
        </w:rPr>
      </w:pPr>
      <w:r w:rsidRPr="006026D9">
        <w:rPr>
          <w:rStyle w:val="Refdenotaalpie"/>
          <w:rFonts w:ascii="Arial" w:hAnsi="Arial" w:cs="Arial"/>
          <w:sz w:val="19"/>
          <w:szCs w:val="19"/>
        </w:rPr>
        <w:footnoteRef/>
      </w:r>
      <w:r w:rsidRPr="006026D9">
        <w:rPr>
          <w:rFonts w:ascii="Arial" w:hAnsi="Arial" w:cs="Arial"/>
          <w:sz w:val="19"/>
          <w:szCs w:val="19"/>
        </w:rPr>
        <w:t xml:space="preserve"> </w:t>
      </w:r>
      <w:r w:rsidRPr="00DD1F25">
        <w:rPr>
          <w:rFonts w:ascii="Arial" w:hAnsi="Arial" w:cs="Arial"/>
          <w:sz w:val="19"/>
          <w:szCs w:val="19"/>
        </w:rPr>
        <w:t xml:space="preserve">CONSEJO DE ESTADO. </w:t>
      </w:r>
      <w:r w:rsidRPr="00DD1F25">
        <w:rPr>
          <w:rFonts w:ascii="Arial" w:eastAsia="Calibri" w:hAnsi="Arial" w:cs="Arial"/>
          <w:color w:val="000000" w:themeColor="text1"/>
          <w:sz w:val="19"/>
          <w:szCs w:val="19"/>
        </w:rPr>
        <w:t xml:space="preserve">Sala de Consulta y Servicio Civil. Concepto </w:t>
      </w:r>
      <w:r>
        <w:rPr>
          <w:rFonts w:ascii="Arial" w:eastAsia="Calibri" w:hAnsi="Arial" w:cs="Arial"/>
          <w:color w:val="000000" w:themeColor="text1"/>
          <w:sz w:val="19"/>
          <w:szCs w:val="19"/>
        </w:rPr>
        <w:t xml:space="preserve">del 26 de julio de 2016. Exp. 2257. C.P. </w:t>
      </w:r>
      <w:r w:rsidRPr="00FD2124">
        <w:rPr>
          <w:rFonts w:ascii="Arial" w:eastAsia="Calibri" w:hAnsi="Arial" w:cs="Arial"/>
          <w:color w:val="000000" w:themeColor="text1"/>
          <w:sz w:val="19"/>
          <w:szCs w:val="19"/>
        </w:rPr>
        <w:t>Álvaro Namén Vargas</w:t>
      </w:r>
      <w:r>
        <w:rPr>
          <w:rFonts w:ascii="Arial" w:eastAsia="Calibri" w:hAnsi="Arial" w:cs="Arial"/>
          <w:color w:val="000000" w:themeColor="text1"/>
          <w:sz w:val="19"/>
          <w:szCs w:val="19"/>
        </w:rPr>
        <w:t>.</w:t>
      </w:r>
      <w:r w:rsidR="00E87D6E">
        <w:rPr>
          <w:rFonts w:ascii="Arial" w:eastAsia="Calibri" w:hAnsi="Arial" w:cs="Arial"/>
          <w:color w:val="000000" w:themeColor="text1"/>
          <w:sz w:val="19"/>
          <w:szCs w:val="19"/>
        </w:rPr>
        <w:t xml:space="preserve"> </w:t>
      </w:r>
    </w:p>
  </w:footnote>
  <w:footnote w:id="13">
    <w:p w14:paraId="094E9EFF" w14:textId="69CF2F19" w:rsidR="00D6064B" w:rsidRDefault="00D6064B" w:rsidP="00D6064B">
      <w:pPr>
        <w:pStyle w:val="Textonotapie"/>
        <w:ind w:firstLine="708"/>
        <w:jc w:val="both"/>
        <w:rPr>
          <w:rFonts w:ascii="Arial" w:hAnsi="Arial" w:cs="Arial"/>
          <w:sz w:val="19"/>
          <w:szCs w:val="19"/>
        </w:rPr>
      </w:pPr>
      <w:r w:rsidRPr="006026D9">
        <w:rPr>
          <w:rStyle w:val="Refdenotaalpie"/>
          <w:rFonts w:ascii="Arial" w:hAnsi="Arial" w:cs="Arial"/>
          <w:sz w:val="19"/>
          <w:szCs w:val="19"/>
        </w:rPr>
        <w:footnoteRef/>
      </w:r>
      <w:r w:rsidRPr="006026D9">
        <w:rPr>
          <w:rFonts w:ascii="Arial" w:hAnsi="Arial" w:cs="Arial"/>
          <w:sz w:val="19"/>
          <w:szCs w:val="19"/>
        </w:rPr>
        <w:t xml:space="preserve"> </w:t>
      </w:r>
      <w:r w:rsidRPr="006026D9">
        <w:rPr>
          <w:rFonts w:ascii="Arial" w:hAnsi="Arial" w:cs="Arial"/>
          <w:i/>
          <w:iCs/>
          <w:sz w:val="19"/>
          <w:szCs w:val="19"/>
        </w:rPr>
        <w:t>Ibidem</w:t>
      </w:r>
      <w:r>
        <w:rPr>
          <w:rFonts w:ascii="Arial" w:hAnsi="Arial" w:cs="Arial"/>
          <w:sz w:val="19"/>
          <w:szCs w:val="19"/>
        </w:rPr>
        <w:t>.</w:t>
      </w:r>
    </w:p>
    <w:p w14:paraId="4C4EBECD" w14:textId="77777777" w:rsidR="00D6064B" w:rsidRPr="006026D9" w:rsidRDefault="00D6064B" w:rsidP="006026D9">
      <w:pPr>
        <w:pStyle w:val="Textonotapie"/>
        <w:ind w:firstLine="708"/>
        <w:jc w:val="both"/>
        <w:rPr>
          <w:rFonts w:ascii="Arial" w:hAnsi="Arial" w:cs="Arial"/>
          <w:sz w:val="19"/>
          <w:szCs w:val="19"/>
        </w:rPr>
      </w:pPr>
    </w:p>
  </w:footnote>
  <w:footnote w:id="14">
    <w:p w14:paraId="045C653A" w14:textId="77777777" w:rsidR="0054315A" w:rsidRPr="007A4DBA" w:rsidRDefault="0054315A" w:rsidP="0054315A">
      <w:pPr>
        <w:pStyle w:val="Textonotapie"/>
        <w:ind w:firstLine="708"/>
        <w:jc w:val="both"/>
        <w:rPr>
          <w:rFonts w:ascii="Arial" w:hAnsi="Arial" w:cs="Arial"/>
          <w:sz w:val="19"/>
          <w:szCs w:val="19"/>
        </w:rPr>
      </w:pPr>
      <w:r w:rsidRPr="007A4DBA">
        <w:rPr>
          <w:rStyle w:val="Refdenotaalpie"/>
          <w:rFonts w:ascii="Arial" w:hAnsi="Arial" w:cs="Arial"/>
          <w:sz w:val="19"/>
          <w:szCs w:val="19"/>
        </w:rPr>
        <w:footnoteRef/>
      </w:r>
      <w:r w:rsidRPr="007A4DBA">
        <w:rPr>
          <w:rFonts w:ascii="Arial" w:hAnsi="Arial" w:cs="Arial"/>
          <w:sz w:val="19"/>
          <w:szCs w:val="19"/>
        </w:rPr>
        <w:t xml:space="preserve"> </w:t>
      </w:r>
      <w:r w:rsidRPr="007A4DBA">
        <w:rPr>
          <w:rFonts w:ascii="Arial" w:hAnsi="Arial" w:cs="Arial"/>
          <w:sz w:val="19"/>
          <w:szCs w:val="19"/>
        </w:rPr>
        <w:t>Sobre esta norma, consultar los conceptos del 8 de octubre de 2019, con radicado No. 2201913000007532, y del 20 de diciembre de 2019, con radicado No. 4201913000008240.</w:t>
      </w:r>
    </w:p>
    <w:p w14:paraId="67A4068F" w14:textId="77777777" w:rsidR="0054315A" w:rsidRPr="007A4DBA" w:rsidRDefault="0054315A" w:rsidP="0054315A">
      <w:pPr>
        <w:pStyle w:val="Textonotapie"/>
        <w:jc w:val="both"/>
        <w:rPr>
          <w:rFonts w:ascii="Arial" w:hAnsi="Arial" w:cs="Arial"/>
          <w:sz w:val="19"/>
          <w:szCs w:val="19"/>
          <w:lang w:val="es-ES"/>
        </w:rPr>
      </w:pPr>
    </w:p>
  </w:footnote>
  <w:footnote w:id="15">
    <w:p w14:paraId="1A9C8766" w14:textId="77777777" w:rsidR="0054315A" w:rsidRPr="007A4DBA" w:rsidRDefault="0054315A" w:rsidP="0054315A">
      <w:pPr>
        <w:pStyle w:val="Textonotapie"/>
        <w:ind w:firstLine="708"/>
        <w:jc w:val="both"/>
        <w:rPr>
          <w:rFonts w:ascii="Arial" w:hAnsi="Arial" w:cs="Arial"/>
          <w:sz w:val="19"/>
          <w:szCs w:val="19"/>
        </w:rPr>
      </w:pPr>
      <w:r w:rsidRPr="007A4DBA">
        <w:rPr>
          <w:rStyle w:val="Refdenotaalpie"/>
          <w:rFonts w:ascii="Arial" w:hAnsi="Arial" w:cs="Arial"/>
          <w:sz w:val="19"/>
          <w:szCs w:val="19"/>
        </w:rPr>
        <w:footnoteRef/>
      </w:r>
      <w:r w:rsidRPr="007A4DBA">
        <w:rPr>
          <w:rFonts w:ascii="Arial" w:hAnsi="Arial" w:cs="Arial"/>
          <w:sz w:val="19"/>
          <w:szCs w:val="19"/>
        </w:rPr>
        <w:t xml:space="preserve"> </w:t>
      </w:r>
      <w:r w:rsidRPr="007A4DBA">
        <w:rPr>
          <w:rFonts w:ascii="Arial" w:hAnsi="Arial" w:cs="Arial"/>
          <w:sz w:val="19"/>
          <w:szCs w:val="19"/>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20319AB" w14:textId="77777777" w:rsidR="0054315A" w:rsidRPr="007A4DBA" w:rsidRDefault="0054315A" w:rsidP="0054315A">
      <w:pPr>
        <w:pStyle w:val="Textonotapie"/>
        <w:ind w:firstLine="708"/>
        <w:jc w:val="both"/>
        <w:rPr>
          <w:rFonts w:ascii="Arial" w:hAnsi="Arial" w:cs="Arial"/>
          <w:sz w:val="19"/>
          <w:szCs w:val="19"/>
        </w:rPr>
      </w:pPr>
      <w:r w:rsidRPr="007A4DBA">
        <w:rPr>
          <w:rFonts w:ascii="Arial" w:hAnsi="Arial" w:cs="Arial"/>
          <w:sz w:val="19"/>
          <w:szCs w:val="19"/>
        </w:rPr>
        <w:t xml:space="preserve">»Los convenios de asociación a que se refiere el presente artículo </w:t>
      </w:r>
      <w:bookmarkStart w:id="3" w:name="_Hlk36023315"/>
      <w:r w:rsidRPr="007A4DBA">
        <w:rPr>
          <w:rFonts w:ascii="Arial" w:hAnsi="Arial" w:cs="Arial"/>
          <w:sz w:val="19"/>
          <w:szCs w:val="19"/>
        </w:rPr>
        <w:t>se celebrarán de conformidad con lo dispuesto en el artículo 355 de la Constitución Política</w:t>
      </w:r>
      <w:bookmarkEnd w:id="3"/>
      <w:r w:rsidRPr="007A4DBA">
        <w:rPr>
          <w:rFonts w:ascii="Arial" w:hAnsi="Arial" w:cs="Arial"/>
          <w:sz w:val="19"/>
          <w:szCs w:val="19"/>
        </w:rPr>
        <w:t>, en ellos se determinará con precisión su objeto, término, obligaciones de las partes, aportes, coordinación y todos aquellos aspectos que se consideren pertinentes».</w:t>
      </w:r>
    </w:p>
    <w:p w14:paraId="4BFC5EC8" w14:textId="77777777" w:rsidR="0054315A" w:rsidRPr="007A4DBA" w:rsidRDefault="0054315A" w:rsidP="0054315A">
      <w:pPr>
        <w:pStyle w:val="Textonotapie"/>
        <w:ind w:firstLine="708"/>
        <w:jc w:val="both"/>
        <w:rPr>
          <w:rFonts w:ascii="Arial" w:hAnsi="Arial" w:cs="Arial"/>
          <w:sz w:val="19"/>
          <w:szCs w:val="19"/>
          <w:lang w:val="es-ES"/>
        </w:rPr>
      </w:pPr>
      <w:r w:rsidRPr="007A4DBA">
        <w:rPr>
          <w:rFonts w:ascii="Arial" w:hAnsi="Arial" w:cs="Arial"/>
          <w:sz w:val="19"/>
          <w:szCs w:val="19"/>
        </w:rPr>
        <w:t xml:space="preserve"> </w:t>
      </w:r>
    </w:p>
  </w:footnote>
  <w:footnote w:id="16">
    <w:p w14:paraId="2BCCF833" w14:textId="77777777" w:rsidR="0054315A" w:rsidRPr="007A4DBA" w:rsidRDefault="0054315A" w:rsidP="0054315A">
      <w:pPr>
        <w:pStyle w:val="Textonotapie"/>
        <w:ind w:firstLine="708"/>
        <w:jc w:val="both"/>
        <w:rPr>
          <w:rFonts w:ascii="Arial" w:hAnsi="Arial" w:cs="Arial"/>
          <w:sz w:val="19"/>
          <w:szCs w:val="19"/>
        </w:rPr>
      </w:pPr>
      <w:r w:rsidRPr="007A4DBA">
        <w:rPr>
          <w:rStyle w:val="Refdenotaalpie"/>
          <w:rFonts w:ascii="Arial" w:hAnsi="Arial" w:cs="Arial"/>
          <w:sz w:val="19"/>
          <w:szCs w:val="19"/>
        </w:rPr>
        <w:footnoteRef/>
      </w:r>
      <w:r w:rsidRPr="007A4DBA">
        <w:rPr>
          <w:rFonts w:ascii="Arial" w:hAnsi="Arial" w:cs="Arial"/>
          <w:sz w:val="19"/>
          <w:szCs w:val="19"/>
        </w:rPr>
        <w:t xml:space="preserve"> </w:t>
      </w:r>
      <w:r w:rsidRPr="007A4DBA">
        <w:rPr>
          <w:rFonts w:ascii="Arial" w:hAnsi="Arial" w:cs="Arial"/>
          <w:sz w:val="19"/>
          <w:szCs w:val="19"/>
        </w:rPr>
        <w:t>Concepto del 3 de septiembre de 2019, con radicado No. 2201913000006512.</w:t>
      </w:r>
    </w:p>
    <w:p w14:paraId="715A8953" w14:textId="77777777" w:rsidR="0054315A" w:rsidRPr="007A4DBA" w:rsidRDefault="0054315A" w:rsidP="0054315A">
      <w:pPr>
        <w:pStyle w:val="Textonotapie"/>
        <w:ind w:firstLine="708"/>
        <w:jc w:val="both"/>
        <w:rPr>
          <w:rFonts w:ascii="Arial" w:hAnsi="Arial" w:cs="Arial"/>
          <w:sz w:val="19"/>
          <w:szCs w:val="19"/>
        </w:rPr>
      </w:pPr>
    </w:p>
  </w:footnote>
  <w:footnote w:id="17">
    <w:p w14:paraId="39533C53" w14:textId="77777777" w:rsidR="0054315A" w:rsidRPr="007A4DBA" w:rsidRDefault="0054315A" w:rsidP="0054315A">
      <w:pPr>
        <w:pStyle w:val="Textonotapie"/>
        <w:ind w:firstLine="708"/>
        <w:jc w:val="both"/>
        <w:rPr>
          <w:rFonts w:ascii="Arial" w:hAnsi="Arial" w:cs="Arial"/>
          <w:sz w:val="19"/>
          <w:szCs w:val="19"/>
        </w:rPr>
      </w:pPr>
      <w:r w:rsidRPr="007A4DBA">
        <w:rPr>
          <w:rStyle w:val="Refdenotaalpie"/>
          <w:rFonts w:ascii="Arial" w:hAnsi="Arial" w:cs="Arial"/>
          <w:sz w:val="19"/>
          <w:szCs w:val="19"/>
        </w:rPr>
        <w:footnoteRef/>
      </w:r>
      <w:r w:rsidRPr="007A4DBA">
        <w:rPr>
          <w:rFonts w:ascii="Arial" w:hAnsi="Arial" w:cs="Arial"/>
          <w:sz w:val="19"/>
          <w:szCs w:val="19"/>
        </w:rPr>
        <w:t xml:space="preserve"> </w:t>
      </w:r>
      <w:r w:rsidRPr="007A4DBA">
        <w:rPr>
          <w:rFonts w:ascii="Arial" w:hAnsi="Arial" w:cs="Arial"/>
          <w:sz w:val="19"/>
          <w:szCs w:val="19"/>
        </w:rPr>
        <w:t>Sobre la naturaleza de los convenios de asociación, se reitera lo expuesto en el concepto del 19 de noviembre de 2019, con radicado No. 2201913000008611.</w:t>
      </w:r>
    </w:p>
    <w:p w14:paraId="493E09B4" w14:textId="77777777" w:rsidR="0054315A" w:rsidRPr="007A4DBA" w:rsidRDefault="0054315A" w:rsidP="0054315A">
      <w:pPr>
        <w:pStyle w:val="Textonotapie"/>
        <w:ind w:firstLine="708"/>
        <w:jc w:val="both"/>
        <w:rPr>
          <w:rFonts w:ascii="Arial" w:hAnsi="Arial" w:cs="Arial"/>
          <w:sz w:val="19"/>
          <w:szCs w:val="19"/>
        </w:rPr>
      </w:pPr>
    </w:p>
  </w:footnote>
  <w:footnote w:id="18">
    <w:p w14:paraId="6C071827" w14:textId="77777777" w:rsidR="0054315A" w:rsidRPr="007A4DBA" w:rsidRDefault="0054315A" w:rsidP="0054315A">
      <w:pPr>
        <w:pStyle w:val="Textonotapie"/>
        <w:ind w:firstLine="708"/>
        <w:jc w:val="both"/>
        <w:rPr>
          <w:rFonts w:ascii="Arial" w:hAnsi="Arial" w:cs="Arial"/>
          <w:sz w:val="19"/>
          <w:szCs w:val="19"/>
        </w:rPr>
      </w:pPr>
      <w:r w:rsidRPr="007A4DBA">
        <w:rPr>
          <w:rStyle w:val="Refdenotaalpie"/>
          <w:rFonts w:ascii="Arial" w:hAnsi="Arial" w:cs="Arial"/>
          <w:sz w:val="19"/>
          <w:szCs w:val="19"/>
        </w:rPr>
        <w:footnoteRef/>
      </w:r>
      <w:r w:rsidRPr="007A4DBA">
        <w:rPr>
          <w:rFonts w:ascii="Arial" w:hAnsi="Arial" w:cs="Arial"/>
          <w:sz w:val="19"/>
          <w:szCs w:val="19"/>
        </w:rPr>
        <w:t xml:space="preserve"> </w:t>
      </w:r>
      <w:r w:rsidRPr="007A4DBA">
        <w:rPr>
          <w:rFonts w:ascii="Arial" w:hAnsi="Arial" w:cs="Arial"/>
          <w:sz w:val="19"/>
          <w:szCs w:val="19"/>
        </w:rPr>
        <w:t>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6736813C" w14:textId="77777777" w:rsidR="0054315A" w:rsidRPr="007A4DBA" w:rsidRDefault="0054315A" w:rsidP="0054315A">
      <w:pPr>
        <w:pStyle w:val="Textonotapie"/>
        <w:ind w:firstLine="708"/>
        <w:jc w:val="both"/>
        <w:rPr>
          <w:rFonts w:ascii="Arial" w:hAnsi="Arial" w:cs="Arial"/>
          <w:sz w:val="19"/>
          <w:szCs w:val="19"/>
        </w:rPr>
      </w:pPr>
    </w:p>
    <w:p w14:paraId="3108B862" w14:textId="77777777" w:rsidR="0054315A" w:rsidRPr="007A4DBA" w:rsidRDefault="0054315A" w:rsidP="0054315A">
      <w:pPr>
        <w:pStyle w:val="Textonotapie"/>
        <w:ind w:firstLine="708"/>
        <w:jc w:val="both"/>
        <w:rPr>
          <w:rFonts w:ascii="Arial" w:hAnsi="Arial" w:cs="Arial"/>
          <w:sz w:val="19"/>
          <w:szCs w:val="19"/>
          <w:lang w:val="es-ES"/>
        </w:rPr>
      </w:pPr>
    </w:p>
  </w:footnote>
  <w:footnote w:id="19">
    <w:p w14:paraId="36965C6C" w14:textId="77777777" w:rsidR="0054315A" w:rsidRPr="007A4DBA" w:rsidRDefault="0054315A" w:rsidP="0054315A">
      <w:pPr>
        <w:pStyle w:val="Textonotapie"/>
        <w:ind w:firstLine="708"/>
        <w:jc w:val="both"/>
        <w:rPr>
          <w:rFonts w:ascii="Arial" w:hAnsi="Arial" w:cs="Arial"/>
          <w:sz w:val="19"/>
          <w:szCs w:val="19"/>
        </w:rPr>
      </w:pPr>
      <w:r w:rsidRPr="007A4DBA">
        <w:rPr>
          <w:rStyle w:val="Refdenotaalpie"/>
          <w:rFonts w:ascii="Arial" w:hAnsi="Arial" w:cs="Arial"/>
          <w:sz w:val="19"/>
          <w:szCs w:val="19"/>
        </w:rPr>
        <w:footnoteRef/>
      </w:r>
      <w:r w:rsidRPr="007A4DBA">
        <w:rPr>
          <w:rFonts w:ascii="Arial" w:hAnsi="Arial" w:cs="Arial"/>
          <w:sz w:val="19"/>
          <w:szCs w:val="19"/>
        </w:rPr>
        <w:t xml:space="preserve"> </w:t>
      </w:r>
      <w:r w:rsidRPr="007A4DBA">
        <w:rPr>
          <w:rFonts w:ascii="Arial" w:hAnsi="Arial" w:cs="Arial"/>
          <w:sz w:val="19"/>
          <w:szCs w:val="19"/>
        </w:rPr>
        <w:t>Al respecto, el artículo 1501 del Código Civil prescribe lo siguiente: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596BA1" w:rsidRDefault="00596BA1">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0"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1"/>
  </w:num>
  <w:num w:numId="8">
    <w:abstractNumId w:val="5"/>
  </w:num>
  <w:num w:numId="9">
    <w:abstractNumId w:val="2"/>
  </w:num>
  <w:num w:numId="10">
    <w:abstractNumId w:val="6"/>
  </w:num>
  <w:num w:numId="11">
    <w:abstractNumId w:val="10"/>
  </w:num>
  <w:num w:numId="12">
    <w:abstractNumId w:val="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199E"/>
    <w:rsid w:val="00007FF7"/>
    <w:rsid w:val="00010D30"/>
    <w:rsid w:val="0001135B"/>
    <w:rsid w:val="000205D6"/>
    <w:rsid w:val="000207A0"/>
    <w:rsid w:val="00020C38"/>
    <w:rsid w:val="0002170C"/>
    <w:rsid w:val="00023EEE"/>
    <w:rsid w:val="0002648F"/>
    <w:rsid w:val="00027B72"/>
    <w:rsid w:val="0003091B"/>
    <w:rsid w:val="000333A2"/>
    <w:rsid w:val="00040C88"/>
    <w:rsid w:val="00040D6E"/>
    <w:rsid w:val="00042C0C"/>
    <w:rsid w:val="00044B5E"/>
    <w:rsid w:val="00044FF2"/>
    <w:rsid w:val="000514D4"/>
    <w:rsid w:val="00055688"/>
    <w:rsid w:val="00057295"/>
    <w:rsid w:val="00060575"/>
    <w:rsid w:val="00061E92"/>
    <w:rsid w:val="00061EE4"/>
    <w:rsid w:val="00062291"/>
    <w:rsid w:val="00062B0D"/>
    <w:rsid w:val="00063AEF"/>
    <w:rsid w:val="0006519B"/>
    <w:rsid w:val="00066C55"/>
    <w:rsid w:val="00066EDE"/>
    <w:rsid w:val="00067408"/>
    <w:rsid w:val="000707A0"/>
    <w:rsid w:val="00073E7F"/>
    <w:rsid w:val="000757F8"/>
    <w:rsid w:val="00077A75"/>
    <w:rsid w:val="00080255"/>
    <w:rsid w:val="00082589"/>
    <w:rsid w:val="00086A16"/>
    <w:rsid w:val="00086C02"/>
    <w:rsid w:val="00090D92"/>
    <w:rsid w:val="00093069"/>
    <w:rsid w:val="00094F86"/>
    <w:rsid w:val="00097117"/>
    <w:rsid w:val="00097CD6"/>
    <w:rsid w:val="000A12B4"/>
    <w:rsid w:val="000A1DBA"/>
    <w:rsid w:val="000A6338"/>
    <w:rsid w:val="000A7A2D"/>
    <w:rsid w:val="000B09B5"/>
    <w:rsid w:val="000B34BD"/>
    <w:rsid w:val="000B4552"/>
    <w:rsid w:val="000B4C69"/>
    <w:rsid w:val="000B4E6D"/>
    <w:rsid w:val="000B6696"/>
    <w:rsid w:val="000C0E39"/>
    <w:rsid w:val="000C4CCA"/>
    <w:rsid w:val="000C659B"/>
    <w:rsid w:val="000C67EA"/>
    <w:rsid w:val="000D088F"/>
    <w:rsid w:val="000D2220"/>
    <w:rsid w:val="000D2FE0"/>
    <w:rsid w:val="000D3508"/>
    <w:rsid w:val="000D392A"/>
    <w:rsid w:val="000D5464"/>
    <w:rsid w:val="000D5552"/>
    <w:rsid w:val="000D7BBD"/>
    <w:rsid w:val="000E4A3C"/>
    <w:rsid w:val="000E6867"/>
    <w:rsid w:val="000E69A5"/>
    <w:rsid w:val="000E7F3A"/>
    <w:rsid w:val="000F2FE4"/>
    <w:rsid w:val="000F5F52"/>
    <w:rsid w:val="000F6DE5"/>
    <w:rsid w:val="00103CB5"/>
    <w:rsid w:val="001056C0"/>
    <w:rsid w:val="00107607"/>
    <w:rsid w:val="00111D1A"/>
    <w:rsid w:val="001120C8"/>
    <w:rsid w:val="00112597"/>
    <w:rsid w:val="00113AD4"/>
    <w:rsid w:val="00116557"/>
    <w:rsid w:val="00117289"/>
    <w:rsid w:val="0012089B"/>
    <w:rsid w:val="001236B9"/>
    <w:rsid w:val="001245C5"/>
    <w:rsid w:val="00127B2C"/>
    <w:rsid w:val="00131937"/>
    <w:rsid w:val="001321AB"/>
    <w:rsid w:val="00133D22"/>
    <w:rsid w:val="00135571"/>
    <w:rsid w:val="00135E98"/>
    <w:rsid w:val="0013733E"/>
    <w:rsid w:val="00137B0D"/>
    <w:rsid w:val="00137DDF"/>
    <w:rsid w:val="00140E57"/>
    <w:rsid w:val="00141330"/>
    <w:rsid w:val="00141C64"/>
    <w:rsid w:val="00144375"/>
    <w:rsid w:val="0014462B"/>
    <w:rsid w:val="0014628D"/>
    <w:rsid w:val="00146827"/>
    <w:rsid w:val="00147E4A"/>
    <w:rsid w:val="001556C8"/>
    <w:rsid w:val="001573A6"/>
    <w:rsid w:val="00160687"/>
    <w:rsid w:val="00160AB9"/>
    <w:rsid w:val="0016251D"/>
    <w:rsid w:val="00164E79"/>
    <w:rsid w:val="00166272"/>
    <w:rsid w:val="001669C8"/>
    <w:rsid w:val="00173047"/>
    <w:rsid w:val="00173342"/>
    <w:rsid w:val="00174532"/>
    <w:rsid w:val="0017558C"/>
    <w:rsid w:val="0017585A"/>
    <w:rsid w:val="0017603D"/>
    <w:rsid w:val="00177397"/>
    <w:rsid w:val="00180881"/>
    <w:rsid w:val="00180AD1"/>
    <w:rsid w:val="001810AD"/>
    <w:rsid w:val="0018144F"/>
    <w:rsid w:val="00181A3E"/>
    <w:rsid w:val="00182BF2"/>
    <w:rsid w:val="001848A7"/>
    <w:rsid w:val="001901E3"/>
    <w:rsid w:val="00190B79"/>
    <w:rsid w:val="00190F26"/>
    <w:rsid w:val="00192084"/>
    <w:rsid w:val="0019433A"/>
    <w:rsid w:val="00194C50"/>
    <w:rsid w:val="001A0536"/>
    <w:rsid w:val="001A0A51"/>
    <w:rsid w:val="001A6A98"/>
    <w:rsid w:val="001B13DF"/>
    <w:rsid w:val="001B2E5D"/>
    <w:rsid w:val="001B2EA2"/>
    <w:rsid w:val="001B329B"/>
    <w:rsid w:val="001B3573"/>
    <w:rsid w:val="001B5D63"/>
    <w:rsid w:val="001B6C66"/>
    <w:rsid w:val="001B7D2C"/>
    <w:rsid w:val="001C4850"/>
    <w:rsid w:val="001C507E"/>
    <w:rsid w:val="001C628A"/>
    <w:rsid w:val="001C6D64"/>
    <w:rsid w:val="001D4F98"/>
    <w:rsid w:val="001E4AEB"/>
    <w:rsid w:val="001E5DBB"/>
    <w:rsid w:val="001F1051"/>
    <w:rsid w:val="001F3010"/>
    <w:rsid w:val="001F34A8"/>
    <w:rsid w:val="001F4CFB"/>
    <w:rsid w:val="001F7297"/>
    <w:rsid w:val="002001EA"/>
    <w:rsid w:val="002026F7"/>
    <w:rsid w:val="002034AD"/>
    <w:rsid w:val="002044D6"/>
    <w:rsid w:val="00212C92"/>
    <w:rsid w:val="00213B48"/>
    <w:rsid w:val="002163A3"/>
    <w:rsid w:val="002166C0"/>
    <w:rsid w:val="00216CC6"/>
    <w:rsid w:val="00220F87"/>
    <w:rsid w:val="002218CE"/>
    <w:rsid w:val="002219C9"/>
    <w:rsid w:val="00222032"/>
    <w:rsid w:val="002239B4"/>
    <w:rsid w:val="00225C5F"/>
    <w:rsid w:val="00227257"/>
    <w:rsid w:val="00230B24"/>
    <w:rsid w:val="0023180C"/>
    <w:rsid w:val="002321B7"/>
    <w:rsid w:val="0023225E"/>
    <w:rsid w:val="00233B2D"/>
    <w:rsid w:val="00234C6C"/>
    <w:rsid w:val="00236264"/>
    <w:rsid w:val="0023774F"/>
    <w:rsid w:val="002377F6"/>
    <w:rsid w:val="0024539A"/>
    <w:rsid w:val="002475CF"/>
    <w:rsid w:val="00247D11"/>
    <w:rsid w:val="002511E0"/>
    <w:rsid w:val="0025163D"/>
    <w:rsid w:val="002516D4"/>
    <w:rsid w:val="002551A3"/>
    <w:rsid w:val="00265031"/>
    <w:rsid w:val="00266277"/>
    <w:rsid w:val="00272F63"/>
    <w:rsid w:val="0027329E"/>
    <w:rsid w:val="00273B05"/>
    <w:rsid w:val="00274057"/>
    <w:rsid w:val="00274370"/>
    <w:rsid w:val="00280A81"/>
    <w:rsid w:val="00281E4E"/>
    <w:rsid w:val="00283250"/>
    <w:rsid w:val="00284C12"/>
    <w:rsid w:val="00286834"/>
    <w:rsid w:val="00290405"/>
    <w:rsid w:val="00291D1E"/>
    <w:rsid w:val="002928EE"/>
    <w:rsid w:val="002959FA"/>
    <w:rsid w:val="00296330"/>
    <w:rsid w:val="002972F3"/>
    <w:rsid w:val="002A24BB"/>
    <w:rsid w:val="002A365B"/>
    <w:rsid w:val="002A4002"/>
    <w:rsid w:val="002A4BCA"/>
    <w:rsid w:val="002A517F"/>
    <w:rsid w:val="002B27BC"/>
    <w:rsid w:val="002B282F"/>
    <w:rsid w:val="002B4245"/>
    <w:rsid w:val="002B4B30"/>
    <w:rsid w:val="002B784C"/>
    <w:rsid w:val="002B79B2"/>
    <w:rsid w:val="002C1261"/>
    <w:rsid w:val="002C2C8A"/>
    <w:rsid w:val="002C465A"/>
    <w:rsid w:val="002C6B45"/>
    <w:rsid w:val="002C7D43"/>
    <w:rsid w:val="002D1A52"/>
    <w:rsid w:val="002D28E0"/>
    <w:rsid w:val="002D7E44"/>
    <w:rsid w:val="002E2234"/>
    <w:rsid w:val="002E5CE0"/>
    <w:rsid w:val="002E6804"/>
    <w:rsid w:val="002E7390"/>
    <w:rsid w:val="002E79B6"/>
    <w:rsid w:val="002E7BC2"/>
    <w:rsid w:val="002F3529"/>
    <w:rsid w:val="002F418D"/>
    <w:rsid w:val="002F5479"/>
    <w:rsid w:val="002F63BB"/>
    <w:rsid w:val="002F701E"/>
    <w:rsid w:val="002F76C8"/>
    <w:rsid w:val="00302F9F"/>
    <w:rsid w:val="00304386"/>
    <w:rsid w:val="003051E7"/>
    <w:rsid w:val="003067AC"/>
    <w:rsid w:val="003141AC"/>
    <w:rsid w:val="00314F61"/>
    <w:rsid w:val="003163C5"/>
    <w:rsid w:val="00316D0D"/>
    <w:rsid w:val="003174DA"/>
    <w:rsid w:val="00324C9D"/>
    <w:rsid w:val="00325E03"/>
    <w:rsid w:val="003401FE"/>
    <w:rsid w:val="00340A7A"/>
    <w:rsid w:val="00345AE1"/>
    <w:rsid w:val="00346D80"/>
    <w:rsid w:val="00346F88"/>
    <w:rsid w:val="00346F8E"/>
    <w:rsid w:val="00351536"/>
    <w:rsid w:val="00360470"/>
    <w:rsid w:val="00360F9A"/>
    <w:rsid w:val="00364684"/>
    <w:rsid w:val="0036754F"/>
    <w:rsid w:val="00371192"/>
    <w:rsid w:val="003750DA"/>
    <w:rsid w:val="003756DE"/>
    <w:rsid w:val="00381C4A"/>
    <w:rsid w:val="00384629"/>
    <w:rsid w:val="00385513"/>
    <w:rsid w:val="00386679"/>
    <w:rsid w:val="00387E9E"/>
    <w:rsid w:val="00390DCF"/>
    <w:rsid w:val="00393B92"/>
    <w:rsid w:val="00397FF3"/>
    <w:rsid w:val="003A00C3"/>
    <w:rsid w:val="003A00DA"/>
    <w:rsid w:val="003A0C33"/>
    <w:rsid w:val="003A2944"/>
    <w:rsid w:val="003A2D20"/>
    <w:rsid w:val="003A3731"/>
    <w:rsid w:val="003A633B"/>
    <w:rsid w:val="003B0DEF"/>
    <w:rsid w:val="003B604C"/>
    <w:rsid w:val="003C0237"/>
    <w:rsid w:val="003C1180"/>
    <w:rsid w:val="003C200C"/>
    <w:rsid w:val="003C2074"/>
    <w:rsid w:val="003C3ADB"/>
    <w:rsid w:val="003C5E88"/>
    <w:rsid w:val="003C752E"/>
    <w:rsid w:val="003D11B5"/>
    <w:rsid w:val="003D134C"/>
    <w:rsid w:val="003D69A5"/>
    <w:rsid w:val="003D6D9F"/>
    <w:rsid w:val="003E0079"/>
    <w:rsid w:val="003E09D5"/>
    <w:rsid w:val="003E14F9"/>
    <w:rsid w:val="003E4851"/>
    <w:rsid w:val="003E7BFC"/>
    <w:rsid w:val="003F045D"/>
    <w:rsid w:val="003F3119"/>
    <w:rsid w:val="003F3C60"/>
    <w:rsid w:val="003F4D44"/>
    <w:rsid w:val="003F6D32"/>
    <w:rsid w:val="00402C27"/>
    <w:rsid w:val="00405714"/>
    <w:rsid w:val="00405F92"/>
    <w:rsid w:val="0040662C"/>
    <w:rsid w:val="00406B09"/>
    <w:rsid w:val="00406C44"/>
    <w:rsid w:val="00421B11"/>
    <w:rsid w:val="004265FC"/>
    <w:rsid w:val="00430B5A"/>
    <w:rsid w:val="00431328"/>
    <w:rsid w:val="004330CB"/>
    <w:rsid w:val="00433B17"/>
    <w:rsid w:val="0043588C"/>
    <w:rsid w:val="004365FE"/>
    <w:rsid w:val="004377A2"/>
    <w:rsid w:val="00437A8B"/>
    <w:rsid w:val="0044029B"/>
    <w:rsid w:val="00440B11"/>
    <w:rsid w:val="0044207D"/>
    <w:rsid w:val="00443937"/>
    <w:rsid w:val="00445988"/>
    <w:rsid w:val="00447FE5"/>
    <w:rsid w:val="00450614"/>
    <w:rsid w:val="0045082C"/>
    <w:rsid w:val="00450B83"/>
    <w:rsid w:val="004535E3"/>
    <w:rsid w:val="00456CED"/>
    <w:rsid w:val="00461585"/>
    <w:rsid w:val="004617B8"/>
    <w:rsid w:val="0046504E"/>
    <w:rsid w:val="00467C8E"/>
    <w:rsid w:val="004758FE"/>
    <w:rsid w:val="00481DE3"/>
    <w:rsid w:val="004830C8"/>
    <w:rsid w:val="004837AB"/>
    <w:rsid w:val="00483A2F"/>
    <w:rsid w:val="00483C0A"/>
    <w:rsid w:val="00484084"/>
    <w:rsid w:val="0048714C"/>
    <w:rsid w:val="00487ADF"/>
    <w:rsid w:val="00490DBF"/>
    <w:rsid w:val="00494315"/>
    <w:rsid w:val="00494F12"/>
    <w:rsid w:val="00497571"/>
    <w:rsid w:val="004A13B5"/>
    <w:rsid w:val="004A21A4"/>
    <w:rsid w:val="004A254B"/>
    <w:rsid w:val="004A46B5"/>
    <w:rsid w:val="004A5382"/>
    <w:rsid w:val="004A6E34"/>
    <w:rsid w:val="004A6EE1"/>
    <w:rsid w:val="004B1BEE"/>
    <w:rsid w:val="004B22E7"/>
    <w:rsid w:val="004B2AB8"/>
    <w:rsid w:val="004B6AD7"/>
    <w:rsid w:val="004C1BA6"/>
    <w:rsid w:val="004C3D5C"/>
    <w:rsid w:val="004C42C0"/>
    <w:rsid w:val="004D04EB"/>
    <w:rsid w:val="004D0DA3"/>
    <w:rsid w:val="004D3C91"/>
    <w:rsid w:val="004D5263"/>
    <w:rsid w:val="004D770C"/>
    <w:rsid w:val="004E0A28"/>
    <w:rsid w:val="004E3243"/>
    <w:rsid w:val="004E370E"/>
    <w:rsid w:val="004E402A"/>
    <w:rsid w:val="004E5D3D"/>
    <w:rsid w:val="004F006C"/>
    <w:rsid w:val="004F0A29"/>
    <w:rsid w:val="004F3D32"/>
    <w:rsid w:val="004F407C"/>
    <w:rsid w:val="004F4387"/>
    <w:rsid w:val="004F4D3B"/>
    <w:rsid w:val="004F7059"/>
    <w:rsid w:val="004F7A45"/>
    <w:rsid w:val="004F7F85"/>
    <w:rsid w:val="005015C9"/>
    <w:rsid w:val="00501FCD"/>
    <w:rsid w:val="005029C2"/>
    <w:rsid w:val="00502A41"/>
    <w:rsid w:val="00505280"/>
    <w:rsid w:val="00506B56"/>
    <w:rsid w:val="00510BF5"/>
    <w:rsid w:val="0051467B"/>
    <w:rsid w:val="00515265"/>
    <w:rsid w:val="00517E74"/>
    <w:rsid w:val="00521BA7"/>
    <w:rsid w:val="00524B1D"/>
    <w:rsid w:val="00525051"/>
    <w:rsid w:val="005252E2"/>
    <w:rsid w:val="00526D27"/>
    <w:rsid w:val="00530EAD"/>
    <w:rsid w:val="00534AE0"/>
    <w:rsid w:val="005409D3"/>
    <w:rsid w:val="00541B55"/>
    <w:rsid w:val="0054315A"/>
    <w:rsid w:val="0054577D"/>
    <w:rsid w:val="00546BE0"/>
    <w:rsid w:val="00550508"/>
    <w:rsid w:val="005511D5"/>
    <w:rsid w:val="00551564"/>
    <w:rsid w:val="00551FB1"/>
    <w:rsid w:val="0055390E"/>
    <w:rsid w:val="005548C5"/>
    <w:rsid w:val="00554E71"/>
    <w:rsid w:val="00557A5C"/>
    <w:rsid w:val="00560F5F"/>
    <w:rsid w:val="00561350"/>
    <w:rsid w:val="00563E22"/>
    <w:rsid w:val="0056768C"/>
    <w:rsid w:val="00570856"/>
    <w:rsid w:val="005724E7"/>
    <w:rsid w:val="00575DC6"/>
    <w:rsid w:val="00580859"/>
    <w:rsid w:val="0058233D"/>
    <w:rsid w:val="0058306B"/>
    <w:rsid w:val="005831A0"/>
    <w:rsid w:val="00585FB5"/>
    <w:rsid w:val="005875EC"/>
    <w:rsid w:val="00591586"/>
    <w:rsid w:val="0059347A"/>
    <w:rsid w:val="005940B2"/>
    <w:rsid w:val="00596BA1"/>
    <w:rsid w:val="00597215"/>
    <w:rsid w:val="005A0936"/>
    <w:rsid w:val="005A1143"/>
    <w:rsid w:val="005A14BC"/>
    <w:rsid w:val="005A3EDE"/>
    <w:rsid w:val="005A4C16"/>
    <w:rsid w:val="005A70C4"/>
    <w:rsid w:val="005B3F0E"/>
    <w:rsid w:val="005B4DB4"/>
    <w:rsid w:val="005B6484"/>
    <w:rsid w:val="005B6F36"/>
    <w:rsid w:val="005B753D"/>
    <w:rsid w:val="005C214C"/>
    <w:rsid w:val="005C298B"/>
    <w:rsid w:val="005C29D9"/>
    <w:rsid w:val="005D24AD"/>
    <w:rsid w:val="005D3438"/>
    <w:rsid w:val="005D3442"/>
    <w:rsid w:val="005D426A"/>
    <w:rsid w:val="005D4B7E"/>
    <w:rsid w:val="005E0108"/>
    <w:rsid w:val="005E0D88"/>
    <w:rsid w:val="005E440E"/>
    <w:rsid w:val="005E7551"/>
    <w:rsid w:val="005F1007"/>
    <w:rsid w:val="005F5D19"/>
    <w:rsid w:val="005F6CBF"/>
    <w:rsid w:val="005F7A80"/>
    <w:rsid w:val="006026D9"/>
    <w:rsid w:val="00602DD2"/>
    <w:rsid w:val="00605672"/>
    <w:rsid w:val="00606103"/>
    <w:rsid w:val="006062E0"/>
    <w:rsid w:val="00606FE0"/>
    <w:rsid w:val="0061332C"/>
    <w:rsid w:val="006135E6"/>
    <w:rsid w:val="00613B07"/>
    <w:rsid w:val="00615659"/>
    <w:rsid w:val="00616FE1"/>
    <w:rsid w:val="00617345"/>
    <w:rsid w:val="00617DF2"/>
    <w:rsid w:val="00621810"/>
    <w:rsid w:val="00624F67"/>
    <w:rsid w:val="00627A30"/>
    <w:rsid w:val="00632EA5"/>
    <w:rsid w:val="00633823"/>
    <w:rsid w:val="00641087"/>
    <w:rsid w:val="00642D69"/>
    <w:rsid w:val="00643E6E"/>
    <w:rsid w:val="00645447"/>
    <w:rsid w:val="00651D32"/>
    <w:rsid w:val="006550F8"/>
    <w:rsid w:val="00655766"/>
    <w:rsid w:val="006561DA"/>
    <w:rsid w:val="00656926"/>
    <w:rsid w:val="0065701C"/>
    <w:rsid w:val="00657C16"/>
    <w:rsid w:val="006606E6"/>
    <w:rsid w:val="00660BC7"/>
    <w:rsid w:val="00661CE0"/>
    <w:rsid w:val="00662792"/>
    <w:rsid w:val="006660B3"/>
    <w:rsid w:val="00666ED7"/>
    <w:rsid w:val="00667654"/>
    <w:rsid w:val="00671132"/>
    <w:rsid w:val="0067152F"/>
    <w:rsid w:val="00671A31"/>
    <w:rsid w:val="00672F75"/>
    <w:rsid w:val="006734CA"/>
    <w:rsid w:val="006744F1"/>
    <w:rsid w:val="0067459C"/>
    <w:rsid w:val="00675F04"/>
    <w:rsid w:val="00677E38"/>
    <w:rsid w:val="006818B6"/>
    <w:rsid w:val="00681ABE"/>
    <w:rsid w:val="006824B8"/>
    <w:rsid w:val="006834EE"/>
    <w:rsid w:val="00683BD5"/>
    <w:rsid w:val="00693348"/>
    <w:rsid w:val="006A1142"/>
    <w:rsid w:val="006A602E"/>
    <w:rsid w:val="006A7743"/>
    <w:rsid w:val="006B0B79"/>
    <w:rsid w:val="006B54FE"/>
    <w:rsid w:val="006B6339"/>
    <w:rsid w:val="006B6C6A"/>
    <w:rsid w:val="006C1567"/>
    <w:rsid w:val="006C15D5"/>
    <w:rsid w:val="006C234F"/>
    <w:rsid w:val="006C386E"/>
    <w:rsid w:val="006C3D0C"/>
    <w:rsid w:val="006C3FBC"/>
    <w:rsid w:val="006C5955"/>
    <w:rsid w:val="006D31E1"/>
    <w:rsid w:val="006D343E"/>
    <w:rsid w:val="006D359C"/>
    <w:rsid w:val="006D36C5"/>
    <w:rsid w:val="006D3940"/>
    <w:rsid w:val="006D519D"/>
    <w:rsid w:val="006E1202"/>
    <w:rsid w:val="006E2710"/>
    <w:rsid w:val="006E63F1"/>
    <w:rsid w:val="006E7246"/>
    <w:rsid w:val="006E7542"/>
    <w:rsid w:val="006F1FD7"/>
    <w:rsid w:val="006F39D0"/>
    <w:rsid w:val="006F5B90"/>
    <w:rsid w:val="006F5E3E"/>
    <w:rsid w:val="006F6897"/>
    <w:rsid w:val="006F7484"/>
    <w:rsid w:val="006F7746"/>
    <w:rsid w:val="007040FA"/>
    <w:rsid w:val="00706CF4"/>
    <w:rsid w:val="007071B1"/>
    <w:rsid w:val="00711157"/>
    <w:rsid w:val="00714E2B"/>
    <w:rsid w:val="00715B7E"/>
    <w:rsid w:val="00716769"/>
    <w:rsid w:val="00720D29"/>
    <w:rsid w:val="0072244D"/>
    <w:rsid w:val="00730CDB"/>
    <w:rsid w:val="00731B46"/>
    <w:rsid w:val="00735882"/>
    <w:rsid w:val="007366EA"/>
    <w:rsid w:val="00736C89"/>
    <w:rsid w:val="007413C5"/>
    <w:rsid w:val="00745744"/>
    <w:rsid w:val="007462F1"/>
    <w:rsid w:val="0075032A"/>
    <w:rsid w:val="0075092A"/>
    <w:rsid w:val="00762F69"/>
    <w:rsid w:val="007667EC"/>
    <w:rsid w:val="007708B1"/>
    <w:rsid w:val="00770D7D"/>
    <w:rsid w:val="00772497"/>
    <w:rsid w:val="007744E3"/>
    <w:rsid w:val="007756D5"/>
    <w:rsid w:val="0077601E"/>
    <w:rsid w:val="00776241"/>
    <w:rsid w:val="00776CA9"/>
    <w:rsid w:val="00776F45"/>
    <w:rsid w:val="00781047"/>
    <w:rsid w:val="00782A9F"/>
    <w:rsid w:val="00784474"/>
    <w:rsid w:val="00787F0A"/>
    <w:rsid w:val="00791377"/>
    <w:rsid w:val="007917E6"/>
    <w:rsid w:val="00791D6A"/>
    <w:rsid w:val="007928D4"/>
    <w:rsid w:val="00792B9C"/>
    <w:rsid w:val="00795512"/>
    <w:rsid w:val="007972AC"/>
    <w:rsid w:val="007A4F15"/>
    <w:rsid w:val="007A5340"/>
    <w:rsid w:val="007A674B"/>
    <w:rsid w:val="007A73EA"/>
    <w:rsid w:val="007B233E"/>
    <w:rsid w:val="007B2DC6"/>
    <w:rsid w:val="007B538F"/>
    <w:rsid w:val="007B5FA8"/>
    <w:rsid w:val="007B6C2E"/>
    <w:rsid w:val="007B6FDF"/>
    <w:rsid w:val="007C0C73"/>
    <w:rsid w:val="007C7892"/>
    <w:rsid w:val="007D03DD"/>
    <w:rsid w:val="007D0590"/>
    <w:rsid w:val="007D0C7B"/>
    <w:rsid w:val="007D1D53"/>
    <w:rsid w:val="007D1F1D"/>
    <w:rsid w:val="007D27F3"/>
    <w:rsid w:val="007D4C7B"/>
    <w:rsid w:val="007D62C7"/>
    <w:rsid w:val="007E10EB"/>
    <w:rsid w:val="007E1611"/>
    <w:rsid w:val="007E4719"/>
    <w:rsid w:val="007E4B98"/>
    <w:rsid w:val="007E6A15"/>
    <w:rsid w:val="007E6A27"/>
    <w:rsid w:val="007F3514"/>
    <w:rsid w:val="007F42DA"/>
    <w:rsid w:val="007F687A"/>
    <w:rsid w:val="007F6AA7"/>
    <w:rsid w:val="007F7AC6"/>
    <w:rsid w:val="00803061"/>
    <w:rsid w:val="008034D3"/>
    <w:rsid w:val="008056B3"/>
    <w:rsid w:val="00807EEE"/>
    <w:rsid w:val="0081087D"/>
    <w:rsid w:val="008109D6"/>
    <w:rsid w:val="00810F65"/>
    <w:rsid w:val="00812482"/>
    <w:rsid w:val="008135F4"/>
    <w:rsid w:val="00813893"/>
    <w:rsid w:val="008149E7"/>
    <w:rsid w:val="00815DBF"/>
    <w:rsid w:val="008218D6"/>
    <w:rsid w:val="0082266E"/>
    <w:rsid w:val="008234E2"/>
    <w:rsid w:val="00824361"/>
    <w:rsid w:val="00830843"/>
    <w:rsid w:val="008327EE"/>
    <w:rsid w:val="0083350D"/>
    <w:rsid w:val="00834968"/>
    <w:rsid w:val="00835417"/>
    <w:rsid w:val="00840F38"/>
    <w:rsid w:val="00841CC4"/>
    <w:rsid w:val="00842E74"/>
    <w:rsid w:val="0084355F"/>
    <w:rsid w:val="0084374B"/>
    <w:rsid w:val="00843BE5"/>
    <w:rsid w:val="0084777B"/>
    <w:rsid w:val="00847E94"/>
    <w:rsid w:val="0085037B"/>
    <w:rsid w:val="00851088"/>
    <w:rsid w:val="00854E74"/>
    <w:rsid w:val="00855030"/>
    <w:rsid w:val="00856B64"/>
    <w:rsid w:val="0085702A"/>
    <w:rsid w:val="00857DEF"/>
    <w:rsid w:val="008602F0"/>
    <w:rsid w:val="00861F13"/>
    <w:rsid w:val="00862C81"/>
    <w:rsid w:val="00863DD9"/>
    <w:rsid w:val="00866446"/>
    <w:rsid w:val="0086741B"/>
    <w:rsid w:val="00870BDD"/>
    <w:rsid w:val="00871471"/>
    <w:rsid w:val="008751A3"/>
    <w:rsid w:val="008771C4"/>
    <w:rsid w:val="00880204"/>
    <w:rsid w:val="008840CA"/>
    <w:rsid w:val="00884EB1"/>
    <w:rsid w:val="00885DEA"/>
    <w:rsid w:val="00886F29"/>
    <w:rsid w:val="00887F70"/>
    <w:rsid w:val="0089027D"/>
    <w:rsid w:val="00891979"/>
    <w:rsid w:val="008921D6"/>
    <w:rsid w:val="00892517"/>
    <w:rsid w:val="008927FE"/>
    <w:rsid w:val="00892A25"/>
    <w:rsid w:val="00896DE0"/>
    <w:rsid w:val="00897DAB"/>
    <w:rsid w:val="008A0633"/>
    <w:rsid w:val="008A1724"/>
    <w:rsid w:val="008A3386"/>
    <w:rsid w:val="008A37D8"/>
    <w:rsid w:val="008A53F2"/>
    <w:rsid w:val="008B09B1"/>
    <w:rsid w:val="008B09D2"/>
    <w:rsid w:val="008C0723"/>
    <w:rsid w:val="008C1CE8"/>
    <w:rsid w:val="008C24B6"/>
    <w:rsid w:val="008C3987"/>
    <w:rsid w:val="008C3E5B"/>
    <w:rsid w:val="008C487C"/>
    <w:rsid w:val="008C4C28"/>
    <w:rsid w:val="008C5224"/>
    <w:rsid w:val="008D07ED"/>
    <w:rsid w:val="008D0BF9"/>
    <w:rsid w:val="008D2CBA"/>
    <w:rsid w:val="008D40D6"/>
    <w:rsid w:val="008D4381"/>
    <w:rsid w:val="008D5F1D"/>
    <w:rsid w:val="008E0FCC"/>
    <w:rsid w:val="008E2FE3"/>
    <w:rsid w:val="008E5667"/>
    <w:rsid w:val="008E5EB0"/>
    <w:rsid w:val="008E5F34"/>
    <w:rsid w:val="008F0FBE"/>
    <w:rsid w:val="008F2267"/>
    <w:rsid w:val="008F3EE2"/>
    <w:rsid w:val="008F4CB7"/>
    <w:rsid w:val="008F4FBB"/>
    <w:rsid w:val="008F5D30"/>
    <w:rsid w:val="008F6B23"/>
    <w:rsid w:val="00903783"/>
    <w:rsid w:val="00910B3C"/>
    <w:rsid w:val="00911243"/>
    <w:rsid w:val="0091202E"/>
    <w:rsid w:val="0091226B"/>
    <w:rsid w:val="00912EA2"/>
    <w:rsid w:val="009161B8"/>
    <w:rsid w:val="0091627F"/>
    <w:rsid w:val="00916488"/>
    <w:rsid w:val="00916D06"/>
    <w:rsid w:val="0092216E"/>
    <w:rsid w:val="0092233E"/>
    <w:rsid w:val="009223EA"/>
    <w:rsid w:val="009231E0"/>
    <w:rsid w:val="00924365"/>
    <w:rsid w:val="00926E16"/>
    <w:rsid w:val="009270B9"/>
    <w:rsid w:val="00933EF5"/>
    <w:rsid w:val="00935BE4"/>
    <w:rsid w:val="00935F01"/>
    <w:rsid w:val="00936092"/>
    <w:rsid w:val="00943CDD"/>
    <w:rsid w:val="0094508D"/>
    <w:rsid w:val="009506A7"/>
    <w:rsid w:val="009549DD"/>
    <w:rsid w:val="0095686F"/>
    <w:rsid w:val="00960CAB"/>
    <w:rsid w:val="00962D6C"/>
    <w:rsid w:val="0096333C"/>
    <w:rsid w:val="009655F6"/>
    <w:rsid w:val="00965D9D"/>
    <w:rsid w:val="00967230"/>
    <w:rsid w:val="00967B56"/>
    <w:rsid w:val="00972C13"/>
    <w:rsid w:val="00974EE3"/>
    <w:rsid w:val="0097544E"/>
    <w:rsid w:val="00976F3B"/>
    <w:rsid w:val="00980729"/>
    <w:rsid w:val="009812D7"/>
    <w:rsid w:val="00982E99"/>
    <w:rsid w:val="0098491A"/>
    <w:rsid w:val="009853E2"/>
    <w:rsid w:val="009869A5"/>
    <w:rsid w:val="0099267F"/>
    <w:rsid w:val="00993BFE"/>
    <w:rsid w:val="00993CE0"/>
    <w:rsid w:val="00995931"/>
    <w:rsid w:val="009963CB"/>
    <w:rsid w:val="00997B5A"/>
    <w:rsid w:val="009A22AD"/>
    <w:rsid w:val="009A3D14"/>
    <w:rsid w:val="009A5714"/>
    <w:rsid w:val="009A5A15"/>
    <w:rsid w:val="009A5DA7"/>
    <w:rsid w:val="009A764B"/>
    <w:rsid w:val="009B0FED"/>
    <w:rsid w:val="009B1AEC"/>
    <w:rsid w:val="009B1BCD"/>
    <w:rsid w:val="009B2845"/>
    <w:rsid w:val="009B7262"/>
    <w:rsid w:val="009C0FAC"/>
    <w:rsid w:val="009C59BA"/>
    <w:rsid w:val="009C66E7"/>
    <w:rsid w:val="009C6F56"/>
    <w:rsid w:val="009D1D57"/>
    <w:rsid w:val="009D1DE1"/>
    <w:rsid w:val="009D266A"/>
    <w:rsid w:val="009D39BD"/>
    <w:rsid w:val="009D6670"/>
    <w:rsid w:val="009D6FEF"/>
    <w:rsid w:val="009E14F0"/>
    <w:rsid w:val="009E2544"/>
    <w:rsid w:val="009E2770"/>
    <w:rsid w:val="009E2D72"/>
    <w:rsid w:val="009E41C2"/>
    <w:rsid w:val="009E4759"/>
    <w:rsid w:val="009E4A43"/>
    <w:rsid w:val="009E6C5F"/>
    <w:rsid w:val="009F2261"/>
    <w:rsid w:val="009F3537"/>
    <w:rsid w:val="00A03256"/>
    <w:rsid w:val="00A04962"/>
    <w:rsid w:val="00A05C21"/>
    <w:rsid w:val="00A109C0"/>
    <w:rsid w:val="00A12450"/>
    <w:rsid w:val="00A13C4B"/>
    <w:rsid w:val="00A156BC"/>
    <w:rsid w:val="00A25657"/>
    <w:rsid w:val="00A27907"/>
    <w:rsid w:val="00A31880"/>
    <w:rsid w:val="00A329B6"/>
    <w:rsid w:val="00A32C19"/>
    <w:rsid w:val="00A32FFB"/>
    <w:rsid w:val="00A367A1"/>
    <w:rsid w:val="00A37CBD"/>
    <w:rsid w:val="00A415D2"/>
    <w:rsid w:val="00A421D8"/>
    <w:rsid w:val="00A4372E"/>
    <w:rsid w:val="00A460BA"/>
    <w:rsid w:val="00A47EC1"/>
    <w:rsid w:val="00A510F6"/>
    <w:rsid w:val="00A53684"/>
    <w:rsid w:val="00A54D07"/>
    <w:rsid w:val="00A54F89"/>
    <w:rsid w:val="00A6449E"/>
    <w:rsid w:val="00A645A9"/>
    <w:rsid w:val="00A651C9"/>
    <w:rsid w:val="00A657F1"/>
    <w:rsid w:val="00A6700F"/>
    <w:rsid w:val="00A70F57"/>
    <w:rsid w:val="00A733E0"/>
    <w:rsid w:val="00A758DC"/>
    <w:rsid w:val="00A75B4C"/>
    <w:rsid w:val="00A762A2"/>
    <w:rsid w:val="00A76331"/>
    <w:rsid w:val="00A765EA"/>
    <w:rsid w:val="00A80739"/>
    <w:rsid w:val="00A83829"/>
    <w:rsid w:val="00A83947"/>
    <w:rsid w:val="00A84139"/>
    <w:rsid w:val="00A85AFF"/>
    <w:rsid w:val="00A95100"/>
    <w:rsid w:val="00AA2A39"/>
    <w:rsid w:val="00AA615B"/>
    <w:rsid w:val="00AA6B2A"/>
    <w:rsid w:val="00AA7209"/>
    <w:rsid w:val="00AB0DED"/>
    <w:rsid w:val="00AB254D"/>
    <w:rsid w:val="00AB4502"/>
    <w:rsid w:val="00AB5F84"/>
    <w:rsid w:val="00AB616D"/>
    <w:rsid w:val="00AC0C81"/>
    <w:rsid w:val="00AC5CA3"/>
    <w:rsid w:val="00AC5FE7"/>
    <w:rsid w:val="00AC799F"/>
    <w:rsid w:val="00AD21C2"/>
    <w:rsid w:val="00AD2600"/>
    <w:rsid w:val="00AD4320"/>
    <w:rsid w:val="00AD5FA4"/>
    <w:rsid w:val="00AD7725"/>
    <w:rsid w:val="00AE13A1"/>
    <w:rsid w:val="00AE194E"/>
    <w:rsid w:val="00AE1CAD"/>
    <w:rsid w:val="00AE355C"/>
    <w:rsid w:val="00AE6142"/>
    <w:rsid w:val="00AE668A"/>
    <w:rsid w:val="00AE6858"/>
    <w:rsid w:val="00AF185A"/>
    <w:rsid w:val="00AF2203"/>
    <w:rsid w:val="00AF24A4"/>
    <w:rsid w:val="00AF4523"/>
    <w:rsid w:val="00AF5C62"/>
    <w:rsid w:val="00AF6D01"/>
    <w:rsid w:val="00AF7270"/>
    <w:rsid w:val="00AF7DE1"/>
    <w:rsid w:val="00AF7F8A"/>
    <w:rsid w:val="00B00B72"/>
    <w:rsid w:val="00B0135B"/>
    <w:rsid w:val="00B02AB2"/>
    <w:rsid w:val="00B062A5"/>
    <w:rsid w:val="00B1005D"/>
    <w:rsid w:val="00B100E5"/>
    <w:rsid w:val="00B122D7"/>
    <w:rsid w:val="00B139DC"/>
    <w:rsid w:val="00B17BC5"/>
    <w:rsid w:val="00B20A3A"/>
    <w:rsid w:val="00B2158C"/>
    <w:rsid w:val="00B2365C"/>
    <w:rsid w:val="00B24E57"/>
    <w:rsid w:val="00B2594C"/>
    <w:rsid w:val="00B259A3"/>
    <w:rsid w:val="00B26E57"/>
    <w:rsid w:val="00B30582"/>
    <w:rsid w:val="00B30D96"/>
    <w:rsid w:val="00B33648"/>
    <w:rsid w:val="00B35792"/>
    <w:rsid w:val="00B406AA"/>
    <w:rsid w:val="00B40E44"/>
    <w:rsid w:val="00B411C7"/>
    <w:rsid w:val="00B416C7"/>
    <w:rsid w:val="00B43CD5"/>
    <w:rsid w:val="00B44EB3"/>
    <w:rsid w:val="00B46660"/>
    <w:rsid w:val="00B47CBC"/>
    <w:rsid w:val="00B502EC"/>
    <w:rsid w:val="00B506DA"/>
    <w:rsid w:val="00B5123E"/>
    <w:rsid w:val="00B5157F"/>
    <w:rsid w:val="00B522C4"/>
    <w:rsid w:val="00B52B0E"/>
    <w:rsid w:val="00B5337D"/>
    <w:rsid w:val="00B54E4B"/>
    <w:rsid w:val="00B5527E"/>
    <w:rsid w:val="00B56215"/>
    <w:rsid w:val="00B62DD9"/>
    <w:rsid w:val="00B63A7D"/>
    <w:rsid w:val="00B648FF"/>
    <w:rsid w:val="00B65290"/>
    <w:rsid w:val="00B67C63"/>
    <w:rsid w:val="00B70E26"/>
    <w:rsid w:val="00B718F1"/>
    <w:rsid w:val="00B71D17"/>
    <w:rsid w:val="00B744E8"/>
    <w:rsid w:val="00B74D24"/>
    <w:rsid w:val="00B77186"/>
    <w:rsid w:val="00B771D4"/>
    <w:rsid w:val="00B77C40"/>
    <w:rsid w:val="00B81CA8"/>
    <w:rsid w:val="00B81F75"/>
    <w:rsid w:val="00B82E84"/>
    <w:rsid w:val="00B84BE3"/>
    <w:rsid w:val="00B84E9D"/>
    <w:rsid w:val="00B863F6"/>
    <w:rsid w:val="00B86532"/>
    <w:rsid w:val="00B874CB"/>
    <w:rsid w:val="00B9397D"/>
    <w:rsid w:val="00B9767F"/>
    <w:rsid w:val="00B97D95"/>
    <w:rsid w:val="00BA383B"/>
    <w:rsid w:val="00BA59EC"/>
    <w:rsid w:val="00BA6091"/>
    <w:rsid w:val="00BA6BDE"/>
    <w:rsid w:val="00BA7E78"/>
    <w:rsid w:val="00BB0EA7"/>
    <w:rsid w:val="00BB1CA8"/>
    <w:rsid w:val="00BB3DBA"/>
    <w:rsid w:val="00BB59F9"/>
    <w:rsid w:val="00BC15B8"/>
    <w:rsid w:val="00BC3D32"/>
    <w:rsid w:val="00BC5279"/>
    <w:rsid w:val="00BC6627"/>
    <w:rsid w:val="00BC6C4E"/>
    <w:rsid w:val="00BC71A3"/>
    <w:rsid w:val="00BD0990"/>
    <w:rsid w:val="00BD0A88"/>
    <w:rsid w:val="00BD1086"/>
    <w:rsid w:val="00BD23BD"/>
    <w:rsid w:val="00BD5341"/>
    <w:rsid w:val="00BD58A7"/>
    <w:rsid w:val="00BD7FF3"/>
    <w:rsid w:val="00BE1E33"/>
    <w:rsid w:val="00BE2251"/>
    <w:rsid w:val="00BE2AD3"/>
    <w:rsid w:val="00BE2B56"/>
    <w:rsid w:val="00BE36F7"/>
    <w:rsid w:val="00BE3CD6"/>
    <w:rsid w:val="00BE4E4A"/>
    <w:rsid w:val="00BE50B7"/>
    <w:rsid w:val="00BF1787"/>
    <w:rsid w:val="00BF2443"/>
    <w:rsid w:val="00BF4AE5"/>
    <w:rsid w:val="00BF7B9F"/>
    <w:rsid w:val="00C00831"/>
    <w:rsid w:val="00C00A9E"/>
    <w:rsid w:val="00C01306"/>
    <w:rsid w:val="00C02D09"/>
    <w:rsid w:val="00C030DA"/>
    <w:rsid w:val="00C03689"/>
    <w:rsid w:val="00C05EDB"/>
    <w:rsid w:val="00C064F4"/>
    <w:rsid w:val="00C069D0"/>
    <w:rsid w:val="00C07B5D"/>
    <w:rsid w:val="00C103F8"/>
    <w:rsid w:val="00C11BCD"/>
    <w:rsid w:val="00C12201"/>
    <w:rsid w:val="00C13418"/>
    <w:rsid w:val="00C1405A"/>
    <w:rsid w:val="00C22412"/>
    <w:rsid w:val="00C247F3"/>
    <w:rsid w:val="00C24EAC"/>
    <w:rsid w:val="00C25E14"/>
    <w:rsid w:val="00C26186"/>
    <w:rsid w:val="00C266A5"/>
    <w:rsid w:val="00C31ED6"/>
    <w:rsid w:val="00C32446"/>
    <w:rsid w:val="00C33F31"/>
    <w:rsid w:val="00C40C84"/>
    <w:rsid w:val="00C417BD"/>
    <w:rsid w:val="00C4526C"/>
    <w:rsid w:val="00C50B1B"/>
    <w:rsid w:val="00C52801"/>
    <w:rsid w:val="00C6210F"/>
    <w:rsid w:val="00C623AE"/>
    <w:rsid w:val="00C63CE5"/>
    <w:rsid w:val="00C667C1"/>
    <w:rsid w:val="00C70C7D"/>
    <w:rsid w:val="00C745C6"/>
    <w:rsid w:val="00C75D22"/>
    <w:rsid w:val="00C75DB8"/>
    <w:rsid w:val="00C76A82"/>
    <w:rsid w:val="00C76D92"/>
    <w:rsid w:val="00C77521"/>
    <w:rsid w:val="00C860C4"/>
    <w:rsid w:val="00C909D4"/>
    <w:rsid w:val="00C92B82"/>
    <w:rsid w:val="00C956D0"/>
    <w:rsid w:val="00C964DE"/>
    <w:rsid w:val="00C96C57"/>
    <w:rsid w:val="00C97F69"/>
    <w:rsid w:val="00CA0586"/>
    <w:rsid w:val="00CA1428"/>
    <w:rsid w:val="00CA3C3B"/>
    <w:rsid w:val="00CA5790"/>
    <w:rsid w:val="00CA634C"/>
    <w:rsid w:val="00CB004E"/>
    <w:rsid w:val="00CB0D87"/>
    <w:rsid w:val="00CB2797"/>
    <w:rsid w:val="00CB66A1"/>
    <w:rsid w:val="00CB7787"/>
    <w:rsid w:val="00CC1134"/>
    <w:rsid w:val="00CC3C9A"/>
    <w:rsid w:val="00CC3DEC"/>
    <w:rsid w:val="00CD05DC"/>
    <w:rsid w:val="00CD3C6F"/>
    <w:rsid w:val="00CD5DF3"/>
    <w:rsid w:val="00CD7DB3"/>
    <w:rsid w:val="00CE153F"/>
    <w:rsid w:val="00CE58C4"/>
    <w:rsid w:val="00CF183E"/>
    <w:rsid w:val="00CF326B"/>
    <w:rsid w:val="00CF56D7"/>
    <w:rsid w:val="00CF605F"/>
    <w:rsid w:val="00CF6C6F"/>
    <w:rsid w:val="00D051D2"/>
    <w:rsid w:val="00D058DF"/>
    <w:rsid w:val="00D0763E"/>
    <w:rsid w:val="00D12644"/>
    <w:rsid w:val="00D13774"/>
    <w:rsid w:val="00D14A23"/>
    <w:rsid w:val="00D1531B"/>
    <w:rsid w:val="00D15EAB"/>
    <w:rsid w:val="00D162D5"/>
    <w:rsid w:val="00D165DC"/>
    <w:rsid w:val="00D22702"/>
    <w:rsid w:val="00D22CDB"/>
    <w:rsid w:val="00D230CE"/>
    <w:rsid w:val="00D237A9"/>
    <w:rsid w:val="00D24682"/>
    <w:rsid w:val="00D24F06"/>
    <w:rsid w:val="00D25059"/>
    <w:rsid w:val="00D25877"/>
    <w:rsid w:val="00D25AEF"/>
    <w:rsid w:val="00D349EE"/>
    <w:rsid w:val="00D3779A"/>
    <w:rsid w:val="00D404BB"/>
    <w:rsid w:val="00D421E8"/>
    <w:rsid w:val="00D43ADB"/>
    <w:rsid w:val="00D43ECF"/>
    <w:rsid w:val="00D516F2"/>
    <w:rsid w:val="00D5473B"/>
    <w:rsid w:val="00D56763"/>
    <w:rsid w:val="00D56766"/>
    <w:rsid w:val="00D56CC4"/>
    <w:rsid w:val="00D56D47"/>
    <w:rsid w:val="00D6064B"/>
    <w:rsid w:val="00D644D8"/>
    <w:rsid w:val="00D648B0"/>
    <w:rsid w:val="00D7088A"/>
    <w:rsid w:val="00D70FB4"/>
    <w:rsid w:val="00D7339F"/>
    <w:rsid w:val="00D74A1C"/>
    <w:rsid w:val="00D75BD6"/>
    <w:rsid w:val="00D76E57"/>
    <w:rsid w:val="00D815C1"/>
    <w:rsid w:val="00D822D9"/>
    <w:rsid w:val="00D838D1"/>
    <w:rsid w:val="00D83A95"/>
    <w:rsid w:val="00D843FF"/>
    <w:rsid w:val="00D84DC5"/>
    <w:rsid w:val="00D85C85"/>
    <w:rsid w:val="00D86FEA"/>
    <w:rsid w:val="00D87665"/>
    <w:rsid w:val="00D87808"/>
    <w:rsid w:val="00D923D3"/>
    <w:rsid w:val="00D92F6C"/>
    <w:rsid w:val="00D93CB6"/>
    <w:rsid w:val="00D95879"/>
    <w:rsid w:val="00D95C0B"/>
    <w:rsid w:val="00D961FC"/>
    <w:rsid w:val="00D97A6B"/>
    <w:rsid w:val="00DA2FA3"/>
    <w:rsid w:val="00DA43AF"/>
    <w:rsid w:val="00DA585A"/>
    <w:rsid w:val="00DA681A"/>
    <w:rsid w:val="00DB23F5"/>
    <w:rsid w:val="00DB3F57"/>
    <w:rsid w:val="00DB4079"/>
    <w:rsid w:val="00DB5EE5"/>
    <w:rsid w:val="00DB6988"/>
    <w:rsid w:val="00DB7208"/>
    <w:rsid w:val="00DB751D"/>
    <w:rsid w:val="00DC0138"/>
    <w:rsid w:val="00DC0F98"/>
    <w:rsid w:val="00DC1080"/>
    <w:rsid w:val="00DC10EA"/>
    <w:rsid w:val="00DC1941"/>
    <w:rsid w:val="00DC1FAD"/>
    <w:rsid w:val="00DC22C6"/>
    <w:rsid w:val="00DC4BB8"/>
    <w:rsid w:val="00DC59FA"/>
    <w:rsid w:val="00DC679E"/>
    <w:rsid w:val="00DD0E98"/>
    <w:rsid w:val="00DD17C8"/>
    <w:rsid w:val="00DD1A92"/>
    <w:rsid w:val="00DD265C"/>
    <w:rsid w:val="00DD2D2E"/>
    <w:rsid w:val="00DD3481"/>
    <w:rsid w:val="00DE0A9A"/>
    <w:rsid w:val="00DE0E26"/>
    <w:rsid w:val="00DE3047"/>
    <w:rsid w:val="00DE3F5F"/>
    <w:rsid w:val="00DE5699"/>
    <w:rsid w:val="00DE6220"/>
    <w:rsid w:val="00DE64DE"/>
    <w:rsid w:val="00DE7AB4"/>
    <w:rsid w:val="00DF0661"/>
    <w:rsid w:val="00DF0B19"/>
    <w:rsid w:val="00DF2F9C"/>
    <w:rsid w:val="00DF4D86"/>
    <w:rsid w:val="00DF5983"/>
    <w:rsid w:val="00DF5FDD"/>
    <w:rsid w:val="00DF6644"/>
    <w:rsid w:val="00DF6A51"/>
    <w:rsid w:val="00DF7033"/>
    <w:rsid w:val="00DF7BCF"/>
    <w:rsid w:val="00DF7F6E"/>
    <w:rsid w:val="00E0053A"/>
    <w:rsid w:val="00E01D84"/>
    <w:rsid w:val="00E01E05"/>
    <w:rsid w:val="00E030B1"/>
    <w:rsid w:val="00E03290"/>
    <w:rsid w:val="00E0556E"/>
    <w:rsid w:val="00E06637"/>
    <w:rsid w:val="00E11787"/>
    <w:rsid w:val="00E137BB"/>
    <w:rsid w:val="00E16A21"/>
    <w:rsid w:val="00E16A8F"/>
    <w:rsid w:val="00E16D8B"/>
    <w:rsid w:val="00E17AA0"/>
    <w:rsid w:val="00E204B4"/>
    <w:rsid w:val="00E21549"/>
    <w:rsid w:val="00E221EC"/>
    <w:rsid w:val="00E224A4"/>
    <w:rsid w:val="00E30022"/>
    <w:rsid w:val="00E3199C"/>
    <w:rsid w:val="00E33680"/>
    <w:rsid w:val="00E33820"/>
    <w:rsid w:val="00E34A66"/>
    <w:rsid w:val="00E35B0E"/>
    <w:rsid w:val="00E42425"/>
    <w:rsid w:val="00E52B90"/>
    <w:rsid w:val="00E53A9A"/>
    <w:rsid w:val="00E53ED1"/>
    <w:rsid w:val="00E5460B"/>
    <w:rsid w:val="00E54BB4"/>
    <w:rsid w:val="00E575A6"/>
    <w:rsid w:val="00E62E6F"/>
    <w:rsid w:val="00E6312F"/>
    <w:rsid w:val="00E63ADB"/>
    <w:rsid w:val="00E64758"/>
    <w:rsid w:val="00E64988"/>
    <w:rsid w:val="00E64A38"/>
    <w:rsid w:val="00E650D8"/>
    <w:rsid w:val="00E664DA"/>
    <w:rsid w:val="00E674C5"/>
    <w:rsid w:val="00E70E72"/>
    <w:rsid w:val="00E75356"/>
    <w:rsid w:val="00E756AC"/>
    <w:rsid w:val="00E824C0"/>
    <w:rsid w:val="00E8381A"/>
    <w:rsid w:val="00E85358"/>
    <w:rsid w:val="00E861B6"/>
    <w:rsid w:val="00E8653E"/>
    <w:rsid w:val="00E87596"/>
    <w:rsid w:val="00E87794"/>
    <w:rsid w:val="00E87D6E"/>
    <w:rsid w:val="00E9217A"/>
    <w:rsid w:val="00E926E3"/>
    <w:rsid w:val="00E96422"/>
    <w:rsid w:val="00E9748F"/>
    <w:rsid w:val="00EA2206"/>
    <w:rsid w:val="00EA3B7D"/>
    <w:rsid w:val="00EA4081"/>
    <w:rsid w:val="00EA44AB"/>
    <w:rsid w:val="00EA5A59"/>
    <w:rsid w:val="00EB28A8"/>
    <w:rsid w:val="00EB32F2"/>
    <w:rsid w:val="00EB3D8F"/>
    <w:rsid w:val="00EB42D3"/>
    <w:rsid w:val="00EB5184"/>
    <w:rsid w:val="00EB67D6"/>
    <w:rsid w:val="00EB79B1"/>
    <w:rsid w:val="00EC092E"/>
    <w:rsid w:val="00EC1F05"/>
    <w:rsid w:val="00EC2129"/>
    <w:rsid w:val="00EC2287"/>
    <w:rsid w:val="00EC28A2"/>
    <w:rsid w:val="00EC2D8F"/>
    <w:rsid w:val="00EC317B"/>
    <w:rsid w:val="00ED0FE3"/>
    <w:rsid w:val="00ED1F11"/>
    <w:rsid w:val="00ED2621"/>
    <w:rsid w:val="00ED3B2F"/>
    <w:rsid w:val="00ED3EF0"/>
    <w:rsid w:val="00ED5E06"/>
    <w:rsid w:val="00EE121F"/>
    <w:rsid w:val="00EE2707"/>
    <w:rsid w:val="00EF2CA6"/>
    <w:rsid w:val="00EF3A6E"/>
    <w:rsid w:val="00EF4DC4"/>
    <w:rsid w:val="00EF553C"/>
    <w:rsid w:val="00F0422A"/>
    <w:rsid w:val="00F0523A"/>
    <w:rsid w:val="00F0717E"/>
    <w:rsid w:val="00F117B1"/>
    <w:rsid w:val="00F12D75"/>
    <w:rsid w:val="00F134F9"/>
    <w:rsid w:val="00F1636F"/>
    <w:rsid w:val="00F17AD4"/>
    <w:rsid w:val="00F218E0"/>
    <w:rsid w:val="00F21DDD"/>
    <w:rsid w:val="00F22672"/>
    <w:rsid w:val="00F23CE5"/>
    <w:rsid w:val="00F24382"/>
    <w:rsid w:val="00F24C62"/>
    <w:rsid w:val="00F267C7"/>
    <w:rsid w:val="00F26DB6"/>
    <w:rsid w:val="00F27497"/>
    <w:rsid w:val="00F27E56"/>
    <w:rsid w:val="00F30366"/>
    <w:rsid w:val="00F31211"/>
    <w:rsid w:val="00F33F55"/>
    <w:rsid w:val="00F34138"/>
    <w:rsid w:val="00F346BF"/>
    <w:rsid w:val="00F34863"/>
    <w:rsid w:val="00F3642B"/>
    <w:rsid w:val="00F3784C"/>
    <w:rsid w:val="00F379D7"/>
    <w:rsid w:val="00F40221"/>
    <w:rsid w:val="00F41276"/>
    <w:rsid w:val="00F418A2"/>
    <w:rsid w:val="00F4230D"/>
    <w:rsid w:val="00F45997"/>
    <w:rsid w:val="00F464FA"/>
    <w:rsid w:val="00F47FCE"/>
    <w:rsid w:val="00F501D2"/>
    <w:rsid w:val="00F5266F"/>
    <w:rsid w:val="00F53123"/>
    <w:rsid w:val="00F55AB2"/>
    <w:rsid w:val="00F55C60"/>
    <w:rsid w:val="00F56447"/>
    <w:rsid w:val="00F573FF"/>
    <w:rsid w:val="00F619ED"/>
    <w:rsid w:val="00F61FCE"/>
    <w:rsid w:val="00F64055"/>
    <w:rsid w:val="00F645CD"/>
    <w:rsid w:val="00F64BF6"/>
    <w:rsid w:val="00F659B8"/>
    <w:rsid w:val="00F67011"/>
    <w:rsid w:val="00F710C6"/>
    <w:rsid w:val="00F72327"/>
    <w:rsid w:val="00F75CC9"/>
    <w:rsid w:val="00F8284E"/>
    <w:rsid w:val="00F848D2"/>
    <w:rsid w:val="00F87FD4"/>
    <w:rsid w:val="00F90890"/>
    <w:rsid w:val="00F911E4"/>
    <w:rsid w:val="00F9343D"/>
    <w:rsid w:val="00F93C62"/>
    <w:rsid w:val="00F9481A"/>
    <w:rsid w:val="00F964FD"/>
    <w:rsid w:val="00F96AB1"/>
    <w:rsid w:val="00F97692"/>
    <w:rsid w:val="00F9783F"/>
    <w:rsid w:val="00F978B3"/>
    <w:rsid w:val="00FA2523"/>
    <w:rsid w:val="00FA282C"/>
    <w:rsid w:val="00FA547C"/>
    <w:rsid w:val="00FA64F7"/>
    <w:rsid w:val="00FA7068"/>
    <w:rsid w:val="00FB0CCD"/>
    <w:rsid w:val="00FB44F1"/>
    <w:rsid w:val="00FB603A"/>
    <w:rsid w:val="00FC194C"/>
    <w:rsid w:val="00FC3C38"/>
    <w:rsid w:val="00FC755D"/>
    <w:rsid w:val="00FD17AB"/>
    <w:rsid w:val="00FD2124"/>
    <w:rsid w:val="00FD376E"/>
    <w:rsid w:val="00FD4AF2"/>
    <w:rsid w:val="00FD6A1D"/>
    <w:rsid w:val="00FD724A"/>
    <w:rsid w:val="00FE00F9"/>
    <w:rsid w:val="00FE1B8F"/>
    <w:rsid w:val="00FE22E3"/>
    <w:rsid w:val="00FE3DFF"/>
    <w:rsid w:val="00FE5B90"/>
    <w:rsid w:val="00FF0CEE"/>
    <w:rsid w:val="00FF3341"/>
    <w:rsid w:val="00FF34F7"/>
    <w:rsid w:val="00FF3519"/>
    <w:rsid w:val="00FF4D95"/>
    <w:rsid w:val="00FF78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nfasis">
    <w:name w:val="Emphasis"/>
    <w:basedOn w:val="Fuentedeprrafopredeter"/>
    <w:uiPriority w:val="20"/>
    <w:qFormat/>
    <w:rsid w:val="00D56CC4"/>
    <w:rPr>
      <w:i/>
      <w:iCs/>
    </w:rPr>
  </w:style>
  <w:style w:type="character" w:customStyle="1" w:styleId="NormalWebCar">
    <w:name w:val="Normal (Web) Car"/>
    <w:link w:val="NormalWeb"/>
    <w:uiPriority w:val="99"/>
    <w:rsid w:val="00D56CC4"/>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59471191">
      <w:bodyDiv w:val="1"/>
      <w:marLeft w:val="0"/>
      <w:marRight w:val="0"/>
      <w:marTop w:val="0"/>
      <w:marBottom w:val="0"/>
      <w:divBdr>
        <w:top w:val="none" w:sz="0" w:space="0" w:color="auto"/>
        <w:left w:val="none" w:sz="0" w:space="0" w:color="auto"/>
        <w:bottom w:val="none" w:sz="0" w:space="0" w:color="auto"/>
        <w:right w:val="none" w:sz="0" w:space="0" w:color="auto"/>
      </w:divBdr>
      <w:divsChild>
        <w:div w:id="1678967238">
          <w:marLeft w:val="0"/>
          <w:marRight w:val="0"/>
          <w:marTop w:val="0"/>
          <w:marBottom w:val="0"/>
          <w:divBdr>
            <w:top w:val="none" w:sz="0" w:space="0" w:color="auto"/>
            <w:left w:val="none" w:sz="0" w:space="0" w:color="auto"/>
            <w:bottom w:val="none" w:sz="0" w:space="0" w:color="auto"/>
            <w:right w:val="none" w:sz="0" w:space="0" w:color="auto"/>
          </w:divBdr>
          <w:divsChild>
            <w:div w:id="1404529430">
              <w:marLeft w:val="0"/>
              <w:marRight w:val="0"/>
              <w:marTop w:val="0"/>
              <w:marBottom w:val="0"/>
              <w:divBdr>
                <w:top w:val="none" w:sz="0" w:space="0" w:color="auto"/>
                <w:left w:val="none" w:sz="0" w:space="0" w:color="auto"/>
                <w:bottom w:val="none" w:sz="0" w:space="0" w:color="auto"/>
                <w:right w:val="none" w:sz="0" w:space="0" w:color="auto"/>
              </w:divBdr>
              <w:divsChild>
                <w:div w:id="198319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etimologias.dechile.net/?exorbitan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9F2BEE-C4BA-4727-A204-0D1C11661133}">
  <ds:schemaRefs>
    <ds:schemaRef ds:uri="http://schemas.openxmlformats.org/officeDocument/2006/bibliography"/>
  </ds:schemaRefs>
</ds:datastoreItem>
</file>

<file path=customXml/itemProps2.xml><?xml version="1.0" encoding="utf-8"?>
<ds:datastoreItem xmlns:ds="http://schemas.openxmlformats.org/officeDocument/2006/customXml" ds:itemID="{0A74D7BE-9BCD-4EA5-9F97-CD35F21E90C3}"/>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19</Pages>
  <Words>7126</Words>
  <Characters>39199</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Andrea Ramírez</cp:lastModifiedBy>
  <cp:revision>46</cp:revision>
  <cp:lastPrinted>2021-08-12T22:16:00Z</cp:lastPrinted>
  <dcterms:created xsi:type="dcterms:W3CDTF">2021-10-15T16:00:00Z</dcterms:created>
  <dcterms:modified xsi:type="dcterms:W3CDTF">2021-11-26T13:29:00Z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