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5985E" w14:textId="77777777" w:rsidR="00546EB3" w:rsidRPr="00123DAA" w:rsidRDefault="00546EB3" w:rsidP="00546EB3">
      <w:pPr>
        <w:spacing w:after="0" w:line="240" w:lineRule="auto"/>
        <w:jc w:val="both"/>
        <w:rPr>
          <w:rFonts w:ascii="Verdana" w:eastAsia="Calibri" w:hAnsi="Verdana" w:cs="Arial"/>
          <w:b/>
          <w:bCs/>
          <w:lang w:val="es-ES_tradnl" w:eastAsia="es-ES"/>
        </w:rPr>
      </w:pPr>
      <w:r w:rsidRPr="00940024">
        <w:rPr>
          <w:rFonts w:ascii="Verdana" w:eastAsia="Calibri" w:hAnsi="Verdana" w:cs="Arial"/>
          <w:b/>
          <w:bCs/>
          <w:lang w:val="es-ES_tradnl" w:eastAsia="es-ES"/>
        </w:rPr>
        <w:t>SEGURIDAD SOCIAL INTEGRAL – Verificación</w:t>
      </w:r>
    </w:p>
    <w:p w14:paraId="4D433001" w14:textId="77777777" w:rsidR="00546EB3" w:rsidRPr="00123DAA" w:rsidRDefault="00546EB3" w:rsidP="00546EB3">
      <w:pPr>
        <w:spacing w:after="0" w:line="240" w:lineRule="auto"/>
        <w:jc w:val="both"/>
        <w:rPr>
          <w:rFonts w:ascii="Verdana" w:eastAsia="Calibri" w:hAnsi="Verdana" w:cs="Arial"/>
          <w:sz w:val="20"/>
          <w:szCs w:val="20"/>
          <w:lang w:val="es-ES_tradnl" w:eastAsia="es-ES"/>
        </w:rPr>
      </w:pPr>
    </w:p>
    <w:p w14:paraId="259578BF" w14:textId="77777777" w:rsidR="00546EB3" w:rsidRPr="00940024"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7245FDD1" w14:textId="77777777" w:rsidR="00546EB3" w:rsidRDefault="00546EB3" w:rsidP="00546EB3">
      <w:pPr>
        <w:spacing w:after="0" w:line="240" w:lineRule="auto"/>
        <w:jc w:val="both"/>
        <w:rPr>
          <w:rFonts w:ascii="Verdana" w:eastAsia="Calibri" w:hAnsi="Verdana" w:cs="Arial"/>
          <w:sz w:val="20"/>
          <w:szCs w:val="20"/>
          <w:lang w:val="es-ES" w:eastAsia="es-ES"/>
        </w:rPr>
      </w:pPr>
    </w:p>
    <w:p w14:paraId="0227313E" w14:textId="77777777" w:rsidR="00546EB3" w:rsidRPr="00940024"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3498C3CF" w14:textId="77777777" w:rsidR="00546EB3" w:rsidRPr="00123DAA" w:rsidRDefault="00546EB3" w:rsidP="00546EB3">
      <w:pPr>
        <w:spacing w:after="0" w:line="240" w:lineRule="auto"/>
        <w:jc w:val="both"/>
        <w:rPr>
          <w:rFonts w:ascii="Verdana" w:eastAsia="Calibri" w:hAnsi="Verdana" w:cs="Arial"/>
          <w:sz w:val="20"/>
          <w:szCs w:val="20"/>
          <w:lang w:val="es-ES_tradnl" w:eastAsia="es-ES"/>
        </w:rPr>
      </w:pPr>
    </w:p>
    <w:p w14:paraId="639C9D16" w14:textId="77777777" w:rsidR="00546EB3" w:rsidRPr="00123DAA" w:rsidRDefault="00546EB3" w:rsidP="00546EB3">
      <w:pPr>
        <w:spacing w:after="0" w:line="240" w:lineRule="auto"/>
        <w:jc w:val="both"/>
        <w:rPr>
          <w:rFonts w:ascii="Verdana" w:eastAsia="Calibri" w:hAnsi="Verdana" w:cs="Arial"/>
          <w:sz w:val="20"/>
          <w:szCs w:val="20"/>
          <w:lang w:val="es-ES_tradnl" w:eastAsia="es-ES"/>
        </w:rPr>
      </w:pPr>
      <w:r w:rsidRPr="00940024">
        <w:rPr>
          <w:rFonts w:ascii="Verdana" w:eastAsia="Calibri" w:hAnsi="Verdana" w:cs="Arial"/>
          <w:b/>
          <w:bCs/>
          <w:lang w:val="es-ES_tradnl" w:eastAsia="es-ES"/>
        </w:rPr>
        <w:t>SEGURIDAD SOCIAL INTEGRAL – Régimen jurídico – Afiliación y aporte – Obligación legal – Ejecución del contrato</w:t>
      </w:r>
    </w:p>
    <w:p w14:paraId="0A435160" w14:textId="77777777" w:rsidR="00546EB3" w:rsidRDefault="00546EB3" w:rsidP="00546EB3">
      <w:pPr>
        <w:spacing w:after="0" w:line="240" w:lineRule="auto"/>
        <w:jc w:val="both"/>
        <w:rPr>
          <w:rFonts w:ascii="Verdana" w:eastAsia="Calibri" w:hAnsi="Verdana" w:cs="Arial"/>
          <w:sz w:val="20"/>
          <w:szCs w:val="20"/>
          <w:lang w:val="es-ES_tradnl" w:eastAsia="es-ES"/>
        </w:rPr>
      </w:pPr>
    </w:p>
    <w:p w14:paraId="5395976E" w14:textId="77777777" w:rsidR="00546EB3" w:rsidRPr="00940024"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940024">
        <w:rPr>
          <w:rFonts w:ascii="Verdana" w:eastAsia="Calibri" w:hAnsi="Verdana" w:cs="Arial"/>
          <w:i/>
          <w:iCs/>
          <w:sz w:val="20"/>
          <w:szCs w:val="20"/>
          <w:lang w:val="es-ES" w:eastAsia="es-ES"/>
        </w:rPr>
        <w:t>para presentar la oferta</w:t>
      </w:r>
      <w:r w:rsidRPr="00940024">
        <w:rPr>
          <w:rFonts w:ascii="Verdana" w:eastAsia="Calibri" w:hAnsi="Verdana" w:cs="Arial"/>
          <w:sz w:val="20"/>
          <w:szCs w:val="20"/>
          <w:lang w:val="es-ES" w:eastAsia="es-ES"/>
        </w:rPr>
        <w:t xml:space="preserve"> las personas jurídicas deben acreditar el requisito señalado anteriormente.</w:t>
      </w:r>
    </w:p>
    <w:p w14:paraId="2CDF42B6" w14:textId="77777777" w:rsidR="00546EB3" w:rsidRPr="00940024" w:rsidRDefault="00546EB3" w:rsidP="00546EB3">
      <w:pPr>
        <w:spacing w:after="0" w:line="240" w:lineRule="auto"/>
        <w:jc w:val="both"/>
        <w:rPr>
          <w:rFonts w:ascii="Verdana" w:eastAsia="Calibri" w:hAnsi="Verdana" w:cs="Arial"/>
          <w:sz w:val="20"/>
          <w:szCs w:val="20"/>
          <w:lang w:val="es-ES" w:eastAsia="es-ES"/>
        </w:rPr>
      </w:pPr>
    </w:p>
    <w:p w14:paraId="0C0EFB3D" w14:textId="77777777" w:rsidR="00546EB3" w:rsidRPr="00940024"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940024">
        <w:rPr>
          <w:rFonts w:ascii="Verdana" w:eastAsia="Calibri" w:hAnsi="Verdana" w:cs="Arial"/>
          <w:i/>
          <w:iCs/>
          <w:sz w:val="20"/>
          <w:szCs w:val="20"/>
          <w:lang w:val="es-ES" w:eastAsia="es-ES"/>
        </w:rPr>
        <w:t>durante la ejecución de un contrato</w:t>
      </w:r>
      <w:r w:rsidRPr="00940024">
        <w:rPr>
          <w:rFonts w:ascii="Verdana" w:eastAsia="Calibri" w:hAnsi="Verdana" w:cs="Arial"/>
          <w:sz w:val="20"/>
          <w:szCs w:val="20"/>
          <w:lang w:val="es-ES" w:eastAsia="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35C912B3" w14:textId="77777777" w:rsidR="00546EB3" w:rsidRPr="00940024" w:rsidRDefault="00546EB3" w:rsidP="00546EB3">
      <w:pPr>
        <w:spacing w:after="0" w:line="240" w:lineRule="auto"/>
        <w:jc w:val="both"/>
        <w:rPr>
          <w:rFonts w:ascii="Verdana" w:eastAsia="Calibri" w:hAnsi="Verdana" w:cs="Arial"/>
          <w:sz w:val="20"/>
          <w:szCs w:val="20"/>
          <w:lang w:val="es-ES" w:eastAsia="es-ES"/>
        </w:rPr>
      </w:pPr>
    </w:p>
    <w:p w14:paraId="7DDF3810" w14:textId="77777777" w:rsidR="00546EB3" w:rsidRPr="00940024"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lastRenderedPageBreak/>
        <w:t>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7776B23F" w14:textId="77777777" w:rsidR="00546EB3" w:rsidRPr="00123DAA" w:rsidRDefault="00546EB3" w:rsidP="00546EB3">
      <w:pPr>
        <w:spacing w:after="0" w:line="240" w:lineRule="auto"/>
        <w:jc w:val="both"/>
        <w:rPr>
          <w:rFonts w:ascii="Verdana" w:eastAsia="Calibri" w:hAnsi="Verdana" w:cs="Arial"/>
          <w:sz w:val="20"/>
          <w:szCs w:val="20"/>
          <w:lang w:val="es-ES_tradnl" w:eastAsia="es-ES"/>
        </w:rPr>
      </w:pPr>
    </w:p>
    <w:p w14:paraId="1FA1256E" w14:textId="77777777" w:rsidR="00546EB3" w:rsidRPr="00123DAA" w:rsidRDefault="00546EB3" w:rsidP="00546EB3">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LEY 2381 DE 2024 – Reglamentación – Cotizaciones – Entidades estatales – Contratos de prestación de servicios – Directrices</w:t>
      </w:r>
    </w:p>
    <w:p w14:paraId="0425C142" w14:textId="77777777" w:rsidR="00546EB3" w:rsidRDefault="00546EB3" w:rsidP="00546EB3">
      <w:pPr>
        <w:spacing w:after="0" w:line="240" w:lineRule="auto"/>
        <w:jc w:val="both"/>
        <w:rPr>
          <w:rFonts w:ascii="Verdana" w:eastAsia="Calibri" w:hAnsi="Verdana" w:cs="Arial"/>
          <w:sz w:val="20"/>
          <w:szCs w:val="20"/>
          <w:lang w:val="es-ES_tradnl" w:eastAsia="es-ES"/>
        </w:rPr>
      </w:pPr>
    </w:p>
    <w:p w14:paraId="13DB4373" w14:textId="77777777" w:rsidR="001F44FE" w:rsidRPr="001F44FE" w:rsidRDefault="00546EB3" w:rsidP="001F44FE">
      <w:pPr>
        <w:spacing w:after="0" w:line="240" w:lineRule="auto"/>
        <w:jc w:val="both"/>
        <w:rPr>
          <w:rFonts w:ascii="Verdana" w:eastAsia="Calibri" w:hAnsi="Verdana" w:cs="Arial"/>
          <w:sz w:val="20"/>
          <w:szCs w:val="20"/>
          <w:lang w:eastAsia="es-ES"/>
        </w:rPr>
      </w:pPr>
      <w:r>
        <w:rPr>
          <w:rFonts w:ascii="Verdana" w:eastAsia="Calibri" w:hAnsi="Verdana" w:cs="Arial"/>
          <w:sz w:val="20"/>
          <w:szCs w:val="20"/>
          <w:lang w:val="es-ES" w:eastAsia="es-ES"/>
        </w:rPr>
        <w:t>D</w:t>
      </w:r>
      <w:r w:rsidRPr="00940024">
        <w:rPr>
          <w:rFonts w:ascii="Verdana" w:eastAsia="Calibri" w:hAnsi="Verdana" w:cs="Arial"/>
          <w:sz w:val="20"/>
          <w:szCs w:val="20"/>
          <w:lang w:val="es-ES" w:eastAsia="es-ES"/>
        </w:rPr>
        <w:t xml:space="preserve">e acuerdo con los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w:t>
      </w:r>
      <w:r w:rsidR="001F44FE" w:rsidRPr="001F44FE">
        <w:rPr>
          <w:rFonts w:ascii="Verdana" w:eastAsia="Calibri" w:hAnsi="Verdana" w:cs="Arial"/>
          <w:sz w:val="20"/>
          <w:szCs w:val="20"/>
          <w:lang w:eastAsia="es-ES"/>
        </w:rPr>
        <w:t>Esto supone que, respecto de los contratos en ejecución, es indispensable realizar la modificación de las cláusulas contractuales pertinentes, con el fin de incorporar expresamente la obligación a cargo de la entidad. Ello obedece a que el contrato es el instrumento que define y delimita las obligaciones recíprocas de las partes y constituye el marco jurídico para su ejecución, por tanto, la formalización de dicha modificación asegura la coherencia entre el marco legal vigente y el contenido contractual. En cuanto a los contratos que la entidad celebre a futuro, se deberá incorporar una cláusula que refleje el acuerdo relativo a esta nueva obligación. Lo anterior, sin perjuicio de las decisiones administrativas que la entidad pueda adoptar para dar cumplimiento a lo dispuesto en esta ley y a su reglamentación.</w:t>
      </w:r>
    </w:p>
    <w:p w14:paraId="6EDB60EB" w14:textId="77777777" w:rsidR="00546EB3" w:rsidRPr="00940024" w:rsidRDefault="00546EB3" w:rsidP="00546EB3">
      <w:pPr>
        <w:spacing w:after="0" w:line="240" w:lineRule="auto"/>
        <w:jc w:val="both"/>
        <w:rPr>
          <w:rFonts w:ascii="Verdana" w:eastAsia="Calibri" w:hAnsi="Verdana" w:cs="Arial"/>
          <w:sz w:val="20"/>
          <w:szCs w:val="20"/>
          <w:lang w:val="es-ES" w:eastAsia="es-ES"/>
        </w:rPr>
      </w:pPr>
    </w:p>
    <w:p w14:paraId="71221699" w14:textId="77777777" w:rsidR="00546EB3" w:rsidRDefault="00546EB3" w:rsidP="00546EB3">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De estar de acuerdo, la entidad contratante descontará de los honorarios la cotización tanto del sistema de protección social integral para la vejez, invalidez y muerte de origen común como de los sistemas de salud y riesgos laborales; además, responderá por el monto de las cotizaciones, aún en el evento de que no efectuar descuentos a los contratistas.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2D319C7A" w14:textId="77777777" w:rsidR="00546EB3" w:rsidRDefault="00546EB3" w:rsidP="00546EB3">
      <w:pPr>
        <w:spacing w:after="0" w:line="240" w:lineRule="auto"/>
        <w:jc w:val="both"/>
        <w:rPr>
          <w:rFonts w:ascii="Verdana" w:eastAsia="Calibri" w:hAnsi="Verdana" w:cs="Arial"/>
          <w:sz w:val="20"/>
          <w:szCs w:val="20"/>
          <w:lang w:val="es-ES" w:eastAsia="es-ES"/>
        </w:rPr>
      </w:pPr>
    </w:p>
    <w:p w14:paraId="132C3C7A" w14:textId="2318CF84" w:rsidR="00546EB3" w:rsidRPr="00940024" w:rsidRDefault="00546EB3" w:rsidP="00546EB3">
      <w:pPr>
        <w:spacing w:after="0" w:line="240" w:lineRule="auto"/>
        <w:jc w:val="both"/>
        <w:rPr>
          <w:rFonts w:ascii="Verdana" w:eastAsia="Calibri" w:hAnsi="Verdana" w:cs="Arial"/>
          <w:sz w:val="20"/>
          <w:szCs w:val="20"/>
          <w:lang w:val="es-ES" w:eastAsia="es-ES"/>
        </w:rPr>
      </w:pPr>
      <w:r w:rsidRPr="00546EB3">
        <w:rPr>
          <w:rFonts w:ascii="Verdana" w:eastAsia="Calibri" w:hAnsi="Verdana" w:cs="Arial"/>
          <w:sz w:val="20"/>
          <w:szCs w:val="20"/>
          <w:lang w:val="es-ES" w:eastAsia="es-ES"/>
        </w:rPr>
        <w:t>Con todo, en caso de que, conforme a lo dispuesto en el artículo 2.2.4.18.7 del Decreto 514 de 2025, se acuerde que la entidad contratante será la responsable de realizar las el pago de las cotizaciones, ésta deberá aplicar lo dispuesto en la Resolución 2388 de 2016</w:t>
      </w:r>
      <w:r w:rsidRPr="00546EB3">
        <w:rPr>
          <w:rFonts w:ascii="Verdana" w:eastAsia="Calibri" w:hAnsi="Verdana" w:cs="Arial"/>
          <w:sz w:val="20"/>
          <w:szCs w:val="20"/>
          <w:lang w:eastAsia="es-ES"/>
        </w:rPr>
        <w:t xml:space="preserve"> del Ministerio de Salud y Protección Social, Por medio de la cual se modifica la Resolución 2388 de 2016, </w:t>
      </w:r>
      <w:r w:rsidRPr="00546EB3">
        <w:rPr>
          <w:rFonts w:ascii="Verdana" w:eastAsia="Calibri" w:hAnsi="Verdana" w:cs="Arial"/>
          <w:i/>
          <w:iCs/>
          <w:sz w:val="20"/>
          <w:szCs w:val="20"/>
          <w:lang w:eastAsia="es-ES"/>
        </w:rPr>
        <w:t xml:space="preserve">“Por la cual se unifican las reglas para el recaudo de aportes al Sistema de Seguridad Social Integral y Parafiscales", </w:t>
      </w:r>
      <w:r w:rsidRPr="00546EB3">
        <w:rPr>
          <w:rFonts w:ascii="Verdana" w:eastAsia="Calibri" w:hAnsi="Verdana" w:cs="Arial"/>
          <w:sz w:val="20"/>
          <w:szCs w:val="20"/>
          <w:lang w:eastAsia="es-ES"/>
        </w:rPr>
        <w:t xml:space="preserve">modificada por la Resolución 467 de 25 marzo de 2025. Esta última resolución incorpora las pautas y lineamientos a seguir por parte de las entidades contratantes para realizar las cotizaciones de contratistas de </w:t>
      </w:r>
      <w:r w:rsidRPr="00546EB3">
        <w:rPr>
          <w:rFonts w:ascii="Verdana" w:eastAsia="Calibri" w:hAnsi="Verdana" w:cs="Arial"/>
          <w:sz w:val="20"/>
          <w:szCs w:val="20"/>
          <w:lang w:eastAsia="es-ES"/>
        </w:rPr>
        <w:lastRenderedPageBreak/>
        <w:t>prestación de servicios, a efectos de cumplir lo establecido en el artículo 21 de la Ley 2381 de 2024.</w:t>
      </w:r>
    </w:p>
    <w:p w14:paraId="114F7C92" w14:textId="77777777" w:rsidR="00546EB3" w:rsidRPr="001F44FE" w:rsidRDefault="00546EB3" w:rsidP="001C3A39">
      <w:pPr>
        <w:spacing w:after="0" w:line="240" w:lineRule="auto"/>
        <w:rPr>
          <w:rFonts w:ascii="Verdana" w:eastAsia="Geomanist Light" w:hAnsi="Verdana" w:cs="Arial"/>
          <w:b/>
          <w:bCs/>
          <w:color w:val="000000" w:themeColor="text1"/>
          <w:lang w:val="es-ES"/>
        </w:rPr>
      </w:pPr>
    </w:p>
    <w:p w14:paraId="3BA92CDB" w14:textId="31CCCDE0" w:rsidR="00546EB3" w:rsidRDefault="001F44FE" w:rsidP="001C3A39">
      <w:pPr>
        <w:spacing w:after="0" w:line="240" w:lineRule="auto"/>
        <w:rPr>
          <w:rFonts w:ascii="Verdana" w:eastAsia="Calibri" w:hAnsi="Verdana" w:cs="Arial"/>
          <w:b/>
          <w:bCs/>
          <w:lang w:val="es-ES" w:eastAsia="es-ES"/>
        </w:rPr>
      </w:pPr>
      <w:r w:rsidRPr="001F44FE">
        <w:rPr>
          <w:rFonts w:ascii="Verdana" w:eastAsia="Calibri" w:hAnsi="Verdana" w:cs="Arial"/>
          <w:b/>
          <w:bCs/>
          <w:lang w:val="es-ES" w:eastAsia="es-ES"/>
        </w:rPr>
        <w:t>SECOP II – Funcionalidad</w:t>
      </w:r>
    </w:p>
    <w:p w14:paraId="0A568EEC" w14:textId="77777777" w:rsidR="001F44FE" w:rsidRDefault="001F44FE" w:rsidP="002011C2">
      <w:pPr>
        <w:spacing w:after="0" w:line="240" w:lineRule="auto"/>
        <w:rPr>
          <w:rFonts w:ascii="Verdana" w:eastAsia="Geomanist Light" w:hAnsi="Verdana" w:cs="Arial"/>
          <w:color w:val="000000" w:themeColor="text1"/>
        </w:rPr>
      </w:pPr>
    </w:p>
    <w:p w14:paraId="06D9A42D" w14:textId="77777777" w:rsidR="009D0CFD" w:rsidRDefault="009D0CFD" w:rsidP="009D0CFD">
      <w:pPr>
        <w:widowControl w:val="0"/>
        <w:autoSpaceDE w:val="0"/>
        <w:autoSpaceDN w:val="0"/>
        <w:jc w:val="both"/>
        <w:rPr>
          <w:rFonts w:ascii="Verdana" w:eastAsia="Arial" w:hAnsi="Verdana" w:cs="Arial"/>
          <w:sz w:val="20"/>
          <w:szCs w:val="20"/>
        </w:rPr>
      </w:pPr>
      <w:r w:rsidRPr="009D0CFD">
        <w:rPr>
          <w:rFonts w:ascii="Verdana" w:eastAsia="Arial" w:hAnsi="Verdana" w:cs="Arial"/>
          <w:sz w:val="20"/>
          <w:szCs w:val="20"/>
        </w:rPr>
        <w:t>En lo que respecta al procedimiento operativo en el SECOP II para el control y verificación del pago de los aportes de las cotizaciones en aquellos contratos en que se acuerde</w:t>
      </w:r>
      <w:r w:rsidRPr="009D0CFD">
        <w:rPr>
          <w:rFonts w:ascii="Verdana" w:eastAsia="Arial" w:hAnsi="Verdana" w:cs="Arial"/>
          <w:sz w:val="20"/>
          <w:szCs w:val="20"/>
          <w:lang w:val="es-ES"/>
        </w:rPr>
        <w:t xml:space="preserve"> que será responsabilidad de la entidad contratante</w:t>
      </w:r>
      <w:r w:rsidRPr="009D0CFD">
        <w:rPr>
          <w:rFonts w:ascii="Verdana" w:eastAsia="Arial" w:hAnsi="Verdana" w:cs="Arial"/>
          <w:sz w:val="20"/>
          <w:szCs w:val="20"/>
        </w:rPr>
        <w:t xml:space="preserve">, es importante aclarar que el mecanismo seguirá siendo el mismo, pues la opción en SECOP II para la validación de la planilla de pagos de los aportes parafiscales por parte del contratista por medio de la interoperabilidad que se tiene actualmente con SICOPI,  no resulta afectada por lo establecido en la Ley 2381 de 2024. Lo anterior, en atención a que el servicio web que expone el Ministerio de Salud y Protección Social sigue verificando por cotizante los siguientes 4 datos: tipo de documento del cotizante, número de documento del cotizante, número de planilla y fecha de pago de la planilla. </w:t>
      </w:r>
    </w:p>
    <w:p w14:paraId="6F236F09" w14:textId="77777777" w:rsidR="009D0CFD" w:rsidRPr="009D0CFD" w:rsidRDefault="009D0CFD" w:rsidP="009D0CFD">
      <w:pPr>
        <w:widowControl w:val="0"/>
        <w:autoSpaceDE w:val="0"/>
        <w:autoSpaceDN w:val="0"/>
        <w:spacing w:after="0" w:line="240" w:lineRule="auto"/>
        <w:jc w:val="both"/>
        <w:rPr>
          <w:rFonts w:ascii="Verdana" w:eastAsia="Arial" w:hAnsi="Verdana" w:cs="Arial"/>
          <w:sz w:val="20"/>
          <w:szCs w:val="20"/>
        </w:rPr>
      </w:pPr>
    </w:p>
    <w:p w14:paraId="667C072C" w14:textId="77777777" w:rsidR="009D0CFD" w:rsidRPr="009D0CFD" w:rsidRDefault="009D0CFD" w:rsidP="009D0CFD">
      <w:pPr>
        <w:widowControl w:val="0"/>
        <w:autoSpaceDE w:val="0"/>
        <w:autoSpaceDN w:val="0"/>
        <w:spacing w:after="0" w:line="240" w:lineRule="auto"/>
        <w:jc w:val="both"/>
        <w:rPr>
          <w:rFonts w:ascii="Verdana" w:eastAsia="Arial" w:hAnsi="Verdana" w:cs="Arial"/>
          <w:sz w:val="20"/>
          <w:szCs w:val="20"/>
        </w:rPr>
      </w:pPr>
      <w:r w:rsidRPr="009D0CFD">
        <w:rPr>
          <w:rFonts w:ascii="Verdana" w:eastAsia="Arial" w:hAnsi="Verdana" w:cs="Arial"/>
          <w:sz w:val="20"/>
          <w:szCs w:val="20"/>
        </w:rPr>
        <w:t xml:space="preserve">De esta forma, en el SECOP II se podrá continuar validando la información en línea del pago de aportes a Seguridad Social –salud, pensiones y riesgos profesionales– en los contratos de tipo </w:t>
      </w:r>
      <w:r w:rsidRPr="009D0CFD">
        <w:rPr>
          <w:rFonts w:ascii="Verdana" w:eastAsia="Arial" w:hAnsi="Verdana" w:cs="Arial"/>
          <w:i/>
          <w:sz w:val="20"/>
          <w:szCs w:val="20"/>
        </w:rPr>
        <w:t>“Prestación de Servicios Profesionales y de Apoyo a la Gestión” resultado</w:t>
      </w:r>
      <w:r w:rsidRPr="009D0CFD">
        <w:rPr>
          <w:rFonts w:ascii="Verdana" w:eastAsia="Arial" w:hAnsi="Verdana" w:cs="Arial"/>
          <w:sz w:val="20"/>
          <w:szCs w:val="20"/>
        </w:rPr>
        <w:t xml:space="preserve"> de la gestión de procesos de contratación en el módulo de “Contratación directa”. En este sentido, la funcionalidad de validación de la planilla de pagos actualmente disponible en el SECOP II aplica tanto en los casos en que se haya acordado </w:t>
      </w:r>
      <w:proofErr w:type="gramStart"/>
      <w:r w:rsidRPr="009D0CFD">
        <w:rPr>
          <w:rFonts w:ascii="Verdana" w:eastAsia="Arial" w:hAnsi="Verdana" w:cs="Arial"/>
          <w:sz w:val="20"/>
          <w:szCs w:val="20"/>
        </w:rPr>
        <w:t>que</w:t>
      </w:r>
      <w:proofErr w:type="gramEnd"/>
      <w:r w:rsidRPr="009D0CFD">
        <w:rPr>
          <w:rFonts w:ascii="Verdana" w:eastAsia="Arial" w:hAnsi="Verdana" w:cs="Arial"/>
          <w:sz w:val="20"/>
          <w:szCs w:val="20"/>
        </w:rPr>
        <w:t xml:space="preserve"> la entidad asuma directamente el pago, como en aquellos en los que dicha responsabilidad recaiga sobre el contratista. </w:t>
      </w:r>
    </w:p>
    <w:p w14:paraId="14E533E7" w14:textId="77777777" w:rsidR="001F44FE" w:rsidRDefault="001F44FE" w:rsidP="002011C2">
      <w:pPr>
        <w:spacing w:after="0" w:line="240" w:lineRule="auto"/>
        <w:rPr>
          <w:rFonts w:ascii="Verdana" w:eastAsia="Geomanist Light" w:hAnsi="Verdana" w:cs="Arial"/>
          <w:color w:val="000000" w:themeColor="text1"/>
        </w:rPr>
      </w:pPr>
    </w:p>
    <w:p w14:paraId="30C2A044" w14:textId="77777777" w:rsidR="001F44FE" w:rsidRDefault="001F44FE" w:rsidP="002011C2">
      <w:pPr>
        <w:spacing w:after="0" w:line="240" w:lineRule="auto"/>
        <w:rPr>
          <w:rFonts w:ascii="Verdana" w:eastAsia="Geomanist Light" w:hAnsi="Verdana" w:cs="Arial"/>
          <w:color w:val="000000" w:themeColor="text1"/>
        </w:rPr>
      </w:pPr>
    </w:p>
    <w:p w14:paraId="333A32B8" w14:textId="77777777" w:rsidR="001F44FE" w:rsidRDefault="001F44FE" w:rsidP="002011C2">
      <w:pPr>
        <w:spacing w:after="0" w:line="240" w:lineRule="auto"/>
        <w:rPr>
          <w:rFonts w:ascii="Verdana" w:eastAsia="Geomanist Light" w:hAnsi="Verdana" w:cs="Arial"/>
          <w:color w:val="000000" w:themeColor="text1"/>
        </w:rPr>
      </w:pPr>
    </w:p>
    <w:p w14:paraId="729F959A" w14:textId="77777777" w:rsidR="001F44FE" w:rsidRDefault="001F44FE" w:rsidP="002011C2">
      <w:pPr>
        <w:spacing w:after="0" w:line="240" w:lineRule="auto"/>
        <w:rPr>
          <w:rFonts w:ascii="Verdana" w:eastAsia="Geomanist Light" w:hAnsi="Verdana" w:cs="Arial"/>
          <w:color w:val="000000" w:themeColor="text1"/>
        </w:rPr>
      </w:pPr>
    </w:p>
    <w:p w14:paraId="4C7E6F9E" w14:textId="77777777" w:rsidR="001F44FE" w:rsidRDefault="001F44FE" w:rsidP="002011C2">
      <w:pPr>
        <w:spacing w:after="0" w:line="240" w:lineRule="auto"/>
        <w:rPr>
          <w:rFonts w:ascii="Verdana" w:eastAsia="Geomanist Light" w:hAnsi="Verdana" w:cs="Arial"/>
          <w:color w:val="000000" w:themeColor="text1"/>
        </w:rPr>
      </w:pPr>
    </w:p>
    <w:p w14:paraId="1E6607C3" w14:textId="77777777" w:rsidR="001F44FE" w:rsidRDefault="001F44FE" w:rsidP="002011C2">
      <w:pPr>
        <w:spacing w:after="0" w:line="240" w:lineRule="auto"/>
        <w:rPr>
          <w:rFonts w:ascii="Verdana" w:eastAsia="Geomanist Light" w:hAnsi="Verdana" w:cs="Arial"/>
          <w:color w:val="000000" w:themeColor="text1"/>
        </w:rPr>
      </w:pPr>
    </w:p>
    <w:p w14:paraId="1EA1D914" w14:textId="77777777" w:rsidR="001F44FE" w:rsidRDefault="001F44FE" w:rsidP="002011C2">
      <w:pPr>
        <w:spacing w:after="0" w:line="240" w:lineRule="auto"/>
        <w:rPr>
          <w:rFonts w:ascii="Verdana" w:eastAsia="Geomanist Light" w:hAnsi="Verdana" w:cs="Arial"/>
          <w:color w:val="000000" w:themeColor="text1"/>
        </w:rPr>
      </w:pPr>
    </w:p>
    <w:p w14:paraId="3A8D9C46" w14:textId="77777777" w:rsidR="001F44FE" w:rsidRDefault="001F44FE" w:rsidP="002011C2">
      <w:pPr>
        <w:spacing w:after="0" w:line="240" w:lineRule="auto"/>
        <w:rPr>
          <w:rFonts w:ascii="Verdana" w:eastAsia="Geomanist Light" w:hAnsi="Verdana" w:cs="Arial"/>
          <w:color w:val="000000" w:themeColor="text1"/>
        </w:rPr>
      </w:pPr>
    </w:p>
    <w:p w14:paraId="54866C57" w14:textId="77777777" w:rsidR="001F44FE" w:rsidRDefault="001F44FE" w:rsidP="002011C2">
      <w:pPr>
        <w:spacing w:after="0" w:line="240" w:lineRule="auto"/>
        <w:rPr>
          <w:rFonts w:ascii="Verdana" w:eastAsia="Geomanist Light" w:hAnsi="Verdana" w:cs="Arial"/>
          <w:color w:val="000000" w:themeColor="text1"/>
        </w:rPr>
      </w:pPr>
    </w:p>
    <w:p w14:paraId="79C6325C" w14:textId="77777777" w:rsidR="001F44FE" w:rsidRDefault="001F44FE" w:rsidP="002011C2">
      <w:pPr>
        <w:spacing w:after="0" w:line="240" w:lineRule="auto"/>
        <w:rPr>
          <w:rFonts w:ascii="Verdana" w:eastAsia="Geomanist Light" w:hAnsi="Verdana" w:cs="Arial"/>
          <w:color w:val="000000" w:themeColor="text1"/>
        </w:rPr>
      </w:pPr>
    </w:p>
    <w:p w14:paraId="2A73DBED" w14:textId="77777777" w:rsidR="001F44FE" w:rsidRDefault="001F44FE" w:rsidP="002011C2">
      <w:pPr>
        <w:spacing w:after="0" w:line="240" w:lineRule="auto"/>
        <w:rPr>
          <w:rFonts w:ascii="Verdana" w:eastAsia="Geomanist Light" w:hAnsi="Verdana" w:cs="Arial"/>
          <w:color w:val="000000" w:themeColor="text1"/>
        </w:rPr>
      </w:pPr>
    </w:p>
    <w:p w14:paraId="6A6D796B" w14:textId="77777777" w:rsidR="001F44FE" w:rsidRDefault="001F44FE" w:rsidP="002011C2">
      <w:pPr>
        <w:spacing w:after="0" w:line="240" w:lineRule="auto"/>
        <w:rPr>
          <w:rFonts w:ascii="Verdana" w:eastAsia="Geomanist Light" w:hAnsi="Verdana" w:cs="Arial"/>
          <w:color w:val="000000" w:themeColor="text1"/>
        </w:rPr>
      </w:pPr>
    </w:p>
    <w:p w14:paraId="6D9F8C0C" w14:textId="77777777" w:rsidR="001F44FE" w:rsidRDefault="001F44FE" w:rsidP="002011C2">
      <w:pPr>
        <w:spacing w:after="0" w:line="240" w:lineRule="auto"/>
        <w:rPr>
          <w:rFonts w:ascii="Verdana" w:eastAsia="Geomanist Light" w:hAnsi="Verdana" w:cs="Arial"/>
          <w:color w:val="000000" w:themeColor="text1"/>
        </w:rPr>
      </w:pPr>
    </w:p>
    <w:p w14:paraId="6DFC0111" w14:textId="77777777" w:rsidR="001F44FE" w:rsidRDefault="001F44FE" w:rsidP="002011C2">
      <w:pPr>
        <w:spacing w:after="0" w:line="240" w:lineRule="auto"/>
        <w:rPr>
          <w:rFonts w:ascii="Verdana" w:eastAsia="Geomanist Light" w:hAnsi="Verdana" w:cs="Arial"/>
          <w:color w:val="000000" w:themeColor="text1"/>
        </w:rPr>
      </w:pPr>
    </w:p>
    <w:p w14:paraId="61CD4678" w14:textId="77777777" w:rsidR="001F44FE" w:rsidRDefault="001F44FE" w:rsidP="002011C2">
      <w:pPr>
        <w:spacing w:after="0" w:line="240" w:lineRule="auto"/>
        <w:rPr>
          <w:rFonts w:ascii="Verdana" w:eastAsia="Geomanist Light" w:hAnsi="Verdana" w:cs="Arial"/>
          <w:color w:val="000000" w:themeColor="text1"/>
        </w:rPr>
      </w:pPr>
    </w:p>
    <w:p w14:paraId="4E0B4739" w14:textId="77777777" w:rsidR="009D0CFD" w:rsidRDefault="009D0CFD" w:rsidP="00BC1BFA">
      <w:pPr>
        <w:spacing w:after="0" w:line="240" w:lineRule="auto"/>
        <w:rPr>
          <w:rFonts w:ascii="Verdana" w:eastAsia="Geomanist Light" w:hAnsi="Verdana" w:cs="Arial"/>
          <w:color w:val="000000" w:themeColor="text1"/>
        </w:rPr>
      </w:pPr>
    </w:p>
    <w:p w14:paraId="320D7F25" w14:textId="77777777" w:rsidR="009D0CFD" w:rsidRDefault="009D0CFD" w:rsidP="00BC1BFA">
      <w:pPr>
        <w:spacing w:after="0" w:line="240" w:lineRule="auto"/>
        <w:rPr>
          <w:rFonts w:ascii="Verdana" w:eastAsia="Geomanist Light" w:hAnsi="Verdana" w:cs="Arial"/>
          <w:color w:val="000000" w:themeColor="text1"/>
        </w:rPr>
      </w:pPr>
    </w:p>
    <w:p w14:paraId="2E3479F2" w14:textId="77777777" w:rsidR="009D0CFD" w:rsidRDefault="009D0CFD" w:rsidP="00BC1BFA">
      <w:pPr>
        <w:spacing w:after="0" w:line="240" w:lineRule="auto"/>
        <w:rPr>
          <w:rFonts w:ascii="Verdana" w:eastAsia="Geomanist Light" w:hAnsi="Verdana" w:cs="Arial"/>
          <w:color w:val="000000" w:themeColor="text1"/>
        </w:rPr>
      </w:pPr>
    </w:p>
    <w:p w14:paraId="0E259256" w14:textId="77777777" w:rsidR="009D0CFD" w:rsidRDefault="009D0CFD" w:rsidP="00BC1BFA">
      <w:pPr>
        <w:spacing w:after="0" w:line="240" w:lineRule="auto"/>
        <w:rPr>
          <w:rFonts w:ascii="Verdana" w:eastAsia="Geomanist Light" w:hAnsi="Verdana" w:cs="Arial"/>
          <w:color w:val="000000" w:themeColor="text1"/>
        </w:rPr>
      </w:pPr>
    </w:p>
    <w:p w14:paraId="07E74EAA" w14:textId="77777777" w:rsidR="009D0CFD" w:rsidRDefault="009D0CFD" w:rsidP="00BC1BFA">
      <w:pPr>
        <w:spacing w:after="0" w:line="240" w:lineRule="auto"/>
        <w:rPr>
          <w:rFonts w:ascii="Verdana" w:eastAsia="Geomanist Light" w:hAnsi="Verdana" w:cs="Arial"/>
          <w:color w:val="000000" w:themeColor="text1"/>
        </w:rPr>
      </w:pPr>
    </w:p>
    <w:p w14:paraId="0EF31C1E" w14:textId="4FC17CDD" w:rsidR="00BC1BFA" w:rsidRDefault="00BC1BFA" w:rsidP="00BC1BFA">
      <w:pPr>
        <w:spacing w:after="0" w:line="240" w:lineRule="auto"/>
        <w:rPr>
          <w:rFonts w:ascii="Verdana" w:eastAsia="Geomanist Light" w:hAnsi="Verdana" w:cs="Arial"/>
          <w:color w:val="201F1E"/>
        </w:rPr>
      </w:pPr>
      <w:r w:rsidRPr="00AD4F6A">
        <w:rPr>
          <w:rFonts w:ascii="Verdana" w:eastAsia="Geomanist Light" w:hAnsi="Verdana" w:cs="Arial"/>
          <w:color w:val="000000" w:themeColor="text1"/>
        </w:rPr>
        <w:t>Bogotá D.C., </w:t>
      </w:r>
      <w:r w:rsidR="002F19C3">
        <w:rPr>
          <w:rFonts w:ascii="Verdana" w:eastAsia="Geomanist Light" w:hAnsi="Verdana" w:cs="Arial"/>
          <w:color w:val="201F1E"/>
        </w:rPr>
        <w:t>24 de junio de 2025</w:t>
      </w:r>
    </w:p>
    <w:p w14:paraId="4CEF11BD" w14:textId="4966AB6F" w:rsidR="002A0DD9" w:rsidRDefault="002A0DD9" w:rsidP="00BC1BFA">
      <w:pPr>
        <w:spacing w:after="0" w:line="240" w:lineRule="auto"/>
        <w:rPr>
          <w:rFonts w:ascii="Verdana" w:eastAsia="Geomanist Light" w:hAnsi="Verdana" w:cs="Arial"/>
          <w:color w:val="201F1E"/>
        </w:rPr>
      </w:pPr>
    </w:p>
    <w:p w14:paraId="2A90E42D" w14:textId="7E0FEB6A" w:rsidR="002A0DD9" w:rsidRPr="00AD4F6A" w:rsidRDefault="002A0DD9" w:rsidP="002A0DD9">
      <w:pPr>
        <w:spacing w:after="0" w:line="240" w:lineRule="auto"/>
        <w:jc w:val="right"/>
        <w:rPr>
          <w:rFonts w:ascii="Verdana" w:eastAsia="Geomanist Light" w:hAnsi="Verdana" w:cs="Arial"/>
          <w:color w:val="201F1E"/>
        </w:rPr>
      </w:pPr>
    </w:p>
    <w:p w14:paraId="1F8A5190" w14:textId="02CBA4D5" w:rsidR="00BC1BFA" w:rsidRDefault="001013AF" w:rsidP="00BC1BFA">
      <w:pPr>
        <w:spacing w:after="0" w:line="240" w:lineRule="auto"/>
        <w:jc w:val="right"/>
        <w:rPr>
          <w:rFonts w:ascii="Verdana" w:eastAsia="Calibri" w:hAnsi="Verdana" w:cs="Arial"/>
          <w:color w:val="000000"/>
          <w:lang w:val="es-ES"/>
        </w:rPr>
      </w:pPr>
      <w:r w:rsidRPr="002A0DD9">
        <w:rPr>
          <w:rFonts w:ascii="Verdana" w:eastAsia="Geomanist Light" w:hAnsi="Verdana" w:cs="Arial"/>
          <w:noProof/>
          <w:color w:val="201F1E"/>
        </w:rPr>
        <w:drawing>
          <wp:anchor distT="0" distB="0" distL="114300" distR="114300" simplePos="0" relativeHeight="251657216" behindDoc="0" locked="0" layoutInCell="1" allowOverlap="1" wp14:anchorId="04C64966" wp14:editId="05B00775">
            <wp:simplePos x="0" y="0"/>
            <wp:positionH relativeFrom="column">
              <wp:posOffset>2530503</wp:posOffset>
            </wp:positionH>
            <wp:positionV relativeFrom="paragraph">
              <wp:posOffset>10795</wp:posOffset>
            </wp:positionV>
            <wp:extent cx="3095625" cy="962025"/>
            <wp:effectExtent l="0" t="0" r="9525" b="9525"/>
            <wp:wrapSquare wrapText="bothSides"/>
            <wp:docPr id="10417157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95625" cy="962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67D0AA" w14:textId="77777777" w:rsidR="00BC1BFA" w:rsidRPr="00593A5F" w:rsidRDefault="00BC1BFA" w:rsidP="00BC1BFA">
      <w:pPr>
        <w:spacing w:after="0" w:line="240" w:lineRule="auto"/>
        <w:jc w:val="both"/>
        <w:rPr>
          <w:rFonts w:ascii="Verdana" w:eastAsia="Calibri" w:hAnsi="Verdana" w:cs="Arial"/>
          <w:color w:val="000000"/>
          <w:lang w:val="es-ES"/>
        </w:rPr>
      </w:pPr>
    </w:p>
    <w:p w14:paraId="61BCCAF2" w14:textId="77777777" w:rsidR="00BC1BFA" w:rsidRPr="000C555D" w:rsidRDefault="00BC1BFA" w:rsidP="00BC1BFA">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22C280CE" w14:textId="77777777" w:rsidR="00BC1BFA" w:rsidRPr="00583C7F" w:rsidRDefault="00BC1BFA" w:rsidP="00BC1BFA">
      <w:pPr>
        <w:spacing w:after="0" w:line="240" w:lineRule="auto"/>
        <w:rPr>
          <w:rFonts w:ascii="Verdana" w:eastAsia="Calibri" w:hAnsi="Verdana" w:cs="Arial"/>
          <w:b/>
          <w:lang w:val="es-ES" w:eastAsia="es-ES"/>
        </w:rPr>
      </w:pPr>
      <w:r>
        <w:rPr>
          <w:rFonts w:ascii="Verdana" w:eastAsia="Calibri" w:hAnsi="Verdana" w:cs="Arial"/>
          <w:b/>
          <w:lang w:val="es-ES" w:eastAsia="es-ES"/>
        </w:rPr>
        <w:t>Aníbal Andrés Arroyo León</w:t>
      </w:r>
    </w:p>
    <w:p w14:paraId="1AD41EFA" w14:textId="77777777" w:rsidR="00BC1BFA" w:rsidRPr="006C345D" w:rsidRDefault="00BC1BFA" w:rsidP="00BC1BFA">
      <w:pPr>
        <w:spacing w:after="0" w:line="240" w:lineRule="auto"/>
        <w:rPr>
          <w:rFonts w:ascii="Verdana" w:hAnsi="Verdana"/>
        </w:rPr>
      </w:pPr>
      <w:hyperlink r:id="rId11" w:history="1">
        <w:r w:rsidRPr="006C345D">
          <w:rPr>
            <w:rStyle w:val="Hipervnculo"/>
            <w:rFonts w:ascii="Verdana" w:hAnsi="Verdana"/>
          </w:rPr>
          <w:t>anibal.arroyo@ane.gov.co</w:t>
        </w:r>
      </w:hyperlink>
      <w:r w:rsidRPr="006C345D">
        <w:rPr>
          <w:rFonts w:ascii="Verdana" w:hAnsi="Verdana"/>
        </w:rPr>
        <w:t xml:space="preserve"> </w:t>
      </w:r>
    </w:p>
    <w:p w14:paraId="56B522E1" w14:textId="77777777" w:rsidR="00BC1BFA" w:rsidRDefault="00BC1BFA" w:rsidP="00BC1BFA">
      <w:pPr>
        <w:spacing w:after="0" w:line="240" w:lineRule="auto"/>
        <w:rPr>
          <w:rFonts w:ascii="Verdana" w:eastAsia="Calibri" w:hAnsi="Verdana" w:cs="Arial"/>
          <w:lang w:val="es-ES" w:eastAsia="es-ES"/>
        </w:rPr>
      </w:pPr>
      <w:r>
        <w:rPr>
          <w:rFonts w:ascii="Verdana" w:eastAsia="Calibri" w:hAnsi="Verdana" w:cs="Arial"/>
          <w:lang w:val="es-ES" w:eastAsia="es-ES"/>
        </w:rPr>
        <w:t xml:space="preserve">Bogotá </w:t>
      </w:r>
    </w:p>
    <w:p w14:paraId="7E07E534" w14:textId="77777777" w:rsidR="00BC1BFA" w:rsidRPr="00593A5F" w:rsidRDefault="00BC1BFA" w:rsidP="00BC1BFA">
      <w:pPr>
        <w:spacing w:after="0" w:line="240" w:lineRule="auto"/>
        <w:rPr>
          <w:rFonts w:ascii="Verdana" w:eastAsia="Calibri" w:hAnsi="Verdana" w:cs="Arial"/>
          <w:b/>
          <w:bCs/>
          <w:color w:val="000000"/>
          <w:lang w:val="es-ES_tradnl" w:eastAsia="es-ES_tradnl"/>
        </w:rPr>
      </w:pPr>
    </w:p>
    <w:p w14:paraId="0FF1096F" w14:textId="77777777" w:rsidR="00BC1BFA" w:rsidRPr="00593A5F" w:rsidRDefault="00BC1BFA" w:rsidP="00BC1BF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C1BFA" w:rsidRPr="00593A5F" w14:paraId="0BF3160E" w14:textId="77777777" w:rsidTr="00D27554">
        <w:trPr>
          <w:trHeight w:val="884"/>
        </w:trPr>
        <w:tc>
          <w:tcPr>
            <w:tcW w:w="2689" w:type="dxa"/>
          </w:tcPr>
          <w:p w14:paraId="2D039F72" w14:textId="77777777" w:rsidR="00BC1BFA" w:rsidRPr="00C00976" w:rsidRDefault="00BC1BFA" w:rsidP="00D27554">
            <w:pPr>
              <w:jc w:val="both"/>
              <w:rPr>
                <w:rFonts w:ascii="Verdana" w:eastAsia="Calibri" w:hAnsi="Verdana" w:cs="Arial"/>
                <w:b/>
                <w:bCs/>
                <w:color w:val="7030A0"/>
                <w:lang w:val="es-ES_tradnl" w:eastAsia="es-ES_tradnl"/>
              </w:rPr>
            </w:pPr>
          </w:p>
        </w:tc>
        <w:tc>
          <w:tcPr>
            <w:tcW w:w="6100" w:type="dxa"/>
          </w:tcPr>
          <w:p w14:paraId="7F08B41F" w14:textId="77777777" w:rsidR="00BC1BFA" w:rsidRPr="00C00976" w:rsidRDefault="00BC1BFA" w:rsidP="00D27554">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585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BC1BFA" w:rsidRPr="00593A5F" w14:paraId="19C7900C" w14:textId="77777777" w:rsidTr="00D27554">
        <w:trPr>
          <w:trHeight w:val="884"/>
        </w:trPr>
        <w:tc>
          <w:tcPr>
            <w:tcW w:w="2689" w:type="dxa"/>
          </w:tcPr>
          <w:p w14:paraId="07A1D641" w14:textId="77777777" w:rsidR="00BC1BFA" w:rsidRPr="00593A5F" w:rsidRDefault="00BC1BFA" w:rsidP="00D2755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6A533CF" w14:textId="77777777" w:rsidR="00BC1BFA" w:rsidRPr="00A11406" w:rsidRDefault="00BC1BFA" w:rsidP="00D27554">
            <w:pPr>
              <w:spacing w:line="276" w:lineRule="auto"/>
              <w:jc w:val="both"/>
              <w:rPr>
                <w:rFonts w:ascii="Verdana" w:eastAsia="Calibri" w:hAnsi="Verdana" w:cs="Arial"/>
                <w:lang w:val="es-ES" w:eastAsia="es-ES"/>
              </w:rPr>
            </w:pPr>
            <w:r w:rsidRPr="00940024">
              <w:rPr>
                <w:rFonts w:ascii="Verdana" w:eastAsia="Calibri" w:hAnsi="Verdana" w:cs="Arial"/>
                <w:lang w:val="es-ES" w:eastAsia="es-ES"/>
              </w:rPr>
              <w:t>SEGURIDAD SOCIAL INTEGRAL – Verificación / SEGURIDAD SOCIAL INTEGRAL – Régimen jurídico – Afiliación y aporte – Obligación legal – Ejecución del contrato /</w:t>
            </w:r>
            <w:r>
              <w:rPr>
                <w:rFonts w:ascii="Verdana" w:eastAsia="Calibri" w:hAnsi="Verdana" w:cs="Arial"/>
                <w:lang w:val="es-ES" w:eastAsia="es-ES"/>
              </w:rPr>
              <w:t xml:space="preserve"> </w:t>
            </w:r>
            <w:r w:rsidRPr="00940024">
              <w:rPr>
                <w:rFonts w:ascii="Verdana" w:eastAsia="Calibri" w:hAnsi="Verdana" w:cs="Arial"/>
                <w:lang w:val="es-ES" w:eastAsia="es-ES"/>
              </w:rPr>
              <w:t>LEY 2381 DE 2024 – Reglamentación – Cotizaciones – Entidades estatales – Contratos de prestación de servicios – Directrices</w:t>
            </w:r>
            <w:r>
              <w:rPr>
                <w:rFonts w:ascii="Verdana" w:eastAsia="Calibri" w:hAnsi="Verdana" w:cs="Arial"/>
                <w:lang w:val="es-ES" w:eastAsia="es-ES"/>
              </w:rPr>
              <w:t xml:space="preserve"> </w:t>
            </w:r>
            <w:r w:rsidRPr="00940024">
              <w:rPr>
                <w:rFonts w:ascii="Verdana" w:eastAsia="Calibri" w:hAnsi="Verdana" w:cs="Arial"/>
                <w:lang w:val="es-ES" w:eastAsia="es-ES"/>
              </w:rPr>
              <w:t>/</w:t>
            </w:r>
            <w:r>
              <w:rPr>
                <w:rFonts w:ascii="Verdana" w:eastAsia="Calibri" w:hAnsi="Verdana" w:cs="Arial"/>
                <w:lang w:val="es-ES" w:eastAsia="es-ES"/>
              </w:rPr>
              <w:t xml:space="preserve"> SECOP II </w:t>
            </w:r>
            <w:r w:rsidRPr="00940024">
              <w:rPr>
                <w:rFonts w:ascii="Verdana" w:eastAsia="Calibri" w:hAnsi="Verdana" w:cs="Arial"/>
                <w:lang w:val="es-ES" w:eastAsia="es-ES"/>
              </w:rPr>
              <w:t>–</w:t>
            </w:r>
            <w:r>
              <w:rPr>
                <w:rFonts w:ascii="Verdana" w:eastAsia="Calibri" w:hAnsi="Verdana" w:cs="Arial"/>
                <w:lang w:val="es-ES" w:eastAsia="es-ES"/>
              </w:rPr>
              <w:t xml:space="preserve"> Funcionalidad </w:t>
            </w:r>
          </w:p>
          <w:p w14:paraId="6AC16EE1" w14:textId="77777777" w:rsidR="00BC1BFA" w:rsidRPr="00593A5F" w:rsidRDefault="00BC1BFA" w:rsidP="00D27554">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BC1BFA" w:rsidRPr="008E6AD9" w14:paraId="5CA9E867" w14:textId="77777777" w:rsidTr="00D27554">
        <w:tc>
          <w:tcPr>
            <w:tcW w:w="2689" w:type="dxa"/>
          </w:tcPr>
          <w:p w14:paraId="17EDDBD4" w14:textId="77777777" w:rsidR="00BC1BFA" w:rsidRPr="008E6AD9" w:rsidRDefault="00BC1BFA" w:rsidP="00D2755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B1701B9" w14:textId="77777777" w:rsidR="00BC1BFA" w:rsidRPr="00B92340" w:rsidRDefault="00BC1BFA" w:rsidP="00D27554">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r w:rsidRPr="00C73E69">
              <w:rPr>
                <w:rFonts w:ascii="Verdana" w:eastAsia="Calibri" w:hAnsi="Verdana" w:cs="Arial"/>
                <w:lang w:val="es-ES_tradnl" w:eastAsia="es-ES_tradnl"/>
              </w:rPr>
              <w:t>P20250514004613</w:t>
            </w:r>
            <w:r>
              <w:rPr>
                <w:rFonts w:ascii="Verdana" w:eastAsia="Calibri" w:hAnsi="Verdana" w:cs="Arial"/>
                <w:lang w:val="es-ES_tradnl" w:eastAsia="es-ES_tradnl"/>
              </w:rPr>
              <w:t xml:space="preserve">                                 </w:t>
            </w:r>
          </w:p>
        </w:tc>
      </w:tr>
    </w:tbl>
    <w:p w14:paraId="7D459B38" w14:textId="77777777" w:rsidR="00BC1BFA" w:rsidRPr="00593A5F" w:rsidRDefault="00BC1BFA" w:rsidP="00BC1BFA">
      <w:pPr>
        <w:spacing w:after="0" w:line="240" w:lineRule="auto"/>
        <w:jc w:val="both"/>
        <w:rPr>
          <w:rFonts w:ascii="Verdana" w:eastAsia="Calibri" w:hAnsi="Verdana" w:cs="Arial"/>
          <w:color w:val="000000"/>
          <w:lang w:val="es-ES_tradnl" w:eastAsia="es-ES_tradnl"/>
        </w:rPr>
      </w:pPr>
    </w:p>
    <w:p w14:paraId="7260B172" w14:textId="77777777" w:rsidR="00BC1BFA" w:rsidRPr="00593A5F" w:rsidRDefault="00BC1BFA" w:rsidP="00BC1BFA">
      <w:pPr>
        <w:spacing w:after="0" w:line="240" w:lineRule="auto"/>
        <w:jc w:val="both"/>
        <w:rPr>
          <w:rFonts w:ascii="Verdana" w:eastAsia="Calibri" w:hAnsi="Verdana" w:cs="Arial"/>
          <w:color w:val="000000"/>
          <w:lang w:val="es-ES_tradnl" w:eastAsia="es-ES_tradnl"/>
        </w:rPr>
      </w:pPr>
    </w:p>
    <w:p w14:paraId="0284573B" w14:textId="77777777" w:rsidR="00BC1BFA" w:rsidRPr="008E6AD9" w:rsidRDefault="00BC1BFA" w:rsidP="00BC1BFA">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Arroyo León</w:t>
      </w:r>
      <w:r w:rsidRPr="008E6AD9">
        <w:rPr>
          <w:rFonts w:ascii="Verdana" w:eastAsia="Calibri" w:hAnsi="Verdana" w:cs="Arial"/>
          <w:lang w:val="es-ES" w:eastAsia="es-ES"/>
        </w:rPr>
        <w:t xml:space="preserve">: </w:t>
      </w:r>
    </w:p>
    <w:p w14:paraId="2A132CCE" w14:textId="77777777" w:rsidR="00BC1BFA" w:rsidRDefault="00BC1BFA" w:rsidP="00BC1BF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CAAA16C" w14:textId="77777777" w:rsidR="00BC1BFA" w:rsidRPr="00593A5F" w:rsidRDefault="00BC1BFA" w:rsidP="00BC1BFA">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14 de mayo de 2025, en la cual pregunta lo siguiente</w:t>
      </w:r>
      <w:r w:rsidRPr="008E6AD9">
        <w:rPr>
          <w:rFonts w:ascii="Verdana" w:eastAsia="Calibri" w:hAnsi="Verdana" w:cs="Arial"/>
          <w:lang w:val="es-ES" w:eastAsia="es-ES"/>
        </w:rPr>
        <w:t xml:space="preserve">: </w:t>
      </w:r>
    </w:p>
    <w:p w14:paraId="78FF7AC2" w14:textId="77777777" w:rsidR="00BC1BFA" w:rsidRPr="00272A7B" w:rsidRDefault="00BC1BFA" w:rsidP="00BC1BFA">
      <w:pPr>
        <w:pStyle w:val="Prrafodelista"/>
        <w:tabs>
          <w:tab w:val="left" w:pos="142"/>
          <w:tab w:val="left" w:pos="284"/>
        </w:tabs>
        <w:spacing w:after="0" w:line="276" w:lineRule="auto"/>
        <w:ind w:left="0"/>
        <w:jc w:val="both"/>
        <w:rPr>
          <w:rFonts w:ascii="Verdana" w:eastAsia="Century Gothic" w:hAnsi="Verdana" w:cs="Century Gothic"/>
          <w:b/>
          <w:bCs/>
        </w:rPr>
      </w:pPr>
    </w:p>
    <w:p w14:paraId="7C154C19" w14:textId="77777777" w:rsidR="00BC1BFA" w:rsidRPr="000D7CCA" w:rsidRDefault="00BC1BFA" w:rsidP="00BC1BFA">
      <w:pPr>
        <w:spacing w:after="120" w:line="240" w:lineRule="auto"/>
        <w:ind w:left="709" w:right="709"/>
        <w:jc w:val="both"/>
        <w:rPr>
          <w:rFonts w:ascii="Verdana" w:eastAsia="Century Gothic" w:hAnsi="Verdana" w:cs="Century Gothic"/>
          <w:sz w:val="20"/>
          <w:szCs w:val="20"/>
        </w:rPr>
      </w:pPr>
      <w:bookmarkStart w:id="0" w:name="_Hlk95313578"/>
      <w:r w:rsidRPr="000D7CCA">
        <w:rPr>
          <w:rFonts w:ascii="Verdana" w:eastAsia="Century Gothic" w:hAnsi="Verdana" w:cs="Century Gothic"/>
          <w:sz w:val="20"/>
          <w:szCs w:val="20"/>
          <w:lang w:val="es-ES"/>
        </w:rPr>
        <w:t>“</w:t>
      </w:r>
      <w:bookmarkEnd w:id="0"/>
      <w:r w:rsidRPr="000D7CCA">
        <w:rPr>
          <w:rFonts w:ascii="Verdana" w:eastAsia="Century Gothic" w:hAnsi="Verdana" w:cs="Century Gothic"/>
          <w:sz w:val="20"/>
          <w:szCs w:val="20"/>
        </w:rPr>
        <w:t xml:space="preserve">¿La inclusión de una cláusula que permita el descuento y pago de aportes al Sistema de Protección Social Integral para la Vejez por parte del contratante requiere una modificación del contrato de prestación de servicios vigente, o es viable realizarlo mediante la expedición de un acto administrativo? </w:t>
      </w:r>
    </w:p>
    <w:p w14:paraId="58156360" w14:textId="77777777" w:rsidR="00BC1BFA" w:rsidRPr="000D7CCA" w:rsidRDefault="00BC1BFA" w:rsidP="00BC1BFA">
      <w:pPr>
        <w:spacing w:after="120" w:line="240" w:lineRule="auto"/>
        <w:ind w:left="709" w:right="709"/>
        <w:jc w:val="both"/>
        <w:rPr>
          <w:rFonts w:ascii="Verdana" w:eastAsia="Century Gothic" w:hAnsi="Verdana" w:cs="Century Gothic"/>
          <w:sz w:val="20"/>
          <w:szCs w:val="20"/>
        </w:rPr>
      </w:pPr>
      <w:r w:rsidRPr="000D7CCA">
        <w:rPr>
          <w:rFonts w:ascii="Verdana" w:eastAsia="Century Gothic" w:hAnsi="Verdana" w:cs="Century Gothic"/>
          <w:sz w:val="20"/>
          <w:szCs w:val="20"/>
        </w:rPr>
        <w:lastRenderedPageBreak/>
        <w:t xml:space="preserve">¿Qué lineamientos oficiales, directrices técnicas o guías ha expedido — o se prevé expedir — para orientar a las entidades públicas en la implementación de las obligaciones establecidas en el artículo 7 de la Ley 2381 de 2024, especialmente en lo referente a los contratistas por prestación de servicios? </w:t>
      </w:r>
    </w:p>
    <w:p w14:paraId="4792434D" w14:textId="77777777" w:rsidR="00BC1BFA" w:rsidRPr="000D7CCA" w:rsidRDefault="00BC1BFA" w:rsidP="00BC1BFA">
      <w:pPr>
        <w:spacing w:after="0" w:line="240" w:lineRule="auto"/>
        <w:ind w:left="709" w:right="709"/>
        <w:jc w:val="both"/>
        <w:rPr>
          <w:rFonts w:ascii="Verdana" w:eastAsia="Century Gothic" w:hAnsi="Verdana" w:cs="Century Gothic"/>
          <w:sz w:val="20"/>
          <w:szCs w:val="20"/>
          <w:lang w:val="es-ES"/>
        </w:rPr>
      </w:pPr>
      <w:r w:rsidRPr="000D7CCA">
        <w:rPr>
          <w:rFonts w:ascii="Verdana" w:eastAsia="Century Gothic" w:hAnsi="Verdana" w:cs="Century Gothic"/>
          <w:sz w:val="20"/>
          <w:szCs w:val="20"/>
        </w:rPr>
        <w:t>¿Qué campos del SECOP II deben usarse para registrar la trazabilidad de esta nueva obligación, en caso de que el contratante sea quien realiza el pago de la seguridad social?</w:t>
      </w:r>
      <w:r w:rsidRPr="000D7CCA">
        <w:rPr>
          <w:rFonts w:ascii="Verdana" w:eastAsia="Century Gothic" w:hAnsi="Verdana" w:cs="Century Gothic"/>
          <w:sz w:val="20"/>
          <w:szCs w:val="20"/>
          <w:lang w:val="es-ES"/>
        </w:rPr>
        <w:t>”.</w:t>
      </w:r>
    </w:p>
    <w:p w14:paraId="512CAA40" w14:textId="77777777" w:rsidR="00BC1BFA" w:rsidRPr="008E6AD9" w:rsidRDefault="00BC1BFA" w:rsidP="00BC1BFA">
      <w:pPr>
        <w:pStyle w:val="Prrafodelista"/>
        <w:tabs>
          <w:tab w:val="left" w:pos="142"/>
          <w:tab w:val="left" w:pos="284"/>
        </w:tabs>
        <w:spacing w:after="0" w:line="276" w:lineRule="auto"/>
        <w:ind w:left="0"/>
        <w:jc w:val="both"/>
        <w:rPr>
          <w:rFonts w:ascii="Verdana" w:eastAsia="Century Gothic" w:hAnsi="Verdana" w:cs="Century Gothic"/>
          <w:b/>
          <w:bCs/>
        </w:rPr>
      </w:pPr>
    </w:p>
    <w:p w14:paraId="398C4BD1" w14:textId="77777777" w:rsidR="00BC1BFA" w:rsidRPr="00A652FF" w:rsidRDefault="00BC1BFA" w:rsidP="00BC1BFA">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6456059" w14:textId="77777777" w:rsidR="00BC1BFA" w:rsidRDefault="00BC1BFA" w:rsidP="00BC1BF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E8E24DA" w14:textId="77777777" w:rsidR="00BC1BFA" w:rsidRPr="00593A5F" w:rsidRDefault="00BC1BFA" w:rsidP="00BC1BFA">
      <w:pPr>
        <w:spacing w:after="0" w:line="276" w:lineRule="auto"/>
        <w:ind w:firstLine="709"/>
        <w:jc w:val="both"/>
        <w:rPr>
          <w:rFonts w:ascii="Verdana" w:eastAsia="Calibri" w:hAnsi="Verdana" w:cs="Arial"/>
          <w:color w:val="000000"/>
          <w:lang w:val="es-ES" w:eastAsia="es-ES"/>
        </w:rPr>
      </w:pPr>
    </w:p>
    <w:p w14:paraId="6E2895F6" w14:textId="77777777" w:rsidR="00BC1BFA" w:rsidRPr="00593A5F" w:rsidRDefault="00BC1BFA" w:rsidP="00BC1BF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60DE53F" w14:textId="77777777" w:rsidR="00BC1BFA" w:rsidRPr="00593A5F" w:rsidRDefault="00BC1BFA" w:rsidP="00BC1BFA">
      <w:pPr>
        <w:tabs>
          <w:tab w:val="left" w:pos="426"/>
        </w:tabs>
        <w:spacing w:after="0" w:line="276" w:lineRule="auto"/>
        <w:jc w:val="both"/>
        <w:rPr>
          <w:rFonts w:ascii="Verdana" w:eastAsia="Century Gothic" w:hAnsi="Verdana" w:cs="Century Gothic"/>
          <w:lang w:val="es-ES"/>
        </w:rPr>
      </w:pPr>
    </w:p>
    <w:p w14:paraId="7E20647F" w14:textId="77777777" w:rsidR="00BC1BFA" w:rsidRPr="00593A5F" w:rsidRDefault="00BC1BFA" w:rsidP="00BC1BFA">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i) ¿cuáles son las directrices aplicables al </w:t>
      </w:r>
      <w:r w:rsidRPr="009D055C">
        <w:rPr>
          <w:rFonts w:ascii="Verdana" w:eastAsia="Century Gothic" w:hAnsi="Verdana" w:cs="Century Gothic"/>
        </w:rPr>
        <w:t xml:space="preserve">descuento y pago directo de los aportes al sistema de seguridad social en contratos de prestación de servicios </w:t>
      </w:r>
      <w:r>
        <w:rPr>
          <w:rFonts w:ascii="Verdana" w:eastAsia="Century Gothic" w:hAnsi="Verdana" w:cs="Century Gothic"/>
        </w:rPr>
        <w:t>a cargo</w:t>
      </w:r>
      <w:r w:rsidRPr="009D055C">
        <w:rPr>
          <w:rFonts w:ascii="Verdana" w:eastAsia="Century Gothic" w:hAnsi="Verdana" w:cs="Century Gothic"/>
        </w:rPr>
        <w:t xml:space="preserve"> de las entidades públicas</w:t>
      </w:r>
      <w:r>
        <w:rPr>
          <w:rFonts w:ascii="Verdana" w:eastAsia="Century Gothic" w:hAnsi="Verdana" w:cs="Century Gothic"/>
        </w:rPr>
        <w:t xml:space="preserve"> de que trata el artículo </w:t>
      </w:r>
      <w:r>
        <w:rPr>
          <w:rFonts w:ascii="Verdana" w:eastAsia="Calibri" w:hAnsi="Verdana" w:cs="Arial"/>
          <w:lang w:val="es-ES" w:eastAsia="es-ES"/>
        </w:rPr>
        <w:t>21 de la Ley 2381 de 2024 y su reglamentación</w:t>
      </w:r>
      <w:r>
        <w:rPr>
          <w:rFonts w:ascii="Verdana" w:eastAsia="Century Gothic" w:hAnsi="Verdana" w:cs="Century Gothic"/>
        </w:rPr>
        <w:t xml:space="preserve">?, y </w:t>
      </w:r>
      <w:proofErr w:type="spellStart"/>
      <w:r>
        <w:rPr>
          <w:rFonts w:ascii="Verdana" w:eastAsia="Century Gothic" w:hAnsi="Verdana" w:cs="Century Gothic"/>
        </w:rPr>
        <w:t>ii</w:t>
      </w:r>
      <w:proofErr w:type="spellEnd"/>
      <w:r>
        <w:rPr>
          <w:rFonts w:ascii="Verdana" w:eastAsia="Century Gothic" w:hAnsi="Verdana" w:cs="Century Gothic"/>
        </w:rPr>
        <w:t>) ¿Cómo debe registrase la información de pago en el SECOP II?”</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3BBC4855" w14:textId="77777777" w:rsidR="00BC1BFA" w:rsidRPr="004B140F" w:rsidRDefault="00BC1BFA" w:rsidP="00BC1BFA">
      <w:pPr>
        <w:spacing w:after="0" w:line="276" w:lineRule="auto"/>
        <w:jc w:val="both"/>
        <w:rPr>
          <w:rFonts w:ascii="Verdana" w:eastAsia="Calibri" w:hAnsi="Verdana" w:cs="Arial"/>
          <w:color w:val="7030A0"/>
        </w:rPr>
      </w:pPr>
    </w:p>
    <w:p w14:paraId="412FC9CF" w14:textId="77777777" w:rsidR="00BC1BFA" w:rsidRPr="00593A5F" w:rsidRDefault="00BC1BFA" w:rsidP="00BC1BF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15DD760" w14:textId="77777777" w:rsidR="00BC1BFA" w:rsidRPr="00593A5F" w:rsidRDefault="00BC1BFA" w:rsidP="00BC1BF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C1BFA" w:rsidRPr="00593A5F" w14:paraId="61ACB017" w14:textId="77777777" w:rsidTr="00D27554">
        <w:trPr>
          <w:jc w:val="center"/>
        </w:trPr>
        <w:tc>
          <w:tcPr>
            <w:tcW w:w="8828" w:type="dxa"/>
            <w:shd w:val="clear" w:color="auto" w:fill="auto"/>
          </w:tcPr>
          <w:p w14:paraId="681C5B29" w14:textId="77777777" w:rsidR="00BC1BFA" w:rsidRPr="00726727" w:rsidRDefault="00BC1BFA" w:rsidP="00D27554">
            <w:pPr>
              <w:widowControl w:val="0"/>
              <w:autoSpaceDE w:val="0"/>
              <w:autoSpaceDN w:val="0"/>
              <w:spacing w:after="120" w:line="276" w:lineRule="auto"/>
              <w:jc w:val="both"/>
              <w:rPr>
                <w:rFonts w:ascii="Verdana" w:eastAsia="Arial" w:hAnsi="Verdana" w:cs="Arial"/>
              </w:rPr>
            </w:pPr>
            <w:bookmarkStart w:id="1" w:name="_Hlk171694685"/>
            <w:r w:rsidRPr="00726727">
              <w:rPr>
                <w:rFonts w:ascii="Verdana" w:eastAsia="Arial" w:hAnsi="Verdana" w:cs="Arial"/>
                <w:color w:val="000000" w:themeColor="text1"/>
                <w:lang w:val="es-ES"/>
              </w:rPr>
              <w:lastRenderedPageBreak/>
              <w:t>i.</w:t>
            </w:r>
            <w:r>
              <w:rPr>
                <w:rFonts w:ascii="Verdana" w:eastAsia="Arial" w:hAnsi="Verdana" w:cs="Arial"/>
                <w:color w:val="000000" w:themeColor="text1"/>
              </w:rPr>
              <w:t xml:space="preserve"> </w:t>
            </w:r>
            <w:r w:rsidRPr="00726727">
              <w:rPr>
                <w:rFonts w:ascii="Verdana" w:eastAsia="Arial" w:hAnsi="Verdana" w:cs="Arial"/>
                <w:color w:val="000000" w:themeColor="text1"/>
              </w:rPr>
              <w:t>Conforme a la interpretación general de las normas del sistema de compras públicas, de acuerdo con los</w:t>
            </w:r>
            <w:r w:rsidRPr="00726727">
              <w:rPr>
                <w:rFonts w:ascii="Verdana" w:eastAsia="Arial" w:hAnsi="Verdana" w:cs="Arial"/>
              </w:rPr>
              <w:t xml:space="preserve">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que, respecto de los contratos en ejecución, </w:t>
            </w:r>
            <w:r>
              <w:rPr>
                <w:rFonts w:ascii="Verdana" w:eastAsia="Arial" w:hAnsi="Verdana" w:cs="Arial"/>
              </w:rPr>
              <w:t xml:space="preserve">es </w:t>
            </w:r>
            <w:r w:rsidRPr="00F379A9">
              <w:rPr>
                <w:rFonts w:ascii="Verdana" w:eastAsia="Arial" w:hAnsi="Verdana" w:cs="Arial"/>
              </w:rPr>
              <w:t>indispensable realizar la modificación de las cláusulas contractuales pertinentes, con el fin de incorporar expresamente la obligación a cargo de la entidad. E</w:t>
            </w:r>
            <w:r>
              <w:rPr>
                <w:rFonts w:ascii="Verdana" w:eastAsia="Arial" w:hAnsi="Verdana" w:cs="Arial"/>
              </w:rPr>
              <w:t>llo</w:t>
            </w:r>
            <w:r w:rsidRPr="00F379A9">
              <w:rPr>
                <w:rFonts w:ascii="Verdana" w:eastAsia="Arial" w:hAnsi="Verdana" w:cs="Arial"/>
              </w:rPr>
              <w:t xml:space="preserve"> obedece a que el contrato es el instrumento que define y delimita las obligaciones recíprocas de las partes y constituye el marco jurídico para su ejecución</w:t>
            </w:r>
            <w:r>
              <w:rPr>
                <w:rFonts w:ascii="Verdana" w:eastAsia="Arial" w:hAnsi="Verdana" w:cs="Arial"/>
              </w:rPr>
              <w:t>, por tanto, l</w:t>
            </w:r>
            <w:r w:rsidRPr="00F379A9">
              <w:rPr>
                <w:rFonts w:ascii="Verdana" w:eastAsia="Arial" w:hAnsi="Verdana" w:cs="Arial"/>
              </w:rPr>
              <w:t xml:space="preserve">a formalización de dicha modificación asegura la coherencia entre el marco legal vigente y el contenido contractual. En cuanto a los contratos que la entidad celebre </w:t>
            </w:r>
            <w:r>
              <w:rPr>
                <w:rFonts w:ascii="Verdana" w:eastAsia="Arial" w:hAnsi="Verdana" w:cs="Arial"/>
              </w:rPr>
              <w:t xml:space="preserve">a </w:t>
            </w:r>
            <w:r w:rsidRPr="00F379A9">
              <w:rPr>
                <w:rFonts w:ascii="Verdana" w:eastAsia="Arial" w:hAnsi="Verdana" w:cs="Arial"/>
              </w:rPr>
              <w:t xml:space="preserve">futuro, </w:t>
            </w:r>
            <w:r>
              <w:rPr>
                <w:rFonts w:ascii="Verdana" w:eastAsia="Arial" w:hAnsi="Verdana" w:cs="Arial"/>
              </w:rPr>
              <w:t>se deberá</w:t>
            </w:r>
            <w:r w:rsidRPr="00F379A9">
              <w:rPr>
                <w:rFonts w:ascii="Verdana" w:eastAsia="Arial" w:hAnsi="Verdana" w:cs="Arial"/>
              </w:rPr>
              <w:t xml:space="preserve"> incorporar una cláusula que refleje el acuerdo relativo a esta nueva obligación</w:t>
            </w:r>
            <w:r>
              <w:rPr>
                <w:rFonts w:ascii="Verdana" w:eastAsia="Arial" w:hAnsi="Verdana" w:cs="Arial"/>
              </w:rPr>
              <w:t>. L</w:t>
            </w:r>
            <w:r w:rsidRPr="00F379A9">
              <w:rPr>
                <w:rFonts w:ascii="Verdana" w:eastAsia="Arial" w:hAnsi="Verdana" w:cs="Arial"/>
              </w:rPr>
              <w:t>o anterior</w:t>
            </w:r>
            <w:r>
              <w:rPr>
                <w:rFonts w:ascii="Verdana" w:eastAsia="Arial" w:hAnsi="Verdana" w:cs="Arial"/>
              </w:rPr>
              <w:t>,</w:t>
            </w:r>
            <w:r w:rsidRPr="00F379A9">
              <w:rPr>
                <w:rFonts w:ascii="Verdana" w:eastAsia="Arial" w:hAnsi="Verdana" w:cs="Arial"/>
              </w:rPr>
              <w:t xml:space="preserve"> sin perjuicio de las decisiones administrativas que la entidad pueda adoptar para dar cumplimiento a l</w:t>
            </w:r>
            <w:r>
              <w:rPr>
                <w:rFonts w:ascii="Verdana" w:eastAsia="Arial" w:hAnsi="Verdana" w:cs="Arial"/>
              </w:rPr>
              <w:t>o dispuesto en esta</w:t>
            </w:r>
            <w:r w:rsidRPr="00F379A9">
              <w:rPr>
                <w:rFonts w:ascii="Verdana" w:eastAsia="Arial" w:hAnsi="Verdana" w:cs="Arial"/>
              </w:rPr>
              <w:t xml:space="preserve"> ley y </w:t>
            </w:r>
            <w:r>
              <w:rPr>
                <w:rFonts w:ascii="Verdana" w:eastAsia="Arial" w:hAnsi="Verdana" w:cs="Arial"/>
              </w:rPr>
              <w:t xml:space="preserve">a su </w:t>
            </w:r>
            <w:r w:rsidRPr="00F379A9">
              <w:rPr>
                <w:rFonts w:ascii="Verdana" w:eastAsia="Arial" w:hAnsi="Verdana" w:cs="Arial"/>
              </w:rPr>
              <w:t>reglamentación</w:t>
            </w:r>
            <w:r>
              <w:rPr>
                <w:rFonts w:ascii="Verdana" w:eastAsia="Arial" w:hAnsi="Verdana" w:cs="Arial"/>
              </w:rPr>
              <w:t>.</w:t>
            </w:r>
          </w:p>
          <w:p w14:paraId="22E21335" w14:textId="77777777" w:rsidR="00BC1BFA" w:rsidRPr="00B9690D" w:rsidRDefault="00BC1BFA" w:rsidP="00D27554">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Así, de realizarse el acuerdo correspondiente,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56078D87" w14:textId="77777777" w:rsidR="00BC1BFA" w:rsidRDefault="00BC1BFA" w:rsidP="00D27554">
            <w:pPr>
              <w:widowControl w:val="0"/>
              <w:autoSpaceDE w:val="0"/>
              <w:autoSpaceDN w:val="0"/>
              <w:spacing w:after="120" w:line="276" w:lineRule="auto"/>
              <w:ind w:firstLine="709"/>
              <w:jc w:val="both"/>
              <w:rPr>
                <w:rFonts w:ascii="Verdana" w:eastAsia="Arial" w:hAnsi="Verdana" w:cs="Arial"/>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las el pago de las cotizaciones, ésta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rPr>
              <w:t xml:space="preserve">Por medio de la cual se modifica la </w:t>
            </w:r>
            <w:r>
              <w:rPr>
                <w:rFonts w:ascii="Verdana" w:eastAsia="Arial" w:hAnsi="Verdana" w:cs="Arial"/>
              </w:rPr>
              <w:t>R</w:t>
            </w:r>
            <w:r w:rsidRPr="00225440">
              <w:rPr>
                <w:rFonts w:ascii="Verdana" w:eastAsia="Arial" w:hAnsi="Verdana" w:cs="Arial"/>
              </w:rPr>
              <w:t xml:space="preserve">esolución 2388 de 2016,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w:t>
            </w:r>
            <w:r>
              <w:rPr>
                <w:rFonts w:ascii="Verdana" w:eastAsia="Arial" w:hAnsi="Verdana" w:cs="Arial"/>
              </w:rPr>
              <w:lastRenderedPageBreak/>
              <w:t xml:space="preserve">de contratistas de prestación de servicios, a efectos de cumplir lo establecido en el artículo 21 de la Ley 2381 de 2024. </w:t>
            </w:r>
          </w:p>
          <w:p w14:paraId="7ACD5380" w14:textId="77777777" w:rsidR="00BC1BFA" w:rsidRDefault="00BC1BFA" w:rsidP="00D27554">
            <w:pPr>
              <w:widowControl w:val="0"/>
              <w:autoSpaceDE w:val="0"/>
              <w:autoSpaceDN w:val="0"/>
              <w:spacing w:after="120" w:line="276" w:lineRule="auto"/>
              <w:jc w:val="both"/>
              <w:rPr>
                <w:rFonts w:ascii="Verdana" w:eastAsia="Arial" w:hAnsi="Verdana" w:cs="Arial"/>
              </w:rPr>
            </w:pPr>
            <w:proofErr w:type="spellStart"/>
            <w:r>
              <w:rPr>
                <w:rFonts w:ascii="Verdana" w:eastAsia="Arial" w:hAnsi="Verdana" w:cs="Arial"/>
              </w:rPr>
              <w:t>ii</w:t>
            </w:r>
            <w:proofErr w:type="spellEnd"/>
            <w:r>
              <w:rPr>
                <w:rFonts w:ascii="Verdana" w:eastAsia="Arial" w:hAnsi="Verdana" w:cs="Arial"/>
              </w:rPr>
              <w:t xml:space="preserve">. </w:t>
            </w:r>
            <w:r w:rsidRPr="00726727">
              <w:rPr>
                <w:rFonts w:ascii="Verdana" w:eastAsia="Arial" w:hAnsi="Verdana" w:cs="Arial"/>
              </w:rPr>
              <w:t>En lo que respecta al procedimiento operativo en el SECOP II para el control y verificación del pago de los aportes de las cotizaciones en aquellos contratos en que se acuerde</w:t>
            </w:r>
            <w:r w:rsidRPr="00726727">
              <w:rPr>
                <w:rFonts w:ascii="Verdana" w:eastAsia="Arial" w:hAnsi="Verdana" w:cs="Arial"/>
                <w:lang w:val="es-ES"/>
              </w:rPr>
              <w:t xml:space="preserve"> que será responsabilidad de la entidad contratante</w:t>
            </w:r>
            <w:r w:rsidRPr="00726727">
              <w:rPr>
                <w:rFonts w:ascii="Verdana" w:eastAsia="Arial" w:hAnsi="Verdana" w:cs="Arial"/>
              </w:rPr>
              <w:t>, es importante aclarar que el mecanismo seguirá siendo el mismo, pues la opción en SECOP II para la validación de la planilla de pagos de los aportes parafiscales por parte del contratista por medio de la interoperabilidad que se tiene actualmente con SICOPI,  no resulta afectada por lo establecido en la Ley 238</w:t>
            </w:r>
            <w:r>
              <w:rPr>
                <w:rFonts w:ascii="Verdana" w:eastAsia="Arial" w:hAnsi="Verdana" w:cs="Arial"/>
              </w:rPr>
              <w:t>1</w:t>
            </w:r>
            <w:r w:rsidRPr="00726727">
              <w:rPr>
                <w:rFonts w:ascii="Verdana" w:eastAsia="Arial" w:hAnsi="Verdana" w:cs="Arial"/>
              </w:rPr>
              <w:t xml:space="preserve"> de 2024. Lo anterior, en atención a que el servicio web que expone el Ministerio de Salud </w:t>
            </w:r>
            <w:r>
              <w:rPr>
                <w:rFonts w:ascii="Verdana" w:eastAsia="Arial" w:hAnsi="Verdana" w:cs="Arial"/>
              </w:rPr>
              <w:t xml:space="preserve">y Protección Social </w:t>
            </w:r>
            <w:r w:rsidRPr="00726727">
              <w:rPr>
                <w:rFonts w:ascii="Verdana" w:eastAsia="Arial" w:hAnsi="Verdana" w:cs="Arial"/>
              </w:rPr>
              <w:t xml:space="preserve">sigue verificando por cotizante los siguientes 4 datos: tipo de documento del cotizante, número de documento del cotizante, número de planilla y fecha de pago de la planilla. </w:t>
            </w:r>
          </w:p>
          <w:p w14:paraId="32093F13" w14:textId="77777777" w:rsidR="00BC1BFA" w:rsidRPr="00FC3BD8" w:rsidRDefault="00BC1BFA" w:rsidP="00D27554">
            <w:pPr>
              <w:widowControl w:val="0"/>
              <w:autoSpaceDE w:val="0"/>
              <w:autoSpaceDN w:val="0"/>
              <w:spacing w:after="120" w:line="276" w:lineRule="auto"/>
              <w:ind w:firstLine="743"/>
              <w:jc w:val="both"/>
              <w:rPr>
                <w:rFonts w:ascii="Verdana" w:eastAsia="Arial" w:hAnsi="Verdana" w:cs="Arial"/>
              </w:rPr>
            </w:pPr>
            <w:r w:rsidRPr="00726727">
              <w:rPr>
                <w:rFonts w:ascii="Verdana" w:eastAsia="Arial" w:hAnsi="Verdana" w:cs="Arial"/>
              </w:rPr>
              <w:t xml:space="preserve">De esta forma, en el SECOP II se podrá continuar validando la información en línea del pago de aportes a Seguridad Social –salud, pensiones y riesgos profesionales– en los contratos de tipo </w:t>
            </w:r>
            <w:r w:rsidRPr="0015135B">
              <w:rPr>
                <w:rFonts w:ascii="Verdana" w:eastAsia="Arial" w:hAnsi="Verdana" w:cs="Arial"/>
                <w:i/>
              </w:rPr>
              <w:t>“Prestación de Servicios Profesionales y de Apoyo a la Gestión” resultado</w:t>
            </w:r>
            <w:r w:rsidRPr="00726727">
              <w:rPr>
                <w:rFonts w:ascii="Verdana" w:eastAsia="Arial" w:hAnsi="Verdana" w:cs="Arial"/>
              </w:rPr>
              <w:t xml:space="preserve"> de la gestión de procesos de contratación en el módulo de “Contratación </w:t>
            </w:r>
            <w:r w:rsidRPr="00FC3BD8">
              <w:rPr>
                <w:rFonts w:ascii="Verdana" w:eastAsia="Arial" w:hAnsi="Verdana" w:cs="Arial"/>
              </w:rPr>
              <w:t xml:space="preserve">directa”. </w:t>
            </w:r>
            <w:r w:rsidRPr="00180ACE">
              <w:rPr>
                <w:rFonts w:ascii="Verdana" w:eastAsia="Arial" w:hAnsi="Verdana" w:cs="Arial"/>
              </w:rPr>
              <w:t xml:space="preserve">En este sentido, la funcionalidad de validación de la planilla de pagos actualmente disponible en el SECOP II aplica tanto en los casos en que se haya acordado </w:t>
            </w:r>
            <w:proofErr w:type="gramStart"/>
            <w:r w:rsidRPr="00180ACE">
              <w:rPr>
                <w:rFonts w:ascii="Verdana" w:eastAsia="Arial" w:hAnsi="Verdana" w:cs="Arial"/>
              </w:rPr>
              <w:t>que</w:t>
            </w:r>
            <w:proofErr w:type="gramEnd"/>
            <w:r w:rsidRPr="00180ACE">
              <w:rPr>
                <w:rFonts w:ascii="Verdana" w:eastAsia="Arial" w:hAnsi="Verdana" w:cs="Arial"/>
              </w:rPr>
              <w:t xml:space="preserve"> la entidad asum</w:t>
            </w:r>
            <w:r>
              <w:rPr>
                <w:rFonts w:ascii="Verdana" w:eastAsia="Arial" w:hAnsi="Verdana" w:cs="Arial"/>
              </w:rPr>
              <w:t>a</w:t>
            </w:r>
            <w:r w:rsidRPr="00180ACE">
              <w:rPr>
                <w:rFonts w:ascii="Verdana" w:eastAsia="Arial" w:hAnsi="Verdana" w:cs="Arial"/>
              </w:rPr>
              <w:t xml:space="preserve"> directamente el pago, como en aquellos en los que dicha responsabilidad recaiga sobre el contratista</w:t>
            </w:r>
            <w:r>
              <w:rPr>
                <w:rFonts w:ascii="Verdana" w:eastAsia="Arial" w:hAnsi="Verdana" w:cs="Arial"/>
              </w:rPr>
              <w:t xml:space="preserve">. </w:t>
            </w:r>
          </w:p>
          <w:p w14:paraId="27C59332" w14:textId="77777777" w:rsidR="00BC1BFA" w:rsidRPr="00EB18F4" w:rsidRDefault="00BC1BFA" w:rsidP="00D27554">
            <w:pPr>
              <w:widowControl w:val="0"/>
              <w:autoSpaceDE w:val="0"/>
              <w:autoSpaceDN w:val="0"/>
              <w:spacing w:after="120" w:line="276" w:lineRule="auto"/>
              <w:ind w:firstLine="743"/>
              <w:jc w:val="both"/>
              <w:rPr>
                <w:rFonts w:ascii="Verdana" w:eastAsia="Arial" w:hAnsi="Verdana" w:cs="Arial"/>
              </w:rPr>
            </w:pPr>
            <w:r w:rsidRPr="00FC3BD8">
              <w:rPr>
                <w:rFonts w:ascii="Verdana" w:eastAsia="Arial" w:hAnsi="Verdana" w:cs="Arial"/>
              </w:rPr>
              <w:t>Finalmente, es pertinente indicar que a</w:t>
            </w:r>
            <w:r w:rsidRPr="00FC3BD8">
              <w:rPr>
                <w:rFonts w:ascii="Verdana" w:hAnsi="Verdana"/>
              </w:rPr>
              <w:t xml:space="preserve">ctualmente la </w:t>
            </w:r>
            <w:proofErr w:type="gramStart"/>
            <w:r w:rsidRPr="00FC3BD8">
              <w:rPr>
                <w:rFonts w:ascii="Verdana" w:hAnsi="Verdana"/>
              </w:rPr>
              <w:t>entrada en vigencia</w:t>
            </w:r>
            <w:proofErr w:type="gramEnd"/>
            <w:r w:rsidRPr="00FC3BD8">
              <w:rPr>
                <w:rFonts w:ascii="Verdana" w:hAnsi="Verdana"/>
              </w:rPr>
              <w:t xml:space="preserve"> de la Ley 2381 de 2024 prevista inicialmente para el 1 de julio de 2025 según su artículo 94, se encuentra suspendida por decisión unánime </w:t>
            </w:r>
            <w:r>
              <w:rPr>
                <w:rFonts w:ascii="Verdana" w:hAnsi="Verdana"/>
              </w:rPr>
              <w:t>de</w:t>
            </w:r>
            <w:r w:rsidRPr="00FC3BD8">
              <w:rPr>
                <w:rFonts w:ascii="Verdana" w:hAnsi="Verdana"/>
              </w:rPr>
              <w:t xml:space="preserve"> la Corte Constitucional </w:t>
            </w:r>
            <w:r>
              <w:rPr>
                <w:rFonts w:ascii="Verdana" w:hAnsi="Verdana"/>
              </w:rPr>
              <w:t xml:space="preserve">de conformidad con lo dispuesto en el </w:t>
            </w:r>
            <w:r w:rsidRPr="00FC3BD8">
              <w:rPr>
                <w:rFonts w:ascii="Verdana" w:hAnsi="Verdana"/>
              </w:rPr>
              <w:t>Auto 841 del 17 de junio de 2025, proferido en el proceso D-15989. Esta suspensión se mantendrá hasta que la Sala Plena emita un</w:t>
            </w:r>
            <w:r>
              <w:rPr>
                <w:rFonts w:ascii="Verdana" w:hAnsi="Verdana"/>
              </w:rPr>
              <w:t>a decisión</w:t>
            </w:r>
            <w:r w:rsidRPr="00FC3BD8">
              <w:rPr>
                <w:rFonts w:ascii="Verdana" w:hAnsi="Verdana"/>
              </w:rPr>
              <w:t xml:space="preserve"> definitiv</w:t>
            </w:r>
            <w:r>
              <w:rPr>
                <w:rFonts w:ascii="Verdana" w:hAnsi="Verdana"/>
              </w:rPr>
              <w:t>a</w:t>
            </w:r>
            <w:r w:rsidRPr="00FC3BD8">
              <w:rPr>
                <w:rFonts w:ascii="Verdana" w:hAnsi="Verdana"/>
              </w:rPr>
              <w:t xml:space="preserve"> sobre la constitucionalidad de la ley, con excepción de lo dispuesto en los artículos 12 (parágrafo transitorio) y 76. La Corte indicó, además, que el Congreso </w:t>
            </w:r>
            <w:r>
              <w:rPr>
                <w:rFonts w:ascii="Verdana" w:hAnsi="Verdana"/>
              </w:rPr>
              <w:t xml:space="preserve">de la República </w:t>
            </w:r>
            <w:r w:rsidRPr="00FC3BD8">
              <w:rPr>
                <w:rFonts w:ascii="Verdana" w:hAnsi="Verdana"/>
              </w:rPr>
              <w:t>podrá establecer un nuevo término para la entrada en vigor integral de la norma, en el marco del trámite legislativo correspondiente.</w:t>
            </w:r>
          </w:p>
        </w:tc>
      </w:tr>
    </w:tbl>
    <w:p w14:paraId="38EC54C6" w14:textId="77777777" w:rsidR="00BC1BFA" w:rsidRPr="00593A5F" w:rsidRDefault="00BC1BFA" w:rsidP="00BC1BFA">
      <w:pPr>
        <w:tabs>
          <w:tab w:val="left" w:pos="142"/>
          <w:tab w:val="left" w:pos="284"/>
        </w:tabs>
        <w:spacing w:after="0" w:line="276" w:lineRule="auto"/>
        <w:jc w:val="both"/>
        <w:rPr>
          <w:rFonts w:ascii="Verdana" w:eastAsia="Century Gothic" w:hAnsi="Verdana" w:cs="Century Gothic"/>
          <w:b/>
          <w:bCs/>
          <w:lang w:val="es-ES"/>
        </w:rPr>
      </w:pPr>
    </w:p>
    <w:bookmarkEnd w:id="1"/>
    <w:p w14:paraId="5D7CF16A" w14:textId="77777777" w:rsidR="00BC1BFA" w:rsidRPr="00593A5F" w:rsidRDefault="00BC1BFA" w:rsidP="00BC1BF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D466646" w14:textId="77777777" w:rsidR="00BC1BFA" w:rsidRPr="00593A5F" w:rsidRDefault="00BC1BFA" w:rsidP="00BC1BFA">
      <w:pPr>
        <w:spacing w:after="0" w:line="276" w:lineRule="auto"/>
        <w:jc w:val="both"/>
        <w:rPr>
          <w:rFonts w:ascii="Verdana" w:eastAsia="Calibri" w:hAnsi="Verdana" w:cs="Arial"/>
          <w:color w:val="7030A0"/>
          <w:lang w:val="es-ES"/>
        </w:rPr>
      </w:pPr>
    </w:p>
    <w:p w14:paraId="30CE3B16" w14:textId="77777777" w:rsidR="00BC1BFA" w:rsidRDefault="00BC1BFA" w:rsidP="00BC1BFA">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2BD828C" w14:textId="77777777" w:rsidR="00BC1BFA" w:rsidRDefault="00BC1BFA" w:rsidP="00BC1BFA">
      <w:pPr>
        <w:spacing w:after="0" w:line="276" w:lineRule="auto"/>
        <w:jc w:val="both"/>
        <w:rPr>
          <w:rFonts w:ascii="Verdana" w:eastAsia="Calibri" w:hAnsi="Verdana" w:cs="Arial"/>
          <w:lang w:val="es-ES"/>
        </w:rPr>
      </w:pPr>
    </w:p>
    <w:p w14:paraId="6B46209B" w14:textId="77777777" w:rsidR="00BC1BFA" w:rsidRPr="001F41BC" w:rsidRDefault="00BC1BFA" w:rsidP="00BC1BFA">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 xml:space="preserve">i. </w:t>
      </w:r>
      <w:r w:rsidRPr="001F41BC">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7C5DBBF0" w14:textId="77777777" w:rsidR="00BC1BFA" w:rsidRPr="001F41BC" w:rsidRDefault="00BC1BFA" w:rsidP="00BC1BFA">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32FFDA1A" w14:textId="77777777" w:rsidR="00BC1BFA" w:rsidRPr="001F41BC" w:rsidRDefault="00BC1BFA" w:rsidP="00BC1BFA">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2"/>
      </w:r>
      <w:r w:rsidRPr="001F41BC">
        <w:rPr>
          <w:rFonts w:ascii="Verdana" w:eastAsia="Arial" w:hAnsi="Verdana" w:cs="Arial"/>
          <w:lang w:val="es-ES"/>
        </w:rPr>
        <w:t>.</w:t>
      </w:r>
    </w:p>
    <w:p w14:paraId="1C5EF149" w14:textId="77777777" w:rsidR="00BC1BFA" w:rsidRPr="001F41BC" w:rsidRDefault="00BC1BFA" w:rsidP="00BC1BFA">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015B4F32" w14:textId="77777777" w:rsidR="00BC1BFA" w:rsidRPr="001F41BC" w:rsidRDefault="00BC1BFA" w:rsidP="00BC1BFA">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3"/>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 xml:space="preserve">1150 de 2007 que modificó el inciso segundo del artículo 41 de la Ley 80 de 1993, incluye la obligación, para los proponentes y contratistas, de estar a paz y salvo con los </w:t>
      </w:r>
      <w:r w:rsidRPr="001F41BC">
        <w:rPr>
          <w:rFonts w:ascii="Verdana" w:eastAsia="Arial" w:hAnsi="Verdana" w:cs="Arial"/>
          <w:lang w:val="es-ES"/>
        </w:rPr>
        <w:lastRenderedPageBreak/>
        <w:t>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26F9E431" w14:textId="77777777" w:rsidR="00BC1BFA" w:rsidRPr="001F41BC" w:rsidRDefault="00BC1BFA" w:rsidP="00BC1BFA">
      <w:pPr>
        <w:widowControl w:val="0"/>
        <w:autoSpaceDE w:val="0"/>
        <w:autoSpaceDN w:val="0"/>
        <w:spacing w:before="1" w:after="0" w:line="276" w:lineRule="auto"/>
        <w:rPr>
          <w:rFonts w:ascii="Verdana" w:eastAsia="Arial" w:hAnsi="Verdana" w:cs="Arial"/>
          <w:lang w:val="es-ES"/>
        </w:rPr>
      </w:pPr>
    </w:p>
    <w:p w14:paraId="5BB3FA07" w14:textId="77777777" w:rsidR="00BC1BFA" w:rsidRPr="00472F0E" w:rsidRDefault="00BC1BFA" w:rsidP="00BC1BFA">
      <w:pPr>
        <w:widowControl w:val="0"/>
        <w:autoSpaceDE w:val="0"/>
        <w:autoSpaceDN w:val="0"/>
        <w:spacing w:before="1"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228BB5CD" w14:textId="77777777" w:rsidR="00BC1BFA" w:rsidRPr="00472F0E" w:rsidRDefault="00BC1BFA" w:rsidP="00BC1BFA">
      <w:pPr>
        <w:widowControl w:val="0"/>
        <w:autoSpaceDE w:val="0"/>
        <w:autoSpaceDN w:val="0"/>
        <w:spacing w:before="120"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64CA2DC5" w14:textId="77777777" w:rsidR="00BC1BFA" w:rsidRPr="00472F0E" w:rsidRDefault="00BC1BFA" w:rsidP="00BC1BFA">
      <w:pPr>
        <w:widowControl w:val="0"/>
        <w:autoSpaceDE w:val="0"/>
        <w:autoSpaceDN w:val="0"/>
        <w:spacing w:before="120" w:after="0"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El servidor público que sin justa causa no verifique el pago de los aportes a que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se</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refiere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el</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presente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artículo,</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incurrirá</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en</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causal</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de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mala</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conducta,</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que será sancionada con arreglo al régimen disciplinario</w:t>
      </w:r>
      <w:r w:rsidRPr="00472F0E">
        <w:rPr>
          <w:rFonts w:ascii="Verdana" w:eastAsia="Arial" w:hAnsi="Verdana" w:cs="Arial"/>
          <w:spacing w:val="-12"/>
          <w:sz w:val="20"/>
          <w:szCs w:val="20"/>
          <w:lang w:val="es-ES"/>
        </w:rPr>
        <w:t xml:space="preserve"> </w:t>
      </w:r>
      <w:r w:rsidRPr="00472F0E">
        <w:rPr>
          <w:rFonts w:ascii="Verdana" w:eastAsia="Arial" w:hAnsi="Verdana" w:cs="Arial"/>
          <w:sz w:val="20"/>
          <w:szCs w:val="20"/>
          <w:lang w:val="es-ES"/>
        </w:rPr>
        <w:t>vigente”.</w:t>
      </w:r>
    </w:p>
    <w:p w14:paraId="3B4AD687" w14:textId="77777777" w:rsidR="00BC1BFA" w:rsidRPr="001F41BC" w:rsidRDefault="00BC1BFA" w:rsidP="00BC1BFA">
      <w:pPr>
        <w:widowControl w:val="0"/>
        <w:autoSpaceDE w:val="0"/>
        <w:autoSpaceDN w:val="0"/>
        <w:spacing w:after="0" w:line="276" w:lineRule="auto"/>
        <w:ind w:left="709" w:right="709"/>
        <w:jc w:val="both"/>
        <w:rPr>
          <w:rFonts w:ascii="Verdana" w:eastAsia="Arial" w:hAnsi="Verdana" w:cs="Arial"/>
          <w:lang w:val="es-ES"/>
        </w:rPr>
      </w:pPr>
    </w:p>
    <w:p w14:paraId="4114CB77" w14:textId="77777777" w:rsidR="00BC1BFA" w:rsidRDefault="00BC1BFA" w:rsidP="00BC1BFA">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55CE6693" w14:textId="77777777" w:rsidR="00BC1BFA" w:rsidRPr="001F41BC" w:rsidRDefault="00BC1BFA" w:rsidP="00BC1BFA">
      <w:pPr>
        <w:widowControl w:val="0"/>
        <w:autoSpaceDE w:val="0"/>
        <w:autoSpaceDN w:val="0"/>
        <w:spacing w:after="0" w:line="276" w:lineRule="auto"/>
        <w:ind w:firstLine="709"/>
        <w:jc w:val="both"/>
        <w:rPr>
          <w:rFonts w:ascii="Verdana" w:eastAsia="Arial" w:hAnsi="Verdana" w:cs="Arial"/>
          <w:lang w:val="es-ES"/>
        </w:rPr>
      </w:pPr>
    </w:p>
    <w:p w14:paraId="6A420724" w14:textId="77777777" w:rsidR="00BC1BFA" w:rsidRPr="001F41BC" w:rsidRDefault="00BC1BFA" w:rsidP="00BC1BFA">
      <w:pPr>
        <w:widowControl w:val="0"/>
        <w:autoSpaceDE w:val="0"/>
        <w:autoSpaceDN w:val="0"/>
        <w:spacing w:after="120" w:line="276" w:lineRule="auto"/>
        <w:jc w:val="both"/>
        <w:rPr>
          <w:rFonts w:ascii="Verdana" w:eastAsia="Arial" w:hAnsi="Verdana" w:cs="Arial"/>
          <w:lang w:val="es-ES"/>
        </w:rPr>
      </w:pPr>
      <w:proofErr w:type="spellStart"/>
      <w:r>
        <w:rPr>
          <w:rFonts w:ascii="Verdana" w:eastAsia="Arial" w:hAnsi="Verdana" w:cs="Arial"/>
          <w:lang w:val="es-ES"/>
        </w:rPr>
        <w:t>ii</w:t>
      </w:r>
      <w:proofErr w:type="spellEnd"/>
      <w:r>
        <w:rPr>
          <w:rFonts w:ascii="Verdana" w:eastAsia="Arial" w:hAnsi="Verdana" w:cs="Arial"/>
          <w:lang w:val="es-ES"/>
        </w:rPr>
        <w:t xml:space="preserve">.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0218E5F2" w14:textId="77777777" w:rsidR="00BC1BFA" w:rsidRPr="001F41BC" w:rsidRDefault="00BC1BFA" w:rsidP="00BC1BFA">
      <w:pPr>
        <w:widowControl w:val="0"/>
        <w:autoSpaceDE w:val="0"/>
        <w:autoSpaceDN w:val="0"/>
        <w:spacing w:before="120"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 xml:space="preserve">lapso equivalente al que exija el respectivo </w:t>
      </w:r>
      <w:r w:rsidRPr="001F41BC">
        <w:rPr>
          <w:rFonts w:ascii="Verdana" w:eastAsia="Arial" w:hAnsi="Verdana" w:cs="Arial"/>
          <w:lang w:val="es-ES"/>
        </w:rPr>
        <w:lastRenderedPageBreak/>
        <w:t>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4"/>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103A1DAE" w14:textId="77777777" w:rsidR="00BC1BFA" w:rsidRPr="001F41BC" w:rsidRDefault="00BC1BFA" w:rsidP="00BC1BFA">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20914880" w14:textId="77777777" w:rsidR="00BC1BFA" w:rsidRPr="001F41BC" w:rsidRDefault="00BC1BFA" w:rsidP="00BC1BFA">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00970808" w14:textId="77777777" w:rsidR="00BC1BFA" w:rsidRPr="001F41BC" w:rsidRDefault="00BC1BFA" w:rsidP="00BC1BFA">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w:t>
      </w:r>
      <w:r w:rsidRPr="001F41BC">
        <w:rPr>
          <w:rFonts w:ascii="Verdana" w:eastAsia="Arial" w:hAnsi="Verdana" w:cs="Arial"/>
          <w:lang w:val="es-ES"/>
        </w:rPr>
        <w:lastRenderedPageBreak/>
        <w:t xml:space="preserve">realizar cada pago originado en el contrato –parágrafo 1, art. 41 de la Ley 80 de 1993, modificado por el art. 23 de la Ley 1150 de 2007. </w:t>
      </w:r>
    </w:p>
    <w:p w14:paraId="3D1BD0DB" w14:textId="77777777" w:rsidR="00BC1BFA" w:rsidRPr="001F41BC" w:rsidRDefault="00BC1BFA" w:rsidP="00BC1BFA">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6F283301" w14:textId="77777777" w:rsidR="00BC1BFA" w:rsidRDefault="00BC1BFA" w:rsidP="00BC1BFA">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bookmarkStart w:id="2" w:name="_Hlk80881612"/>
    </w:p>
    <w:p w14:paraId="7439A3AC" w14:textId="77777777" w:rsidR="00BC1BFA" w:rsidRDefault="00BC1BFA" w:rsidP="00BC1BFA">
      <w:pPr>
        <w:widowControl w:val="0"/>
        <w:autoSpaceDE w:val="0"/>
        <w:autoSpaceDN w:val="0"/>
        <w:spacing w:after="0" w:line="276" w:lineRule="auto"/>
        <w:ind w:firstLine="709"/>
        <w:jc w:val="both"/>
        <w:rPr>
          <w:rFonts w:ascii="Verdana" w:eastAsia="Arial" w:hAnsi="Verdana" w:cs="Arial"/>
          <w:lang w:val="es-ES"/>
        </w:rPr>
      </w:pPr>
    </w:p>
    <w:p w14:paraId="6248F67E" w14:textId="77777777" w:rsidR="00BC1BFA" w:rsidRDefault="00BC1BFA" w:rsidP="00BC1BFA">
      <w:pPr>
        <w:widowControl w:val="0"/>
        <w:autoSpaceDE w:val="0"/>
        <w:autoSpaceDN w:val="0"/>
        <w:spacing w:line="276" w:lineRule="auto"/>
        <w:jc w:val="both"/>
        <w:rPr>
          <w:rFonts w:ascii="Verdana" w:eastAsia="Arial" w:hAnsi="Verdana" w:cs="Arial"/>
          <w:lang w:val="es-ES"/>
        </w:rPr>
      </w:pPr>
      <w:proofErr w:type="spellStart"/>
      <w:r>
        <w:rPr>
          <w:rFonts w:ascii="Verdana" w:eastAsia="Arial" w:hAnsi="Verdana" w:cs="Arial"/>
          <w:lang w:val="es-ES"/>
        </w:rPr>
        <w:t>iii</w:t>
      </w:r>
      <w:proofErr w:type="spellEnd"/>
      <w:r>
        <w:rPr>
          <w:rFonts w:ascii="Verdana" w:eastAsia="Arial" w:hAnsi="Verdana" w:cs="Arial"/>
          <w:lang w:val="es-ES"/>
        </w:rPr>
        <w:t xml:space="preserve">. Ahora bien, la Ley 2381 de 2024 transforma el sistema de pensiones en 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Para efectos de las cotizaciones, el artículo 21 </w:t>
      </w:r>
      <w:r w:rsidRPr="00191494">
        <w:rPr>
          <w:rFonts w:ascii="Verdana" w:eastAsia="Arial" w:hAnsi="Verdana" w:cs="Arial"/>
          <w:i/>
          <w:iCs/>
          <w:lang w:val="es-ES"/>
        </w:rPr>
        <w:t>ibidem</w:t>
      </w:r>
      <w:r>
        <w:rPr>
          <w:rFonts w:ascii="Verdana" w:eastAsia="Arial" w:hAnsi="Verdana" w:cs="Arial"/>
          <w:lang w:val="es-ES"/>
        </w:rPr>
        <w:t xml:space="preserve"> dispone que “</w:t>
      </w:r>
      <w:r w:rsidRPr="00191494">
        <w:rPr>
          <w:rFonts w:ascii="Verdana" w:eastAsia="Arial" w:hAnsi="Verdana" w:cs="Arial"/>
          <w:lang w:val="es-ES"/>
        </w:rPr>
        <w:t>Responsabilidad por el pago de las cotizaciones. El(la) empleador(a), contratante de prestación de servicios o contratista, será responsable de realizar la cotización al Sistema de Protección Social Integral para la Vejez, invalidez y sobreviviente</w:t>
      </w:r>
      <w:r>
        <w:rPr>
          <w:rFonts w:ascii="Verdana" w:eastAsia="Arial" w:hAnsi="Verdana" w:cs="Arial"/>
          <w:lang w:val="es-ES"/>
        </w:rPr>
        <w:t>” –inciso 1–, de manera que “</w:t>
      </w:r>
      <w:r w:rsidRPr="00191494">
        <w:rPr>
          <w:rFonts w:ascii="Verdana" w:eastAsia="Arial" w:hAnsi="Verdana" w:cs="Arial"/>
          <w:lang w:val="es-ES"/>
        </w:rPr>
        <w:t>El(la) empleador(a), contratante de prestación de servicios o contratista asumirá el porcentaje que le corresponde y descontará el porcentaje del salario y/o honorarios a cargo del(la) trabajador(a) o contratista, en el momento del pago, si a ello hubiere lugar</w:t>
      </w:r>
      <w:r>
        <w:rPr>
          <w:rFonts w:ascii="Verdana" w:eastAsia="Arial" w:hAnsi="Verdana" w:cs="Arial"/>
          <w:lang w:val="es-ES"/>
        </w:rPr>
        <w:t>” –inciso 2–</w:t>
      </w:r>
      <w:r w:rsidRPr="00191494">
        <w:rPr>
          <w:rFonts w:ascii="Verdana" w:eastAsia="Arial" w:hAnsi="Verdana" w:cs="Arial"/>
          <w:lang w:val="es-ES"/>
        </w:rPr>
        <w:t>.</w:t>
      </w:r>
      <w:r>
        <w:rPr>
          <w:rFonts w:ascii="Verdana" w:eastAsia="Arial" w:hAnsi="Verdana" w:cs="Arial"/>
          <w:lang w:val="es-ES"/>
        </w:rPr>
        <w:t xml:space="preserve"> Con anterioridad a la reforma, donde el pago de la seguridad social en los contratos de prestación de servicios era responsabilidad exclusiva del contratista, la norma citada permite que la cotización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esté a cargo de la entidad contratante</w:t>
      </w:r>
      <w:r>
        <w:rPr>
          <w:rStyle w:val="Refdenotaalpie"/>
          <w:rFonts w:ascii="Verdana" w:eastAsia="Arial" w:hAnsi="Verdana" w:cs="Arial"/>
          <w:lang w:val="es-ES"/>
        </w:rPr>
        <w:footnoteReference w:id="5"/>
      </w:r>
      <w:r>
        <w:rPr>
          <w:rFonts w:ascii="Verdana" w:eastAsia="Arial" w:hAnsi="Verdana" w:cs="Arial"/>
          <w:lang w:val="es-ES"/>
        </w:rPr>
        <w:t xml:space="preserve">. </w:t>
      </w:r>
    </w:p>
    <w:p w14:paraId="2425271A" w14:textId="77777777" w:rsidR="00BC1BFA" w:rsidRDefault="00BC1BFA" w:rsidP="00BC1BFA">
      <w:pPr>
        <w:widowControl w:val="0"/>
        <w:autoSpaceDE w:val="0"/>
        <w:autoSpaceDN w:val="0"/>
        <w:spacing w:after="0" w:line="276" w:lineRule="auto"/>
        <w:ind w:firstLine="708"/>
        <w:jc w:val="both"/>
        <w:rPr>
          <w:rFonts w:ascii="Verdana" w:eastAsia="Arial" w:hAnsi="Verdana" w:cs="Arial"/>
          <w:lang w:val="es-ES"/>
        </w:rPr>
      </w:pPr>
      <w:r>
        <w:rPr>
          <w:rFonts w:ascii="Verdana" w:eastAsia="Arial" w:hAnsi="Verdana" w:cs="Arial"/>
          <w:lang w:val="es-ES"/>
        </w:rPr>
        <w:lastRenderedPageBreak/>
        <w:t>Así, el artículo 21 de la Ley 2381 de 2024 indica que “</w:t>
      </w:r>
      <w:r w:rsidRPr="005134B9">
        <w:rPr>
          <w:rFonts w:ascii="Verdana" w:eastAsia="Arial" w:hAnsi="Verdana" w:cs="Arial"/>
          <w:lang w:val="es-ES"/>
        </w:rPr>
        <w:t>El(la) empleador(a)</w:t>
      </w:r>
      <w:r>
        <w:rPr>
          <w:rFonts w:ascii="Verdana" w:eastAsia="Arial" w:hAnsi="Verdana" w:cs="Arial"/>
          <w:lang w:val="es-ES"/>
        </w:rPr>
        <w:t>,</w:t>
      </w:r>
      <w:r w:rsidRPr="005134B9">
        <w:rPr>
          <w:rFonts w:ascii="Verdana" w:eastAsia="Arial" w:hAnsi="Verdana" w:cs="Arial"/>
          <w:lang w:val="es-ES"/>
        </w:rPr>
        <w:t xml:space="preserve"> contratante de prestación de servicios o contratista responderá por la totalidad de la cotización aún en el evento de que no hubiere efectuado el descuento al(la) trabajador(a), o afiliado</w:t>
      </w:r>
      <w:r>
        <w:rPr>
          <w:rFonts w:ascii="Verdana" w:eastAsia="Arial" w:hAnsi="Verdana" w:cs="Arial"/>
          <w:lang w:val="es-ES"/>
        </w:rPr>
        <w:t>” –inciso 3–. En todo caso, “</w:t>
      </w:r>
      <w:r w:rsidRPr="005134B9">
        <w:rPr>
          <w:rFonts w:ascii="Verdana" w:eastAsia="Arial" w:hAnsi="Verdana" w:cs="Arial"/>
          <w:lang w:val="es-ES"/>
        </w:rPr>
        <w:t>El(la) trabajador(a) independiente es el responsable de su propio pago. Los aportes podrán ser realizados por terceros a favor del afiliado sin que tal hecho implique por sí solo la existencia de una relación laboral, sin que por ello se entiendan habilitadas formas de contratación prohibidas expresamente por la ley</w:t>
      </w:r>
      <w:r>
        <w:rPr>
          <w:rFonts w:ascii="Verdana" w:eastAsia="Arial" w:hAnsi="Verdana" w:cs="Arial"/>
          <w:lang w:val="es-ES"/>
        </w:rPr>
        <w:t xml:space="preserve"> […]” –inciso 4–. Por lo demás, l</w:t>
      </w:r>
      <w:r w:rsidRPr="007610FC">
        <w:rPr>
          <w:rFonts w:ascii="Verdana" w:eastAsia="Arial" w:hAnsi="Verdana" w:cs="Arial"/>
          <w:lang w:val="es-ES"/>
        </w:rPr>
        <w:t>as cotizaciones que no se consignen dentro de los plazos señalados para el efecto gener</w:t>
      </w:r>
      <w:r>
        <w:rPr>
          <w:rFonts w:ascii="Verdana" w:eastAsia="Arial" w:hAnsi="Verdana" w:cs="Arial"/>
          <w:lang w:val="es-ES"/>
        </w:rPr>
        <w:t>an</w:t>
      </w:r>
      <w:r w:rsidRPr="007610FC">
        <w:rPr>
          <w:rFonts w:ascii="Verdana" w:eastAsia="Arial" w:hAnsi="Verdana" w:cs="Arial"/>
          <w:lang w:val="es-ES"/>
        </w:rPr>
        <w:t xml:space="preserve"> interés moratorio</w:t>
      </w:r>
      <w:r>
        <w:rPr>
          <w:rFonts w:ascii="Verdana" w:eastAsia="Arial" w:hAnsi="Verdana" w:cs="Arial"/>
          <w:lang w:val="es-ES"/>
        </w:rPr>
        <w:t xml:space="preserve">, el cual </w:t>
      </w:r>
      <w:r w:rsidRPr="007610FC">
        <w:rPr>
          <w:rFonts w:ascii="Verdana" w:eastAsia="Arial" w:hAnsi="Verdana" w:cs="Arial"/>
          <w:lang w:val="es-ES"/>
        </w:rPr>
        <w:t>se abonará proporcionalmente al fondo de reparto del Componente de Prima Media o en la cuenta individual del Componente Complementario de Ahorro Individual, según corresponda</w:t>
      </w:r>
      <w:r>
        <w:rPr>
          <w:rFonts w:ascii="Verdana" w:eastAsia="Arial" w:hAnsi="Verdana" w:cs="Arial"/>
          <w:lang w:val="es-ES"/>
        </w:rPr>
        <w:t xml:space="preserve"> –incisos 5 y 6–.</w:t>
      </w:r>
      <w:r w:rsidRPr="007610FC">
        <w:rPr>
          <w:rFonts w:ascii="Verdana" w:eastAsia="Arial" w:hAnsi="Verdana" w:cs="Arial"/>
          <w:lang w:val="es-ES"/>
        </w:rPr>
        <w:t xml:space="preserve"> </w:t>
      </w:r>
      <w:r>
        <w:rPr>
          <w:rFonts w:ascii="Verdana" w:eastAsia="Arial" w:hAnsi="Verdana" w:cs="Arial"/>
          <w:lang w:val="es-ES"/>
        </w:rPr>
        <w:t xml:space="preserve">Dicha norma está reglamentada en el artículo </w:t>
      </w:r>
      <w:r w:rsidRPr="00341036">
        <w:rPr>
          <w:rFonts w:ascii="Verdana" w:eastAsia="Arial" w:hAnsi="Verdana" w:cs="Arial"/>
          <w:lang w:val="es-ES"/>
        </w:rPr>
        <w:t>2.2.4.18.7</w:t>
      </w:r>
      <w:r>
        <w:rPr>
          <w:rFonts w:ascii="Verdana" w:eastAsia="Arial" w:hAnsi="Verdana" w:cs="Arial"/>
          <w:lang w:val="es-ES"/>
        </w:rPr>
        <w:t xml:space="preserve"> del Decreto 514 de 2025 en los siguientes términos:</w:t>
      </w:r>
    </w:p>
    <w:p w14:paraId="4059D66E" w14:textId="77777777" w:rsidR="00BC1BFA" w:rsidRDefault="00BC1BFA" w:rsidP="00BC1BFA">
      <w:pPr>
        <w:widowControl w:val="0"/>
        <w:autoSpaceDE w:val="0"/>
        <w:autoSpaceDN w:val="0"/>
        <w:spacing w:after="0" w:line="276" w:lineRule="auto"/>
        <w:ind w:firstLine="708"/>
        <w:jc w:val="both"/>
        <w:rPr>
          <w:rFonts w:ascii="Verdana" w:eastAsia="Arial" w:hAnsi="Verdana" w:cs="Arial"/>
          <w:lang w:val="es-ES"/>
        </w:rPr>
      </w:pPr>
    </w:p>
    <w:p w14:paraId="51840676" w14:textId="77777777" w:rsidR="00BC1BFA" w:rsidRPr="00A063E0" w:rsidRDefault="00BC1BFA" w:rsidP="00BC1BFA">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“En el marco de lo dispuesto por el artículo 21 de la Ley 2381 de 2024 cuando se celebren contratos de prestación de servicios el contratante y el contratista podrán acordar que será responsabilidad del contratante realizar la cotización al Sistema de Protección Social Integral para la Vejez, Invalidez y Muerte de origen común.</w:t>
      </w:r>
    </w:p>
    <w:p w14:paraId="50F8C82A" w14:textId="77777777" w:rsidR="00BC1BFA" w:rsidRPr="00A063E0" w:rsidRDefault="00BC1BFA" w:rsidP="00BC1BFA">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En este evento y, en virtud del principio de integralidad que rige el Sistema de Seguridad Social Integral, el contratante no solo será responsable de descontar de los honorarios del contratista, en el momento de su pago, el porcentaje de la cotización correspondiente al Sistema de Protección Social Integral para la Vejez, Invalidez y Muerte de origen común, sino además, los porcentajes de cotización correspondientes a los Sistemas Generales de Seguridad Social en Salud y de Riesgos Laborales.</w:t>
      </w:r>
    </w:p>
    <w:p w14:paraId="7323D14A" w14:textId="77777777" w:rsidR="00BC1BFA" w:rsidRPr="00A063E0" w:rsidRDefault="00BC1BFA" w:rsidP="00BC1BFA">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lastRenderedPageBreak/>
        <w:t>El contratante responderá por la totalidad de las cotizaciones a pensiones, salud y riesgos laborales, aún en el evento de que no hubiere efectuado el descuento al contratista.</w:t>
      </w:r>
    </w:p>
    <w:p w14:paraId="40210283" w14:textId="77777777" w:rsidR="00BC1BFA" w:rsidRPr="00A063E0" w:rsidRDefault="00BC1BFA" w:rsidP="00BC1BFA">
      <w:pPr>
        <w:widowControl w:val="0"/>
        <w:autoSpaceDE w:val="0"/>
        <w:autoSpaceDN w:val="0"/>
        <w:spacing w:after="0"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Parágrafo 1°. En caso de que no se acuerde que el pago de los aportes al Sistema de Seguridad Social Integral quedará a cargo del contratante, el contratista seguirá siendo el responsable de su propio pago”.</w:t>
      </w:r>
    </w:p>
    <w:p w14:paraId="4D6A3487" w14:textId="77777777" w:rsidR="00BC1BFA" w:rsidRDefault="00BC1BFA" w:rsidP="00BC1BFA">
      <w:pPr>
        <w:widowControl w:val="0"/>
        <w:autoSpaceDE w:val="0"/>
        <w:autoSpaceDN w:val="0"/>
        <w:spacing w:after="0" w:line="276" w:lineRule="auto"/>
        <w:jc w:val="both"/>
        <w:rPr>
          <w:rFonts w:ascii="Verdana" w:eastAsia="Arial" w:hAnsi="Verdana" w:cs="Arial"/>
          <w:lang w:val="es-ES"/>
        </w:rPr>
      </w:pPr>
    </w:p>
    <w:p w14:paraId="7E6E102E" w14:textId="77777777" w:rsidR="00BC1BFA" w:rsidRPr="00691A81" w:rsidRDefault="00BC1BFA" w:rsidP="00BC1BFA">
      <w:pPr>
        <w:widowControl w:val="0"/>
        <w:autoSpaceDE w:val="0"/>
        <w:autoSpaceDN w:val="0"/>
        <w:spacing w:after="120" w:line="276" w:lineRule="auto"/>
        <w:jc w:val="both"/>
        <w:rPr>
          <w:rFonts w:ascii="Verdana" w:eastAsia="Arial" w:hAnsi="Verdana" w:cs="Arial"/>
        </w:rPr>
      </w:pPr>
      <w:r>
        <w:rPr>
          <w:rFonts w:ascii="Verdana" w:eastAsia="Arial" w:hAnsi="Verdana" w:cs="Arial"/>
          <w:lang w:val="es-ES"/>
        </w:rPr>
        <w:tab/>
        <w:t>De esta manera, las cotizaciones a cargo de las entidades que suscriben contratos de prestación de servicios no rigen de forma automática con la vigencia de la reforma pensional, sino que requiere pacto expreso con los contratistas.</w:t>
      </w:r>
      <w:r w:rsidRPr="00691A81">
        <w:rPr>
          <w:rFonts w:ascii="Verdana" w:eastAsia="Arial" w:hAnsi="Verdana" w:cs="Arial"/>
        </w:rPr>
        <w:t xml:space="preserve"> </w:t>
      </w:r>
      <w:r w:rsidRPr="00726727">
        <w:rPr>
          <w:rFonts w:ascii="Verdana" w:eastAsia="Arial" w:hAnsi="Verdana" w:cs="Arial"/>
        </w:rPr>
        <w:t xml:space="preserve">Esto supone que, respecto de los contratos en ejecución, </w:t>
      </w:r>
      <w:r>
        <w:rPr>
          <w:rFonts w:ascii="Verdana" w:eastAsia="Arial" w:hAnsi="Verdana" w:cs="Arial"/>
        </w:rPr>
        <w:t xml:space="preserve">es </w:t>
      </w:r>
      <w:r w:rsidRPr="00F379A9">
        <w:rPr>
          <w:rFonts w:ascii="Verdana" w:eastAsia="Arial" w:hAnsi="Verdana" w:cs="Arial"/>
        </w:rPr>
        <w:t>indispensable realizar la modificación de las cláusulas contractuales pertinentes, con el fin de incorporar expresamente la obligación a cargo de la entidad. E</w:t>
      </w:r>
      <w:r>
        <w:rPr>
          <w:rFonts w:ascii="Verdana" w:eastAsia="Arial" w:hAnsi="Verdana" w:cs="Arial"/>
        </w:rPr>
        <w:t>llo</w:t>
      </w:r>
      <w:r w:rsidRPr="00F379A9">
        <w:rPr>
          <w:rFonts w:ascii="Verdana" w:eastAsia="Arial" w:hAnsi="Verdana" w:cs="Arial"/>
        </w:rPr>
        <w:t xml:space="preserve"> obedece a que el contrato es el instrumento que define y delimita las obligaciones recíprocas de las partes y constituye el marco jurídico para su ejecución</w:t>
      </w:r>
      <w:r>
        <w:rPr>
          <w:rFonts w:ascii="Verdana" w:eastAsia="Arial" w:hAnsi="Verdana" w:cs="Arial"/>
        </w:rPr>
        <w:t>, por tanto, l</w:t>
      </w:r>
      <w:r w:rsidRPr="00F379A9">
        <w:rPr>
          <w:rFonts w:ascii="Verdana" w:eastAsia="Arial" w:hAnsi="Verdana" w:cs="Arial"/>
        </w:rPr>
        <w:t xml:space="preserve">a formalización de dicha modificación asegura la coherencia entre el marco legal vigente y el contenido contractual. En cuanto a los contratos que la entidad celebre </w:t>
      </w:r>
      <w:r>
        <w:rPr>
          <w:rFonts w:ascii="Verdana" w:eastAsia="Arial" w:hAnsi="Verdana" w:cs="Arial"/>
        </w:rPr>
        <w:t xml:space="preserve">a </w:t>
      </w:r>
      <w:r w:rsidRPr="00F379A9">
        <w:rPr>
          <w:rFonts w:ascii="Verdana" w:eastAsia="Arial" w:hAnsi="Verdana" w:cs="Arial"/>
        </w:rPr>
        <w:t xml:space="preserve">futuro, </w:t>
      </w:r>
      <w:r>
        <w:rPr>
          <w:rFonts w:ascii="Verdana" w:eastAsia="Arial" w:hAnsi="Verdana" w:cs="Arial"/>
        </w:rPr>
        <w:t>se deberá</w:t>
      </w:r>
      <w:r w:rsidRPr="00F379A9">
        <w:rPr>
          <w:rFonts w:ascii="Verdana" w:eastAsia="Arial" w:hAnsi="Verdana" w:cs="Arial"/>
        </w:rPr>
        <w:t xml:space="preserve"> incorporar una cláusula que refleje el acuerdo relativo a esta nueva obligación</w:t>
      </w:r>
      <w:r>
        <w:rPr>
          <w:rFonts w:ascii="Verdana" w:eastAsia="Arial" w:hAnsi="Verdana" w:cs="Arial"/>
        </w:rPr>
        <w:t>. L</w:t>
      </w:r>
      <w:r w:rsidRPr="00F379A9">
        <w:rPr>
          <w:rFonts w:ascii="Verdana" w:eastAsia="Arial" w:hAnsi="Verdana" w:cs="Arial"/>
        </w:rPr>
        <w:t>o anterior</w:t>
      </w:r>
      <w:r>
        <w:rPr>
          <w:rFonts w:ascii="Verdana" w:eastAsia="Arial" w:hAnsi="Verdana" w:cs="Arial"/>
        </w:rPr>
        <w:t>,</w:t>
      </w:r>
      <w:r w:rsidRPr="00F379A9">
        <w:rPr>
          <w:rFonts w:ascii="Verdana" w:eastAsia="Arial" w:hAnsi="Verdana" w:cs="Arial"/>
        </w:rPr>
        <w:t xml:space="preserve"> sin perjuicio de las decisiones administrativas que la entidad pueda adoptar para dar cumplimiento a l</w:t>
      </w:r>
      <w:r>
        <w:rPr>
          <w:rFonts w:ascii="Verdana" w:eastAsia="Arial" w:hAnsi="Verdana" w:cs="Arial"/>
        </w:rPr>
        <w:t>o dispuesto en esta</w:t>
      </w:r>
      <w:r w:rsidRPr="00F379A9">
        <w:rPr>
          <w:rFonts w:ascii="Verdana" w:eastAsia="Arial" w:hAnsi="Verdana" w:cs="Arial"/>
        </w:rPr>
        <w:t xml:space="preserve"> ley y </w:t>
      </w:r>
      <w:r>
        <w:rPr>
          <w:rFonts w:ascii="Verdana" w:eastAsia="Arial" w:hAnsi="Verdana" w:cs="Arial"/>
        </w:rPr>
        <w:t xml:space="preserve">a su </w:t>
      </w:r>
      <w:r w:rsidRPr="00F379A9">
        <w:rPr>
          <w:rFonts w:ascii="Verdana" w:eastAsia="Arial" w:hAnsi="Verdana" w:cs="Arial"/>
        </w:rPr>
        <w:t>reglamentación</w:t>
      </w:r>
      <w:r>
        <w:rPr>
          <w:rFonts w:ascii="Verdana" w:eastAsia="Arial" w:hAnsi="Verdana" w:cs="Arial"/>
        </w:rPr>
        <w:t>.</w:t>
      </w:r>
    </w:p>
    <w:p w14:paraId="5F6FBF8D" w14:textId="77777777" w:rsidR="00BC1BFA" w:rsidRDefault="00BC1BFA" w:rsidP="00BC1BFA">
      <w:pPr>
        <w:widowControl w:val="0"/>
        <w:autoSpaceDE w:val="0"/>
        <w:autoSpaceDN w:val="0"/>
        <w:spacing w:after="120" w:line="276" w:lineRule="auto"/>
        <w:ind w:firstLine="851"/>
        <w:jc w:val="both"/>
        <w:rPr>
          <w:rFonts w:ascii="Verdana" w:eastAsia="Arial" w:hAnsi="Verdana" w:cs="Arial"/>
          <w:lang w:val="es-ES"/>
        </w:rPr>
      </w:pPr>
      <w:r>
        <w:rPr>
          <w:rFonts w:ascii="Verdana" w:eastAsia="Arial" w:hAnsi="Verdana" w:cs="Arial"/>
          <w:lang w:val="es-ES"/>
        </w:rPr>
        <w:t xml:space="preserve">Así, en caso de acordarse que el pago de los aportes </w:t>
      </w:r>
      <w:r w:rsidRPr="003800EA">
        <w:rPr>
          <w:rFonts w:ascii="Verdana" w:eastAsia="Arial" w:hAnsi="Verdana" w:cs="Arial"/>
          <w:sz w:val="21"/>
          <w:szCs w:val="21"/>
          <w:lang w:val="es-ES"/>
        </w:rPr>
        <w:t>al Sistema de Seguridad Social Integral quedará a cargo de</w:t>
      </w:r>
      <w:r>
        <w:rPr>
          <w:rFonts w:ascii="Verdana" w:eastAsia="Arial" w:hAnsi="Verdana" w:cs="Arial"/>
          <w:lang w:val="es-ES"/>
        </w:rPr>
        <w:t xml:space="preserve">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5D147464" w14:textId="77777777" w:rsidR="00BC1BFA" w:rsidRDefault="00BC1BFA" w:rsidP="00BC1BFA">
      <w:pPr>
        <w:widowControl w:val="0"/>
        <w:autoSpaceDE w:val="0"/>
        <w:autoSpaceDN w:val="0"/>
        <w:spacing w:line="276" w:lineRule="auto"/>
        <w:ind w:firstLine="708"/>
        <w:jc w:val="both"/>
        <w:rPr>
          <w:rFonts w:ascii="Verdana" w:eastAsia="Arial" w:hAnsi="Verdana" w:cs="Arial"/>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rPr>
        <w:t xml:space="preserve">Por medio de la cual se modifica la </w:t>
      </w:r>
      <w:r>
        <w:rPr>
          <w:rFonts w:ascii="Verdana" w:eastAsia="Arial" w:hAnsi="Verdana" w:cs="Arial"/>
        </w:rPr>
        <w:t>R</w:t>
      </w:r>
      <w:r w:rsidRPr="00225440">
        <w:rPr>
          <w:rFonts w:ascii="Verdana" w:eastAsia="Arial" w:hAnsi="Verdana" w:cs="Arial"/>
        </w:rPr>
        <w:t xml:space="preserve">esolución 2388 de 2016,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lastRenderedPageBreak/>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74C1F6F1" w14:textId="77777777" w:rsidR="00BC1BFA" w:rsidRDefault="00BC1BFA" w:rsidP="00BC1BFA">
      <w:pPr>
        <w:widowControl w:val="0"/>
        <w:autoSpaceDE w:val="0"/>
        <w:autoSpaceDN w:val="0"/>
        <w:spacing w:line="276" w:lineRule="auto"/>
        <w:ind w:firstLine="708"/>
        <w:jc w:val="both"/>
        <w:rPr>
          <w:rFonts w:ascii="Verdana" w:eastAsia="Arial" w:hAnsi="Verdana" w:cs="Arial"/>
        </w:rPr>
      </w:pPr>
      <w:r>
        <w:rPr>
          <w:rFonts w:ascii="Verdana" w:eastAsia="Arial" w:hAnsi="Verdana" w:cs="Arial"/>
        </w:rPr>
        <w:t xml:space="preserve">En lo que respecta al </w:t>
      </w:r>
      <w:r w:rsidRPr="004F73C2">
        <w:rPr>
          <w:rFonts w:ascii="Verdana" w:eastAsia="Arial" w:hAnsi="Verdana" w:cs="Arial"/>
        </w:rPr>
        <w:t xml:space="preserve">procedimiento operativo en </w:t>
      </w:r>
      <w:r>
        <w:rPr>
          <w:rFonts w:ascii="Verdana" w:eastAsia="Arial" w:hAnsi="Verdana" w:cs="Arial"/>
        </w:rPr>
        <w:t xml:space="preserve">el </w:t>
      </w:r>
      <w:r w:rsidRPr="004F73C2">
        <w:rPr>
          <w:rFonts w:ascii="Verdana" w:eastAsia="Arial" w:hAnsi="Verdana" w:cs="Arial"/>
        </w:rPr>
        <w:t xml:space="preserve">SECOP II </w:t>
      </w:r>
      <w:r>
        <w:rPr>
          <w:rFonts w:ascii="Verdana" w:eastAsia="Arial" w:hAnsi="Verdana" w:cs="Arial"/>
        </w:rPr>
        <w:t>para el control y verificación del pago de los aportes de las cotizaciones en aquellos contratos en que se acuerde</w:t>
      </w:r>
      <w:r w:rsidRPr="00E108E9">
        <w:rPr>
          <w:rFonts w:ascii="Verdana" w:eastAsia="Arial" w:hAnsi="Verdana" w:cs="Arial"/>
          <w:lang w:val="es-ES"/>
        </w:rPr>
        <w:t xml:space="preserve"> </w:t>
      </w:r>
      <w:r>
        <w:rPr>
          <w:rFonts w:ascii="Verdana" w:eastAsia="Arial" w:hAnsi="Verdana" w:cs="Arial"/>
          <w:lang w:val="es-ES"/>
        </w:rPr>
        <w:t>que será responsabilidad de la entidad contratante</w:t>
      </w:r>
      <w:r>
        <w:rPr>
          <w:rFonts w:ascii="Verdana" w:eastAsia="Arial" w:hAnsi="Verdana" w:cs="Arial"/>
        </w:rPr>
        <w:t xml:space="preserve">, es importante aclarar que el mecanismo </w:t>
      </w:r>
      <w:r w:rsidRPr="00583EC1">
        <w:rPr>
          <w:rFonts w:ascii="Verdana" w:eastAsia="Arial" w:hAnsi="Verdana" w:cs="Arial"/>
        </w:rPr>
        <w:t xml:space="preserve">seguirá siendo el mismo, pues </w:t>
      </w:r>
      <w:r>
        <w:rPr>
          <w:rFonts w:ascii="Verdana" w:eastAsia="Arial" w:hAnsi="Verdana" w:cs="Arial"/>
        </w:rPr>
        <w:t xml:space="preserve">la opción </w:t>
      </w:r>
      <w:r w:rsidRPr="00583EC1">
        <w:rPr>
          <w:rFonts w:ascii="Verdana" w:eastAsia="Arial" w:hAnsi="Verdana" w:cs="Arial"/>
        </w:rPr>
        <w:t>en SECOP II para la validación de la planilla de pagos de los aportes parafiscales por parte del contratista por medio de la interoperabilidad que se tiene actualmente con SICOPI,</w:t>
      </w:r>
      <w:r>
        <w:rPr>
          <w:rFonts w:ascii="Verdana" w:eastAsia="Arial" w:hAnsi="Verdana" w:cs="Arial"/>
        </w:rPr>
        <w:t xml:space="preserve"> </w:t>
      </w:r>
      <w:r w:rsidRPr="00196C57">
        <w:rPr>
          <w:rFonts w:ascii="Aptos" w:eastAsia="Times New Roman" w:hAnsi="Aptos" w:cs="Times New Roman"/>
          <w:color w:val="000000"/>
          <w:sz w:val="24"/>
          <w:szCs w:val="24"/>
          <w:lang w:eastAsia="es-CO"/>
        </w:rPr>
        <w:t xml:space="preserve"> </w:t>
      </w:r>
      <w:r w:rsidRPr="00196C57">
        <w:rPr>
          <w:rFonts w:ascii="Verdana" w:eastAsia="Arial" w:hAnsi="Verdana" w:cs="Arial"/>
        </w:rPr>
        <w:t xml:space="preserve">no </w:t>
      </w:r>
      <w:r>
        <w:rPr>
          <w:rFonts w:ascii="Verdana" w:eastAsia="Arial" w:hAnsi="Verdana" w:cs="Arial"/>
        </w:rPr>
        <w:t xml:space="preserve">resulta </w:t>
      </w:r>
      <w:r w:rsidRPr="00196C57">
        <w:rPr>
          <w:rFonts w:ascii="Verdana" w:eastAsia="Arial" w:hAnsi="Verdana" w:cs="Arial"/>
        </w:rPr>
        <w:t>afectada por lo establecido en la Ley 238</w:t>
      </w:r>
      <w:r>
        <w:rPr>
          <w:rFonts w:ascii="Verdana" w:eastAsia="Arial" w:hAnsi="Verdana" w:cs="Arial"/>
        </w:rPr>
        <w:t>1</w:t>
      </w:r>
      <w:r w:rsidRPr="00196C57">
        <w:rPr>
          <w:rFonts w:ascii="Verdana" w:eastAsia="Arial" w:hAnsi="Verdana" w:cs="Arial"/>
        </w:rPr>
        <w:t xml:space="preserve"> de 2024</w:t>
      </w:r>
      <w:r>
        <w:rPr>
          <w:rFonts w:ascii="Verdana" w:eastAsia="Arial" w:hAnsi="Verdana" w:cs="Arial"/>
        </w:rPr>
        <w:t>. Lo anterior, en atención a que el</w:t>
      </w:r>
      <w:r w:rsidRPr="00583EC1">
        <w:rPr>
          <w:rFonts w:ascii="Verdana" w:eastAsia="Arial" w:hAnsi="Verdana" w:cs="Arial"/>
        </w:rPr>
        <w:t xml:space="preserve"> servicio web que expone el Ministerio de Salud</w:t>
      </w:r>
      <w:r w:rsidRPr="00AB7109">
        <w:rPr>
          <w:rFonts w:ascii="Verdana" w:eastAsia="Arial" w:hAnsi="Verdana" w:cs="Arial"/>
        </w:rPr>
        <w:t xml:space="preserve"> </w:t>
      </w:r>
      <w:r>
        <w:rPr>
          <w:rFonts w:ascii="Verdana" w:eastAsia="Arial" w:hAnsi="Verdana" w:cs="Arial"/>
        </w:rPr>
        <w:t>y Protección Social</w:t>
      </w:r>
      <w:r w:rsidRPr="00583EC1">
        <w:rPr>
          <w:rFonts w:ascii="Verdana" w:eastAsia="Arial" w:hAnsi="Verdana" w:cs="Arial"/>
        </w:rPr>
        <w:t xml:space="preserve"> sigue verificando por cotizante los siguientes 4 datos: tipo de documento del cotizante, número de documento del cotizante, número de planilla y fecha de pago de la planilla. </w:t>
      </w:r>
    </w:p>
    <w:p w14:paraId="502B7ADA" w14:textId="77777777" w:rsidR="00BC1BFA" w:rsidRDefault="00BC1BFA" w:rsidP="00BC1BFA">
      <w:pPr>
        <w:widowControl w:val="0"/>
        <w:autoSpaceDE w:val="0"/>
        <w:autoSpaceDN w:val="0"/>
        <w:spacing w:after="120" w:line="276" w:lineRule="auto"/>
        <w:ind w:firstLine="743"/>
        <w:jc w:val="both"/>
        <w:rPr>
          <w:rFonts w:ascii="Verdana" w:eastAsia="Arial" w:hAnsi="Verdana" w:cs="Arial"/>
        </w:rPr>
      </w:pPr>
      <w:r w:rsidRPr="00726727">
        <w:rPr>
          <w:rFonts w:ascii="Verdana" w:eastAsia="Arial" w:hAnsi="Verdana" w:cs="Arial"/>
        </w:rPr>
        <w:t xml:space="preserve">De esta forma, en el SECOP II se podrá continuar validando la información en línea del pago de aportes a Seguridad Social – salud, pensiones y riesgos profesionales – en los contratos de tipo “Prestación de Servicios Profesionales y de Apoyo a la Gestión” resultado de la gestión de procesos de contratación en el módulo de “Contratación </w:t>
      </w:r>
      <w:r w:rsidRPr="00FC3BD8">
        <w:rPr>
          <w:rFonts w:ascii="Verdana" w:eastAsia="Arial" w:hAnsi="Verdana" w:cs="Arial"/>
        </w:rPr>
        <w:t xml:space="preserve">directa”. </w:t>
      </w:r>
      <w:r w:rsidRPr="00180ACE">
        <w:rPr>
          <w:rFonts w:ascii="Verdana" w:eastAsia="Arial" w:hAnsi="Verdana" w:cs="Arial"/>
        </w:rPr>
        <w:t xml:space="preserve">En este sentido, la funcionalidad de validación de la planilla de pagos actualmente disponible en el SECOP II aplica tanto en los casos en que se haya acordado </w:t>
      </w:r>
      <w:proofErr w:type="gramStart"/>
      <w:r w:rsidRPr="00180ACE">
        <w:rPr>
          <w:rFonts w:ascii="Verdana" w:eastAsia="Arial" w:hAnsi="Verdana" w:cs="Arial"/>
        </w:rPr>
        <w:t>que</w:t>
      </w:r>
      <w:proofErr w:type="gramEnd"/>
      <w:r w:rsidRPr="00180ACE">
        <w:rPr>
          <w:rFonts w:ascii="Verdana" w:eastAsia="Arial" w:hAnsi="Verdana" w:cs="Arial"/>
        </w:rPr>
        <w:t xml:space="preserve"> la entidad asum</w:t>
      </w:r>
      <w:r>
        <w:rPr>
          <w:rFonts w:ascii="Verdana" w:eastAsia="Arial" w:hAnsi="Verdana" w:cs="Arial"/>
        </w:rPr>
        <w:t>a</w:t>
      </w:r>
      <w:r w:rsidRPr="00180ACE">
        <w:rPr>
          <w:rFonts w:ascii="Verdana" w:eastAsia="Arial" w:hAnsi="Verdana" w:cs="Arial"/>
        </w:rPr>
        <w:t xml:space="preserve"> directamente el pago, como en aquellos en los que dicha responsabilidad recaiga sobre el contratista</w:t>
      </w:r>
      <w:r>
        <w:rPr>
          <w:rFonts w:ascii="Verdana" w:eastAsia="Arial" w:hAnsi="Verdana" w:cs="Arial"/>
        </w:rPr>
        <w:t xml:space="preserve">. </w:t>
      </w:r>
    </w:p>
    <w:p w14:paraId="2F14EE6A" w14:textId="77777777" w:rsidR="00BC1BFA" w:rsidRDefault="00BC1BFA" w:rsidP="00BC1BFA">
      <w:pPr>
        <w:widowControl w:val="0"/>
        <w:autoSpaceDE w:val="0"/>
        <w:autoSpaceDN w:val="0"/>
        <w:spacing w:line="276" w:lineRule="auto"/>
        <w:ind w:firstLine="708"/>
        <w:jc w:val="both"/>
        <w:rPr>
          <w:rFonts w:ascii="Verdana" w:hAnsi="Verdana" w:cs="Arial"/>
        </w:rPr>
      </w:pPr>
      <w:r>
        <w:rPr>
          <w:rFonts w:ascii="Verdana" w:eastAsia="Arial" w:hAnsi="Verdana" w:cs="Arial"/>
          <w:lang w:val="es-ES"/>
        </w:rPr>
        <w:t xml:space="preserve">Por otro lado, se precisa que los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son aplicables tanto a los contratos de prestación de servicios con personas naturales como a aquellos suscritos con personas jurídicas, pues de las normas citadas no se desprende un trato diferencial al respecto. </w:t>
      </w:r>
      <w:r>
        <w:rPr>
          <w:rFonts w:ascii="Verdana" w:hAnsi="Verdana" w:cs="Arial"/>
        </w:rPr>
        <w:t xml:space="preserve">Aunque </w:t>
      </w:r>
      <w:r w:rsidRPr="001D2AE5">
        <w:rPr>
          <w:rFonts w:ascii="Verdana" w:eastAsia="Calibri" w:hAnsi="Verdana" w:cs="Arial"/>
          <w:bCs/>
          <w:lang w:val="es-MX" w:eastAsia="es-ES_tradnl"/>
        </w:rPr>
        <w:t>el artículo 32.3</w:t>
      </w:r>
      <w:r>
        <w:rPr>
          <w:rFonts w:ascii="Verdana" w:eastAsia="Calibri" w:hAnsi="Verdana" w:cs="Arial"/>
          <w:bCs/>
          <w:lang w:val="es-MX" w:eastAsia="es-ES_tradnl"/>
        </w:rPr>
        <w:t xml:space="preserve"> del EGCAP dispone que “[…]</w:t>
      </w:r>
      <w:r w:rsidRPr="00D932B3">
        <w:rPr>
          <w:rFonts w:ascii="Verdana" w:eastAsia="Calibri" w:hAnsi="Verdana" w:cs="Arial"/>
          <w:bCs/>
          <w:lang w:val="es-MX" w:eastAsia="es-ES_tradnl"/>
        </w:rPr>
        <w:t xml:space="preserve"> </w:t>
      </w:r>
      <w:r w:rsidRPr="00DB2931">
        <w:rPr>
          <w:rFonts w:ascii="Verdana" w:eastAsia="Calibri" w:hAnsi="Verdana" w:cs="Arial"/>
          <w:bCs/>
          <w:lang w:val="es-MX" w:eastAsia="es-ES_tradnl"/>
        </w:rPr>
        <w:t>sólo podrán celebrarse con personas naturales cuando dichas actividades no puedan realizarse con personal de planta o requieran conocimientos especializados</w:t>
      </w:r>
      <w:r>
        <w:rPr>
          <w:rFonts w:ascii="Verdana" w:eastAsia="Calibri" w:hAnsi="Verdana" w:cs="Arial"/>
          <w:bCs/>
          <w:lang w:val="es-MX" w:eastAsia="es-ES_tradnl"/>
        </w:rPr>
        <w:t xml:space="preserve">”, </w:t>
      </w:r>
      <w:r>
        <w:rPr>
          <w:rFonts w:ascii="Verdana" w:hAnsi="Verdana" w:cs="Arial"/>
        </w:rPr>
        <w:t>la Sección Tercera del Consejo de Estado también ha sostenido que “</w:t>
      </w:r>
      <w:r w:rsidRPr="001F45BC">
        <w:rPr>
          <w:rFonts w:ascii="Verdana" w:hAnsi="Verdana" w:cs="Arial"/>
        </w:rPr>
        <w:t xml:space="preserve">Es posible su celebración con personas naturales o con personas jurídicas. Con personas naturales cuando se trate de desarrollar actividades relacionadas con la administración o el funcionamiento de la entidad que no puedan realizarse con personal de planta o requieran conocimientos especializados. Y, </w:t>
      </w:r>
      <w:r w:rsidRPr="001F45BC">
        <w:rPr>
          <w:rFonts w:ascii="Verdana" w:hAnsi="Verdana" w:cs="Arial"/>
          <w:i/>
          <w:iCs/>
        </w:rPr>
        <w:t xml:space="preserve">no obstante que </w:t>
      </w:r>
      <w:r w:rsidRPr="001F45BC">
        <w:rPr>
          <w:rFonts w:ascii="Verdana" w:hAnsi="Verdana" w:cs="Arial"/>
          <w:i/>
          <w:iCs/>
        </w:rPr>
        <w:lastRenderedPageBreak/>
        <w:t>la norma no lo señala, es conforme a derecho concluir que también es admisible suscribir este tipo de contratos con personas jurídicas</w:t>
      </w:r>
      <w:r>
        <w:rPr>
          <w:rFonts w:ascii="Verdana" w:hAnsi="Verdana" w:cs="Arial"/>
        </w:rPr>
        <w:t xml:space="preserve"> […]”</w:t>
      </w:r>
      <w:r>
        <w:rPr>
          <w:rStyle w:val="Refdenotaalpie"/>
          <w:rFonts w:ascii="Verdana" w:hAnsi="Verdana" w:cs="Arial"/>
        </w:rPr>
        <w:footnoteReference w:id="6"/>
      </w:r>
      <w:r>
        <w:rPr>
          <w:rFonts w:ascii="Verdana" w:hAnsi="Verdana" w:cs="Arial"/>
        </w:rPr>
        <w:t xml:space="preserve"> (Énfasis fuera de texto)</w:t>
      </w:r>
      <w:bookmarkEnd w:id="2"/>
      <w:r>
        <w:rPr>
          <w:rFonts w:ascii="Verdana" w:hAnsi="Verdana" w:cs="Arial"/>
        </w:rPr>
        <w:t>.</w:t>
      </w:r>
    </w:p>
    <w:p w14:paraId="510B1D97" w14:textId="77777777" w:rsidR="00BC1BFA" w:rsidRDefault="00BC1BFA" w:rsidP="00BC1BFA">
      <w:pPr>
        <w:widowControl w:val="0"/>
        <w:autoSpaceDE w:val="0"/>
        <w:autoSpaceDN w:val="0"/>
        <w:spacing w:after="120" w:line="276" w:lineRule="auto"/>
        <w:ind w:firstLine="709"/>
        <w:jc w:val="both"/>
        <w:rPr>
          <w:rFonts w:ascii="Verdana" w:hAnsi="Verdana" w:cs="Arial"/>
        </w:rPr>
      </w:pPr>
      <w:r>
        <w:rPr>
          <w:rFonts w:ascii="Verdana" w:hAnsi="Verdana" w:cs="Arial"/>
        </w:rPr>
        <w:t>Finalmente, es pertinente indicar que el artículo 94 de la Ley 2381 de 2024 establece que</w:t>
      </w:r>
      <w:r w:rsidRPr="00FB01E9">
        <w:rPr>
          <w:rFonts w:ascii="Arial" w:hAnsi="Arial" w:cs="Arial"/>
          <w:color w:val="333333"/>
          <w:shd w:val="clear" w:color="auto" w:fill="FFFFFF"/>
        </w:rPr>
        <w:t xml:space="preserve"> </w:t>
      </w:r>
      <w:r>
        <w:rPr>
          <w:rFonts w:ascii="Verdana" w:hAnsi="Verdana" w:cs="Arial"/>
        </w:rPr>
        <w:t>e</w:t>
      </w:r>
      <w:r w:rsidRPr="00FB01E9">
        <w:rPr>
          <w:rFonts w:ascii="Verdana" w:hAnsi="Verdana" w:cs="Arial"/>
        </w:rPr>
        <w:t xml:space="preserve">l Sistema de Protección Social Integral para la Vejez, Invalidez y Muerte de origen común, previsto en </w:t>
      </w:r>
      <w:r>
        <w:rPr>
          <w:rFonts w:ascii="Verdana" w:hAnsi="Verdana" w:cs="Arial"/>
        </w:rPr>
        <w:t>dicha</w:t>
      </w:r>
      <w:r w:rsidRPr="00FB01E9">
        <w:rPr>
          <w:rFonts w:ascii="Verdana" w:hAnsi="Verdana" w:cs="Arial"/>
        </w:rPr>
        <w:t xml:space="preserve"> ley, entrará en vigor el 01</w:t>
      </w:r>
      <w:r>
        <w:rPr>
          <w:rFonts w:ascii="Verdana" w:hAnsi="Verdana" w:cs="Arial"/>
        </w:rPr>
        <w:t xml:space="preserve"> </w:t>
      </w:r>
      <w:r w:rsidRPr="00FB01E9">
        <w:rPr>
          <w:rFonts w:ascii="Verdana" w:hAnsi="Verdana" w:cs="Arial"/>
        </w:rPr>
        <w:t>de julio de 2025</w:t>
      </w:r>
      <w:r>
        <w:rPr>
          <w:rFonts w:ascii="Verdana" w:hAnsi="Verdana" w:cs="Arial"/>
        </w:rPr>
        <w:t xml:space="preserve">. No obstante, debe tenerse en cuenta que mediante Auto 841 del 17 de junio de 2025 proferido dentro del </w:t>
      </w:r>
      <w:r w:rsidRPr="00CF1337">
        <w:rPr>
          <w:rFonts w:ascii="Verdana" w:hAnsi="Verdana" w:cs="Arial"/>
        </w:rPr>
        <w:t>proceso D-15989, relacionado con la revisión de constitucionalidad de la Ley 2381 de 2024 la Corte Constitucional, por unanimidad, adoptó</w:t>
      </w:r>
      <w:r>
        <w:rPr>
          <w:rFonts w:ascii="Verdana" w:hAnsi="Verdana" w:cs="Arial"/>
        </w:rPr>
        <w:t xml:space="preserve">, entre otras, la </w:t>
      </w:r>
      <w:r w:rsidRPr="00CF1337">
        <w:rPr>
          <w:rFonts w:ascii="Verdana" w:hAnsi="Verdana" w:cs="Arial"/>
        </w:rPr>
        <w:t>decisión</w:t>
      </w:r>
      <w:r>
        <w:rPr>
          <w:rFonts w:ascii="Verdana" w:hAnsi="Verdana" w:cs="Arial"/>
        </w:rPr>
        <w:t xml:space="preserve"> de</w:t>
      </w:r>
      <w:r w:rsidRPr="003D6F14">
        <w:t xml:space="preserve"> </w:t>
      </w:r>
      <w:r>
        <w:rPr>
          <w:rFonts w:ascii="Verdana" w:hAnsi="Verdana" w:cs="Arial"/>
        </w:rPr>
        <w:t xml:space="preserve"> suspender </w:t>
      </w:r>
      <w:r w:rsidRPr="003D6F14">
        <w:rPr>
          <w:rFonts w:ascii="Verdana" w:hAnsi="Verdana" w:cs="Arial"/>
        </w:rPr>
        <w:t xml:space="preserve">a partir de </w:t>
      </w:r>
      <w:r>
        <w:rPr>
          <w:rFonts w:ascii="Verdana" w:hAnsi="Verdana" w:cs="Arial"/>
        </w:rPr>
        <w:t>la</w:t>
      </w:r>
      <w:r w:rsidRPr="003D6F14">
        <w:rPr>
          <w:rFonts w:ascii="Verdana" w:hAnsi="Verdana" w:cs="Arial"/>
        </w:rPr>
        <w:t xml:space="preserve"> fecha de </w:t>
      </w:r>
      <w:r>
        <w:rPr>
          <w:rFonts w:ascii="Verdana" w:hAnsi="Verdana" w:cs="Arial"/>
        </w:rPr>
        <w:t>dicha</w:t>
      </w:r>
      <w:r w:rsidRPr="003D6F14">
        <w:rPr>
          <w:rFonts w:ascii="Verdana" w:hAnsi="Verdana" w:cs="Arial"/>
        </w:rPr>
        <w:t xml:space="preserve"> decisión la entrada en vigencia de las normas de la Ley 2381 de 2024 hasta el día hábil siguiente a la fecha en la cual la Sala Plena decida definitivamente sobre la constitucionalidad de</w:t>
      </w:r>
      <w:r>
        <w:rPr>
          <w:rFonts w:ascii="Verdana" w:hAnsi="Verdana" w:cs="Arial"/>
        </w:rPr>
        <w:t xml:space="preserve"> esta</w:t>
      </w:r>
      <w:r w:rsidRPr="003D6F14">
        <w:rPr>
          <w:rFonts w:ascii="Verdana" w:hAnsi="Verdana" w:cs="Arial"/>
        </w:rPr>
        <w:t xml:space="preserve"> ley</w:t>
      </w:r>
      <w:r>
        <w:rPr>
          <w:rFonts w:ascii="Verdana" w:hAnsi="Verdana" w:cs="Arial"/>
        </w:rPr>
        <w:t>,</w:t>
      </w:r>
      <w:r w:rsidRPr="003D6F14">
        <w:rPr>
          <w:rFonts w:ascii="Verdana" w:hAnsi="Verdana" w:cs="Arial"/>
        </w:rPr>
        <w:t xml:space="preserve"> salvo lo que se refiere a lo dispuesto en los artículos 12, parágrafo transitorio y 76 de la citada ley. </w:t>
      </w:r>
      <w:r>
        <w:rPr>
          <w:rFonts w:ascii="Verdana" w:hAnsi="Verdana" w:cs="Arial"/>
        </w:rPr>
        <w:t>Para tales efectos, indicó que e</w:t>
      </w:r>
      <w:r w:rsidRPr="003D6F14">
        <w:rPr>
          <w:rFonts w:ascii="Verdana" w:hAnsi="Verdana" w:cs="Arial"/>
        </w:rPr>
        <w:t xml:space="preserve">l Congreso de la República, en el marco del trámite legislativo correspondiente, podrá definir un nuevo término de </w:t>
      </w:r>
      <w:proofErr w:type="gramStart"/>
      <w:r w:rsidRPr="003D6F14">
        <w:rPr>
          <w:rFonts w:ascii="Verdana" w:hAnsi="Verdana" w:cs="Arial"/>
        </w:rPr>
        <w:t>entrada en vigencia</w:t>
      </w:r>
      <w:proofErr w:type="gramEnd"/>
      <w:r w:rsidRPr="003D6F14">
        <w:rPr>
          <w:rFonts w:ascii="Verdana" w:hAnsi="Verdana" w:cs="Arial"/>
        </w:rPr>
        <w:t xml:space="preserve"> integral de la Ley 2381 de 2024.</w:t>
      </w:r>
      <w:r>
        <w:rPr>
          <w:rFonts w:ascii="Verdana" w:hAnsi="Verdana" w:cs="Arial"/>
        </w:rPr>
        <w:t xml:space="preserve"> </w:t>
      </w:r>
    </w:p>
    <w:p w14:paraId="327B15D4" w14:textId="77777777" w:rsidR="00BC1BFA" w:rsidRDefault="00BC1BFA" w:rsidP="00BC1BFA">
      <w:pPr>
        <w:widowControl w:val="0"/>
        <w:autoSpaceDE w:val="0"/>
        <w:autoSpaceDN w:val="0"/>
        <w:spacing w:after="120" w:line="276" w:lineRule="auto"/>
        <w:ind w:firstLine="709"/>
        <w:jc w:val="both"/>
        <w:rPr>
          <w:rFonts w:ascii="Verdana" w:hAnsi="Verdana" w:cs="Arial"/>
        </w:rPr>
      </w:pPr>
      <w:r>
        <w:rPr>
          <w:rFonts w:ascii="Verdana" w:hAnsi="Verdana" w:cs="Arial"/>
        </w:rPr>
        <w:t xml:space="preserve">En este sentido, actualmente la </w:t>
      </w:r>
      <w:proofErr w:type="gramStart"/>
      <w:r>
        <w:rPr>
          <w:rFonts w:ascii="Verdana" w:hAnsi="Verdana" w:cs="Arial"/>
        </w:rPr>
        <w:t>entrada en vigencia</w:t>
      </w:r>
      <w:proofErr w:type="gramEnd"/>
      <w:r>
        <w:rPr>
          <w:rFonts w:ascii="Verdana" w:hAnsi="Verdana" w:cs="Arial"/>
        </w:rPr>
        <w:t xml:space="preserve"> de la Ley 2381 de 2024, excepto los artículos 12, parágrafo transitorio y 76, se encuentra suspendida hasta tanto la Corte Constitucional se pronuncie definitivamente </w:t>
      </w:r>
      <w:r>
        <w:rPr>
          <w:rFonts w:ascii="Verdana" w:hAnsi="Verdana" w:cs="Arial"/>
        </w:rPr>
        <w:lastRenderedPageBreak/>
        <w:t xml:space="preserve">sobre la constitucionalidad de </w:t>
      </w:r>
      <w:proofErr w:type="gramStart"/>
      <w:r>
        <w:rPr>
          <w:rFonts w:ascii="Verdana" w:hAnsi="Verdana" w:cs="Arial"/>
        </w:rPr>
        <w:t>la misma</w:t>
      </w:r>
      <w:proofErr w:type="gramEnd"/>
      <w:r>
        <w:rPr>
          <w:rFonts w:ascii="Verdana" w:hAnsi="Verdana" w:cs="Arial"/>
        </w:rPr>
        <w:t xml:space="preserve">.  </w:t>
      </w:r>
    </w:p>
    <w:p w14:paraId="3701360A" w14:textId="77777777" w:rsidR="00BC1BFA" w:rsidRPr="008415A2" w:rsidRDefault="00BC1BFA" w:rsidP="00BC1BFA">
      <w:pPr>
        <w:spacing w:after="120" w:line="276" w:lineRule="auto"/>
        <w:jc w:val="both"/>
        <w:rPr>
          <w:rFonts w:ascii="Verdana" w:hAnsi="Verdana"/>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482F72C" w14:textId="77777777" w:rsidR="00BC1BFA" w:rsidRPr="00185EE9" w:rsidRDefault="00BC1BFA" w:rsidP="00BC1BFA">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6F512F25" w14:textId="77777777" w:rsidR="00BC1BFA" w:rsidRPr="008415A2" w:rsidRDefault="00BC1BFA" w:rsidP="00BC1BFA">
      <w:pPr>
        <w:spacing w:after="0" w:line="276" w:lineRule="auto"/>
        <w:jc w:val="both"/>
        <w:rPr>
          <w:rFonts w:ascii="Verdana" w:hAnsi="Verdana"/>
        </w:rPr>
      </w:pPr>
      <w:r>
        <w:rPr>
          <w:rFonts w:ascii="Verdana" w:hAnsi="Verdana"/>
        </w:rPr>
        <w:t xml:space="preserve"> </w:t>
      </w:r>
    </w:p>
    <w:p w14:paraId="188A8851" w14:textId="77777777" w:rsidR="00BC1BFA" w:rsidRPr="00593A5F" w:rsidRDefault="00BC1BFA" w:rsidP="00BC1BF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159C583B" w14:textId="77777777" w:rsidR="00BC1BFA" w:rsidRPr="00593A5F" w:rsidRDefault="00BC1BFA" w:rsidP="00BC1BF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C1BFA" w:rsidRPr="002407CE" w14:paraId="7E999102" w14:textId="77777777" w:rsidTr="00D27554">
        <w:trPr>
          <w:trHeight w:val="870"/>
          <w:jc w:val="center"/>
        </w:trPr>
        <w:tc>
          <w:tcPr>
            <w:tcW w:w="8647" w:type="dxa"/>
          </w:tcPr>
          <w:p w14:paraId="29F189E1" w14:textId="77777777" w:rsidR="00BC1BFA" w:rsidRDefault="00BC1BFA" w:rsidP="00BC1BF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32 y 41.</w:t>
            </w:r>
          </w:p>
          <w:p w14:paraId="32434A4A" w14:textId="77777777" w:rsidR="00BC1BFA" w:rsidRDefault="00BC1BFA" w:rsidP="00BC1BF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789 de 2002, artículo 50.</w:t>
            </w:r>
          </w:p>
          <w:p w14:paraId="5A85D2A5" w14:textId="77777777" w:rsidR="00BC1BFA" w:rsidRDefault="00BC1BFA" w:rsidP="00BC1BF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2381 de 2024, artículos 7 y 21.</w:t>
            </w:r>
          </w:p>
          <w:p w14:paraId="5AEEF502" w14:textId="77777777" w:rsidR="00BC1BFA" w:rsidRPr="00990018" w:rsidRDefault="00BC1BFA" w:rsidP="00BC1BF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514 de 2025, artículo </w:t>
            </w:r>
            <w:r w:rsidRPr="00F40825">
              <w:rPr>
                <w:rFonts w:ascii="Verdana" w:hAnsi="Verdana" w:cs="Arial"/>
              </w:rPr>
              <w:t>2.2.4.18.7</w:t>
            </w:r>
            <w:r>
              <w:rPr>
                <w:rFonts w:ascii="Verdana" w:hAnsi="Verdana" w:cs="Arial"/>
              </w:rPr>
              <w:t>.</w:t>
            </w:r>
          </w:p>
          <w:p w14:paraId="1C3A2B3D" w14:textId="77777777" w:rsidR="00BC1BFA" w:rsidRPr="00990018" w:rsidRDefault="00BC1BFA" w:rsidP="00BC1BFA">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7E3FCB">
              <w:rPr>
                <w:rFonts w:ascii="Verdana" w:hAnsi="Verdana" w:cs="Arial"/>
              </w:rPr>
              <w:t xml:space="preserve">Resoluciones </w:t>
            </w:r>
            <w:r w:rsidRPr="007E3FCB">
              <w:rPr>
                <w:rFonts w:ascii="Verdana" w:eastAsia="Arial" w:hAnsi="Verdana" w:cs="Arial"/>
              </w:rPr>
              <w:t>2388 de 2016 y 467 de 2025 del Ministerio de Salud y Protección Social.</w:t>
            </w:r>
          </w:p>
        </w:tc>
      </w:tr>
    </w:tbl>
    <w:p w14:paraId="645CEF5D" w14:textId="77777777" w:rsidR="00BC1BFA" w:rsidRPr="002407CE" w:rsidRDefault="00BC1BFA" w:rsidP="00BC1BFA">
      <w:pPr>
        <w:widowControl w:val="0"/>
        <w:autoSpaceDE w:val="0"/>
        <w:autoSpaceDN w:val="0"/>
        <w:spacing w:after="0" w:line="276" w:lineRule="auto"/>
        <w:jc w:val="both"/>
        <w:rPr>
          <w:rFonts w:ascii="Verdana" w:hAnsi="Verdana" w:cs="Arial"/>
        </w:rPr>
      </w:pPr>
    </w:p>
    <w:p w14:paraId="5C57A384" w14:textId="77777777" w:rsidR="00BC1BFA" w:rsidRPr="00593A5F" w:rsidRDefault="00BC1BFA" w:rsidP="00BC1BF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928EBE7" w14:textId="77777777" w:rsidR="00BC1BFA" w:rsidRPr="00593A5F" w:rsidRDefault="00BC1BFA" w:rsidP="00BC1BFA">
      <w:pPr>
        <w:widowControl w:val="0"/>
        <w:autoSpaceDE w:val="0"/>
        <w:autoSpaceDN w:val="0"/>
        <w:spacing w:after="0" w:line="276" w:lineRule="auto"/>
        <w:jc w:val="both"/>
        <w:rPr>
          <w:rFonts w:ascii="Verdana" w:hAnsi="Verdana" w:cs="Arial"/>
        </w:rPr>
      </w:pPr>
    </w:p>
    <w:p w14:paraId="21EEB471" w14:textId="77777777" w:rsidR="00BC1BFA" w:rsidRPr="00ED0098" w:rsidRDefault="00BC1BFA" w:rsidP="00BC1BFA">
      <w:pPr>
        <w:widowControl w:val="0"/>
        <w:autoSpaceDE w:val="0"/>
        <w:autoSpaceDN w:val="0"/>
        <w:spacing w:after="0" w:line="276" w:lineRule="auto"/>
        <w:jc w:val="both"/>
        <w:rPr>
          <w:rStyle w:val="normaltextrun"/>
          <w:rFonts w:ascii="Verdana" w:hAnsi="Verdana" w:cs="Arial"/>
          <w:shd w:val="clear" w:color="auto" w:fill="FFFFFF"/>
        </w:rPr>
      </w:pPr>
      <w:r w:rsidRPr="00F6599C">
        <w:rPr>
          <w:rFonts w:ascii="Verdana" w:hAnsi="Verdana" w:cs="Arial"/>
          <w:shd w:val="clear" w:color="auto" w:fill="FFFFFF"/>
        </w:rPr>
        <w:t xml:space="preserve">Esta Subdirección se ha pronunciado sobre el régimen de seguridad social en los Conceptos 42019130000005594 de 30 de septiembre de 2019, 4201913000006384 de 21 de octubre de 2019, 4201912000007492 de 17 de </w:t>
      </w:r>
      <w:r w:rsidRPr="00F6599C">
        <w:rPr>
          <w:rFonts w:ascii="Verdana" w:hAnsi="Verdana" w:cs="Arial"/>
          <w:shd w:val="clear" w:color="auto" w:fill="FFFFFF"/>
        </w:rPr>
        <w:lastRenderedPageBreak/>
        <w:t>diciembre de 2019, C-040 de 5 de febrero de 2020, C-042 de 5 de febrero de 2020, C-134 del 7 de abril 2021, C-038 del 1° de marzo de 2022, C-712 del 13 de octubre del 2022, C-192 del 13 de junio del 2023, C-054 del 19 de abril del 2023, C-423 del 12 de octubre de 2023</w:t>
      </w:r>
      <w:r>
        <w:rPr>
          <w:rFonts w:ascii="Verdana" w:hAnsi="Verdana" w:cs="Arial"/>
          <w:shd w:val="clear" w:color="auto" w:fill="FFFFFF"/>
        </w:rPr>
        <w:t>,</w:t>
      </w:r>
      <w:r w:rsidRPr="00F6599C">
        <w:rPr>
          <w:rFonts w:ascii="Verdana" w:hAnsi="Verdana" w:cs="Arial"/>
          <w:shd w:val="clear" w:color="auto" w:fill="FFFFFF"/>
        </w:rPr>
        <w:t xml:space="preserve"> C-448 del 26 de diciembre de 2023</w:t>
      </w:r>
      <w:r>
        <w:rPr>
          <w:rFonts w:ascii="Verdana" w:hAnsi="Verdana" w:cs="Arial"/>
          <w:shd w:val="clear" w:color="auto" w:fill="FFFFFF"/>
        </w:rPr>
        <w:t xml:space="preserve"> y C-655 del 17 de junio de 2025</w:t>
      </w:r>
      <w:r w:rsidRPr="00F6599C">
        <w:rPr>
          <w:rFonts w:ascii="Verdana" w:hAnsi="Verdana" w:cs="Arial"/>
          <w:shd w:val="clear" w:color="auto" w:fill="FFFFFF"/>
        </w:rPr>
        <w:t>. Estos y 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2" w:history="1">
        <w:r w:rsidRPr="001F47FD">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5D8D1D61" w14:textId="77777777" w:rsidR="00BC1BFA" w:rsidRPr="00096788" w:rsidRDefault="00BC1BFA" w:rsidP="00BC1BFA">
      <w:pPr>
        <w:widowControl w:val="0"/>
        <w:autoSpaceDE w:val="0"/>
        <w:autoSpaceDN w:val="0"/>
        <w:spacing w:after="0" w:line="276" w:lineRule="auto"/>
        <w:jc w:val="both"/>
        <w:rPr>
          <w:rFonts w:ascii="Verdana" w:hAnsi="Verdana" w:cs="Arial"/>
          <w:color w:val="000000" w:themeColor="text1"/>
          <w:shd w:val="clear" w:color="auto" w:fill="FFFFFF"/>
        </w:rPr>
      </w:pPr>
    </w:p>
    <w:p w14:paraId="09ACF346" w14:textId="77777777" w:rsidR="00BC1BFA" w:rsidRPr="001205D1" w:rsidRDefault="00BC1BFA" w:rsidP="00BC1BFA">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4AFD8086" w14:textId="77777777" w:rsidR="00BC1BFA" w:rsidRPr="009C4035" w:rsidRDefault="00BC1BFA" w:rsidP="00BC1BFA">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7A386214" w14:textId="77777777" w:rsidR="00BC1BFA" w:rsidRPr="00593A5F" w:rsidRDefault="00BC1BFA" w:rsidP="00BC1BF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0178B74" w14:textId="77777777" w:rsidR="00BC1BFA" w:rsidRPr="00593A5F" w:rsidRDefault="00BC1BFA" w:rsidP="00BC1BFA">
      <w:pPr>
        <w:widowControl w:val="0"/>
        <w:autoSpaceDE w:val="0"/>
        <w:autoSpaceDN w:val="0"/>
        <w:spacing w:after="0" w:line="276" w:lineRule="auto"/>
        <w:jc w:val="both"/>
        <w:rPr>
          <w:rFonts w:ascii="Verdana" w:hAnsi="Verdana" w:cs="Arial"/>
        </w:rPr>
      </w:pPr>
    </w:p>
    <w:p w14:paraId="024DDA74" w14:textId="77777777" w:rsidR="00BC1BFA" w:rsidRPr="00593A5F" w:rsidRDefault="00BC1BFA" w:rsidP="00BC1BF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FC24A89" w14:textId="528BD723" w:rsidR="00BC1BFA" w:rsidRDefault="001013AF" w:rsidP="00BC1BFA">
      <w:pPr>
        <w:rPr>
          <w:rFonts w:ascii="Verdana" w:hAnsi="Verdana" w:cs="Arial"/>
          <w:sz w:val="16"/>
          <w:szCs w:val="16"/>
          <w:lang w:val="es-ES" w:eastAsia="es-ES"/>
        </w:rPr>
      </w:pPr>
      <w:r>
        <w:rPr>
          <w:noProof/>
        </w:rPr>
        <w:drawing>
          <wp:anchor distT="0" distB="0" distL="114300" distR="114300" simplePos="0" relativeHeight="251660288" behindDoc="0" locked="0" layoutInCell="1" allowOverlap="1" wp14:anchorId="62C01996" wp14:editId="59C94A55">
            <wp:simplePos x="0" y="0"/>
            <wp:positionH relativeFrom="margin">
              <wp:align>center</wp:align>
            </wp:positionH>
            <wp:positionV relativeFrom="paragraph">
              <wp:posOffset>152262</wp:posOffset>
            </wp:positionV>
            <wp:extent cx="3771429" cy="1400000"/>
            <wp:effectExtent l="0" t="0" r="635" b="0"/>
            <wp:wrapSquare wrapText="bothSides"/>
            <wp:docPr id="63921275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12759" name="Imagen 1" descr="Texto&#10;&#10;El contenido generado por IA puede ser incorrecto."/>
                    <pic:cNvPicPr/>
                  </pic:nvPicPr>
                  <pic:blipFill>
                    <a:blip r:embed="rId14">
                      <a:extLst>
                        <a:ext uri="{28A0092B-C50C-407E-A947-70E740481C1C}">
                          <a14:useLocalDpi xmlns:a14="http://schemas.microsoft.com/office/drawing/2010/main" val="0"/>
                        </a:ext>
                      </a:extLst>
                    </a:blip>
                    <a:stretch>
                      <a:fillRect/>
                    </a:stretch>
                  </pic:blipFill>
                  <pic:spPr>
                    <a:xfrm>
                      <a:off x="0" y="0"/>
                      <a:ext cx="3771429" cy="1400000"/>
                    </a:xfrm>
                    <a:prstGeom prst="rect">
                      <a:avLst/>
                    </a:prstGeom>
                  </pic:spPr>
                </pic:pic>
              </a:graphicData>
            </a:graphic>
          </wp:anchor>
        </w:drawing>
      </w:r>
    </w:p>
    <w:p w14:paraId="5BB26507" w14:textId="7143D694" w:rsidR="00BC1BFA" w:rsidRPr="00AD4F6A" w:rsidRDefault="00BC1BFA" w:rsidP="00BC1BFA">
      <w:pPr>
        <w:spacing w:line="276" w:lineRule="auto"/>
        <w:jc w:val="center"/>
        <w:rPr>
          <w:rFonts w:ascii="Verdana" w:hAnsi="Verdana" w:cs="Arial"/>
          <w:color w:val="000000"/>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C1BFA" w:rsidRPr="00AD4F6A" w14:paraId="184CA9E2" w14:textId="77777777" w:rsidTr="00D27554">
        <w:trPr>
          <w:trHeight w:val="315"/>
        </w:trPr>
        <w:tc>
          <w:tcPr>
            <w:tcW w:w="893" w:type="dxa"/>
            <w:vAlign w:val="center"/>
            <w:hideMark/>
          </w:tcPr>
          <w:p w14:paraId="65DAA6AA" w14:textId="77777777" w:rsidR="00BC1BFA" w:rsidRPr="00AD4F6A" w:rsidRDefault="00BC1BFA" w:rsidP="00D27554">
            <w:pPr>
              <w:contextualSpacing/>
              <w:rPr>
                <w:rFonts w:ascii="Verdana" w:hAnsi="Verdana" w:cs="Arial"/>
                <w:sz w:val="16"/>
                <w:szCs w:val="16"/>
                <w:lang w:eastAsia="es-ES"/>
              </w:rPr>
            </w:pPr>
            <w:r w:rsidRPr="00AD4F6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038C1E5" w14:textId="77777777" w:rsidR="00BC1BFA" w:rsidRPr="00AD4F6A" w:rsidRDefault="00BC1BFA" w:rsidP="00D27554">
            <w:pPr>
              <w:contextualSpacing/>
              <w:rPr>
                <w:rFonts w:ascii="Verdana" w:hAnsi="Verdana"/>
                <w:sz w:val="16"/>
                <w:szCs w:val="16"/>
              </w:rPr>
            </w:pPr>
            <w:r w:rsidRPr="00AD4F6A">
              <w:rPr>
                <w:rFonts w:ascii="Verdana" w:hAnsi="Verdana"/>
                <w:sz w:val="16"/>
                <w:szCs w:val="16"/>
              </w:rPr>
              <w:t>Tatiana Baquero Iguarán</w:t>
            </w:r>
          </w:p>
          <w:p w14:paraId="6C732483" w14:textId="77777777" w:rsidR="00BC1BFA" w:rsidRPr="00AD4F6A" w:rsidRDefault="00BC1BFA" w:rsidP="00D27554">
            <w:pPr>
              <w:contextualSpacing/>
              <w:rPr>
                <w:rFonts w:ascii="Verdana" w:eastAsia="Arial" w:hAnsi="Verdana" w:cs="Arial"/>
                <w:sz w:val="16"/>
                <w:szCs w:val="16"/>
              </w:rPr>
            </w:pPr>
            <w:r w:rsidRPr="00AD4F6A">
              <w:rPr>
                <w:rFonts w:ascii="Verdana" w:hAnsi="Verdana"/>
                <w:sz w:val="16"/>
                <w:szCs w:val="16"/>
              </w:rPr>
              <w:t>Contratista de la Subdirección de Gestión Contractual</w:t>
            </w:r>
          </w:p>
        </w:tc>
      </w:tr>
      <w:tr w:rsidR="00BC1BFA" w:rsidRPr="00AD4F6A" w14:paraId="5D13A2C2" w14:textId="77777777" w:rsidTr="00D27554">
        <w:trPr>
          <w:trHeight w:val="330"/>
        </w:trPr>
        <w:tc>
          <w:tcPr>
            <w:tcW w:w="893" w:type="dxa"/>
            <w:vAlign w:val="center"/>
            <w:hideMark/>
          </w:tcPr>
          <w:p w14:paraId="501DF2FB" w14:textId="77777777" w:rsidR="00BC1BFA" w:rsidRPr="00AD4F6A" w:rsidRDefault="00BC1BFA" w:rsidP="00D27554">
            <w:pPr>
              <w:contextualSpacing/>
              <w:rPr>
                <w:rFonts w:ascii="Verdana" w:hAnsi="Verdana" w:cs="Arial"/>
                <w:sz w:val="16"/>
                <w:szCs w:val="16"/>
                <w:lang w:eastAsia="es-ES"/>
              </w:rPr>
            </w:pPr>
            <w:r w:rsidRPr="00AD4F6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FF63A6" w14:textId="77777777" w:rsidR="00BC1BFA" w:rsidRPr="00AD4F6A" w:rsidRDefault="00BC1BFA" w:rsidP="00D27554">
            <w:pPr>
              <w:textAlignment w:val="baseline"/>
              <w:rPr>
                <w:rFonts w:ascii="Verdana" w:eastAsia="Times New Roman" w:hAnsi="Verdana" w:cs="Arial"/>
                <w:sz w:val="16"/>
                <w:szCs w:val="16"/>
                <w:lang w:val="es-MX" w:eastAsia="es-CO"/>
              </w:rPr>
            </w:pPr>
            <w:r w:rsidRPr="00AD4F6A">
              <w:rPr>
                <w:rFonts w:ascii="Verdana" w:eastAsia="Times New Roman" w:hAnsi="Verdana" w:cs="Arial"/>
                <w:sz w:val="16"/>
                <w:szCs w:val="16"/>
                <w:lang w:val="es-MX" w:eastAsia="es-CO"/>
              </w:rPr>
              <w:t>Alejandro Raúl Sarmiento Cantillo</w:t>
            </w:r>
          </w:p>
          <w:p w14:paraId="0B9E9054" w14:textId="77777777" w:rsidR="00BC1BFA" w:rsidRPr="00AD4F6A" w:rsidRDefault="00BC1BFA" w:rsidP="00D27554">
            <w:pPr>
              <w:spacing w:before="100" w:beforeAutospacing="1" w:after="100" w:afterAutospacing="1"/>
              <w:contextualSpacing/>
              <w:textAlignment w:val="baseline"/>
              <w:rPr>
                <w:rFonts w:ascii="Verdana" w:eastAsia="Times New Roman" w:hAnsi="Verdana" w:cs="Segoe UI"/>
                <w:sz w:val="16"/>
                <w:szCs w:val="16"/>
                <w:lang w:eastAsia="es-ES_tradnl"/>
              </w:rPr>
            </w:pPr>
            <w:r w:rsidRPr="00AD4F6A">
              <w:rPr>
                <w:rFonts w:ascii="Verdana" w:eastAsia="Times New Roman" w:hAnsi="Verdana" w:cs="Arial"/>
                <w:sz w:val="16"/>
                <w:szCs w:val="16"/>
                <w:lang w:val="es-MX" w:eastAsia="es-CO"/>
              </w:rPr>
              <w:t>Gestor T1-15 de la Subdirección de Gestión Contractual</w:t>
            </w:r>
          </w:p>
        </w:tc>
      </w:tr>
      <w:tr w:rsidR="00BC1BFA" w:rsidRPr="00AD4F6A" w14:paraId="168CA73E" w14:textId="77777777" w:rsidTr="00D27554">
        <w:trPr>
          <w:trHeight w:val="300"/>
        </w:trPr>
        <w:tc>
          <w:tcPr>
            <w:tcW w:w="893" w:type="dxa"/>
            <w:vAlign w:val="center"/>
          </w:tcPr>
          <w:p w14:paraId="5557C7D0" w14:textId="77777777" w:rsidR="00BC1BFA" w:rsidRPr="00AD4F6A" w:rsidRDefault="00BC1BFA" w:rsidP="00D27554">
            <w:pPr>
              <w:contextualSpacing/>
              <w:rPr>
                <w:rFonts w:ascii="Verdana" w:hAnsi="Verdana" w:cs="Arial"/>
                <w:sz w:val="16"/>
                <w:szCs w:val="16"/>
                <w:lang w:eastAsia="es-ES"/>
              </w:rPr>
            </w:pPr>
            <w:r w:rsidRPr="00AD4F6A">
              <w:rPr>
                <w:rFonts w:ascii="Verdana" w:hAnsi="Verdana" w:cs="Arial"/>
                <w:sz w:val="16"/>
                <w:szCs w:val="16"/>
                <w:lang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3996083" w14:textId="77777777" w:rsidR="00BC1BFA" w:rsidRPr="00AD4F6A" w:rsidRDefault="00BC1BFA" w:rsidP="00D27554">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 xml:space="preserve">Carolina Quintero </w:t>
            </w:r>
            <w:proofErr w:type="spellStart"/>
            <w:r w:rsidRPr="00AD4F6A">
              <w:rPr>
                <w:rFonts w:ascii="Verdana" w:eastAsia="Calibri" w:hAnsi="Verdana" w:cs="Arial"/>
                <w:sz w:val="16"/>
                <w:szCs w:val="16"/>
                <w:lang w:eastAsia="es-ES"/>
              </w:rPr>
              <w:t>Gacharná</w:t>
            </w:r>
            <w:proofErr w:type="spellEnd"/>
          </w:p>
          <w:p w14:paraId="4E185549" w14:textId="77777777" w:rsidR="00BC1BFA" w:rsidRPr="00AD4F6A" w:rsidRDefault="00BC1BFA" w:rsidP="00D27554">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Subdirectora de Gestión Contractual ANCP – CCE</w:t>
            </w:r>
          </w:p>
        </w:tc>
      </w:tr>
    </w:tbl>
    <w:p w14:paraId="2CF8A135" w14:textId="77777777" w:rsidR="00BC1BFA" w:rsidRPr="00AD4F6A" w:rsidRDefault="00BC1BFA" w:rsidP="00BC1BFA"/>
    <w:p w14:paraId="594D441F" w14:textId="77777777" w:rsidR="00BC1BFA" w:rsidRDefault="00BC1BFA" w:rsidP="00BC1BFA">
      <w:pPr>
        <w:spacing w:after="0" w:line="240" w:lineRule="auto"/>
        <w:rPr>
          <w:rFonts w:ascii="Verdana" w:eastAsia="Aptos" w:hAnsi="Verdana" w:cs="Times New Roman"/>
          <w:sz w:val="20"/>
          <w:szCs w:val="20"/>
        </w:rPr>
      </w:pPr>
    </w:p>
    <w:p w14:paraId="043B3940" w14:textId="77777777" w:rsidR="00BC1BFA" w:rsidRDefault="00BC1BFA" w:rsidP="00BC1BFA">
      <w:pPr>
        <w:spacing w:after="0" w:line="240" w:lineRule="auto"/>
        <w:rPr>
          <w:rFonts w:ascii="Verdana" w:eastAsia="Aptos" w:hAnsi="Verdana" w:cs="Times New Roman"/>
          <w:sz w:val="20"/>
          <w:szCs w:val="20"/>
        </w:rPr>
      </w:pPr>
    </w:p>
    <w:p w14:paraId="6F0FF383" w14:textId="77777777" w:rsidR="00BC1BFA" w:rsidRPr="00DD40BD" w:rsidRDefault="00BC1BFA" w:rsidP="00BC1BFA"/>
    <w:p w14:paraId="51FDC952" w14:textId="77777777" w:rsidR="00BC1BFA" w:rsidRPr="008664A4" w:rsidRDefault="00BC1BFA" w:rsidP="00BC1BFA"/>
    <w:p w14:paraId="633DE80C" w14:textId="77777777" w:rsidR="001F44FE" w:rsidRDefault="001F44FE" w:rsidP="002011C2">
      <w:pPr>
        <w:spacing w:after="0" w:line="240" w:lineRule="auto"/>
        <w:rPr>
          <w:rFonts w:ascii="Verdana" w:eastAsia="Geomanist Light" w:hAnsi="Verdana" w:cs="Arial"/>
          <w:color w:val="000000" w:themeColor="text1"/>
        </w:rPr>
      </w:pPr>
    </w:p>
    <w:sectPr w:rsidR="001F44F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11EA0" w14:textId="77777777" w:rsidR="00135537" w:rsidRDefault="00135537" w:rsidP="004A1847">
      <w:pPr>
        <w:spacing w:after="0" w:line="240" w:lineRule="auto"/>
      </w:pPr>
      <w:r>
        <w:separator/>
      </w:r>
    </w:p>
  </w:endnote>
  <w:endnote w:type="continuationSeparator" w:id="0">
    <w:p w14:paraId="21ACDCB6" w14:textId="77777777" w:rsidR="00135537" w:rsidRDefault="00135537" w:rsidP="004A1847">
      <w:pPr>
        <w:spacing w:after="0" w:line="240" w:lineRule="auto"/>
      </w:pPr>
      <w:r>
        <w:continuationSeparator/>
      </w:r>
    </w:p>
  </w:endnote>
  <w:endnote w:type="continuationNotice" w:id="1">
    <w:p w14:paraId="1F3BD66C" w14:textId="77777777" w:rsidR="00135537" w:rsidRDefault="001355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32E7B" w14:textId="77777777" w:rsidR="00135537" w:rsidRDefault="00135537" w:rsidP="004A1847">
      <w:pPr>
        <w:spacing w:after="0" w:line="240" w:lineRule="auto"/>
      </w:pPr>
      <w:r>
        <w:separator/>
      </w:r>
    </w:p>
  </w:footnote>
  <w:footnote w:type="continuationSeparator" w:id="0">
    <w:p w14:paraId="125D7704" w14:textId="77777777" w:rsidR="00135537" w:rsidRDefault="00135537" w:rsidP="004A1847">
      <w:pPr>
        <w:spacing w:after="0" w:line="240" w:lineRule="auto"/>
      </w:pPr>
      <w:r>
        <w:continuationSeparator/>
      </w:r>
    </w:p>
  </w:footnote>
  <w:footnote w:type="continuationNotice" w:id="1">
    <w:p w14:paraId="1F0E95AD" w14:textId="77777777" w:rsidR="00135537" w:rsidRDefault="00135537">
      <w:pPr>
        <w:spacing w:after="0" w:line="240" w:lineRule="auto"/>
      </w:pPr>
    </w:p>
  </w:footnote>
  <w:footnote w:id="2">
    <w:p w14:paraId="3665344B" w14:textId="77777777" w:rsidR="00BC1BFA" w:rsidRPr="001F41BC" w:rsidRDefault="00BC1BFA" w:rsidP="00BC1BFA">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639402A7" w14:textId="77777777" w:rsidR="00BC1BFA" w:rsidRPr="001F41BC" w:rsidRDefault="00BC1BFA" w:rsidP="00BC1BFA">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40369F9A" w14:textId="77777777" w:rsidR="00BC1BFA" w:rsidRPr="001F41BC" w:rsidRDefault="00BC1BFA" w:rsidP="00BC1BFA">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0A95B61C" w14:textId="77777777" w:rsidR="00BC1BFA" w:rsidRPr="001F41BC" w:rsidRDefault="00BC1BFA" w:rsidP="00BC1BFA">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3">
    <w:p w14:paraId="2C77F783" w14:textId="77777777" w:rsidR="00BC1BFA" w:rsidRPr="001F41BC" w:rsidRDefault="00BC1BFA" w:rsidP="00BC1BFA">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4">
    <w:p w14:paraId="115F1DEE" w14:textId="77777777" w:rsidR="00BC1BFA" w:rsidRPr="001F41BC" w:rsidRDefault="00BC1BFA" w:rsidP="00BC1BFA">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090BF5ED" w14:textId="77777777" w:rsidR="00BC1BFA" w:rsidRPr="001F41BC" w:rsidRDefault="00BC1BFA" w:rsidP="00BC1BFA">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5">
    <w:p w14:paraId="2AE63CFF" w14:textId="77777777" w:rsidR="00BC1BFA" w:rsidRPr="00D808AA" w:rsidRDefault="00BC1BFA" w:rsidP="00BC1BFA">
      <w:pPr>
        <w:pStyle w:val="Textonotapie"/>
        <w:ind w:firstLine="708"/>
        <w:jc w:val="both"/>
        <w:rPr>
          <w:rFonts w:ascii="Verdana" w:hAnsi="Verdana"/>
          <w:sz w:val="16"/>
          <w:szCs w:val="16"/>
        </w:rPr>
      </w:pPr>
      <w:r w:rsidRPr="00D808AA">
        <w:rPr>
          <w:rStyle w:val="Refdenotaalpie"/>
          <w:rFonts w:ascii="Verdana" w:hAnsi="Verdana"/>
          <w:sz w:val="16"/>
          <w:szCs w:val="16"/>
        </w:rPr>
        <w:footnoteRef/>
      </w:r>
      <w:r w:rsidRPr="00D808AA">
        <w:rPr>
          <w:rFonts w:ascii="Verdana" w:hAnsi="Verdana"/>
          <w:sz w:val="16"/>
          <w:szCs w:val="16"/>
        </w:rPr>
        <w:t xml:space="preserve"> En </w:t>
      </w:r>
      <w:r>
        <w:rPr>
          <w:rFonts w:ascii="Verdana" w:hAnsi="Verdana"/>
          <w:sz w:val="16"/>
          <w:szCs w:val="16"/>
        </w:rPr>
        <w:t>concordancia, el artículo 7 de la Ley 2381 de 2024 precisa lo siguiente: “</w:t>
      </w:r>
      <w:r w:rsidRPr="00D808AA">
        <w:rPr>
          <w:rFonts w:ascii="Verdana" w:hAnsi="Verdana"/>
          <w:sz w:val="16"/>
          <w:szCs w:val="16"/>
        </w:rPr>
        <w:t>Corresponde a los(as) Empleadores(as) y contratantes de prestación de servicios dentro del Sistema de Protección Social Integral para la Vejez, invalidez y muerte de origen común:</w:t>
      </w:r>
    </w:p>
    <w:p w14:paraId="5DBEC971" w14:textId="77777777" w:rsidR="00BC1BFA" w:rsidRPr="00D808AA" w:rsidRDefault="00BC1BFA" w:rsidP="00BC1BFA">
      <w:pPr>
        <w:pStyle w:val="Textonotapie"/>
        <w:ind w:firstLine="708"/>
        <w:jc w:val="both"/>
        <w:rPr>
          <w:rFonts w:ascii="Verdana" w:hAnsi="Verdana"/>
          <w:sz w:val="16"/>
          <w:szCs w:val="16"/>
        </w:rPr>
      </w:pPr>
      <w:r w:rsidRPr="00D808AA">
        <w:rPr>
          <w:rFonts w:ascii="Verdana" w:hAnsi="Verdana"/>
          <w:sz w:val="16"/>
          <w:szCs w:val="16"/>
        </w:rPr>
        <w:t>1) Realizar el pago de su aporte y del aporte de los(as) trabajadores(as) o contratistas de prestación de servicios a su servicio en el Pilar Contributivo. Para tal efecto, descontará del salario, y/o honorarios de cada persona, al momento de su pago, el monto de las cotizaciones obligatorias y realizará el descuento de las cotizaciones voluntarias que expresamente haya autorizado por escrito el(la) trabajador(a) o contratista de prestación de servicios.</w:t>
      </w:r>
    </w:p>
    <w:p w14:paraId="7B42E6D6" w14:textId="77777777" w:rsidR="00BC1BFA" w:rsidRPr="00D808AA" w:rsidRDefault="00BC1BFA" w:rsidP="00BC1BFA">
      <w:pPr>
        <w:pStyle w:val="Textonotapie"/>
        <w:ind w:firstLine="708"/>
        <w:jc w:val="both"/>
        <w:rPr>
          <w:rFonts w:ascii="Verdana" w:hAnsi="Verdana"/>
          <w:sz w:val="16"/>
          <w:szCs w:val="16"/>
        </w:rPr>
      </w:pPr>
      <w:r w:rsidRPr="00D808AA">
        <w:rPr>
          <w:rFonts w:ascii="Verdana" w:hAnsi="Verdana"/>
          <w:sz w:val="16"/>
          <w:szCs w:val="16"/>
        </w:rPr>
        <w:t>2) Efectuar el pago de las cotizaciones a través de los mecanismos de recaudo establecidos, dentro de los plazos que determine el Gobierno nacional.</w:t>
      </w:r>
    </w:p>
    <w:p w14:paraId="509EAA6F" w14:textId="77777777" w:rsidR="00BC1BFA" w:rsidRPr="00D808AA" w:rsidRDefault="00BC1BFA" w:rsidP="00BC1BFA">
      <w:pPr>
        <w:pStyle w:val="Textonotapie"/>
        <w:ind w:firstLine="708"/>
        <w:jc w:val="both"/>
        <w:rPr>
          <w:rFonts w:ascii="Verdana" w:hAnsi="Verdana"/>
          <w:sz w:val="16"/>
          <w:szCs w:val="16"/>
        </w:rPr>
      </w:pPr>
      <w:r w:rsidRPr="00D808AA">
        <w:rPr>
          <w:rFonts w:ascii="Verdana" w:hAnsi="Verdana"/>
          <w:sz w:val="16"/>
          <w:szCs w:val="16"/>
        </w:rPr>
        <w:t>3) Reportar y mantener actualizada toda la información que se requiera para la correcta y adecuada liquidación y pago de las contribuciones parafiscales del Sistema de Protección Integral para la Vejez.</w:t>
      </w:r>
    </w:p>
    <w:p w14:paraId="71FD468D" w14:textId="77777777" w:rsidR="00BC1BFA" w:rsidRPr="00D808AA" w:rsidRDefault="00BC1BFA" w:rsidP="00BC1BFA">
      <w:pPr>
        <w:pStyle w:val="Textonotapie"/>
        <w:ind w:firstLine="708"/>
        <w:jc w:val="both"/>
        <w:rPr>
          <w:rFonts w:ascii="Verdana" w:hAnsi="Verdana"/>
          <w:sz w:val="16"/>
          <w:szCs w:val="16"/>
        </w:rPr>
      </w:pPr>
      <w:r w:rsidRPr="00D808AA">
        <w:rPr>
          <w:rFonts w:ascii="Verdana" w:hAnsi="Verdana"/>
          <w:sz w:val="16"/>
          <w:szCs w:val="16"/>
        </w:rPr>
        <w:t>4) Responder por la totalidad del aporte aún en el evento que no hubiere efectuado el descuento a él(la) trabajador(a) o contratista de prestación de servicios con las sanciones a que haya lugar en caso de incumplimiento.</w:t>
      </w:r>
    </w:p>
    <w:p w14:paraId="1C889473" w14:textId="77777777" w:rsidR="00BC1BFA" w:rsidRPr="00D808AA" w:rsidRDefault="00BC1BFA" w:rsidP="00BC1BFA">
      <w:pPr>
        <w:pStyle w:val="Textonotapie"/>
        <w:ind w:firstLine="708"/>
        <w:jc w:val="both"/>
        <w:rPr>
          <w:rFonts w:ascii="Verdana" w:hAnsi="Verdana"/>
          <w:sz w:val="16"/>
          <w:szCs w:val="16"/>
        </w:rPr>
      </w:pPr>
      <w:r w:rsidRPr="00D808AA">
        <w:rPr>
          <w:rFonts w:ascii="Verdana" w:hAnsi="Verdana"/>
          <w:sz w:val="16"/>
          <w:szCs w:val="16"/>
        </w:rPr>
        <w:t>5) Facilitar el acceso a información oportuna relacionada con la elección del fondo de pensiones de ahorro individual de preferencia de los afiliados, respetar su decisión y abstenerse de realizar afiliaciones o modificaciones sin su consentimiento.</w:t>
      </w:r>
    </w:p>
    <w:p w14:paraId="3EB3B1C1" w14:textId="77777777" w:rsidR="00BC1BFA" w:rsidRPr="00D808AA" w:rsidRDefault="00BC1BFA" w:rsidP="00BC1BFA">
      <w:pPr>
        <w:pStyle w:val="Textonotapie"/>
        <w:ind w:firstLine="708"/>
        <w:jc w:val="both"/>
        <w:rPr>
          <w:rFonts w:ascii="Verdana" w:hAnsi="Verdana"/>
          <w:sz w:val="16"/>
          <w:szCs w:val="16"/>
          <w:lang w:val="es-CO"/>
        </w:rPr>
      </w:pPr>
      <w:r w:rsidRPr="00D808AA">
        <w:rPr>
          <w:rFonts w:ascii="Verdana" w:hAnsi="Verdana"/>
          <w:sz w:val="16"/>
          <w:szCs w:val="16"/>
        </w:rPr>
        <w:t>6) Informar las novedades laborales de sus trabajadores o contratistas de prestación de servicios a la entidad a la cual están afiliados, en materias tales como ingreso base de cotización y sus cambios, las vinculaciones y retiros de trabajadores; así mismo, informar a los trabajadores y contratistas de prestación de servicios sobre las garantías y las obligaciones que les asisten en el Sistema General de Seguridad Social</w:t>
      </w:r>
      <w:r>
        <w:rPr>
          <w:rFonts w:ascii="Verdana" w:hAnsi="Verdana"/>
          <w:sz w:val="16"/>
          <w:szCs w:val="16"/>
        </w:rPr>
        <w:t>”</w:t>
      </w:r>
      <w:r w:rsidRPr="00D808AA">
        <w:rPr>
          <w:rFonts w:ascii="Verdana" w:hAnsi="Verdana"/>
          <w:sz w:val="16"/>
          <w:szCs w:val="16"/>
        </w:rPr>
        <w:t>.</w:t>
      </w:r>
    </w:p>
  </w:footnote>
  <w:footnote w:id="6">
    <w:p w14:paraId="0EB718E0" w14:textId="77777777" w:rsidR="00BC1BFA" w:rsidRPr="001F45BC" w:rsidRDefault="00BC1BFA" w:rsidP="00BC1BFA">
      <w:pPr>
        <w:pStyle w:val="Textonotapie"/>
        <w:ind w:firstLine="708"/>
        <w:jc w:val="both"/>
        <w:rPr>
          <w:rFonts w:ascii="Verdana" w:hAnsi="Verdana"/>
          <w:sz w:val="16"/>
          <w:szCs w:val="16"/>
        </w:rPr>
      </w:pPr>
      <w:r w:rsidRPr="001F45BC">
        <w:rPr>
          <w:rStyle w:val="Refdenotaalpie"/>
          <w:rFonts w:ascii="Verdana" w:hAnsi="Verdana"/>
          <w:sz w:val="16"/>
          <w:szCs w:val="16"/>
        </w:rPr>
        <w:footnoteRef/>
      </w:r>
      <w:r w:rsidRPr="001F45BC">
        <w:rPr>
          <w:rFonts w:ascii="Verdana" w:hAnsi="Verdana"/>
          <w:sz w:val="16"/>
          <w:szCs w:val="16"/>
        </w:rPr>
        <w:t xml:space="preserve"> </w:t>
      </w:r>
      <w:r>
        <w:rPr>
          <w:rFonts w:ascii="Verdana" w:hAnsi="Verdana"/>
          <w:sz w:val="16"/>
          <w:szCs w:val="16"/>
        </w:rPr>
        <w:t xml:space="preserve">CONSEJO DE ESTADO. Sección Tercera. Sentencia del 3 de diciembre de 2007. Exp. 24715. C.P. </w:t>
      </w:r>
      <w:r w:rsidRPr="001F45BC">
        <w:rPr>
          <w:rFonts w:ascii="Verdana" w:hAnsi="Verdana"/>
          <w:sz w:val="16"/>
          <w:szCs w:val="16"/>
        </w:rPr>
        <w:t>Ruth Stella Correa Palacio</w:t>
      </w:r>
      <w:r>
        <w:rPr>
          <w:rFonts w:ascii="Verdana" w:hAnsi="Verdana"/>
          <w:sz w:val="16"/>
          <w:szCs w:val="16"/>
        </w:rPr>
        <w:t xml:space="preserve">. Para la doctrina, </w:t>
      </w:r>
      <w:r w:rsidRPr="007E478B">
        <w:rPr>
          <w:rFonts w:ascii="Verdana" w:hAnsi="Verdana"/>
          <w:sz w:val="16"/>
          <w:szCs w:val="16"/>
        </w:rPr>
        <w:t>“[…] al decir la norma que ‘estos contratos sólo podrán celebrarse con personas naturales (…)’, ello no significa que solo autorice su celebración con estos sujetos; es decir que no prohíbe que las personas jurídicas también suscriban contratos de prestación de servicios. Precisado lo anterior, resulta válido entender […] que el aparte normativo en cuestión consagra límites sobre la celebración de contratos de prestación de servicios con personas naturales, no con personas jurídicas. Expresado en otras palabras, la exigencia de que únicamente tales contratos se celebren cuando las actividades de administración o funcionamiento de las entidad ‘no puedan realizarse con personal de planta o requieran conocimientos especializados’ opera solo para la suscripción de contratos de prestación de servicios con personas naturales, no solo porque el referido numeral así lo prevé textualmente, sino porque lo que se busca evitar con tal norma es que, a través de dichos contratos, se constituyan las llamadas ‘nóminas paralelas’, es decir, cargas económicas adicionales para las entidades públicas, que se producen por la duplicación de un cargo de planta a través de la celebración de contratos de prestación de servicios con personas naturales. Si bien podría pensarse que la externalización de ciertas labores administrativas o de funcionamiento, mediante la celebración de tales contratos con personas jurídicas, también ofrece el riesgo de que se repita la actividad de algunos empleos o se vacíen ciertas competencias de la entidad, estos son defectos del funcionamiento del contrato de prestación de servicios que deben evitarse en la práctica, para garantizar los principios que orientan la actividad contractual del Estado. Sin embargo, lo cierto es que el numeral 3 del artículo 32 de la Ley 80 de 1993 permite indirectamente que se celebren contratos de prestación de servicios con personas jurídicas, a pesar de que haya personal de planta que pueda encargarse de las labores que se contratan o aunque estas últimas no requieran conocimientos especializados”</w:t>
      </w:r>
      <w:r>
        <w:rPr>
          <w:rFonts w:ascii="Verdana" w:hAnsi="Verdana"/>
          <w:sz w:val="16"/>
          <w:szCs w:val="16"/>
        </w:rPr>
        <w:t xml:space="preserve"> (Cfr. </w:t>
      </w:r>
      <w:r w:rsidRPr="007E478B">
        <w:rPr>
          <w:rFonts w:ascii="Verdana" w:hAnsi="Verdana"/>
          <w:sz w:val="16"/>
          <w:szCs w:val="16"/>
        </w:rPr>
        <w:t xml:space="preserve">DÍAZ DÍEZ, Cristian Andrés &amp; GÓMEZ VELÁSQUEZ, Alejandro. El contrato de prestación de servicios en el estatuto general de contratación de la administración pública: un tipo contractual de compleja celebración. Consultado el </w:t>
      </w:r>
      <w:r>
        <w:rPr>
          <w:rFonts w:ascii="Verdana" w:hAnsi="Verdana"/>
          <w:sz w:val="16"/>
          <w:szCs w:val="16"/>
        </w:rPr>
        <w:t xml:space="preserve">11 de junio de 2025 </w:t>
      </w:r>
      <w:r w:rsidRPr="007E478B">
        <w:rPr>
          <w:rFonts w:ascii="Verdana" w:hAnsi="Verdana"/>
          <w:sz w:val="16"/>
          <w:szCs w:val="16"/>
        </w:rPr>
        <w:t xml:space="preserve">en la página web </w:t>
      </w:r>
      <w:hyperlink r:id="rId1" w:anchor="fn22" w:history="1">
        <w:r w:rsidRPr="001F47FD">
          <w:rPr>
            <w:rStyle w:val="Hipervnculo"/>
            <w:rFonts w:ascii="Verdana" w:hAnsi="Verdana"/>
            <w:sz w:val="16"/>
            <w:szCs w:val="16"/>
          </w:rPr>
          <w:t>https://revistas.javeriana.edu.co/files-articulos/VJ/139%20(2019-II)/82562148007/#fn22</w:t>
        </w:r>
      </w:hyperlink>
      <w:r>
        <w:rPr>
          <w:rFonts w:ascii="Verdana" w:hAnsi="Verdana"/>
          <w:sz w:val="16"/>
          <w:szCs w:val="16"/>
        </w:rPr>
        <w:t>)</w:t>
      </w:r>
      <w:r w:rsidRPr="007E478B">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AA44A6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690159" o:spid="_x0000_i1025" type="#_x0000_t75" style="width:11.45pt;height:11.45pt;visibility:visible;mso-wrap-style:square">
            <v:imagedata r:id="rId1" o:title=""/>
          </v:shape>
        </w:pict>
      </mc:Choice>
      <mc:Fallback>
        <w:drawing>
          <wp:inline distT="0" distB="0" distL="0" distR="0" wp14:anchorId="6C6226AD" wp14:editId="6C6226AE">
            <wp:extent cx="145415" cy="145415"/>
            <wp:effectExtent l="0" t="0" r="0" b="0"/>
            <wp:docPr id="3690159" name="Imagen 369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2AD1188"/>
    <w:multiLevelType w:val="hybridMultilevel"/>
    <w:tmpl w:val="F35E0D28"/>
    <w:lvl w:ilvl="0" w:tplc="B91CD640">
      <w:start w:val="1"/>
      <w:numFmt w:val="lowerRoman"/>
      <w:lvlText w:val="%1."/>
      <w:lvlJc w:val="left"/>
      <w:pPr>
        <w:ind w:left="1080" w:hanging="72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30140246">
    <w:abstractNumId w:val="0"/>
  </w:num>
  <w:num w:numId="17" w16cid:durableId="679089576">
    <w:abstractNumId w:val="10"/>
  </w:num>
  <w:num w:numId="18" w16cid:durableId="2570609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D85"/>
    <w:rsid w:val="000078BA"/>
    <w:rsid w:val="00011349"/>
    <w:rsid w:val="00016F78"/>
    <w:rsid w:val="00046945"/>
    <w:rsid w:val="00055CB6"/>
    <w:rsid w:val="00061B2A"/>
    <w:rsid w:val="0006320D"/>
    <w:rsid w:val="00073D7F"/>
    <w:rsid w:val="00082362"/>
    <w:rsid w:val="00093EC2"/>
    <w:rsid w:val="000A5826"/>
    <w:rsid w:val="000A683E"/>
    <w:rsid w:val="000B19B9"/>
    <w:rsid w:val="000B6022"/>
    <w:rsid w:val="000D0334"/>
    <w:rsid w:val="000D7CCA"/>
    <w:rsid w:val="000F1A30"/>
    <w:rsid w:val="000F3711"/>
    <w:rsid w:val="000F6486"/>
    <w:rsid w:val="001013AF"/>
    <w:rsid w:val="00125105"/>
    <w:rsid w:val="00127233"/>
    <w:rsid w:val="00134FBE"/>
    <w:rsid w:val="00135537"/>
    <w:rsid w:val="00135CAF"/>
    <w:rsid w:val="001511A0"/>
    <w:rsid w:val="001673BE"/>
    <w:rsid w:val="00180ACE"/>
    <w:rsid w:val="00196C57"/>
    <w:rsid w:val="001A24D3"/>
    <w:rsid w:val="001B1CD2"/>
    <w:rsid w:val="001B67A4"/>
    <w:rsid w:val="001C37E1"/>
    <w:rsid w:val="001C3A39"/>
    <w:rsid w:val="001E3213"/>
    <w:rsid w:val="001E4177"/>
    <w:rsid w:val="001E5252"/>
    <w:rsid w:val="001F44FE"/>
    <w:rsid w:val="001F6D75"/>
    <w:rsid w:val="001F7DC6"/>
    <w:rsid w:val="002011C2"/>
    <w:rsid w:val="00210DD8"/>
    <w:rsid w:val="00225440"/>
    <w:rsid w:val="002421BB"/>
    <w:rsid w:val="0025796E"/>
    <w:rsid w:val="002707A2"/>
    <w:rsid w:val="00284000"/>
    <w:rsid w:val="002951A0"/>
    <w:rsid w:val="002953E3"/>
    <w:rsid w:val="002962BC"/>
    <w:rsid w:val="002A093D"/>
    <w:rsid w:val="002A0DD0"/>
    <w:rsid w:val="002A0DD9"/>
    <w:rsid w:val="002A49AC"/>
    <w:rsid w:val="002A64FD"/>
    <w:rsid w:val="002B5EEB"/>
    <w:rsid w:val="002C59FD"/>
    <w:rsid w:val="002C7A84"/>
    <w:rsid w:val="002D6778"/>
    <w:rsid w:val="002E4FD9"/>
    <w:rsid w:val="002F19C3"/>
    <w:rsid w:val="003060C8"/>
    <w:rsid w:val="003143EE"/>
    <w:rsid w:val="00322A85"/>
    <w:rsid w:val="00324168"/>
    <w:rsid w:val="00331A29"/>
    <w:rsid w:val="00333282"/>
    <w:rsid w:val="003448F4"/>
    <w:rsid w:val="0036719B"/>
    <w:rsid w:val="003716D1"/>
    <w:rsid w:val="00374F5E"/>
    <w:rsid w:val="00377E3E"/>
    <w:rsid w:val="0038031B"/>
    <w:rsid w:val="00382F8A"/>
    <w:rsid w:val="00383D27"/>
    <w:rsid w:val="003A779E"/>
    <w:rsid w:val="003C36C3"/>
    <w:rsid w:val="003C4AAA"/>
    <w:rsid w:val="003D0F4D"/>
    <w:rsid w:val="003D5B0D"/>
    <w:rsid w:val="003D6F14"/>
    <w:rsid w:val="003E0499"/>
    <w:rsid w:val="003E1A3B"/>
    <w:rsid w:val="003F3941"/>
    <w:rsid w:val="0040431C"/>
    <w:rsid w:val="00406575"/>
    <w:rsid w:val="00407D8F"/>
    <w:rsid w:val="00414C74"/>
    <w:rsid w:val="00422F5F"/>
    <w:rsid w:val="0042722E"/>
    <w:rsid w:val="004309DC"/>
    <w:rsid w:val="0043229F"/>
    <w:rsid w:val="004353E4"/>
    <w:rsid w:val="0044528D"/>
    <w:rsid w:val="00453070"/>
    <w:rsid w:val="004630AE"/>
    <w:rsid w:val="00472F0E"/>
    <w:rsid w:val="00476AF9"/>
    <w:rsid w:val="004A06AA"/>
    <w:rsid w:val="004A1847"/>
    <w:rsid w:val="004A305D"/>
    <w:rsid w:val="004A781E"/>
    <w:rsid w:val="004C0D70"/>
    <w:rsid w:val="004C3FD5"/>
    <w:rsid w:val="004C5E8A"/>
    <w:rsid w:val="004D074C"/>
    <w:rsid w:val="004D0E73"/>
    <w:rsid w:val="004D1D87"/>
    <w:rsid w:val="004F21C4"/>
    <w:rsid w:val="004F685F"/>
    <w:rsid w:val="004F73C2"/>
    <w:rsid w:val="0051328F"/>
    <w:rsid w:val="0051716D"/>
    <w:rsid w:val="0053303E"/>
    <w:rsid w:val="00543064"/>
    <w:rsid w:val="00546EB3"/>
    <w:rsid w:val="005566E8"/>
    <w:rsid w:val="00562CCD"/>
    <w:rsid w:val="005635DE"/>
    <w:rsid w:val="00574867"/>
    <w:rsid w:val="0058263C"/>
    <w:rsid w:val="00583EC1"/>
    <w:rsid w:val="00584F28"/>
    <w:rsid w:val="00586289"/>
    <w:rsid w:val="00591460"/>
    <w:rsid w:val="005A1A89"/>
    <w:rsid w:val="005A6F04"/>
    <w:rsid w:val="005B3816"/>
    <w:rsid w:val="005B6471"/>
    <w:rsid w:val="005B7AE7"/>
    <w:rsid w:val="005C1B82"/>
    <w:rsid w:val="005C3777"/>
    <w:rsid w:val="005C5CDC"/>
    <w:rsid w:val="005D476C"/>
    <w:rsid w:val="005D56AE"/>
    <w:rsid w:val="005F019E"/>
    <w:rsid w:val="005F1597"/>
    <w:rsid w:val="00602226"/>
    <w:rsid w:val="006219F8"/>
    <w:rsid w:val="00633647"/>
    <w:rsid w:val="00652E20"/>
    <w:rsid w:val="00654086"/>
    <w:rsid w:val="00665D70"/>
    <w:rsid w:val="0067427A"/>
    <w:rsid w:val="00684FA5"/>
    <w:rsid w:val="006900D9"/>
    <w:rsid w:val="00690765"/>
    <w:rsid w:val="00690772"/>
    <w:rsid w:val="00691A81"/>
    <w:rsid w:val="006B2B39"/>
    <w:rsid w:val="006B596D"/>
    <w:rsid w:val="006C345D"/>
    <w:rsid w:val="006C6022"/>
    <w:rsid w:val="006C6599"/>
    <w:rsid w:val="006D616C"/>
    <w:rsid w:val="006D72B8"/>
    <w:rsid w:val="006E03EB"/>
    <w:rsid w:val="006F6FD1"/>
    <w:rsid w:val="00706C16"/>
    <w:rsid w:val="00712AA4"/>
    <w:rsid w:val="0071760D"/>
    <w:rsid w:val="007236CC"/>
    <w:rsid w:val="00726727"/>
    <w:rsid w:val="00743139"/>
    <w:rsid w:val="00756841"/>
    <w:rsid w:val="00761357"/>
    <w:rsid w:val="007649AB"/>
    <w:rsid w:val="00771D0C"/>
    <w:rsid w:val="007833AC"/>
    <w:rsid w:val="00787EC3"/>
    <w:rsid w:val="007B268C"/>
    <w:rsid w:val="007B527A"/>
    <w:rsid w:val="007B7171"/>
    <w:rsid w:val="007C0C0F"/>
    <w:rsid w:val="007C3DC2"/>
    <w:rsid w:val="007E3FCB"/>
    <w:rsid w:val="007E46FF"/>
    <w:rsid w:val="007E5497"/>
    <w:rsid w:val="007F4B16"/>
    <w:rsid w:val="00802F73"/>
    <w:rsid w:val="00806F5F"/>
    <w:rsid w:val="00820278"/>
    <w:rsid w:val="0086755E"/>
    <w:rsid w:val="00867F95"/>
    <w:rsid w:val="0088209A"/>
    <w:rsid w:val="008843B6"/>
    <w:rsid w:val="00890CCA"/>
    <w:rsid w:val="00891928"/>
    <w:rsid w:val="008965AC"/>
    <w:rsid w:val="008A39C3"/>
    <w:rsid w:val="008A4229"/>
    <w:rsid w:val="008A446D"/>
    <w:rsid w:val="008A5B5E"/>
    <w:rsid w:val="008D180B"/>
    <w:rsid w:val="008D2724"/>
    <w:rsid w:val="008D7FD9"/>
    <w:rsid w:val="008E0FC9"/>
    <w:rsid w:val="008F0EA7"/>
    <w:rsid w:val="00906E6A"/>
    <w:rsid w:val="00912ED1"/>
    <w:rsid w:val="00923EEF"/>
    <w:rsid w:val="009265FA"/>
    <w:rsid w:val="00933A33"/>
    <w:rsid w:val="009419F9"/>
    <w:rsid w:val="00941C3E"/>
    <w:rsid w:val="0095685E"/>
    <w:rsid w:val="009579E6"/>
    <w:rsid w:val="00961B09"/>
    <w:rsid w:val="00965334"/>
    <w:rsid w:val="0097093E"/>
    <w:rsid w:val="009743D0"/>
    <w:rsid w:val="009864AC"/>
    <w:rsid w:val="00986AC5"/>
    <w:rsid w:val="00990018"/>
    <w:rsid w:val="009A0A10"/>
    <w:rsid w:val="009A0DFA"/>
    <w:rsid w:val="009A1813"/>
    <w:rsid w:val="009A5559"/>
    <w:rsid w:val="009A6512"/>
    <w:rsid w:val="009B2D26"/>
    <w:rsid w:val="009C23B4"/>
    <w:rsid w:val="009C6E09"/>
    <w:rsid w:val="009C71FA"/>
    <w:rsid w:val="009C72E7"/>
    <w:rsid w:val="009D0CFD"/>
    <w:rsid w:val="009D3058"/>
    <w:rsid w:val="009E3024"/>
    <w:rsid w:val="009F3A13"/>
    <w:rsid w:val="00A063E0"/>
    <w:rsid w:val="00A10C8A"/>
    <w:rsid w:val="00A122D3"/>
    <w:rsid w:val="00A14A60"/>
    <w:rsid w:val="00A17F13"/>
    <w:rsid w:val="00A20739"/>
    <w:rsid w:val="00A20E3D"/>
    <w:rsid w:val="00A27CF0"/>
    <w:rsid w:val="00A31D52"/>
    <w:rsid w:val="00A33C78"/>
    <w:rsid w:val="00A54B54"/>
    <w:rsid w:val="00A55830"/>
    <w:rsid w:val="00A8370F"/>
    <w:rsid w:val="00AA3264"/>
    <w:rsid w:val="00AA732D"/>
    <w:rsid w:val="00AB0ADB"/>
    <w:rsid w:val="00AB3F48"/>
    <w:rsid w:val="00AB7109"/>
    <w:rsid w:val="00AC53CD"/>
    <w:rsid w:val="00B01B1A"/>
    <w:rsid w:val="00B17883"/>
    <w:rsid w:val="00B6347E"/>
    <w:rsid w:val="00B66319"/>
    <w:rsid w:val="00B66EB6"/>
    <w:rsid w:val="00B72CD3"/>
    <w:rsid w:val="00B72FFF"/>
    <w:rsid w:val="00BA200C"/>
    <w:rsid w:val="00BC1BFA"/>
    <w:rsid w:val="00BC3D36"/>
    <w:rsid w:val="00BD7F72"/>
    <w:rsid w:val="00BF7E8D"/>
    <w:rsid w:val="00C04FB3"/>
    <w:rsid w:val="00C06BB3"/>
    <w:rsid w:val="00C20404"/>
    <w:rsid w:val="00C330EB"/>
    <w:rsid w:val="00C3464F"/>
    <w:rsid w:val="00C41061"/>
    <w:rsid w:val="00C501C0"/>
    <w:rsid w:val="00C515CA"/>
    <w:rsid w:val="00C73E69"/>
    <w:rsid w:val="00C754BE"/>
    <w:rsid w:val="00C76B1C"/>
    <w:rsid w:val="00C90917"/>
    <w:rsid w:val="00C93C99"/>
    <w:rsid w:val="00CA3D18"/>
    <w:rsid w:val="00CB6357"/>
    <w:rsid w:val="00CC1B26"/>
    <w:rsid w:val="00CC269B"/>
    <w:rsid w:val="00CD266F"/>
    <w:rsid w:val="00CE7ED0"/>
    <w:rsid w:val="00CF1337"/>
    <w:rsid w:val="00D2052E"/>
    <w:rsid w:val="00D35971"/>
    <w:rsid w:val="00D423A2"/>
    <w:rsid w:val="00D45DA8"/>
    <w:rsid w:val="00D520D8"/>
    <w:rsid w:val="00D55BAB"/>
    <w:rsid w:val="00D63AC2"/>
    <w:rsid w:val="00D702A0"/>
    <w:rsid w:val="00D7383B"/>
    <w:rsid w:val="00DA0074"/>
    <w:rsid w:val="00DA231B"/>
    <w:rsid w:val="00DC39FC"/>
    <w:rsid w:val="00DC523B"/>
    <w:rsid w:val="00DC72C6"/>
    <w:rsid w:val="00DD39EC"/>
    <w:rsid w:val="00DD40BD"/>
    <w:rsid w:val="00DF5254"/>
    <w:rsid w:val="00DF69CD"/>
    <w:rsid w:val="00E04BA6"/>
    <w:rsid w:val="00E108E9"/>
    <w:rsid w:val="00E16408"/>
    <w:rsid w:val="00E20894"/>
    <w:rsid w:val="00E23E59"/>
    <w:rsid w:val="00E245AB"/>
    <w:rsid w:val="00E26FB4"/>
    <w:rsid w:val="00E2764C"/>
    <w:rsid w:val="00E27F2E"/>
    <w:rsid w:val="00E409D0"/>
    <w:rsid w:val="00E50AFE"/>
    <w:rsid w:val="00E5171C"/>
    <w:rsid w:val="00E66020"/>
    <w:rsid w:val="00E75C92"/>
    <w:rsid w:val="00E771DC"/>
    <w:rsid w:val="00E8772A"/>
    <w:rsid w:val="00E90F6B"/>
    <w:rsid w:val="00E92C27"/>
    <w:rsid w:val="00E97991"/>
    <w:rsid w:val="00EA0E3D"/>
    <w:rsid w:val="00EA534F"/>
    <w:rsid w:val="00EB18F4"/>
    <w:rsid w:val="00EC38A7"/>
    <w:rsid w:val="00EC3BA0"/>
    <w:rsid w:val="00ED7384"/>
    <w:rsid w:val="00EE1AA8"/>
    <w:rsid w:val="00EF6811"/>
    <w:rsid w:val="00F05337"/>
    <w:rsid w:val="00F31EDC"/>
    <w:rsid w:val="00F36F1D"/>
    <w:rsid w:val="00F379A9"/>
    <w:rsid w:val="00F4550A"/>
    <w:rsid w:val="00F462B3"/>
    <w:rsid w:val="00F55D00"/>
    <w:rsid w:val="00F5664F"/>
    <w:rsid w:val="00F61E10"/>
    <w:rsid w:val="00F621CD"/>
    <w:rsid w:val="00F666C4"/>
    <w:rsid w:val="00F76AFC"/>
    <w:rsid w:val="00F77A25"/>
    <w:rsid w:val="00FA47C0"/>
    <w:rsid w:val="00FB01E9"/>
    <w:rsid w:val="00FB0E5E"/>
    <w:rsid w:val="00FB2940"/>
    <w:rsid w:val="00FB3F2B"/>
    <w:rsid w:val="00FB5DD1"/>
    <w:rsid w:val="00FC16E7"/>
    <w:rsid w:val="00FC2B5D"/>
    <w:rsid w:val="00FC3BD8"/>
    <w:rsid w:val="00FD7ED5"/>
    <w:rsid w:val="00FE67E5"/>
    <w:rsid w:val="00FF06D4"/>
    <w:rsid w:val="00FF1449"/>
    <w:rsid w:val="00FF4667"/>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C3A3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C3A39"/>
    <w:rPr>
      <w:rFonts w:ascii="Geomanist Light" w:hAnsi="Geomanist Light"/>
      <w:lang w:val="es-ES"/>
    </w:rPr>
  </w:style>
  <w:style w:type="character" w:customStyle="1" w:styleId="s15">
    <w:name w:val="s15"/>
    <w:basedOn w:val="Fuentedeprrafopredeter"/>
    <w:rsid w:val="001C3A39"/>
  </w:style>
  <w:style w:type="character" w:customStyle="1" w:styleId="apple-converted-space">
    <w:name w:val="apple-converted-space"/>
    <w:basedOn w:val="Fuentedeprrafopredeter"/>
    <w:rsid w:val="001C3A39"/>
  </w:style>
  <w:style w:type="paragraph" w:customStyle="1" w:styleId="s16">
    <w:name w:val="s16"/>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1C3A39"/>
  </w:style>
  <w:style w:type="paragraph" w:styleId="Textoindependiente">
    <w:name w:val="Body Text"/>
    <w:basedOn w:val="Normal"/>
    <w:link w:val="TextoindependienteCar"/>
    <w:uiPriority w:val="1"/>
    <w:qFormat/>
    <w:rsid w:val="001C3A39"/>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1C3A39"/>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38126">
      <w:bodyDiv w:val="1"/>
      <w:marLeft w:val="0"/>
      <w:marRight w:val="0"/>
      <w:marTop w:val="0"/>
      <w:marBottom w:val="0"/>
      <w:divBdr>
        <w:top w:val="none" w:sz="0" w:space="0" w:color="auto"/>
        <w:left w:val="none" w:sz="0" w:space="0" w:color="auto"/>
        <w:bottom w:val="none" w:sz="0" w:space="0" w:color="auto"/>
        <w:right w:val="none" w:sz="0" w:space="0" w:color="auto"/>
      </w:divBdr>
    </w:div>
    <w:div w:id="35685334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4336393">
      <w:bodyDiv w:val="1"/>
      <w:marLeft w:val="0"/>
      <w:marRight w:val="0"/>
      <w:marTop w:val="0"/>
      <w:marBottom w:val="0"/>
      <w:divBdr>
        <w:top w:val="none" w:sz="0" w:space="0" w:color="auto"/>
        <w:left w:val="none" w:sz="0" w:space="0" w:color="auto"/>
        <w:bottom w:val="none" w:sz="0" w:space="0" w:color="auto"/>
        <w:right w:val="none" w:sz="0" w:space="0" w:color="auto"/>
      </w:divBdr>
    </w:div>
    <w:div w:id="195941137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ibal.arroyo@ane.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100F3E9-B3CD-482B-B127-3E55FA8B5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6392</Words>
  <Characters>35160</Characters>
  <Application>Microsoft Office Word</Application>
  <DocSecurity>0</DocSecurity>
  <Lines>293</Lines>
  <Paragraphs>82</Paragraphs>
  <ScaleCrop>false</ScaleCrop>
  <Company/>
  <LinksUpToDate>false</LinksUpToDate>
  <CharactersWithSpaces>41470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2025-06-24T22:55:00Z</dcterms:created>
  <dcterms:modified xsi:type="dcterms:W3CDTF">2025-06-24T22:55:00Z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