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129B"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49BBE2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5DA5267"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539825C3"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EED9CDC"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4CA7506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9C561C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4440221"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0127DB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506E75A7"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38A47823"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r w:rsidRPr="007B5AD4">
        <w:rPr>
          <w:rFonts w:ascii="Verdana" w:eastAsia="Calibri" w:hAnsi="Verdana" w:cs="Arial"/>
          <w:sz w:val="20"/>
          <w:szCs w:val="20"/>
          <w:lang w:eastAsia="es-ES"/>
        </w:rPr>
        <w:t>.</w:t>
      </w:r>
    </w:p>
    <w:p w14:paraId="18A1A2D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BF100EE"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No acumulabilidad ‒ Acreditación simultánea de condiciones ‒ Modalidades de selección aplicables</w:t>
      </w:r>
    </w:p>
    <w:p w14:paraId="37BD5060"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74C1494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artículo 2.2.1.2.4.2.7.4. del Decreto 0287 de 2026 es explícito al disponer que, aunque el proponente acredite simultáneamente ser emprendimiento o empresa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y ser empleador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el puntaje máximo a otorgar por este criterio es siempre el 2% del total de los puntos del pliego, sin que las condiciones acreditadas sean sumables para efectos de la evaluación de la oferta, y tampoco es posible disminuir ese porcentaje de puntos ya que siempre será el 2% como lo establece el decreto. Este puntaje aplica únicamente en entidades regidas por el Estatuto General de Contratación Pública, en las modalidades de licitación pública y concurso de méritos; no aplica en régimen especial, ni en selección abreviada, mínima cuantía ni contratación directa</w:t>
      </w:r>
      <w:r w:rsidRPr="007B5AD4">
        <w:rPr>
          <w:rFonts w:ascii="Verdana" w:eastAsia="Calibri" w:hAnsi="Verdana" w:cs="Arial"/>
          <w:sz w:val="20"/>
          <w:szCs w:val="20"/>
          <w:lang w:eastAsia="es-ES"/>
        </w:rPr>
        <w:t>.</w:t>
      </w:r>
    </w:p>
    <w:p w14:paraId="3624A01A" w14:textId="77777777" w:rsidR="00F51D39" w:rsidRDefault="00F51D39" w:rsidP="00F51D39">
      <w:pPr>
        <w:spacing w:after="0" w:line="240" w:lineRule="auto"/>
        <w:contextualSpacing/>
        <w:jc w:val="both"/>
        <w:rPr>
          <w:rFonts w:ascii="Verdana" w:eastAsia="Calibri" w:hAnsi="Verdana" w:cs="Arial"/>
          <w:b/>
          <w:bCs/>
          <w:sz w:val="20"/>
          <w:szCs w:val="20"/>
          <w:lang w:eastAsia="es-ES"/>
        </w:rPr>
      </w:pPr>
    </w:p>
    <w:p w14:paraId="361EDC96"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590149D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17ADE21"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t xml:space="preserve">Ahora bien, la documentación para la acreditación de las condiciones bajo las cuales se otorga el puntaje depende del sujeto de que se trate, en la condición de empleador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los documentos están dispuestos en el artículo 2.2.1.2.4.2.7.4, el cual exige, entre otros documentos, los certificados de aportes a seguridad social de los tres (3) meses anteriores a la presentación de la oferta respecto de cada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cuyas planillas no alcancen ese período, pudiendo el proponente acreditar el puntaje con base en las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sí cumplen el requisito temporal y participar en el proceso sin el puntaje en caso de no alcanzar ninguna. El término de tres (3) </w:t>
      </w:r>
      <w:proofErr w:type="gramStart"/>
      <w:r w:rsidRPr="00C820EF">
        <w:rPr>
          <w:rFonts w:ascii="Verdana" w:eastAsia="Calibri" w:hAnsi="Verdana" w:cs="Arial"/>
          <w:sz w:val="20"/>
          <w:szCs w:val="20"/>
          <w:lang w:eastAsia="es-ES"/>
        </w:rPr>
        <w:t>meses aquí mencionado</w:t>
      </w:r>
      <w:proofErr w:type="gramEnd"/>
      <w:r w:rsidRPr="00C820EF">
        <w:rPr>
          <w:rFonts w:ascii="Verdana" w:eastAsia="Calibri" w:hAnsi="Verdana" w:cs="Arial"/>
          <w:sz w:val="20"/>
          <w:szCs w:val="20"/>
          <w:lang w:eastAsia="es-ES"/>
        </w:rPr>
        <w:t xml:space="preserve"> es diferente al término de un (1) año mencionado en el artículo 2.2.1.2.4.2.6 respecto de los emprendimientos y empresas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w:t>
      </w:r>
    </w:p>
    <w:p w14:paraId="01A858BB" w14:textId="77777777" w:rsidR="00F51D39" w:rsidRPr="00C820EF" w:rsidRDefault="00F51D39" w:rsidP="00F51D39">
      <w:pPr>
        <w:spacing w:after="0" w:line="240" w:lineRule="auto"/>
        <w:contextualSpacing/>
        <w:jc w:val="both"/>
        <w:rPr>
          <w:rFonts w:ascii="Verdana" w:eastAsia="Calibri" w:hAnsi="Verdana" w:cs="Arial"/>
          <w:sz w:val="20"/>
          <w:szCs w:val="20"/>
          <w:lang w:eastAsia="es-ES"/>
        </w:rPr>
      </w:pPr>
    </w:p>
    <w:p w14:paraId="3260AF03" w14:textId="77777777" w:rsidR="00F51D39" w:rsidRPr="003C64A5" w:rsidRDefault="00F51D39" w:rsidP="00F51D39">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lastRenderedPageBreak/>
        <w:t xml:space="preserve">Para efectos de determinar el número mínimo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sidRPr="00C820EF">
        <w:rPr>
          <w:rFonts w:ascii="Verdana" w:eastAsia="Calibri" w:hAnsi="Verdana" w:cs="Arial"/>
          <w:sz w:val="20"/>
          <w:szCs w:val="20"/>
          <w:lang w:eastAsia="es-ES"/>
        </w:rPr>
        <w:t>PcD</w:t>
      </w:r>
      <w:proofErr w:type="spellEnd"/>
      <w:r w:rsidRPr="00C820EF">
        <w:rPr>
          <w:rFonts w:ascii="Verdana" w:eastAsia="Calibri" w:hAnsi="Verdana" w:cs="Arial"/>
          <w:sz w:val="20"/>
          <w:szCs w:val="20"/>
          <w:lang w:eastAsia="es-ES"/>
        </w:rPr>
        <w:t xml:space="preserve"> son los indicados en el artículo 2.2.1.2.4.2.6 y no los del artículo 2.2.1.2.4.2.7.4</w:t>
      </w:r>
      <w:r w:rsidRPr="003C64A5">
        <w:rPr>
          <w:rFonts w:ascii="Verdana" w:eastAsia="Calibri" w:hAnsi="Verdana" w:cs="Arial"/>
          <w:sz w:val="20"/>
          <w:szCs w:val="20"/>
          <w:lang w:eastAsia="es-ES"/>
        </w:rPr>
        <w:t>.</w:t>
      </w:r>
    </w:p>
    <w:p w14:paraId="4226DEF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68442C5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Criterios habilitantes diferenciales ‒ Ajustados ‒ Obligatoriedad ‒ Proporcionalidad ‒ Proponentes plurales ‒ Consorcios y uniones temporales</w:t>
      </w:r>
    </w:p>
    <w:p w14:paraId="1A64F05A" w14:textId="77777777" w:rsidR="00F51D39" w:rsidRPr="00206556" w:rsidRDefault="00F51D39" w:rsidP="00F51D39">
      <w:pPr>
        <w:spacing w:after="0" w:line="240" w:lineRule="auto"/>
        <w:contextualSpacing/>
        <w:jc w:val="both"/>
        <w:rPr>
          <w:rFonts w:ascii="Verdana" w:eastAsia="Calibri" w:hAnsi="Verdana" w:cs="Arial"/>
          <w:b/>
          <w:bCs/>
          <w:sz w:val="20"/>
          <w:szCs w:val="20"/>
          <w:lang w:eastAsia="es-ES"/>
        </w:rPr>
      </w:pPr>
    </w:p>
    <w:p w14:paraId="2D6566C4"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Sobre los criterios habilitantes diferenciales, estos constituyen una obligación para las entidades contratantes en los procesos de licitación pública, selección abreviada y concurso de méritos, tanto bajo el régimen del Estatuto General de Contratación Pública como en los procesos competitivos de entidades con régimen especial. Esta obligación consiste en establecer requisitos habilitantes ajustados o reducidos, palabras que se deben entender en el mismo significado de diferencial, en materia de experiencia, capacidad financiera, capacidad organizacional o valor de la garantía de seriedad de la oferta, con el propósito de facilitar la participación de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con domicilio en el territorio nacional. La entidad contratante debe flexibilizar 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26243E47" w14:textId="77777777" w:rsidR="00F51D39" w:rsidRPr="00DA1940" w:rsidRDefault="00F51D39" w:rsidP="00F51D39">
      <w:pPr>
        <w:spacing w:after="0" w:line="240" w:lineRule="auto"/>
        <w:contextualSpacing/>
        <w:jc w:val="both"/>
        <w:rPr>
          <w:rFonts w:ascii="Verdana" w:eastAsia="Calibri" w:hAnsi="Verdana" w:cs="Arial"/>
          <w:sz w:val="20"/>
          <w:szCs w:val="20"/>
          <w:lang w:eastAsia="es-ES"/>
        </w:rPr>
      </w:pPr>
    </w:p>
    <w:p w14:paraId="5775F1CC"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A1940">
        <w:rPr>
          <w:rFonts w:ascii="Verdana" w:eastAsia="Calibri" w:hAnsi="Verdana" w:cs="Arial"/>
          <w:sz w:val="20"/>
          <w:szCs w:val="20"/>
          <w:lang w:eastAsia="es-ES"/>
        </w:rPr>
        <w:t xml:space="preserve">Estos criterios aplican exclusivamente para el primer sujeto del sistema, es decir, los emprendimientos y empresas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xml:space="preserve">, y no para los empleadores de </w:t>
      </w:r>
      <w:proofErr w:type="spellStart"/>
      <w:r w:rsidRPr="00DA1940">
        <w:rPr>
          <w:rFonts w:ascii="Verdana" w:eastAsia="Calibri" w:hAnsi="Verdana" w:cs="Arial"/>
          <w:sz w:val="20"/>
          <w:szCs w:val="20"/>
          <w:lang w:eastAsia="es-ES"/>
        </w:rPr>
        <w:t>PcD</w:t>
      </w:r>
      <w:proofErr w:type="spellEnd"/>
      <w:r w:rsidRPr="00DA1940">
        <w:rPr>
          <w:rFonts w:ascii="Verdana" w:eastAsia="Calibri" w:hAnsi="Verdana" w:cs="Arial"/>
          <w:sz w:val="20"/>
          <w:szCs w:val="20"/>
          <w:lang w:eastAsia="es-ES"/>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 si ese integrante participa con el 15%, debe aportar al menos el 15% de la experiencia exigida en el pliego.</w:t>
      </w:r>
    </w:p>
    <w:p w14:paraId="62CA0E4D"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7C938F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Condiciones especiales de ejecución ‒ Subcontratación inclusiva ‒ Integración del equipo de trabajo ‒ Obligatoriedad ‒ Justificación de omisión</w:t>
      </w:r>
    </w:p>
    <w:p w14:paraId="43E54D82"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EDB3A49"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 xml:space="preserve">(…) </w:t>
      </w:r>
      <w:r w:rsidRPr="007A1BCB">
        <w:rPr>
          <w:rFonts w:ascii="Verdana" w:eastAsia="Calibri" w:hAnsi="Verdana" w:cs="Arial"/>
          <w:sz w:val="20"/>
          <w:szCs w:val="20"/>
          <w:lang w:eastAsia="es-ES"/>
        </w:rPr>
        <w:t xml:space="preserve">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a emprendimientos y empresas de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7A1BCB">
        <w:rPr>
          <w:rFonts w:ascii="Verdana" w:eastAsia="Calibri" w:hAnsi="Verdana" w:cs="Arial"/>
          <w:sz w:val="20"/>
          <w:szCs w:val="20"/>
          <w:lang w:eastAsia="es-ES"/>
        </w:rPr>
        <w:t>PcD</w:t>
      </w:r>
      <w:proofErr w:type="spellEnd"/>
      <w:r w:rsidRPr="007A1BCB">
        <w:rPr>
          <w:rFonts w:ascii="Verdana" w:eastAsia="Calibri" w:hAnsi="Verdana" w:cs="Arial"/>
          <w:sz w:val="20"/>
          <w:szCs w:val="20"/>
          <w:lang w:eastAsia="es-ES"/>
        </w:rPr>
        <w:t xml:space="preserve"> y sus empresas tengan preferencia cuando existan en el mercado y sea factible su vinculación. Esta medida aplica en entidades sometidas al Estatuto General de Contratación Pública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r w:rsidRPr="00792D67">
        <w:rPr>
          <w:rFonts w:ascii="Verdana" w:eastAsia="Calibri" w:hAnsi="Verdana" w:cs="Arial"/>
          <w:sz w:val="20"/>
          <w:szCs w:val="20"/>
          <w:lang w:eastAsia="es-ES"/>
        </w:rPr>
        <w:t>.</w:t>
      </w:r>
    </w:p>
    <w:p w14:paraId="4B57D5FD"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3B9321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Documentos tipo ‒ Principio de inalterabilidad ‒ Régimen de transición ‒ Actualización ‒ Colombia Compra Eficiente</w:t>
      </w:r>
    </w:p>
    <w:p w14:paraId="72C35466"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A89C829"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15670">
        <w:rPr>
          <w:rFonts w:ascii="Verdana" w:eastAsia="Calibri" w:hAnsi="Verdana" w:cs="Arial"/>
          <w:sz w:val="20"/>
          <w:szCs w:val="20"/>
          <w:lang w:eastAsia="es-ES"/>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Pr="007B5AD4">
        <w:rPr>
          <w:rFonts w:ascii="Verdana" w:eastAsia="Calibri" w:hAnsi="Verdana" w:cs="Arial"/>
          <w:sz w:val="20"/>
          <w:szCs w:val="20"/>
          <w:lang w:eastAsia="es-ES"/>
        </w:rPr>
        <w:t xml:space="preserve">. </w:t>
      </w:r>
    </w:p>
    <w:p w14:paraId="22D0B785"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3C1D2F00"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Contratos de prestación de servicios ‒ personas con discapacidad ‒ Carácter potestativo ‒ Contratación directa</w:t>
      </w:r>
    </w:p>
    <w:p w14:paraId="46A0E9FE"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263D8AB2" w14:textId="77777777" w:rsidR="00F51D39"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015670">
        <w:rPr>
          <w:rFonts w:ascii="Verdana" w:eastAsia="Calibri" w:hAnsi="Verdana" w:cs="Arial"/>
          <w:sz w:val="20"/>
          <w:szCs w:val="20"/>
          <w:lang w:eastAsia="es-ES"/>
        </w:rPr>
        <w:t xml:space="preserve"> la inclusión de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en contratos de prestación de servicios profesionales y/o de apoyo a la gestión, regulada en el artículo 2.2.1.2.4.2.7.6. del Decreto 1082 de 2015 (modificado), que opera en la modalidad de contratación directa y tiene carácter potestativo: las entidades sometidas al Estatuto General de Contratación Pública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015670">
        <w:rPr>
          <w:rFonts w:ascii="Verdana" w:eastAsia="Calibri" w:hAnsi="Verdana" w:cs="Arial"/>
          <w:sz w:val="20"/>
          <w:szCs w:val="20"/>
          <w:lang w:eastAsia="es-ES"/>
        </w:rPr>
        <w:t>PcD</w:t>
      </w:r>
      <w:proofErr w:type="spellEnd"/>
      <w:r w:rsidRPr="00015670">
        <w:rPr>
          <w:rFonts w:ascii="Verdana" w:eastAsia="Calibri" w:hAnsi="Verdana" w:cs="Arial"/>
          <w:sz w:val="20"/>
          <w:szCs w:val="20"/>
          <w:lang w:eastAsia="es-ES"/>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w:t>
      </w:r>
      <w:r w:rsidRPr="00015670">
        <w:rPr>
          <w:rFonts w:ascii="Verdana" w:eastAsia="Calibri" w:hAnsi="Verdana" w:cs="Arial"/>
          <w:sz w:val="20"/>
          <w:szCs w:val="20"/>
          <w:lang w:eastAsia="es-ES"/>
        </w:rPr>
        <w:lastRenderedPageBreak/>
        <w:t>esta medida a través del SECOP, evaluando pertinencia, duración, objeto y nivel de especialización de cada contrato</w:t>
      </w:r>
      <w:r w:rsidRPr="00A54668">
        <w:rPr>
          <w:rFonts w:ascii="Verdana" w:eastAsia="Calibri" w:hAnsi="Verdana" w:cs="Arial"/>
          <w:sz w:val="20"/>
          <w:szCs w:val="20"/>
          <w:lang w:eastAsia="es-ES"/>
        </w:rPr>
        <w:t>.</w:t>
      </w:r>
    </w:p>
    <w:p w14:paraId="21FE84D7"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3C3AEC1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Compatibilidad ‒ Incentivos MiPymes ‒ Empresas de mujeres ‒ Criterio de desempate ‒ Ley 2069 de 2020</w:t>
      </w:r>
    </w:p>
    <w:p w14:paraId="3B803334" w14:textId="77777777" w:rsidR="00F51D39" w:rsidRPr="007B5AD4" w:rsidRDefault="00F51D39" w:rsidP="00F51D39">
      <w:pPr>
        <w:spacing w:after="0" w:line="240" w:lineRule="auto"/>
        <w:contextualSpacing/>
        <w:jc w:val="both"/>
        <w:rPr>
          <w:rFonts w:ascii="Verdana" w:eastAsia="Calibri" w:hAnsi="Verdana" w:cs="Arial"/>
          <w:b/>
          <w:bCs/>
          <w:sz w:val="20"/>
          <w:szCs w:val="20"/>
          <w:lang w:eastAsia="es-ES"/>
        </w:rPr>
      </w:pPr>
    </w:p>
    <w:p w14:paraId="40392D9A"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r w:rsidRPr="000542B4">
        <w:rPr>
          <w:rFonts w:ascii="Verdana" w:eastAsia="Calibri" w:hAnsi="Verdana" w:cs="Arial"/>
          <w:sz w:val="20"/>
          <w:szCs w:val="20"/>
          <w:lang w:eastAsia="es-ES"/>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xml:space="preserve">, no a los emprendimientos y empresas de </w:t>
      </w:r>
      <w:proofErr w:type="spellStart"/>
      <w:r w:rsidRPr="000542B4">
        <w:rPr>
          <w:rFonts w:ascii="Verdana" w:eastAsia="Calibri" w:hAnsi="Verdana" w:cs="Arial"/>
          <w:sz w:val="20"/>
          <w:szCs w:val="20"/>
          <w:lang w:eastAsia="es-ES"/>
        </w:rPr>
        <w:t>PcD</w:t>
      </w:r>
      <w:proofErr w:type="spellEnd"/>
      <w:r w:rsidRPr="000542B4">
        <w:rPr>
          <w:rFonts w:ascii="Verdana" w:eastAsia="Calibri" w:hAnsi="Verdana" w:cs="Arial"/>
          <w:sz w:val="20"/>
          <w:szCs w:val="20"/>
          <w:lang w:eastAsia="es-ES"/>
        </w:rPr>
        <w:t>, dicha norma exige que al menos el 10% de la nómina esté en condición de discapacidad y opera únicamente cuando hay empate entre dos o más ofertas</w:t>
      </w:r>
      <w:r w:rsidRPr="007B5AD4">
        <w:rPr>
          <w:rFonts w:ascii="Verdana" w:eastAsia="Calibri" w:hAnsi="Verdana" w:cs="Arial"/>
          <w:sz w:val="20"/>
          <w:szCs w:val="20"/>
          <w:lang w:eastAsia="es-ES"/>
        </w:rPr>
        <w:t>.</w:t>
      </w:r>
    </w:p>
    <w:p w14:paraId="6C97535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046648F8"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Compras públicas accesibles ‒ Obligación transversal ‒ Ausencia de normas técnicas ‒ Ficha técnica de accesibilidad ‒ Categorías de discapacidad</w:t>
      </w:r>
    </w:p>
    <w:p w14:paraId="630A0378"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340756"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Ahora, en cuanto a la obligación de compras públicas accesibles, esta es transversal a todos los entes del Estado y aplica en todos los contratos en los que se adquieran bienes, obras o servicios.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w:t>
      </w:r>
      <w:r w:rsidRPr="007B5AD4">
        <w:rPr>
          <w:rFonts w:ascii="Verdana" w:eastAsia="Calibri" w:hAnsi="Verdana" w:cs="Arial"/>
          <w:sz w:val="20"/>
          <w:szCs w:val="20"/>
          <w:lang w:eastAsia="es-ES"/>
        </w:rPr>
        <w:t>.</w:t>
      </w:r>
    </w:p>
    <w:p w14:paraId="710A219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2CB6A1C7"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Ejecución contractual ‒ Permanencia de condiciones ‒ Reducción de personas con discapacidad vinculadas ‒ Incumplimiento contractual</w:t>
      </w:r>
    </w:p>
    <w:p w14:paraId="75690A8F"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59C703CA"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w:t>
      </w:r>
      <w:r w:rsidRPr="00206556">
        <w:rPr>
          <w:rFonts w:ascii="Verdana" w:eastAsia="Calibri" w:hAnsi="Verdana" w:cs="Arial"/>
          <w:sz w:val="20"/>
          <w:szCs w:val="20"/>
          <w:lang w:eastAsia="es-ES"/>
        </w:rPr>
        <w:t>…</w:t>
      </w:r>
      <w:r>
        <w:rPr>
          <w:rFonts w:ascii="Verdana" w:eastAsia="Calibri" w:hAnsi="Verdana" w:cs="Arial"/>
          <w:sz w:val="20"/>
          <w:szCs w:val="20"/>
          <w:lang w:eastAsia="es-ES"/>
        </w:rPr>
        <w:t xml:space="preserve">) </w:t>
      </w:r>
      <w:r w:rsidRPr="00D33696">
        <w:rPr>
          <w:rFonts w:ascii="Verdana" w:eastAsia="Calibri" w:hAnsi="Verdana" w:cs="Arial"/>
          <w:sz w:val="20"/>
          <w:szCs w:val="20"/>
          <w:lang w:eastAsia="es-ES"/>
        </w:rPr>
        <w:t>El parágrafo 3 del artículo 2.2.1.2.4.2.7.4. del Decreto 0287 de 2026 establece que el contratista debe presentar con cada solicitud de pago la documentación que acredite la permanencia de las condiciones que dieron lugar al puntaje adicional, y que:</w:t>
      </w:r>
    </w:p>
    <w:p w14:paraId="42E92F54"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 </w:t>
      </w:r>
    </w:p>
    <w:p w14:paraId="06C9864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"la inobservancia de estas medidas y el incumplimiento injustificado en la reducción del número de trabajadores con discapacidad de la planta de personal acreditado para </w:t>
      </w:r>
      <w:r w:rsidRPr="00D33696">
        <w:rPr>
          <w:rFonts w:ascii="Verdana" w:eastAsia="Calibri" w:hAnsi="Verdana" w:cs="Arial"/>
          <w:sz w:val="20"/>
          <w:szCs w:val="20"/>
          <w:lang w:eastAsia="es-ES"/>
        </w:rPr>
        <w:lastRenderedPageBreak/>
        <w:t>obtener el puntaje adicional podrá constituir causal de incumplimiento contractual y se tramitará conforme a la normatividad vigente".</w:t>
      </w:r>
    </w:p>
    <w:p w14:paraId="7C3126AF" w14:textId="77777777" w:rsidR="00F51D39" w:rsidRPr="00D33696" w:rsidRDefault="00F51D39" w:rsidP="00F51D39">
      <w:pPr>
        <w:spacing w:after="0" w:line="240" w:lineRule="auto"/>
        <w:contextualSpacing/>
        <w:jc w:val="both"/>
        <w:rPr>
          <w:rFonts w:ascii="Verdana" w:eastAsia="Calibri" w:hAnsi="Verdana" w:cs="Arial"/>
          <w:sz w:val="20"/>
          <w:szCs w:val="20"/>
          <w:lang w:eastAsia="es-ES"/>
        </w:rPr>
      </w:pPr>
    </w:p>
    <w:p w14:paraId="04A60010"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D33696">
        <w:rPr>
          <w:rFonts w:ascii="Verdana" w:eastAsia="Calibri" w:hAnsi="Verdana" w:cs="Arial"/>
          <w:sz w:val="20"/>
          <w:szCs w:val="20"/>
          <w:lang w:eastAsia="es-ES"/>
        </w:rPr>
        <w:t xml:space="preserve">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D33696">
        <w:rPr>
          <w:rFonts w:ascii="Verdana" w:eastAsia="Calibri" w:hAnsi="Verdana" w:cs="Arial"/>
          <w:sz w:val="20"/>
          <w:szCs w:val="20"/>
          <w:lang w:eastAsia="es-ES"/>
        </w:rPr>
        <w:t>PcD</w:t>
      </w:r>
      <w:proofErr w:type="spellEnd"/>
      <w:r w:rsidRPr="00D33696">
        <w:rPr>
          <w:rFonts w:ascii="Verdana" w:eastAsia="Calibri" w:hAnsi="Verdana" w:cs="Arial"/>
          <w:sz w:val="20"/>
          <w:szCs w:val="20"/>
          <w:lang w:eastAsia="es-ES"/>
        </w:rPr>
        <w:t>: la norma busca estabilidad real y no meramente nominal, de modo que el contratista debe adoptar las medidas de permanencia compatibles con el ordenamiento laboral vigente.</w:t>
      </w:r>
    </w:p>
    <w:p w14:paraId="6F5D1C48"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6212F861"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w:t>
      </w:r>
      <w:r>
        <w:rPr>
          <w:rFonts w:ascii="Verdana" w:eastAsia="Calibri" w:hAnsi="Verdana" w:cs="Arial"/>
          <w:b/>
          <w:bCs/>
          <w:lang w:eastAsia="es-ES"/>
        </w:rPr>
        <w:t>Entidades de r</w:t>
      </w:r>
      <w:r w:rsidRPr="004C046B">
        <w:rPr>
          <w:rFonts w:ascii="Verdana" w:eastAsia="Calibri" w:hAnsi="Verdana" w:cs="Arial"/>
          <w:b/>
          <w:bCs/>
          <w:lang w:eastAsia="es-ES"/>
        </w:rPr>
        <w:t>égimen especial ‒ Aplicación</w:t>
      </w:r>
    </w:p>
    <w:p w14:paraId="0CCF95C1" w14:textId="77777777" w:rsidR="00F51D39" w:rsidRPr="00206556" w:rsidRDefault="00F51D39" w:rsidP="00F51D39">
      <w:pPr>
        <w:spacing w:after="0" w:line="240" w:lineRule="auto"/>
        <w:contextualSpacing/>
        <w:jc w:val="both"/>
        <w:rPr>
          <w:rFonts w:ascii="Verdana" w:eastAsia="Calibri" w:hAnsi="Verdana" w:cs="Arial"/>
          <w:sz w:val="20"/>
          <w:szCs w:val="20"/>
          <w:lang w:eastAsia="es-ES"/>
        </w:rPr>
      </w:pPr>
    </w:p>
    <w:p w14:paraId="12B0D1E7"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E910FB">
        <w:rPr>
          <w:rFonts w:ascii="Verdana" w:eastAsia="Calibri" w:hAnsi="Verdana" w:cs="Arial"/>
          <w:sz w:val="20"/>
          <w:szCs w:val="20"/>
          <w:lang w:eastAsia="es-ES"/>
        </w:rPr>
        <w:t xml:space="preserve">En cuanto a la aplicación de las medidas afirmativas en entidades con régimen especial de contratación, 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E910FB">
        <w:rPr>
          <w:rFonts w:ascii="Verdana" w:eastAsia="Calibri" w:hAnsi="Verdana" w:cs="Arial"/>
          <w:sz w:val="20"/>
          <w:szCs w:val="20"/>
          <w:lang w:eastAsia="es-ES"/>
        </w:rPr>
        <w:t>PcD</w:t>
      </w:r>
      <w:proofErr w:type="spellEnd"/>
      <w:r w:rsidRPr="00E910FB">
        <w:rPr>
          <w:rFonts w:ascii="Verdana" w:eastAsia="Calibri" w:hAnsi="Verdana" w:cs="Arial"/>
          <w:sz w:val="20"/>
          <w:szCs w:val="20"/>
          <w:lang w:eastAsia="es-ES"/>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247134A8" w14:textId="77777777" w:rsidR="00F51D39" w:rsidRPr="007B5AD4" w:rsidRDefault="00F51D39" w:rsidP="00F51D39">
      <w:pPr>
        <w:spacing w:after="0" w:line="240" w:lineRule="auto"/>
        <w:contextualSpacing/>
        <w:jc w:val="both"/>
        <w:rPr>
          <w:rFonts w:ascii="Verdana" w:eastAsia="Calibri" w:hAnsi="Verdana" w:cs="Arial"/>
          <w:sz w:val="20"/>
          <w:szCs w:val="20"/>
          <w:lang w:eastAsia="es-ES"/>
        </w:rPr>
      </w:pPr>
    </w:p>
    <w:p w14:paraId="25FDCB2D" w14:textId="77777777" w:rsidR="00F51D39" w:rsidRPr="004C046B" w:rsidRDefault="00F51D39" w:rsidP="00F51D39">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14685564"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01A0A138"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0A558430"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DBCEAAD"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lastRenderedPageBreak/>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383A788" w14:textId="77777777" w:rsidR="00F51D39" w:rsidRPr="004C046B" w:rsidRDefault="00F51D39" w:rsidP="00F51D39">
      <w:pPr>
        <w:spacing w:after="0" w:line="240" w:lineRule="auto"/>
        <w:contextualSpacing/>
        <w:jc w:val="both"/>
        <w:rPr>
          <w:rFonts w:ascii="Verdana" w:eastAsia="Calibri" w:hAnsi="Verdana" w:cs="Arial"/>
          <w:sz w:val="20"/>
          <w:szCs w:val="20"/>
          <w:lang w:eastAsia="es-ES"/>
        </w:rPr>
      </w:pPr>
    </w:p>
    <w:p w14:paraId="0CBEE2D7" w14:textId="77777777" w:rsidR="00F51D39" w:rsidRDefault="00F51D39" w:rsidP="00F51D39">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Para los procesos de contratación con proyecto de pliego </w:t>
      </w:r>
      <w:proofErr w:type="gramStart"/>
      <w:r w:rsidRPr="004C046B">
        <w:rPr>
          <w:rFonts w:ascii="Verdana" w:eastAsia="Calibri" w:hAnsi="Verdana" w:cs="Arial"/>
          <w:sz w:val="20"/>
          <w:szCs w:val="20"/>
          <w:lang w:eastAsia="es-ES"/>
        </w:rPr>
        <w:t>publicado</w:t>
      </w:r>
      <w:proofErr w:type="gramEnd"/>
      <w:r w:rsidRPr="004C046B">
        <w:rPr>
          <w:rFonts w:ascii="Verdana" w:eastAsia="Calibri" w:hAnsi="Verdana" w:cs="Arial"/>
          <w:sz w:val="20"/>
          <w:szCs w:val="20"/>
          <w:lang w:eastAsia="es-ES"/>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p>
    <w:p w14:paraId="12110672" w14:textId="77777777" w:rsidR="00F51D39" w:rsidRDefault="00F51D39" w:rsidP="00F51D39">
      <w:pPr>
        <w:spacing w:after="0" w:line="240" w:lineRule="auto"/>
        <w:contextualSpacing/>
        <w:jc w:val="both"/>
        <w:rPr>
          <w:rFonts w:ascii="Verdana" w:eastAsia="Calibri" w:hAnsi="Verdana" w:cs="Arial"/>
          <w:sz w:val="20"/>
          <w:szCs w:val="20"/>
          <w:lang w:eastAsia="es-ES"/>
        </w:rPr>
      </w:pPr>
    </w:p>
    <w:p w14:paraId="482AA94E"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556192AB"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2E7326F2"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A47CDFD"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91AF36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0EDA3021"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1BFC3C78" w14:textId="77777777" w:rsidR="004C046B" w:rsidRDefault="004C046B" w:rsidP="004C046B">
      <w:pPr>
        <w:spacing w:after="0" w:line="240" w:lineRule="auto"/>
        <w:contextualSpacing/>
        <w:jc w:val="both"/>
        <w:rPr>
          <w:rFonts w:ascii="Verdana" w:eastAsia="Calibri" w:hAnsi="Verdana" w:cs="Arial"/>
          <w:sz w:val="20"/>
          <w:szCs w:val="20"/>
          <w:lang w:eastAsia="es-ES"/>
        </w:rPr>
      </w:pPr>
    </w:p>
    <w:p w14:paraId="4B29E45D"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212A9250" w14:textId="77777777" w:rsidR="008D5774" w:rsidRPr="00206556" w:rsidRDefault="008D5774" w:rsidP="008D5774">
      <w:pPr>
        <w:spacing w:after="0" w:line="240" w:lineRule="auto"/>
        <w:contextualSpacing/>
        <w:jc w:val="both"/>
        <w:rPr>
          <w:rFonts w:ascii="Verdana" w:eastAsia="Calibri" w:hAnsi="Verdana" w:cs="Arial"/>
          <w:sz w:val="20"/>
          <w:szCs w:val="20"/>
          <w:lang w:val="es-ES" w:eastAsia="es-ES"/>
        </w:rPr>
      </w:pPr>
    </w:p>
    <w:p w14:paraId="793BC852" w14:textId="77777777" w:rsidR="008D5774" w:rsidRPr="00206556" w:rsidRDefault="008D5774" w:rsidP="008D5774">
      <w:pPr>
        <w:spacing w:after="0" w:line="240" w:lineRule="auto"/>
        <w:contextualSpacing/>
        <w:jc w:val="both"/>
        <w:rPr>
          <w:rFonts w:ascii="Verdana" w:eastAsia="Calibri" w:hAnsi="Verdana" w:cs="Arial"/>
          <w:b/>
          <w:bCs/>
          <w:color w:val="ED7D31" w:themeColor="accent2"/>
          <w:sz w:val="20"/>
          <w:szCs w:val="20"/>
          <w:lang w:val="es-ES" w:eastAsia="es-ES"/>
        </w:rPr>
      </w:pPr>
    </w:p>
    <w:p w14:paraId="1A6A7E64" w14:textId="77777777" w:rsidR="006B694D" w:rsidRDefault="006B694D" w:rsidP="001B064E">
      <w:pPr>
        <w:spacing w:after="0"/>
        <w:rPr>
          <w:rFonts w:ascii="Verdana" w:hAnsi="Verdana"/>
          <w:lang w:val="es-ES_tradnl"/>
        </w:rPr>
      </w:pPr>
    </w:p>
    <w:p w14:paraId="7232AAD6" w14:textId="77777777" w:rsidR="006B694D" w:rsidRDefault="006B694D" w:rsidP="001B064E">
      <w:pPr>
        <w:spacing w:after="0"/>
        <w:rPr>
          <w:rFonts w:ascii="Verdana" w:hAnsi="Verdana"/>
          <w:lang w:val="es-ES_tradnl"/>
        </w:rPr>
      </w:pPr>
    </w:p>
    <w:p w14:paraId="119F3C55" w14:textId="77777777" w:rsidR="006B694D" w:rsidRDefault="006B694D" w:rsidP="001B064E">
      <w:pPr>
        <w:spacing w:after="0"/>
        <w:rPr>
          <w:rFonts w:ascii="Verdana" w:hAnsi="Verdana"/>
          <w:lang w:val="es-ES_tradnl"/>
        </w:rPr>
      </w:pPr>
    </w:p>
    <w:p w14:paraId="640AD810" w14:textId="77777777" w:rsidR="006B694D" w:rsidRDefault="006B694D" w:rsidP="001B064E">
      <w:pPr>
        <w:spacing w:after="0"/>
        <w:rPr>
          <w:rFonts w:ascii="Verdana" w:hAnsi="Verdana"/>
          <w:lang w:val="es-ES_tradnl"/>
        </w:rPr>
      </w:pPr>
    </w:p>
    <w:p w14:paraId="6D917EF6" w14:textId="77777777" w:rsidR="006B694D" w:rsidRDefault="006B694D" w:rsidP="001B064E">
      <w:pPr>
        <w:spacing w:after="0"/>
        <w:rPr>
          <w:rFonts w:ascii="Verdana" w:hAnsi="Verdana"/>
          <w:lang w:val="es-ES_tradnl"/>
        </w:rPr>
      </w:pPr>
    </w:p>
    <w:p w14:paraId="53562C22" w14:textId="77777777" w:rsidR="006B694D" w:rsidRDefault="006B694D" w:rsidP="001B064E">
      <w:pPr>
        <w:spacing w:after="0"/>
        <w:rPr>
          <w:rFonts w:ascii="Verdana" w:hAnsi="Verdana"/>
          <w:lang w:val="es-ES_tradnl"/>
        </w:rPr>
      </w:pPr>
    </w:p>
    <w:p w14:paraId="7A9E6280" w14:textId="77777777" w:rsidR="006B694D" w:rsidRDefault="006B694D" w:rsidP="001B064E">
      <w:pPr>
        <w:spacing w:after="0"/>
        <w:rPr>
          <w:rFonts w:ascii="Verdana" w:hAnsi="Verdana"/>
          <w:lang w:val="es-ES_tradnl"/>
        </w:rPr>
      </w:pPr>
    </w:p>
    <w:p w14:paraId="0DE60436" w14:textId="77777777" w:rsidR="006B694D" w:rsidRDefault="006B694D" w:rsidP="001B064E">
      <w:pPr>
        <w:spacing w:after="0"/>
        <w:rPr>
          <w:rFonts w:ascii="Verdana" w:hAnsi="Verdana"/>
          <w:lang w:val="es-ES_tradnl"/>
        </w:rPr>
      </w:pPr>
    </w:p>
    <w:p w14:paraId="404FD63E" w14:textId="77777777" w:rsidR="006B694D" w:rsidRDefault="006B694D" w:rsidP="001B064E">
      <w:pPr>
        <w:spacing w:after="0"/>
        <w:rPr>
          <w:rFonts w:ascii="Verdana" w:hAnsi="Verdana"/>
          <w:lang w:val="es-ES_tradnl"/>
        </w:rPr>
      </w:pPr>
    </w:p>
    <w:p w14:paraId="53C94B5D" w14:textId="77777777" w:rsidR="006B694D" w:rsidRDefault="006B694D" w:rsidP="001B064E">
      <w:pPr>
        <w:spacing w:after="0"/>
        <w:rPr>
          <w:rFonts w:ascii="Verdana" w:hAnsi="Verdana"/>
          <w:lang w:val="es-ES_tradnl"/>
        </w:rPr>
      </w:pPr>
    </w:p>
    <w:p w14:paraId="4948C67A" w14:textId="77777777" w:rsidR="006B694D" w:rsidRDefault="006B694D" w:rsidP="001B064E">
      <w:pPr>
        <w:spacing w:after="0"/>
        <w:rPr>
          <w:rFonts w:ascii="Verdana" w:hAnsi="Verdana"/>
          <w:lang w:val="es-ES_tradnl"/>
        </w:rPr>
      </w:pPr>
    </w:p>
    <w:p w14:paraId="12528B7C" w14:textId="77777777" w:rsidR="006B694D" w:rsidRDefault="006B694D" w:rsidP="001B064E">
      <w:pPr>
        <w:spacing w:after="0"/>
        <w:rPr>
          <w:rFonts w:ascii="Verdana" w:hAnsi="Verdana"/>
          <w:lang w:val="es-ES_tradnl"/>
        </w:rPr>
      </w:pPr>
    </w:p>
    <w:p w14:paraId="2303ACB3" w14:textId="77777777" w:rsidR="006B694D" w:rsidRDefault="006B694D" w:rsidP="001B064E">
      <w:pPr>
        <w:spacing w:after="0"/>
        <w:rPr>
          <w:rFonts w:ascii="Verdana" w:hAnsi="Verdana"/>
          <w:lang w:val="es-ES_tradnl"/>
        </w:rPr>
      </w:pPr>
    </w:p>
    <w:p w14:paraId="5EF01884" w14:textId="77777777" w:rsidR="006B694D" w:rsidRDefault="006B694D" w:rsidP="001B064E">
      <w:pPr>
        <w:spacing w:after="0"/>
        <w:rPr>
          <w:rFonts w:ascii="Verdana" w:hAnsi="Verdana"/>
          <w:lang w:val="es-ES_tradnl"/>
        </w:rPr>
      </w:pPr>
    </w:p>
    <w:p w14:paraId="04097CB2" w14:textId="77777777" w:rsidR="006B694D" w:rsidRDefault="006B694D" w:rsidP="001B064E">
      <w:pPr>
        <w:spacing w:after="0"/>
        <w:rPr>
          <w:rFonts w:ascii="Verdana" w:hAnsi="Verdana"/>
          <w:lang w:val="es-ES_tradnl"/>
        </w:rPr>
      </w:pPr>
    </w:p>
    <w:p w14:paraId="004836A2" w14:textId="77777777" w:rsidR="006B694D" w:rsidRDefault="006B694D" w:rsidP="001B064E">
      <w:pPr>
        <w:spacing w:after="0"/>
        <w:rPr>
          <w:rFonts w:ascii="Verdana" w:hAnsi="Verdana"/>
          <w:lang w:val="es-ES_tradnl"/>
        </w:rPr>
      </w:pPr>
    </w:p>
    <w:p w14:paraId="0031C6AC" w14:textId="77777777" w:rsidR="00073E6D" w:rsidRDefault="00073E6D" w:rsidP="001B064E">
      <w:pPr>
        <w:spacing w:after="0"/>
        <w:rPr>
          <w:rFonts w:ascii="Verdana" w:hAnsi="Verdana"/>
          <w:lang w:val="es-ES_tradnl"/>
        </w:rPr>
      </w:pPr>
    </w:p>
    <w:p w14:paraId="62D221C9" w14:textId="21571484" w:rsidR="001B064E" w:rsidRPr="00777292" w:rsidRDefault="00073E6D" w:rsidP="001B064E">
      <w:pPr>
        <w:spacing w:after="0"/>
        <w:rPr>
          <w:rFonts w:ascii="Verdana" w:hAnsi="Verdana"/>
          <w:lang w:val="es-ES_tradnl"/>
        </w:rPr>
      </w:pPr>
      <w:r w:rsidRPr="00073E6D">
        <w:rPr>
          <w:rFonts w:ascii="Verdana" w:hAnsi="Verdana"/>
        </w:rPr>
        <w:lastRenderedPageBreak/>
        <w:t xml:space="preserve">Bogotá D.C., 18 de </w:t>
      </w:r>
      <w:r w:rsidR="00AC13D6" w:rsidRPr="00073E6D">
        <w:rPr>
          <w:rFonts w:ascii="Verdana" w:hAnsi="Verdana"/>
        </w:rPr>
        <w:t>mayo</w:t>
      </w:r>
      <w:r w:rsidRPr="00073E6D">
        <w:rPr>
          <w:rFonts w:ascii="Verdana" w:hAnsi="Verdana"/>
        </w:rPr>
        <w:t xml:space="preserve"> de 2026</w:t>
      </w:r>
    </w:p>
    <w:p w14:paraId="385F21B8" w14:textId="77777777" w:rsidR="00073E6D" w:rsidRDefault="00073E6D" w:rsidP="00073E6D">
      <w:pPr>
        <w:spacing w:after="0"/>
        <w:rPr>
          <w:rFonts w:ascii="Verdana" w:hAnsi="Verdana"/>
          <w:lang w:val="es-ES_tradnl"/>
        </w:rPr>
      </w:pPr>
      <w:r w:rsidRPr="00073E6D">
        <w:rPr>
          <w:rFonts w:ascii="Verdana" w:eastAsia="Calibri" w:hAnsi="Verdana" w:cs="Arial"/>
          <w:b/>
          <w:bCs/>
          <w:noProof/>
          <w:lang w:val="es-ES" w:eastAsia="es-ES"/>
        </w:rPr>
        <w:drawing>
          <wp:anchor distT="0" distB="0" distL="114300" distR="114300" simplePos="0" relativeHeight="251658240" behindDoc="1" locked="0" layoutInCell="1" allowOverlap="1" wp14:anchorId="3E5519FD" wp14:editId="3D95B128">
            <wp:simplePos x="0" y="0"/>
            <wp:positionH relativeFrom="column">
              <wp:posOffset>3109595</wp:posOffset>
            </wp:positionH>
            <wp:positionV relativeFrom="paragraph">
              <wp:posOffset>56515</wp:posOffset>
            </wp:positionV>
            <wp:extent cx="2376805" cy="648335"/>
            <wp:effectExtent l="0" t="0" r="4445" b="0"/>
            <wp:wrapSquare wrapText="bothSides"/>
            <wp:docPr id="79931045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310454" name="Imagen 1" descr="Text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6805" cy="648335"/>
                    </a:xfrm>
                    <a:prstGeom prst="rect">
                      <a:avLst/>
                    </a:prstGeom>
                  </pic:spPr>
                </pic:pic>
              </a:graphicData>
            </a:graphic>
            <wp14:sizeRelH relativeFrom="page">
              <wp14:pctWidth>0</wp14:pctWidth>
            </wp14:sizeRelH>
            <wp14:sizeRelV relativeFrom="page">
              <wp14:pctHeight>0</wp14:pctHeight>
            </wp14:sizeRelV>
          </wp:anchor>
        </w:drawing>
      </w:r>
      <w:bookmarkStart w:id="0" w:name="_Hlk143780582"/>
    </w:p>
    <w:p w14:paraId="165A5F33" w14:textId="50F3E9DA" w:rsidR="008D5774" w:rsidRPr="00073E6D" w:rsidRDefault="008D5774" w:rsidP="00073E6D">
      <w:pPr>
        <w:spacing w:after="0"/>
        <w:rPr>
          <w:rFonts w:ascii="Verdana" w:hAnsi="Verdana"/>
          <w:lang w:val="es-ES_tradnl"/>
        </w:rPr>
      </w:pPr>
      <w:r w:rsidRPr="00777292">
        <w:rPr>
          <w:rFonts w:ascii="Verdana" w:eastAsia="Calibri" w:hAnsi="Verdana" w:cs="Arial"/>
          <w:lang w:val="es-ES" w:eastAsia="es-ES"/>
        </w:rPr>
        <w:t>Señor</w:t>
      </w:r>
      <w:r w:rsidR="00F51D39">
        <w:rPr>
          <w:rFonts w:ascii="Verdana" w:eastAsia="Calibri" w:hAnsi="Verdana" w:cs="Arial"/>
          <w:lang w:val="es-ES" w:eastAsia="es-ES"/>
        </w:rPr>
        <w:t>a</w:t>
      </w:r>
    </w:p>
    <w:p w14:paraId="2402F1C9" w14:textId="5504C3DB" w:rsidR="008D5774" w:rsidRPr="006B694D" w:rsidRDefault="00F51D39" w:rsidP="008D5774">
      <w:pPr>
        <w:spacing w:after="0"/>
        <w:rPr>
          <w:rFonts w:ascii="Verdana" w:eastAsia="Calibri" w:hAnsi="Verdana" w:cs="Arial"/>
          <w:b/>
          <w:bCs/>
          <w:lang w:val="es-ES" w:eastAsia="es-ES"/>
        </w:rPr>
      </w:pPr>
      <w:r>
        <w:rPr>
          <w:rFonts w:ascii="Verdana" w:eastAsia="Calibri" w:hAnsi="Verdana" w:cs="Arial"/>
          <w:b/>
          <w:bCs/>
          <w:lang w:val="es-ES" w:eastAsia="es-ES"/>
        </w:rPr>
        <w:t>Yuly Andrea Ávila Parada</w:t>
      </w:r>
      <w:r w:rsidR="00073E6D" w:rsidRPr="00073E6D">
        <w:rPr>
          <w:noProof/>
        </w:rPr>
        <w:t xml:space="preserve"> </w:t>
      </w:r>
    </w:p>
    <w:p w14:paraId="161EFC6C" w14:textId="5696DC01" w:rsidR="008D5774" w:rsidRPr="006B694D" w:rsidRDefault="00F51D39" w:rsidP="008D5774">
      <w:pPr>
        <w:spacing w:after="0"/>
        <w:rPr>
          <w:rStyle w:val="Hipervnculo"/>
          <w:rFonts w:ascii="Verdana" w:hAnsi="Verdana"/>
          <w:color w:val="ED7D31" w:themeColor="accent2"/>
        </w:rPr>
      </w:pPr>
      <w:r>
        <w:rPr>
          <w:rFonts w:ascii="Verdana" w:hAnsi="Verdana"/>
        </w:rPr>
        <w:t>yavilaparada@gmail.com</w:t>
      </w:r>
    </w:p>
    <w:p w14:paraId="61203DA3" w14:textId="09E09D7D" w:rsidR="001B6C7C" w:rsidRPr="00777292" w:rsidRDefault="00F51D39" w:rsidP="001B6C7C">
      <w:pPr>
        <w:spacing w:after="0"/>
        <w:rPr>
          <w:rFonts w:ascii="Verdana" w:eastAsia="Calibri" w:hAnsi="Verdana" w:cs="Arial"/>
          <w:lang w:eastAsia="es-ES"/>
        </w:rPr>
      </w:pPr>
      <w:r>
        <w:rPr>
          <w:rFonts w:ascii="Verdana" w:eastAsia="Calibri" w:hAnsi="Verdana" w:cs="Arial"/>
          <w:lang w:eastAsia="es-ES"/>
        </w:rPr>
        <w:t>Tunja, Boyacá</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B6C7C" w:rsidRPr="00777292" w14:paraId="085D21A1" w14:textId="77777777">
        <w:trPr>
          <w:trHeight w:val="190"/>
        </w:trPr>
        <w:tc>
          <w:tcPr>
            <w:tcW w:w="2689" w:type="dxa"/>
          </w:tcPr>
          <w:p w14:paraId="2CE989D5" w14:textId="77777777" w:rsidR="001B6C7C" w:rsidRPr="00777292" w:rsidRDefault="001B6C7C">
            <w:pPr>
              <w:jc w:val="both"/>
              <w:rPr>
                <w:rFonts w:ascii="Verdana" w:eastAsia="Calibri" w:hAnsi="Verdana" w:cs="Arial"/>
                <w:b/>
                <w:bCs/>
                <w:lang w:eastAsia="es-ES_tradnl"/>
              </w:rPr>
            </w:pPr>
          </w:p>
        </w:tc>
        <w:tc>
          <w:tcPr>
            <w:tcW w:w="6100" w:type="dxa"/>
          </w:tcPr>
          <w:p w14:paraId="16596E46" w14:textId="4688C152" w:rsidR="001B6C7C" w:rsidRPr="00777292" w:rsidRDefault="001B6C7C">
            <w:pPr>
              <w:jc w:val="both"/>
              <w:rPr>
                <w:rFonts w:ascii="Verdana" w:eastAsia="Calibri" w:hAnsi="Verdana" w:cs="Arial"/>
                <w:b/>
                <w:bCs/>
                <w:lang w:eastAsia="es-ES"/>
              </w:rPr>
            </w:pPr>
            <w:r w:rsidRPr="00777292">
              <w:rPr>
                <w:rFonts w:ascii="Verdana" w:eastAsia="Calibri" w:hAnsi="Verdana" w:cs="Arial"/>
                <w:b/>
                <w:bCs/>
                <w:lang w:eastAsia="es-ES"/>
              </w:rPr>
              <w:t>Concepto C-</w:t>
            </w:r>
            <w:r w:rsidR="006B694D">
              <w:rPr>
                <w:rFonts w:ascii="Verdana" w:eastAsia="Calibri" w:hAnsi="Verdana" w:cs="Arial"/>
                <w:b/>
                <w:bCs/>
                <w:lang w:eastAsia="es-ES"/>
              </w:rPr>
              <w:t>5</w:t>
            </w:r>
            <w:r w:rsidR="00F51D39">
              <w:rPr>
                <w:rFonts w:ascii="Verdana" w:eastAsia="Calibri" w:hAnsi="Verdana" w:cs="Arial"/>
                <w:b/>
                <w:bCs/>
                <w:lang w:eastAsia="es-ES"/>
              </w:rPr>
              <w:t>87</w:t>
            </w:r>
            <w:r w:rsidRPr="00777292">
              <w:rPr>
                <w:rFonts w:ascii="Verdana" w:eastAsia="Calibri" w:hAnsi="Verdana" w:cs="Arial"/>
                <w:b/>
                <w:bCs/>
                <w:lang w:eastAsia="es-ES"/>
              </w:rPr>
              <w:t xml:space="preserve"> de 2026</w:t>
            </w:r>
          </w:p>
          <w:p w14:paraId="7FE82840" w14:textId="77777777" w:rsidR="001B6C7C" w:rsidRPr="00777292" w:rsidRDefault="001B6C7C">
            <w:pPr>
              <w:jc w:val="both"/>
              <w:rPr>
                <w:rFonts w:ascii="Verdana" w:eastAsia="Calibri" w:hAnsi="Verdana" w:cs="Arial"/>
                <w:b/>
                <w:bCs/>
                <w:lang w:eastAsia="es-ES"/>
              </w:rPr>
            </w:pPr>
          </w:p>
        </w:tc>
      </w:tr>
      <w:tr w:rsidR="00D37910" w:rsidRPr="00777292" w14:paraId="63A5AB9D" w14:textId="77777777">
        <w:trPr>
          <w:trHeight w:val="884"/>
        </w:trPr>
        <w:tc>
          <w:tcPr>
            <w:tcW w:w="2689" w:type="dxa"/>
          </w:tcPr>
          <w:p w14:paraId="77DFD30F" w14:textId="77777777"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51352886" w14:textId="77777777" w:rsidR="00D37910" w:rsidRDefault="00D37910" w:rsidP="00D37910">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No acumulabilidad ‒ Acreditación simultánea de condiciones ‒ Modalidades de selección aplicables</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Vinculación de personas con discapacidad ‒ Planillas de seguridad social ‒ Período de tres meses ‒ Vinculaciones recientes</w:t>
            </w:r>
            <w:r>
              <w:rPr>
                <w:rFonts w:ascii="Verdana" w:eastAsia="Calibri" w:hAnsi="Verdana" w:cs="Arial"/>
                <w:lang w:eastAsia="es-ES"/>
              </w:rPr>
              <w:t xml:space="preserve"> / </w:t>
            </w:r>
            <w:r w:rsidRPr="00777292">
              <w:rPr>
                <w:rFonts w:ascii="Verdana" w:eastAsia="Calibri" w:hAnsi="Verdana" w:cs="Arial"/>
                <w:lang w:eastAsia="es-ES"/>
              </w:rPr>
              <w:t>DECRETO 0287 DE 2026 ‒ Criterios habilitantes diferenciales ‒ Ajustados ‒ Obligatoriedad ‒ Proporcionalidad ‒ Proponentes plurales ‒ Consorcios y uniones temporales</w:t>
            </w:r>
            <w:r>
              <w:rPr>
                <w:rFonts w:ascii="Verdana" w:eastAsia="Calibri" w:hAnsi="Verdana" w:cs="Arial"/>
                <w:lang w:eastAsia="es-ES"/>
              </w:rPr>
              <w:t xml:space="preserve"> / </w:t>
            </w:r>
            <w:r w:rsidRPr="00777292">
              <w:rPr>
                <w:rFonts w:ascii="Verdana" w:eastAsia="Calibri" w:hAnsi="Verdana" w:cs="Arial"/>
                <w:lang w:eastAsia="es-ES"/>
              </w:rPr>
              <w:t>DECRETO 0287 DE 2026 ‒ Condiciones especiales de ejecución ‒ Subcontratación inclusiva ‒ Integración del equipo de trabajo ‒ Obligatoriedad ‒ Justificación de omisión</w:t>
            </w:r>
            <w:r>
              <w:rPr>
                <w:rFonts w:ascii="Verdana" w:eastAsia="Calibri" w:hAnsi="Verdana" w:cs="Arial"/>
                <w:lang w:eastAsia="es-ES"/>
              </w:rPr>
              <w:t xml:space="preserve"> / </w:t>
            </w:r>
            <w:r w:rsidRPr="00777292">
              <w:rPr>
                <w:rFonts w:ascii="Verdana" w:eastAsia="Calibri" w:hAnsi="Verdana" w:cs="Arial"/>
                <w:lang w:eastAsia="es-ES"/>
              </w:rPr>
              <w:t>DECRETO 0287 DE 2026 ‒ Documentos tipo ‒ Principio de inalterabilidad ‒ Régimen de transición ‒ Actualización ‒ Colombia Compra Eficiente</w:t>
            </w:r>
            <w:r>
              <w:rPr>
                <w:rFonts w:ascii="Verdana" w:eastAsia="Calibri" w:hAnsi="Verdana" w:cs="Arial"/>
                <w:lang w:eastAsia="es-ES"/>
              </w:rPr>
              <w:t xml:space="preserve"> / </w:t>
            </w:r>
            <w:r w:rsidRPr="00777292">
              <w:rPr>
                <w:rFonts w:ascii="Verdana" w:eastAsia="Calibri" w:hAnsi="Verdana" w:cs="Arial"/>
                <w:lang w:eastAsia="es-ES"/>
              </w:rPr>
              <w:t>DECRETO 0287 DE 2026 ‒ Contratos de prestación de servicios ‒ personas con discapacidad ‒ Carácter potestativo ‒ Contratación directa</w:t>
            </w:r>
            <w:r>
              <w:rPr>
                <w:rFonts w:ascii="Verdana" w:eastAsia="Calibri" w:hAnsi="Verdana" w:cs="Arial"/>
                <w:lang w:eastAsia="es-ES"/>
              </w:rPr>
              <w:t xml:space="preserve"> / </w:t>
            </w:r>
            <w:r w:rsidRPr="00777292">
              <w:rPr>
                <w:rFonts w:ascii="Verdana" w:eastAsia="Calibri" w:hAnsi="Verdana" w:cs="Arial"/>
                <w:lang w:eastAsia="es-ES"/>
              </w:rPr>
              <w:t>DECRETO 0287 DE 2026 ‒ Puntaje adicional del 2% ‒ Compatibilidad ‒ Incentivos MiPymes ‒ Empresas de mujeres ‒ Criterio de desempate ‒ Ley 2069 de 2020</w:t>
            </w:r>
            <w:r>
              <w:rPr>
                <w:rFonts w:ascii="Verdana" w:eastAsia="Calibri" w:hAnsi="Verdana" w:cs="Arial"/>
                <w:lang w:eastAsia="es-ES"/>
              </w:rPr>
              <w:t xml:space="preserve"> / </w:t>
            </w:r>
            <w:r w:rsidRPr="00777292">
              <w:rPr>
                <w:rFonts w:ascii="Verdana" w:eastAsia="Calibri" w:hAnsi="Verdana" w:cs="Arial"/>
                <w:lang w:eastAsia="es-ES"/>
              </w:rPr>
              <w:t xml:space="preserve">DECRETO 0287 DE 2026 ‒ Compras públicas accesibles ‒ Obligación transversal ‒ Ausencia de normas técnicas ‒ Ficha </w:t>
            </w:r>
            <w:r w:rsidRPr="00777292">
              <w:rPr>
                <w:rFonts w:ascii="Verdana" w:eastAsia="Calibri" w:hAnsi="Verdana" w:cs="Arial"/>
                <w:lang w:eastAsia="es-ES"/>
              </w:rPr>
              <w:lastRenderedPageBreak/>
              <w:t>técnica de accesibilidad ‒ Categorías de discapacidad</w:t>
            </w:r>
            <w:r>
              <w:rPr>
                <w:rFonts w:ascii="Verdana" w:eastAsia="Calibri" w:hAnsi="Verdana" w:cs="Arial"/>
                <w:lang w:eastAsia="es-ES"/>
              </w:rPr>
              <w:t xml:space="preserve"> /</w:t>
            </w:r>
            <w:r>
              <w:t xml:space="preserve"> </w:t>
            </w:r>
            <w:r w:rsidRPr="00777292">
              <w:rPr>
                <w:rFonts w:ascii="Verdana" w:eastAsia="Calibri" w:hAnsi="Verdana" w:cs="Arial"/>
                <w:lang w:eastAsia="es-ES"/>
              </w:rPr>
              <w:t>DECRETO 0287 DE 2026 ‒ Ejecución contractual ‒ Permanencia de condiciones ‒ Reducción de personas con discapacidad vinculadas ‒ Incumplimiento contractual</w:t>
            </w:r>
            <w:r>
              <w:rPr>
                <w:rFonts w:ascii="Verdana" w:eastAsia="Calibri" w:hAnsi="Verdana" w:cs="Arial"/>
                <w:lang w:eastAsia="es-ES"/>
              </w:rPr>
              <w:t xml:space="preserve"> / </w:t>
            </w:r>
            <w:r w:rsidRPr="00777292">
              <w:rPr>
                <w:rFonts w:ascii="Verdana" w:eastAsia="Calibri" w:hAnsi="Verdana" w:cs="Arial"/>
                <w:lang w:eastAsia="es-ES"/>
              </w:rPr>
              <w:t>DECRETO 0287 DE 2026 ‒ Entidades de régimen especial ‒ Aplicación</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34C0CDD8" w14:textId="23F321FB" w:rsidR="00073E6D" w:rsidRPr="00777292" w:rsidRDefault="00073E6D" w:rsidP="00D37910">
            <w:pPr>
              <w:contextualSpacing/>
              <w:jc w:val="both"/>
              <w:rPr>
                <w:rFonts w:ascii="Verdana" w:eastAsia="Calibri" w:hAnsi="Verdana" w:cs="Arial"/>
                <w:lang w:eastAsia="es-ES"/>
              </w:rPr>
            </w:pPr>
          </w:p>
        </w:tc>
      </w:tr>
      <w:tr w:rsidR="00D37910" w:rsidRPr="00777292" w14:paraId="18649ABC" w14:textId="77777777">
        <w:tc>
          <w:tcPr>
            <w:tcW w:w="2689" w:type="dxa"/>
          </w:tcPr>
          <w:p w14:paraId="65B57F33" w14:textId="77777777" w:rsidR="00D37910" w:rsidRPr="00777292" w:rsidRDefault="00D37910" w:rsidP="00D37910">
            <w:pPr>
              <w:jc w:val="both"/>
              <w:rPr>
                <w:rFonts w:ascii="Verdana" w:eastAsia="Calibri" w:hAnsi="Verdana" w:cs="Arial"/>
                <w:b/>
                <w:lang w:eastAsia="es-ES_tradnl"/>
              </w:rPr>
            </w:pPr>
            <w:r w:rsidRPr="00777292">
              <w:rPr>
                <w:rFonts w:ascii="Verdana" w:eastAsia="Calibri" w:hAnsi="Verdana" w:cs="Arial"/>
                <w:b/>
                <w:lang w:eastAsia="es-ES_tradnl"/>
              </w:rPr>
              <w:lastRenderedPageBreak/>
              <w:t>Radicación:</w:t>
            </w:r>
            <w:r w:rsidRPr="00777292">
              <w:rPr>
                <w:rFonts w:ascii="Verdana" w:eastAsia="Calibri" w:hAnsi="Verdana" w:cs="Arial"/>
                <w:lang w:eastAsia="es-ES_tradnl"/>
              </w:rPr>
              <w:t xml:space="preserve">               </w:t>
            </w:r>
          </w:p>
        </w:tc>
        <w:tc>
          <w:tcPr>
            <w:tcW w:w="6100" w:type="dxa"/>
          </w:tcPr>
          <w:p w14:paraId="7EDDA735" w14:textId="212AE387" w:rsidR="00D37910" w:rsidRPr="00777292" w:rsidRDefault="00D37910" w:rsidP="00D37910">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Pr="00F51D39">
              <w:rPr>
                <w:rFonts w:ascii="Verdana" w:hAnsi="Verdana" w:cs="Segoe UI"/>
                <w:color w:val="2B2B2B"/>
                <w:shd w:val="clear" w:color="auto" w:fill="FFFFFF"/>
              </w:rPr>
              <w:t>1_2026_04_10_004894</w:t>
            </w:r>
          </w:p>
        </w:tc>
      </w:tr>
    </w:tbl>
    <w:p w14:paraId="7B20ECE9" w14:textId="21F5D4C2" w:rsidR="008D5774" w:rsidRPr="00206556" w:rsidRDefault="008D5774" w:rsidP="008D5774">
      <w:pPr>
        <w:spacing w:after="0" w:line="276" w:lineRule="auto"/>
        <w:jc w:val="both"/>
        <w:rPr>
          <w:rFonts w:ascii="Verdana" w:eastAsia="Calibri" w:hAnsi="Verdana" w:cs="Arial"/>
          <w:color w:val="ED7D31" w:themeColor="accent2"/>
          <w:lang w:val="es-ES" w:eastAsia="es-ES"/>
        </w:rPr>
      </w:pPr>
    </w:p>
    <w:p w14:paraId="392D9012" w14:textId="1736F3BA"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Estimad</w:t>
      </w:r>
      <w:r w:rsidR="00C622DE" w:rsidRPr="006B694D">
        <w:rPr>
          <w:rFonts w:ascii="Verdana" w:eastAsia="Calibri" w:hAnsi="Verdana" w:cs="Arial"/>
          <w:lang w:val="es-ES" w:eastAsia="es-ES"/>
        </w:rPr>
        <w:t>o</w:t>
      </w:r>
      <w:r w:rsidRPr="006B694D">
        <w:rPr>
          <w:rFonts w:ascii="Verdana" w:eastAsia="Calibri" w:hAnsi="Verdana" w:cs="Arial"/>
          <w:lang w:val="es-ES" w:eastAsia="es-ES"/>
        </w:rPr>
        <w:t xml:space="preserve"> </w:t>
      </w:r>
      <w:r w:rsidR="00F51D39">
        <w:rPr>
          <w:rFonts w:ascii="Verdana" w:eastAsia="Calibri" w:hAnsi="Verdana" w:cs="Arial"/>
          <w:lang w:val="es-ES" w:eastAsia="es-ES"/>
        </w:rPr>
        <w:t>señora</w:t>
      </w:r>
      <w:r w:rsidR="006B694D" w:rsidRPr="006B694D">
        <w:rPr>
          <w:rFonts w:ascii="Verdana" w:eastAsia="Calibri" w:hAnsi="Verdana" w:cs="Arial"/>
          <w:lang w:val="es-ES" w:eastAsia="es-ES"/>
        </w:rPr>
        <w:t xml:space="preserve"> </w:t>
      </w:r>
      <w:r w:rsidR="00F51D39">
        <w:rPr>
          <w:rFonts w:ascii="Verdana" w:eastAsia="Calibri" w:hAnsi="Verdana" w:cs="Arial"/>
          <w:lang w:val="es-ES" w:eastAsia="es-ES"/>
        </w:rPr>
        <w:t>Ávila</w:t>
      </w:r>
      <w:r w:rsidRPr="006B694D">
        <w:rPr>
          <w:rFonts w:ascii="Verdana" w:eastAsia="Calibri" w:hAnsi="Verdana" w:cs="Arial"/>
          <w:lang w:val="es-ES" w:eastAsia="es-ES"/>
        </w:rPr>
        <w:t>,</w:t>
      </w:r>
    </w:p>
    <w:p w14:paraId="23FCCBE5" w14:textId="77777777" w:rsidR="008D5774" w:rsidRPr="00206556" w:rsidRDefault="008D5774" w:rsidP="008D5774">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3426E35D" w14:textId="62951C8D" w:rsidR="008D5774" w:rsidRPr="00206556" w:rsidRDefault="008D5774" w:rsidP="008D5774">
      <w:pPr>
        <w:spacing w:after="0" w:line="276" w:lineRule="auto"/>
        <w:jc w:val="both"/>
        <w:rPr>
          <w:rFonts w:ascii="Verdana" w:eastAsia="Calibri" w:hAnsi="Verdana" w:cs="Arial"/>
          <w:lang w:val="es-ES" w:eastAsia="es-ES"/>
        </w:rPr>
      </w:pPr>
      <w:r w:rsidRPr="006B694D">
        <w:rPr>
          <w:rFonts w:ascii="Verdana" w:eastAsia="Calibri" w:hAnsi="Verdana" w:cs="Arial"/>
          <w:lang w:val="es-ES" w:eastAsia="es-ES"/>
        </w:rPr>
        <w:t>En ejercicio de la competencia otorgada por los artículos 3, numeral 5º, y 11, numeral 8º, del Decreto Ley 4170 de 2011,</w:t>
      </w:r>
      <w:r w:rsidRPr="006B694D">
        <w:rPr>
          <w:rFonts w:ascii="Verdana" w:eastAsia="Arial MT" w:hAnsi="Verdana" w:cs="Arial MT"/>
          <w:lang w:val="es-ES" w:eastAsia="es-ES"/>
        </w:rPr>
        <w:t xml:space="preserve"> </w:t>
      </w:r>
      <w:r w:rsidRPr="006B694D">
        <w:rPr>
          <w:rFonts w:ascii="Verdana" w:hAnsi="Verdana" w:cs="Arial"/>
          <w:lang w:val="es-ES"/>
        </w:rPr>
        <w:t xml:space="preserve">así como lo establecido en </w:t>
      </w:r>
      <w:r w:rsidR="00995967" w:rsidRPr="006B694D">
        <w:rPr>
          <w:rFonts w:ascii="Verdana" w:hAnsi="Verdana" w:cs="Arial"/>
          <w:lang w:val="es-ES"/>
        </w:rPr>
        <w:t xml:space="preserve">la Resolución 469 de 2025 </w:t>
      </w:r>
      <w:r w:rsidRPr="006B694D">
        <w:rPr>
          <w:rFonts w:ascii="Verdana" w:hAnsi="Verdana" w:cs="Arial"/>
          <w:lang w:val="es-ES"/>
        </w:rPr>
        <w:t xml:space="preserve">expedida por esta Entidad, </w:t>
      </w:r>
      <w:r w:rsidRPr="006B694D">
        <w:rPr>
          <w:rFonts w:ascii="Verdana" w:eastAsia="Calibri" w:hAnsi="Verdana" w:cs="Arial"/>
          <w:lang w:val="es-ES" w:eastAsia="es-ES"/>
        </w:rPr>
        <w:t xml:space="preserve">la Agencia Nacional de Contratación Pública – Colombia Compra Eficiente– responde su solicitud de consulta de fecha </w:t>
      </w:r>
      <w:r w:rsidR="00F51D39">
        <w:rPr>
          <w:rFonts w:ascii="Verdana" w:eastAsia="Calibri" w:hAnsi="Verdana" w:cs="Arial"/>
          <w:lang w:val="es-ES" w:eastAsia="es-ES"/>
        </w:rPr>
        <w:t>10</w:t>
      </w:r>
      <w:r w:rsidRPr="006B694D">
        <w:rPr>
          <w:rFonts w:ascii="Verdana" w:eastAsia="Calibri" w:hAnsi="Verdana" w:cs="Arial"/>
          <w:lang w:val="es-ES" w:eastAsia="es-ES"/>
        </w:rPr>
        <w:t xml:space="preserve"> de </w:t>
      </w:r>
      <w:r w:rsidR="00F51D39">
        <w:rPr>
          <w:rFonts w:ascii="Verdana" w:eastAsia="Calibri" w:hAnsi="Verdana" w:cs="Arial"/>
          <w:lang w:val="es-ES" w:eastAsia="es-ES"/>
        </w:rPr>
        <w:t>abril</w:t>
      </w:r>
      <w:r w:rsidRPr="006B694D">
        <w:rPr>
          <w:rFonts w:ascii="Verdana" w:eastAsia="Calibri" w:hAnsi="Verdana" w:cs="Arial"/>
          <w:lang w:val="es-ES" w:eastAsia="es-ES"/>
        </w:rPr>
        <w:t xml:space="preserve"> de 202</w:t>
      </w:r>
      <w:r w:rsidR="0006693F" w:rsidRPr="006B694D">
        <w:rPr>
          <w:rFonts w:ascii="Verdana" w:eastAsia="Calibri" w:hAnsi="Verdana" w:cs="Arial"/>
          <w:lang w:val="es-ES" w:eastAsia="es-ES"/>
        </w:rPr>
        <w:t>6</w:t>
      </w:r>
      <w:r w:rsidRPr="006B694D">
        <w:rPr>
          <w:rFonts w:ascii="Verdana" w:eastAsia="Calibri" w:hAnsi="Verdana" w:cs="Arial"/>
          <w:lang w:val="es-ES" w:eastAsia="es-ES"/>
        </w:rPr>
        <w:t>, en la cual manifiesta lo siguiente</w:t>
      </w:r>
      <w:r w:rsidRPr="00206556">
        <w:rPr>
          <w:rFonts w:ascii="Verdana" w:eastAsia="Calibri" w:hAnsi="Verdana" w:cs="Arial"/>
          <w:lang w:val="es-ES" w:eastAsia="es-ES"/>
        </w:rPr>
        <w:t xml:space="preserve">: </w:t>
      </w:r>
    </w:p>
    <w:p w14:paraId="64073759" w14:textId="0A86B783" w:rsidR="009948E7" w:rsidRDefault="009948E7" w:rsidP="00346FE0">
      <w:pPr>
        <w:spacing w:before="120" w:after="120" w:line="240" w:lineRule="auto"/>
        <w:ind w:right="709"/>
        <w:contextualSpacing/>
        <w:jc w:val="both"/>
        <w:rPr>
          <w:rFonts w:ascii="Verdana" w:eastAsia="Century Gothic" w:hAnsi="Verdana" w:cs="Century Gothic"/>
          <w:i/>
          <w:iCs/>
          <w:sz w:val="20"/>
          <w:szCs w:val="20"/>
          <w:lang w:val="es-ES"/>
        </w:rPr>
      </w:pPr>
    </w:p>
    <w:p w14:paraId="396CD0F1" w14:textId="13C44914" w:rsidR="00F51D39" w:rsidRPr="00073E6D" w:rsidRDefault="00F51D39" w:rsidP="00073E6D">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En atención a la expedición del Decreto 287 del 19 de marzo de 2026, mediante el cual se</w:t>
      </w:r>
      <w:r w:rsidR="00073E6D" w:rsidRPr="00073E6D">
        <w:rPr>
          <w:rFonts w:ascii="Verdana" w:eastAsia="Century Gothic" w:hAnsi="Verdana" w:cs="Century Gothic"/>
          <w:sz w:val="20"/>
          <w:szCs w:val="20"/>
        </w:rPr>
        <w:t xml:space="preserve"> </w:t>
      </w:r>
      <w:r w:rsidRPr="00073E6D">
        <w:rPr>
          <w:rFonts w:ascii="Verdana" w:eastAsia="Century Gothic" w:hAnsi="Verdana" w:cs="Century Gothic"/>
          <w:sz w:val="20"/>
          <w:szCs w:val="20"/>
        </w:rPr>
        <w:t>introducen medidas orientadas a promover la inclusión de personas con discapacidad en el sistema de compras públicas y se modifican disposiciones del Decreto 1082 de 2015, respetuosamente me permito elevar la presente consulta con el propósito de contar con lineamientos claros sobre su alcance, aplicación e implementación dentro del marco</w:t>
      </w:r>
      <w:r w:rsidR="00073E6D" w:rsidRPr="00073E6D">
        <w:rPr>
          <w:rFonts w:ascii="Verdana" w:eastAsia="Century Gothic" w:hAnsi="Verdana" w:cs="Century Gothic"/>
          <w:sz w:val="20"/>
          <w:szCs w:val="20"/>
        </w:rPr>
        <w:t xml:space="preserve"> </w:t>
      </w:r>
      <w:r w:rsidRPr="00073E6D">
        <w:rPr>
          <w:rFonts w:ascii="Verdana" w:eastAsia="Century Gothic" w:hAnsi="Verdana" w:cs="Century Gothic"/>
          <w:sz w:val="20"/>
          <w:szCs w:val="20"/>
        </w:rPr>
        <w:t>normativo vigente de la contratación estatal.</w:t>
      </w:r>
    </w:p>
    <w:p w14:paraId="32C676A0" w14:textId="77777777" w:rsidR="00073E6D" w:rsidRPr="00073E6D" w:rsidRDefault="00073E6D" w:rsidP="00F51D39">
      <w:pPr>
        <w:spacing w:before="120" w:after="120" w:line="240" w:lineRule="auto"/>
        <w:ind w:left="709" w:right="709"/>
        <w:contextualSpacing/>
        <w:jc w:val="both"/>
        <w:rPr>
          <w:rFonts w:ascii="Verdana" w:eastAsia="Century Gothic" w:hAnsi="Verdana" w:cs="Century Gothic"/>
          <w:sz w:val="20"/>
          <w:szCs w:val="20"/>
        </w:rPr>
      </w:pPr>
    </w:p>
    <w:p w14:paraId="2D2BDE74" w14:textId="661E483F"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En este sentido, resulta necesario precisar el alcance de su vigencia y aplicabilidad, particularmente frente a los procesos de contratación en curso que no han cerrado la etapa de presentación de ofertas, así como determinar la naturaleza de las medidas previstas en dicha norma en especial aquellas relacionadas con criterios de desempate, puntajes</w:t>
      </w:r>
    </w:p>
    <w:p w14:paraId="7C7315F5" w14:textId="6C344F44" w:rsidR="00073E6D" w:rsidRPr="00073E6D" w:rsidRDefault="00F51D39" w:rsidP="00073E6D">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adicionales y ajustes razonables y si estas son de aplicación directa o requieren desarrollo adicional para su operatividad.</w:t>
      </w:r>
    </w:p>
    <w:p w14:paraId="671B78B8" w14:textId="77777777" w:rsidR="00073E6D" w:rsidRPr="00073E6D" w:rsidRDefault="00073E6D" w:rsidP="00073E6D">
      <w:pPr>
        <w:spacing w:before="120" w:after="120" w:line="240" w:lineRule="auto"/>
        <w:ind w:left="709" w:right="709"/>
        <w:contextualSpacing/>
        <w:jc w:val="both"/>
        <w:rPr>
          <w:rFonts w:ascii="Verdana" w:eastAsia="Century Gothic" w:hAnsi="Verdana" w:cs="Century Gothic"/>
          <w:sz w:val="20"/>
          <w:szCs w:val="20"/>
        </w:rPr>
      </w:pPr>
    </w:p>
    <w:p w14:paraId="35A67BD9" w14:textId="77777777" w:rsidR="00073E6D" w:rsidRDefault="00F51D39" w:rsidP="00073E6D">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De igual forma, se requiere claridad respecto a la forma en que debe darse su articulación con los documentos tipo vigentes, específicamente en lo relacionado con la jerarquía normativa aplicable en caso de presentarse tensiones entre una norma reglamentaria</w:t>
      </w:r>
      <w:r w:rsidR="00073E6D" w:rsidRPr="00073E6D">
        <w:rPr>
          <w:rFonts w:ascii="Verdana" w:eastAsia="Century Gothic" w:hAnsi="Verdana" w:cs="Century Gothic"/>
          <w:sz w:val="20"/>
          <w:szCs w:val="20"/>
        </w:rPr>
        <w:t xml:space="preserve"> </w:t>
      </w:r>
      <w:r w:rsidRPr="00073E6D">
        <w:rPr>
          <w:rFonts w:ascii="Verdana" w:eastAsia="Century Gothic" w:hAnsi="Verdana" w:cs="Century Gothic"/>
          <w:sz w:val="20"/>
          <w:szCs w:val="20"/>
        </w:rPr>
        <w:t xml:space="preserve">posterior y dichos instrumentos, así como el alcance de la obligatoriedad de los documentos tipo frente a </w:t>
      </w:r>
    </w:p>
    <w:p w14:paraId="01FEE979" w14:textId="77777777" w:rsidR="00073E6D" w:rsidRDefault="00073E6D" w:rsidP="00073E6D">
      <w:pPr>
        <w:spacing w:before="120" w:after="120" w:line="240" w:lineRule="auto"/>
        <w:ind w:left="709" w:right="709"/>
        <w:contextualSpacing/>
        <w:jc w:val="both"/>
        <w:rPr>
          <w:rFonts w:ascii="Verdana" w:eastAsia="Century Gothic" w:hAnsi="Verdana" w:cs="Century Gothic"/>
          <w:sz w:val="20"/>
          <w:szCs w:val="20"/>
        </w:rPr>
      </w:pPr>
    </w:p>
    <w:p w14:paraId="758046C1" w14:textId="4EE9FF95" w:rsidR="00F51D39" w:rsidRPr="00073E6D" w:rsidRDefault="00F51D39" w:rsidP="00073E6D">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lastRenderedPageBreak/>
        <w:t>la incorporación de nuevas disposiciones normativas. En esa misma línea, se</w:t>
      </w:r>
      <w:r w:rsidR="00073E6D" w:rsidRPr="00073E6D">
        <w:rPr>
          <w:rFonts w:ascii="Verdana" w:eastAsia="Century Gothic" w:hAnsi="Verdana" w:cs="Century Gothic"/>
          <w:sz w:val="20"/>
          <w:szCs w:val="20"/>
        </w:rPr>
        <w:t xml:space="preserve"> </w:t>
      </w:r>
      <w:r w:rsidRPr="00073E6D">
        <w:rPr>
          <w:rFonts w:ascii="Verdana" w:eastAsia="Century Gothic" w:hAnsi="Verdana" w:cs="Century Gothic"/>
          <w:sz w:val="20"/>
          <w:szCs w:val="20"/>
        </w:rPr>
        <w:t>hace necesario establecer si las Entidades Estatales cuentan con facultades para ajustar los pliegos de condiciones mediante adendas, con el fin de incorporar las medidas previstas en</w:t>
      </w:r>
      <w:r w:rsidR="00073E6D" w:rsidRPr="00073E6D">
        <w:rPr>
          <w:rFonts w:ascii="Verdana" w:eastAsia="Century Gothic" w:hAnsi="Verdana" w:cs="Century Gothic"/>
          <w:sz w:val="20"/>
          <w:szCs w:val="20"/>
        </w:rPr>
        <w:t xml:space="preserve"> </w:t>
      </w:r>
      <w:r w:rsidRPr="00073E6D">
        <w:rPr>
          <w:rFonts w:ascii="Verdana" w:eastAsia="Century Gothic" w:hAnsi="Verdana" w:cs="Century Gothic"/>
          <w:sz w:val="20"/>
          <w:szCs w:val="20"/>
        </w:rPr>
        <w:t>el Decreto, aun tratándose de procesos sometidos a documentos tipo, o si dicha obligatoriedad limita de manera absoluta cualquier posibilidad de adecuación.</w:t>
      </w:r>
    </w:p>
    <w:p w14:paraId="1C10CF3F" w14:textId="77777777" w:rsidR="00073E6D" w:rsidRPr="00073E6D" w:rsidRDefault="00073E6D" w:rsidP="00073E6D">
      <w:pPr>
        <w:spacing w:before="120" w:after="120" w:line="240" w:lineRule="auto"/>
        <w:ind w:left="709" w:right="709"/>
        <w:contextualSpacing/>
        <w:jc w:val="both"/>
        <w:rPr>
          <w:rFonts w:ascii="Verdana" w:eastAsia="Century Gothic" w:hAnsi="Verdana" w:cs="Century Gothic"/>
          <w:sz w:val="20"/>
          <w:szCs w:val="20"/>
        </w:rPr>
      </w:pPr>
    </w:p>
    <w:p w14:paraId="58420A75" w14:textId="119E4665"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Así mismo, se considera relevante contar con orientación sobre el rol de Colombia Compra Eficiente en esa en la implementación del Decreto, en particular frente a la necesidad de una eventual actualización de los documentos tipo o la expedición de lineamientos que permitan su aplicación uniforme, así como sobre el tratamiento que debe darse a los procesos de contratación en curso en sus distintas etapas, incluyendo aquellos con pliegos publicados, en etapa de observaciones o cuya presentación de ofertas aún no ha finalizado.</w:t>
      </w:r>
    </w:p>
    <w:p w14:paraId="1C5A706F" w14:textId="3343ED2C"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De igual manera, se requiere claridad sobre las condiciones bajo las cuales deberán incorporarse estas medidas en los procesos futuros, la eventual existencia de criterios o lineamientos transitorios mientras se realizan los ajustes institucionales correspondientes,</w:t>
      </w:r>
    </w:p>
    <w:p w14:paraId="1ABD3BE8" w14:textId="7B48D0F6"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y los riesgos jurídicos que podrían derivarse de la no aplicación del Decreto, especialmente en relación con la posible vulneración de los principios de selección objetiva, igualdad y legalidad, o la eventual configuración de causales de nulidad en los procesos contractuales.</w:t>
      </w:r>
    </w:p>
    <w:p w14:paraId="65563078" w14:textId="4E0768C1"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Finalmente, se considera necesario precisar si las acciones afirmativas previstas en el Decreto son de obligatoria inclusión en todos los procesos de contratación o si requieren desarrollo reglamentario adicional, así como la forma en que las Entidades Estatales deben</w:t>
      </w:r>
    </w:p>
    <w:p w14:paraId="01518517" w14:textId="77777777" w:rsidR="00F51D39" w:rsidRPr="00073E6D" w:rsidRDefault="00F51D39" w:rsidP="00F51D39">
      <w:pPr>
        <w:spacing w:before="120" w:after="120" w:line="240" w:lineRule="auto"/>
        <w:ind w:left="709" w:right="709"/>
        <w:contextualSpacing/>
        <w:jc w:val="both"/>
        <w:rPr>
          <w:rFonts w:ascii="Verdana" w:eastAsia="Century Gothic" w:hAnsi="Verdana" w:cs="Century Gothic"/>
          <w:sz w:val="20"/>
          <w:szCs w:val="20"/>
        </w:rPr>
      </w:pPr>
      <w:r w:rsidRPr="00073E6D">
        <w:rPr>
          <w:rFonts w:ascii="Verdana" w:eastAsia="Century Gothic" w:hAnsi="Verdana" w:cs="Century Gothic"/>
          <w:sz w:val="20"/>
          <w:szCs w:val="20"/>
        </w:rPr>
        <w:t>armonizar el principio de legalidad, la obligatoriedad de los documentos tipo y el deber de aplicar normas posteriores de orden público que desarrollan mandatos de inclusión…</w:t>
      </w:r>
    </w:p>
    <w:p w14:paraId="790D9671" w14:textId="77777777" w:rsidR="00F51D39" w:rsidRDefault="00F51D39" w:rsidP="00F51D39">
      <w:pPr>
        <w:spacing w:before="120" w:after="120" w:line="240" w:lineRule="auto"/>
        <w:ind w:right="709"/>
        <w:contextualSpacing/>
        <w:jc w:val="both"/>
        <w:rPr>
          <w:rFonts w:ascii="Verdana" w:eastAsia="Century Gothic" w:hAnsi="Verdana" w:cs="Century Gothic"/>
          <w:sz w:val="21"/>
          <w:szCs w:val="21"/>
        </w:rPr>
      </w:pPr>
    </w:p>
    <w:p w14:paraId="2426F9D8" w14:textId="77777777" w:rsidR="00073E6D" w:rsidRDefault="008D5774" w:rsidP="00F51D39">
      <w:pPr>
        <w:spacing w:before="120" w:after="120" w:line="240" w:lineRule="auto"/>
        <w:ind w:right="709" w:firstLine="708"/>
        <w:contextualSpacing/>
        <w:jc w:val="both"/>
        <w:rPr>
          <w:rFonts w:ascii="Verdana" w:hAnsi="Verdana"/>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sidR="008A5E24">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sidR="008A5E24">
        <w:rPr>
          <w:rFonts w:ascii="Verdana" w:hAnsi="Verdana"/>
        </w:rPr>
        <w:t xml:space="preserve">Estatuto General de Contratación </w:t>
      </w:r>
    </w:p>
    <w:p w14:paraId="4F21348F" w14:textId="77777777" w:rsidR="00073E6D" w:rsidRDefault="00073E6D" w:rsidP="00073E6D">
      <w:pPr>
        <w:spacing w:before="120" w:after="120" w:line="240" w:lineRule="auto"/>
        <w:ind w:right="709"/>
        <w:contextualSpacing/>
        <w:jc w:val="both"/>
        <w:rPr>
          <w:rFonts w:ascii="Verdana" w:hAnsi="Verdana"/>
        </w:rPr>
      </w:pPr>
    </w:p>
    <w:p w14:paraId="002578F6" w14:textId="77777777" w:rsidR="00073E6D" w:rsidRDefault="00073E6D" w:rsidP="00073E6D">
      <w:pPr>
        <w:spacing w:before="120" w:after="120" w:line="240" w:lineRule="auto"/>
        <w:ind w:right="709"/>
        <w:contextualSpacing/>
        <w:jc w:val="both"/>
        <w:rPr>
          <w:rFonts w:ascii="Verdana" w:hAnsi="Verdana"/>
        </w:rPr>
      </w:pPr>
    </w:p>
    <w:p w14:paraId="07A0E538" w14:textId="47EA3CA6" w:rsidR="008D5774" w:rsidRPr="00F51D39" w:rsidRDefault="008A5E24" w:rsidP="00073E6D">
      <w:pPr>
        <w:spacing w:before="120" w:after="120" w:line="240" w:lineRule="auto"/>
        <w:ind w:right="709"/>
        <w:contextualSpacing/>
        <w:jc w:val="both"/>
        <w:rPr>
          <w:rFonts w:ascii="Verdana" w:eastAsia="Century Gothic" w:hAnsi="Verdana" w:cs="Century Gothic"/>
          <w:sz w:val="21"/>
          <w:szCs w:val="21"/>
        </w:rPr>
      </w:pPr>
      <w:r>
        <w:rPr>
          <w:rFonts w:ascii="Verdana" w:hAnsi="Verdana"/>
        </w:rPr>
        <w:lastRenderedPageBreak/>
        <w:t>Pública</w:t>
      </w:r>
      <w:r w:rsidRPr="00206556">
        <w:rPr>
          <w:rFonts w:ascii="Verdana" w:eastAsia="Calibri" w:hAnsi="Verdana" w:cs="Arial"/>
          <w:lang w:val="es-ES" w:eastAsia="es-ES"/>
        </w:rPr>
        <w:t xml:space="preserve"> </w:t>
      </w:r>
      <w:r w:rsidR="008D5774" w:rsidRPr="00206556">
        <w:rPr>
          <w:rFonts w:ascii="Verdana" w:eastAsia="Calibri" w:hAnsi="Verdana" w:cs="Arial"/>
          <w:lang w:val="es-ES" w:eastAsia="es-ES"/>
        </w:rPr>
        <w:t xml:space="preserve">o de los demás participantes de la contratación pública. Esta competencia de interpretación de normas generales, por definición, no puede extenderse a la resolución de controversias, ni a brindar asesorías sobre casos puntuales.  </w:t>
      </w:r>
      <w:r w:rsidR="008D5774" w:rsidRPr="00206556">
        <w:rPr>
          <w:rFonts w:ascii="Verdana" w:hAnsi="Verdana"/>
          <w:lang w:val="es-ES"/>
        </w:rPr>
        <w:tab/>
      </w:r>
    </w:p>
    <w:p w14:paraId="622FBB80" w14:textId="77777777" w:rsidR="00F51D39" w:rsidRDefault="00F51D39" w:rsidP="008D5774">
      <w:pPr>
        <w:spacing w:after="0" w:line="276" w:lineRule="auto"/>
        <w:ind w:firstLine="709"/>
        <w:jc w:val="both"/>
        <w:rPr>
          <w:rFonts w:ascii="Verdana" w:eastAsia="Calibri" w:hAnsi="Verdana" w:cs="Arial"/>
          <w:lang w:val="es-ES" w:eastAsia="es-ES"/>
        </w:rPr>
      </w:pPr>
    </w:p>
    <w:p w14:paraId="428652EF" w14:textId="1951622B" w:rsidR="008D5774" w:rsidRPr="00206556" w:rsidRDefault="008D5774" w:rsidP="008D5774">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6288081" w14:textId="77777777" w:rsidR="008D5774" w:rsidRPr="00206556" w:rsidRDefault="008D5774" w:rsidP="008D5774">
      <w:pPr>
        <w:spacing w:after="0" w:line="276" w:lineRule="auto"/>
        <w:ind w:firstLine="709"/>
        <w:jc w:val="both"/>
        <w:rPr>
          <w:rFonts w:ascii="Verdana" w:eastAsia="Calibri" w:hAnsi="Verdana" w:cs="Arial"/>
          <w:lang w:val="es-ES" w:eastAsia="es-ES"/>
        </w:rPr>
      </w:pPr>
    </w:p>
    <w:p w14:paraId="4AD69AFF" w14:textId="77777777" w:rsidR="008D5774" w:rsidRPr="00206556" w:rsidRDefault="008D5774" w:rsidP="008D5774">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26050314" w14:textId="77777777" w:rsidR="008D5774" w:rsidRPr="00206556" w:rsidRDefault="008D5774" w:rsidP="008D5774">
      <w:pPr>
        <w:tabs>
          <w:tab w:val="left" w:pos="426"/>
        </w:tabs>
        <w:spacing w:after="0" w:line="276" w:lineRule="auto"/>
        <w:jc w:val="both"/>
        <w:rPr>
          <w:rFonts w:ascii="Verdana" w:eastAsia="Century Gothic" w:hAnsi="Verdana" w:cs="Century Gothic"/>
          <w:color w:val="ED7D31" w:themeColor="accent2"/>
          <w:lang w:val="es-ES"/>
        </w:rPr>
      </w:pPr>
    </w:p>
    <w:p w14:paraId="2953D2F6" w14:textId="7703DF15" w:rsidR="008D5774" w:rsidRDefault="008D5774" w:rsidP="008D5774">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206556">
        <w:rPr>
          <w:rFonts w:ascii="Verdana" w:eastAsia="Century Gothic" w:hAnsi="Verdana" w:cs="Century Gothic"/>
        </w:rPr>
        <w:t>¿</w:t>
      </w:r>
      <w:r w:rsidR="00C5146A" w:rsidRPr="00206556">
        <w:rPr>
          <w:rFonts w:ascii="Verdana" w:eastAsia="Century Gothic" w:hAnsi="Verdana" w:cs="Century Gothic"/>
        </w:rPr>
        <w:t>Cuál es el alcance del Sistema Integral de Preferencias establecido por el Decreto 0287 de 2026 en favor de las personas con discapacidad en la contratación pública, qué medidas lo componen, a qué sujetos beneficia, en qué modalidades contractuales aplican</w:t>
      </w:r>
      <w:r w:rsidR="00BA3D9C">
        <w:rPr>
          <w:rFonts w:ascii="Verdana" w:eastAsia="Century Gothic" w:hAnsi="Verdana" w:cs="Century Gothic"/>
        </w:rPr>
        <w:t xml:space="preserve"> las medidas</w:t>
      </w:r>
      <w:r w:rsidR="00887E82">
        <w:rPr>
          <w:rFonts w:ascii="Verdana" w:eastAsia="Century Gothic" w:hAnsi="Verdana" w:cs="Century Gothic"/>
        </w:rPr>
        <w:t xml:space="preserve">, </w:t>
      </w:r>
      <w:r w:rsidR="00C5146A" w:rsidRPr="00206556">
        <w:rPr>
          <w:rFonts w:ascii="Verdana" w:eastAsia="Century Gothic" w:hAnsi="Verdana" w:cs="Century Gothic"/>
        </w:rPr>
        <w:t>cuáles son las obligaciones concretas que deben implementar las entidades estatales para dar cumplimiento a dicha regulación</w:t>
      </w:r>
      <w:r w:rsidR="00BA3D9C">
        <w:rPr>
          <w:rFonts w:ascii="Verdana" w:eastAsia="Century Gothic" w:hAnsi="Verdana" w:cs="Century Gothic"/>
        </w:rPr>
        <w:t>, y cuál es la documentación para acceder a los incentivos del nuevo decreto</w:t>
      </w:r>
      <w:r w:rsidR="00F51D39">
        <w:rPr>
          <w:rFonts w:ascii="Verdana" w:eastAsia="Century Gothic" w:hAnsi="Verdana" w:cs="Century Gothic"/>
        </w:rPr>
        <w:t>, igualmente establecer su aplicación para los documentos tipo vigentes</w:t>
      </w:r>
      <w:r w:rsidR="00C5146A" w:rsidRPr="00206556">
        <w:rPr>
          <w:rFonts w:ascii="Verdana" w:eastAsia="Century Gothic" w:hAnsi="Verdana" w:cs="Century Gothic"/>
        </w:rPr>
        <w:t>?</w:t>
      </w:r>
    </w:p>
    <w:p w14:paraId="0FD0DFCB" w14:textId="77777777" w:rsidR="008D5774" w:rsidRPr="00206556" w:rsidRDefault="008D5774" w:rsidP="008D5774">
      <w:pPr>
        <w:spacing w:after="0" w:line="276" w:lineRule="auto"/>
        <w:jc w:val="both"/>
        <w:rPr>
          <w:rFonts w:ascii="Verdana" w:eastAsia="Century Gothic" w:hAnsi="Verdana" w:cs="Century Gothic"/>
          <w:color w:val="ED7D31" w:themeColor="accent2"/>
        </w:rPr>
      </w:pPr>
    </w:p>
    <w:p w14:paraId="5B26199B" w14:textId="77777777" w:rsidR="008D5774" w:rsidRPr="00206556" w:rsidRDefault="008D5774" w:rsidP="008D5774">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3CFFB6C2"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10BC" w:rsidRPr="00206556" w14:paraId="098CF388" w14:textId="77777777" w:rsidTr="00AD17AD">
        <w:tc>
          <w:tcPr>
            <w:tcW w:w="8828" w:type="dxa"/>
          </w:tcPr>
          <w:p w14:paraId="3912F2A4" w14:textId="77777777" w:rsidR="005510BC" w:rsidRPr="00073658" w:rsidRDefault="005510BC" w:rsidP="00AD17AD">
            <w:pPr>
              <w:spacing w:before="120" w:after="120" w:line="276" w:lineRule="auto"/>
              <w:jc w:val="both"/>
              <w:rPr>
                <w:rFonts w:ascii="Verdana" w:eastAsia="Calibri" w:hAnsi="Verdana" w:cs="Arial"/>
              </w:rPr>
            </w:pPr>
            <w:r>
              <w:rPr>
                <w:rFonts w:ascii="Verdana" w:eastAsia="Calibri" w:hAnsi="Verdana" w:cs="Arial"/>
              </w:rPr>
              <w:t>En atención al problema jurídico planteado y respecto al alcance de</w:t>
            </w:r>
            <w:r w:rsidRPr="00E54F30">
              <w:rPr>
                <w:rFonts w:ascii="Verdana" w:eastAsia="Calibri" w:hAnsi="Verdana" w:cs="Arial"/>
              </w:rPr>
              <w:t>l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w:t>
            </w:r>
            <w:r w:rsidRPr="00073658">
              <w:rPr>
                <w:rFonts w:ascii="Verdana" w:eastAsia="Calibri" w:hAnsi="Verdana" w:cs="Arial"/>
              </w:rPr>
              <w:lastRenderedPageBreak/>
              <w:t xml:space="preserve">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26F33FF7" w14:textId="77777777" w:rsidR="005510BC" w:rsidRPr="00073658" w:rsidRDefault="005510BC" w:rsidP="00AD17AD">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esto es, cualquier empresa que tenga en su planta de personal trabajadores con discapacidad contratados laboralmente con dedicación exclusiva, superando los mínimos que exige la Ley 2466 de 2025 (Reforma Laboral).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CE9BE05"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w:t>
            </w:r>
            <w:proofErr w:type="spellStart"/>
            <w:r w:rsidRPr="00073658">
              <w:rPr>
                <w:rFonts w:ascii="Verdana" w:eastAsia="Calibri" w:hAnsi="Verdana" w:cs="Arial"/>
              </w:rPr>
              <w:t>PcD</w:t>
            </w:r>
            <w:proofErr w:type="spellEnd"/>
            <w:r w:rsidRPr="00073658">
              <w:rPr>
                <w:rFonts w:ascii="Verdana" w:eastAsia="Calibri" w:hAnsi="Verdana" w:cs="Arial"/>
              </w:rPr>
              <w:t xml:space="preserve"> y ser empleador de </w:t>
            </w:r>
            <w:proofErr w:type="spellStart"/>
            <w:r w:rsidRPr="00073658">
              <w:rPr>
                <w:rFonts w:ascii="Verdana" w:eastAsia="Calibri" w:hAnsi="Verdana" w:cs="Arial"/>
              </w:rPr>
              <w:t>PcD</w:t>
            </w:r>
            <w:proofErr w:type="spellEnd"/>
            <w:r w:rsidRPr="00073658">
              <w:rPr>
                <w:rFonts w:ascii="Verdana" w:eastAsia="Calibri" w:hAnsi="Verdana" w:cs="Arial"/>
              </w:rPr>
              <w:t>, el puntaje máximo a otorgar por este criterio es siempre el 2% del total de los puntos del pliego, sin que las condiciones acreditadas sean sumables para efectos de la evaluación de la oferta</w:t>
            </w:r>
            <w:r>
              <w:rPr>
                <w:rFonts w:ascii="Verdana" w:eastAsia="Calibri" w:hAnsi="Verdana" w:cs="Arial"/>
              </w:rPr>
              <w:t xml:space="preserve">, y tampoco es posible disminuir ese porcentaje de puntos ya que </w:t>
            </w:r>
            <w:r>
              <w:rPr>
                <w:rFonts w:ascii="Verdana" w:eastAsia="Calibri" w:hAnsi="Verdana" w:cs="Arial"/>
              </w:rPr>
              <w:lastRenderedPageBreak/>
              <w:t>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0E2BB71D" w14:textId="77777777" w:rsidR="005510BC" w:rsidRPr="00A97194"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La aplicación del puntaje para proponentes plurales </w:t>
            </w:r>
            <w:r w:rsidRPr="00A97194">
              <w:rPr>
                <w:rFonts w:ascii="Verdana" w:eastAsia="Calibri" w:hAnsi="Verdana" w:cs="Arial"/>
              </w:rPr>
              <w:t xml:space="preserve">respecto de los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no exige un mínimo de experiencia sino una participación mayoritaria en el proponente plural, y a ese miembro será al que se le revise su planta de personal con el fin de determinar si cumple con el número mínimo de </w:t>
            </w:r>
            <w:proofErr w:type="spellStart"/>
            <w:r w:rsidRPr="00A97194">
              <w:rPr>
                <w:rFonts w:ascii="Verdana" w:eastAsia="Calibri" w:hAnsi="Verdana" w:cs="Arial"/>
              </w:rPr>
              <w:t>PcD</w:t>
            </w:r>
            <w:proofErr w:type="spellEnd"/>
            <w:r w:rsidRPr="00A97194">
              <w:rPr>
                <w:rFonts w:ascii="Verdana" w:eastAsia="Calibri" w:hAnsi="Verdana" w:cs="Arial"/>
              </w:rPr>
              <w:t xml:space="preserve"> contratadas para acceder al puntaje. </w:t>
            </w:r>
          </w:p>
          <w:p w14:paraId="3E1C7939" w14:textId="77777777" w:rsidR="005510BC" w:rsidRPr="00073658" w:rsidRDefault="005510BC" w:rsidP="00AD17AD">
            <w:pPr>
              <w:spacing w:before="120" w:after="120" w:line="276" w:lineRule="auto"/>
              <w:ind w:firstLine="709"/>
              <w:jc w:val="both"/>
              <w:rPr>
                <w:rFonts w:ascii="Verdana" w:eastAsia="Calibri" w:hAnsi="Verdana" w:cs="Arial"/>
              </w:rPr>
            </w:pPr>
            <w:r w:rsidRPr="00A97194">
              <w:rPr>
                <w:rFonts w:ascii="Verdana" w:eastAsia="Calibri" w:hAnsi="Verdana" w:cs="Arial"/>
              </w:rPr>
              <w:t xml:space="preserve">No obstante, para emprendimientos y empresas </w:t>
            </w:r>
            <w:proofErr w:type="spellStart"/>
            <w:r w:rsidRPr="00A97194">
              <w:rPr>
                <w:rFonts w:ascii="Verdana" w:eastAsia="Calibri" w:hAnsi="Verdana" w:cs="Arial"/>
              </w:rPr>
              <w:t>PcD</w:t>
            </w:r>
            <w:proofErr w:type="spellEnd"/>
            <w:r w:rsidRPr="00A97194">
              <w:rPr>
                <w:rFonts w:ascii="Verdana" w:eastAsia="Calibri" w:hAnsi="Verdana" w:cs="Arial"/>
              </w:rPr>
              <w:t xml:space="preserve"> es necesario hacer una remisión al artículo 2.2.1.2.4.2.7.3 puesto que cuando el proponente plural tenga a este sujeto como miembro, la participación a exigir no es una participación mayoritaria sino una participación no inferior al 10% y en la misma proporción de su participación debe aportar su experiencia. De esta manera, si el proponente plural tiene como miembro a empleadores de </w:t>
            </w:r>
            <w:proofErr w:type="spellStart"/>
            <w:r w:rsidRPr="00A97194">
              <w:rPr>
                <w:rFonts w:ascii="Verdana" w:eastAsia="Calibri" w:hAnsi="Verdana" w:cs="Arial"/>
              </w:rPr>
              <w:t>PcD</w:t>
            </w:r>
            <w:proofErr w:type="spellEnd"/>
            <w:r w:rsidRPr="00A97194">
              <w:rPr>
                <w:rFonts w:ascii="Verdana" w:eastAsia="Calibri" w:hAnsi="Verdana" w:cs="Arial"/>
              </w:rPr>
              <w:t xml:space="preserve">, para obtener el puntaje este debe tener una mayor participación en el proponente plural sin que se requiera aporte de experiencia; pero cuando se trata de emprendimientos o empresas de </w:t>
            </w:r>
            <w:proofErr w:type="spellStart"/>
            <w:r w:rsidRPr="00A97194">
              <w:rPr>
                <w:rFonts w:ascii="Verdana" w:eastAsia="Calibri" w:hAnsi="Verdana" w:cs="Arial"/>
              </w:rPr>
              <w:t>PcD</w:t>
            </w:r>
            <w:proofErr w:type="spellEnd"/>
            <w:r w:rsidRPr="00A97194">
              <w:rPr>
                <w:rFonts w:ascii="Verdana" w:eastAsia="Calibri" w:hAnsi="Verdana" w:cs="Arial"/>
              </w:rPr>
              <w:t>, si se exige un mínimo de participación de estos en el proponente plural, que es el 10% y en la misma proporción se debe aportar experiencia, por lo que no se exige que tengan participación mayoritaria.</w:t>
            </w:r>
          </w:p>
          <w:p w14:paraId="6563678E"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Pr="00073658">
              <w:rPr>
                <w:rFonts w:ascii="Verdana" w:eastAsia="Calibri" w:hAnsi="Verdana" w:cs="Arial"/>
              </w:rPr>
              <w:t xml:space="preserve"> en la condición de empleador de </w:t>
            </w:r>
            <w:proofErr w:type="spellStart"/>
            <w:r w:rsidRPr="00073658">
              <w:rPr>
                <w:rFonts w:ascii="Verdana" w:eastAsia="Calibri" w:hAnsi="Verdana" w:cs="Arial"/>
              </w:rPr>
              <w:t>PcD</w:t>
            </w:r>
            <w:proofErr w:type="spellEnd"/>
            <w:r>
              <w:rPr>
                <w:rFonts w:ascii="Verdana" w:eastAsia="Calibri" w:hAnsi="Verdana" w:cs="Arial"/>
              </w:rPr>
              <w:t>, los documentos están dispuestos en el artículo 2.2.1.2.4.2.7.4, el cual</w:t>
            </w:r>
            <w:r w:rsidRPr="00073658">
              <w:rPr>
                <w:rFonts w:ascii="Verdana" w:eastAsia="Calibri" w:hAnsi="Verdana" w:cs="Arial"/>
              </w:rPr>
              <w:t xml:space="preserve"> exige, entre otros documentos, los certificados de aportes a seguridad social de los tres (3) meses anteriores a la presentación de la oferta respecto de cada </w:t>
            </w:r>
            <w:proofErr w:type="spellStart"/>
            <w:r w:rsidRPr="00073658">
              <w:rPr>
                <w:rFonts w:ascii="Verdana" w:eastAsia="Calibri" w:hAnsi="Verdana" w:cs="Arial"/>
              </w:rPr>
              <w:t>PcD</w:t>
            </w:r>
            <w:proofErr w:type="spellEnd"/>
            <w:r w:rsidRPr="00073658">
              <w:rPr>
                <w:rFonts w:ascii="Verdana" w:eastAsia="Calibri" w:hAnsi="Verdana" w:cs="Arial"/>
              </w:rPr>
              <w:t xml:space="preserve">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w:t>
            </w:r>
            <w:proofErr w:type="spellStart"/>
            <w:r w:rsidRPr="00073658">
              <w:rPr>
                <w:rFonts w:ascii="Verdana" w:eastAsia="Calibri" w:hAnsi="Verdana" w:cs="Arial"/>
              </w:rPr>
              <w:t>PcD</w:t>
            </w:r>
            <w:proofErr w:type="spellEnd"/>
            <w:r w:rsidRPr="00073658">
              <w:rPr>
                <w:rFonts w:ascii="Verdana" w:eastAsia="Calibri" w:hAnsi="Verdana" w:cs="Arial"/>
              </w:rPr>
              <w:t xml:space="preserve"> cuyas planillas no alcancen ese período, pudiendo el proponente acreditar el puntaje con base en las </w:t>
            </w:r>
            <w:proofErr w:type="spellStart"/>
            <w:r w:rsidRPr="00073658">
              <w:rPr>
                <w:rFonts w:ascii="Verdana" w:eastAsia="Calibri" w:hAnsi="Verdana" w:cs="Arial"/>
              </w:rPr>
              <w:t>PcD</w:t>
            </w:r>
            <w:proofErr w:type="spellEnd"/>
            <w:r w:rsidRPr="00073658">
              <w:rPr>
                <w:rFonts w:ascii="Verdana" w:eastAsia="Calibri" w:hAnsi="Verdana" w:cs="Arial"/>
              </w:rPr>
              <w:t xml:space="preserve"> que sí cumplen el requisito temporal y participar en el proceso sin el puntaje en caso de no alcanzar ninguna.</w:t>
            </w:r>
            <w:r>
              <w:rPr>
                <w:rFonts w:ascii="Verdana" w:eastAsia="Calibri" w:hAnsi="Verdana" w:cs="Arial"/>
              </w:rPr>
              <w:t xml:space="preserve"> El término de tres </w:t>
            </w:r>
            <w:r>
              <w:rPr>
                <w:rFonts w:ascii="Verdana" w:eastAsia="Calibri" w:hAnsi="Verdana" w:cs="Arial"/>
              </w:rPr>
              <w:lastRenderedPageBreak/>
              <w:t xml:space="preserve">(3) </w:t>
            </w:r>
            <w:proofErr w:type="gramStart"/>
            <w:r>
              <w:rPr>
                <w:rFonts w:ascii="Verdana" w:eastAsia="Calibri" w:hAnsi="Verdana" w:cs="Arial"/>
              </w:rPr>
              <w:t>meses aquí mencionado</w:t>
            </w:r>
            <w:proofErr w:type="gramEnd"/>
            <w:r>
              <w:rPr>
                <w:rFonts w:ascii="Verdana" w:eastAsia="Calibri" w:hAnsi="Verdana" w:cs="Arial"/>
              </w:rPr>
              <w:t xml:space="preserve"> es diferente al término de un (1) año mencionado en el artículo 2.2.1.2.4.2.6 respecto de los emprendimientos y empresas de </w:t>
            </w:r>
            <w:proofErr w:type="spellStart"/>
            <w:r>
              <w:rPr>
                <w:rFonts w:ascii="Verdana" w:eastAsia="Calibri" w:hAnsi="Verdana" w:cs="Arial"/>
              </w:rPr>
              <w:t>PcD</w:t>
            </w:r>
            <w:proofErr w:type="spellEnd"/>
            <w:r>
              <w:rPr>
                <w:rFonts w:ascii="Verdana" w:eastAsia="Calibri" w:hAnsi="Verdana" w:cs="Arial"/>
              </w:rPr>
              <w:t>.</w:t>
            </w:r>
          </w:p>
          <w:p w14:paraId="3188A959" w14:textId="77777777" w:rsidR="005510BC" w:rsidRDefault="005510BC" w:rsidP="00AD17AD">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w:t>
            </w:r>
            <w:proofErr w:type="spellStart"/>
            <w:r w:rsidRPr="00502309">
              <w:rPr>
                <w:rFonts w:ascii="Verdana" w:eastAsia="Times New Roman" w:hAnsi="Verdana" w:cs="Times New Roman"/>
              </w:rPr>
              <w:t>PcD</w:t>
            </w:r>
            <w:proofErr w:type="spellEnd"/>
            <w:r w:rsidRPr="00502309">
              <w:rPr>
                <w:rFonts w:ascii="Verdana" w:eastAsia="Times New Roman" w:hAnsi="Verdana" w:cs="Times New Roman"/>
              </w:rPr>
              <w:t xml:space="preserve">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La vinculación de </w:t>
            </w:r>
            <w:proofErr w:type="spellStart"/>
            <w:r>
              <w:rPr>
                <w:rFonts w:ascii="Verdana" w:eastAsia="Times New Roman" w:hAnsi="Verdana" w:cs="Times New Roman"/>
              </w:rPr>
              <w:t>PcD</w:t>
            </w:r>
            <w:proofErr w:type="spellEnd"/>
            <w:r>
              <w:rPr>
                <w:rFonts w:ascii="Verdana" w:eastAsia="Times New Roman" w:hAnsi="Verdana" w:cs="Times New Roman"/>
              </w:rPr>
              <w:t xml:space="preserve"> a las plantas de personal de posibles proveedores, debe ser a través de contrato laboral con dedicación exclusiva, cuya definición le corresponde al Ministerio del Trabajo. Por otra parte, los documentos para acreditar la otra condición que es ser emprendimiento o empresa de </w:t>
            </w:r>
            <w:proofErr w:type="spellStart"/>
            <w:r>
              <w:rPr>
                <w:rFonts w:ascii="Verdana" w:eastAsia="Times New Roman" w:hAnsi="Verdana" w:cs="Times New Roman"/>
              </w:rPr>
              <w:t>PcD</w:t>
            </w:r>
            <w:proofErr w:type="spellEnd"/>
            <w:r>
              <w:rPr>
                <w:rFonts w:ascii="Verdana" w:eastAsia="Times New Roman" w:hAnsi="Verdana" w:cs="Times New Roman"/>
              </w:rPr>
              <w:t xml:space="preserve"> son los indicados en el artículo 2.2.1.2.4.2.6 y no los del artículo </w:t>
            </w:r>
            <w:r w:rsidRPr="00502309">
              <w:rPr>
                <w:rFonts w:ascii="Verdana" w:eastAsia="Times New Roman" w:hAnsi="Verdana" w:cs="Times New Roman"/>
              </w:rPr>
              <w:t xml:space="preserve">2.2.1.2.4.2.7.4. </w:t>
            </w:r>
            <w:r>
              <w:rPr>
                <w:rFonts w:ascii="Verdana" w:eastAsia="Times New Roman" w:hAnsi="Verdana" w:cs="Times New Roman"/>
              </w:rPr>
              <w:t xml:space="preserve"> </w:t>
            </w:r>
          </w:p>
          <w:p w14:paraId="62D59159" w14:textId="77777777" w:rsidR="005510BC" w:rsidRDefault="005510BC" w:rsidP="00AD17AD">
            <w:pPr>
              <w:spacing w:after="120" w:line="276" w:lineRule="auto"/>
              <w:ind w:firstLine="709"/>
              <w:jc w:val="both"/>
              <w:rPr>
                <w:rFonts w:ascii="Verdana" w:eastAsia="Calibri" w:hAnsi="Verdana" w:cs="Arial"/>
              </w:rPr>
            </w:pPr>
            <w:r w:rsidRPr="00073658">
              <w:rPr>
                <w:rFonts w:ascii="Verdana" w:eastAsia="Calibri" w:hAnsi="Verdana" w:cs="Arial"/>
              </w:rPr>
              <w:t xml:space="preserve">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w:t>
            </w:r>
            <w:proofErr w:type="spellStart"/>
            <w:r w:rsidRPr="00073658">
              <w:rPr>
                <w:rFonts w:ascii="Verdana" w:eastAsia="Calibri" w:hAnsi="Verdana" w:cs="Arial"/>
              </w:rPr>
              <w:t>PcD</w:t>
            </w:r>
            <w:proofErr w:type="spellEnd"/>
            <w:r w:rsidRPr="00206556">
              <w:rPr>
                <w:rFonts w:ascii="Verdana" w:eastAsia="Calibri" w:hAnsi="Verdana" w:cs="Arial"/>
              </w:rPr>
              <w:t xml:space="preserve">, </w:t>
            </w:r>
            <w:r w:rsidRPr="00073658">
              <w:rPr>
                <w:rFonts w:ascii="Verdana" w:eastAsia="Calibri" w:hAnsi="Verdana" w:cs="Arial"/>
              </w:rPr>
              <w:t xml:space="preserve">no a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w:t>
            </w:r>
            <w:r w:rsidRPr="00206556">
              <w:rPr>
                <w:rFonts w:ascii="Verdana" w:eastAsia="Calibri" w:hAnsi="Verdana" w:cs="Arial"/>
              </w:rPr>
              <w:t xml:space="preserve">dicha norma </w:t>
            </w:r>
            <w:r w:rsidRPr="00073658">
              <w:rPr>
                <w:rFonts w:ascii="Verdana" w:eastAsia="Calibri" w:hAnsi="Verdana" w:cs="Arial"/>
              </w:rPr>
              <w:t>exige que al menos el 10% de la nómina esté en condición de discapacidad y opera únicamente cuando hay empate entre dos o más ofertas. El Decreto 0287 de 2026 no modificó el criterio de desempate de la Ley 2069 de 2020, que por ser norma de rango legal no puede ser alterada por decreto reglamentario, y la diferencia en las exigencias de vinculación entre los dos instrumentos responde precisamente a que son mecanismos distintos que no deben interpretarse extensivamente el uno respecto del otro.</w:t>
            </w:r>
          </w:p>
          <w:p w14:paraId="3635F141" w14:textId="77777777" w:rsidR="005510BC" w:rsidRDefault="005510BC" w:rsidP="00AD17AD">
            <w:pPr>
              <w:spacing w:after="120" w:line="276" w:lineRule="auto"/>
              <w:ind w:firstLine="709"/>
              <w:jc w:val="both"/>
              <w:rPr>
                <w:rFonts w:ascii="Verdana" w:eastAsia="Calibri" w:hAnsi="Verdana" w:cs="Arial"/>
              </w:rPr>
            </w:pPr>
            <w:r w:rsidRPr="00E55CFA">
              <w:rPr>
                <w:rFonts w:ascii="Verdana" w:eastAsia="Calibri" w:hAnsi="Verdana" w:cs="Arial"/>
              </w:rPr>
              <w:t xml:space="preserve">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w:t>
            </w:r>
            <w:r w:rsidRPr="00E55CFA">
              <w:rPr>
                <w:rFonts w:ascii="Verdana" w:eastAsia="Calibri" w:hAnsi="Verdana" w:cs="Arial"/>
              </w:rPr>
              <w:lastRenderedPageBreak/>
              <w:t>incorporar las medidas del decreto, incluida la obligación de compras públicas accesibles, dado que los estudios previos, el pliego de condiciones y el contrato deben guardar coherencia entre sí.</w:t>
            </w:r>
            <w:r>
              <w:rPr>
                <w:rFonts w:ascii="Verdana" w:eastAsia="Calibri" w:hAnsi="Verdana" w:cs="Arial"/>
              </w:rPr>
              <w:t xml:space="preserve"> </w:t>
            </w:r>
          </w:p>
          <w:p w14:paraId="4E750FFF" w14:textId="77777777" w:rsidR="005510BC" w:rsidRPr="0077201E" w:rsidRDefault="005510BC" w:rsidP="00AD17AD">
            <w:pPr>
              <w:spacing w:after="120" w:line="276" w:lineRule="auto"/>
              <w:ind w:firstLine="709"/>
              <w:jc w:val="both"/>
              <w:rPr>
                <w:rFonts w:ascii="Verdana" w:eastAsia="Calibri" w:hAnsi="Verdana" w:cs="Arial"/>
              </w:rPr>
            </w:pPr>
            <w:r>
              <w:rPr>
                <w:rFonts w:ascii="Verdana" w:eastAsia="Calibri" w:hAnsi="Verdana" w:cs="Arial"/>
              </w:rPr>
              <w:t>Sobre l</w:t>
            </w:r>
            <w:r w:rsidRPr="0077201E">
              <w:rPr>
                <w:rFonts w:ascii="Verdana" w:eastAsia="Calibri" w:hAnsi="Verdana" w:cs="Arial"/>
              </w:rPr>
              <w:t>os criterios habilitantes diferenciales</w:t>
            </w:r>
            <w:r>
              <w:rPr>
                <w:rFonts w:ascii="Verdana" w:eastAsia="Calibri" w:hAnsi="Verdana" w:cs="Arial"/>
              </w:rPr>
              <w:t>, estos</w:t>
            </w:r>
            <w:r w:rsidRPr="0077201E">
              <w:rPr>
                <w:rFonts w:ascii="Verdana" w:eastAsia="Calibri" w:hAnsi="Verdana" w:cs="Arial"/>
              </w:rPr>
              <w:t xml:space="preserve"> constituyen una obligación para las entidades contratantes en los procesos de licitación pública, selección abreviada y concurso de méritos, tanto bajo el régimen</w:t>
            </w:r>
            <w:r>
              <w:rPr>
                <w:rFonts w:ascii="Verdana" w:eastAsia="Calibri" w:hAnsi="Verdana" w:cs="Arial"/>
              </w:rPr>
              <w:t xml:space="preserve"> del</w:t>
            </w:r>
            <w:r w:rsidRPr="0077201E">
              <w:rPr>
                <w:rFonts w:ascii="Verdana" w:eastAsia="Calibri" w:hAnsi="Verdana" w:cs="Arial"/>
              </w:rPr>
              <w:t xml:space="preserve"> </w:t>
            </w:r>
            <w:r>
              <w:rPr>
                <w:rFonts w:ascii="Verdana" w:hAnsi="Verdana"/>
              </w:rPr>
              <w:t>Estatuto General de Contratación Pública</w:t>
            </w:r>
            <w:r w:rsidRPr="0077201E">
              <w:rPr>
                <w:rFonts w:ascii="Verdana" w:eastAsia="Calibri" w:hAnsi="Verdana" w:cs="Arial"/>
              </w:rPr>
              <w:t xml:space="preserve"> como en los procesos competitivos de entidades con régimen especial. Esta obligación consiste en establecer requisitos habilitantes ajustados o reducidos</w:t>
            </w:r>
            <w:r>
              <w:rPr>
                <w:rFonts w:ascii="Verdana" w:eastAsia="Calibri" w:hAnsi="Verdana" w:cs="Arial"/>
              </w:rPr>
              <w:t>, palabras que se deben entender en el mismo significado de diferencial,</w:t>
            </w:r>
            <w:r w:rsidRPr="0077201E">
              <w:rPr>
                <w:rFonts w:ascii="Verdana" w:eastAsia="Calibri" w:hAnsi="Verdana" w:cs="Arial"/>
              </w:rPr>
              <w:t xml:space="preserve"> en materia de experiencia, capacidad financiera, capacidad organizacional o valor de la garantía de seriedad de la oferta, con el propósito de facilitar la participación de emprendimientos y empresas de </w:t>
            </w:r>
            <w:proofErr w:type="spellStart"/>
            <w:r w:rsidRPr="0077201E">
              <w:rPr>
                <w:rFonts w:ascii="Verdana" w:eastAsia="Calibri" w:hAnsi="Verdana" w:cs="Arial"/>
              </w:rPr>
              <w:t>PcD</w:t>
            </w:r>
            <w:proofErr w:type="spellEnd"/>
            <w:r w:rsidRPr="0077201E">
              <w:rPr>
                <w:rFonts w:ascii="Verdana" w:eastAsia="Calibri" w:hAnsi="Verdana" w:cs="Arial"/>
              </w:rPr>
              <w:t xml:space="preserve"> con domicilio en el territorio nacional. La entidad contratante debe </w:t>
            </w:r>
            <w:r w:rsidRPr="00206556">
              <w:rPr>
                <w:rFonts w:ascii="Verdana" w:eastAsia="Calibri" w:hAnsi="Verdana" w:cs="Arial"/>
              </w:rPr>
              <w:t xml:space="preserve">flexibilizar </w:t>
            </w:r>
            <w:r w:rsidRPr="0077201E">
              <w:rPr>
                <w:rFonts w:ascii="Verdana" w:eastAsia="Calibri" w:hAnsi="Verdana" w:cs="Arial"/>
              </w:rPr>
              <w:t>la mayor cantidad posible de estos requisitos, de acuerdo con lo que resulte justificado en sus estudios y documentos previos para el proceso específico de que se trate, garantizando en todo caso que los requisitos ajustados sean suficientes para acreditar la idoneidad del proponente y asegurar el adecuado cumplimiento del objeto contractual. El límite de ese ajuste es el principio de proporcionalidad, que impide tanto requisitos tan exigentes que tornen nugatorio el beneficio como requisitos tan laxos que pongan en riesgo la ejecución del contrato.</w:t>
            </w:r>
          </w:p>
          <w:p w14:paraId="7BF38B1D" w14:textId="77777777" w:rsidR="005510BC" w:rsidRPr="00206556" w:rsidRDefault="005510BC" w:rsidP="00AD17AD">
            <w:pPr>
              <w:spacing w:before="120" w:after="120" w:line="276" w:lineRule="auto"/>
              <w:ind w:firstLine="709"/>
              <w:jc w:val="both"/>
              <w:rPr>
                <w:rFonts w:ascii="Verdana" w:eastAsia="Calibri" w:hAnsi="Verdana" w:cs="Arial"/>
              </w:rPr>
            </w:pPr>
            <w:r w:rsidRPr="0077201E">
              <w:rPr>
                <w:rFonts w:ascii="Verdana" w:eastAsia="Calibri" w:hAnsi="Verdana" w:cs="Arial"/>
              </w:rPr>
              <w:t>Estos criterios aplican exclusivamente para el primer sujeto del sistema</w:t>
            </w:r>
            <w:r w:rsidRPr="00206556">
              <w:rPr>
                <w:rFonts w:ascii="Verdana" w:eastAsia="Calibri" w:hAnsi="Verdana" w:cs="Arial"/>
              </w:rPr>
              <w:t xml:space="preserve">, es decir, </w:t>
            </w:r>
            <w:r w:rsidRPr="0077201E">
              <w:rPr>
                <w:rFonts w:ascii="Verdana" w:eastAsia="Calibri" w:hAnsi="Verdana" w:cs="Arial"/>
              </w:rPr>
              <w:t xml:space="preserve">los emprendimientos y empresas de </w:t>
            </w:r>
            <w:proofErr w:type="spellStart"/>
            <w:r w:rsidRPr="0077201E">
              <w:rPr>
                <w:rFonts w:ascii="Verdana" w:eastAsia="Calibri" w:hAnsi="Verdana" w:cs="Arial"/>
              </w:rPr>
              <w:t>PcD</w:t>
            </w:r>
            <w:proofErr w:type="spellEnd"/>
            <w:r w:rsidRPr="00206556">
              <w:rPr>
                <w:rFonts w:ascii="Verdana" w:eastAsia="Calibri" w:hAnsi="Verdana" w:cs="Arial"/>
              </w:rPr>
              <w:t>,</w:t>
            </w:r>
            <w:r w:rsidRPr="0077201E">
              <w:rPr>
                <w:rFonts w:ascii="Verdana" w:eastAsia="Calibri" w:hAnsi="Verdana" w:cs="Arial"/>
              </w:rPr>
              <w:t xml:space="preserve"> y no para los empleadores de </w:t>
            </w:r>
            <w:proofErr w:type="spellStart"/>
            <w:r w:rsidRPr="0077201E">
              <w:rPr>
                <w:rFonts w:ascii="Verdana" w:eastAsia="Calibri" w:hAnsi="Verdana" w:cs="Arial"/>
              </w:rPr>
              <w:t>PcD</w:t>
            </w:r>
            <w:proofErr w:type="spellEnd"/>
            <w:r w:rsidRPr="0077201E">
              <w:rPr>
                <w:rFonts w:ascii="Verdana" w:eastAsia="Calibri" w:hAnsi="Verdana" w:cs="Arial"/>
              </w:rPr>
              <w:t>. Esta medida no aplica en mínima cuantía ni en contratación directa. En tratándose de proponentes plurales, la medida opera cuando al menos uno de los integrantes del consorcio o unión temporal cumple las condiciones del artículo 2.2.1.2.4.2.6. del Decreto 1082 de 2015 (modificado), con una participación no inferior al 10% en el proponente plural y aportando la experiencia requerida en una proporción equivalente a su participación; de modo que</w:t>
            </w:r>
            <w:r w:rsidRPr="00206556">
              <w:rPr>
                <w:rFonts w:ascii="Verdana" w:eastAsia="Calibri" w:hAnsi="Verdana" w:cs="Arial"/>
              </w:rPr>
              <w:t>,</w:t>
            </w:r>
            <w:r w:rsidRPr="0077201E">
              <w:rPr>
                <w:rFonts w:ascii="Verdana" w:eastAsia="Calibri" w:hAnsi="Verdana" w:cs="Arial"/>
              </w:rPr>
              <w:t xml:space="preserve"> si ese integrante participa con el 15%, debe aportar al menos el 15% de la experiencia exigida en el pliego.</w:t>
            </w:r>
          </w:p>
          <w:p w14:paraId="492CE3CD"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Referente a l</w:t>
            </w:r>
            <w:r w:rsidRPr="00073658">
              <w:rPr>
                <w:rFonts w:ascii="Verdana" w:eastAsia="Calibri" w:hAnsi="Verdana" w:cs="Arial"/>
              </w:rPr>
              <w:t>as condiciones especiales de ejecución</w:t>
            </w:r>
            <w:r w:rsidRPr="00206556">
              <w:rPr>
                <w:rFonts w:ascii="Verdana" w:eastAsia="Calibri" w:hAnsi="Verdana" w:cs="Arial"/>
              </w:rPr>
              <w:t xml:space="preserve">, </w:t>
            </w:r>
            <w:r w:rsidRPr="00073658">
              <w:rPr>
                <w:rFonts w:ascii="Verdana" w:eastAsia="Calibri" w:hAnsi="Verdana" w:cs="Arial"/>
              </w:rPr>
              <w:t>subcontratación inclusiva e integración del equipo de trabajo</w:t>
            </w:r>
            <w:r w:rsidRPr="00206556">
              <w:rPr>
                <w:rFonts w:ascii="Verdana" w:eastAsia="Calibri" w:hAnsi="Verdana" w:cs="Arial"/>
              </w:rPr>
              <w:t xml:space="preserve">, </w:t>
            </w:r>
            <w:r>
              <w:rPr>
                <w:rFonts w:ascii="Verdana" w:eastAsia="Calibri" w:hAnsi="Verdana" w:cs="Arial"/>
              </w:rPr>
              <w:t>es</w:t>
            </w:r>
            <w:r w:rsidRPr="00073658">
              <w:rPr>
                <w:rFonts w:ascii="Verdana" w:eastAsia="Calibri" w:hAnsi="Verdana" w:cs="Arial"/>
              </w:rPr>
              <w:t xml:space="preserve"> obligatori</w:t>
            </w:r>
            <w:r>
              <w:rPr>
                <w:rFonts w:ascii="Verdana" w:eastAsia="Calibri" w:hAnsi="Verdana" w:cs="Arial"/>
              </w:rPr>
              <w:t>o incluir al menos una,</w:t>
            </w:r>
            <w:r w:rsidRPr="00073658">
              <w:rPr>
                <w:rFonts w:ascii="Verdana" w:eastAsia="Calibri" w:hAnsi="Verdana" w:cs="Arial"/>
              </w:rPr>
              <w:t xml:space="preserve"> para las entidades regidas </w:t>
            </w:r>
            <w:r>
              <w:rPr>
                <w:rFonts w:ascii="Verdana" w:eastAsia="Calibri" w:hAnsi="Verdana" w:cs="Arial"/>
              </w:rPr>
              <w:t>por el Estatuto General de Contratación Pública</w:t>
            </w:r>
            <w:r w:rsidRPr="00073658">
              <w:rPr>
                <w:rFonts w:ascii="Verdana" w:eastAsia="Calibri" w:hAnsi="Verdana" w:cs="Arial"/>
              </w:rPr>
              <w:t xml:space="preserve"> en todas las modalidades de selección, incluida la contratación directa. Solo </w:t>
            </w:r>
            <w:r w:rsidRPr="00073658">
              <w:rPr>
                <w:rFonts w:ascii="Verdana" w:eastAsia="Calibri" w:hAnsi="Verdana" w:cs="Arial"/>
              </w:rPr>
              <w:lastRenderedPageBreak/>
              <w:t>puede omitirse su inclusión cuando la entidad lo justifique expresamente en los estudios previos mediante argumentos objetivos que expliquen por qué, dadas las características del contrato específico, ninguna de las dos condiciones resulta aplicable o conveniente. Esta justificación no es una formalidad, sino una verdadera carga argumentativa a cargo de la entidad.</w:t>
            </w:r>
          </w:p>
          <w:p w14:paraId="5A2C0A82" w14:textId="77777777" w:rsidR="005510BC" w:rsidRPr="00073658"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Seguidamente, l</w:t>
            </w:r>
            <w:r w:rsidRPr="00073658">
              <w:rPr>
                <w:rFonts w:ascii="Verdana" w:eastAsia="Calibri" w:hAnsi="Verdana" w:cs="Arial"/>
              </w:rPr>
              <w:t xml:space="preserve">a contratación de </w:t>
            </w:r>
            <w:proofErr w:type="spellStart"/>
            <w:r w:rsidRPr="00073658">
              <w:rPr>
                <w:rFonts w:ascii="Verdana" w:eastAsia="Calibri" w:hAnsi="Verdana" w:cs="Arial"/>
              </w:rPr>
              <w:t>PcD</w:t>
            </w:r>
            <w:proofErr w:type="spellEnd"/>
            <w:r w:rsidRPr="00073658">
              <w:rPr>
                <w:rFonts w:ascii="Verdana" w:eastAsia="Calibri" w:hAnsi="Verdana" w:cs="Arial"/>
              </w:rPr>
              <w:t xml:space="preserve"> a través de contratos de prestación de servicios profesionales y/o de apoyo a la gestión es potestativa y no obligatoria. El artículo 2.2.1.2.4.2.7.6. del Decreto 0287 de 2026 utiliza el verbo "propenderán" para referirse a esta medida, lo que en técnica legislativa colombiana implica un mandato de medios y no de resultado, condicionado expresamente a la planeación institucional, la disponibilidad presupuestal y las necesidades del servicio. No obstante</w:t>
            </w:r>
            <w:r w:rsidRPr="00206556">
              <w:rPr>
                <w:rFonts w:ascii="Verdana" w:eastAsia="Calibri" w:hAnsi="Verdana" w:cs="Arial"/>
              </w:rPr>
              <w:t>,</w:t>
            </w:r>
            <w:r w:rsidRPr="00073658">
              <w:rPr>
                <w:rFonts w:ascii="Verdana" w:eastAsia="Calibri" w:hAnsi="Verdana" w:cs="Arial"/>
              </w:rPr>
              <w:t xml:space="preserve"> su carácter voluntario, esta medida tiene un sustento cuantitativo de enorme relevancia: en el año 2024 se celebraron 747.942 contratos de prestación de servicios por un valor de $16 billones de pesos, universo que representa una oportunidad concreta y progresiva de inclusión laboral de las </w:t>
            </w:r>
            <w:proofErr w:type="spellStart"/>
            <w:r w:rsidRPr="00073658">
              <w:rPr>
                <w:rFonts w:ascii="Verdana" w:eastAsia="Calibri" w:hAnsi="Verdana" w:cs="Arial"/>
              </w:rPr>
              <w:t>PcD</w:t>
            </w:r>
            <w:proofErr w:type="spellEnd"/>
            <w:r w:rsidRPr="00073658">
              <w:rPr>
                <w:rFonts w:ascii="Verdana" w:eastAsia="Calibri" w:hAnsi="Verdana" w:cs="Arial"/>
              </w:rPr>
              <w:t xml:space="preserve"> en el Estado.</w:t>
            </w:r>
          </w:p>
          <w:p w14:paraId="669C11AA" w14:textId="77777777" w:rsidR="005510BC"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Ahora, en cuanto a </w:t>
            </w:r>
            <w:r w:rsidRPr="00073658">
              <w:rPr>
                <w:rFonts w:ascii="Verdana" w:eastAsia="Calibri" w:hAnsi="Verdana" w:cs="Arial"/>
              </w:rPr>
              <w:t>la obligación de compras públicas accesibles</w:t>
            </w:r>
            <w:r>
              <w:rPr>
                <w:rFonts w:ascii="Verdana" w:eastAsia="Calibri" w:hAnsi="Verdana" w:cs="Arial"/>
              </w:rPr>
              <w:t>,</w:t>
            </w:r>
            <w:r w:rsidRPr="00073658">
              <w:rPr>
                <w:rFonts w:ascii="Verdana" w:eastAsia="Calibri" w:hAnsi="Verdana" w:cs="Arial"/>
              </w:rPr>
              <w:t xml:space="preserve"> </w:t>
            </w:r>
            <w:r>
              <w:rPr>
                <w:rFonts w:ascii="Verdana" w:eastAsia="Calibri" w:hAnsi="Verdana" w:cs="Arial"/>
              </w:rPr>
              <w:t>esta es</w:t>
            </w:r>
            <w:r w:rsidRPr="00073658">
              <w:rPr>
                <w:rFonts w:ascii="Verdana" w:eastAsia="Calibri" w:hAnsi="Verdana" w:cs="Arial"/>
              </w:rPr>
              <w:t xml:space="preserve"> transversal a todos los entes del Estado y aplica en todos los contratos en </w:t>
            </w:r>
            <w:r>
              <w:rPr>
                <w:rFonts w:ascii="Verdana" w:eastAsia="Calibri" w:hAnsi="Verdana" w:cs="Arial"/>
              </w:rPr>
              <w:t>los que se adquieran</w:t>
            </w:r>
            <w:r w:rsidRPr="00073658">
              <w:rPr>
                <w:rFonts w:ascii="Verdana" w:eastAsia="Calibri" w:hAnsi="Verdana" w:cs="Arial"/>
              </w:rPr>
              <w:t xml:space="preserve"> bien</w:t>
            </w:r>
            <w:r>
              <w:rPr>
                <w:rFonts w:ascii="Verdana" w:eastAsia="Calibri" w:hAnsi="Verdana" w:cs="Arial"/>
              </w:rPr>
              <w:t>es</w:t>
            </w:r>
            <w:r w:rsidRPr="00073658">
              <w:rPr>
                <w:rFonts w:ascii="Verdana" w:eastAsia="Calibri" w:hAnsi="Verdana" w:cs="Arial"/>
              </w:rPr>
              <w:t>, obra</w:t>
            </w:r>
            <w:r>
              <w:rPr>
                <w:rFonts w:ascii="Verdana" w:eastAsia="Calibri" w:hAnsi="Verdana" w:cs="Arial"/>
              </w:rPr>
              <w:t>s</w:t>
            </w:r>
            <w:r w:rsidRPr="00073658">
              <w:rPr>
                <w:rFonts w:ascii="Verdana" w:eastAsia="Calibri" w:hAnsi="Verdana" w:cs="Arial"/>
              </w:rPr>
              <w:t xml:space="preserve"> o servicio</w:t>
            </w:r>
            <w:r>
              <w:rPr>
                <w:rFonts w:ascii="Verdana" w:eastAsia="Calibri" w:hAnsi="Verdana" w:cs="Arial"/>
              </w:rPr>
              <w:t>s</w:t>
            </w:r>
            <w:r w:rsidRPr="00073658">
              <w:rPr>
                <w:rFonts w:ascii="Verdana" w:eastAsia="Calibri" w:hAnsi="Verdana" w:cs="Arial"/>
              </w:rPr>
              <w:t>. La inexistencia de normas técnicas, reglamentarias o legales aplicables al objeto del contrato no exonera a la entidad de esta obligación: ante esa circunstancia, el artículo 2.2.1.2.4.2.7.1. del Decreto 0287 de 2026 impone a la entidad el deber de elaborar una ficha técnica propia con criterios de accesibilidad determinados desde los estudios previos, teniendo en cuenta las siete categorías de discapacidad definidas por el Ministerio de Salud y Protección Social</w:t>
            </w:r>
            <w:r w:rsidRPr="00206556">
              <w:rPr>
                <w:rFonts w:ascii="Verdana" w:eastAsia="Calibri" w:hAnsi="Verdana" w:cs="Arial"/>
              </w:rPr>
              <w:t xml:space="preserve">, </w:t>
            </w:r>
            <w:r w:rsidRPr="00073658">
              <w:rPr>
                <w:rFonts w:ascii="Verdana" w:eastAsia="Calibri" w:hAnsi="Verdana" w:cs="Arial"/>
              </w:rPr>
              <w:t>visual, física, psicosocial (mental), auditiva, sordoceguera, intelectual y múltiple</w:t>
            </w:r>
            <w:r w:rsidRPr="00206556">
              <w:rPr>
                <w:rFonts w:ascii="Verdana" w:eastAsia="Calibri" w:hAnsi="Verdana" w:cs="Arial"/>
              </w:rPr>
              <w:t>,</w:t>
            </w:r>
            <w:r w:rsidRPr="00073658">
              <w:rPr>
                <w:rFonts w:ascii="Verdana" w:eastAsia="Calibri" w:hAnsi="Verdana" w:cs="Arial"/>
              </w:rPr>
              <w:t xml:space="preserve"> y los principios de accesibilidad universal, diseño universal y ajustes razonables consagrados en la Ley 1346 de 2009 y la Ley 1618 de 2013</w:t>
            </w:r>
            <w:r>
              <w:rPr>
                <w:rFonts w:ascii="Verdana" w:eastAsia="Calibri" w:hAnsi="Verdana" w:cs="Arial"/>
              </w:rPr>
              <w:t>.</w:t>
            </w:r>
          </w:p>
          <w:p w14:paraId="0C5E8AF1" w14:textId="77777777" w:rsidR="005510BC" w:rsidRDefault="005510BC" w:rsidP="00AD17AD">
            <w:pPr>
              <w:spacing w:before="120" w:after="120" w:line="276" w:lineRule="auto"/>
              <w:ind w:firstLine="709"/>
              <w:jc w:val="both"/>
              <w:rPr>
                <w:rFonts w:ascii="Verdana" w:eastAsia="Calibri" w:hAnsi="Verdana" w:cs="Arial"/>
              </w:rPr>
            </w:pPr>
            <w:r w:rsidRPr="00670CFB">
              <w:rPr>
                <w:rFonts w:ascii="Verdana" w:eastAsia="Calibri" w:hAnsi="Verdana" w:cs="Arial"/>
              </w:rPr>
              <w:t>Finalmente, en lo que concierne a las cinco medidas que componen el Sistema Integral de Preferencias y su forma de aplicación, estas operan de manera articulada a lo largo de todo el ciclo contractual: la primera, las herramientas de planeación, se activan antes de la apertura del proceso mediante ferias de negocios inclusivas, criterios sociales en los pliegos y división en lotes</w:t>
            </w:r>
            <w:r>
              <w:rPr>
                <w:rFonts w:ascii="Verdana" w:eastAsia="Calibri" w:hAnsi="Verdana" w:cs="Arial"/>
              </w:rPr>
              <w:t xml:space="preserve"> o segmentos</w:t>
            </w:r>
            <w:r w:rsidRPr="00670CFB">
              <w:rPr>
                <w:rFonts w:ascii="Verdana" w:eastAsia="Calibri" w:hAnsi="Verdana" w:cs="Arial"/>
              </w:rPr>
              <w:t xml:space="preserve">; la segunda, los criterios habilitantes diferenciales operan en la etapa de selección flexibilizando los requisitos de </w:t>
            </w:r>
            <w:r w:rsidRPr="00670CFB">
              <w:rPr>
                <w:rFonts w:ascii="Verdana" w:eastAsia="Calibri" w:hAnsi="Verdana" w:cs="Arial"/>
              </w:rPr>
              <w:lastRenderedPageBreak/>
              <w:t xml:space="preserve">experiencia, capacidad financiera, capacidad organizacional o garantía de seriedad para los emprendimientos y empresas de </w:t>
            </w:r>
            <w:proofErr w:type="spellStart"/>
            <w:r w:rsidRPr="00670CFB">
              <w:rPr>
                <w:rFonts w:ascii="Verdana" w:eastAsia="Calibri" w:hAnsi="Verdana" w:cs="Arial"/>
              </w:rPr>
              <w:t>PcD</w:t>
            </w:r>
            <w:proofErr w:type="spellEnd"/>
            <w:r w:rsidRPr="00670CFB">
              <w:rPr>
                <w:rFonts w:ascii="Verdana" w:eastAsia="Calibri" w:hAnsi="Verdana" w:cs="Arial"/>
              </w:rPr>
              <w:t xml:space="preserve">, con el límite del principio de proporcionalidad; la tercera, el puntaje adicional del 2% opera en la evaluación de propuestas en licitación pública y concurso de méritos otorgando una ventaja real en la calificación de la oferta; la cuarta, las condiciones especiales de ejecución obligan al contratista durante la ejecución a priorizar a las </w:t>
            </w:r>
            <w:proofErr w:type="spellStart"/>
            <w:r w:rsidRPr="00670CFB">
              <w:rPr>
                <w:rFonts w:ascii="Verdana" w:eastAsia="Calibri" w:hAnsi="Verdana" w:cs="Arial"/>
              </w:rPr>
              <w:t>PcD</w:t>
            </w:r>
            <w:proofErr w:type="spellEnd"/>
            <w:r w:rsidRPr="00670CFB">
              <w:rPr>
                <w:rFonts w:ascii="Verdana" w:eastAsia="Calibri" w:hAnsi="Verdana" w:cs="Arial"/>
              </w:rPr>
              <w:t xml:space="preserve"> y sus empresas en la subcontratación </w:t>
            </w:r>
            <w:r>
              <w:rPr>
                <w:rFonts w:ascii="Verdana" w:eastAsia="Calibri" w:hAnsi="Verdana" w:cs="Arial"/>
              </w:rPr>
              <w:t>y/o</w:t>
            </w:r>
            <w:r w:rsidRPr="00670CFB">
              <w:rPr>
                <w:rFonts w:ascii="Verdana" w:eastAsia="Calibri" w:hAnsi="Verdana" w:cs="Arial"/>
              </w:rPr>
              <w:t xml:space="preserve"> en la conformación del equipo de trabajo; y la quinta, la inclusión potestativa de </w:t>
            </w:r>
            <w:proofErr w:type="spellStart"/>
            <w:r w:rsidRPr="00670CFB">
              <w:rPr>
                <w:rFonts w:ascii="Verdana" w:eastAsia="Calibri" w:hAnsi="Verdana" w:cs="Arial"/>
              </w:rPr>
              <w:t>PcD</w:t>
            </w:r>
            <w:proofErr w:type="spellEnd"/>
            <w:r w:rsidRPr="00670CFB">
              <w:rPr>
                <w:rFonts w:ascii="Verdana" w:eastAsia="Calibri" w:hAnsi="Verdana" w:cs="Arial"/>
              </w:rPr>
              <w:t xml:space="preserve"> en contratos de prestación de servicios, permite a las entidades </w:t>
            </w:r>
            <w:r>
              <w:rPr>
                <w:rFonts w:ascii="Verdana" w:eastAsia="Calibri" w:hAnsi="Verdana" w:cs="Arial"/>
              </w:rPr>
              <w:t>sometidas al Estatuto General de Contratación Pública</w:t>
            </w:r>
            <w:r w:rsidRPr="00670CFB">
              <w:rPr>
                <w:rFonts w:ascii="Verdana" w:eastAsia="Calibri" w:hAnsi="Verdana" w:cs="Arial"/>
              </w:rPr>
              <w:t xml:space="preserve"> vincular directamente personas con discapacidad en la modalidad de contratación directa. El incumplimiento de cualquiera de estas medidas tiene consecuencias jurídicas concretas que van desde la invalidez de los documentos del proceso hasta la configuración de causales de incumplimiento contractual, según la fase en que se produzca la omisión</w:t>
            </w:r>
            <w:r>
              <w:rPr>
                <w:rFonts w:ascii="Verdana" w:eastAsia="Calibri" w:hAnsi="Verdana" w:cs="Arial"/>
              </w:rPr>
              <w:t>, así como sanciones por los entes de control por la celebración de contratos sin el cumplimiento de requisitos legales</w:t>
            </w:r>
            <w:r w:rsidRPr="00670CFB">
              <w:rPr>
                <w:rFonts w:ascii="Verdana" w:eastAsia="Calibri" w:hAnsi="Verdana" w:cs="Arial"/>
              </w:rPr>
              <w:t>.</w:t>
            </w:r>
          </w:p>
          <w:p w14:paraId="2204ED69" w14:textId="77777777" w:rsidR="005510BC" w:rsidRPr="00D851ED" w:rsidRDefault="005510BC" w:rsidP="00AD17AD">
            <w:pPr>
              <w:spacing w:before="120" w:after="120" w:line="276" w:lineRule="auto"/>
              <w:ind w:firstLine="709"/>
              <w:jc w:val="both"/>
              <w:rPr>
                <w:rFonts w:ascii="Verdana" w:eastAsia="Calibri" w:hAnsi="Verdana" w:cs="Arial"/>
              </w:rPr>
            </w:pPr>
            <w:r>
              <w:rPr>
                <w:rFonts w:ascii="Verdana" w:eastAsia="Calibri" w:hAnsi="Verdana" w:cs="Arial"/>
              </w:rPr>
              <w:t xml:space="preserve">Por último, respecto del régimen de transición para la aplicación del Decreto 287 de 2026, se debe tener en cuenta que </w:t>
            </w:r>
            <w:r w:rsidRPr="00D851ED">
              <w:rPr>
                <w:rFonts w:ascii="Verdana" w:eastAsia="Calibri" w:hAnsi="Verdana" w:cs="Arial"/>
              </w:rPr>
              <w:t>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32148EEA" w14:textId="77777777" w:rsidR="005510BC" w:rsidRPr="00D851ED"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D851ED">
              <w:rPr>
                <w:rFonts w:ascii="Verdana" w:eastAsia="Calibri" w:hAnsi="Verdana" w:cs="Arial"/>
              </w:rPr>
              <w:t>ii</w:t>
            </w:r>
            <w:proofErr w:type="spellEnd"/>
            <w:r w:rsidRPr="00D851ED">
              <w:rPr>
                <w:rFonts w:ascii="Verdana" w:eastAsia="Calibri" w:hAnsi="Verdana" w:cs="Arial"/>
              </w:rPr>
              <w:t xml:space="preserve">) La resolución de apertura no existe, o fue expedida el 20 de marzo de 2026 o en fecha posterior, por lo que se debe incorporar el Decreto 287 de 2026 al proceso contractual y la entidad debe ajustar sus estudios previos y pliegos </w:t>
            </w:r>
            <w:r w:rsidRPr="00D851ED">
              <w:rPr>
                <w:rFonts w:ascii="Verdana" w:eastAsia="Calibri" w:hAnsi="Verdana" w:cs="Arial"/>
              </w:rPr>
              <w:lastRenderedPageBreak/>
              <w:t>de condiciones, incluido el proyecto de pliego, para dar pleno cumplimiento al decreto antes de expedir el acto administrativo de apertura.</w:t>
            </w:r>
          </w:p>
          <w:p w14:paraId="59BB8292" w14:textId="77777777" w:rsidR="005510BC" w:rsidRPr="00670CFB" w:rsidRDefault="005510BC" w:rsidP="00AD17AD">
            <w:pPr>
              <w:spacing w:before="120" w:after="120" w:line="276" w:lineRule="auto"/>
              <w:ind w:firstLine="709"/>
              <w:jc w:val="both"/>
              <w:rPr>
                <w:rFonts w:ascii="Verdana" w:eastAsia="Calibri" w:hAnsi="Verdana" w:cs="Arial"/>
              </w:rPr>
            </w:pPr>
            <w:r w:rsidRPr="00D851ED">
              <w:rPr>
                <w:rFonts w:ascii="Verdana" w:eastAsia="Calibri" w:hAnsi="Verdana" w:cs="Arial"/>
              </w:rPr>
              <w:t xml:space="preserve">Para los procesos de contratación con proyecto de pliego </w:t>
            </w:r>
            <w:proofErr w:type="gramStart"/>
            <w:r w:rsidRPr="00D851ED">
              <w:rPr>
                <w:rFonts w:ascii="Verdana" w:eastAsia="Calibri" w:hAnsi="Verdana" w:cs="Arial"/>
              </w:rPr>
              <w:t>publicado</w:t>
            </w:r>
            <w:proofErr w:type="gramEnd"/>
            <w:r w:rsidRPr="00D851ED">
              <w:rPr>
                <w:rFonts w:ascii="Verdana" w:eastAsia="Calibri" w:hAnsi="Verdana" w:cs="Arial"/>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tc>
      </w:tr>
    </w:tbl>
    <w:p w14:paraId="7F676FBC"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3E367C81"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B53286B" w14:textId="77777777" w:rsidR="005510BC" w:rsidRPr="00206556" w:rsidRDefault="005510BC" w:rsidP="005510BC">
      <w:pPr>
        <w:tabs>
          <w:tab w:val="left" w:pos="142"/>
          <w:tab w:val="left" w:pos="284"/>
        </w:tabs>
        <w:spacing w:after="0" w:line="276" w:lineRule="auto"/>
        <w:jc w:val="both"/>
        <w:rPr>
          <w:rFonts w:ascii="Verdana" w:eastAsia="Century Gothic" w:hAnsi="Verdana" w:cs="Century Gothic"/>
          <w:b/>
          <w:color w:val="ED7D31" w:themeColor="accent2"/>
          <w:lang w:val="es-ES"/>
        </w:rPr>
      </w:pPr>
    </w:p>
    <w:p w14:paraId="50427C9E" w14:textId="77777777" w:rsidR="005510BC" w:rsidRPr="00206556" w:rsidRDefault="005510BC" w:rsidP="005510BC">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21B39AE2" w14:textId="77777777" w:rsidR="005510BC" w:rsidRPr="00206556" w:rsidRDefault="005510BC" w:rsidP="005510BC">
      <w:pPr>
        <w:spacing w:after="0" w:line="276" w:lineRule="auto"/>
        <w:jc w:val="both"/>
        <w:rPr>
          <w:rFonts w:ascii="Verdana" w:eastAsia="Calibri" w:hAnsi="Verdana" w:cs="Arial"/>
          <w:lang w:val="es-ES"/>
        </w:rPr>
      </w:pPr>
    </w:p>
    <w:p w14:paraId="02498FA5" w14:textId="77777777" w:rsidR="005510BC" w:rsidRPr="00206556" w:rsidRDefault="005510BC" w:rsidP="005510BC">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 xml:space="preserve">El fundamento del Sistema de Preferencias para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5B18619D" w14:textId="77777777" w:rsidR="005510BC" w:rsidRPr="00206556" w:rsidRDefault="005510BC" w:rsidP="005510BC">
      <w:pPr>
        <w:spacing w:after="120" w:line="276" w:lineRule="auto"/>
        <w:ind w:firstLine="708"/>
        <w:jc w:val="both"/>
        <w:rPr>
          <w:rFonts w:ascii="Verdana" w:hAnsi="Verdana"/>
        </w:rPr>
      </w:pPr>
      <w:r w:rsidRPr="00206556">
        <w:rPr>
          <w:rFonts w:ascii="Verdana" w:eastAsia="Times New Roman" w:hAnsi="Verdana" w:cs="Times New Roman"/>
        </w:rPr>
        <w:t xml:space="preserve">En el plano internacional, Colombia es Estado Parte de instrumentos que conforman el Bloque de Constitucionalidad en virtud del artículo 93 superior. La </w:t>
      </w:r>
      <w:r w:rsidRPr="00206556">
        <w:rPr>
          <w:rFonts w:ascii="Verdana" w:eastAsia="Times New Roman" w:hAnsi="Verdana" w:cs="Times New Roman"/>
        </w:rPr>
        <w:lastRenderedPageBreak/>
        <w:t>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materia de empleo.</w:t>
      </w:r>
    </w:p>
    <w:p w14:paraId="5165B87A"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361 de 1997 estableció los primeros mecanismos de integración social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Su artículo 24 introdujo una preferencia en igualdad de condiciones en licitaciones y adjudicaciones de contratos para los empleadores que tuvieran al menos el 10% de su nómina compuesta por </w:t>
      </w:r>
      <w:proofErr w:type="spellStart"/>
      <w:r w:rsidRPr="00206556">
        <w:rPr>
          <w:rFonts w:ascii="Verdana" w:eastAsia="Times New Roman" w:hAnsi="Verdana" w:cs="Times New Roman"/>
        </w:rPr>
        <w:t>PcD</w:t>
      </w:r>
      <w:proofErr w:type="spellEnd"/>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pero su alcance era limitado: una preferencia residual aplicable solo en caso de empate, que beneficiaba únicamente a los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sin considerar a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proponentes directos.</w:t>
      </w:r>
    </w:p>
    <w:p w14:paraId="4662F524" w14:textId="77777777" w:rsidR="005510BC" w:rsidRPr="00206556" w:rsidRDefault="005510BC" w:rsidP="005510BC">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w:t>
      </w:r>
      <w:r w:rsidRPr="00206556">
        <w:rPr>
          <w:rFonts w:ascii="Verdana" w:eastAsia="Times New Roman" w:hAnsi="Verdana" w:cs="Times New Roman"/>
        </w:rPr>
        <w:lastRenderedPageBreak/>
        <w:t xml:space="preserve">al Gobierno Nacional reglamentar: una puntuación adicional en licitación pública, concurso de méritos y contratación directa para empresas que vinculen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y para empresas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un sistema de preferencias para empleadores de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en la adjudicación; y un sistema de preferencias en favor de las propias </w:t>
      </w:r>
      <w:proofErr w:type="spellStart"/>
      <w:r w:rsidRPr="00206556">
        <w:rPr>
          <w:rFonts w:ascii="Verdana" w:eastAsia="Times New Roman" w:hAnsi="Verdana" w:cs="Times New Roman"/>
        </w:rPr>
        <w:t>PcD</w:t>
      </w:r>
      <w:proofErr w:type="spellEnd"/>
      <w:r w:rsidRPr="00206556">
        <w:rPr>
          <w:rFonts w:ascii="Verdana" w:eastAsia="Times New Roman" w:hAnsi="Verdana" w:cs="Times New Roman"/>
        </w:rPr>
        <w:t xml:space="preserve">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xml:space="preserve">, que por definición no puede reducirse a una sola </w:t>
      </w:r>
      <w:proofErr w:type="gramStart"/>
      <w:r w:rsidRPr="00206556">
        <w:rPr>
          <w:rFonts w:ascii="Verdana" w:eastAsia="Times New Roman" w:hAnsi="Verdana" w:cs="Times New Roman"/>
        </w:rPr>
        <w:t>medida</w:t>
      </w:r>
      <w:proofErr w:type="gramEnd"/>
      <w:r w:rsidRPr="00206556">
        <w:rPr>
          <w:rFonts w:ascii="Verdana" w:eastAsia="Times New Roman" w:hAnsi="Verdana" w:cs="Times New Roman"/>
        </w:rPr>
        <w:t xml:space="preserve"> sino que implica un conjunto estructurado de instrumentos que actúen en las distintas fases del proceso contractual.</w:t>
      </w:r>
    </w:p>
    <w:p w14:paraId="5D63313B" w14:textId="77777777" w:rsidR="005510BC" w:rsidRPr="00E727F0" w:rsidRDefault="005510BC" w:rsidP="005510BC">
      <w:pPr>
        <w:spacing w:after="120" w:line="276" w:lineRule="auto"/>
        <w:ind w:firstLine="709"/>
        <w:jc w:val="both"/>
        <w:rPr>
          <w:rFonts w:ascii="Verdana" w:hAnsi="Verdana"/>
        </w:rPr>
      </w:pPr>
      <w:r w:rsidRPr="00E727F0">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w:t>
      </w:r>
      <w:proofErr w:type="spellStart"/>
      <w:r w:rsidRPr="00E727F0">
        <w:rPr>
          <w:rFonts w:ascii="Verdana" w:hAnsi="Verdana"/>
        </w:rPr>
        <w:t>PcD</w:t>
      </w:r>
      <w:proofErr w:type="spellEnd"/>
      <w:r w:rsidRPr="00E727F0">
        <w:rPr>
          <w:rFonts w:ascii="Verdana" w:hAnsi="Verdana"/>
        </w:rPr>
        <w:t xml:space="preserve">, sin incluir a las empresas de </w:t>
      </w:r>
      <w:proofErr w:type="spellStart"/>
      <w:r w:rsidRPr="00E727F0">
        <w:rPr>
          <w:rFonts w:ascii="Verdana" w:hAnsi="Verdana"/>
        </w:rPr>
        <w:t>PcD</w:t>
      </w:r>
      <w:proofErr w:type="spellEnd"/>
      <w:r w:rsidRPr="00E727F0">
        <w:rPr>
          <w:rFonts w:ascii="Verdana" w:hAnsi="Verdana"/>
        </w:rPr>
        <w:t>; redujo el "sistema de preferencias" a un único criterio de 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 xml:space="preserve">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A420A9">
        <w:rPr>
          <w:rFonts w:ascii="Verdana" w:hAnsi="Verdana"/>
        </w:rPr>
        <w:t>PcD</w:t>
      </w:r>
      <w:proofErr w:type="spellEnd"/>
      <w:r w:rsidRPr="00A420A9">
        <w:rPr>
          <w:rFonts w:ascii="Verdana" w:hAnsi="Verdana"/>
        </w:rPr>
        <w:t xml:space="preserve"> como contratistas.</w:t>
      </w:r>
    </w:p>
    <w:p w14:paraId="41648564" w14:textId="77777777" w:rsidR="005510BC" w:rsidRDefault="005510BC" w:rsidP="005510BC">
      <w:pPr>
        <w:spacing w:after="120" w:line="276" w:lineRule="auto"/>
        <w:ind w:firstLine="709"/>
        <w:jc w:val="both"/>
        <w:rPr>
          <w:rFonts w:ascii="Verdana" w:hAnsi="Verdana"/>
        </w:rPr>
      </w:pPr>
    </w:p>
    <w:p w14:paraId="485E28D1" w14:textId="77777777" w:rsidR="005510BC" w:rsidRPr="00A420A9" w:rsidRDefault="005510BC" w:rsidP="005510BC">
      <w:pPr>
        <w:spacing w:after="120" w:line="276" w:lineRule="auto"/>
        <w:ind w:firstLine="709"/>
        <w:jc w:val="both"/>
        <w:rPr>
          <w:rFonts w:ascii="Verdana" w:hAnsi="Verdana"/>
        </w:rPr>
      </w:pPr>
    </w:p>
    <w:p w14:paraId="5F50AB72" w14:textId="77777777" w:rsidR="005510BC" w:rsidRPr="00A420A9" w:rsidRDefault="005510BC" w:rsidP="005510BC">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w:t>
      </w:r>
      <w:r w:rsidRPr="00A420A9">
        <w:rPr>
          <w:rFonts w:ascii="Verdana" w:hAnsi="Verdana"/>
        </w:rPr>
        <w:lastRenderedPageBreak/>
        <w:t>contaba con margen de discrecionalidad para decidir si reglamentaba o no el sistema de preferencias.</w:t>
      </w:r>
    </w:p>
    <w:p w14:paraId="34CE263B" w14:textId="77777777" w:rsidR="005510BC" w:rsidRDefault="005510BC" w:rsidP="005510BC">
      <w:pPr>
        <w:spacing w:after="120" w:line="276" w:lineRule="auto"/>
        <w:ind w:firstLine="709"/>
        <w:jc w:val="both"/>
        <w:rPr>
          <w:rFonts w:ascii="Verdana" w:hAnsi="Verdana"/>
        </w:rPr>
      </w:pPr>
    </w:p>
    <w:p w14:paraId="639D7BE6" w14:textId="77777777" w:rsidR="005510BC" w:rsidRDefault="005510BC" w:rsidP="005510BC">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w:t>
      </w:r>
      <w:proofErr w:type="spellStart"/>
      <w:r w:rsidRPr="00E727F0">
        <w:rPr>
          <w:rFonts w:ascii="Verdana" w:hAnsi="Verdana"/>
        </w:rPr>
        <w:t>PcD</w:t>
      </w:r>
      <w:proofErr w:type="spellEnd"/>
      <w:r w:rsidRPr="00E727F0">
        <w:rPr>
          <w:rFonts w:ascii="Verdana" w:hAnsi="Verdana"/>
        </w:rPr>
        <w:t xml:space="preserve"> y los empleadores de </w:t>
      </w:r>
      <w:proofErr w:type="spellStart"/>
      <w:r w:rsidRPr="00E727F0">
        <w:rPr>
          <w:rFonts w:ascii="Verdana" w:hAnsi="Verdana"/>
        </w:rPr>
        <w:t>PcD</w:t>
      </w:r>
      <w:proofErr w:type="spellEnd"/>
      <w:r w:rsidRPr="00E727F0">
        <w:rPr>
          <w:rFonts w:ascii="Verdana" w:hAnsi="Verdana"/>
        </w:rPr>
        <w:t xml:space="preserve">. A continuación, se desarrolla el alcance de cada aspecto del sistema planteado en los problemas jurídicos. </w:t>
      </w:r>
    </w:p>
    <w:p w14:paraId="2BA717EC" w14:textId="77777777" w:rsidR="005510BC" w:rsidRPr="00E727F0" w:rsidRDefault="005510BC" w:rsidP="005510BC">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444D8BC1" w14:textId="77777777" w:rsidR="005510BC" w:rsidRPr="00E727F0" w:rsidRDefault="005510BC" w:rsidP="005510BC">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6DF74ED7" w14:textId="77777777" w:rsidR="005510BC" w:rsidRPr="00206556" w:rsidRDefault="005510BC" w:rsidP="005510BC">
      <w:pPr>
        <w:spacing w:after="120" w:line="276" w:lineRule="auto"/>
        <w:ind w:firstLine="709"/>
        <w:jc w:val="both"/>
        <w:rPr>
          <w:rFonts w:ascii="Verdana" w:hAnsi="Verdana"/>
        </w:rPr>
      </w:pPr>
      <w:r w:rsidRPr="00E727F0">
        <w:rPr>
          <w:rFonts w:ascii="Verdana" w:eastAsia="Times New Roman" w:hAnsi="Verdana" w:cs="Times New Roman"/>
        </w:rPr>
        <w:t xml:space="preserve">Esta decisión normativa responde a una razón de diseño del sistema: el 2% ya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4398853E" w14:textId="77777777" w:rsidR="005510BC" w:rsidRPr="00D22B7C" w:rsidRDefault="005510BC" w:rsidP="005510BC">
      <w:pPr>
        <w:spacing w:after="120" w:line="276" w:lineRule="auto"/>
        <w:ind w:firstLine="709"/>
        <w:jc w:val="both"/>
        <w:rPr>
          <w:rFonts w:ascii="Verdana" w:hAnsi="Verdana"/>
        </w:rPr>
      </w:pPr>
      <w:r w:rsidRPr="00206556">
        <w:rPr>
          <w:rFonts w:ascii="Verdana" w:eastAsia="Times New Roman" w:hAnsi="Verdana" w:cs="Times New Roman"/>
        </w:rPr>
        <w:lastRenderedPageBreak/>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a la exigencia del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p w14:paraId="4D3C6E2B" w14:textId="77777777" w:rsidR="005510BC" w:rsidRPr="00D22B7C" w:rsidRDefault="005510BC" w:rsidP="005510BC">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5510BC" w:rsidRPr="00D22B7C" w14:paraId="6F151AF3"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25B4EE0" w14:textId="77777777" w:rsidR="005510BC" w:rsidRPr="00D22B7C" w:rsidRDefault="005510BC" w:rsidP="00AD17AD">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3EDA664" w14:textId="77777777" w:rsidR="005510BC" w:rsidRPr="00D22B7C" w:rsidRDefault="005510BC" w:rsidP="00AD17AD">
            <w:pPr>
              <w:jc w:val="center"/>
              <w:rPr>
                <w:rFonts w:ascii="Verdana" w:hAnsi="Verdana"/>
              </w:rPr>
            </w:pPr>
            <w:r w:rsidRPr="00D22B7C">
              <w:rPr>
                <w:rFonts w:ascii="Verdana" w:eastAsia="Times New Roman" w:hAnsi="Verdana" w:cs="Times New Roman"/>
                <w:b/>
                <w:bCs/>
              </w:rPr>
              <w:t>Número mínimo de trabajadores con discapacidad requerido</w:t>
            </w:r>
          </w:p>
        </w:tc>
      </w:tr>
      <w:tr w:rsidR="005510BC" w:rsidRPr="00D22B7C" w14:paraId="43A1DF5F"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7B7C734" w14:textId="77777777" w:rsidR="005510BC" w:rsidRPr="00D22B7C" w:rsidRDefault="005510BC" w:rsidP="00AD17AD">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061D12A" w14:textId="77777777" w:rsidR="005510BC" w:rsidRPr="00D22B7C" w:rsidRDefault="005510BC" w:rsidP="00AD17AD">
            <w:pPr>
              <w:jc w:val="center"/>
              <w:rPr>
                <w:rFonts w:ascii="Verdana" w:hAnsi="Verdana"/>
              </w:rPr>
            </w:pPr>
            <w:r w:rsidRPr="00D22B7C">
              <w:rPr>
                <w:rFonts w:ascii="Verdana" w:eastAsia="Times New Roman" w:hAnsi="Verdana" w:cs="Times New Roman"/>
              </w:rPr>
              <w:t>2</w:t>
            </w:r>
          </w:p>
        </w:tc>
      </w:tr>
      <w:tr w:rsidR="005510BC" w:rsidRPr="00D22B7C" w14:paraId="266DEBF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403124F" w14:textId="77777777" w:rsidR="005510BC" w:rsidRPr="00D22B7C" w:rsidRDefault="005510BC" w:rsidP="00AD17AD">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E23DE8" w14:textId="77777777" w:rsidR="005510BC" w:rsidRPr="00D22B7C" w:rsidRDefault="005510BC" w:rsidP="00AD17AD">
            <w:pPr>
              <w:jc w:val="center"/>
              <w:rPr>
                <w:rFonts w:ascii="Verdana" w:hAnsi="Verdana"/>
              </w:rPr>
            </w:pPr>
            <w:r w:rsidRPr="00D22B7C">
              <w:rPr>
                <w:rFonts w:ascii="Verdana" w:eastAsia="Times New Roman" w:hAnsi="Verdana" w:cs="Times New Roman"/>
              </w:rPr>
              <w:t>3</w:t>
            </w:r>
          </w:p>
        </w:tc>
      </w:tr>
      <w:tr w:rsidR="005510BC" w:rsidRPr="00D22B7C" w14:paraId="315FE4D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2030261" w14:textId="77777777" w:rsidR="005510BC" w:rsidRPr="00D22B7C" w:rsidRDefault="005510BC" w:rsidP="00AD17AD">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7F294B" w14:textId="77777777" w:rsidR="005510BC" w:rsidRPr="00D22B7C" w:rsidRDefault="005510BC" w:rsidP="00AD17AD">
            <w:pPr>
              <w:jc w:val="center"/>
              <w:rPr>
                <w:rFonts w:ascii="Verdana" w:hAnsi="Verdana"/>
              </w:rPr>
            </w:pPr>
            <w:r w:rsidRPr="00D22B7C">
              <w:rPr>
                <w:rFonts w:ascii="Verdana" w:eastAsia="Times New Roman" w:hAnsi="Verdana" w:cs="Times New Roman"/>
              </w:rPr>
              <w:t>4</w:t>
            </w:r>
          </w:p>
        </w:tc>
      </w:tr>
      <w:tr w:rsidR="005510BC" w:rsidRPr="00D22B7C" w14:paraId="19B7392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6DB91C1" w14:textId="77777777" w:rsidR="005510BC" w:rsidRPr="00D22B7C" w:rsidRDefault="005510BC" w:rsidP="00AD17AD">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737E0A" w14:textId="77777777" w:rsidR="005510BC" w:rsidRPr="00D22B7C" w:rsidRDefault="005510BC" w:rsidP="00AD17AD">
            <w:pPr>
              <w:jc w:val="center"/>
              <w:rPr>
                <w:rFonts w:ascii="Verdana" w:hAnsi="Verdana"/>
              </w:rPr>
            </w:pPr>
            <w:r w:rsidRPr="00D22B7C">
              <w:rPr>
                <w:rFonts w:ascii="Verdana" w:eastAsia="Times New Roman" w:hAnsi="Verdana" w:cs="Times New Roman"/>
              </w:rPr>
              <w:t>5</w:t>
            </w:r>
          </w:p>
        </w:tc>
      </w:tr>
      <w:tr w:rsidR="005510BC" w:rsidRPr="00D22B7C" w14:paraId="4BDEAA4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5192A6C" w14:textId="77777777" w:rsidR="005510BC" w:rsidRPr="00D22B7C" w:rsidRDefault="005510BC" w:rsidP="00AD17AD">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17D381E" w14:textId="77777777" w:rsidR="005510BC" w:rsidRPr="00D22B7C" w:rsidRDefault="005510BC" w:rsidP="00AD17AD">
            <w:pPr>
              <w:jc w:val="center"/>
              <w:rPr>
                <w:rFonts w:ascii="Verdana" w:hAnsi="Verdana"/>
              </w:rPr>
            </w:pPr>
            <w:r w:rsidRPr="00D22B7C">
              <w:rPr>
                <w:rFonts w:ascii="Verdana" w:eastAsia="Times New Roman" w:hAnsi="Verdana" w:cs="Times New Roman"/>
              </w:rPr>
              <w:t>7</w:t>
            </w:r>
          </w:p>
        </w:tc>
      </w:tr>
      <w:tr w:rsidR="005510BC" w:rsidRPr="00D22B7C" w14:paraId="37BE65DB"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37DF74" w14:textId="77777777" w:rsidR="005510BC" w:rsidRPr="00D22B7C" w:rsidRDefault="005510BC" w:rsidP="00AD17AD">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8447AC" w14:textId="77777777" w:rsidR="005510BC" w:rsidRPr="00D22B7C" w:rsidRDefault="005510BC" w:rsidP="00AD17AD">
            <w:pPr>
              <w:jc w:val="center"/>
              <w:rPr>
                <w:rFonts w:ascii="Verdana" w:hAnsi="Verdana"/>
              </w:rPr>
            </w:pPr>
            <w:r w:rsidRPr="00D22B7C">
              <w:rPr>
                <w:rFonts w:ascii="Verdana" w:eastAsia="Times New Roman" w:hAnsi="Verdana" w:cs="Times New Roman"/>
              </w:rPr>
              <w:t>10</w:t>
            </w:r>
          </w:p>
        </w:tc>
      </w:tr>
      <w:tr w:rsidR="005510BC" w:rsidRPr="00D22B7C" w14:paraId="19644D6C"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E564A44" w14:textId="77777777" w:rsidR="005510BC" w:rsidRPr="00D22B7C" w:rsidRDefault="005510BC" w:rsidP="00AD17AD">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6BE605" w14:textId="77777777" w:rsidR="005510BC" w:rsidRPr="00D22B7C" w:rsidRDefault="005510BC" w:rsidP="00AD17AD">
            <w:pPr>
              <w:jc w:val="center"/>
              <w:rPr>
                <w:rFonts w:ascii="Verdana" w:hAnsi="Verdana"/>
              </w:rPr>
            </w:pPr>
            <w:r w:rsidRPr="00D22B7C">
              <w:rPr>
                <w:rFonts w:ascii="Verdana" w:eastAsia="Times New Roman" w:hAnsi="Verdana" w:cs="Times New Roman"/>
              </w:rPr>
              <w:t>12</w:t>
            </w:r>
          </w:p>
        </w:tc>
      </w:tr>
      <w:tr w:rsidR="005510BC" w:rsidRPr="00D22B7C" w14:paraId="101991F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7FAE899" w14:textId="77777777" w:rsidR="005510BC" w:rsidRPr="00D22B7C" w:rsidRDefault="005510BC" w:rsidP="00AD17AD">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FBA108C" w14:textId="77777777" w:rsidR="005510BC" w:rsidRPr="00D22B7C" w:rsidRDefault="005510BC" w:rsidP="00AD17AD">
            <w:pPr>
              <w:jc w:val="center"/>
              <w:rPr>
                <w:rFonts w:ascii="Verdana" w:hAnsi="Verdana"/>
              </w:rPr>
            </w:pPr>
            <w:r w:rsidRPr="00D22B7C">
              <w:rPr>
                <w:rFonts w:ascii="Verdana" w:eastAsia="Times New Roman" w:hAnsi="Verdana" w:cs="Times New Roman"/>
              </w:rPr>
              <w:t>14</w:t>
            </w:r>
          </w:p>
        </w:tc>
      </w:tr>
      <w:tr w:rsidR="005510BC" w:rsidRPr="00D22B7C" w14:paraId="1A5BF868"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0019908" w14:textId="77777777" w:rsidR="005510BC" w:rsidRPr="00D22B7C" w:rsidRDefault="005510BC" w:rsidP="00AD17AD">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8589BC1" w14:textId="77777777" w:rsidR="005510BC" w:rsidRPr="00D22B7C" w:rsidRDefault="005510BC" w:rsidP="00AD17AD">
            <w:pPr>
              <w:jc w:val="center"/>
              <w:rPr>
                <w:rFonts w:ascii="Verdana" w:hAnsi="Verdana"/>
              </w:rPr>
            </w:pPr>
            <w:r w:rsidRPr="00D22B7C">
              <w:rPr>
                <w:rFonts w:ascii="Verdana" w:eastAsia="Times New Roman" w:hAnsi="Verdana" w:cs="Times New Roman"/>
              </w:rPr>
              <w:t>16</w:t>
            </w:r>
          </w:p>
        </w:tc>
      </w:tr>
      <w:tr w:rsidR="005510BC" w:rsidRPr="00D22B7C" w14:paraId="16E0E71D" w14:textId="77777777" w:rsidTr="00AD17AD">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557796" w14:textId="77777777" w:rsidR="005510BC" w:rsidRPr="00D22B7C" w:rsidRDefault="005510BC" w:rsidP="00AD17AD">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D98C1C" w14:textId="77777777" w:rsidR="005510BC" w:rsidRPr="00D22B7C" w:rsidRDefault="005510BC" w:rsidP="00AD17AD">
            <w:pPr>
              <w:jc w:val="center"/>
              <w:rPr>
                <w:rFonts w:ascii="Verdana" w:hAnsi="Verdana"/>
              </w:rPr>
            </w:pPr>
            <w:r w:rsidRPr="00D22B7C">
              <w:rPr>
                <w:rFonts w:ascii="Verdana" w:eastAsia="Times New Roman" w:hAnsi="Verdana" w:cs="Times New Roman"/>
              </w:rPr>
              <w:t xml:space="preserve">Por cada 100 trabajadores adicionales, se suman </w:t>
            </w:r>
            <w:r w:rsidRPr="00D22B7C">
              <w:rPr>
                <w:rFonts w:ascii="Verdana" w:eastAsia="Times New Roman" w:hAnsi="Verdana" w:cs="Times New Roman"/>
              </w:rPr>
              <w:lastRenderedPageBreak/>
              <w:t>2 trabajadores con discapacidad</w:t>
            </w:r>
          </w:p>
        </w:tc>
      </w:tr>
    </w:tbl>
    <w:p w14:paraId="4D0F0E50" w14:textId="77777777" w:rsidR="005510BC" w:rsidRPr="00D22B7C" w:rsidRDefault="005510BC" w:rsidP="005510BC">
      <w:pPr>
        <w:spacing w:after="0" w:line="276" w:lineRule="auto"/>
        <w:rPr>
          <w:rFonts w:ascii="Verdana" w:hAnsi="Verdana"/>
        </w:rPr>
      </w:pPr>
    </w:p>
    <w:p w14:paraId="55A4F78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34B9593A" w14:textId="77777777" w:rsidR="005510BC" w:rsidRPr="00D22B7C" w:rsidRDefault="005510BC" w:rsidP="005510BC">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45A0D5B8" w14:textId="77777777" w:rsidR="005510BC" w:rsidRPr="003C3B8B" w:rsidRDefault="005510BC" w:rsidP="005510BC">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w:t>
      </w:r>
      <w:proofErr w:type="spellStart"/>
      <w:r w:rsidRPr="003C3B8B">
        <w:rPr>
          <w:rFonts w:ascii="Verdana" w:eastAsia="Times New Roman" w:hAnsi="Verdana" w:cs="Times New Roman"/>
          <w:i/>
          <w:iCs/>
          <w:sz w:val="21"/>
          <w:szCs w:val="21"/>
        </w:rPr>
        <w:t>PcD</w:t>
      </w:r>
      <w:proofErr w:type="spellEnd"/>
      <w:r w:rsidRPr="003C3B8B">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4633D0E8" w14:textId="77777777" w:rsidR="005510BC" w:rsidRDefault="005510BC" w:rsidP="005510BC">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4CE21EAF" w14:textId="77777777" w:rsidR="005510BC" w:rsidRDefault="005510BC" w:rsidP="005510BC">
      <w:pPr>
        <w:spacing w:after="120" w:line="276" w:lineRule="auto"/>
        <w:ind w:firstLine="708"/>
        <w:jc w:val="both"/>
        <w:rPr>
          <w:rFonts w:ascii="Verdana" w:eastAsia="Times New Roman" w:hAnsi="Verdana" w:cs="Times New Roman"/>
        </w:rPr>
      </w:pPr>
    </w:p>
    <w:p w14:paraId="19C00794" w14:textId="77777777" w:rsidR="005510BC" w:rsidRDefault="005510BC" w:rsidP="005510BC">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por lo que no deben confundirse.</w:t>
      </w:r>
    </w:p>
    <w:p w14:paraId="76EF70BC" w14:textId="77777777" w:rsidR="005510BC" w:rsidRPr="00D22B7C" w:rsidRDefault="005510BC" w:rsidP="005510B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xml:space="preserve">; y la contratación directa tiene su propia medida afirmativa a través de los contratos de prestación de servicios con </w:t>
      </w:r>
      <w:proofErr w:type="spellStart"/>
      <w:r w:rsidRPr="00206556">
        <w:rPr>
          <w:rFonts w:ascii="Verdana" w:hAnsi="Verdana"/>
        </w:rPr>
        <w:t>PcD</w:t>
      </w:r>
      <w:proofErr w:type="spellEnd"/>
      <w:r w:rsidRPr="00206556">
        <w:rPr>
          <w:rFonts w:ascii="Verdana" w:hAnsi="Verdana"/>
        </w:rPr>
        <w:t>.</w:t>
      </w:r>
    </w:p>
    <w:p w14:paraId="5AC4D06F" w14:textId="77777777" w:rsidR="005510BC" w:rsidRPr="00206556" w:rsidRDefault="005510BC" w:rsidP="005510BC">
      <w:pPr>
        <w:spacing w:after="120" w:line="276" w:lineRule="auto"/>
        <w:ind w:firstLine="709"/>
        <w:jc w:val="both"/>
        <w:rPr>
          <w:rFonts w:ascii="Verdana" w:hAnsi="Verdana"/>
          <w:sz w:val="20"/>
          <w:szCs w:val="20"/>
        </w:rPr>
      </w:pPr>
      <w:r w:rsidRPr="00206556">
        <w:rPr>
          <w:rFonts w:ascii="Verdana" w:hAnsi="Verdana"/>
        </w:rPr>
        <w:t xml:space="preserve">(v) Sobre la aplicación del Decreto 0287 de 2026 en los documentos tipo, el artículo 2.2.1.2.4.2.7.8. del Decreto 0287 de 2026 establece que Colombia Compra Eficiente garantizará la incorporación permanente de las medidas del sistema en los documentos e instrumentos que genera. </w:t>
      </w:r>
    </w:p>
    <w:p w14:paraId="4B7D2125" w14:textId="77777777" w:rsidR="005510BC" w:rsidRDefault="005510BC" w:rsidP="005510BC">
      <w:pPr>
        <w:spacing w:after="120" w:line="276" w:lineRule="auto"/>
        <w:ind w:firstLine="708"/>
        <w:jc w:val="both"/>
        <w:rPr>
          <w:rFonts w:ascii="Verdana" w:hAnsi="Verdana"/>
        </w:rPr>
      </w:pPr>
      <w:r w:rsidRPr="007B01BA">
        <w:rPr>
          <w:rFonts w:ascii="Verdana" w:hAnsi="Verdana"/>
        </w:rPr>
        <w:t xml:space="preserve">El principio de inalterabilidad de los documentos tipo impide modificaciones unilaterales por parte de las entidades, pues ello afectaría la </w:t>
      </w:r>
      <w:r w:rsidRPr="007B01BA">
        <w:rPr>
          <w:rFonts w:ascii="Verdana" w:hAnsi="Verdana"/>
        </w:rPr>
        <w:lastRenderedPageBreak/>
        <w:t>estandarización, la transparencia y la igualdad entre proponentes que dichos documentos buscan garantizar. Colombia Compra Eficiente realizará las actualizaciones necesarias a los documentos tipo en el menor tiempo posible para incorporar las medidas del sistema de preferencias. La aplicación del 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w:t>
      </w:r>
      <w:r>
        <w:rPr>
          <w:rFonts w:ascii="Verdana" w:hAnsi="Verdana"/>
        </w:rPr>
        <w:t xml:space="preserve"> y continuar aplicando el documento tipo vigente sin alterarlo.</w:t>
      </w:r>
    </w:p>
    <w:p w14:paraId="1A6D54B9" w14:textId="77777777" w:rsidR="005510BC" w:rsidRDefault="005510BC" w:rsidP="005510BC">
      <w:pPr>
        <w:spacing w:after="120" w:line="276" w:lineRule="auto"/>
        <w:ind w:firstLine="708"/>
        <w:jc w:val="both"/>
        <w:rPr>
          <w:rFonts w:ascii="Verdana" w:hAnsi="Verdana"/>
        </w:rPr>
      </w:pPr>
    </w:p>
    <w:p w14:paraId="6F57ED3C" w14:textId="77777777" w:rsidR="005510BC" w:rsidRDefault="005510BC" w:rsidP="005510BC">
      <w:pPr>
        <w:spacing w:after="120" w:line="276" w:lineRule="auto"/>
        <w:ind w:firstLine="709"/>
        <w:jc w:val="both"/>
        <w:rPr>
          <w:rFonts w:ascii="Verdana" w:hAnsi="Verdana"/>
        </w:rPr>
      </w:pPr>
      <w:r w:rsidRPr="00206556">
        <w:rPr>
          <w:rFonts w:ascii="Verdana" w:hAnsi="Verdana"/>
        </w:rPr>
        <w:t>(v</w:t>
      </w:r>
      <w:r>
        <w:rPr>
          <w:rFonts w:ascii="Verdana" w:hAnsi="Verdana"/>
        </w:rPr>
        <w:t>i</w:t>
      </w:r>
      <w:r w:rsidRPr="00206556">
        <w:rPr>
          <w:rFonts w:ascii="Verdana" w:hAnsi="Verdana"/>
        </w:rPr>
        <w:t>) En cuanto a los criterios habilitantes diferenciales y los proponentes plurales</w:t>
      </w:r>
      <w:r>
        <w:rPr>
          <w:rFonts w:ascii="Verdana" w:hAnsi="Verdana"/>
        </w:rPr>
        <w:t>, e</w:t>
      </w:r>
      <w:r w:rsidRPr="00206556">
        <w:rPr>
          <w:rFonts w:ascii="Verdana" w:hAnsi="Verdana"/>
        </w:rPr>
        <w:t xml:space="preserve">l artículo 2.2.1.2.4.2.7.3. del Decreto 0287 de 2026 dispone que en los procesos de licitación pública, selección abreviada y concurso de méritos para los procesos regidos por el Estatuto General de Contratación de la Administración Pública, como en régimen especial, las entidades deben establecer requisitos habilitantes diferenciados o ajustados en materia de experiencia, capacidad financiera, capacidad organizacional o garantía de seriedad de la oferta, con el fin de promover la participación de emprendimientos y empresas de </w:t>
      </w:r>
      <w:proofErr w:type="spellStart"/>
      <w:r w:rsidRPr="00206556">
        <w:rPr>
          <w:rFonts w:ascii="Verdana" w:hAnsi="Verdana"/>
        </w:rPr>
        <w:t>PcD</w:t>
      </w:r>
      <w:proofErr w:type="spellEnd"/>
      <w:r w:rsidRPr="00206556">
        <w:rPr>
          <w:rFonts w:ascii="Verdana" w:hAnsi="Verdana"/>
        </w:rPr>
        <w:t xml:space="preserve"> con domicilio en el territorio nacional. Esta medida no aplica en mínima cuantía ni en contratación directa, y está prevista exclusivamente para el Sujeto 1 del sistema, es decir, los emprendimientos y empresas de </w:t>
      </w:r>
      <w:proofErr w:type="spellStart"/>
      <w:r w:rsidRPr="00206556">
        <w:rPr>
          <w:rFonts w:ascii="Verdana" w:hAnsi="Verdana"/>
        </w:rPr>
        <w:t>PcD</w:t>
      </w:r>
      <w:proofErr w:type="spellEnd"/>
      <w:r w:rsidRPr="00206556">
        <w:rPr>
          <w:rFonts w:ascii="Verdana" w:hAnsi="Verdana"/>
        </w:rPr>
        <w:t xml:space="preserve">, y no para los empleadores de </w:t>
      </w:r>
      <w:proofErr w:type="spellStart"/>
      <w:r w:rsidRPr="00206556">
        <w:rPr>
          <w:rFonts w:ascii="Verdana" w:hAnsi="Verdana"/>
        </w:rPr>
        <w:t>PcD</w:t>
      </w:r>
      <w:proofErr w:type="spellEnd"/>
      <w:r w:rsidRPr="00206556">
        <w:rPr>
          <w:rFonts w:ascii="Verdana" w:hAnsi="Verdana"/>
        </w:rPr>
        <w:t xml:space="preserve">. Su establecimiento es obligatorio para la entidad contratante, pero </w:t>
      </w:r>
      <w:r>
        <w:rPr>
          <w:rFonts w:ascii="Verdana" w:hAnsi="Verdana"/>
        </w:rPr>
        <w:t>el</w:t>
      </w:r>
      <w:r w:rsidRPr="00206556">
        <w:rPr>
          <w:rFonts w:ascii="Verdana" w:hAnsi="Verdana"/>
        </w:rPr>
        <w:t xml:space="preserve"> rigor del ajuste es discrecional: la entidad determina, con base en sus estudios previos, qué requisitos ajusta y en qué medida, con el límite del principio de proporcionalidad, sobre el cual esta Agencia ha precisado que debe orientarse a garantizar la idoneidad de las propuestas y la correcta ejecución contractual, sin efectos excluyentes ni discriminatorios</w:t>
      </w:r>
      <w:r w:rsidRPr="00206556">
        <w:rPr>
          <w:rStyle w:val="Refdenotaalpie"/>
          <w:rFonts w:ascii="Verdana" w:hAnsi="Verdana"/>
        </w:rPr>
        <w:footnoteReference w:id="9"/>
      </w:r>
      <w:r>
        <w:rPr>
          <w:rFonts w:ascii="Verdana" w:hAnsi="Verdana"/>
        </w:rPr>
        <w:t>.</w:t>
      </w:r>
      <w:r w:rsidRPr="00206556">
        <w:rPr>
          <w:rFonts w:ascii="Verdana" w:hAnsi="Verdana"/>
        </w:rPr>
        <w:t xml:space="preserve"> </w:t>
      </w:r>
      <w:r w:rsidRPr="00975224">
        <w:rPr>
          <w:rFonts w:ascii="Verdana" w:hAnsi="Verdana"/>
        </w:rPr>
        <w:t>Los términos ajustados, reducidos y diferenciales deben entenderse como sinónimos. La entidad no está obligada a ajustar la totalidad de los requisitos habilitantes: debe flexibilizar la mayor cantidad posible de estos de acuerdo con lo que resulte justificado en sus estudios previos para el proceso específico de que se trate</w:t>
      </w:r>
      <w:r>
        <w:rPr>
          <w:rFonts w:ascii="Verdana" w:hAnsi="Verdana"/>
        </w:rPr>
        <w:t xml:space="preserve">, sin </w:t>
      </w:r>
      <w:r>
        <w:rPr>
          <w:rFonts w:ascii="Verdana" w:hAnsi="Verdana"/>
        </w:rPr>
        <w:lastRenderedPageBreak/>
        <w:t>que se ponga en riesgo el cumplimiento contractual</w:t>
      </w:r>
      <w:r w:rsidRPr="00975224">
        <w:rPr>
          <w:rFonts w:ascii="Verdana" w:hAnsi="Verdana"/>
        </w:rPr>
        <w:t>.</w:t>
      </w:r>
      <w:r>
        <w:rPr>
          <w:rFonts w:ascii="Verdana" w:hAnsi="Verdana"/>
        </w:rPr>
        <w:t xml:space="preserve"> </w:t>
      </w:r>
      <w:r w:rsidRPr="00206556">
        <w:rPr>
          <w:rFonts w:ascii="Verdana" w:hAnsi="Verdana"/>
        </w:rPr>
        <w:t>En cuanto a los proponentes plurales, la medida aplica cuando al menos uno de sus integrantes cumple las condiciones del artículo 2.2.1.2.4.2.6. con una participación no inferior al 10% en el consorcio o unión temporal, debiendo aportar la experiencia requerida en proporción equivalente a su participación. Esta medida es compatible con los criterios diferenciales aplicables a MiPymes y a empresas y emprendimientos de mujeres.</w:t>
      </w:r>
    </w:p>
    <w:p w14:paraId="1B350133" w14:textId="77777777" w:rsidR="005510BC" w:rsidRPr="00206556" w:rsidRDefault="005510BC" w:rsidP="005510BC">
      <w:pPr>
        <w:spacing w:after="120" w:line="276" w:lineRule="auto"/>
        <w:ind w:firstLine="709"/>
        <w:jc w:val="both"/>
        <w:rPr>
          <w:rFonts w:ascii="Verdana" w:hAnsi="Verdana"/>
        </w:rPr>
      </w:pPr>
      <w:r w:rsidRPr="00975224">
        <w:rPr>
          <w:rFonts w:ascii="Verdana" w:hAnsi="Verdana"/>
        </w:rPr>
        <w:t>En cuanto a la aplicación de las medidas afirmativas en entidades con régimen especial de contratación</w:t>
      </w:r>
      <w:r>
        <w:rPr>
          <w:rFonts w:ascii="Verdana" w:hAnsi="Verdana"/>
        </w:rPr>
        <w:t>,</w:t>
      </w:r>
      <w:r w:rsidRPr="00975224">
        <w:rPr>
          <w:rFonts w:ascii="Verdana" w:hAnsi="Verdana"/>
        </w:rPr>
        <w:t xml:space="preserve"> </w:t>
      </w:r>
      <w:r>
        <w:rPr>
          <w:rFonts w:ascii="Verdana" w:hAnsi="Verdana"/>
        </w:rPr>
        <w:t>e</w:t>
      </w:r>
      <w:r w:rsidRPr="00975224">
        <w:rPr>
          <w:rFonts w:ascii="Verdana" w:hAnsi="Verdana"/>
        </w:rPr>
        <w:t xml:space="preserve">l decreto diferencia el alcance de las medidas según el régimen contractual de la entidad. Las medidas que aplican a ambos regímenes —Estatuto General de Contratación Pública y régimen especial— son los criterios habilitantes diferenciales y las compras públicas accesibles. Las medidas que aplican exclusivamente a entidades regidas por el Estatuto General de Contratación Pública son las herramientas de planeación, el puntaje adicional del 2%, las condiciones especiales de ejecución y los contratos de prestación de servicios con </w:t>
      </w:r>
      <w:proofErr w:type="spellStart"/>
      <w:r w:rsidRPr="00975224">
        <w:rPr>
          <w:rFonts w:ascii="Verdana" w:hAnsi="Verdana"/>
        </w:rPr>
        <w:t>PcD</w:t>
      </w:r>
      <w:proofErr w:type="spellEnd"/>
      <w:r w:rsidRPr="00975224">
        <w:rPr>
          <w:rFonts w:ascii="Verdana" w:hAnsi="Verdana"/>
        </w:rPr>
        <w:t>. En consecuencia, una entidad con régimen especial que adelante procesos competitivos está obligada a establecer criterios habilitantes diferenciales y a garantizar compras públicas accesibles, pero no está obligada a otorgar el puntaje adicional del 2% ni a incluir condiciones especiales de ejecución, pues estas últimas medidas están previstas exclusivamente para el Estatuto General de Contratación Pública.</w:t>
      </w:r>
    </w:p>
    <w:p w14:paraId="5B7BB24E" w14:textId="77777777" w:rsidR="005510BC" w:rsidRDefault="005510BC" w:rsidP="005510BC">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w:t>
      </w:r>
      <w:r>
        <w:rPr>
          <w:rFonts w:ascii="Verdana" w:hAnsi="Verdana"/>
        </w:rPr>
        <w:t>i</w:t>
      </w:r>
      <w:proofErr w:type="spellEnd"/>
      <w:r w:rsidRPr="00206556">
        <w:rPr>
          <w:rFonts w:ascii="Verdana" w:hAnsi="Verdana"/>
        </w:rPr>
        <w:t>)</w:t>
      </w:r>
      <w:r w:rsidRPr="00975224">
        <w:t xml:space="preserve"> </w:t>
      </w:r>
      <w:r w:rsidRPr="00975224">
        <w:rPr>
          <w:rFonts w:ascii="Verdana" w:hAnsi="Verdana"/>
        </w:rPr>
        <w:t xml:space="preserve">En lo que respecta a las condiciones especiales de ejecución, el artículo 2.2.1.2.4.2.7.5. del Decreto 0287 de 2026 dispone que las entidades estatales "deberán incluir como obligación contractual, en los Documentos del Proceso, previo análisis de conveniencia y oportunidad, al menos una (1) de las siguientes condiciones especiales de ejecución": la subcontratación inclusiva, que exige priorizar a </w:t>
      </w:r>
      <w:proofErr w:type="spellStart"/>
      <w:r w:rsidRPr="00975224">
        <w:rPr>
          <w:rFonts w:ascii="Verdana" w:hAnsi="Verdana"/>
        </w:rPr>
        <w:t>PcD</w:t>
      </w:r>
      <w:proofErr w:type="spellEnd"/>
      <w:r w:rsidRPr="00975224">
        <w:rPr>
          <w:rFonts w:ascii="Verdana" w:hAnsi="Verdana"/>
        </w:rPr>
        <w:t xml:space="preserve"> o a emprendimientos y empresas de </w:t>
      </w:r>
      <w:proofErr w:type="spellStart"/>
      <w:r w:rsidRPr="00975224">
        <w:rPr>
          <w:rFonts w:ascii="Verdana" w:hAnsi="Verdana"/>
        </w:rPr>
        <w:t>PcD</w:t>
      </w:r>
      <w:proofErr w:type="spellEnd"/>
      <w:r w:rsidRPr="00975224">
        <w:rPr>
          <w:rFonts w:ascii="Verdana" w:hAnsi="Verdana"/>
        </w:rPr>
        <w:t xml:space="preserve"> cuando se requiera subcontratar; y la integración del equipo de trabajo, que exige priorizar personas naturales con discapacidad cuando se requiera conformar equipo para la ejecución. La obligación consiste en incluir al menos una de las dos condiciones, no necesariamente ambas. La palabra "deberán" hace de esta una medida imperativa en cuanto a la obligación de incluir al menos una condición, pero la entidad tiene discrecionalidad para escoger cuál de las dos incorpora o si incorpora ambas. Solo puede omitirse la inclusión de las dos cuando la entidad justifique esa omisión con argumentos objetivos en los estudios previos. La </w:t>
      </w:r>
      <w:r w:rsidRPr="00975224">
        <w:rPr>
          <w:rFonts w:ascii="Verdana" w:hAnsi="Verdana"/>
        </w:rPr>
        <w:lastRenderedPageBreak/>
        <w:t xml:space="preserve">priorización no implica exclusividad; el contratista puede contratar otros proveedores, pero debe procurar que las </w:t>
      </w:r>
      <w:proofErr w:type="spellStart"/>
      <w:r w:rsidRPr="00975224">
        <w:rPr>
          <w:rFonts w:ascii="Verdana" w:hAnsi="Verdana"/>
        </w:rPr>
        <w:t>PcD</w:t>
      </w:r>
      <w:proofErr w:type="spellEnd"/>
      <w:r w:rsidRPr="00975224">
        <w:rPr>
          <w:rFonts w:ascii="Verdana" w:hAnsi="Verdana"/>
        </w:rPr>
        <w:t xml:space="preserve"> y sus empresas tengan preferencia cuando existan en el mercado. El incumplimiento injustificado puede constituir causal de incumplimiento contractual, verificable por el supervisor o interventor con cada solicitud de pago.</w:t>
      </w:r>
      <w:r w:rsidRPr="00206556">
        <w:rPr>
          <w:rFonts w:ascii="Verdana" w:hAnsi="Verdana"/>
        </w:rPr>
        <w:t xml:space="preserve"> </w:t>
      </w:r>
    </w:p>
    <w:p w14:paraId="33743DB1" w14:textId="77777777" w:rsidR="005510BC" w:rsidRPr="00206556" w:rsidRDefault="005510BC" w:rsidP="005510BC">
      <w:pPr>
        <w:spacing w:after="120" w:line="276" w:lineRule="auto"/>
        <w:ind w:firstLine="709"/>
        <w:jc w:val="both"/>
        <w:rPr>
          <w:rFonts w:ascii="Verdana" w:hAnsi="Verdana"/>
        </w:rPr>
      </w:pPr>
    </w:p>
    <w:p w14:paraId="0D6F8399"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w:t>
      </w:r>
      <w:proofErr w:type="spellStart"/>
      <w:r w:rsidRPr="00206556">
        <w:rPr>
          <w:rFonts w:ascii="Verdana" w:hAnsi="Verdana"/>
        </w:rPr>
        <w:t>vii</w:t>
      </w:r>
      <w:r>
        <w:rPr>
          <w:rFonts w:ascii="Verdana" w:hAnsi="Verdana"/>
        </w:rPr>
        <w:t>i</w:t>
      </w:r>
      <w:proofErr w:type="spellEnd"/>
      <w:r w:rsidRPr="00206556">
        <w:rPr>
          <w:rFonts w:ascii="Verdana" w:hAnsi="Verdana"/>
        </w:rPr>
        <w:t>) Sobre la compatibilidad con MiPymes y empresas de mujeres, y la distinción con el criterio de desempate. El parágrafo 2 del artículo 2.2.1.2.4.2.7.4. del Decreto 0287 de 2026 establece que el puntaje adicional "</w:t>
      </w:r>
      <w:r w:rsidRPr="00206556">
        <w:rPr>
          <w:rFonts w:ascii="Verdana" w:hAnsi="Verdana"/>
          <w:i/>
          <w:iCs/>
        </w:rPr>
        <w:t>no excluye la aplicación de incentivos contractuales ni de criterios diferenciales en favor de las MiPymes y/o los emprendimientos y empresas de mujeres".</w:t>
      </w:r>
      <w:r w:rsidRPr="00206556">
        <w:rPr>
          <w:rFonts w:ascii="Verdana" w:hAnsi="Verdana"/>
        </w:rPr>
        <w:t xml:space="preserve"> Del mismo modo, el parágrafo 2 del artículo 2.2.1.2.4.2.7.3</w:t>
      </w:r>
      <w:r>
        <w:rPr>
          <w:rFonts w:ascii="Verdana" w:hAnsi="Verdana"/>
        </w:rPr>
        <w:t>.</w:t>
      </w:r>
      <w:r w:rsidRPr="00206556">
        <w:rPr>
          <w:rFonts w:ascii="Verdana" w:hAnsi="Verdana"/>
        </w:rPr>
        <w:t xml:space="preserve"> establece la compatibilidad de los criterios habilitantes diferenciales con los aplicables a MiPymes y empresas de mujeres. En consecuencia, todos estos instrumentos pueden aplicarse simultáneamente en el mismo proceso de contratación sin exclusión recíproca. En cuanto a la distinción con el criterio de desempate, es indispensable no confundir los dos instrumentos: el puntaje adicional del 2% beneficia a los dos sujetos del sistema y opera en la evaluación de propuestas antes de la adjudicación; el criterio de desempate, regulado por el artículo 35, numeral 3, de la Ley 2069 de 2020 beneficia exclusivamente a los empleadores de </w:t>
      </w:r>
      <w:proofErr w:type="spellStart"/>
      <w:r w:rsidRPr="00206556">
        <w:rPr>
          <w:rFonts w:ascii="Verdana" w:hAnsi="Verdana"/>
        </w:rPr>
        <w:t>PcD</w:t>
      </w:r>
      <w:proofErr w:type="spellEnd"/>
      <w:r w:rsidRPr="00206556">
        <w:rPr>
          <w:rFonts w:ascii="Verdana" w:hAnsi="Verdana"/>
        </w:rPr>
        <w:t xml:space="preserve">, no a los emprendimientos y empresas de </w:t>
      </w:r>
      <w:proofErr w:type="spellStart"/>
      <w:r w:rsidRPr="00206556">
        <w:rPr>
          <w:rFonts w:ascii="Verdana" w:hAnsi="Verdana"/>
        </w:rPr>
        <w:t>PcD</w:t>
      </w:r>
      <w:proofErr w:type="spellEnd"/>
      <w:r w:rsidRPr="00206556">
        <w:rPr>
          <w:rFonts w:ascii="Verdana" w:hAnsi="Verdana"/>
        </w:rPr>
        <w:t xml:space="preserve">, y exige que al menos el 10% de la nómina esté en condición de discapacidad, operando solo cuando hay empate entre dos o más ofertas. </w:t>
      </w:r>
      <w:r>
        <w:rPr>
          <w:rFonts w:ascii="Verdana" w:hAnsi="Verdana"/>
        </w:rPr>
        <w:t>La aplicación del criterio de desempate cuando es un</w:t>
      </w:r>
      <w:r w:rsidRPr="00206556">
        <w:rPr>
          <w:rFonts w:ascii="Verdana" w:hAnsi="Verdana"/>
        </w:rPr>
        <w:t xml:space="preserve"> proponente plural</w:t>
      </w:r>
      <w:r>
        <w:rPr>
          <w:rFonts w:ascii="Verdana" w:hAnsi="Verdana"/>
        </w:rPr>
        <w:t xml:space="preserve"> indica que</w:t>
      </w:r>
      <w:r w:rsidRPr="00206556">
        <w:rPr>
          <w:rFonts w:ascii="Verdana" w:hAnsi="Verdana"/>
        </w:rPr>
        <w:t xml:space="preserve"> el integrante con</w:t>
      </w:r>
      <w:r>
        <w:rPr>
          <w:rFonts w:ascii="Verdana" w:hAnsi="Verdana"/>
        </w:rPr>
        <w:t xml:space="preserve"> su nómina con</w:t>
      </w:r>
      <w:r w:rsidRPr="00206556">
        <w:rPr>
          <w:rFonts w:ascii="Verdana" w:hAnsi="Verdana"/>
        </w:rPr>
        <w:t xml:space="preserve"> </w:t>
      </w:r>
      <w:proofErr w:type="spellStart"/>
      <w:r w:rsidRPr="00206556">
        <w:rPr>
          <w:rFonts w:ascii="Verdana" w:hAnsi="Verdana"/>
        </w:rPr>
        <w:t>PcD</w:t>
      </w:r>
      <w:proofErr w:type="spellEnd"/>
      <w:r w:rsidRPr="00206556">
        <w:rPr>
          <w:rFonts w:ascii="Verdana" w:hAnsi="Verdana"/>
        </w:rPr>
        <w:t xml:space="preserve"> debe tener al menos el 25% de participación y aportar mínimo el 25% de la experiencia. El Decreto 0287 de 2026 no modificó el criterio de desempate de la Ley 2069 de 2020, que como norma de rango legal no puede ser alterada por decreto reglamentario, y la diferencia en las exigencias de vinculación entre las dos normas responde precisamente a que son instrumentos diferentes que no deben interpretarse extensivamente el uno respecto del otro. El Consejo de Estado ha precisado que las normas que establecen beneficios y preferencias deben interpretarse según sus propios términos, sin extensión analógica</w:t>
      </w:r>
      <w:r w:rsidRPr="00206556">
        <w:rPr>
          <w:rStyle w:val="Refdenotaalpie"/>
          <w:rFonts w:ascii="Verdana" w:hAnsi="Verdana"/>
        </w:rPr>
        <w:footnoteReference w:id="10"/>
      </w:r>
      <w:r>
        <w:rPr>
          <w:rFonts w:ascii="Verdana" w:hAnsi="Verdana"/>
        </w:rPr>
        <w:t>.</w:t>
      </w:r>
    </w:p>
    <w:p w14:paraId="0A184553"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lastRenderedPageBreak/>
        <w:t>(</w:t>
      </w:r>
      <w:proofErr w:type="spellStart"/>
      <w:r>
        <w:rPr>
          <w:rFonts w:ascii="Verdana" w:hAnsi="Verdana"/>
        </w:rPr>
        <w:t>ix</w:t>
      </w:r>
      <w:proofErr w:type="spellEnd"/>
      <w:r w:rsidRPr="00206556">
        <w:rPr>
          <w:rFonts w:ascii="Verdana" w:hAnsi="Verdana"/>
        </w:rPr>
        <w:t xml:space="preserve">) En lo que concierne a la inclusión de personas con discapacidad a través de contratos de prestación de servicios profesionales y/o de apoyo a la gestión, es necesario precisar su naturaleza jurídica, pues esta medida ha generado interpretaciones encontradas en cuanto a si constituye una obligación general para todas las entidades estatales o si, por el contrario, su aplicación queda sujeta a la voluntad de cada entidad. El artículo 2.2.1.2.4.2.7.6. del Decreto 0287 de 2026 despeja esta inquietud al utilizar el verbo "propenderán" para referirse a esta medida, lo que en técnica legislativa colombiana implica un mandato de medios, es decir, realizar todos los esfuerzos necesarios, y no un mandato de resultado, contrario a contratar obligatoriamente en todos los casos. La norma condiciona expresamente la medida a la planeación contractual, la disponibilidad presupuestal y las necesidades del servicio. Aplica exclusivamente en contratación directa mediante contratos de prestación de servicios profesionales y/o de apoyo a la gestión, para entidades sometidas al Estatuto General de la Contratación Pública, sin que aplique a contratos artísticos ni a entidades de régimen especial. La entidad que decida aplicarla debe verificar la idoneidad de la </w:t>
      </w:r>
      <w:proofErr w:type="spellStart"/>
      <w:r w:rsidRPr="00206556">
        <w:rPr>
          <w:rFonts w:ascii="Verdana" w:hAnsi="Verdana"/>
        </w:rPr>
        <w:t>PcD</w:t>
      </w:r>
      <w:proofErr w:type="spellEnd"/>
      <w:r w:rsidRPr="00206556">
        <w:rPr>
          <w:rFonts w:ascii="Verdana" w:hAnsi="Verdana"/>
        </w:rPr>
        <w:t xml:space="preserve"> para cumplir el objeto, acordar los ajustes razonables necesarios, evaluar la no exigencia de garantías, que no son obligatorias para esta tipología, e indicar en el SECOP que el contrato corresponde a esta medida afirmativa. En ningún caso la medida autoriza funciones permanentes ni genera subordinación laboral. La Corte Constitucional ha reconocido que las </w:t>
      </w:r>
      <w:proofErr w:type="spellStart"/>
      <w:r w:rsidRPr="00206556">
        <w:rPr>
          <w:rFonts w:ascii="Verdana" w:hAnsi="Verdana"/>
        </w:rPr>
        <w:t>PcD</w:t>
      </w:r>
      <w:proofErr w:type="spellEnd"/>
      <w:r w:rsidRPr="00206556">
        <w:rPr>
          <w:rFonts w:ascii="Verdana" w:hAnsi="Verdana"/>
        </w:rPr>
        <w:t xml:space="preserve"> gozan de estabilidad ocupacional reforzada</w:t>
      </w:r>
      <w:r w:rsidRPr="00206556">
        <w:rPr>
          <w:rStyle w:val="Refdenotaalpie"/>
          <w:rFonts w:ascii="Verdana" w:hAnsi="Verdana"/>
        </w:rPr>
        <w:footnoteReference w:id="11"/>
      </w:r>
      <w:r>
        <w:rPr>
          <w:rFonts w:ascii="Verdana" w:hAnsi="Verdana"/>
        </w:rPr>
        <w:t>,</w:t>
      </w:r>
      <w:r w:rsidRPr="00206556">
        <w:rPr>
          <w:rFonts w:ascii="Verdana" w:hAnsi="Verdana"/>
        </w:rPr>
        <w:t xml:space="preserve"> que aplica en el marco de estos contratos sin que ello genere relación laboral. El fundamento cuantitativo de la medida es elocuente: según datos del SECOP en el año 2024 se celebraron 747.942 contratos de prestación de servicios por un valor de $16 billones de pesos, universo que representa una oportunidad concreta de inclusión laboral de las </w:t>
      </w:r>
      <w:proofErr w:type="spellStart"/>
      <w:r w:rsidRPr="00206556">
        <w:rPr>
          <w:rFonts w:ascii="Verdana" w:hAnsi="Verdana"/>
        </w:rPr>
        <w:t>PcD</w:t>
      </w:r>
      <w:proofErr w:type="spellEnd"/>
      <w:r w:rsidRPr="00206556">
        <w:rPr>
          <w:rFonts w:ascii="Verdana" w:hAnsi="Verdana"/>
        </w:rPr>
        <w:t xml:space="preserve"> de manera progresiva y sostenida.</w:t>
      </w:r>
    </w:p>
    <w:p w14:paraId="6028323B" w14:textId="77777777" w:rsidR="005510BC" w:rsidRPr="00206556" w:rsidRDefault="005510BC" w:rsidP="005510BC">
      <w:pPr>
        <w:spacing w:after="120" w:line="276" w:lineRule="auto"/>
        <w:ind w:firstLine="709"/>
        <w:jc w:val="both"/>
        <w:rPr>
          <w:rFonts w:ascii="Verdana" w:hAnsi="Verdana"/>
        </w:rPr>
      </w:pPr>
      <w:r w:rsidRPr="00206556">
        <w:rPr>
          <w:rFonts w:ascii="Verdana" w:hAnsi="Verdana"/>
        </w:rPr>
        <w:t xml:space="preserve">(x) </w:t>
      </w:r>
      <w:r>
        <w:rPr>
          <w:rFonts w:ascii="Verdana" w:hAnsi="Verdana"/>
        </w:rPr>
        <w:t>En cuanto a</w:t>
      </w:r>
      <w:r w:rsidRPr="00206556">
        <w:rPr>
          <w:rFonts w:ascii="Verdana" w:hAnsi="Verdana"/>
        </w:rPr>
        <w:t xml:space="preserve"> la obligación de compras públicas accesibles en ausencia de normas técnicas. El artículo 2.2.1.2.4.2.7.1. del Decreto 0287 de 2026 impone a las entidades, "independientemente de su régimen de contratación", la obligación de incorporar en los contratos criterios que garanticen la accesibilidad de las </w:t>
      </w:r>
      <w:proofErr w:type="spellStart"/>
      <w:r w:rsidRPr="00206556">
        <w:rPr>
          <w:rFonts w:ascii="Verdana" w:hAnsi="Verdana"/>
        </w:rPr>
        <w:t>PcD</w:t>
      </w:r>
      <w:proofErr w:type="spellEnd"/>
      <w:r w:rsidRPr="00206556">
        <w:rPr>
          <w:rFonts w:ascii="Verdana" w:hAnsi="Verdana"/>
        </w:rPr>
        <w:t xml:space="preserve">, teniendo en cuenta las siete categorías de discapacidad definidas por el Ministerio de Salud y Protección Social: visual, física, psicosocial </w:t>
      </w:r>
      <w:r w:rsidRPr="00206556">
        <w:rPr>
          <w:rFonts w:ascii="Verdana" w:hAnsi="Verdana"/>
        </w:rPr>
        <w:lastRenderedPageBreak/>
        <w:t>(mental), auditiva, sordoceguera, intelectual y múltiple. El parágrafo 2 del mismo artículo establece que cuando no se identifiquen normas legales, reglamentarias o técnicas aplicables, la entidad debe fijar una ficha técnica con criterios de accesibilidad propios: la inexistencia de norma técnica no exonera a la entidad, sino que la convierte en autora de sus propios estándares de accesibilidad para ese contrato específico. Los principios guía son los de accesibilidad universal, diseño universal y ajustes razonables, conforme a la Ley 1346 de 2009 y la Ley 1618 de 2013</w:t>
      </w:r>
      <w:r>
        <w:rPr>
          <w:rFonts w:ascii="Verdana" w:hAnsi="Verdana"/>
        </w:rPr>
        <w:t>,</w:t>
      </w:r>
      <w:r w:rsidRPr="00206556">
        <w:rPr>
          <w:rFonts w:ascii="Verdana" w:hAnsi="Verdana"/>
        </w:rPr>
        <w:t xml:space="preserve"> la cual define los ajustes razonables como las modificaciones y adaptaciones necesarias que no impongan una carga desproporcionada, para garantizar a las </w:t>
      </w:r>
      <w:proofErr w:type="spellStart"/>
      <w:r w:rsidRPr="00206556">
        <w:rPr>
          <w:rFonts w:ascii="Verdana" w:hAnsi="Verdana"/>
        </w:rPr>
        <w:t>PcD</w:t>
      </w:r>
      <w:proofErr w:type="spellEnd"/>
      <w:r w:rsidRPr="00206556">
        <w:rPr>
          <w:rFonts w:ascii="Verdana" w:hAnsi="Verdana"/>
        </w:rPr>
        <w:t xml:space="preserve"> el goce de sus derechos en igualdad de condiciones. Los criterios se determinan en los estudios y documentos previos, procurando la mayor cobertura posible de las categorías de discapacidad.</w:t>
      </w:r>
    </w:p>
    <w:p w14:paraId="011BDA4D" w14:textId="77777777" w:rsidR="005510BC" w:rsidRDefault="005510BC" w:rsidP="005510BC">
      <w:pPr>
        <w:spacing w:after="120" w:line="276" w:lineRule="auto"/>
        <w:ind w:firstLine="709"/>
        <w:jc w:val="both"/>
        <w:rPr>
          <w:rFonts w:ascii="Verdana" w:hAnsi="Verdana"/>
        </w:rPr>
      </w:pPr>
      <w:r w:rsidRPr="00206556">
        <w:rPr>
          <w:rFonts w:ascii="Verdana" w:hAnsi="Verdana"/>
        </w:rPr>
        <w:t>(x</w:t>
      </w:r>
      <w:r>
        <w:rPr>
          <w:rFonts w:ascii="Verdana" w:hAnsi="Verdana"/>
        </w:rPr>
        <w:t>i</w:t>
      </w:r>
      <w:r w:rsidRPr="00206556">
        <w:rPr>
          <w:rFonts w:ascii="Verdana" w:hAnsi="Verdana"/>
        </w:rPr>
        <w:t xml:space="preserve">) </w:t>
      </w:r>
      <w:r>
        <w:rPr>
          <w:rFonts w:ascii="Verdana" w:hAnsi="Verdana"/>
        </w:rPr>
        <w:t>Sobre</w:t>
      </w:r>
      <w:r w:rsidRPr="00206556">
        <w:rPr>
          <w:rFonts w:ascii="Verdana" w:hAnsi="Verdana"/>
        </w:rPr>
        <w:t xml:space="preserve"> las consecuencias de la reducción de </w:t>
      </w:r>
      <w:proofErr w:type="spellStart"/>
      <w:r w:rsidRPr="00206556">
        <w:rPr>
          <w:rFonts w:ascii="Verdana" w:hAnsi="Verdana"/>
        </w:rPr>
        <w:t>PcD</w:t>
      </w:r>
      <w:proofErr w:type="spellEnd"/>
      <w:r w:rsidRPr="00206556">
        <w:rPr>
          <w:rFonts w:ascii="Verdana" w:hAnsi="Verdana"/>
        </w:rPr>
        <w:t xml:space="preserve"> durante la ejecución del contrato. El parágrafo 3 del artículo 2.2.1.2.4.2.7.4. del Decreto 0287 de 2026 establece que el contratista debe presentar con cada solicitud de pago la documentación que acredite la permanencia de las condiciones que dieron lugar al puntaje adicional, y que</w:t>
      </w:r>
      <w:r>
        <w:rPr>
          <w:rFonts w:ascii="Verdana" w:hAnsi="Verdana"/>
        </w:rPr>
        <w:t>:</w:t>
      </w:r>
    </w:p>
    <w:p w14:paraId="24927FC9" w14:textId="77777777" w:rsidR="005510BC" w:rsidRPr="00206556" w:rsidRDefault="005510BC" w:rsidP="005510BC">
      <w:pPr>
        <w:spacing w:after="0" w:line="276" w:lineRule="auto"/>
        <w:ind w:firstLine="708"/>
        <w:jc w:val="both"/>
        <w:rPr>
          <w:rFonts w:ascii="Verdana" w:hAnsi="Verdana"/>
        </w:rPr>
      </w:pPr>
      <w:r w:rsidRPr="00206556">
        <w:rPr>
          <w:rFonts w:ascii="Verdana" w:hAnsi="Verdana"/>
        </w:rPr>
        <w:t xml:space="preserve"> </w:t>
      </w:r>
    </w:p>
    <w:p w14:paraId="233D0442" w14:textId="77777777" w:rsidR="005510BC" w:rsidRPr="00206556" w:rsidRDefault="005510BC" w:rsidP="005510BC">
      <w:pPr>
        <w:spacing w:after="200"/>
        <w:ind w:left="851" w:right="1183"/>
        <w:jc w:val="both"/>
        <w:rPr>
          <w:rFonts w:ascii="Verdana" w:hAnsi="Verdana"/>
          <w:sz w:val="20"/>
          <w:szCs w:val="20"/>
        </w:rPr>
      </w:pPr>
      <w:r w:rsidRPr="00206556">
        <w:rPr>
          <w:rFonts w:ascii="Verdana" w:hAnsi="Verdana"/>
          <w:sz w:val="20"/>
          <w:szCs w:val="20"/>
        </w:rPr>
        <w:t>"la inobservancia de estas medidas y el incumplimiento injustificado en la reducción del número de trabajadores con discapacidad de la planta de personal acreditado para obtener el puntaje adicional podrá constituir causal de incumplimiento contractual y se tramitará conforme a la normatividad vigente"</w:t>
      </w:r>
      <w:r>
        <w:rPr>
          <w:rFonts w:ascii="Verdana" w:hAnsi="Verdana"/>
          <w:sz w:val="20"/>
          <w:szCs w:val="20"/>
        </w:rPr>
        <w:t>.</w:t>
      </w:r>
    </w:p>
    <w:p w14:paraId="76D92CD4" w14:textId="77777777" w:rsidR="005510BC" w:rsidRPr="00206556" w:rsidRDefault="005510BC" w:rsidP="005510BC">
      <w:pPr>
        <w:spacing w:after="200"/>
        <w:ind w:firstLine="708"/>
        <w:jc w:val="both"/>
        <w:rPr>
          <w:rFonts w:ascii="Verdana" w:hAnsi="Verdana"/>
        </w:rPr>
      </w:pPr>
      <w:r w:rsidRPr="00206556">
        <w:rPr>
          <w:rFonts w:ascii="Verdana" w:hAnsi="Verdana"/>
        </w:rPr>
        <w:t xml:space="preserve">El término "podrá" indica que la entidad tiene discrecionalidad para declarar o no el incumplimiento, valorando la justificación del contratista, el impacto real en el objeto del contrato y la posibilidad de subsanación. Solo queda exonerado quien demuestre fuerza mayor o caso fortuito. El parágrafo 4 del mismo artículo añade que las medidas deben observar las garantías constitucionales de la estabilidad laboral reforzada de las </w:t>
      </w:r>
      <w:proofErr w:type="spellStart"/>
      <w:r w:rsidRPr="00206556">
        <w:rPr>
          <w:rFonts w:ascii="Verdana" w:hAnsi="Verdana"/>
        </w:rPr>
        <w:t>PcD</w:t>
      </w:r>
      <w:proofErr w:type="spellEnd"/>
      <w:r w:rsidRPr="00206556">
        <w:rPr>
          <w:rFonts w:ascii="Verdana" w:hAnsi="Verdana"/>
        </w:rPr>
        <w:t xml:space="preserve">, reconocida por la Corte Constitucional como una protección especial frente a la terminación del vínculo laboral sin autorización del Ministerio del Trabajo. Esto significa que la entidad contratante no puede presionar al contratista a mantener vinculaciones laborales desconociendo derechos laborales de las </w:t>
      </w:r>
      <w:proofErr w:type="spellStart"/>
      <w:r w:rsidRPr="00206556">
        <w:rPr>
          <w:rFonts w:ascii="Verdana" w:hAnsi="Verdana"/>
        </w:rPr>
        <w:t>PcD</w:t>
      </w:r>
      <w:proofErr w:type="spellEnd"/>
      <w:r w:rsidRPr="00206556">
        <w:rPr>
          <w:rFonts w:ascii="Verdana" w:hAnsi="Verdana"/>
        </w:rPr>
        <w:t xml:space="preserve">: la norma busca estabilidad real y no meramente nominal, de modo que el contratista debe </w:t>
      </w:r>
      <w:r w:rsidRPr="00206556">
        <w:rPr>
          <w:rFonts w:ascii="Verdana" w:hAnsi="Verdana"/>
        </w:rPr>
        <w:lastRenderedPageBreak/>
        <w:t>adoptar las medidas de permanencia compatibles con el ordenamiento laboral vigente.</w:t>
      </w:r>
    </w:p>
    <w:p w14:paraId="0499C934"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w:t>
      </w:r>
      <w:proofErr w:type="spellStart"/>
      <w:r w:rsidRPr="00670CFB">
        <w:rPr>
          <w:rFonts w:ascii="Verdana" w:hAnsi="Verdana"/>
        </w:rPr>
        <w:t>xi</w:t>
      </w:r>
      <w:r>
        <w:rPr>
          <w:rFonts w:ascii="Verdana" w:hAnsi="Verdana"/>
        </w:rPr>
        <w:t>i</w:t>
      </w:r>
      <w:proofErr w:type="spellEnd"/>
      <w:r w:rsidRPr="00670CFB">
        <w:rPr>
          <w:rFonts w:ascii="Verdana" w:hAnsi="Verdana"/>
        </w:rPr>
        <w:t>)</w:t>
      </w:r>
      <w:r>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1AC87548"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17481723"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lastRenderedPageBreak/>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43AC543C"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w:t>
      </w:r>
      <w:r w:rsidRPr="00670CFB">
        <w:rPr>
          <w:rFonts w:ascii="Verdana" w:hAnsi="Verdana"/>
        </w:rPr>
        <w:lastRenderedPageBreak/>
        <w:t xml:space="preserve">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45285651"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3784371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w:t>
      </w:r>
      <w:r w:rsidRPr="00670CFB">
        <w:rPr>
          <w:rFonts w:ascii="Verdana" w:hAnsi="Verdana"/>
        </w:rPr>
        <w:lastRenderedPageBreak/>
        <w:t xml:space="preserve">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6641789D"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xml:space="preserve">,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w:t>
      </w:r>
      <w:proofErr w:type="gramStart"/>
      <w:r w:rsidRPr="00670CFB">
        <w:rPr>
          <w:rFonts w:ascii="Verdana" w:hAnsi="Verdana"/>
        </w:rPr>
        <w:t>obligación</w:t>
      </w:r>
      <w:proofErr w:type="gramEnd"/>
      <w:r w:rsidRPr="00670CFB">
        <w:rPr>
          <w:rFonts w:ascii="Verdana" w:hAnsi="Verdana"/>
        </w:rPr>
        <w:t xml:space="preserve"> sino que la convierte en autora de sus propios estándares de accesibilidad para ese contrato específico.</w:t>
      </w:r>
    </w:p>
    <w:p w14:paraId="78BD1F62" w14:textId="77777777" w:rsidR="005510BC" w:rsidRPr="00670CFB" w:rsidRDefault="005510BC" w:rsidP="005510BC">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0A69F894" w14:textId="77777777" w:rsidR="005510BC" w:rsidRPr="00206556" w:rsidRDefault="005510BC" w:rsidP="005510BC">
      <w:pPr>
        <w:spacing w:after="0" w:line="276" w:lineRule="auto"/>
        <w:jc w:val="both"/>
        <w:rPr>
          <w:rFonts w:ascii="Verdana" w:eastAsia="Calibri" w:hAnsi="Verdana" w:cs="Arial"/>
          <w:lang w:val="es-ES"/>
        </w:rPr>
      </w:pPr>
    </w:p>
    <w:p w14:paraId="1E71F08D" w14:textId="77777777" w:rsidR="005510BC" w:rsidRPr="00206556" w:rsidRDefault="005510BC" w:rsidP="005510BC">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lastRenderedPageBreak/>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10BC" w:rsidRPr="00206556" w14:paraId="592A0E63" w14:textId="77777777" w:rsidTr="00AD17AD">
        <w:trPr>
          <w:trHeight w:val="297"/>
        </w:trPr>
        <w:tc>
          <w:tcPr>
            <w:tcW w:w="8647" w:type="dxa"/>
          </w:tcPr>
          <w:p w14:paraId="14262033" w14:textId="77777777" w:rsidR="005510BC" w:rsidRPr="00670CFB"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15AE093D"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0A5324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6C87258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17B6EA4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F45AD8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0F1F262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390787A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70EBD134"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1C5B94B"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39624066"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94D4DD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75B00133"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7C2B0865"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19EE09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BDFC80A"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330A1E2C"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6343F19"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3D657601"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86CC89F"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Agencia Nacional de Contratación Pública – Colombia Compra Eficiente. Circular Externa sobre orientaciones para la aplicación del Decreto 287 de 2026. Bogotá, 2026.</w:t>
            </w:r>
          </w:p>
          <w:p w14:paraId="005967D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0F0475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CEDB7F7"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66B73B08"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1E609F30"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7BC7C2E2" w14:textId="77777777" w:rsidR="005510BC" w:rsidRPr="00206556" w:rsidRDefault="005510BC" w:rsidP="00AD17AD">
            <w:pPr>
              <w:pStyle w:val="Prrafodelista"/>
              <w:widowControl w:val="0"/>
              <w:numPr>
                <w:ilvl w:val="0"/>
                <w:numId w:val="17"/>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398C5F20" w14:textId="77777777" w:rsidR="005510BC" w:rsidRPr="00206556" w:rsidRDefault="005510BC" w:rsidP="00AD17AD">
            <w:pPr>
              <w:widowControl w:val="0"/>
              <w:autoSpaceDE w:val="0"/>
              <w:autoSpaceDN w:val="0"/>
              <w:spacing w:line="276" w:lineRule="auto"/>
              <w:jc w:val="both"/>
              <w:rPr>
                <w:rFonts w:ascii="Verdana" w:eastAsia="Arial MT" w:hAnsi="Verdana" w:cs="Arial"/>
                <w:lang w:val="es-ES" w:eastAsia="es-ES" w:bidi="es-ES"/>
              </w:rPr>
            </w:pPr>
          </w:p>
        </w:tc>
      </w:tr>
    </w:tbl>
    <w:p w14:paraId="3D76DBE8"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3DF3B5C" w14:textId="77777777" w:rsidR="005510BC" w:rsidRDefault="005510BC" w:rsidP="005510B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75F4F75C" w14:textId="77777777" w:rsidR="005510BC" w:rsidRPr="00670CFB" w:rsidRDefault="005510BC" w:rsidP="005510BC">
      <w:pPr>
        <w:tabs>
          <w:tab w:val="left" w:pos="142"/>
          <w:tab w:val="left" w:pos="284"/>
        </w:tabs>
        <w:spacing w:after="0" w:line="276" w:lineRule="auto"/>
        <w:jc w:val="both"/>
        <w:rPr>
          <w:rFonts w:ascii="Verdana" w:eastAsia="Century Gothic" w:hAnsi="Verdana" w:cs="Century Gothic"/>
          <w:b/>
          <w:lang w:val="es-ES"/>
        </w:rPr>
      </w:pPr>
    </w:p>
    <w:p w14:paraId="51C27470" w14:textId="77777777" w:rsidR="005510BC" w:rsidRPr="00206556" w:rsidRDefault="005510BC" w:rsidP="005510BC">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sobre el alcance del Decreto 0287 de 2026 en este concepto</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2" w:history="1">
        <w:r w:rsidRPr="00206556">
          <w:rPr>
            <w:rStyle w:val="Hipervnculo"/>
            <w:rFonts w:ascii="Verdana" w:hAnsi="Verdana" w:cs="Arial"/>
            <w:shd w:val="clear" w:color="auto" w:fill="FFFFFF"/>
            <w:lang w:val="es-ES"/>
          </w:rPr>
          <w:t>https://relatoria.colombiacompra.gov.co/busqueda/conceptos</w:t>
        </w:r>
      </w:hyperlink>
    </w:p>
    <w:p w14:paraId="2BF9DBCF" w14:textId="77777777" w:rsidR="005510BC" w:rsidRPr="00206556" w:rsidRDefault="005510BC" w:rsidP="005510BC">
      <w:pPr>
        <w:spacing w:after="0" w:line="276" w:lineRule="auto"/>
        <w:jc w:val="both"/>
        <w:rPr>
          <w:rFonts w:ascii="Verdana" w:hAnsi="Verdana" w:cs="Arial"/>
          <w:color w:val="ED7D31" w:themeColor="accent2"/>
          <w:shd w:val="clear" w:color="auto" w:fill="FFFFFF"/>
          <w:lang w:val="es-ES"/>
        </w:rPr>
      </w:pPr>
    </w:p>
    <w:p w14:paraId="2B7255FD"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C5990D1" w14:textId="77777777" w:rsidR="005510BC" w:rsidRPr="00206556" w:rsidRDefault="005510BC" w:rsidP="005510BC">
      <w:pPr>
        <w:spacing w:after="0" w:line="276" w:lineRule="auto"/>
        <w:jc w:val="both"/>
        <w:rPr>
          <w:rFonts w:ascii="Verdana" w:hAnsi="Verdana" w:cs="Arial"/>
          <w:shd w:val="clear" w:color="auto" w:fill="FFFFFF"/>
        </w:rPr>
      </w:pPr>
    </w:p>
    <w:p w14:paraId="73158DD2"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lastRenderedPageBreak/>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206556">
          <w:rPr>
            <w:rStyle w:val="Hipervnculo"/>
            <w:rFonts w:ascii="Verdana" w:hAnsi="Verdana" w:cs="Arial"/>
            <w:shd w:val="clear" w:color="auto" w:fill="FFFFFF"/>
          </w:rPr>
          <w:t>https://www.colombiacompra.gov.co/normativa-y-relatoria/documentos-tipo</w:t>
        </w:r>
      </w:hyperlink>
    </w:p>
    <w:p w14:paraId="1CEEA0B6" w14:textId="77777777" w:rsidR="005510BC" w:rsidRPr="00206556" w:rsidRDefault="005510BC" w:rsidP="005510BC">
      <w:pPr>
        <w:spacing w:after="0" w:line="276" w:lineRule="auto"/>
        <w:jc w:val="both"/>
        <w:rPr>
          <w:rFonts w:ascii="Verdana" w:hAnsi="Verdana" w:cs="Arial"/>
          <w:shd w:val="clear" w:color="auto" w:fill="FFFFFF"/>
        </w:rPr>
      </w:pPr>
    </w:p>
    <w:p w14:paraId="09981D7E" w14:textId="77777777" w:rsidR="005510BC" w:rsidRPr="00206556" w:rsidRDefault="005510BC" w:rsidP="005510B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2BB0272B" w14:textId="77777777" w:rsidR="005510BC" w:rsidRPr="00206556" w:rsidRDefault="005510BC" w:rsidP="005510BC">
      <w:pPr>
        <w:spacing w:after="0" w:line="276" w:lineRule="auto"/>
        <w:jc w:val="both"/>
        <w:rPr>
          <w:rFonts w:ascii="Verdana" w:hAnsi="Verdana" w:cs="Arial"/>
          <w:color w:val="ED7D31" w:themeColor="accent2"/>
          <w:shd w:val="clear" w:color="auto" w:fill="FFFFFF"/>
        </w:rPr>
      </w:pPr>
    </w:p>
    <w:p w14:paraId="1FDB5F89"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3DECC61D" w14:textId="77777777" w:rsidR="005510BC" w:rsidRPr="00206556" w:rsidRDefault="005510BC" w:rsidP="005510BC">
      <w:pPr>
        <w:spacing w:after="0"/>
        <w:jc w:val="both"/>
        <w:rPr>
          <w:rFonts w:ascii="Verdana" w:hAnsi="Verdana" w:cs="Arial"/>
          <w:shd w:val="clear" w:color="auto" w:fill="FFFFFF"/>
        </w:rPr>
      </w:pPr>
    </w:p>
    <w:p w14:paraId="3F791AFB"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240CDDDC"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1CA81020"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767F4EDF" w14:textId="77777777" w:rsidR="005510BC" w:rsidRPr="00206556" w:rsidRDefault="005510BC" w:rsidP="005510BC">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D01CA82" w14:textId="77777777" w:rsidR="005510BC" w:rsidRPr="00206556" w:rsidRDefault="005510BC" w:rsidP="005510BC">
      <w:pPr>
        <w:widowControl w:val="0"/>
        <w:autoSpaceDE w:val="0"/>
        <w:autoSpaceDN w:val="0"/>
        <w:spacing w:after="0" w:line="276" w:lineRule="auto"/>
        <w:jc w:val="both"/>
        <w:rPr>
          <w:rFonts w:ascii="Verdana" w:hAnsi="Verdana" w:cs="Arial"/>
          <w:color w:val="ED7D31" w:themeColor="accent2"/>
          <w:lang w:val="es-ES"/>
        </w:rPr>
      </w:pPr>
    </w:p>
    <w:p w14:paraId="18C29CB2"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D02065E" w14:textId="77777777" w:rsidR="005510BC" w:rsidRPr="00206556" w:rsidRDefault="005510BC" w:rsidP="005510BC">
      <w:pPr>
        <w:widowControl w:val="0"/>
        <w:autoSpaceDE w:val="0"/>
        <w:autoSpaceDN w:val="0"/>
        <w:spacing w:after="0" w:line="276" w:lineRule="auto"/>
        <w:jc w:val="both"/>
        <w:rPr>
          <w:rFonts w:ascii="Verdana" w:hAnsi="Verdana" w:cs="Arial"/>
          <w:lang w:val="es-ES"/>
        </w:rPr>
      </w:pPr>
    </w:p>
    <w:p w14:paraId="51BB3CB5" w14:textId="77777777" w:rsidR="005510BC" w:rsidRPr="00206556" w:rsidRDefault="005510BC" w:rsidP="005510BC">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13C0EB0F" w14:textId="2FBDAD06" w:rsidR="00A754B1" w:rsidRPr="00206556" w:rsidRDefault="00073E6D" w:rsidP="00A754B1">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1AA38C22" wp14:editId="4CE156BA">
            <wp:extent cx="3639058" cy="1343212"/>
            <wp:effectExtent l="0" t="0" r="0" b="0"/>
            <wp:docPr id="154929090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90905"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B064C3A" w14:textId="77777777" w:rsidR="00A754B1" w:rsidRPr="00206556" w:rsidRDefault="00A754B1" w:rsidP="00A754B1">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A754B1" w:rsidRPr="00206556" w14:paraId="5C634FCB" w14:textId="77777777">
        <w:trPr>
          <w:trHeight w:val="322"/>
        </w:trPr>
        <w:tc>
          <w:tcPr>
            <w:tcW w:w="733" w:type="dxa"/>
            <w:tcBorders>
              <w:top w:val="nil"/>
              <w:left w:val="nil"/>
              <w:bottom w:val="nil"/>
              <w:right w:val="nil"/>
            </w:tcBorders>
            <w:vAlign w:val="center"/>
            <w:hideMark/>
          </w:tcPr>
          <w:p w14:paraId="6BA74C99"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76F1BA0" w14:textId="77777777" w:rsidR="00670CFB" w:rsidRPr="00206556" w:rsidRDefault="00670CFB" w:rsidP="00670CF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eastAsia="es-CO"/>
              </w:rPr>
              <w:t>Gloria Elizabeth Arango Builes</w:t>
            </w:r>
          </w:p>
          <w:p w14:paraId="0502EDA4" w14:textId="4C8370B0" w:rsidR="00A754B1" w:rsidRPr="00206556" w:rsidRDefault="00670CFB" w:rsidP="00670CFB">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eastAsia="es-ES"/>
              </w:rPr>
              <w:t xml:space="preserve">Contratista </w:t>
            </w:r>
            <w:r w:rsidRPr="00206556">
              <w:rPr>
                <w:rFonts w:ascii="Verdana" w:eastAsia="Times New Roman" w:hAnsi="Verdana" w:cs="Times New Roman"/>
                <w:sz w:val="16"/>
                <w:szCs w:val="16"/>
                <w:lang w:eastAsia="es-CO"/>
              </w:rPr>
              <w:t>de la Subdirección de Gestión Contractual</w:t>
            </w:r>
          </w:p>
        </w:tc>
      </w:tr>
      <w:tr w:rsidR="00A754B1" w:rsidRPr="00206556" w14:paraId="4384CD0E" w14:textId="77777777">
        <w:trPr>
          <w:trHeight w:val="322"/>
        </w:trPr>
        <w:tc>
          <w:tcPr>
            <w:tcW w:w="733" w:type="dxa"/>
            <w:tcBorders>
              <w:top w:val="nil"/>
              <w:left w:val="nil"/>
              <w:bottom w:val="nil"/>
              <w:right w:val="nil"/>
            </w:tcBorders>
            <w:vAlign w:val="center"/>
            <w:hideMark/>
          </w:tcPr>
          <w:p w14:paraId="68F906D2"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F65E976" w14:textId="4CEF34B1" w:rsidR="00670CFB" w:rsidRPr="00206556" w:rsidRDefault="006B694D" w:rsidP="00670CF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Lucía Saavedra Castañeda</w:t>
            </w:r>
          </w:p>
          <w:p w14:paraId="53BA1B20" w14:textId="425ECA9A" w:rsidR="00670CFB" w:rsidRPr="00206556" w:rsidRDefault="006B694D" w:rsidP="00670CF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 xml:space="preserve">Contratista </w:t>
            </w:r>
            <w:r w:rsidR="00670CFB" w:rsidRPr="00206556">
              <w:rPr>
                <w:rFonts w:ascii="Verdana" w:eastAsia="Times New Roman" w:hAnsi="Verdana" w:cs="Arial"/>
                <w:sz w:val="16"/>
                <w:szCs w:val="16"/>
                <w:lang w:eastAsia="es-ES"/>
              </w:rPr>
              <w:t>de la Subdirección de Gestión Contractual</w:t>
            </w:r>
          </w:p>
          <w:p w14:paraId="4F030FDF" w14:textId="6BB16468"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p>
        </w:tc>
      </w:tr>
      <w:tr w:rsidR="00A754B1" w:rsidRPr="00206556" w14:paraId="51B53319" w14:textId="77777777">
        <w:trPr>
          <w:trHeight w:val="307"/>
        </w:trPr>
        <w:tc>
          <w:tcPr>
            <w:tcW w:w="733" w:type="dxa"/>
            <w:tcBorders>
              <w:top w:val="nil"/>
              <w:left w:val="nil"/>
              <w:bottom w:val="nil"/>
              <w:right w:val="nil"/>
            </w:tcBorders>
            <w:vAlign w:val="center"/>
            <w:hideMark/>
          </w:tcPr>
          <w:p w14:paraId="58BB7344" w14:textId="77777777" w:rsidR="00A754B1" w:rsidRPr="00206556" w:rsidRDefault="00A754B1" w:rsidP="00A754B1">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A41E819"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3D71CC3E" w14:textId="77777777" w:rsidR="00A754B1" w:rsidRPr="00206556" w:rsidRDefault="00A754B1" w:rsidP="00A754B1">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1F1E5D50" w14:textId="77777777" w:rsidR="00A754B1" w:rsidRDefault="00A754B1" w:rsidP="00A754B1">
      <w:pPr>
        <w:autoSpaceDE w:val="0"/>
        <w:autoSpaceDN w:val="0"/>
        <w:adjustRightInd w:val="0"/>
        <w:spacing w:after="0" w:line="276" w:lineRule="auto"/>
        <w:jc w:val="center"/>
        <w:rPr>
          <w:rFonts w:ascii="Verdana" w:eastAsia="Calibri" w:hAnsi="Verdana" w:cs="Arial"/>
        </w:rPr>
      </w:pPr>
    </w:p>
    <w:p w14:paraId="0F8936C8" w14:textId="77777777" w:rsidR="00670CFB" w:rsidRDefault="00670CFB" w:rsidP="00A754B1">
      <w:pPr>
        <w:autoSpaceDE w:val="0"/>
        <w:autoSpaceDN w:val="0"/>
        <w:adjustRightInd w:val="0"/>
        <w:spacing w:after="0" w:line="276" w:lineRule="auto"/>
        <w:jc w:val="center"/>
        <w:rPr>
          <w:rFonts w:ascii="Verdana" w:eastAsia="Calibri" w:hAnsi="Verdana" w:cs="Arial"/>
        </w:rPr>
      </w:pPr>
    </w:p>
    <w:p w14:paraId="179A18B3" w14:textId="5C20A6F1" w:rsidR="00670CFB" w:rsidRPr="00206556" w:rsidRDefault="00670CFB" w:rsidP="00670CFB">
      <w:pPr>
        <w:autoSpaceDE w:val="0"/>
        <w:autoSpaceDN w:val="0"/>
        <w:adjustRightInd w:val="0"/>
        <w:spacing w:after="0" w:line="276" w:lineRule="auto"/>
        <w:jc w:val="center"/>
        <w:rPr>
          <w:rFonts w:ascii="Verdana" w:eastAsia="Calibri" w:hAnsi="Verdana" w:cs="Arial"/>
        </w:rPr>
      </w:pPr>
    </w:p>
    <w:sectPr w:rsidR="00670CFB" w:rsidRPr="0020655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AFF3" w14:textId="77777777" w:rsidR="00C938CE" w:rsidRDefault="00C938CE" w:rsidP="004A1847">
      <w:pPr>
        <w:spacing w:after="0" w:line="240" w:lineRule="auto"/>
      </w:pPr>
      <w:r>
        <w:separator/>
      </w:r>
    </w:p>
  </w:endnote>
  <w:endnote w:type="continuationSeparator" w:id="0">
    <w:p w14:paraId="219D930F" w14:textId="77777777" w:rsidR="00C938CE" w:rsidRDefault="00C938C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0304" w14:textId="77777777" w:rsidR="00C938CE" w:rsidRDefault="00C938CE" w:rsidP="004A1847">
      <w:pPr>
        <w:spacing w:after="0" w:line="240" w:lineRule="auto"/>
      </w:pPr>
      <w:r>
        <w:separator/>
      </w:r>
    </w:p>
  </w:footnote>
  <w:footnote w:type="continuationSeparator" w:id="0">
    <w:p w14:paraId="3E213967" w14:textId="77777777" w:rsidR="00C938CE" w:rsidRDefault="00C938CE" w:rsidP="004A1847">
      <w:pPr>
        <w:spacing w:after="0" w:line="240" w:lineRule="auto"/>
      </w:pPr>
      <w:r>
        <w:continuationSeparator/>
      </w:r>
    </w:p>
  </w:footnote>
  <w:footnote w:id="1">
    <w:p w14:paraId="1714CFA3"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146E5890" w14:textId="77777777" w:rsidR="005510BC" w:rsidRPr="00206556" w:rsidRDefault="005510BC" w:rsidP="005510BC">
      <w:pPr>
        <w:spacing w:after="80" w:line="240" w:lineRule="auto"/>
        <w:ind w:firstLine="708"/>
        <w:jc w:val="both"/>
        <w:rPr>
          <w:rFonts w:ascii="Verdana" w:hAnsi="Verdana"/>
          <w:sz w:val="16"/>
          <w:szCs w:val="16"/>
        </w:rPr>
      </w:pPr>
    </w:p>
  </w:footnote>
  <w:footnote w:id="2">
    <w:p w14:paraId="68485690"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A2DD2BE" w14:textId="77777777" w:rsidR="005510BC" w:rsidRPr="00206556" w:rsidRDefault="005510BC" w:rsidP="005510BC">
      <w:pPr>
        <w:pStyle w:val="Textonotapie"/>
        <w:ind w:firstLine="708"/>
        <w:jc w:val="both"/>
        <w:rPr>
          <w:rFonts w:ascii="Verdana" w:hAnsi="Verdana"/>
          <w:sz w:val="16"/>
          <w:szCs w:val="16"/>
          <w:lang w:val="es-ES"/>
        </w:rPr>
      </w:pPr>
    </w:p>
  </w:footnote>
  <w:footnote w:id="3">
    <w:p w14:paraId="0AFA833E" w14:textId="77777777" w:rsidR="005510BC" w:rsidRPr="00206556" w:rsidRDefault="005510BC" w:rsidP="005510BC">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7898830" w14:textId="77777777" w:rsidR="005510BC" w:rsidRPr="00206556" w:rsidRDefault="005510BC" w:rsidP="005510BC">
      <w:pPr>
        <w:spacing w:after="80" w:line="240" w:lineRule="auto"/>
        <w:ind w:firstLine="708"/>
        <w:jc w:val="both"/>
        <w:rPr>
          <w:rFonts w:ascii="Verdana" w:hAnsi="Verdana"/>
          <w:sz w:val="16"/>
          <w:szCs w:val="16"/>
        </w:rPr>
      </w:pPr>
    </w:p>
  </w:footnote>
  <w:footnote w:id="4">
    <w:p w14:paraId="023A68CA" w14:textId="77777777" w:rsidR="005510BC" w:rsidRPr="00206556" w:rsidRDefault="005510BC" w:rsidP="005510BC">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15D2CE93" w14:textId="77777777" w:rsidR="005510BC" w:rsidRPr="00206556" w:rsidRDefault="005510BC" w:rsidP="005510BC">
      <w:pPr>
        <w:pStyle w:val="Textonotapie"/>
        <w:ind w:firstLine="708"/>
        <w:jc w:val="both"/>
        <w:rPr>
          <w:rFonts w:ascii="Verdana" w:hAnsi="Verdana"/>
          <w:sz w:val="16"/>
          <w:szCs w:val="16"/>
          <w:lang w:val="es-ES"/>
        </w:rPr>
      </w:pPr>
    </w:p>
  </w:footnote>
  <w:footnote w:id="5">
    <w:p w14:paraId="534B91EE" w14:textId="77777777" w:rsidR="005510BC" w:rsidRPr="00206556" w:rsidRDefault="005510BC" w:rsidP="005510BC">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152A2E9B" w14:textId="77777777" w:rsidR="005510BC" w:rsidRPr="00206556" w:rsidRDefault="005510BC" w:rsidP="005510BC">
      <w:pPr>
        <w:pStyle w:val="Textonotapie"/>
        <w:ind w:firstLine="708"/>
        <w:jc w:val="both"/>
        <w:rPr>
          <w:rFonts w:ascii="Verdana" w:hAnsi="Verdana"/>
          <w:sz w:val="16"/>
          <w:szCs w:val="16"/>
          <w:lang w:val="es-ES"/>
        </w:rPr>
      </w:pPr>
    </w:p>
  </w:footnote>
  <w:footnote w:id="6">
    <w:p w14:paraId="0E4AAD4E"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61E73744" w14:textId="77777777" w:rsidR="005510BC" w:rsidRPr="00206556" w:rsidRDefault="005510BC" w:rsidP="005510BC">
      <w:pPr>
        <w:pStyle w:val="Textonotapie"/>
        <w:ind w:firstLine="708"/>
        <w:rPr>
          <w:rFonts w:ascii="Verdana" w:hAnsi="Verdana"/>
          <w:sz w:val="16"/>
          <w:szCs w:val="16"/>
          <w:lang w:val="es-ES"/>
        </w:rPr>
      </w:pPr>
    </w:p>
  </w:footnote>
  <w:footnote w:id="7">
    <w:p w14:paraId="7E4012CD"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B1E4046" w14:textId="77777777" w:rsidR="005510BC" w:rsidRPr="00206556" w:rsidRDefault="005510BC" w:rsidP="005510BC">
      <w:pPr>
        <w:pStyle w:val="Textonotapie"/>
        <w:ind w:firstLine="708"/>
        <w:rPr>
          <w:rFonts w:ascii="Verdana" w:hAnsi="Verdana"/>
          <w:sz w:val="16"/>
          <w:szCs w:val="16"/>
          <w:lang w:val="es-ES"/>
        </w:rPr>
      </w:pPr>
    </w:p>
  </w:footnote>
  <w:footnote w:id="8">
    <w:p w14:paraId="5294BCBB" w14:textId="77777777" w:rsidR="005510BC" w:rsidRPr="00206556" w:rsidRDefault="005510BC" w:rsidP="005510BC">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2F194327"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Agencia Nacional de Contratación Pública – Colombia Compra Eficiente. (2022, diciembre 14). Concepto C-864 de 2022. Bogotá: ANCP-CCE. Disponible en:  https://relatoria.colombiacompra.gov.co/conceptos/c-864-de-2022/</w:t>
      </w:r>
    </w:p>
  </w:footnote>
  <w:footnote w:id="10">
    <w:p w14:paraId="7731F440" w14:textId="77777777" w:rsidR="005510BC" w:rsidRPr="00206556" w:rsidRDefault="005510BC" w:rsidP="005510BC">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Consejo de Estado de Colombia. Sala de Consulta y Servicio Civil. (2013, julio 24). Concepto radicación n.° 2166. Consejero Ponente: Álvaro Namén Vargas. Bogotá: Consejo de Estado.</w:t>
      </w:r>
    </w:p>
    <w:p w14:paraId="52742739" w14:textId="77777777" w:rsidR="005510BC" w:rsidRPr="00206556" w:rsidRDefault="005510BC" w:rsidP="005510BC">
      <w:pPr>
        <w:pStyle w:val="Textonotapie"/>
        <w:ind w:firstLine="708"/>
        <w:rPr>
          <w:rFonts w:ascii="Verdana" w:hAnsi="Verdana"/>
          <w:sz w:val="16"/>
          <w:szCs w:val="16"/>
          <w:lang w:val="es-ES"/>
        </w:rPr>
      </w:pPr>
    </w:p>
  </w:footnote>
  <w:footnote w:id="11">
    <w:p w14:paraId="4D1185CE" w14:textId="77777777" w:rsidR="005510BC" w:rsidRPr="003F21FF" w:rsidRDefault="005510BC" w:rsidP="005510BC">
      <w:pPr>
        <w:pStyle w:val="Textonotapie"/>
        <w:ind w:firstLine="708"/>
        <w:rPr>
          <w:lang w:val="es-ES"/>
        </w:rPr>
      </w:pPr>
      <w:r w:rsidRPr="00206556">
        <w:rPr>
          <w:rStyle w:val="Refdenotaalpie"/>
          <w:rFonts w:ascii="Verdana" w:hAnsi="Verdana"/>
          <w:sz w:val="16"/>
          <w:szCs w:val="16"/>
        </w:rPr>
        <w:footnoteRef/>
      </w:r>
      <w:r w:rsidRPr="00206556">
        <w:rPr>
          <w:rFonts w:ascii="Verdana" w:hAnsi="Verdana"/>
          <w:sz w:val="16"/>
          <w:szCs w:val="16"/>
        </w:rPr>
        <w:t xml:space="preserve"> Corte Constitucional de Colombia. (2017). Sentencia SU-049 de 2017. Magistrada Ponente: María Victoria Calle Correa. Bogotá: Corte Constitucional</w:t>
      </w:r>
      <w:r w:rsidRPr="003F21F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153255849">
    <w:abstractNumId w:val="9"/>
  </w:num>
  <w:num w:numId="17"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670"/>
    <w:rsid w:val="00016C94"/>
    <w:rsid w:val="00016F78"/>
    <w:rsid w:val="0002168A"/>
    <w:rsid w:val="00021872"/>
    <w:rsid w:val="00022CC8"/>
    <w:rsid w:val="00042A91"/>
    <w:rsid w:val="00046945"/>
    <w:rsid w:val="00046C5F"/>
    <w:rsid w:val="00053563"/>
    <w:rsid w:val="000542B4"/>
    <w:rsid w:val="00055B9D"/>
    <w:rsid w:val="00060428"/>
    <w:rsid w:val="00061B2A"/>
    <w:rsid w:val="0006693F"/>
    <w:rsid w:val="00070BF4"/>
    <w:rsid w:val="00073658"/>
    <w:rsid w:val="00073E6D"/>
    <w:rsid w:val="00080209"/>
    <w:rsid w:val="00082362"/>
    <w:rsid w:val="000834DD"/>
    <w:rsid w:val="000916EA"/>
    <w:rsid w:val="00092965"/>
    <w:rsid w:val="00094252"/>
    <w:rsid w:val="000A5E13"/>
    <w:rsid w:val="000A683E"/>
    <w:rsid w:val="000A72A9"/>
    <w:rsid w:val="000A7D46"/>
    <w:rsid w:val="000B19B9"/>
    <w:rsid w:val="000B4D47"/>
    <w:rsid w:val="000B6F89"/>
    <w:rsid w:val="000C0C33"/>
    <w:rsid w:val="000C7411"/>
    <w:rsid w:val="000D0334"/>
    <w:rsid w:val="000D2F32"/>
    <w:rsid w:val="000D4B26"/>
    <w:rsid w:val="000D5DA7"/>
    <w:rsid w:val="000E7C7B"/>
    <w:rsid w:val="000F1443"/>
    <w:rsid w:val="000F3D1E"/>
    <w:rsid w:val="000F6486"/>
    <w:rsid w:val="00103BFE"/>
    <w:rsid w:val="001068E1"/>
    <w:rsid w:val="00112DCB"/>
    <w:rsid w:val="00115970"/>
    <w:rsid w:val="00116940"/>
    <w:rsid w:val="00117A5A"/>
    <w:rsid w:val="001228DC"/>
    <w:rsid w:val="00124C21"/>
    <w:rsid w:val="00125105"/>
    <w:rsid w:val="0012666F"/>
    <w:rsid w:val="00127233"/>
    <w:rsid w:val="00134886"/>
    <w:rsid w:val="001406B4"/>
    <w:rsid w:val="00142035"/>
    <w:rsid w:val="0015042F"/>
    <w:rsid w:val="00152F52"/>
    <w:rsid w:val="0015488B"/>
    <w:rsid w:val="0015650E"/>
    <w:rsid w:val="0015699B"/>
    <w:rsid w:val="00163017"/>
    <w:rsid w:val="0016488C"/>
    <w:rsid w:val="00165A70"/>
    <w:rsid w:val="001679AE"/>
    <w:rsid w:val="001726AF"/>
    <w:rsid w:val="0017343D"/>
    <w:rsid w:val="00180418"/>
    <w:rsid w:val="00182010"/>
    <w:rsid w:val="001930C3"/>
    <w:rsid w:val="00196F75"/>
    <w:rsid w:val="001A2C19"/>
    <w:rsid w:val="001A2E74"/>
    <w:rsid w:val="001A33BF"/>
    <w:rsid w:val="001B064E"/>
    <w:rsid w:val="001B3AEB"/>
    <w:rsid w:val="001B6C7C"/>
    <w:rsid w:val="001C2502"/>
    <w:rsid w:val="001C73B4"/>
    <w:rsid w:val="001E4177"/>
    <w:rsid w:val="001F0B24"/>
    <w:rsid w:val="001F46EB"/>
    <w:rsid w:val="001F7294"/>
    <w:rsid w:val="001F7DC6"/>
    <w:rsid w:val="00203EC3"/>
    <w:rsid w:val="00206556"/>
    <w:rsid w:val="00206F7B"/>
    <w:rsid w:val="0022400B"/>
    <w:rsid w:val="00224979"/>
    <w:rsid w:val="00233946"/>
    <w:rsid w:val="002418DF"/>
    <w:rsid w:val="002421BB"/>
    <w:rsid w:val="0024618D"/>
    <w:rsid w:val="002506B7"/>
    <w:rsid w:val="00251EEA"/>
    <w:rsid w:val="0025796E"/>
    <w:rsid w:val="00261EC2"/>
    <w:rsid w:val="002630D9"/>
    <w:rsid w:val="002667E1"/>
    <w:rsid w:val="002676A6"/>
    <w:rsid w:val="002707A2"/>
    <w:rsid w:val="00277337"/>
    <w:rsid w:val="002809EE"/>
    <w:rsid w:val="002951A0"/>
    <w:rsid w:val="002962BC"/>
    <w:rsid w:val="002A00A1"/>
    <w:rsid w:val="002A093D"/>
    <w:rsid w:val="002A0DD0"/>
    <w:rsid w:val="002A49AC"/>
    <w:rsid w:val="002A64FD"/>
    <w:rsid w:val="002B0A25"/>
    <w:rsid w:val="002B3B70"/>
    <w:rsid w:val="002C7A84"/>
    <w:rsid w:val="002D3D4B"/>
    <w:rsid w:val="002E043C"/>
    <w:rsid w:val="002E1E54"/>
    <w:rsid w:val="002E2BF8"/>
    <w:rsid w:val="002E2C06"/>
    <w:rsid w:val="002E410E"/>
    <w:rsid w:val="002E46C5"/>
    <w:rsid w:val="002E4FD9"/>
    <w:rsid w:val="002F04E0"/>
    <w:rsid w:val="002F3F1B"/>
    <w:rsid w:val="002F6EDD"/>
    <w:rsid w:val="00302E7B"/>
    <w:rsid w:val="0030657A"/>
    <w:rsid w:val="003116AA"/>
    <w:rsid w:val="00316B4B"/>
    <w:rsid w:val="0031712D"/>
    <w:rsid w:val="0032249D"/>
    <w:rsid w:val="00322A85"/>
    <w:rsid w:val="00322AC7"/>
    <w:rsid w:val="00324168"/>
    <w:rsid w:val="00327386"/>
    <w:rsid w:val="00330834"/>
    <w:rsid w:val="003348C1"/>
    <w:rsid w:val="00336915"/>
    <w:rsid w:val="00337110"/>
    <w:rsid w:val="003404B1"/>
    <w:rsid w:val="00341D29"/>
    <w:rsid w:val="003448F4"/>
    <w:rsid w:val="00346FE0"/>
    <w:rsid w:val="00351706"/>
    <w:rsid w:val="0035753C"/>
    <w:rsid w:val="00363F8D"/>
    <w:rsid w:val="00366AAB"/>
    <w:rsid w:val="00373B36"/>
    <w:rsid w:val="00374F5E"/>
    <w:rsid w:val="00377E3E"/>
    <w:rsid w:val="00395FD0"/>
    <w:rsid w:val="003974B1"/>
    <w:rsid w:val="003A613F"/>
    <w:rsid w:val="003A779E"/>
    <w:rsid w:val="003B4D9D"/>
    <w:rsid w:val="003C3B8B"/>
    <w:rsid w:val="003C64A5"/>
    <w:rsid w:val="003D0F4D"/>
    <w:rsid w:val="003D15AD"/>
    <w:rsid w:val="003D37EE"/>
    <w:rsid w:val="003D3EB2"/>
    <w:rsid w:val="003D45B0"/>
    <w:rsid w:val="003D5B0D"/>
    <w:rsid w:val="003E0499"/>
    <w:rsid w:val="003E4F80"/>
    <w:rsid w:val="003E6439"/>
    <w:rsid w:val="003E68FC"/>
    <w:rsid w:val="003F0D9A"/>
    <w:rsid w:val="003F0E92"/>
    <w:rsid w:val="003F21FF"/>
    <w:rsid w:val="003F3941"/>
    <w:rsid w:val="00406575"/>
    <w:rsid w:val="00414C74"/>
    <w:rsid w:val="00424469"/>
    <w:rsid w:val="0042722E"/>
    <w:rsid w:val="004317A8"/>
    <w:rsid w:val="0043275B"/>
    <w:rsid w:val="0043526E"/>
    <w:rsid w:val="0044528D"/>
    <w:rsid w:val="00445E6C"/>
    <w:rsid w:val="00451BB4"/>
    <w:rsid w:val="00451BBD"/>
    <w:rsid w:val="00454707"/>
    <w:rsid w:val="004566CD"/>
    <w:rsid w:val="004634E9"/>
    <w:rsid w:val="004654BF"/>
    <w:rsid w:val="00466E39"/>
    <w:rsid w:val="0047233C"/>
    <w:rsid w:val="00486F02"/>
    <w:rsid w:val="00491868"/>
    <w:rsid w:val="00492EFE"/>
    <w:rsid w:val="004A1847"/>
    <w:rsid w:val="004A305D"/>
    <w:rsid w:val="004B1246"/>
    <w:rsid w:val="004B2ACC"/>
    <w:rsid w:val="004B305D"/>
    <w:rsid w:val="004B4114"/>
    <w:rsid w:val="004C046B"/>
    <w:rsid w:val="004D6D8D"/>
    <w:rsid w:val="004E19DC"/>
    <w:rsid w:val="004E7B1E"/>
    <w:rsid w:val="004F21C4"/>
    <w:rsid w:val="004F2BF5"/>
    <w:rsid w:val="004F5ED9"/>
    <w:rsid w:val="004F685F"/>
    <w:rsid w:val="00502309"/>
    <w:rsid w:val="00516F85"/>
    <w:rsid w:val="005179DF"/>
    <w:rsid w:val="005259F2"/>
    <w:rsid w:val="0053070B"/>
    <w:rsid w:val="00534597"/>
    <w:rsid w:val="00536F7E"/>
    <w:rsid w:val="005510BC"/>
    <w:rsid w:val="005541CB"/>
    <w:rsid w:val="005566E8"/>
    <w:rsid w:val="00556BFA"/>
    <w:rsid w:val="005608AE"/>
    <w:rsid w:val="00574867"/>
    <w:rsid w:val="00577188"/>
    <w:rsid w:val="00580FC8"/>
    <w:rsid w:val="00591460"/>
    <w:rsid w:val="00594718"/>
    <w:rsid w:val="005A65E0"/>
    <w:rsid w:val="005A7A1B"/>
    <w:rsid w:val="005C13BA"/>
    <w:rsid w:val="005C3777"/>
    <w:rsid w:val="005C56B5"/>
    <w:rsid w:val="005C5CDC"/>
    <w:rsid w:val="005C6779"/>
    <w:rsid w:val="005D3CF1"/>
    <w:rsid w:val="005D476C"/>
    <w:rsid w:val="005E2AFD"/>
    <w:rsid w:val="005E492A"/>
    <w:rsid w:val="005E76F5"/>
    <w:rsid w:val="005E7FBC"/>
    <w:rsid w:val="00603D11"/>
    <w:rsid w:val="00607E13"/>
    <w:rsid w:val="00620032"/>
    <w:rsid w:val="006200BF"/>
    <w:rsid w:val="00620BC7"/>
    <w:rsid w:val="00620E38"/>
    <w:rsid w:val="006219F8"/>
    <w:rsid w:val="00622F1C"/>
    <w:rsid w:val="00624038"/>
    <w:rsid w:val="006302F7"/>
    <w:rsid w:val="00630A93"/>
    <w:rsid w:val="00631EDC"/>
    <w:rsid w:val="00635683"/>
    <w:rsid w:val="006378E7"/>
    <w:rsid w:val="0064564D"/>
    <w:rsid w:val="00645740"/>
    <w:rsid w:val="00646B9F"/>
    <w:rsid w:val="006521AC"/>
    <w:rsid w:val="006552C5"/>
    <w:rsid w:val="00665D70"/>
    <w:rsid w:val="00670CFB"/>
    <w:rsid w:val="00671A77"/>
    <w:rsid w:val="00682555"/>
    <w:rsid w:val="006900D9"/>
    <w:rsid w:val="00690862"/>
    <w:rsid w:val="006A64D0"/>
    <w:rsid w:val="006A66C8"/>
    <w:rsid w:val="006A7374"/>
    <w:rsid w:val="006B694D"/>
    <w:rsid w:val="006C00A6"/>
    <w:rsid w:val="006C3CE7"/>
    <w:rsid w:val="006C4B2C"/>
    <w:rsid w:val="006C5EB1"/>
    <w:rsid w:val="006C678A"/>
    <w:rsid w:val="006D595B"/>
    <w:rsid w:val="006D6B3F"/>
    <w:rsid w:val="006E4EC5"/>
    <w:rsid w:val="006E6F85"/>
    <w:rsid w:val="006E7113"/>
    <w:rsid w:val="007009C8"/>
    <w:rsid w:val="0070142E"/>
    <w:rsid w:val="0070233A"/>
    <w:rsid w:val="00703453"/>
    <w:rsid w:val="00706C16"/>
    <w:rsid w:val="00713052"/>
    <w:rsid w:val="00715ED7"/>
    <w:rsid w:val="00723433"/>
    <w:rsid w:val="00731DFB"/>
    <w:rsid w:val="007340C3"/>
    <w:rsid w:val="00737577"/>
    <w:rsid w:val="00741328"/>
    <w:rsid w:val="0074357A"/>
    <w:rsid w:val="007437DE"/>
    <w:rsid w:val="0075235A"/>
    <w:rsid w:val="0075272A"/>
    <w:rsid w:val="00756841"/>
    <w:rsid w:val="00764624"/>
    <w:rsid w:val="007649AB"/>
    <w:rsid w:val="0076758B"/>
    <w:rsid w:val="00771D0C"/>
    <w:rsid w:val="0077201E"/>
    <w:rsid w:val="00774862"/>
    <w:rsid w:val="00774956"/>
    <w:rsid w:val="00777292"/>
    <w:rsid w:val="00777A45"/>
    <w:rsid w:val="007833AC"/>
    <w:rsid w:val="0078375B"/>
    <w:rsid w:val="00792D67"/>
    <w:rsid w:val="00796E68"/>
    <w:rsid w:val="007A1BCB"/>
    <w:rsid w:val="007A2CE0"/>
    <w:rsid w:val="007B01BA"/>
    <w:rsid w:val="007B268C"/>
    <w:rsid w:val="007B3C5F"/>
    <w:rsid w:val="007B5AD4"/>
    <w:rsid w:val="007B7171"/>
    <w:rsid w:val="007C0C0F"/>
    <w:rsid w:val="007C1DF0"/>
    <w:rsid w:val="007C3DC2"/>
    <w:rsid w:val="007C435B"/>
    <w:rsid w:val="007C6F9B"/>
    <w:rsid w:val="007D3227"/>
    <w:rsid w:val="007D3DBF"/>
    <w:rsid w:val="007D4373"/>
    <w:rsid w:val="007D4B07"/>
    <w:rsid w:val="007E5497"/>
    <w:rsid w:val="007F778E"/>
    <w:rsid w:val="00800B39"/>
    <w:rsid w:val="00806318"/>
    <w:rsid w:val="00806F5F"/>
    <w:rsid w:val="00812D27"/>
    <w:rsid w:val="00816452"/>
    <w:rsid w:val="00816FE1"/>
    <w:rsid w:val="00820278"/>
    <w:rsid w:val="008258C9"/>
    <w:rsid w:val="00831262"/>
    <w:rsid w:val="00835946"/>
    <w:rsid w:val="008403BF"/>
    <w:rsid w:val="00843BB2"/>
    <w:rsid w:val="0084403B"/>
    <w:rsid w:val="00844AE9"/>
    <w:rsid w:val="0084550E"/>
    <w:rsid w:val="00850360"/>
    <w:rsid w:val="00852A3D"/>
    <w:rsid w:val="00864642"/>
    <w:rsid w:val="00867F95"/>
    <w:rsid w:val="00870496"/>
    <w:rsid w:val="008843B6"/>
    <w:rsid w:val="00886133"/>
    <w:rsid w:val="00887E82"/>
    <w:rsid w:val="0089143B"/>
    <w:rsid w:val="008917C7"/>
    <w:rsid w:val="00891928"/>
    <w:rsid w:val="008A3A49"/>
    <w:rsid w:val="008A446D"/>
    <w:rsid w:val="008A5E24"/>
    <w:rsid w:val="008B25F1"/>
    <w:rsid w:val="008C1642"/>
    <w:rsid w:val="008C727F"/>
    <w:rsid w:val="008D10BF"/>
    <w:rsid w:val="008D180B"/>
    <w:rsid w:val="008D55CB"/>
    <w:rsid w:val="008D5774"/>
    <w:rsid w:val="008E1F8B"/>
    <w:rsid w:val="008E3F41"/>
    <w:rsid w:val="008E4A2D"/>
    <w:rsid w:val="008F0EA7"/>
    <w:rsid w:val="008F1293"/>
    <w:rsid w:val="00900AB5"/>
    <w:rsid w:val="00900DB0"/>
    <w:rsid w:val="009032C3"/>
    <w:rsid w:val="0090530F"/>
    <w:rsid w:val="0091370F"/>
    <w:rsid w:val="00917748"/>
    <w:rsid w:val="00920D56"/>
    <w:rsid w:val="00923EEF"/>
    <w:rsid w:val="009252BB"/>
    <w:rsid w:val="00925CA2"/>
    <w:rsid w:val="00930A08"/>
    <w:rsid w:val="009363F6"/>
    <w:rsid w:val="009419F9"/>
    <w:rsid w:val="0095685E"/>
    <w:rsid w:val="00961B09"/>
    <w:rsid w:val="00965055"/>
    <w:rsid w:val="00965334"/>
    <w:rsid w:val="0097093E"/>
    <w:rsid w:val="00973F3B"/>
    <w:rsid w:val="00975224"/>
    <w:rsid w:val="0098182E"/>
    <w:rsid w:val="00982ACA"/>
    <w:rsid w:val="009948E7"/>
    <w:rsid w:val="00995967"/>
    <w:rsid w:val="00996F0C"/>
    <w:rsid w:val="009A0DFA"/>
    <w:rsid w:val="009A1A4B"/>
    <w:rsid w:val="009A1C6F"/>
    <w:rsid w:val="009A5ED3"/>
    <w:rsid w:val="009B0CF4"/>
    <w:rsid w:val="009B2D26"/>
    <w:rsid w:val="009B3626"/>
    <w:rsid w:val="009B7C82"/>
    <w:rsid w:val="009C44A9"/>
    <w:rsid w:val="009C71FA"/>
    <w:rsid w:val="009C72E7"/>
    <w:rsid w:val="009C7F7E"/>
    <w:rsid w:val="009D1B97"/>
    <w:rsid w:val="009D3058"/>
    <w:rsid w:val="009D377E"/>
    <w:rsid w:val="009D40B6"/>
    <w:rsid w:val="009E1A2D"/>
    <w:rsid w:val="009E451E"/>
    <w:rsid w:val="009E593E"/>
    <w:rsid w:val="009E5E98"/>
    <w:rsid w:val="009E6BF4"/>
    <w:rsid w:val="009F05FF"/>
    <w:rsid w:val="009F3A13"/>
    <w:rsid w:val="00A0302B"/>
    <w:rsid w:val="00A122D3"/>
    <w:rsid w:val="00A14468"/>
    <w:rsid w:val="00A150CF"/>
    <w:rsid w:val="00A17F13"/>
    <w:rsid w:val="00A20739"/>
    <w:rsid w:val="00A21CA3"/>
    <w:rsid w:val="00A23AF9"/>
    <w:rsid w:val="00A300AA"/>
    <w:rsid w:val="00A31841"/>
    <w:rsid w:val="00A33C78"/>
    <w:rsid w:val="00A420A9"/>
    <w:rsid w:val="00A42C60"/>
    <w:rsid w:val="00A500F1"/>
    <w:rsid w:val="00A51816"/>
    <w:rsid w:val="00A52C8E"/>
    <w:rsid w:val="00A54668"/>
    <w:rsid w:val="00A57140"/>
    <w:rsid w:val="00A709D2"/>
    <w:rsid w:val="00A754B1"/>
    <w:rsid w:val="00A8025C"/>
    <w:rsid w:val="00A87C26"/>
    <w:rsid w:val="00A925AD"/>
    <w:rsid w:val="00A97194"/>
    <w:rsid w:val="00AA0274"/>
    <w:rsid w:val="00AA080B"/>
    <w:rsid w:val="00AB0ADB"/>
    <w:rsid w:val="00AB30D4"/>
    <w:rsid w:val="00AC13D6"/>
    <w:rsid w:val="00AC466D"/>
    <w:rsid w:val="00AD6F80"/>
    <w:rsid w:val="00AF1D25"/>
    <w:rsid w:val="00AF5B25"/>
    <w:rsid w:val="00AF7544"/>
    <w:rsid w:val="00B00C0E"/>
    <w:rsid w:val="00B01B1A"/>
    <w:rsid w:val="00B02418"/>
    <w:rsid w:val="00B024CD"/>
    <w:rsid w:val="00B0381D"/>
    <w:rsid w:val="00B0404B"/>
    <w:rsid w:val="00B04D3B"/>
    <w:rsid w:val="00B162DD"/>
    <w:rsid w:val="00B16B28"/>
    <w:rsid w:val="00B22BE8"/>
    <w:rsid w:val="00B443A2"/>
    <w:rsid w:val="00B44A47"/>
    <w:rsid w:val="00B4752F"/>
    <w:rsid w:val="00B53C1C"/>
    <w:rsid w:val="00B5706D"/>
    <w:rsid w:val="00B6113F"/>
    <w:rsid w:val="00B72CD3"/>
    <w:rsid w:val="00B72FFF"/>
    <w:rsid w:val="00B75E25"/>
    <w:rsid w:val="00B9043C"/>
    <w:rsid w:val="00B94F8F"/>
    <w:rsid w:val="00BA1EA8"/>
    <w:rsid w:val="00BA3D9C"/>
    <w:rsid w:val="00BB1DB6"/>
    <w:rsid w:val="00BC3D36"/>
    <w:rsid w:val="00BC5CA2"/>
    <w:rsid w:val="00BC7C68"/>
    <w:rsid w:val="00BD4175"/>
    <w:rsid w:val="00BD4742"/>
    <w:rsid w:val="00BD54A6"/>
    <w:rsid w:val="00BD7F72"/>
    <w:rsid w:val="00BE1819"/>
    <w:rsid w:val="00BE228B"/>
    <w:rsid w:val="00BE732E"/>
    <w:rsid w:val="00BF7425"/>
    <w:rsid w:val="00C00F79"/>
    <w:rsid w:val="00C01610"/>
    <w:rsid w:val="00C03F30"/>
    <w:rsid w:val="00C04FB3"/>
    <w:rsid w:val="00C11D8B"/>
    <w:rsid w:val="00C15139"/>
    <w:rsid w:val="00C17086"/>
    <w:rsid w:val="00C330EB"/>
    <w:rsid w:val="00C34A82"/>
    <w:rsid w:val="00C47291"/>
    <w:rsid w:val="00C50D69"/>
    <w:rsid w:val="00C5146A"/>
    <w:rsid w:val="00C5365C"/>
    <w:rsid w:val="00C53B15"/>
    <w:rsid w:val="00C622DE"/>
    <w:rsid w:val="00C62EF1"/>
    <w:rsid w:val="00C63846"/>
    <w:rsid w:val="00C654FA"/>
    <w:rsid w:val="00C71DE4"/>
    <w:rsid w:val="00C754BE"/>
    <w:rsid w:val="00C75BA3"/>
    <w:rsid w:val="00C76B1C"/>
    <w:rsid w:val="00C76B5F"/>
    <w:rsid w:val="00C820EF"/>
    <w:rsid w:val="00C824BD"/>
    <w:rsid w:val="00C831EC"/>
    <w:rsid w:val="00C91D70"/>
    <w:rsid w:val="00C925AC"/>
    <w:rsid w:val="00C938CE"/>
    <w:rsid w:val="00C93DAC"/>
    <w:rsid w:val="00C95F94"/>
    <w:rsid w:val="00CA0621"/>
    <w:rsid w:val="00CA2E8A"/>
    <w:rsid w:val="00CB0A50"/>
    <w:rsid w:val="00CB44F3"/>
    <w:rsid w:val="00CB6357"/>
    <w:rsid w:val="00CC1B26"/>
    <w:rsid w:val="00CC29BA"/>
    <w:rsid w:val="00CE2A60"/>
    <w:rsid w:val="00CF0591"/>
    <w:rsid w:val="00CF24C0"/>
    <w:rsid w:val="00D027C3"/>
    <w:rsid w:val="00D0376A"/>
    <w:rsid w:val="00D05F46"/>
    <w:rsid w:val="00D078C9"/>
    <w:rsid w:val="00D109FE"/>
    <w:rsid w:val="00D11C80"/>
    <w:rsid w:val="00D22B7C"/>
    <w:rsid w:val="00D24AA6"/>
    <w:rsid w:val="00D27B04"/>
    <w:rsid w:val="00D31DC0"/>
    <w:rsid w:val="00D33696"/>
    <w:rsid w:val="00D35983"/>
    <w:rsid w:val="00D361FD"/>
    <w:rsid w:val="00D37660"/>
    <w:rsid w:val="00D37910"/>
    <w:rsid w:val="00D423A2"/>
    <w:rsid w:val="00D44E26"/>
    <w:rsid w:val="00D520D8"/>
    <w:rsid w:val="00D63AC2"/>
    <w:rsid w:val="00D7383B"/>
    <w:rsid w:val="00D7788A"/>
    <w:rsid w:val="00D851ED"/>
    <w:rsid w:val="00D9033C"/>
    <w:rsid w:val="00DA1940"/>
    <w:rsid w:val="00DA231B"/>
    <w:rsid w:val="00DA71B3"/>
    <w:rsid w:val="00DB5E51"/>
    <w:rsid w:val="00DC051E"/>
    <w:rsid w:val="00DC39FC"/>
    <w:rsid w:val="00DC7D55"/>
    <w:rsid w:val="00DD24B2"/>
    <w:rsid w:val="00DE6C8E"/>
    <w:rsid w:val="00DF021B"/>
    <w:rsid w:val="00DF1C4B"/>
    <w:rsid w:val="00DF32B2"/>
    <w:rsid w:val="00DF3D9A"/>
    <w:rsid w:val="00DF3FAF"/>
    <w:rsid w:val="00DF5254"/>
    <w:rsid w:val="00E00882"/>
    <w:rsid w:val="00E02524"/>
    <w:rsid w:val="00E16408"/>
    <w:rsid w:val="00E20894"/>
    <w:rsid w:val="00E245AB"/>
    <w:rsid w:val="00E25712"/>
    <w:rsid w:val="00E26E9D"/>
    <w:rsid w:val="00E2764C"/>
    <w:rsid w:val="00E27F2E"/>
    <w:rsid w:val="00E36715"/>
    <w:rsid w:val="00E425E8"/>
    <w:rsid w:val="00E50AFE"/>
    <w:rsid w:val="00E53EA1"/>
    <w:rsid w:val="00E53FCC"/>
    <w:rsid w:val="00E54F30"/>
    <w:rsid w:val="00E55CFA"/>
    <w:rsid w:val="00E65677"/>
    <w:rsid w:val="00E727F0"/>
    <w:rsid w:val="00E75A58"/>
    <w:rsid w:val="00E75C92"/>
    <w:rsid w:val="00E771DC"/>
    <w:rsid w:val="00E84734"/>
    <w:rsid w:val="00E85CA7"/>
    <w:rsid w:val="00E8772A"/>
    <w:rsid w:val="00E90F6B"/>
    <w:rsid w:val="00E910FB"/>
    <w:rsid w:val="00E92C27"/>
    <w:rsid w:val="00E92DD0"/>
    <w:rsid w:val="00EA02F5"/>
    <w:rsid w:val="00EA06E6"/>
    <w:rsid w:val="00EA0E3D"/>
    <w:rsid w:val="00EA16FC"/>
    <w:rsid w:val="00EA31C7"/>
    <w:rsid w:val="00EA44A1"/>
    <w:rsid w:val="00EA5D59"/>
    <w:rsid w:val="00EB7308"/>
    <w:rsid w:val="00EC38A7"/>
    <w:rsid w:val="00EC7C37"/>
    <w:rsid w:val="00EE1AA8"/>
    <w:rsid w:val="00EE7A5D"/>
    <w:rsid w:val="00EF41C4"/>
    <w:rsid w:val="00F14CCF"/>
    <w:rsid w:val="00F23FEA"/>
    <w:rsid w:val="00F31EDC"/>
    <w:rsid w:val="00F32723"/>
    <w:rsid w:val="00F33CF5"/>
    <w:rsid w:val="00F41C3E"/>
    <w:rsid w:val="00F462B3"/>
    <w:rsid w:val="00F47458"/>
    <w:rsid w:val="00F5119A"/>
    <w:rsid w:val="00F51D39"/>
    <w:rsid w:val="00F52E27"/>
    <w:rsid w:val="00F5664F"/>
    <w:rsid w:val="00F579DF"/>
    <w:rsid w:val="00F666C4"/>
    <w:rsid w:val="00F76AC9"/>
    <w:rsid w:val="00F76AFC"/>
    <w:rsid w:val="00F805C5"/>
    <w:rsid w:val="00F82724"/>
    <w:rsid w:val="00F955C6"/>
    <w:rsid w:val="00FA47C0"/>
    <w:rsid w:val="00FA5003"/>
    <w:rsid w:val="00FB16EC"/>
    <w:rsid w:val="00FB3899"/>
    <w:rsid w:val="00FB5DD1"/>
    <w:rsid w:val="00FB7920"/>
    <w:rsid w:val="00FC2B5D"/>
    <w:rsid w:val="00FD1ACE"/>
    <w:rsid w:val="00FD4A49"/>
    <w:rsid w:val="00FE26DE"/>
    <w:rsid w:val="00FF1449"/>
    <w:rsid w:val="00FF2610"/>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03CD496-8D74-491F-B9C0-152AFA3D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47291"/>
    <w:pPr>
      <w:spacing w:line="240" w:lineRule="exact"/>
    </w:pPr>
    <w:rPr>
      <w:vertAlign w:val="superscript"/>
    </w:rPr>
  </w:style>
  <w:style w:type="character" w:customStyle="1" w:styleId="baj">
    <w:name w:val="b_aj"/>
    <w:basedOn w:val="Fuentedeprrafopredeter"/>
    <w:rsid w:val="00C47291"/>
  </w:style>
  <w:style w:type="character" w:customStyle="1" w:styleId="NormalWebCar">
    <w:name w:val="Normal (Web) Car"/>
    <w:link w:val="NormalWeb"/>
    <w:uiPriority w:val="99"/>
    <w:locked/>
    <w:rsid w:val="00C47291"/>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D55CB"/>
    <w:rPr>
      <w:sz w:val="16"/>
      <w:szCs w:val="16"/>
    </w:rPr>
  </w:style>
  <w:style w:type="paragraph" w:styleId="Textocomentario">
    <w:name w:val="annotation text"/>
    <w:basedOn w:val="Normal"/>
    <w:link w:val="TextocomentarioCar"/>
    <w:uiPriority w:val="99"/>
    <w:unhideWhenUsed/>
    <w:rsid w:val="008D55CB"/>
    <w:pPr>
      <w:spacing w:line="240" w:lineRule="auto"/>
    </w:pPr>
    <w:rPr>
      <w:sz w:val="20"/>
      <w:szCs w:val="20"/>
    </w:rPr>
  </w:style>
  <w:style w:type="character" w:customStyle="1" w:styleId="TextocomentarioCar">
    <w:name w:val="Texto comentario Car"/>
    <w:basedOn w:val="Fuentedeprrafopredeter"/>
    <w:link w:val="Textocomentario"/>
    <w:uiPriority w:val="99"/>
    <w:rsid w:val="008D55CB"/>
    <w:rPr>
      <w:sz w:val="20"/>
      <w:szCs w:val="20"/>
    </w:rPr>
  </w:style>
  <w:style w:type="paragraph" w:styleId="Asuntodelcomentario">
    <w:name w:val="annotation subject"/>
    <w:basedOn w:val="Textocomentario"/>
    <w:next w:val="Textocomentario"/>
    <w:link w:val="AsuntodelcomentarioCar"/>
    <w:uiPriority w:val="99"/>
    <w:semiHidden/>
    <w:unhideWhenUsed/>
    <w:rsid w:val="008D55CB"/>
    <w:rPr>
      <w:b/>
      <w:bCs/>
    </w:rPr>
  </w:style>
  <w:style w:type="character" w:customStyle="1" w:styleId="AsuntodelcomentarioCar">
    <w:name w:val="Asunto del comentario Car"/>
    <w:basedOn w:val="TextocomentarioCar"/>
    <w:link w:val="Asuntodelcomentario"/>
    <w:uiPriority w:val="99"/>
    <w:semiHidden/>
    <w:rsid w:val="008D5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9241">
      <w:bodyDiv w:val="1"/>
      <w:marLeft w:val="0"/>
      <w:marRight w:val="0"/>
      <w:marTop w:val="0"/>
      <w:marBottom w:val="0"/>
      <w:divBdr>
        <w:top w:val="none" w:sz="0" w:space="0" w:color="auto"/>
        <w:left w:val="none" w:sz="0" w:space="0" w:color="auto"/>
        <w:bottom w:val="none" w:sz="0" w:space="0" w:color="auto"/>
        <w:right w:val="none" w:sz="0" w:space="0" w:color="auto"/>
      </w:divBdr>
    </w:div>
    <w:div w:id="63797035">
      <w:bodyDiv w:val="1"/>
      <w:marLeft w:val="0"/>
      <w:marRight w:val="0"/>
      <w:marTop w:val="0"/>
      <w:marBottom w:val="0"/>
      <w:divBdr>
        <w:top w:val="none" w:sz="0" w:space="0" w:color="auto"/>
        <w:left w:val="none" w:sz="0" w:space="0" w:color="auto"/>
        <w:bottom w:val="none" w:sz="0" w:space="0" w:color="auto"/>
        <w:right w:val="none" w:sz="0" w:space="0" w:color="auto"/>
      </w:divBdr>
    </w:div>
    <w:div w:id="124738522">
      <w:bodyDiv w:val="1"/>
      <w:marLeft w:val="0"/>
      <w:marRight w:val="0"/>
      <w:marTop w:val="0"/>
      <w:marBottom w:val="0"/>
      <w:divBdr>
        <w:top w:val="none" w:sz="0" w:space="0" w:color="auto"/>
        <w:left w:val="none" w:sz="0" w:space="0" w:color="auto"/>
        <w:bottom w:val="none" w:sz="0" w:space="0" w:color="auto"/>
        <w:right w:val="none" w:sz="0" w:space="0" w:color="auto"/>
      </w:divBdr>
    </w:div>
    <w:div w:id="156120696">
      <w:bodyDiv w:val="1"/>
      <w:marLeft w:val="0"/>
      <w:marRight w:val="0"/>
      <w:marTop w:val="0"/>
      <w:marBottom w:val="0"/>
      <w:divBdr>
        <w:top w:val="none" w:sz="0" w:space="0" w:color="auto"/>
        <w:left w:val="none" w:sz="0" w:space="0" w:color="auto"/>
        <w:bottom w:val="none" w:sz="0" w:space="0" w:color="auto"/>
        <w:right w:val="none" w:sz="0" w:space="0" w:color="auto"/>
      </w:divBdr>
    </w:div>
    <w:div w:id="208539241">
      <w:bodyDiv w:val="1"/>
      <w:marLeft w:val="0"/>
      <w:marRight w:val="0"/>
      <w:marTop w:val="0"/>
      <w:marBottom w:val="0"/>
      <w:divBdr>
        <w:top w:val="none" w:sz="0" w:space="0" w:color="auto"/>
        <w:left w:val="none" w:sz="0" w:space="0" w:color="auto"/>
        <w:bottom w:val="none" w:sz="0" w:space="0" w:color="auto"/>
        <w:right w:val="none" w:sz="0" w:space="0" w:color="auto"/>
      </w:divBdr>
    </w:div>
    <w:div w:id="271012095">
      <w:bodyDiv w:val="1"/>
      <w:marLeft w:val="0"/>
      <w:marRight w:val="0"/>
      <w:marTop w:val="0"/>
      <w:marBottom w:val="0"/>
      <w:divBdr>
        <w:top w:val="none" w:sz="0" w:space="0" w:color="auto"/>
        <w:left w:val="none" w:sz="0" w:space="0" w:color="auto"/>
        <w:bottom w:val="none" w:sz="0" w:space="0" w:color="auto"/>
        <w:right w:val="none" w:sz="0" w:space="0" w:color="auto"/>
      </w:divBdr>
    </w:div>
    <w:div w:id="309529247">
      <w:bodyDiv w:val="1"/>
      <w:marLeft w:val="0"/>
      <w:marRight w:val="0"/>
      <w:marTop w:val="0"/>
      <w:marBottom w:val="0"/>
      <w:divBdr>
        <w:top w:val="none" w:sz="0" w:space="0" w:color="auto"/>
        <w:left w:val="none" w:sz="0" w:space="0" w:color="auto"/>
        <w:bottom w:val="none" w:sz="0" w:space="0" w:color="auto"/>
        <w:right w:val="none" w:sz="0" w:space="0" w:color="auto"/>
      </w:divBdr>
    </w:div>
    <w:div w:id="325669828">
      <w:bodyDiv w:val="1"/>
      <w:marLeft w:val="0"/>
      <w:marRight w:val="0"/>
      <w:marTop w:val="0"/>
      <w:marBottom w:val="0"/>
      <w:divBdr>
        <w:top w:val="none" w:sz="0" w:space="0" w:color="auto"/>
        <w:left w:val="none" w:sz="0" w:space="0" w:color="auto"/>
        <w:bottom w:val="none" w:sz="0" w:space="0" w:color="auto"/>
        <w:right w:val="none" w:sz="0" w:space="0" w:color="auto"/>
      </w:divBdr>
    </w:div>
    <w:div w:id="392658240">
      <w:bodyDiv w:val="1"/>
      <w:marLeft w:val="0"/>
      <w:marRight w:val="0"/>
      <w:marTop w:val="0"/>
      <w:marBottom w:val="0"/>
      <w:divBdr>
        <w:top w:val="none" w:sz="0" w:space="0" w:color="auto"/>
        <w:left w:val="none" w:sz="0" w:space="0" w:color="auto"/>
        <w:bottom w:val="none" w:sz="0" w:space="0" w:color="auto"/>
        <w:right w:val="none" w:sz="0" w:space="0" w:color="auto"/>
      </w:divBdr>
    </w:div>
    <w:div w:id="495611751">
      <w:bodyDiv w:val="1"/>
      <w:marLeft w:val="0"/>
      <w:marRight w:val="0"/>
      <w:marTop w:val="0"/>
      <w:marBottom w:val="0"/>
      <w:divBdr>
        <w:top w:val="none" w:sz="0" w:space="0" w:color="auto"/>
        <w:left w:val="none" w:sz="0" w:space="0" w:color="auto"/>
        <w:bottom w:val="none" w:sz="0" w:space="0" w:color="auto"/>
        <w:right w:val="none" w:sz="0" w:space="0" w:color="auto"/>
      </w:divBdr>
    </w:div>
    <w:div w:id="6110165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19152002">
      <w:bodyDiv w:val="1"/>
      <w:marLeft w:val="0"/>
      <w:marRight w:val="0"/>
      <w:marTop w:val="0"/>
      <w:marBottom w:val="0"/>
      <w:divBdr>
        <w:top w:val="none" w:sz="0" w:space="0" w:color="auto"/>
        <w:left w:val="none" w:sz="0" w:space="0" w:color="auto"/>
        <w:bottom w:val="none" w:sz="0" w:space="0" w:color="auto"/>
        <w:right w:val="none" w:sz="0" w:space="0" w:color="auto"/>
      </w:divBdr>
    </w:div>
    <w:div w:id="105489399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1960701">
      <w:bodyDiv w:val="1"/>
      <w:marLeft w:val="0"/>
      <w:marRight w:val="0"/>
      <w:marTop w:val="0"/>
      <w:marBottom w:val="0"/>
      <w:divBdr>
        <w:top w:val="none" w:sz="0" w:space="0" w:color="auto"/>
        <w:left w:val="none" w:sz="0" w:space="0" w:color="auto"/>
        <w:bottom w:val="none" w:sz="0" w:space="0" w:color="auto"/>
        <w:right w:val="none" w:sz="0" w:space="0" w:color="auto"/>
      </w:divBdr>
    </w:div>
    <w:div w:id="125200626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1055532">
      <w:bodyDiv w:val="1"/>
      <w:marLeft w:val="0"/>
      <w:marRight w:val="0"/>
      <w:marTop w:val="0"/>
      <w:marBottom w:val="0"/>
      <w:divBdr>
        <w:top w:val="none" w:sz="0" w:space="0" w:color="auto"/>
        <w:left w:val="none" w:sz="0" w:space="0" w:color="auto"/>
        <w:bottom w:val="none" w:sz="0" w:space="0" w:color="auto"/>
        <w:right w:val="none" w:sz="0" w:space="0" w:color="auto"/>
      </w:divBdr>
    </w:div>
    <w:div w:id="1414081077">
      <w:bodyDiv w:val="1"/>
      <w:marLeft w:val="0"/>
      <w:marRight w:val="0"/>
      <w:marTop w:val="0"/>
      <w:marBottom w:val="0"/>
      <w:divBdr>
        <w:top w:val="none" w:sz="0" w:space="0" w:color="auto"/>
        <w:left w:val="none" w:sz="0" w:space="0" w:color="auto"/>
        <w:bottom w:val="none" w:sz="0" w:space="0" w:color="auto"/>
        <w:right w:val="none" w:sz="0" w:space="0" w:color="auto"/>
      </w:divBdr>
    </w:div>
    <w:div w:id="1620992496">
      <w:bodyDiv w:val="1"/>
      <w:marLeft w:val="0"/>
      <w:marRight w:val="0"/>
      <w:marTop w:val="0"/>
      <w:marBottom w:val="0"/>
      <w:divBdr>
        <w:top w:val="none" w:sz="0" w:space="0" w:color="auto"/>
        <w:left w:val="none" w:sz="0" w:space="0" w:color="auto"/>
        <w:bottom w:val="none" w:sz="0" w:space="0" w:color="auto"/>
        <w:right w:val="none" w:sz="0" w:space="0" w:color="auto"/>
      </w:divBdr>
    </w:div>
    <w:div w:id="1667980077">
      <w:bodyDiv w:val="1"/>
      <w:marLeft w:val="0"/>
      <w:marRight w:val="0"/>
      <w:marTop w:val="0"/>
      <w:marBottom w:val="0"/>
      <w:divBdr>
        <w:top w:val="none" w:sz="0" w:space="0" w:color="auto"/>
        <w:left w:val="none" w:sz="0" w:space="0" w:color="auto"/>
        <w:bottom w:val="none" w:sz="0" w:space="0" w:color="auto"/>
        <w:right w:val="none" w:sz="0" w:space="0" w:color="auto"/>
      </w:divBdr>
    </w:div>
    <w:div w:id="1701468496">
      <w:bodyDiv w:val="1"/>
      <w:marLeft w:val="0"/>
      <w:marRight w:val="0"/>
      <w:marTop w:val="0"/>
      <w:marBottom w:val="0"/>
      <w:divBdr>
        <w:top w:val="none" w:sz="0" w:space="0" w:color="auto"/>
        <w:left w:val="none" w:sz="0" w:space="0" w:color="auto"/>
        <w:bottom w:val="none" w:sz="0" w:space="0" w:color="auto"/>
        <w:right w:val="none" w:sz="0" w:space="0" w:color="auto"/>
      </w:divBdr>
    </w:div>
    <w:div w:id="1755012375">
      <w:bodyDiv w:val="1"/>
      <w:marLeft w:val="0"/>
      <w:marRight w:val="0"/>
      <w:marTop w:val="0"/>
      <w:marBottom w:val="0"/>
      <w:divBdr>
        <w:top w:val="none" w:sz="0" w:space="0" w:color="auto"/>
        <w:left w:val="none" w:sz="0" w:space="0" w:color="auto"/>
        <w:bottom w:val="none" w:sz="0" w:space="0" w:color="auto"/>
        <w:right w:val="none" w:sz="0" w:space="0" w:color="auto"/>
      </w:divBdr>
    </w:div>
    <w:div w:id="17968300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DB8A3B-31BC-41B2-A240-320703FDCCFB}">
  <ds:schemaRefs>
    <ds:schemaRef ds:uri="http://schemas.openxmlformats.org/officeDocument/2006/bibliography"/>
  </ds:schemaRefs>
</ds:datastoreItem>
</file>

<file path=customXml/itemProps2.xml><?xml version="1.0" encoding="utf-8"?>
<ds:datastoreItem xmlns:ds="http://schemas.openxmlformats.org/officeDocument/2006/customXml" ds:itemID="{9DE11C2E-CE90-4203-BFA1-081DE09F8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37</Pages>
  <Words>13317</Words>
  <Characters>73246</Characters>
  <Application>Microsoft Office Word</Application>
  <DocSecurity>0</DocSecurity>
  <Lines>610</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2026-05-18T23:31:00Z</dcterms:created>
  <dcterms:modified xsi:type="dcterms:W3CDTF">2026-05-22T00:25:00Z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