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4266B" w14:textId="77777777" w:rsidR="001D76D7" w:rsidRDefault="001D76D7" w:rsidP="00B02BF0">
      <w:pPr>
        <w:spacing w:after="0" w:line="240" w:lineRule="auto"/>
        <w:contextualSpacing/>
        <w:jc w:val="both"/>
        <w:rPr>
          <w:rFonts w:ascii="Verdana" w:eastAsia="Calibri" w:hAnsi="Verdana" w:cs="Arial"/>
          <w:b/>
          <w:bCs/>
          <w:lang w:val="es-ES" w:eastAsia="es-ES"/>
        </w:rPr>
      </w:pPr>
      <w:bookmarkStart w:id="0" w:name="_Hlk143780582"/>
      <w:r w:rsidRPr="001D76D7">
        <w:rPr>
          <w:rFonts w:ascii="Verdana" w:eastAsia="Calibri" w:hAnsi="Verdana" w:cs="Arial"/>
          <w:b/>
          <w:bCs/>
          <w:lang w:val="es-ES" w:eastAsia="es-ES"/>
        </w:rPr>
        <w:t>REQUISITOS HABILITANTES – Noción</w:t>
      </w:r>
    </w:p>
    <w:p w14:paraId="11D77497" w14:textId="77777777" w:rsidR="001D76D7" w:rsidRDefault="001D76D7" w:rsidP="00B02BF0">
      <w:pPr>
        <w:spacing w:after="0" w:line="240" w:lineRule="auto"/>
        <w:contextualSpacing/>
        <w:jc w:val="both"/>
        <w:rPr>
          <w:rFonts w:ascii="Verdana" w:eastAsia="Calibri" w:hAnsi="Verdana" w:cs="Arial"/>
          <w:b/>
          <w:bCs/>
          <w:lang w:val="es-ES" w:eastAsia="es-ES"/>
        </w:rPr>
      </w:pPr>
    </w:p>
    <w:p w14:paraId="4AE4339E" w14:textId="77777777" w:rsidR="001D76D7" w:rsidRPr="00B02BF0" w:rsidRDefault="001D76D7" w:rsidP="00B02BF0">
      <w:pPr>
        <w:spacing w:after="0" w:line="240" w:lineRule="auto"/>
        <w:jc w:val="both"/>
        <w:rPr>
          <w:rFonts w:ascii="Verdana" w:eastAsia="Calibri" w:hAnsi="Verdana" w:cs="Arial"/>
          <w:color w:val="000000" w:themeColor="text1"/>
          <w:sz w:val="21"/>
          <w:szCs w:val="21"/>
          <w:lang w:val="es-ES"/>
        </w:rPr>
      </w:pPr>
      <w:r w:rsidRPr="00B02BF0">
        <w:rPr>
          <w:rFonts w:ascii="Verdana" w:eastAsia="Calibri" w:hAnsi="Verdana" w:cs="Arial"/>
          <w:color w:val="000000" w:themeColor="text1"/>
          <w:sz w:val="21"/>
          <w:szCs w:val="21"/>
          <w:lang w:val="es-ES"/>
        </w:rPr>
        <w:t xml:space="preserve">Los </w:t>
      </w:r>
      <w:r w:rsidRPr="00B02BF0">
        <w:rPr>
          <w:rFonts w:ascii="Verdana" w:eastAsia="Calibri" w:hAnsi="Verdana" w:cs="Arial"/>
          <w:i/>
          <w:iCs/>
          <w:color w:val="000000" w:themeColor="text1"/>
          <w:sz w:val="21"/>
          <w:szCs w:val="21"/>
          <w:lang w:val="es-ES"/>
        </w:rPr>
        <w:t>requisitos habilitantes</w:t>
      </w:r>
      <w:r w:rsidRPr="00B02BF0">
        <w:rPr>
          <w:rFonts w:ascii="Verdana" w:eastAsia="Calibri" w:hAnsi="Verdana" w:cs="Arial"/>
          <w:color w:val="000000" w:themeColor="text1"/>
          <w:sz w:val="21"/>
          <w:szCs w:val="21"/>
          <w:lang w:val="es-ES"/>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B02BF0">
        <w:rPr>
          <w:rFonts w:ascii="Verdana" w:eastAsia="Calibri" w:hAnsi="Verdana" w:cs="Arial"/>
          <w:i/>
          <w:iCs/>
          <w:color w:val="000000" w:themeColor="text1"/>
          <w:sz w:val="21"/>
          <w:szCs w:val="21"/>
          <w:lang w:val="es-ES"/>
        </w:rPr>
        <w:t>criterios de evaluación</w:t>
      </w:r>
      <w:r w:rsidRPr="00B02BF0">
        <w:rPr>
          <w:rFonts w:ascii="Verdana" w:eastAsia="Calibri" w:hAnsi="Verdana" w:cs="Arial"/>
          <w:color w:val="000000" w:themeColor="text1"/>
          <w:sz w:val="21"/>
          <w:szCs w:val="21"/>
          <w:lang w:val="es-ES"/>
        </w:rPr>
        <w:t xml:space="preserve"> –también conocidos como </w:t>
      </w:r>
      <w:r w:rsidRPr="00B02BF0">
        <w:rPr>
          <w:rFonts w:ascii="Verdana" w:eastAsia="Calibri" w:hAnsi="Verdana" w:cs="Arial"/>
          <w:i/>
          <w:iCs/>
          <w:color w:val="000000" w:themeColor="text1"/>
          <w:sz w:val="21"/>
          <w:szCs w:val="21"/>
          <w:lang w:val="es-ES"/>
        </w:rPr>
        <w:t>criterios de calificación</w:t>
      </w:r>
      <w:r w:rsidRPr="00B02BF0">
        <w:rPr>
          <w:rFonts w:ascii="Verdana" w:eastAsia="Calibri" w:hAnsi="Verdana" w:cs="Arial"/>
          <w:color w:val="000000" w:themeColor="text1"/>
          <w:sz w:val="21"/>
          <w:szCs w:val="21"/>
          <w:lang w:val="es-ES"/>
        </w:rPr>
        <w:t xml:space="preserve">– en que estos son los factores que la Entidad Estatal define para la asignación de puntaje en la comparación de las ofertas y cuya ponderación permite establecer el orden de elegibilidad y, por ende, la propuesta ganadora. </w:t>
      </w:r>
    </w:p>
    <w:p w14:paraId="2F9D2431" w14:textId="77777777" w:rsidR="001D76D7" w:rsidRPr="00B02BF0" w:rsidRDefault="001D76D7" w:rsidP="00B02BF0">
      <w:pPr>
        <w:spacing w:after="0" w:line="240" w:lineRule="auto"/>
        <w:jc w:val="both"/>
        <w:rPr>
          <w:rFonts w:ascii="Verdana" w:eastAsia="Calibri" w:hAnsi="Verdana" w:cs="Arial"/>
          <w:color w:val="000000" w:themeColor="text1"/>
          <w:sz w:val="21"/>
          <w:szCs w:val="21"/>
          <w:lang w:val="es-ES"/>
        </w:rPr>
      </w:pPr>
      <w:r w:rsidRPr="00B02BF0">
        <w:rPr>
          <w:rFonts w:ascii="Verdana" w:eastAsia="Calibri" w:hAnsi="Verdana" w:cs="Arial"/>
          <w:color w:val="000000" w:themeColor="text1"/>
          <w:sz w:val="21"/>
          <w:szCs w:val="21"/>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565D0DB8" w14:textId="77777777" w:rsidR="001D76D7" w:rsidRPr="001D76D7" w:rsidRDefault="001D76D7" w:rsidP="00B02BF0">
      <w:pPr>
        <w:spacing w:after="0" w:line="240" w:lineRule="auto"/>
        <w:contextualSpacing/>
        <w:jc w:val="both"/>
        <w:rPr>
          <w:rFonts w:ascii="Verdana" w:eastAsia="Calibri" w:hAnsi="Verdana" w:cs="Arial"/>
          <w:b/>
          <w:bCs/>
          <w:lang w:val="es-ES" w:eastAsia="es-ES"/>
        </w:rPr>
      </w:pPr>
    </w:p>
    <w:p w14:paraId="0E65C0D4" w14:textId="77777777" w:rsidR="001D76D7" w:rsidRDefault="001D76D7" w:rsidP="00B02BF0">
      <w:pPr>
        <w:spacing w:after="0" w:line="240" w:lineRule="auto"/>
        <w:contextualSpacing/>
        <w:jc w:val="both"/>
        <w:rPr>
          <w:rFonts w:ascii="Verdana" w:eastAsia="Calibri" w:hAnsi="Verdana" w:cs="Arial"/>
          <w:b/>
          <w:bCs/>
          <w:lang w:val="es-ES" w:eastAsia="es-ES"/>
        </w:rPr>
      </w:pPr>
      <w:r w:rsidRPr="001D76D7">
        <w:rPr>
          <w:rFonts w:ascii="Verdana" w:eastAsia="Calibri" w:hAnsi="Verdana" w:cs="Arial"/>
          <w:b/>
          <w:bCs/>
          <w:lang w:val="es-ES" w:eastAsia="es-ES"/>
        </w:rPr>
        <w:t>REQUISITOS HABILITANTES – Carácter enunciativo</w:t>
      </w:r>
    </w:p>
    <w:p w14:paraId="55FCF633" w14:textId="77777777" w:rsidR="001D76D7" w:rsidRDefault="001D76D7" w:rsidP="00B02BF0">
      <w:pPr>
        <w:spacing w:after="0" w:line="240" w:lineRule="auto"/>
        <w:contextualSpacing/>
        <w:jc w:val="both"/>
        <w:rPr>
          <w:rFonts w:ascii="Verdana" w:eastAsia="Calibri" w:hAnsi="Verdana" w:cs="Arial"/>
          <w:b/>
          <w:bCs/>
          <w:lang w:val="es-ES" w:eastAsia="es-ES"/>
        </w:rPr>
      </w:pPr>
    </w:p>
    <w:p w14:paraId="4FB78310" w14:textId="05A815E2" w:rsidR="001D76D7" w:rsidRPr="00B02BF0" w:rsidRDefault="001D76D7" w:rsidP="00B02BF0">
      <w:pPr>
        <w:spacing w:after="0" w:line="240" w:lineRule="auto"/>
        <w:contextualSpacing/>
        <w:jc w:val="both"/>
        <w:rPr>
          <w:rFonts w:ascii="Verdana" w:eastAsia="Calibri" w:hAnsi="Verdana" w:cs="Arial"/>
          <w:color w:val="000000" w:themeColor="text1"/>
          <w:sz w:val="21"/>
          <w:szCs w:val="21"/>
          <w:lang w:val="es-ES"/>
        </w:rPr>
      </w:pPr>
      <w:r w:rsidRPr="00B02BF0">
        <w:rPr>
          <w:rFonts w:ascii="Verdana" w:eastAsia="Calibri" w:hAnsi="Verdana" w:cs="Arial"/>
          <w:color w:val="000000" w:themeColor="text1"/>
          <w:sz w:val="21"/>
          <w:szCs w:val="21"/>
          <w:lang w:val="es-ES"/>
        </w:rPr>
        <w:t xml:space="preserve">Conforme lo ha sostenido esta Agencia en distintos conceptos, los requisitos habilitantes establecidos en el artículo 5, numeral 1, de la Ley 1150 de 2007 son de carácter </w:t>
      </w:r>
      <w:r w:rsidRPr="00B02BF0">
        <w:rPr>
          <w:rFonts w:ascii="Verdana" w:eastAsia="Calibri" w:hAnsi="Verdana" w:cs="Arial"/>
          <w:i/>
          <w:iCs/>
          <w:color w:val="000000" w:themeColor="text1"/>
          <w:sz w:val="21"/>
          <w:szCs w:val="21"/>
          <w:lang w:val="es-ES"/>
        </w:rPr>
        <w:t xml:space="preserve">enunciativo </w:t>
      </w:r>
      <w:r w:rsidRPr="00B02BF0">
        <w:rPr>
          <w:rFonts w:ascii="Verdana" w:eastAsia="Calibri" w:hAnsi="Verdana" w:cs="Arial"/>
          <w:color w:val="000000" w:themeColor="text1"/>
          <w:sz w:val="21"/>
          <w:szCs w:val="21"/>
          <w:lang w:val="es-ES"/>
        </w:rPr>
        <w:t>y no taxativo. Esta interpretación legal se resume en los siguientes argumentos: por un lado, esta norma no contiene una expresión como “únicamente” o “solo” al referirse a los requisitos habilitantes, sino que se refiere de forma taxativa a que el listado puede comprender los requisitos enunciados “entre otros”; por otra parte, una lectura integral de las normas que regulan la contratación estatal permite concluir que existen otras condiciones que los proponentes deben cumplir para la contratación con una Entidad Estatal, como es el caso de la capacidad residual a la que se refiere el artículo 6º de la Ley 1150 de 2007</w:t>
      </w:r>
      <w:r w:rsidRPr="00B02BF0">
        <w:rPr>
          <w:rFonts w:ascii="Verdana" w:eastAsia="Calibri" w:hAnsi="Verdana" w:cs="Arial"/>
          <w:color w:val="000000" w:themeColor="text1"/>
          <w:sz w:val="21"/>
          <w:szCs w:val="21"/>
          <w:lang w:val="es-ES"/>
        </w:rPr>
        <w:t>.</w:t>
      </w:r>
    </w:p>
    <w:p w14:paraId="183287C2" w14:textId="77777777" w:rsidR="001D76D7" w:rsidRPr="001D76D7" w:rsidRDefault="001D76D7" w:rsidP="00B02BF0">
      <w:pPr>
        <w:spacing w:after="0" w:line="240" w:lineRule="auto"/>
        <w:contextualSpacing/>
        <w:jc w:val="both"/>
        <w:rPr>
          <w:rFonts w:ascii="Verdana" w:eastAsia="Calibri" w:hAnsi="Verdana" w:cs="Arial"/>
          <w:b/>
          <w:bCs/>
          <w:lang w:val="es-ES" w:eastAsia="es-ES"/>
        </w:rPr>
      </w:pPr>
    </w:p>
    <w:p w14:paraId="634E90BD" w14:textId="77777777" w:rsidR="001D76D7" w:rsidRDefault="001D76D7" w:rsidP="00B02BF0">
      <w:pPr>
        <w:spacing w:after="0" w:line="240" w:lineRule="auto"/>
        <w:contextualSpacing/>
        <w:jc w:val="both"/>
        <w:rPr>
          <w:rFonts w:ascii="Verdana" w:eastAsia="Calibri" w:hAnsi="Verdana" w:cs="Arial"/>
          <w:b/>
          <w:bCs/>
          <w:lang w:val="es-ES" w:eastAsia="es-ES"/>
        </w:rPr>
      </w:pPr>
      <w:r w:rsidRPr="001D76D7">
        <w:rPr>
          <w:rFonts w:ascii="Verdana" w:eastAsia="Calibri" w:hAnsi="Verdana" w:cs="Arial"/>
          <w:b/>
          <w:bCs/>
          <w:lang w:val="es-ES" w:eastAsia="es-ES"/>
        </w:rPr>
        <w:t>REQUISITOS HABILITANTES – Autonomía de la voluntad de las entidades estatales para establecerlos</w:t>
      </w:r>
    </w:p>
    <w:p w14:paraId="2183319A" w14:textId="77777777" w:rsidR="001D76D7" w:rsidRDefault="001D76D7" w:rsidP="00B02BF0">
      <w:pPr>
        <w:spacing w:after="0" w:line="240" w:lineRule="auto"/>
        <w:contextualSpacing/>
        <w:jc w:val="both"/>
        <w:rPr>
          <w:rFonts w:ascii="Verdana" w:eastAsia="Calibri" w:hAnsi="Verdana" w:cs="Arial"/>
          <w:b/>
          <w:bCs/>
          <w:lang w:val="es-ES" w:eastAsia="es-ES"/>
        </w:rPr>
      </w:pPr>
    </w:p>
    <w:p w14:paraId="038C659D" w14:textId="5D610730" w:rsidR="001D76D7" w:rsidRPr="001D76D7" w:rsidRDefault="001D76D7" w:rsidP="00B02BF0">
      <w:pPr>
        <w:widowControl w:val="0"/>
        <w:autoSpaceDE w:val="0"/>
        <w:autoSpaceDN w:val="0"/>
        <w:spacing w:after="0" w:line="240" w:lineRule="auto"/>
        <w:jc w:val="both"/>
        <w:rPr>
          <w:rFonts w:ascii="Verdana" w:eastAsia="Calibri" w:hAnsi="Verdana" w:cs="Arial"/>
          <w:color w:val="000000" w:themeColor="text1"/>
          <w:lang w:val="es-ES"/>
        </w:rPr>
      </w:pPr>
      <w:r w:rsidRPr="00B02BF0">
        <w:rPr>
          <w:rFonts w:ascii="Verdana" w:eastAsia="Calibri" w:hAnsi="Verdana" w:cs="Arial"/>
          <w:color w:val="000000" w:themeColor="text1"/>
          <w:sz w:val="21"/>
          <w:szCs w:val="21"/>
          <w:lang w:val="es-ES"/>
        </w:rPr>
        <w:t xml:space="preserve">En consecuencia, corresponde a las entidades estatales, durante la etapa de planeación del contrato estatal, estudiar y determinar los requisitos habilitantes que establecerán en los pliegos de condiciones, los cuales deben fijarse de forma adecuada y proporcional. Según el artículo 2.2.1.1.1.6.2 del Decreto 1082 de 2015, las entidades deben hacer lo anterior de acuerdo con la naturaleza, el valor del contrato, la forma de pago, los riesgos asociados al contrato, el plazo y la complejidad de ejecución del objeto. De esta manera, la facultad de establecer los requisitos habilitantes no puede ejercerse de forma arbitraria, caprichosa, ni con el </w:t>
      </w:r>
      <w:r w:rsidRPr="00B02BF0">
        <w:rPr>
          <w:rFonts w:ascii="Verdana" w:eastAsia="Calibri" w:hAnsi="Verdana" w:cs="Arial"/>
          <w:color w:val="000000" w:themeColor="text1"/>
          <w:sz w:val="21"/>
          <w:szCs w:val="21"/>
          <w:lang w:val="es-ES"/>
        </w:rPr>
        <w:lastRenderedPageBreak/>
        <w:t>ánimo de direccionar el proceso de contratación o favorecer (directa o indirectamente) a alguno de los proponentes. Tampoco pueden ejercer esta facultad desconociendo límites legales, como, por ejemplo, el que estable el parágrafo 2 del artículo 5 de la Ley 1150 de 2007 sobre la prohibición de exigir certificaciones de sistemas de gestión de calidad como requisito habilitante.</w:t>
      </w:r>
      <w:r w:rsidRPr="006E3E0D">
        <w:rPr>
          <w:rFonts w:ascii="Verdana" w:eastAsia="Calibri" w:hAnsi="Verdana" w:cs="Arial"/>
          <w:color w:val="000000" w:themeColor="text1"/>
          <w:lang w:val="es-ES"/>
        </w:rPr>
        <w:t xml:space="preserve"> </w:t>
      </w:r>
    </w:p>
    <w:p w14:paraId="36A106F4" w14:textId="77777777" w:rsidR="00B02BF0" w:rsidRDefault="00B02BF0" w:rsidP="00B02BF0">
      <w:pPr>
        <w:contextualSpacing/>
        <w:jc w:val="both"/>
        <w:rPr>
          <w:rFonts w:ascii="Verdana" w:eastAsia="Calibri" w:hAnsi="Verdana" w:cs="Arial"/>
          <w:b/>
          <w:bCs/>
          <w:lang w:val="es-ES" w:eastAsia="es-ES"/>
        </w:rPr>
      </w:pPr>
    </w:p>
    <w:p w14:paraId="45D1B1FA" w14:textId="061A3647" w:rsidR="001D76D7" w:rsidRPr="001D76D7" w:rsidRDefault="001D76D7" w:rsidP="00B02BF0">
      <w:pPr>
        <w:spacing w:after="0" w:line="240" w:lineRule="auto"/>
        <w:contextualSpacing/>
        <w:jc w:val="both"/>
        <w:rPr>
          <w:rFonts w:ascii="Verdana" w:eastAsia="Calibri" w:hAnsi="Verdana" w:cs="Arial"/>
          <w:b/>
          <w:bCs/>
          <w:lang w:val="es-ES" w:eastAsia="es-ES"/>
        </w:rPr>
      </w:pPr>
      <w:r w:rsidRPr="001D76D7">
        <w:rPr>
          <w:rFonts w:ascii="Verdana" w:eastAsia="Calibri" w:hAnsi="Verdana" w:cs="Arial"/>
          <w:b/>
          <w:bCs/>
          <w:lang w:val="es-ES" w:eastAsia="es-ES"/>
        </w:rPr>
        <w:t>SISTEMA DE GESTIÓN DE SEGURIDAD Y SALUD EN EL TRABAJO SG-SST - Contratos Estatales – Requisitos habilitantes o puntuables</w:t>
      </w:r>
    </w:p>
    <w:p w14:paraId="5BAA34BF" w14:textId="77777777" w:rsidR="001D76D7" w:rsidRDefault="001D76D7" w:rsidP="00B02BF0">
      <w:pPr>
        <w:spacing w:after="0" w:line="240" w:lineRule="auto"/>
        <w:jc w:val="both"/>
        <w:rPr>
          <w:rFonts w:ascii="Verdana" w:hAnsi="Verdana"/>
          <w:lang w:val="es-ES"/>
        </w:rPr>
      </w:pPr>
    </w:p>
    <w:p w14:paraId="2C298BD2" w14:textId="50E5C1B1" w:rsidR="00B02BF0" w:rsidRPr="00B02BF0" w:rsidRDefault="00B02BF0" w:rsidP="00B02BF0">
      <w:pPr>
        <w:spacing w:after="0" w:line="240" w:lineRule="auto"/>
        <w:jc w:val="both"/>
        <w:rPr>
          <w:rFonts w:ascii="Verdana" w:eastAsia="Calibri" w:hAnsi="Verdana" w:cs="Arial"/>
          <w:sz w:val="21"/>
          <w:szCs w:val="21"/>
          <w:lang w:val="es-ES"/>
        </w:rPr>
      </w:pPr>
      <w:r w:rsidRPr="00B02BF0">
        <w:rPr>
          <w:rFonts w:ascii="Verdana" w:eastAsia="Calibri" w:hAnsi="Verdana" w:cs="Arial"/>
          <w:sz w:val="21"/>
          <w:szCs w:val="21"/>
          <w:lang w:val="es-ES"/>
        </w:rPr>
        <w:t>Teniendo en cuenta la presunción de legalidad de la normativa que regula el SG-SST, la cual goza de plena aplicación en el ordenamiento jurídico, la prohibición del parágrafo 2° del artículo 5 de la Ley 1150 de 2007 no restringe la posibilidad que tienen las Entidades Estatales de incluir aspectos de seguridad y salud en el trabajo como requisitos habilitantes de los proponentes que les permitan conocer que cuentan con la implementación de los estándares mínimos del SG-SST,  siempre que esto no implique la exigencia de la presentación de una certificación de calidad, como lo es, por ejemplo, la certificación que otorga la ISO 9001, u otras similares. Sin embargo, es importante aclarar que estas certificaciones de calidad son diferentes a la certificación de acreditación en seguridad y salud en el trabajo que expide el Ministerio del Trabajo de manera gratuita a las a las empresas, entidades, empleadores y contratantes, de acuerdo con el artículo 22 de la Resolución 312 del 13 de febrero de 2019.</w:t>
      </w:r>
    </w:p>
    <w:p w14:paraId="02A9B367" w14:textId="77777777" w:rsidR="00B02BF0" w:rsidRPr="00B02BF0" w:rsidRDefault="00B02BF0" w:rsidP="00B02BF0">
      <w:pPr>
        <w:widowControl w:val="0"/>
        <w:autoSpaceDE w:val="0"/>
        <w:autoSpaceDN w:val="0"/>
        <w:spacing w:after="0" w:line="240" w:lineRule="auto"/>
        <w:jc w:val="both"/>
        <w:rPr>
          <w:rFonts w:ascii="Verdana" w:eastAsia="Calibri" w:hAnsi="Verdana" w:cs="Arial"/>
          <w:color w:val="000000" w:themeColor="text1"/>
          <w:sz w:val="21"/>
          <w:szCs w:val="21"/>
          <w:lang w:val="es-ES"/>
        </w:rPr>
      </w:pPr>
      <w:r w:rsidRPr="00B02BF0">
        <w:rPr>
          <w:rFonts w:ascii="Verdana" w:eastAsia="Calibri" w:hAnsi="Verdana" w:cs="Arial"/>
          <w:sz w:val="21"/>
          <w:szCs w:val="21"/>
          <w:lang w:val="es-ES"/>
        </w:rPr>
        <w:t xml:space="preserve">[…] </w:t>
      </w:r>
      <w:r w:rsidRPr="00B02BF0">
        <w:rPr>
          <w:rFonts w:ascii="Verdana" w:eastAsia="Calibri" w:hAnsi="Verdana" w:cs="Arial"/>
          <w:sz w:val="21"/>
          <w:szCs w:val="21"/>
          <w:lang w:val="es-ES"/>
        </w:rPr>
        <w:t xml:space="preserve">Ahora bien, aunque la interpretación expuesta considera válida la inclusión de este tipo de criterios como requisitos habilitantes, es preciso señalar que su inclusión deberá estar precedida de las mismas exigencias que tiene cualquier otro requisito habilitante o de calificación, de manera que su incorporación no puede ser caprichosa ni arbitraria y </w:t>
      </w:r>
      <w:r w:rsidRPr="00B02BF0">
        <w:rPr>
          <w:rFonts w:ascii="Verdana" w:eastAsia="Calibri" w:hAnsi="Verdana" w:cs="Arial"/>
          <w:color w:val="000000" w:themeColor="text1"/>
          <w:sz w:val="21"/>
          <w:szCs w:val="21"/>
          <w:lang w:val="es-ES"/>
        </w:rPr>
        <w:t xml:space="preserve">la Entidad Estatal tiene la carga de justificar en los estudios previos y en el análisis del sector del proceso su procedencia, de conformidad con el artículo 2.2.1.1.1.6.2 del Decreto 1082 de 2015. </w:t>
      </w:r>
      <w:r w:rsidRPr="00B02BF0">
        <w:rPr>
          <w:rFonts w:ascii="Verdana" w:eastAsia="Arial" w:hAnsi="Verdana" w:cs="Arial"/>
          <w:bCs/>
          <w:sz w:val="21"/>
          <w:szCs w:val="21"/>
          <w:lang w:val="es-ES"/>
        </w:rPr>
        <w:t>Esto significa que las entidades no pueden establecer requisitos habilitantes relacionados con el SG-SST de forma mecánica en todos sus procesos de contratación, sino que deberán realizar un análisis integral de la necesidad identificada, el valor, plazo, el objeto contractual, obligaciones y demás condiciones específicas del proceso de selección en concreto para determinar si el requisito resulta adecuado y proporcional, así como la forma en que deberán incluirlo y exigir su acreditación.</w:t>
      </w:r>
    </w:p>
    <w:p w14:paraId="1A4B03C7" w14:textId="43543A3A" w:rsidR="00B02BF0" w:rsidRDefault="00B02BF0" w:rsidP="003960F5">
      <w:pPr>
        <w:spacing w:after="0"/>
        <w:rPr>
          <w:rFonts w:ascii="Verdana" w:hAnsi="Verdana"/>
          <w:lang w:val="es-ES"/>
        </w:rPr>
      </w:pPr>
    </w:p>
    <w:p w14:paraId="2AB39038" w14:textId="77777777" w:rsidR="00B02BF0" w:rsidRDefault="00B02BF0" w:rsidP="003960F5">
      <w:pPr>
        <w:spacing w:after="0"/>
        <w:rPr>
          <w:rFonts w:ascii="Verdana" w:hAnsi="Verdana"/>
          <w:lang w:val="es-ES"/>
        </w:rPr>
      </w:pPr>
    </w:p>
    <w:p w14:paraId="1C748A7D" w14:textId="77777777" w:rsidR="00B02BF0" w:rsidRDefault="00B02BF0" w:rsidP="003960F5">
      <w:pPr>
        <w:spacing w:after="0"/>
        <w:rPr>
          <w:rFonts w:ascii="Verdana" w:hAnsi="Verdana"/>
          <w:lang w:val="es-ES"/>
        </w:rPr>
      </w:pPr>
    </w:p>
    <w:p w14:paraId="78F6B31F" w14:textId="77777777" w:rsidR="00B02BF0" w:rsidRDefault="00B02BF0" w:rsidP="003960F5">
      <w:pPr>
        <w:spacing w:after="0"/>
        <w:rPr>
          <w:rFonts w:ascii="Verdana" w:hAnsi="Verdana"/>
          <w:lang w:val="es-ES"/>
        </w:rPr>
      </w:pPr>
    </w:p>
    <w:p w14:paraId="390175D7" w14:textId="77777777" w:rsidR="00B02BF0" w:rsidRDefault="00B02BF0" w:rsidP="003960F5">
      <w:pPr>
        <w:spacing w:after="0"/>
        <w:rPr>
          <w:rFonts w:ascii="Verdana" w:hAnsi="Verdana"/>
          <w:lang w:val="es-ES"/>
        </w:rPr>
      </w:pPr>
    </w:p>
    <w:p w14:paraId="0EE6C2F4" w14:textId="77777777" w:rsidR="001D76D7" w:rsidRDefault="001D76D7" w:rsidP="003960F5">
      <w:pPr>
        <w:spacing w:after="0"/>
        <w:rPr>
          <w:rFonts w:ascii="Verdana" w:hAnsi="Verdana"/>
          <w:lang w:val="es-ES"/>
        </w:rPr>
      </w:pPr>
    </w:p>
    <w:p w14:paraId="227DF1F1" w14:textId="2BB66253" w:rsidR="003960F5" w:rsidRPr="006E3E0D" w:rsidRDefault="00FF6A9D" w:rsidP="003960F5">
      <w:pPr>
        <w:spacing w:after="0"/>
        <w:rPr>
          <w:rFonts w:ascii="Verdana" w:hAnsi="Verdana"/>
          <w:lang w:val="es-ES"/>
        </w:rPr>
      </w:pPr>
      <w:r>
        <w:rPr>
          <w:rFonts w:ascii="Verdana" w:hAnsi="Verdana"/>
          <w:noProof/>
          <w:lang w:val="es-ES"/>
        </w:rPr>
        <w:lastRenderedPageBreak/>
        <w:drawing>
          <wp:anchor distT="0" distB="0" distL="114300" distR="114300" simplePos="0" relativeHeight="251658240" behindDoc="0" locked="0" layoutInCell="1" allowOverlap="1" wp14:anchorId="0A103F7F" wp14:editId="2A1B3154">
            <wp:simplePos x="0" y="0"/>
            <wp:positionH relativeFrom="column">
              <wp:posOffset>2998659</wp:posOffset>
            </wp:positionH>
            <wp:positionV relativeFrom="paragraph">
              <wp:posOffset>527</wp:posOffset>
            </wp:positionV>
            <wp:extent cx="2483485" cy="669290"/>
            <wp:effectExtent l="0" t="0" r="5715" b="3810"/>
            <wp:wrapSquare wrapText="bothSides"/>
            <wp:docPr id="1643877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77865" name="Picture 16438778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83485" cy="669290"/>
                    </a:xfrm>
                    <a:prstGeom prst="rect">
                      <a:avLst/>
                    </a:prstGeom>
                  </pic:spPr>
                </pic:pic>
              </a:graphicData>
            </a:graphic>
            <wp14:sizeRelH relativeFrom="page">
              <wp14:pctWidth>0</wp14:pctWidth>
            </wp14:sizeRelH>
            <wp14:sizeRelV relativeFrom="page">
              <wp14:pctHeight>0</wp14:pctHeight>
            </wp14:sizeRelV>
          </wp:anchor>
        </w:drawing>
      </w:r>
      <w:r w:rsidR="003960F5" w:rsidRPr="006E3E0D">
        <w:rPr>
          <w:rFonts w:ascii="Verdana" w:hAnsi="Verdana"/>
          <w:lang w:val="es-ES"/>
        </w:rPr>
        <w:t xml:space="preserve">Bogotá D.C., </w:t>
      </w:r>
      <w:r>
        <w:rPr>
          <w:rFonts w:ascii="Verdana" w:hAnsi="Verdana"/>
          <w:lang w:val="es-ES"/>
        </w:rPr>
        <w:t>10 Junio 2025</w:t>
      </w:r>
      <w:r w:rsidR="003960F5" w:rsidRPr="006E3E0D">
        <w:rPr>
          <w:rFonts w:ascii="Verdana" w:hAnsi="Verdana"/>
          <w:lang w:val="es-ES"/>
        </w:rPr>
        <w:tab/>
      </w:r>
    </w:p>
    <w:p w14:paraId="54B78237" w14:textId="1F02F1B5" w:rsidR="003960F5" w:rsidRPr="006E3E0D" w:rsidRDefault="003960F5" w:rsidP="003960F5">
      <w:pPr>
        <w:spacing w:after="0"/>
        <w:rPr>
          <w:rFonts w:ascii="Verdana" w:hAnsi="Verdana"/>
          <w:lang w:val="es-ES"/>
        </w:rPr>
      </w:pPr>
    </w:p>
    <w:p w14:paraId="1F0B65C1" w14:textId="77777777" w:rsidR="003960F5" w:rsidRPr="006E3E0D" w:rsidRDefault="003960F5" w:rsidP="003960F5">
      <w:pPr>
        <w:spacing w:after="0" w:line="240" w:lineRule="auto"/>
        <w:jc w:val="both"/>
        <w:rPr>
          <w:rFonts w:ascii="Verdana" w:eastAsia="Calibri" w:hAnsi="Verdana" w:cs="Arial"/>
          <w:color w:val="000000" w:themeColor="text1"/>
          <w:lang w:val="es-ES" w:eastAsia="es-ES"/>
        </w:rPr>
      </w:pPr>
      <w:r w:rsidRPr="006E3E0D">
        <w:rPr>
          <w:rFonts w:ascii="Verdana" w:eastAsia="Calibri" w:hAnsi="Verdana" w:cs="Arial"/>
          <w:color w:val="000000" w:themeColor="text1"/>
          <w:lang w:val="es-ES" w:eastAsia="es-ES"/>
        </w:rPr>
        <w:t>Doctora</w:t>
      </w:r>
    </w:p>
    <w:p w14:paraId="134B5490" w14:textId="77777777" w:rsidR="003960F5" w:rsidRPr="006E3E0D" w:rsidRDefault="003960F5" w:rsidP="003960F5">
      <w:pPr>
        <w:spacing w:after="0" w:line="240" w:lineRule="auto"/>
        <w:rPr>
          <w:rFonts w:ascii="Verdana" w:eastAsia="Calibri" w:hAnsi="Verdana" w:cs="Arial"/>
          <w:b/>
          <w:bCs/>
          <w:color w:val="000000" w:themeColor="text1"/>
          <w:lang w:val="es-ES" w:eastAsia="es-ES_tradnl"/>
        </w:rPr>
      </w:pPr>
      <w:r w:rsidRPr="006E3E0D">
        <w:rPr>
          <w:rFonts w:ascii="Verdana" w:eastAsia="Calibri" w:hAnsi="Verdana" w:cs="Arial"/>
          <w:b/>
          <w:bCs/>
          <w:color w:val="000000" w:themeColor="text1"/>
          <w:lang w:val="es-ES" w:eastAsia="es-ES_tradnl"/>
        </w:rPr>
        <w:t>Diana Cardona Rodríguez Ramos</w:t>
      </w:r>
    </w:p>
    <w:p w14:paraId="4BF7DBAC" w14:textId="77777777" w:rsidR="003960F5" w:rsidRPr="006E3E0D" w:rsidRDefault="003960F5" w:rsidP="003960F5">
      <w:pPr>
        <w:spacing w:after="0" w:line="240" w:lineRule="auto"/>
        <w:rPr>
          <w:rFonts w:ascii="Verdana" w:eastAsia="Calibri" w:hAnsi="Verdana" w:cs="Arial"/>
          <w:color w:val="000000" w:themeColor="text1"/>
          <w:lang w:val="es-ES" w:eastAsia="es-ES_tradnl"/>
        </w:rPr>
      </w:pPr>
      <w:r w:rsidRPr="006E3E0D">
        <w:rPr>
          <w:rFonts w:ascii="Verdana" w:eastAsia="Calibri" w:hAnsi="Verdana" w:cs="Arial"/>
          <w:color w:val="000000" w:themeColor="text1"/>
          <w:lang w:val="es-ES" w:eastAsia="es-ES_tradnl"/>
        </w:rPr>
        <w:t>Consejo Superior de la Judicatura</w:t>
      </w:r>
      <w:r w:rsidRPr="006E3E0D">
        <w:rPr>
          <w:rFonts w:ascii="Verdana" w:eastAsia="Calibri" w:hAnsi="Verdana" w:cs="Arial"/>
          <w:color w:val="000000" w:themeColor="text1"/>
          <w:lang w:val="es-ES" w:eastAsia="es-ES_tradnl"/>
        </w:rPr>
        <w:br/>
      </w:r>
      <w:proofErr w:type="spellStart"/>
      <w:r w:rsidRPr="006E3E0D">
        <w:rPr>
          <w:rFonts w:ascii="Verdana" w:eastAsia="Calibri" w:hAnsi="Verdana" w:cs="Arial"/>
          <w:color w:val="000000" w:themeColor="text1"/>
          <w:lang w:val="es-ES" w:eastAsia="es-ES_tradnl"/>
        </w:rPr>
        <w:t>Dirección</w:t>
      </w:r>
      <w:proofErr w:type="spellEnd"/>
      <w:r w:rsidRPr="006E3E0D">
        <w:rPr>
          <w:rFonts w:ascii="Verdana" w:eastAsia="Calibri" w:hAnsi="Verdana" w:cs="Arial"/>
          <w:color w:val="000000" w:themeColor="text1"/>
          <w:lang w:val="es-ES" w:eastAsia="es-ES_tradnl"/>
        </w:rPr>
        <w:t xml:space="preserve"> Ejecutiva de </w:t>
      </w:r>
      <w:proofErr w:type="spellStart"/>
      <w:r w:rsidRPr="006E3E0D">
        <w:rPr>
          <w:rFonts w:ascii="Verdana" w:eastAsia="Calibri" w:hAnsi="Verdana" w:cs="Arial"/>
          <w:color w:val="000000" w:themeColor="text1"/>
          <w:lang w:val="es-ES" w:eastAsia="es-ES_tradnl"/>
        </w:rPr>
        <w:t>Administración</w:t>
      </w:r>
      <w:proofErr w:type="spellEnd"/>
      <w:r w:rsidRPr="006E3E0D">
        <w:rPr>
          <w:rFonts w:ascii="Verdana" w:eastAsia="Calibri" w:hAnsi="Verdana" w:cs="Arial"/>
          <w:color w:val="000000" w:themeColor="text1"/>
          <w:lang w:val="es-ES" w:eastAsia="es-ES_tradnl"/>
        </w:rPr>
        <w:t xml:space="preserve"> Judicial </w:t>
      </w:r>
    </w:p>
    <w:p w14:paraId="7EB33AA2" w14:textId="77777777" w:rsidR="003960F5" w:rsidRPr="006E3E0D" w:rsidRDefault="003960F5" w:rsidP="003960F5">
      <w:pPr>
        <w:spacing w:after="0" w:line="240" w:lineRule="auto"/>
        <w:rPr>
          <w:rFonts w:ascii="Verdana" w:eastAsia="Calibri" w:hAnsi="Verdana" w:cs="Arial"/>
          <w:color w:val="000000" w:themeColor="text1"/>
          <w:lang w:val="es-ES" w:eastAsia="es-ES_tradnl"/>
        </w:rPr>
      </w:pPr>
      <w:hyperlink r:id="rId12" w:history="1">
        <w:r w:rsidRPr="006E3E0D">
          <w:rPr>
            <w:rStyle w:val="Hyperlink"/>
            <w:rFonts w:ascii="Verdana" w:eastAsia="Calibri" w:hAnsi="Verdana" w:cs="Arial"/>
            <w:lang w:val="es-ES" w:eastAsia="es-ES_tradnl"/>
          </w:rPr>
          <w:t>contrataciondeaj@deaj.ramajudicial.gov.co</w:t>
        </w:r>
      </w:hyperlink>
    </w:p>
    <w:p w14:paraId="3CDD614C" w14:textId="77777777" w:rsidR="003960F5" w:rsidRPr="006E3E0D" w:rsidRDefault="003960F5" w:rsidP="003960F5">
      <w:pPr>
        <w:spacing w:after="0" w:line="240" w:lineRule="auto"/>
        <w:rPr>
          <w:rFonts w:ascii="Verdana" w:eastAsia="Calibri" w:hAnsi="Verdana" w:cs="Arial"/>
          <w:color w:val="000000" w:themeColor="text1"/>
          <w:lang w:val="es-ES" w:eastAsia="es-ES_tradnl"/>
        </w:rPr>
      </w:pPr>
      <w:r w:rsidRPr="006E3E0D">
        <w:rPr>
          <w:rFonts w:ascii="Verdana" w:eastAsia="Calibri" w:hAnsi="Verdana" w:cs="Arial"/>
          <w:color w:val="000000" w:themeColor="text1"/>
          <w:lang w:val="es-ES" w:eastAsia="es-ES_tradnl"/>
        </w:rPr>
        <w:t>Ciudad</w:t>
      </w:r>
    </w:p>
    <w:p w14:paraId="24152EB6" w14:textId="77777777" w:rsidR="003960F5" w:rsidRPr="006E3E0D" w:rsidRDefault="003960F5" w:rsidP="003960F5">
      <w:pPr>
        <w:spacing w:after="0" w:line="240" w:lineRule="auto"/>
        <w:rPr>
          <w:rFonts w:ascii="Verdana" w:eastAsia="Calibri" w:hAnsi="Verdana" w:cs="Arial"/>
          <w:color w:val="000000" w:themeColor="text1"/>
          <w:lang w:val="es-ES" w:eastAsia="es-ES_tradnl"/>
        </w:rPr>
      </w:pPr>
    </w:p>
    <w:p w14:paraId="5BADC911" w14:textId="77777777" w:rsidR="003960F5" w:rsidRPr="006E3E0D" w:rsidRDefault="003960F5" w:rsidP="003960F5">
      <w:pPr>
        <w:spacing w:after="0" w:line="240" w:lineRule="auto"/>
        <w:ind w:left="2694"/>
        <w:rPr>
          <w:rFonts w:ascii="Verdana" w:eastAsia="Calibri" w:hAnsi="Verdana" w:cs="Arial"/>
          <w:b/>
          <w:bCs/>
          <w:lang w:val="es-ES" w:eastAsia="es-ES"/>
        </w:rPr>
      </w:pPr>
      <w:r w:rsidRPr="006E3E0D">
        <w:rPr>
          <w:rFonts w:ascii="Verdana" w:eastAsia="Calibri" w:hAnsi="Verdana" w:cs="Arial"/>
          <w:b/>
          <w:bCs/>
          <w:lang w:val="es-ES" w:eastAsia="es-ES"/>
        </w:rPr>
        <w:t>Concepto C-589 de 2025</w:t>
      </w:r>
    </w:p>
    <w:p w14:paraId="7BC3460A" w14:textId="77777777" w:rsidR="003960F5" w:rsidRPr="006E3E0D" w:rsidRDefault="003960F5" w:rsidP="003960F5">
      <w:pPr>
        <w:spacing w:after="0" w:line="240" w:lineRule="auto"/>
        <w:rPr>
          <w:rFonts w:ascii="Verdana" w:eastAsia="Calibri" w:hAnsi="Verdana" w:cs="Arial"/>
          <w:b/>
          <w:bCs/>
          <w:color w:val="000000" w:themeColor="text1"/>
          <w:lang w:val="es-ES"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960F5" w:rsidRPr="006E3E0D" w14:paraId="0FFBE29C" w14:textId="77777777" w:rsidTr="008633A7">
        <w:trPr>
          <w:trHeight w:val="884"/>
        </w:trPr>
        <w:tc>
          <w:tcPr>
            <w:tcW w:w="2689" w:type="dxa"/>
          </w:tcPr>
          <w:p w14:paraId="0D62EE83" w14:textId="77777777" w:rsidR="003960F5" w:rsidRPr="006E3E0D" w:rsidRDefault="003960F5" w:rsidP="008633A7">
            <w:pPr>
              <w:jc w:val="both"/>
              <w:rPr>
                <w:rFonts w:ascii="Verdana" w:eastAsia="Calibri" w:hAnsi="Verdana" w:cs="Arial"/>
                <w:color w:val="000000" w:themeColor="text1"/>
                <w:lang w:val="es-ES" w:eastAsia="es-ES_tradnl"/>
              </w:rPr>
            </w:pPr>
            <w:r w:rsidRPr="006E3E0D">
              <w:rPr>
                <w:rFonts w:ascii="Verdana" w:eastAsia="Calibri" w:hAnsi="Verdana" w:cs="Arial"/>
                <w:b/>
                <w:color w:val="000000" w:themeColor="text1"/>
                <w:lang w:val="es-ES" w:eastAsia="es-ES_tradnl"/>
              </w:rPr>
              <w:t>Temas:</w:t>
            </w:r>
            <w:r w:rsidRPr="006E3E0D">
              <w:rPr>
                <w:rFonts w:ascii="Verdana" w:eastAsia="Calibri" w:hAnsi="Verdana" w:cs="Arial"/>
                <w:color w:val="000000" w:themeColor="text1"/>
                <w:lang w:val="es-ES" w:eastAsia="es-ES_tradnl"/>
              </w:rPr>
              <w:t xml:space="preserve">                   </w:t>
            </w:r>
          </w:p>
        </w:tc>
        <w:tc>
          <w:tcPr>
            <w:tcW w:w="6100" w:type="dxa"/>
          </w:tcPr>
          <w:p w14:paraId="2764DB40" w14:textId="77777777" w:rsidR="003960F5" w:rsidRPr="006E3E0D" w:rsidRDefault="003960F5" w:rsidP="008633A7">
            <w:pPr>
              <w:jc w:val="both"/>
              <w:rPr>
                <w:rFonts w:ascii="Verdana" w:eastAsia="Calibri" w:hAnsi="Verdana" w:cs="Arial"/>
                <w:lang w:val="es-ES" w:eastAsia="es-ES"/>
              </w:rPr>
            </w:pPr>
            <w:r w:rsidRPr="006E3E0D">
              <w:rPr>
                <w:rFonts w:ascii="Verdana" w:eastAsia="Calibri" w:hAnsi="Verdana" w:cs="Arial"/>
                <w:lang w:val="es-ES" w:eastAsia="es-ES"/>
              </w:rPr>
              <w:t>REQUISITOS HABILITANTES – Noción / REQUISITOS HABILITANTES – Carácter enunciativo / REQUISITOS HABILITANTES – Autonomía de la voluntad de las entidades estatales para establecerlos / SISTEMA DE GESTIÓN DE SEGURIDAD Y SALUD EN EL TRABAJO SG-SST - Contratos Estatales – Requisitos habilitantes o puntuables</w:t>
            </w:r>
          </w:p>
          <w:p w14:paraId="633C00E9" w14:textId="77777777" w:rsidR="003960F5" w:rsidRPr="006E3E0D" w:rsidRDefault="003960F5" w:rsidP="008633A7">
            <w:pPr>
              <w:jc w:val="both"/>
              <w:rPr>
                <w:rFonts w:ascii="Verdana" w:eastAsia="Calibri" w:hAnsi="Verdana" w:cs="Arial"/>
                <w:color w:val="000000" w:themeColor="text1"/>
                <w:lang w:val="es-ES" w:eastAsia="es-ES"/>
              </w:rPr>
            </w:pPr>
          </w:p>
        </w:tc>
      </w:tr>
      <w:tr w:rsidR="003960F5" w:rsidRPr="006E3E0D" w14:paraId="47A2E389" w14:textId="77777777" w:rsidTr="008633A7">
        <w:tc>
          <w:tcPr>
            <w:tcW w:w="2689" w:type="dxa"/>
          </w:tcPr>
          <w:p w14:paraId="4D3126BB" w14:textId="77777777" w:rsidR="003960F5" w:rsidRPr="006E3E0D" w:rsidRDefault="003960F5" w:rsidP="008633A7">
            <w:pPr>
              <w:jc w:val="both"/>
              <w:rPr>
                <w:rFonts w:ascii="Verdana" w:eastAsia="Calibri" w:hAnsi="Verdana" w:cs="Arial"/>
                <w:b/>
                <w:color w:val="000000" w:themeColor="text1"/>
                <w:lang w:val="es-ES" w:eastAsia="es-ES_tradnl"/>
              </w:rPr>
            </w:pPr>
            <w:r w:rsidRPr="006E3E0D">
              <w:rPr>
                <w:rFonts w:ascii="Verdana" w:eastAsia="Calibri" w:hAnsi="Verdana" w:cs="Arial"/>
                <w:b/>
                <w:color w:val="000000" w:themeColor="text1"/>
                <w:lang w:val="es-ES" w:eastAsia="es-ES_tradnl"/>
              </w:rPr>
              <w:t>Radicación:</w:t>
            </w:r>
            <w:r w:rsidRPr="006E3E0D">
              <w:rPr>
                <w:rFonts w:ascii="Verdana" w:eastAsia="Calibri" w:hAnsi="Verdana" w:cs="Arial"/>
                <w:color w:val="000000" w:themeColor="text1"/>
                <w:lang w:val="es-ES" w:eastAsia="es-ES_tradnl"/>
              </w:rPr>
              <w:t xml:space="preserve">               </w:t>
            </w:r>
          </w:p>
        </w:tc>
        <w:tc>
          <w:tcPr>
            <w:tcW w:w="6100" w:type="dxa"/>
          </w:tcPr>
          <w:p w14:paraId="71A7A647" w14:textId="77777777" w:rsidR="003960F5" w:rsidRPr="006E3E0D" w:rsidRDefault="003960F5" w:rsidP="008633A7">
            <w:pPr>
              <w:jc w:val="both"/>
              <w:rPr>
                <w:rFonts w:ascii="Verdana" w:eastAsia="Calibri" w:hAnsi="Verdana" w:cs="Arial"/>
                <w:color w:val="000000" w:themeColor="text1"/>
                <w:lang w:val="es-ES" w:eastAsia="es-ES_tradnl"/>
              </w:rPr>
            </w:pPr>
            <w:r w:rsidRPr="006E3E0D">
              <w:rPr>
                <w:rFonts w:ascii="Verdana" w:eastAsia="Calibri" w:hAnsi="Verdana" w:cs="Arial"/>
                <w:color w:val="000000" w:themeColor="text1"/>
                <w:lang w:val="es-ES" w:eastAsia="es-ES_tradnl"/>
              </w:rPr>
              <w:t>Respuesta a consulta con radicado No. P20250514004630</w:t>
            </w:r>
          </w:p>
        </w:tc>
      </w:tr>
    </w:tbl>
    <w:p w14:paraId="4EFFCE6B" w14:textId="77777777" w:rsidR="003960F5" w:rsidRPr="006E3E0D" w:rsidRDefault="003960F5" w:rsidP="003960F5">
      <w:pPr>
        <w:spacing w:after="0" w:line="240" w:lineRule="auto"/>
        <w:jc w:val="both"/>
        <w:rPr>
          <w:rFonts w:ascii="Verdana" w:eastAsia="Calibri" w:hAnsi="Verdana" w:cs="Arial"/>
          <w:color w:val="000000" w:themeColor="text1"/>
          <w:lang w:val="es-ES" w:eastAsia="es-ES_tradnl"/>
        </w:rPr>
      </w:pPr>
    </w:p>
    <w:p w14:paraId="469EBBEF" w14:textId="77777777" w:rsidR="003960F5" w:rsidRPr="006E3E0D" w:rsidRDefault="003960F5" w:rsidP="003960F5">
      <w:pPr>
        <w:spacing w:after="0" w:line="240" w:lineRule="auto"/>
        <w:jc w:val="both"/>
        <w:rPr>
          <w:rFonts w:ascii="Verdana" w:eastAsia="Calibri" w:hAnsi="Verdana" w:cs="Arial"/>
          <w:color w:val="000000" w:themeColor="text1"/>
          <w:lang w:val="es-ES" w:eastAsia="es-ES_tradnl"/>
        </w:rPr>
      </w:pPr>
    </w:p>
    <w:p w14:paraId="529C8A3A" w14:textId="77777777" w:rsidR="003960F5" w:rsidRPr="006E3E0D" w:rsidRDefault="003960F5" w:rsidP="003960F5">
      <w:pPr>
        <w:spacing w:after="0" w:line="276" w:lineRule="auto"/>
        <w:jc w:val="both"/>
        <w:rPr>
          <w:rFonts w:ascii="Verdana" w:eastAsia="Calibri" w:hAnsi="Verdana" w:cs="Arial"/>
          <w:color w:val="000000" w:themeColor="text1"/>
          <w:lang w:val="es-ES" w:eastAsia="es-ES"/>
        </w:rPr>
      </w:pPr>
      <w:r w:rsidRPr="006E3E0D">
        <w:rPr>
          <w:rFonts w:ascii="Verdana" w:eastAsia="Calibri" w:hAnsi="Verdana" w:cs="Arial"/>
          <w:color w:val="000000" w:themeColor="text1"/>
          <w:lang w:val="es-ES" w:eastAsia="es-ES"/>
        </w:rPr>
        <w:t xml:space="preserve">Estimada Doctora Cardona: </w:t>
      </w:r>
    </w:p>
    <w:p w14:paraId="5A6FBB12" w14:textId="77777777" w:rsidR="003960F5" w:rsidRPr="006E3E0D" w:rsidRDefault="003960F5" w:rsidP="003960F5">
      <w:pPr>
        <w:tabs>
          <w:tab w:val="left" w:pos="3768"/>
        </w:tabs>
        <w:spacing w:after="0" w:line="276" w:lineRule="auto"/>
        <w:jc w:val="both"/>
        <w:rPr>
          <w:rFonts w:ascii="Verdana" w:eastAsia="Calibri" w:hAnsi="Verdana" w:cs="Arial"/>
          <w:color w:val="000000" w:themeColor="text1"/>
          <w:lang w:val="es-ES" w:eastAsia="es-ES"/>
        </w:rPr>
      </w:pPr>
      <w:r w:rsidRPr="006E3E0D">
        <w:rPr>
          <w:rFonts w:ascii="Verdana" w:eastAsia="Calibri" w:hAnsi="Verdana" w:cs="Arial"/>
          <w:color w:val="000000" w:themeColor="text1"/>
          <w:lang w:val="es-ES" w:eastAsia="es-ES"/>
        </w:rPr>
        <w:tab/>
      </w:r>
    </w:p>
    <w:p w14:paraId="0B687FE1" w14:textId="77777777" w:rsidR="003960F5" w:rsidRPr="006E3E0D" w:rsidRDefault="003960F5" w:rsidP="003960F5">
      <w:pPr>
        <w:spacing w:after="0" w:line="276" w:lineRule="auto"/>
        <w:jc w:val="both"/>
        <w:rPr>
          <w:rFonts w:ascii="Verdana" w:eastAsia="Calibri" w:hAnsi="Verdana" w:cs="Arial"/>
          <w:color w:val="000000" w:themeColor="text1"/>
          <w:lang w:val="es-ES" w:eastAsia="es-ES"/>
        </w:rPr>
      </w:pPr>
      <w:r w:rsidRPr="006E3E0D">
        <w:rPr>
          <w:rFonts w:ascii="Verdana" w:eastAsia="Calibri" w:hAnsi="Verdana" w:cs="Arial"/>
          <w:color w:val="000000" w:themeColor="text1"/>
          <w:lang w:val="es-ES" w:eastAsia="es-ES"/>
        </w:rPr>
        <w:t>En ejercicio de la competencia otorgada por los artículos 3, numeral 5º, y 11, numeral 8º, del Decreto Ley 4170 de 2011,</w:t>
      </w:r>
      <w:r w:rsidRPr="006E3E0D">
        <w:rPr>
          <w:rFonts w:ascii="Verdana" w:eastAsia="Arial MT" w:hAnsi="Verdana" w:cs="Arial MT"/>
          <w:color w:val="000000" w:themeColor="text1"/>
          <w:lang w:val="es-ES" w:eastAsia="es-ES"/>
        </w:rPr>
        <w:t xml:space="preserve"> </w:t>
      </w:r>
      <w:r w:rsidRPr="006E3E0D">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de consulta de fecha 14 de mayo de 2025, en la cual manifiesta lo siguiente:</w:t>
      </w:r>
      <w:r w:rsidRPr="006E3E0D">
        <w:rPr>
          <w:rFonts w:ascii="Verdana" w:eastAsia="Calibri" w:hAnsi="Verdana" w:cs="Arial"/>
          <w:color w:val="000000" w:themeColor="text1"/>
          <w:lang w:val="es-ES" w:eastAsia="es-ES"/>
        </w:rPr>
        <w:t xml:space="preserve"> </w:t>
      </w:r>
    </w:p>
    <w:p w14:paraId="42FE8227" w14:textId="77777777" w:rsidR="003960F5" w:rsidRPr="006E3E0D" w:rsidRDefault="003960F5" w:rsidP="003960F5">
      <w:pPr>
        <w:spacing w:after="0" w:line="276" w:lineRule="auto"/>
        <w:jc w:val="both"/>
        <w:rPr>
          <w:rFonts w:ascii="Verdana" w:eastAsia="Calibri" w:hAnsi="Verdana" w:cs="Arial"/>
          <w:color w:val="000000" w:themeColor="text1"/>
          <w:lang w:val="es-ES" w:eastAsia="es-ES"/>
        </w:rPr>
      </w:pPr>
    </w:p>
    <w:p w14:paraId="38D3DA79" w14:textId="77777777" w:rsidR="003960F5" w:rsidRPr="006E3E0D" w:rsidRDefault="003960F5" w:rsidP="003960F5">
      <w:pPr>
        <w:spacing w:after="0"/>
        <w:ind w:left="709" w:right="709"/>
        <w:jc w:val="both"/>
        <w:rPr>
          <w:rFonts w:ascii="Verdana" w:eastAsia="Century Gothic" w:hAnsi="Verdana" w:cs="Century Gothic"/>
          <w:color w:val="000000" w:themeColor="text1"/>
          <w:sz w:val="20"/>
          <w:szCs w:val="20"/>
          <w:lang w:val="es-ES"/>
        </w:rPr>
      </w:pPr>
      <w:bookmarkStart w:id="1" w:name="_Hlk95313578"/>
      <w:r w:rsidRPr="006E3E0D">
        <w:rPr>
          <w:rFonts w:ascii="Verdana" w:eastAsia="Century Gothic" w:hAnsi="Verdana" w:cs="Century Gothic"/>
          <w:color w:val="000000" w:themeColor="text1"/>
          <w:sz w:val="20"/>
          <w:szCs w:val="20"/>
          <w:lang w:val="es-ES"/>
        </w:rPr>
        <w:t>“</w:t>
      </w:r>
      <w:bookmarkEnd w:id="1"/>
      <w:r w:rsidRPr="006E3E0D">
        <w:rPr>
          <w:rFonts w:ascii="Verdana" w:eastAsia="Century Gothic" w:hAnsi="Verdana" w:cs="Century Gothic"/>
          <w:color w:val="000000" w:themeColor="text1"/>
          <w:sz w:val="20"/>
          <w:szCs w:val="20"/>
          <w:lang w:val="es-ES"/>
        </w:rPr>
        <w:t xml:space="preserve">[…] ¿Es </w:t>
      </w:r>
      <w:proofErr w:type="spellStart"/>
      <w:r w:rsidRPr="006E3E0D">
        <w:rPr>
          <w:rFonts w:ascii="Verdana" w:eastAsia="Century Gothic" w:hAnsi="Verdana" w:cs="Century Gothic"/>
          <w:color w:val="000000" w:themeColor="text1"/>
          <w:sz w:val="20"/>
          <w:szCs w:val="20"/>
          <w:lang w:val="es-ES"/>
        </w:rPr>
        <w:t>jurídicamente</w:t>
      </w:r>
      <w:proofErr w:type="spellEnd"/>
      <w:r w:rsidRPr="006E3E0D">
        <w:rPr>
          <w:rFonts w:ascii="Verdana" w:eastAsia="Century Gothic" w:hAnsi="Verdana" w:cs="Century Gothic"/>
          <w:color w:val="000000" w:themeColor="text1"/>
          <w:sz w:val="20"/>
          <w:szCs w:val="20"/>
          <w:lang w:val="es-ES"/>
        </w:rPr>
        <w:t xml:space="preserve"> procedente que una entidad estatal incorpore, dentro de los requisitos habilitantes en un proceso de selección de contratistas, la exigencia de acreditar un nivel de </w:t>
      </w:r>
      <w:proofErr w:type="spellStart"/>
      <w:r w:rsidRPr="006E3E0D">
        <w:rPr>
          <w:rFonts w:ascii="Verdana" w:eastAsia="Century Gothic" w:hAnsi="Verdana" w:cs="Century Gothic"/>
          <w:color w:val="000000" w:themeColor="text1"/>
          <w:sz w:val="20"/>
          <w:szCs w:val="20"/>
          <w:lang w:val="es-ES"/>
        </w:rPr>
        <w:t>implementación</w:t>
      </w:r>
      <w:proofErr w:type="spellEnd"/>
      <w:r w:rsidRPr="006E3E0D">
        <w:rPr>
          <w:rFonts w:ascii="Verdana" w:eastAsia="Century Gothic" w:hAnsi="Verdana" w:cs="Century Gothic"/>
          <w:color w:val="000000" w:themeColor="text1"/>
          <w:sz w:val="20"/>
          <w:szCs w:val="20"/>
          <w:lang w:val="es-ES"/>
        </w:rPr>
        <w:t xml:space="preserve"> igual o superior al 85% del Sistema de </w:t>
      </w:r>
      <w:proofErr w:type="spellStart"/>
      <w:r w:rsidRPr="006E3E0D">
        <w:rPr>
          <w:rFonts w:ascii="Verdana" w:eastAsia="Century Gothic" w:hAnsi="Verdana" w:cs="Century Gothic"/>
          <w:color w:val="000000" w:themeColor="text1"/>
          <w:sz w:val="20"/>
          <w:szCs w:val="20"/>
          <w:lang w:val="es-ES"/>
        </w:rPr>
        <w:t>Gestión</w:t>
      </w:r>
      <w:proofErr w:type="spellEnd"/>
      <w:r w:rsidRPr="006E3E0D">
        <w:rPr>
          <w:rFonts w:ascii="Verdana" w:eastAsia="Century Gothic" w:hAnsi="Verdana" w:cs="Century Gothic"/>
          <w:color w:val="000000" w:themeColor="text1"/>
          <w:sz w:val="20"/>
          <w:szCs w:val="20"/>
          <w:lang w:val="es-ES"/>
        </w:rPr>
        <w:t xml:space="preserve"> de la Seguridad y Salud en el Trabajo (SG-SST), conforme a los </w:t>
      </w:r>
      <w:proofErr w:type="spellStart"/>
      <w:r w:rsidRPr="006E3E0D">
        <w:rPr>
          <w:rFonts w:ascii="Verdana" w:eastAsia="Century Gothic" w:hAnsi="Verdana" w:cs="Century Gothic"/>
          <w:color w:val="000000" w:themeColor="text1"/>
          <w:sz w:val="20"/>
          <w:szCs w:val="20"/>
          <w:lang w:val="es-ES"/>
        </w:rPr>
        <w:t>parámetros</w:t>
      </w:r>
      <w:proofErr w:type="spellEnd"/>
      <w:r w:rsidRPr="006E3E0D">
        <w:rPr>
          <w:rFonts w:ascii="Verdana" w:eastAsia="Century Gothic" w:hAnsi="Verdana" w:cs="Century Gothic"/>
          <w:color w:val="000000" w:themeColor="text1"/>
          <w:sz w:val="20"/>
          <w:szCs w:val="20"/>
          <w:lang w:val="es-ES"/>
        </w:rPr>
        <w:t xml:space="preserve"> definidos en el Decreto 1072 de 2015 y la Resolución 0312 de 2019 del Ministerio del Trabajo, sin que dicha exigencia esté prevista en norma legal con rango de ley formal?  </w:t>
      </w:r>
    </w:p>
    <w:p w14:paraId="327138A9" w14:textId="77777777" w:rsidR="003960F5" w:rsidRPr="006E3E0D" w:rsidRDefault="003960F5" w:rsidP="003960F5">
      <w:pPr>
        <w:spacing w:after="0" w:line="240" w:lineRule="auto"/>
        <w:ind w:left="709" w:right="709"/>
        <w:jc w:val="both"/>
        <w:rPr>
          <w:rFonts w:ascii="Verdana" w:eastAsia="Century Gothic" w:hAnsi="Verdana" w:cs="Century Gothic"/>
          <w:color w:val="000000" w:themeColor="text1"/>
          <w:sz w:val="20"/>
          <w:szCs w:val="20"/>
          <w:lang w:val="es-ES"/>
        </w:rPr>
      </w:pPr>
    </w:p>
    <w:p w14:paraId="3C978A08" w14:textId="77777777" w:rsidR="003960F5" w:rsidRPr="006E3E0D" w:rsidRDefault="003960F5" w:rsidP="003960F5">
      <w:pPr>
        <w:spacing w:after="120" w:line="276" w:lineRule="auto"/>
        <w:ind w:firstLine="709"/>
        <w:jc w:val="both"/>
        <w:rPr>
          <w:rFonts w:ascii="Verdana" w:eastAsia="Calibri" w:hAnsi="Verdana" w:cs="Arial"/>
          <w:color w:val="000000" w:themeColor="text1"/>
          <w:szCs w:val="24"/>
          <w:lang w:val="es-ES" w:eastAsia="es-ES_tradnl"/>
        </w:rPr>
      </w:pPr>
      <w:r w:rsidRPr="006E3E0D">
        <w:rPr>
          <w:rFonts w:ascii="Verdana" w:eastAsia="Calibri" w:hAnsi="Verdana" w:cs="Arial"/>
          <w:color w:val="000000" w:themeColor="text1"/>
          <w:lang w:val="es-ES" w:eastAsia="es-ES"/>
        </w:rPr>
        <w:t xml:space="preserve">De manera preliminar, es necesario resaltar que esta entidad solo tiene competencia para responder consultas sobre la aplicación de normas de carácter </w:t>
      </w:r>
      <w:r w:rsidRPr="006E3E0D">
        <w:rPr>
          <w:rFonts w:ascii="Verdana" w:eastAsia="Calibri" w:hAnsi="Verdana" w:cs="Arial"/>
          <w:color w:val="000000" w:themeColor="text1"/>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E3E0D">
        <w:rPr>
          <w:rFonts w:ascii="Verdana" w:eastAsia="Calibri" w:hAnsi="Verdana" w:cs="Arial"/>
          <w:color w:val="000000" w:themeColor="text1"/>
          <w:szCs w:val="24"/>
          <w:lang w:val="es-ES" w:eastAsia="es-ES_tradnl"/>
        </w:rPr>
        <w:tab/>
      </w:r>
    </w:p>
    <w:p w14:paraId="1C971832" w14:textId="77777777" w:rsidR="003960F5" w:rsidRPr="006E3E0D" w:rsidRDefault="003960F5" w:rsidP="003960F5">
      <w:pPr>
        <w:spacing w:after="0" w:line="276" w:lineRule="auto"/>
        <w:ind w:firstLine="709"/>
        <w:jc w:val="both"/>
        <w:rPr>
          <w:rFonts w:ascii="Verdana" w:eastAsia="Calibri" w:hAnsi="Verdana" w:cs="Arial"/>
          <w:color w:val="000000" w:themeColor="text1"/>
          <w:lang w:val="es-ES" w:eastAsia="es-ES"/>
        </w:rPr>
      </w:pPr>
      <w:r w:rsidRPr="006E3E0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B87EDFC" w14:textId="77777777" w:rsidR="003960F5" w:rsidRPr="006E3E0D" w:rsidRDefault="003960F5" w:rsidP="003960F5">
      <w:pPr>
        <w:spacing w:after="0" w:line="276" w:lineRule="auto"/>
        <w:jc w:val="both"/>
        <w:rPr>
          <w:rFonts w:ascii="Verdana" w:eastAsia="Calibri" w:hAnsi="Verdana" w:cs="Arial"/>
          <w:color w:val="000000" w:themeColor="text1"/>
          <w:lang w:val="es-ES" w:eastAsia="es-ES"/>
        </w:rPr>
      </w:pPr>
    </w:p>
    <w:p w14:paraId="58C1C2BF" w14:textId="77777777" w:rsidR="003960F5" w:rsidRPr="006E3E0D" w:rsidRDefault="003960F5" w:rsidP="003960F5">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6E3E0D">
        <w:rPr>
          <w:rFonts w:ascii="Verdana" w:eastAsia="Century Gothic" w:hAnsi="Verdana" w:cs="Century Gothic"/>
          <w:b/>
          <w:bCs/>
          <w:color w:val="000000" w:themeColor="text1"/>
        </w:rPr>
        <w:t>Problema planteado:</w:t>
      </w:r>
    </w:p>
    <w:p w14:paraId="1C59104D" w14:textId="77777777" w:rsidR="003960F5" w:rsidRPr="006E3E0D" w:rsidRDefault="003960F5" w:rsidP="003960F5">
      <w:pPr>
        <w:tabs>
          <w:tab w:val="left" w:pos="426"/>
        </w:tabs>
        <w:spacing w:after="0" w:line="276" w:lineRule="auto"/>
        <w:jc w:val="both"/>
        <w:rPr>
          <w:rFonts w:ascii="Verdana" w:eastAsia="Century Gothic" w:hAnsi="Verdana" w:cs="Century Gothic"/>
          <w:color w:val="000000" w:themeColor="text1"/>
          <w:lang w:val="es-ES"/>
        </w:rPr>
      </w:pPr>
    </w:p>
    <w:p w14:paraId="1FD31791" w14:textId="1EB54444" w:rsidR="003960F5" w:rsidRPr="006E3E0D" w:rsidRDefault="003960F5" w:rsidP="003960F5">
      <w:pPr>
        <w:spacing w:after="0" w:line="276" w:lineRule="auto"/>
        <w:jc w:val="both"/>
        <w:rPr>
          <w:rFonts w:ascii="Verdana" w:eastAsia="Century Gothic" w:hAnsi="Verdana" w:cs="Century Gothic"/>
          <w:color w:val="000000" w:themeColor="text1"/>
          <w:lang w:val="es-ES"/>
        </w:rPr>
      </w:pPr>
      <w:r w:rsidRPr="006E3E0D">
        <w:rPr>
          <w:rFonts w:ascii="Verdana" w:eastAsia="Century Gothic" w:hAnsi="Verdana" w:cs="Century Gothic"/>
          <w:color w:val="000000" w:themeColor="text1"/>
          <w:lang w:val="es-ES"/>
        </w:rPr>
        <w:t xml:space="preserve">De acuerdo con el contenido de su solicitud, esta Agencia resolverá el siguiente problema jurídico: ¿Pueden las Entidades Estatales establecer requisitos habilitantes que se encuentren relacionados con el Sistema de </w:t>
      </w:r>
      <w:r w:rsidR="006505E0" w:rsidRPr="006E3E0D">
        <w:rPr>
          <w:rFonts w:ascii="Verdana" w:eastAsia="Century Gothic" w:hAnsi="Verdana" w:cs="Century Gothic"/>
          <w:color w:val="000000" w:themeColor="text1"/>
          <w:lang w:val="es-ES"/>
        </w:rPr>
        <w:t>Gestión</w:t>
      </w:r>
      <w:r w:rsidRPr="006E3E0D">
        <w:rPr>
          <w:rFonts w:ascii="Verdana" w:eastAsia="Century Gothic" w:hAnsi="Verdana" w:cs="Century Gothic"/>
          <w:color w:val="000000" w:themeColor="text1"/>
          <w:lang w:val="es-ES"/>
        </w:rPr>
        <w:t xml:space="preserve"> de Seguridad y Salud en el Trabajo (SG-SST)?</w:t>
      </w:r>
    </w:p>
    <w:p w14:paraId="003BD4FF" w14:textId="77777777" w:rsidR="003960F5" w:rsidRPr="006E3E0D" w:rsidRDefault="003960F5" w:rsidP="003960F5">
      <w:pPr>
        <w:spacing w:after="0" w:line="276" w:lineRule="auto"/>
        <w:jc w:val="both"/>
        <w:rPr>
          <w:rFonts w:ascii="Verdana" w:eastAsia="Calibri" w:hAnsi="Verdana" w:cs="Arial"/>
          <w:color w:val="000000" w:themeColor="text1"/>
          <w:lang w:val="es-ES"/>
        </w:rPr>
      </w:pPr>
    </w:p>
    <w:p w14:paraId="1266DA69" w14:textId="77777777" w:rsidR="003960F5" w:rsidRPr="006E3E0D" w:rsidRDefault="003960F5" w:rsidP="003960F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E3E0D">
        <w:rPr>
          <w:rFonts w:ascii="Verdana" w:eastAsia="Century Gothic" w:hAnsi="Verdana" w:cs="Century Gothic"/>
          <w:b/>
          <w:bCs/>
          <w:color w:val="000000" w:themeColor="text1"/>
        </w:rPr>
        <w:t>Respuesta:</w:t>
      </w:r>
    </w:p>
    <w:p w14:paraId="0ED5A239" w14:textId="77777777" w:rsidR="003960F5" w:rsidRPr="006E3E0D" w:rsidRDefault="003960F5" w:rsidP="003960F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60F5" w:rsidRPr="006E3E0D" w14:paraId="644AEDE1" w14:textId="77777777" w:rsidTr="008633A7">
        <w:tc>
          <w:tcPr>
            <w:tcW w:w="8828" w:type="dxa"/>
            <w:shd w:val="clear" w:color="auto" w:fill="auto"/>
          </w:tcPr>
          <w:p w14:paraId="34BD2FC4" w14:textId="26198DC4" w:rsidR="003960F5" w:rsidRPr="006E3E0D" w:rsidRDefault="003960F5" w:rsidP="008633A7">
            <w:pPr>
              <w:spacing w:after="120" w:line="276" w:lineRule="auto"/>
              <w:ind w:right="79"/>
              <w:jc w:val="both"/>
              <w:rPr>
                <w:rFonts w:ascii="Verdana" w:eastAsia="Arial" w:hAnsi="Verdana" w:cs="Arial"/>
                <w:bCs/>
                <w:lang w:val="es-ES"/>
              </w:rPr>
            </w:pPr>
            <w:r w:rsidRPr="006E3E0D">
              <w:rPr>
                <w:rFonts w:ascii="Verdana" w:eastAsia="Arial" w:hAnsi="Verdana" w:cs="Arial"/>
                <w:bCs/>
                <w:lang w:val="es-ES"/>
              </w:rPr>
              <w:t xml:space="preserve">La Ley 1150 de 2007 determinó como requisitos habilitantes la capacidad jurídica, las condiciones de experiencia, la capacidad financiera y la capacidad de organización de los proponentes. Sin embargo, este listado es enunciativo, de manera que corresponde a las Entidades Estatales establecer los requisitos habilitantes que resulten proporcionales y adecuados en cada proceso contractual, según los </w:t>
            </w:r>
            <w:r w:rsidR="000B5EAC">
              <w:rPr>
                <w:rFonts w:ascii="Verdana" w:eastAsia="Arial" w:hAnsi="Verdana" w:cs="Arial"/>
                <w:bCs/>
                <w:lang w:val="es-ES"/>
              </w:rPr>
              <w:t xml:space="preserve">requisitos </w:t>
            </w:r>
            <w:r w:rsidRPr="006E3E0D">
              <w:rPr>
                <w:rFonts w:ascii="Verdana" w:eastAsia="Arial" w:hAnsi="Verdana" w:cs="Arial"/>
                <w:bCs/>
                <w:lang w:val="es-ES"/>
              </w:rPr>
              <w:t>fijados en el Decreto 1082 de 2015. El ejercicio de esta facultad debe cumplir con los parámetros explicados en este concepto y respetar las prohibiciones legales.</w:t>
            </w:r>
          </w:p>
          <w:p w14:paraId="73595221" w14:textId="0D6FD859" w:rsidR="003960F5" w:rsidRPr="006E3E0D" w:rsidRDefault="003960F5" w:rsidP="008633A7">
            <w:pPr>
              <w:spacing w:after="120" w:line="276" w:lineRule="auto"/>
              <w:ind w:right="79" w:firstLine="601"/>
              <w:jc w:val="both"/>
              <w:rPr>
                <w:rFonts w:ascii="Verdana" w:eastAsia="Arial" w:hAnsi="Verdana" w:cs="Arial"/>
                <w:bCs/>
                <w:lang w:val="es-ES"/>
              </w:rPr>
            </w:pPr>
            <w:r w:rsidRPr="006E3E0D">
              <w:rPr>
                <w:rFonts w:ascii="Verdana" w:eastAsia="Arial" w:hAnsi="Verdana" w:cs="Arial"/>
                <w:bCs/>
                <w:lang w:val="es-ES"/>
              </w:rPr>
              <w:t>Teniendo en cuenta que los requisitos habilitantes establecidos en el artículo 5 de la Ley 1150 de 2007 tienen carácter enunciativo, que</w:t>
            </w:r>
            <w:r w:rsidR="00A95B87">
              <w:rPr>
                <w:rFonts w:ascii="Verdana" w:eastAsia="Arial" w:hAnsi="Verdana" w:cs="Arial"/>
                <w:bCs/>
                <w:lang w:val="es-ES"/>
              </w:rPr>
              <w:t xml:space="preserve"> </w:t>
            </w:r>
            <w:r w:rsidRPr="006E3E0D">
              <w:rPr>
                <w:rFonts w:ascii="Verdana" w:eastAsia="Arial" w:hAnsi="Verdana" w:cs="Arial"/>
                <w:bCs/>
                <w:lang w:val="es-ES"/>
              </w:rPr>
              <w:t xml:space="preserve">las entidades tienen la facultad de establecer criterios distintos o adicionales en </w:t>
            </w:r>
            <w:r w:rsidRPr="006E3E0D">
              <w:rPr>
                <w:rFonts w:ascii="Verdana" w:eastAsia="Arial" w:hAnsi="Verdana" w:cs="Arial"/>
                <w:bCs/>
                <w:lang w:val="es-ES"/>
              </w:rPr>
              <w:lastRenderedPageBreak/>
              <w:t>ejercicio de la autonomía de la voluntad, así como lo dispuesto en los artículos 2.2.4.6.4. y 2.2.4.6.28. del Decreto 1072 de 2015 y los artículos 14, 19 y 22 de la Resolución 312 de 2019 emitida por el Ministerio del Trabajo, esta Agencia considera que las Entidades Estatales tienen la potestad para incorporar parámetros o criterios de selección y evaluación en sus Procesos de Contratación que les permitan conocer que los proponentes cuentan con el Sistema de Gestión de Seguridad y Salud en el Trabajo (SG-SST), siempre que lo justifique</w:t>
            </w:r>
            <w:r w:rsidR="00A8001A">
              <w:rPr>
                <w:rFonts w:ascii="Verdana" w:eastAsia="Arial" w:hAnsi="Verdana" w:cs="Arial"/>
                <w:bCs/>
                <w:lang w:val="es-ES"/>
              </w:rPr>
              <w:t>n</w:t>
            </w:r>
            <w:r w:rsidRPr="006E3E0D">
              <w:rPr>
                <w:rFonts w:ascii="Verdana" w:eastAsia="Arial" w:hAnsi="Verdana" w:cs="Arial"/>
                <w:bCs/>
                <w:lang w:val="es-ES"/>
              </w:rPr>
              <w:t xml:space="preserve"> en los estudios previos y el análisis del sector de conformidad con el artículo 2.2.1.1.1.6.2 del Decreto 1082 de 2015.</w:t>
            </w:r>
          </w:p>
          <w:p w14:paraId="58DE540A" w14:textId="7B1DE312" w:rsidR="003960F5" w:rsidRPr="006E3E0D" w:rsidRDefault="00444DF9" w:rsidP="00B34AE9">
            <w:pPr>
              <w:spacing w:line="276" w:lineRule="auto"/>
              <w:ind w:right="79" w:firstLine="709"/>
              <w:jc w:val="both"/>
              <w:rPr>
                <w:rFonts w:ascii="Verdana" w:eastAsia="Arial" w:hAnsi="Verdana" w:cs="Arial"/>
                <w:bCs/>
                <w:lang w:val="es-ES"/>
              </w:rPr>
            </w:pPr>
            <w:r w:rsidRPr="006E3E0D">
              <w:rPr>
                <w:rFonts w:ascii="Verdana" w:eastAsia="Arial" w:hAnsi="Verdana" w:cs="Arial"/>
                <w:bCs/>
                <w:lang w:val="es-ES"/>
              </w:rPr>
              <w:t>En tal sentido,</w:t>
            </w:r>
            <w:r w:rsidR="003C2BBE" w:rsidRPr="006E3E0D">
              <w:rPr>
                <w:rFonts w:ascii="Verdana" w:eastAsia="Arial" w:hAnsi="Verdana" w:cs="Arial"/>
                <w:bCs/>
                <w:lang w:val="es-ES"/>
              </w:rPr>
              <w:t xml:space="preserve"> </w:t>
            </w:r>
            <w:r w:rsidRPr="006E3E0D">
              <w:rPr>
                <w:rFonts w:ascii="Verdana" w:eastAsia="Arial" w:hAnsi="Verdana" w:cs="Arial"/>
                <w:bCs/>
                <w:lang w:val="es-ES"/>
              </w:rPr>
              <w:t>si bien puede</w:t>
            </w:r>
            <w:r w:rsidR="00130558" w:rsidRPr="006E3E0D">
              <w:rPr>
                <w:rFonts w:ascii="Verdana" w:eastAsia="Arial" w:hAnsi="Verdana" w:cs="Arial"/>
                <w:bCs/>
                <w:lang w:val="es-ES"/>
              </w:rPr>
              <w:t xml:space="preserve"> </w:t>
            </w:r>
            <w:r w:rsidR="00C85B37" w:rsidRPr="006E3E0D">
              <w:rPr>
                <w:rFonts w:ascii="Verdana" w:eastAsia="Arial" w:hAnsi="Verdana" w:cs="Arial"/>
                <w:bCs/>
                <w:lang w:val="es-ES"/>
              </w:rPr>
              <w:t>considerase</w:t>
            </w:r>
            <w:r w:rsidR="003C2BBE" w:rsidRPr="006E3E0D">
              <w:rPr>
                <w:rFonts w:ascii="Verdana" w:eastAsia="Arial" w:hAnsi="Verdana" w:cs="Arial"/>
                <w:bCs/>
                <w:lang w:val="es-ES"/>
              </w:rPr>
              <w:t xml:space="preserve"> valida la inclusión de este criterio como requisito</w:t>
            </w:r>
            <w:r w:rsidR="00130558" w:rsidRPr="006E3E0D">
              <w:rPr>
                <w:rFonts w:ascii="Verdana" w:eastAsia="Arial" w:hAnsi="Verdana" w:cs="Arial"/>
                <w:bCs/>
                <w:lang w:val="es-ES"/>
              </w:rPr>
              <w:t xml:space="preserve"> para un proceso de contratación, de </w:t>
            </w:r>
            <w:r w:rsidR="003C2BBE" w:rsidRPr="006E3E0D">
              <w:rPr>
                <w:rFonts w:ascii="Verdana" w:eastAsia="Arial" w:hAnsi="Verdana" w:cs="Arial"/>
                <w:bCs/>
                <w:lang w:val="es-ES"/>
              </w:rPr>
              <w:t>acuerdo con la interpretación expuesta en este concepto, es preciso señalar que su fijación deberá estar precedida de las mismas exigencias que tiene cualquier otro requisito habilitante o de calificación, de manera que su incorporación no puede ser arbitraria y la Entidad Estatal tiene la carga de justificar en los estudios previos y en el análisis del sector del proceso su procedencia, de conformidad con el artículo 2.2.1.1.1.6.2 del Decreto 1082 de 2015. Esto significa que no debe establecerse de forma mecánica en todos los procesos de contratación, sino que la Entidad Estatal deberá realizar un análisis integral de la necesidad identificada, el valor, plazo, el objeto contractual, obligaciones y demás condiciones para determinar si su incorporación como requisito de selección resulta adecuad</w:t>
            </w:r>
            <w:r w:rsidR="00B34AE9">
              <w:rPr>
                <w:rFonts w:ascii="Verdana" w:eastAsia="Arial" w:hAnsi="Verdana" w:cs="Arial"/>
                <w:bCs/>
                <w:lang w:val="es-ES"/>
              </w:rPr>
              <w:t xml:space="preserve">o </w:t>
            </w:r>
            <w:r w:rsidR="003C2BBE" w:rsidRPr="006E3E0D">
              <w:rPr>
                <w:rFonts w:ascii="Verdana" w:eastAsia="Arial" w:hAnsi="Verdana" w:cs="Arial"/>
                <w:bCs/>
                <w:lang w:val="es-ES"/>
              </w:rPr>
              <w:t>y</w:t>
            </w:r>
            <w:r w:rsidR="00130558" w:rsidRPr="006E3E0D">
              <w:rPr>
                <w:rFonts w:ascii="Verdana" w:eastAsia="Arial" w:hAnsi="Verdana" w:cs="Arial"/>
                <w:bCs/>
                <w:lang w:val="es-ES"/>
              </w:rPr>
              <w:t xml:space="preserve"> proporcional en el proceso en el que se pretende aplicar.</w:t>
            </w:r>
          </w:p>
        </w:tc>
      </w:tr>
    </w:tbl>
    <w:p w14:paraId="2994C04F" w14:textId="77777777" w:rsidR="003960F5" w:rsidRPr="006E3E0D" w:rsidRDefault="003960F5" w:rsidP="003960F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AA25BEF" w14:textId="77777777" w:rsidR="003960F5" w:rsidRPr="006E3E0D" w:rsidRDefault="003960F5" w:rsidP="003960F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E3E0D">
        <w:rPr>
          <w:rFonts w:ascii="Verdana" w:eastAsia="Century Gothic" w:hAnsi="Verdana" w:cs="Century Gothic"/>
          <w:b/>
          <w:bCs/>
          <w:color w:val="000000" w:themeColor="text1"/>
        </w:rPr>
        <w:t>Razones de la respuesta:</w:t>
      </w:r>
    </w:p>
    <w:p w14:paraId="51ADB35E" w14:textId="77777777" w:rsidR="003960F5" w:rsidRPr="006E3E0D" w:rsidRDefault="003960F5" w:rsidP="003960F5">
      <w:pPr>
        <w:spacing w:after="0" w:line="276" w:lineRule="auto"/>
        <w:jc w:val="both"/>
        <w:rPr>
          <w:rFonts w:ascii="Verdana" w:eastAsia="Calibri" w:hAnsi="Verdana" w:cs="Arial"/>
          <w:color w:val="000000" w:themeColor="text1"/>
          <w:lang w:val="es-ES"/>
        </w:rPr>
      </w:pPr>
    </w:p>
    <w:p w14:paraId="0FC70B4C" w14:textId="77777777" w:rsidR="003960F5" w:rsidRPr="006E3E0D" w:rsidRDefault="003960F5" w:rsidP="003960F5">
      <w:pPr>
        <w:spacing w:after="0" w:line="276" w:lineRule="auto"/>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 xml:space="preserve">Lo anterior se sustenta en las siguientes consideraciones: </w:t>
      </w:r>
    </w:p>
    <w:p w14:paraId="62091688" w14:textId="77777777" w:rsidR="003960F5" w:rsidRPr="006E3E0D" w:rsidRDefault="003960F5" w:rsidP="003960F5">
      <w:pPr>
        <w:spacing w:after="0" w:line="276" w:lineRule="auto"/>
        <w:jc w:val="both"/>
        <w:rPr>
          <w:rFonts w:ascii="Verdana" w:eastAsia="Calibri" w:hAnsi="Verdana" w:cs="Arial"/>
          <w:color w:val="000000" w:themeColor="text1"/>
          <w:lang w:val="es-ES"/>
        </w:rPr>
      </w:pPr>
    </w:p>
    <w:p w14:paraId="11B25AE4" w14:textId="77777777" w:rsidR="003960F5" w:rsidRPr="006E3E0D" w:rsidRDefault="003960F5" w:rsidP="003960F5">
      <w:pPr>
        <w:spacing w:after="120" w:line="276" w:lineRule="auto"/>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 xml:space="preserve">Los </w:t>
      </w:r>
      <w:r w:rsidRPr="006E3E0D">
        <w:rPr>
          <w:rFonts w:ascii="Verdana" w:eastAsia="Calibri" w:hAnsi="Verdana" w:cs="Arial"/>
          <w:i/>
          <w:iCs/>
          <w:color w:val="000000" w:themeColor="text1"/>
          <w:lang w:val="es-ES"/>
        </w:rPr>
        <w:t>requisitos habilitantes</w:t>
      </w:r>
      <w:r w:rsidRPr="006E3E0D">
        <w:rPr>
          <w:rFonts w:ascii="Verdana" w:eastAsia="Calibri" w:hAnsi="Verdana" w:cs="Arial"/>
          <w:color w:val="000000" w:themeColor="text1"/>
          <w:lang w:val="es-ES"/>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6E3E0D">
        <w:rPr>
          <w:rFonts w:ascii="Verdana" w:eastAsia="Calibri" w:hAnsi="Verdana" w:cs="Arial"/>
          <w:i/>
          <w:iCs/>
          <w:color w:val="000000" w:themeColor="text1"/>
          <w:lang w:val="es-ES"/>
        </w:rPr>
        <w:t>criterios de evaluación</w:t>
      </w:r>
      <w:r w:rsidRPr="006E3E0D">
        <w:rPr>
          <w:rFonts w:ascii="Verdana" w:eastAsia="Calibri" w:hAnsi="Verdana" w:cs="Arial"/>
          <w:color w:val="000000" w:themeColor="text1"/>
          <w:lang w:val="es-ES"/>
        </w:rPr>
        <w:t xml:space="preserve"> –también conocidos como </w:t>
      </w:r>
      <w:r w:rsidRPr="006E3E0D">
        <w:rPr>
          <w:rFonts w:ascii="Verdana" w:eastAsia="Calibri" w:hAnsi="Verdana" w:cs="Arial"/>
          <w:i/>
          <w:iCs/>
          <w:color w:val="000000" w:themeColor="text1"/>
          <w:lang w:val="es-ES"/>
        </w:rPr>
        <w:t>criterios de calificación</w:t>
      </w:r>
      <w:r w:rsidRPr="006E3E0D">
        <w:rPr>
          <w:rFonts w:ascii="Verdana" w:eastAsia="Calibri" w:hAnsi="Verdana" w:cs="Arial"/>
          <w:color w:val="000000" w:themeColor="text1"/>
          <w:lang w:val="es-ES"/>
        </w:rPr>
        <w:t xml:space="preserve">– en que estos son los factores que la Entidad Estatal define para la asignación de puntaje en la comparación de las ofertas y cuya ponderación permite establecer el orden de elegibilidad y, por ende, la propuesta ganadora. </w:t>
      </w:r>
    </w:p>
    <w:p w14:paraId="02559D7F" w14:textId="77777777" w:rsidR="003960F5" w:rsidRPr="006E3E0D" w:rsidRDefault="003960F5" w:rsidP="003960F5">
      <w:pPr>
        <w:spacing w:after="120" w:line="276" w:lineRule="auto"/>
        <w:ind w:firstLine="708"/>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lastRenderedPageBreak/>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2987BB40" w14:textId="77777777" w:rsidR="003960F5" w:rsidRPr="006E3E0D" w:rsidRDefault="003960F5" w:rsidP="003960F5">
      <w:pPr>
        <w:spacing w:before="120"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 xml:space="preserve">El mencionado artículo dispone que es </w:t>
      </w:r>
      <w:r w:rsidRPr="006E3E0D">
        <w:rPr>
          <w:rFonts w:ascii="Verdana" w:eastAsia="Calibri" w:hAnsi="Verdana" w:cs="Arial"/>
          <w:i/>
          <w:iCs/>
          <w:color w:val="000000" w:themeColor="text1"/>
          <w:lang w:val="es-ES"/>
        </w:rPr>
        <w:t>“</w:t>
      </w:r>
      <w:r w:rsidRPr="006E3E0D">
        <w:rPr>
          <w:rFonts w:ascii="Verdana" w:eastAsia="Calibri" w:hAnsi="Verdana" w:cs="Arial"/>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6E3E0D">
        <w:rPr>
          <w:rFonts w:ascii="Verdana" w:eastAsia="Calibri" w:hAnsi="Verdana" w:cs="Arial"/>
          <w:i/>
          <w:iCs/>
          <w:color w:val="000000" w:themeColor="text1"/>
          <w:lang w:val="es-ES"/>
        </w:rPr>
        <w:t>”</w:t>
      </w:r>
      <w:r w:rsidRPr="006E3E0D">
        <w:rPr>
          <w:rFonts w:ascii="Verdana" w:eastAsia="Calibri" w:hAnsi="Verdana" w:cs="Arial"/>
          <w:color w:val="000000" w:themeColor="text1"/>
          <w:lang w:val="es-ES"/>
        </w:rPr>
        <w:t xml:space="preserve">. De este modo, los factores de que establezcan las entidades en los pliegos de condiciones o sus documentos equivalentes deberán tener en cuenta, entre otras cuestiones, lo establecido en esta norma. Específicamente, el numeral 1º del artículo referido establece que en los procesos de selección de contratistas serán objeto de verificación, como requisitos habilitantes, </w:t>
      </w:r>
      <w:r w:rsidRPr="006E3E0D">
        <w:rPr>
          <w:rFonts w:ascii="Verdana" w:eastAsia="Calibri" w:hAnsi="Verdana" w:cs="Arial"/>
          <w:i/>
          <w:iCs/>
          <w:color w:val="000000" w:themeColor="text1"/>
          <w:lang w:val="es-ES"/>
        </w:rPr>
        <w:t>entre otros</w:t>
      </w:r>
      <w:r w:rsidRPr="006E3E0D">
        <w:rPr>
          <w:rFonts w:ascii="Verdana" w:eastAsia="Calibri" w:hAnsi="Verdana" w:cs="Arial"/>
          <w:color w:val="000000" w:themeColor="text1"/>
          <w:lang w:val="es-ES"/>
        </w:rPr>
        <w:t>, los siguientes: (i) la capacidad jurídica, (</w:t>
      </w:r>
      <w:proofErr w:type="spellStart"/>
      <w:r w:rsidRPr="006E3E0D">
        <w:rPr>
          <w:rFonts w:ascii="Verdana" w:eastAsia="Calibri" w:hAnsi="Verdana" w:cs="Arial"/>
          <w:color w:val="000000" w:themeColor="text1"/>
          <w:lang w:val="es-ES"/>
        </w:rPr>
        <w:t>ii</w:t>
      </w:r>
      <w:proofErr w:type="spellEnd"/>
      <w:r w:rsidRPr="006E3E0D">
        <w:rPr>
          <w:rFonts w:ascii="Verdana" w:eastAsia="Calibri" w:hAnsi="Verdana" w:cs="Arial"/>
          <w:color w:val="000000" w:themeColor="text1"/>
          <w:lang w:val="es-ES"/>
        </w:rPr>
        <w:t>) la experiencia, (</w:t>
      </w:r>
      <w:proofErr w:type="spellStart"/>
      <w:r w:rsidRPr="006E3E0D">
        <w:rPr>
          <w:rFonts w:ascii="Verdana" w:eastAsia="Calibri" w:hAnsi="Verdana" w:cs="Arial"/>
          <w:color w:val="000000" w:themeColor="text1"/>
          <w:lang w:val="es-ES"/>
        </w:rPr>
        <w:t>iii</w:t>
      </w:r>
      <w:proofErr w:type="spellEnd"/>
      <w:r w:rsidRPr="006E3E0D">
        <w:rPr>
          <w:rFonts w:ascii="Verdana" w:eastAsia="Calibri" w:hAnsi="Verdana" w:cs="Arial"/>
          <w:color w:val="000000" w:themeColor="text1"/>
          <w:lang w:val="es-ES"/>
        </w:rPr>
        <w:t>) la capacidad financiera y (</w:t>
      </w:r>
      <w:proofErr w:type="spellStart"/>
      <w:r w:rsidRPr="006E3E0D">
        <w:rPr>
          <w:rFonts w:ascii="Verdana" w:eastAsia="Calibri" w:hAnsi="Verdana" w:cs="Arial"/>
          <w:color w:val="000000" w:themeColor="text1"/>
          <w:lang w:val="es-ES"/>
        </w:rPr>
        <w:t>iv</w:t>
      </w:r>
      <w:proofErr w:type="spellEnd"/>
      <w:r w:rsidRPr="006E3E0D">
        <w:rPr>
          <w:rFonts w:ascii="Verdana" w:eastAsia="Calibri" w:hAnsi="Verdana" w:cs="Arial"/>
          <w:color w:val="000000" w:themeColor="text1"/>
          <w:lang w:val="es-ES"/>
        </w:rPr>
        <w:t xml:space="preserve">) la capacidad de organización. Al respecto, la norma citada dispone: </w:t>
      </w:r>
    </w:p>
    <w:p w14:paraId="57273CE0" w14:textId="77777777" w:rsidR="003960F5" w:rsidRPr="006E3E0D" w:rsidRDefault="003960F5" w:rsidP="003960F5">
      <w:pPr>
        <w:spacing w:line="240" w:lineRule="auto"/>
        <w:ind w:left="709" w:right="709"/>
        <w:jc w:val="both"/>
        <w:rPr>
          <w:rFonts w:ascii="Verdana" w:eastAsia="Calibri" w:hAnsi="Verdana" w:cs="Arial"/>
          <w:color w:val="000000" w:themeColor="text1"/>
          <w:sz w:val="21"/>
          <w:szCs w:val="21"/>
          <w:lang w:val="es-ES"/>
        </w:rPr>
      </w:pPr>
      <w:r w:rsidRPr="006E3E0D">
        <w:rPr>
          <w:rFonts w:ascii="Verdana" w:eastAsia="Calibri" w:hAnsi="Verdana" w:cs="Arial"/>
          <w:color w:val="000000" w:themeColor="text1"/>
          <w:sz w:val="21"/>
          <w:szCs w:val="21"/>
          <w:lang w:val="es-ES"/>
        </w:rPr>
        <w:t xml:space="preserve">“Artículo 5. De la Selección Objetiva. </w:t>
      </w:r>
    </w:p>
    <w:p w14:paraId="175737D1" w14:textId="77777777" w:rsidR="003960F5" w:rsidRPr="006E3E0D" w:rsidRDefault="003960F5" w:rsidP="003960F5">
      <w:pPr>
        <w:spacing w:after="120" w:line="240" w:lineRule="auto"/>
        <w:ind w:left="709" w:right="709"/>
        <w:jc w:val="both"/>
        <w:rPr>
          <w:rFonts w:ascii="Verdana" w:eastAsia="Calibri" w:hAnsi="Verdana" w:cs="Arial"/>
          <w:color w:val="000000" w:themeColor="text1"/>
          <w:sz w:val="21"/>
          <w:szCs w:val="21"/>
          <w:lang w:val="es-ES"/>
        </w:rPr>
      </w:pPr>
      <w:r w:rsidRPr="006E3E0D">
        <w:rPr>
          <w:rFonts w:ascii="Verdana" w:eastAsia="Calibri" w:hAnsi="Verdana" w:cs="Arial"/>
          <w:color w:val="000000" w:themeColor="text1"/>
          <w:sz w:val="21"/>
          <w:szCs w:val="21"/>
          <w:lang w:val="es-ES"/>
        </w:rPr>
        <w:t>[…]</w:t>
      </w:r>
    </w:p>
    <w:p w14:paraId="0805099F" w14:textId="77777777" w:rsidR="003960F5" w:rsidRPr="006E3E0D" w:rsidRDefault="003960F5" w:rsidP="003960F5">
      <w:pPr>
        <w:spacing w:after="120" w:line="240" w:lineRule="auto"/>
        <w:ind w:left="709" w:right="709"/>
        <w:jc w:val="both"/>
        <w:rPr>
          <w:rFonts w:ascii="Verdana" w:eastAsia="Calibri" w:hAnsi="Verdana" w:cs="Arial"/>
          <w:color w:val="000000" w:themeColor="text1"/>
          <w:sz w:val="21"/>
          <w:szCs w:val="21"/>
          <w:lang w:val="es-ES"/>
        </w:rPr>
      </w:pPr>
      <w:r w:rsidRPr="006E3E0D">
        <w:rPr>
          <w:rFonts w:ascii="Verdana" w:eastAsia="Calibri" w:hAnsi="Verdana" w:cs="Arial"/>
          <w:color w:val="000000" w:themeColor="text1"/>
          <w:sz w:val="21"/>
          <w:szCs w:val="21"/>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444ED12F" w14:textId="77777777" w:rsidR="003960F5" w:rsidRPr="006E3E0D" w:rsidRDefault="003960F5" w:rsidP="003960F5">
      <w:pPr>
        <w:spacing w:line="276" w:lineRule="auto"/>
        <w:ind w:firstLine="708"/>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 xml:space="preserve">Conforme lo ha sostenido esta Agencia en distintos conceptos, los requisitos habilitantes establecidos en el artículo 5, numeral 1, de la Ley 1150 de 2007 son de carácter </w:t>
      </w:r>
      <w:r w:rsidRPr="006E3E0D">
        <w:rPr>
          <w:rFonts w:ascii="Verdana" w:eastAsia="Calibri" w:hAnsi="Verdana" w:cs="Arial"/>
          <w:i/>
          <w:iCs/>
          <w:color w:val="000000" w:themeColor="text1"/>
          <w:lang w:val="es-ES"/>
        </w:rPr>
        <w:t xml:space="preserve">enunciativo </w:t>
      </w:r>
      <w:r w:rsidRPr="006E3E0D">
        <w:rPr>
          <w:rFonts w:ascii="Verdana" w:eastAsia="Calibri" w:hAnsi="Verdana" w:cs="Arial"/>
          <w:color w:val="000000" w:themeColor="text1"/>
          <w:lang w:val="es-ES"/>
        </w:rPr>
        <w:t xml:space="preserve">y no taxativo. Esta interpretación legal se resume en los siguientes argumentos: por un lado, esta norma no contiene una </w:t>
      </w:r>
      <w:r w:rsidRPr="006E3E0D">
        <w:rPr>
          <w:rFonts w:ascii="Verdana" w:eastAsia="Calibri" w:hAnsi="Verdana" w:cs="Arial"/>
          <w:color w:val="000000" w:themeColor="text1"/>
          <w:lang w:val="es-ES"/>
        </w:rPr>
        <w:lastRenderedPageBreak/>
        <w:t>expresión como “únicamente” o “solo” al referirse a los requisitos habilitantes, sino que se refiere de forma taxativa a que el listado puede comprender los requisitos enunciados “entre otros”; por otra parte, una lectura integral de las normas que regulan la contratación estatal permite concluir que existen otras condiciones que los proponentes deben cumplir para la contratación con una Entidad Estatal, como es el caso de la capacidad residual a la que se refiere el artículo 6º de la Ley 1150 de 2007</w:t>
      </w:r>
      <w:r w:rsidRPr="006E3E0D">
        <w:rPr>
          <w:rStyle w:val="FootnoteReference"/>
          <w:rFonts w:ascii="Verdana" w:eastAsia="Calibri" w:hAnsi="Verdana" w:cs="Arial"/>
          <w:color w:val="000000" w:themeColor="text1"/>
          <w:lang w:val="es-ES"/>
        </w:rPr>
        <w:footnoteReference w:id="2"/>
      </w:r>
      <w:r w:rsidRPr="006E3E0D">
        <w:rPr>
          <w:rFonts w:ascii="Verdana" w:eastAsia="Calibri" w:hAnsi="Verdana" w:cs="Arial"/>
          <w:color w:val="000000" w:themeColor="text1"/>
          <w:lang w:val="es-ES"/>
        </w:rPr>
        <w:t>.</w:t>
      </w:r>
    </w:p>
    <w:p w14:paraId="1EBBC94D" w14:textId="045757BD" w:rsidR="003960F5" w:rsidRPr="006E3E0D" w:rsidRDefault="003960F5" w:rsidP="003960F5">
      <w:pPr>
        <w:spacing w:line="276" w:lineRule="auto"/>
        <w:ind w:firstLine="708"/>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Además, la intención del legislador, de la cual dan cuenta los antecedentes legislativos de la norma sub examine</w:t>
      </w:r>
      <w:r w:rsidRPr="006E3E0D">
        <w:rPr>
          <w:rStyle w:val="FootnoteReference"/>
          <w:rFonts w:ascii="Verdana" w:eastAsia="Calibri" w:hAnsi="Verdana" w:cs="Arial"/>
          <w:color w:val="000000" w:themeColor="text1"/>
          <w:lang w:val="es-ES"/>
        </w:rPr>
        <w:footnoteReference w:id="3"/>
      </w:r>
      <w:r w:rsidRPr="006E3E0D">
        <w:rPr>
          <w:rFonts w:ascii="Verdana" w:eastAsia="Calibri" w:hAnsi="Verdana" w:cs="Arial"/>
          <w:color w:val="000000" w:themeColor="text1"/>
          <w:lang w:val="es-ES"/>
        </w:rPr>
        <w:t xml:space="preserve">, también justifica la interpretación propuesta por esta Agencia, ya que solo hasta el cuarto debate legislativo se incluyó </w:t>
      </w:r>
      <w:r w:rsidR="004355DD">
        <w:rPr>
          <w:rFonts w:ascii="Verdana" w:eastAsia="Calibri" w:hAnsi="Verdana" w:cs="Arial"/>
          <w:color w:val="000000" w:themeColor="text1"/>
          <w:lang w:val="es-ES"/>
        </w:rPr>
        <w:t xml:space="preserve">el </w:t>
      </w:r>
      <w:r w:rsidRPr="006E3E0D">
        <w:rPr>
          <w:rFonts w:ascii="Verdana" w:eastAsia="Calibri" w:hAnsi="Verdana" w:cs="Arial"/>
          <w:color w:val="000000" w:themeColor="text1"/>
          <w:lang w:val="es-ES"/>
        </w:rPr>
        <w:t>parágrafo 2 del artículo 5 de la Ley 1150 de 2007</w:t>
      </w:r>
      <w:r w:rsidRPr="006E3E0D">
        <w:rPr>
          <w:rStyle w:val="FootnoteReference"/>
          <w:rFonts w:ascii="Verdana" w:eastAsia="Calibri" w:hAnsi="Verdana" w:cs="Arial"/>
          <w:color w:val="000000" w:themeColor="text1"/>
          <w:lang w:val="es-ES"/>
        </w:rPr>
        <w:footnoteReference w:id="4"/>
      </w:r>
      <w:r w:rsidRPr="006E3E0D">
        <w:rPr>
          <w:rFonts w:ascii="Verdana" w:eastAsia="Calibri" w:hAnsi="Verdana" w:cs="Arial"/>
          <w:color w:val="000000" w:themeColor="text1"/>
          <w:lang w:val="es-ES"/>
        </w:rPr>
        <w:t>, lo cual evidencia la necesidad que tenía el Congreso de aclarar que ciertos documentos no podrían ser tenidos como requisitos habilitantes. Esto igualmente evidencia el reconocimiento tácito de la existencia de otros requisitos habilitantes, distintos a los cuatro que establece el artículo 5 de la Ley 1150 de 2007</w:t>
      </w:r>
      <w:r w:rsidRPr="006E3E0D">
        <w:rPr>
          <w:rStyle w:val="FootnoteReference"/>
          <w:rFonts w:ascii="Verdana" w:eastAsia="Calibri" w:hAnsi="Verdana" w:cs="Arial"/>
          <w:color w:val="000000" w:themeColor="text1"/>
          <w:lang w:val="es-ES"/>
        </w:rPr>
        <w:footnoteReference w:id="5"/>
      </w:r>
      <w:r w:rsidRPr="006E3E0D">
        <w:rPr>
          <w:rFonts w:ascii="Verdana" w:eastAsia="Calibri" w:hAnsi="Verdana" w:cs="Arial"/>
          <w:color w:val="000000" w:themeColor="text1"/>
          <w:lang w:val="es-ES"/>
        </w:rPr>
        <w:t xml:space="preserve">. </w:t>
      </w:r>
    </w:p>
    <w:p w14:paraId="25263E8E" w14:textId="1D3635D5" w:rsidR="003960F5" w:rsidRPr="006E3E0D" w:rsidRDefault="003960F5" w:rsidP="003960F5">
      <w:pPr>
        <w:spacing w:line="276" w:lineRule="auto"/>
        <w:ind w:firstLine="708"/>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lastRenderedPageBreak/>
        <w:t xml:space="preserve">Por último, el “Manual para determinar y verificar los requisitos habilitantes en los Procesos de Contratación” expedido por esta Agencia determina los parámetros para establecer, acreditar y subsanar los requisitos habilitantes estudiados en los párrafos precedentes e indica que su propósito consiste en “establecer unas </w:t>
      </w:r>
      <w:r w:rsidRPr="006E3E0D">
        <w:rPr>
          <w:rFonts w:ascii="Verdana" w:eastAsia="Calibri" w:hAnsi="Verdana" w:cs="Arial"/>
          <w:i/>
          <w:iCs/>
          <w:color w:val="000000" w:themeColor="text1"/>
          <w:lang w:val="es-ES"/>
        </w:rPr>
        <w:t>condiciones mínimas</w:t>
      </w:r>
      <w:r w:rsidRPr="006E3E0D">
        <w:rPr>
          <w:rFonts w:ascii="Verdana" w:eastAsia="Calibri" w:hAnsi="Verdana" w:cs="Arial"/>
          <w:color w:val="000000" w:themeColor="text1"/>
          <w:lang w:val="es-ES"/>
        </w:rPr>
        <w:t xml:space="preserve">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w:t>
      </w:r>
      <w:r w:rsidR="00D24A3F">
        <w:rPr>
          <w:rFonts w:ascii="Verdana" w:eastAsia="Calibri" w:hAnsi="Verdana" w:cs="Arial"/>
          <w:color w:val="000000" w:themeColor="text1"/>
          <w:lang w:val="es-ES"/>
        </w:rPr>
        <w:t xml:space="preserve"> y</w:t>
      </w:r>
      <w:r w:rsidRPr="006E3E0D">
        <w:rPr>
          <w:rFonts w:ascii="Verdana" w:eastAsia="Calibri" w:hAnsi="Verdana" w:cs="Arial"/>
          <w:color w:val="000000" w:themeColor="text1"/>
          <w:lang w:val="es-ES"/>
        </w:rPr>
        <w:t xml:space="preserve"> el presupuesto oficial, entre otros factores.</w:t>
      </w:r>
    </w:p>
    <w:p w14:paraId="2C6D1DDB" w14:textId="4356BBF8" w:rsidR="003960F5" w:rsidRPr="006E3E0D" w:rsidRDefault="003960F5" w:rsidP="000F665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 xml:space="preserve">En consecuencia, corresponde a las entidades estatales, durante la etapa de planeación del contrato estatal, estudiar y determinar los requisitos habilitantes que establecerán en los pliegos de condiciones, los cuales deben fijarse de forma adecuada y proporcional. Según el artículo 2.2.1.1.1.6.2 del Decreto 1082 de 2015, las entidades deben hacer lo anterior de acuerdo </w:t>
      </w:r>
      <w:bookmarkStart w:id="2" w:name="_Hlk182863897"/>
      <w:r w:rsidRPr="006E3E0D">
        <w:rPr>
          <w:rFonts w:ascii="Verdana" w:eastAsia="Calibri" w:hAnsi="Verdana" w:cs="Arial"/>
          <w:color w:val="000000" w:themeColor="text1"/>
          <w:lang w:val="es-ES"/>
        </w:rPr>
        <w:t>con la naturaleza, el valor del contrato, la forma de pago, los riesgos asociados al contrato, el plazo y la complejidad de ejecución del objeto</w:t>
      </w:r>
      <w:r w:rsidRPr="006E3E0D">
        <w:rPr>
          <w:rStyle w:val="FootnoteReference"/>
          <w:rFonts w:ascii="Verdana" w:eastAsia="Calibri" w:hAnsi="Verdana" w:cs="Arial"/>
          <w:color w:val="000000" w:themeColor="text1"/>
          <w:lang w:val="es-ES"/>
        </w:rPr>
        <w:footnoteReference w:id="6"/>
      </w:r>
      <w:r w:rsidRPr="006E3E0D">
        <w:rPr>
          <w:rFonts w:ascii="Verdana" w:eastAsia="Calibri" w:hAnsi="Verdana" w:cs="Arial"/>
          <w:color w:val="000000" w:themeColor="text1"/>
          <w:lang w:val="es-ES"/>
        </w:rPr>
        <w:t>.</w:t>
      </w:r>
      <w:bookmarkEnd w:id="2"/>
      <w:r w:rsidR="000F6655">
        <w:rPr>
          <w:rFonts w:ascii="Verdana" w:eastAsia="Calibri" w:hAnsi="Verdana" w:cs="Arial"/>
          <w:color w:val="000000" w:themeColor="text1"/>
          <w:lang w:val="es-ES"/>
        </w:rPr>
        <w:t xml:space="preserve"> </w:t>
      </w:r>
      <w:r w:rsidRPr="006E3E0D">
        <w:rPr>
          <w:rFonts w:ascii="Verdana" w:eastAsia="Calibri" w:hAnsi="Verdana" w:cs="Arial"/>
          <w:color w:val="000000" w:themeColor="text1"/>
          <w:lang w:val="es-ES"/>
        </w:rPr>
        <w:t xml:space="preserve">De esta manera, la facultad de establecer los requisitos habilitantes no puede ejercerse de forma arbitraria, caprichosa, ni con el ánimo de direccionar el proceso de contratación o favorecer (directa o indirectamente) a alguno de los proponentes. Tampoco pueden ejercer esta facultad desconociendo límites legales, como, por ejemplo, el que estable el parágrafo 2 del artículo 5 de la Ley 1150 de 2007 sobre la prohibición de exigir certificaciones de sistemas de gestión de calidad como requisito habilitante. </w:t>
      </w:r>
    </w:p>
    <w:p w14:paraId="711F154D" w14:textId="4CB8DCF4"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 xml:space="preserve">Al respecto, en la Sentencia C-004 de 2017, la Corte Constitucional señaló que la determinación de las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 De manera que </w:t>
      </w:r>
      <w:r w:rsidRPr="006E3E0D">
        <w:rPr>
          <w:rFonts w:ascii="Verdana" w:eastAsia="Calibri" w:hAnsi="Verdana" w:cs="Arial"/>
          <w:color w:val="000000" w:themeColor="text1"/>
          <w:lang w:val="es-ES"/>
        </w:rPr>
        <w:lastRenderedPageBreak/>
        <w:t>corresponde a cada entidad determinar de manera proporcional y adecuada los requisitos mínimos exigibles a los proponentes para participar en el proceso de contratación e</w:t>
      </w:r>
      <w:r w:rsidR="000F6655">
        <w:rPr>
          <w:rFonts w:ascii="Verdana" w:eastAsia="Calibri" w:hAnsi="Verdana" w:cs="Arial"/>
          <w:color w:val="000000" w:themeColor="text1"/>
          <w:lang w:val="es-ES"/>
        </w:rPr>
        <w:t>specífico</w:t>
      </w:r>
      <w:r w:rsidRPr="006E3E0D">
        <w:rPr>
          <w:rFonts w:ascii="Verdana" w:eastAsia="Calibri" w:hAnsi="Verdana" w:cs="Arial"/>
          <w:color w:val="000000" w:themeColor="text1"/>
          <w:lang w:val="es-ES"/>
        </w:rPr>
        <w:t xml:space="preserve">. </w:t>
      </w:r>
    </w:p>
    <w:p w14:paraId="50811465"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En este sentido, el principio de autonomía de la voluntad, reconocido en los artículos 13, 32 y 40 de la Ley 80 de 1993 para las entidades sometidas al Estatuto General de Contratación de la Administración Pública, y en el artículo 1602 del Código Civil para las exceptuadas, es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allí señalados, por regla general, no otorgarán puntaje; pero este enunciado no debe interpretarse en el sentido de que las entidades pueden exigir única y exclusivamente los requisitos habilitantes enlistados en el artículo. Esta lectura negaría la autonomía reconocida a los órganos del Estado para construir el pliego de condiciones y definir los requisitos que deben reunir los oferentes según el resultado de los estudios previos, en armonía con los principios de legalidad y proporcionalidad.</w:t>
      </w:r>
    </w:p>
    <w:p w14:paraId="02F8566A"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En consecuencia, la Entidad Estatal tiene la carga de justificar en los estudios previos y análisis del sector del proceso de selección los requisitos habilitantes que establezca, de conformidad con el artículo 2.2.1.1.1.6.2 del Decreto 1082 de 2015.</w:t>
      </w:r>
    </w:p>
    <w:p w14:paraId="0C17CD52"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 xml:space="preserve">En conclusión, aunque la Ley 1150 de 2007 estableció la capacidad jurídica, las condiciones de experiencia, la capacidad financiera y la capacidad de organización como requisitos habilitantes, este listado no es taxativo. Corresponde a la Entidad Estatal establecerlos en cada proceso contractual, justificando su procedencia y siguiendo los parámetros fijados en el Decreto 1082 de 2015. Una vez establecidos los requisitos habilitantes, quienes presenten ofertas deben acreditar que cumplen con ellos, so pena de que sus </w:t>
      </w:r>
      <w:r w:rsidRPr="006E3E0D">
        <w:rPr>
          <w:rFonts w:ascii="Verdana" w:eastAsia="Calibri" w:hAnsi="Verdana" w:cs="Arial"/>
          <w:color w:val="000000" w:themeColor="text1"/>
          <w:lang w:val="es-ES"/>
        </w:rPr>
        <w:lastRenderedPageBreak/>
        <w:t>propuestas sean rechazadas, sin perjuicio de la posibilidad de subsanarlas, cuando a ello haya lugar.</w:t>
      </w:r>
    </w:p>
    <w:p w14:paraId="082C67BC" w14:textId="3672630C"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Ahora bien, para analizar la posibilidad de establecer como requisito habilitante de un proceso de contratación</w:t>
      </w:r>
      <w:r w:rsidRPr="006E3E0D">
        <w:rPr>
          <w:rFonts w:ascii="ArialMT" w:eastAsia="Times New Roman" w:hAnsi="ArialMT" w:cs="Times New Roman"/>
          <w:lang w:val="es-ES"/>
        </w:rPr>
        <w:t xml:space="preserve"> </w:t>
      </w:r>
      <w:r w:rsidRPr="006E3E0D">
        <w:rPr>
          <w:rFonts w:ascii="Verdana" w:eastAsia="Calibri" w:hAnsi="Verdana" w:cs="Arial"/>
          <w:color w:val="000000" w:themeColor="text1"/>
          <w:lang w:val="es-ES"/>
        </w:rPr>
        <w:t>un nivel de implementación del Sistema de Gestión de Seguridad y Salud en el Trabajo (SG-SST), es indispensable hacer referencia a su regulación en el ordenamiento jurídico. El artículo 1 de la Ley 1562 de 2012, que modificó el Sistema de Riesgos Laborales, contempló que el programa de salud ocupacional en adelante se conocería como el Sistema de Gestión de la Seguridad y Salud en el Trabajo, definido como un “Sistema consiste en el desarrollo de un 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salud en el trabajo.”</w:t>
      </w:r>
    </w:p>
    <w:p w14:paraId="2A945076"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 xml:space="preserve">Por su parte, el Decreto 1443 de 2014, compilado posteriormente en el capítulo 6 del Decreto 1072 de 2015, “por medio del cual se expidió el Decreto Reglamentario del Sector Trabajo”, definió las directrices para la implementación del SG-SST. En particular, el artículo 2.2.4.6.4. del Decreto 1072 de 2015 dispuso que </w:t>
      </w:r>
      <w:bookmarkStart w:id="3" w:name="_Hlk182775658"/>
      <w:r w:rsidRPr="006E3E0D">
        <w:rPr>
          <w:rFonts w:ascii="Verdana" w:eastAsia="Calibri" w:hAnsi="Verdana" w:cs="Arial"/>
          <w:color w:val="000000" w:themeColor="text1"/>
          <w:lang w:val="es-ES"/>
        </w:rPr>
        <w:t xml:space="preserve">el Sistema de Gestión de Seguridad y Salud en el Trabajo </w:t>
      </w:r>
      <w:bookmarkEnd w:id="3"/>
      <w:r w:rsidRPr="006E3E0D">
        <w:rPr>
          <w:rFonts w:ascii="Verdana" w:eastAsia="Calibri" w:hAnsi="Verdana" w:cs="Arial"/>
          <w:color w:val="000000" w:themeColor="text1"/>
          <w:lang w:val="es-ES"/>
        </w:rPr>
        <w:t xml:space="preserve">debe ser liderado e implementado por el empleador o contratante, con la participación de los trabajadores y/o contratistas. Para ello, el artículo estableció que los empleadores o contratantes, entre los que se encuentran las Entidades Estatales, deben garantizar la implementación, mantenimiento y mejora continua del SG-SST en sus contratistas. </w:t>
      </w:r>
    </w:p>
    <w:p w14:paraId="16DF79CB"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color w:val="000000" w:themeColor="text1"/>
          <w:lang w:val="es-ES"/>
        </w:rPr>
        <w:t>Para esto,</w:t>
      </w:r>
      <w:r w:rsidRPr="006E3E0D">
        <w:rPr>
          <w:lang w:val="es-ES"/>
        </w:rPr>
        <w:t xml:space="preserve"> </w:t>
      </w:r>
      <w:r w:rsidRPr="006E3E0D">
        <w:rPr>
          <w:rFonts w:ascii="Verdana" w:eastAsia="Calibri" w:hAnsi="Verdana" w:cs="Arial"/>
          <w:color w:val="000000" w:themeColor="text1"/>
          <w:lang w:val="es-ES"/>
        </w:rPr>
        <w:t xml:space="preserve">el parágrafo 1º </w:t>
      </w:r>
      <w:r w:rsidRPr="006E3E0D">
        <w:rPr>
          <w:rFonts w:ascii="Verdana" w:eastAsia="Calibri" w:hAnsi="Verdana" w:cs="Arial"/>
          <w:i/>
          <w:iCs/>
          <w:color w:val="000000" w:themeColor="text1"/>
          <w:lang w:val="es-ES"/>
        </w:rPr>
        <w:t>ibidem</w:t>
      </w:r>
      <w:r w:rsidRPr="006E3E0D">
        <w:rPr>
          <w:rFonts w:ascii="Verdana" w:eastAsia="Calibri" w:hAnsi="Verdana" w:cs="Arial"/>
          <w:color w:val="000000" w:themeColor="text1"/>
          <w:lang w:val="es-ES"/>
        </w:rPr>
        <w:t xml:space="preserve"> estableció que el Ministerio del Trabajo, o quien haga sus veces, determinaría de manera progresiva los estándares que hacen parte de los componentes del SG-SST, de conformidad con el desarrollo y avances técnicos y científicos del sector y del país, realizando los ajustes y actualizaciones a que haya lugar. También dispuso que dichos estándares deberán ser implementados por los integrantes del Sistema General de Riesgos Laborales en las fases y dentro de las fechas que al respecto defina el Ministerio de Trabajo. Por su parte, el parágrafo 2° dispuso que “</w:t>
      </w:r>
      <w:bookmarkStart w:id="4" w:name="_Hlk182833290"/>
      <w:r w:rsidRPr="00AD06CE">
        <w:rPr>
          <w:rFonts w:ascii="Verdana" w:eastAsia="Calibri" w:hAnsi="Verdana" w:cs="Arial"/>
          <w:i/>
          <w:iCs/>
          <w:color w:val="000000" w:themeColor="text1"/>
          <w:lang w:val="es-ES"/>
        </w:rPr>
        <w:t>Dentro de los parámetros de selección y evaluación de proveedores y contratistas</w:t>
      </w:r>
      <w:bookmarkEnd w:id="4"/>
      <w:r w:rsidRPr="00AD06CE">
        <w:rPr>
          <w:rFonts w:ascii="Verdana" w:eastAsia="Calibri" w:hAnsi="Verdana" w:cs="Arial"/>
          <w:i/>
          <w:iCs/>
          <w:color w:val="000000" w:themeColor="text1"/>
          <w:lang w:val="es-ES"/>
        </w:rPr>
        <w:t>, el contratante podrá incluir criterios que le permitan conocer que la empresa a contratar cuente con el Sistema de Gestión de la Seguridad y Salud en el Trabajo (SG-SST)</w:t>
      </w:r>
      <w:r w:rsidRPr="006E3E0D">
        <w:rPr>
          <w:rFonts w:ascii="Verdana" w:eastAsia="Calibri" w:hAnsi="Verdana" w:cs="Arial"/>
          <w:color w:val="000000" w:themeColor="text1"/>
          <w:lang w:val="es-ES"/>
        </w:rPr>
        <w:t>”.</w:t>
      </w:r>
    </w:p>
    <w:p w14:paraId="165012CD" w14:textId="035D5B39" w:rsidR="003960F5" w:rsidRPr="006E3E0D" w:rsidRDefault="003960F5" w:rsidP="003960F5">
      <w:pPr>
        <w:spacing w:before="120" w:after="120" w:line="276" w:lineRule="auto"/>
        <w:ind w:firstLine="709"/>
        <w:jc w:val="both"/>
        <w:rPr>
          <w:rFonts w:ascii="Verdana" w:eastAsia="Calibri" w:hAnsi="Verdana" w:cs="Arial"/>
          <w:lang w:val="es-ES"/>
        </w:rPr>
      </w:pPr>
      <w:r w:rsidRPr="006E3E0D">
        <w:rPr>
          <w:rFonts w:ascii="Verdana" w:eastAsia="Calibri" w:hAnsi="Verdana" w:cs="Arial"/>
          <w:lang w:val="es-ES"/>
        </w:rPr>
        <w:lastRenderedPageBreak/>
        <w:t>Con base en dicho marco normativo, el Ministerio del Trabajo expidió la Resolución 312 del 13 de febrero de 2019, mediante la cual se defini</w:t>
      </w:r>
      <w:r w:rsidR="00EF0211">
        <w:rPr>
          <w:rFonts w:ascii="Verdana" w:eastAsia="Calibri" w:hAnsi="Verdana" w:cs="Arial"/>
          <w:lang w:val="es-ES"/>
        </w:rPr>
        <w:t>ó</w:t>
      </w:r>
      <w:r w:rsidRPr="006E3E0D">
        <w:rPr>
          <w:rFonts w:ascii="Verdana" w:eastAsia="Calibri" w:hAnsi="Verdana" w:cs="Arial"/>
          <w:lang w:val="es-ES"/>
        </w:rPr>
        <w:t xml:space="preserve"> los estándares mínimos del SG-SST. En los artículos 14 y 19, la Resolución dispuso los parámetros de selección y evaluación de proveedores y contratistas que pueden incluir los contratantes en sus procesos de selección, lo cual incluye los procesos de contratación que adelanten las Entidades Estatales. </w:t>
      </w:r>
    </w:p>
    <w:p w14:paraId="18EE02D7" w14:textId="7E25E96A" w:rsidR="003960F5" w:rsidRPr="006E3E0D" w:rsidRDefault="003960F5" w:rsidP="003960F5">
      <w:pPr>
        <w:spacing w:before="120" w:after="120" w:line="276" w:lineRule="auto"/>
        <w:ind w:firstLine="709"/>
        <w:jc w:val="both"/>
        <w:rPr>
          <w:rFonts w:ascii="Verdana" w:eastAsia="Calibri" w:hAnsi="Verdana" w:cs="Arial"/>
          <w:lang w:val="es-ES"/>
        </w:rPr>
      </w:pPr>
      <w:r w:rsidRPr="006E3E0D">
        <w:rPr>
          <w:rFonts w:ascii="Verdana" w:eastAsia="Calibri" w:hAnsi="Verdana" w:cs="Arial"/>
          <w:lang w:val="es-ES"/>
        </w:rPr>
        <w:t>A criterio de es</w:t>
      </w:r>
      <w:r w:rsidR="0007639B">
        <w:rPr>
          <w:rFonts w:ascii="Verdana" w:eastAsia="Calibri" w:hAnsi="Verdana" w:cs="Arial"/>
          <w:lang w:val="es-ES"/>
        </w:rPr>
        <w:t>t</w:t>
      </w:r>
      <w:r w:rsidRPr="006E3E0D">
        <w:rPr>
          <w:rFonts w:ascii="Verdana" w:eastAsia="Calibri" w:hAnsi="Verdana" w:cs="Arial"/>
          <w:lang w:val="es-ES"/>
        </w:rPr>
        <w:t>a Agencia, la inclusión de este tipo de requisitos habilitantes es procedente siempre y cuando los criterios permitan identificar que el proveedor o contratista cumple con los Estándares Mínimos del Sistema de Gestión de Seguridad y Salud en el Trabajo SG-SST. En este sentido, los requisitos no deben ir en contra de lo dispuesto en el parágrafo 2° del artículo 5 de la Ley 1150 de 2007, según el cual, las Entidades Estatales no pueden requerir en sus procesos de selección certificaciones de sistemas de gestión de calidad.</w:t>
      </w:r>
    </w:p>
    <w:p w14:paraId="7DEFA6B4" w14:textId="18BDDDD5" w:rsidR="003960F5" w:rsidRPr="006E3E0D" w:rsidRDefault="003960F5" w:rsidP="003960F5">
      <w:pPr>
        <w:spacing w:before="120" w:after="120" w:line="276" w:lineRule="auto"/>
        <w:ind w:firstLine="709"/>
        <w:jc w:val="both"/>
        <w:rPr>
          <w:rFonts w:ascii="Verdana" w:eastAsia="Calibri" w:hAnsi="Verdana" w:cs="Arial"/>
          <w:lang w:val="es-ES"/>
        </w:rPr>
      </w:pPr>
      <w:r w:rsidRPr="006E3E0D">
        <w:rPr>
          <w:rFonts w:ascii="Verdana" w:eastAsia="Calibri" w:hAnsi="Verdana" w:cs="Arial"/>
          <w:lang w:val="es-ES"/>
        </w:rPr>
        <w:t>Teniendo en cuenta la presunción de legalidad de la normativa que regula el SG-SST, la cual goza de plena aplicación en el ordenamiento jurídico, la prohibición del parágrafo 2° del artículo 5 de la Ley 1150 de 2007 no restringe la posibilidad que tienen las Entidades Estatales de incluir aspectos de seguridad y salud en el trabajo como requisitos habilitantes de los proponentes que les permitan conocer que cuentan con la implementación de los estándares mínimos del SG-SST,  siempre que esto no implique la exigencia de la presentación de una certificación de calidad, como lo es, por ejemplo, la certificación que otorga la ISO 9001, u otras similares. Sin embargo, es importante aclarar que estas certificaciones de calidad son diferentes a la certificación de acreditación en seguridad y salud en el trabajo que expide el Ministerio del Trabajo de manera gratuita a las a las empresas, entidades, empleadores y contratantes, de acuerdo con el artículo 22 de la Resolución 312 del 13 de febrero de 2019.</w:t>
      </w:r>
    </w:p>
    <w:p w14:paraId="6DDB34DC" w14:textId="661C80DA" w:rsidR="003960F5" w:rsidRPr="006E3E0D" w:rsidRDefault="003960F5" w:rsidP="003960F5">
      <w:pPr>
        <w:spacing w:before="120" w:after="120" w:line="276" w:lineRule="auto"/>
        <w:ind w:firstLine="709"/>
        <w:jc w:val="both"/>
        <w:rPr>
          <w:rFonts w:ascii="Verdana" w:eastAsia="Calibri" w:hAnsi="Verdana" w:cs="Arial"/>
          <w:lang w:val="es-ES"/>
        </w:rPr>
      </w:pPr>
      <w:r w:rsidRPr="006E3E0D">
        <w:rPr>
          <w:rFonts w:ascii="Verdana" w:eastAsia="Calibri" w:hAnsi="Verdana" w:cs="Arial"/>
          <w:lang w:val="es-ES"/>
        </w:rPr>
        <w:t xml:space="preserve">Para esta Agencia, la anterior interpretación es el efecto útil de las normas analizadas, pues aceptar una lectura extensiva del parágrafo 2 del artículo 5 de la Ley 1150 de 2007 resta los efectos prácticos a la prohibición establecida por el legislador y contraría lo establecido en el artículo 31 del Código Civil, según el cual lo “Lo favorable u odioso de una disposición no se tomará en cuenta para ampliar o restringir su interpretación. La extensión que deba darse a toda ley se determinará por su genuino sentido, y según las reglas de interpretación precedentes”. Por otro lado, desconocería la finalidad perseguida por el parágrafo 2 del artículo 2.2.4.6.4. del Decreto 1072 de 2015 con la facultad </w:t>
      </w:r>
      <w:r w:rsidRPr="006E3E0D">
        <w:rPr>
          <w:rFonts w:ascii="Verdana" w:eastAsia="Calibri" w:hAnsi="Verdana" w:cs="Arial"/>
          <w:lang w:val="es-ES"/>
        </w:rPr>
        <w:lastRenderedPageBreak/>
        <w:t>otorgada a las entidades contratantes para que, dentro de los parámetros de selección y evaluación de sus proveedores y contratistas, puedan incluir criterios para conocer que el proponente cuenta con el SG-SST.</w:t>
      </w:r>
    </w:p>
    <w:p w14:paraId="0D87C44D"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lang w:val="es-ES"/>
        </w:rPr>
        <w:t xml:space="preserve">Ahora bien, aunque la interpretación expuesta considera válida la inclusión de este tipo de criterios como requisitos habilitantes, es preciso señalar que su inclusión deberá estar precedida de las mismas exigencias que tiene cualquier otro requisito habilitante o de calificación, de manera que su incorporación no puede ser caprichosa ni arbitraria y </w:t>
      </w:r>
      <w:r w:rsidRPr="006E3E0D">
        <w:rPr>
          <w:rFonts w:ascii="Verdana" w:eastAsia="Calibri" w:hAnsi="Verdana" w:cs="Arial"/>
          <w:color w:val="000000" w:themeColor="text1"/>
          <w:lang w:val="es-ES"/>
        </w:rPr>
        <w:t xml:space="preserve">la Entidad Estatal tiene la carga de justificar en los estudios previos y en el análisis del sector del proceso su procedencia, de conformidad con el artículo 2.2.1.1.1.6.2 del Decreto 1082 de 2015. </w:t>
      </w:r>
      <w:r w:rsidRPr="006E3E0D">
        <w:rPr>
          <w:rFonts w:ascii="Verdana" w:eastAsia="Arial" w:hAnsi="Verdana" w:cs="Arial"/>
          <w:bCs/>
          <w:lang w:val="es-ES"/>
        </w:rPr>
        <w:t>Esto significa que las entidades no pueden establecer requisitos habilitantes relacionados con el SG-SST de forma mecánica en todos sus procesos de contratación, sino que deberán realizar un análisis integral de la necesidad identificada, el valor, plazo, el objeto contractual, obligaciones y demás condiciones específicas del proceso de selección en concreto para determinar si el requisito resulta adecuado y proporcional, así como la forma en que deberán incluirlo y exigir su acreditación.</w:t>
      </w:r>
    </w:p>
    <w:p w14:paraId="2C827280"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lang w:val="es-ES"/>
        </w:rPr>
      </w:pPr>
      <w:r w:rsidRPr="006E3E0D">
        <w:rPr>
          <w:rFonts w:ascii="Verdana" w:eastAsia="Calibri" w:hAnsi="Verdana" w:cs="Arial"/>
          <w:color w:val="000000" w:themeColor="text1"/>
          <w:lang w:val="es-ES"/>
        </w:rPr>
        <w:t xml:space="preserve">En efecto, el </w:t>
      </w:r>
      <w:r w:rsidRPr="006E3E0D">
        <w:rPr>
          <w:rFonts w:ascii="Verdana" w:eastAsia="Calibri" w:hAnsi="Verdana" w:cs="Arial"/>
          <w:lang w:val="es-ES"/>
        </w:rPr>
        <w:t>parágrafo 2 del artículo 2.2.4.6.4. del Decreto 1072 de 2015, al indicar que la entidad contratante “podrá” incluir criterios</w:t>
      </w:r>
      <w:r w:rsidRPr="006E3E0D">
        <w:rPr>
          <w:rFonts w:ascii="Verdana" w:eastAsia="Calibri" w:hAnsi="Verdana" w:cs="Arial"/>
          <w:i/>
          <w:iCs/>
          <w:lang w:val="es-ES"/>
        </w:rPr>
        <w:t xml:space="preserve"> </w:t>
      </w:r>
      <w:bookmarkStart w:id="5" w:name="_Hlk182862533"/>
      <w:r w:rsidRPr="006E3E0D">
        <w:rPr>
          <w:rFonts w:ascii="Verdana" w:eastAsia="Calibri" w:hAnsi="Verdana" w:cs="Arial"/>
          <w:lang w:val="es-ES"/>
        </w:rPr>
        <w:t xml:space="preserve">que le permitan conocer que la empresa a contratar cuenta con el </w:t>
      </w:r>
      <w:bookmarkEnd w:id="5"/>
      <w:r w:rsidRPr="006E3E0D">
        <w:rPr>
          <w:rFonts w:ascii="Verdana" w:eastAsia="Calibri" w:hAnsi="Verdana" w:cs="Arial"/>
          <w:lang w:val="es-ES"/>
        </w:rPr>
        <w:t xml:space="preserve">SG-SST, establece una facultad para las entidades contratantes, de manera que es discrecional de la entidad incorporar estos criterios como como parámetros de selección y evaluación en los procesos de selección que adelante.  </w:t>
      </w:r>
    </w:p>
    <w:p w14:paraId="236F58A4"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lang w:val="es-ES"/>
        </w:rPr>
      </w:pPr>
      <w:r w:rsidRPr="006E3E0D">
        <w:rPr>
          <w:rFonts w:ascii="Verdana" w:eastAsia="Calibri" w:hAnsi="Verdana" w:cs="Arial"/>
          <w:color w:val="000000" w:themeColor="text1"/>
          <w:lang w:val="es-ES"/>
        </w:rPr>
        <w:t>Al respecto, es pertinente indicar que el Consejo de Estado en sentencia del 18 de noviembre de 2024 señ</w:t>
      </w:r>
      <w:r w:rsidRPr="006E3E0D">
        <w:rPr>
          <w:rFonts w:ascii="Verdana" w:eastAsia="Calibri" w:hAnsi="Verdana" w:cs="Arial"/>
          <w:lang w:val="es-ES"/>
        </w:rPr>
        <w:t xml:space="preserve">aló que “En términos generales, la Resolución </w:t>
      </w:r>
      <w:bookmarkStart w:id="6" w:name="_Hlk186491639"/>
      <w:r w:rsidRPr="006E3E0D">
        <w:rPr>
          <w:rFonts w:ascii="Verdana" w:eastAsia="Calibri" w:hAnsi="Verdana" w:cs="Arial"/>
          <w:lang w:val="es-ES"/>
        </w:rPr>
        <w:t xml:space="preserve">312 de 2019 </w:t>
      </w:r>
      <w:bookmarkEnd w:id="6"/>
      <w:r w:rsidRPr="006E3E0D">
        <w:rPr>
          <w:rFonts w:ascii="Verdana" w:eastAsia="Calibri" w:hAnsi="Verdana" w:cs="Arial"/>
          <w:lang w:val="es-ES"/>
        </w:rPr>
        <w:t xml:space="preserve">establece la obligación para las empresas de contar con </w:t>
      </w:r>
      <w:bookmarkStart w:id="7" w:name="_Hlk186491484"/>
      <w:r w:rsidRPr="006E3E0D">
        <w:rPr>
          <w:rFonts w:ascii="Verdana" w:eastAsia="Calibri" w:hAnsi="Verdana" w:cs="Arial"/>
          <w:lang w:val="es-ES"/>
        </w:rPr>
        <w:t>un Sistema de Gestión de la Seguridad y Salud en el Trabajo -SG-SST</w:t>
      </w:r>
      <w:bookmarkEnd w:id="7"/>
      <w:r w:rsidRPr="006E3E0D">
        <w:rPr>
          <w:rFonts w:ascii="Verdana" w:eastAsia="Calibri" w:hAnsi="Verdana" w:cs="Arial"/>
          <w:lang w:val="es-ES"/>
        </w:rPr>
        <w:t xml:space="preserve">- dirigido a anticipar, reconocer, evaluar y controlar los riesgos que puedan afectar la seguridad y la salud en el ejercicio laboral. Sin embargo, </w:t>
      </w:r>
      <w:r w:rsidRPr="006E3E0D">
        <w:rPr>
          <w:rFonts w:ascii="Verdana" w:eastAsia="Calibri" w:hAnsi="Verdana" w:cs="Arial"/>
          <w:i/>
          <w:iCs/>
          <w:lang w:val="es-ES"/>
        </w:rPr>
        <w:t>en ninguna de sus disposiciones se consagra que el certificado previsto en su artículo deba ser considerado como un requisito insoslayable para dotar de juridicidad un procedimiento de selección en la contratación pública o privada</w:t>
      </w:r>
      <w:r w:rsidRPr="006E3E0D">
        <w:rPr>
          <w:rStyle w:val="FootnoteReference"/>
          <w:rFonts w:ascii="Verdana" w:eastAsia="Calibri" w:hAnsi="Verdana" w:cs="Arial"/>
          <w:i/>
          <w:iCs/>
          <w:lang w:val="es-ES"/>
        </w:rPr>
        <w:footnoteReference w:id="7"/>
      </w:r>
      <w:r w:rsidRPr="006E3E0D">
        <w:rPr>
          <w:rFonts w:ascii="Verdana" w:eastAsia="Calibri" w:hAnsi="Verdana" w:cs="Arial"/>
          <w:lang w:val="es-ES"/>
        </w:rPr>
        <w:t>”. [Énfasis por fuera de texto]</w:t>
      </w:r>
    </w:p>
    <w:p w14:paraId="01A851A4"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lang w:val="es-ES"/>
        </w:rPr>
        <w:t xml:space="preserve">En este sentido, la certificación del Sistema de Gestión de la Seguridad y </w:t>
      </w:r>
      <w:r w:rsidRPr="006E3E0D">
        <w:rPr>
          <w:rFonts w:ascii="Verdana" w:eastAsia="Calibri" w:hAnsi="Verdana" w:cs="Arial"/>
          <w:lang w:val="es-ES"/>
        </w:rPr>
        <w:lastRenderedPageBreak/>
        <w:t xml:space="preserve">Salud en el Trabajo determinada en la Resolución 312 de 2019 no </w:t>
      </w:r>
      <w:r w:rsidRPr="006E3E0D">
        <w:rPr>
          <w:rFonts w:ascii="Verdana" w:eastAsia="Calibri" w:hAnsi="Verdana" w:cs="Arial"/>
          <w:color w:val="000000" w:themeColor="text1"/>
          <w:lang w:val="es-ES"/>
        </w:rPr>
        <w:t xml:space="preserve">es un requisito obligatorio que </w:t>
      </w:r>
      <w:r w:rsidRPr="006E3E0D">
        <w:rPr>
          <w:rFonts w:ascii="Verdana" w:eastAsia="Calibri" w:hAnsi="Verdana" w:cs="Arial"/>
          <w:i/>
          <w:iCs/>
          <w:color w:val="000000" w:themeColor="text1"/>
          <w:lang w:val="es-ES"/>
        </w:rPr>
        <w:t>deba</w:t>
      </w:r>
      <w:r w:rsidRPr="006E3E0D">
        <w:rPr>
          <w:rFonts w:ascii="Verdana" w:eastAsia="Calibri" w:hAnsi="Verdana" w:cs="Arial"/>
          <w:color w:val="000000" w:themeColor="text1"/>
          <w:lang w:val="es-ES"/>
        </w:rPr>
        <w:t xml:space="preserve"> ser exigido como una condición habilitante en los procesos licitatorios que adelante el Estado Colombiano, pues la norma no establece dicha obligación. En los términos del parágrafo 2 del</w:t>
      </w:r>
      <w:r w:rsidRPr="006E3E0D">
        <w:rPr>
          <w:rFonts w:ascii="Verdana" w:eastAsia="Calibri" w:hAnsi="Verdana" w:cs="Arial"/>
          <w:lang w:val="es-ES"/>
        </w:rPr>
        <w:t xml:space="preserve"> artículo 2.2.4.6.4. del Decreto 1072 de 2015, </w:t>
      </w:r>
      <w:r w:rsidRPr="006E3E0D">
        <w:rPr>
          <w:rFonts w:ascii="Verdana" w:eastAsia="Calibri" w:hAnsi="Verdana" w:cs="Arial"/>
          <w:color w:val="000000" w:themeColor="text1"/>
          <w:lang w:val="es-ES"/>
        </w:rPr>
        <w:t>es una facultad de la entidad establecerlo como un requisito de selección o que puede ser tenida en cuenta “como referente en seguridad y salud en el trabajo para efectos de la contratación pública o privada”.</w:t>
      </w:r>
    </w:p>
    <w:p w14:paraId="3150ADB0" w14:textId="77777777" w:rsidR="003960F5" w:rsidRPr="006E3E0D" w:rsidRDefault="003960F5" w:rsidP="003960F5">
      <w:pPr>
        <w:widowControl w:val="0"/>
        <w:autoSpaceDE w:val="0"/>
        <w:autoSpaceDN w:val="0"/>
        <w:spacing w:line="276" w:lineRule="auto"/>
        <w:ind w:firstLine="709"/>
        <w:jc w:val="both"/>
        <w:rPr>
          <w:rFonts w:ascii="Verdana" w:eastAsia="Calibri" w:hAnsi="Verdana" w:cs="Arial"/>
          <w:color w:val="000000" w:themeColor="text1"/>
          <w:lang w:val="es-ES"/>
        </w:rPr>
      </w:pPr>
      <w:r w:rsidRPr="006E3E0D">
        <w:rPr>
          <w:rFonts w:ascii="Verdana" w:eastAsia="Calibri" w:hAnsi="Verdana" w:cs="Arial"/>
          <w:lang w:val="es-ES"/>
        </w:rPr>
        <w:t xml:space="preserve">En todo caso, esta facultad no implica que las Entidades Estatales deben incluir dichos criterios en todos los procesos de contratación automáticamente, así como tampoco quiere decir que deban descartarlos inmediatamente por no ser obligatorios. Lo que significa es que, para establecer dichos criterios como requisitos habilitantes y/o de calificación, la entidad deberá siempre y en todo caso analizar que estos sean </w:t>
      </w:r>
      <w:r w:rsidRPr="006E3E0D">
        <w:rPr>
          <w:rFonts w:ascii="Verdana" w:eastAsia="Calibri" w:hAnsi="Verdana" w:cs="Arial"/>
          <w:i/>
          <w:iCs/>
          <w:lang w:val="es-ES"/>
        </w:rPr>
        <w:t>adecuados</w:t>
      </w:r>
      <w:r w:rsidRPr="006E3E0D">
        <w:rPr>
          <w:rFonts w:ascii="Verdana" w:eastAsia="Calibri" w:hAnsi="Verdana" w:cs="Arial"/>
          <w:lang w:val="es-ES"/>
        </w:rPr>
        <w:t xml:space="preserve">, es decir, que </w:t>
      </w:r>
      <w:r w:rsidRPr="006E3E0D">
        <w:rPr>
          <w:rFonts w:ascii="Verdana" w:eastAsia="Calibri" w:hAnsi="Verdana" w:cs="Arial"/>
          <w:color w:val="000000" w:themeColor="text1"/>
          <w:lang w:val="es-ES"/>
        </w:rPr>
        <w:t xml:space="preserve">tengan una relación directa con el objeto del contrato, y que sean </w:t>
      </w:r>
      <w:r w:rsidRPr="006E3E0D">
        <w:rPr>
          <w:rFonts w:ascii="Verdana" w:eastAsia="Calibri" w:hAnsi="Verdana" w:cs="Arial"/>
          <w:i/>
          <w:iCs/>
          <w:lang w:val="es-ES"/>
        </w:rPr>
        <w:t>proporcionales</w:t>
      </w:r>
      <w:r w:rsidRPr="006E3E0D">
        <w:rPr>
          <w:rFonts w:ascii="Verdana" w:eastAsia="Calibri" w:hAnsi="Verdana" w:cs="Arial"/>
          <w:lang w:val="es-ES"/>
        </w:rPr>
        <w:t xml:space="preserve"> a las condiciones del proceso</w:t>
      </w:r>
      <w:r w:rsidRPr="006E3E0D">
        <w:rPr>
          <w:rFonts w:ascii="Verdana" w:eastAsia="Calibri" w:hAnsi="Verdana" w:cs="Arial"/>
          <w:color w:val="000000" w:themeColor="text1"/>
          <w:lang w:val="es-ES"/>
        </w:rPr>
        <w:t xml:space="preserve">, de manera que no establezcan requisitos más allá de los necesarios para verificar la idoneidad de los proponentes respecto del objeto a ejecutar. </w:t>
      </w:r>
    </w:p>
    <w:p w14:paraId="7F23F9C0" w14:textId="40AC1CBD" w:rsidR="003960F5" w:rsidRPr="006E3E0D" w:rsidRDefault="003960F5" w:rsidP="003960F5">
      <w:pPr>
        <w:widowControl w:val="0"/>
        <w:autoSpaceDE w:val="0"/>
        <w:autoSpaceDN w:val="0"/>
        <w:spacing w:line="276" w:lineRule="auto"/>
        <w:ind w:firstLine="709"/>
        <w:jc w:val="both"/>
        <w:rPr>
          <w:rFonts w:ascii="Verdana" w:eastAsia="Calibri" w:hAnsi="Verdana" w:cs="Arial"/>
          <w:lang w:val="es-ES"/>
        </w:rPr>
      </w:pPr>
      <w:r w:rsidRPr="006E3E0D">
        <w:rPr>
          <w:rFonts w:ascii="Verdana" w:eastAsia="Calibri" w:hAnsi="Verdana" w:cs="Arial"/>
          <w:lang w:val="es-ES"/>
        </w:rPr>
        <w:t>Así las cosas, aunque la norma establece una facultad discrecional que implica que las entidades realicen una elección administrativa y valoren la inclusión de dichos criterios, esta decisión no puede ser irracional o arbitraria. Tal y como sucede con los demás requisitos habilitantes y de calificación, las Entidades Estatales deberán revisar durante la etapa de planeación si es procedente incluir criterios que le</w:t>
      </w:r>
      <w:r w:rsidR="003B30D6">
        <w:rPr>
          <w:rFonts w:ascii="Verdana" w:eastAsia="Calibri" w:hAnsi="Verdana" w:cs="Arial"/>
          <w:lang w:val="es-ES"/>
        </w:rPr>
        <w:t>s</w:t>
      </w:r>
      <w:r w:rsidRPr="006E3E0D">
        <w:rPr>
          <w:rFonts w:ascii="Verdana" w:eastAsia="Calibri" w:hAnsi="Verdana" w:cs="Arial"/>
          <w:lang w:val="es-ES"/>
        </w:rPr>
        <w:t xml:space="preserve"> permitan conocer que la empresa a contratar cuenta con el Sistema de Gestión de la Seguridad y Salud en el Trabajo, teniendo en cuenta las condiciones particulares de cada contrato, </w:t>
      </w:r>
      <w:r w:rsidRPr="006E3E0D">
        <w:rPr>
          <w:rFonts w:ascii="Verdana" w:eastAsia="Calibri" w:hAnsi="Verdana" w:cs="Arial"/>
          <w:color w:val="000000" w:themeColor="text1"/>
          <w:lang w:val="es-ES"/>
        </w:rPr>
        <w:t>la naturaleza, el valor, la forma de pago, los riesgos asociados, el plazo y la complejidad de ejecución del objeto</w:t>
      </w:r>
      <w:r w:rsidRPr="006E3E0D">
        <w:rPr>
          <w:rFonts w:ascii="Verdana" w:eastAsia="Calibri" w:hAnsi="Verdana" w:cs="Arial"/>
          <w:lang w:val="es-ES"/>
        </w:rPr>
        <w:t>, garantizando en todo caso el cumplimiento de los principios de contratación estatal.</w:t>
      </w:r>
    </w:p>
    <w:p w14:paraId="223124AA" w14:textId="4D7F6454" w:rsidR="003960F5" w:rsidRPr="006E3E0D" w:rsidRDefault="003960F5" w:rsidP="003960F5">
      <w:pPr>
        <w:widowControl w:val="0"/>
        <w:autoSpaceDE w:val="0"/>
        <w:autoSpaceDN w:val="0"/>
        <w:spacing w:line="276" w:lineRule="auto"/>
        <w:ind w:firstLine="709"/>
        <w:jc w:val="both"/>
        <w:rPr>
          <w:rFonts w:ascii="Verdana" w:eastAsia="Calibri" w:hAnsi="Verdana" w:cs="Arial"/>
          <w:lang w:val="es-ES"/>
        </w:rPr>
      </w:pPr>
      <w:r w:rsidRPr="006E3E0D">
        <w:rPr>
          <w:rFonts w:ascii="Verdana" w:eastAsia="Calibri" w:hAnsi="Verdana" w:cs="Arial"/>
          <w:lang w:val="es-ES"/>
        </w:rPr>
        <w:t xml:space="preserve">La anterior no quiere decir que, durante la ejecución del contrato estatal, la entidad no pueda y deba supervisar el cumplimiento de unos estándares mínimos que exige la ley sobre la implementación del Sistema de Gestión de la Seguridad y Salud en el Trabajo, discriminados en la Resolución 0312 del 13 de febrero de 2019. En efecto, los artículos 3, 9, 16 y 20 de esa resolución establecen exigencias mínimas que deberán cumplir las empresas, empleadores y contratantes a los que se refiere el artículo 2 de dicho acto administrativo. Por su parte, el artículo 2.2.4.6.28 del Decreto 1072 de 2015 contempló, en materia de contratación, el deber en cabeza del empleador de adoptar y mantener las </w:t>
      </w:r>
      <w:r w:rsidRPr="006E3E0D">
        <w:rPr>
          <w:rFonts w:ascii="Verdana" w:eastAsia="Calibri" w:hAnsi="Verdana" w:cs="Arial"/>
          <w:lang w:val="es-ES"/>
        </w:rPr>
        <w:lastRenderedPageBreak/>
        <w:t>disposiciones que garanticen el cumplimiento de las normas de seguridad y salud en el trabajo de su empresa, por parte de los proveedores, trabajadores dependientes, trabajadores cooperados, trabajadores en misión, contratistas y sus trabajadores o subcontratistas, durante el desempeño de las actividades del objeto del contrato, es decir, durante la supervisión del contrato.</w:t>
      </w:r>
    </w:p>
    <w:p w14:paraId="041F3536" w14:textId="2A784881" w:rsidR="00DD32FC" w:rsidRPr="006E3E0D" w:rsidRDefault="003960F5" w:rsidP="00DD32FC">
      <w:pPr>
        <w:spacing w:before="120" w:after="0" w:line="276" w:lineRule="auto"/>
        <w:ind w:firstLine="709"/>
        <w:jc w:val="both"/>
        <w:rPr>
          <w:rFonts w:ascii="Verdana" w:eastAsia="Calibri" w:hAnsi="Verdana" w:cs="Arial"/>
          <w:lang w:val="es-ES"/>
        </w:rPr>
      </w:pPr>
      <w:r w:rsidRPr="006E3E0D">
        <w:rPr>
          <w:rFonts w:ascii="Verdana" w:eastAsia="Calibri" w:hAnsi="Verdana" w:cs="Arial"/>
          <w:lang w:val="es-ES"/>
        </w:rPr>
        <w:t>De este modo, el seguimiento de la ejecución del contrato para la dirección, control y vigilancia del correcto cumplimiento del objeto es un deber legal que permite a las entidades estatales tomar medidas orientadas a la satisfacción de los fines de la contratación, dentro de las cuales se encuentra el cumplimiento del ordenamiento jurídico vigente, por lo que las normas técnicas que se encuentran reguladas en la Resolución 0312 de 2019 constituyen estándares mínimos que deberán ser supervisados durante la ejecución del contrato estatal por tratarse de exigencias de rango legal. Para los efectos de este concepto, se resaltan dentro de este seguimiento la verificación y revisión de los soportes de cumplimiento de las obligaciones laborales y la verificación del cumplimiento de las obligaciones del contratista en materia de seguridad social y salud ocupacional, ahora denominada Sistema de Gestión de Seguridad y Salud en el Trabajo.</w:t>
      </w:r>
    </w:p>
    <w:p w14:paraId="71DEC437" w14:textId="77777777" w:rsidR="00DD32FC" w:rsidRPr="006E3E0D" w:rsidRDefault="00DD32FC" w:rsidP="00DD32FC">
      <w:pPr>
        <w:spacing w:after="0" w:line="276" w:lineRule="auto"/>
        <w:ind w:firstLine="709"/>
        <w:jc w:val="both"/>
        <w:rPr>
          <w:rFonts w:ascii="Verdana" w:eastAsia="Calibri" w:hAnsi="Verdana" w:cs="Arial"/>
          <w:lang w:val="es-ES"/>
        </w:rPr>
      </w:pPr>
    </w:p>
    <w:p w14:paraId="204202FE" w14:textId="77777777" w:rsidR="003960F5" w:rsidRPr="006E3E0D" w:rsidRDefault="003960F5" w:rsidP="003960F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E3E0D">
        <w:rPr>
          <w:rFonts w:ascii="Verdana" w:eastAsia="Century Gothic" w:hAnsi="Verdana" w:cs="Century Gothic"/>
          <w:b/>
          <w:bCs/>
          <w:color w:val="000000" w:themeColor="text1"/>
        </w:rPr>
        <w:t>Referencias normativas, jurisprudenciales y otras fuentes:</w:t>
      </w:r>
    </w:p>
    <w:p w14:paraId="1F797BBA" w14:textId="77777777" w:rsidR="003960F5" w:rsidRPr="006E3E0D" w:rsidRDefault="003960F5" w:rsidP="003960F5">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60F5" w:rsidRPr="006E3E0D" w14:paraId="220E813C" w14:textId="77777777" w:rsidTr="008633A7">
        <w:trPr>
          <w:trHeight w:val="349"/>
        </w:trPr>
        <w:tc>
          <w:tcPr>
            <w:tcW w:w="8647" w:type="dxa"/>
          </w:tcPr>
          <w:p w14:paraId="128C63EB" w14:textId="77777777" w:rsidR="003960F5" w:rsidRPr="006E3E0D" w:rsidRDefault="003960F5" w:rsidP="00DD32FC">
            <w:pPr>
              <w:pStyle w:val="ListParagraph"/>
              <w:widowControl w:val="0"/>
              <w:numPr>
                <w:ilvl w:val="0"/>
                <w:numId w:val="17"/>
              </w:numPr>
              <w:autoSpaceDE w:val="0"/>
              <w:autoSpaceDN w:val="0"/>
              <w:spacing w:before="120" w:after="120" w:line="276" w:lineRule="auto"/>
              <w:contextualSpacing w:val="0"/>
              <w:jc w:val="both"/>
              <w:rPr>
                <w:rFonts w:ascii="Verdana" w:hAnsi="Verdana" w:cs="Arial"/>
              </w:rPr>
            </w:pPr>
            <w:r w:rsidRPr="006E3E0D">
              <w:rPr>
                <w:rFonts w:ascii="Verdana" w:hAnsi="Verdana" w:cs="Arial"/>
              </w:rPr>
              <w:t>Ley 1150 de 2007: artículo 5</w:t>
            </w:r>
          </w:p>
          <w:p w14:paraId="2EE1DD94" w14:textId="77777777" w:rsidR="003960F5" w:rsidRPr="006E3E0D" w:rsidRDefault="003960F5" w:rsidP="00DD32FC">
            <w:pPr>
              <w:pStyle w:val="ListParagraph"/>
              <w:widowControl w:val="0"/>
              <w:numPr>
                <w:ilvl w:val="0"/>
                <w:numId w:val="17"/>
              </w:numPr>
              <w:autoSpaceDE w:val="0"/>
              <w:autoSpaceDN w:val="0"/>
              <w:spacing w:before="120" w:after="120" w:line="276" w:lineRule="auto"/>
              <w:contextualSpacing w:val="0"/>
              <w:jc w:val="both"/>
              <w:rPr>
                <w:rFonts w:ascii="Verdana" w:hAnsi="Verdana" w:cs="Arial"/>
              </w:rPr>
            </w:pPr>
            <w:r w:rsidRPr="006E3E0D">
              <w:rPr>
                <w:rFonts w:ascii="Verdana" w:hAnsi="Verdana" w:cs="Arial"/>
              </w:rPr>
              <w:t>Ley 1437 de 2011: artículo 44</w:t>
            </w:r>
          </w:p>
          <w:p w14:paraId="29FE3AE1" w14:textId="77777777" w:rsidR="003960F5" w:rsidRPr="006E3E0D" w:rsidRDefault="003960F5" w:rsidP="00DD32FC">
            <w:pPr>
              <w:pStyle w:val="ListParagraph"/>
              <w:widowControl w:val="0"/>
              <w:numPr>
                <w:ilvl w:val="0"/>
                <w:numId w:val="17"/>
              </w:numPr>
              <w:autoSpaceDE w:val="0"/>
              <w:autoSpaceDN w:val="0"/>
              <w:spacing w:before="120" w:after="120" w:line="276" w:lineRule="auto"/>
              <w:contextualSpacing w:val="0"/>
              <w:jc w:val="both"/>
              <w:rPr>
                <w:rFonts w:ascii="Verdana" w:hAnsi="Verdana" w:cs="Arial"/>
              </w:rPr>
            </w:pPr>
            <w:r w:rsidRPr="006E3E0D">
              <w:rPr>
                <w:rFonts w:ascii="Verdana" w:hAnsi="Verdana" w:cs="Arial"/>
              </w:rPr>
              <w:t>Ley 1562 de 2012: artículo 1</w:t>
            </w:r>
          </w:p>
          <w:p w14:paraId="1925817D" w14:textId="77777777" w:rsidR="003960F5" w:rsidRPr="006E3E0D" w:rsidRDefault="003960F5" w:rsidP="00DD32FC">
            <w:pPr>
              <w:pStyle w:val="ListParagraph"/>
              <w:widowControl w:val="0"/>
              <w:numPr>
                <w:ilvl w:val="0"/>
                <w:numId w:val="17"/>
              </w:numPr>
              <w:autoSpaceDE w:val="0"/>
              <w:autoSpaceDN w:val="0"/>
              <w:spacing w:before="120" w:after="120" w:line="276" w:lineRule="auto"/>
              <w:contextualSpacing w:val="0"/>
              <w:jc w:val="both"/>
              <w:rPr>
                <w:rFonts w:ascii="Verdana" w:hAnsi="Verdana" w:cs="Arial"/>
              </w:rPr>
            </w:pPr>
            <w:r w:rsidRPr="006E3E0D">
              <w:rPr>
                <w:rFonts w:ascii="Verdana" w:hAnsi="Verdana" w:cs="Arial"/>
              </w:rPr>
              <w:t>Decreto 1082 de 2015: artículos 2.2.1.1.1.6.2 y 2.2.1.1.2.2.2</w:t>
            </w:r>
          </w:p>
          <w:p w14:paraId="4EE55148" w14:textId="77777777" w:rsidR="003960F5" w:rsidRPr="006E3E0D" w:rsidRDefault="003960F5" w:rsidP="00DD32FC">
            <w:pPr>
              <w:pStyle w:val="ListParagraph"/>
              <w:widowControl w:val="0"/>
              <w:numPr>
                <w:ilvl w:val="0"/>
                <w:numId w:val="17"/>
              </w:numPr>
              <w:autoSpaceDE w:val="0"/>
              <w:autoSpaceDN w:val="0"/>
              <w:spacing w:before="120" w:after="120" w:line="276" w:lineRule="auto"/>
              <w:contextualSpacing w:val="0"/>
              <w:jc w:val="both"/>
              <w:rPr>
                <w:rFonts w:ascii="Verdana" w:hAnsi="Verdana" w:cs="Arial"/>
              </w:rPr>
            </w:pPr>
            <w:r w:rsidRPr="006E3E0D">
              <w:rPr>
                <w:rFonts w:ascii="Verdana" w:hAnsi="Verdana" w:cs="Arial"/>
              </w:rPr>
              <w:t>Decreto 1072 de 2015: artículos 2.2.4.6.4 y 2.2.4.6.28</w:t>
            </w:r>
          </w:p>
          <w:p w14:paraId="4E6C0BD3" w14:textId="77777777" w:rsidR="003960F5" w:rsidRPr="006E3E0D" w:rsidRDefault="003960F5" w:rsidP="00DD32FC">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6E3E0D">
              <w:rPr>
                <w:rFonts w:ascii="Verdana" w:hAnsi="Verdana" w:cs="Arial"/>
              </w:rPr>
              <w:t>Resolución 312 del 13 de febrero de 2019</w:t>
            </w:r>
            <w:r w:rsidRPr="006E3E0D">
              <w:rPr>
                <w:rFonts w:ascii="Verdana" w:hAnsi="Verdana" w:cs="Arial"/>
                <w:color w:val="000000" w:themeColor="text1"/>
              </w:rPr>
              <w:t xml:space="preserve"> </w:t>
            </w:r>
          </w:p>
        </w:tc>
      </w:tr>
    </w:tbl>
    <w:p w14:paraId="21809DA3" w14:textId="77777777" w:rsidR="003960F5" w:rsidRPr="006E3E0D" w:rsidRDefault="003960F5" w:rsidP="003960F5">
      <w:pPr>
        <w:widowControl w:val="0"/>
        <w:autoSpaceDE w:val="0"/>
        <w:autoSpaceDN w:val="0"/>
        <w:spacing w:after="0" w:line="276" w:lineRule="auto"/>
        <w:jc w:val="both"/>
        <w:rPr>
          <w:rFonts w:ascii="Verdana" w:hAnsi="Verdana" w:cs="Arial"/>
          <w:color w:val="000000" w:themeColor="text1"/>
          <w:lang w:val="es-ES"/>
        </w:rPr>
      </w:pPr>
    </w:p>
    <w:p w14:paraId="5E2C2A97" w14:textId="77777777" w:rsidR="003960F5" w:rsidRPr="006E3E0D" w:rsidRDefault="003960F5" w:rsidP="003960F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E3E0D">
        <w:rPr>
          <w:rFonts w:ascii="Verdana" w:eastAsia="Century Gothic" w:hAnsi="Verdana" w:cs="Century Gothic"/>
          <w:b/>
          <w:bCs/>
          <w:color w:val="000000" w:themeColor="text1"/>
        </w:rPr>
        <w:t>Doctrina de la Agencia Nacional de Contratación Pública:</w:t>
      </w:r>
    </w:p>
    <w:p w14:paraId="5F6ABB6B" w14:textId="77777777" w:rsidR="003960F5" w:rsidRPr="006E3E0D" w:rsidRDefault="003960F5" w:rsidP="003960F5">
      <w:pPr>
        <w:widowControl w:val="0"/>
        <w:autoSpaceDE w:val="0"/>
        <w:autoSpaceDN w:val="0"/>
        <w:spacing w:after="0" w:line="276" w:lineRule="auto"/>
        <w:jc w:val="both"/>
        <w:rPr>
          <w:rFonts w:ascii="Verdana" w:hAnsi="Verdana" w:cs="Arial"/>
          <w:color w:val="000000" w:themeColor="text1"/>
          <w:lang w:val="es-ES"/>
        </w:rPr>
      </w:pPr>
    </w:p>
    <w:p w14:paraId="1CA4EC89" w14:textId="77777777" w:rsidR="003960F5" w:rsidRPr="006E3E0D" w:rsidRDefault="003960F5" w:rsidP="003960F5">
      <w:pPr>
        <w:widowControl w:val="0"/>
        <w:autoSpaceDE w:val="0"/>
        <w:autoSpaceDN w:val="0"/>
        <w:spacing w:after="0" w:line="276" w:lineRule="auto"/>
        <w:jc w:val="both"/>
        <w:rPr>
          <w:rFonts w:ascii="Verdana" w:hAnsi="Verdana" w:cs="Arial"/>
          <w:shd w:val="clear" w:color="auto" w:fill="FFFFFF"/>
          <w:lang w:val="es-ES"/>
        </w:rPr>
      </w:pPr>
      <w:r w:rsidRPr="006E3E0D">
        <w:rPr>
          <w:rFonts w:ascii="Verdana" w:eastAsia="Calibri" w:hAnsi="Verdana" w:cs="Arial"/>
          <w:lang w:val="es-ES" w:eastAsia="es-ES"/>
        </w:rPr>
        <w:t xml:space="preserve">La Agencia Nacional de Contratación Pública – Colombia Compra Eficiente </w:t>
      </w:r>
      <w:r w:rsidRPr="006E3E0D">
        <w:rPr>
          <w:rFonts w:ascii="Verdana" w:hAnsi="Verdana" w:cs="Arial"/>
          <w:shd w:val="clear" w:color="auto" w:fill="FFFFFF"/>
          <w:lang w:val="es-ES"/>
        </w:rPr>
        <w:t xml:space="preserve">se ha pronunciado sobre </w:t>
      </w:r>
      <w:r w:rsidRPr="006E3E0D">
        <w:rPr>
          <w:rFonts w:ascii="Verdana" w:eastAsia="Calibri" w:hAnsi="Verdana" w:cs="Arial"/>
          <w:lang w:val="es-ES" w:eastAsia="es-ES"/>
        </w:rPr>
        <w:t>la naturaleza de los requisitos habilitantes y su carácter enunciativo</w:t>
      </w:r>
      <w:r w:rsidRPr="006E3E0D">
        <w:rPr>
          <w:rFonts w:ascii="Verdana" w:hAnsi="Verdana" w:cs="Arial"/>
          <w:shd w:val="clear" w:color="auto" w:fill="FFFFFF"/>
          <w:lang w:val="es-ES"/>
        </w:rPr>
        <w:t xml:space="preserve"> en los Conceptos C</w:t>
      </w:r>
      <w:r w:rsidRPr="006E3E0D">
        <w:rPr>
          <w:rFonts w:ascii="Verdana" w:eastAsia="Calibri" w:hAnsi="Verdana" w:cs="Arial"/>
          <w:lang w:val="es-ES" w:eastAsia="es-ES"/>
        </w:rPr>
        <w:t>-120 del 3 de marzo de 2020, C-204 del 31 de marzo de 2020, C-099 del 6 de abril de 2020, C-195 del 13 de abril de 2020, C-</w:t>
      </w:r>
      <w:r w:rsidRPr="006E3E0D">
        <w:rPr>
          <w:rFonts w:ascii="Verdana" w:eastAsia="Calibri" w:hAnsi="Verdana" w:cs="Arial"/>
          <w:lang w:val="es-ES" w:eastAsia="es-ES"/>
        </w:rPr>
        <w:lastRenderedPageBreak/>
        <w:t>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 entre otros. Sobre el Sistema de Gestión de la Seguridad y Salud del Trabajo y los requisitos habilitantes o de calificación se refirió en el concepto C-317 del 18 de septiembre de 2023 y C-1013 del 31 de diciembre de 2024.</w:t>
      </w:r>
      <w:r w:rsidRPr="006E3E0D">
        <w:rPr>
          <w:rFonts w:ascii="Verdana" w:eastAsia="Calibri" w:hAnsi="Verdana" w:cs="Arial"/>
          <w:b/>
          <w:bCs/>
          <w:lang w:val="es-ES" w:eastAsia="es-ES"/>
        </w:rPr>
        <w:t xml:space="preserve"> </w:t>
      </w:r>
      <w:r w:rsidRPr="006E3E0D">
        <w:rPr>
          <w:rFonts w:ascii="Verdana" w:hAnsi="Verdana" w:cs="Arial"/>
          <w:shd w:val="clear" w:color="auto" w:fill="FFFFFF"/>
          <w:lang w:val="es-ES"/>
        </w:rPr>
        <w:t xml:space="preserve">Estos y otros se encuentran disponibles para consulta en el Sistema de relatoría de la Agencia, al cual puede accederse a través del siguiente enlace: </w:t>
      </w:r>
      <w:hyperlink r:id="rId13" w:history="1">
        <w:r w:rsidRPr="006E3E0D">
          <w:rPr>
            <w:rFonts w:ascii="Verdana" w:hAnsi="Verdana" w:cs="Arial"/>
            <w:color w:val="0000FF"/>
            <w:u w:val="single"/>
            <w:shd w:val="clear" w:color="auto" w:fill="FFFFFF"/>
            <w:lang w:val="es-ES"/>
          </w:rPr>
          <w:t>https://relatoria.colombiacompra.gov.co/busqueda/conceptos</w:t>
        </w:r>
      </w:hyperlink>
      <w:r w:rsidRPr="006E3E0D">
        <w:rPr>
          <w:rFonts w:ascii="Verdana" w:hAnsi="Verdana" w:cs="Arial"/>
          <w:shd w:val="clear" w:color="auto" w:fill="FFFFFF"/>
          <w:lang w:val="es-ES"/>
        </w:rPr>
        <w:t xml:space="preserve">. </w:t>
      </w:r>
      <w:r w:rsidRPr="006E3E0D">
        <w:rPr>
          <w:rFonts w:ascii="Verdana" w:hAnsi="Verdana" w:cs="Arial"/>
          <w:color w:val="FF0000"/>
          <w:shd w:val="clear" w:color="auto" w:fill="FFFFFF"/>
          <w:lang w:val="es-ES"/>
        </w:rPr>
        <w:t xml:space="preserve"> </w:t>
      </w:r>
    </w:p>
    <w:p w14:paraId="26F5ACD2" w14:textId="77777777" w:rsidR="003960F5" w:rsidRPr="006E3E0D" w:rsidRDefault="003960F5" w:rsidP="003960F5">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39F3CC41" w14:textId="77777777" w:rsidR="003960F5" w:rsidRPr="006E3E0D" w:rsidRDefault="003960F5" w:rsidP="003960F5">
      <w:pPr>
        <w:widowControl w:val="0"/>
        <w:autoSpaceDE w:val="0"/>
        <w:autoSpaceDN w:val="0"/>
        <w:spacing w:after="0" w:line="276" w:lineRule="auto"/>
        <w:jc w:val="both"/>
        <w:rPr>
          <w:rFonts w:ascii="Verdana" w:hAnsi="Verdana" w:cs="Arial"/>
          <w:color w:val="000000" w:themeColor="text1"/>
          <w:shd w:val="clear" w:color="auto" w:fill="FFFFFF"/>
          <w:lang w:val="es-ES"/>
        </w:rPr>
      </w:pPr>
      <w:r w:rsidRPr="006E3E0D">
        <w:rPr>
          <w:rFonts w:ascii="Verdana" w:hAnsi="Verdana" w:cs="Arial"/>
          <w:color w:val="000000" w:themeColor="text1"/>
          <w:shd w:val="clear" w:color="auto" w:fill="FFFFFF"/>
          <w:lang w:val="es-ES"/>
        </w:rPr>
        <w:t>También le contamos que ya se encuentra disponible la </w:t>
      </w:r>
      <w:r w:rsidRPr="006E3E0D">
        <w:rPr>
          <w:rFonts w:ascii="Verdana" w:hAnsi="Verdana" w:cs="Arial"/>
          <w:b/>
          <w:bCs/>
          <w:color w:val="000000" w:themeColor="text1"/>
          <w:shd w:val="clear" w:color="auto" w:fill="FFFFFF"/>
          <w:lang w:val="es-ES"/>
        </w:rPr>
        <w:t>Guía de lineamientos de transparencia y selección objetiva para el departamento de La Guajira – Objetivo sexto constitucional de la Sentencia T-302 del 2017. </w:t>
      </w:r>
      <w:r w:rsidRPr="006E3E0D">
        <w:rPr>
          <w:rFonts w:ascii="Verdana" w:hAnsi="Verdana" w:cs="Arial"/>
          <w:color w:val="000000" w:themeColor="text1"/>
          <w:shd w:val="clear" w:color="auto" w:fill="FFFFFF"/>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E3E0D">
        <w:rPr>
          <w:rFonts w:ascii="Verdana" w:hAnsi="Verdana" w:cs="Arial"/>
          <w:color w:val="000000" w:themeColor="text1"/>
          <w:shd w:val="clear" w:color="auto" w:fill="FFFFFF"/>
          <w:lang w:val="es-ES"/>
        </w:rPr>
        <w:t>Wayúu</w:t>
      </w:r>
      <w:proofErr w:type="spellEnd"/>
      <w:r w:rsidRPr="006E3E0D">
        <w:rPr>
          <w:rFonts w:ascii="Verdana" w:hAnsi="Verdana" w:cs="Arial"/>
          <w:color w:val="000000" w:themeColor="text1"/>
          <w:shd w:val="clear" w:color="auto" w:fill="FFFFFF"/>
          <w:lang w:val="es-ES"/>
        </w:rPr>
        <w:t>. Puede consultar la guía en el siguiente enlace: </w:t>
      </w:r>
      <w:hyperlink r:id="rId14" w:tgtFrame="_blank" w:tooltip="Original URL: https://www.colombiacompra.gov.co/wp-content/uploads/2025/05/GUIA-DE-LINEAMIENTOS-DE-TRANSPARENCIA-Y-SELECCION-OBJETIVA-1.0.pdf. Click or tap if you trust this link." w:history="1">
        <w:r w:rsidRPr="006E3E0D">
          <w:rPr>
            <w:rStyle w:val="Hyperlink"/>
            <w:rFonts w:ascii="Verdana" w:hAnsi="Verdana" w:cs="Arial"/>
            <w:shd w:val="clear" w:color="auto" w:fill="FFFFFF"/>
            <w:lang w:val="es-ES"/>
          </w:rPr>
          <w:t>Guía de lineamientos de transparencia y selección objetiva para el departamento de La Guajira – Objetivo sexto constitucional de la Sentencia T-302 del 2017</w:t>
        </w:r>
      </w:hyperlink>
      <w:r w:rsidRPr="006E3E0D">
        <w:rPr>
          <w:rFonts w:ascii="Verdana" w:hAnsi="Verdana" w:cs="Arial"/>
          <w:color w:val="000000" w:themeColor="text1"/>
          <w:u w:val="single"/>
          <w:shd w:val="clear" w:color="auto" w:fill="FFFFFF"/>
          <w:lang w:val="es-ES"/>
        </w:rPr>
        <w:t>"</w:t>
      </w:r>
    </w:p>
    <w:p w14:paraId="58EFBCE4" w14:textId="77777777" w:rsidR="003960F5" w:rsidRPr="006E3E0D" w:rsidRDefault="003960F5" w:rsidP="003960F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002E6A86" w14:textId="77777777" w:rsidR="003960F5" w:rsidRPr="006E3E0D" w:rsidRDefault="003960F5" w:rsidP="003960F5">
      <w:pPr>
        <w:spacing w:after="0" w:line="240" w:lineRule="auto"/>
        <w:jc w:val="both"/>
        <w:rPr>
          <w:rFonts w:ascii="Verdana" w:hAnsi="Verdana"/>
          <w:lang w:val="es-ES"/>
        </w:rPr>
      </w:pPr>
      <w:r w:rsidRPr="006E3E0D">
        <w:rPr>
          <w:rFonts w:ascii="Verdana" w:hAnsi="Verdana"/>
          <w:lang w:val="es-ES"/>
        </w:rPr>
        <w:t xml:space="preserve">Por último, lo invitamos a seguirnos en las redes sociales en las cuales se difunde información institucional: </w:t>
      </w:r>
    </w:p>
    <w:p w14:paraId="0FB9352E" w14:textId="77777777" w:rsidR="003960F5" w:rsidRPr="006E3E0D" w:rsidRDefault="003960F5" w:rsidP="003960F5">
      <w:pPr>
        <w:spacing w:after="0" w:line="240" w:lineRule="auto"/>
        <w:jc w:val="both"/>
        <w:rPr>
          <w:rFonts w:ascii="Verdana" w:hAnsi="Verdana"/>
          <w:lang w:val="es-ES"/>
        </w:rPr>
      </w:pPr>
    </w:p>
    <w:p w14:paraId="4F39D66A" w14:textId="77777777" w:rsidR="003960F5" w:rsidRPr="006E3E0D" w:rsidRDefault="003960F5" w:rsidP="003960F5">
      <w:pPr>
        <w:spacing w:after="0" w:line="240" w:lineRule="auto"/>
        <w:jc w:val="both"/>
        <w:rPr>
          <w:rFonts w:ascii="Verdana" w:hAnsi="Verdana"/>
          <w:lang w:val="es-ES"/>
        </w:rPr>
      </w:pPr>
      <w:r w:rsidRPr="006E3E0D">
        <w:rPr>
          <w:rFonts w:ascii="Verdana" w:hAnsi="Verdana"/>
          <w:lang w:val="es-ES"/>
        </w:rPr>
        <w:t xml:space="preserve">Twitter: </w:t>
      </w:r>
      <w:r w:rsidRPr="006E3E0D">
        <w:rPr>
          <w:rStyle w:val="Hyperlink"/>
          <w:rFonts w:ascii="Verdana" w:hAnsi="Verdana" w:cs="Arial"/>
          <w:shd w:val="clear" w:color="auto" w:fill="FFFFFF"/>
          <w:lang w:val="es-ES"/>
        </w:rPr>
        <w:t>@colombiacompra</w:t>
      </w:r>
      <w:r w:rsidRPr="006E3E0D">
        <w:rPr>
          <w:rFonts w:ascii="Verdana" w:hAnsi="Verdana"/>
          <w:color w:val="4472C4" w:themeColor="accent1"/>
          <w:lang w:val="es-ES"/>
        </w:rPr>
        <w:t xml:space="preserve"> </w:t>
      </w:r>
    </w:p>
    <w:p w14:paraId="78E38B42" w14:textId="77777777" w:rsidR="003960F5" w:rsidRPr="006E3E0D" w:rsidRDefault="003960F5" w:rsidP="003960F5">
      <w:pPr>
        <w:spacing w:after="0" w:line="240" w:lineRule="auto"/>
        <w:jc w:val="both"/>
        <w:rPr>
          <w:rFonts w:ascii="Verdana" w:hAnsi="Verdana"/>
          <w:lang w:val="es-ES"/>
        </w:rPr>
      </w:pPr>
      <w:r w:rsidRPr="006E3E0D">
        <w:rPr>
          <w:rFonts w:ascii="Verdana" w:hAnsi="Verdana"/>
          <w:lang w:val="es-ES"/>
        </w:rPr>
        <w:t xml:space="preserve">Facebook: </w:t>
      </w:r>
      <w:proofErr w:type="spellStart"/>
      <w:r w:rsidRPr="006E3E0D">
        <w:rPr>
          <w:rStyle w:val="Hyperlink"/>
          <w:rFonts w:ascii="Verdana" w:hAnsi="Verdana" w:cs="Arial"/>
          <w:shd w:val="clear" w:color="auto" w:fill="FFFFFF"/>
          <w:lang w:val="es-ES"/>
        </w:rPr>
        <w:t>ColombiaCompraEficiente</w:t>
      </w:r>
      <w:proofErr w:type="spellEnd"/>
    </w:p>
    <w:p w14:paraId="4C6264D4" w14:textId="77777777" w:rsidR="003960F5" w:rsidRPr="006E3E0D" w:rsidRDefault="003960F5" w:rsidP="003960F5">
      <w:pPr>
        <w:spacing w:after="0" w:line="240" w:lineRule="auto"/>
        <w:jc w:val="both"/>
        <w:rPr>
          <w:rFonts w:ascii="Verdana" w:hAnsi="Verdana"/>
          <w:lang w:val="es-ES"/>
        </w:rPr>
      </w:pPr>
      <w:r w:rsidRPr="006E3E0D">
        <w:rPr>
          <w:rFonts w:ascii="Verdana" w:hAnsi="Verdana"/>
          <w:lang w:val="es-ES"/>
        </w:rPr>
        <w:t xml:space="preserve">LinkedIn: </w:t>
      </w:r>
      <w:r w:rsidRPr="006E3E0D">
        <w:rPr>
          <w:rStyle w:val="Hyperlink"/>
          <w:rFonts w:ascii="Verdana" w:hAnsi="Verdana" w:cs="Arial"/>
          <w:shd w:val="clear" w:color="auto" w:fill="FFFFFF"/>
          <w:lang w:val="es-ES"/>
        </w:rPr>
        <w:t>Agencia Nacional de Contratación Pública - Colombia Compra Eficiente</w:t>
      </w:r>
      <w:r w:rsidRPr="006E3E0D">
        <w:rPr>
          <w:rStyle w:val="Hyperlink"/>
          <w:rFonts w:cs="Arial"/>
          <w:shd w:val="clear" w:color="auto" w:fill="FFFFFF"/>
          <w:lang w:val="es-ES"/>
        </w:rPr>
        <w:t xml:space="preserve"> </w:t>
      </w:r>
      <w:r w:rsidRPr="006E3E0D">
        <w:rPr>
          <w:rFonts w:ascii="Verdana" w:hAnsi="Verdana"/>
          <w:lang w:val="es-ES"/>
        </w:rPr>
        <w:t xml:space="preserve">Instagram: </w:t>
      </w:r>
      <w:r w:rsidRPr="006E3E0D">
        <w:rPr>
          <w:rStyle w:val="Hyperlink"/>
          <w:rFonts w:ascii="Verdana" w:hAnsi="Verdana" w:cs="Arial"/>
          <w:shd w:val="clear" w:color="auto" w:fill="FFFFFF"/>
          <w:lang w:val="es-ES"/>
        </w:rPr>
        <w:t>@colombiacompraeficiente_cce</w:t>
      </w:r>
    </w:p>
    <w:p w14:paraId="75C2EA9C" w14:textId="77777777" w:rsidR="003960F5" w:rsidRPr="006E3E0D" w:rsidRDefault="003960F5" w:rsidP="003960F5">
      <w:pPr>
        <w:widowControl w:val="0"/>
        <w:autoSpaceDE w:val="0"/>
        <w:autoSpaceDN w:val="0"/>
        <w:spacing w:after="0" w:line="276" w:lineRule="auto"/>
        <w:jc w:val="both"/>
        <w:rPr>
          <w:rFonts w:ascii="Verdana" w:hAnsi="Verdana" w:cs="Arial"/>
          <w:color w:val="000000" w:themeColor="text1"/>
          <w:lang w:val="es-ES"/>
        </w:rPr>
      </w:pPr>
    </w:p>
    <w:p w14:paraId="4F5469D9" w14:textId="455E4A28" w:rsidR="003960F5" w:rsidRPr="006E3E0D" w:rsidRDefault="003960F5" w:rsidP="003960F5">
      <w:pPr>
        <w:widowControl w:val="0"/>
        <w:autoSpaceDE w:val="0"/>
        <w:autoSpaceDN w:val="0"/>
        <w:spacing w:after="0" w:line="276" w:lineRule="auto"/>
        <w:jc w:val="both"/>
        <w:rPr>
          <w:rFonts w:ascii="Verdana" w:hAnsi="Verdana" w:cs="Arial"/>
          <w:color w:val="000000" w:themeColor="text1"/>
          <w:lang w:val="es-ES"/>
        </w:rPr>
      </w:pPr>
      <w:r w:rsidRPr="006E3E0D">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8B5E8C7" w14:textId="77777777" w:rsidR="0057689A" w:rsidRPr="006E3E0D" w:rsidRDefault="0057689A" w:rsidP="003960F5">
      <w:pPr>
        <w:spacing w:after="0" w:line="240" w:lineRule="auto"/>
        <w:rPr>
          <w:rFonts w:ascii="Verdana" w:eastAsia="Times New Roman" w:hAnsi="Verdana" w:cs="Arial"/>
          <w:color w:val="000000" w:themeColor="text1"/>
          <w:lang w:val="es-ES" w:eastAsia="es-CO"/>
        </w:rPr>
      </w:pPr>
    </w:p>
    <w:p w14:paraId="746D9B92" w14:textId="4D4FC7EF" w:rsidR="003960F5" w:rsidRPr="006E3E0D" w:rsidRDefault="003960F5" w:rsidP="003960F5">
      <w:pPr>
        <w:spacing w:after="0" w:line="240" w:lineRule="auto"/>
        <w:rPr>
          <w:rFonts w:ascii="Verdana" w:hAnsi="Verdana" w:cs="Arial"/>
          <w:color w:val="000000" w:themeColor="text1"/>
          <w:lang w:val="es-ES" w:eastAsia="es-CO"/>
        </w:rPr>
      </w:pPr>
      <w:r w:rsidRPr="006E3E0D">
        <w:rPr>
          <w:rFonts w:ascii="Verdana" w:eastAsia="Times New Roman" w:hAnsi="Verdana" w:cs="Arial"/>
          <w:color w:val="000000" w:themeColor="text1"/>
          <w:lang w:val="es-ES" w:eastAsia="es-CO"/>
        </w:rPr>
        <w:lastRenderedPageBreak/>
        <w:t>Atentamente,</w:t>
      </w:r>
      <w:r w:rsidRPr="006E3E0D">
        <w:rPr>
          <w:rFonts w:ascii="Verdana" w:hAnsi="Verdana" w:cs="Arial"/>
          <w:color w:val="000000" w:themeColor="text1"/>
          <w:lang w:val="es-ES" w:eastAsia="es-CO"/>
        </w:rPr>
        <w:t xml:space="preserve"> </w:t>
      </w:r>
    </w:p>
    <w:p w14:paraId="2BF625E7" w14:textId="52B0570E" w:rsidR="003960F5" w:rsidRPr="006E3E0D" w:rsidRDefault="000563BB" w:rsidP="003960F5">
      <w:pPr>
        <w:spacing w:line="276" w:lineRule="auto"/>
        <w:jc w:val="center"/>
        <w:rPr>
          <w:rFonts w:ascii="Verdana" w:hAnsi="Verdana" w:cs="Arial"/>
          <w:color w:val="000000" w:themeColor="text1"/>
          <w:lang w:val="es-ES" w:eastAsia="es-CO"/>
        </w:rPr>
      </w:pPr>
      <w:r>
        <w:rPr>
          <w:noProof/>
        </w:rPr>
        <w:drawing>
          <wp:inline distT="0" distB="0" distL="0" distR="0" wp14:anchorId="5208A4C7" wp14:editId="30A64754">
            <wp:extent cx="3463047" cy="1285525"/>
            <wp:effectExtent l="0" t="0" r="4445" b="0"/>
            <wp:docPr id="10795016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01621" name="Imagen 1" descr="Texto&#10;&#10;Descripción generada automáticamente"/>
                    <pic:cNvPicPr/>
                  </pic:nvPicPr>
                  <pic:blipFill>
                    <a:blip r:embed="rId15"/>
                    <a:stretch>
                      <a:fillRect/>
                    </a:stretch>
                  </pic:blipFill>
                  <pic:spPr>
                    <a:xfrm>
                      <a:off x="0" y="0"/>
                      <a:ext cx="3477010" cy="1290708"/>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60F5" w:rsidRPr="006E3E0D" w14:paraId="7912DA98" w14:textId="77777777" w:rsidTr="008633A7">
        <w:trPr>
          <w:trHeight w:val="315"/>
        </w:trPr>
        <w:tc>
          <w:tcPr>
            <w:tcW w:w="893" w:type="dxa"/>
            <w:vAlign w:val="center"/>
            <w:hideMark/>
          </w:tcPr>
          <w:p w14:paraId="1D18DE1F" w14:textId="77777777" w:rsidR="003960F5" w:rsidRPr="006E3E0D" w:rsidRDefault="003960F5" w:rsidP="008633A7">
            <w:pPr>
              <w:contextualSpacing/>
              <w:rPr>
                <w:rFonts w:ascii="Verdana" w:hAnsi="Verdana" w:cs="Arial"/>
                <w:sz w:val="16"/>
                <w:szCs w:val="16"/>
                <w:lang w:val="es-ES" w:eastAsia="es-ES"/>
              </w:rPr>
            </w:pPr>
            <w:r w:rsidRPr="006E3E0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0DFE83" w14:textId="77777777" w:rsidR="003960F5" w:rsidRPr="006E3E0D" w:rsidRDefault="003960F5" w:rsidP="008633A7">
            <w:pPr>
              <w:contextualSpacing/>
              <w:rPr>
                <w:rFonts w:ascii="Verdana" w:eastAsia="Arial" w:hAnsi="Verdana" w:cs="Arial"/>
                <w:color w:val="000000" w:themeColor="text1"/>
                <w:sz w:val="16"/>
                <w:szCs w:val="16"/>
                <w:lang w:val="es-ES"/>
              </w:rPr>
            </w:pPr>
            <w:r w:rsidRPr="006E3E0D">
              <w:rPr>
                <w:rFonts w:ascii="Verdana" w:eastAsia="Arial" w:hAnsi="Verdana" w:cs="Arial"/>
                <w:color w:val="000000" w:themeColor="text1"/>
                <w:sz w:val="16"/>
                <w:szCs w:val="16"/>
                <w:lang w:val="es-ES"/>
              </w:rPr>
              <w:t>Anamaría Bonilla Prieto</w:t>
            </w:r>
          </w:p>
          <w:p w14:paraId="59E9CAB8" w14:textId="77777777" w:rsidR="003960F5" w:rsidRPr="006E3E0D" w:rsidRDefault="003960F5" w:rsidP="008633A7">
            <w:pPr>
              <w:contextualSpacing/>
              <w:rPr>
                <w:rFonts w:ascii="Verdana" w:eastAsia="Arial" w:hAnsi="Verdana" w:cs="Arial"/>
                <w:sz w:val="16"/>
                <w:szCs w:val="16"/>
                <w:lang w:val="es-ES"/>
              </w:rPr>
            </w:pPr>
            <w:r w:rsidRPr="006E3E0D">
              <w:rPr>
                <w:rStyle w:val="normaltextrun"/>
                <w:rFonts w:ascii="Verdana" w:eastAsia="Arial" w:hAnsi="Verdana" w:cs="Arial"/>
                <w:color w:val="000000" w:themeColor="text1"/>
                <w:sz w:val="16"/>
                <w:szCs w:val="16"/>
                <w:lang w:val="es-ES"/>
              </w:rPr>
              <w:t xml:space="preserve">Contratista de la Subdirección </w:t>
            </w:r>
            <w:r w:rsidRPr="006E3E0D">
              <w:rPr>
                <w:rStyle w:val="normaltextrun"/>
                <w:rFonts w:ascii="Verdana" w:eastAsia="Arial" w:hAnsi="Verdana" w:cs="Arial"/>
                <w:sz w:val="16"/>
                <w:szCs w:val="16"/>
                <w:lang w:val="es-ES"/>
              </w:rPr>
              <w:t>de Gestión Contractual</w:t>
            </w:r>
          </w:p>
        </w:tc>
      </w:tr>
      <w:tr w:rsidR="003960F5" w:rsidRPr="006E3E0D" w14:paraId="2B63A222" w14:textId="77777777" w:rsidTr="008633A7">
        <w:trPr>
          <w:trHeight w:val="330"/>
        </w:trPr>
        <w:tc>
          <w:tcPr>
            <w:tcW w:w="893" w:type="dxa"/>
            <w:vAlign w:val="center"/>
            <w:hideMark/>
          </w:tcPr>
          <w:p w14:paraId="6358ECAE" w14:textId="77777777" w:rsidR="003960F5" w:rsidRPr="006E3E0D" w:rsidRDefault="003960F5" w:rsidP="008633A7">
            <w:pPr>
              <w:contextualSpacing/>
              <w:rPr>
                <w:rFonts w:ascii="Verdana" w:hAnsi="Verdana" w:cs="Arial"/>
                <w:sz w:val="16"/>
                <w:szCs w:val="16"/>
                <w:lang w:val="es-ES" w:eastAsia="es-ES"/>
              </w:rPr>
            </w:pPr>
            <w:r w:rsidRPr="006E3E0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57CCBF7" w14:textId="77777777" w:rsidR="003960F5" w:rsidRPr="006E3E0D" w:rsidRDefault="003960F5" w:rsidP="008633A7">
            <w:pPr>
              <w:contextualSpacing/>
              <w:textAlignment w:val="baseline"/>
              <w:rPr>
                <w:rFonts w:ascii="Verdana" w:eastAsia="Times New Roman" w:hAnsi="Verdana" w:cs="Arial"/>
                <w:sz w:val="16"/>
                <w:szCs w:val="16"/>
                <w:lang w:val="es-ES" w:eastAsia="es-ES_tradnl"/>
              </w:rPr>
            </w:pPr>
            <w:r w:rsidRPr="006E3E0D">
              <w:rPr>
                <w:rFonts w:ascii="Verdana" w:eastAsia="Times New Roman" w:hAnsi="Verdana" w:cs="Arial"/>
                <w:sz w:val="16"/>
                <w:szCs w:val="16"/>
                <w:lang w:val="es-ES" w:eastAsia="es-ES_tradnl"/>
              </w:rPr>
              <w:t>Alejandro Sarmiento Cantillo</w:t>
            </w:r>
          </w:p>
          <w:p w14:paraId="7FA9AD20" w14:textId="77777777" w:rsidR="003960F5" w:rsidRPr="006E3E0D" w:rsidRDefault="003960F5" w:rsidP="008633A7">
            <w:pPr>
              <w:pStyle w:val="paragraph"/>
              <w:spacing w:before="0" w:beforeAutospacing="0" w:after="0" w:afterAutospacing="0"/>
              <w:contextualSpacing/>
              <w:textAlignment w:val="baseline"/>
              <w:rPr>
                <w:rFonts w:ascii="Verdana" w:hAnsi="Verdana" w:cs="Segoe UI"/>
                <w:sz w:val="16"/>
                <w:szCs w:val="16"/>
                <w:lang w:val="es-ES"/>
              </w:rPr>
            </w:pPr>
            <w:r w:rsidRPr="006E3E0D">
              <w:rPr>
                <w:rFonts w:ascii="Verdana" w:hAnsi="Verdana" w:cs="Arial"/>
                <w:sz w:val="16"/>
                <w:szCs w:val="16"/>
                <w:lang w:val="es-ES"/>
              </w:rPr>
              <w:t xml:space="preserve">Gestor T1 – 15 </w:t>
            </w:r>
            <w:r w:rsidRPr="006E3E0D">
              <w:rPr>
                <w:rStyle w:val="normaltextrun"/>
                <w:rFonts w:ascii="Verdana" w:hAnsi="Verdana" w:cs="Arial"/>
                <w:sz w:val="16"/>
                <w:szCs w:val="16"/>
                <w:lang w:val="es-ES"/>
              </w:rPr>
              <w:t>de la Subdirección de Gestión Contractual</w:t>
            </w:r>
            <w:r w:rsidRPr="006E3E0D">
              <w:rPr>
                <w:rStyle w:val="eop"/>
                <w:rFonts w:ascii="Verdana" w:hAnsi="Verdana" w:cs="Arial"/>
                <w:sz w:val="16"/>
                <w:szCs w:val="16"/>
                <w:lang w:val="es-ES"/>
              </w:rPr>
              <w:t> </w:t>
            </w:r>
          </w:p>
        </w:tc>
      </w:tr>
      <w:tr w:rsidR="003960F5" w:rsidRPr="006E3E0D" w14:paraId="1D2D32B3" w14:textId="77777777" w:rsidTr="008633A7">
        <w:trPr>
          <w:trHeight w:val="300"/>
        </w:trPr>
        <w:tc>
          <w:tcPr>
            <w:tcW w:w="893" w:type="dxa"/>
            <w:vAlign w:val="center"/>
          </w:tcPr>
          <w:p w14:paraId="284FAF6B" w14:textId="77777777" w:rsidR="003960F5" w:rsidRPr="006E3E0D" w:rsidRDefault="003960F5" w:rsidP="008633A7">
            <w:pPr>
              <w:contextualSpacing/>
              <w:rPr>
                <w:rFonts w:ascii="Verdana" w:hAnsi="Verdana" w:cs="Arial"/>
                <w:sz w:val="16"/>
                <w:szCs w:val="16"/>
                <w:lang w:val="es-ES" w:eastAsia="es-ES"/>
              </w:rPr>
            </w:pPr>
            <w:r w:rsidRPr="006E3E0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4097723" w14:textId="77777777" w:rsidR="003960F5" w:rsidRPr="006E3E0D" w:rsidRDefault="003960F5" w:rsidP="008633A7">
            <w:pPr>
              <w:contextualSpacing/>
              <w:rPr>
                <w:rFonts w:ascii="Verdana" w:eastAsia="Calibri" w:hAnsi="Verdana" w:cs="Arial"/>
                <w:sz w:val="16"/>
                <w:szCs w:val="16"/>
                <w:lang w:val="es-ES" w:eastAsia="es-ES"/>
              </w:rPr>
            </w:pPr>
            <w:r w:rsidRPr="006E3E0D">
              <w:rPr>
                <w:rFonts w:ascii="Verdana" w:eastAsia="Calibri" w:hAnsi="Verdana" w:cs="Arial"/>
                <w:sz w:val="16"/>
                <w:szCs w:val="16"/>
                <w:lang w:val="es-ES" w:eastAsia="es-ES"/>
              </w:rPr>
              <w:t>Carolina Quintero Gacharná</w:t>
            </w:r>
          </w:p>
          <w:p w14:paraId="4A2C3655" w14:textId="77777777" w:rsidR="003960F5" w:rsidRPr="006E3E0D" w:rsidRDefault="003960F5" w:rsidP="008633A7">
            <w:pPr>
              <w:contextualSpacing/>
              <w:rPr>
                <w:rFonts w:ascii="Verdana" w:eastAsia="Calibri" w:hAnsi="Verdana" w:cs="Arial"/>
                <w:sz w:val="16"/>
                <w:szCs w:val="16"/>
                <w:lang w:val="es-ES" w:eastAsia="es-ES"/>
              </w:rPr>
            </w:pPr>
            <w:r w:rsidRPr="006E3E0D">
              <w:rPr>
                <w:rFonts w:ascii="Verdana" w:eastAsia="Calibri" w:hAnsi="Verdana" w:cs="Arial"/>
                <w:sz w:val="16"/>
                <w:szCs w:val="16"/>
                <w:lang w:val="es-ES" w:eastAsia="es-ES"/>
              </w:rPr>
              <w:t>Subdirectora de Gestión Contractual ANCP – CCE</w:t>
            </w:r>
          </w:p>
        </w:tc>
      </w:tr>
      <w:bookmarkEnd w:id="0"/>
    </w:tbl>
    <w:p w14:paraId="3900974D" w14:textId="77777777" w:rsidR="003D5B0D" w:rsidRPr="006E3E0D" w:rsidRDefault="003D5B0D" w:rsidP="00317834">
      <w:pPr>
        <w:rPr>
          <w:lang w:val="es-ES"/>
        </w:rPr>
      </w:pPr>
    </w:p>
    <w:sectPr w:rsidR="003D5B0D" w:rsidRPr="006E3E0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D6DAFC" w14:textId="77777777" w:rsidR="007F6B8C" w:rsidRDefault="007F6B8C" w:rsidP="004A1847">
      <w:pPr>
        <w:spacing w:after="0" w:line="240" w:lineRule="auto"/>
      </w:pPr>
      <w:r>
        <w:separator/>
      </w:r>
    </w:p>
  </w:endnote>
  <w:endnote w:type="continuationSeparator" w:id="0">
    <w:p w14:paraId="60BFFFFE" w14:textId="77777777" w:rsidR="007F6B8C" w:rsidRDefault="007F6B8C" w:rsidP="004A1847">
      <w:pPr>
        <w:spacing w:after="0" w:line="240" w:lineRule="auto"/>
      </w:pPr>
      <w:r>
        <w:continuationSeparator/>
      </w:r>
    </w:p>
  </w:endnote>
  <w:endnote w:type="continuationNotice" w:id="1">
    <w:p w14:paraId="073F2A4F" w14:textId="77777777" w:rsidR="007F6B8C" w:rsidRDefault="007F6B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922553" w14:textId="77777777" w:rsidR="007F6B8C" w:rsidRDefault="007F6B8C" w:rsidP="004A1847">
      <w:pPr>
        <w:spacing w:after="0" w:line="240" w:lineRule="auto"/>
      </w:pPr>
      <w:r>
        <w:separator/>
      </w:r>
    </w:p>
  </w:footnote>
  <w:footnote w:type="continuationSeparator" w:id="0">
    <w:p w14:paraId="1C1258EF" w14:textId="77777777" w:rsidR="007F6B8C" w:rsidRDefault="007F6B8C" w:rsidP="004A1847">
      <w:pPr>
        <w:spacing w:after="0" w:line="240" w:lineRule="auto"/>
      </w:pPr>
      <w:r>
        <w:continuationSeparator/>
      </w:r>
    </w:p>
  </w:footnote>
  <w:footnote w:type="continuationNotice" w:id="1">
    <w:p w14:paraId="70C5B891" w14:textId="77777777" w:rsidR="007F6B8C" w:rsidRDefault="007F6B8C">
      <w:pPr>
        <w:spacing w:after="0" w:line="240" w:lineRule="auto"/>
      </w:pPr>
    </w:p>
  </w:footnote>
  <w:footnote w:id="2">
    <w:p w14:paraId="227BA9F5" w14:textId="77777777" w:rsidR="003960F5" w:rsidRPr="00171FF6" w:rsidRDefault="003960F5" w:rsidP="003960F5">
      <w:pPr>
        <w:pStyle w:val="FootnoteText"/>
        <w:ind w:firstLine="426"/>
        <w:contextualSpacing/>
        <w:jc w:val="both"/>
        <w:rPr>
          <w:rFonts w:ascii="Verdana" w:hAnsi="Verdana"/>
          <w:sz w:val="15"/>
          <w:szCs w:val="15"/>
          <w:lang w:val="es-CO"/>
        </w:rPr>
      </w:pPr>
      <w:r w:rsidRPr="00171FF6">
        <w:rPr>
          <w:rStyle w:val="FootnoteReference"/>
          <w:rFonts w:ascii="Verdana" w:hAnsi="Verdana"/>
          <w:sz w:val="15"/>
          <w:szCs w:val="15"/>
        </w:rPr>
        <w:footnoteRef/>
      </w:r>
      <w:r w:rsidRPr="00171FF6">
        <w:rPr>
          <w:rFonts w:ascii="Verdana" w:hAnsi="Verdana"/>
          <w:sz w:val="15"/>
          <w:szCs w:val="15"/>
        </w:rPr>
        <w:t xml:space="preserve"> </w:t>
      </w:r>
      <w:r w:rsidRPr="00171FF6">
        <w:rPr>
          <w:rFonts w:ascii="Verdana" w:hAnsi="Verdana"/>
          <w:sz w:val="15"/>
          <w:szCs w:val="15"/>
          <w:lang w:val="es-ES"/>
        </w:rPr>
        <w:t>“</w:t>
      </w:r>
      <w:r w:rsidRPr="00171FF6">
        <w:rPr>
          <w:rFonts w:ascii="Verdana" w:hAnsi="Verdana"/>
          <w:sz w:val="15"/>
          <w:szCs w:val="15"/>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7D33D4DF" w14:textId="77777777" w:rsidR="003960F5" w:rsidRPr="00171FF6" w:rsidRDefault="003960F5" w:rsidP="003960F5">
      <w:pPr>
        <w:pStyle w:val="FootnoteText"/>
        <w:contextualSpacing/>
        <w:jc w:val="both"/>
        <w:rPr>
          <w:rFonts w:ascii="Verdana" w:hAnsi="Verdana"/>
          <w:sz w:val="15"/>
          <w:szCs w:val="15"/>
          <w:lang w:val="es-CO"/>
        </w:rPr>
      </w:pPr>
      <w:r w:rsidRPr="00171FF6">
        <w:rPr>
          <w:rFonts w:ascii="Verdana" w:hAnsi="Verdana"/>
          <w:sz w:val="15"/>
          <w:szCs w:val="15"/>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487A6A0B" w14:textId="77777777" w:rsidR="003960F5" w:rsidRPr="00171FF6" w:rsidRDefault="003960F5" w:rsidP="003960F5">
      <w:pPr>
        <w:spacing w:after="0" w:line="240" w:lineRule="auto"/>
        <w:ind w:firstLine="567"/>
        <w:contextualSpacing/>
        <w:jc w:val="both"/>
        <w:rPr>
          <w:rFonts w:ascii="Verdana" w:hAnsi="Verdana"/>
          <w:sz w:val="15"/>
          <w:szCs w:val="15"/>
          <w:lang w:val="es-MX"/>
        </w:rPr>
      </w:pPr>
      <w:r w:rsidRPr="00171FF6">
        <w:rPr>
          <w:rStyle w:val="FootnoteReference"/>
          <w:rFonts w:ascii="Verdana" w:hAnsi="Verdana"/>
          <w:sz w:val="15"/>
          <w:szCs w:val="15"/>
        </w:rPr>
        <w:footnoteRef/>
      </w:r>
      <w:r w:rsidRPr="00171FF6">
        <w:rPr>
          <w:rFonts w:ascii="Verdana" w:hAnsi="Verdana"/>
          <w:sz w:val="15"/>
          <w:szCs w:val="15"/>
        </w:rPr>
        <w:t xml:space="preserve"> </w:t>
      </w:r>
      <w:r w:rsidRPr="00171FF6">
        <w:rPr>
          <w:rFonts w:ascii="Verdana" w:hAnsi="Verdana"/>
          <w:sz w:val="15"/>
          <w:szCs w:val="15"/>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4">
    <w:p w14:paraId="1B430BBA" w14:textId="77777777" w:rsidR="003960F5" w:rsidRPr="00171FF6" w:rsidRDefault="003960F5" w:rsidP="003960F5">
      <w:pPr>
        <w:pStyle w:val="FootnoteText"/>
        <w:ind w:firstLine="567"/>
        <w:contextualSpacing/>
        <w:jc w:val="both"/>
        <w:rPr>
          <w:rFonts w:ascii="Verdana" w:hAnsi="Verdana"/>
          <w:sz w:val="15"/>
          <w:szCs w:val="15"/>
          <w:lang w:val="es-CO"/>
        </w:rPr>
      </w:pPr>
      <w:r w:rsidRPr="00171FF6">
        <w:rPr>
          <w:rStyle w:val="FootnoteReference"/>
          <w:rFonts w:ascii="Verdana" w:hAnsi="Verdana"/>
          <w:sz w:val="15"/>
          <w:szCs w:val="15"/>
        </w:rPr>
        <w:footnoteRef/>
      </w:r>
      <w:r w:rsidRPr="00171FF6">
        <w:rPr>
          <w:rFonts w:ascii="Verdana" w:hAnsi="Verdana"/>
          <w:sz w:val="15"/>
          <w:szCs w:val="15"/>
        </w:rPr>
        <w:t xml:space="preserve"> Según este parágrafo</w:t>
      </w:r>
      <w:r w:rsidRPr="00171FF6">
        <w:rPr>
          <w:rFonts w:ascii="Verdana" w:hAnsi="Verdana" w:cs="Arial"/>
          <w:color w:val="000000" w:themeColor="text1"/>
          <w:sz w:val="15"/>
          <w:szCs w:val="15"/>
          <w:lang w:val="es-ES_tradnl"/>
        </w:rPr>
        <w:t xml:space="preserve"> </w:t>
      </w:r>
      <w:r w:rsidRPr="00171FF6">
        <w:rPr>
          <w:rFonts w:ascii="Verdana" w:hAnsi="Verdana"/>
          <w:sz w:val="15"/>
          <w:szCs w:val="15"/>
          <w:lang w:val="es-ES_tradnl"/>
        </w:rPr>
        <w:t>las certificaciones de sistemas de gestión de calidad no serán objeto de calificación, ni podrán establecerse como documento habilitante para participar en licitaciones o concursos.</w:t>
      </w:r>
      <w:r w:rsidRPr="00171FF6">
        <w:rPr>
          <w:rFonts w:ascii="Verdana" w:hAnsi="Verdana"/>
          <w:sz w:val="15"/>
          <w:szCs w:val="15"/>
        </w:rPr>
        <w:t xml:space="preserve"> </w:t>
      </w:r>
    </w:p>
  </w:footnote>
  <w:footnote w:id="5">
    <w:p w14:paraId="7625AF57" w14:textId="77777777" w:rsidR="003960F5" w:rsidRPr="00171FF6" w:rsidRDefault="003960F5" w:rsidP="003960F5">
      <w:pPr>
        <w:pStyle w:val="FootnoteText"/>
        <w:ind w:firstLine="567"/>
        <w:contextualSpacing/>
        <w:jc w:val="both"/>
        <w:rPr>
          <w:rFonts w:ascii="Verdana" w:hAnsi="Verdana"/>
          <w:sz w:val="15"/>
          <w:szCs w:val="15"/>
        </w:rPr>
      </w:pPr>
      <w:r w:rsidRPr="00171FF6">
        <w:rPr>
          <w:rStyle w:val="FootnoteReference"/>
          <w:rFonts w:ascii="Verdana" w:hAnsi="Verdana"/>
          <w:sz w:val="15"/>
          <w:szCs w:val="15"/>
        </w:rPr>
        <w:footnoteRef/>
      </w:r>
      <w:r w:rsidRPr="00171FF6">
        <w:rPr>
          <w:rFonts w:ascii="Verdana" w:hAnsi="Verdana"/>
          <w:sz w:val="15"/>
          <w:szCs w:val="15"/>
        </w:rPr>
        <w:t xml:space="preserve"> Artículo 2.2.1.1.1.5.3. Requisitos habilitantes contenidos en el RUP. Las cámaras de comercio, con base en la información a la que hace referencia el artículo anterior, deben verificar y certificar los siguientes requisitos habilitantes:</w:t>
      </w:r>
    </w:p>
    <w:p w14:paraId="1EC49578" w14:textId="77777777" w:rsidR="003960F5" w:rsidRPr="00171FF6" w:rsidRDefault="003960F5" w:rsidP="003960F5">
      <w:pPr>
        <w:pStyle w:val="FootnoteText"/>
        <w:ind w:firstLine="567"/>
        <w:contextualSpacing/>
        <w:jc w:val="both"/>
        <w:rPr>
          <w:rFonts w:ascii="Verdana" w:hAnsi="Verdana"/>
          <w:sz w:val="15"/>
          <w:szCs w:val="15"/>
        </w:rPr>
      </w:pPr>
      <w:r w:rsidRPr="00171FF6">
        <w:rPr>
          <w:rFonts w:ascii="Verdana" w:hAnsi="Verdana"/>
          <w:sz w:val="15"/>
          <w:szCs w:val="15"/>
        </w:rPr>
        <w:t>1. Experiencia – Los contratos celebrados por el interesado para cada uno de los bienes, obras y servicios que ofrecerá a las Entidades Estatales, identificados con el Clasificador de Bienes y Servicios en el tercer nivel y su valor expresado en smmlv.</w:t>
      </w:r>
    </w:p>
    <w:p w14:paraId="76A6CF9E" w14:textId="77777777" w:rsidR="003960F5" w:rsidRPr="00171FF6" w:rsidRDefault="003960F5" w:rsidP="003960F5">
      <w:pPr>
        <w:pStyle w:val="FootnoteText"/>
        <w:contextualSpacing/>
        <w:jc w:val="both"/>
        <w:rPr>
          <w:rFonts w:ascii="Verdana" w:hAnsi="Verdana"/>
          <w:sz w:val="15"/>
          <w:szCs w:val="15"/>
        </w:rPr>
      </w:pPr>
      <w:r w:rsidRPr="00171FF6">
        <w:rPr>
          <w:rFonts w:ascii="Verdana" w:hAnsi="Verdana"/>
          <w:sz w:val="15"/>
          <w:szCs w:val="15"/>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p w14:paraId="7877D4FC" w14:textId="77777777" w:rsidR="003960F5" w:rsidRPr="00171FF6" w:rsidRDefault="003960F5" w:rsidP="003960F5">
      <w:pPr>
        <w:pStyle w:val="FootnoteText"/>
        <w:ind w:firstLine="709"/>
        <w:contextualSpacing/>
        <w:jc w:val="both"/>
        <w:rPr>
          <w:rFonts w:ascii="Verdana" w:hAnsi="Verdana"/>
          <w:sz w:val="15"/>
          <w:szCs w:val="15"/>
        </w:rPr>
      </w:pPr>
      <w:r w:rsidRPr="00171FF6">
        <w:rPr>
          <w:rFonts w:ascii="Verdana" w:hAnsi="Verdana"/>
          <w:sz w:val="15"/>
          <w:szCs w:val="15"/>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2832B9AA" w14:textId="77777777" w:rsidR="003960F5" w:rsidRPr="00171FF6" w:rsidRDefault="003960F5" w:rsidP="003960F5">
      <w:pPr>
        <w:pStyle w:val="FootnoteText"/>
        <w:ind w:firstLine="567"/>
        <w:contextualSpacing/>
        <w:jc w:val="both"/>
        <w:rPr>
          <w:rFonts w:ascii="Verdana" w:hAnsi="Verdana"/>
          <w:sz w:val="15"/>
          <w:szCs w:val="15"/>
        </w:rPr>
      </w:pPr>
      <w:r w:rsidRPr="00171FF6">
        <w:rPr>
          <w:rFonts w:ascii="Verdana" w:hAnsi="Verdana"/>
          <w:sz w:val="15"/>
          <w:szCs w:val="15"/>
        </w:rPr>
        <w:t>3. Capacidad Financiera – los siguientes indicadores miden la fortaleza financiera del interesado:</w:t>
      </w:r>
    </w:p>
    <w:p w14:paraId="3D097ACF" w14:textId="77777777" w:rsidR="003960F5" w:rsidRPr="00171FF6" w:rsidRDefault="003960F5" w:rsidP="003960F5">
      <w:pPr>
        <w:pStyle w:val="FootnoteText"/>
        <w:ind w:firstLine="567"/>
        <w:contextualSpacing/>
        <w:jc w:val="both"/>
        <w:rPr>
          <w:rFonts w:ascii="Verdana" w:hAnsi="Verdana"/>
          <w:sz w:val="15"/>
          <w:szCs w:val="15"/>
        </w:rPr>
      </w:pPr>
      <w:r w:rsidRPr="00171FF6">
        <w:rPr>
          <w:rFonts w:ascii="Verdana" w:hAnsi="Verdana"/>
          <w:sz w:val="15"/>
          <w:szCs w:val="15"/>
        </w:rPr>
        <w:t>3.1. Índice de liquidez: activo corriente dividido por el pasivo corriente.</w:t>
      </w:r>
    </w:p>
    <w:p w14:paraId="2FB93F0D" w14:textId="77777777" w:rsidR="003960F5" w:rsidRPr="00171FF6" w:rsidRDefault="003960F5" w:rsidP="003960F5">
      <w:pPr>
        <w:pStyle w:val="FootnoteText"/>
        <w:ind w:firstLine="567"/>
        <w:contextualSpacing/>
        <w:jc w:val="both"/>
        <w:rPr>
          <w:rFonts w:ascii="Verdana" w:hAnsi="Verdana"/>
          <w:sz w:val="15"/>
          <w:szCs w:val="15"/>
        </w:rPr>
      </w:pPr>
      <w:r w:rsidRPr="00171FF6">
        <w:rPr>
          <w:rFonts w:ascii="Verdana" w:hAnsi="Verdana"/>
          <w:sz w:val="15"/>
          <w:szCs w:val="15"/>
        </w:rPr>
        <w:t>3.2. Índice de endeudamiento: pasivo total dividido por el activo total.</w:t>
      </w:r>
    </w:p>
    <w:p w14:paraId="70B4A61E" w14:textId="77777777" w:rsidR="003960F5" w:rsidRPr="00171FF6" w:rsidRDefault="003960F5" w:rsidP="003960F5">
      <w:pPr>
        <w:pStyle w:val="FootnoteText"/>
        <w:ind w:firstLine="567"/>
        <w:contextualSpacing/>
        <w:jc w:val="both"/>
        <w:rPr>
          <w:rFonts w:ascii="Verdana" w:hAnsi="Verdana"/>
          <w:sz w:val="15"/>
          <w:szCs w:val="15"/>
        </w:rPr>
      </w:pPr>
      <w:r w:rsidRPr="00171FF6">
        <w:rPr>
          <w:rFonts w:ascii="Verdana" w:hAnsi="Verdana"/>
          <w:sz w:val="15"/>
          <w:szCs w:val="15"/>
        </w:rPr>
        <w:t>3.3. Razón de cobertura de intereses: utilidad operacional dividida por los gastos de intereses.</w:t>
      </w:r>
    </w:p>
    <w:p w14:paraId="5D55C947" w14:textId="77777777" w:rsidR="003960F5" w:rsidRPr="00171FF6" w:rsidRDefault="003960F5" w:rsidP="003960F5">
      <w:pPr>
        <w:pStyle w:val="FootnoteText"/>
        <w:ind w:firstLine="567"/>
        <w:contextualSpacing/>
        <w:jc w:val="both"/>
        <w:rPr>
          <w:rFonts w:ascii="Verdana" w:hAnsi="Verdana"/>
          <w:sz w:val="15"/>
          <w:szCs w:val="15"/>
        </w:rPr>
      </w:pPr>
      <w:r w:rsidRPr="00171FF6">
        <w:rPr>
          <w:rFonts w:ascii="Verdana" w:hAnsi="Verdana"/>
          <w:sz w:val="15"/>
          <w:szCs w:val="15"/>
        </w:rPr>
        <w:t>4. Capacidad Organizacional – los siguientes indicadores miden el rendimiento de las inversiones y la eficiencia en el uso de activos del interesado:</w:t>
      </w:r>
    </w:p>
    <w:p w14:paraId="3F1796B7" w14:textId="77777777" w:rsidR="003960F5" w:rsidRPr="00171FF6" w:rsidRDefault="003960F5" w:rsidP="003960F5">
      <w:pPr>
        <w:pStyle w:val="FootnoteText"/>
        <w:ind w:firstLine="567"/>
        <w:contextualSpacing/>
        <w:jc w:val="both"/>
        <w:rPr>
          <w:rFonts w:ascii="Verdana" w:hAnsi="Verdana"/>
          <w:sz w:val="15"/>
          <w:szCs w:val="15"/>
        </w:rPr>
      </w:pPr>
      <w:r w:rsidRPr="00171FF6">
        <w:rPr>
          <w:rFonts w:ascii="Verdana" w:hAnsi="Verdana"/>
          <w:sz w:val="15"/>
          <w:szCs w:val="15"/>
        </w:rPr>
        <w:t>4.1. Rentabilidad del patrimonio: utilidad operacional dividida por el patrimonio.</w:t>
      </w:r>
    </w:p>
    <w:p w14:paraId="06FDAFDE" w14:textId="77777777" w:rsidR="003960F5" w:rsidRPr="00171FF6" w:rsidRDefault="003960F5" w:rsidP="003960F5">
      <w:pPr>
        <w:pStyle w:val="FootnoteText"/>
        <w:ind w:firstLine="567"/>
        <w:contextualSpacing/>
        <w:jc w:val="both"/>
        <w:rPr>
          <w:rFonts w:ascii="Verdana" w:hAnsi="Verdana"/>
          <w:sz w:val="15"/>
          <w:szCs w:val="15"/>
          <w:lang w:val="es-CO"/>
        </w:rPr>
      </w:pPr>
      <w:r w:rsidRPr="00171FF6">
        <w:rPr>
          <w:rFonts w:ascii="Verdana" w:hAnsi="Verdana"/>
          <w:sz w:val="15"/>
          <w:szCs w:val="15"/>
        </w:rPr>
        <w:t>4.2. Rentabilidad del activo: utilidad operacional dividida por el activo total”.</w:t>
      </w:r>
    </w:p>
  </w:footnote>
  <w:footnote w:id="6">
    <w:p w14:paraId="4D5092C4" w14:textId="77777777" w:rsidR="003960F5" w:rsidRPr="00171FF6" w:rsidRDefault="003960F5" w:rsidP="003960F5">
      <w:pPr>
        <w:pStyle w:val="FootnoteText"/>
        <w:ind w:firstLine="567"/>
        <w:contextualSpacing/>
        <w:jc w:val="both"/>
        <w:rPr>
          <w:rFonts w:ascii="Verdana" w:hAnsi="Verdana"/>
          <w:sz w:val="15"/>
          <w:szCs w:val="15"/>
          <w:lang w:val="es-CO"/>
        </w:rPr>
      </w:pPr>
      <w:r w:rsidRPr="00171FF6">
        <w:rPr>
          <w:rStyle w:val="FootnoteReference"/>
          <w:rFonts w:ascii="Verdana" w:hAnsi="Verdana"/>
          <w:sz w:val="15"/>
          <w:szCs w:val="15"/>
        </w:rPr>
        <w:footnoteRef/>
      </w:r>
      <w:r w:rsidRPr="00171FF6">
        <w:rPr>
          <w:rFonts w:ascii="Verdana" w:hAnsi="Verdana"/>
          <w:sz w:val="15"/>
          <w:szCs w:val="15"/>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14:paraId="271B4F1C" w14:textId="77777777" w:rsidR="003960F5" w:rsidRPr="00171FF6" w:rsidRDefault="003960F5" w:rsidP="003960F5">
      <w:pPr>
        <w:pStyle w:val="FootnoteText"/>
        <w:ind w:firstLine="709"/>
        <w:contextualSpacing/>
        <w:rPr>
          <w:rFonts w:ascii="Verdana" w:hAnsi="Verdana"/>
          <w:sz w:val="15"/>
          <w:szCs w:val="15"/>
          <w:lang w:val="es-CO"/>
        </w:rPr>
      </w:pPr>
      <w:r w:rsidRPr="00171FF6">
        <w:rPr>
          <w:rStyle w:val="FootnoteReference"/>
          <w:rFonts w:ascii="Verdana" w:hAnsi="Verdana"/>
          <w:sz w:val="15"/>
          <w:szCs w:val="15"/>
        </w:rPr>
        <w:footnoteRef/>
      </w:r>
      <w:r w:rsidRPr="00171FF6">
        <w:rPr>
          <w:rFonts w:ascii="Verdana" w:hAnsi="Verdana"/>
          <w:sz w:val="15"/>
          <w:szCs w:val="15"/>
        </w:rPr>
        <w:t xml:space="preserve"> </w:t>
      </w:r>
      <w:r w:rsidRPr="00171FF6">
        <w:rPr>
          <w:rFonts w:ascii="Verdana" w:hAnsi="Verdana"/>
          <w:sz w:val="15"/>
          <w:szCs w:val="15"/>
          <w:lang w:val="es-CO"/>
        </w:rPr>
        <w:t xml:space="preserve">Consejo de Estado. Sección tercera. Sentencia del 18 de noviembre de 2024. Exp. 66750. C.P María Adriana Marina.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4.8pt;height:14.8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019"/>
    <w:rsid w:val="00016F78"/>
    <w:rsid w:val="00022708"/>
    <w:rsid w:val="000231F0"/>
    <w:rsid w:val="00046945"/>
    <w:rsid w:val="000563BB"/>
    <w:rsid w:val="0006163D"/>
    <w:rsid w:val="00061B2A"/>
    <w:rsid w:val="0007639B"/>
    <w:rsid w:val="00082362"/>
    <w:rsid w:val="000A683E"/>
    <w:rsid w:val="000B19B9"/>
    <w:rsid w:val="000B5EAC"/>
    <w:rsid w:val="000D0334"/>
    <w:rsid w:val="000D6D6E"/>
    <w:rsid w:val="000F6486"/>
    <w:rsid w:val="000F6655"/>
    <w:rsid w:val="00123005"/>
    <w:rsid w:val="00125105"/>
    <w:rsid w:val="00127233"/>
    <w:rsid w:val="00130558"/>
    <w:rsid w:val="00131F09"/>
    <w:rsid w:val="00135DD7"/>
    <w:rsid w:val="001511A0"/>
    <w:rsid w:val="00185161"/>
    <w:rsid w:val="001D76D7"/>
    <w:rsid w:val="001E4177"/>
    <w:rsid w:val="001F68B9"/>
    <w:rsid w:val="001F78CA"/>
    <w:rsid w:val="001F7DC6"/>
    <w:rsid w:val="00237F0A"/>
    <w:rsid w:val="002421BB"/>
    <w:rsid w:val="0024396D"/>
    <w:rsid w:val="00244A0A"/>
    <w:rsid w:val="0024764B"/>
    <w:rsid w:val="0025796E"/>
    <w:rsid w:val="00261EE6"/>
    <w:rsid w:val="002707A2"/>
    <w:rsid w:val="002951A0"/>
    <w:rsid w:val="002962BC"/>
    <w:rsid w:val="002A093D"/>
    <w:rsid w:val="002A0DD0"/>
    <w:rsid w:val="002A49AC"/>
    <w:rsid w:val="002A64FD"/>
    <w:rsid w:val="002C7A84"/>
    <w:rsid w:val="002D3169"/>
    <w:rsid w:val="002D457E"/>
    <w:rsid w:val="002E4FD9"/>
    <w:rsid w:val="002F1B71"/>
    <w:rsid w:val="00305991"/>
    <w:rsid w:val="00317834"/>
    <w:rsid w:val="00322A85"/>
    <w:rsid w:val="00324168"/>
    <w:rsid w:val="00330263"/>
    <w:rsid w:val="003448F4"/>
    <w:rsid w:val="00374F5E"/>
    <w:rsid w:val="00377E3E"/>
    <w:rsid w:val="003960F5"/>
    <w:rsid w:val="003A5DE3"/>
    <w:rsid w:val="003A779E"/>
    <w:rsid w:val="003B30D6"/>
    <w:rsid w:val="003C2BBE"/>
    <w:rsid w:val="003D0F4D"/>
    <w:rsid w:val="003D5B0D"/>
    <w:rsid w:val="003E0499"/>
    <w:rsid w:val="003F3941"/>
    <w:rsid w:val="00406575"/>
    <w:rsid w:val="00414C74"/>
    <w:rsid w:val="0041574C"/>
    <w:rsid w:val="0042722E"/>
    <w:rsid w:val="004355DD"/>
    <w:rsid w:val="00435B5F"/>
    <w:rsid w:val="00442E02"/>
    <w:rsid w:val="00444DF9"/>
    <w:rsid w:val="0044528D"/>
    <w:rsid w:val="00475CC7"/>
    <w:rsid w:val="004A1847"/>
    <w:rsid w:val="004A305D"/>
    <w:rsid w:val="004C480B"/>
    <w:rsid w:val="004C7AD4"/>
    <w:rsid w:val="004F21C4"/>
    <w:rsid w:val="004F685F"/>
    <w:rsid w:val="005566E8"/>
    <w:rsid w:val="005663E8"/>
    <w:rsid w:val="00574867"/>
    <w:rsid w:val="0057689A"/>
    <w:rsid w:val="00591460"/>
    <w:rsid w:val="005B044F"/>
    <w:rsid w:val="005B3816"/>
    <w:rsid w:val="005C3777"/>
    <w:rsid w:val="005C5CDC"/>
    <w:rsid w:val="005D476C"/>
    <w:rsid w:val="005F4E62"/>
    <w:rsid w:val="006219F8"/>
    <w:rsid w:val="00627AC6"/>
    <w:rsid w:val="006505E0"/>
    <w:rsid w:val="006563B6"/>
    <w:rsid w:val="00665D70"/>
    <w:rsid w:val="00671B81"/>
    <w:rsid w:val="00682F5E"/>
    <w:rsid w:val="006900D9"/>
    <w:rsid w:val="006B3371"/>
    <w:rsid w:val="006D23B7"/>
    <w:rsid w:val="006E3317"/>
    <w:rsid w:val="006E3E0D"/>
    <w:rsid w:val="00706C16"/>
    <w:rsid w:val="00716777"/>
    <w:rsid w:val="00756841"/>
    <w:rsid w:val="007649AB"/>
    <w:rsid w:val="00771D0C"/>
    <w:rsid w:val="0077491C"/>
    <w:rsid w:val="007833AC"/>
    <w:rsid w:val="007B268C"/>
    <w:rsid w:val="007B7171"/>
    <w:rsid w:val="007C0C0F"/>
    <w:rsid w:val="007C3DC2"/>
    <w:rsid w:val="007D2175"/>
    <w:rsid w:val="007E4982"/>
    <w:rsid w:val="007E5497"/>
    <w:rsid w:val="007F6B8C"/>
    <w:rsid w:val="00806F5F"/>
    <w:rsid w:val="00820278"/>
    <w:rsid w:val="00832BA6"/>
    <w:rsid w:val="00867F95"/>
    <w:rsid w:val="008843B6"/>
    <w:rsid w:val="008862F1"/>
    <w:rsid w:val="00891928"/>
    <w:rsid w:val="008A446D"/>
    <w:rsid w:val="008C4D7C"/>
    <w:rsid w:val="008D180B"/>
    <w:rsid w:val="008F0EA7"/>
    <w:rsid w:val="008F4152"/>
    <w:rsid w:val="00923EEF"/>
    <w:rsid w:val="00930BC2"/>
    <w:rsid w:val="009419F9"/>
    <w:rsid w:val="0095685E"/>
    <w:rsid w:val="00961B09"/>
    <w:rsid w:val="00962CB8"/>
    <w:rsid w:val="00965334"/>
    <w:rsid w:val="0097093E"/>
    <w:rsid w:val="009811AB"/>
    <w:rsid w:val="00986AC5"/>
    <w:rsid w:val="009A0DFA"/>
    <w:rsid w:val="009B2D26"/>
    <w:rsid w:val="009B3A64"/>
    <w:rsid w:val="009C173C"/>
    <w:rsid w:val="009C71FA"/>
    <w:rsid w:val="009C72E7"/>
    <w:rsid w:val="009D3058"/>
    <w:rsid w:val="009F3A13"/>
    <w:rsid w:val="00A122D3"/>
    <w:rsid w:val="00A17F13"/>
    <w:rsid w:val="00A20739"/>
    <w:rsid w:val="00A33C78"/>
    <w:rsid w:val="00A45C77"/>
    <w:rsid w:val="00A8001A"/>
    <w:rsid w:val="00A92905"/>
    <w:rsid w:val="00A95B87"/>
    <w:rsid w:val="00AB0ADB"/>
    <w:rsid w:val="00AD06CE"/>
    <w:rsid w:val="00AE3C8A"/>
    <w:rsid w:val="00AE6FFA"/>
    <w:rsid w:val="00B01B1A"/>
    <w:rsid w:val="00B02BF0"/>
    <w:rsid w:val="00B34AE9"/>
    <w:rsid w:val="00B575E4"/>
    <w:rsid w:val="00B66319"/>
    <w:rsid w:val="00B72CD3"/>
    <w:rsid w:val="00B72FFF"/>
    <w:rsid w:val="00B85D0B"/>
    <w:rsid w:val="00B952FB"/>
    <w:rsid w:val="00BA30BD"/>
    <w:rsid w:val="00BC3D36"/>
    <w:rsid w:val="00BD6BFA"/>
    <w:rsid w:val="00BD7F72"/>
    <w:rsid w:val="00BE28C8"/>
    <w:rsid w:val="00BF66E7"/>
    <w:rsid w:val="00C03941"/>
    <w:rsid w:val="00C04FB3"/>
    <w:rsid w:val="00C330EB"/>
    <w:rsid w:val="00C404D1"/>
    <w:rsid w:val="00C41061"/>
    <w:rsid w:val="00C71757"/>
    <w:rsid w:val="00C74DA3"/>
    <w:rsid w:val="00C754BE"/>
    <w:rsid w:val="00C76B1C"/>
    <w:rsid w:val="00C85B37"/>
    <w:rsid w:val="00C91EE3"/>
    <w:rsid w:val="00CB6357"/>
    <w:rsid w:val="00CC1B26"/>
    <w:rsid w:val="00CE19AF"/>
    <w:rsid w:val="00D24A3F"/>
    <w:rsid w:val="00D310ED"/>
    <w:rsid w:val="00D423A2"/>
    <w:rsid w:val="00D520D8"/>
    <w:rsid w:val="00D63AC2"/>
    <w:rsid w:val="00D7383B"/>
    <w:rsid w:val="00D765BF"/>
    <w:rsid w:val="00DA231B"/>
    <w:rsid w:val="00DB2132"/>
    <w:rsid w:val="00DB5F2E"/>
    <w:rsid w:val="00DC39FC"/>
    <w:rsid w:val="00DD32FC"/>
    <w:rsid w:val="00DF5254"/>
    <w:rsid w:val="00E11DBE"/>
    <w:rsid w:val="00E16408"/>
    <w:rsid w:val="00E20894"/>
    <w:rsid w:val="00E245AB"/>
    <w:rsid w:val="00E2764C"/>
    <w:rsid w:val="00E27807"/>
    <w:rsid w:val="00E27F2E"/>
    <w:rsid w:val="00E32ABD"/>
    <w:rsid w:val="00E50AFE"/>
    <w:rsid w:val="00E73D3A"/>
    <w:rsid w:val="00E75C92"/>
    <w:rsid w:val="00E771DC"/>
    <w:rsid w:val="00E8772A"/>
    <w:rsid w:val="00E90F6B"/>
    <w:rsid w:val="00E92C27"/>
    <w:rsid w:val="00E9394E"/>
    <w:rsid w:val="00EA0E3D"/>
    <w:rsid w:val="00EA45F2"/>
    <w:rsid w:val="00EC38A7"/>
    <w:rsid w:val="00ED7384"/>
    <w:rsid w:val="00EE1AA8"/>
    <w:rsid w:val="00EE30D8"/>
    <w:rsid w:val="00EF0211"/>
    <w:rsid w:val="00F229F7"/>
    <w:rsid w:val="00F31EDC"/>
    <w:rsid w:val="00F462B3"/>
    <w:rsid w:val="00F5664F"/>
    <w:rsid w:val="00F666C4"/>
    <w:rsid w:val="00F76AFC"/>
    <w:rsid w:val="00FA11E6"/>
    <w:rsid w:val="00FA47C0"/>
    <w:rsid w:val="00FB33C8"/>
    <w:rsid w:val="00FB5DD1"/>
    <w:rsid w:val="00FC2B5D"/>
    <w:rsid w:val="00FD4A5A"/>
    <w:rsid w:val="00FF1449"/>
    <w:rsid w:val="00FF6A9D"/>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3960F5"/>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3960F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taciondeaj@deaj.ramajudicial.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6EAF155-A8F3-6C49-BC10-71DF8361FB47}">
  <ds:schemaRefs>
    <ds:schemaRef ds:uri="http://schemas.openxmlformats.org/officeDocument/2006/bibliography"/>
  </ds:schemaRefs>
</ds:datastoreItem>
</file>

<file path=customXml/itemProps3.xml><?xml version="1.0" encoding="utf-8"?>
<ds:datastoreItem xmlns:ds="http://schemas.openxmlformats.org/officeDocument/2006/customXml" ds:itemID="{657AC40D-42D4-4296-A163-AF6A57376073}"/>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5445</Words>
  <Characters>30986</Characters>
  <Application>Microsoft Office Word</Application>
  <DocSecurity>0</DocSecurity>
  <Lines>553</Lines>
  <Paragraphs>123</Paragraphs>
  <ScaleCrop>false</ScaleCrop>
  <Company/>
  <LinksUpToDate>false</LinksUpToDate>
  <CharactersWithSpaces>36308</CharactersWithSpaces>
  <SharedDoc>false</SharedDoc>
  <HLinks>
    <vt:vector size="18" baseType="variant">
      <vt:variant>
        <vt:i4>8126526</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3932185</vt:i4>
      </vt:variant>
      <vt:variant>
        <vt:i4>0</vt:i4>
      </vt:variant>
      <vt:variant>
        <vt:i4>0</vt:i4>
      </vt:variant>
      <vt:variant>
        <vt:i4>5</vt:i4>
      </vt:variant>
      <vt:variant>
        <vt:lpwstr>mailto:contrataciondeaj@deaj.ramajudicial.gov.co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5</cp:revision>
  <cp:lastPrinted>2023-01-10T21:18:00Z</cp:lastPrinted>
  <dcterms:created xsi:type="dcterms:W3CDTF">2025-06-12T19:15:00Z</dcterms:created>
  <dcterms:modified xsi:type="dcterms:W3CDTF">2025-06-12T19:23:00Z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