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65594C" w:rsidR="0065594C" w:rsidP="0065594C" w:rsidRDefault="0065594C" w14:paraId="1AF7373E" w14:textId="77777777">
      <w:pPr>
        <w:spacing w:after="0" w:line="240" w:lineRule="auto"/>
        <w:jc w:val="both"/>
        <w:rPr>
          <w:rFonts w:ascii="Verdana" w:hAnsi="Verdana" w:eastAsia="Geomanist Light" w:cs="Arial"/>
          <w:b/>
        </w:rPr>
      </w:pPr>
      <w:r w:rsidRPr="0065594C">
        <w:rPr>
          <w:rFonts w:ascii="Verdana" w:hAnsi="Verdana" w:eastAsia="Geomanist Light" w:cs="Arial"/>
          <w:b/>
        </w:rPr>
        <w:t>LEY DE EMPRENDIMIENTO – Ley 2069 de 2020 – Artículo 32 – Criterios diferenciales – Emprendimientos de mujeres – Empresas de mujeres – Necesidad de reglamentación – Decreto 1860 de 2021</w:t>
      </w:r>
    </w:p>
    <w:p w:rsidRPr="0065594C" w:rsidR="0065594C" w:rsidP="0065594C" w:rsidRDefault="0065594C" w14:paraId="190EFC39" w14:textId="77777777">
      <w:pPr>
        <w:spacing w:after="0" w:line="240" w:lineRule="auto"/>
        <w:jc w:val="both"/>
        <w:rPr>
          <w:rFonts w:ascii="Verdana" w:hAnsi="Verdana" w:eastAsia="Geomanist Light" w:cs="Arial"/>
          <w:b/>
        </w:rPr>
      </w:pPr>
    </w:p>
    <w:p w:rsidR="0065594C" w:rsidP="0065594C" w:rsidRDefault="0065594C" w14:paraId="61BF7837" w14:textId="77777777">
      <w:pPr>
        <w:spacing w:after="0" w:line="240" w:lineRule="auto"/>
        <w:jc w:val="both"/>
        <w:rPr>
          <w:rFonts w:ascii="Verdana" w:hAnsi="Verdana" w:eastAsia="Geomanist Light" w:cs="Arial"/>
        </w:rPr>
      </w:pPr>
      <w:r w:rsidRPr="0065594C">
        <w:rPr>
          <w:rFonts w:ascii="Verdana" w:hAnsi="Verdana" w:eastAsia="Geomanist Light" w:cs="Arial"/>
        </w:rPr>
        <w:t xml:space="preserve">[…] el artículo 32 de la Ley 2069 de 2020 regula criterios diferenciales para los </w:t>
      </w:r>
      <w:r>
        <w:rPr>
          <w:rFonts w:ascii="Verdana" w:hAnsi="Verdana" w:eastAsia="Geomanist Light" w:cs="Arial"/>
        </w:rPr>
        <w:t>“</w:t>
      </w:r>
      <w:r w:rsidRPr="0065594C">
        <w:rPr>
          <w:rFonts w:ascii="Verdana" w:hAnsi="Verdana" w:eastAsia="Geomanist Light" w:cs="Arial"/>
        </w:rPr>
        <w:t>emprendimientos y empresas de mujeres</w:t>
      </w:r>
      <w:r>
        <w:rPr>
          <w:rFonts w:ascii="Verdana" w:hAnsi="Verdana" w:eastAsia="Geomanist Light" w:cs="Arial"/>
        </w:rPr>
        <w:t>”</w:t>
      </w:r>
      <w:r w:rsidRPr="0065594C">
        <w:rPr>
          <w:rFonts w:ascii="Verdana" w:hAnsi="Verdana" w:eastAsia="Geomanist Light" w:cs="Arial"/>
        </w:rPr>
        <w:t xml:space="preserve"> en el sistema de compras y contratación pública. […] De esta manera, los denominados </w:t>
      </w:r>
      <w:r>
        <w:rPr>
          <w:rFonts w:ascii="Verdana" w:hAnsi="Verdana" w:eastAsia="Geomanist Light" w:cs="Arial"/>
        </w:rPr>
        <w:t>“</w:t>
      </w:r>
      <w:r w:rsidRPr="0065594C">
        <w:rPr>
          <w:rFonts w:ascii="Verdana" w:hAnsi="Verdana" w:eastAsia="Geomanist Light" w:cs="Arial"/>
        </w:rPr>
        <w:t>criterios diferenciales</w:t>
      </w:r>
      <w:r>
        <w:rPr>
          <w:rFonts w:ascii="Verdana" w:hAnsi="Verdana" w:eastAsia="Geomanist Light" w:cs="Arial"/>
        </w:rPr>
        <w:t>”</w:t>
      </w:r>
      <w:r w:rsidRPr="0065594C">
        <w:rPr>
          <w:rFonts w:ascii="Verdana" w:hAnsi="Verdana" w:eastAsia="Geomanist Light" w:cs="Arial"/>
        </w:rPr>
        <w:t xml:space="preserve"> del artículo 32 ibidem –que incluyen tanto los </w:t>
      </w:r>
      <w:r>
        <w:rPr>
          <w:rFonts w:ascii="Verdana" w:hAnsi="Verdana" w:eastAsia="Geomanist Light" w:cs="Arial"/>
        </w:rPr>
        <w:t>“</w:t>
      </w:r>
      <w:r w:rsidRPr="0065594C">
        <w:rPr>
          <w:rFonts w:ascii="Verdana" w:hAnsi="Verdana" w:eastAsia="Geomanist Light" w:cs="Arial"/>
        </w:rPr>
        <w:t>requisitos diferenciales</w:t>
      </w:r>
      <w:r>
        <w:rPr>
          <w:rFonts w:ascii="Verdana" w:hAnsi="Verdana" w:eastAsia="Geomanist Light" w:cs="Arial"/>
        </w:rPr>
        <w:t>”</w:t>
      </w:r>
      <w:r w:rsidRPr="0065594C">
        <w:rPr>
          <w:rFonts w:ascii="Verdana" w:hAnsi="Verdana" w:eastAsia="Geomanist Light" w:cs="Arial"/>
        </w:rPr>
        <w:t xml:space="preserve"> como los </w:t>
      </w:r>
      <w:r>
        <w:rPr>
          <w:rFonts w:ascii="Verdana" w:hAnsi="Verdana" w:eastAsia="Geomanist Light" w:cs="Arial"/>
        </w:rPr>
        <w:t>“</w:t>
      </w:r>
      <w:r w:rsidRPr="0065594C">
        <w:rPr>
          <w:rFonts w:ascii="Verdana" w:hAnsi="Verdana" w:eastAsia="Geomanist Light" w:cs="Arial"/>
        </w:rPr>
        <w:t>puntajes adicionales</w:t>
      </w:r>
      <w:r>
        <w:rPr>
          <w:rFonts w:ascii="Verdana" w:hAnsi="Verdana" w:eastAsia="Geomanist Light" w:cs="Arial"/>
        </w:rPr>
        <w:t>”</w:t>
      </w:r>
      <w:r w:rsidRPr="0065594C">
        <w:rPr>
          <w:rFonts w:ascii="Verdana" w:hAnsi="Verdana" w:eastAsia="Geomanist Light" w:cs="Arial"/>
        </w:rPr>
        <w:t xml:space="preserve">– aplican a </w:t>
      </w:r>
      <w:r>
        <w:rPr>
          <w:rFonts w:ascii="Verdana" w:hAnsi="Verdana" w:eastAsia="Geomanist Light" w:cs="Arial"/>
        </w:rPr>
        <w:t>“</w:t>
      </w:r>
      <w:r w:rsidRPr="0065594C">
        <w:rPr>
          <w:rFonts w:ascii="Verdana" w:hAnsi="Verdana" w:eastAsia="Geomanist Light" w:cs="Arial"/>
        </w:rPr>
        <w:t>[…] los procesos de licitación pública, selección abreviada de menor cuantía y concurso de méritos […]</w:t>
      </w:r>
      <w:r>
        <w:rPr>
          <w:rFonts w:ascii="Verdana" w:hAnsi="Verdana" w:eastAsia="Geomanist Light" w:cs="Arial"/>
        </w:rPr>
        <w:t>”</w:t>
      </w:r>
      <w:r w:rsidRPr="0065594C">
        <w:rPr>
          <w:rFonts w:ascii="Verdana" w:hAnsi="Verdana" w:eastAsia="Geomanist Light" w:cs="Arial"/>
        </w:rPr>
        <w:t>, excluyendo las demás modalidades de selección del artículo 2 de la Ley 1150 de 2007. Así mismo, sin distinciones ulteriores, la norma en comento también se extiende a todos los procedimientos que realicen las entidades estatales excluidas de la Ley 80 de 1993.</w:t>
      </w:r>
    </w:p>
    <w:p w:rsidRPr="0065594C" w:rsidR="0065594C" w:rsidP="0065594C" w:rsidRDefault="0065594C" w14:paraId="6EEEE11C" w14:textId="5ED9B9F3">
      <w:pPr>
        <w:spacing w:after="0" w:line="240" w:lineRule="auto"/>
        <w:jc w:val="both"/>
        <w:rPr>
          <w:rFonts w:ascii="Verdana" w:hAnsi="Verdana" w:eastAsia="Geomanist Light" w:cs="Arial"/>
        </w:rPr>
      </w:pPr>
      <w:r w:rsidRPr="0065594C">
        <w:rPr>
          <w:rFonts w:ascii="Verdana" w:hAnsi="Verdana" w:eastAsia="Geomanist Light" w:cs="Arial"/>
        </w:rPr>
        <w:t xml:space="preserve">     </w:t>
      </w:r>
    </w:p>
    <w:p w:rsidR="0065594C" w:rsidP="0065594C" w:rsidRDefault="0065594C" w14:paraId="5D3ED72C" w14:textId="1832E5ED">
      <w:pPr>
        <w:spacing w:after="0" w:line="240" w:lineRule="auto"/>
        <w:jc w:val="both"/>
        <w:rPr>
          <w:rFonts w:ascii="Verdana" w:hAnsi="Verdana" w:eastAsia="Geomanist Light" w:cs="Arial"/>
        </w:rPr>
      </w:pPr>
      <w:r w:rsidRPr="0065594C">
        <w:rPr>
          <w:rFonts w:ascii="Verdana" w:hAnsi="Verdana" w:eastAsia="Geomanist Light" w:cs="Arial"/>
        </w:rPr>
        <w:t xml:space="preserve">No obstante, el artículo 32 de la Ley 2069 de 2020 –al igual que el artículo 31– alude a la necesidad del desarrollo normativo posterior. Al respecto, el parágrafo dispone que </w:t>
      </w:r>
      <w:r>
        <w:rPr>
          <w:rFonts w:ascii="Verdana" w:hAnsi="Verdana" w:eastAsia="Geomanist Light" w:cs="Arial"/>
        </w:rPr>
        <w:t>“</w:t>
      </w:r>
      <w:r w:rsidRPr="0065594C">
        <w:rPr>
          <w:rFonts w:ascii="Verdana" w:hAnsi="Verdana" w:eastAsia="Geomanist Light" w:cs="Arial"/>
        </w:rPr>
        <w:t>La definición de emprendimientos y empresas de mujeres se reglamentará por el gobierno nacional</w:t>
      </w:r>
      <w:r>
        <w:rPr>
          <w:rFonts w:ascii="Verdana" w:hAnsi="Verdana" w:eastAsia="Geomanist Light" w:cs="Arial"/>
        </w:rPr>
        <w:t>”</w:t>
      </w:r>
      <w:r w:rsidRPr="0065594C">
        <w:rPr>
          <w:rFonts w:ascii="Verdana" w:hAnsi="Verdana" w:eastAsia="Geomanist Light" w:cs="Arial"/>
        </w:rPr>
        <w:t xml:space="preserve">. […] En este contexto, el pasado 24 de diciembre, el gobierno nacional expidió el Decreto 1860 de 2021 </w:t>
      </w:r>
      <w:r>
        <w:rPr>
          <w:rFonts w:ascii="Verdana" w:hAnsi="Verdana" w:eastAsia="Geomanist Light" w:cs="Arial"/>
        </w:rPr>
        <w:t>“</w:t>
      </w:r>
      <w:r w:rsidRPr="0065594C">
        <w:rPr>
          <w:rFonts w:ascii="Verdana" w:hAnsi="Verdana" w:eastAsia="Geomanist Light" w:cs="Aria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w:t>
      </w:r>
      <w:r>
        <w:rPr>
          <w:rFonts w:ascii="Verdana" w:hAnsi="Verdana" w:eastAsia="Geomanist Light" w:cs="Arial"/>
        </w:rPr>
        <w:t>”</w:t>
      </w:r>
      <w:r w:rsidRPr="0065594C">
        <w:rPr>
          <w:rFonts w:ascii="Verdana" w:hAnsi="Verdana" w:eastAsia="Geomanist Light" w:cs="Arial"/>
        </w:rPr>
        <w:t xml:space="preserve">. Esta norma se expidió con el propósito de adecuar el marco reglamentario de la contratación pública a las modificaciones normativas que se desprenden del Capítulo II de la Ley 2069 de 2020 –con excepción de los artículos 33 y 36–, realizando las adecuaciones requeridas para aplicar estas disposiciones, tal como indica el artículo 1 del Decreto 1860 de 2021.  </w:t>
      </w:r>
    </w:p>
    <w:p w:rsidRPr="0065594C" w:rsidR="0065594C" w:rsidP="0065594C" w:rsidRDefault="0065594C" w14:paraId="78E7DC12" w14:textId="77777777">
      <w:pPr>
        <w:spacing w:after="0" w:line="240" w:lineRule="auto"/>
        <w:jc w:val="both"/>
        <w:rPr>
          <w:rFonts w:ascii="Verdana" w:hAnsi="Verdana" w:eastAsia="Geomanist Light" w:cs="Arial"/>
        </w:rPr>
      </w:pPr>
    </w:p>
    <w:p w:rsidRPr="0065594C" w:rsidR="0065594C" w:rsidP="0065594C" w:rsidRDefault="0065594C" w14:paraId="22A3A61A" w14:textId="77777777">
      <w:pPr>
        <w:spacing w:after="0" w:line="240" w:lineRule="auto"/>
        <w:jc w:val="both"/>
        <w:rPr>
          <w:rFonts w:ascii="Verdana" w:hAnsi="Verdana" w:eastAsia="Geomanist Light" w:cs="Arial"/>
          <w:b/>
          <w:lang w:val="es-ES_tradnl"/>
        </w:rPr>
      </w:pPr>
      <w:r w:rsidRPr="0065594C">
        <w:rPr>
          <w:rFonts w:ascii="Verdana" w:hAnsi="Verdana" w:eastAsia="Geomanist Light" w:cs="Arial"/>
          <w:b/>
          <w:lang w:val="es-ES"/>
        </w:rPr>
        <w:t xml:space="preserve">DECRETO 1860 DE 2021 – Emprendimientos y empresas de mujeres – Definición – Artículo 2.2.1.2.4.2.14 – </w:t>
      </w:r>
      <w:r w:rsidRPr="0065594C">
        <w:rPr>
          <w:rFonts w:ascii="Verdana" w:hAnsi="Verdana" w:eastAsia="Geomanist Light" w:cs="Arial"/>
          <w:b/>
          <w:lang w:val="es-ES_tradnl"/>
        </w:rPr>
        <w:t>Acreditación</w:t>
      </w:r>
    </w:p>
    <w:p w:rsidRPr="0065594C" w:rsidR="0065594C" w:rsidP="0065594C" w:rsidRDefault="0065594C" w14:paraId="7B27F6BA" w14:textId="77777777">
      <w:pPr>
        <w:spacing w:after="0" w:line="240" w:lineRule="auto"/>
        <w:jc w:val="both"/>
        <w:rPr>
          <w:rFonts w:ascii="Verdana" w:hAnsi="Verdana" w:eastAsia="Geomanist Light" w:cs="Arial"/>
          <w:b/>
          <w:lang w:val="es-ES_tradnl"/>
        </w:rPr>
      </w:pPr>
    </w:p>
    <w:p w:rsidR="0065594C" w:rsidP="64549B9D" w:rsidRDefault="0065594C" w14:paraId="4731421E" w14:textId="77777777" w14:noSpellErr="1">
      <w:pPr>
        <w:spacing w:after="0" w:line="240" w:lineRule="auto"/>
        <w:jc w:val="both"/>
        <w:rPr>
          <w:rFonts w:ascii="Verdana" w:hAnsi="Verdana" w:eastAsia="Geomanist Light" w:cs="Arial"/>
          <w:lang w:val="es-ES"/>
        </w:rPr>
      </w:pPr>
      <w:r w:rsidRPr="64549B9D" w:rsidR="0065594C">
        <w:rPr>
          <w:rFonts w:ascii="Verdana" w:hAnsi="Verdana" w:eastAsia="Geomanist Light" w:cs="Arial"/>
          <w:lang w:val="es-ES"/>
        </w:rPr>
        <w:t xml:space="preserve">[…] el artículo 2.2.1.2.4.2.14 del Decreto 1082 de 2015, adicionado por el Decreto 1860 de 2021, reglamentó </w:t>
      </w:r>
      <w:r w:rsidRPr="64549B9D" w:rsidR="0065594C">
        <w:rPr>
          <w:rFonts w:ascii="Verdana" w:hAnsi="Verdana" w:eastAsia="Geomanist Light" w:cs="Arial"/>
          <w:lang w:val="es-ES"/>
        </w:rPr>
        <w:t>in extenso</w:t>
      </w:r>
      <w:r w:rsidRPr="64549B9D" w:rsidR="0065594C">
        <w:rPr>
          <w:rFonts w:ascii="Verdana" w:hAnsi="Verdana" w:eastAsia="Geomanist Light" w:cs="Arial"/>
          <w:lang w:val="es-ES"/>
        </w:rPr>
        <w:t xml:space="preserve"> la forma de acreditar las circunstancias, los medios de prueba requeridos en cada evento y las autoridades que pueden emitir estos documentos, por lo que las entidades contratantes deberán acudir a su contenido detallado para la aplicación de cada requisito habilitante y el otorgamiento del puntaje adicional en sus procesos de contratación.</w:t>
      </w:r>
    </w:p>
    <w:p w:rsidRPr="0065594C" w:rsidR="0065594C" w:rsidP="0065594C" w:rsidRDefault="0065594C" w14:paraId="137B4E32" w14:textId="77777777">
      <w:pPr>
        <w:spacing w:after="0" w:line="240" w:lineRule="auto"/>
        <w:jc w:val="both"/>
        <w:rPr>
          <w:rFonts w:ascii="Verdana" w:hAnsi="Verdana" w:eastAsia="Geomanist Light" w:cs="Arial"/>
          <w:lang w:val="es-ES_tradnl"/>
        </w:rPr>
      </w:pPr>
    </w:p>
    <w:p w:rsidRPr="0065594C" w:rsidR="0065594C" w:rsidP="64549B9D" w:rsidRDefault="0065594C" w14:paraId="47C25F2D" w14:textId="77777777" w14:noSpellErr="1">
      <w:pPr>
        <w:spacing w:after="0" w:line="240" w:lineRule="auto"/>
        <w:jc w:val="both"/>
        <w:rPr>
          <w:rFonts w:ascii="Verdana" w:hAnsi="Verdana" w:eastAsia="Geomanist Light" w:cs="Arial"/>
          <w:lang w:val="es-ES"/>
        </w:rPr>
      </w:pPr>
      <w:r w:rsidRPr="64549B9D" w:rsidR="0065594C">
        <w:rPr>
          <w:rFonts w:ascii="Verdana" w:hAnsi="Verdana" w:eastAsia="Geomanist Light" w:cs="Arial"/>
          <w:lang w:val="es-ES"/>
        </w:rPr>
        <w:t xml:space="preserve">[…] de acuerdo con la revisión de todos los numerales del artículo 2.2.1.2.4.2.14 es posible advertir que para cada uno de estos fueron expresamente establecidos los documentos que sirven como medio para su acreditación. </w:t>
      </w:r>
      <w:r w:rsidRPr="64549B9D" w:rsidR="0065594C">
        <w:rPr>
          <w:rFonts w:ascii="Verdana" w:hAnsi="Verdana" w:eastAsia="Geomanist Light" w:cs="Arial"/>
          <w:lang w:val="es-ES"/>
        </w:rPr>
        <w:t xml:space="preserve">De </w:t>
      </w:r>
      <w:r w:rsidRPr="64549B9D" w:rsidR="0065594C">
        <w:rPr>
          <w:rFonts w:ascii="Verdana" w:hAnsi="Verdana" w:eastAsia="Geomanist Light" w:cs="Arial"/>
          <w:lang w:val="es-ES"/>
        </w:rPr>
        <w:t>este modo dichos documentos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w:t>
      </w:r>
      <w:r w:rsidRPr="64549B9D" w:rsidR="0065594C">
        <w:rPr>
          <w:rFonts w:ascii="Verdana" w:hAnsi="Verdana" w:eastAsia="Geomanist Light" w:cs="Arial"/>
          <w:lang w:val="es-ES"/>
        </w:rPr>
        <w:t xml:space="preserve"> </w:t>
      </w:r>
      <w:r w:rsidRPr="64549B9D" w:rsidR="0065594C">
        <w:rPr>
          <w:rFonts w:ascii="Verdana" w:hAnsi="Verdana" w:eastAsia="Geomanist Light" w:cs="Arial"/>
          <w:lang w:val="es-ES"/>
        </w:rPr>
        <w:t>Esto significa que a quienes pretendan acceder a tales beneficios en consideración a las definiciones establecidas en los numerales 1 y 2 del artículo 2.2.1.2.4.2.14, les corresponde presentar la mencionada certificación con sus respectivos soportes.</w:t>
      </w:r>
    </w:p>
    <w:p w:rsidR="00A522FE" w:rsidP="00B5581A" w:rsidRDefault="00A522FE" w14:paraId="32A4E8C9" w14:textId="77777777">
      <w:pPr>
        <w:spacing w:after="0" w:line="240" w:lineRule="auto"/>
        <w:rPr>
          <w:rFonts w:ascii="Verdana" w:hAnsi="Verdana" w:eastAsia="Geomanist Light" w:cs="Arial"/>
          <w:lang w:val="es-MX"/>
        </w:rPr>
      </w:pPr>
    </w:p>
    <w:p w:rsidR="00A522FE" w:rsidP="00B5581A" w:rsidRDefault="00A522FE" w14:paraId="76367FC3" w14:textId="77777777">
      <w:pPr>
        <w:spacing w:after="0" w:line="240" w:lineRule="auto"/>
        <w:rPr>
          <w:rFonts w:ascii="Verdana" w:hAnsi="Verdana" w:eastAsia="Geomanist Light" w:cs="Arial"/>
          <w:lang w:val="es-MX"/>
        </w:rPr>
      </w:pPr>
    </w:p>
    <w:p w:rsidR="00A522FE" w:rsidP="00B5581A" w:rsidRDefault="00A522FE" w14:paraId="0A6AEF21" w14:textId="77777777">
      <w:pPr>
        <w:spacing w:after="0" w:line="240" w:lineRule="auto"/>
        <w:rPr>
          <w:rFonts w:ascii="Verdana" w:hAnsi="Verdana" w:eastAsia="Geomanist Light" w:cs="Arial"/>
          <w:lang w:val="es-MX"/>
        </w:rPr>
      </w:pPr>
    </w:p>
    <w:p w:rsidR="00A522FE" w:rsidP="00B5581A" w:rsidRDefault="00A522FE" w14:paraId="7E4377DC" w14:textId="77777777">
      <w:pPr>
        <w:spacing w:after="0" w:line="240" w:lineRule="auto"/>
        <w:rPr>
          <w:rFonts w:ascii="Verdana" w:hAnsi="Verdana" w:eastAsia="Geomanist Light" w:cs="Arial"/>
          <w:lang w:val="es-MX"/>
        </w:rPr>
      </w:pPr>
    </w:p>
    <w:p w:rsidR="00A522FE" w:rsidP="00B5581A" w:rsidRDefault="00A522FE" w14:paraId="06CD16CB" w14:textId="77777777">
      <w:pPr>
        <w:spacing w:after="0" w:line="240" w:lineRule="auto"/>
        <w:rPr>
          <w:rFonts w:ascii="Verdana" w:hAnsi="Verdana" w:eastAsia="Geomanist Light" w:cs="Arial"/>
          <w:lang w:val="es-MX"/>
        </w:rPr>
      </w:pPr>
    </w:p>
    <w:p w:rsidR="00A522FE" w:rsidP="00B5581A" w:rsidRDefault="00A522FE" w14:paraId="0CA34E1B" w14:textId="77777777">
      <w:pPr>
        <w:spacing w:after="0" w:line="240" w:lineRule="auto"/>
        <w:rPr>
          <w:rFonts w:ascii="Verdana" w:hAnsi="Verdana" w:eastAsia="Geomanist Light" w:cs="Arial"/>
          <w:lang w:val="es-MX"/>
        </w:rPr>
      </w:pPr>
    </w:p>
    <w:p w:rsidR="00A522FE" w:rsidP="00B5581A" w:rsidRDefault="00A522FE" w14:paraId="1955BA37" w14:textId="77777777">
      <w:pPr>
        <w:spacing w:after="0" w:line="240" w:lineRule="auto"/>
        <w:rPr>
          <w:rFonts w:ascii="Verdana" w:hAnsi="Verdana" w:eastAsia="Geomanist Light" w:cs="Arial"/>
          <w:lang w:val="es-MX"/>
        </w:rPr>
      </w:pPr>
    </w:p>
    <w:p w:rsidR="00A522FE" w:rsidP="00B5581A" w:rsidRDefault="00A522FE" w14:paraId="02C1E9F0" w14:textId="77777777">
      <w:pPr>
        <w:spacing w:after="0" w:line="240" w:lineRule="auto"/>
        <w:rPr>
          <w:rFonts w:ascii="Verdana" w:hAnsi="Verdana" w:eastAsia="Geomanist Light" w:cs="Arial"/>
          <w:lang w:val="es-MX"/>
        </w:rPr>
      </w:pPr>
    </w:p>
    <w:p w:rsidR="00A522FE" w:rsidP="00B5581A" w:rsidRDefault="00A522FE" w14:paraId="5F2CC03E" w14:textId="77777777">
      <w:pPr>
        <w:spacing w:after="0" w:line="240" w:lineRule="auto"/>
        <w:rPr>
          <w:rFonts w:ascii="Verdana" w:hAnsi="Verdana" w:eastAsia="Geomanist Light" w:cs="Arial"/>
          <w:lang w:val="es-MX"/>
        </w:rPr>
      </w:pPr>
    </w:p>
    <w:p w:rsidR="00A522FE" w:rsidP="00B5581A" w:rsidRDefault="00A522FE" w14:paraId="3FE7AF61" w14:textId="77777777">
      <w:pPr>
        <w:spacing w:after="0" w:line="240" w:lineRule="auto"/>
        <w:rPr>
          <w:rFonts w:ascii="Verdana" w:hAnsi="Verdana" w:eastAsia="Geomanist Light" w:cs="Arial"/>
          <w:lang w:val="es-MX"/>
        </w:rPr>
      </w:pPr>
    </w:p>
    <w:p w:rsidR="00A522FE" w:rsidP="00B5581A" w:rsidRDefault="00A522FE" w14:paraId="4E7712F2" w14:textId="77777777">
      <w:pPr>
        <w:spacing w:after="0" w:line="240" w:lineRule="auto"/>
        <w:rPr>
          <w:rFonts w:ascii="Verdana" w:hAnsi="Verdana" w:eastAsia="Geomanist Light" w:cs="Arial"/>
          <w:lang w:val="es-MX"/>
        </w:rPr>
      </w:pPr>
    </w:p>
    <w:p w:rsidR="00A522FE" w:rsidP="00B5581A" w:rsidRDefault="00A522FE" w14:paraId="39EAF3B5" w14:textId="77777777">
      <w:pPr>
        <w:spacing w:after="0" w:line="240" w:lineRule="auto"/>
        <w:rPr>
          <w:rFonts w:ascii="Verdana" w:hAnsi="Verdana" w:eastAsia="Geomanist Light" w:cs="Arial"/>
          <w:lang w:val="es-MX"/>
        </w:rPr>
      </w:pPr>
    </w:p>
    <w:p w:rsidR="00A522FE" w:rsidP="00B5581A" w:rsidRDefault="00A522FE" w14:paraId="207F5B6C" w14:textId="77777777">
      <w:pPr>
        <w:spacing w:after="0" w:line="240" w:lineRule="auto"/>
        <w:rPr>
          <w:rFonts w:ascii="Verdana" w:hAnsi="Verdana" w:eastAsia="Geomanist Light" w:cs="Arial"/>
          <w:lang w:val="es-MX"/>
        </w:rPr>
      </w:pPr>
    </w:p>
    <w:p w:rsidR="00A522FE" w:rsidP="00B5581A" w:rsidRDefault="00A522FE" w14:paraId="3139986E" w14:textId="77777777">
      <w:pPr>
        <w:spacing w:after="0" w:line="240" w:lineRule="auto"/>
        <w:rPr>
          <w:rFonts w:ascii="Verdana" w:hAnsi="Verdana" w:eastAsia="Geomanist Light" w:cs="Arial"/>
          <w:lang w:val="es-MX"/>
        </w:rPr>
      </w:pPr>
    </w:p>
    <w:p w:rsidR="00A522FE" w:rsidP="00B5581A" w:rsidRDefault="00A522FE" w14:paraId="63B399B4" w14:textId="77777777">
      <w:pPr>
        <w:spacing w:after="0" w:line="240" w:lineRule="auto"/>
        <w:rPr>
          <w:rFonts w:ascii="Verdana" w:hAnsi="Verdana" w:eastAsia="Geomanist Light" w:cs="Arial"/>
          <w:lang w:val="es-MX"/>
        </w:rPr>
      </w:pPr>
    </w:p>
    <w:p w:rsidR="00A522FE" w:rsidP="00B5581A" w:rsidRDefault="00A522FE" w14:paraId="69AF0767" w14:textId="77777777">
      <w:pPr>
        <w:spacing w:after="0" w:line="240" w:lineRule="auto"/>
        <w:rPr>
          <w:rFonts w:ascii="Verdana" w:hAnsi="Verdana" w:eastAsia="Geomanist Light" w:cs="Arial"/>
          <w:lang w:val="es-MX"/>
        </w:rPr>
      </w:pPr>
    </w:p>
    <w:p w:rsidR="00A522FE" w:rsidP="00B5581A" w:rsidRDefault="00A522FE" w14:paraId="1828BBD5" w14:textId="77777777">
      <w:pPr>
        <w:spacing w:after="0" w:line="240" w:lineRule="auto"/>
        <w:rPr>
          <w:rFonts w:ascii="Verdana" w:hAnsi="Verdana" w:eastAsia="Geomanist Light" w:cs="Arial"/>
          <w:lang w:val="es-MX"/>
        </w:rPr>
      </w:pPr>
    </w:p>
    <w:p w:rsidR="00A522FE" w:rsidP="00B5581A" w:rsidRDefault="00A522FE" w14:paraId="2C8FB1D0" w14:textId="77777777">
      <w:pPr>
        <w:spacing w:after="0" w:line="240" w:lineRule="auto"/>
        <w:rPr>
          <w:rFonts w:ascii="Verdana" w:hAnsi="Verdana" w:eastAsia="Geomanist Light" w:cs="Arial"/>
          <w:lang w:val="es-MX"/>
        </w:rPr>
      </w:pPr>
    </w:p>
    <w:p w:rsidR="00A522FE" w:rsidP="00B5581A" w:rsidRDefault="00A522FE" w14:paraId="22F29B21" w14:textId="77777777">
      <w:pPr>
        <w:spacing w:after="0" w:line="240" w:lineRule="auto"/>
        <w:rPr>
          <w:rFonts w:ascii="Verdana" w:hAnsi="Verdana" w:eastAsia="Geomanist Light" w:cs="Arial"/>
          <w:lang w:val="es-MX"/>
        </w:rPr>
      </w:pPr>
    </w:p>
    <w:p w:rsidR="00A522FE" w:rsidP="00B5581A" w:rsidRDefault="00A522FE" w14:paraId="42B67678" w14:textId="77777777">
      <w:pPr>
        <w:spacing w:after="0" w:line="240" w:lineRule="auto"/>
        <w:rPr>
          <w:rFonts w:ascii="Verdana" w:hAnsi="Verdana" w:eastAsia="Geomanist Light" w:cs="Arial"/>
          <w:lang w:val="es-MX"/>
        </w:rPr>
      </w:pPr>
    </w:p>
    <w:p w:rsidR="00A522FE" w:rsidP="00B5581A" w:rsidRDefault="00A522FE" w14:paraId="296679F7" w14:textId="77777777">
      <w:pPr>
        <w:spacing w:after="0" w:line="240" w:lineRule="auto"/>
        <w:rPr>
          <w:rFonts w:ascii="Verdana" w:hAnsi="Verdana" w:eastAsia="Geomanist Light" w:cs="Arial"/>
          <w:lang w:val="es-MX"/>
        </w:rPr>
      </w:pPr>
    </w:p>
    <w:p w:rsidR="00A522FE" w:rsidP="00B5581A" w:rsidRDefault="00A522FE" w14:paraId="4DDBB622" w14:textId="77777777">
      <w:pPr>
        <w:spacing w:after="0" w:line="240" w:lineRule="auto"/>
        <w:rPr>
          <w:rFonts w:ascii="Verdana" w:hAnsi="Verdana" w:eastAsia="Geomanist Light" w:cs="Arial"/>
          <w:lang w:val="es-MX"/>
        </w:rPr>
      </w:pPr>
    </w:p>
    <w:p w:rsidR="00A522FE" w:rsidP="00B5581A" w:rsidRDefault="00A522FE" w14:paraId="39934E6D" w14:textId="77777777">
      <w:pPr>
        <w:spacing w:after="0" w:line="240" w:lineRule="auto"/>
        <w:rPr>
          <w:rFonts w:ascii="Verdana" w:hAnsi="Verdana" w:eastAsia="Geomanist Light" w:cs="Arial"/>
          <w:lang w:val="es-MX"/>
        </w:rPr>
      </w:pPr>
    </w:p>
    <w:p w:rsidR="00A522FE" w:rsidP="00B5581A" w:rsidRDefault="00A522FE" w14:paraId="6D6F1F2C" w14:textId="77777777">
      <w:pPr>
        <w:spacing w:after="0" w:line="240" w:lineRule="auto"/>
        <w:rPr>
          <w:rFonts w:ascii="Verdana" w:hAnsi="Verdana" w:eastAsia="Geomanist Light" w:cs="Arial"/>
          <w:lang w:val="es-MX"/>
        </w:rPr>
      </w:pPr>
    </w:p>
    <w:p w:rsidR="00A522FE" w:rsidP="00B5581A" w:rsidRDefault="00A522FE" w14:paraId="6CD6E0F2" w14:textId="77777777">
      <w:pPr>
        <w:spacing w:after="0" w:line="240" w:lineRule="auto"/>
        <w:rPr>
          <w:rFonts w:ascii="Verdana" w:hAnsi="Verdana" w:eastAsia="Geomanist Light" w:cs="Arial"/>
          <w:lang w:val="es-MX"/>
        </w:rPr>
      </w:pPr>
    </w:p>
    <w:p w:rsidR="00A522FE" w:rsidP="00B5581A" w:rsidRDefault="00A522FE" w14:paraId="7F25BE44" w14:textId="77777777">
      <w:pPr>
        <w:spacing w:after="0" w:line="240" w:lineRule="auto"/>
        <w:rPr>
          <w:rFonts w:ascii="Verdana" w:hAnsi="Verdana" w:eastAsia="Geomanist Light" w:cs="Arial"/>
          <w:lang w:val="es-MX"/>
        </w:rPr>
      </w:pPr>
    </w:p>
    <w:p w:rsidR="00A522FE" w:rsidP="00B5581A" w:rsidRDefault="00A522FE" w14:paraId="588749E3" w14:textId="77777777">
      <w:pPr>
        <w:spacing w:after="0" w:line="240" w:lineRule="auto"/>
        <w:rPr>
          <w:rFonts w:ascii="Verdana" w:hAnsi="Verdana" w:eastAsia="Geomanist Light" w:cs="Arial"/>
          <w:lang w:val="es-MX"/>
        </w:rPr>
      </w:pPr>
    </w:p>
    <w:p w:rsidR="00A522FE" w:rsidP="00B5581A" w:rsidRDefault="00A522FE" w14:paraId="496A21EE" w14:textId="77777777">
      <w:pPr>
        <w:spacing w:after="0" w:line="240" w:lineRule="auto"/>
        <w:rPr>
          <w:rFonts w:ascii="Verdana" w:hAnsi="Verdana" w:eastAsia="Geomanist Light" w:cs="Arial"/>
          <w:lang w:val="es-MX"/>
        </w:rPr>
      </w:pPr>
    </w:p>
    <w:p w:rsidR="00A522FE" w:rsidP="00B5581A" w:rsidRDefault="00A522FE" w14:paraId="4F4E7E22" w14:textId="77777777">
      <w:pPr>
        <w:spacing w:after="0" w:line="240" w:lineRule="auto"/>
        <w:rPr>
          <w:rFonts w:ascii="Verdana" w:hAnsi="Verdana" w:eastAsia="Geomanist Light" w:cs="Arial"/>
          <w:lang w:val="es-MX"/>
        </w:rPr>
      </w:pPr>
    </w:p>
    <w:p w:rsidR="00A522FE" w:rsidP="00B5581A" w:rsidRDefault="00A522FE" w14:paraId="53FB23AC" w14:textId="77777777">
      <w:pPr>
        <w:spacing w:after="0" w:line="240" w:lineRule="auto"/>
        <w:rPr>
          <w:rFonts w:ascii="Verdana" w:hAnsi="Verdana" w:eastAsia="Geomanist Light" w:cs="Arial"/>
          <w:lang w:val="es-MX"/>
        </w:rPr>
      </w:pPr>
    </w:p>
    <w:p w:rsidR="00A522FE" w:rsidP="00B5581A" w:rsidRDefault="00A522FE" w14:paraId="28D5C91D" w14:textId="77777777">
      <w:pPr>
        <w:spacing w:after="0" w:line="240" w:lineRule="auto"/>
        <w:rPr>
          <w:rFonts w:ascii="Verdana" w:hAnsi="Verdana" w:eastAsia="Geomanist Light" w:cs="Arial"/>
          <w:lang w:val="es-MX"/>
        </w:rPr>
      </w:pPr>
    </w:p>
    <w:p w:rsidR="00A522FE" w:rsidP="00B5581A" w:rsidRDefault="00A522FE" w14:paraId="556304F5" w14:textId="77777777">
      <w:pPr>
        <w:spacing w:after="0" w:line="240" w:lineRule="auto"/>
        <w:rPr>
          <w:rFonts w:ascii="Verdana" w:hAnsi="Verdana" w:eastAsia="Geomanist Light" w:cs="Arial"/>
          <w:lang w:val="es-MX"/>
        </w:rPr>
      </w:pPr>
    </w:p>
    <w:p w:rsidR="00A522FE" w:rsidP="00B5581A" w:rsidRDefault="00A522FE" w14:paraId="7A48ECBB" w14:textId="77777777">
      <w:pPr>
        <w:spacing w:after="0" w:line="240" w:lineRule="auto"/>
        <w:rPr>
          <w:rFonts w:ascii="Verdana" w:hAnsi="Verdana" w:eastAsia="Geomanist Light" w:cs="Arial"/>
          <w:lang w:val="es-MX"/>
        </w:rPr>
      </w:pPr>
    </w:p>
    <w:p w:rsidR="00A522FE" w:rsidP="00B5581A" w:rsidRDefault="00A522FE" w14:paraId="7ABCC8AB" w14:textId="77777777">
      <w:pPr>
        <w:spacing w:after="0" w:line="240" w:lineRule="auto"/>
        <w:rPr>
          <w:rFonts w:ascii="Verdana" w:hAnsi="Verdana" w:eastAsia="Geomanist Light" w:cs="Arial"/>
          <w:lang w:val="es-MX"/>
        </w:rPr>
      </w:pPr>
    </w:p>
    <w:p w:rsidR="00A522FE" w:rsidP="00B5581A" w:rsidRDefault="00A522FE" w14:paraId="263332F9" w14:textId="77777777">
      <w:pPr>
        <w:spacing w:after="0" w:line="240" w:lineRule="auto"/>
        <w:rPr>
          <w:rFonts w:ascii="Verdana" w:hAnsi="Verdana" w:eastAsia="Geomanist Light" w:cs="Arial"/>
          <w:lang w:val="es-MX"/>
        </w:rPr>
      </w:pPr>
    </w:p>
    <w:p w:rsidR="0065594C" w:rsidP="00B5581A" w:rsidRDefault="0065594C" w14:paraId="0519A141" w14:textId="77777777">
      <w:pPr>
        <w:spacing w:after="0" w:line="240" w:lineRule="auto"/>
        <w:rPr>
          <w:rFonts w:ascii="Verdana" w:hAnsi="Verdana" w:eastAsia="Geomanist Light" w:cs="Arial"/>
          <w:lang w:val="es-MX"/>
        </w:rPr>
      </w:pPr>
    </w:p>
    <w:p w:rsidRPr="009322DA" w:rsidR="00B5581A" w:rsidP="00B5581A" w:rsidRDefault="00B5581A" w14:paraId="274B69B6" w14:textId="71F2A7BB">
      <w:pPr>
        <w:spacing w:after="0" w:line="240" w:lineRule="auto"/>
        <w:rPr>
          <w:rFonts w:ascii="Verdana" w:hAnsi="Verdana" w:eastAsia="Geomanist Light" w:cs="Arial"/>
          <w:lang w:val="es-MX"/>
        </w:rPr>
      </w:pPr>
      <w:r w:rsidRPr="009322DA">
        <w:rPr>
          <w:rFonts w:ascii="Verdana" w:hAnsi="Verdana" w:eastAsia="Geomanist Light" w:cs="Arial"/>
          <w:lang w:val="es-MX"/>
        </w:rPr>
        <w:t>Bogotá D.C., [Día] de [</w:t>
      </w:r>
      <w:proofErr w:type="spellStart"/>
      <w:r w:rsidRPr="009322DA">
        <w:rPr>
          <w:rFonts w:ascii="Verdana" w:hAnsi="Verdana" w:eastAsia="Geomanist Light" w:cs="Arial"/>
          <w:lang w:val="es-MX"/>
        </w:rPr>
        <w:t>Mes.NombreCapitalizado</w:t>
      </w:r>
      <w:proofErr w:type="spellEnd"/>
      <w:r w:rsidRPr="009322DA">
        <w:rPr>
          <w:rFonts w:ascii="Verdana" w:hAnsi="Verdana" w:eastAsia="Geomanist Light" w:cs="Arial"/>
          <w:lang w:val="es-MX"/>
        </w:rPr>
        <w:t>] de [Año]</w:t>
      </w:r>
    </w:p>
    <w:p w:rsidRPr="009322DA" w:rsidR="00B5581A" w:rsidP="00B5581A" w:rsidRDefault="00A522FE" w14:paraId="1323457C" w14:textId="69B4E2D1">
      <w:pPr>
        <w:spacing w:after="0" w:line="240" w:lineRule="auto"/>
        <w:jc w:val="both"/>
        <w:rPr>
          <w:rFonts w:ascii="Verdana" w:hAnsi="Verdana" w:eastAsia="Calibri" w:cs="Arial"/>
          <w:lang w:val="es-ES"/>
        </w:rPr>
      </w:pPr>
      <w:r w:rsidRPr="00A522FE">
        <w:rPr>
          <w:rFonts w:ascii="Verdana" w:hAnsi="Verdana" w:eastAsia="Calibri" w:cs="Arial"/>
          <w:lang w:val="es-MX" w:eastAsia="es-ES"/>
        </w:rPr>
        <w:drawing>
          <wp:anchor distT="0" distB="0" distL="114300" distR="114300" simplePos="0" relativeHeight="251658240" behindDoc="1" locked="0" layoutInCell="1" allowOverlap="1" wp14:anchorId="59C76FA2" wp14:editId="20C747F4">
            <wp:simplePos x="0" y="0"/>
            <wp:positionH relativeFrom="column">
              <wp:posOffset>2790825</wp:posOffset>
            </wp:positionH>
            <wp:positionV relativeFrom="paragraph">
              <wp:posOffset>64770</wp:posOffset>
            </wp:positionV>
            <wp:extent cx="3724795" cy="1105054"/>
            <wp:effectExtent l="0" t="0" r="9525" b="0"/>
            <wp:wrapTight wrapText="bothSides">
              <wp:wrapPolygon edited="0">
                <wp:start x="0" y="0"/>
                <wp:lineTo x="0" y="21228"/>
                <wp:lineTo x="21545" y="21228"/>
                <wp:lineTo x="21545" y="0"/>
                <wp:lineTo x="0" y="0"/>
              </wp:wrapPolygon>
            </wp:wrapTight>
            <wp:docPr id="5573974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397448"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724795" cy="1105054"/>
                    </a:xfrm>
                    <a:prstGeom prst="rect">
                      <a:avLst/>
                    </a:prstGeom>
                  </pic:spPr>
                </pic:pic>
              </a:graphicData>
            </a:graphic>
          </wp:anchor>
        </w:drawing>
      </w:r>
    </w:p>
    <w:p w:rsidR="00B5581A" w:rsidP="00B5581A" w:rsidRDefault="00B5581A" w14:paraId="4B2D5BC5" w14:textId="66EE941C">
      <w:pPr>
        <w:spacing w:after="0" w:line="240" w:lineRule="auto"/>
        <w:rPr>
          <w:rFonts w:ascii="Verdana" w:hAnsi="Verdana" w:eastAsia="Calibri" w:cs="Arial"/>
          <w:lang w:val="es-MX" w:eastAsia="es-ES"/>
        </w:rPr>
      </w:pPr>
    </w:p>
    <w:p w:rsidR="00A522FE" w:rsidP="00B5581A" w:rsidRDefault="00A522FE" w14:paraId="745034F4" w14:textId="77777777">
      <w:pPr>
        <w:spacing w:after="0" w:line="240" w:lineRule="auto"/>
        <w:rPr>
          <w:rFonts w:ascii="Verdana" w:hAnsi="Verdana" w:eastAsia="Calibri" w:cs="Arial"/>
          <w:lang w:val="es-MX" w:eastAsia="es-ES"/>
        </w:rPr>
      </w:pPr>
    </w:p>
    <w:p w:rsidR="00A522FE" w:rsidP="00B5581A" w:rsidRDefault="00A522FE" w14:paraId="2CF3F3E7" w14:textId="77777777">
      <w:pPr>
        <w:spacing w:after="0" w:line="240" w:lineRule="auto"/>
        <w:rPr>
          <w:rFonts w:ascii="Verdana" w:hAnsi="Verdana" w:eastAsia="Calibri" w:cs="Arial"/>
          <w:lang w:val="es-MX" w:eastAsia="es-ES"/>
        </w:rPr>
      </w:pPr>
    </w:p>
    <w:p w:rsidR="00A522FE" w:rsidP="00B5581A" w:rsidRDefault="00A522FE" w14:paraId="3A2E0836" w14:textId="77777777">
      <w:pPr>
        <w:spacing w:after="0" w:line="240" w:lineRule="auto"/>
        <w:rPr>
          <w:rFonts w:ascii="Verdana" w:hAnsi="Verdana" w:eastAsia="Calibri" w:cs="Arial"/>
          <w:lang w:val="es-MX" w:eastAsia="es-ES"/>
        </w:rPr>
      </w:pPr>
    </w:p>
    <w:p w:rsidRPr="009322DA" w:rsidR="00B5581A" w:rsidP="00B5581A" w:rsidRDefault="00B5581A" w14:paraId="2CC22DCE" w14:textId="77777777">
      <w:pPr>
        <w:spacing w:after="0" w:line="240" w:lineRule="auto"/>
        <w:rPr>
          <w:rFonts w:ascii="Verdana" w:hAnsi="Verdana" w:eastAsia="Calibri" w:cs="Arial"/>
          <w:lang w:val="es-MX" w:eastAsia="es-ES"/>
        </w:rPr>
      </w:pPr>
      <w:r w:rsidRPr="009322DA">
        <w:rPr>
          <w:rFonts w:ascii="Verdana" w:hAnsi="Verdana" w:eastAsia="Calibri" w:cs="Arial"/>
          <w:lang w:val="es-MX" w:eastAsia="es-ES"/>
        </w:rPr>
        <w:t>Señor</w:t>
      </w:r>
    </w:p>
    <w:p w:rsidRPr="009322DA" w:rsidR="00B5581A" w:rsidP="00B5581A" w:rsidRDefault="00B5581A" w14:paraId="3064114D" w14:textId="77777777">
      <w:pPr>
        <w:spacing w:after="0" w:line="240" w:lineRule="auto"/>
        <w:rPr>
          <w:rFonts w:ascii="Verdana" w:hAnsi="Verdana" w:eastAsia="Calibri" w:cs="Arial"/>
          <w:b/>
          <w:bCs/>
          <w:lang w:val="es-MX" w:eastAsia="es-ES"/>
        </w:rPr>
      </w:pPr>
      <w:r>
        <w:rPr>
          <w:rFonts w:ascii="Verdana" w:hAnsi="Verdana" w:eastAsia="Calibri" w:cs="Arial"/>
          <w:b/>
          <w:bCs/>
          <w:lang w:val="es-MX" w:eastAsia="es-ES"/>
        </w:rPr>
        <w:t>Juan Camilo Silva Rodriguez</w:t>
      </w:r>
    </w:p>
    <w:p w:rsidRPr="009322DA" w:rsidR="00B5581A" w:rsidP="00B5581A" w:rsidRDefault="00B5581A" w14:paraId="09F88C2B" w14:textId="77777777">
      <w:pPr>
        <w:spacing w:after="0" w:line="240" w:lineRule="auto"/>
        <w:rPr>
          <w:rFonts w:ascii="Verdana" w:hAnsi="Verdana" w:eastAsia="Calibri" w:cs="Arial"/>
          <w:lang w:val="es-MX" w:eastAsia="es-ES"/>
        </w:rPr>
      </w:pPr>
      <w:hyperlink w:history="1" r:id="rId11">
        <w:r w:rsidRPr="00A526C9">
          <w:rPr>
            <w:rStyle w:val="Hipervnculo"/>
            <w:rFonts w:ascii="Verdana" w:hAnsi="Verdana" w:eastAsia="Calibri" w:cs="Arial"/>
            <w:lang w:val="es-MX" w:eastAsia="es-ES"/>
          </w:rPr>
          <w:t>juancamilo.silva@gmail.com</w:t>
        </w:r>
      </w:hyperlink>
    </w:p>
    <w:p w:rsidRPr="001E5720" w:rsidR="00B5581A" w:rsidP="00B5581A" w:rsidRDefault="00B5581A" w14:paraId="1F261541" w14:textId="77777777">
      <w:pPr>
        <w:spacing w:after="0" w:line="240" w:lineRule="auto"/>
        <w:rPr>
          <w:rFonts w:ascii="Verdana" w:hAnsi="Verdana" w:eastAsia="Calibri" w:cs="Arial"/>
          <w:lang w:val="es-ES" w:eastAsia="es-ES"/>
        </w:rPr>
      </w:pPr>
      <w:r>
        <w:rPr>
          <w:rFonts w:ascii="Verdana" w:hAnsi="Verdana" w:eastAsia="Calibri" w:cs="Arial"/>
          <w:lang w:val="es-ES" w:eastAsia="es-ES"/>
        </w:rPr>
        <w:t>Ciudad</w:t>
      </w:r>
    </w:p>
    <w:p w:rsidRPr="009322DA" w:rsidR="00B5581A" w:rsidP="00B5581A" w:rsidRDefault="00B5581A" w14:paraId="130A2AF8" w14:textId="77777777">
      <w:pPr>
        <w:spacing w:after="0" w:line="240" w:lineRule="auto"/>
        <w:rPr>
          <w:rFonts w:ascii="Verdana" w:hAnsi="Verdana" w:eastAsia="Calibri" w:cs="Arial"/>
          <w:b/>
          <w:bCs/>
          <w:lang w:val="es-ES_tradnl" w:eastAsia="es-ES_tradnl"/>
        </w:rPr>
      </w:pPr>
    </w:p>
    <w:p w:rsidRPr="009322DA" w:rsidR="00B5581A" w:rsidP="00B5581A" w:rsidRDefault="00B5581A" w14:paraId="081F2318" w14:textId="77777777">
      <w:pPr>
        <w:spacing w:after="0" w:line="240" w:lineRule="auto"/>
        <w:rPr>
          <w:rFonts w:ascii="Verdana" w:hAnsi="Verdana" w:eastAsia="Calibri" w:cs="Arial"/>
          <w:b/>
          <w:bCs/>
          <w:lang w:val="es-ES_tradnl" w:eastAsia="es-ES_tradnl"/>
        </w:rPr>
      </w:pPr>
    </w:p>
    <w:tbl>
      <w:tblPr>
        <w:tblStyle w:val="Tablaconcuadrcula1"/>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9322DA" w:rsidR="00B5581A" w:rsidTr="00EA26C3" w14:paraId="47CBA2FB" w14:textId="77777777">
        <w:trPr>
          <w:trHeight w:val="884"/>
        </w:trPr>
        <w:tc>
          <w:tcPr>
            <w:tcW w:w="2689" w:type="dxa"/>
          </w:tcPr>
          <w:p w:rsidRPr="009322DA" w:rsidR="00B5581A" w:rsidP="00EA26C3" w:rsidRDefault="00B5581A" w14:paraId="2D920FA2" w14:textId="77777777">
            <w:pPr>
              <w:jc w:val="both"/>
              <w:rPr>
                <w:rFonts w:ascii="Verdana" w:hAnsi="Verdana" w:cs="Arial"/>
                <w:b/>
                <w:bCs/>
                <w:lang w:val="es-ES_tradnl" w:eastAsia="es-ES_tradnl"/>
              </w:rPr>
            </w:pPr>
          </w:p>
        </w:tc>
        <w:tc>
          <w:tcPr>
            <w:tcW w:w="6100" w:type="dxa"/>
            <w:hideMark/>
          </w:tcPr>
          <w:p w:rsidRPr="009322DA" w:rsidR="00B5581A" w:rsidP="00EA26C3" w:rsidRDefault="00B5581A" w14:paraId="576E915E" w14:textId="77777777">
            <w:pPr>
              <w:jc w:val="both"/>
              <w:rPr>
                <w:rFonts w:ascii="Verdana" w:hAnsi="Verdana" w:cs="Arial"/>
                <w:b/>
                <w:bCs/>
                <w:lang w:val="es-ES" w:eastAsia="es-ES"/>
              </w:rPr>
            </w:pPr>
            <w:r w:rsidRPr="009322DA">
              <w:rPr>
                <w:rFonts w:ascii="Verdana" w:hAnsi="Verdana" w:cs="Arial"/>
                <w:b/>
                <w:bCs/>
                <w:lang w:val="es-ES" w:eastAsia="es-ES"/>
              </w:rPr>
              <w:t xml:space="preserve">Concepto </w:t>
            </w:r>
            <w:r w:rsidRPr="00BB658A">
              <w:rPr>
                <w:rFonts w:ascii="Verdana" w:hAnsi="Verdana" w:cs="Arial"/>
                <w:b/>
                <w:bCs/>
                <w:lang w:val="es-ES" w:eastAsia="es-ES"/>
              </w:rPr>
              <w:t>C- 591</w:t>
            </w:r>
            <w:r w:rsidRPr="009322DA">
              <w:rPr>
                <w:rFonts w:ascii="Verdana" w:hAnsi="Verdana" w:cs="Arial"/>
                <w:b/>
                <w:bCs/>
                <w:lang w:val="es-ES" w:eastAsia="es-ES"/>
              </w:rPr>
              <w:t xml:space="preserve"> de 2024</w:t>
            </w:r>
          </w:p>
        </w:tc>
      </w:tr>
      <w:tr w:rsidRPr="009322DA" w:rsidR="00B5581A" w:rsidTr="00EA26C3" w14:paraId="121C91C5" w14:textId="77777777">
        <w:trPr>
          <w:trHeight w:val="884"/>
        </w:trPr>
        <w:tc>
          <w:tcPr>
            <w:tcW w:w="2689" w:type="dxa"/>
            <w:hideMark/>
          </w:tcPr>
          <w:p w:rsidRPr="009322DA" w:rsidR="00B5581A" w:rsidP="00EA26C3" w:rsidRDefault="00B5581A" w14:paraId="6A385D3C" w14:textId="77777777">
            <w:pPr>
              <w:jc w:val="both"/>
              <w:rPr>
                <w:rFonts w:ascii="Verdana" w:hAnsi="Verdana" w:cs="Arial"/>
                <w:lang w:val="es-ES_tradnl" w:eastAsia="es-ES_tradnl"/>
              </w:rPr>
            </w:pPr>
            <w:r w:rsidRPr="009322DA">
              <w:rPr>
                <w:rFonts w:ascii="Verdana" w:hAnsi="Verdana" w:cs="Arial"/>
                <w:b/>
                <w:lang w:val="es-ES_tradnl" w:eastAsia="es-ES_tradnl"/>
              </w:rPr>
              <w:t>Temas:</w:t>
            </w:r>
            <w:r w:rsidRPr="009322DA">
              <w:rPr>
                <w:rFonts w:ascii="Verdana" w:hAnsi="Verdana" w:cs="Arial"/>
                <w:lang w:val="es-ES_tradnl" w:eastAsia="es-ES_tradnl"/>
              </w:rPr>
              <w:t xml:space="preserve">                   </w:t>
            </w:r>
          </w:p>
        </w:tc>
        <w:tc>
          <w:tcPr>
            <w:tcW w:w="6100" w:type="dxa"/>
          </w:tcPr>
          <w:p w:rsidR="00B5581A" w:rsidP="00EA26C3" w:rsidRDefault="00B5581A" w14:paraId="0F5DAFC6" w14:textId="77777777">
            <w:pPr>
              <w:jc w:val="both"/>
              <w:rPr>
                <w:rFonts w:ascii="Verdana" w:hAnsi="Verdana" w:eastAsia="Calibri" w:cs="Arial"/>
                <w:bCs/>
                <w:lang w:val="es-MX" w:eastAsia="es-ES"/>
              </w:rPr>
            </w:pPr>
            <w:r w:rsidRPr="00BB658A">
              <w:rPr>
                <w:rFonts w:ascii="Verdana" w:hAnsi="Verdana" w:eastAsia="Calibri" w:cs="Arial"/>
                <w:bCs/>
                <w:lang w:val="es-MX" w:eastAsia="es-ES"/>
              </w:rPr>
              <w:t>LEY DE EMPRENDIMIENTO – Ley 2069 de 2020 – Finalidad / LEY DE EMPRENDIMIENTO – Ley 2069 de 2020 – Artículo 32 – Criterios diferenciales – Emprendimientos de mujeres – Empresas de mujeres – Necesidad de reglamentación – Decreto 1860 de 2021 / DECRETO 1860 DE 2021 – Emprendimientos y empresas de mujeres – Definición – Artículo 2.2.1.2.4.2.14 – Acreditación – Condición – Mujer – Regla general</w:t>
            </w:r>
          </w:p>
          <w:p w:rsidRPr="00EB3000" w:rsidR="00B5581A" w:rsidP="00EA26C3" w:rsidRDefault="00B5581A" w14:paraId="182D04C4" w14:textId="77777777">
            <w:pPr>
              <w:jc w:val="both"/>
              <w:rPr>
                <w:rFonts w:ascii="Verdana" w:hAnsi="Verdana" w:cs="Arial"/>
                <w:lang w:val="es-ES_tradnl" w:eastAsia="es-ES"/>
              </w:rPr>
            </w:pPr>
          </w:p>
        </w:tc>
      </w:tr>
      <w:tr w:rsidRPr="009322DA" w:rsidR="00B5581A" w:rsidTr="00EA26C3" w14:paraId="4487BBAB" w14:textId="77777777">
        <w:tc>
          <w:tcPr>
            <w:tcW w:w="2689" w:type="dxa"/>
            <w:hideMark/>
          </w:tcPr>
          <w:p w:rsidRPr="009322DA" w:rsidR="00B5581A" w:rsidP="00EA26C3" w:rsidRDefault="00B5581A" w14:paraId="6D10FFBD" w14:textId="77777777">
            <w:pPr>
              <w:jc w:val="both"/>
              <w:rPr>
                <w:rFonts w:ascii="Verdana" w:hAnsi="Verdana" w:cs="Arial"/>
                <w:b/>
                <w:lang w:val="es-ES_tradnl" w:eastAsia="es-ES_tradnl"/>
              </w:rPr>
            </w:pPr>
            <w:r w:rsidRPr="009322DA">
              <w:rPr>
                <w:rFonts w:ascii="Verdana" w:hAnsi="Verdana" w:cs="Arial"/>
                <w:b/>
                <w:lang w:val="es-ES_tradnl" w:eastAsia="es-ES_tradnl"/>
              </w:rPr>
              <w:t>Radicación:</w:t>
            </w:r>
            <w:r w:rsidRPr="009322DA">
              <w:rPr>
                <w:rFonts w:ascii="Verdana" w:hAnsi="Verdana" w:cs="Arial"/>
                <w:lang w:val="es-ES_tradnl" w:eastAsia="es-ES_tradnl"/>
              </w:rPr>
              <w:t xml:space="preserve">               </w:t>
            </w:r>
          </w:p>
        </w:tc>
        <w:tc>
          <w:tcPr>
            <w:tcW w:w="6100" w:type="dxa"/>
          </w:tcPr>
          <w:p w:rsidRPr="0079578D" w:rsidR="00B5581A" w:rsidP="00EA26C3" w:rsidRDefault="00B5581A" w14:paraId="402FF94F" w14:textId="77777777">
            <w:pPr>
              <w:jc w:val="both"/>
              <w:rPr>
                <w:rFonts w:ascii="Verdana" w:hAnsi="Verdana"/>
                <w:b/>
                <w:bCs/>
                <w:lang w:eastAsia="es-ES_tradnl"/>
              </w:rPr>
            </w:pPr>
            <w:r w:rsidRPr="009322DA">
              <w:rPr>
                <w:rFonts w:ascii="Verdana" w:hAnsi="Verdana" w:cs="Arial"/>
                <w:lang w:val="es-ES_tradnl" w:eastAsia="es-ES_tradnl"/>
              </w:rPr>
              <w:t xml:space="preserve">Respuesta a consulta con radicado No. </w:t>
            </w:r>
            <w:r w:rsidRPr="0079578D">
              <w:rPr>
                <w:rFonts w:ascii="Verdana" w:hAnsi="Verdana"/>
                <w:lang w:eastAsia="es-ES_tradnl"/>
              </w:rPr>
              <w:t>P20240911009254</w:t>
            </w:r>
          </w:p>
          <w:p w:rsidRPr="001E5720" w:rsidR="00B5581A" w:rsidP="00EA26C3" w:rsidRDefault="00B5581A" w14:paraId="0B7C2B16" w14:textId="77777777">
            <w:pPr>
              <w:jc w:val="both"/>
              <w:rPr>
                <w:rFonts w:ascii="Verdana" w:hAnsi="Verdana"/>
                <w:b/>
                <w:bCs/>
                <w:lang w:eastAsia="es-ES_tradnl"/>
              </w:rPr>
            </w:pPr>
          </w:p>
          <w:p w:rsidRPr="002A43BA" w:rsidR="00B5581A" w:rsidP="00EA26C3" w:rsidRDefault="00B5581A" w14:paraId="358DA73C" w14:textId="77777777">
            <w:pPr>
              <w:jc w:val="both"/>
              <w:rPr>
                <w:rFonts w:ascii="Verdana" w:hAnsi="Verdana"/>
                <w:b/>
                <w:bCs/>
                <w:lang w:eastAsia="es-ES_tradnl"/>
              </w:rPr>
            </w:pPr>
          </w:p>
          <w:p w:rsidRPr="00347A72" w:rsidR="00B5581A" w:rsidP="00EA26C3" w:rsidRDefault="00B5581A" w14:paraId="16558423" w14:textId="77777777">
            <w:pPr>
              <w:jc w:val="both"/>
              <w:rPr>
                <w:rFonts w:ascii="Verdana" w:hAnsi="Verdana"/>
                <w:b/>
                <w:bCs/>
                <w:lang w:eastAsia="es-ES_tradnl"/>
              </w:rPr>
            </w:pPr>
          </w:p>
          <w:p w:rsidRPr="009322DA" w:rsidR="00B5581A" w:rsidP="00EA26C3" w:rsidRDefault="00B5581A" w14:paraId="69BAF64C" w14:textId="77777777">
            <w:pPr>
              <w:jc w:val="both"/>
              <w:rPr>
                <w:rFonts w:ascii="Verdana" w:hAnsi="Verdana" w:cs="Arial"/>
                <w:lang w:val="es-ES_tradnl" w:eastAsia="es-ES_tradnl"/>
              </w:rPr>
            </w:pPr>
          </w:p>
        </w:tc>
      </w:tr>
    </w:tbl>
    <w:p w:rsidRPr="009322DA" w:rsidR="00B5581A" w:rsidP="00B5581A" w:rsidRDefault="00B5581A" w14:paraId="263764D7" w14:textId="77777777">
      <w:pPr>
        <w:spacing w:after="0" w:line="240" w:lineRule="auto"/>
        <w:jc w:val="both"/>
        <w:rPr>
          <w:rFonts w:ascii="Verdana" w:hAnsi="Verdana" w:eastAsia="Calibri" w:cs="Arial"/>
          <w:lang w:val="es-ES_tradnl" w:eastAsia="es-ES_tradnl"/>
        </w:rPr>
      </w:pPr>
    </w:p>
    <w:p w:rsidRPr="009322DA" w:rsidR="00B5581A" w:rsidP="00B5581A" w:rsidRDefault="00B5581A" w14:paraId="36245E27" w14:textId="77777777">
      <w:pPr>
        <w:spacing w:after="0" w:line="276" w:lineRule="auto"/>
        <w:jc w:val="both"/>
        <w:rPr>
          <w:rFonts w:ascii="Verdana" w:hAnsi="Verdana" w:eastAsia="Calibri" w:cs="Arial"/>
          <w:lang w:val="es-ES" w:eastAsia="es-ES"/>
        </w:rPr>
      </w:pPr>
      <w:r w:rsidRPr="009322DA">
        <w:rPr>
          <w:rFonts w:ascii="Verdana" w:hAnsi="Verdana" w:eastAsia="Calibri" w:cs="Arial"/>
          <w:lang w:val="es-ES" w:eastAsia="es-ES"/>
        </w:rPr>
        <w:t>Estimad</w:t>
      </w:r>
      <w:r>
        <w:rPr>
          <w:rFonts w:ascii="Verdana" w:hAnsi="Verdana" w:eastAsia="Calibri" w:cs="Arial"/>
          <w:lang w:val="es-ES" w:eastAsia="es-ES"/>
        </w:rPr>
        <w:t>o</w:t>
      </w:r>
      <w:r w:rsidRPr="009322DA">
        <w:rPr>
          <w:rFonts w:ascii="Verdana" w:hAnsi="Verdana" w:eastAsia="Calibri" w:cs="Arial"/>
          <w:lang w:val="es-ES" w:eastAsia="es-ES"/>
        </w:rPr>
        <w:t xml:space="preserve"> señor</w:t>
      </w:r>
      <w:r>
        <w:rPr>
          <w:rFonts w:ascii="Verdana" w:hAnsi="Verdana" w:eastAsia="Calibri" w:cs="Arial"/>
          <w:lang w:val="es-ES" w:eastAsia="es-ES"/>
        </w:rPr>
        <w:t xml:space="preserve"> Silva</w:t>
      </w:r>
      <w:r w:rsidRPr="009322DA">
        <w:rPr>
          <w:rFonts w:ascii="Verdana" w:hAnsi="Verdana" w:eastAsia="Calibri" w:cs="Arial"/>
          <w:lang w:val="es-ES" w:eastAsia="es-ES"/>
        </w:rPr>
        <w:t xml:space="preserve">: </w:t>
      </w:r>
    </w:p>
    <w:p w:rsidRPr="009322DA" w:rsidR="00B5581A" w:rsidP="00B5581A" w:rsidRDefault="00B5581A" w14:paraId="2C3CD40A" w14:textId="77777777">
      <w:pPr>
        <w:tabs>
          <w:tab w:val="left" w:pos="3768"/>
        </w:tabs>
        <w:spacing w:after="0" w:line="276" w:lineRule="auto"/>
        <w:jc w:val="both"/>
        <w:rPr>
          <w:rFonts w:ascii="Verdana" w:hAnsi="Verdana" w:eastAsia="Calibri" w:cs="Arial"/>
          <w:lang w:val="es-ES" w:eastAsia="es-ES"/>
        </w:rPr>
      </w:pPr>
      <w:r w:rsidRPr="009322DA">
        <w:rPr>
          <w:rFonts w:ascii="Verdana" w:hAnsi="Verdana" w:eastAsia="Calibri" w:cs="Arial"/>
          <w:lang w:val="es-ES" w:eastAsia="es-ES"/>
        </w:rPr>
        <w:tab/>
      </w:r>
    </w:p>
    <w:p w:rsidRPr="009322DA" w:rsidR="00B5581A" w:rsidP="00B5581A" w:rsidRDefault="00B5581A" w14:paraId="349F3D41" w14:textId="77777777">
      <w:pPr>
        <w:spacing w:after="0" w:line="276" w:lineRule="auto"/>
        <w:jc w:val="both"/>
        <w:rPr>
          <w:rFonts w:ascii="Verdana" w:hAnsi="Verdana" w:eastAsia="Calibri" w:cs="Arial"/>
          <w:lang w:val="es-ES" w:eastAsia="es-ES"/>
        </w:rPr>
      </w:pPr>
      <w:r w:rsidRPr="009322DA">
        <w:rPr>
          <w:rFonts w:ascii="Verdana" w:hAnsi="Verdana" w:eastAsia="Calibri" w:cs="Arial"/>
          <w:lang w:val="es-ES" w:eastAsia="es-ES"/>
        </w:rPr>
        <w:t>En ejercicio de la competencia otorgada por los artículos 3, numeral 5º, y 11, numeral 8º, del Decreto Ley 4170 de 2011,</w:t>
      </w:r>
      <w:r w:rsidRPr="009322DA">
        <w:rPr>
          <w:rFonts w:ascii="Verdana" w:hAnsi="Verdana" w:eastAsia="Arial MT" w:cs="Arial MT"/>
          <w:lang w:val="es-ES" w:eastAsia="es-ES"/>
        </w:rPr>
        <w:t xml:space="preserve"> </w:t>
      </w:r>
      <w:r w:rsidRPr="009322DA">
        <w:rPr>
          <w:rFonts w:ascii="Verdana" w:hAnsi="Verdana" w:eastAsia="Calibri" w:cs="Arial"/>
        </w:rPr>
        <w:t xml:space="preserve">así como lo establecido en el artículo 4 de la Resolución 1707 de 2018 expedida por esta Entidad, </w:t>
      </w:r>
      <w:r w:rsidRPr="009322DA">
        <w:rPr>
          <w:rFonts w:ascii="Verdana" w:hAnsi="Verdana" w:eastAsia="Calibri" w:cs="Arial"/>
          <w:lang w:val="es-ES" w:eastAsia="es-ES"/>
        </w:rPr>
        <w:t xml:space="preserve">la Agencia Nacional de Contratación Pública – Colombia Compra Eficiente– responde su solicitud de consulta de fecha </w:t>
      </w:r>
      <w:r>
        <w:rPr>
          <w:rFonts w:ascii="Verdana" w:hAnsi="Verdana" w:eastAsia="Calibri" w:cs="Arial"/>
          <w:lang w:val="es-ES" w:eastAsia="es-ES"/>
        </w:rPr>
        <w:t>12</w:t>
      </w:r>
      <w:r w:rsidRPr="009322DA">
        <w:rPr>
          <w:rFonts w:ascii="Verdana" w:hAnsi="Verdana" w:eastAsia="Calibri" w:cs="Arial"/>
          <w:lang w:val="es-ES" w:eastAsia="es-ES"/>
        </w:rPr>
        <w:t xml:space="preserve"> de </w:t>
      </w:r>
      <w:r>
        <w:rPr>
          <w:rFonts w:ascii="Verdana" w:hAnsi="Verdana" w:eastAsia="Calibri" w:cs="Arial"/>
          <w:lang w:val="es-ES" w:eastAsia="es-ES"/>
        </w:rPr>
        <w:t>septiembre</w:t>
      </w:r>
      <w:r w:rsidRPr="009322DA">
        <w:rPr>
          <w:rFonts w:ascii="Verdana" w:hAnsi="Verdana" w:eastAsia="Calibri" w:cs="Arial"/>
          <w:lang w:val="es-ES" w:eastAsia="es-ES"/>
        </w:rPr>
        <w:t xml:space="preserve"> de 2024, en la cual manifiesta lo siguiente: </w:t>
      </w:r>
    </w:p>
    <w:p w:rsidRPr="009322DA" w:rsidR="00B5581A" w:rsidP="00B5581A" w:rsidRDefault="00B5581A" w14:paraId="5BFDB43D" w14:textId="77777777">
      <w:pPr>
        <w:spacing w:after="0" w:line="240" w:lineRule="auto"/>
        <w:ind w:left="709" w:right="709"/>
        <w:jc w:val="both"/>
        <w:rPr>
          <w:rFonts w:ascii="Verdana" w:hAnsi="Verdana" w:eastAsia="Century Gothic" w:cs="Century Gothic"/>
          <w:sz w:val="20"/>
          <w:szCs w:val="20"/>
          <w:lang w:val="es-ES"/>
        </w:rPr>
      </w:pPr>
    </w:p>
    <w:p w:rsidRPr="009D4BCF" w:rsidR="00B5581A" w:rsidP="00B5581A" w:rsidRDefault="00B5581A" w14:paraId="2EF868E5" w14:textId="77777777">
      <w:pPr>
        <w:spacing w:line="240" w:lineRule="auto"/>
        <w:ind w:left="709" w:right="709"/>
        <w:jc w:val="both"/>
        <w:rPr>
          <w:rFonts w:ascii="Verdana" w:hAnsi="Verdana" w:eastAsia="Century Gothic" w:cs="Century Gothic"/>
          <w:i/>
          <w:iCs/>
          <w:sz w:val="20"/>
          <w:szCs w:val="20"/>
        </w:rPr>
      </w:pPr>
      <w:r w:rsidRPr="00772836">
        <w:rPr>
          <w:rFonts w:ascii="Verdana" w:hAnsi="Verdana" w:eastAsia="Century Gothic" w:cs="Century Gothic"/>
          <w:i/>
          <w:iCs/>
          <w:sz w:val="20"/>
          <w:szCs w:val="20"/>
          <w:lang w:val="es-ES"/>
        </w:rPr>
        <w:t>“</w:t>
      </w:r>
      <w:r w:rsidRPr="00BB658A">
        <w:rPr>
          <w:rFonts w:ascii="Verdana" w:hAnsi="Verdana" w:eastAsia="Century Gothic" w:cs="Century Gothic"/>
          <w:i/>
          <w:iCs/>
          <w:sz w:val="20"/>
          <w:szCs w:val="20"/>
        </w:rPr>
        <w:t xml:space="preserve">Se solicita a la entidad aclarar cómo una persona natural de género masculino puede cumplir con la acreditación de emprendimientos y empresas de mujeres, ya que es casi imposible acceder a ganar una </w:t>
      </w:r>
      <w:r w:rsidRPr="00BB658A">
        <w:rPr>
          <w:rFonts w:ascii="Verdana" w:hAnsi="Verdana" w:eastAsia="Century Gothic" w:cs="Century Gothic"/>
          <w:i/>
          <w:iCs/>
          <w:sz w:val="20"/>
          <w:szCs w:val="20"/>
        </w:rPr>
        <w:t>licitación sin este puntaje. Para personas jurídicas se puede cumplir con que el personal directivo de la empresa sea mayoritariamente mujeres</w:t>
      </w:r>
      <w:r w:rsidRPr="00647C38">
        <w:rPr>
          <w:rFonts w:ascii="Verdana" w:hAnsi="Verdana" w:eastAsia="Century Gothic" w:cs="Century Gothic"/>
          <w:i/>
          <w:iCs/>
          <w:sz w:val="20"/>
          <w:szCs w:val="20"/>
        </w:rPr>
        <w:t>.</w:t>
      </w:r>
      <w:r w:rsidRPr="009D4BCF">
        <w:rPr>
          <w:rFonts w:ascii="Verdana" w:hAnsi="Verdana" w:eastAsia="Century Gothic" w:cs="Century Gothic"/>
          <w:i/>
          <w:iCs/>
          <w:sz w:val="20"/>
          <w:szCs w:val="20"/>
        </w:rPr>
        <w:t>”</w:t>
      </w:r>
    </w:p>
    <w:p w:rsidRPr="00D6203F" w:rsidR="00B5581A" w:rsidP="00B5581A" w:rsidRDefault="00B5581A" w14:paraId="0ADCDFC7" w14:textId="77777777">
      <w:pPr>
        <w:spacing w:line="240" w:lineRule="auto"/>
        <w:ind w:left="709" w:right="709"/>
        <w:jc w:val="both"/>
        <w:rPr>
          <w:rFonts w:ascii="Verdana" w:hAnsi="Verdana" w:eastAsia="Calibri" w:cs="Arial"/>
          <w:i/>
          <w:iCs/>
          <w:sz w:val="20"/>
          <w:szCs w:val="20"/>
          <w:shd w:val="clear" w:color="auto" w:fill="FFFFFF"/>
        </w:rPr>
      </w:pPr>
    </w:p>
    <w:p w:rsidRPr="009322DA" w:rsidR="00B5581A" w:rsidP="00B5581A" w:rsidRDefault="00B5581A" w14:paraId="56818CD0" w14:textId="77777777">
      <w:pPr>
        <w:spacing w:after="120" w:line="276" w:lineRule="auto"/>
        <w:ind w:firstLine="709"/>
        <w:jc w:val="both"/>
        <w:rPr>
          <w:rFonts w:ascii="Verdana" w:hAnsi="Verdana" w:eastAsia="Calibri" w:cs="Arial"/>
          <w:szCs w:val="24"/>
          <w:lang w:val="es-ES_tradnl" w:eastAsia="es-ES_tradnl"/>
        </w:rPr>
      </w:pPr>
      <w:r w:rsidRPr="009322DA">
        <w:rPr>
          <w:rFonts w:ascii="Verdana" w:hAnsi="Verdana" w:eastAsia="Calibri"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322DA">
        <w:rPr>
          <w:rFonts w:ascii="Verdana" w:hAnsi="Verdana" w:eastAsia="Calibri" w:cs="Arial"/>
          <w:szCs w:val="24"/>
          <w:lang w:val="es-ES_tradnl" w:eastAsia="es-ES_tradnl"/>
        </w:rPr>
        <w:tab/>
      </w:r>
    </w:p>
    <w:p w:rsidRPr="009322DA" w:rsidR="00B5581A" w:rsidP="00B5581A" w:rsidRDefault="00B5581A" w14:paraId="4303F841" w14:textId="77777777">
      <w:pPr>
        <w:spacing w:after="0" w:line="276" w:lineRule="auto"/>
        <w:ind w:firstLine="708"/>
        <w:jc w:val="both"/>
        <w:rPr>
          <w:rFonts w:ascii="Verdana" w:hAnsi="Verdana" w:eastAsia="Calibri" w:cs="Arial"/>
          <w:lang w:val="es-ES" w:eastAsia="es-ES"/>
        </w:rPr>
      </w:pPr>
      <w:r w:rsidRPr="009322DA">
        <w:rPr>
          <w:rFonts w:ascii="Verdana" w:hAnsi="Verdana" w:eastAsia="Calibri"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rsidRPr="009322DA" w:rsidR="00B5581A" w:rsidP="00B5581A" w:rsidRDefault="00B5581A" w14:paraId="0A57B6A6" w14:textId="77777777">
      <w:pPr>
        <w:spacing w:after="0" w:line="276" w:lineRule="auto"/>
        <w:ind w:firstLine="709"/>
        <w:jc w:val="both"/>
        <w:rPr>
          <w:rFonts w:ascii="Verdana" w:hAnsi="Verdana" w:eastAsia="Calibri" w:cs="Arial"/>
          <w:lang w:val="es-ES" w:eastAsia="es-ES"/>
        </w:rPr>
      </w:pPr>
    </w:p>
    <w:p w:rsidRPr="009322DA" w:rsidR="00B5581A" w:rsidP="00B5581A" w:rsidRDefault="00B5581A" w14:paraId="6206BA65" w14:textId="77777777">
      <w:pPr>
        <w:numPr>
          <w:ilvl w:val="0"/>
          <w:numId w:val="16"/>
        </w:numPr>
        <w:tabs>
          <w:tab w:val="left" w:pos="142"/>
          <w:tab w:val="left" w:pos="284"/>
        </w:tabs>
        <w:spacing w:after="0" w:line="276" w:lineRule="auto"/>
        <w:ind w:left="0" w:firstLine="0"/>
        <w:contextualSpacing/>
        <w:jc w:val="both"/>
        <w:rPr>
          <w:rFonts w:ascii="Verdana" w:hAnsi="Verdana" w:eastAsia="Century Gothic" w:cs="Century Gothic"/>
          <w:b/>
          <w:bCs/>
          <w:lang w:val="es-ES"/>
        </w:rPr>
      </w:pPr>
      <w:r w:rsidRPr="009322DA">
        <w:rPr>
          <w:rFonts w:ascii="Verdana" w:hAnsi="Verdana" w:eastAsia="Century Gothic" w:cs="Century Gothic"/>
          <w:b/>
          <w:bCs/>
          <w:lang w:val="es-ES"/>
        </w:rPr>
        <w:t>Problema planteado:</w:t>
      </w:r>
    </w:p>
    <w:p w:rsidRPr="009322DA" w:rsidR="00B5581A" w:rsidP="00B5581A" w:rsidRDefault="00B5581A" w14:paraId="3729A875" w14:textId="77777777">
      <w:pPr>
        <w:tabs>
          <w:tab w:val="left" w:pos="426"/>
        </w:tabs>
        <w:spacing w:after="0" w:line="276" w:lineRule="auto"/>
        <w:jc w:val="both"/>
        <w:rPr>
          <w:rFonts w:ascii="Verdana" w:hAnsi="Verdana" w:eastAsia="Century Gothic" w:cs="Century Gothic"/>
          <w:lang w:val="es-ES"/>
        </w:rPr>
      </w:pPr>
    </w:p>
    <w:p w:rsidR="00B5581A" w:rsidP="00B5581A" w:rsidRDefault="00B5581A" w14:paraId="54305C55" w14:textId="77777777">
      <w:pPr>
        <w:spacing w:after="0" w:line="276" w:lineRule="auto"/>
        <w:jc w:val="both"/>
        <w:rPr>
          <w:rFonts w:ascii="Verdana" w:hAnsi="Verdana" w:eastAsia="Century Gothic" w:cs="Century Gothic"/>
        </w:rPr>
      </w:pPr>
      <w:r w:rsidRPr="009322DA">
        <w:rPr>
          <w:rFonts w:ascii="Verdana" w:hAnsi="Verdana" w:eastAsia="Century Gothic" w:cs="Century Gothic"/>
        </w:rPr>
        <w:t xml:space="preserve">De acuerdo con el contenido de su solicitud, esta Agencia resolverá </w:t>
      </w:r>
      <w:r>
        <w:rPr>
          <w:rFonts w:ascii="Verdana" w:hAnsi="Verdana" w:eastAsia="Century Gothic" w:cs="Century Gothic"/>
        </w:rPr>
        <w:t>el</w:t>
      </w:r>
      <w:r w:rsidRPr="009322DA">
        <w:rPr>
          <w:rFonts w:ascii="Verdana" w:hAnsi="Verdana" w:eastAsia="Century Gothic" w:cs="Century Gothic"/>
        </w:rPr>
        <w:t xml:space="preserve"> siguiente problema jurídico:</w:t>
      </w:r>
      <w:r>
        <w:rPr>
          <w:rFonts w:ascii="Verdana" w:hAnsi="Verdana" w:eastAsia="Century Gothic" w:cs="Century Gothic"/>
        </w:rPr>
        <w:t xml:space="preserve"> </w:t>
      </w:r>
    </w:p>
    <w:p w:rsidR="00B5581A" w:rsidP="00B5581A" w:rsidRDefault="00B5581A" w14:paraId="5E52FBD3" w14:textId="77777777">
      <w:pPr>
        <w:spacing w:after="0" w:line="276" w:lineRule="auto"/>
        <w:jc w:val="both"/>
        <w:rPr>
          <w:rFonts w:ascii="Verdana" w:hAnsi="Verdana" w:eastAsia="Century Gothic" w:cs="Century Gothic"/>
        </w:rPr>
      </w:pPr>
    </w:p>
    <w:p w:rsidRPr="00832BAF" w:rsidR="00B5581A" w:rsidP="00B5581A" w:rsidRDefault="00B5581A" w14:paraId="3093AA6A" w14:textId="77777777">
      <w:pPr>
        <w:pStyle w:val="Prrafodelista"/>
        <w:numPr>
          <w:ilvl w:val="0"/>
          <w:numId w:val="19"/>
        </w:numPr>
        <w:spacing w:line="276" w:lineRule="auto"/>
        <w:jc w:val="both"/>
        <w:rPr>
          <w:rFonts w:ascii="Verdana" w:hAnsi="Verdana" w:cs="Arial"/>
        </w:rPr>
      </w:pPr>
      <w:r w:rsidRPr="00832BAF">
        <w:rPr>
          <w:rFonts w:ascii="Verdana" w:hAnsi="Verdana" w:cs="Arial"/>
        </w:rPr>
        <w:t>¿La persona natural de género masculino puede acceder a los criterios destinados a emprendimientos y empresas de mujeres?</w:t>
      </w:r>
    </w:p>
    <w:p w:rsidRPr="00832BAF" w:rsidR="00B5581A" w:rsidP="00B5581A" w:rsidRDefault="00B5581A" w14:paraId="2BFD7967" w14:textId="77777777">
      <w:pPr>
        <w:pStyle w:val="Prrafodelista"/>
        <w:spacing w:after="0" w:line="276" w:lineRule="auto"/>
        <w:ind w:left="1080"/>
        <w:jc w:val="both"/>
        <w:rPr>
          <w:rFonts w:ascii="Verdana" w:hAnsi="Verdana" w:eastAsia="Century Gothic" w:cs="Century Gothic"/>
        </w:rPr>
      </w:pPr>
    </w:p>
    <w:p w:rsidR="00B5581A" w:rsidP="00B5581A" w:rsidRDefault="00B5581A" w14:paraId="3627368A" w14:textId="77777777">
      <w:pPr>
        <w:numPr>
          <w:ilvl w:val="0"/>
          <w:numId w:val="16"/>
        </w:numPr>
        <w:tabs>
          <w:tab w:val="left" w:pos="142"/>
          <w:tab w:val="left" w:pos="284"/>
        </w:tabs>
        <w:spacing w:after="0" w:line="276" w:lineRule="auto"/>
        <w:ind w:left="0" w:firstLine="0"/>
        <w:contextualSpacing/>
        <w:jc w:val="both"/>
        <w:rPr>
          <w:rFonts w:ascii="Verdana" w:hAnsi="Verdana" w:eastAsia="Century Gothic" w:cs="Century Gothic"/>
          <w:b/>
          <w:bCs/>
          <w:lang w:val="es-ES"/>
        </w:rPr>
      </w:pPr>
      <w:r w:rsidRPr="009322DA">
        <w:rPr>
          <w:rFonts w:ascii="Verdana" w:hAnsi="Verdana" w:eastAsia="Century Gothic" w:cs="Century Gothic"/>
          <w:b/>
          <w:bCs/>
          <w:lang w:val="es-ES"/>
        </w:rPr>
        <w:t>Respuesta:</w:t>
      </w:r>
    </w:p>
    <w:p w:rsidRPr="009322DA" w:rsidR="00B5581A" w:rsidP="00B5581A" w:rsidRDefault="00B5581A" w14:paraId="196428F9" w14:textId="77777777">
      <w:pPr>
        <w:tabs>
          <w:tab w:val="left" w:pos="142"/>
          <w:tab w:val="left" w:pos="284"/>
        </w:tabs>
        <w:spacing w:after="0" w:line="276" w:lineRule="auto"/>
        <w:contextualSpacing/>
        <w:jc w:val="both"/>
        <w:rPr>
          <w:rFonts w:ascii="Verdana" w:hAnsi="Verdana" w:eastAsia="Century Gothic" w:cs="Century Gothic"/>
          <w:b/>
          <w:bCs/>
          <w:lang w:val="es-ES"/>
        </w:rPr>
      </w:pPr>
    </w:p>
    <w:tbl>
      <w:tblPr>
        <w:tblStyle w:val="Tablaconcuadrcula1"/>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9322DA" w:rsidR="00B5581A" w:rsidTr="00EA26C3" w14:paraId="432024BE" w14:textId="77777777">
        <w:tc>
          <w:tcPr>
            <w:tcW w:w="8828" w:type="dxa"/>
            <w:tcBorders>
              <w:top w:val="dotted" w:color="auto" w:sz="4" w:space="0"/>
              <w:left w:val="dotted" w:color="auto" w:sz="4" w:space="0"/>
              <w:bottom w:val="dotted" w:color="auto" w:sz="4" w:space="0"/>
              <w:right w:val="dotted" w:color="auto" w:sz="4" w:space="0"/>
            </w:tcBorders>
          </w:tcPr>
          <w:p w:rsidR="00B5581A" w:rsidP="00EA26C3" w:rsidRDefault="00B5581A" w14:paraId="32848DF5" w14:textId="77777777">
            <w:pPr>
              <w:tabs>
                <w:tab w:val="left" w:pos="142"/>
                <w:tab w:val="left" w:pos="284"/>
              </w:tabs>
              <w:jc w:val="both"/>
              <w:rPr>
                <w:rFonts w:ascii="Verdana" w:hAnsi="Verdana" w:eastAsia="Century Gothic" w:cs="Century Gothic"/>
                <w:bCs/>
              </w:rPr>
            </w:pPr>
            <w:r w:rsidRPr="00832BAF">
              <w:rPr>
                <w:rFonts w:ascii="Verdana" w:hAnsi="Verdana" w:eastAsia="Century Gothic" w:cs="Century Gothic"/>
                <w:bCs/>
              </w:rPr>
              <w:t xml:space="preserve">No. Frente a las personas naturales es claro que la norma dispuso, en el numeral 3 del artículo 2.2.1.2.4.2.14, las condiciones para que esta sea catalogada como acreedora de un emprendimiento o empresa de mujeres, bajo el entendido en que “sea una mujer y haya ejercido actividades comerciales a través de un establecimiento de comercio durante al menos el último año anterior a la fecha de cierre del proceso de selección” y acreditando </w:t>
            </w:r>
            <w:r w:rsidRPr="00832BAF">
              <w:rPr>
                <w:rFonts w:ascii="Verdana" w:hAnsi="Verdana" w:eastAsia="Century Gothic" w:cs="Century Gothic"/>
                <w:bCs/>
              </w:rPr>
              <w:t xml:space="preserve">esta circunstancia “mediante la copia de cédula de ciudadanía, la cédula de extranjería o el pasaporte, así como la copia del registro mercantil”. </w:t>
            </w:r>
          </w:p>
          <w:p w:rsidRPr="00832BAF" w:rsidR="00B5581A" w:rsidP="00EA26C3" w:rsidRDefault="00B5581A" w14:paraId="2246BE02" w14:textId="77777777">
            <w:pPr>
              <w:tabs>
                <w:tab w:val="left" w:pos="142"/>
                <w:tab w:val="left" w:pos="284"/>
              </w:tabs>
              <w:jc w:val="both"/>
              <w:rPr>
                <w:rFonts w:ascii="Verdana" w:hAnsi="Verdana" w:eastAsia="Century Gothic" w:cs="Century Gothic"/>
                <w:bCs/>
              </w:rPr>
            </w:pPr>
          </w:p>
          <w:p w:rsidRPr="00832BAF" w:rsidR="00B5581A" w:rsidP="00EA26C3" w:rsidRDefault="00B5581A" w14:paraId="0EF40994" w14:textId="77777777">
            <w:pPr>
              <w:tabs>
                <w:tab w:val="left" w:pos="142"/>
                <w:tab w:val="left" w:pos="284"/>
              </w:tabs>
              <w:jc w:val="both"/>
              <w:rPr>
                <w:rFonts w:ascii="Verdana" w:hAnsi="Verdana" w:eastAsia="Century Gothic" w:cs="Century Gothic"/>
                <w:bCs/>
              </w:rPr>
            </w:pPr>
            <w:r w:rsidRPr="00832BAF">
              <w:rPr>
                <w:rFonts w:ascii="Verdana" w:hAnsi="Verdana" w:eastAsia="Century Gothic" w:cs="Century Gothic"/>
                <w:bCs/>
                <w:lang w:val="es-ES_tradnl"/>
              </w:rPr>
              <w:t xml:space="preserve">Nótese que la disposición estudiada señala de forma taxativa los requisitos que se exigen cuando se trata de persona natural y teniendo en cuenta que se prueba con el documento de identidad, no se permite que hombres accedan a los criterios establecidos para </w:t>
            </w:r>
            <w:r w:rsidRPr="00832BAF">
              <w:rPr>
                <w:rFonts w:ascii="Verdana" w:hAnsi="Verdana" w:eastAsia="Century Gothic" w:cs="Century Gothic"/>
                <w:bCs/>
              </w:rPr>
              <w:t>emprendimientos y empresas de mujeres cuando se trate de persona natural</w:t>
            </w:r>
            <w:r w:rsidRPr="00832BAF">
              <w:rPr>
                <w:rFonts w:ascii="Verdana" w:hAnsi="Verdana" w:eastAsia="Century Gothic" w:cs="Century Gothic"/>
                <w:bCs/>
                <w:lang w:val="es-ES_tradnl"/>
              </w:rPr>
              <w:t xml:space="preserve">. </w:t>
            </w:r>
            <w:r w:rsidRPr="00832BAF">
              <w:rPr>
                <w:rFonts w:ascii="Verdana" w:hAnsi="Verdana" w:eastAsia="Century Gothic" w:cs="Century Gothic"/>
                <w:bCs/>
              </w:rPr>
              <w:t xml:space="preserve">Por lo tanto, la presente interpretación además se impone en virtud de aquella regla según la cual </w:t>
            </w:r>
            <w:r w:rsidRPr="00832BAF">
              <w:rPr>
                <w:rFonts w:ascii="Verdana" w:hAnsi="Verdana" w:eastAsia="Century Gothic" w:cs="Century Gothic"/>
                <w:bCs/>
                <w:i/>
                <w:iCs/>
              </w:rPr>
              <w:t>“</w:t>
            </w:r>
            <w:r w:rsidRPr="00832BAF">
              <w:rPr>
                <w:rFonts w:ascii="Verdana" w:hAnsi="Verdana" w:eastAsia="Century Gothic" w:cs="Century Gothic"/>
                <w:bCs/>
                <w:iCs/>
              </w:rPr>
              <w:t>cuando el sentido de la ley sea claro, no se desatenderá su tenor literal a pretexto de consultar su espíritu</w:t>
            </w:r>
            <w:r w:rsidRPr="00832BAF">
              <w:rPr>
                <w:rFonts w:ascii="Verdana" w:hAnsi="Verdana" w:eastAsia="Century Gothic" w:cs="Century Gothic"/>
                <w:bCs/>
                <w:i/>
                <w:iCs/>
              </w:rPr>
              <w:t>”</w:t>
            </w:r>
            <w:r w:rsidRPr="00832BAF">
              <w:rPr>
                <w:rFonts w:ascii="Verdana" w:hAnsi="Verdana" w:eastAsia="Century Gothic" w:cs="Century Gothic"/>
                <w:bCs/>
                <w:vertAlign w:val="superscript"/>
              </w:rPr>
              <w:footnoteReference w:id="1"/>
            </w:r>
            <w:r w:rsidRPr="00832BAF">
              <w:rPr>
                <w:rFonts w:ascii="Verdana" w:hAnsi="Verdana" w:eastAsia="Century Gothic" w:cs="Century Gothic"/>
                <w:bCs/>
              </w:rPr>
              <w:t>.</w:t>
            </w:r>
          </w:p>
        </w:tc>
      </w:tr>
    </w:tbl>
    <w:p w:rsidRPr="009322DA" w:rsidR="00B5581A" w:rsidP="00B5581A" w:rsidRDefault="00B5581A" w14:paraId="432E6CC8" w14:textId="77777777">
      <w:pPr>
        <w:tabs>
          <w:tab w:val="left" w:pos="142"/>
          <w:tab w:val="left" w:pos="284"/>
        </w:tabs>
        <w:spacing w:after="0" w:line="276" w:lineRule="auto"/>
        <w:jc w:val="both"/>
        <w:rPr>
          <w:rFonts w:ascii="Verdana" w:hAnsi="Verdana" w:eastAsia="Century Gothic" w:cs="Century Gothic"/>
          <w:b/>
          <w:bCs/>
          <w:lang w:val="es-ES"/>
        </w:rPr>
      </w:pPr>
    </w:p>
    <w:p w:rsidRPr="009322DA" w:rsidR="00B5581A" w:rsidP="00B5581A" w:rsidRDefault="00B5581A" w14:paraId="671013BD" w14:textId="77777777">
      <w:pPr>
        <w:tabs>
          <w:tab w:val="left" w:pos="142"/>
          <w:tab w:val="left" w:pos="284"/>
        </w:tabs>
        <w:spacing w:after="0" w:line="276" w:lineRule="auto"/>
        <w:jc w:val="both"/>
        <w:rPr>
          <w:rFonts w:ascii="Verdana" w:hAnsi="Verdana" w:eastAsia="Century Gothic" w:cs="Century Gothic"/>
          <w:b/>
          <w:bCs/>
          <w:lang w:val="es-ES"/>
        </w:rPr>
      </w:pPr>
    </w:p>
    <w:p w:rsidRPr="009322DA" w:rsidR="00B5581A" w:rsidP="00B5581A" w:rsidRDefault="00B5581A" w14:paraId="6ED226C1" w14:textId="77777777">
      <w:pPr>
        <w:numPr>
          <w:ilvl w:val="0"/>
          <w:numId w:val="16"/>
        </w:numPr>
        <w:tabs>
          <w:tab w:val="left" w:pos="142"/>
          <w:tab w:val="left" w:pos="284"/>
        </w:tabs>
        <w:spacing w:after="0" w:line="276" w:lineRule="auto"/>
        <w:ind w:left="0" w:firstLine="0"/>
        <w:contextualSpacing/>
        <w:jc w:val="both"/>
        <w:rPr>
          <w:rFonts w:ascii="Verdana" w:hAnsi="Verdana" w:eastAsia="Century Gothic" w:cs="Century Gothic"/>
          <w:b/>
          <w:bCs/>
          <w:lang w:val="es-ES"/>
        </w:rPr>
      </w:pPr>
      <w:r w:rsidRPr="009322DA">
        <w:rPr>
          <w:rFonts w:ascii="Verdana" w:hAnsi="Verdana" w:eastAsia="Century Gothic" w:cs="Century Gothic"/>
          <w:b/>
          <w:bCs/>
          <w:lang w:val="es-ES"/>
        </w:rPr>
        <w:t>Razones de la respuesta:</w:t>
      </w:r>
    </w:p>
    <w:p w:rsidRPr="009322DA" w:rsidR="00B5581A" w:rsidP="00B5581A" w:rsidRDefault="00B5581A" w14:paraId="0F25A5F0" w14:textId="77777777">
      <w:pPr>
        <w:spacing w:after="0" w:line="276" w:lineRule="auto"/>
        <w:jc w:val="both"/>
        <w:rPr>
          <w:rFonts w:ascii="Verdana" w:hAnsi="Verdana" w:eastAsia="Calibri" w:cs="Arial"/>
          <w:lang w:val="es-ES"/>
        </w:rPr>
      </w:pPr>
    </w:p>
    <w:p w:rsidR="00B5581A" w:rsidP="00B5581A" w:rsidRDefault="00B5581A" w14:paraId="325BAA5A" w14:textId="77777777">
      <w:pPr>
        <w:spacing w:after="0" w:line="276" w:lineRule="auto"/>
        <w:jc w:val="both"/>
        <w:rPr>
          <w:rFonts w:ascii="Verdana" w:hAnsi="Verdana" w:eastAsia="Calibri" w:cs="Arial"/>
          <w:lang w:val="es-ES"/>
        </w:rPr>
      </w:pPr>
      <w:r w:rsidRPr="009322DA">
        <w:rPr>
          <w:rFonts w:ascii="Verdana" w:hAnsi="Verdana" w:eastAsia="Calibri" w:cs="Arial"/>
          <w:lang w:val="es-ES"/>
        </w:rPr>
        <w:t xml:space="preserve">Lo anterior se sustenta en las siguientes consideraciones: </w:t>
      </w:r>
    </w:p>
    <w:p w:rsidR="00B5581A" w:rsidP="00B5581A" w:rsidRDefault="00B5581A" w14:paraId="01A30116" w14:textId="77777777">
      <w:pPr>
        <w:spacing w:after="0" w:line="276" w:lineRule="auto"/>
        <w:jc w:val="both"/>
        <w:rPr>
          <w:rFonts w:ascii="Verdana" w:hAnsi="Verdana" w:eastAsia="Calibri" w:cs="Arial"/>
          <w:lang w:val="es-ES"/>
        </w:rPr>
      </w:pPr>
    </w:p>
    <w:p w:rsidRPr="00832BAF" w:rsidR="00B5581A" w:rsidP="00B5581A" w:rsidRDefault="00B5581A" w14:paraId="656D59EB" w14:textId="77777777">
      <w:pPr>
        <w:spacing w:after="0" w:line="276" w:lineRule="auto"/>
        <w:ind w:firstLine="708"/>
        <w:jc w:val="both"/>
        <w:rPr>
          <w:rFonts w:ascii="Verdana" w:hAnsi="Verdana" w:eastAsia="Calibri" w:cs="Arial"/>
          <w:lang w:val="es-ES_tradnl"/>
        </w:rPr>
      </w:pPr>
      <w:r w:rsidRPr="00832BAF">
        <w:rPr>
          <w:rFonts w:ascii="Verdana" w:hAnsi="Verdana" w:eastAsia="Calibri" w:cs="Arial"/>
          <w:lang w:val="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los decretos correspondientes que permitan la cumplida ejecución de esta Ley, potestad que fue ejercida mediante la expedición del Decreto 1860 de 2021, al cual se hará referencia más adelante.</w:t>
      </w:r>
    </w:p>
    <w:p w:rsidRPr="00832BAF" w:rsidR="00B5581A" w:rsidP="00B5581A" w:rsidRDefault="00B5581A" w14:paraId="2F1F7DAA" w14:textId="77777777">
      <w:pPr>
        <w:spacing w:after="0" w:line="276" w:lineRule="auto"/>
        <w:jc w:val="both"/>
        <w:rPr>
          <w:rFonts w:ascii="Verdana" w:hAnsi="Verdana" w:eastAsia="Calibri" w:cs="Arial"/>
          <w:lang w:val="es-ES_tradnl"/>
        </w:rPr>
      </w:pPr>
    </w:p>
    <w:p w:rsidRPr="00832BAF" w:rsidR="00B5581A" w:rsidP="00B5581A" w:rsidRDefault="00B5581A" w14:paraId="6624BA46" w14:textId="77777777">
      <w:pPr>
        <w:spacing w:after="0" w:line="276" w:lineRule="auto"/>
        <w:jc w:val="both"/>
        <w:rPr>
          <w:rFonts w:ascii="Verdana" w:hAnsi="Verdana" w:eastAsia="Calibri" w:cs="Arial"/>
          <w:lang w:val="es-ES"/>
        </w:rPr>
      </w:pPr>
      <w:r w:rsidRPr="00832BAF">
        <w:rPr>
          <w:rFonts w:ascii="Verdana" w:hAnsi="Verdana" w:eastAsia="Calibri" w:cs="Arial"/>
          <w:lang w:val="es-ES"/>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w:t>
      </w:r>
      <w:r w:rsidRPr="00832BAF">
        <w:rPr>
          <w:rFonts w:ascii="Verdana" w:hAnsi="Verdana" w:eastAsia="Calibri" w:cs="Arial"/>
          <w:vertAlign w:val="superscript"/>
          <w:lang w:val="es-ES"/>
        </w:rPr>
        <w:footnoteReference w:id="2"/>
      </w:r>
      <w:r w:rsidRPr="00832BAF">
        <w:rPr>
          <w:rFonts w:ascii="Verdana" w:hAnsi="Verdana" w:eastAsia="Calibri" w:cs="Arial"/>
          <w:lang w:val="es-ES"/>
        </w:rPr>
        <w:t xml:space="preserve">. Esto, a partir de “[…] un enfoque regionalizado </w:t>
      </w:r>
      <w:proofErr w:type="gramStart"/>
      <w:r w:rsidRPr="00832BAF">
        <w:rPr>
          <w:rFonts w:ascii="Verdana" w:hAnsi="Verdana" w:eastAsia="Calibri" w:cs="Arial"/>
          <w:lang w:val="es-ES"/>
        </w:rPr>
        <w:t>de acuerdo a</w:t>
      </w:r>
      <w:proofErr w:type="gramEnd"/>
      <w:r w:rsidRPr="00832BAF">
        <w:rPr>
          <w:rFonts w:ascii="Verdana" w:hAnsi="Verdana" w:eastAsia="Calibri" w:cs="Arial"/>
          <w:lang w:val="es-ES"/>
        </w:rPr>
        <w:t xml:space="preserve"> las realidades socioeconómicas de cada región”. En desarrollo de esta finalidad, se establecen </w:t>
      </w:r>
      <w:r w:rsidRPr="00832BAF">
        <w:rPr>
          <w:rFonts w:ascii="Verdana" w:hAnsi="Verdana" w:eastAsia="Calibri" w:cs="Arial"/>
          <w:lang w:val="es-ES"/>
        </w:rPr>
        <w:t>medidas de apoyo para las micro, pequeñas y medianas empresas –</w:t>
      </w:r>
      <w:proofErr w:type="spellStart"/>
      <w:r w:rsidRPr="00832BAF">
        <w:rPr>
          <w:rFonts w:ascii="Verdana" w:hAnsi="Verdana" w:eastAsia="Calibri" w:cs="Arial"/>
          <w:lang w:val="es-ES"/>
        </w:rPr>
        <w:t>Mipymes</w:t>
      </w:r>
      <w:proofErr w:type="spellEnd"/>
      <w:r w:rsidRPr="00832BAF">
        <w:rPr>
          <w:rFonts w:ascii="Verdana" w:hAnsi="Verdana" w:eastAsia="Calibri" w:cs="Arial"/>
          <w:lang w:val="es-ES"/>
        </w:rPr>
        <w:t>–, mediante la racionalización y simplificación de los trámites y tarifas</w:t>
      </w:r>
      <w:r w:rsidRPr="00832BAF">
        <w:rPr>
          <w:rFonts w:ascii="Verdana" w:hAnsi="Verdana" w:eastAsia="Calibri" w:cs="Arial"/>
          <w:vertAlign w:val="superscript"/>
          <w:lang w:val="es-ES"/>
        </w:rPr>
        <w:footnoteReference w:id="3"/>
      </w:r>
      <w:r w:rsidRPr="00832BAF">
        <w:rPr>
          <w:rFonts w:ascii="Verdana" w:hAnsi="Verdana" w:eastAsia="Calibri" w:cs="Arial"/>
          <w:lang w:val="es-ES"/>
        </w:rPr>
        <w:t>, así como incentivos a favor de aquellas dentro del sistema de compras y contratación pública</w:t>
      </w:r>
      <w:r w:rsidRPr="00832BAF">
        <w:rPr>
          <w:rFonts w:ascii="Verdana" w:hAnsi="Verdana" w:eastAsia="Calibri" w:cs="Arial"/>
          <w:vertAlign w:val="superscript"/>
          <w:lang w:val="es-ES"/>
        </w:rPr>
        <w:footnoteReference w:id="4"/>
      </w:r>
      <w:r w:rsidRPr="00832BAF">
        <w:rPr>
          <w:rFonts w:ascii="Verdana" w:hAnsi="Verdana" w:eastAsia="Calibri" w:cs="Arial"/>
          <w:lang w:val="es-ES"/>
        </w:rPr>
        <w:t>. También se consagran mecanismos de acceso al financiamiento</w:t>
      </w:r>
      <w:r w:rsidRPr="00832BAF">
        <w:rPr>
          <w:rFonts w:ascii="Verdana" w:hAnsi="Verdana" w:eastAsia="Calibri" w:cs="Arial"/>
          <w:vertAlign w:val="superscript"/>
          <w:lang w:val="es-ES"/>
        </w:rPr>
        <w:footnoteReference w:id="5"/>
      </w:r>
      <w:r w:rsidRPr="00832BAF">
        <w:rPr>
          <w:rFonts w:ascii="Verdana" w:hAnsi="Verdana" w:eastAsia="Calibri" w:cs="Arial"/>
          <w:lang w:val="es-ES"/>
        </w:rPr>
        <w:t>, se unifican las fuentes de emprendimiento y de desarrollo empresarial, para fortalecer y promover los distintos sectores de la economía</w:t>
      </w:r>
      <w:r w:rsidRPr="00832BAF">
        <w:rPr>
          <w:rFonts w:ascii="Verdana" w:hAnsi="Verdana" w:eastAsia="Calibri" w:cs="Arial"/>
          <w:vertAlign w:val="superscript"/>
          <w:lang w:val="es-ES"/>
        </w:rPr>
        <w:footnoteReference w:id="6"/>
      </w:r>
      <w:r w:rsidRPr="00832BAF">
        <w:rPr>
          <w:rFonts w:ascii="Verdana" w:hAnsi="Verdana" w:eastAsia="Calibri" w:cs="Arial"/>
          <w:lang w:val="es-ES"/>
        </w:rPr>
        <w:t xml:space="preserve"> y se prevén medidas de educación para el emprendimiento y la innovación</w:t>
      </w:r>
      <w:r w:rsidRPr="00832BAF">
        <w:rPr>
          <w:rFonts w:ascii="Verdana" w:hAnsi="Verdana" w:eastAsia="Calibri" w:cs="Arial"/>
          <w:vertAlign w:val="superscript"/>
          <w:lang w:val="es-ES"/>
        </w:rPr>
        <w:footnoteReference w:id="7"/>
      </w:r>
      <w:r w:rsidRPr="00832BAF">
        <w:rPr>
          <w:rFonts w:ascii="Verdana" w:hAnsi="Verdana" w:eastAsia="Calibri" w:cs="Arial"/>
          <w:lang w:val="es-ES"/>
        </w:rPr>
        <w:t>.</w:t>
      </w:r>
    </w:p>
    <w:p w:rsidRPr="00832BAF" w:rsidR="00B5581A" w:rsidP="00B5581A" w:rsidRDefault="00B5581A" w14:paraId="2A0AEF44" w14:textId="77777777">
      <w:pPr>
        <w:spacing w:after="0" w:line="276" w:lineRule="auto"/>
        <w:jc w:val="both"/>
        <w:rPr>
          <w:rFonts w:ascii="Verdana" w:hAnsi="Verdana" w:eastAsia="Calibri" w:cs="Arial"/>
          <w:lang w:val="es-ES"/>
        </w:rPr>
      </w:pPr>
    </w:p>
    <w:p w:rsidRPr="00832BAF" w:rsidR="00B5581A" w:rsidP="00B5581A" w:rsidRDefault="00B5581A" w14:paraId="0089C365" w14:textId="77777777">
      <w:pPr>
        <w:spacing w:after="0" w:line="276" w:lineRule="auto"/>
        <w:jc w:val="both"/>
        <w:rPr>
          <w:rFonts w:ascii="Verdana" w:hAnsi="Verdana" w:eastAsia="Calibri" w:cs="Arial"/>
          <w:lang w:val="es-ES_tradnl"/>
        </w:rPr>
      </w:pPr>
      <w:r w:rsidRPr="00832BAF">
        <w:rPr>
          <w:rFonts w:ascii="Verdana" w:hAnsi="Verdana" w:eastAsia="Calibri" w:cs="Arial"/>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832BAF">
        <w:rPr>
          <w:rFonts w:ascii="Verdana" w:hAnsi="Verdana" w:eastAsia="Calibri" w:cs="Arial"/>
          <w:lang w:val="es-ES_tradnl"/>
        </w:rPr>
        <w:t>Mipyme</w:t>
      </w:r>
      <w:proofErr w:type="spellEnd"/>
      <w:r w:rsidRPr="00832BAF">
        <w:rPr>
          <w:rFonts w:ascii="Verdana" w:hAnsi="Verdana" w:eastAsia="Calibri" w:cs="Arial"/>
          <w:lang w:val="es-ES_tradnl"/>
        </w:rPr>
        <w:t xml:space="preserve"> en el procedimiento de mínima cuantía, </w:t>
      </w:r>
      <w:proofErr w:type="spellStart"/>
      <w:r w:rsidRPr="00832BAF">
        <w:rPr>
          <w:rFonts w:ascii="Verdana" w:hAnsi="Verdana" w:eastAsia="Calibri" w:cs="Arial"/>
          <w:lang w:val="es-ES_tradnl"/>
        </w:rPr>
        <w:t>ii</w:t>
      </w:r>
      <w:proofErr w:type="spellEnd"/>
      <w:r w:rsidRPr="00832BAF">
        <w:rPr>
          <w:rFonts w:ascii="Verdana" w:hAnsi="Verdana" w:eastAsia="Calibri" w:cs="Arial"/>
          <w:lang w:val="es-ES_tradnl"/>
        </w:rPr>
        <w:t xml:space="preserve">) criterios diferenciales para </w:t>
      </w:r>
      <w:proofErr w:type="spellStart"/>
      <w:r w:rsidRPr="00832BAF">
        <w:rPr>
          <w:rFonts w:ascii="Verdana" w:hAnsi="Verdana" w:eastAsia="Calibri" w:cs="Arial"/>
          <w:lang w:val="es-ES_tradnl"/>
        </w:rPr>
        <w:t>Mipyme</w:t>
      </w:r>
      <w:proofErr w:type="spellEnd"/>
      <w:r w:rsidRPr="00832BAF">
        <w:rPr>
          <w:rFonts w:ascii="Verdana" w:hAnsi="Verdana" w:eastAsia="Calibri" w:cs="Arial"/>
          <w:lang w:val="es-ES_tradnl"/>
        </w:rPr>
        <w:t xml:space="preserve"> en el sistema de compras públicas, </w:t>
      </w:r>
      <w:proofErr w:type="spellStart"/>
      <w:r w:rsidRPr="00832BAF">
        <w:rPr>
          <w:rFonts w:ascii="Verdana" w:hAnsi="Verdana" w:eastAsia="Calibri" w:cs="Arial"/>
          <w:lang w:val="es-ES_tradnl"/>
        </w:rPr>
        <w:t>iii</w:t>
      </w:r>
      <w:proofErr w:type="spellEnd"/>
      <w:r w:rsidRPr="00832BAF">
        <w:rPr>
          <w:rFonts w:ascii="Verdana" w:hAnsi="Verdana" w:eastAsia="Calibri" w:cs="Arial"/>
          <w:lang w:val="es-ES_tradnl"/>
        </w:rPr>
        <w:t xml:space="preserve">) criterios diferenciales para emprendimientos y empresas de mujeres en el sistema de compras públicas, </w:t>
      </w:r>
      <w:proofErr w:type="spellStart"/>
      <w:r w:rsidRPr="00832BAF">
        <w:rPr>
          <w:rFonts w:ascii="Verdana" w:hAnsi="Verdana" w:eastAsia="Calibri" w:cs="Arial"/>
          <w:lang w:val="es-ES_tradnl"/>
        </w:rPr>
        <w:t>iv</w:t>
      </w:r>
      <w:proofErr w:type="spellEnd"/>
      <w:r w:rsidRPr="00832BAF">
        <w:rPr>
          <w:rFonts w:ascii="Verdana" w:hAnsi="Verdana" w:eastAsia="Calibri" w:cs="Arial"/>
          <w:lang w:val="es-ES_tradnl"/>
        </w:rPr>
        <w:t xml:space="preserve">) promoción del acceso de las </w:t>
      </w:r>
      <w:proofErr w:type="spellStart"/>
      <w:r w:rsidRPr="00832BAF">
        <w:rPr>
          <w:rFonts w:ascii="Verdana" w:hAnsi="Verdana" w:eastAsia="Calibri" w:cs="Arial"/>
          <w:lang w:val="es-ES_tradnl"/>
        </w:rPr>
        <w:t>Mipyme</w:t>
      </w:r>
      <w:proofErr w:type="spellEnd"/>
      <w:r w:rsidRPr="00832BAF">
        <w:rPr>
          <w:rFonts w:ascii="Verdana" w:hAnsi="Verdana" w:eastAsia="Calibri" w:cs="Arial"/>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w:t>
      </w:r>
      <w:r w:rsidRPr="00832BAF">
        <w:rPr>
          <w:rFonts w:ascii="Verdana" w:hAnsi="Verdana" w:eastAsia="Calibri" w:cs="Arial"/>
          <w:bCs/>
          <w:vertAlign w:val="superscript"/>
          <w:lang w:val="es-MX"/>
        </w:rPr>
        <w:footnoteReference w:id="8"/>
      </w:r>
    </w:p>
    <w:p w:rsidRPr="00832BAF" w:rsidR="00B5581A" w:rsidP="00B5581A" w:rsidRDefault="00B5581A" w14:paraId="4019BC4E" w14:textId="77777777">
      <w:pPr>
        <w:spacing w:after="0" w:line="276" w:lineRule="auto"/>
        <w:jc w:val="both"/>
        <w:rPr>
          <w:rFonts w:ascii="Verdana" w:hAnsi="Verdana" w:eastAsia="Calibri" w:cs="Arial"/>
          <w:lang w:val="es-ES_tradnl"/>
        </w:rPr>
      </w:pPr>
    </w:p>
    <w:p w:rsidRPr="00832BAF" w:rsidR="00B5581A" w:rsidP="00B5581A" w:rsidRDefault="00B5581A" w14:paraId="3659C22C" w14:textId="77777777">
      <w:pPr>
        <w:spacing w:after="0" w:line="276" w:lineRule="auto"/>
        <w:jc w:val="both"/>
        <w:rPr>
          <w:rFonts w:ascii="Verdana" w:hAnsi="Verdana" w:eastAsia="Calibri" w:cs="Arial"/>
          <w:bCs/>
        </w:rPr>
      </w:pPr>
      <w:r w:rsidRPr="00832BAF">
        <w:rPr>
          <w:rFonts w:ascii="Verdana" w:hAnsi="Verdana" w:eastAsia="Calibri" w:cs="Arial"/>
          <w:bCs/>
        </w:rPr>
        <w:t>Dentro del referido capítulo se encuentran el artículo 32 de la Ley 2069 de 2020, a través del cual se crea una serie de incentivos para las personas interesadas en celebrar contratos con el Estado.</w:t>
      </w:r>
    </w:p>
    <w:p w:rsidRPr="00832BAF" w:rsidR="00B5581A" w:rsidP="00B5581A" w:rsidRDefault="00B5581A" w14:paraId="2C7ADC04" w14:textId="77777777">
      <w:pPr>
        <w:spacing w:after="0" w:line="276" w:lineRule="auto"/>
        <w:jc w:val="both"/>
        <w:rPr>
          <w:rFonts w:ascii="Verdana" w:hAnsi="Verdana" w:eastAsia="Calibri" w:cs="Arial"/>
          <w:bCs/>
        </w:rPr>
      </w:pPr>
    </w:p>
    <w:p w:rsidRPr="00832BAF" w:rsidR="00B5581A" w:rsidP="00B5581A" w:rsidRDefault="00B5581A" w14:paraId="00574A9E" w14:textId="77777777">
      <w:pPr>
        <w:spacing w:after="0" w:line="276" w:lineRule="auto"/>
        <w:jc w:val="both"/>
        <w:rPr>
          <w:rFonts w:ascii="Verdana" w:hAnsi="Verdana" w:eastAsia="Calibri" w:cs="Arial"/>
          <w:bCs/>
        </w:rPr>
      </w:pPr>
      <w:r w:rsidRPr="00832BAF">
        <w:rPr>
          <w:rFonts w:ascii="Verdana" w:hAnsi="Verdana" w:eastAsia="Calibri" w:cs="Arial"/>
          <w:bCs/>
        </w:rPr>
        <w:t xml:space="preserve">Este articulo regula criterios diferenciales para los “emprendimientos y empresas de mujeres” en el sistema de compras y contratación pública. En relación con este aspecto, el inciso primero de la norma citada prescribe lo siguiente: </w:t>
      </w:r>
    </w:p>
    <w:p w:rsidRPr="00832BAF" w:rsidR="00B5581A" w:rsidP="00B5581A" w:rsidRDefault="00B5581A" w14:paraId="2FD6359D" w14:textId="77777777">
      <w:pPr>
        <w:spacing w:after="0" w:line="276" w:lineRule="auto"/>
        <w:jc w:val="both"/>
        <w:rPr>
          <w:rFonts w:ascii="Verdana" w:hAnsi="Verdana" w:eastAsia="Calibri" w:cs="Arial"/>
          <w:bCs/>
        </w:rPr>
      </w:pPr>
    </w:p>
    <w:p w:rsidRPr="00832BAF" w:rsidR="00B5581A" w:rsidP="00B5581A" w:rsidRDefault="00B5581A" w14:paraId="47D393F0" w14:textId="77777777">
      <w:pPr>
        <w:spacing w:after="0" w:line="276" w:lineRule="auto"/>
        <w:ind w:left="708"/>
        <w:jc w:val="both"/>
        <w:rPr>
          <w:rFonts w:ascii="Verdana" w:hAnsi="Verdana" w:eastAsia="Calibri" w:cs="Arial"/>
          <w:bCs/>
          <w:sz w:val="20"/>
          <w:szCs w:val="20"/>
        </w:rPr>
      </w:pPr>
      <w:r w:rsidRPr="00832BAF">
        <w:rPr>
          <w:rFonts w:ascii="Verdana" w:hAnsi="Verdana" w:eastAsia="Calibri" w:cs="Arial"/>
          <w:sz w:val="20"/>
          <w:szCs w:val="20"/>
        </w:rPr>
        <w:t>“</w:t>
      </w:r>
      <w:r w:rsidRPr="00832BAF">
        <w:rPr>
          <w:rFonts w:ascii="Verdana" w:hAnsi="Verdana" w:eastAsia="Calibri" w:cs="Arial"/>
          <w:bCs/>
          <w:sz w:val="20"/>
          <w:szCs w:val="20"/>
        </w:rPr>
        <w:t xml:space="preserve">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w:t>
      </w:r>
      <w:r w:rsidRPr="00832BAF">
        <w:rPr>
          <w:rFonts w:ascii="Verdana" w:hAnsi="Verdana" w:eastAsia="Calibri" w:cs="Arial"/>
          <w:bCs/>
          <w:sz w:val="20"/>
          <w:szCs w:val="20"/>
        </w:rPr>
        <w:t>Administrativa, como medidas de acción afirmativa, para incentivar emprendimientos y empresas de mujeres en el sistema de compras públicas, sin perjuicio de los compromisos adquiridos por Colombia en los acuerdos comerciales en vigor</w:t>
      </w:r>
      <w:r w:rsidRPr="00832BAF">
        <w:rPr>
          <w:rFonts w:ascii="Verdana" w:hAnsi="Verdana" w:eastAsia="Calibri" w:cs="Arial"/>
          <w:sz w:val="20"/>
          <w:szCs w:val="20"/>
        </w:rPr>
        <w:t>”</w:t>
      </w:r>
      <w:r w:rsidRPr="00832BAF">
        <w:rPr>
          <w:rFonts w:ascii="Verdana" w:hAnsi="Verdana" w:eastAsia="Calibri" w:cs="Arial"/>
          <w:bCs/>
          <w:sz w:val="20"/>
          <w:szCs w:val="20"/>
        </w:rPr>
        <w:t>.</w:t>
      </w:r>
    </w:p>
    <w:p w:rsidRPr="00832BAF" w:rsidR="00B5581A" w:rsidP="00B5581A" w:rsidRDefault="00B5581A" w14:paraId="1ADF467E" w14:textId="77777777">
      <w:pPr>
        <w:spacing w:after="0" w:line="276" w:lineRule="auto"/>
        <w:jc w:val="both"/>
        <w:rPr>
          <w:rFonts w:ascii="Verdana" w:hAnsi="Verdana" w:eastAsia="Calibri" w:cs="Arial"/>
          <w:bCs/>
        </w:rPr>
      </w:pPr>
    </w:p>
    <w:p w:rsidRPr="00832BAF" w:rsidR="00B5581A" w:rsidP="00B5581A" w:rsidRDefault="00B5581A" w14:paraId="029FFD42" w14:textId="77777777">
      <w:pPr>
        <w:spacing w:after="0" w:line="276" w:lineRule="auto"/>
        <w:jc w:val="both"/>
        <w:rPr>
          <w:rFonts w:ascii="Verdana" w:hAnsi="Verdana" w:eastAsia="Calibri" w:cs="Arial"/>
          <w:bCs/>
        </w:rPr>
      </w:pPr>
      <w:r w:rsidRPr="00832BAF">
        <w:rPr>
          <w:rFonts w:ascii="Verdana" w:hAnsi="Verdana" w:eastAsia="Calibri" w:cs="Arial"/>
          <w:bCs/>
        </w:rPr>
        <w:t xml:space="preserve">De esta manera, los “criterios diferenciales” del artículo 32 </w:t>
      </w:r>
      <w:r w:rsidRPr="00832BAF">
        <w:rPr>
          <w:rFonts w:ascii="Verdana" w:hAnsi="Verdana" w:eastAsia="Calibri" w:cs="Arial"/>
          <w:bCs/>
          <w:i/>
          <w:iCs/>
        </w:rPr>
        <w:t>ibidem</w:t>
      </w:r>
      <w:r w:rsidRPr="00832BAF">
        <w:rPr>
          <w:rFonts w:ascii="Verdana" w:hAnsi="Verdana" w:eastAsia="Calibri" w:cs="Arial"/>
          <w:bCs/>
        </w:rPr>
        <w:t xml:space="preserve"> –que incluyen tanto los “requisitos diferenciales” como los “puntajes adicionales”– aplican a “[…] los procesos de licitación pública, selección abreviada de menor cuantía y concurso de méritos […]”, excluyendo las demás modalidades de selección del artículo 2 de la Ley 1150 de 2007. Asimismo, sin distinciones ulteriores, la norma en comento también se extiende a todos los procedimientos que realicen las entidades estatales excluidas de la Ley 80 de 1993.     </w:t>
      </w:r>
    </w:p>
    <w:p w:rsidRPr="00832BAF" w:rsidR="00B5581A" w:rsidP="00B5581A" w:rsidRDefault="00B5581A" w14:paraId="4EC38A44" w14:textId="77777777">
      <w:pPr>
        <w:spacing w:after="0" w:line="276" w:lineRule="auto"/>
        <w:jc w:val="both"/>
        <w:rPr>
          <w:rFonts w:ascii="Verdana" w:hAnsi="Verdana" w:eastAsia="Calibri" w:cs="Arial"/>
          <w:bCs/>
        </w:rPr>
      </w:pPr>
    </w:p>
    <w:p w:rsidRPr="00832BAF" w:rsidR="00B5581A" w:rsidP="00B5581A" w:rsidRDefault="00B5581A" w14:paraId="3E9C42E0" w14:textId="77777777">
      <w:pPr>
        <w:spacing w:after="0" w:line="276" w:lineRule="auto"/>
        <w:jc w:val="both"/>
        <w:rPr>
          <w:rFonts w:ascii="Verdana" w:hAnsi="Verdana" w:eastAsia="Calibri" w:cs="Arial"/>
          <w:bCs/>
        </w:rPr>
      </w:pPr>
      <w:r w:rsidRPr="00832BAF">
        <w:rPr>
          <w:rFonts w:ascii="Verdana" w:hAnsi="Verdana" w:eastAsia="Calibri" w:cs="Arial"/>
          <w:bCs/>
        </w:rPr>
        <w:t xml:space="preserve">No obstante, el artículo 32 de la Ley 2069 de 2020 también alude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del artículo 32 de la Ley 2069 de 2020. </w:t>
      </w:r>
    </w:p>
    <w:p w:rsidRPr="00832BAF" w:rsidR="00B5581A" w:rsidP="00B5581A" w:rsidRDefault="00B5581A" w14:paraId="0BBE52A3" w14:textId="77777777">
      <w:pPr>
        <w:spacing w:after="0" w:line="276" w:lineRule="auto"/>
        <w:jc w:val="both"/>
        <w:rPr>
          <w:rFonts w:ascii="Verdana" w:hAnsi="Verdana" w:eastAsia="Calibri" w:cs="Arial"/>
          <w:bCs/>
        </w:rPr>
      </w:pPr>
    </w:p>
    <w:p w:rsidRPr="00832BAF" w:rsidR="00B5581A" w:rsidP="00B5581A" w:rsidRDefault="00B5581A" w14:paraId="1F74E0BA" w14:textId="77777777">
      <w:pPr>
        <w:spacing w:after="0" w:line="276" w:lineRule="auto"/>
        <w:jc w:val="both"/>
        <w:rPr>
          <w:rFonts w:ascii="Verdana" w:hAnsi="Verdana" w:eastAsia="Calibri" w:cs="Arial"/>
          <w:lang w:val="es-ES_tradnl"/>
        </w:rPr>
      </w:pPr>
      <w:r w:rsidRPr="00832BAF">
        <w:rPr>
          <w:rFonts w:ascii="Verdana" w:hAnsi="Verdana" w:eastAsia="Calibri" w:cs="Arial"/>
          <w:lang w:val="es-ES_tradnl"/>
        </w:rPr>
        <w:t>En este contexto, el Gobierno Nacional expidió el Decreto 1860 de 2021,</w:t>
      </w:r>
      <w:r w:rsidRPr="00832BAF">
        <w:rPr>
          <w:rFonts w:ascii="Verdana" w:hAnsi="Verdana" w:eastAsia="Calibri" w:cs="Arial"/>
        </w:rPr>
        <w:t xml:space="preserve"> </w:t>
      </w:r>
      <w:r w:rsidRPr="00832BAF">
        <w:rPr>
          <w:rFonts w:ascii="Verdana" w:hAnsi="Verdana" w:eastAsia="Calibri" w:cs="Arial"/>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r w:rsidRPr="00832BAF">
        <w:rPr>
          <w:rFonts w:ascii="Verdana" w:hAnsi="Verdana" w:eastAsia="Calibri" w:cs="Arial"/>
          <w:vertAlign w:val="superscript"/>
          <w:lang w:val="es-ES_tradnl"/>
        </w:rPr>
        <w:footnoteReference w:id="9"/>
      </w:r>
      <w:r w:rsidRPr="00832BAF">
        <w:rPr>
          <w:rFonts w:ascii="Verdana" w:hAnsi="Verdana" w:eastAsia="Calibri" w:cs="Arial"/>
          <w:lang w:val="es-ES_tradnl"/>
        </w:rPr>
        <w:t xml:space="preserve">.  </w:t>
      </w:r>
    </w:p>
    <w:p w:rsidRPr="00832BAF" w:rsidR="00B5581A" w:rsidP="00B5581A" w:rsidRDefault="00B5581A" w14:paraId="61DE0B2C" w14:textId="77777777">
      <w:pPr>
        <w:spacing w:after="0" w:line="276" w:lineRule="auto"/>
        <w:jc w:val="both"/>
        <w:rPr>
          <w:rFonts w:ascii="Verdana" w:hAnsi="Verdana" w:eastAsia="Calibri" w:cs="Arial"/>
          <w:lang w:val="es-ES_tradnl"/>
        </w:rPr>
      </w:pPr>
    </w:p>
    <w:p w:rsidRPr="00832BAF" w:rsidR="00B5581A" w:rsidP="00B5581A" w:rsidRDefault="00B5581A" w14:paraId="1E5F7B64" w14:textId="77777777">
      <w:pPr>
        <w:spacing w:after="0" w:line="276" w:lineRule="auto"/>
        <w:jc w:val="both"/>
        <w:rPr>
          <w:rFonts w:ascii="Verdana" w:hAnsi="Verdana" w:eastAsia="Calibri" w:cs="Arial"/>
          <w:lang w:val="es-ES_tradnl"/>
        </w:rPr>
      </w:pPr>
      <w:r w:rsidRPr="00832BAF">
        <w:rPr>
          <w:rFonts w:ascii="Verdana" w:hAnsi="Verdana" w:eastAsia="Calibri" w:cs="Arial"/>
          <w:lang w:val="es-ES_tradnl"/>
        </w:rPr>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p>
    <w:p w:rsidRPr="00832BAF" w:rsidR="00B5581A" w:rsidP="00B5581A" w:rsidRDefault="00B5581A" w14:paraId="500D6E17" w14:textId="77777777">
      <w:pPr>
        <w:spacing w:after="0" w:line="276" w:lineRule="auto"/>
        <w:jc w:val="both"/>
        <w:rPr>
          <w:rFonts w:ascii="Verdana" w:hAnsi="Verdana" w:eastAsia="Calibri" w:cs="Arial"/>
        </w:rPr>
      </w:pPr>
    </w:p>
    <w:p w:rsidRPr="00832BAF" w:rsidR="00B5581A" w:rsidP="00B5581A" w:rsidRDefault="00B5581A" w14:paraId="2E453C20" w14:textId="77777777">
      <w:pPr>
        <w:spacing w:after="0" w:line="276" w:lineRule="auto"/>
        <w:jc w:val="both"/>
        <w:rPr>
          <w:rFonts w:ascii="Verdana" w:hAnsi="Verdana" w:eastAsia="Calibri" w:cs="Arial"/>
        </w:rPr>
      </w:pPr>
      <w:r w:rsidRPr="00832BAF">
        <w:rPr>
          <w:rFonts w:ascii="Verdana" w:hAnsi="Verdana" w:eastAsia="Calibri" w:cs="Arial"/>
        </w:rPr>
        <w:t xml:space="preserve">Debe precisarse que la vigencia del Decreto 1860 de 2021 está regida por lo establecido en su artículo 8, el cual señala que “Las disposiciones contenidas en el presente Decreto se aplicarán a los procedimientos de selección cuya invitación, aviso de convocatoria o documento equivalente se publique a los tres (3) meses contados a partir de su expedición”, </w:t>
      </w:r>
      <w:r w:rsidRPr="00832BAF">
        <w:rPr>
          <w:rFonts w:ascii="Verdana" w:hAnsi="Verdana" w:eastAsia="Calibri" w:cs="Arial"/>
          <w:lang w:val="es-ES"/>
        </w:rPr>
        <w:t>es decir, a partir del 24 de marzo de 2022, por lo que actualmente esta es la regulación vigente</w:t>
      </w:r>
      <w:r w:rsidRPr="00832BAF">
        <w:rPr>
          <w:rFonts w:ascii="Verdana" w:hAnsi="Verdana" w:eastAsia="Calibri" w:cs="Arial"/>
          <w:vertAlign w:val="superscript"/>
        </w:rPr>
        <w:footnoteReference w:id="10"/>
      </w:r>
      <w:r w:rsidRPr="00832BAF">
        <w:rPr>
          <w:rFonts w:ascii="Verdana" w:hAnsi="Verdana" w:eastAsia="Calibri" w:cs="Arial"/>
        </w:rPr>
        <w:t xml:space="preserve">. </w:t>
      </w:r>
    </w:p>
    <w:p w:rsidRPr="00832BAF" w:rsidR="00B5581A" w:rsidP="00B5581A" w:rsidRDefault="00B5581A" w14:paraId="31207450" w14:textId="77777777">
      <w:pPr>
        <w:spacing w:after="0" w:line="276" w:lineRule="auto"/>
        <w:jc w:val="both"/>
        <w:rPr>
          <w:rFonts w:ascii="Verdana" w:hAnsi="Verdana" w:eastAsia="Calibri" w:cs="Arial"/>
        </w:rPr>
      </w:pPr>
    </w:p>
    <w:p w:rsidRPr="00832BAF" w:rsidR="00B5581A" w:rsidP="00B5581A" w:rsidRDefault="00B5581A" w14:paraId="451AEEFD" w14:textId="77777777">
      <w:pPr>
        <w:spacing w:after="0" w:line="276" w:lineRule="auto"/>
        <w:jc w:val="both"/>
        <w:rPr>
          <w:rFonts w:ascii="Verdana" w:hAnsi="Verdana" w:eastAsia="Calibri" w:cs="Arial"/>
          <w:lang w:val="es-ES_tradnl"/>
        </w:rPr>
      </w:pPr>
      <w:r w:rsidRPr="00832BAF">
        <w:rPr>
          <w:rFonts w:ascii="Verdana" w:hAnsi="Verdana" w:eastAsia="Calibri" w:cs="Arial"/>
        </w:rPr>
        <w:t xml:space="preserve">Ahora bien, para entrar en materia, se tiene que </w:t>
      </w:r>
      <w:r w:rsidRPr="00832BAF">
        <w:rPr>
          <w:rFonts w:ascii="Verdana" w:hAnsi="Verdana" w:eastAsia="Calibri" w:cs="Arial"/>
          <w:lang w:val="es-ES_tradnl"/>
        </w:rPr>
        <w:t xml:space="preserve">El artículo 32 de la Ley 2069 de 2021 introduce el deber de las Entidades Estatales de incluir </w:t>
      </w:r>
      <w:r w:rsidRPr="00832BAF">
        <w:rPr>
          <w:rFonts w:ascii="Verdana" w:hAnsi="Verdana" w:eastAsia="Calibri" w:cs="Arial"/>
          <w:lang w:val="es-ES"/>
        </w:rPr>
        <w:t xml:space="preserve">en los procesos de licitación pública, selección abreviada de menor cuantía y concurso de méritos, así como en los procesos competitivos que adelanten las entidades estatales exceptuadas de aplicar el Estatuto General de Contratación de la Administración Pública –en adelante EGCAP–, requisitos diferenciales y puntajes adicionales para emprendimientos y empresas de mujeres. Esto, a título de medidas de acción afirmativa para incentivar la participación de </w:t>
      </w:r>
      <w:r w:rsidRPr="00832BAF">
        <w:rPr>
          <w:rFonts w:ascii="Verdana" w:hAnsi="Verdana" w:eastAsia="Calibri" w:cs="Arial"/>
          <w:lang w:val="es-ES"/>
        </w:rPr>
        <w:t>emprendimientos y empresas de mujeres en el sistema de compras públicas, sin perjuicio de los compromisos adquiridos por Colombia en los acuerdos comerciales en vigor.</w:t>
      </w:r>
      <w:r w:rsidRPr="00832BAF">
        <w:rPr>
          <w:rFonts w:ascii="Verdana" w:hAnsi="Verdana" w:eastAsia="Calibri" w:cs="Arial"/>
        </w:rPr>
        <w:t> </w:t>
      </w:r>
    </w:p>
    <w:p w:rsidRPr="00832BAF" w:rsidR="00B5581A" w:rsidP="00B5581A" w:rsidRDefault="00B5581A" w14:paraId="354F3627" w14:textId="77777777">
      <w:pPr>
        <w:spacing w:after="0" w:line="276" w:lineRule="auto"/>
        <w:jc w:val="both"/>
        <w:rPr>
          <w:rFonts w:ascii="Verdana" w:hAnsi="Verdana" w:eastAsia="Calibri" w:cs="Arial"/>
          <w:lang w:val="es-ES_tradnl"/>
        </w:rPr>
      </w:pPr>
    </w:p>
    <w:p w:rsidRPr="00832BAF" w:rsidR="00B5581A" w:rsidP="00B5581A" w:rsidRDefault="00B5581A" w14:paraId="3ADD52A1" w14:textId="77777777">
      <w:pPr>
        <w:spacing w:after="0" w:line="276" w:lineRule="auto"/>
        <w:jc w:val="both"/>
        <w:rPr>
          <w:rFonts w:ascii="Verdana" w:hAnsi="Verdana" w:eastAsia="Calibri" w:cs="Arial"/>
          <w:lang w:val="es-ES_tradnl"/>
        </w:rPr>
      </w:pPr>
      <w:r w:rsidRPr="00832BAF">
        <w:rPr>
          <w:rFonts w:ascii="Verdana" w:hAnsi="Verdana" w:eastAsia="Calibri" w:cs="Arial"/>
          <w:lang w:val="es-ES_tradnl"/>
        </w:rPr>
        <w:t xml:space="preserve">En desarrollo de lo dispuesto en el parágrafo del artículo 32 de la Ley 2069 de 2020, el Decreto 1860 de 2021 adicionó el artículo 2.2.1.2.4.2.14 al Decreto 1082 de 2015. Esta norma establece las condiciones y requisitos en atención a los cuales se definen los emprendimientos y empresas de mujeres, a las que les aplican los criterios diferenciales. Para estos efectos, cada uno de los cuatro (4) numerales de la norma establecen unas condiciones alternativas que definen los emprendimientos y empresas de mujeres, a efectos de aplicar los criterios diferenciales, siendo relevante para la consulta el tercero de dichos numerales, cuyo tenor literal indica:   </w:t>
      </w:r>
    </w:p>
    <w:p w:rsidRPr="00832BAF" w:rsidR="00B5581A" w:rsidP="00B5581A" w:rsidRDefault="00B5581A" w14:paraId="57B7C9DF" w14:textId="77777777">
      <w:pPr>
        <w:spacing w:after="0" w:line="276" w:lineRule="auto"/>
        <w:jc w:val="both"/>
        <w:rPr>
          <w:rFonts w:ascii="Verdana" w:hAnsi="Verdana" w:eastAsia="Calibri" w:cs="Arial"/>
          <w:lang w:val="es-ES_tradnl"/>
        </w:rPr>
      </w:pPr>
    </w:p>
    <w:p w:rsidRPr="00832BAF" w:rsidR="00B5581A" w:rsidP="00B5581A" w:rsidRDefault="00B5581A" w14:paraId="40C8529E" w14:textId="77777777">
      <w:pPr>
        <w:spacing w:after="0" w:line="276" w:lineRule="auto"/>
        <w:ind w:left="708"/>
        <w:jc w:val="both"/>
        <w:rPr>
          <w:rFonts w:ascii="Verdana" w:hAnsi="Verdana" w:eastAsia="Calibri" w:cs="Arial"/>
          <w:sz w:val="20"/>
          <w:szCs w:val="20"/>
        </w:rPr>
      </w:pPr>
      <w:r w:rsidRPr="00832BAF">
        <w:rPr>
          <w:rFonts w:ascii="Verdana" w:hAnsi="Verdana" w:eastAsia="Calibri" w:cs="Arial"/>
          <w:sz w:val="20"/>
          <w:szCs w:val="20"/>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rsidRPr="00832BAF" w:rsidR="00B5581A" w:rsidP="00B5581A" w:rsidRDefault="00B5581A" w14:paraId="601652BC" w14:textId="77777777">
      <w:pPr>
        <w:spacing w:after="0" w:line="276" w:lineRule="auto"/>
        <w:ind w:firstLine="708"/>
        <w:jc w:val="both"/>
        <w:rPr>
          <w:rFonts w:ascii="Verdana" w:hAnsi="Verdana" w:eastAsia="Calibri" w:cs="Arial"/>
          <w:sz w:val="20"/>
          <w:szCs w:val="20"/>
        </w:rPr>
      </w:pPr>
    </w:p>
    <w:p w:rsidRPr="00832BAF" w:rsidR="00B5581A" w:rsidP="00B5581A" w:rsidRDefault="00B5581A" w14:paraId="5370E03F" w14:textId="77777777">
      <w:pPr>
        <w:spacing w:after="0" w:line="276" w:lineRule="auto"/>
        <w:ind w:firstLine="708"/>
        <w:jc w:val="both"/>
        <w:rPr>
          <w:rFonts w:ascii="Verdana" w:hAnsi="Verdana" w:eastAsia="Calibri" w:cs="Arial"/>
          <w:sz w:val="20"/>
          <w:szCs w:val="20"/>
        </w:rPr>
      </w:pPr>
      <w:r w:rsidRPr="00832BAF">
        <w:rPr>
          <w:rFonts w:ascii="Verdana" w:hAnsi="Verdana" w:eastAsia="Calibri" w:cs="Arial"/>
          <w:sz w:val="20"/>
          <w:szCs w:val="20"/>
        </w:rPr>
        <w:t>[…]</w:t>
      </w:r>
    </w:p>
    <w:p w:rsidRPr="00832BAF" w:rsidR="00B5581A" w:rsidP="00B5581A" w:rsidRDefault="00B5581A" w14:paraId="2C57A495" w14:textId="77777777">
      <w:pPr>
        <w:spacing w:after="0" w:line="276" w:lineRule="auto"/>
        <w:ind w:firstLine="708"/>
        <w:jc w:val="both"/>
        <w:rPr>
          <w:rFonts w:ascii="Verdana" w:hAnsi="Verdana" w:eastAsia="Calibri" w:cs="Arial"/>
          <w:sz w:val="20"/>
          <w:szCs w:val="20"/>
        </w:rPr>
      </w:pPr>
    </w:p>
    <w:p w:rsidRPr="00832BAF" w:rsidR="00B5581A" w:rsidP="00B5581A" w:rsidRDefault="00B5581A" w14:paraId="3951BDD9" w14:textId="77777777">
      <w:pPr>
        <w:spacing w:after="0" w:line="276" w:lineRule="auto"/>
        <w:ind w:left="708"/>
        <w:jc w:val="both"/>
        <w:rPr>
          <w:rFonts w:ascii="Verdana" w:hAnsi="Verdana" w:eastAsia="Calibri" w:cs="Arial"/>
          <w:sz w:val="20"/>
          <w:szCs w:val="20"/>
        </w:rPr>
      </w:pPr>
      <w:r w:rsidRPr="00832BAF">
        <w:rPr>
          <w:rFonts w:ascii="Verdana" w:hAnsi="Verdana" w:eastAsia="Calibri" w:cs="Arial"/>
          <w:sz w:val="20"/>
          <w:szCs w:val="20"/>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rsidRPr="00832BAF" w:rsidR="00B5581A" w:rsidP="00B5581A" w:rsidRDefault="00B5581A" w14:paraId="0FECFFE2" w14:textId="77777777">
      <w:pPr>
        <w:spacing w:after="0" w:line="276" w:lineRule="auto"/>
        <w:ind w:firstLine="708"/>
        <w:jc w:val="both"/>
        <w:rPr>
          <w:rFonts w:ascii="Verdana" w:hAnsi="Verdana" w:eastAsia="Calibri" w:cs="Arial"/>
          <w:sz w:val="20"/>
          <w:szCs w:val="20"/>
        </w:rPr>
      </w:pPr>
    </w:p>
    <w:p w:rsidRPr="00832BAF" w:rsidR="00B5581A" w:rsidP="00B5581A" w:rsidRDefault="00B5581A" w14:paraId="1221309C" w14:textId="77777777">
      <w:pPr>
        <w:spacing w:after="0" w:line="276" w:lineRule="auto"/>
        <w:ind w:firstLine="708"/>
        <w:jc w:val="both"/>
        <w:rPr>
          <w:rFonts w:ascii="Verdana" w:hAnsi="Verdana" w:eastAsia="Calibri" w:cs="Arial"/>
          <w:sz w:val="20"/>
          <w:szCs w:val="20"/>
        </w:rPr>
      </w:pPr>
      <w:r w:rsidRPr="00832BAF">
        <w:rPr>
          <w:rFonts w:ascii="Verdana" w:hAnsi="Verdana" w:eastAsia="Calibri" w:cs="Arial"/>
          <w:sz w:val="20"/>
          <w:szCs w:val="20"/>
        </w:rPr>
        <w:t>[…]”.</w:t>
      </w:r>
    </w:p>
    <w:p w:rsidRPr="00832BAF" w:rsidR="00B5581A" w:rsidP="00B5581A" w:rsidRDefault="00B5581A" w14:paraId="1E528A4B" w14:textId="77777777">
      <w:pPr>
        <w:spacing w:after="0" w:line="276" w:lineRule="auto"/>
        <w:jc w:val="both"/>
        <w:rPr>
          <w:rFonts w:ascii="Verdana" w:hAnsi="Verdana" w:eastAsia="Calibri" w:cs="Arial"/>
          <w:lang w:val="es-ES_tradnl"/>
        </w:rPr>
      </w:pPr>
    </w:p>
    <w:p w:rsidRPr="00832BAF" w:rsidR="00B5581A" w:rsidP="00B5581A" w:rsidRDefault="00B5581A" w14:paraId="5F902CDF" w14:textId="77777777">
      <w:pPr>
        <w:spacing w:after="0" w:line="276" w:lineRule="auto"/>
        <w:jc w:val="both"/>
        <w:rPr>
          <w:rFonts w:ascii="Verdana" w:hAnsi="Verdana" w:eastAsia="Calibri" w:cs="Arial"/>
          <w:lang w:val="es-ES"/>
        </w:rPr>
      </w:pPr>
      <w:r w:rsidRPr="00832BAF">
        <w:rPr>
          <w:rFonts w:ascii="Verdana" w:hAnsi="Verdana" w:eastAsia="Calibri" w:cs="Arial"/>
          <w:lang w:val="es-ES"/>
        </w:rPr>
        <w:t xml:space="preserve">Sin perjuicio de los factores de desempate previstos en los numerales 2 y 7 del artículo 2.2.1.2.4.2.17 del Decreto 1082 de 2015 para mujeres cabeza de familia y/o víctimas de violencia intrafamiliar, debe cumplirse con las siguientes condiciones para ser consideradas emprendimientos y empresas de mujeres y, en consecuencia, ser destinatarias de los criterios diferenciales de que trata el artículo 32 de la Ley de Emprendimiento: i) que la persona natural sea una mujer; </w:t>
      </w:r>
      <w:proofErr w:type="spellStart"/>
      <w:r w:rsidRPr="00832BAF">
        <w:rPr>
          <w:rFonts w:ascii="Verdana" w:hAnsi="Verdana" w:eastAsia="Calibri" w:cs="Arial"/>
          <w:lang w:val="es-ES"/>
        </w:rPr>
        <w:t>ii</w:t>
      </w:r>
      <w:proofErr w:type="spellEnd"/>
      <w:r w:rsidRPr="00832BAF">
        <w:rPr>
          <w:rFonts w:ascii="Verdana" w:hAnsi="Verdana" w:eastAsia="Calibri" w:cs="Arial"/>
          <w:lang w:val="es-ES"/>
        </w:rPr>
        <w:t xml:space="preserve">) que haya ejercido actividades comerciales a través de un establecimiento de comercio, </w:t>
      </w:r>
      <w:proofErr w:type="spellStart"/>
      <w:r w:rsidRPr="00832BAF">
        <w:rPr>
          <w:rFonts w:ascii="Verdana" w:hAnsi="Verdana" w:eastAsia="Calibri" w:cs="Arial"/>
          <w:lang w:val="es-ES"/>
        </w:rPr>
        <w:t>iii</w:t>
      </w:r>
      <w:proofErr w:type="spellEnd"/>
      <w:r w:rsidRPr="00832BAF">
        <w:rPr>
          <w:rFonts w:ascii="Verdana" w:hAnsi="Verdana" w:eastAsia="Calibri" w:cs="Arial"/>
          <w:lang w:val="es-ES"/>
        </w:rPr>
        <w:t xml:space="preserve">) que haya ejercido esas actividades durante al menos el último año anterior a la fecha del cierre del proceso de selección. </w:t>
      </w:r>
      <w:r w:rsidRPr="00832BAF">
        <w:rPr>
          <w:rFonts w:ascii="Verdana" w:hAnsi="Verdana" w:eastAsia="Calibri" w:cs="Arial"/>
          <w:lang w:val="es-ES"/>
        </w:rPr>
        <w:t>Adicionalmente, la misma disposición señala que la acreditación de dichas circunstancias deberá realizarse mediante la copia de la cédula de ciudadanía, la cédula de extranjería o el pasaporte, así como la copia del registro mercantil.</w:t>
      </w:r>
    </w:p>
    <w:p w:rsidRPr="00832BAF" w:rsidR="00B5581A" w:rsidP="00B5581A" w:rsidRDefault="00B5581A" w14:paraId="391647BF" w14:textId="77777777">
      <w:pPr>
        <w:spacing w:after="0" w:line="276" w:lineRule="auto"/>
        <w:jc w:val="both"/>
        <w:rPr>
          <w:rFonts w:ascii="Verdana" w:hAnsi="Verdana" w:eastAsia="Calibri" w:cs="Arial"/>
          <w:lang w:val="es-ES"/>
        </w:rPr>
      </w:pPr>
      <w:r w:rsidRPr="00832BAF">
        <w:rPr>
          <w:rFonts w:ascii="Verdana" w:hAnsi="Verdana" w:eastAsia="Calibri" w:cs="Arial"/>
          <w:lang w:val="es-ES"/>
        </w:rPr>
        <w:t xml:space="preserve"> </w:t>
      </w:r>
    </w:p>
    <w:p w:rsidRPr="00832BAF" w:rsidR="00B5581A" w:rsidP="00B5581A" w:rsidRDefault="00B5581A" w14:paraId="26CB30F9" w14:textId="77777777">
      <w:pPr>
        <w:spacing w:after="0" w:line="276" w:lineRule="auto"/>
        <w:jc w:val="both"/>
        <w:rPr>
          <w:rFonts w:ascii="Verdana" w:hAnsi="Verdana" w:eastAsia="Calibri" w:cs="Arial"/>
          <w:lang w:val="es-ES_tradnl"/>
        </w:rPr>
      </w:pPr>
      <w:r w:rsidRPr="00832BAF">
        <w:rPr>
          <w:rFonts w:ascii="Verdana" w:hAnsi="Verdana" w:eastAsia="Calibri" w:cs="Arial"/>
          <w:lang w:val="es-ES_tradnl"/>
        </w:rPr>
        <w:t>Lo anterior quiere decir que, no basta con que la persona natural sea mujer para ser considerada como un emprendimiento o empresa de mujeres, sino que además es necesario que haya ejercido actividades comerciales a través de un establecimiento de comercio y que esa circunstancia se haya mantenido como mínimo durante un periodo de un año contado a partir de la fecha del cierre del proceso de selección. De esta manera, el criterio definido en el numeral tercero del artículo 3 del Decreto 1860 de 2021 –artículo</w:t>
      </w:r>
      <w:r w:rsidRPr="00832BAF">
        <w:rPr>
          <w:rFonts w:ascii="Verdana" w:hAnsi="Verdana" w:eastAsia="Calibri" w:cs="Arial"/>
          <w:b/>
          <w:bCs/>
          <w:lang w:val="es-ES_tradnl"/>
        </w:rPr>
        <w:t xml:space="preserve"> </w:t>
      </w:r>
      <w:r w:rsidRPr="00832BAF">
        <w:rPr>
          <w:rFonts w:ascii="Verdana" w:hAnsi="Verdana" w:eastAsia="Calibri" w:cs="Arial"/>
        </w:rPr>
        <w:t xml:space="preserve">2.2.1.2.4.2.14 del Decreto 1082 de 2015 </w:t>
      </w:r>
      <w:r w:rsidRPr="00832BAF">
        <w:rPr>
          <w:rFonts w:ascii="Verdana" w:hAnsi="Verdana" w:eastAsia="Calibri" w:cs="Arial"/>
          <w:lang w:val="es-ES_tradnl"/>
        </w:rPr>
        <w:t>– deja por fuera a aquellas mujeres que no hayan ejercido actividades comerciales a través de un establecimiento de comercio y/o que no cumplan con el requerimiento del tiempo mínimo de un año de ejercicio de las actividades.</w:t>
      </w:r>
    </w:p>
    <w:p w:rsidRPr="00832BAF" w:rsidR="00B5581A" w:rsidP="00B5581A" w:rsidRDefault="00B5581A" w14:paraId="5C2277FA" w14:textId="77777777">
      <w:pPr>
        <w:spacing w:after="0" w:line="276" w:lineRule="auto"/>
        <w:jc w:val="both"/>
        <w:rPr>
          <w:rFonts w:ascii="Verdana" w:hAnsi="Verdana" w:eastAsia="Calibri" w:cs="Arial"/>
          <w:lang w:val="es-ES_tradnl"/>
        </w:rPr>
      </w:pPr>
      <w:r w:rsidRPr="00832BAF">
        <w:rPr>
          <w:rFonts w:ascii="Verdana" w:hAnsi="Verdana" w:eastAsia="Calibri" w:cs="Arial"/>
          <w:lang w:val="es-ES_tradnl"/>
        </w:rPr>
        <w:t xml:space="preserve">  </w:t>
      </w:r>
    </w:p>
    <w:p w:rsidRPr="00832BAF" w:rsidR="00B5581A" w:rsidP="00B5581A" w:rsidRDefault="00B5581A" w14:paraId="3161A284" w14:textId="77777777">
      <w:pPr>
        <w:spacing w:after="0" w:line="276" w:lineRule="auto"/>
        <w:jc w:val="both"/>
        <w:rPr>
          <w:rFonts w:ascii="Verdana" w:hAnsi="Verdana" w:eastAsia="Calibri" w:cs="Arial"/>
          <w:lang w:val="es-ES"/>
        </w:rPr>
      </w:pPr>
      <w:r w:rsidRPr="00832BAF">
        <w:rPr>
          <w:rFonts w:ascii="Verdana" w:hAnsi="Verdana" w:eastAsia="Calibri" w:cs="Arial"/>
          <w:lang w:val="es-ES"/>
        </w:rPr>
        <w:t>Dado que una de las condiciones para ser considerada emprendimiento y empresa de mujeres está relacionada con que la persona natural haya ejercido actividades comerciales a través de establecimiento de comercio, es indispensable referirse a qué se entiende por actividad comercial y el desarrollo de esta a través de un establecimiento de comercio.</w:t>
      </w:r>
    </w:p>
    <w:p w:rsidRPr="00832BAF" w:rsidR="00B5581A" w:rsidP="00B5581A" w:rsidRDefault="00B5581A" w14:paraId="09A45CA0" w14:textId="77777777">
      <w:pPr>
        <w:spacing w:after="0" w:line="276" w:lineRule="auto"/>
        <w:jc w:val="both"/>
        <w:rPr>
          <w:rFonts w:ascii="Verdana" w:hAnsi="Verdana" w:eastAsia="Calibri" w:cs="Arial"/>
          <w:lang w:val="es-ES"/>
        </w:rPr>
      </w:pPr>
      <w:r w:rsidRPr="00832BAF">
        <w:rPr>
          <w:rFonts w:ascii="Verdana" w:hAnsi="Verdana" w:eastAsia="Calibri" w:cs="Arial"/>
          <w:lang w:val="es-ES"/>
        </w:rPr>
        <w:t xml:space="preserve"> </w:t>
      </w:r>
    </w:p>
    <w:p w:rsidRPr="00832BAF" w:rsidR="00B5581A" w:rsidP="00B5581A" w:rsidRDefault="00B5581A" w14:paraId="01822239" w14:textId="77777777">
      <w:pPr>
        <w:spacing w:after="0" w:line="276" w:lineRule="auto"/>
        <w:jc w:val="both"/>
        <w:rPr>
          <w:rFonts w:ascii="Verdana" w:hAnsi="Verdana" w:eastAsia="Calibri" w:cs="Arial"/>
        </w:rPr>
      </w:pPr>
      <w:r w:rsidRPr="00832BAF">
        <w:rPr>
          <w:rFonts w:ascii="Verdana" w:hAnsi="Verdana" w:eastAsia="Calibri" w:cs="Arial"/>
          <w:bCs/>
          <w:lang w:val="es-ES_tradnl"/>
        </w:rPr>
        <w:t xml:space="preserve">Sobre el particular, es necesario tener en cuenta que la ley colombiana no consagra una definición de actos de comercio, sino que incorpora un listado de actos y actividades considerados como mercantiles, que incluye una gama muy variada de operaciones usuales en la vida de los negocios. En ese sentido, el artículo 20 del Código de Comercio agrupa una gran variedad de actividades bajo la categoría de “acto de comercio”, sin que dicha enumeración sea taxativa en </w:t>
      </w:r>
      <w:r w:rsidRPr="00832BAF">
        <w:rPr>
          <w:rFonts w:ascii="Verdana" w:hAnsi="Verdana" w:eastAsia="Calibri" w:cs="Arial"/>
        </w:rPr>
        <w:t>nuestro sistema jurídico. Así las cosas, no se define estáticamente el acto de comercio, permitiendo mediante la analogía realizar la ampliación dinámica del derecho mercantil facilitando su adaptación a un cambiante mundo de negocios</w:t>
      </w:r>
      <w:r w:rsidRPr="00832BAF">
        <w:rPr>
          <w:rFonts w:ascii="Verdana" w:hAnsi="Verdana" w:eastAsia="Calibri" w:cs="Arial"/>
          <w:vertAlign w:val="superscript"/>
        </w:rPr>
        <w:footnoteReference w:id="11"/>
      </w:r>
      <w:r w:rsidRPr="00832BAF">
        <w:rPr>
          <w:rFonts w:ascii="Verdana" w:hAnsi="Verdana" w:eastAsia="Calibri" w:cs="Arial"/>
        </w:rPr>
        <w:t xml:space="preserve">. Adicionalmente, la ley provee un criterio auxiliar que permite ampliar la cobertura del derecho comercial con la calificación de mercantiles de actos que en principio no lo son, pero que guardan relación estrecha con actividades de esta naturaleza. En el artículo 21 del Código de Comercio se incluyen actos no previstos en el artículo 20 que realiza el comerciante o empresario mercantil </w:t>
      </w:r>
      <w:r w:rsidRPr="00832BAF">
        <w:rPr>
          <w:rFonts w:ascii="Verdana" w:hAnsi="Verdana" w:eastAsia="Calibri" w:cs="Arial"/>
        </w:rPr>
        <w:t>en desarrollo de su actividad mercantil y que facilitan su ejercicio y que en razón a ello adquieren comercialidad</w:t>
      </w:r>
      <w:r w:rsidRPr="00832BAF">
        <w:rPr>
          <w:rFonts w:ascii="Verdana" w:hAnsi="Verdana" w:eastAsia="Calibri" w:cs="Arial"/>
          <w:vertAlign w:val="superscript"/>
        </w:rPr>
        <w:footnoteReference w:id="12"/>
      </w:r>
      <w:r w:rsidRPr="00832BAF">
        <w:rPr>
          <w:rFonts w:ascii="Verdana" w:hAnsi="Verdana" w:eastAsia="Calibri" w:cs="Arial"/>
        </w:rPr>
        <w:t>.</w:t>
      </w:r>
    </w:p>
    <w:p w:rsidRPr="00832BAF" w:rsidR="00B5581A" w:rsidP="00B5581A" w:rsidRDefault="00B5581A" w14:paraId="78678BBE" w14:textId="77777777">
      <w:pPr>
        <w:spacing w:after="0" w:line="276" w:lineRule="auto"/>
        <w:jc w:val="both"/>
        <w:rPr>
          <w:rFonts w:ascii="Verdana" w:hAnsi="Verdana" w:eastAsia="Calibri" w:cs="Arial"/>
          <w:bCs/>
          <w:lang w:val="es-ES_tradnl"/>
        </w:rPr>
      </w:pPr>
      <w:r w:rsidRPr="00832BAF">
        <w:rPr>
          <w:rFonts w:ascii="Verdana" w:hAnsi="Verdana" w:eastAsia="Calibri" w:cs="Arial"/>
        </w:rPr>
        <w:t xml:space="preserve"> </w:t>
      </w:r>
    </w:p>
    <w:p w:rsidRPr="00832BAF" w:rsidR="00B5581A" w:rsidP="00B5581A" w:rsidRDefault="00B5581A" w14:paraId="3768EA37" w14:textId="77777777">
      <w:pPr>
        <w:spacing w:after="0" w:line="276" w:lineRule="auto"/>
        <w:jc w:val="both"/>
        <w:rPr>
          <w:rFonts w:ascii="Verdana" w:hAnsi="Verdana" w:eastAsia="Calibri" w:cs="Arial"/>
          <w:bCs/>
          <w:lang w:val="es-ES_tradnl"/>
        </w:rPr>
      </w:pPr>
    </w:p>
    <w:p w:rsidRPr="00832BAF" w:rsidR="00B5581A" w:rsidP="00B5581A" w:rsidRDefault="00B5581A" w14:paraId="4EEE1E77" w14:textId="77777777">
      <w:pPr>
        <w:spacing w:after="0" w:line="276" w:lineRule="auto"/>
        <w:jc w:val="both"/>
        <w:rPr>
          <w:rFonts w:ascii="Verdana" w:hAnsi="Verdana" w:eastAsia="Calibri" w:cs="Arial"/>
          <w:bCs/>
          <w:lang w:val="es-ES_tradnl"/>
        </w:rPr>
      </w:pPr>
      <w:r w:rsidRPr="00832BAF">
        <w:rPr>
          <w:rFonts w:ascii="Verdana" w:hAnsi="Verdana" w:eastAsia="Calibri" w:cs="Arial"/>
        </w:rPr>
        <w:t xml:space="preserve">El numeral tercero del </w:t>
      </w:r>
      <w:r w:rsidRPr="00832BAF">
        <w:rPr>
          <w:rFonts w:ascii="Verdana" w:hAnsi="Verdana" w:eastAsia="Calibri" w:cs="Arial"/>
          <w:lang w:val="es-ES_tradnl"/>
        </w:rPr>
        <w:t>artículo</w:t>
      </w:r>
      <w:r w:rsidRPr="00832BAF">
        <w:rPr>
          <w:rFonts w:ascii="Verdana" w:hAnsi="Verdana" w:eastAsia="Calibri" w:cs="Arial"/>
          <w:b/>
          <w:bCs/>
          <w:lang w:val="es-ES_tradnl"/>
        </w:rPr>
        <w:t xml:space="preserve"> </w:t>
      </w:r>
      <w:r w:rsidRPr="00832BAF">
        <w:rPr>
          <w:rFonts w:ascii="Verdana" w:hAnsi="Verdana" w:eastAsia="Calibri" w:cs="Arial"/>
        </w:rPr>
        <w:t>2.2.1.2.4.2.14</w:t>
      </w:r>
      <w:r w:rsidRPr="00832BAF">
        <w:rPr>
          <w:rFonts w:ascii="Verdana" w:hAnsi="Verdana" w:eastAsia="Calibri" w:cs="Arial"/>
          <w:b/>
          <w:bCs/>
        </w:rPr>
        <w:t xml:space="preserve"> </w:t>
      </w:r>
      <w:r w:rsidRPr="00832BAF">
        <w:rPr>
          <w:rFonts w:ascii="Verdana" w:hAnsi="Verdana" w:eastAsia="Calibri" w:cs="Arial"/>
        </w:rPr>
        <w:t xml:space="preserve">del Decreto 1082 de 2015 </w:t>
      </w:r>
      <w:r w:rsidRPr="00832BAF">
        <w:rPr>
          <w:rFonts w:ascii="Verdana" w:hAnsi="Verdana" w:eastAsia="Calibri" w:cs="Arial"/>
          <w:lang w:val="es-ES_tradnl"/>
        </w:rPr>
        <w:t xml:space="preserve">–adicionado por el artículo 3 del Decreto 1860 de 2022– para definir los emprendimientos y empresas de mujeres, en el caso de las personas naturales, parte del ejercicio de una actividad comercial y, de acuerdo con el análisis normativo realizado, esta se desarrolla a través de un establecimiento de comercio, el cual debe estar matriculado en el registro mercantil.  </w:t>
      </w:r>
      <w:r w:rsidRPr="00832BAF">
        <w:rPr>
          <w:rFonts w:ascii="Verdana" w:hAnsi="Verdana" w:eastAsia="Calibri" w:cs="Arial"/>
        </w:rPr>
        <w:t xml:space="preserve">Así las cosas, </w:t>
      </w:r>
      <w:r w:rsidRPr="00832BAF">
        <w:rPr>
          <w:rFonts w:ascii="Verdana" w:hAnsi="Verdana" w:eastAsia="Calibri" w:cs="Arial"/>
          <w:bCs/>
          <w:lang w:val="es-ES_tradnl"/>
        </w:rPr>
        <w:t>es necesario que la persona natural que realiza actividades de comercio a través de un establecimiento acredite dicho registro de acuerdo con lo dispuesto por la ley comercial.</w:t>
      </w:r>
    </w:p>
    <w:p w:rsidRPr="00832BAF" w:rsidR="00B5581A" w:rsidP="00B5581A" w:rsidRDefault="00B5581A" w14:paraId="201396F2" w14:textId="77777777">
      <w:pPr>
        <w:spacing w:after="0" w:line="276" w:lineRule="auto"/>
        <w:jc w:val="both"/>
        <w:rPr>
          <w:rFonts w:ascii="Verdana" w:hAnsi="Verdana" w:eastAsia="Calibri" w:cs="Arial"/>
        </w:rPr>
      </w:pPr>
    </w:p>
    <w:p w:rsidRPr="00832BAF" w:rsidR="00B5581A" w:rsidP="00B5581A" w:rsidRDefault="00B5581A" w14:paraId="2A9281FB" w14:textId="77777777">
      <w:pPr>
        <w:spacing w:after="0" w:line="276" w:lineRule="auto"/>
        <w:jc w:val="both"/>
        <w:rPr>
          <w:rFonts w:ascii="Verdana" w:hAnsi="Verdana" w:eastAsia="Calibri" w:cs="Arial"/>
        </w:rPr>
      </w:pPr>
      <w:r w:rsidRPr="00832BAF">
        <w:rPr>
          <w:rFonts w:ascii="Verdana" w:hAnsi="Verdana" w:eastAsia="Calibri" w:cs="Arial"/>
          <w:bCs/>
        </w:rPr>
        <w:t xml:space="preserve">En este punto, es pertinente aclarar que el registro mercantil solicitado únicamente es requerido para ser acreedor de los criterios diferenciales consagrados a favor de los emprendimientos y empresas de mujeres en el artículo 32 de la Ley 2069 de 2020 y el Decreto 1860 de 2021, como acciones afirmativas para promover la participación de este segmento empresarial en el sistema de compras públicas y contratación estatal. Por tanto, deberá presentar dicho documento en caso de pretender beneficiarse de los requisitos habilitantes diferenciales u obtener el puntaje adicional. En este sentido, para efectos del </w:t>
      </w:r>
      <w:r w:rsidRPr="00832BAF">
        <w:rPr>
          <w:rFonts w:ascii="Verdana" w:hAnsi="Verdana" w:eastAsia="Calibri" w:cs="Arial"/>
          <w:bCs/>
          <w:lang w:val="es-ES_tradnl"/>
        </w:rPr>
        <w:t xml:space="preserve">artículo </w:t>
      </w:r>
      <w:r w:rsidRPr="00832BAF">
        <w:rPr>
          <w:rFonts w:ascii="Verdana" w:hAnsi="Verdana" w:eastAsia="Calibri" w:cs="Arial"/>
          <w:lang w:val="es-ES"/>
        </w:rPr>
        <w:t xml:space="preserve">2.2.1.2.4.2.14 </w:t>
      </w:r>
      <w:r w:rsidRPr="00832BAF">
        <w:rPr>
          <w:rFonts w:ascii="Verdana" w:hAnsi="Verdana" w:eastAsia="Calibri" w:cs="Arial"/>
          <w:bCs/>
        </w:rPr>
        <w:t xml:space="preserve">del Decreto 1082 de 2015, la acreditación de la condición de mujer y del ejercicio de actividades comerciales a través de establecimiento de comercio de la persona natural, solo será válida mediante la presentación de los documentos establecidos en el numeral 3 de la norma señalada, esto es, </w:t>
      </w:r>
      <w:r w:rsidRPr="00832BAF">
        <w:rPr>
          <w:rFonts w:ascii="Verdana" w:hAnsi="Verdana" w:eastAsia="Calibri" w:cs="Arial"/>
          <w:lang w:val="es-ES_tradnl"/>
        </w:rPr>
        <w:t>adjuntando copia de la cédula de ciudadanía, cédula de extranjería o pasaporte y copia del registro mercantil</w:t>
      </w:r>
      <w:r w:rsidRPr="00832BAF">
        <w:rPr>
          <w:rFonts w:ascii="Verdana" w:hAnsi="Verdana" w:eastAsia="Calibri" w:cs="Arial"/>
        </w:rPr>
        <w:t>.</w:t>
      </w:r>
    </w:p>
    <w:p w:rsidRPr="00832BAF" w:rsidR="00B5581A" w:rsidP="00B5581A" w:rsidRDefault="00B5581A" w14:paraId="51913946" w14:textId="77777777">
      <w:pPr>
        <w:spacing w:after="0" w:line="276" w:lineRule="auto"/>
        <w:jc w:val="both"/>
        <w:rPr>
          <w:rFonts w:ascii="Verdana" w:hAnsi="Verdana" w:eastAsia="Calibri" w:cs="Arial"/>
          <w:bCs/>
        </w:rPr>
      </w:pPr>
      <w:r w:rsidRPr="00832BAF">
        <w:rPr>
          <w:rFonts w:ascii="Verdana" w:hAnsi="Verdana" w:eastAsia="Calibri" w:cs="Arial"/>
        </w:rPr>
        <w:t xml:space="preserve"> </w:t>
      </w:r>
    </w:p>
    <w:p w:rsidRPr="00832BAF" w:rsidR="00B5581A" w:rsidP="00B5581A" w:rsidRDefault="00B5581A" w14:paraId="4B4F0A05" w14:textId="77777777">
      <w:pPr>
        <w:spacing w:after="0" w:line="276" w:lineRule="auto"/>
        <w:jc w:val="both"/>
        <w:rPr>
          <w:rFonts w:ascii="Verdana" w:hAnsi="Verdana" w:eastAsia="Calibri" w:cs="Arial"/>
          <w:bCs/>
          <w:lang w:val="es-ES_tradnl"/>
        </w:rPr>
      </w:pPr>
      <w:r w:rsidRPr="00832BAF">
        <w:rPr>
          <w:rFonts w:ascii="Verdana" w:hAnsi="Verdana" w:eastAsia="Calibri" w:cs="Arial"/>
          <w:bCs/>
          <w:lang w:val="es-ES_tradnl"/>
        </w:rPr>
        <w:t xml:space="preserve">Debe agregarse a las consideraciones sobre la regulación de los criterios diferenciales a favor de las empresas y los emprendimientos de mujeres que el cuarto inciso del artículo 2.2.1.2.4.2.15 del Decreto 1082 de 2015, adicionado por el artículo 3 del Decreto 1860 de 2021, establece que “Las Entidades incluirán estos requisitos diferenciales y puntajes adicionales de acuerdo con los resultados del análisis del sector, desde la perspectiva del estudio de la oferta de las obras, bienes o servicios que requiere, sin perjuicio de los compromisos </w:t>
      </w:r>
      <w:r w:rsidRPr="00832BAF">
        <w:rPr>
          <w:rFonts w:ascii="Verdana" w:hAnsi="Verdana" w:eastAsia="Calibri" w:cs="Arial"/>
          <w:bCs/>
          <w:lang w:val="es-ES_tradnl"/>
        </w:rPr>
        <w:t>adquiridos por Colombia en los Acuerdos Comerciales vigentes”. Por tanto, es recomendable considerar las distintas variables en los estudios del sector, para poder determinar los requisitos diferenciales y los puntajes adicionales, sin desconocer que la realización del análisis de oportunidad y conveniencia es una actividad a cargo de las entidades estatales y que la Agencia Nacional de Contratación Pública, como órgano rector del Sistema de Compras y Contratación Pública, solo brinda algunas pautas al respecto.</w:t>
      </w:r>
    </w:p>
    <w:p w:rsidRPr="00CB71E4" w:rsidR="00B5581A" w:rsidP="00B5581A" w:rsidRDefault="00B5581A" w14:paraId="3240489F" w14:textId="77777777">
      <w:pPr>
        <w:spacing w:after="0" w:line="276" w:lineRule="auto"/>
        <w:jc w:val="both"/>
        <w:rPr>
          <w:rFonts w:ascii="Verdana" w:hAnsi="Verdana" w:eastAsia="Century Gothic" w:cs="Century Gothic"/>
          <w:bCs/>
          <w:lang w:val="es-ES"/>
        </w:rPr>
      </w:pPr>
    </w:p>
    <w:p w:rsidRPr="009322DA" w:rsidR="00B5581A" w:rsidP="00B5581A" w:rsidRDefault="00B5581A" w14:paraId="672EB754" w14:textId="77777777">
      <w:pPr>
        <w:jc w:val="both"/>
        <w:rPr>
          <w:rFonts w:ascii="Verdana" w:hAnsi="Verdana" w:eastAsia="Calibri" w:cs="Arial"/>
          <w:b/>
          <w:bCs/>
        </w:rPr>
      </w:pPr>
      <w:r w:rsidRPr="009322DA">
        <w:rPr>
          <w:rFonts w:ascii="Verdana" w:hAnsi="Verdana" w:eastAsia="Calibri" w:cs="Arial"/>
          <w:b/>
          <w:bCs/>
        </w:rPr>
        <w:t>4. Referencias</w:t>
      </w:r>
      <w:r>
        <w:rPr>
          <w:rFonts w:ascii="Verdana" w:hAnsi="Verdana" w:eastAsia="Calibri" w:cs="Arial"/>
          <w:b/>
          <w:bCs/>
        </w:rPr>
        <w:t xml:space="preserve"> </w:t>
      </w:r>
      <w:r w:rsidRPr="009322DA">
        <w:rPr>
          <w:rFonts w:ascii="Verdana" w:hAnsi="Verdana" w:eastAsia="Calibri" w:cs="Arial"/>
          <w:b/>
          <w:bCs/>
        </w:rPr>
        <w:t>normativas, jurisprudenciales y otras fuentes:</w:t>
      </w:r>
    </w:p>
    <w:tbl>
      <w:tblPr>
        <w:tblStyle w:val="Tablaconcuadrcula1"/>
        <w:tblW w:w="8640" w:type="dxa"/>
        <w:tblInd w:w="137"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0"/>
      </w:tblGrid>
      <w:tr w:rsidRPr="009322DA" w:rsidR="00B5581A" w:rsidTr="00EA26C3" w14:paraId="4A67CC67" w14:textId="77777777">
        <w:trPr>
          <w:trHeight w:val="1068"/>
        </w:trPr>
        <w:tc>
          <w:tcPr>
            <w:tcW w:w="8647" w:type="dxa"/>
            <w:tcBorders>
              <w:top w:val="dotted" w:color="auto" w:sz="4" w:space="0"/>
              <w:left w:val="dotted" w:color="auto" w:sz="4" w:space="0"/>
              <w:bottom w:val="dotted" w:color="auto" w:sz="4" w:space="0"/>
              <w:right w:val="dotted" w:color="auto" w:sz="4" w:space="0"/>
            </w:tcBorders>
          </w:tcPr>
          <w:p w:rsidR="00B5581A" w:rsidP="00B5581A" w:rsidRDefault="00B5581A" w14:paraId="063BFADE" w14:textId="77777777">
            <w:pPr>
              <w:pStyle w:val="Prrafodelista"/>
              <w:numPr>
                <w:ilvl w:val="0"/>
                <w:numId w:val="18"/>
              </w:numPr>
              <w:tabs>
                <w:tab w:val="left" w:pos="142"/>
                <w:tab w:val="left" w:pos="284"/>
              </w:tabs>
              <w:jc w:val="both"/>
              <w:rPr>
                <w:rFonts w:ascii="Verdana" w:hAnsi="Verdana" w:eastAsia="Century Gothic" w:cs="Century Gothic"/>
                <w:bCs/>
                <w:lang w:val="es-ES_tradnl"/>
              </w:rPr>
            </w:pPr>
            <w:r>
              <w:rPr>
                <w:rFonts w:ascii="Verdana" w:hAnsi="Verdana" w:eastAsia="Century Gothic" w:cs="Century Gothic"/>
                <w:bCs/>
                <w:lang w:val="es-ES_tradnl"/>
              </w:rPr>
              <w:t>Ley 2069 de 2020; artículos 1, 32, 84.</w:t>
            </w:r>
          </w:p>
          <w:p w:rsidR="00B5581A" w:rsidP="00B5581A" w:rsidRDefault="00B5581A" w14:paraId="4613D8F6" w14:textId="77777777">
            <w:pPr>
              <w:pStyle w:val="Prrafodelista"/>
              <w:numPr>
                <w:ilvl w:val="0"/>
                <w:numId w:val="18"/>
              </w:numPr>
              <w:tabs>
                <w:tab w:val="left" w:pos="142"/>
                <w:tab w:val="left" w:pos="284"/>
              </w:tabs>
              <w:jc w:val="both"/>
              <w:rPr>
                <w:rFonts w:ascii="Verdana" w:hAnsi="Verdana" w:eastAsia="Century Gothic" w:cs="Century Gothic"/>
                <w:bCs/>
                <w:lang w:val="es-ES_tradnl"/>
              </w:rPr>
            </w:pPr>
            <w:r>
              <w:rPr>
                <w:rFonts w:ascii="Verdana" w:hAnsi="Verdana" w:eastAsia="Century Gothic" w:cs="Century Gothic"/>
                <w:bCs/>
                <w:lang w:val="es-ES_tradnl"/>
              </w:rPr>
              <w:t>Ley 1150 de 2007, artículo 2.</w:t>
            </w:r>
          </w:p>
          <w:p w:rsidR="00B5581A" w:rsidP="00B5581A" w:rsidRDefault="00B5581A" w14:paraId="027725B2" w14:textId="77777777">
            <w:pPr>
              <w:pStyle w:val="Prrafodelista"/>
              <w:numPr>
                <w:ilvl w:val="0"/>
                <w:numId w:val="18"/>
              </w:numPr>
              <w:tabs>
                <w:tab w:val="left" w:pos="142"/>
                <w:tab w:val="left" w:pos="284"/>
              </w:tabs>
              <w:jc w:val="both"/>
              <w:rPr>
                <w:rFonts w:ascii="Verdana" w:hAnsi="Verdana" w:eastAsia="Century Gothic" w:cs="Century Gothic"/>
                <w:bCs/>
                <w:lang w:val="es-ES_tradnl"/>
              </w:rPr>
            </w:pPr>
            <w:r>
              <w:rPr>
                <w:rFonts w:ascii="Verdana" w:hAnsi="Verdana" w:eastAsia="Century Gothic" w:cs="Century Gothic"/>
                <w:bCs/>
                <w:lang w:val="es-ES_tradnl"/>
              </w:rPr>
              <w:t>Decreto 1860 de 2011, artículos 1, 3 y 8.</w:t>
            </w:r>
          </w:p>
          <w:p w:rsidR="00B5581A" w:rsidP="00B5581A" w:rsidRDefault="00B5581A" w14:paraId="2FEDC65A" w14:textId="77777777">
            <w:pPr>
              <w:pStyle w:val="Prrafodelista"/>
              <w:numPr>
                <w:ilvl w:val="0"/>
                <w:numId w:val="18"/>
              </w:numPr>
              <w:tabs>
                <w:tab w:val="left" w:pos="142"/>
                <w:tab w:val="left" w:pos="284"/>
              </w:tabs>
              <w:jc w:val="both"/>
              <w:rPr>
                <w:rFonts w:ascii="Verdana" w:hAnsi="Verdana" w:eastAsia="Century Gothic" w:cs="Century Gothic"/>
                <w:bCs/>
                <w:lang w:val="es-ES_tradnl"/>
              </w:rPr>
            </w:pPr>
            <w:r>
              <w:rPr>
                <w:rFonts w:ascii="Verdana" w:hAnsi="Verdana" w:eastAsia="Century Gothic" w:cs="Century Gothic"/>
                <w:bCs/>
                <w:lang w:val="es-ES_tradnl"/>
              </w:rPr>
              <w:t>Decreto 1082 de 2015; artículos 2.2.1.2.4.2.17 numerales 2 y 7, 2.2.1.2.4.2.14 numeral 3, 2.2.1.2.4.2.15.</w:t>
            </w:r>
          </w:p>
          <w:p w:rsidR="00B5581A" w:rsidP="00B5581A" w:rsidRDefault="00B5581A" w14:paraId="4FDF3660" w14:textId="77777777">
            <w:pPr>
              <w:pStyle w:val="Prrafodelista"/>
              <w:numPr>
                <w:ilvl w:val="0"/>
                <w:numId w:val="18"/>
              </w:numPr>
              <w:tabs>
                <w:tab w:val="left" w:pos="142"/>
                <w:tab w:val="left" w:pos="284"/>
              </w:tabs>
              <w:jc w:val="both"/>
              <w:rPr>
                <w:rFonts w:ascii="Verdana" w:hAnsi="Verdana" w:eastAsia="Century Gothic" w:cs="Century Gothic"/>
                <w:bCs/>
                <w:lang w:val="es-ES_tradnl"/>
              </w:rPr>
            </w:pPr>
            <w:r>
              <w:rPr>
                <w:rFonts w:ascii="Verdana" w:hAnsi="Verdana" w:eastAsia="Century Gothic" w:cs="Century Gothic"/>
                <w:bCs/>
                <w:lang w:val="es-ES_tradnl"/>
              </w:rPr>
              <w:t>Código de comercio; artículos 20, 21 y 25</w:t>
            </w:r>
          </w:p>
          <w:p w:rsidRPr="0079578D" w:rsidR="00B5581A" w:rsidP="00B5581A" w:rsidRDefault="00B5581A" w14:paraId="4135DCE3" w14:textId="77777777">
            <w:pPr>
              <w:pStyle w:val="Prrafodelista"/>
              <w:numPr>
                <w:ilvl w:val="0"/>
                <w:numId w:val="18"/>
              </w:numPr>
              <w:tabs>
                <w:tab w:val="left" w:pos="142"/>
                <w:tab w:val="left" w:pos="284"/>
              </w:tabs>
              <w:jc w:val="both"/>
              <w:rPr>
                <w:rFonts w:ascii="Verdana" w:hAnsi="Verdana" w:eastAsia="Century Gothic" w:cs="Century Gothic"/>
                <w:bCs/>
                <w:lang w:val="es-ES_tradnl"/>
              </w:rPr>
            </w:pPr>
            <w:r w:rsidRPr="0079578D">
              <w:rPr>
                <w:rFonts w:ascii="Verdana" w:hAnsi="Verdana" w:eastAsia="Century Gothic" w:cs="Century Gothic"/>
                <w:bCs/>
                <w:lang w:val="es-ES_tradnl"/>
              </w:rPr>
              <w:t xml:space="preserve">CASTRO DE CIFUENTES, Marcela. Derecho Comercial. Actos de comercio, empresas comerciantes y empresarios. Universidad de los Andes. 2016. </w:t>
            </w:r>
            <w:r w:rsidRPr="0079578D">
              <w:rPr>
                <w:rFonts w:ascii="Verdana" w:hAnsi="Verdana" w:eastAsia="Century Gothic" w:cs="Century Gothic"/>
                <w:bCs/>
                <w:lang w:val="es-CO"/>
              </w:rPr>
              <w:t>Página</w:t>
            </w:r>
            <w:r>
              <w:rPr>
                <w:rFonts w:ascii="Verdana" w:hAnsi="Verdana" w:eastAsia="Century Gothic" w:cs="Century Gothic"/>
                <w:bCs/>
                <w:lang w:val="es-CO"/>
              </w:rPr>
              <w:t>s</w:t>
            </w:r>
            <w:r w:rsidRPr="0079578D">
              <w:rPr>
                <w:rFonts w:ascii="Verdana" w:hAnsi="Verdana" w:eastAsia="Century Gothic" w:cs="Century Gothic"/>
                <w:bCs/>
                <w:lang w:val="es-CO"/>
              </w:rPr>
              <w:t xml:space="preserve"> 18</w:t>
            </w:r>
            <w:r>
              <w:rPr>
                <w:rFonts w:ascii="Verdana" w:hAnsi="Verdana" w:eastAsia="Century Gothic" w:cs="Century Gothic"/>
                <w:bCs/>
                <w:lang w:val="es-CO"/>
              </w:rPr>
              <w:t xml:space="preserve"> y 109</w:t>
            </w:r>
            <w:r w:rsidRPr="0079578D">
              <w:rPr>
                <w:rFonts w:ascii="Verdana" w:hAnsi="Verdana" w:eastAsia="Century Gothic" w:cs="Century Gothic"/>
                <w:bCs/>
                <w:lang w:val="es-CO"/>
              </w:rPr>
              <w:t>.</w:t>
            </w:r>
          </w:p>
        </w:tc>
      </w:tr>
    </w:tbl>
    <w:p w:rsidRPr="009322DA" w:rsidR="00B5581A" w:rsidP="00B5581A" w:rsidRDefault="00B5581A" w14:paraId="0B196064" w14:textId="77777777">
      <w:pPr>
        <w:tabs>
          <w:tab w:val="left" w:pos="142"/>
          <w:tab w:val="left" w:pos="284"/>
        </w:tabs>
        <w:spacing w:after="0" w:line="276" w:lineRule="auto"/>
        <w:jc w:val="both"/>
        <w:rPr>
          <w:rFonts w:ascii="Verdana" w:hAnsi="Verdana" w:eastAsia="Calibri" w:cs="Arial"/>
        </w:rPr>
      </w:pPr>
    </w:p>
    <w:p w:rsidR="00B5581A" w:rsidP="00B5581A" w:rsidRDefault="00B5581A" w14:paraId="67938F0D" w14:textId="77777777">
      <w:pPr>
        <w:tabs>
          <w:tab w:val="left" w:pos="142"/>
          <w:tab w:val="left" w:pos="284"/>
        </w:tabs>
        <w:spacing w:after="0" w:line="276" w:lineRule="auto"/>
        <w:jc w:val="both"/>
        <w:rPr>
          <w:rFonts w:ascii="Verdana" w:hAnsi="Verdana" w:eastAsia="Century Gothic" w:cs="Century Gothic"/>
          <w:b/>
          <w:bCs/>
          <w:lang w:val="es-ES"/>
        </w:rPr>
      </w:pPr>
      <w:r w:rsidRPr="00196A7A">
        <w:rPr>
          <w:rFonts w:ascii="Verdana" w:hAnsi="Verdana" w:eastAsia="Calibri" w:cs="Arial"/>
          <w:b/>
          <w:bCs/>
        </w:rPr>
        <w:t>5.</w:t>
      </w:r>
      <w:r>
        <w:rPr>
          <w:rFonts w:ascii="Verdana" w:hAnsi="Verdana" w:eastAsia="Calibri" w:cs="Arial"/>
          <w:b/>
          <w:bCs/>
        </w:rPr>
        <w:t xml:space="preserve"> </w:t>
      </w:r>
      <w:r w:rsidRPr="00196A7A">
        <w:rPr>
          <w:rFonts w:ascii="Verdana" w:hAnsi="Verdana" w:eastAsia="Century Gothic" w:cs="Century Gothic"/>
          <w:b/>
          <w:bCs/>
          <w:lang w:val="es-ES"/>
        </w:rPr>
        <w:t>Doctrina</w:t>
      </w:r>
      <w:r w:rsidRPr="009322DA">
        <w:rPr>
          <w:rFonts w:ascii="Verdana" w:hAnsi="Verdana" w:eastAsia="Century Gothic" w:cs="Century Gothic"/>
          <w:b/>
          <w:bCs/>
          <w:lang w:val="es-ES"/>
        </w:rPr>
        <w:t xml:space="preserve"> de la Agencia Nacional de Contratación Pública:</w:t>
      </w:r>
    </w:p>
    <w:p w:rsidRPr="009322DA" w:rsidR="00B5581A" w:rsidP="00B5581A" w:rsidRDefault="00B5581A" w14:paraId="22E3E4CE" w14:textId="77777777">
      <w:pPr>
        <w:tabs>
          <w:tab w:val="left" w:pos="142"/>
          <w:tab w:val="left" w:pos="284"/>
        </w:tabs>
        <w:spacing w:after="0" w:line="276" w:lineRule="auto"/>
        <w:jc w:val="both"/>
        <w:rPr>
          <w:rFonts w:ascii="Verdana" w:hAnsi="Verdana" w:eastAsia="Century Gothic" w:cs="Century Gothic"/>
          <w:b/>
          <w:bCs/>
          <w:lang w:val="es-ES"/>
        </w:rPr>
      </w:pPr>
    </w:p>
    <w:p w:rsidR="00B5581A" w:rsidP="00B5581A" w:rsidRDefault="00B5581A" w14:paraId="1BCD68B6" w14:textId="77777777">
      <w:pPr>
        <w:spacing w:after="0" w:line="276" w:lineRule="auto"/>
        <w:jc w:val="both"/>
        <w:rPr>
          <w:rFonts w:ascii="Verdana" w:hAnsi="Verdana" w:eastAsia="Calibri" w:cs="Arial"/>
          <w:color w:val="000000" w:themeColor="text1"/>
          <w:shd w:val="clear" w:color="auto" w:fill="FFFFFF"/>
        </w:rPr>
      </w:pPr>
      <w:r w:rsidRPr="00CB71E4">
        <w:rPr>
          <w:rFonts w:ascii="Verdana" w:hAnsi="Verdana" w:eastAsia="Calibri" w:cs="Arial"/>
          <w:lang w:val="es-ES_tradnl" w:eastAsia="es-ES_tradnl"/>
        </w:rPr>
        <w:t>L</w:t>
      </w:r>
      <w:r w:rsidRPr="00CB71E4">
        <w:rPr>
          <w:rFonts w:ascii="Verdana" w:hAnsi="Verdana" w:eastAsia="Times New Roman" w:cs="Arial"/>
          <w:lang w:val="es-ES_tradnl" w:eastAsia="es-ES_tradnl"/>
        </w:rPr>
        <w:t>a Agencia Nacional de Contratación Pública ― Colombia Compra Eficiente</w:t>
      </w:r>
      <w:r>
        <w:rPr>
          <w:rFonts w:ascii="Verdana" w:hAnsi="Verdana" w:eastAsia="Times New Roman" w:cs="Arial"/>
          <w:lang w:val="es-ES_tradnl" w:eastAsia="es-ES_tradnl"/>
        </w:rPr>
        <w:t xml:space="preserve"> </w:t>
      </w:r>
      <w:r w:rsidRPr="00BB658A">
        <w:rPr>
          <w:rFonts w:ascii="Verdana" w:hAnsi="Verdana" w:eastAsia="Times New Roman" w:cs="Arial"/>
          <w:lang w:val="es-ES" w:eastAsia="es-ES_tradnl"/>
        </w:rPr>
        <w:t>se ha pronunciado, en términos generales, sobre el contenido de la Ley de Emprendimiento en diferentes conceptos , refiriéndose, especialmente, a lo dispuesto en el artículo 32 de dicha ley, alusivo a los criterios diferenciales para emprendimientos y empresas de mujeres, en los conceptos C-029 de 21 de febrero de 2021, C-037 del 26 de febrero de 2021, C-141 del 8 de abril de 2021, C-114 del 13 de abril de 2015, C-031 del 1 de marzo de 2022, C-476 del 21 de junio de 2022, C-429 del 18 de julio de 2022, C-438 del 11 de julio de 2022, C-454 del 13 de julio de 2022, C-476 del 21 de junio de 2022, C-479 del 26 de julio de 2022, C-504 del 8 de agosto de 2022, C-522 del 16 de agosto de 2022, C-533 de 25 de agosto de 2022, C-587 del 21 de septiembre de 2022, C-715 del 4 de noviembre de 2022</w:t>
      </w:r>
      <w:r>
        <w:rPr>
          <w:rFonts w:ascii="Verdana" w:hAnsi="Verdana" w:eastAsia="Times New Roman" w:cs="Arial"/>
          <w:lang w:val="es-ES" w:eastAsia="es-ES_tradnl"/>
        </w:rPr>
        <w:t xml:space="preserve"> y</w:t>
      </w:r>
      <w:r w:rsidRPr="00BB658A">
        <w:rPr>
          <w:rFonts w:ascii="Verdana" w:hAnsi="Verdana" w:eastAsia="Times New Roman" w:cs="Arial"/>
          <w:lang w:val="es-ES" w:eastAsia="es-ES_tradnl"/>
        </w:rPr>
        <w:t xml:space="preserve"> C-048 del 12 de abril de 2023</w:t>
      </w:r>
      <w:r>
        <w:rPr>
          <w:rFonts w:ascii="Verdana" w:hAnsi="Verdana" w:eastAsia="Calibri" w:cs="Arial"/>
          <w:lang w:val="es-ES"/>
        </w:rPr>
        <w:t>,</w:t>
      </w:r>
      <w:r w:rsidRPr="00CB71E4">
        <w:rPr>
          <w:rFonts w:ascii="Verdana" w:hAnsi="Verdana" w:eastAsia="Calibri" w:cs="Arial"/>
          <w:lang w:val="es-ES"/>
        </w:rPr>
        <w:t xml:space="preserve"> </w:t>
      </w:r>
      <w:r w:rsidRPr="00CB71E4">
        <w:rPr>
          <w:rFonts w:ascii="Verdana" w:hAnsi="Verdana" w:eastAsia="Times New Roman" w:cs="Arial"/>
          <w:lang w:val="es-ES_tradnl" w:eastAsia="es-ES_tradnl"/>
        </w:rPr>
        <w:t>entre otros</w:t>
      </w:r>
      <w:r w:rsidRPr="00EA761C">
        <w:rPr>
          <w:rStyle w:val="normaltextrun"/>
          <w:rFonts w:ascii="Verdana" w:hAnsi="Verdana" w:cs="Arial"/>
          <w:shd w:val="clear" w:color="auto" w:fill="FFFFFF"/>
          <w:lang w:val="es-ES"/>
        </w:rPr>
        <w:t xml:space="preserve">. </w:t>
      </w:r>
      <w:r w:rsidRPr="008328CE">
        <w:rPr>
          <w:rFonts w:ascii="Verdana" w:hAnsi="Verdana" w:eastAsia="Calibri"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w:tgtFrame="_blank" w:tooltip="Dirección URL original: https://relatoria.colombiacompra.gov.co/. Haga clic o pulse si confía en este vínculo." w:history="1" r:id="rId12">
        <w:r w:rsidRPr="008328CE">
          <w:rPr>
            <w:rStyle w:val="Hipervnculo"/>
            <w:rFonts w:ascii="Verdana" w:hAnsi="Verdana" w:eastAsia="Calibri" w:cs="Arial"/>
            <w:color w:val="000000" w:themeColor="text1"/>
            <w:shd w:val="clear" w:color="auto" w:fill="FFFFFF"/>
          </w:rPr>
          <w:t>https://relatoria.colombiacompra.gov.co/</w:t>
        </w:r>
      </w:hyperlink>
      <w:r>
        <w:rPr>
          <w:rFonts w:ascii="Verdana" w:hAnsi="Verdana" w:eastAsia="Calibri" w:cs="Arial"/>
          <w:color w:val="000000" w:themeColor="text1"/>
          <w:shd w:val="clear" w:color="auto" w:fill="FFFFFF"/>
        </w:rPr>
        <w:t>.</w:t>
      </w:r>
      <w:r w:rsidRPr="008328CE">
        <w:rPr>
          <w:rFonts w:ascii="Verdana" w:hAnsi="Verdana" w:eastAsia="Calibri" w:cs="Arial"/>
          <w:color w:val="000000" w:themeColor="text1"/>
          <w:shd w:val="clear" w:color="auto" w:fill="FFFFFF"/>
        </w:rPr>
        <w:t xml:space="preserve"> </w:t>
      </w:r>
    </w:p>
    <w:p w:rsidRPr="00832BAF" w:rsidR="00B5581A" w:rsidP="00B5581A" w:rsidRDefault="00B5581A" w14:paraId="3236D899" w14:textId="77777777">
      <w:pPr>
        <w:spacing w:after="0" w:line="276" w:lineRule="auto"/>
        <w:jc w:val="both"/>
        <w:rPr>
          <w:rFonts w:ascii="Verdana" w:hAnsi="Verdana" w:cs="Arial"/>
          <w:shd w:val="clear" w:color="auto" w:fill="FFFFFF"/>
          <w:lang w:val="es-ES"/>
        </w:rPr>
      </w:pPr>
      <w:r w:rsidRPr="007066A9">
        <w:rPr>
          <w:rFonts w:ascii="Verdana" w:hAnsi="Verdana" w:eastAsia="Calibri" w:cs="Arial"/>
          <w:color w:val="000000" w:themeColor="text1"/>
          <w:shd w:val="clear" w:color="auto" w:fill="FFFFFF"/>
        </w:rPr>
        <w:t xml:space="preserve">Te invitamos a revisar la cuarta edición del Boletín de Relatoría de </w:t>
      </w:r>
      <w:proofErr w:type="gramStart"/>
      <w:r w:rsidRPr="007066A9">
        <w:rPr>
          <w:rFonts w:ascii="Verdana" w:hAnsi="Verdana" w:eastAsia="Calibri" w:cs="Arial"/>
          <w:color w:val="000000" w:themeColor="text1"/>
          <w:shd w:val="clear" w:color="auto" w:fill="FFFFFF"/>
        </w:rPr>
        <w:t>2024,  en</w:t>
      </w:r>
      <w:proofErr w:type="gramEnd"/>
      <w:r w:rsidRPr="007066A9">
        <w:rPr>
          <w:rFonts w:ascii="Verdana" w:hAnsi="Verdana" w:eastAsia="Calibri" w:cs="Arial"/>
          <w:color w:val="000000" w:themeColor="text1"/>
          <w:shd w:val="clear" w:color="auto" w:fill="FFFFFF"/>
        </w:rPr>
        <w:t xml:space="preserve">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 </w:t>
      </w:r>
      <w:hyperlink w:tgtFrame="_blank" w:tooltip="Dirección URL original: https://www.colombiacompra.gov.co/sala-de-prensa/boletin-digital/boletin-de-relatoria-2024-iv. Haga clic o pulse si confía en este vínculo." w:history="1" r:id="rId13">
        <w:r w:rsidRPr="007066A9">
          <w:rPr>
            <w:rStyle w:val="Hipervnculo"/>
            <w:rFonts w:ascii="Verdana" w:hAnsi="Verdana" w:eastAsia="Calibri" w:cs="Arial"/>
            <w:shd w:val="clear" w:color="auto" w:fill="FFFFFF"/>
          </w:rPr>
          <w:t>BOLETÍN DE RELATORÍA 2024 – IV | Colombia Compra Eficiente | Agencia Nacional de Contratación Pública</w:t>
        </w:r>
      </w:hyperlink>
      <w:r>
        <w:rPr>
          <w:rFonts w:ascii="Verdana" w:hAnsi="Verdana" w:eastAsia="Calibri" w:cs="Arial"/>
          <w:color w:val="000000" w:themeColor="text1"/>
          <w:shd w:val="clear" w:color="auto" w:fill="FFFFFF"/>
        </w:rPr>
        <w:t>.</w:t>
      </w:r>
    </w:p>
    <w:p w:rsidRPr="009322DA" w:rsidR="00B5581A" w:rsidP="00B5581A" w:rsidRDefault="00B5581A" w14:paraId="7D202E2F" w14:textId="77777777">
      <w:pPr>
        <w:spacing w:after="0" w:line="276" w:lineRule="auto"/>
        <w:jc w:val="both"/>
        <w:rPr>
          <w:rFonts w:ascii="Verdana" w:hAnsi="Verdana" w:eastAsia="Calibri" w:cs="Arial"/>
          <w:color w:val="FF0000"/>
          <w:shd w:val="clear" w:color="auto" w:fill="FFFFFF"/>
        </w:rPr>
      </w:pPr>
    </w:p>
    <w:p w:rsidRPr="009322DA" w:rsidR="00B5581A" w:rsidP="00B5581A" w:rsidRDefault="00B5581A" w14:paraId="5698C1A6" w14:textId="77777777">
      <w:pPr>
        <w:spacing w:after="0" w:line="240" w:lineRule="auto"/>
        <w:jc w:val="both"/>
        <w:rPr>
          <w:rFonts w:ascii="Calibri" w:hAnsi="Calibri" w:eastAsia="Calibri" w:cs="Times New Roman"/>
        </w:rPr>
      </w:pPr>
      <w:r w:rsidRPr="0044528D">
        <w:rPr>
          <w:rFonts w:ascii="Verdana" w:hAnsi="Verdana"/>
        </w:rPr>
        <w:t xml:space="preserve">Por último, lo invitamos a seguirnos en las redes sociales en las cuales se difunde información institucional: </w:t>
      </w:r>
    </w:p>
    <w:p w:rsidRPr="0044528D" w:rsidR="00B5581A" w:rsidP="00B5581A" w:rsidRDefault="00B5581A" w14:paraId="3D49F1D2" w14:textId="77777777">
      <w:pPr>
        <w:spacing w:after="0" w:line="240" w:lineRule="auto"/>
        <w:jc w:val="both"/>
        <w:rPr>
          <w:rFonts w:ascii="Verdana" w:hAnsi="Verdana"/>
        </w:rPr>
      </w:pPr>
    </w:p>
    <w:p w:rsidRPr="0044528D" w:rsidR="00B5581A" w:rsidP="00B5581A" w:rsidRDefault="00B5581A" w14:paraId="58CECA12" w14:textId="77777777">
      <w:pPr>
        <w:spacing w:after="0" w:line="240" w:lineRule="auto"/>
        <w:jc w:val="both"/>
        <w:rPr>
          <w:rFonts w:ascii="Verdana" w:hAnsi="Verdana"/>
        </w:rPr>
      </w:pPr>
      <w:r w:rsidRPr="0044528D">
        <w:rPr>
          <w:rFonts w:ascii="Verdana" w:hAnsi="Verdana"/>
        </w:rPr>
        <w:t xml:space="preserve">Twitter: </w:t>
      </w:r>
      <w:r w:rsidRPr="009322DA">
        <w:rPr>
          <w:rFonts w:ascii="Verdana" w:hAnsi="Verdana" w:eastAsia="Calibri" w:cs="Times New Roman"/>
          <w:color w:val="4472C4" w:themeColor="accent1"/>
          <w:u w:val="single"/>
        </w:rPr>
        <w:t>@colombiacompra</w:t>
      </w:r>
      <w:r w:rsidRPr="009322DA">
        <w:rPr>
          <w:rFonts w:ascii="Verdana" w:hAnsi="Verdana" w:eastAsia="Calibri" w:cs="Times New Roman"/>
          <w:color w:val="4472C4" w:themeColor="accent1"/>
        </w:rPr>
        <w:t xml:space="preserve"> </w:t>
      </w:r>
    </w:p>
    <w:p w:rsidRPr="0044528D" w:rsidR="00B5581A" w:rsidP="00B5581A" w:rsidRDefault="00B5581A" w14:paraId="102B0B01" w14:textId="77777777">
      <w:pPr>
        <w:spacing w:after="0" w:line="240" w:lineRule="auto"/>
        <w:jc w:val="both"/>
        <w:rPr>
          <w:rFonts w:ascii="Verdana" w:hAnsi="Verdana"/>
        </w:rPr>
      </w:pPr>
      <w:r w:rsidRPr="0044528D">
        <w:rPr>
          <w:rFonts w:ascii="Verdana" w:hAnsi="Verdana"/>
        </w:rPr>
        <w:t xml:space="preserve">Facebook: </w:t>
      </w:r>
      <w:proofErr w:type="spellStart"/>
      <w:r w:rsidRPr="009322DA">
        <w:rPr>
          <w:rFonts w:ascii="Verdana" w:hAnsi="Verdana" w:eastAsia="Calibri" w:cs="Times New Roman"/>
          <w:color w:val="4472C4" w:themeColor="accent1"/>
          <w:u w:val="single"/>
        </w:rPr>
        <w:t>ColombiaCompraEficiente</w:t>
      </w:r>
      <w:proofErr w:type="spellEnd"/>
    </w:p>
    <w:p w:rsidRPr="0044528D" w:rsidR="00B5581A" w:rsidP="00B5581A" w:rsidRDefault="00B5581A" w14:paraId="5E51DF82" w14:textId="77777777">
      <w:pPr>
        <w:spacing w:after="0" w:line="240" w:lineRule="auto"/>
        <w:jc w:val="both"/>
        <w:rPr>
          <w:rFonts w:ascii="Verdana" w:hAnsi="Verdana"/>
        </w:rPr>
      </w:pPr>
      <w:r w:rsidRPr="0044528D">
        <w:rPr>
          <w:rFonts w:ascii="Verdana" w:hAnsi="Verdana"/>
        </w:rPr>
        <w:t xml:space="preserve">LinkedIn: </w:t>
      </w:r>
      <w:r w:rsidRPr="009322DA">
        <w:rPr>
          <w:rFonts w:ascii="Verdana" w:hAnsi="Verdana" w:eastAsia="Calibri" w:cs="Times New Roman"/>
          <w:color w:val="4472C4" w:themeColor="accent1"/>
          <w:u w:val="single"/>
        </w:rPr>
        <w:t>Agencia Nacional de Contratación Pública - Colombia Compra Eficiente</w:t>
      </w:r>
      <w:r w:rsidRPr="009322DA">
        <w:rPr>
          <w:rFonts w:ascii="Verdana" w:hAnsi="Verdana" w:eastAsia="Calibri" w:cs="Times New Roman"/>
          <w:color w:val="4472C4" w:themeColor="accent1"/>
        </w:rPr>
        <w:t xml:space="preserve"> </w:t>
      </w:r>
      <w:r w:rsidRPr="0044528D">
        <w:rPr>
          <w:rFonts w:ascii="Verdana" w:hAnsi="Verdana"/>
        </w:rPr>
        <w:t xml:space="preserve">Instagram: </w:t>
      </w:r>
      <w:r w:rsidRPr="009322DA">
        <w:rPr>
          <w:rFonts w:ascii="Verdana" w:hAnsi="Verdana" w:eastAsia="Calibri" w:cs="Times New Roman"/>
          <w:color w:val="4472C4" w:themeColor="accent1"/>
          <w:u w:val="single"/>
        </w:rPr>
        <w:t>@colombiacompraeficiente_cce</w:t>
      </w:r>
    </w:p>
    <w:p w:rsidRPr="0044528D" w:rsidR="00B5581A" w:rsidP="00B5581A" w:rsidRDefault="00B5581A" w14:paraId="05F85645" w14:textId="77777777">
      <w:pPr>
        <w:widowControl w:val="0"/>
        <w:autoSpaceDE w:val="0"/>
        <w:autoSpaceDN w:val="0"/>
        <w:spacing w:after="0" w:line="276" w:lineRule="auto"/>
        <w:jc w:val="both"/>
        <w:rPr>
          <w:rFonts w:ascii="Verdana" w:hAnsi="Verdana"/>
        </w:rPr>
      </w:pPr>
    </w:p>
    <w:p w:rsidRPr="009322DA" w:rsidR="00B5581A" w:rsidP="00B5581A" w:rsidRDefault="00B5581A" w14:paraId="231258F4" w14:textId="77777777">
      <w:pPr>
        <w:widowControl w:val="0"/>
        <w:autoSpaceDE w:val="0"/>
        <w:autoSpaceDN w:val="0"/>
        <w:spacing w:after="0" w:line="276" w:lineRule="auto"/>
        <w:jc w:val="both"/>
        <w:rPr>
          <w:rFonts w:ascii="Verdana" w:hAnsi="Verdana" w:eastAsia="Calibri" w:cs="Arial"/>
          <w:lang w:val="es-ES_tradnl"/>
        </w:rPr>
      </w:pPr>
      <w:r w:rsidRPr="009322DA">
        <w:rPr>
          <w:rFonts w:ascii="Verdana" w:hAnsi="Verdana" w:eastAsia="Calibri" w:cs="Arial"/>
        </w:rPr>
        <w:t>Este concepto tiene el alcance previsto en el artículo 28 del Código de Procedimiento Administrativo y de lo Contencioso Administrativo.</w:t>
      </w:r>
    </w:p>
    <w:p w:rsidRPr="009322DA" w:rsidR="00B5581A" w:rsidP="00B5581A" w:rsidRDefault="00B5581A" w14:paraId="11EB51D9" w14:textId="77777777">
      <w:pPr>
        <w:widowControl w:val="0"/>
        <w:autoSpaceDE w:val="0"/>
        <w:autoSpaceDN w:val="0"/>
        <w:spacing w:after="0" w:line="276" w:lineRule="auto"/>
        <w:jc w:val="both"/>
        <w:rPr>
          <w:rFonts w:ascii="Verdana" w:hAnsi="Verdana" w:eastAsia="Calibri" w:cs="Arial"/>
        </w:rPr>
      </w:pPr>
    </w:p>
    <w:p w:rsidRPr="009322DA" w:rsidR="00B5581A" w:rsidP="00B5581A" w:rsidRDefault="00B5581A" w14:paraId="0BAFB712" w14:textId="77777777">
      <w:pPr>
        <w:spacing w:after="0" w:line="240" w:lineRule="auto"/>
        <w:rPr>
          <w:rFonts w:ascii="Verdana" w:hAnsi="Verdana" w:eastAsia="Calibri" w:cs="Arial"/>
          <w:lang w:eastAsia="es-CO"/>
        </w:rPr>
      </w:pPr>
      <w:r w:rsidRPr="009322DA">
        <w:rPr>
          <w:rFonts w:ascii="Verdana" w:hAnsi="Verdana" w:eastAsia="Times New Roman" w:cs="Arial"/>
          <w:lang w:eastAsia="es-CO"/>
        </w:rPr>
        <w:t>Atentamente,</w:t>
      </w:r>
      <w:r w:rsidRPr="009322DA">
        <w:rPr>
          <w:rFonts w:ascii="Verdana" w:hAnsi="Verdana" w:eastAsia="Calibri" w:cs="Arial"/>
          <w:lang w:eastAsia="es-CO"/>
        </w:rPr>
        <w:t xml:space="preserve"> </w:t>
      </w:r>
    </w:p>
    <w:p w:rsidRPr="009322DA" w:rsidR="00B5581A" w:rsidP="00B5581A" w:rsidRDefault="0065594C" w14:paraId="6F0EDAB8" w14:textId="11F61FF1">
      <w:pPr>
        <w:spacing w:line="276" w:lineRule="auto"/>
        <w:jc w:val="center"/>
        <w:rPr>
          <w:rFonts w:ascii="Verdana" w:hAnsi="Verdana" w:eastAsia="Calibri" w:cs="Arial"/>
          <w:color w:val="000000"/>
          <w:lang w:val="es-ES_tradnl" w:eastAsia="es-CO"/>
        </w:rPr>
      </w:pPr>
      <w:r w:rsidRPr="002C3AD6">
        <w:rPr>
          <w:rFonts w:ascii="Century Gothic" w:hAnsi="Century Gothic"/>
          <w:noProof/>
        </w:rPr>
        <w:drawing>
          <wp:inline distT="0" distB="0" distL="0" distR="0" wp14:anchorId="2A34086A" wp14:editId="29339643">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1"/>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9322DA" w:rsidR="00B5581A" w:rsidTr="00EA26C3" w14:paraId="7A48C7BF" w14:textId="77777777">
        <w:trPr>
          <w:trHeight w:val="315"/>
        </w:trPr>
        <w:tc>
          <w:tcPr>
            <w:tcW w:w="893" w:type="dxa"/>
            <w:vAlign w:val="center"/>
            <w:hideMark/>
          </w:tcPr>
          <w:p w:rsidRPr="009322DA" w:rsidR="00B5581A" w:rsidP="00EA26C3" w:rsidRDefault="00B5581A" w14:paraId="27E9B2FD" w14:textId="77777777">
            <w:pPr>
              <w:spacing w:after="255"/>
              <w:contextualSpacing/>
              <w:rPr>
                <w:rFonts w:ascii="Verdana" w:hAnsi="Verdana" w:cs="Arial"/>
                <w:sz w:val="16"/>
                <w:szCs w:val="16"/>
                <w:lang w:val="es-ES" w:eastAsia="es-ES"/>
              </w:rPr>
            </w:pPr>
            <w:r w:rsidRPr="009322DA">
              <w:rPr>
                <w:rFonts w:ascii="Verdana" w:hAnsi="Verdana" w:cs="Arial"/>
                <w:sz w:val="16"/>
                <w:szCs w:val="16"/>
                <w:lang w:val="es-ES" w:eastAsia="es-ES"/>
              </w:rPr>
              <w:t>Elaboró:</w:t>
            </w:r>
          </w:p>
        </w:tc>
        <w:tc>
          <w:tcPr>
            <w:tcW w:w="5628" w:type="dxa"/>
            <w:tcBorders>
              <w:top w:val="nil"/>
              <w:left w:val="nil"/>
              <w:bottom w:val="dotted" w:color="7F7F7F" w:themeColor="text1" w:themeTint="80" w:sz="4" w:space="0"/>
              <w:right w:val="nil"/>
            </w:tcBorders>
            <w:vAlign w:val="center"/>
            <w:hideMark/>
          </w:tcPr>
          <w:p w:rsidRPr="009322DA" w:rsidR="00B5581A" w:rsidP="00EA26C3" w:rsidRDefault="00B5581A" w14:paraId="4B846E59" w14:textId="77777777">
            <w:pPr>
              <w:spacing w:after="255"/>
              <w:contextualSpacing/>
              <w:rPr>
                <w:rFonts w:ascii="Verdana" w:hAnsi="Verdana" w:eastAsia="Arial" w:cs="Arial"/>
                <w:sz w:val="16"/>
                <w:szCs w:val="16"/>
              </w:rPr>
            </w:pPr>
            <w:r w:rsidRPr="009322DA">
              <w:rPr>
                <w:rFonts w:ascii="Verdana" w:hAnsi="Verdana"/>
                <w:sz w:val="16"/>
                <w:szCs w:val="16"/>
              </w:rPr>
              <w:t>Juan Manuel Avendaño Robles</w:t>
            </w:r>
          </w:p>
          <w:p w:rsidRPr="009322DA" w:rsidR="00B5581A" w:rsidP="00EA26C3" w:rsidRDefault="00B5581A" w14:paraId="328A2F63" w14:textId="77777777">
            <w:pPr>
              <w:spacing w:after="255"/>
              <w:contextualSpacing/>
              <w:rPr>
                <w:rFonts w:ascii="Verdana" w:hAnsi="Verdana" w:eastAsia="Arial" w:cs="Arial"/>
                <w:sz w:val="16"/>
                <w:szCs w:val="16"/>
              </w:rPr>
            </w:pPr>
            <w:r w:rsidRPr="009322DA">
              <w:rPr>
                <w:rFonts w:ascii="Verdana" w:hAnsi="Verdana" w:eastAsia="Arial" w:cs="Arial"/>
                <w:sz w:val="16"/>
                <w:szCs w:val="16"/>
              </w:rPr>
              <w:t>Contratista de la Subdirección de Gestión Contractual</w:t>
            </w:r>
          </w:p>
        </w:tc>
      </w:tr>
      <w:tr w:rsidRPr="009322DA" w:rsidR="00B5581A" w:rsidTr="00EA26C3" w14:paraId="0253C13C" w14:textId="77777777">
        <w:trPr>
          <w:trHeight w:val="330"/>
        </w:trPr>
        <w:tc>
          <w:tcPr>
            <w:tcW w:w="893" w:type="dxa"/>
            <w:vAlign w:val="center"/>
            <w:hideMark/>
          </w:tcPr>
          <w:p w:rsidRPr="009322DA" w:rsidR="00B5581A" w:rsidP="00EA26C3" w:rsidRDefault="00B5581A" w14:paraId="5523E1F9" w14:textId="77777777">
            <w:pPr>
              <w:spacing w:after="255"/>
              <w:contextualSpacing/>
              <w:rPr>
                <w:rFonts w:ascii="Verdana" w:hAnsi="Verdana" w:cs="Arial"/>
                <w:sz w:val="16"/>
                <w:szCs w:val="16"/>
                <w:lang w:val="es-ES" w:eastAsia="es-ES"/>
              </w:rPr>
            </w:pPr>
            <w:r w:rsidRPr="009322DA">
              <w:rPr>
                <w:rFonts w:ascii="Verdana" w:hAnsi="Verdana" w:cs="Arial"/>
                <w:sz w:val="16"/>
                <w:szCs w:val="16"/>
                <w:lang w:val="es-ES" w:eastAsia="es-ES"/>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F80DEF" w:rsidR="00B5581A" w:rsidP="00EA26C3" w:rsidRDefault="00B5581A" w14:paraId="5CA0E366" w14:textId="77777777">
            <w:pPr>
              <w:contextualSpacing/>
              <w:textAlignment w:val="baseline"/>
              <w:rPr>
                <w:rFonts w:ascii="Verdana" w:hAnsi="Verdana" w:eastAsia="Times New Roman" w:cs="Arial"/>
                <w:sz w:val="16"/>
                <w:szCs w:val="16"/>
                <w:lang w:eastAsia="es-ES_tradnl"/>
              </w:rPr>
            </w:pPr>
            <w:r>
              <w:rPr>
                <w:rFonts w:ascii="Verdana" w:hAnsi="Verdana" w:eastAsia="Times New Roman" w:cs="Arial"/>
                <w:sz w:val="16"/>
                <w:szCs w:val="16"/>
                <w:lang w:eastAsia="es-ES_tradnl"/>
              </w:rPr>
              <w:t>Ximena Ríos López</w:t>
            </w:r>
          </w:p>
          <w:p w:rsidRPr="00F80DEF" w:rsidR="00B5581A" w:rsidP="00EA26C3" w:rsidRDefault="00B5581A" w14:paraId="2340A702" w14:textId="77777777">
            <w:pPr>
              <w:contextualSpacing/>
              <w:textAlignment w:val="baseline"/>
              <w:rPr>
                <w:rFonts w:ascii="Verdana" w:hAnsi="Verdana" w:eastAsia="Times New Roman" w:cs="Segoe UI"/>
                <w:sz w:val="16"/>
                <w:szCs w:val="16"/>
                <w:lang w:eastAsia="es-ES_tradnl"/>
              </w:rPr>
            </w:pPr>
            <w:r>
              <w:rPr>
                <w:rFonts w:ascii="Verdana" w:hAnsi="Verdana" w:eastAsia="Times New Roman" w:cs="Arial"/>
                <w:sz w:val="16"/>
                <w:szCs w:val="16"/>
                <w:lang w:eastAsia="es-ES_tradnl"/>
              </w:rPr>
              <w:t>Gestor Código T1 Grado 11</w:t>
            </w:r>
            <w:r w:rsidRPr="00F80DEF">
              <w:rPr>
                <w:rFonts w:ascii="Verdana" w:hAnsi="Verdana" w:eastAsia="Times New Roman" w:cs="Arial"/>
                <w:sz w:val="16"/>
                <w:szCs w:val="16"/>
                <w:lang w:eastAsia="es-ES_tradnl"/>
              </w:rPr>
              <w:t xml:space="preserve"> de la Subdirección de Gestión Contractual</w:t>
            </w:r>
          </w:p>
        </w:tc>
      </w:tr>
      <w:tr w:rsidRPr="009322DA" w:rsidR="00B5581A" w:rsidTr="00EA26C3" w14:paraId="312ECEEF" w14:textId="77777777">
        <w:trPr>
          <w:trHeight w:val="300"/>
        </w:trPr>
        <w:tc>
          <w:tcPr>
            <w:tcW w:w="893" w:type="dxa"/>
            <w:vAlign w:val="center"/>
            <w:hideMark/>
          </w:tcPr>
          <w:p w:rsidRPr="009322DA" w:rsidR="00B5581A" w:rsidP="00EA26C3" w:rsidRDefault="00B5581A" w14:paraId="6228D58A" w14:textId="77777777">
            <w:pPr>
              <w:spacing w:after="255"/>
              <w:contextualSpacing/>
              <w:rPr>
                <w:rFonts w:ascii="Verdana" w:hAnsi="Verdana" w:cs="Arial"/>
                <w:sz w:val="16"/>
                <w:szCs w:val="16"/>
                <w:lang w:val="es-ES" w:eastAsia="es-ES"/>
              </w:rPr>
            </w:pPr>
            <w:r w:rsidRPr="009322DA">
              <w:rPr>
                <w:rFonts w:ascii="Verdana" w:hAnsi="Verdana" w:cs="Arial"/>
                <w:sz w:val="16"/>
                <w:szCs w:val="16"/>
                <w:lang w:val="es-ES" w:eastAsia="es-ES"/>
              </w:rPr>
              <w:t>Aprobó: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9322DA" w:rsidR="00B5581A" w:rsidP="00EA26C3" w:rsidRDefault="00B5581A" w14:paraId="5394F88F" w14:textId="77777777">
            <w:pPr>
              <w:spacing w:after="255"/>
              <w:contextualSpacing/>
              <w:rPr>
                <w:rFonts w:ascii="Verdana" w:hAnsi="Verdana" w:cs="Arial"/>
                <w:sz w:val="16"/>
                <w:szCs w:val="16"/>
                <w:lang w:val="pt-BR" w:eastAsia="es-ES"/>
              </w:rPr>
            </w:pPr>
            <w:r w:rsidRPr="009322DA">
              <w:rPr>
                <w:rFonts w:ascii="Verdana" w:hAnsi="Verdana" w:cs="Arial"/>
                <w:sz w:val="16"/>
                <w:szCs w:val="16"/>
                <w:lang w:val="pt-BR" w:eastAsia="es-ES"/>
              </w:rPr>
              <w:t>Carolina Quintero Gacharná</w:t>
            </w:r>
          </w:p>
          <w:p w:rsidRPr="009322DA" w:rsidR="00B5581A" w:rsidP="00EA26C3" w:rsidRDefault="00B5581A" w14:paraId="1510663C" w14:textId="77777777">
            <w:pPr>
              <w:spacing w:after="255"/>
              <w:contextualSpacing/>
              <w:rPr>
                <w:rFonts w:ascii="Verdana" w:hAnsi="Verdana" w:cs="Arial"/>
                <w:sz w:val="16"/>
                <w:szCs w:val="16"/>
                <w:lang w:val="pt-BR" w:eastAsia="es-ES"/>
              </w:rPr>
            </w:pPr>
            <w:r w:rsidRPr="009322DA">
              <w:rPr>
                <w:rFonts w:ascii="Verdana" w:hAnsi="Verdana" w:cs="Arial"/>
                <w:sz w:val="16"/>
                <w:szCs w:val="16"/>
                <w:lang w:eastAsia="es-ES"/>
              </w:rPr>
              <w:t>Subdirectora</w:t>
            </w:r>
            <w:r w:rsidRPr="009322DA">
              <w:rPr>
                <w:rFonts w:ascii="Verdana" w:hAnsi="Verdana" w:cs="Arial"/>
                <w:sz w:val="16"/>
                <w:szCs w:val="16"/>
                <w:lang w:val="pt-BR" w:eastAsia="es-ES"/>
              </w:rPr>
              <w:t xml:space="preserve"> de Gestión Contractual ANCP – CCE</w:t>
            </w:r>
          </w:p>
        </w:tc>
      </w:tr>
    </w:tbl>
    <w:p w:rsidRPr="002C290C" w:rsidR="00B5581A" w:rsidP="00B5581A" w:rsidRDefault="00B5581A" w14:paraId="6BC57712" w14:textId="77777777"/>
    <w:p w:rsidRPr="00FF1ECE" w:rsidR="00B5581A" w:rsidP="00B5581A" w:rsidRDefault="00B5581A" w14:paraId="1175DBFD" w14:textId="77777777"/>
    <w:p w:rsidRPr="0097074A" w:rsidR="00127233" w:rsidP="0097074A" w:rsidRDefault="00127233" w14:paraId="0F293BF4" w14:textId="7BBFAB11"/>
    <w:sectPr w:rsidRPr="0097074A" w:rsidR="00127233" w:rsidSect="007C0C0F">
      <w:headerReference w:type="default" r:id="rId15"/>
      <w:footerReference w:type="default" r:id="rId16"/>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D2D28" w:rsidP="004A1847" w:rsidRDefault="00FD2D28" w14:paraId="259A6CBC" w14:textId="77777777">
      <w:pPr>
        <w:spacing w:after="0" w:line="240" w:lineRule="auto"/>
      </w:pPr>
      <w:r>
        <w:separator/>
      </w:r>
    </w:p>
  </w:endnote>
  <w:endnote w:type="continuationSeparator" w:id="0">
    <w:p w:rsidR="00FD2D28" w:rsidP="004A1847" w:rsidRDefault="00FD2D28" w14:paraId="27D8B86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1847" w:rsidRDefault="004A1847" w14:paraId="18911A32" w14:textId="6CE791A4">
    <w:pPr>
      <w:pStyle w:val="Piedepgina"/>
    </w:pPr>
  </w:p>
  <w:p w:rsidRPr="00174B77" w:rsidR="00D520D8" w:rsidP="00D520D8" w:rsidRDefault="00D520D8" w14:paraId="594D6D9F"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D520D8" w:rsidP="00D520D8" w:rsidRDefault="00D520D8" w14:paraId="0A735DD5"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D520D8" w:rsidP="00D520D8" w:rsidRDefault="00D520D8" w14:paraId="06E36B88" w14:textId="77777777">
    <w:pPr>
      <w:spacing w:after="0"/>
      <w:jc w:val="both"/>
      <w:rPr>
        <w:rFonts w:ascii="Verdana" w:hAnsi="Verdana"/>
        <w:sz w:val="18"/>
        <w:szCs w:val="18"/>
      </w:rPr>
    </w:pPr>
    <w:r w:rsidRPr="00E41027">
      <w:rPr>
        <w:rFonts w:ascii="Verdana" w:hAnsi="Verdana"/>
        <w:sz w:val="18"/>
        <w:szCs w:val="18"/>
      </w:rPr>
      <w:t>Mesa de servicio: (+57) 601 7456788</w:t>
    </w:r>
  </w:p>
  <w:p w:rsidR="006219F8" w:rsidP="0025796E" w:rsidRDefault="00D520D8" w14:paraId="744661F5" w14:textId="593AA28F">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sidR="00FA47C0">
      <w:rPr>
        <w:rFonts w:ascii="Century Gothic" w:hAnsi="Century Gothic" w:eastAsia="Geo" w:cs="Geo"/>
        <w:b/>
        <w:color w:val="000000"/>
        <w:sz w:val="16"/>
        <w:szCs w:val="16"/>
        <w:lang w:eastAsia="es-CO"/>
      </w:rPr>
      <w:t xml:space="preserve">Código: </w:t>
    </w:r>
    <w:r w:rsidRPr="004A305D" w:rsidR="00FA47C0">
      <w:rPr>
        <w:rFonts w:ascii="Century Gothic" w:hAnsi="Century Gothic" w:eastAsia="Geo" w:cs="Geo"/>
        <w:bCs/>
        <w:color w:val="000000"/>
        <w:sz w:val="16"/>
        <w:szCs w:val="16"/>
        <w:lang w:eastAsia="es-CO"/>
      </w:rPr>
      <w:t>CCE-</w:t>
    </w:r>
    <w:r w:rsidR="00FA47C0">
      <w:rPr>
        <w:rFonts w:ascii="Century Gothic" w:hAnsi="Century Gothic" w:eastAsia="Geo" w:cs="Geo"/>
        <w:bCs/>
        <w:color w:val="000000"/>
        <w:sz w:val="16"/>
        <w:szCs w:val="16"/>
        <w:lang w:eastAsia="es-CO"/>
      </w:rPr>
      <w:t>REC</w:t>
    </w:r>
    <w:r w:rsidRPr="004A305D" w:rsidR="00FA47C0">
      <w:rPr>
        <w:rFonts w:ascii="Century Gothic" w:hAnsi="Century Gothic" w:eastAsia="Geo" w:cs="Geo"/>
        <w:bCs/>
        <w:color w:val="000000"/>
        <w:sz w:val="16"/>
        <w:szCs w:val="16"/>
        <w:lang w:eastAsia="es-CO"/>
      </w:rPr>
      <w:t>-FM-</w:t>
    </w:r>
    <w:r w:rsidR="00FA47C0">
      <w:rPr>
        <w:rFonts w:ascii="Century Gothic" w:hAnsi="Century Gothic" w:eastAsia="Geo" w:cs="Geo"/>
        <w:bCs/>
        <w:color w:val="000000"/>
        <w:sz w:val="16"/>
        <w:szCs w:val="16"/>
        <w:lang w:eastAsia="es-CO"/>
      </w:rPr>
      <w:t>17</w:t>
    </w:r>
    <w:r w:rsidR="0025796E">
      <w:rPr>
        <w:rFonts w:ascii="Century Gothic" w:hAnsi="Century Gothic" w:eastAsia="Geo" w:cs="Geo"/>
        <w:bCs/>
        <w:color w:val="000000"/>
        <w:sz w:val="16"/>
        <w:szCs w:val="16"/>
        <w:lang w:eastAsia="es-CO"/>
      </w:rPr>
      <w:t xml:space="preserve"> </w:t>
    </w:r>
    <w:r w:rsidRPr="004A305D" w:rsidR="00FA47C0">
      <w:rPr>
        <w:rFonts w:ascii="Century Gothic" w:hAnsi="Century Gothic" w:eastAsia="Geo" w:cs="Geo"/>
        <w:b/>
        <w:color w:val="000000"/>
        <w:sz w:val="16"/>
        <w:szCs w:val="16"/>
        <w:lang w:eastAsia="es-CO"/>
      </w:rPr>
      <w:t>Versión</w:t>
    </w:r>
    <w:r w:rsidRPr="004A305D" w:rsidR="00FA47C0">
      <w:rPr>
        <w:rFonts w:ascii="Century Gothic" w:hAnsi="Century Gothic" w:eastAsia="Arial Nova" w:cs="Arial Nova"/>
        <w:b/>
        <w:color w:val="000000"/>
        <w:sz w:val="16"/>
        <w:szCs w:val="16"/>
        <w:lang w:eastAsia="es-CO"/>
      </w:rPr>
      <w:t xml:space="preserve">: </w:t>
    </w:r>
    <w:r w:rsidRPr="004A305D" w:rsidR="00FA47C0">
      <w:rPr>
        <w:rFonts w:ascii="Century Gothic" w:hAnsi="Century Gothic" w:eastAsia="Geo" w:cs="Geo"/>
        <w:sz w:val="16"/>
        <w:szCs w:val="16"/>
        <w:lang w:eastAsia="es-CO"/>
      </w:rPr>
      <w:t>0</w:t>
    </w:r>
    <w:r w:rsidR="00FA47C0">
      <w:rPr>
        <w:rFonts w:ascii="Century Gothic" w:hAnsi="Century Gothic" w:eastAsia="Geo" w:cs="Geo"/>
        <w:sz w:val="16"/>
        <w:szCs w:val="16"/>
        <w:lang w:eastAsia="es-CO"/>
      </w:rPr>
      <w:t>2</w:t>
    </w:r>
    <w:r w:rsidRPr="004A305D" w:rsidR="00FA47C0">
      <w:rPr>
        <w:rFonts w:ascii="Century Gothic" w:hAnsi="Century Gothic" w:eastAsia="Geo" w:cs="Geo"/>
        <w:sz w:val="16"/>
        <w:szCs w:val="16"/>
        <w:lang w:eastAsia="es-CO"/>
      </w:rPr>
      <w:t xml:space="preserve"> </w:t>
    </w:r>
    <w:r w:rsidR="0025796E">
      <w:rPr>
        <w:rFonts w:ascii="Century Gothic" w:hAnsi="Century Gothic" w:eastAsia="Geo"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D2D28" w:rsidP="004A1847" w:rsidRDefault="00FD2D28" w14:paraId="1168DEDE" w14:textId="77777777">
      <w:pPr>
        <w:spacing w:after="0" w:line="240" w:lineRule="auto"/>
      </w:pPr>
      <w:r>
        <w:separator/>
      </w:r>
    </w:p>
  </w:footnote>
  <w:footnote w:type="continuationSeparator" w:id="0">
    <w:p w:rsidR="00FD2D28" w:rsidP="004A1847" w:rsidRDefault="00FD2D28" w14:paraId="084C723B" w14:textId="77777777">
      <w:pPr>
        <w:spacing w:after="0" w:line="240" w:lineRule="auto"/>
      </w:pPr>
      <w:r>
        <w:continuationSeparator/>
      </w:r>
    </w:p>
  </w:footnote>
  <w:footnote w:id="1">
    <w:p w:rsidRPr="00D7715D" w:rsidR="00B5581A" w:rsidP="00B5581A" w:rsidRDefault="00B5581A" w14:paraId="79B7E42F" w14:textId="77777777">
      <w:pPr>
        <w:pStyle w:val="NormalWeb"/>
        <w:spacing w:after="0"/>
        <w:ind w:firstLine="709"/>
        <w:jc w:val="both"/>
        <w:rPr>
          <w:rFonts w:ascii="Century Gothic" w:hAnsi="Century Gothic" w:cs="Arial"/>
          <w:sz w:val="16"/>
          <w:szCs w:val="16"/>
        </w:rPr>
      </w:pPr>
      <w:r w:rsidRPr="00D7715D">
        <w:rPr>
          <w:rStyle w:val="Refdenotaalpie"/>
          <w:rFonts w:ascii="Century Gothic" w:hAnsi="Century Gothic" w:cs="Arial"/>
          <w:sz w:val="16"/>
          <w:szCs w:val="16"/>
        </w:rPr>
        <w:footnoteRef/>
      </w:r>
      <w:r w:rsidRPr="00D7715D">
        <w:rPr>
          <w:rFonts w:ascii="Century Gothic" w:hAnsi="Century Gothic" w:cs="Arial"/>
          <w:sz w:val="16"/>
          <w:szCs w:val="16"/>
        </w:rPr>
        <w:t xml:space="preserve"> CÓDIGO CIVIL: “Artículo 27. Cuando el sentido de la ley sea claro, no se desatenderá su tenor literal a pretexto de consultar su espíritu. </w:t>
      </w:r>
    </w:p>
    <w:p w:rsidRPr="00D7715D" w:rsidR="00B5581A" w:rsidP="00B5581A" w:rsidRDefault="00B5581A" w14:paraId="1EB9D683" w14:textId="77777777">
      <w:pPr>
        <w:spacing w:after="0"/>
        <w:jc w:val="both"/>
        <w:rPr>
          <w:rFonts w:ascii="Century Gothic" w:hAnsi="Century Gothic" w:cs="Arial"/>
          <w:sz w:val="16"/>
          <w:szCs w:val="16"/>
          <w:lang w:eastAsia="es-CO"/>
        </w:rPr>
      </w:pPr>
      <w:r w:rsidRPr="00D7715D">
        <w:rPr>
          <w:rFonts w:ascii="Century Gothic" w:hAnsi="Century Gothic" w:cs="Arial"/>
          <w:sz w:val="16"/>
          <w:szCs w:val="16"/>
          <w:lang w:eastAsia="es-CO"/>
        </w:rPr>
        <w:t>  </w:t>
      </w:r>
      <w:r w:rsidRPr="00D7715D">
        <w:rPr>
          <w:rFonts w:ascii="Century Gothic" w:hAnsi="Century Gothic" w:cs="Arial"/>
          <w:sz w:val="16"/>
          <w:szCs w:val="16"/>
          <w:lang w:eastAsia="es-CO"/>
        </w:rPr>
        <w:tab/>
      </w:r>
      <w:r w:rsidRPr="00D7715D">
        <w:rPr>
          <w:rFonts w:ascii="Century Gothic" w:hAnsi="Century Gothic" w:cs="Arial"/>
          <w:sz w:val="16"/>
          <w:szCs w:val="16"/>
          <w:lang w:eastAsia="es-CO"/>
        </w:rPr>
        <w:t>Pero bien se puede, para interpretar una expresión </w:t>
      </w:r>
      <w:r w:rsidRPr="00D7715D">
        <w:rPr>
          <w:rFonts w:ascii="Century Gothic" w:hAnsi="Century Gothic" w:cs="Arial"/>
          <w:i/>
          <w:sz w:val="16"/>
          <w:szCs w:val="16"/>
          <w:lang w:eastAsia="es-CO"/>
        </w:rPr>
        <w:t>oscura</w:t>
      </w:r>
      <w:r w:rsidRPr="00D7715D">
        <w:rPr>
          <w:rFonts w:ascii="Century Gothic" w:hAnsi="Century Gothic" w:cs="Arial"/>
          <w:sz w:val="16"/>
          <w:szCs w:val="16"/>
          <w:lang w:eastAsia="es-CO"/>
        </w:rPr>
        <w:t> de la ley, recurrir a su intención o espíritu, claramente manifestados en ella misma o en la historia fidedigna de su establecimiento”. </w:t>
      </w:r>
    </w:p>
  </w:footnote>
  <w:footnote w:id="2">
    <w:p w:rsidRPr="00D7715D" w:rsidR="00B5581A" w:rsidP="00B5581A" w:rsidRDefault="00B5581A" w14:paraId="5A6727BF" w14:textId="77777777">
      <w:pPr>
        <w:pStyle w:val="Textonotapie"/>
        <w:ind w:firstLine="708"/>
        <w:jc w:val="both"/>
        <w:rPr>
          <w:rFonts w:ascii="Century Gothic" w:hAnsi="Century Gothic" w:cs="Arial"/>
          <w:color w:val="F2F2F2"/>
          <w:sz w:val="16"/>
          <w:szCs w:val="16"/>
          <w:u w:val="single"/>
        </w:rPr>
      </w:pPr>
      <w:r w:rsidRPr="00D7715D">
        <w:rPr>
          <w:rStyle w:val="Refdenotaalpie"/>
          <w:rFonts w:ascii="Century Gothic" w:hAnsi="Century Gothic" w:cs="Arial"/>
          <w:sz w:val="16"/>
          <w:szCs w:val="16"/>
        </w:rPr>
        <w:footnoteRef/>
      </w:r>
      <w:r w:rsidRPr="00D7715D">
        <w:rPr>
          <w:rFonts w:ascii="Century Gothic" w:hAnsi="Century Gothic" w:cs="Arial"/>
          <w:sz w:val="16"/>
          <w:szCs w:val="16"/>
        </w:rPr>
        <w:t xml:space="preserve"> Texto del Proyecto de Ley 122 de 2020 Cámara. Exposición de motivos. Consultado el 29 de diciembre de 2021 en la página web: </w:t>
      </w:r>
      <w:hyperlink w:history="1" r:id="rId1">
        <w:r w:rsidRPr="00D7715D">
          <w:rPr>
            <w:rFonts w:ascii="Century Gothic" w:hAnsi="Century Gothic" w:cs="Arial"/>
            <w:color w:val="4472C4" w:themeColor="accent1"/>
            <w:sz w:val="16"/>
            <w:szCs w:val="16"/>
          </w:rPr>
          <w:t>http://leyes.senado.gov.co/proyectos/index.php/textos-radicados-senado/p-ley-2020-2021/1957-proyecto-de-ley-161-de-2020</w:t>
        </w:r>
      </w:hyperlink>
      <w:r w:rsidRPr="00D7715D">
        <w:rPr>
          <w:rFonts w:ascii="Century Gothic" w:hAnsi="Century Gothic" w:cs="Arial"/>
          <w:sz w:val="16"/>
          <w:szCs w:val="16"/>
        </w:rPr>
        <w:t xml:space="preserve">.  </w:t>
      </w:r>
    </w:p>
  </w:footnote>
  <w:footnote w:id="3">
    <w:p w:rsidRPr="00D7715D" w:rsidR="00B5581A" w:rsidP="00B5581A" w:rsidRDefault="00B5581A" w14:paraId="426CA127" w14:textId="77777777">
      <w:pPr>
        <w:pStyle w:val="Textonotapie"/>
        <w:ind w:firstLine="709"/>
        <w:jc w:val="both"/>
        <w:rPr>
          <w:rFonts w:ascii="Century Gothic" w:hAnsi="Century Gothic" w:cs="Arial"/>
          <w:sz w:val="16"/>
          <w:szCs w:val="16"/>
          <w:lang w:val="es-ES"/>
        </w:rPr>
      </w:pPr>
      <w:r w:rsidRPr="00D7715D">
        <w:rPr>
          <w:rStyle w:val="Refdenotaalpie"/>
          <w:rFonts w:ascii="Century Gothic" w:hAnsi="Century Gothic" w:cs="Arial"/>
          <w:sz w:val="16"/>
          <w:szCs w:val="16"/>
        </w:rPr>
        <w:footnoteRef/>
      </w:r>
      <w:r w:rsidRPr="00D7715D">
        <w:rPr>
          <w:rFonts w:ascii="Century Gothic" w:hAnsi="Century Gothic" w:cs="Arial"/>
          <w:sz w:val="16"/>
          <w:szCs w:val="16"/>
        </w:rPr>
        <w:t xml:space="preserve"> </w:t>
      </w:r>
      <w:r w:rsidRPr="00D7715D">
        <w:rPr>
          <w:rFonts w:ascii="Century Gothic" w:hAnsi="Century Gothic" w:cs="Arial"/>
          <w:sz w:val="16"/>
          <w:szCs w:val="16"/>
          <w:lang w:val="es-ES"/>
        </w:rPr>
        <w:t>Artículos 2 al 29.</w:t>
      </w:r>
    </w:p>
  </w:footnote>
  <w:footnote w:id="4">
    <w:p w:rsidRPr="00D7715D" w:rsidR="00B5581A" w:rsidP="00B5581A" w:rsidRDefault="00B5581A" w14:paraId="5C6F3C0B" w14:textId="77777777">
      <w:pPr>
        <w:pStyle w:val="Textonotapie"/>
        <w:ind w:firstLine="709"/>
        <w:jc w:val="both"/>
        <w:rPr>
          <w:rFonts w:ascii="Century Gothic" w:hAnsi="Century Gothic" w:cs="Arial"/>
          <w:sz w:val="16"/>
          <w:szCs w:val="16"/>
          <w:lang w:val="es-ES"/>
        </w:rPr>
      </w:pPr>
      <w:r w:rsidRPr="00D7715D">
        <w:rPr>
          <w:rStyle w:val="Refdenotaalpie"/>
          <w:rFonts w:ascii="Century Gothic" w:hAnsi="Century Gothic" w:cs="Arial"/>
          <w:sz w:val="16"/>
          <w:szCs w:val="16"/>
        </w:rPr>
        <w:footnoteRef/>
      </w:r>
      <w:r w:rsidRPr="00D7715D">
        <w:rPr>
          <w:rFonts w:ascii="Century Gothic" w:hAnsi="Century Gothic" w:cs="Arial"/>
          <w:sz w:val="16"/>
          <w:szCs w:val="16"/>
        </w:rPr>
        <w:t xml:space="preserve"> </w:t>
      </w:r>
      <w:r w:rsidRPr="00D7715D">
        <w:rPr>
          <w:rFonts w:ascii="Century Gothic" w:hAnsi="Century Gothic" w:cs="Arial"/>
          <w:sz w:val="16"/>
          <w:szCs w:val="16"/>
          <w:lang w:val="es-ES"/>
        </w:rPr>
        <w:t>Artículos 30 al 36.</w:t>
      </w:r>
    </w:p>
  </w:footnote>
  <w:footnote w:id="5">
    <w:p w:rsidRPr="00D7715D" w:rsidR="00B5581A" w:rsidP="00B5581A" w:rsidRDefault="00B5581A" w14:paraId="325F5AE6" w14:textId="77777777">
      <w:pPr>
        <w:pStyle w:val="Textonotapie"/>
        <w:ind w:firstLine="709"/>
        <w:jc w:val="both"/>
        <w:rPr>
          <w:rFonts w:ascii="Century Gothic" w:hAnsi="Century Gothic" w:cs="Arial"/>
          <w:sz w:val="16"/>
          <w:szCs w:val="16"/>
          <w:lang w:val="es-ES"/>
        </w:rPr>
      </w:pPr>
      <w:r w:rsidRPr="00D7715D">
        <w:rPr>
          <w:rStyle w:val="Refdenotaalpie"/>
          <w:rFonts w:ascii="Century Gothic" w:hAnsi="Century Gothic" w:cs="Arial"/>
          <w:sz w:val="16"/>
          <w:szCs w:val="16"/>
        </w:rPr>
        <w:footnoteRef/>
      </w:r>
      <w:r w:rsidRPr="00D7715D">
        <w:rPr>
          <w:rFonts w:ascii="Century Gothic" w:hAnsi="Century Gothic" w:cs="Arial"/>
          <w:sz w:val="16"/>
          <w:szCs w:val="16"/>
        </w:rPr>
        <w:t xml:space="preserve"> </w:t>
      </w:r>
      <w:r w:rsidRPr="00D7715D">
        <w:rPr>
          <w:rFonts w:ascii="Century Gothic" w:hAnsi="Century Gothic" w:cs="Arial"/>
          <w:sz w:val="16"/>
          <w:szCs w:val="16"/>
          <w:lang w:val="es-ES"/>
        </w:rPr>
        <w:t>Artículos 37 al 45.</w:t>
      </w:r>
    </w:p>
  </w:footnote>
  <w:footnote w:id="6">
    <w:p w:rsidRPr="00D7715D" w:rsidR="00B5581A" w:rsidP="00B5581A" w:rsidRDefault="00B5581A" w14:paraId="0F2EE86C" w14:textId="77777777">
      <w:pPr>
        <w:pStyle w:val="Textonotapie"/>
        <w:ind w:firstLine="709"/>
        <w:jc w:val="both"/>
        <w:rPr>
          <w:rFonts w:ascii="Century Gothic" w:hAnsi="Century Gothic" w:cs="Arial"/>
          <w:sz w:val="16"/>
          <w:szCs w:val="16"/>
          <w:lang w:val="es-ES"/>
        </w:rPr>
      </w:pPr>
      <w:r w:rsidRPr="00D7715D">
        <w:rPr>
          <w:rStyle w:val="Refdenotaalpie"/>
          <w:rFonts w:ascii="Century Gothic" w:hAnsi="Century Gothic" w:cs="Arial"/>
          <w:sz w:val="16"/>
          <w:szCs w:val="16"/>
        </w:rPr>
        <w:footnoteRef/>
      </w:r>
      <w:r w:rsidRPr="00D7715D">
        <w:rPr>
          <w:rFonts w:ascii="Century Gothic" w:hAnsi="Century Gothic" w:cs="Arial"/>
          <w:sz w:val="16"/>
          <w:szCs w:val="16"/>
        </w:rPr>
        <w:t xml:space="preserve"> </w:t>
      </w:r>
      <w:r w:rsidRPr="00D7715D">
        <w:rPr>
          <w:rFonts w:ascii="Century Gothic" w:hAnsi="Century Gothic" w:cs="Arial"/>
          <w:sz w:val="16"/>
          <w:szCs w:val="16"/>
          <w:lang w:val="es-ES"/>
        </w:rPr>
        <w:t>Artículos 46 al 73.</w:t>
      </w:r>
    </w:p>
  </w:footnote>
  <w:footnote w:id="7">
    <w:p w:rsidRPr="00D7715D" w:rsidR="00B5581A" w:rsidP="00B5581A" w:rsidRDefault="00B5581A" w14:paraId="159739EC" w14:textId="77777777">
      <w:pPr>
        <w:pStyle w:val="Textonotapie"/>
        <w:ind w:firstLine="709"/>
        <w:jc w:val="both"/>
        <w:rPr>
          <w:rFonts w:ascii="Century Gothic" w:hAnsi="Century Gothic" w:cs="Arial"/>
          <w:sz w:val="16"/>
          <w:szCs w:val="16"/>
          <w:lang w:val="es-ES"/>
        </w:rPr>
      </w:pPr>
      <w:r w:rsidRPr="00D7715D">
        <w:rPr>
          <w:rStyle w:val="Refdenotaalpie"/>
          <w:rFonts w:ascii="Century Gothic" w:hAnsi="Century Gothic" w:cs="Arial"/>
          <w:sz w:val="16"/>
          <w:szCs w:val="16"/>
        </w:rPr>
        <w:footnoteRef/>
      </w:r>
      <w:r w:rsidRPr="00D7715D">
        <w:rPr>
          <w:rFonts w:ascii="Century Gothic" w:hAnsi="Century Gothic" w:cs="Arial"/>
          <w:sz w:val="16"/>
          <w:szCs w:val="16"/>
        </w:rPr>
        <w:t xml:space="preserve"> </w:t>
      </w:r>
      <w:r w:rsidRPr="00D7715D">
        <w:rPr>
          <w:rFonts w:ascii="Century Gothic" w:hAnsi="Century Gothic" w:cs="Arial"/>
          <w:sz w:val="16"/>
          <w:szCs w:val="16"/>
          <w:lang w:val="es-ES"/>
        </w:rPr>
        <w:t>Artículos 74 al 83.</w:t>
      </w:r>
    </w:p>
  </w:footnote>
  <w:footnote w:id="8">
    <w:p w:rsidRPr="00D7715D" w:rsidR="00B5581A" w:rsidP="00B5581A" w:rsidRDefault="00B5581A" w14:paraId="6595DF89" w14:textId="77777777">
      <w:pPr>
        <w:pStyle w:val="Textonotapie"/>
        <w:ind w:firstLine="708"/>
        <w:jc w:val="both"/>
        <w:rPr>
          <w:rFonts w:ascii="Century Gothic" w:hAnsi="Century Gothic" w:cs="Arial"/>
          <w:sz w:val="16"/>
          <w:szCs w:val="16"/>
          <w:lang w:val="es-ES"/>
        </w:rPr>
      </w:pPr>
      <w:r w:rsidRPr="00D7715D">
        <w:rPr>
          <w:rStyle w:val="Refdenotaalpie"/>
          <w:rFonts w:ascii="Century Gothic" w:hAnsi="Century Gothic" w:cs="Arial"/>
          <w:sz w:val="16"/>
          <w:szCs w:val="16"/>
        </w:rPr>
        <w:footnoteRef/>
      </w:r>
      <w:r w:rsidRPr="00D7715D">
        <w:rPr>
          <w:rFonts w:ascii="Century Gothic" w:hAnsi="Century Gothic" w:cs="Arial"/>
          <w:sz w:val="16"/>
          <w:szCs w:val="16"/>
        </w:rPr>
        <w:t xml:space="preserve"> CONGRESO DE LA REPÚBLICA. Gaceta No. 670 del 11 de agosto de 2020. Exposición de motivos del Proyecto de Ley No. 122 de 2020 Cámara. p. 13. </w:t>
      </w:r>
    </w:p>
  </w:footnote>
  <w:footnote w:id="9">
    <w:p w:rsidRPr="00D7715D" w:rsidR="00B5581A" w:rsidP="00B5581A" w:rsidRDefault="00B5581A" w14:paraId="41AD6B94" w14:textId="77777777">
      <w:pPr>
        <w:pStyle w:val="Textonotapie"/>
        <w:ind w:firstLine="709"/>
        <w:jc w:val="both"/>
        <w:rPr>
          <w:rFonts w:ascii="Century Gothic" w:hAnsi="Century Gothic" w:cs="Arial"/>
          <w:sz w:val="16"/>
          <w:szCs w:val="16"/>
        </w:rPr>
      </w:pPr>
      <w:r w:rsidRPr="00D7715D">
        <w:rPr>
          <w:rStyle w:val="Refdenotaalpie"/>
          <w:rFonts w:ascii="Century Gothic" w:hAnsi="Century Gothic" w:cs="Arial"/>
          <w:sz w:val="16"/>
          <w:szCs w:val="16"/>
        </w:rPr>
        <w:footnoteRef/>
      </w:r>
      <w:r w:rsidRPr="00D7715D">
        <w:rPr>
          <w:rFonts w:ascii="Century Gothic" w:hAnsi="Century Gothic" w:cs="Arial"/>
          <w:sz w:val="16"/>
          <w:szCs w:val="16"/>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w:t>
      </w:r>
      <w:proofErr w:type="spellStart"/>
      <w:r w:rsidRPr="00D7715D">
        <w:rPr>
          <w:rFonts w:ascii="Century Gothic" w:hAnsi="Century Gothic" w:cs="Arial"/>
          <w:sz w:val="16"/>
          <w:szCs w:val="16"/>
        </w:rPr>
        <w:t>Mipyme</w:t>
      </w:r>
      <w:proofErr w:type="spellEnd"/>
      <w:r w:rsidRPr="00D7715D">
        <w:rPr>
          <w:rFonts w:ascii="Century Gothic" w:hAnsi="Century Gothic" w:cs="Arial"/>
          <w:sz w:val="16"/>
          <w:szCs w:val="16"/>
        </w:rPr>
        <w:t xml:space="preserve"> y grandes almacenes; los criterios diferenciales para </w:t>
      </w:r>
      <w:proofErr w:type="spellStart"/>
      <w:r w:rsidRPr="00D7715D">
        <w:rPr>
          <w:rFonts w:ascii="Century Gothic" w:hAnsi="Century Gothic" w:cs="Arial"/>
          <w:sz w:val="16"/>
          <w:szCs w:val="16"/>
        </w:rPr>
        <w:t>Mipyme</w:t>
      </w:r>
      <w:proofErr w:type="spellEnd"/>
      <w:r w:rsidRPr="00D7715D">
        <w:rPr>
          <w:rFonts w:ascii="Century Gothic" w:hAnsi="Century Gothic" w:cs="Arial"/>
          <w:sz w:val="16"/>
          <w:szCs w:val="16"/>
        </w:rPr>
        <w:t xml:space="preserve">, y la definición y los criterios diferenciales para los emprendimientos y empresas de mujeres; las convocatorias limitadas a </w:t>
      </w:r>
      <w:proofErr w:type="spellStart"/>
      <w:r w:rsidRPr="00D7715D">
        <w:rPr>
          <w:rFonts w:ascii="Century Gothic" w:hAnsi="Century Gothic" w:cs="Arial"/>
          <w:sz w:val="16"/>
          <w:szCs w:val="16"/>
        </w:rPr>
        <w:t>Mipyme</w:t>
      </w:r>
      <w:proofErr w:type="spellEnd"/>
      <w:r w:rsidRPr="00D7715D">
        <w:rPr>
          <w:rFonts w:ascii="Century Gothic" w:hAnsi="Century Gothic" w:cs="Arial"/>
          <w:sz w:val="16"/>
          <w:szCs w:val="16"/>
        </w:rPr>
        <w:t>;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10">
    <w:p w:rsidRPr="00D7715D" w:rsidR="00B5581A" w:rsidP="00B5581A" w:rsidRDefault="00B5581A" w14:paraId="3504DA51" w14:textId="77777777">
      <w:pPr>
        <w:pStyle w:val="NormalWeb"/>
        <w:shd w:val="clear" w:color="auto" w:fill="FFFFFF"/>
        <w:spacing w:after="0"/>
        <w:ind w:firstLine="709"/>
        <w:jc w:val="both"/>
        <w:rPr>
          <w:rFonts w:ascii="Century Gothic" w:hAnsi="Century Gothic" w:cs="Arial"/>
          <w:sz w:val="16"/>
          <w:szCs w:val="16"/>
        </w:rPr>
      </w:pPr>
      <w:r w:rsidRPr="00D7715D">
        <w:rPr>
          <w:rStyle w:val="Refdenotaalpie"/>
          <w:rFonts w:ascii="Century Gothic" w:hAnsi="Century Gothic" w:cs="Arial"/>
          <w:sz w:val="16"/>
          <w:szCs w:val="16"/>
        </w:rPr>
        <w:footnoteRef/>
      </w:r>
      <w:r w:rsidRPr="00D7715D">
        <w:rPr>
          <w:rFonts w:ascii="Century Gothic" w:hAnsi="Century Gothic" w:cs="Arial"/>
          <w:sz w:val="16"/>
          <w:szCs w:val="16"/>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5 de la Sección 1 del Capítulo 2 del Título 1 de la Parte 2 del Libro 2, así como los artículos 2.2.1.2.4.2.2., 2.2.1.2.4.2.3., 2.2.1.2.4.2.4., 2.2.1.2.1.2.2 y 2.2.1.2.4.2.8.; adiciona los artículos 2.2.1.2.4.2.14., 2.2.1.2.4.2.15., 2.2.1.2.4.2.16., 2.2.1.2.4.2.17. y 2.2.1.2.4.2.18.; adiciona un parágrafo al artículo 2.2.1.2.3.1.9; y deroga el artículo 2.2.1.1.2.2.9. del Decreto 1082 de 2015, Único Reglamentario del Sector Administrativo de Planeación Nacional.</w:t>
      </w:r>
    </w:p>
    <w:p w:rsidRPr="00D7715D" w:rsidR="00B5581A" w:rsidP="00B5581A" w:rsidRDefault="00B5581A" w14:paraId="16382F31" w14:textId="77777777">
      <w:pPr>
        <w:pStyle w:val="NormalWeb"/>
        <w:shd w:val="clear" w:color="auto" w:fill="FFFFFF"/>
        <w:spacing w:after="0"/>
        <w:jc w:val="both"/>
        <w:rPr>
          <w:rFonts w:ascii="Century Gothic" w:hAnsi="Century Gothic" w:cs="Arial"/>
          <w:sz w:val="16"/>
          <w:szCs w:val="16"/>
        </w:rPr>
      </w:pPr>
      <w:r w:rsidRPr="00D7715D">
        <w:rPr>
          <w:rFonts w:ascii="Century Gothic" w:hAnsi="Century Gothic" w:cs="Arial"/>
          <w:b/>
          <w:sz w:val="16"/>
          <w:szCs w:val="16"/>
        </w:rPr>
        <w:t> </w:t>
      </w:r>
      <w:r w:rsidRPr="00D7715D">
        <w:rPr>
          <w:rFonts w:ascii="Century Gothic" w:hAnsi="Century Gothic" w:cs="Arial"/>
          <w:b/>
          <w:sz w:val="16"/>
          <w:szCs w:val="16"/>
        </w:rPr>
        <w:tab/>
      </w:r>
      <w:r w:rsidRPr="00D7715D">
        <w:rPr>
          <w:rFonts w:ascii="Century Gothic" w:hAnsi="Century Gothic" w:cs="Arial"/>
          <w:sz w:val="16"/>
          <w:szCs w:val="16"/>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rsidRPr="00D7715D" w:rsidR="00B5581A" w:rsidP="00B5581A" w:rsidRDefault="00B5581A" w14:paraId="04773582" w14:textId="77777777">
      <w:pPr>
        <w:pStyle w:val="NormalWeb"/>
        <w:shd w:val="clear" w:color="auto" w:fill="FFFFFF"/>
        <w:spacing w:after="0"/>
        <w:jc w:val="both"/>
        <w:rPr>
          <w:rFonts w:ascii="Century Gothic" w:hAnsi="Century Gothic" w:cs="Arial"/>
          <w:sz w:val="16"/>
          <w:szCs w:val="16"/>
        </w:rPr>
      </w:pPr>
      <w:r w:rsidRPr="00D7715D">
        <w:rPr>
          <w:rFonts w:ascii="Century Gothic" w:hAnsi="Century Gothic" w:cs="Arial"/>
          <w:sz w:val="16"/>
          <w:szCs w:val="16"/>
        </w:rPr>
        <w:t> </w:t>
      </w:r>
      <w:r w:rsidRPr="00D7715D">
        <w:rPr>
          <w:rFonts w:ascii="Century Gothic" w:hAnsi="Century Gothic" w:cs="Arial"/>
          <w:sz w:val="16"/>
          <w:szCs w:val="16"/>
        </w:rPr>
        <w:tab/>
      </w:r>
      <w:r w:rsidRPr="00D7715D">
        <w:rPr>
          <w:rFonts w:ascii="Century Gothic" w:hAnsi="Century Gothic" w:cs="Arial"/>
          <w:sz w:val="16"/>
          <w:szCs w:val="16"/>
        </w:rPr>
        <w:t>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 w:id="11">
    <w:p w:rsidRPr="00D7715D" w:rsidR="00B5581A" w:rsidP="00B5581A" w:rsidRDefault="00B5581A" w14:paraId="6C4C735F" w14:textId="77777777">
      <w:pPr>
        <w:pStyle w:val="Textonotapie"/>
        <w:ind w:firstLine="708"/>
        <w:contextualSpacing/>
        <w:jc w:val="both"/>
        <w:rPr>
          <w:rFonts w:ascii="Century Gothic" w:hAnsi="Century Gothic" w:cs="Arial"/>
          <w:sz w:val="16"/>
          <w:szCs w:val="16"/>
          <w:lang w:val="es-ES"/>
        </w:rPr>
      </w:pPr>
      <w:r w:rsidRPr="00D7715D">
        <w:rPr>
          <w:rStyle w:val="Refdenotaalpie"/>
          <w:rFonts w:ascii="Century Gothic" w:hAnsi="Century Gothic" w:cs="Arial" w:eastAsiaTheme="majorEastAsia"/>
          <w:sz w:val="16"/>
          <w:szCs w:val="16"/>
        </w:rPr>
        <w:footnoteRef/>
      </w:r>
      <w:r w:rsidRPr="00D7715D">
        <w:rPr>
          <w:rFonts w:ascii="Century Gothic" w:hAnsi="Century Gothic" w:cs="Arial"/>
          <w:sz w:val="16"/>
          <w:szCs w:val="16"/>
        </w:rPr>
        <w:t xml:space="preserve"> </w:t>
      </w:r>
      <w:r w:rsidRPr="00D7715D">
        <w:rPr>
          <w:rFonts w:ascii="Century Gothic" w:hAnsi="Century Gothic" w:cs="Arial"/>
          <w:sz w:val="16"/>
          <w:szCs w:val="16"/>
          <w:lang w:val="es-ES_tradnl"/>
        </w:rPr>
        <w:t xml:space="preserve">CASTRO DE CIFUENTES, Marcela. Derecho Comercial. Actos de comercio, empresas comerciantes y empresarios. Universidad de los Andes. 2016. </w:t>
      </w:r>
      <w:r w:rsidRPr="00D7715D">
        <w:rPr>
          <w:rFonts w:ascii="Century Gothic" w:hAnsi="Century Gothic" w:cs="Arial"/>
          <w:sz w:val="16"/>
          <w:szCs w:val="16"/>
          <w:lang w:val="es-ES"/>
        </w:rPr>
        <w:t>Página 18.</w:t>
      </w:r>
    </w:p>
  </w:footnote>
  <w:footnote w:id="12">
    <w:p w:rsidRPr="00D7715D" w:rsidR="00B5581A" w:rsidP="00B5581A" w:rsidRDefault="00B5581A" w14:paraId="4BF2F7BA" w14:textId="77777777">
      <w:pPr>
        <w:pStyle w:val="Textonotapie"/>
        <w:ind w:firstLine="708"/>
        <w:contextualSpacing/>
        <w:jc w:val="both"/>
        <w:rPr>
          <w:rFonts w:ascii="Century Gothic" w:hAnsi="Century Gothic" w:cs="Arial"/>
          <w:sz w:val="16"/>
          <w:szCs w:val="16"/>
        </w:rPr>
      </w:pPr>
      <w:r w:rsidRPr="00D7715D">
        <w:rPr>
          <w:rStyle w:val="Refdenotaalpie"/>
          <w:rFonts w:ascii="Century Gothic" w:hAnsi="Century Gothic" w:cs="Arial" w:eastAsiaTheme="majorEastAsia"/>
          <w:sz w:val="16"/>
          <w:szCs w:val="16"/>
        </w:rPr>
        <w:footnoteRef/>
      </w:r>
      <w:r w:rsidRPr="00D7715D">
        <w:rPr>
          <w:rFonts w:ascii="Century Gothic" w:hAnsi="Century Gothic" w:cs="Arial"/>
          <w:sz w:val="16"/>
          <w:szCs w:val="16"/>
        </w:rPr>
        <w:t xml:space="preserve"> Ibidem. Página 45.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756841" w:rsidRDefault="009D3058" w14:paraId="435F4D03" w14:textId="0903BF04">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RDefault="00756841" w14:paraId="1BE2B9AE" w14:textId="4B94DB3B">
    <w:pPr>
      <w:pStyle w:val="Encabezado"/>
    </w:pPr>
  </w:p>
  <w:p w:rsidR="00DC39FC" w:rsidP="004A305D" w:rsidRDefault="00DC39FC" w14:paraId="3079FC11" w14:textId="77777777">
    <w:pPr>
      <w:spacing w:after="0"/>
      <w:rPr>
        <w:rFonts w:ascii="Verdana" w:hAnsi="Verdana"/>
        <w:b/>
        <w:bCs/>
      </w:rPr>
    </w:pPr>
  </w:p>
  <w:p w:rsidRPr="004A305D" w:rsidR="004A305D" w:rsidP="00B01B1A" w:rsidRDefault="004A305D" w14:paraId="5E18350A" w14:textId="705F7B76">
    <w:pPr>
      <w:spacing w:after="0" w:line="120" w:lineRule="auto"/>
      <w:rPr>
        <w:rFonts w:ascii="Century Gothic" w:hAnsi="Century Gothic" w:eastAsia="Geo" w:cs="Geo"/>
        <w:sz w:val="16"/>
        <w:szCs w:val="16"/>
        <w:lang w:eastAsia="es-CO"/>
      </w:rPr>
    </w:pPr>
  </w:p>
  <w:p w:rsidR="008A446D" w:rsidP="00061B2A" w:rsidRDefault="008A446D" w14:paraId="1FD1C243" w14:textId="6D74A3CF">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83" style="width:12pt;height:12pt" o:bullet="t" type="#_x0000_t75">
        <v:imagedata o:title="mso1B13" r:id="rId1"/>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3673EA2"/>
    <w:multiLevelType w:val="hybridMultilevel"/>
    <w:tmpl w:val="8438BB1C"/>
    <w:lvl w:ilvl="0" w:tplc="2E98FA7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7E405F"/>
    <w:multiLevelType w:val="hybridMultilevel"/>
    <w:tmpl w:val="6AC6A902"/>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1" w15:restartNumberingAfterBreak="0">
    <w:nsid w:val="5A123ABF"/>
    <w:multiLevelType w:val="hybridMultilevel"/>
    <w:tmpl w:val="9490DF68"/>
    <w:lvl w:ilvl="0" w:tplc="98A20CA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hint="default" w:ascii="Symbol" w:hAnsi="Symbol"/>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5"/>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3"/>
  </w:num>
  <w:num w:numId="14" w16cid:durableId="895897244">
    <w:abstractNumId w:val="16"/>
  </w:num>
  <w:num w:numId="15" w16cid:durableId="390349800">
    <w:abstractNumId w:val="12"/>
  </w:num>
  <w:num w:numId="16" w16cid:durableId="202817398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7122089">
    <w:abstractNumId w:val="7"/>
  </w:num>
  <w:num w:numId="18" w16cid:durableId="1213273347">
    <w:abstractNumId w:val="10"/>
  </w:num>
  <w:num w:numId="19" w16cid:durableId="834420691">
    <w:abstractNumId w:val="1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8686D"/>
    <w:rsid w:val="000A683E"/>
    <w:rsid w:val="000B19B9"/>
    <w:rsid w:val="000D0334"/>
    <w:rsid w:val="000F6486"/>
    <w:rsid w:val="00125105"/>
    <w:rsid w:val="00127233"/>
    <w:rsid w:val="001E4177"/>
    <w:rsid w:val="001F7DC6"/>
    <w:rsid w:val="00216364"/>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26D1"/>
    <w:rsid w:val="003A779E"/>
    <w:rsid w:val="003D0F4D"/>
    <w:rsid w:val="003D5B0D"/>
    <w:rsid w:val="003E0499"/>
    <w:rsid w:val="003F3941"/>
    <w:rsid w:val="00406575"/>
    <w:rsid w:val="0042722E"/>
    <w:rsid w:val="0044528D"/>
    <w:rsid w:val="004A1847"/>
    <w:rsid w:val="004A305D"/>
    <w:rsid w:val="004B0EA7"/>
    <w:rsid w:val="004F21C4"/>
    <w:rsid w:val="004F685F"/>
    <w:rsid w:val="00511074"/>
    <w:rsid w:val="005566E8"/>
    <w:rsid w:val="00574867"/>
    <w:rsid w:val="00591460"/>
    <w:rsid w:val="00592628"/>
    <w:rsid w:val="005C3777"/>
    <w:rsid w:val="005C5CDC"/>
    <w:rsid w:val="005D476C"/>
    <w:rsid w:val="0061037C"/>
    <w:rsid w:val="00610812"/>
    <w:rsid w:val="006219F8"/>
    <w:rsid w:val="00650FF7"/>
    <w:rsid w:val="0065594C"/>
    <w:rsid w:val="00665D70"/>
    <w:rsid w:val="00671DAC"/>
    <w:rsid w:val="006900D9"/>
    <w:rsid w:val="006D12F8"/>
    <w:rsid w:val="006F3118"/>
    <w:rsid w:val="00706C16"/>
    <w:rsid w:val="00756841"/>
    <w:rsid w:val="007649AB"/>
    <w:rsid w:val="00771D0C"/>
    <w:rsid w:val="007833AC"/>
    <w:rsid w:val="007B268C"/>
    <w:rsid w:val="007B7171"/>
    <w:rsid w:val="007C0C0F"/>
    <w:rsid w:val="007C3DC2"/>
    <w:rsid w:val="007E5497"/>
    <w:rsid w:val="00806F5F"/>
    <w:rsid w:val="00820278"/>
    <w:rsid w:val="008571C2"/>
    <w:rsid w:val="0085775F"/>
    <w:rsid w:val="00866C2B"/>
    <w:rsid w:val="008843B6"/>
    <w:rsid w:val="00891928"/>
    <w:rsid w:val="008A446D"/>
    <w:rsid w:val="008D180B"/>
    <w:rsid w:val="008F0648"/>
    <w:rsid w:val="008F0EA7"/>
    <w:rsid w:val="00923EEF"/>
    <w:rsid w:val="009419F9"/>
    <w:rsid w:val="0095685E"/>
    <w:rsid w:val="00961B09"/>
    <w:rsid w:val="00965334"/>
    <w:rsid w:val="0097074A"/>
    <w:rsid w:val="0097093E"/>
    <w:rsid w:val="009A0DFA"/>
    <w:rsid w:val="009B2D26"/>
    <w:rsid w:val="009C71FA"/>
    <w:rsid w:val="009C72E7"/>
    <w:rsid w:val="009D3058"/>
    <w:rsid w:val="009F3A13"/>
    <w:rsid w:val="00A122D3"/>
    <w:rsid w:val="00A17F13"/>
    <w:rsid w:val="00A20739"/>
    <w:rsid w:val="00A33C78"/>
    <w:rsid w:val="00A522FE"/>
    <w:rsid w:val="00A9235A"/>
    <w:rsid w:val="00AB0ADB"/>
    <w:rsid w:val="00B01B1A"/>
    <w:rsid w:val="00B5581A"/>
    <w:rsid w:val="00B63EB8"/>
    <w:rsid w:val="00B72CD3"/>
    <w:rsid w:val="00B72FFF"/>
    <w:rsid w:val="00B8473D"/>
    <w:rsid w:val="00BC091F"/>
    <w:rsid w:val="00BC3D36"/>
    <w:rsid w:val="00BD7F72"/>
    <w:rsid w:val="00BE11C0"/>
    <w:rsid w:val="00BE46C3"/>
    <w:rsid w:val="00C04FB3"/>
    <w:rsid w:val="00C330EB"/>
    <w:rsid w:val="00C754BE"/>
    <w:rsid w:val="00C76B1C"/>
    <w:rsid w:val="00CB6357"/>
    <w:rsid w:val="00CC1B26"/>
    <w:rsid w:val="00D35443"/>
    <w:rsid w:val="00D423A2"/>
    <w:rsid w:val="00D520D8"/>
    <w:rsid w:val="00D63AC2"/>
    <w:rsid w:val="00D7383B"/>
    <w:rsid w:val="00DA231B"/>
    <w:rsid w:val="00DA23A0"/>
    <w:rsid w:val="00DC39FC"/>
    <w:rsid w:val="00DF5254"/>
    <w:rsid w:val="00DF6C69"/>
    <w:rsid w:val="00E13DA0"/>
    <w:rsid w:val="00E16408"/>
    <w:rsid w:val="00E20894"/>
    <w:rsid w:val="00E245AB"/>
    <w:rsid w:val="00E2764C"/>
    <w:rsid w:val="00E27F2E"/>
    <w:rsid w:val="00E4129B"/>
    <w:rsid w:val="00E413EA"/>
    <w:rsid w:val="00E50AFE"/>
    <w:rsid w:val="00E704E9"/>
    <w:rsid w:val="00E75C92"/>
    <w:rsid w:val="00E771DC"/>
    <w:rsid w:val="00E8772A"/>
    <w:rsid w:val="00E90F6B"/>
    <w:rsid w:val="00E92C27"/>
    <w:rsid w:val="00EA0E3D"/>
    <w:rsid w:val="00EB1545"/>
    <w:rsid w:val="00EB53A2"/>
    <w:rsid w:val="00EC38A7"/>
    <w:rsid w:val="00EE1AA8"/>
    <w:rsid w:val="00F31EDC"/>
    <w:rsid w:val="00F462B3"/>
    <w:rsid w:val="00F5664F"/>
    <w:rsid w:val="00F666C4"/>
    <w:rsid w:val="00F76AFC"/>
    <w:rsid w:val="00FA47C0"/>
    <w:rsid w:val="00FB5DD1"/>
    <w:rsid w:val="00FC2B5D"/>
    <w:rsid w:val="00FD2D28"/>
    <w:rsid w:val="00FF1449"/>
    <w:rsid w:val="5CEADB7B"/>
    <w:rsid w:val="64549B9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Appelnotedebasde" w:customStyle="1">
    <w:name w:val="Appel note de bas de..."/>
    <w:basedOn w:val="Normal"/>
    <w:link w:val="Refdenotaalpie"/>
    <w:uiPriority w:val="99"/>
    <w:rsid w:val="0097074A"/>
    <w:pPr>
      <w:spacing w:line="240" w:lineRule="exact"/>
    </w:pPr>
    <w:rPr>
      <w:vertAlign w:val="superscript"/>
    </w:rPr>
  </w:style>
  <w:style w:type="table" w:styleId="Tablaconcuadrcula1" w:customStyle="1">
    <w:name w:val="Tabla con cuadrícula1"/>
    <w:basedOn w:val="Tablanormal"/>
    <w:next w:val="Tablaconcuadrcula"/>
    <w:uiPriority w:val="39"/>
    <w:qFormat/>
    <w:rsid w:val="0097074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97074A"/>
    <w:rPr>
      <w:rFonts w:ascii="Geomanist Light" w:hAnsi="Geomanist Light"/>
      <w:lang w:val="es-ES"/>
    </w:rPr>
  </w:style>
  <w:style w:type="character" w:styleId="Refdecomentario">
    <w:name w:val="annotation reference"/>
    <w:basedOn w:val="Fuentedeprrafopredeter"/>
    <w:uiPriority w:val="99"/>
    <w:semiHidden/>
    <w:unhideWhenUsed/>
    <w:rsid w:val="00E704E9"/>
    <w:rPr>
      <w:sz w:val="16"/>
      <w:szCs w:val="16"/>
    </w:rPr>
  </w:style>
  <w:style w:type="paragraph" w:styleId="Textocomentario">
    <w:name w:val="annotation text"/>
    <w:basedOn w:val="Normal"/>
    <w:link w:val="TextocomentarioCar"/>
    <w:uiPriority w:val="99"/>
    <w:unhideWhenUsed/>
    <w:rsid w:val="00E704E9"/>
    <w:pPr>
      <w:spacing w:line="240" w:lineRule="auto"/>
    </w:pPr>
    <w:rPr>
      <w:sz w:val="20"/>
      <w:szCs w:val="20"/>
    </w:rPr>
  </w:style>
  <w:style w:type="character" w:styleId="TextocomentarioCar" w:customStyle="1">
    <w:name w:val="Texto comentario Car"/>
    <w:basedOn w:val="Fuentedeprrafopredeter"/>
    <w:link w:val="Textocomentario"/>
    <w:uiPriority w:val="99"/>
    <w:rsid w:val="00E704E9"/>
    <w:rPr>
      <w:sz w:val="20"/>
      <w:szCs w:val="20"/>
    </w:rPr>
  </w:style>
  <w:style w:type="paragraph" w:styleId="Asuntodelcomentario">
    <w:name w:val="annotation subject"/>
    <w:basedOn w:val="Textocomentario"/>
    <w:next w:val="Textocomentario"/>
    <w:link w:val="AsuntodelcomentarioCar"/>
    <w:uiPriority w:val="99"/>
    <w:semiHidden/>
    <w:unhideWhenUsed/>
    <w:rsid w:val="00E704E9"/>
    <w:rPr>
      <w:b/>
      <w:bCs/>
    </w:rPr>
  </w:style>
  <w:style w:type="character" w:styleId="AsuntodelcomentarioCar" w:customStyle="1">
    <w:name w:val="Asunto del comentario Car"/>
    <w:basedOn w:val="TextocomentarioCar"/>
    <w:link w:val="Asuntodelcomentario"/>
    <w:uiPriority w:val="99"/>
    <w:semiHidden/>
    <w:rsid w:val="00E704E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nam02.safelinks.protection.outlook.com/?url=https%3A%2F%2Fwww.colombiacompra.gov.co%2Fsala-de-prensa%2Fboletin-digital%2Fboletin-de-relatoria-2024-iv&amp;data=05%7C02%7Cjuan.avendano%40colombiacompra.gov.co%7C616b83c3423e4d31151908dce489c00d%7C7b09041e245149d08cb179d5e3d8c1be%7C0%7C0%7C638636527541272440%7CUnknown%7CTWFpbGZsb3d8eyJWIjoiMC4wLjAwMDAiLCJQIjoiV2luMzIiLCJBTiI6Ik1haWwiLCJXVCI6Mn0%3D%7C0%7C%7C%7C&amp;sdata=VOv0vUywNxNx7YXgqlxhlII5V3j%2Ffeq3dcExMx1BZ1g%3D&amp;reserved=0"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juancamilo.silva@gmail.com" TargetMode="External" Id="rId11"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image" Target="media/image2.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3.png" Id="rId14" /></Relationships>
</file>

<file path=word/_rels/footnotes.xml.rels><?xml version="1.0" encoding="UTF-8" standalone="yes"?>
<Relationships xmlns="http://schemas.openxmlformats.org/package/2006/relationships"><Relationship Id="rId1" Type="http://schemas.openxmlformats.org/officeDocument/2006/relationships/hyperlink" Target="http://leyes.senado.gov.co/proyectos/index.php/textos-radicados-senado/p-ley-2020-2021/1957-proyecto-de-ley-161-de-20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7321A079-7596-4D55-AD70-E77D479CDD4F}"/>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Betty Elena Díaz Fernandez</lastModifiedBy>
  <revision>3</revision>
  <lastPrinted>2023-01-10T21:18:00.0000000Z</lastPrinted>
  <dcterms:created xsi:type="dcterms:W3CDTF">2024-10-28T20:26:00.0000000Z</dcterms:created>
  <dcterms:modified xsi:type="dcterms:W3CDTF">2024-10-29T16:13:39.0967827Z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