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6C2C82" w:rsidP="006C2C82" w:rsidRDefault="006C2C82" w14:paraId="1AAFE85D" w14:textId="77777777">
      <w:pPr>
        <w:spacing w:after="0" w:line="240" w:lineRule="auto"/>
        <w:jc w:val="both"/>
        <w:rPr>
          <w:rFonts w:ascii="Verdana" w:hAnsi="Verdana" w:eastAsia="Aptos" w:cs="Times New Roman"/>
          <w:sz w:val="20"/>
          <w:szCs w:val="20"/>
        </w:rPr>
      </w:pPr>
      <w:bookmarkStart w:name="_Hlk181166130" w:id="0"/>
      <w:bookmarkStart w:name="_Hlk143780582" w:id="1"/>
    </w:p>
    <w:p w:rsidR="006C2C82" w:rsidP="006C2C82" w:rsidRDefault="006C2C82" w14:paraId="6971FA2B" w14:textId="77777777">
      <w:pPr>
        <w:spacing w:after="0" w:line="240" w:lineRule="auto"/>
        <w:rPr>
          <w:rFonts w:ascii="Verdana" w:hAnsi="Verdana" w:eastAsia="Calibri" w:cs="Arial"/>
          <w:b/>
          <w:bCs/>
          <w:color w:val="000000" w:themeColor="text1"/>
          <w:lang w:val="es-ES_tradnl" w:eastAsia="es-ES_tradnl"/>
        </w:rPr>
      </w:pPr>
      <w:r w:rsidRPr="00DE1465">
        <w:rPr>
          <w:rFonts w:ascii="Verdana" w:hAnsi="Verdana" w:eastAsia="Calibri" w:cs="Arial"/>
          <w:b/>
          <w:bCs/>
          <w:color w:val="000000" w:themeColor="text1"/>
          <w:lang w:val="es-ES_tradnl" w:eastAsia="es-ES_tradnl"/>
        </w:rPr>
        <w:t>SOFTWARE – Adquisición y desarrollo – Modalidades de selección</w:t>
      </w:r>
    </w:p>
    <w:p w:rsidR="006C2C82" w:rsidP="006C2C82" w:rsidRDefault="006C2C82" w14:paraId="54974146" w14:textId="77777777">
      <w:pPr>
        <w:spacing w:after="0" w:line="240" w:lineRule="auto"/>
        <w:jc w:val="both"/>
        <w:rPr>
          <w:rFonts w:ascii="Verdana" w:hAnsi="Verdana" w:eastAsia="Aptos" w:cs="Times New Roman"/>
          <w:sz w:val="20"/>
          <w:szCs w:val="20"/>
        </w:rPr>
      </w:pPr>
    </w:p>
    <w:p w:rsidR="006C2C82" w:rsidP="006C2C82" w:rsidRDefault="006C2C82" w14:paraId="49B00BB9" w14:textId="4FA43C81">
      <w:pPr>
        <w:spacing w:after="0" w:line="240" w:lineRule="auto"/>
        <w:jc w:val="both"/>
        <w:rPr>
          <w:rFonts w:ascii="Verdana" w:hAnsi="Verdana" w:eastAsia="Aptos" w:cs="Times New Roman"/>
          <w:sz w:val="20"/>
          <w:szCs w:val="20"/>
        </w:rPr>
      </w:pPr>
      <w:r>
        <w:rPr>
          <w:rFonts w:ascii="Verdana" w:hAnsi="Verdana" w:eastAsia="Aptos" w:cs="Times New Roman"/>
          <w:sz w:val="20"/>
          <w:szCs w:val="20"/>
        </w:rPr>
        <w:t>L</w:t>
      </w:r>
      <w:r w:rsidRPr="0004611B">
        <w:rPr>
          <w:rFonts w:ascii="Verdana" w:hAnsi="Verdana" w:eastAsia="Aptos" w:cs="Times New Roman"/>
          <w:sz w:val="20"/>
          <w:szCs w:val="20"/>
        </w:rPr>
        <w:t xml:space="preserve">a Agencia Nacional de Contratación </w:t>
      </w:r>
      <w:r w:rsidRPr="0004611B" w:rsidR="00BE7487">
        <w:rPr>
          <w:rFonts w:ascii="Verdana" w:hAnsi="Verdana" w:eastAsia="Aptos" w:cs="Times New Roman"/>
          <w:sz w:val="20"/>
          <w:szCs w:val="20"/>
        </w:rPr>
        <w:t>Pública</w:t>
      </w:r>
      <w:r w:rsidRPr="0004611B">
        <w:rPr>
          <w:rFonts w:ascii="Verdana" w:hAnsi="Verdana" w:eastAsia="Aptos" w:cs="Times New Roman"/>
          <w:sz w:val="20"/>
          <w:szCs w:val="20"/>
        </w:rPr>
        <w:t xml:space="preserve"> recomienda en la “</w:t>
      </w:r>
      <w:r w:rsidRPr="0004611B" w:rsidR="00BE7487">
        <w:rPr>
          <w:rFonts w:ascii="Verdana" w:hAnsi="Verdana" w:eastAsia="Aptos" w:cs="Times New Roman"/>
          <w:sz w:val="20"/>
          <w:szCs w:val="20"/>
        </w:rPr>
        <w:t>Guía</w:t>
      </w:r>
      <w:r w:rsidRPr="0004611B">
        <w:rPr>
          <w:rFonts w:ascii="Verdana" w:hAnsi="Verdana" w:eastAsia="Aptos" w:cs="Times New Roman"/>
          <w:sz w:val="20"/>
          <w:szCs w:val="20"/>
        </w:rPr>
        <w:t xml:space="preserve"> de Buenas </w:t>
      </w:r>
      <w:r w:rsidRPr="0004611B" w:rsidR="00BE7487">
        <w:rPr>
          <w:rFonts w:ascii="Verdana" w:hAnsi="Verdana" w:eastAsia="Aptos" w:cs="Times New Roman"/>
          <w:sz w:val="20"/>
          <w:szCs w:val="20"/>
        </w:rPr>
        <w:t>Prácticas</w:t>
      </w:r>
      <w:r w:rsidRPr="0004611B">
        <w:rPr>
          <w:rFonts w:ascii="Verdana" w:hAnsi="Verdana" w:eastAsia="Aptos" w:cs="Times New Roman"/>
          <w:sz w:val="20"/>
          <w:szCs w:val="20"/>
        </w:rPr>
        <w:t xml:space="preserve"> en la </w:t>
      </w:r>
      <w:r w:rsidRPr="0004611B" w:rsidR="0096573B">
        <w:rPr>
          <w:rFonts w:ascii="Verdana" w:hAnsi="Verdana" w:eastAsia="Aptos" w:cs="Times New Roman"/>
          <w:sz w:val="20"/>
          <w:szCs w:val="20"/>
        </w:rPr>
        <w:t>adquisición</w:t>
      </w:r>
      <w:r w:rsidRPr="0004611B">
        <w:rPr>
          <w:rFonts w:ascii="Verdana" w:hAnsi="Verdana" w:eastAsia="Aptos" w:cs="Times New Roman"/>
          <w:sz w:val="20"/>
          <w:szCs w:val="20"/>
        </w:rPr>
        <w:t xml:space="preserve"> de Software y servicios asociados” que: i) La </w:t>
      </w:r>
      <w:r w:rsidRPr="0004611B" w:rsidR="0096573B">
        <w:rPr>
          <w:rFonts w:ascii="Verdana" w:hAnsi="Verdana" w:eastAsia="Aptos" w:cs="Times New Roman"/>
          <w:sz w:val="20"/>
          <w:szCs w:val="20"/>
        </w:rPr>
        <w:t>adquisición</w:t>
      </w:r>
      <w:r w:rsidRPr="0004611B">
        <w:rPr>
          <w:rFonts w:ascii="Verdana" w:hAnsi="Verdana" w:eastAsia="Aptos" w:cs="Times New Roman"/>
          <w:sz w:val="20"/>
          <w:szCs w:val="20"/>
        </w:rPr>
        <w:t xml:space="preserve"> de software se realice por </w:t>
      </w:r>
      <w:r w:rsidRPr="0004611B" w:rsidR="0096573B">
        <w:rPr>
          <w:rFonts w:ascii="Verdana" w:hAnsi="Verdana" w:eastAsia="Aptos" w:cs="Times New Roman"/>
          <w:sz w:val="20"/>
          <w:szCs w:val="20"/>
        </w:rPr>
        <w:t>selección</w:t>
      </w:r>
      <w:r w:rsidRPr="0004611B">
        <w:rPr>
          <w:rFonts w:ascii="Verdana" w:hAnsi="Verdana" w:eastAsia="Aptos" w:cs="Times New Roman"/>
          <w:sz w:val="20"/>
          <w:szCs w:val="20"/>
        </w:rPr>
        <w:t xml:space="preserve"> abreviada por subasta inversa cuando se trate de bienes de </w:t>
      </w:r>
      <w:r w:rsidRPr="0004611B" w:rsidR="0096573B">
        <w:rPr>
          <w:rFonts w:ascii="Verdana" w:hAnsi="Verdana" w:eastAsia="Aptos" w:cs="Times New Roman"/>
          <w:sz w:val="20"/>
          <w:szCs w:val="20"/>
        </w:rPr>
        <w:t>características</w:t>
      </w:r>
      <w:r w:rsidRPr="0004611B">
        <w:rPr>
          <w:rFonts w:ascii="Verdana" w:hAnsi="Verdana" w:eastAsia="Aptos" w:cs="Times New Roman"/>
          <w:sz w:val="20"/>
          <w:szCs w:val="20"/>
        </w:rPr>
        <w:t xml:space="preserve"> </w:t>
      </w:r>
      <w:r w:rsidRPr="0004611B" w:rsidR="0096573B">
        <w:rPr>
          <w:rFonts w:ascii="Verdana" w:hAnsi="Verdana" w:eastAsia="Aptos" w:cs="Times New Roman"/>
          <w:sz w:val="20"/>
          <w:szCs w:val="20"/>
        </w:rPr>
        <w:t>técnicas</w:t>
      </w:r>
      <w:r w:rsidRPr="0004611B">
        <w:rPr>
          <w:rFonts w:ascii="Verdana" w:hAnsi="Verdana" w:eastAsia="Aptos" w:cs="Times New Roman"/>
          <w:sz w:val="20"/>
          <w:szCs w:val="20"/>
        </w:rPr>
        <w:t xml:space="preserve"> </w:t>
      </w:r>
      <w:r w:rsidRPr="00EF2CEC">
        <w:rPr>
          <w:rFonts w:ascii="Verdana" w:hAnsi="Verdana" w:eastAsia="Aptos" w:cs="Times New Roman"/>
          <w:sz w:val="20"/>
          <w:szCs w:val="20"/>
        </w:rPr>
        <w:t xml:space="preserve">uniformes, sin perjuicio de lo dispuesto en materia de Acuerdos Marco de Precios e Instrumentos de </w:t>
      </w:r>
      <w:r w:rsidRPr="00EF2CEC" w:rsidR="0096573B">
        <w:rPr>
          <w:rFonts w:ascii="Verdana" w:hAnsi="Verdana" w:eastAsia="Aptos" w:cs="Times New Roman"/>
          <w:sz w:val="20"/>
          <w:szCs w:val="20"/>
        </w:rPr>
        <w:t>Agregación</w:t>
      </w:r>
      <w:r w:rsidRPr="00EF2CEC">
        <w:rPr>
          <w:rFonts w:ascii="Verdana" w:hAnsi="Verdana" w:eastAsia="Aptos" w:cs="Times New Roman"/>
          <w:sz w:val="20"/>
          <w:szCs w:val="20"/>
        </w:rPr>
        <w:t xml:space="preserve"> de Demanda. En los casos en que la </w:t>
      </w:r>
      <w:r w:rsidRPr="00EF2CEC" w:rsidR="0096573B">
        <w:rPr>
          <w:rFonts w:ascii="Verdana" w:hAnsi="Verdana" w:eastAsia="Aptos" w:cs="Times New Roman"/>
          <w:sz w:val="20"/>
          <w:szCs w:val="20"/>
        </w:rPr>
        <w:t>adquisición</w:t>
      </w:r>
      <w:r w:rsidRPr="00EF2CEC">
        <w:rPr>
          <w:rFonts w:ascii="Verdana" w:hAnsi="Verdana" w:eastAsia="Aptos" w:cs="Times New Roman"/>
          <w:sz w:val="20"/>
          <w:szCs w:val="20"/>
        </w:rPr>
        <w:t xml:space="preserve"> no se refiera en la </w:t>
      </w:r>
      <w:r w:rsidRPr="00EF2CEC" w:rsidR="0096573B">
        <w:rPr>
          <w:rFonts w:ascii="Verdana" w:hAnsi="Verdana" w:eastAsia="Aptos" w:cs="Times New Roman"/>
          <w:sz w:val="20"/>
          <w:szCs w:val="20"/>
        </w:rPr>
        <w:t>práctica</w:t>
      </w:r>
      <w:r w:rsidRPr="00EF2CEC">
        <w:rPr>
          <w:rFonts w:ascii="Verdana" w:hAnsi="Verdana" w:eastAsia="Aptos" w:cs="Times New Roman"/>
          <w:sz w:val="20"/>
          <w:szCs w:val="20"/>
        </w:rPr>
        <w:t xml:space="preserve"> a bienes de </w:t>
      </w:r>
      <w:r w:rsidRPr="00EF2CEC" w:rsidR="0096573B">
        <w:rPr>
          <w:rFonts w:ascii="Verdana" w:hAnsi="Verdana" w:eastAsia="Aptos" w:cs="Times New Roman"/>
          <w:sz w:val="20"/>
          <w:szCs w:val="20"/>
        </w:rPr>
        <w:t>características</w:t>
      </w:r>
      <w:r w:rsidRPr="00EF2CEC">
        <w:rPr>
          <w:rFonts w:ascii="Verdana" w:hAnsi="Verdana" w:eastAsia="Aptos" w:cs="Times New Roman"/>
          <w:sz w:val="20"/>
          <w:szCs w:val="20"/>
        </w:rPr>
        <w:t xml:space="preserve"> </w:t>
      </w:r>
      <w:r w:rsidRPr="00EF2CEC" w:rsidR="0096573B">
        <w:rPr>
          <w:rFonts w:ascii="Verdana" w:hAnsi="Verdana" w:eastAsia="Aptos" w:cs="Times New Roman"/>
          <w:sz w:val="20"/>
          <w:szCs w:val="20"/>
        </w:rPr>
        <w:t>técnicas</w:t>
      </w:r>
      <w:r w:rsidRPr="00EF2CEC">
        <w:rPr>
          <w:rFonts w:ascii="Verdana" w:hAnsi="Verdana" w:eastAsia="Aptos" w:cs="Times New Roman"/>
          <w:sz w:val="20"/>
          <w:szCs w:val="20"/>
        </w:rPr>
        <w:t xml:space="preserve"> uniformes, es necesario adelantar un proceso de </w:t>
      </w:r>
      <w:r w:rsidRPr="00EF2CEC" w:rsidR="0096573B">
        <w:rPr>
          <w:rFonts w:ascii="Verdana" w:hAnsi="Verdana" w:eastAsia="Aptos" w:cs="Times New Roman"/>
          <w:sz w:val="20"/>
          <w:szCs w:val="20"/>
        </w:rPr>
        <w:t>contratación</w:t>
      </w:r>
      <w:r w:rsidRPr="00EF2CEC">
        <w:rPr>
          <w:rFonts w:ascii="Verdana" w:hAnsi="Verdana" w:eastAsia="Aptos" w:cs="Times New Roman"/>
          <w:sz w:val="20"/>
          <w:szCs w:val="20"/>
        </w:rPr>
        <w:t xml:space="preserve"> mediante las modalidades de </w:t>
      </w:r>
      <w:r w:rsidRPr="00EF2CEC" w:rsidR="0096573B">
        <w:rPr>
          <w:rFonts w:ascii="Verdana" w:hAnsi="Verdana" w:eastAsia="Aptos" w:cs="Times New Roman"/>
          <w:sz w:val="20"/>
          <w:szCs w:val="20"/>
        </w:rPr>
        <w:t>licitación</w:t>
      </w:r>
      <w:r w:rsidRPr="00EF2CEC">
        <w:rPr>
          <w:rFonts w:ascii="Verdana" w:hAnsi="Verdana" w:eastAsia="Aptos" w:cs="Times New Roman"/>
          <w:sz w:val="20"/>
          <w:szCs w:val="20"/>
        </w:rPr>
        <w:t xml:space="preserve"> </w:t>
      </w:r>
      <w:r w:rsidRPr="00EF2CEC" w:rsidR="0096573B">
        <w:rPr>
          <w:rFonts w:ascii="Verdana" w:hAnsi="Verdana" w:eastAsia="Aptos" w:cs="Times New Roman"/>
          <w:sz w:val="20"/>
          <w:szCs w:val="20"/>
        </w:rPr>
        <w:t>pública</w:t>
      </w:r>
      <w:r w:rsidRPr="00EF2CEC">
        <w:rPr>
          <w:rFonts w:ascii="Verdana" w:hAnsi="Verdana" w:eastAsia="Aptos" w:cs="Times New Roman"/>
          <w:sz w:val="20"/>
          <w:szCs w:val="20"/>
        </w:rPr>
        <w:t xml:space="preserve">, </w:t>
      </w:r>
      <w:r w:rsidRPr="00EF2CEC" w:rsidR="0096573B">
        <w:rPr>
          <w:rFonts w:ascii="Verdana" w:hAnsi="Verdana" w:eastAsia="Aptos" w:cs="Times New Roman"/>
          <w:sz w:val="20"/>
          <w:szCs w:val="20"/>
        </w:rPr>
        <w:t>mínima</w:t>
      </w:r>
      <w:r w:rsidRPr="00EF2CEC">
        <w:rPr>
          <w:rFonts w:ascii="Verdana" w:hAnsi="Verdana" w:eastAsia="Aptos" w:cs="Times New Roman"/>
          <w:sz w:val="20"/>
          <w:szCs w:val="20"/>
        </w:rPr>
        <w:t xml:space="preserve"> </w:t>
      </w:r>
      <w:r w:rsidRPr="00EF2CEC" w:rsidR="0096573B">
        <w:rPr>
          <w:rFonts w:ascii="Verdana" w:hAnsi="Verdana" w:eastAsia="Aptos" w:cs="Times New Roman"/>
          <w:sz w:val="20"/>
          <w:szCs w:val="20"/>
        </w:rPr>
        <w:t>cuantía</w:t>
      </w:r>
      <w:r w:rsidRPr="00EF2CEC">
        <w:rPr>
          <w:rFonts w:ascii="Verdana" w:hAnsi="Verdana" w:eastAsia="Aptos" w:cs="Times New Roman"/>
          <w:sz w:val="20"/>
          <w:szCs w:val="20"/>
        </w:rPr>
        <w:t xml:space="preserve"> o el concurso de </w:t>
      </w:r>
      <w:r w:rsidRPr="00EF2CEC" w:rsidR="0096573B">
        <w:rPr>
          <w:rFonts w:ascii="Verdana" w:hAnsi="Verdana" w:eastAsia="Aptos" w:cs="Times New Roman"/>
          <w:sz w:val="20"/>
          <w:szCs w:val="20"/>
        </w:rPr>
        <w:t>méritos</w:t>
      </w:r>
      <w:r w:rsidRPr="00EF2CEC">
        <w:rPr>
          <w:rFonts w:ascii="Verdana" w:hAnsi="Verdana" w:eastAsia="Aptos" w:cs="Times New Roman"/>
          <w:sz w:val="20"/>
          <w:szCs w:val="20"/>
        </w:rPr>
        <w:t xml:space="preserve">, siempre que se cumplan los supuestos que para ello dispone el Estatuto General de </w:t>
      </w:r>
      <w:r w:rsidRPr="00EF2CEC" w:rsidR="0096573B">
        <w:rPr>
          <w:rFonts w:ascii="Verdana" w:hAnsi="Verdana" w:eastAsia="Aptos" w:cs="Times New Roman"/>
          <w:sz w:val="20"/>
          <w:szCs w:val="20"/>
        </w:rPr>
        <w:t>Contratación</w:t>
      </w:r>
      <w:r w:rsidRPr="00EF2CEC">
        <w:rPr>
          <w:rFonts w:ascii="Verdana" w:hAnsi="Verdana" w:eastAsia="Aptos" w:cs="Times New Roman"/>
          <w:sz w:val="20"/>
          <w:szCs w:val="20"/>
        </w:rPr>
        <w:t xml:space="preserve"> de la </w:t>
      </w:r>
      <w:r w:rsidRPr="00EF2CEC" w:rsidR="0096573B">
        <w:rPr>
          <w:rFonts w:ascii="Verdana" w:hAnsi="Verdana" w:eastAsia="Aptos" w:cs="Times New Roman"/>
          <w:sz w:val="20"/>
          <w:szCs w:val="20"/>
        </w:rPr>
        <w:t>Administración</w:t>
      </w:r>
      <w:r w:rsidRPr="00EF2CEC">
        <w:rPr>
          <w:rFonts w:ascii="Verdana" w:hAnsi="Verdana" w:eastAsia="Aptos" w:cs="Times New Roman"/>
          <w:sz w:val="20"/>
          <w:szCs w:val="20"/>
        </w:rPr>
        <w:t xml:space="preserve"> </w:t>
      </w:r>
      <w:r w:rsidRPr="00EF2CEC" w:rsidR="0096573B">
        <w:rPr>
          <w:rFonts w:ascii="Verdana" w:hAnsi="Verdana" w:eastAsia="Aptos" w:cs="Times New Roman"/>
          <w:sz w:val="20"/>
          <w:szCs w:val="20"/>
        </w:rPr>
        <w:t>Pública</w:t>
      </w:r>
      <w:r w:rsidRPr="00EF2CEC">
        <w:rPr>
          <w:rFonts w:ascii="Verdana" w:hAnsi="Verdana" w:eastAsia="Aptos" w:cs="Times New Roman"/>
          <w:sz w:val="20"/>
          <w:szCs w:val="20"/>
        </w:rPr>
        <w:t xml:space="preserve">. </w:t>
      </w:r>
      <w:r w:rsidRPr="0004611B">
        <w:rPr>
          <w:rFonts w:ascii="Verdana" w:hAnsi="Verdana" w:eastAsia="Aptos" w:cs="Times New Roman"/>
          <w:sz w:val="20"/>
          <w:szCs w:val="20"/>
        </w:rPr>
        <w:t xml:space="preserve">ii) Las Entidades contraten el desarrollo de software por medio de la modalidad del concurso de </w:t>
      </w:r>
      <w:r w:rsidRPr="0004611B" w:rsidR="0096573B">
        <w:rPr>
          <w:rFonts w:ascii="Verdana" w:hAnsi="Verdana" w:eastAsia="Aptos" w:cs="Times New Roman"/>
          <w:sz w:val="20"/>
          <w:szCs w:val="20"/>
        </w:rPr>
        <w:t>méritos</w:t>
      </w:r>
      <w:r w:rsidRPr="0004611B">
        <w:rPr>
          <w:rFonts w:ascii="Verdana" w:hAnsi="Verdana" w:eastAsia="Aptos" w:cs="Times New Roman"/>
          <w:sz w:val="20"/>
          <w:szCs w:val="20"/>
        </w:rPr>
        <w:t xml:space="preserve">. iii) Los procesos para contratar una </w:t>
      </w:r>
      <w:r w:rsidRPr="0004611B" w:rsidR="0096573B">
        <w:rPr>
          <w:rFonts w:ascii="Verdana" w:hAnsi="Verdana" w:eastAsia="Aptos" w:cs="Times New Roman"/>
          <w:sz w:val="20"/>
          <w:szCs w:val="20"/>
        </w:rPr>
        <w:t>fábrica</w:t>
      </w:r>
      <w:r w:rsidRPr="0004611B">
        <w:rPr>
          <w:rFonts w:ascii="Verdana" w:hAnsi="Verdana" w:eastAsia="Aptos" w:cs="Times New Roman"/>
          <w:sz w:val="20"/>
          <w:szCs w:val="20"/>
        </w:rPr>
        <w:t xml:space="preserve"> de software se adelanten mediante </w:t>
      </w:r>
      <w:r w:rsidRPr="0004611B" w:rsidR="0096573B">
        <w:rPr>
          <w:rFonts w:ascii="Verdana" w:hAnsi="Verdana" w:eastAsia="Aptos" w:cs="Times New Roman"/>
          <w:sz w:val="20"/>
          <w:szCs w:val="20"/>
        </w:rPr>
        <w:t>licitación</w:t>
      </w:r>
      <w:r w:rsidRPr="0004611B">
        <w:rPr>
          <w:rFonts w:ascii="Verdana" w:hAnsi="Verdana" w:eastAsia="Aptos" w:cs="Times New Roman"/>
          <w:sz w:val="20"/>
          <w:szCs w:val="20"/>
        </w:rPr>
        <w:t xml:space="preserve"> </w:t>
      </w:r>
      <w:r w:rsidRPr="0004611B" w:rsidR="0096573B">
        <w:rPr>
          <w:rFonts w:ascii="Verdana" w:hAnsi="Verdana" w:eastAsia="Aptos" w:cs="Times New Roman"/>
          <w:sz w:val="20"/>
          <w:szCs w:val="20"/>
        </w:rPr>
        <w:t>pública</w:t>
      </w:r>
      <w:r w:rsidRPr="0004611B">
        <w:rPr>
          <w:rFonts w:ascii="Verdana" w:hAnsi="Verdana" w:eastAsia="Aptos" w:cs="Times New Roman"/>
          <w:sz w:val="20"/>
          <w:szCs w:val="20"/>
        </w:rPr>
        <w:t xml:space="preserve">, siempre que no impliquen aspectos que hagan procedente otra modalidad de </w:t>
      </w:r>
      <w:r w:rsidRPr="0004611B" w:rsidR="0096573B">
        <w:rPr>
          <w:rFonts w:ascii="Verdana" w:hAnsi="Verdana" w:eastAsia="Aptos" w:cs="Times New Roman"/>
          <w:sz w:val="20"/>
          <w:szCs w:val="20"/>
        </w:rPr>
        <w:t>selección</w:t>
      </w:r>
      <w:r w:rsidRPr="0004611B">
        <w:rPr>
          <w:rFonts w:ascii="Verdana" w:hAnsi="Verdana" w:eastAsia="Aptos" w:cs="Times New Roman"/>
          <w:sz w:val="20"/>
          <w:szCs w:val="20"/>
        </w:rPr>
        <w:t xml:space="preserve">, como es el caso de la </w:t>
      </w:r>
      <w:r w:rsidRPr="0004611B" w:rsidR="0096573B">
        <w:rPr>
          <w:rFonts w:ascii="Verdana" w:hAnsi="Verdana" w:eastAsia="Aptos" w:cs="Times New Roman"/>
          <w:sz w:val="20"/>
          <w:szCs w:val="20"/>
        </w:rPr>
        <w:t>selección</w:t>
      </w:r>
      <w:r w:rsidRPr="0004611B">
        <w:rPr>
          <w:rFonts w:ascii="Verdana" w:hAnsi="Verdana" w:eastAsia="Aptos" w:cs="Times New Roman"/>
          <w:sz w:val="20"/>
          <w:szCs w:val="20"/>
        </w:rPr>
        <w:t xml:space="preserve"> abreviada por subasta inversa cuando se trate de bienes de </w:t>
      </w:r>
      <w:r w:rsidRPr="0004611B" w:rsidR="0096573B">
        <w:rPr>
          <w:rFonts w:ascii="Verdana" w:hAnsi="Verdana" w:eastAsia="Aptos" w:cs="Times New Roman"/>
          <w:sz w:val="20"/>
          <w:szCs w:val="20"/>
        </w:rPr>
        <w:t>características</w:t>
      </w:r>
      <w:r w:rsidRPr="0004611B">
        <w:rPr>
          <w:rFonts w:ascii="Verdana" w:hAnsi="Verdana" w:eastAsia="Aptos" w:cs="Times New Roman"/>
          <w:sz w:val="20"/>
          <w:szCs w:val="20"/>
        </w:rPr>
        <w:t xml:space="preserve"> técnicas uniformes. </w:t>
      </w:r>
    </w:p>
    <w:p w:rsidR="006C2C82" w:rsidP="006C2C82" w:rsidRDefault="006C2C82" w14:paraId="01BE8443" w14:textId="77777777">
      <w:pPr>
        <w:spacing w:after="0" w:line="240" w:lineRule="auto"/>
        <w:jc w:val="both"/>
        <w:rPr>
          <w:rFonts w:ascii="Verdana" w:hAnsi="Verdana" w:eastAsia="Aptos" w:cs="Times New Roman"/>
          <w:sz w:val="20"/>
          <w:szCs w:val="20"/>
        </w:rPr>
      </w:pPr>
    </w:p>
    <w:p w:rsidR="006C2C82" w:rsidP="006C2C82" w:rsidRDefault="006C2C82" w14:paraId="04E4BFD5" w14:textId="77777777">
      <w:pPr>
        <w:spacing w:after="0" w:line="240" w:lineRule="auto"/>
        <w:jc w:val="both"/>
        <w:rPr>
          <w:rFonts w:ascii="Verdana" w:hAnsi="Verdana" w:eastAsia="Aptos" w:cs="Times New Roman"/>
          <w:sz w:val="20"/>
          <w:szCs w:val="20"/>
        </w:rPr>
      </w:pPr>
    </w:p>
    <w:p w:rsidR="006C2C82" w:rsidP="006C2C82" w:rsidRDefault="006C2C82" w14:paraId="688BC36F" w14:textId="77777777">
      <w:pPr>
        <w:spacing w:after="0" w:line="240" w:lineRule="auto"/>
        <w:jc w:val="both"/>
        <w:rPr>
          <w:rFonts w:ascii="Verdana" w:hAnsi="Verdana" w:eastAsia="Aptos" w:cs="Times New Roman"/>
          <w:sz w:val="20"/>
          <w:szCs w:val="20"/>
        </w:rPr>
      </w:pPr>
    </w:p>
    <w:p w:rsidR="006C2C82" w:rsidP="006C2C82" w:rsidRDefault="006C2C82" w14:paraId="1987C58A" w14:textId="77777777">
      <w:pPr>
        <w:spacing w:after="0" w:line="240" w:lineRule="auto"/>
        <w:jc w:val="both"/>
        <w:rPr>
          <w:rFonts w:ascii="Verdana" w:hAnsi="Verdana" w:eastAsia="Aptos" w:cs="Times New Roman"/>
          <w:sz w:val="20"/>
          <w:szCs w:val="20"/>
        </w:rPr>
      </w:pPr>
    </w:p>
    <w:p w:rsidR="006C2C82" w:rsidP="006C2C82" w:rsidRDefault="006C2C82" w14:paraId="31FC4B12" w14:textId="77777777">
      <w:pPr>
        <w:spacing w:after="0" w:line="240" w:lineRule="auto"/>
        <w:jc w:val="both"/>
        <w:rPr>
          <w:rFonts w:ascii="Verdana" w:hAnsi="Verdana" w:eastAsia="Aptos" w:cs="Times New Roman"/>
          <w:sz w:val="20"/>
          <w:szCs w:val="20"/>
        </w:rPr>
      </w:pPr>
    </w:p>
    <w:p w:rsidR="006C2C82" w:rsidP="006C2C82" w:rsidRDefault="006C2C82" w14:paraId="365835E7" w14:textId="77777777">
      <w:pPr>
        <w:spacing w:after="0" w:line="240" w:lineRule="auto"/>
        <w:jc w:val="both"/>
        <w:rPr>
          <w:rFonts w:ascii="Verdana" w:hAnsi="Verdana" w:eastAsia="Aptos" w:cs="Times New Roman"/>
          <w:sz w:val="20"/>
          <w:szCs w:val="20"/>
        </w:rPr>
      </w:pPr>
    </w:p>
    <w:p w:rsidR="006C2C82" w:rsidP="006C2C82" w:rsidRDefault="006C2C82" w14:paraId="5A7DB2C7" w14:textId="77777777">
      <w:pPr>
        <w:spacing w:after="0" w:line="240" w:lineRule="auto"/>
        <w:jc w:val="both"/>
        <w:rPr>
          <w:rFonts w:ascii="Verdana" w:hAnsi="Verdana" w:eastAsia="Aptos" w:cs="Times New Roman"/>
          <w:sz w:val="20"/>
          <w:szCs w:val="20"/>
        </w:rPr>
      </w:pPr>
    </w:p>
    <w:p w:rsidR="006C2C82" w:rsidP="006C2C82" w:rsidRDefault="006C2C82" w14:paraId="7ABE73C6" w14:textId="77777777">
      <w:pPr>
        <w:spacing w:after="0" w:line="240" w:lineRule="auto"/>
        <w:jc w:val="both"/>
        <w:rPr>
          <w:rFonts w:ascii="Verdana" w:hAnsi="Verdana" w:eastAsia="Aptos" w:cs="Times New Roman"/>
          <w:sz w:val="20"/>
          <w:szCs w:val="20"/>
        </w:rPr>
      </w:pPr>
    </w:p>
    <w:p w:rsidR="006C2C82" w:rsidP="006C2C82" w:rsidRDefault="006C2C82" w14:paraId="142E0C43" w14:textId="77777777">
      <w:pPr>
        <w:spacing w:after="0" w:line="240" w:lineRule="auto"/>
        <w:jc w:val="both"/>
        <w:rPr>
          <w:rFonts w:ascii="Verdana" w:hAnsi="Verdana" w:eastAsia="Aptos" w:cs="Times New Roman"/>
          <w:sz w:val="20"/>
          <w:szCs w:val="20"/>
        </w:rPr>
      </w:pPr>
    </w:p>
    <w:p w:rsidR="006C2C82" w:rsidP="006C2C82" w:rsidRDefault="006C2C82" w14:paraId="1BF38A72" w14:textId="77777777">
      <w:pPr>
        <w:spacing w:after="0" w:line="240" w:lineRule="auto"/>
        <w:jc w:val="both"/>
        <w:rPr>
          <w:rFonts w:ascii="Verdana" w:hAnsi="Verdana" w:eastAsia="Aptos" w:cs="Times New Roman"/>
          <w:sz w:val="20"/>
          <w:szCs w:val="20"/>
        </w:rPr>
      </w:pPr>
    </w:p>
    <w:p w:rsidR="006C2C82" w:rsidP="006C2C82" w:rsidRDefault="006C2C82" w14:paraId="1A75C8B4" w14:textId="77777777">
      <w:pPr>
        <w:spacing w:after="0" w:line="240" w:lineRule="auto"/>
        <w:jc w:val="both"/>
        <w:rPr>
          <w:rFonts w:ascii="Verdana" w:hAnsi="Verdana" w:eastAsia="Aptos" w:cs="Times New Roman"/>
          <w:sz w:val="20"/>
          <w:szCs w:val="20"/>
        </w:rPr>
      </w:pPr>
    </w:p>
    <w:p w:rsidR="006C2C82" w:rsidP="006C2C82" w:rsidRDefault="006C2C82" w14:paraId="50FC4667" w14:textId="77777777">
      <w:pPr>
        <w:spacing w:after="0" w:line="240" w:lineRule="auto"/>
        <w:jc w:val="both"/>
        <w:rPr>
          <w:rFonts w:ascii="Verdana" w:hAnsi="Verdana" w:eastAsia="Aptos" w:cs="Times New Roman"/>
          <w:sz w:val="20"/>
          <w:szCs w:val="20"/>
        </w:rPr>
      </w:pPr>
    </w:p>
    <w:p w:rsidR="006C2C82" w:rsidP="006C2C82" w:rsidRDefault="006C2C82" w14:paraId="3983932A" w14:textId="77777777">
      <w:pPr>
        <w:spacing w:after="0" w:line="240" w:lineRule="auto"/>
        <w:jc w:val="both"/>
        <w:rPr>
          <w:rFonts w:ascii="Verdana" w:hAnsi="Verdana" w:eastAsia="Aptos" w:cs="Times New Roman"/>
          <w:sz w:val="20"/>
          <w:szCs w:val="20"/>
        </w:rPr>
      </w:pPr>
    </w:p>
    <w:p w:rsidR="006C2C82" w:rsidP="006C2C82" w:rsidRDefault="006C2C82" w14:paraId="3E788DDD" w14:textId="77777777">
      <w:pPr>
        <w:spacing w:after="0" w:line="240" w:lineRule="auto"/>
        <w:jc w:val="both"/>
        <w:rPr>
          <w:rFonts w:ascii="Verdana" w:hAnsi="Verdana" w:eastAsia="Aptos" w:cs="Times New Roman"/>
          <w:sz w:val="20"/>
          <w:szCs w:val="20"/>
        </w:rPr>
      </w:pPr>
    </w:p>
    <w:p w:rsidR="006C2C82" w:rsidP="006C2C82" w:rsidRDefault="006C2C82" w14:paraId="0A634C2F" w14:textId="77777777">
      <w:pPr>
        <w:spacing w:after="0" w:line="240" w:lineRule="auto"/>
        <w:jc w:val="both"/>
        <w:rPr>
          <w:rFonts w:ascii="Verdana" w:hAnsi="Verdana" w:eastAsia="Aptos" w:cs="Times New Roman"/>
          <w:sz w:val="20"/>
          <w:szCs w:val="20"/>
        </w:rPr>
      </w:pPr>
    </w:p>
    <w:p w:rsidR="006C2C82" w:rsidP="006C2C82" w:rsidRDefault="006C2C82" w14:paraId="0B581C1B" w14:textId="77777777">
      <w:pPr>
        <w:spacing w:after="0" w:line="240" w:lineRule="auto"/>
        <w:jc w:val="both"/>
        <w:rPr>
          <w:rFonts w:ascii="Verdana" w:hAnsi="Verdana" w:eastAsia="Aptos" w:cs="Times New Roman"/>
          <w:sz w:val="20"/>
          <w:szCs w:val="20"/>
        </w:rPr>
      </w:pPr>
    </w:p>
    <w:p w:rsidR="006C2C82" w:rsidP="006C2C82" w:rsidRDefault="006C2C82" w14:paraId="438F7624" w14:textId="77777777">
      <w:pPr>
        <w:spacing w:after="0" w:line="240" w:lineRule="auto"/>
        <w:jc w:val="both"/>
        <w:rPr>
          <w:rFonts w:ascii="Verdana" w:hAnsi="Verdana" w:eastAsia="Aptos" w:cs="Times New Roman"/>
          <w:sz w:val="20"/>
          <w:szCs w:val="20"/>
        </w:rPr>
      </w:pPr>
    </w:p>
    <w:p w:rsidR="006C2C82" w:rsidP="006C2C82" w:rsidRDefault="006C2C82" w14:paraId="28051B2E" w14:textId="77777777">
      <w:pPr>
        <w:spacing w:after="0" w:line="240" w:lineRule="auto"/>
        <w:jc w:val="both"/>
        <w:rPr>
          <w:rFonts w:ascii="Verdana" w:hAnsi="Verdana" w:eastAsia="Aptos" w:cs="Times New Roman"/>
          <w:sz w:val="20"/>
          <w:szCs w:val="20"/>
        </w:rPr>
      </w:pPr>
    </w:p>
    <w:p w:rsidR="006C2C82" w:rsidP="006C2C82" w:rsidRDefault="006C2C82" w14:paraId="329ECC7C" w14:textId="77777777">
      <w:pPr>
        <w:spacing w:after="0" w:line="240" w:lineRule="auto"/>
        <w:jc w:val="both"/>
        <w:rPr>
          <w:rFonts w:ascii="Verdana" w:hAnsi="Verdana" w:eastAsia="Aptos" w:cs="Times New Roman"/>
          <w:sz w:val="20"/>
          <w:szCs w:val="20"/>
        </w:rPr>
      </w:pPr>
    </w:p>
    <w:p w:rsidR="006C2C82" w:rsidP="006C2C82" w:rsidRDefault="006C2C82" w14:paraId="4F8E3442" w14:textId="77777777">
      <w:pPr>
        <w:spacing w:after="0" w:line="240" w:lineRule="auto"/>
        <w:jc w:val="both"/>
        <w:rPr>
          <w:rFonts w:ascii="Verdana" w:hAnsi="Verdana" w:eastAsia="Aptos" w:cs="Times New Roman"/>
          <w:sz w:val="20"/>
          <w:szCs w:val="20"/>
        </w:rPr>
      </w:pPr>
    </w:p>
    <w:p w:rsidR="006C2C82" w:rsidP="006C2C82" w:rsidRDefault="006C2C82" w14:paraId="102EB01F" w14:textId="77777777">
      <w:pPr>
        <w:spacing w:after="0" w:line="240" w:lineRule="auto"/>
        <w:jc w:val="both"/>
        <w:rPr>
          <w:rFonts w:ascii="Verdana" w:hAnsi="Verdana" w:eastAsia="Aptos" w:cs="Times New Roman"/>
          <w:sz w:val="20"/>
          <w:szCs w:val="20"/>
        </w:rPr>
      </w:pPr>
    </w:p>
    <w:p w:rsidR="006C2C82" w:rsidP="006C2C82" w:rsidRDefault="006C2C82" w14:paraId="7F6C1459" w14:textId="77777777">
      <w:pPr>
        <w:spacing w:after="0" w:line="240" w:lineRule="auto"/>
        <w:jc w:val="both"/>
        <w:rPr>
          <w:rFonts w:ascii="Verdana" w:hAnsi="Verdana" w:eastAsia="Aptos" w:cs="Times New Roman"/>
          <w:sz w:val="20"/>
          <w:szCs w:val="20"/>
        </w:rPr>
      </w:pPr>
    </w:p>
    <w:p w:rsidR="006C2C82" w:rsidP="006C2C82" w:rsidRDefault="006C2C82" w14:paraId="1D10E2CC" w14:textId="77777777">
      <w:pPr>
        <w:spacing w:after="0" w:line="240" w:lineRule="auto"/>
        <w:jc w:val="both"/>
        <w:rPr>
          <w:rFonts w:ascii="Verdana" w:hAnsi="Verdana" w:eastAsia="Aptos" w:cs="Times New Roman"/>
          <w:sz w:val="20"/>
          <w:szCs w:val="20"/>
        </w:rPr>
      </w:pPr>
    </w:p>
    <w:p w:rsidR="006C2C82" w:rsidP="006C2C82" w:rsidRDefault="006C2C82" w14:paraId="50202D8A" w14:textId="77777777">
      <w:pPr>
        <w:spacing w:after="0" w:line="240" w:lineRule="auto"/>
        <w:jc w:val="both"/>
        <w:rPr>
          <w:rFonts w:ascii="Verdana" w:hAnsi="Verdana" w:eastAsia="Aptos" w:cs="Times New Roman"/>
          <w:sz w:val="20"/>
          <w:szCs w:val="20"/>
        </w:rPr>
      </w:pPr>
    </w:p>
    <w:p w:rsidR="00F63507" w:rsidP="00EA6F8B" w:rsidRDefault="00F63507" w14:paraId="6F4FF961" w14:textId="77777777">
      <w:pPr>
        <w:spacing w:after="0" w:line="240" w:lineRule="auto"/>
        <w:jc w:val="both"/>
        <w:rPr>
          <w:rFonts w:ascii="Verdana" w:hAnsi="Verdana" w:eastAsia="Aptos" w:cs="Times New Roman"/>
          <w:sz w:val="20"/>
          <w:szCs w:val="20"/>
        </w:rPr>
      </w:pPr>
    </w:p>
    <w:p w:rsidR="00EA6F8B" w:rsidP="00EA6F8B" w:rsidRDefault="00EA6F8B" w14:paraId="703F72DE" w14:textId="77777777">
      <w:pPr>
        <w:spacing w:after="0" w:line="240" w:lineRule="auto"/>
        <w:jc w:val="both"/>
        <w:rPr>
          <w:rFonts w:ascii="Verdana" w:hAnsi="Verdana" w:eastAsia="Aptos" w:cs="Times New Roman"/>
          <w:sz w:val="20"/>
          <w:szCs w:val="20"/>
        </w:rPr>
      </w:pPr>
    </w:p>
    <w:p w:rsidR="00072912" w:rsidP="00EA6F8B" w:rsidRDefault="00072912" w14:paraId="2080E632" w14:textId="77777777">
      <w:pPr>
        <w:spacing w:after="0" w:line="240" w:lineRule="auto"/>
        <w:jc w:val="both"/>
        <w:rPr>
          <w:rFonts w:ascii="Verdana" w:hAnsi="Verdana" w:eastAsia="Aptos" w:cs="Times New Roman"/>
          <w:sz w:val="20"/>
          <w:szCs w:val="20"/>
        </w:rPr>
      </w:pPr>
    </w:p>
    <w:p w:rsidR="00072912" w:rsidP="00EA6F8B" w:rsidRDefault="00072912" w14:paraId="3B7E7456" w14:textId="77777777">
      <w:pPr>
        <w:spacing w:after="0" w:line="240" w:lineRule="auto"/>
        <w:jc w:val="both"/>
        <w:rPr>
          <w:rFonts w:ascii="Verdana" w:hAnsi="Verdana" w:eastAsia="Aptos" w:cs="Times New Roman"/>
          <w:sz w:val="20"/>
          <w:szCs w:val="20"/>
        </w:rPr>
      </w:pPr>
    </w:p>
    <w:p w:rsidR="00EA6F8B" w:rsidP="00EA6F8B" w:rsidRDefault="00EA6F8B" w14:paraId="4D26AE53" w14:textId="77777777">
      <w:pPr>
        <w:spacing w:after="0" w:line="240" w:lineRule="auto"/>
        <w:jc w:val="both"/>
        <w:rPr>
          <w:rFonts w:ascii="Verdana" w:hAnsi="Verdana" w:eastAsia="Aptos" w:cs="Times New Roman"/>
          <w:sz w:val="20"/>
          <w:szCs w:val="20"/>
        </w:rPr>
      </w:pPr>
    </w:p>
    <w:p w:rsidR="00EA6F8B" w:rsidP="00EA6F8B" w:rsidRDefault="00EA6F8B" w14:paraId="5FFA93C5" w14:textId="77777777">
      <w:pPr>
        <w:spacing w:after="0" w:line="240" w:lineRule="auto"/>
        <w:jc w:val="both"/>
        <w:rPr>
          <w:rFonts w:ascii="Verdana" w:hAnsi="Verdana" w:eastAsia="Aptos" w:cs="Times New Roman"/>
          <w:sz w:val="20"/>
          <w:szCs w:val="20"/>
        </w:rPr>
      </w:pPr>
    </w:p>
    <w:p w:rsidR="00EA6F8B" w:rsidP="00EA6F8B" w:rsidRDefault="00EA6F8B" w14:paraId="2B03E2CE" w14:textId="77777777">
      <w:pPr>
        <w:spacing w:after="0" w:line="240" w:lineRule="auto"/>
        <w:jc w:val="both"/>
        <w:rPr>
          <w:rFonts w:ascii="Verdana" w:hAnsi="Verdana" w:eastAsia="Aptos" w:cs="Times New Roman"/>
          <w:sz w:val="20"/>
          <w:szCs w:val="20"/>
        </w:rPr>
      </w:pPr>
    </w:p>
    <w:p w:rsidR="00EA6F8B" w:rsidP="00EA6F8B" w:rsidRDefault="00EA6F8B" w14:paraId="4F20C470" w14:textId="77777777">
      <w:pPr>
        <w:spacing w:after="0" w:line="240" w:lineRule="auto"/>
        <w:jc w:val="both"/>
        <w:rPr>
          <w:rFonts w:ascii="Verdana" w:hAnsi="Verdana" w:eastAsia="Aptos" w:cs="Times New Roman"/>
          <w:sz w:val="20"/>
          <w:szCs w:val="20"/>
        </w:rPr>
      </w:pPr>
    </w:p>
    <w:p w:rsidR="00941699" w:rsidP="00EA6F8B" w:rsidRDefault="00941699" w14:paraId="328436FE" w14:textId="13DF8294">
      <w:pPr>
        <w:spacing w:after="0"/>
        <w:rPr>
          <w:rFonts w:ascii="Verdana" w:hAnsi="Verdana"/>
        </w:rPr>
      </w:pPr>
    </w:p>
    <w:p w:rsidR="00EA6F8B" w:rsidP="00EA6F8B" w:rsidRDefault="00EA6F8B" w14:paraId="371CE118" w14:textId="22DF2EBF">
      <w:pPr>
        <w:spacing w:after="0"/>
        <w:rPr>
          <w:rFonts w:ascii="Verdana" w:hAnsi="Verdana"/>
        </w:rPr>
      </w:pPr>
      <w:r w:rsidRPr="075ED4F8" w:rsidR="00EA6F8B">
        <w:rPr>
          <w:rFonts w:ascii="Verdana" w:hAnsi="Verdana"/>
        </w:rPr>
        <w:t>B</w:t>
      </w:r>
      <w:r w:rsidRPr="075ED4F8" w:rsidR="00EA6F8B">
        <w:rPr>
          <w:rFonts w:ascii="Verdana" w:hAnsi="Verdana"/>
        </w:rPr>
        <w:t xml:space="preserve">ogotá D.C., </w:t>
      </w:r>
      <w:r w:rsidRPr="075ED4F8" w:rsidR="00AB59B6">
        <w:rPr>
          <w:rFonts w:ascii="Verdana" w:hAnsi="Verdana"/>
        </w:rPr>
        <w:t>2</w:t>
      </w:r>
      <w:r w:rsidRPr="075ED4F8" w:rsidR="24B124F6">
        <w:rPr>
          <w:rFonts w:ascii="Verdana" w:hAnsi="Verdana"/>
        </w:rPr>
        <w:t>5</w:t>
      </w:r>
      <w:r w:rsidRPr="075ED4F8" w:rsidR="00941699">
        <w:rPr>
          <w:rFonts w:ascii="Verdana" w:hAnsi="Verdana"/>
        </w:rPr>
        <w:t xml:space="preserve"> de junio de 2025.</w:t>
      </w:r>
    </w:p>
    <w:p w:rsidR="00EA6F8B" w:rsidP="00EA6F8B" w:rsidRDefault="00434387" w14:paraId="69F4187A" w14:textId="6B68B1B8">
      <w:pPr>
        <w:spacing w:after="0"/>
        <w:rPr>
          <w:rFonts w:ascii="Verdana" w:hAnsi="Verdana"/>
        </w:rPr>
      </w:pPr>
      <w:bookmarkStart w:name="_Hlk180638295" w:id="2"/>
      <w:bookmarkEnd w:id="0"/>
      <w:r>
        <w:rPr>
          <w:noProof/>
        </w:rPr>
        <w:drawing>
          <wp:anchor distT="0" distB="0" distL="0" distR="0" simplePos="0" relativeHeight="251658240" behindDoc="0" locked="0" layoutInCell="1" allowOverlap="1" wp14:anchorId="79EA59FD" wp14:editId="167DA434">
            <wp:simplePos x="0" y="0"/>
            <wp:positionH relativeFrom="page">
              <wp:posOffset>4394835</wp:posOffset>
            </wp:positionH>
            <wp:positionV relativeFrom="paragraph">
              <wp:posOffset>11430</wp:posOffset>
            </wp:positionV>
            <wp:extent cx="2705100" cy="694166"/>
            <wp:effectExtent l="0" t="0" r="0" b="0"/>
            <wp:wrapNone/>
            <wp:docPr id="8" name="Image 8" descr="Texto&#10;&#10;El contenido generado por IA puede ser incorrecto." titl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descr="Texto&#10;&#10;El contenido generado por IA puede ser incorrecto."/>
                    <pic:cNvPicPr/>
                  </pic:nvPicPr>
                  <pic:blipFill>
                    <a:blip r:embed="rId11" cstate="print"/>
                    <a:stretch>
                      <a:fillRect/>
                    </a:stretch>
                  </pic:blipFill>
                  <pic:spPr>
                    <a:xfrm rot="0" flipH="0" flipV="0">
                      <a:off x="0" y="0"/>
                      <a:ext cx="2705100" cy="694166"/>
                    </a:xfrm>
                    <a:prstGeom prst="rect">
                      <a:avLst/>
                    </a:prstGeom>
                  </pic:spPr>
                </pic:pic>
              </a:graphicData>
            </a:graphic>
          </wp:anchor>
        </w:drawing>
      </w:r>
    </w:p>
    <w:p w:rsidR="00941699" w:rsidP="00941699" w:rsidRDefault="00941699" w14:paraId="5554CD70" w14:textId="26B43BD9">
      <w:pPr>
        <w:spacing w:after="0"/>
        <w:jc w:val="right"/>
        <w:rPr>
          <w:rFonts w:ascii="Verdana" w:hAnsi="Verdana"/>
        </w:rPr>
      </w:pPr>
    </w:p>
    <w:p w:rsidR="00941699" w:rsidP="00EA6F8B" w:rsidRDefault="00941699" w14:paraId="69F88F0A" w14:textId="145E296F">
      <w:pPr>
        <w:spacing w:after="0"/>
        <w:rPr>
          <w:rFonts w:ascii="Verdana" w:hAnsi="Verdana"/>
        </w:rPr>
      </w:pPr>
    </w:p>
    <w:p w:rsidR="00EA6F8B" w:rsidP="00EA6F8B" w:rsidRDefault="00EA6F8B" w14:paraId="67A410D3" w14:textId="70396FCB">
      <w:pPr>
        <w:spacing w:after="0" w:line="240" w:lineRule="auto"/>
        <w:jc w:val="both"/>
        <w:rPr>
          <w:rFonts w:ascii="Verdana" w:hAnsi="Verdana" w:eastAsia="Calibri" w:cs="Arial"/>
          <w:lang w:eastAsia="es-ES"/>
        </w:rPr>
      </w:pPr>
      <w:bookmarkStart w:name="_Hlk181166167" w:id="3"/>
      <w:r w:rsidRPr="005E62E2">
        <w:rPr>
          <w:rFonts w:ascii="Verdana" w:hAnsi="Verdana" w:eastAsia="Calibri" w:cs="Arial"/>
          <w:lang w:eastAsia="es-ES"/>
        </w:rPr>
        <w:t>Señor</w:t>
      </w:r>
      <w:r w:rsidR="006C2C82">
        <w:rPr>
          <w:rFonts w:ascii="Verdana" w:hAnsi="Verdana" w:eastAsia="Calibri" w:cs="Arial"/>
          <w:lang w:eastAsia="es-ES"/>
        </w:rPr>
        <w:t>a</w:t>
      </w:r>
      <w:r w:rsidRPr="005E62E2">
        <w:rPr>
          <w:rFonts w:ascii="Verdana" w:hAnsi="Verdana" w:eastAsia="Calibri" w:cs="Arial"/>
          <w:lang w:eastAsia="es-ES"/>
        </w:rPr>
        <w:tab/>
      </w:r>
    </w:p>
    <w:p w:rsidR="0042176B" w:rsidP="00EA6F8B" w:rsidRDefault="0042176B" w14:paraId="3CD2F2FD" w14:textId="77777777">
      <w:pPr>
        <w:spacing w:after="0" w:line="240" w:lineRule="auto"/>
        <w:rPr>
          <w:rFonts w:ascii="Verdana" w:hAnsi="Verdana" w:eastAsia="Calibri" w:cs="Arial"/>
          <w:b/>
          <w:bCs/>
          <w:lang w:eastAsia="es-ES"/>
        </w:rPr>
      </w:pPr>
      <w:r w:rsidRPr="0042176B">
        <w:rPr>
          <w:rFonts w:ascii="Verdana" w:hAnsi="Verdana" w:eastAsia="Calibri" w:cs="Arial"/>
          <w:b/>
          <w:bCs/>
          <w:lang w:eastAsia="es-ES"/>
        </w:rPr>
        <w:t>LUISA FERNANDA FERNANDEZ CASTELLANOS</w:t>
      </w:r>
    </w:p>
    <w:p w:rsidR="00D33345" w:rsidP="00EA6F8B" w:rsidRDefault="00D33345" w14:paraId="76C8E480" w14:textId="180457FB">
      <w:pPr>
        <w:spacing w:after="0" w:line="240" w:lineRule="auto"/>
        <w:rPr>
          <w:rFonts w:ascii="Verdana" w:hAnsi="Verdana"/>
        </w:rPr>
      </w:pPr>
      <w:hyperlink w:history="1" r:id="rId12">
        <w:r w:rsidRPr="005F29BE">
          <w:rPr>
            <w:rStyle w:val="Hyperlink"/>
            <w:rFonts w:ascii="Verdana" w:hAnsi="Verdana"/>
          </w:rPr>
          <w:t>lufefe28@hotmail.com</w:t>
        </w:r>
      </w:hyperlink>
    </w:p>
    <w:p w:rsidR="00EA6F8B" w:rsidP="00EA6F8B" w:rsidRDefault="00EA6F8B" w14:paraId="4E828135" w14:textId="655B3338">
      <w:pPr>
        <w:spacing w:after="0" w:line="240" w:lineRule="auto"/>
        <w:rPr>
          <w:rFonts w:ascii="Verdana" w:hAnsi="Verdana" w:eastAsia="Calibri" w:cs="Arial"/>
          <w:color w:val="000000"/>
          <w:lang w:val="es-ES_tradnl" w:eastAsia="es-ES_tradnl"/>
        </w:rPr>
      </w:pPr>
      <w:r w:rsidRPr="00FE3DEC">
        <w:rPr>
          <w:rFonts w:ascii="Verdana" w:hAnsi="Verdana" w:eastAsia="Calibri" w:cs="Arial"/>
          <w:color w:val="000000"/>
          <w:lang w:val="es-ES_tradnl" w:eastAsia="es-ES_tradnl"/>
        </w:rPr>
        <w:t>Bogotá D.C.</w:t>
      </w:r>
    </w:p>
    <w:p w:rsidRPr="00FE3DEC" w:rsidR="00EA6F8B" w:rsidP="00EA6F8B" w:rsidRDefault="00EA6F8B" w14:paraId="7FA3ADA2" w14:textId="77777777">
      <w:pPr>
        <w:spacing w:after="0" w:line="240" w:lineRule="auto"/>
        <w:rPr>
          <w:rFonts w:ascii="Verdana" w:hAnsi="Verdana" w:eastAsia="Calibri" w:cs="Arial"/>
          <w:color w:val="000000"/>
          <w:lang w:val="es-ES_tradnl" w:eastAsia="es-ES_tradnl"/>
        </w:rPr>
      </w:pPr>
    </w:p>
    <w:tbl>
      <w:tblPr>
        <w:tblStyle w:val="TableGrid"/>
        <w:tblW w:w="921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410"/>
        <w:gridCol w:w="6468"/>
        <w:gridCol w:w="336"/>
      </w:tblGrid>
      <w:tr w:rsidRPr="00593A5F" w:rsidR="00EA6F8B" w:rsidTr="69FE9A1B" w14:paraId="4F897313" w14:textId="77777777">
        <w:trPr>
          <w:trHeight w:val="884"/>
        </w:trPr>
        <w:tc>
          <w:tcPr>
            <w:tcW w:w="2410" w:type="dxa"/>
          </w:tcPr>
          <w:p w:rsidRPr="00E5644F" w:rsidR="00EA6F8B" w:rsidP="00434387" w:rsidRDefault="00EA6F8B" w14:paraId="454928D2" w14:textId="77777777">
            <w:pPr>
              <w:jc w:val="both"/>
              <w:rPr>
                <w:rFonts w:ascii="Verdana" w:hAnsi="Verdana" w:eastAsia="Calibri" w:cs="Arial"/>
                <w:b/>
                <w:bCs/>
                <w:color w:val="7030A0"/>
                <w:lang w:val="es-ES_tradnl" w:eastAsia="es-ES_tradnl"/>
              </w:rPr>
            </w:pPr>
          </w:p>
        </w:tc>
        <w:tc>
          <w:tcPr>
            <w:tcW w:w="6804" w:type="dxa"/>
            <w:gridSpan w:val="2"/>
          </w:tcPr>
          <w:p w:rsidRPr="00E5644F" w:rsidR="00EA6F8B" w:rsidP="00434387" w:rsidRDefault="00EA6F8B" w14:paraId="22AFDBA1" w14:textId="61777CA9">
            <w:pPr>
              <w:jc w:val="both"/>
              <w:rPr>
                <w:rFonts w:ascii="Verdana" w:hAnsi="Verdana" w:eastAsia="Calibri" w:cs="Arial"/>
                <w:b/>
                <w:bCs/>
                <w:color w:val="7030A0"/>
                <w:lang w:val="es-ES" w:eastAsia="es-ES"/>
              </w:rPr>
            </w:pPr>
            <w:r w:rsidRPr="00E5644F">
              <w:rPr>
                <w:rFonts w:ascii="Verdana" w:hAnsi="Verdana" w:eastAsia="Calibri" w:cs="Arial"/>
                <w:b/>
                <w:bCs/>
                <w:lang w:val="es-ES" w:eastAsia="es-ES"/>
              </w:rPr>
              <w:t xml:space="preserve">Concepto C- </w:t>
            </w:r>
            <w:r>
              <w:rPr>
                <w:rFonts w:ascii="Verdana" w:hAnsi="Verdana" w:eastAsia="Calibri" w:cs="Arial"/>
                <w:b/>
                <w:bCs/>
                <w:lang w:val="es-ES" w:eastAsia="es-ES"/>
              </w:rPr>
              <w:t>5</w:t>
            </w:r>
            <w:r w:rsidR="0042176B">
              <w:rPr>
                <w:rFonts w:ascii="Verdana" w:hAnsi="Verdana" w:eastAsia="Calibri" w:cs="Arial"/>
                <w:b/>
                <w:bCs/>
                <w:lang w:val="es-ES" w:eastAsia="es-ES"/>
              </w:rPr>
              <w:t>91</w:t>
            </w:r>
            <w:r>
              <w:rPr>
                <w:rFonts w:ascii="Verdana" w:hAnsi="Verdana" w:eastAsia="Calibri" w:cs="Arial"/>
                <w:b/>
                <w:bCs/>
                <w:lang w:val="es-ES" w:eastAsia="es-ES"/>
              </w:rPr>
              <w:t xml:space="preserve"> </w:t>
            </w:r>
            <w:r w:rsidRPr="00E5644F">
              <w:rPr>
                <w:rFonts w:ascii="Verdana" w:hAnsi="Verdana" w:eastAsia="Calibri" w:cs="Arial"/>
                <w:b/>
                <w:bCs/>
                <w:lang w:val="es-ES" w:eastAsia="es-ES"/>
              </w:rPr>
              <w:t>de 202</w:t>
            </w:r>
            <w:r>
              <w:rPr>
                <w:rFonts w:ascii="Verdana" w:hAnsi="Verdana" w:eastAsia="Calibri" w:cs="Arial"/>
                <w:b/>
                <w:bCs/>
                <w:lang w:val="es-ES" w:eastAsia="es-ES"/>
              </w:rPr>
              <w:t>5</w:t>
            </w:r>
          </w:p>
        </w:tc>
      </w:tr>
      <w:tr w:rsidRPr="00A52DE7" w:rsidR="00EA6F8B" w:rsidTr="69FE9A1B" w14:paraId="2D01086E" w14:textId="77777777">
        <w:trPr>
          <w:trHeight w:val="884"/>
        </w:trPr>
        <w:tc>
          <w:tcPr>
            <w:tcW w:w="2410" w:type="dxa"/>
          </w:tcPr>
          <w:p w:rsidRPr="00593A5F" w:rsidR="00EA6F8B" w:rsidP="00434387" w:rsidRDefault="00EA6F8B" w14:paraId="67107398" w14:textId="77777777">
            <w:pPr>
              <w:jc w:val="both"/>
              <w:rPr>
                <w:rFonts w:ascii="Verdana" w:hAnsi="Verdana" w:eastAsia="Calibri" w:cs="Arial"/>
                <w:color w:val="000000"/>
                <w:lang w:val="es-ES_tradnl" w:eastAsia="es-ES_tradnl"/>
              </w:rPr>
            </w:pPr>
            <w:r w:rsidRPr="00593A5F">
              <w:rPr>
                <w:rFonts w:ascii="Verdana" w:hAnsi="Verdana" w:eastAsia="Calibri" w:cs="Arial"/>
                <w:b/>
                <w:color w:val="000000"/>
                <w:lang w:val="es-ES_tradnl" w:eastAsia="es-ES_tradnl"/>
              </w:rPr>
              <w:t>Temas:</w:t>
            </w:r>
            <w:r w:rsidRPr="00593A5F">
              <w:rPr>
                <w:rFonts w:ascii="Verdana" w:hAnsi="Verdana" w:eastAsia="Calibri" w:cs="Arial"/>
                <w:color w:val="000000"/>
                <w:lang w:val="es-ES_tradnl" w:eastAsia="es-ES_tradnl"/>
              </w:rPr>
              <w:t xml:space="preserve">                   </w:t>
            </w:r>
          </w:p>
        </w:tc>
        <w:tc>
          <w:tcPr>
            <w:tcW w:w="6804" w:type="dxa"/>
            <w:gridSpan w:val="2"/>
          </w:tcPr>
          <w:p w:rsidRPr="009C5A97" w:rsidR="00987663" w:rsidP="00987663" w:rsidRDefault="00987663" w14:paraId="6038C737" w14:textId="77777777">
            <w:pPr>
              <w:spacing w:line="276" w:lineRule="auto"/>
              <w:jc w:val="both"/>
              <w:rPr>
                <w:rFonts w:ascii="Verdana" w:hAnsi="Verdana" w:eastAsia="Calibri" w:cs="Arial"/>
                <w:b/>
                <w:bCs/>
                <w:sz w:val="20"/>
                <w:szCs w:val="20"/>
                <w:lang w:val="es-ES" w:eastAsia="es-ES"/>
              </w:rPr>
            </w:pPr>
            <w:r w:rsidRPr="009E43CB">
              <w:rPr>
                <w:rFonts w:ascii="Verdana" w:hAnsi="Verdana" w:eastAsia="Calibri" w:cs="Arial"/>
                <w:color w:val="000000" w:themeColor="text1"/>
                <w:lang w:val="es-ES_tradnl" w:eastAsia="es-ES_tradnl"/>
              </w:rPr>
              <w:t>SOFTWARE – Adquisición y desarrollo – Modalidades de selección</w:t>
            </w:r>
            <w:r w:rsidRPr="00122FA4">
              <w:rPr>
                <w:rFonts w:ascii="Verdana" w:hAnsi="Verdana" w:eastAsia="Calibri" w:cs="Arial"/>
                <w:color w:val="000000" w:themeColor="text1"/>
                <w:lang w:val="es-ES" w:eastAsia="es-ES"/>
              </w:rPr>
              <w:t>.</w:t>
            </w:r>
          </w:p>
          <w:p w:rsidR="00EA6F8B" w:rsidP="00434387" w:rsidRDefault="00EA6F8B" w14:paraId="23D97E05" w14:textId="23B8E982">
            <w:pPr>
              <w:jc w:val="both"/>
              <w:rPr>
                <w:rFonts w:ascii="Verdana" w:hAnsi="Verdana" w:eastAsia="Calibri" w:cs="Arial"/>
                <w:color w:val="000000"/>
                <w:lang w:val="es-ES_tradnl"/>
              </w:rPr>
            </w:pPr>
          </w:p>
          <w:p w:rsidRPr="00A52DE7" w:rsidR="00EA6F8B" w:rsidP="00434387" w:rsidRDefault="00EA6F8B" w14:paraId="69C45BC2" w14:textId="77777777">
            <w:pPr>
              <w:jc w:val="both"/>
              <w:rPr>
                <w:rFonts w:ascii="Verdana" w:hAnsi="Verdana" w:eastAsia="Calibri" w:cs="Arial"/>
                <w:b/>
                <w:highlight w:val="yellow"/>
                <w:lang w:val="es-ES" w:eastAsia="es-ES"/>
              </w:rPr>
            </w:pPr>
          </w:p>
        </w:tc>
      </w:tr>
      <w:tr w:rsidRPr="00531C97" w:rsidR="00EA6F8B" w:rsidTr="69FE9A1B" w14:paraId="2C773FAB" w14:textId="77777777">
        <w:tc>
          <w:tcPr>
            <w:tcW w:w="2410" w:type="dxa"/>
          </w:tcPr>
          <w:p w:rsidRPr="00531C97" w:rsidR="00EA6F8B" w:rsidP="00434387" w:rsidRDefault="00EA6F8B" w14:paraId="1BAD2D78" w14:textId="77777777">
            <w:pPr>
              <w:jc w:val="both"/>
              <w:rPr>
                <w:rFonts w:ascii="Verdana" w:hAnsi="Verdana" w:eastAsia="Calibri" w:cs="Arial"/>
                <w:b/>
                <w:lang w:val="es-ES_tradnl" w:eastAsia="es-ES_tradnl"/>
              </w:rPr>
            </w:pPr>
            <w:r w:rsidRPr="00531C97">
              <w:rPr>
                <w:rFonts w:ascii="Verdana" w:hAnsi="Verdana" w:eastAsia="Calibri" w:cs="Arial"/>
                <w:b/>
                <w:lang w:val="es-ES_tradnl" w:eastAsia="es-ES_tradnl"/>
              </w:rPr>
              <w:t>Radicación:</w:t>
            </w:r>
            <w:r w:rsidRPr="00531C97">
              <w:rPr>
                <w:rFonts w:ascii="Verdana" w:hAnsi="Verdana" w:eastAsia="Calibri" w:cs="Arial"/>
                <w:lang w:val="es-ES_tradnl" w:eastAsia="es-ES_tradnl"/>
              </w:rPr>
              <w:t xml:space="preserve">               </w:t>
            </w:r>
          </w:p>
        </w:tc>
        <w:tc>
          <w:tcPr>
            <w:tcW w:w="6804" w:type="dxa"/>
            <w:gridSpan w:val="2"/>
          </w:tcPr>
          <w:p w:rsidRPr="00531C97" w:rsidR="00EA6F8B" w:rsidP="69FE9A1B" w:rsidRDefault="00EA6F8B" w14:paraId="5DB60F56" w14:textId="1902EF9B">
            <w:pPr>
              <w:jc w:val="both"/>
              <w:rPr>
                <w:rFonts w:ascii="Verdana" w:hAnsi="Verdana" w:eastAsia="Calibri" w:cs="Arial"/>
                <w:lang w:val="es-ES" w:eastAsia="es-ES"/>
              </w:rPr>
            </w:pPr>
            <w:r w:rsidRPr="69FE9A1B">
              <w:rPr>
                <w:rFonts w:ascii="Verdana" w:hAnsi="Verdana" w:eastAsia="Calibri" w:cs="Arial"/>
                <w:lang w:val="es-ES" w:eastAsia="es-ES"/>
              </w:rPr>
              <w:t xml:space="preserve">Respuesta a consulta con radicado No. </w:t>
            </w:r>
            <w:r w:rsidRPr="69FE9A1B" w:rsidR="00531C97">
              <w:rPr>
                <w:rFonts w:ascii="Verdana" w:hAnsi="Verdana" w:eastAsia="Calibri" w:cs="Arial"/>
                <w:lang w:val="es-ES" w:eastAsia="es-ES"/>
              </w:rPr>
              <w:t>P202505</w:t>
            </w:r>
            <w:r w:rsidRPr="69FE9A1B" w:rsidR="4F910545">
              <w:rPr>
                <w:rFonts w:ascii="Verdana" w:hAnsi="Verdana" w:eastAsia="Calibri" w:cs="Arial"/>
                <w:lang w:val="es-ES" w:eastAsia="es-ES"/>
              </w:rPr>
              <w:t>14</w:t>
            </w:r>
            <w:r w:rsidRPr="69FE9A1B" w:rsidR="00531C97">
              <w:rPr>
                <w:rFonts w:ascii="Verdana" w:hAnsi="Verdana" w:eastAsia="Calibri" w:cs="Arial"/>
                <w:lang w:val="es-ES" w:eastAsia="es-ES"/>
              </w:rPr>
              <w:t>004</w:t>
            </w:r>
            <w:r w:rsidRPr="69FE9A1B" w:rsidR="2C060A93">
              <w:rPr>
                <w:rFonts w:ascii="Verdana" w:hAnsi="Verdana" w:eastAsia="Calibri" w:cs="Arial"/>
                <w:lang w:val="es-ES" w:eastAsia="es-ES"/>
              </w:rPr>
              <w:t>645</w:t>
            </w:r>
          </w:p>
        </w:tc>
      </w:tr>
      <w:tr w:rsidRPr="00531C97" w:rsidR="00EA6F8B" w:rsidTr="69FE9A1B" w14:paraId="1FC9D79F" w14:textId="77777777">
        <w:trPr>
          <w:gridAfter w:val="1"/>
          <w:wAfter w:w="336" w:type="dxa"/>
          <w:trHeight w:val="233"/>
        </w:trPr>
        <w:tc>
          <w:tcPr>
            <w:tcW w:w="8878" w:type="dxa"/>
            <w:gridSpan w:val="2"/>
          </w:tcPr>
          <w:p w:rsidRPr="00531C97" w:rsidR="00EA6F8B" w:rsidP="00434387" w:rsidRDefault="00EA6F8B" w14:paraId="75D24C66" w14:textId="77777777">
            <w:pPr>
              <w:spacing w:after="120" w:line="276" w:lineRule="auto"/>
              <w:jc w:val="both"/>
              <w:rPr>
                <w:rFonts w:ascii="Verdana" w:hAnsi="Verdana" w:eastAsia="Calibri" w:cs="Arial"/>
                <w:lang w:val="es-ES_tradnl" w:eastAsia="es-ES"/>
              </w:rPr>
            </w:pPr>
          </w:p>
        </w:tc>
      </w:tr>
    </w:tbl>
    <w:p w:rsidRPr="006730E9" w:rsidR="00EA6F8B" w:rsidP="00EA6F8B" w:rsidRDefault="00EA6F8B" w14:paraId="1D61BE43" w14:textId="798A700E">
      <w:pPr>
        <w:spacing w:after="0" w:line="276" w:lineRule="auto"/>
        <w:jc w:val="both"/>
        <w:rPr>
          <w:rFonts w:ascii="Verdana" w:hAnsi="Verdana" w:eastAsia="Calibri" w:cs="Arial"/>
          <w:lang w:val="es-ES" w:eastAsia="es-ES"/>
        </w:rPr>
      </w:pPr>
      <w:r w:rsidRPr="00531C97">
        <w:rPr>
          <w:rFonts w:ascii="Verdana" w:hAnsi="Verdana" w:eastAsia="Calibri" w:cs="Arial"/>
          <w:lang w:val="es-ES" w:eastAsia="es-ES"/>
        </w:rPr>
        <w:t>Estimad</w:t>
      </w:r>
      <w:r w:rsidR="006C2C82">
        <w:rPr>
          <w:rFonts w:ascii="Verdana" w:hAnsi="Verdana" w:eastAsia="Calibri" w:cs="Arial"/>
          <w:lang w:val="es-ES" w:eastAsia="es-ES"/>
        </w:rPr>
        <w:t>a</w:t>
      </w:r>
      <w:r w:rsidRPr="00531C97">
        <w:rPr>
          <w:rFonts w:ascii="Verdana" w:hAnsi="Verdana" w:eastAsia="Calibri" w:cs="Arial"/>
          <w:lang w:val="es-ES" w:eastAsia="es-ES"/>
        </w:rPr>
        <w:t xml:space="preserve"> señor</w:t>
      </w:r>
      <w:r w:rsidR="006C2C82">
        <w:rPr>
          <w:rFonts w:ascii="Verdana" w:hAnsi="Verdana" w:eastAsia="Calibri" w:cs="Arial"/>
          <w:lang w:val="es-ES" w:eastAsia="es-ES"/>
        </w:rPr>
        <w:t>a</w:t>
      </w:r>
      <w:r w:rsidRPr="00531C97">
        <w:rPr>
          <w:rFonts w:ascii="Verdana" w:hAnsi="Verdana" w:eastAsia="Calibri" w:cs="Arial"/>
          <w:lang w:val="es-ES" w:eastAsia="es-ES"/>
        </w:rPr>
        <w:t xml:space="preserve"> </w:t>
      </w:r>
      <w:r w:rsidR="00987663">
        <w:rPr>
          <w:rFonts w:ascii="Verdana" w:hAnsi="Verdana" w:eastAsia="Calibri" w:cs="Arial"/>
          <w:lang w:val="es-ES" w:eastAsia="es-ES"/>
        </w:rPr>
        <w:t>Fernández</w:t>
      </w:r>
      <w:r w:rsidRPr="00531C97">
        <w:rPr>
          <w:rFonts w:ascii="Verdana" w:hAnsi="Verdana" w:eastAsia="Calibri" w:cs="Arial"/>
          <w:lang w:val="es-ES" w:eastAsia="es-ES"/>
        </w:rPr>
        <w:t>;</w:t>
      </w:r>
    </w:p>
    <w:p w:rsidR="00EA6F8B" w:rsidP="00EA6F8B" w:rsidRDefault="00EA6F8B" w14:paraId="49CCDF77" w14:textId="77777777">
      <w:pPr>
        <w:tabs>
          <w:tab w:val="left" w:pos="3768"/>
        </w:tabs>
        <w:spacing w:after="0" w:line="276" w:lineRule="auto"/>
        <w:jc w:val="both"/>
        <w:rPr>
          <w:rFonts w:ascii="Verdana" w:hAnsi="Verdana" w:eastAsia="Calibri" w:cs="Arial"/>
          <w:color w:val="000000" w:themeColor="text1"/>
          <w:lang w:val="es-ES" w:eastAsia="es-ES"/>
        </w:rPr>
      </w:pPr>
      <w:r>
        <w:rPr>
          <w:rFonts w:ascii="Verdana" w:hAnsi="Verdana" w:eastAsia="Calibri" w:cs="Arial"/>
          <w:color w:val="000000" w:themeColor="text1"/>
          <w:lang w:val="es-ES" w:eastAsia="es-ES"/>
        </w:rPr>
        <w:tab/>
      </w:r>
    </w:p>
    <w:p w:rsidRPr="006730E9" w:rsidR="00EA6F8B" w:rsidP="00EA6F8B" w:rsidRDefault="00EA6F8B" w14:paraId="53A5AAE0" w14:textId="2ED8AED9">
      <w:pPr>
        <w:spacing w:after="0" w:line="276" w:lineRule="auto"/>
        <w:jc w:val="both"/>
        <w:rPr>
          <w:rFonts w:ascii="Verdana" w:hAnsi="Verdana" w:eastAsia="Calibri" w:cs="Arial"/>
          <w:lang w:val="es-ES" w:eastAsia="es-ES"/>
        </w:rPr>
      </w:pPr>
      <w:r w:rsidRPr="006730E9">
        <w:rPr>
          <w:rFonts w:ascii="Verdana" w:hAnsi="Verdana" w:eastAsia="Calibri" w:cs="Arial"/>
          <w:lang w:val="es-ES" w:eastAsia="es-ES"/>
        </w:rPr>
        <w:t>En ejercicio de la competencia otorgada por los artículos 3, numeral 5º, y 11, numeral 8º, del Decreto Ley 4170 de 2011,</w:t>
      </w:r>
      <w:r w:rsidRPr="006730E9">
        <w:rPr>
          <w:rFonts w:ascii="Verdana" w:hAnsi="Verdana" w:eastAsia="Arial MT"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hAnsi="Verdana" w:eastAsia="Calibri" w:cs="Arial"/>
          <w:lang w:val="es-ES" w:eastAsia="es-ES"/>
        </w:rPr>
        <w:t xml:space="preserve">la Agencia Nacional de Contratación Pública – Colombia Compra Eficiente– responde su solicitud </w:t>
      </w:r>
      <w:r>
        <w:rPr>
          <w:rFonts w:ascii="Verdana" w:hAnsi="Verdana" w:eastAsia="Calibri" w:cs="Arial"/>
          <w:lang w:val="es-ES" w:eastAsia="es-ES"/>
        </w:rPr>
        <w:t xml:space="preserve">radicada en esta entidad </w:t>
      </w:r>
      <w:r w:rsidRPr="00E5644F">
        <w:rPr>
          <w:rFonts w:ascii="Verdana" w:hAnsi="Verdana" w:eastAsia="Calibri" w:cs="Arial"/>
          <w:lang w:val="es-ES" w:eastAsia="es-ES"/>
        </w:rPr>
        <w:t xml:space="preserve">el </w:t>
      </w:r>
      <w:r w:rsidR="00987663">
        <w:rPr>
          <w:rFonts w:ascii="Verdana" w:hAnsi="Verdana" w:eastAsia="Calibri" w:cs="Arial"/>
          <w:lang w:val="es-ES" w:eastAsia="es-ES"/>
        </w:rPr>
        <w:t>14</w:t>
      </w:r>
      <w:r>
        <w:rPr>
          <w:rFonts w:ascii="Verdana" w:hAnsi="Verdana" w:eastAsia="Calibri" w:cs="Arial"/>
          <w:lang w:val="es-ES" w:eastAsia="es-ES"/>
        </w:rPr>
        <w:t xml:space="preserve"> </w:t>
      </w:r>
      <w:r w:rsidRPr="00E5644F">
        <w:rPr>
          <w:rFonts w:ascii="Verdana" w:hAnsi="Verdana" w:eastAsia="Calibri" w:cs="Arial"/>
          <w:lang w:val="es-ES" w:eastAsia="es-ES"/>
        </w:rPr>
        <w:t xml:space="preserve">de </w:t>
      </w:r>
      <w:r w:rsidR="00531C97">
        <w:rPr>
          <w:rFonts w:ascii="Verdana" w:hAnsi="Verdana" w:eastAsia="Calibri" w:cs="Arial"/>
          <w:lang w:val="es-ES" w:eastAsia="es-ES"/>
        </w:rPr>
        <w:t>mayo</w:t>
      </w:r>
      <w:r w:rsidRPr="00E5644F">
        <w:rPr>
          <w:rFonts w:ascii="Verdana" w:hAnsi="Verdana" w:eastAsia="Calibri" w:cs="Arial"/>
          <w:lang w:val="es-ES" w:eastAsia="es-ES"/>
        </w:rPr>
        <w:t xml:space="preserve"> de</w:t>
      </w:r>
      <w:r>
        <w:rPr>
          <w:rFonts w:ascii="Verdana" w:hAnsi="Verdana" w:eastAsia="Calibri" w:cs="Arial"/>
          <w:lang w:val="es-ES" w:eastAsia="es-ES"/>
        </w:rPr>
        <w:t xml:space="preserve"> </w:t>
      </w:r>
      <w:r w:rsidRPr="00E5644F">
        <w:rPr>
          <w:rFonts w:ascii="Verdana" w:hAnsi="Verdana" w:eastAsia="Calibri" w:cs="Arial"/>
          <w:lang w:val="es-ES" w:eastAsia="es-ES"/>
        </w:rPr>
        <w:t>202</w:t>
      </w:r>
      <w:r>
        <w:rPr>
          <w:rFonts w:ascii="Verdana" w:hAnsi="Verdana" w:eastAsia="Calibri" w:cs="Arial"/>
          <w:lang w:val="es-ES" w:eastAsia="es-ES"/>
        </w:rPr>
        <w:t>5</w:t>
      </w:r>
      <w:r w:rsidRPr="00E5644F">
        <w:rPr>
          <w:rFonts w:ascii="Verdana" w:hAnsi="Verdana" w:eastAsia="Calibri" w:cs="Arial"/>
          <w:lang w:val="es-ES" w:eastAsia="es-ES"/>
        </w:rPr>
        <w:t>, en</w:t>
      </w:r>
      <w:r w:rsidRPr="006730E9">
        <w:rPr>
          <w:rFonts w:ascii="Verdana" w:hAnsi="Verdana" w:eastAsia="Calibri" w:cs="Arial"/>
          <w:lang w:val="es-ES" w:eastAsia="es-ES"/>
        </w:rPr>
        <w:t xml:space="preserve"> la cual manifiesta lo siguiente: </w:t>
      </w:r>
    </w:p>
    <w:p w:rsidRPr="00326382" w:rsidR="00EA6F8B" w:rsidP="00EA6F8B" w:rsidRDefault="00EA6F8B" w14:paraId="15993AA1" w14:textId="77777777">
      <w:pPr>
        <w:spacing w:after="0" w:line="240" w:lineRule="auto"/>
        <w:ind w:left="709" w:right="474"/>
        <w:jc w:val="both"/>
        <w:rPr>
          <w:rFonts w:ascii="Verdana" w:hAnsi="Verdana" w:cs="Arial"/>
          <w:sz w:val="20"/>
          <w:szCs w:val="20"/>
          <w:shd w:val="clear" w:color="auto" w:fill="FFFFFF"/>
        </w:rPr>
      </w:pPr>
      <w:bookmarkStart w:name="_Hlk95313578" w:id="4"/>
    </w:p>
    <w:bookmarkEnd w:id="4"/>
    <w:p w:rsidRPr="00022742" w:rsidR="00EA6F8B" w:rsidP="00D33345" w:rsidRDefault="00EA6F8B" w14:paraId="7069F0A6" w14:textId="7F02E64D">
      <w:pPr>
        <w:tabs>
          <w:tab w:val="left" w:pos="142"/>
          <w:tab w:val="left" w:pos="567"/>
        </w:tabs>
        <w:ind w:left="851" w:right="900"/>
        <w:jc w:val="both"/>
        <w:rPr>
          <w:rFonts w:ascii="Verdana" w:hAnsi="Verdana" w:eastAsia="Century Gothic" w:cs="Century Gothic"/>
          <w:i/>
          <w:iCs/>
        </w:rPr>
      </w:pPr>
      <w:r w:rsidRPr="001712F7">
        <w:rPr>
          <w:rFonts w:ascii="Verdana" w:hAnsi="Verdana" w:eastAsia="Century Gothic" w:cs="Century Gothic"/>
          <w:i/>
          <w:iCs/>
        </w:rPr>
        <w:t>“(…)</w:t>
      </w:r>
      <w:r w:rsidR="00531C97">
        <w:rPr>
          <w:rFonts w:ascii="Verdana" w:hAnsi="Verdana" w:eastAsia="Century Gothic" w:cs="Century Gothic"/>
          <w:i/>
          <w:iCs/>
        </w:rPr>
        <w:t xml:space="preserve"> </w:t>
      </w:r>
      <w:r w:rsidRPr="00D33345" w:rsidR="00D33345">
        <w:rPr>
          <w:rFonts w:ascii="Verdana" w:hAnsi="Verdana" w:eastAsia="Century Gothic" w:cs="Century Gothic"/>
          <w:i/>
          <w:iCs/>
        </w:rPr>
        <w:t>me permito solicitar, en el marco de sus competencias,</w:t>
      </w:r>
      <w:r w:rsidR="00D33345">
        <w:rPr>
          <w:rFonts w:ascii="Verdana" w:hAnsi="Verdana" w:eastAsia="Century Gothic" w:cs="Century Gothic"/>
          <w:i/>
          <w:iCs/>
        </w:rPr>
        <w:t xml:space="preserve"> la </w:t>
      </w:r>
      <w:r w:rsidRPr="00D33345" w:rsidR="00D33345">
        <w:rPr>
          <w:rFonts w:ascii="Verdana" w:hAnsi="Verdana" w:eastAsia="Century Gothic" w:cs="Century Gothic"/>
          <w:i/>
          <w:iCs/>
        </w:rPr>
        <w:t>emisión de un concepto jurídico relacionado con la modalidad de contratación</w:t>
      </w:r>
      <w:r w:rsidR="00D33345">
        <w:rPr>
          <w:rFonts w:ascii="Verdana" w:hAnsi="Verdana" w:eastAsia="Century Gothic" w:cs="Century Gothic"/>
          <w:i/>
          <w:iCs/>
        </w:rPr>
        <w:t xml:space="preserve"> </w:t>
      </w:r>
      <w:r w:rsidRPr="00D33345" w:rsidR="00D33345">
        <w:rPr>
          <w:rFonts w:ascii="Verdana" w:hAnsi="Verdana" w:eastAsia="Century Gothic" w:cs="Century Gothic"/>
          <w:i/>
          <w:iCs/>
        </w:rPr>
        <w:t>adecuada para la adquisición de licenciamientos digitales por parte de entidades</w:t>
      </w:r>
      <w:r w:rsidR="00D33345">
        <w:rPr>
          <w:rFonts w:ascii="Verdana" w:hAnsi="Verdana" w:eastAsia="Century Gothic" w:cs="Century Gothic"/>
          <w:i/>
          <w:iCs/>
        </w:rPr>
        <w:t xml:space="preserve"> </w:t>
      </w:r>
      <w:r w:rsidRPr="00D33345" w:rsidR="00D33345">
        <w:rPr>
          <w:rFonts w:ascii="Verdana" w:hAnsi="Verdana" w:eastAsia="Century Gothic" w:cs="Century Gothic"/>
          <w:i/>
          <w:iCs/>
        </w:rPr>
        <w:t>públicas, específicamente aquellos que, por su naturaleza, solo están disponibles</w:t>
      </w:r>
      <w:r w:rsidR="00D33345">
        <w:rPr>
          <w:rFonts w:ascii="Verdana" w:hAnsi="Verdana" w:eastAsia="Century Gothic" w:cs="Century Gothic"/>
          <w:i/>
          <w:iCs/>
        </w:rPr>
        <w:t xml:space="preserve"> </w:t>
      </w:r>
      <w:r w:rsidRPr="00D33345" w:rsidR="00D33345">
        <w:rPr>
          <w:rFonts w:ascii="Verdana" w:hAnsi="Verdana" w:eastAsia="Century Gothic" w:cs="Century Gothic"/>
          <w:i/>
          <w:iCs/>
        </w:rPr>
        <w:t>mediante suscripciones web directamente con el proveedor y no cuentan con</w:t>
      </w:r>
      <w:r w:rsidR="00D33345">
        <w:rPr>
          <w:rFonts w:ascii="Verdana" w:hAnsi="Verdana" w:eastAsia="Century Gothic" w:cs="Century Gothic"/>
          <w:i/>
          <w:iCs/>
        </w:rPr>
        <w:t xml:space="preserve"> </w:t>
      </w:r>
      <w:r w:rsidRPr="00D33345" w:rsidR="00D33345">
        <w:rPr>
          <w:rFonts w:ascii="Verdana" w:hAnsi="Verdana" w:eastAsia="Century Gothic" w:cs="Century Gothic"/>
          <w:i/>
          <w:iCs/>
        </w:rPr>
        <w:t>distribuidores autorizados en Colombia. Se hace referencia a herramientas</w:t>
      </w:r>
      <w:r w:rsidR="00D33345">
        <w:rPr>
          <w:rFonts w:ascii="Verdana" w:hAnsi="Verdana" w:eastAsia="Century Gothic" w:cs="Century Gothic"/>
          <w:i/>
          <w:iCs/>
        </w:rPr>
        <w:t xml:space="preserve"> </w:t>
      </w:r>
      <w:r w:rsidRPr="00D33345" w:rsidR="00D33345">
        <w:rPr>
          <w:rFonts w:ascii="Verdana" w:hAnsi="Verdana" w:eastAsia="Century Gothic" w:cs="Century Gothic"/>
          <w:i/>
          <w:iCs/>
        </w:rPr>
        <w:t>tecnológicas modernas que respondan a los desafíos actuales de la comunicación</w:t>
      </w:r>
      <w:r w:rsidR="00D33345">
        <w:rPr>
          <w:rFonts w:ascii="Verdana" w:hAnsi="Verdana" w:eastAsia="Century Gothic" w:cs="Century Gothic"/>
          <w:i/>
          <w:iCs/>
        </w:rPr>
        <w:t xml:space="preserve"> </w:t>
      </w:r>
      <w:r w:rsidRPr="00D33345" w:rsidR="00D33345">
        <w:rPr>
          <w:rFonts w:ascii="Verdana" w:hAnsi="Verdana" w:eastAsia="Century Gothic" w:cs="Century Gothic"/>
          <w:i/>
          <w:iCs/>
        </w:rPr>
        <w:t>y el diseño digital. Plataformas como Canva, CapCut, entre otras, ofrecen</w:t>
      </w:r>
      <w:r w:rsidR="00D33345">
        <w:rPr>
          <w:rFonts w:ascii="Verdana" w:hAnsi="Verdana" w:eastAsia="Century Gothic" w:cs="Century Gothic"/>
          <w:i/>
          <w:iCs/>
        </w:rPr>
        <w:t xml:space="preserve"> </w:t>
      </w:r>
      <w:r w:rsidRPr="00D33345" w:rsidR="00D33345">
        <w:rPr>
          <w:rFonts w:ascii="Verdana" w:hAnsi="Verdana" w:eastAsia="Century Gothic" w:cs="Century Gothic"/>
          <w:i/>
          <w:iCs/>
        </w:rPr>
        <w:t>soluciones eficientes en materia de edición, diseño gráfico y gestión de derechos de</w:t>
      </w:r>
      <w:r w:rsidR="00D33345">
        <w:rPr>
          <w:rFonts w:ascii="Verdana" w:hAnsi="Verdana" w:eastAsia="Century Gothic" w:cs="Century Gothic"/>
          <w:i/>
          <w:iCs/>
        </w:rPr>
        <w:t xml:space="preserve"> </w:t>
      </w:r>
      <w:r w:rsidRPr="00D33345" w:rsidR="00D33345">
        <w:rPr>
          <w:rFonts w:ascii="Verdana" w:hAnsi="Verdana" w:eastAsia="Century Gothic" w:cs="Century Gothic"/>
          <w:i/>
          <w:iCs/>
        </w:rPr>
        <w:t>autor. Dado que estas licencias solo pueden adquirirse a través de plataformas web</w:t>
      </w:r>
      <w:r w:rsidR="00D33345">
        <w:rPr>
          <w:rFonts w:ascii="Verdana" w:hAnsi="Verdana" w:eastAsia="Century Gothic" w:cs="Century Gothic"/>
          <w:i/>
          <w:iCs/>
        </w:rPr>
        <w:t xml:space="preserve"> </w:t>
      </w:r>
      <w:r w:rsidRPr="00D33345" w:rsidR="00D33345">
        <w:rPr>
          <w:rFonts w:ascii="Verdana" w:hAnsi="Verdana" w:eastAsia="Century Gothic" w:cs="Century Gothic"/>
          <w:i/>
          <w:iCs/>
        </w:rPr>
        <w:t>y que, en muchos casos, no se encuentran intermediarios locales autorizados, se</w:t>
      </w:r>
      <w:r w:rsidR="00D33345">
        <w:rPr>
          <w:rFonts w:ascii="Verdana" w:hAnsi="Verdana" w:eastAsia="Century Gothic" w:cs="Century Gothic"/>
          <w:i/>
          <w:iCs/>
        </w:rPr>
        <w:t xml:space="preserve"> </w:t>
      </w:r>
      <w:r w:rsidRPr="00D33345" w:rsidR="00D33345">
        <w:rPr>
          <w:rFonts w:ascii="Verdana" w:hAnsi="Verdana" w:eastAsia="Century Gothic" w:cs="Century Gothic"/>
          <w:i/>
          <w:iCs/>
        </w:rPr>
        <w:t>hace necesario contar con un concepto que oriente jurídicamente sobre la viabilidad</w:t>
      </w:r>
      <w:r w:rsidR="00D33345">
        <w:rPr>
          <w:rFonts w:ascii="Verdana" w:hAnsi="Verdana" w:eastAsia="Century Gothic" w:cs="Century Gothic"/>
          <w:i/>
          <w:iCs/>
        </w:rPr>
        <w:t xml:space="preserve"> </w:t>
      </w:r>
      <w:r w:rsidRPr="00D33345" w:rsidR="00D33345">
        <w:rPr>
          <w:rFonts w:ascii="Verdana" w:hAnsi="Verdana" w:eastAsia="Century Gothic" w:cs="Century Gothic"/>
          <w:i/>
          <w:iCs/>
        </w:rPr>
        <w:t xml:space="preserve">y el procedimiento adecuado para este fin </w:t>
      </w:r>
      <w:r w:rsidRPr="00022742">
        <w:rPr>
          <w:rFonts w:ascii="Verdana" w:hAnsi="Verdana" w:eastAsia="Century Gothic" w:cs="Century Gothic"/>
          <w:i/>
          <w:iCs/>
        </w:rPr>
        <w:t xml:space="preserve">(…)” </w:t>
      </w:r>
    </w:p>
    <w:p w:rsidRPr="00AA3B9F" w:rsidR="00EA6F8B" w:rsidP="00EA6F8B" w:rsidRDefault="00EA6F8B" w14:paraId="2B41FD2D" w14:textId="77777777">
      <w:pPr>
        <w:spacing w:after="120" w:line="276" w:lineRule="auto"/>
        <w:ind w:firstLine="709"/>
        <w:jc w:val="both"/>
        <w:rPr>
          <w:rFonts w:ascii="Verdana" w:hAnsi="Verdana" w:eastAsia="Calibri" w:cs="Arial"/>
          <w:lang w:val="es-ES_tradnl" w:eastAsia="es-ES_tradnl"/>
        </w:rPr>
      </w:pPr>
      <w:r w:rsidRPr="00AA3B9F">
        <w:rPr>
          <w:rFonts w:ascii="Verdana" w:hAnsi="Verdana" w:eastAsia="Calibri"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hAnsi="Verdana" w:eastAsia="Calibri" w:cs="Arial"/>
          <w:lang w:val="es-ES" w:eastAsia="es-ES"/>
        </w:rPr>
        <w:t>E</w:t>
      </w:r>
      <w:r w:rsidRPr="00AA3B9F">
        <w:rPr>
          <w:rFonts w:ascii="Verdana" w:hAnsi="Verdana" w:eastAsia="Calibri" w:cs="Arial"/>
          <w:lang w:val="es-ES" w:eastAsia="es-ES"/>
        </w:rPr>
        <w:t xml:space="preserve">ntidades </w:t>
      </w:r>
      <w:r>
        <w:rPr>
          <w:rFonts w:ascii="Verdana" w:hAnsi="Verdana" w:eastAsia="Calibri" w:cs="Arial"/>
          <w:lang w:val="es-ES" w:eastAsia="es-ES"/>
        </w:rPr>
        <w:t xml:space="preserve">Estatales </w:t>
      </w:r>
      <w:r w:rsidRPr="00AA3B9F">
        <w:rPr>
          <w:rFonts w:ascii="Verdana" w:hAnsi="Verdana" w:eastAsia="Calibri"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rsidRPr="00AA3B9F" w:rsidR="00EA6F8B" w:rsidP="00EA6F8B" w:rsidRDefault="00EA6F8B" w14:paraId="1D9A7E58" w14:textId="77777777">
      <w:pPr>
        <w:spacing w:after="0" w:line="276" w:lineRule="auto"/>
        <w:ind w:firstLine="709"/>
        <w:jc w:val="both"/>
        <w:rPr>
          <w:rFonts w:ascii="Verdana" w:hAnsi="Verdana" w:eastAsia="Calibri" w:cs="Arial"/>
          <w:lang w:val="es-ES" w:eastAsia="es-ES"/>
        </w:rPr>
      </w:pPr>
      <w:r w:rsidRPr="00AA3B9F">
        <w:rPr>
          <w:rFonts w:ascii="Verdana" w:hAnsi="Verdana" w:eastAsia="Calibri" w:cs="Arial"/>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w:t>
      </w:r>
      <w:r w:rsidRPr="00E21BD1">
        <w:t xml:space="preserve"> </w:t>
      </w:r>
    </w:p>
    <w:p w:rsidR="00EA6F8B" w:rsidP="00EA6F8B" w:rsidRDefault="00EA6F8B" w14:paraId="4AEDA506" w14:textId="77777777">
      <w:pPr>
        <w:pStyle w:val="ListParagraph"/>
        <w:tabs>
          <w:tab w:val="left" w:pos="142"/>
          <w:tab w:val="left" w:pos="284"/>
        </w:tabs>
        <w:spacing w:after="0" w:line="240" w:lineRule="auto"/>
        <w:ind w:left="425" w:right="1185"/>
        <w:jc w:val="both"/>
        <w:rPr>
          <w:rFonts w:ascii="Verdana" w:hAnsi="Verdana" w:eastAsia="Century Gothic" w:cs="Century Gothic"/>
          <w:i/>
          <w:iCs/>
          <w:lang w:val="es-CO"/>
        </w:rPr>
      </w:pPr>
    </w:p>
    <w:p w:rsidR="00EA6F8B" w:rsidP="00EA6F8B" w:rsidRDefault="00EA6F8B" w14:paraId="19E0B3B8" w14:textId="77777777">
      <w:pPr>
        <w:pStyle w:val="ListParagraph"/>
        <w:numPr>
          <w:ilvl w:val="0"/>
          <w:numId w:val="16"/>
        </w:numPr>
        <w:tabs>
          <w:tab w:val="left" w:pos="142"/>
          <w:tab w:val="left" w:pos="284"/>
        </w:tabs>
        <w:spacing w:after="0" w:line="276" w:lineRule="auto"/>
        <w:ind w:left="0" w:firstLine="0"/>
        <w:jc w:val="both"/>
        <w:rPr>
          <w:rFonts w:ascii="Verdana" w:hAnsi="Verdana" w:eastAsia="Century Gothic" w:cs="Century Gothic"/>
          <w:b/>
          <w:bCs/>
        </w:rPr>
      </w:pPr>
      <w:r w:rsidRPr="00593A5F">
        <w:rPr>
          <w:rFonts w:ascii="Verdana" w:hAnsi="Verdana" w:eastAsia="Century Gothic" w:cs="Century Gothic"/>
          <w:b/>
          <w:bCs/>
        </w:rPr>
        <w:t>Problema</w:t>
      </w:r>
      <w:r>
        <w:rPr>
          <w:rFonts w:ascii="Verdana" w:hAnsi="Verdana" w:eastAsia="Century Gothic" w:cs="Century Gothic"/>
          <w:b/>
          <w:bCs/>
        </w:rPr>
        <w:t xml:space="preserve"> jurídico </w:t>
      </w:r>
      <w:r w:rsidRPr="00593A5F">
        <w:rPr>
          <w:rFonts w:ascii="Verdana" w:hAnsi="Verdana" w:eastAsia="Century Gothic" w:cs="Century Gothic"/>
          <w:b/>
          <w:bCs/>
        </w:rPr>
        <w:t>planteado:</w:t>
      </w:r>
    </w:p>
    <w:p w:rsidR="00EA6F8B" w:rsidP="00EA6F8B" w:rsidRDefault="00EA6F8B" w14:paraId="5C5B59D5" w14:textId="77777777">
      <w:pPr>
        <w:pStyle w:val="ListParagraph"/>
        <w:tabs>
          <w:tab w:val="left" w:pos="142"/>
          <w:tab w:val="left" w:pos="284"/>
        </w:tabs>
        <w:spacing w:after="0" w:line="276" w:lineRule="auto"/>
        <w:ind w:left="0"/>
        <w:jc w:val="both"/>
        <w:rPr>
          <w:rFonts w:ascii="Verdana" w:hAnsi="Verdana" w:eastAsia="Century Gothic" w:cs="Century Gothic"/>
          <w:b/>
          <w:bCs/>
        </w:rPr>
      </w:pPr>
    </w:p>
    <w:p w:rsidR="00D1599B" w:rsidP="00EA6F8B" w:rsidRDefault="00EA6F8B" w14:paraId="6ECD9E2E" w14:textId="14EC95AA">
      <w:pPr>
        <w:pStyle w:val="ListParagraph"/>
        <w:tabs>
          <w:tab w:val="left" w:pos="142"/>
          <w:tab w:val="left" w:pos="284"/>
        </w:tabs>
        <w:spacing w:after="0" w:line="276" w:lineRule="auto"/>
        <w:ind w:left="0"/>
        <w:jc w:val="both"/>
        <w:rPr>
          <w:rFonts w:ascii="Verdana" w:hAnsi="Verdana" w:eastAsia="Calibri" w:cs="Arial"/>
          <w:lang w:eastAsia="es-ES"/>
        </w:rPr>
      </w:pPr>
      <w:r w:rsidRPr="00E21BD1">
        <w:rPr>
          <w:rFonts w:ascii="Verdana" w:hAnsi="Verdana" w:eastAsia="Calibri" w:cs="Arial"/>
          <w:lang w:eastAsia="es-ES"/>
        </w:rPr>
        <w:t xml:space="preserve">De acuerdo con el contenido de su solicitud, esta Agencia resolverá </w:t>
      </w:r>
      <w:r>
        <w:rPr>
          <w:rFonts w:ascii="Verdana" w:hAnsi="Verdana" w:eastAsia="Calibri" w:cs="Arial"/>
          <w:lang w:eastAsia="es-ES"/>
        </w:rPr>
        <w:t xml:space="preserve">los </w:t>
      </w:r>
      <w:r w:rsidRPr="00E21BD1">
        <w:rPr>
          <w:rFonts w:ascii="Verdana" w:hAnsi="Verdana" w:eastAsia="Calibri" w:cs="Arial"/>
          <w:lang w:eastAsia="es-ES"/>
        </w:rPr>
        <w:t>siguiente</w:t>
      </w:r>
      <w:r>
        <w:rPr>
          <w:rFonts w:ascii="Verdana" w:hAnsi="Verdana" w:eastAsia="Calibri" w:cs="Arial"/>
          <w:lang w:eastAsia="es-ES"/>
        </w:rPr>
        <w:t>s</w:t>
      </w:r>
      <w:r w:rsidRPr="00E21BD1">
        <w:rPr>
          <w:rFonts w:ascii="Verdana" w:hAnsi="Verdana" w:eastAsia="Calibri" w:cs="Arial"/>
          <w:lang w:eastAsia="es-ES"/>
        </w:rPr>
        <w:t xml:space="preserve"> problema</w:t>
      </w:r>
      <w:r>
        <w:rPr>
          <w:rFonts w:ascii="Verdana" w:hAnsi="Verdana" w:eastAsia="Calibri" w:cs="Arial"/>
          <w:lang w:eastAsia="es-ES"/>
        </w:rPr>
        <w:t>s</w:t>
      </w:r>
      <w:r w:rsidRPr="00E21BD1">
        <w:rPr>
          <w:rFonts w:ascii="Verdana" w:hAnsi="Verdana" w:eastAsia="Calibri" w:cs="Arial"/>
          <w:lang w:eastAsia="es-ES"/>
        </w:rPr>
        <w:t xml:space="preserve"> jurídico</w:t>
      </w:r>
      <w:r>
        <w:rPr>
          <w:rFonts w:ascii="Verdana" w:hAnsi="Verdana" w:eastAsia="Calibri" w:cs="Arial"/>
          <w:lang w:eastAsia="es-ES"/>
        </w:rPr>
        <w:t>s</w:t>
      </w:r>
      <w:r w:rsidRPr="00E21BD1">
        <w:rPr>
          <w:rFonts w:ascii="Verdana" w:hAnsi="Verdana" w:eastAsia="Calibri" w:cs="Arial"/>
          <w:lang w:eastAsia="es-ES"/>
        </w:rPr>
        <w:t>:</w:t>
      </w:r>
      <w:r w:rsidR="00D1599B">
        <w:rPr>
          <w:rFonts w:ascii="Verdana" w:hAnsi="Verdana" w:eastAsia="Calibri" w:cs="Arial"/>
          <w:lang w:eastAsia="es-ES"/>
        </w:rPr>
        <w:t xml:space="preserve"> </w:t>
      </w:r>
      <w:r w:rsidRPr="00D1599B" w:rsidR="00D1599B">
        <w:rPr>
          <w:rFonts w:ascii="Verdana" w:hAnsi="Verdana" w:eastAsia="Calibri" w:cs="Arial"/>
          <w:lang w:val="es-CO" w:eastAsia="es-ES"/>
        </w:rPr>
        <w:t>¿</w:t>
      </w:r>
      <w:r w:rsidRPr="00BC6E1D" w:rsidR="00BC6E1D">
        <w:rPr>
          <w:rFonts w:ascii="Verdana" w:hAnsi="Verdana" w:eastAsia="Calibri" w:cs="Arial"/>
          <w:lang w:val="es-CO" w:eastAsia="es-ES"/>
        </w:rPr>
        <w:t>Cuál es la modalidad de selección objetiva que deben aplicar las entidades estatales para la adquisición de software</w:t>
      </w:r>
      <w:r w:rsidRPr="00D1599B" w:rsidR="00D1599B">
        <w:rPr>
          <w:rFonts w:ascii="Verdana" w:hAnsi="Verdana" w:eastAsia="Calibri" w:cs="Arial"/>
          <w:lang w:val="es-CO" w:eastAsia="es-ES"/>
        </w:rPr>
        <w:t>?</w:t>
      </w:r>
    </w:p>
    <w:p w:rsidR="004F6584" w:rsidP="00EA6F8B" w:rsidRDefault="004F6584" w14:paraId="20BCD0A2" w14:textId="77777777">
      <w:pPr>
        <w:pStyle w:val="ListParagraph"/>
        <w:tabs>
          <w:tab w:val="left" w:pos="142"/>
          <w:tab w:val="left" w:pos="284"/>
        </w:tabs>
        <w:spacing w:after="0" w:line="276" w:lineRule="auto"/>
        <w:ind w:left="0"/>
        <w:jc w:val="both"/>
        <w:rPr>
          <w:rFonts w:ascii="Verdana" w:hAnsi="Verdana" w:eastAsia="Calibri" w:cs="Arial"/>
          <w:lang w:val="es-CO" w:eastAsia="es-ES"/>
        </w:rPr>
      </w:pPr>
      <w:bookmarkStart w:name="_Hlk196737317" w:id="5"/>
    </w:p>
    <w:bookmarkEnd w:id="5"/>
    <w:p w:rsidRPr="00593A5F" w:rsidR="00EA6F8B" w:rsidP="00EA6F8B" w:rsidRDefault="00EA6F8B" w14:paraId="7BB6DFFE"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Respuesta:</w:t>
      </w:r>
    </w:p>
    <w:p w:rsidRPr="00593A5F" w:rsidR="00EA6F8B" w:rsidP="00EA6F8B" w:rsidRDefault="00EA6F8B" w14:paraId="31BC2011" w14:textId="77777777">
      <w:pPr>
        <w:tabs>
          <w:tab w:val="left" w:pos="142"/>
          <w:tab w:val="left" w:pos="284"/>
        </w:tabs>
        <w:spacing w:after="0" w:line="276" w:lineRule="auto"/>
        <w:jc w:val="both"/>
        <w:rPr>
          <w:rFonts w:ascii="Verdana" w:hAnsi="Verdana" w:eastAsia="Century Gothic" w:cs="Century Gothic"/>
          <w:b/>
          <w:bCs/>
          <w:lang w:val="es-ES"/>
        </w:rPr>
      </w:pPr>
    </w:p>
    <w:tbl>
      <w:tblPr>
        <w:tblStyle w:val="TableGrid"/>
        <w:tblW w:w="0" w:type="auto"/>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ook w:val="04A0" w:firstRow="1" w:lastRow="0" w:firstColumn="1" w:lastColumn="0" w:noHBand="0" w:noVBand="1"/>
      </w:tblPr>
      <w:tblGrid>
        <w:gridCol w:w="8828"/>
      </w:tblGrid>
      <w:tr w:rsidRPr="00593A5F" w:rsidR="00EA6F8B" w:rsidTr="008719A1" w14:paraId="5EDD5CE9" w14:textId="77777777">
        <w:tc>
          <w:tcPr>
            <w:tcW w:w="8828" w:type="dxa"/>
          </w:tcPr>
          <w:p w:rsidRPr="0004611B" w:rsidR="006D411F" w:rsidP="006D411F" w:rsidRDefault="006D411F" w14:paraId="7F09EC1C" w14:textId="07814227">
            <w:pPr>
              <w:widowControl w:val="0"/>
              <w:autoSpaceDE w:val="0"/>
              <w:autoSpaceDN w:val="0"/>
              <w:spacing w:before="120" w:after="120" w:line="276" w:lineRule="auto"/>
              <w:ind w:firstLine="737"/>
              <w:jc w:val="both"/>
              <w:rPr>
                <w:rFonts w:ascii="Verdana" w:hAnsi="Verdana" w:eastAsia="Calibri" w:cs="Arial"/>
              </w:rPr>
            </w:pPr>
            <w:r>
              <w:rPr>
                <w:rFonts w:ascii="Verdana" w:hAnsi="Verdana" w:eastAsia="Calibri" w:cs="Arial"/>
                <w:lang w:val="es-ES"/>
              </w:rPr>
              <w:t xml:space="preserve">De manera preliminar es pertinente indicar </w:t>
            </w:r>
            <w:r w:rsidR="00D1069C">
              <w:rPr>
                <w:rFonts w:ascii="Verdana" w:hAnsi="Verdana" w:eastAsia="Calibri" w:cs="Arial"/>
                <w:lang w:val="es-ES"/>
              </w:rPr>
              <w:t>que,</w:t>
            </w:r>
            <w:r>
              <w:rPr>
                <w:rFonts w:ascii="Verdana" w:hAnsi="Verdana" w:eastAsia="Calibri" w:cs="Arial"/>
                <w:lang w:val="es-ES"/>
              </w:rPr>
              <w:t xml:space="preserve"> c</w:t>
            </w:r>
            <w:r w:rsidRPr="0004611B">
              <w:rPr>
                <w:rFonts w:ascii="Verdana" w:hAnsi="Verdana" w:eastAsia="Calibri" w:cs="Arial"/>
              </w:rPr>
              <w:t>on el fin de establecer la modalidad de selección procedente</w:t>
            </w:r>
            <w:r w:rsidR="00D1069C">
              <w:rPr>
                <w:rFonts w:ascii="Verdana" w:hAnsi="Verdana" w:eastAsia="Calibri" w:cs="Arial"/>
              </w:rPr>
              <w:t xml:space="preserve"> en el problema jurídico planteado</w:t>
            </w:r>
            <w:r w:rsidRPr="0004611B">
              <w:rPr>
                <w:rFonts w:ascii="Verdana" w:hAnsi="Verdana" w:eastAsia="Calibri" w:cs="Arial"/>
              </w:rPr>
              <w:t xml:space="preserve">, las Entidades Estatales deberán, en primera medida, determinar si existe un software disponible en el mercado que satisfaga su necesidad o si, por el contrario, deben recurrir a la contratación del desarrollo de software a la medida. De acuerdo con esta </w:t>
            </w:r>
            <w:r w:rsidRPr="0004611B" w:rsidR="00D1069C">
              <w:rPr>
                <w:rFonts w:ascii="Verdana" w:hAnsi="Verdana" w:eastAsia="Calibri" w:cs="Arial"/>
              </w:rPr>
              <w:t>decisión</w:t>
            </w:r>
            <w:r w:rsidRPr="0004611B">
              <w:rPr>
                <w:rFonts w:ascii="Verdana" w:hAnsi="Verdana" w:eastAsia="Calibri" w:cs="Arial"/>
              </w:rPr>
              <w:t xml:space="preserve">, la Agencia Nacional de </w:t>
            </w:r>
            <w:r w:rsidRPr="0004611B" w:rsidR="00987663">
              <w:rPr>
                <w:rFonts w:ascii="Verdana" w:hAnsi="Verdana" w:eastAsia="Calibri" w:cs="Arial"/>
              </w:rPr>
              <w:t>Contratación</w:t>
            </w:r>
            <w:r w:rsidRPr="0004611B">
              <w:rPr>
                <w:rFonts w:ascii="Verdana" w:hAnsi="Verdana" w:eastAsia="Calibri" w:cs="Arial"/>
              </w:rPr>
              <w:t xml:space="preserve"> </w:t>
            </w:r>
            <w:r w:rsidRPr="0004611B" w:rsidR="00987663">
              <w:rPr>
                <w:rFonts w:ascii="Verdana" w:hAnsi="Verdana" w:eastAsia="Calibri" w:cs="Arial"/>
              </w:rPr>
              <w:t>Pública</w:t>
            </w:r>
            <w:r w:rsidRPr="0004611B">
              <w:rPr>
                <w:rFonts w:ascii="Verdana" w:hAnsi="Verdana" w:eastAsia="Calibri" w:cs="Arial"/>
              </w:rPr>
              <w:t xml:space="preserve"> recomienda en la “</w:t>
            </w:r>
            <w:r w:rsidRPr="0004611B" w:rsidR="00D1069C">
              <w:rPr>
                <w:rFonts w:ascii="Verdana" w:hAnsi="Verdana" w:eastAsia="Calibri" w:cs="Arial"/>
              </w:rPr>
              <w:t>Guía</w:t>
            </w:r>
            <w:r w:rsidRPr="0004611B">
              <w:rPr>
                <w:rFonts w:ascii="Verdana" w:hAnsi="Verdana" w:eastAsia="Calibri" w:cs="Arial"/>
              </w:rPr>
              <w:t xml:space="preserve"> de Buenas </w:t>
            </w:r>
            <w:r w:rsidRPr="0004611B" w:rsidR="00D1069C">
              <w:rPr>
                <w:rFonts w:ascii="Verdana" w:hAnsi="Verdana" w:eastAsia="Calibri" w:cs="Arial"/>
              </w:rPr>
              <w:t>Prácticas</w:t>
            </w:r>
            <w:r w:rsidRPr="0004611B">
              <w:rPr>
                <w:rFonts w:ascii="Verdana" w:hAnsi="Verdana" w:eastAsia="Calibri" w:cs="Arial"/>
              </w:rPr>
              <w:t xml:space="preserve"> en la </w:t>
            </w:r>
            <w:r w:rsidRPr="0004611B" w:rsidR="00D1069C">
              <w:rPr>
                <w:rFonts w:ascii="Verdana" w:hAnsi="Verdana" w:eastAsia="Calibri" w:cs="Arial"/>
              </w:rPr>
              <w:t>adquisición</w:t>
            </w:r>
            <w:r w:rsidRPr="0004611B">
              <w:rPr>
                <w:rFonts w:ascii="Verdana" w:hAnsi="Verdana" w:eastAsia="Calibri" w:cs="Arial"/>
              </w:rPr>
              <w:t xml:space="preserve"> de Software y servicios asociados”</w:t>
            </w:r>
            <w:r w:rsidR="00D1069C">
              <w:rPr>
                <w:rStyle w:val="FootnoteReference"/>
                <w:rFonts w:ascii="Verdana" w:hAnsi="Verdana" w:eastAsia="Calibri" w:cs="Arial"/>
              </w:rPr>
              <w:footnoteReference w:id="1"/>
            </w:r>
            <w:r w:rsidRPr="0004611B">
              <w:rPr>
                <w:rFonts w:ascii="Verdana" w:hAnsi="Verdana" w:eastAsia="Calibri" w:cs="Arial"/>
              </w:rPr>
              <w:t xml:space="preserve"> que: </w:t>
            </w:r>
          </w:p>
          <w:p w:rsidRPr="0004611B" w:rsidR="006D411F" w:rsidP="006D411F" w:rsidRDefault="006D411F" w14:paraId="3AB3DC8B" w14:textId="7222A19F">
            <w:pPr>
              <w:widowControl w:val="0"/>
              <w:autoSpaceDE w:val="0"/>
              <w:autoSpaceDN w:val="0"/>
              <w:spacing w:before="120" w:after="120" w:line="276" w:lineRule="auto"/>
              <w:ind w:firstLine="879"/>
              <w:jc w:val="both"/>
              <w:rPr>
                <w:rFonts w:ascii="Verdana" w:hAnsi="Verdana" w:eastAsia="Calibri" w:cs="Arial"/>
              </w:rPr>
            </w:pPr>
            <w:r w:rsidRPr="0004611B">
              <w:rPr>
                <w:rFonts w:ascii="Verdana" w:hAnsi="Verdana" w:eastAsia="Calibri" w:cs="Arial"/>
              </w:rPr>
              <w:t xml:space="preserve">i) La </w:t>
            </w:r>
            <w:r w:rsidRPr="0004611B">
              <w:rPr>
                <w:rFonts w:ascii="Verdana" w:hAnsi="Verdana" w:eastAsia="Calibri" w:cs="Arial"/>
                <w:i/>
                <w:iCs/>
              </w:rPr>
              <w:t xml:space="preserve">adquisición de software </w:t>
            </w:r>
            <w:r w:rsidRPr="0004611B">
              <w:rPr>
                <w:rFonts w:ascii="Verdana" w:hAnsi="Verdana" w:eastAsia="Calibri" w:cs="Arial"/>
              </w:rPr>
              <w:t xml:space="preserve">se realice por selección abreviada por subasta inversa cuando se trate de bienes de características técnicas uniformes, sin perjuicio de lo dispuesto en materia de Acuerdos Marco de Precios e Instrumentos de Agregación de Demanda. En los casos en que la adquisición no se refiera en la práctica a bienes de características técnicas uniformes, es necesario adelantar un proceso de contratación mediante las modalidades de licitación pública, mínima cuantía o el concurso de méritos, siempre que se cumplan los supuestos que para ello dispone el Estatuto General de Contratación de la Administración Pública. </w:t>
            </w:r>
          </w:p>
          <w:p w:rsidRPr="0004611B" w:rsidR="006D411F" w:rsidP="006D411F" w:rsidRDefault="006D411F" w14:paraId="21208967" w14:textId="20986AF6">
            <w:pPr>
              <w:widowControl w:val="0"/>
              <w:autoSpaceDE w:val="0"/>
              <w:autoSpaceDN w:val="0"/>
              <w:spacing w:before="120" w:after="120" w:line="276" w:lineRule="auto"/>
              <w:ind w:firstLine="879"/>
              <w:jc w:val="both"/>
              <w:rPr>
                <w:rFonts w:ascii="Verdana" w:hAnsi="Verdana" w:eastAsia="Calibri" w:cs="Arial"/>
              </w:rPr>
            </w:pPr>
            <w:r w:rsidRPr="0004611B">
              <w:rPr>
                <w:rFonts w:ascii="Verdana" w:hAnsi="Verdana" w:eastAsia="Calibri" w:cs="Arial"/>
              </w:rPr>
              <w:t xml:space="preserve">ii) Las Entidades contraten el </w:t>
            </w:r>
            <w:r w:rsidRPr="0004611B">
              <w:rPr>
                <w:rFonts w:ascii="Verdana" w:hAnsi="Verdana" w:eastAsia="Calibri" w:cs="Arial"/>
                <w:i/>
                <w:iCs/>
              </w:rPr>
              <w:t xml:space="preserve">desarrollo de software </w:t>
            </w:r>
            <w:r w:rsidRPr="0004611B">
              <w:rPr>
                <w:rFonts w:ascii="Verdana" w:hAnsi="Verdana" w:eastAsia="Calibri" w:cs="Arial"/>
              </w:rPr>
              <w:t xml:space="preserve">por medio de la modalidad del concurso de </w:t>
            </w:r>
            <w:r w:rsidRPr="0004611B" w:rsidR="00D1069C">
              <w:rPr>
                <w:rFonts w:ascii="Verdana" w:hAnsi="Verdana" w:eastAsia="Calibri" w:cs="Arial"/>
              </w:rPr>
              <w:t>méritos</w:t>
            </w:r>
            <w:r w:rsidRPr="0004611B">
              <w:rPr>
                <w:rFonts w:ascii="Verdana" w:hAnsi="Verdana" w:eastAsia="Calibri" w:cs="Arial"/>
              </w:rPr>
              <w:t xml:space="preserve">. </w:t>
            </w:r>
          </w:p>
          <w:p w:rsidRPr="0004611B" w:rsidR="006D411F" w:rsidP="006D411F" w:rsidRDefault="006D411F" w14:paraId="78440423" w14:textId="3DFEE589">
            <w:pPr>
              <w:widowControl w:val="0"/>
              <w:autoSpaceDE w:val="0"/>
              <w:autoSpaceDN w:val="0"/>
              <w:spacing w:before="120" w:after="120" w:line="276" w:lineRule="auto"/>
              <w:ind w:firstLine="879"/>
              <w:jc w:val="both"/>
              <w:rPr>
                <w:rFonts w:ascii="Verdana" w:hAnsi="Verdana" w:eastAsia="Calibri" w:cs="Arial"/>
              </w:rPr>
            </w:pPr>
            <w:r w:rsidRPr="0004611B">
              <w:rPr>
                <w:rFonts w:ascii="Verdana" w:hAnsi="Verdana" w:eastAsia="Calibri" w:cs="Arial"/>
              </w:rPr>
              <w:t xml:space="preserve">iii) Los procesos para contratar una </w:t>
            </w:r>
            <w:r w:rsidRPr="0004611B" w:rsidR="00D1069C">
              <w:rPr>
                <w:rFonts w:ascii="Verdana" w:hAnsi="Verdana" w:eastAsia="Calibri" w:cs="Arial"/>
                <w:i/>
                <w:iCs/>
              </w:rPr>
              <w:t>fábrica</w:t>
            </w:r>
            <w:r w:rsidRPr="0004611B">
              <w:rPr>
                <w:rFonts w:ascii="Verdana" w:hAnsi="Verdana" w:eastAsia="Calibri" w:cs="Arial"/>
                <w:i/>
                <w:iCs/>
              </w:rPr>
              <w:t xml:space="preserve"> de software </w:t>
            </w:r>
            <w:r w:rsidRPr="0004611B">
              <w:rPr>
                <w:rFonts w:ascii="Verdana" w:hAnsi="Verdana" w:eastAsia="Calibri" w:cs="Arial"/>
              </w:rPr>
              <w:t xml:space="preserve">se adelanten mediante licitación pública, siempre que no impliquen aspectos que hagan procedente otra modalidad de </w:t>
            </w:r>
            <w:r w:rsidRPr="0004611B" w:rsidR="00D1069C">
              <w:rPr>
                <w:rFonts w:ascii="Verdana" w:hAnsi="Verdana" w:eastAsia="Calibri" w:cs="Arial"/>
              </w:rPr>
              <w:t>selección</w:t>
            </w:r>
            <w:r w:rsidRPr="0004611B">
              <w:rPr>
                <w:rFonts w:ascii="Verdana" w:hAnsi="Verdana" w:eastAsia="Calibri" w:cs="Arial"/>
              </w:rPr>
              <w:t xml:space="preserve">, como es el caso de la </w:t>
            </w:r>
            <w:r w:rsidRPr="0004611B" w:rsidR="00D1069C">
              <w:rPr>
                <w:rFonts w:ascii="Verdana" w:hAnsi="Verdana" w:eastAsia="Calibri" w:cs="Arial"/>
              </w:rPr>
              <w:t>selección</w:t>
            </w:r>
            <w:r w:rsidRPr="0004611B">
              <w:rPr>
                <w:rFonts w:ascii="Verdana" w:hAnsi="Verdana" w:eastAsia="Calibri" w:cs="Arial"/>
              </w:rPr>
              <w:t xml:space="preserve"> abreviada por subasta inversa cuando se trate de bienes de </w:t>
            </w:r>
            <w:r w:rsidRPr="0004611B" w:rsidR="00D1069C">
              <w:rPr>
                <w:rFonts w:ascii="Verdana" w:hAnsi="Verdana" w:eastAsia="Calibri" w:cs="Arial"/>
              </w:rPr>
              <w:t>características</w:t>
            </w:r>
            <w:r w:rsidRPr="0004611B">
              <w:rPr>
                <w:rFonts w:ascii="Verdana" w:hAnsi="Verdana" w:eastAsia="Calibri" w:cs="Arial"/>
              </w:rPr>
              <w:t xml:space="preserve"> </w:t>
            </w:r>
            <w:r w:rsidRPr="0004611B" w:rsidR="00D1069C">
              <w:rPr>
                <w:rFonts w:ascii="Verdana" w:hAnsi="Verdana" w:eastAsia="Calibri" w:cs="Arial"/>
              </w:rPr>
              <w:t>técnicas</w:t>
            </w:r>
            <w:r w:rsidRPr="0004611B">
              <w:rPr>
                <w:rFonts w:ascii="Verdana" w:hAnsi="Verdana" w:eastAsia="Calibri" w:cs="Arial"/>
              </w:rPr>
              <w:t xml:space="preserve"> uniformes. </w:t>
            </w:r>
          </w:p>
          <w:p w:rsidR="00987663" w:rsidP="00987663" w:rsidRDefault="006D411F" w14:paraId="422127D3" w14:textId="77777777">
            <w:pPr>
              <w:spacing w:line="276" w:lineRule="auto"/>
              <w:ind w:firstLine="360"/>
              <w:contextualSpacing/>
              <w:jc w:val="both"/>
              <w:rPr>
                <w:rFonts w:ascii="Verdana" w:hAnsi="Verdana" w:eastAsia="Calibri" w:cs="Arial"/>
              </w:rPr>
            </w:pPr>
            <w:r>
              <w:rPr>
                <w:rFonts w:ascii="Verdana" w:hAnsi="Verdana" w:eastAsia="Calibri" w:cs="Arial"/>
                <w:lang w:val="es-ES"/>
              </w:rPr>
              <w:t xml:space="preserve"> </w:t>
            </w:r>
            <w:r w:rsidRPr="0004611B">
              <w:rPr>
                <w:rFonts w:ascii="Verdana" w:hAnsi="Verdana" w:eastAsia="Calibri" w:cs="Arial"/>
              </w:rPr>
              <w:t xml:space="preserve">Sin perjuicio de lo anterior, son las Entidades Estatales las responsables de determinar, con sustento en la ley, la modalidad de selección aplicable a los contratos que pretenden celebrar, de acuerdo con el objeto del contrato, la cuantía y demás particularidades precisadas en el </w:t>
            </w:r>
            <w:r w:rsidRPr="0004611B" w:rsidR="00D1069C">
              <w:rPr>
                <w:rFonts w:ascii="Verdana" w:hAnsi="Verdana" w:eastAsia="Calibri" w:cs="Arial"/>
              </w:rPr>
              <w:t>análisis</w:t>
            </w:r>
            <w:r w:rsidRPr="0004611B">
              <w:rPr>
                <w:rFonts w:ascii="Verdana" w:hAnsi="Verdana" w:eastAsia="Calibri" w:cs="Arial"/>
              </w:rPr>
              <w:t xml:space="preserve"> del sector.</w:t>
            </w:r>
          </w:p>
          <w:p w:rsidR="00987663" w:rsidP="00987663" w:rsidRDefault="00987663" w14:paraId="0FBF4EEB" w14:textId="77777777">
            <w:pPr>
              <w:spacing w:line="276" w:lineRule="auto"/>
              <w:ind w:firstLine="360"/>
              <w:contextualSpacing/>
              <w:jc w:val="both"/>
              <w:rPr>
                <w:rFonts w:ascii="Verdana" w:hAnsi="Verdana" w:eastAsia="Calibri" w:cs="Arial"/>
                <w:color w:val="000000" w:themeColor="text1"/>
              </w:rPr>
            </w:pPr>
          </w:p>
          <w:p w:rsidRPr="00987663" w:rsidR="006D411F" w:rsidP="00987663" w:rsidRDefault="006D411F" w14:paraId="75CFA762" w14:textId="0D018E5D">
            <w:pPr>
              <w:spacing w:line="276" w:lineRule="auto"/>
              <w:ind w:firstLine="360"/>
              <w:contextualSpacing/>
              <w:jc w:val="both"/>
              <w:rPr>
                <w:rFonts w:ascii="Verdana" w:hAnsi="Verdana" w:eastAsia="Calibri" w:cs="Arial"/>
                <w:bCs/>
                <w:lang w:val="es-ES_tradnl"/>
              </w:rPr>
            </w:pPr>
            <w:r>
              <w:rPr>
                <w:rFonts w:ascii="Verdana" w:hAnsi="Verdana" w:eastAsia="Calibri" w:cs="Arial"/>
                <w:bCs/>
                <w:color w:val="000000" w:themeColor="text1"/>
              </w:rPr>
              <w:t>Finalmente</w:t>
            </w:r>
            <w:r>
              <w:rPr>
                <w:rFonts w:ascii="Verdana" w:hAnsi="Verdana" w:eastAsia="Calibri" w:cs="Times New Roman"/>
                <w:lang w:val="es-ES"/>
              </w:rPr>
              <w:t>,</w:t>
            </w:r>
            <w:r w:rsidRPr="00DB4737">
              <w:rPr>
                <w:rFonts w:ascii="Verdana" w:hAnsi="Verdana" w:eastAsia="Calibri" w:cs="Times New Roman"/>
                <w:lang w:val="es-ES"/>
              </w:rPr>
              <w:t xml:space="preserve"> debe advertirse que el análisis en torno </w:t>
            </w:r>
            <w:r>
              <w:rPr>
                <w:rFonts w:ascii="Verdana" w:hAnsi="Verdana" w:eastAsia="Calibri" w:cs="Times New Roman"/>
                <w:lang w:val="es-ES"/>
              </w:rPr>
              <w:t>a un proceso de contratación especifico debe</w:t>
            </w:r>
            <w:r w:rsidRPr="0012388D">
              <w:rPr>
                <w:rFonts w:ascii="Verdana" w:hAnsi="Verdana" w:eastAsia="Calibri" w:cs="Times New Roman"/>
                <w:lang w:val="es-ES"/>
              </w:rPr>
              <w:t xml:space="preserve"> ser realizado por quienes tengan interés en ello.</w:t>
            </w:r>
            <w:r w:rsidRPr="00DB4737">
              <w:rPr>
                <w:rFonts w:ascii="Verdana" w:hAnsi="Verdana" w:eastAsia="Calibri"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rsidRPr="00DB4737" w:rsidR="006D411F" w:rsidP="006D411F" w:rsidRDefault="006D411F" w14:paraId="3A5557A8" w14:textId="77777777">
            <w:pPr>
              <w:ind w:left="720"/>
              <w:contextualSpacing/>
              <w:rPr>
                <w:rFonts w:ascii="Verdana" w:hAnsi="Verdana" w:eastAsia="Calibri" w:cs="Times New Roman"/>
                <w:lang w:val="es-ES"/>
              </w:rPr>
            </w:pPr>
          </w:p>
          <w:p w:rsidR="00082B55" w:rsidP="006D411F" w:rsidRDefault="006D411F" w14:paraId="7468A8D0" w14:textId="7710A803">
            <w:pPr>
              <w:spacing w:line="276" w:lineRule="auto"/>
              <w:contextualSpacing/>
              <w:jc w:val="both"/>
              <w:rPr>
                <w:rFonts w:ascii="Verdana" w:hAnsi="Verdana" w:cs="Arial"/>
                <w:shd w:val="clear" w:color="auto" w:fill="FFFFFF"/>
                <w:lang w:val="es-ES_tradnl"/>
              </w:rPr>
            </w:pPr>
            <w:r>
              <w:rPr>
                <w:rFonts w:ascii="Verdana" w:hAnsi="Verdana" w:eastAsia="Calibri" w:cs="Times New Roman"/>
                <w:lang w:val="es-ES"/>
              </w:rPr>
              <w:t xml:space="preserve">     </w:t>
            </w:r>
            <w:r w:rsidRPr="00DB4737">
              <w:rPr>
                <w:rFonts w:ascii="Verdana" w:hAnsi="Verdana" w:eastAsia="Calibri"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sidRPr="00BD2E19" w:rsidR="00CC5251">
              <w:rPr>
                <w:rFonts w:ascii="Verdana" w:hAnsi="Verdana" w:cs="Arial"/>
                <w:shd w:val="clear" w:color="auto" w:fill="FFFFFF"/>
                <w:lang w:val="es-ES_tradnl"/>
              </w:rPr>
              <w:t xml:space="preserve"> </w:t>
            </w:r>
          </w:p>
          <w:p w:rsidR="00BA31D9" w:rsidP="00BA31D9" w:rsidRDefault="00BA31D9" w14:paraId="02EA69AB" w14:textId="77777777">
            <w:pPr>
              <w:spacing w:line="276" w:lineRule="auto"/>
              <w:contextualSpacing/>
              <w:jc w:val="both"/>
              <w:rPr>
                <w:rFonts w:cs="Arial"/>
                <w:shd w:val="clear" w:color="auto" w:fill="FFFFFF"/>
                <w:lang w:val="es-ES_tradnl"/>
              </w:rPr>
            </w:pPr>
          </w:p>
          <w:p w:rsidR="00EA6F8B" w:rsidP="006D411F" w:rsidRDefault="006C2C82" w14:paraId="3827DA6E" w14:textId="1479EDD6">
            <w:pPr>
              <w:spacing w:line="276" w:lineRule="auto"/>
              <w:contextualSpacing/>
              <w:jc w:val="both"/>
              <w:rPr>
                <w:rFonts w:ascii="Verdana" w:hAnsi="Verdana" w:eastAsia="Times New Roman" w:cs="Times New Roman"/>
                <w:lang w:eastAsia="es-CO"/>
              </w:rPr>
            </w:pPr>
            <w:r>
              <w:rPr>
                <w:rFonts w:ascii="Verdana" w:hAnsi="Verdana" w:eastAsia="Times New Roman" w:cs="Times New Roman"/>
                <w:lang w:eastAsia="es-CO"/>
              </w:rPr>
              <w:t xml:space="preserve">       </w:t>
            </w:r>
            <w:r w:rsidR="00082B55">
              <w:rPr>
                <w:rFonts w:ascii="Verdana" w:hAnsi="Verdana" w:eastAsia="Times New Roman" w:cs="Times New Roman"/>
                <w:lang w:eastAsia="es-CO"/>
              </w:rPr>
              <w:t>De igual manera, en</w:t>
            </w:r>
            <w:r w:rsidRPr="00082B55" w:rsidR="00082B55">
              <w:rPr>
                <w:rFonts w:ascii="Verdana" w:hAnsi="Verdana" w:eastAsia="Times New Roman" w:cs="Times New Roman"/>
                <w:lang w:eastAsia="es-CO"/>
              </w:rPr>
              <w:t xml:space="preserve"> atención a la situación planteada, se recomienda consultar la</w:t>
            </w:r>
            <w:r w:rsidR="00D1069C">
              <w:rPr>
                <w:rFonts w:ascii="Verdana" w:hAnsi="Verdana" w:eastAsia="Times New Roman" w:cs="Times New Roman"/>
                <w:lang w:eastAsia="es-CO"/>
              </w:rPr>
              <w:t xml:space="preserve"> ya mencionada</w:t>
            </w:r>
            <w:r w:rsidRPr="00082B55" w:rsidR="00082B55">
              <w:rPr>
                <w:rFonts w:ascii="Verdana" w:hAnsi="Verdana" w:eastAsia="Times New Roman" w:cs="Times New Roman"/>
                <w:lang w:eastAsia="es-CO"/>
              </w:rPr>
              <w:t xml:space="preserve"> “</w:t>
            </w:r>
            <w:r w:rsidRPr="0004611B" w:rsidR="00D1069C">
              <w:rPr>
                <w:rFonts w:ascii="Verdana" w:hAnsi="Verdana" w:eastAsia="Calibri" w:cs="Arial"/>
              </w:rPr>
              <w:t>Guía de Buenas Prácticas en la adquisición de Software y servicios asociados</w:t>
            </w:r>
            <w:r w:rsidR="00D1069C">
              <w:rPr>
                <w:rFonts w:ascii="Verdana" w:hAnsi="Verdana" w:eastAsia="Calibri" w:cs="Arial"/>
              </w:rPr>
              <w:t>”</w:t>
            </w:r>
            <w:r w:rsidRPr="00D1069C" w:rsidR="00082B55">
              <w:rPr>
                <w:rFonts w:ascii="Verdana" w:hAnsi="Verdana" w:eastAsia="Times New Roman" w:cs="Times New Roman"/>
                <w:lang w:eastAsia="es-CO"/>
              </w:rPr>
              <w:t xml:space="preserve">, </w:t>
            </w:r>
            <w:r w:rsidRPr="00D1069C" w:rsidR="00D1069C">
              <w:rPr>
                <w:rFonts w:ascii="Verdana" w:hAnsi="Verdana" w:eastAsia="Times New Roman" w:cs="Times New Roman"/>
                <w:lang w:eastAsia="es-CO"/>
              </w:rPr>
              <w:t xml:space="preserve">elaborada por Colombia Compra Eficiente, ya </w:t>
            </w:r>
          </w:p>
          <w:p w:rsidRPr="00831CDD" w:rsidR="00503B74" w:rsidP="006D411F" w:rsidRDefault="00503B74" w14:paraId="39326F1C" w14:textId="00A6B9A7">
            <w:pPr>
              <w:spacing w:line="276" w:lineRule="auto"/>
              <w:contextualSpacing/>
              <w:jc w:val="both"/>
              <w:rPr>
                <w:rFonts w:ascii="Verdana" w:hAnsi="Verdana" w:cs="Arial"/>
                <w:bCs/>
                <w:color w:val="000000" w:themeColor="text1"/>
              </w:rPr>
            </w:pPr>
            <w:r>
              <w:rPr>
                <w:rFonts w:ascii="Verdana" w:hAnsi="Verdana" w:cs="Arial"/>
                <w:bCs/>
                <w:color w:val="000000" w:themeColor="text1"/>
              </w:rPr>
              <w:t>que esta ofrece</w:t>
            </w:r>
            <w:r w:rsidRPr="00503B74">
              <w:rPr>
                <w:rFonts w:ascii="Verdana" w:hAnsi="Verdana" w:cs="Arial"/>
                <w:bCs/>
                <w:color w:val="000000" w:themeColor="text1"/>
              </w:rPr>
              <w:t xml:space="preserve"> lineamientos y herramientas prácticas para cada etapa del proceso de contratación de software, incluyendo la planeación, selección de la modalidad, elaboración de estudios de mercado y análisis de riesgos. Su aplicación será crucial para asegurar una adquisición transparente, eficiente y conforme a la normativa</w:t>
            </w:r>
            <w:r>
              <w:rPr>
                <w:rFonts w:ascii="Verdana" w:hAnsi="Verdana" w:cs="Arial"/>
                <w:bCs/>
                <w:color w:val="000000" w:themeColor="text1"/>
              </w:rPr>
              <w:t>.</w:t>
            </w:r>
          </w:p>
        </w:tc>
      </w:tr>
      <w:tr w:rsidRPr="00593A5F" w:rsidR="00EA6F8B" w:rsidTr="008719A1" w14:paraId="2352C84B" w14:textId="77777777">
        <w:tc>
          <w:tcPr>
            <w:tcW w:w="8828" w:type="dxa"/>
          </w:tcPr>
          <w:p w:rsidRPr="002973E9" w:rsidR="00EA6F8B" w:rsidP="00434387" w:rsidRDefault="00EA6F8B" w14:paraId="6D424B61" w14:textId="77777777">
            <w:pPr>
              <w:spacing w:line="276" w:lineRule="auto"/>
              <w:jc w:val="both"/>
              <w:rPr>
                <w:rFonts w:ascii="Verdana" w:hAnsi="Verdana" w:eastAsia="Calibri" w:cs="Arial"/>
                <w:lang w:val="es-ES"/>
              </w:rPr>
            </w:pPr>
          </w:p>
        </w:tc>
      </w:tr>
    </w:tbl>
    <w:p w:rsidR="00E743E5" w:rsidP="00EA6F8B" w:rsidRDefault="00E743E5" w14:paraId="69BCCD7F" w14:textId="77777777">
      <w:pPr>
        <w:tabs>
          <w:tab w:val="left" w:pos="142"/>
          <w:tab w:val="left" w:pos="284"/>
        </w:tabs>
        <w:spacing w:after="0" w:line="276" w:lineRule="auto"/>
        <w:jc w:val="both"/>
        <w:rPr>
          <w:rFonts w:ascii="Verdana" w:hAnsi="Verdana" w:eastAsia="Century Gothic" w:cs="Century Gothic"/>
          <w:b/>
          <w:bCs/>
          <w:lang w:val="es-ES"/>
        </w:rPr>
      </w:pPr>
    </w:p>
    <w:p w:rsidRPr="00593A5F" w:rsidR="00EA6F8B" w:rsidP="00EA6F8B" w:rsidRDefault="00EA6F8B" w14:paraId="1C34374B" w14:textId="77777777">
      <w:pPr>
        <w:pStyle w:val="ListParagraph"/>
        <w:numPr>
          <w:ilvl w:val="0"/>
          <w:numId w:val="16"/>
        </w:numPr>
        <w:tabs>
          <w:tab w:val="left" w:pos="142"/>
          <w:tab w:val="left" w:pos="284"/>
        </w:tabs>
        <w:spacing w:after="0" w:line="276" w:lineRule="auto"/>
        <w:ind w:left="0" w:firstLine="0"/>
        <w:contextualSpacing w:val="0"/>
        <w:jc w:val="both"/>
        <w:rPr>
          <w:rFonts w:ascii="Verdana" w:hAnsi="Verdana" w:eastAsia="Century Gothic" w:cs="Century Gothic"/>
          <w:b/>
          <w:bCs/>
        </w:rPr>
      </w:pPr>
      <w:r w:rsidRPr="00593A5F">
        <w:rPr>
          <w:rFonts w:ascii="Verdana" w:hAnsi="Verdana" w:eastAsia="Century Gothic" w:cs="Century Gothic"/>
          <w:b/>
          <w:bCs/>
        </w:rPr>
        <w:t>Razones de la respuesta:</w:t>
      </w:r>
    </w:p>
    <w:p w:rsidR="009D6901" w:rsidP="009D6901" w:rsidRDefault="009D6901" w14:paraId="485BD0E8" w14:textId="77777777">
      <w:pPr>
        <w:spacing w:after="0" w:line="276" w:lineRule="auto"/>
        <w:ind w:firstLine="708"/>
        <w:jc w:val="both"/>
        <w:rPr>
          <w:rFonts w:ascii="Verdana" w:hAnsi="Verdana" w:eastAsia="Calibri" w:cs="Arial"/>
        </w:rPr>
      </w:pPr>
    </w:p>
    <w:p w:rsidRPr="00E03903" w:rsidR="006C2C82" w:rsidP="006C2C82" w:rsidRDefault="006C2C82" w14:paraId="033098AD" w14:textId="77777777">
      <w:pPr>
        <w:spacing w:after="0" w:line="276" w:lineRule="auto"/>
        <w:ind w:firstLine="708"/>
        <w:jc w:val="both"/>
        <w:rPr>
          <w:rFonts w:ascii="Verdana" w:hAnsi="Verdana" w:cs="Arial"/>
          <w:color w:val="000000" w:themeColor="text1"/>
          <w:lang w:val="es-MX"/>
        </w:rPr>
      </w:pPr>
      <w:r>
        <w:rPr>
          <w:rFonts w:ascii="Verdana" w:hAnsi="Verdana" w:eastAsia="Calibri" w:cs="Arial"/>
          <w:lang w:val="es-ES"/>
        </w:rPr>
        <w:t>L</w:t>
      </w:r>
      <w:r w:rsidRPr="008F1FB6">
        <w:rPr>
          <w:rFonts w:ascii="Verdana" w:hAnsi="Verdana" w:eastAsia="Calibri" w:cs="Arial"/>
          <w:lang w:val="es-ES"/>
        </w:rPr>
        <w:t xml:space="preserve">a Entidad Estatal deberá determinar la modalidad </w:t>
      </w:r>
      <w:r>
        <w:rPr>
          <w:rFonts w:ascii="Verdana" w:hAnsi="Verdana" w:eastAsia="Calibri" w:cs="Arial"/>
          <w:lang w:val="es-ES"/>
        </w:rPr>
        <w:t xml:space="preserve">procedente </w:t>
      </w:r>
      <w:r w:rsidRPr="008F1FB6">
        <w:rPr>
          <w:rFonts w:ascii="Verdana" w:hAnsi="Verdana" w:eastAsia="Calibri" w:cs="Arial"/>
          <w:lang w:val="es-ES"/>
        </w:rPr>
        <w:t xml:space="preserve">de acuerdo con la naturaleza del software o </w:t>
      </w:r>
      <w:r>
        <w:rPr>
          <w:rFonts w:ascii="Verdana" w:hAnsi="Verdana" w:eastAsia="Calibri" w:cs="Arial"/>
          <w:lang w:val="es-ES"/>
        </w:rPr>
        <w:t xml:space="preserve">del </w:t>
      </w:r>
      <w:r w:rsidRPr="008F1FB6">
        <w:rPr>
          <w:rFonts w:ascii="Verdana" w:hAnsi="Verdana" w:eastAsia="Calibri" w:cs="Arial"/>
          <w:lang w:val="es-ES"/>
        </w:rPr>
        <w:t xml:space="preserve">servicio asociado que va a adquirir. </w:t>
      </w:r>
      <w:r>
        <w:rPr>
          <w:rFonts w:ascii="Verdana" w:hAnsi="Verdana" w:eastAsia="Calibri" w:cs="Arial"/>
          <w:lang w:val="es-ES"/>
        </w:rPr>
        <w:t>E</w:t>
      </w:r>
      <w:r w:rsidRPr="008F1FB6">
        <w:rPr>
          <w:rFonts w:ascii="Verdana" w:hAnsi="Verdana" w:eastAsia="Calibri" w:cs="Arial"/>
          <w:lang w:val="es-ES"/>
        </w:rPr>
        <w:t xml:space="preserve">n primera medida, </w:t>
      </w:r>
      <w:r>
        <w:rPr>
          <w:rFonts w:ascii="Verdana" w:hAnsi="Verdana" w:eastAsia="Calibri" w:cs="Arial"/>
          <w:lang w:val="es-ES"/>
        </w:rPr>
        <w:t xml:space="preserve">deberá </w:t>
      </w:r>
      <w:r w:rsidRPr="008F1FB6">
        <w:rPr>
          <w:rFonts w:ascii="Verdana" w:hAnsi="Verdana" w:eastAsia="Calibri" w:cs="Arial"/>
          <w:lang w:val="es-ES"/>
        </w:rPr>
        <w:t>identificar durante la etapa de planeación si existen en el mercado herramientas ya desarrolladas que puedan atender su necesidad. Esto le permitirá definir si debe adelantar la adquisición de un software que ya ha sido desarrollado o si, por el contrario, requiere contratar el desarrollo de un software a la medida.</w:t>
      </w:r>
    </w:p>
    <w:p w:rsidRPr="008F1FB6" w:rsidR="006C2C82" w:rsidP="006C2C82" w:rsidRDefault="006C2C82" w14:paraId="7A5DC883" w14:textId="77777777">
      <w:pPr>
        <w:snapToGrid w:val="0"/>
        <w:spacing w:before="120" w:after="0" w:line="276" w:lineRule="auto"/>
        <w:ind w:firstLine="709"/>
        <w:jc w:val="both"/>
        <w:rPr>
          <w:rFonts w:ascii="Verdana" w:hAnsi="Verdana" w:eastAsia="Calibri" w:cs="Arial"/>
          <w:lang w:val="es-ES"/>
        </w:rPr>
      </w:pPr>
      <w:r w:rsidRPr="008F1FB6">
        <w:rPr>
          <w:rFonts w:ascii="Verdana" w:hAnsi="Verdana" w:eastAsia="Calibri" w:cs="Arial"/>
          <w:lang w:val="es-ES"/>
        </w:rPr>
        <w:t xml:space="preserve">La adquisición de un software que se encuentre disponible en el mercado puede implicar </w:t>
      </w:r>
      <w:r w:rsidRPr="008F1FB6">
        <w:rPr>
          <w:rFonts w:ascii="Verdana" w:hAnsi="Verdana" w:eastAsia="Calibri" w:cs="Arial"/>
        </w:rPr>
        <w:t xml:space="preserve">costos y tiempos inferiores de implementación a los </w:t>
      </w:r>
      <w:r>
        <w:rPr>
          <w:rFonts w:ascii="Verdana" w:hAnsi="Verdana" w:eastAsia="Calibri" w:cs="Arial"/>
        </w:rPr>
        <w:t xml:space="preserve">del </w:t>
      </w:r>
      <w:r w:rsidRPr="008F1FB6">
        <w:rPr>
          <w:rFonts w:ascii="Verdana" w:hAnsi="Verdana" w:eastAsia="Calibri" w:cs="Arial"/>
        </w:rPr>
        <w:t>desarrollo de una herramienta desde cero. Cua</w:t>
      </w:r>
      <w:r>
        <w:rPr>
          <w:rFonts w:ascii="Verdana" w:hAnsi="Verdana" w:eastAsia="Calibri" w:cs="Arial"/>
          <w:lang w:val="es-ES"/>
        </w:rPr>
        <w:t>n</w:t>
      </w:r>
      <w:r w:rsidRPr="008F1FB6">
        <w:rPr>
          <w:rFonts w:ascii="Verdana" w:hAnsi="Verdana" w:eastAsia="Calibri" w:cs="Arial"/>
        </w:rPr>
        <w:t xml:space="preserve">do la Entidad deba adquirir el desarrollo de software a la medida, deberá abarcar todo el ciclo de vida del producto, </w:t>
      </w:r>
      <w:r w:rsidRPr="008F1FB6">
        <w:rPr>
          <w:rFonts w:ascii="Verdana" w:hAnsi="Verdana" w:eastAsia="Calibri" w:cs="Arial"/>
          <w:lang w:val="es-ES"/>
        </w:rPr>
        <w:t xml:space="preserve">incluyendo el levantamiento de requerimientos, la programación, realización de pruebas, depuración de código y su entrega a satisfacción, así como </w:t>
      </w:r>
      <w:r>
        <w:rPr>
          <w:rFonts w:ascii="Verdana" w:hAnsi="Verdana" w:eastAsia="Calibri" w:cs="Arial"/>
          <w:lang w:val="es-ES"/>
        </w:rPr>
        <w:t>l</w:t>
      </w:r>
      <w:r w:rsidRPr="008F1FB6">
        <w:rPr>
          <w:rFonts w:ascii="Verdana" w:hAnsi="Verdana" w:eastAsia="Calibri" w:cs="Arial"/>
          <w:lang w:val="es-ES"/>
        </w:rPr>
        <w:t>a prestación de horas de soporte. En esta medida, la Entidad deberá considerar los costos asociados a estas actividades, así como la necesidad de contar</w:t>
      </w:r>
      <w:r w:rsidRPr="008F1FB6">
        <w:rPr>
          <w:rFonts w:ascii="Verdana" w:hAnsi="Verdana" w:eastAsia="Calibri" w:cs="Arial"/>
        </w:rPr>
        <w:t xml:space="preserve"> con personal idóneo para todas las fases asociadas a la planeación, desarrollo, pruebas y estabilización del software.</w:t>
      </w:r>
      <w:r w:rsidRPr="008F1FB6">
        <w:rPr>
          <w:rStyle w:val="FootnoteReference"/>
          <w:rFonts w:ascii="Verdana" w:hAnsi="Verdana" w:eastAsia="Calibri" w:cs="Arial"/>
        </w:rPr>
        <w:footnoteReference w:id="2"/>
      </w:r>
      <w:r w:rsidRPr="008F1FB6">
        <w:rPr>
          <w:rFonts w:ascii="Verdana" w:hAnsi="Verdana" w:eastAsia="Calibri" w:cs="Arial"/>
        </w:rPr>
        <w:t xml:space="preserve"> </w:t>
      </w:r>
    </w:p>
    <w:p w:rsidR="006C2C82" w:rsidP="006C2C82" w:rsidRDefault="006C2C82" w14:paraId="7AE2351C" w14:textId="77777777">
      <w:pPr>
        <w:snapToGrid w:val="0"/>
        <w:spacing w:before="120" w:after="0" w:line="276" w:lineRule="auto"/>
        <w:ind w:firstLine="709"/>
        <w:jc w:val="both"/>
        <w:rPr>
          <w:rFonts w:ascii="Verdana" w:hAnsi="Verdana" w:eastAsia="Calibri" w:cs="Arial"/>
          <w:lang w:val="es-ES"/>
        </w:rPr>
      </w:pPr>
      <w:r w:rsidRPr="008F1FB6">
        <w:rPr>
          <w:rFonts w:ascii="Verdana" w:hAnsi="Verdana" w:eastAsia="Calibri" w:cs="Arial"/>
          <w:lang w:val="es-ES"/>
        </w:rPr>
        <w:t>Una alternativa es que, cuando entidad evidencie que no existe un software en el mercado para atender su necesidad, opte por un procedimiento que reutilice código previamente escrito con el fin de disminuir los costos asociados al proceso. Esta posibilidad, denominada “fábrica de software”</w:t>
      </w:r>
      <w:r>
        <w:rPr>
          <w:rFonts w:ascii="Verdana" w:hAnsi="Verdana" w:eastAsia="Calibri" w:cs="Arial"/>
          <w:lang w:val="es-ES"/>
        </w:rPr>
        <w:t>,</w:t>
      </w:r>
      <w:r w:rsidRPr="008F1FB6">
        <w:rPr>
          <w:rFonts w:ascii="Verdana" w:hAnsi="Verdana" w:eastAsia="Calibri" w:cs="Arial"/>
          <w:lang w:val="es-ES"/>
        </w:rPr>
        <w:t xml:space="preserve"> puede requerir un equipo de trabajo menor al </w:t>
      </w:r>
      <w:r>
        <w:rPr>
          <w:rFonts w:ascii="Verdana" w:hAnsi="Verdana" w:eastAsia="Calibri" w:cs="Arial"/>
          <w:lang w:val="es-ES"/>
        </w:rPr>
        <w:t xml:space="preserve">de un </w:t>
      </w:r>
      <w:r w:rsidRPr="008F1FB6">
        <w:rPr>
          <w:rFonts w:ascii="Verdana" w:hAnsi="Verdana" w:eastAsia="Calibri" w:cs="Arial"/>
          <w:lang w:val="es-ES"/>
        </w:rPr>
        <w:t xml:space="preserve">desarrollo a la medida y cumplir con objetivos específicos sin abarcar todo el ciclo de vida del software. De cualquier modo, </w:t>
      </w:r>
      <w:r>
        <w:rPr>
          <w:rFonts w:ascii="Verdana" w:hAnsi="Verdana" w:eastAsia="Calibri" w:cs="Arial"/>
          <w:lang w:val="es-ES"/>
        </w:rPr>
        <w:t xml:space="preserve">la Entidad debe tener en cuenta que </w:t>
      </w:r>
      <w:r w:rsidRPr="008F1FB6">
        <w:rPr>
          <w:rFonts w:ascii="Verdana" w:hAnsi="Verdana" w:eastAsia="Calibri" w:cs="Arial"/>
          <w:lang w:val="es-ES"/>
        </w:rPr>
        <w:t>esta opción también puede acarrear costos superiores a la adquisición de software existente.</w:t>
      </w:r>
    </w:p>
    <w:p w:rsidR="006C2C82" w:rsidP="006C2C82" w:rsidRDefault="006C2C82" w14:paraId="531C7D1D" w14:textId="77777777">
      <w:pPr>
        <w:snapToGrid w:val="0"/>
        <w:spacing w:before="120" w:after="0" w:line="276" w:lineRule="auto"/>
        <w:ind w:firstLine="709"/>
        <w:jc w:val="both"/>
        <w:rPr>
          <w:rFonts w:ascii="Verdana" w:hAnsi="Verdana" w:eastAsia="Calibri" w:cs="Arial"/>
          <w:lang w:val="es-ES"/>
        </w:rPr>
      </w:pPr>
      <w:r w:rsidRPr="008F1FB6">
        <w:rPr>
          <w:rFonts w:ascii="Verdana" w:hAnsi="Verdana" w:eastAsia="Calibri" w:cs="Arial"/>
        </w:rPr>
        <w:t xml:space="preserve">De esta manera, </w:t>
      </w:r>
      <w:r>
        <w:rPr>
          <w:rFonts w:ascii="Verdana" w:hAnsi="Verdana" w:eastAsia="Calibri" w:cs="Arial"/>
        </w:rPr>
        <w:t xml:space="preserve">una vez las Entidades realicen </w:t>
      </w:r>
      <w:r w:rsidRPr="008F1FB6">
        <w:rPr>
          <w:rFonts w:ascii="Verdana" w:hAnsi="Verdana" w:eastAsia="Calibri" w:cs="Arial"/>
        </w:rPr>
        <w:t>una evaluación de su necesidad</w:t>
      </w:r>
      <w:r>
        <w:rPr>
          <w:rFonts w:ascii="Verdana" w:hAnsi="Verdana" w:eastAsia="Calibri" w:cs="Arial"/>
        </w:rPr>
        <w:t xml:space="preserve"> y </w:t>
      </w:r>
      <w:r w:rsidRPr="008F1FB6">
        <w:rPr>
          <w:rFonts w:ascii="Verdana" w:hAnsi="Verdana" w:eastAsia="Calibri" w:cs="Arial"/>
        </w:rPr>
        <w:t>determin</w:t>
      </w:r>
      <w:r>
        <w:rPr>
          <w:rFonts w:ascii="Verdana" w:hAnsi="Verdana" w:eastAsia="Calibri" w:cs="Arial"/>
        </w:rPr>
        <w:t>en</w:t>
      </w:r>
      <w:r w:rsidRPr="008F1FB6">
        <w:rPr>
          <w:rFonts w:ascii="Verdana" w:hAnsi="Verdana" w:eastAsia="Calibri" w:cs="Arial"/>
        </w:rPr>
        <w:t xml:space="preserve"> si exis</w:t>
      </w:r>
      <w:r>
        <w:rPr>
          <w:rFonts w:ascii="Verdana" w:hAnsi="Verdana" w:eastAsia="Calibri" w:cs="Arial"/>
        </w:rPr>
        <w:t>ten</w:t>
      </w:r>
      <w:r w:rsidRPr="008F1FB6">
        <w:rPr>
          <w:rFonts w:ascii="Verdana" w:hAnsi="Verdana" w:eastAsia="Calibri" w:cs="Arial"/>
        </w:rPr>
        <w:t xml:space="preserve"> herramientas comerciales que puedan satisfacerla, </w:t>
      </w:r>
      <w:r>
        <w:rPr>
          <w:rFonts w:ascii="Verdana" w:hAnsi="Verdana" w:eastAsia="Calibri" w:cs="Arial"/>
        </w:rPr>
        <w:t>podrán</w:t>
      </w:r>
      <w:r w:rsidRPr="008F1FB6">
        <w:rPr>
          <w:rFonts w:ascii="Verdana" w:hAnsi="Verdana" w:eastAsia="Calibri" w:cs="Arial"/>
        </w:rPr>
        <w:t xml:space="preserve"> realizar una aproximación técnica, jurídica y económica que considere los costos derivados de la implementación y la puesta en producción. Este análisis les permitirá </w:t>
      </w:r>
      <w:r>
        <w:rPr>
          <w:rFonts w:ascii="Verdana" w:hAnsi="Verdana" w:eastAsia="Calibri" w:cs="Arial"/>
        </w:rPr>
        <w:t>determinar concretamente la cuantía y el objeto de su proceso de contratación, así como la modalidad de selección adecuada.</w:t>
      </w:r>
      <w:r w:rsidRPr="008F1FB6">
        <w:rPr>
          <w:rFonts w:ascii="Verdana" w:hAnsi="Verdana" w:eastAsia="Calibri" w:cs="Arial"/>
        </w:rPr>
        <w:t xml:space="preserve"> </w:t>
      </w:r>
    </w:p>
    <w:p w:rsidR="006C2C82" w:rsidP="006C2C82" w:rsidRDefault="006C2C82" w14:paraId="06F8AAD0" w14:textId="77777777">
      <w:pPr>
        <w:snapToGrid w:val="0"/>
        <w:spacing w:before="120" w:after="0" w:line="276" w:lineRule="auto"/>
        <w:ind w:firstLine="709"/>
        <w:jc w:val="both"/>
        <w:rPr>
          <w:rFonts w:ascii="Verdana" w:hAnsi="Verdana" w:eastAsia="Calibri" w:cs="Arial"/>
          <w:lang w:val="es-ES"/>
        </w:rPr>
      </w:pPr>
      <w:r w:rsidRPr="008F1FB6">
        <w:rPr>
          <w:rFonts w:ascii="Verdana" w:hAnsi="Verdana" w:eastAsia="Calibri" w:cs="Arial"/>
          <w:lang w:val="es-ES"/>
        </w:rPr>
        <w:t>La Agencia Nacional de Contratación Pública – Colombia Compra Eficiente y el Ministerio de Tecnologías de la Información y las Comunicaciones – MinTIC</w:t>
      </w:r>
      <w:r w:rsidRPr="008F1FB6">
        <w:rPr>
          <w:rFonts w:ascii="Verdana" w:hAnsi="Verdana" w:eastAsia="Calibri" w:cs="Arial"/>
        </w:rPr>
        <w:t xml:space="preserve"> </w:t>
      </w:r>
      <w:r w:rsidRPr="00D6586A">
        <w:rPr>
          <w:rFonts w:ascii="Verdana" w:hAnsi="Verdana" w:eastAsia="Calibri" w:cs="Arial"/>
          <w:lang w:val="es-ES"/>
        </w:rPr>
        <w:t>recomiendan</w:t>
      </w:r>
      <w:r>
        <w:rPr>
          <w:rStyle w:val="FootnoteReference"/>
          <w:rFonts w:ascii="Verdana" w:hAnsi="Verdana" w:eastAsia="Calibri" w:cs="Arial"/>
          <w:lang w:val="es-ES"/>
        </w:rPr>
        <w:footnoteReference w:id="3"/>
      </w:r>
      <w:r w:rsidRPr="00D6586A">
        <w:rPr>
          <w:rFonts w:ascii="Verdana" w:hAnsi="Verdana" w:eastAsia="Calibri" w:cs="Arial"/>
          <w:lang w:val="es-ES"/>
        </w:rPr>
        <w:t xml:space="preserve"> que las Entidades </w:t>
      </w:r>
      <w:r w:rsidRPr="000E2823">
        <w:rPr>
          <w:rFonts w:ascii="Verdana" w:hAnsi="Verdana" w:eastAsia="Calibri" w:cs="Arial"/>
          <w:lang w:val="es-ES"/>
        </w:rPr>
        <w:t>adelant</w:t>
      </w:r>
      <w:r>
        <w:rPr>
          <w:rFonts w:ascii="Verdana" w:hAnsi="Verdana" w:eastAsia="Calibri" w:cs="Arial"/>
          <w:lang w:val="es-ES"/>
        </w:rPr>
        <w:t>en</w:t>
      </w:r>
      <w:r w:rsidRPr="000E2823">
        <w:rPr>
          <w:rFonts w:ascii="Verdana" w:hAnsi="Verdana" w:eastAsia="Calibri" w:cs="Arial"/>
          <w:lang w:val="es-ES"/>
        </w:rPr>
        <w:t xml:space="preserve"> los procesos de adquisición de software mediante las siguientes modalidades de contratación: (i) licitación pública, (ii) mínima cuantía o (iii) concurso de méritos. </w:t>
      </w:r>
      <w:r w:rsidRPr="00D6586A">
        <w:rPr>
          <w:rFonts w:ascii="Verdana" w:hAnsi="Verdana" w:eastAsia="Calibri" w:cs="Arial"/>
          <w:lang w:val="es-ES"/>
        </w:rPr>
        <w:t>Sin embargo, la entidad deberá contemplar la modalidad de selección abreviada por subasta inversa cuando se trate de bienes de características técnicas uniformes.</w:t>
      </w:r>
      <w:r>
        <w:rPr>
          <w:rFonts w:ascii="Verdana" w:hAnsi="Verdana" w:eastAsia="Calibri" w:cs="Arial"/>
          <w:lang w:val="es-ES"/>
        </w:rPr>
        <w:t xml:space="preserve"> </w:t>
      </w:r>
    </w:p>
    <w:p w:rsidR="006C2C82" w:rsidP="006C2C82" w:rsidRDefault="006C2C82" w14:paraId="0CBDA8E9" w14:textId="77777777">
      <w:pPr>
        <w:snapToGrid w:val="0"/>
        <w:spacing w:before="120" w:after="0" w:line="276" w:lineRule="auto"/>
        <w:ind w:firstLine="709"/>
        <w:jc w:val="both"/>
        <w:rPr>
          <w:rFonts w:ascii="Verdana" w:hAnsi="Verdana" w:eastAsia="Calibri" w:cs="Arial"/>
          <w:lang w:val="es-ES"/>
        </w:rPr>
      </w:pPr>
      <w:r w:rsidRPr="00D6586A">
        <w:rPr>
          <w:rFonts w:ascii="Verdana" w:hAnsi="Verdana" w:eastAsia="Calibri" w:cs="Arial"/>
          <w:lang w:val="es-ES"/>
        </w:rPr>
        <w:t xml:space="preserve">En cuanto a la licitación, aunque es la regla general para la selección de proponentes de acuerdo con el artículo segundo de la </w:t>
      </w:r>
      <w:r>
        <w:rPr>
          <w:rFonts w:ascii="Verdana" w:hAnsi="Verdana" w:eastAsia="Calibri" w:cs="Arial"/>
          <w:lang w:val="es-ES"/>
        </w:rPr>
        <w:t>L</w:t>
      </w:r>
      <w:r w:rsidRPr="00D6586A">
        <w:rPr>
          <w:rFonts w:ascii="Verdana" w:hAnsi="Verdana" w:eastAsia="Calibri" w:cs="Arial"/>
          <w:lang w:val="es-ES"/>
        </w:rPr>
        <w:t>ey 1150 de 2007, esto no quiere decir que en todos los casos resulte ser la modalidad más adecuada para la adquisición de software. La entidad deberá primero verificar si se configuran circunstancias especiales que hacen procedente otra modalidad de selección</w:t>
      </w:r>
      <w:r>
        <w:rPr>
          <w:rFonts w:ascii="Verdana" w:hAnsi="Verdana" w:eastAsia="Calibri" w:cs="Arial"/>
          <w:lang w:val="es-ES"/>
        </w:rPr>
        <w:t>, como es el caso de la cuantía y la naturaleza del bien o servicio</w:t>
      </w:r>
      <w:r w:rsidRPr="00D6586A">
        <w:rPr>
          <w:rFonts w:ascii="Verdana" w:hAnsi="Verdana" w:eastAsia="Calibri" w:cs="Arial"/>
          <w:lang w:val="es-ES"/>
        </w:rPr>
        <w:t>. En efecto, según la naturaleza</w:t>
      </w:r>
      <w:r>
        <w:rPr>
          <w:rFonts w:ascii="Verdana" w:hAnsi="Verdana" w:eastAsia="Calibri" w:cs="Arial"/>
          <w:lang w:val="es-ES"/>
        </w:rPr>
        <w:t xml:space="preserve"> del objeto a contratar</w:t>
      </w:r>
      <w:r w:rsidRPr="00D6586A">
        <w:rPr>
          <w:rFonts w:ascii="Verdana" w:hAnsi="Verdana" w:eastAsia="Calibri" w:cs="Arial"/>
          <w:lang w:val="es-ES"/>
        </w:rPr>
        <w:t xml:space="preserve">, </w:t>
      </w:r>
      <w:r w:rsidRPr="008F1FB6">
        <w:rPr>
          <w:rFonts w:ascii="Verdana" w:hAnsi="Verdana" w:eastAsia="Calibri" w:cs="Arial"/>
          <w:lang w:val="es-ES"/>
        </w:rPr>
        <w:t>Colombia Compra Eficiente y el MinTIC</w:t>
      </w:r>
      <w:r w:rsidRPr="008F1FB6">
        <w:rPr>
          <w:rFonts w:ascii="Verdana" w:hAnsi="Verdana" w:eastAsia="Calibri" w:cs="Arial"/>
        </w:rPr>
        <w:t xml:space="preserve"> </w:t>
      </w:r>
      <w:r w:rsidRPr="00D6586A">
        <w:rPr>
          <w:rFonts w:ascii="Verdana" w:hAnsi="Verdana" w:eastAsia="Calibri" w:cs="Arial"/>
          <w:lang w:val="es-ES"/>
        </w:rPr>
        <w:t xml:space="preserve">recomiendan tener en cuenta las modalidades </w:t>
      </w:r>
      <w:r>
        <w:rPr>
          <w:rFonts w:ascii="Verdana" w:hAnsi="Verdana" w:eastAsia="Calibri" w:cs="Arial"/>
          <w:lang w:val="es-ES"/>
        </w:rPr>
        <w:t xml:space="preserve">de selección </w:t>
      </w:r>
      <w:r w:rsidRPr="00D6586A">
        <w:rPr>
          <w:rFonts w:ascii="Verdana" w:hAnsi="Verdana" w:eastAsia="Calibri" w:cs="Arial"/>
          <w:lang w:val="es-ES"/>
        </w:rPr>
        <w:t>que se exponen a continuación.</w:t>
      </w:r>
    </w:p>
    <w:p w:rsidR="006C2C82" w:rsidP="006C2C82" w:rsidRDefault="006C2C82" w14:paraId="6305A0B9" w14:textId="77777777">
      <w:pPr>
        <w:snapToGrid w:val="0"/>
        <w:spacing w:before="120" w:after="0" w:line="276" w:lineRule="auto"/>
        <w:ind w:firstLine="709"/>
        <w:jc w:val="both"/>
        <w:rPr>
          <w:rFonts w:ascii="Verdana" w:hAnsi="Verdana" w:eastAsia="Calibri" w:cs="Arial"/>
          <w:lang w:val="es-ES"/>
        </w:rPr>
      </w:pPr>
      <w:r w:rsidRPr="00D6586A">
        <w:rPr>
          <w:rFonts w:ascii="Verdana" w:hAnsi="Verdana" w:eastAsia="Calibri" w:cs="Arial"/>
          <w:lang w:val="es-ES"/>
        </w:rPr>
        <w:t xml:space="preserve">En primer lugar, cuando la Entidad Estatal determine que requiere la </w:t>
      </w:r>
      <w:r w:rsidRPr="00997173">
        <w:rPr>
          <w:rFonts w:ascii="Verdana" w:hAnsi="Verdana" w:eastAsia="Calibri" w:cs="Arial"/>
          <w:i/>
          <w:iCs/>
          <w:lang w:val="es-ES"/>
        </w:rPr>
        <w:t>adquisición de un software</w:t>
      </w:r>
      <w:r w:rsidRPr="00D6586A">
        <w:rPr>
          <w:rFonts w:ascii="Verdana" w:hAnsi="Verdana" w:eastAsia="Calibri" w:cs="Arial"/>
          <w:lang w:val="es-ES"/>
        </w:rPr>
        <w:t xml:space="preserve"> de propósito general </w:t>
      </w:r>
      <w:r>
        <w:rPr>
          <w:rFonts w:ascii="Verdana" w:hAnsi="Verdana" w:eastAsia="Calibri" w:cs="Arial"/>
          <w:lang w:val="es-ES"/>
        </w:rPr>
        <w:t xml:space="preserve">- </w:t>
      </w:r>
      <w:r w:rsidRPr="00D6586A">
        <w:rPr>
          <w:rFonts w:ascii="Verdana" w:hAnsi="Verdana" w:eastAsia="Calibri" w:cs="Arial"/>
          <w:lang w:val="es-ES"/>
        </w:rPr>
        <w:t>como la adquisición de licenciamiento, SaaS y servicios complementarios</w:t>
      </w:r>
      <w:r>
        <w:rPr>
          <w:rFonts w:ascii="Verdana" w:hAnsi="Verdana" w:eastAsia="Calibri" w:cs="Arial"/>
          <w:lang w:val="es-ES"/>
        </w:rPr>
        <w:t>-</w:t>
      </w:r>
      <w:r w:rsidRPr="00D6586A">
        <w:rPr>
          <w:rFonts w:ascii="Verdana" w:hAnsi="Verdana" w:eastAsia="Calibri" w:cs="Arial"/>
          <w:lang w:val="es-ES"/>
        </w:rPr>
        <w:t xml:space="preserve"> deberá considerar si se trata de bienes con características uniformes y de común utilización, que comparten patrones de desempeño y de calidad. De conformidad con lo dispuesto en la Ley 1150 de 2007, en estos casos deberá adelantar un proceso mediante la modalidad de selección abreviada por subasta inversa, siguiendo el proc</w:t>
      </w:r>
      <w:r>
        <w:rPr>
          <w:rFonts w:ascii="Verdana" w:hAnsi="Verdana" w:eastAsia="Calibri" w:cs="Arial"/>
          <w:lang w:val="es-ES"/>
        </w:rPr>
        <w:t>e</w:t>
      </w:r>
      <w:r w:rsidRPr="00D6586A">
        <w:rPr>
          <w:rFonts w:ascii="Verdana" w:hAnsi="Verdana" w:eastAsia="Calibri" w:cs="Arial"/>
          <w:lang w:val="es-ES"/>
        </w:rPr>
        <w:t xml:space="preserve">dimiento que para </w:t>
      </w:r>
      <w:r>
        <w:rPr>
          <w:rFonts w:ascii="Verdana" w:hAnsi="Verdana" w:eastAsia="Calibri" w:cs="Arial"/>
          <w:lang w:val="es-ES"/>
        </w:rPr>
        <w:t>ello dispone el</w:t>
      </w:r>
      <w:r w:rsidRPr="00D6586A">
        <w:rPr>
          <w:rFonts w:ascii="Verdana" w:hAnsi="Verdana" w:eastAsia="Calibri" w:cs="Arial"/>
          <w:lang w:val="es-ES"/>
        </w:rPr>
        <w:t xml:space="preserve"> Decreto 1082 de 2015</w:t>
      </w:r>
      <w:r>
        <w:rPr>
          <w:rStyle w:val="FootnoteReference"/>
          <w:rFonts w:ascii="Verdana" w:hAnsi="Verdana" w:eastAsia="Calibri" w:cs="Arial"/>
          <w:lang w:val="es-ES"/>
        </w:rPr>
        <w:footnoteReference w:id="4"/>
      </w:r>
      <w:r w:rsidRPr="00D6586A">
        <w:rPr>
          <w:rFonts w:ascii="Verdana" w:hAnsi="Verdana" w:eastAsia="Calibri" w:cs="Arial"/>
          <w:lang w:val="es-ES"/>
        </w:rPr>
        <w:t xml:space="preserve">. </w:t>
      </w:r>
      <w:r w:rsidRPr="004831FB">
        <w:rPr>
          <w:rFonts w:ascii="Verdana" w:hAnsi="Verdana" w:eastAsia="Calibri" w:cs="Arial"/>
          <w:lang w:val="es-ES"/>
        </w:rPr>
        <w:t>Para la adquisición o suministro de bienes y servicios de características técnicas</w:t>
      </w:r>
      <w:r w:rsidRPr="004831FB">
        <w:rPr>
          <w:rFonts w:ascii="Verdana" w:hAnsi="Verdana" w:eastAsia="Calibri" w:cs="Arial"/>
        </w:rPr>
        <w:t xml:space="preserve"> uniformes y común utilización, las entidades estatales incluirán como único factor de evaluación el menor precio ofrecido</w:t>
      </w:r>
      <w:r>
        <w:rPr>
          <w:rStyle w:val="FootnoteReference"/>
          <w:rFonts w:ascii="Verdana" w:hAnsi="Verdana" w:eastAsia="Calibri" w:cs="Arial"/>
        </w:rPr>
        <w:footnoteReference w:id="5"/>
      </w:r>
      <w:r w:rsidRPr="004831FB">
        <w:rPr>
          <w:rFonts w:ascii="Verdana" w:hAnsi="Verdana" w:eastAsia="Calibri" w:cs="Arial"/>
          <w:lang w:val="es-ES"/>
        </w:rPr>
        <w:t>.</w:t>
      </w:r>
      <w:r>
        <w:rPr>
          <w:rFonts w:ascii="Verdana" w:hAnsi="Verdana" w:eastAsia="Calibri" w:cs="Arial"/>
          <w:lang w:val="es-ES"/>
        </w:rPr>
        <w:t xml:space="preserve"> </w:t>
      </w:r>
      <w:r w:rsidRPr="00D6586A">
        <w:rPr>
          <w:rFonts w:ascii="Verdana" w:hAnsi="Verdana" w:eastAsia="Calibri" w:cs="Arial"/>
          <w:lang w:val="es-ES"/>
        </w:rPr>
        <w:t>Lo anterior, sin perjuicio de lo que dispone la normativa para la adquisición de estos bienes y servicios a través de Acuerdos Marco de Precios o Instrumentos de Agregación de Demanda</w:t>
      </w:r>
      <w:r>
        <w:rPr>
          <w:rStyle w:val="FootnoteReference"/>
          <w:rFonts w:ascii="Verdana" w:hAnsi="Verdana" w:eastAsia="Calibri" w:cs="Arial"/>
          <w:lang w:val="es-ES"/>
        </w:rPr>
        <w:footnoteReference w:id="6"/>
      </w:r>
      <w:r w:rsidRPr="00D6586A">
        <w:rPr>
          <w:rFonts w:ascii="Verdana" w:hAnsi="Verdana" w:eastAsia="Calibri" w:cs="Arial"/>
          <w:lang w:val="es-ES"/>
        </w:rPr>
        <w:t xml:space="preserve">. </w:t>
      </w:r>
    </w:p>
    <w:p w:rsidR="006C2C82" w:rsidP="006C2C82" w:rsidRDefault="006C2C82" w14:paraId="69F3CE3E" w14:textId="77777777">
      <w:pPr>
        <w:snapToGrid w:val="0"/>
        <w:spacing w:before="120" w:after="0" w:line="276" w:lineRule="auto"/>
        <w:ind w:firstLine="709"/>
        <w:jc w:val="both"/>
        <w:rPr>
          <w:rFonts w:ascii="Verdana" w:hAnsi="Verdana" w:eastAsia="Calibri" w:cs="Arial"/>
          <w:lang w:val="es-ES"/>
        </w:rPr>
      </w:pPr>
      <w:r w:rsidRPr="00D6586A">
        <w:rPr>
          <w:rFonts w:ascii="Verdana" w:hAnsi="Verdana" w:eastAsia="Calibri" w:cs="Arial"/>
          <w:lang w:val="es-ES"/>
        </w:rPr>
        <w:t xml:space="preserve">Adicionalmente, las entidades deben tener en cuenta que la adquisición de software mediante la modalidad de selección abreviada por subasta inversa puede generar dificultades durante la ejecución del contrato asociadas a que los partícipes sobrepasen el punto de quiebre o subestimen los costos del despliegue de la herramienta ofreciendo precios inferiores a los de mercado. Así, </w:t>
      </w:r>
      <w:r>
        <w:rPr>
          <w:rFonts w:ascii="Verdana" w:hAnsi="Verdana" w:eastAsia="Calibri" w:cs="Arial"/>
          <w:lang w:val="es-ES"/>
        </w:rPr>
        <w:t xml:space="preserve">es importante </w:t>
      </w:r>
      <w:r w:rsidRPr="00D6586A">
        <w:rPr>
          <w:rFonts w:ascii="Verdana" w:hAnsi="Verdana" w:eastAsia="Calibri" w:cs="Arial"/>
          <w:lang w:val="es-ES"/>
        </w:rPr>
        <w:t>considerar si la realidad de la adquisición del software o los servicios asociados corresponde efectivamente a un bien o servicio de características técnicas uniformes, con el fin de evitar una indebida modalidad de selección.</w:t>
      </w:r>
    </w:p>
    <w:p w:rsidR="006C2C82" w:rsidP="006C2C82" w:rsidRDefault="006C2C82" w14:paraId="493C1616" w14:textId="77879F6D">
      <w:pPr>
        <w:snapToGrid w:val="0"/>
        <w:spacing w:before="120" w:after="0" w:line="276" w:lineRule="auto"/>
        <w:ind w:firstLine="709"/>
        <w:jc w:val="both"/>
        <w:rPr>
          <w:rFonts w:ascii="Verdana" w:hAnsi="Verdana" w:eastAsia="Calibri" w:cs="Arial"/>
          <w:lang w:val="es-ES"/>
        </w:rPr>
      </w:pPr>
      <w:r w:rsidRPr="00D6586A">
        <w:rPr>
          <w:rFonts w:ascii="Verdana" w:hAnsi="Verdana" w:eastAsia="Calibri" w:cs="Arial"/>
          <w:lang w:val="es-ES"/>
        </w:rPr>
        <w:t xml:space="preserve">En segundo lugar, si durante la etapa de planeación la entidad determina que no existe una herramienta disponible en el mercado y requiere el </w:t>
      </w:r>
      <w:r w:rsidRPr="00F02B16">
        <w:rPr>
          <w:rFonts w:ascii="Verdana" w:hAnsi="Verdana" w:eastAsia="Calibri" w:cs="Arial"/>
          <w:i/>
          <w:iCs/>
          <w:lang w:val="es-ES"/>
        </w:rPr>
        <w:t>desarrollo de software a la medida</w:t>
      </w:r>
      <w:r w:rsidRPr="00D6586A">
        <w:rPr>
          <w:rFonts w:ascii="Verdana" w:hAnsi="Verdana" w:eastAsia="Calibri" w:cs="Arial"/>
          <w:lang w:val="es-ES"/>
        </w:rPr>
        <w:t xml:space="preserve"> se recomienda que adelante un proceso de contratación mediante la modalidad de selección de concurso de méritos. Esta será procedente por tratarse del desarrollo de un proyecto específico o por requerir la selección de consultores. En estos procesos</w:t>
      </w:r>
      <w:r w:rsidRPr="004831FB">
        <w:rPr>
          <w:rFonts w:ascii="Verdana" w:hAnsi="Verdana" w:eastAsia="Calibri" w:cs="Arial"/>
          <w:lang w:val="es-ES"/>
        </w:rPr>
        <w:t>,</w:t>
      </w:r>
      <w:r w:rsidRPr="00D6586A">
        <w:rPr>
          <w:rFonts w:ascii="Verdana" w:hAnsi="Verdana" w:eastAsia="Calibri" w:cs="Arial"/>
          <w:lang w:val="es-ES"/>
        </w:rPr>
        <w:t xml:space="preserve"> la entidad </w:t>
      </w:r>
      <w:r w:rsidRPr="004831FB">
        <w:rPr>
          <w:rFonts w:ascii="Verdana" w:hAnsi="Verdana" w:eastAsia="Calibri" w:cs="Arial"/>
          <w:lang w:val="es-ES"/>
        </w:rPr>
        <w:t xml:space="preserve">hará́ uso de factores de calificación </w:t>
      </w:r>
      <w:r w:rsidRPr="00D6586A">
        <w:rPr>
          <w:rFonts w:ascii="Verdana" w:hAnsi="Verdana" w:eastAsia="Calibri" w:cs="Arial"/>
          <w:lang w:val="es-ES"/>
        </w:rPr>
        <w:t xml:space="preserve">que valoren </w:t>
      </w:r>
      <w:r w:rsidRPr="004831FB">
        <w:rPr>
          <w:rFonts w:ascii="Verdana" w:hAnsi="Verdana" w:eastAsia="Calibri" w:cs="Arial"/>
          <w:lang w:val="es-ES"/>
        </w:rPr>
        <w:t xml:space="preserve">los aspectos técnicos de la oferta o proyecto. </w:t>
      </w:r>
      <w:r w:rsidRPr="00D6586A">
        <w:rPr>
          <w:rFonts w:ascii="Verdana" w:hAnsi="Verdana" w:eastAsia="Calibri" w:cs="Arial"/>
          <w:lang w:val="es-ES"/>
        </w:rPr>
        <w:t>P</w:t>
      </w:r>
      <w:r w:rsidRPr="004831FB">
        <w:rPr>
          <w:rFonts w:ascii="Verdana" w:hAnsi="Verdana" w:eastAsia="Calibri" w:cs="Arial"/>
          <w:lang w:val="es-ES"/>
        </w:rPr>
        <w:t>odrán utilizar criterios de experiencia específica del oferente y del equipo de trabajo, en el campo de que se trate</w:t>
      </w:r>
      <w:r w:rsidRPr="00D6586A">
        <w:rPr>
          <w:rFonts w:ascii="Verdana" w:hAnsi="Verdana" w:eastAsia="Calibri" w:cs="Arial"/>
          <w:lang w:val="es-ES"/>
        </w:rPr>
        <w:t xml:space="preserve">, según lo </w:t>
      </w:r>
      <w:r>
        <w:rPr>
          <w:rFonts w:ascii="Verdana" w:hAnsi="Verdana" w:eastAsia="Calibri" w:cs="Arial"/>
          <w:lang w:val="es-ES"/>
        </w:rPr>
        <w:t xml:space="preserve">que establece </w:t>
      </w:r>
      <w:r w:rsidRPr="00D6586A">
        <w:rPr>
          <w:rFonts w:ascii="Verdana" w:hAnsi="Verdana" w:eastAsia="Calibri" w:cs="Arial"/>
          <w:lang w:val="es-ES"/>
        </w:rPr>
        <w:t xml:space="preserve">el numeral 4 del artículo 5 de la </w:t>
      </w:r>
      <w:r w:rsidRPr="004831FB">
        <w:rPr>
          <w:rFonts w:ascii="Verdana" w:hAnsi="Verdana" w:eastAsia="Calibri" w:cs="Arial"/>
          <w:lang w:val="es-ES"/>
        </w:rPr>
        <w:t>Ley 1150 de 2007</w:t>
      </w:r>
      <w:r w:rsidRPr="00D6586A">
        <w:rPr>
          <w:rFonts w:ascii="Verdana" w:hAnsi="Verdana" w:eastAsia="Calibri" w:cs="Arial"/>
          <w:lang w:val="es-ES"/>
        </w:rPr>
        <w:t>.</w:t>
      </w:r>
    </w:p>
    <w:p w:rsidR="006C2C82" w:rsidP="006C2C82" w:rsidRDefault="006C2C82" w14:paraId="2128239C" w14:textId="77777777">
      <w:pPr>
        <w:snapToGrid w:val="0"/>
        <w:spacing w:before="120" w:after="0" w:line="276" w:lineRule="auto"/>
        <w:ind w:firstLine="709"/>
        <w:jc w:val="both"/>
        <w:rPr>
          <w:rFonts w:ascii="Verdana" w:hAnsi="Verdana" w:eastAsia="Calibri" w:cs="Arial"/>
          <w:lang w:val="es-ES"/>
        </w:rPr>
      </w:pPr>
      <w:r w:rsidRPr="00D6586A">
        <w:rPr>
          <w:rFonts w:ascii="Verdana" w:hAnsi="Verdana" w:eastAsia="Calibri" w:cs="Arial"/>
          <w:lang w:val="es-ES"/>
        </w:rPr>
        <w:t xml:space="preserve">Finalmente, si la entidad determina que el tipo de contratación adecuado para satisfacer su necesidad es la </w:t>
      </w:r>
      <w:r w:rsidRPr="00F02B16">
        <w:rPr>
          <w:rFonts w:ascii="Verdana" w:hAnsi="Verdana" w:eastAsia="Calibri" w:cs="Arial"/>
          <w:i/>
          <w:iCs/>
          <w:lang w:val="es-ES"/>
        </w:rPr>
        <w:t>fábrica de software</w:t>
      </w:r>
      <w:r w:rsidRPr="00D6586A">
        <w:rPr>
          <w:rFonts w:ascii="Verdana" w:hAnsi="Verdana" w:eastAsia="Calibri" w:cs="Arial"/>
          <w:lang w:val="es-ES"/>
        </w:rPr>
        <w:t xml:space="preserve">, es recomendable adelantar un proceso de licitación pública. Sin embargo, la entidad deberá contemplar la modalidad de selección abreviada por subasta inversa cuando la fábrica </w:t>
      </w:r>
      <w:r>
        <w:rPr>
          <w:rFonts w:ascii="Verdana" w:hAnsi="Verdana" w:eastAsia="Calibri" w:cs="Arial"/>
          <w:lang w:val="es-ES"/>
        </w:rPr>
        <w:t xml:space="preserve">se refiera a </w:t>
      </w:r>
      <w:r w:rsidRPr="00D6586A">
        <w:rPr>
          <w:rFonts w:ascii="Verdana" w:hAnsi="Verdana" w:eastAsia="Calibri" w:cs="Arial"/>
          <w:lang w:val="es-ES"/>
        </w:rPr>
        <w:t>bienes de características técnicas uniformes. En este supuesto, también será procedente lo establecido frente a la aplicación de Acuerdos Marco de Precios o Instrumentos de Agregación de Demanda.</w:t>
      </w:r>
    </w:p>
    <w:p w:rsidR="006C2C82" w:rsidP="006C2C82" w:rsidRDefault="006C2C82" w14:paraId="090FDC6A" w14:textId="77777777">
      <w:pPr>
        <w:snapToGrid w:val="0"/>
        <w:spacing w:before="120" w:after="0" w:line="276" w:lineRule="auto"/>
        <w:ind w:firstLine="709"/>
        <w:jc w:val="both"/>
        <w:rPr>
          <w:rFonts w:ascii="Verdana" w:hAnsi="Verdana" w:eastAsia="Calibri" w:cs="Arial"/>
          <w:lang w:val="es-ES"/>
        </w:rPr>
      </w:pPr>
      <w:r>
        <w:rPr>
          <w:rFonts w:ascii="Verdana" w:hAnsi="Verdana" w:eastAsia="Calibri" w:cs="Arial"/>
          <w:lang w:val="es-ES"/>
        </w:rPr>
        <w:t xml:space="preserve">En conclusión, en la adquisición de software y servicios asociados las Entidades Estatal deberán, en primera medida, determinar si existe una herramienta disponible en el mercado o si, por el contrario, deben recurrir a la contratación del desarrollo de software a la medida o de una fábrica de software. De acuerdo con lo anterior, Colombia Compra Eficiente y el MinTIC recomiendan que: i) la adquisición de software se realice por selección abreviada por subasta inversa cuando la adquisición se refiera efectivamente a bienes de características técnicas uniformes, sin perjuicio de lo dispuesto en materia de Acuerdos Marco de Precios e Instrumentos de Agregación de Demanda. Sin embargo, la entidad deberá considerar si, por no tratarse de dichos bienes, puede ser procedente un proceso de licitación pública, de mínima cuantía o un concurso de méritos. Por su parte las entidades deberían contratar ii) el desarrollo de software por medio de la modalidad de concurso de méritos; y iii) la fábrica de software, mediante licitación pública cuando no implique aspectos que hagan procedente otra modalidad, como la selección abreviada por subasta inversa cuando incluya bienes de características técnicas uniformes. </w:t>
      </w:r>
    </w:p>
    <w:p w:rsidR="006C2C82" w:rsidP="006C2C82" w:rsidRDefault="006C2C82" w14:paraId="7991FDC6" w14:textId="77777777">
      <w:pPr>
        <w:snapToGrid w:val="0"/>
        <w:spacing w:before="120" w:after="0" w:line="276" w:lineRule="auto"/>
        <w:ind w:firstLine="709"/>
        <w:jc w:val="both"/>
        <w:rPr>
          <w:rFonts w:ascii="Verdana" w:hAnsi="Verdana" w:eastAsia="Calibri" w:cs="Arial"/>
          <w:lang w:val="es-ES"/>
        </w:rPr>
      </w:pPr>
      <w:r>
        <w:rPr>
          <w:rFonts w:ascii="Verdana" w:hAnsi="Verdana" w:eastAsia="Times New Roman" w:cs="Times New Roman"/>
          <w:lang w:eastAsia="es-CO"/>
        </w:rPr>
        <w:t>De igual manera, en</w:t>
      </w:r>
      <w:r w:rsidRPr="00082B55">
        <w:rPr>
          <w:rFonts w:ascii="Verdana" w:hAnsi="Verdana" w:eastAsia="Times New Roman" w:cs="Times New Roman"/>
          <w:lang w:eastAsia="es-CO"/>
        </w:rPr>
        <w:t xml:space="preserve"> atención a la situación planteada, se recomienda consultar la</w:t>
      </w:r>
      <w:r>
        <w:rPr>
          <w:rFonts w:ascii="Verdana" w:hAnsi="Verdana" w:eastAsia="Times New Roman" w:cs="Times New Roman"/>
          <w:lang w:eastAsia="es-CO"/>
        </w:rPr>
        <w:t xml:space="preserve"> ya mencionada</w:t>
      </w:r>
      <w:r w:rsidRPr="00082B55">
        <w:rPr>
          <w:rFonts w:ascii="Verdana" w:hAnsi="Verdana" w:eastAsia="Times New Roman" w:cs="Times New Roman"/>
          <w:lang w:eastAsia="es-CO"/>
        </w:rPr>
        <w:t xml:space="preserve"> “</w:t>
      </w:r>
      <w:r w:rsidRPr="0004611B">
        <w:rPr>
          <w:rFonts w:ascii="Verdana" w:hAnsi="Verdana" w:eastAsia="Calibri" w:cs="Arial"/>
        </w:rPr>
        <w:t>Guía de Buenas Prácticas en la adquisición de Software y servicios asociados</w:t>
      </w:r>
      <w:r>
        <w:rPr>
          <w:rFonts w:ascii="Verdana" w:hAnsi="Verdana" w:eastAsia="Calibri" w:cs="Arial"/>
        </w:rPr>
        <w:t>”</w:t>
      </w:r>
      <w:r w:rsidRPr="00D1069C">
        <w:rPr>
          <w:rFonts w:ascii="Verdana" w:hAnsi="Verdana" w:eastAsia="Times New Roman" w:cs="Times New Roman"/>
          <w:lang w:eastAsia="es-CO"/>
        </w:rPr>
        <w:t xml:space="preserve">, elaborada por Colombia Compra Eficiente, ya </w:t>
      </w:r>
      <w:r>
        <w:rPr>
          <w:rFonts w:ascii="Verdana" w:hAnsi="Verdana" w:eastAsia="Times New Roman" w:cs="Times New Roman"/>
          <w:lang w:eastAsia="es-CO"/>
        </w:rPr>
        <w:t>que e</w:t>
      </w:r>
      <w:r>
        <w:rPr>
          <w:rFonts w:ascii="Verdana" w:hAnsi="Verdana" w:cs="Arial"/>
          <w:bCs/>
          <w:color w:val="000000" w:themeColor="text1"/>
        </w:rPr>
        <w:t>sta ofrece</w:t>
      </w:r>
      <w:r w:rsidRPr="00503B74">
        <w:rPr>
          <w:rFonts w:ascii="Verdana" w:hAnsi="Verdana" w:cs="Arial"/>
          <w:bCs/>
          <w:color w:val="000000" w:themeColor="text1"/>
        </w:rPr>
        <w:t xml:space="preserve"> lineamientos y herramientas prácticas para cada etapa del proceso de contratación de software, incluyendo la planeación, selección de la modalidad, elaboración de estudios de mercado y análisis de riesgos. Su aplicación será crucial para asegurar una adquisición transparente, eficiente y conforme a la normativa</w:t>
      </w:r>
      <w:r>
        <w:rPr>
          <w:rFonts w:ascii="Verdana" w:hAnsi="Verdana" w:cs="Arial"/>
          <w:bCs/>
          <w:color w:val="000000" w:themeColor="text1"/>
        </w:rPr>
        <w:t>.</w:t>
      </w:r>
    </w:p>
    <w:p w:rsidRPr="006C2C82" w:rsidR="006C2C82" w:rsidP="006C2C82" w:rsidRDefault="006C2C82" w14:paraId="529E6627" w14:textId="2CA60EC9">
      <w:pPr>
        <w:snapToGrid w:val="0"/>
        <w:spacing w:before="120" w:after="0" w:line="276" w:lineRule="auto"/>
        <w:ind w:firstLine="709"/>
        <w:jc w:val="both"/>
        <w:rPr>
          <w:rFonts w:ascii="Verdana" w:hAnsi="Verdana" w:eastAsia="Calibri" w:cs="Arial"/>
          <w:lang w:val="es-ES"/>
        </w:rPr>
      </w:pPr>
      <w:r>
        <w:rPr>
          <w:rFonts w:ascii="Verdana" w:hAnsi="Verdana" w:eastAsia="Calibri" w:cs="Arial"/>
          <w:bCs/>
          <w:color w:val="000000" w:themeColor="text1"/>
        </w:rPr>
        <w:t>Finalmente</w:t>
      </w:r>
      <w:r>
        <w:rPr>
          <w:rFonts w:ascii="Verdana" w:hAnsi="Verdana" w:eastAsia="Calibri" w:cs="Times New Roman"/>
          <w:lang w:val="es-ES"/>
        </w:rPr>
        <w:t>,</w:t>
      </w:r>
      <w:r w:rsidRPr="00DB4737">
        <w:rPr>
          <w:rFonts w:ascii="Verdana" w:hAnsi="Verdana" w:eastAsia="Calibri" w:cs="Times New Roman"/>
          <w:lang w:val="es-ES"/>
        </w:rPr>
        <w:t xml:space="preserve"> debe advertirse que el análisis para resolver problemas en torno </w:t>
      </w:r>
      <w:r>
        <w:rPr>
          <w:rFonts w:ascii="Verdana" w:hAnsi="Verdana" w:eastAsia="Calibri" w:cs="Times New Roman"/>
          <w:lang w:val="es-ES"/>
        </w:rPr>
        <w:t>a un proceso de contratación especifico debe</w:t>
      </w:r>
      <w:r w:rsidRPr="0012388D">
        <w:rPr>
          <w:rFonts w:ascii="Verdana" w:hAnsi="Verdana" w:eastAsia="Calibri" w:cs="Times New Roman"/>
          <w:lang w:val="es-ES"/>
        </w:rPr>
        <w:t xml:space="preserve"> ser realizado por quienes tengan interés en ello.</w:t>
      </w:r>
      <w:r w:rsidRPr="00DB4737">
        <w:rPr>
          <w:rFonts w:ascii="Verdana" w:hAnsi="Verdana" w:eastAsia="Calibri" w:cs="Times New Roman"/>
          <w:lang w:val="es-ES"/>
        </w:rPr>
        <w:t xml:space="preserve"> De esta forma, las afirmaciones aquí realizadas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r w:rsidRPr="00CD211E">
        <w:rPr>
          <w:rFonts w:ascii="Verdana" w:hAnsi="Verdana" w:eastAsia="Calibri" w:cs="Times New Roman"/>
          <w:lang w:val="es-ES"/>
        </w:rPr>
        <w:t>.</w:t>
      </w:r>
    </w:p>
    <w:p w:rsidRPr="00601CDD" w:rsidR="006C2C82" w:rsidP="006C2C82" w:rsidRDefault="006C2C82" w14:paraId="21C1BC7D" w14:textId="77777777">
      <w:pPr>
        <w:spacing w:before="120" w:after="0" w:line="276" w:lineRule="auto"/>
        <w:ind w:firstLine="708"/>
        <w:jc w:val="both"/>
        <w:rPr>
          <w:rFonts w:ascii="Verdana" w:hAnsi="Verdana" w:eastAsia="Calibri" w:cs="Arial"/>
        </w:rPr>
      </w:pPr>
      <w:r w:rsidRPr="00AE7E03">
        <w:rPr>
          <w:rFonts w:ascii="Verdana" w:hAnsi="Verdana" w:eastAsia="Calibri" w:cs="Times New Roman"/>
          <w:lang w:val="es-ES"/>
        </w:rPr>
        <w:t xml:space="preserve"> 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p>
    <w:p w:rsidR="00EA6F8B" w:rsidP="00EA6F8B" w:rsidRDefault="00EA6F8B" w14:paraId="295E3693" w14:textId="77777777">
      <w:pPr>
        <w:spacing w:after="0" w:line="276" w:lineRule="auto"/>
        <w:jc w:val="both"/>
        <w:rPr>
          <w:rFonts w:ascii="Verdana" w:hAnsi="Verdana" w:eastAsia="Calibri" w:cs="Arial"/>
          <w:lang w:val="es-ES"/>
        </w:rPr>
      </w:pPr>
    </w:p>
    <w:p w:rsidR="00F63507" w:rsidP="00EA6F8B" w:rsidRDefault="00F63507" w14:paraId="547A543B" w14:textId="77777777">
      <w:pPr>
        <w:spacing w:after="0" w:line="276" w:lineRule="auto"/>
        <w:jc w:val="both"/>
        <w:rPr>
          <w:rFonts w:ascii="Verdana" w:hAnsi="Verdana" w:eastAsia="Calibri" w:cs="Arial"/>
          <w:lang w:val="es-ES"/>
        </w:rPr>
      </w:pPr>
    </w:p>
    <w:p w:rsidRPr="0060676F" w:rsidR="00EA6F8B" w:rsidP="0060676F" w:rsidRDefault="00EA6F8B" w14:paraId="1E607EDE" w14:textId="5814E1B7">
      <w:pPr>
        <w:pStyle w:val="ListParagraph"/>
        <w:numPr>
          <w:ilvl w:val="0"/>
          <w:numId w:val="16"/>
        </w:numPr>
        <w:spacing w:after="120" w:line="276" w:lineRule="auto"/>
        <w:ind w:left="284"/>
        <w:jc w:val="both"/>
        <w:rPr>
          <w:rFonts w:ascii="Verdana" w:hAnsi="Verdana" w:eastAsia="Century Gothic" w:cs="Century Gothic"/>
          <w:b/>
          <w:bCs/>
        </w:rPr>
      </w:pPr>
      <w:r w:rsidRPr="0060676F">
        <w:rPr>
          <w:rFonts w:ascii="Verdana" w:hAnsi="Verdana" w:eastAsia="Century Gothic" w:cs="Century Gothic"/>
          <w:b/>
          <w:bCs/>
        </w:rPr>
        <w:t>Referencias normativas, jurisprudenciales y otras fuentes:</w:t>
      </w:r>
    </w:p>
    <w:p w:rsidRPr="00593A5F" w:rsidR="00EA6F8B" w:rsidP="00EA6F8B" w:rsidRDefault="00EA6F8B" w14:paraId="76EFDFD7" w14:textId="77777777">
      <w:pPr>
        <w:widowControl w:val="0"/>
        <w:autoSpaceDE w:val="0"/>
        <w:autoSpaceDN w:val="0"/>
        <w:spacing w:after="0" w:line="276" w:lineRule="auto"/>
        <w:jc w:val="both"/>
        <w:rPr>
          <w:rFonts w:ascii="Verdana" w:hAnsi="Verdana" w:cs="Arial"/>
        </w:rPr>
      </w:pPr>
    </w:p>
    <w:tbl>
      <w:tblPr>
        <w:tblStyle w:val="TableGrid"/>
        <w:tblW w:w="8647" w:type="dxa"/>
        <w:tblInd w:w="137" w:type="dxa"/>
        <w:tblBorders>
          <w:top w:val="dotted" w:color="auto" w:sz="4" w:space="0"/>
          <w:left w:val="dotted" w:color="auto" w:sz="4" w:space="0"/>
          <w:bottom w:val="dotted" w:color="auto" w:sz="4" w:space="0"/>
          <w:right w:val="dotted" w:color="auto" w:sz="4" w:space="0"/>
          <w:insideH w:val="dotted" w:color="auto" w:sz="4" w:space="0"/>
          <w:insideV w:val="dotted" w:color="auto" w:sz="4" w:space="0"/>
        </w:tblBorders>
        <w:tblLayout w:type="fixed"/>
        <w:tblLook w:val="04A0" w:firstRow="1" w:lastRow="0" w:firstColumn="1" w:lastColumn="0" w:noHBand="0" w:noVBand="1"/>
      </w:tblPr>
      <w:tblGrid>
        <w:gridCol w:w="8647"/>
      </w:tblGrid>
      <w:tr w:rsidRPr="00593A5F" w:rsidR="00EA6F8B" w:rsidTr="00434387" w14:paraId="38226ED2" w14:textId="77777777">
        <w:trPr>
          <w:trHeight w:val="870"/>
        </w:trPr>
        <w:tc>
          <w:tcPr>
            <w:tcW w:w="8647" w:type="dxa"/>
          </w:tcPr>
          <w:p w:rsidRPr="00BE3DE2" w:rsidR="006C2C82" w:rsidP="006C2C82" w:rsidRDefault="006C2C82" w14:paraId="318DD732" w14:textId="77777777">
            <w:pPr>
              <w:pStyle w:val="ListParagraph"/>
              <w:widowControl w:val="0"/>
              <w:numPr>
                <w:ilvl w:val="0"/>
                <w:numId w:val="25"/>
              </w:numPr>
              <w:autoSpaceDE w:val="0"/>
              <w:autoSpaceDN w:val="0"/>
              <w:spacing w:before="120" w:after="120" w:line="276" w:lineRule="auto"/>
              <w:contextualSpacing w:val="0"/>
              <w:jc w:val="both"/>
              <w:rPr>
                <w:rFonts w:ascii="Verdana" w:hAnsi="Verdana" w:cs="Arial"/>
                <w:color w:val="000000" w:themeColor="text1"/>
              </w:rPr>
            </w:pPr>
            <w:r w:rsidRPr="00BE3DE2">
              <w:rPr>
                <w:rFonts w:ascii="Verdana" w:hAnsi="Verdana" w:cs="Arial"/>
                <w:color w:val="000000" w:themeColor="text1"/>
              </w:rPr>
              <w:t xml:space="preserve">Ley 1150 de 2007, </w:t>
            </w:r>
            <w:r>
              <w:rPr>
                <w:rFonts w:ascii="Verdana" w:hAnsi="Verdana" w:cs="Arial"/>
                <w:color w:val="000000" w:themeColor="text1"/>
              </w:rPr>
              <w:t xml:space="preserve">artículo 2 y </w:t>
            </w:r>
            <w:r w:rsidRPr="00BE3DE2">
              <w:rPr>
                <w:rFonts w:ascii="Verdana" w:hAnsi="Verdana" w:cs="Arial"/>
                <w:color w:val="000000" w:themeColor="text1"/>
              </w:rPr>
              <w:t>artículo 5, numeral 3.</w:t>
            </w:r>
          </w:p>
          <w:p w:rsidRPr="00BE3DE2" w:rsidR="006C2C82" w:rsidP="006C2C82" w:rsidRDefault="006C2C82" w14:paraId="298577F3" w14:textId="77777777">
            <w:pPr>
              <w:pStyle w:val="ListParagraph"/>
              <w:widowControl w:val="0"/>
              <w:numPr>
                <w:ilvl w:val="0"/>
                <w:numId w:val="25"/>
              </w:numPr>
              <w:autoSpaceDE w:val="0"/>
              <w:autoSpaceDN w:val="0"/>
              <w:spacing w:before="120" w:after="120" w:line="276" w:lineRule="auto"/>
              <w:contextualSpacing w:val="0"/>
              <w:jc w:val="both"/>
              <w:rPr>
                <w:rFonts w:ascii="Verdana" w:hAnsi="Verdana" w:cs="Arial"/>
                <w:color w:val="000000" w:themeColor="text1"/>
              </w:rPr>
            </w:pPr>
            <w:r w:rsidRPr="00BE3DE2">
              <w:rPr>
                <w:rFonts w:ascii="Verdana" w:hAnsi="Verdana" w:cs="Arial"/>
                <w:color w:val="000000" w:themeColor="text1"/>
              </w:rPr>
              <w:t>Decreto 1082 de 2015, artículos: 2.2.1.2.1.4.9.,</w:t>
            </w:r>
            <w:r>
              <w:rPr>
                <w:rFonts w:ascii="Verdana" w:hAnsi="Verdana" w:cs="Arial"/>
                <w:color w:val="000000" w:themeColor="text1"/>
              </w:rPr>
              <w:t xml:space="preserve"> </w:t>
            </w:r>
            <w:r w:rsidRPr="00BE3DE2">
              <w:rPr>
                <w:rFonts w:ascii="Verdana" w:hAnsi="Verdana" w:cs="Arial"/>
                <w:color w:val="000000" w:themeColor="text1"/>
              </w:rPr>
              <w:t>2.2.1.2.1.2.2. y siguientes.</w:t>
            </w:r>
          </w:p>
          <w:p w:rsidR="006C2C82" w:rsidP="006C2C82" w:rsidRDefault="006C2C82" w14:paraId="00577681" w14:textId="77777777">
            <w:pPr>
              <w:pStyle w:val="ListParagraph"/>
              <w:widowControl w:val="0"/>
              <w:numPr>
                <w:ilvl w:val="0"/>
                <w:numId w:val="25"/>
              </w:numPr>
              <w:autoSpaceDE w:val="0"/>
              <w:autoSpaceDN w:val="0"/>
              <w:spacing w:before="120" w:after="120" w:line="276" w:lineRule="auto"/>
              <w:contextualSpacing w:val="0"/>
              <w:jc w:val="both"/>
              <w:rPr>
                <w:rFonts w:ascii="Verdana" w:hAnsi="Verdana" w:cs="Arial"/>
                <w:color w:val="000000" w:themeColor="text1"/>
              </w:rPr>
            </w:pPr>
            <w:r w:rsidRPr="00BE3DE2">
              <w:rPr>
                <w:rFonts w:ascii="Verdana" w:hAnsi="Verdana" w:cs="Arial"/>
                <w:color w:val="000000" w:themeColor="text1"/>
              </w:rPr>
              <w:t>Agencia Nacional de Contratación Pública – Colombia Compra Eficiente, Guía de buenas Prácticas en la Adquisición de Software y servicios asociados. Disponible en:</w:t>
            </w:r>
            <w:r w:rsidRPr="00BE3DE2">
              <w:rPr>
                <w:rFonts w:ascii="Verdana" w:hAnsi="Verdana"/>
                <w:color w:val="000000" w:themeColor="text1"/>
              </w:rPr>
              <w:t xml:space="preserve"> </w:t>
            </w:r>
            <w:hyperlink w:history="1" r:id="rId13">
              <w:r w:rsidRPr="00BE3DE2">
                <w:rPr>
                  <w:rStyle w:val="Hyperlink"/>
                  <w:rFonts w:ascii="Verdana" w:hAnsi="Verdana" w:cs="Arial"/>
                  <w:color w:val="000000" w:themeColor="text1"/>
                </w:rPr>
                <w:t>https://www.colombiacompra.gov.co/manuales-guias-y-pliegos-tipo/manuales-y-guias</w:t>
              </w:r>
            </w:hyperlink>
            <w:r w:rsidRPr="00BE3DE2">
              <w:rPr>
                <w:rFonts w:ascii="Verdana" w:hAnsi="Verdana" w:cs="Arial"/>
                <w:color w:val="000000" w:themeColor="text1"/>
              </w:rPr>
              <w:t xml:space="preserve"> </w:t>
            </w:r>
          </w:p>
          <w:p w:rsidRPr="00E132C3" w:rsidR="00EA6F8B" w:rsidP="006C2C82" w:rsidRDefault="00EA6F8B" w14:paraId="14B67E92" w14:textId="1BD0BA75">
            <w:pPr>
              <w:pStyle w:val="ListParagraph"/>
              <w:widowControl w:val="0"/>
              <w:autoSpaceDE w:val="0"/>
              <w:autoSpaceDN w:val="0"/>
              <w:spacing w:after="120"/>
              <w:jc w:val="both"/>
              <w:rPr>
                <w:rFonts w:ascii="Verdana" w:hAnsi="Verdana" w:cs="Arial"/>
              </w:rPr>
            </w:pPr>
          </w:p>
        </w:tc>
      </w:tr>
    </w:tbl>
    <w:p w:rsidR="0060676F" w:rsidP="0060676F" w:rsidRDefault="0060676F" w14:paraId="0A71BF98" w14:textId="77777777">
      <w:pPr>
        <w:pStyle w:val="ListParagraph"/>
        <w:tabs>
          <w:tab w:val="left" w:pos="142"/>
          <w:tab w:val="left" w:pos="284"/>
        </w:tabs>
        <w:spacing w:after="0" w:line="276" w:lineRule="auto"/>
        <w:ind w:left="0"/>
        <w:contextualSpacing w:val="0"/>
        <w:jc w:val="both"/>
        <w:rPr>
          <w:rFonts w:ascii="Verdana" w:hAnsi="Verdana" w:eastAsia="Century Gothic" w:cs="Century Gothic"/>
          <w:b/>
          <w:bCs/>
        </w:rPr>
      </w:pPr>
    </w:p>
    <w:p w:rsidR="00EA6F8B" w:rsidP="0060676F" w:rsidRDefault="00EA6F8B" w14:paraId="1EA72AE3" w14:textId="1CCFF9F3">
      <w:pPr>
        <w:pStyle w:val="ListParagraph"/>
        <w:numPr>
          <w:ilvl w:val="0"/>
          <w:numId w:val="16"/>
        </w:numPr>
        <w:tabs>
          <w:tab w:val="left" w:pos="142"/>
          <w:tab w:val="left" w:pos="284"/>
        </w:tabs>
        <w:spacing w:after="0" w:line="276" w:lineRule="auto"/>
        <w:ind w:left="284"/>
        <w:contextualSpacing w:val="0"/>
        <w:jc w:val="both"/>
        <w:rPr>
          <w:rFonts w:ascii="Verdana" w:hAnsi="Verdana" w:eastAsia="Century Gothic" w:cs="Century Gothic"/>
          <w:b/>
          <w:bCs/>
        </w:rPr>
      </w:pPr>
      <w:r>
        <w:rPr>
          <w:rFonts w:ascii="Verdana" w:hAnsi="Verdana" w:eastAsia="Century Gothic" w:cs="Century Gothic"/>
          <w:b/>
          <w:bCs/>
        </w:rPr>
        <w:t>Doctrina de la Agencia Nacional de Contratación Pública</w:t>
      </w:r>
      <w:r w:rsidRPr="00593A5F">
        <w:rPr>
          <w:rFonts w:ascii="Verdana" w:hAnsi="Verdana" w:eastAsia="Century Gothic" w:cs="Century Gothic"/>
          <w:b/>
          <w:bCs/>
        </w:rPr>
        <w:t>:</w:t>
      </w:r>
    </w:p>
    <w:p w:rsidRPr="00593A5F" w:rsidR="0060676F" w:rsidP="0060676F" w:rsidRDefault="0060676F" w14:paraId="786B8465" w14:textId="77777777">
      <w:pPr>
        <w:pStyle w:val="ListParagraph"/>
        <w:tabs>
          <w:tab w:val="left" w:pos="142"/>
          <w:tab w:val="left" w:pos="284"/>
        </w:tabs>
        <w:spacing w:after="0" w:line="276" w:lineRule="auto"/>
        <w:ind w:left="0"/>
        <w:contextualSpacing w:val="0"/>
        <w:jc w:val="both"/>
        <w:rPr>
          <w:rFonts w:ascii="Verdana" w:hAnsi="Verdana" w:eastAsia="Century Gothic" w:cs="Century Gothic"/>
          <w:b/>
          <w:bCs/>
        </w:rPr>
      </w:pPr>
    </w:p>
    <w:p w:rsidRPr="00AE7E03" w:rsidR="006C2C82" w:rsidP="006C2C82" w:rsidRDefault="006C2C82" w14:paraId="011563F5" w14:textId="00DF91FA">
      <w:pPr>
        <w:widowControl w:val="0"/>
        <w:autoSpaceDE w:val="0"/>
        <w:autoSpaceDN w:val="0"/>
        <w:spacing w:after="0" w:line="276" w:lineRule="auto"/>
        <w:jc w:val="both"/>
        <w:rPr>
          <w:rFonts w:ascii="Verdana" w:hAnsi="Verdana" w:eastAsia="Arial" w:cs="Arial"/>
          <w:lang w:val="es-MX" w:eastAsia="es-ES_tradnl"/>
        </w:rPr>
      </w:pPr>
      <w:r w:rsidRPr="00E7587A">
        <w:rPr>
          <w:rFonts w:ascii="Verdana" w:hAnsi="Verdana"/>
          <w:lang w:val="es-ES"/>
        </w:rPr>
        <w:t xml:space="preserve">Sobre el alcance de </w:t>
      </w:r>
      <w:r>
        <w:rPr>
          <w:rFonts w:ascii="Verdana" w:hAnsi="Verdana"/>
          <w:lang w:val="es-ES"/>
        </w:rPr>
        <w:t>la contratación directa</w:t>
      </w:r>
      <w:r w:rsidRPr="00E7587A">
        <w:rPr>
          <w:rFonts w:ascii="Verdana" w:hAnsi="Verdana"/>
          <w:lang w:val="es-ES"/>
        </w:rPr>
        <w:t xml:space="preserve"> esta Subdirección se pronunció en los conceptos</w:t>
      </w:r>
      <w:r w:rsidRPr="00E7587A">
        <w:t xml:space="preserve"> </w:t>
      </w:r>
      <w:r w:rsidRPr="003A0462">
        <w:rPr>
          <w:rFonts w:ascii="Verdana" w:hAnsi="Verdana"/>
          <w:lang w:val="es-ES"/>
        </w:rPr>
        <w:t xml:space="preserve">C–608 del 1 de octubre de 2020, C-145 del 8 de abril del 2021, C-491 del 14 de septiembre de 2021, C-517 del 30 de septiembre de 2021, C-181 del 7 de abril de 2022, C-773 del 17 de noviembre de 2022, C- 953 del 25 de enero de 2023 </w:t>
      </w:r>
      <w:r>
        <w:rPr>
          <w:rFonts w:ascii="Verdana" w:hAnsi="Verdana"/>
          <w:lang w:val="es-ES"/>
        </w:rPr>
        <w:t xml:space="preserve">, </w:t>
      </w:r>
      <w:r w:rsidRPr="003A0462">
        <w:rPr>
          <w:rFonts w:ascii="Verdana" w:hAnsi="Verdana"/>
          <w:lang w:val="es-ES"/>
        </w:rPr>
        <w:t>C-966 del 1 de febrero de 2023, C-135 del 25 de mayo de 2023, C-414 del 11 de septiembre de 2024, C-920 del 30 de diciembre del 2024</w:t>
      </w:r>
      <w:r>
        <w:rPr>
          <w:rFonts w:ascii="Verdana" w:hAnsi="Verdana"/>
          <w:lang w:val="es-ES"/>
        </w:rPr>
        <w:t xml:space="preserve">, </w:t>
      </w:r>
      <w:r w:rsidRPr="008D1044">
        <w:rPr>
          <w:rFonts w:ascii="Verdana" w:hAnsi="Verdana"/>
          <w:lang w:val="es-ES"/>
        </w:rPr>
        <w:t>C-038 de 5 de febrero de 2025</w:t>
      </w:r>
      <w:r>
        <w:rPr>
          <w:rFonts w:ascii="Verdana" w:hAnsi="Verdana"/>
          <w:lang w:val="es-ES"/>
        </w:rPr>
        <w:t xml:space="preserve">, </w:t>
      </w:r>
      <w:r w:rsidRPr="008D1044">
        <w:t xml:space="preserve"> </w:t>
      </w:r>
      <w:r w:rsidRPr="008D1044">
        <w:rPr>
          <w:rFonts w:ascii="Verdana" w:hAnsi="Verdana"/>
          <w:lang w:val="es-ES"/>
        </w:rPr>
        <w:t>C- 010 del 14 de febrero de 2025</w:t>
      </w:r>
      <w:r>
        <w:rPr>
          <w:rFonts w:ascii="Verdana" w:hAnsi="Verdana"/>
          <w:lang w:val="es-ES"/>
        </w:rPr>
        <w:t xml:space="preserve"> y en especial frente a la contratación de software en el concepto C-165 del 05 de marzo de 2025 y C-450 del 19 de mayo de 2025, </w:t>
      </w:r>
      <w:r w:rsidRPr="006849F1">
        <w:rPr>
          <w:rFonts w:ascii="Verdana" w:hAnsi="Verdana" w:cs="Arial"/>
          <w:shd w:val="clear" w:color="auto" w:fill="FFFFFF"/>
          <w:lang w:val="es-ES"/>
        </w:rPr>
        <w:t>entre otros</w:t>
      </w:r>
      <w:r>
        <w:rPr>
          <w:rFonts w:ascii="Verdana" w:hAnsi="Verdana" w:eastAsia="Calibri" w:cs="Arial"/>
          <w:lang w:val="es-ES" w:eastAsia="es-ES_tradnl"/>
        </w:rPr>
        <w:t>;</w:t>
      </w:r>
      <w:r w:rsidRPr="00185EE9">
        <w:rPr>
          <w:rFonts w:ascii="Verdana" w:hAnsi="Verdana" w:eastAsia="Calibri" w:cs="Times New Roman"/>
        </w:rPr>
        <w:t xml:space="preserve"> </w:t>
      </w:r>
      <w:r>
        <w:rPr>
          <w:rFonts w:ascii="Verdana" w:hAnsi="Verdana" w:eastAsia="Calibri" w:cs="Times New Roman"/>
        </w:rPr>
        <w:t xml:space="preserve">estos </w:t>
      </w:r>
      <w:r w:rsidRPr="00185EE9">
        <w:rPr>
          <w:rFonts w:ascii="Verdana" w:hAnsi="Verdana" w:eastAsia="Calibri"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rsidRPr="0065720B" w:rsidR="006C2C82" w:rsidP="006C2C82" w:rsidRDefault="006C2C82" w14:paraId="2CA86BAC" w14:textId="77777777">
      <w:pPr>
        <w:widowControl w:val="0"/>
        <w:autoSpaceDE w:val="0"/>
        <w:autoSpaceDN w:val="0"/>
        <w:spacing w:after="0" w:line="276" w:lineRule="auto"/>
        <w:jc w:val="both"/>
        <w:rPr>
          <w:rStyle w:val="normaltextrun"/>
          <w:rFonts w:ascii="Verdana" w:hAnsi="Verdana" w:eastAsia="Calibri" w:cs="Arial"/>
          <w:lang w:val="es-ES_tradnl" w:eastAsia="en-GB"/>
        </w:rPr>
      </w:pPr>
      <w:hyperlink w:history="1" r:id="rId14">
        <w:r w:rsidRPr="00191357">
          <w:rPr>
            <w:rStyle w:val="Hyperlink"/>
            <w:rFonts w:ascii="Verdana" w:hAnsi="Verdana" w:eastAsia="Calibri" w:cs="Times New Roman"/>
            <w:lang w:val="es-ES"/>
          </w:rPr>
          <w:t>https://relatoria.colombiacompra.gov.co/busqueda/conceptos</w:t>
        </w:r>
      </w:hyperlink>
      <w:r w:rsidRPr="00185EE9">
        <w:rPr>
          <w:rFonts w:ascii="Verdana" w:hAnsi="Verdana" w:eastAsia="Calibri" w:cs="Times New Roman"/>
        </w:rPr>
        <w:t>.</w:t>
      </w:r>
    </w:p>
    <w:p w:rsidR="006C2C82" w:rsidP="00EA6F8B" w:rsidRDefault="006C2C82" w14:paraId="0A05F32F"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00EA6F8B" w:rsidP="00EA6F8B" w:rsidRDefault="00EA6F8B" w14:paraId="6A486465" w14:textId="126A1074">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rsidRPr="00505CD6" w:rsidR="00EA6F8B" w:rsidP="00EA6F8B" w:rsidRDefault="00EA6F8B" w14:paraId="764054A6"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Pr="00505CD6" w:rsidR="00EA6F8B" w:rsidP="00EA6F8B" w:rsidRDefault="00EA6F8B" w14:paraId="1CFC5BF8" w14:textId="77777777">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w:tgtFrame="_blank" w:tooltip="Dirección URL original: https://www.colombiacompra.gov.co/content/03-documentos-tipo-para-los-procesos-de-seleccion-de-interventoria-de-obra-publica-de. Haga clic o pulse si confía en este vínculo." w:history="1" r:id="rId15">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rsidRPr="00505CD6" w:rsidR="00EA6F8B" w:rsidP="00EA6F8B" w:rsidRDefault="00EA6F8B" w14:paraId="1860EFB8" w14:textId="77777777">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w:tgtFrame="_blank" w:tooltip="Dirección URL original: https://www.colombiacompra.gov.co/content/02-documentos-tipo-para-los-procesos-de-seleccion-de-consultoria-de-obra-publica-de. Haga clic o pulse si confía en este vínculo." w:history="1" r:id="rId16">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rsidRPr="00505CD6" w:rsidR="00EA6F8B" w:rsidP="00EA6F8B" w:rsidRDefault="00EA6F8B" w14:paraId="59D92947" w14:textId="77777777">
      <w:pPr>
        <w:widowControl w:val="0"/>
        <w:autoSpaceDE w:val="0"/>
        <w:autoSpaceDN w:val="0"/>
        <w:spacing w:after="0" w:line="276" w:lineRule="auto"/>
        <w:jc w:val="both"/>
        <w:rPr>
          <w:rFonts w:ascii="Verdana" w:hAnsi="Verdana" w:cs="Arial"/>
          <w:color w:val="000000" w:themeColor="text1"/>
          <w:shd w:val="clear" w:color="auto" w:fill="FFFFFF"/>
        </w:rPr>
      </w:pPr>
    </w:p>
    <w:p w:rsidR="00EA6F8B" w:rsidP="00EA6F8B" w:rsidRDefault="00EA6F8B" w14:paraId="7B1174E9" w14:textId="77777777">
      <w:pPr>
        <w:widowControl w:val="0"/>
        <w:autoSpaceDE w:val="0"/>
        <w:autoSpaceDN w:val="0"/>
        <w:spacing w:after="0" w:line="276" w:lineRule="auto"/>
        <w:jc w:val="both"/>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w:tgtFrame="_blank" w:tooltip="Dirección URL original: https://www.colombiacompra.gov.co/manuales-guias-y-pliegos-tipo/manuales-y-guias/guia-de-contratacion-publica-sostenible-y-socialmente. Haga clic o pulse si confía en este vínculo." w:history="1" r:id="rId17">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t>.</w:t>
      </w:r>
    </w:p>
    <w:p w:rsidR="00EA6F8B" w:rsidP="00EA6F8B" w:rsidRDefault="00EA6F8B" w14:paraId="67BF12F7" w14:textId="77777777">
      <w:pPr>
        <w:widowControl w:val="0"/>
        <w:autoSpaceDE w:val="0"/>
        <w:autoSpaceDN w:val="0"/>
        <w:spacing w:after="0" w:line="276" w:lineRule="auto"/>
        <w:jc w:val="both"/>
      </w:pPr>
    </w:p>
    <w:p w:rsidRPr="00505CD6" w:rsidR="00EA6F8B" w:rsidP="00EA6F8B" w:rsidRDefault="00EA6F8B" w14:paraId="2847858B" w14:textId="77777777">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rsidRPr="00505CD6" w:rsidR="00EA6F8B" w:rsidP="00EA6F8B" w:rsidRDefault="00EA6F8B" w14:paraId="5ADAE9FB" w14:textId="77777777">
      <w:pPr>
        <w:widowControl w:val="0"/>
        <w:autoSpaceDE w:val="0"/>
        <w:autoSpaceDN w:val="0"/>
        <w:spacing w:after="0" w:line="276" w:lineRule="auto"/>
        <w:jc w:val="both"/>
        <w:rPr>
          <w:rFonts w:ascii="Verdana" w:hAnsi="Verdana" w:cs="Arial"/>
        </w:rPr>
      </w:pPr>
    </w:p>
    <w:p w:rsidRPr="00505CD6" w:rsidR="00EA6F8B" w:rsidP="00EA6F8B" w:rsidRDefault="00EA6F8B" w14:paraId="1B4F1CC6" w14:textId="77777777">
      <w:pPr>
        <w:spacing w:after="0" w:line="276" w:lineRule="auto"/>
        <w:jc w:val="both"/>
        <w:rPr>
          <w:rFonts w:ascii="Verdana" w:hAnsi="Verdana" w:cs="Arial"/>
          <w:lang w:eastAsia="es-CO"/>
        </w:rPr>
      </w:pPr>
      <w:r w:rsidRPr="00505CD6">
        <w:rPr>
          <w:rFonts w:ascii="Verdana" w:hAnsi="Verdana" w:eastAsia="Times New Roman" w:cs="Arial"/>
          <w:lang w:eastAsia="es-CO"/>
        </w:rPr>
        <w:t>Atentamente,</w:t>
      </w:r>
      <w:r w:rsidRPr="00505CD6">
        <w:rPr>
          <w:rFonts w:ascii="Verdana" w:hAnsi="Verdana" w:cs="Arial"/>
          <w:lang w:eastAsia="es-CO"/>
        </w:rPr>
        <w:t xml:space="preserve"> </w:t>
      </w:r>
    </w:p>
    <w:p w:rsidR="00EA6F8B" w:rsidP="00EA6F8B" w:rsidRDefault="00EA6F8B" w14:paraId="450FA28F" w14:textId="77777777">
      <w:pPr>
        <w:spacing w:line="276" w:lineRule="auto"/>
        <w:jc w:val="center"/>
        <w:rPr>
          <w:rFonts w:ascii="Verdana" w:hAnsi="Verdana"/>
          <w:noProof/>
        </w:rPr>
      </w:pPr>
    </w:p>
    <w:p w:rsidR="00EA6F8B" w:rsidP="00EA6F8B" w:rsidRDefault="00941699" w14:paraId="03DC1E7F" w14:textId="4644994A">
      <w:pPr>
        <w:spacing w:line="276" w:lineRule="auto"/>
        <w:jc w:val="center"/>
        <w:rPr>
          <w:noProof/>
        </w:rPr>
      </w:pPr>
      <w:r>
        <w:rPr>
          <w:noProof/>
        </w:rPr>
        <w:drawing>
          <wp:inline distT="0" distB="0" distL="0" distR="0" wp14:anchorId="5EBBD50A" wp14:editId="11BBA82F">
            <wp:extent cx="3469005" cy="1489184"/>
            <wp:effectExtent l="0" t="0" r="0" b="0"/>
            <wp:docPr id="743735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473522" cy="1491123"/>
                    </a:xfrm>
                    <a:prstGeom prst="rect">
                      <a:avLst/>
                    </a:prstGeom>
                    <a:noFill/>
                    <a:ln>
                      <a:noFill/>
                    </a:ln>
                  </pic:spPr>
                </pic:pic>
              </a:graphicData>
            </a:graphic>
          </wp:inline>
        </w:drawing>
      </w:r>
    </w:p>
    <w:p w:rsidR="00941699" w:rsidP="00EA6F8B" w:rsidRDefault="00941699" w14:paraId="2666D7E1" w14:textId="77777777">
      <w:pPr>
        <w:spacing w:line="276" w:lineRule="auto"/>
        <w:jc w:val="center"/>
        <w:rPr>
          <w:noProof/>
          <w:color w:val="000000"/>
        </w:rPr>
      </w:pPr>
    </w:p>
    <w:p w:rsidR="00941699" w:rsidP="00EA6F8B" w:rsidRDefault="00941699" w14:paraId="205F7BD0" w14:textId="77777777">
      <w:pPr>
        <w:spacing w:line="276" w:lineRule="auto"/>
        <w:jc w:val="center"/>
        <w:rPr>
          <w:rFonts w:ascii="Verdana" w:hAnsi="Verdana"/>
          <w:noProof/>
          <w:color w:val="000000"/>
        </w:rPr>
      </w:pPr>
    </w:p>
    <w:tbl>
      <w:tblPr>
        <w:tblStyle w:val="TableGrid"/>
        <w:tblW w:w="6521"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93"/>
        <w:gridCol w:w="5628"/>
      </w:tblGrid>
      <w:tr w:rsidRPr="00593A5F" w:rsidR="00EA6F8B" w:rsidTr="00434387" w14:paraId="433F2660" w14:textId="77777777">
        <w:trPr>
          <w:trHeight w:val="315"/>
        </w:trPr>
        <w:tc>
          <w:tcPr>
            <w:tcW w:w="893" w:type="dxa"/>
            <w:vAlign w:val="center"/>
            <w:hideMark/>
          </w:tcPr>
          <w:p w:rsidRPr="003751C7" w:rsidR="00EA6F8B" w:rsidP="00434387" w:rsidRDefault="00EA6F8B" w14:paraId="2E8A99BF"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color="7F7F7F" w:themeColor="text1" w:themeTint="80" w:sz="4" w:space="0"/>
              <w:right w:val="nil"/>
            </w:tcBorders>
            <w:vAlign w:val="center"/>
            <w:hideMark/>
          </w:tcPr>
          <w:p w:rsidRPr="00E24803" w:rsidR="00EA6F8B" w:rsidP="00434387" w:rsidRDefault="00627ABB" w14:paraId="1639034A" w14:textId="2903FF2E">
            <w:pPr>
              <w:spacing w:line="276" w:lineRule="auto"/>
              <w:contextualSpacing/>
              <w:jc w:val="both"/>
              <w:rPr>
                <w:rFonts w:ascii="Verdana" w:hAnsi="Verdana"/>
                <w:sz w:val="16"/>
                <w:szCs w:val="16"/>
              </w:rPr>
            </w:pPr>
            <w:r>
              <w:rPr>
                <w:rFonts w:ascii="Verdana" w:hAnsi="Verdana"/>
                <w:sz w:val="16"/>
                <w:szCs w:val="16"/>
              </w:rPr>
              <w:t>Daniel Eduardo Rojas</w:t>
            </w:r>
          </w:p>
          <w:p w:rsidRPr="000015E6" w:rsidR="00EA6F8B" w:rsidP="00434387" w:rsidRDefault="00EA6F8B" w14:paraId="243FEBA0" w14:textId="77777777">
            <w:pPr>
              <w:contextualSpacing/>
              <w:rPr>
                <w:rFonts w:ascii="Verdana" w:hAnsi="Verdana" w:eastAsia="Arial" w:cs="Arial"/>
                <w:sz w:val="16"/>
                <w:szCs w:val="16"/>
              </w:rPr>
            </w:pPr>
            <w:r w:rsidRPr="00E24803">
              <w:rPr>
                <w:rFonts w:ascii="Verdana" w:hAnsi="Verdana"/>
                <w:sz w:val="16"/>
                <w:szCs w:val="16"/>
              </w:rPr>
              <w:t>Contratista de la Subdirección de Gestión Contractual</w:t>
            </w:r>
          </w:p>
        </w:tc>
      </w:tr>
      <w:tr w:rsidRPr="00593A5F" w:rsidR="00EA6F8B" w:rsidTr="00434387" w14:paraId="1D40F55D" w14:textId="77777777">
        <w:trPr>
          <w:trHeight w:val="330"/>
        </w:trPr>
        <w:tc>
          <w:tcPr>
            <w:tcW w:w="893" w:type="dxa"/>
            <w:vAlign w:val="center"/>
            <w:hideMark/>
          </w:tcPr>
          <w:p w:rsidRPr="003751C7" w:rsidR="00EA6F8B" w:rsidP="00434387" w:rsidRDefault="00EA6F8B" w14:paraId="68B01520"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color="7F7F7F" w:themeColor="text1" w:themeTint="80" w:sz="4" w:space="0"/>
              <w:left w:val="nil"/>
              <w:bottom w:val="dotted" w:color="7F7F7F" w:themeColor="text1" w:themeTint="80" w:sz="4" w:space="0"/>
              <w:right w:val="nil"/>
            </w:tcBorders>
            <w:vAlign w:val="center"/>
            <w:hideMark/>
          </w:tcPr>
          <w:p w:rsidR="00302C2C" w:rsidP="00434387" w:rsidRDefault="006C2C82" w14:paraId="086E2538" w14:textId="01F6456D">
            <w:pPr>
              <w:pStyle w:val="paragraph"/>
              <w:spacing w:before="0" w:beforeAutospacing="0" w:after="0" w:afterAutospacing="0"/>
              <w:contextualSpacing/>
              <w:textAlignment w:val="baseline"/>
              <w:rPr>
                <w:rFonts w:ascii="Verdana" w:hAnsi="Verdana" w:eastAsiaTheme="minorHAnsi" w:cstheme="minorBidi"/>
                <w:sz w:val="16"/>
                <w:szCs w:val="16"/>
                <w:lang w:eastAsia="en-US"/>
              </w:rPr>
            </w:pPr>
            <w:r>
              <w:rPr>
                <w:rFonts w:ascii="Verdana" w:hAnsi="Verdana" w:eastAsiaTheme="minorHAnsi" w:cstheme="minorBidi"/>
                <w:sz w:val="16"/>
                <w:szCs w:val="16"/>
                <w:lang w:eastAsia="en-US"/>
              </w:rPr>
              <w:t>Diana Lucia Saavedra</w:t>
            </w:r>
          </w:p>
          <w:p w:rsidRPr="00EF40D2" w:rsidR="00EA6F8B" w:rsidP="00434387" w:rsidRDefault="00EA6F8B" w14:paraId="71BA905B" w14:textId="2BD43E7E">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hAnsi="Verdana" w:eastAsia="Arial" w:cs="Arial"/>
                <w:sz w:val="16"/>
                <w:szCs w:val="16"/>
              </w:rPr>
              <w:t xml:space="preserve">Contratista </w:t>
            </w:r>
            <w:r w:rsidRPr="000015E6">
              <w:rPr>
                <w:rStyle w:val="normaltextrun"/>
                <w:rFonts w:ascii="Verdana" w:hAnsi="Verdana" w:eastAsia="Arial" w:cs="Arial"/>
                <w:sz w:val="16"/>
                <w:szCs w:val="16"/>
              </w:rPr>
              <w:t>Subdirección de Gestión Contractual</w:t>
            </w:r>
          </w:p>
        </w:tc>
      </w:tr>
      <w:tr w:rsidRPr="00593A5F" w:rsidR="00EA6F8B" w:rsidTr="00434387" w14:paraId="32FEBBEF" w14:textId="77777777">
        <w:trPr>
          <w:trHeight w:val="300"/>
        </w:trPr>
        <w:tc>
          <w:tcPr>
            <w:tcW w:w="893" w:type="dxa"/>
            <w:vAlign w:val="center"/>
          </w:tcPr>
          <w:p w:rsidRPr="003751C7" w:rsidR="00EA6F8B" w:rsidP="00434387" w:rsidRDefault="00EA6F8B" w14:paraId="60119F77" w14:textId="77777777">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color="7F7F7F" w:themeColor="text1" w:themeTint="80" w:sz="4" w:space="0"/>
              <w:left w:val="nil"/>
              <w:bottom w:val="dotted" w:color="7F7F7F" w:themeColor="text1" w:themeTint="80" w:sz="4" w:space="0"/>
              <w:right w:val="nil"/>
            </w:tcBorders>
            <w:vAlign w:val="center"/>
          </w:tcPr>
          <w:p w:rsidRPr="000015E6" w:rsidR="00EA6F8B" w:rsidP="00434387" w:rsidRDefault="00EA6F8B" w14:paraId="1F1F784A" w14:textId="77777777">
            <w:pPr>
              <w:contextualSpacing/>
              <w:rPr>
                <w:rFonts w:ascii="Verdana" w:hAnsi="Verdana" w:eastAsia="Calibri" w:cs="Arial"/>
                <w:sz w:val="16"/>
                <w:szCs w:val="16"/>
                <w:lang w:val="pt-BR" w:eastAsia="es-ES"/>
              </w:rPr>
            </w:pPr>
            <w:r w:rsidRPr="000015E6">
              <w:rPr>
                <w:rFonts w:ascii="Verdana" w:hAnsi="Verdana" w:eastAsia="Calibri" w:cs="Arial"/>
                <w:sz w:val="16"/>
                <w:szCs w:val="16"/>
                <w:lang w:val="pt-BR" w:eastAsia="es-ES"/>
              </w:rPr>
              <w:t>Carolina Quintero Ganchará</w:t>
            </w:r>
          </w:p>
          <w:p w:rsidRPr="000015E6" w:rsidR="00EA6F8B" w:rsidP="00434387" w:rsidRDefault="00EA6F8B" w14:paraId="1556837B" w14:textId="77777777">
            <w:pPr>
              <w:contextualSpacing/>
              <w:rPr>
                <w:rFonts w:ascii="Verdana" w:hAnsi="Verdana" w:eastAsia="Calibri" w:cs="Arial"/>
                <w:sz w:val="16"/>
                <w:szCs w:val="16"/>
                <w:lang w:val="pt-BR" w:eastAsia="es-ES"/>
              </w:rPr>
            </w:pPr>
            <w:r w:rsidRPr="000015E6">
              <w:rPr>
                <w:rFonts w:ascii="Verdana" w:hAnsi="Verdana" w:eastAsia="Calibri" w:cs="Arial"/>
                <w:sz w:val="16"/>
                <w:szCs w:val="16"/>
                <w:lang w:eastAsia="es-ES"/>
              </w:rPr>
              <w:t>Subdirectora</w:t>
            </w:r>
            <w:r w:rsidRPr="000015E6">
              <w:rPr>
                <w:rFonts w:ascii="Verdana" w:hAnsi="Verdana" w:eastAsia="Calibri" w:cs="Arial"/>
                <w:sz w:val="16"/>
                <w:szCs w:val="16"/>
                <w:lang w:val="pt-BR" w:eastAsia="es-ES"/>
              </w:rPr>
              <w:t xml:space="preserve"> de Gestión Contratual ANCP – CCE</w:t>
            </w:r>
          </w:p>
        </w:tc>
      </w:tr>
      <w:bookmarkEnd w:id="1"/>
      <w:bookmarkEnd w:id="2"/>
      <w:bookmarkEnd w:id="3"/>
    </w:tbl>
    <w:p w:rsidRPr="00EA6F8B" w:rsidR="003D5B0D" w:rsidP="00EA6F8B" w:rsidRDefault="003D5B0D" w14:paraId="3900974D" w14:textId="77777777"/>
    <w:sectPr w:rsidRPr="00EA6F8B" w:rsidR="003D5B0D" w:rsidSect="007C0C0F">
      <w:headerReference w:type="default" r:id="rId19"/>
      <w:footerReference w:type="default" r:id="rId20"/>
      <w:pgSz w:w="12240" w:h="15840" w:orient="portrait"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7737" w:rsidP="004A1847" w:rsidRDefault="00707737" w14:paraId="45CB8EFB" w14:textId="77777777">
      <w:pPr>
        <w:spacing w:after="0" w:line="240" w:lineRule="auto"/>
      </w:pPr>
      <w:r>
        <w:separator/>
      </w:r>
    </w:p>
  </w:endnote>
  <w:endnote w:type="continuationSeparator" w:id="0">
    <w:p w:rsidR="00707737" w:rsidP="004A1847" w:rsidRDefault="00707737" w14:paraId="7F7EFED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panose1 w:val="00000000000000000000"/>
    <w:charset w:val="00"/>
    <w:family w:val="roman"/>
    <w:notTrueType/>
    <w:pitch w:val="default"/>
  </w:font>
  <w:font w:name="Arial MT">
    <w:altName w:val="Arial"/>
    <w:charset w:val="01"/>
    <w:family w:val="swiss"/>
    <w:pitch w:val="variable"/>
  </w:font>
  <w:font w:name="Century Gothic">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A1847" w:rsidRDefault="004A1847" w14:paraId="18911A32" w14:textId="6CE791A4">
    <w:pPr>
      <w:pStyle w:val="Footer"/>
    </w:pPr>
  </w:p>
  <w:p w:rsidRPr="00174B77" w:rsidR="00D520D8" w:rsidP="00D520D8" w:rsidRDefault="00D520D8" w14:paraId="594D6D9F" w14:textId="77777777">
    <w:pPr>
      <w:pBdr>
        <w:top w:val="single" w:color="auto" w:sz="4" w:space="1"/>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hAnsi="Verdana" w:eastAsiaTheme="majorEastAsia" w:cstheme="majorBidi"/>
        <w:b/>
        <w:bCs/>
        <w:sz w:val="16"/>
        <w:szCs w:val="16"/>
        <w:lang w:val="es-ES"/>
      </w:rPr>
      <w:t xml:space="preserve">pág. </w:t>
    </w:r>
    <w:r w:rsidRPr="002E1330">
      <w:rPr>
        <w:rFonts w:ascii="Verdana" w:hAnsi="Verdana" w:eastAsiaTheme="minorEastAsia"/>
        <w:b/>
        <w:bCs/>
        <w:sz w:val="16"/>
        <w:szCs w:val="16"/>
      </w:rPr>
      <w:fldChar w:fldCharType="begin"/>
    </w:r>
    <w:r w:rsidRPr="002E1330">
      <w:rPr>
        <w:rFonts w:ascii="Verdana" w:hAnsi="Verdana"/>
        <w:b/>
        <w:bCs/>
        <w:sz w:val="16"/>
        <w:szCs w:val="16"/>
      </w:rPr>
      <w:instrText>PAGE    \* MERGEFORMAT</w:instrText>
    </w:r>
    <w:r w:rsidRPr="002E1330">
      <w:rPr>
        <w:rFonts w:ascii="Verdana" w:hAnsi="Verdana" w:eastAsiaTheme="minorEastAsia"/>
        <w:b/>
        <w:bCs/>
        <w:sz w:val="16"/>
        <w:szCs w:val="16"/>
      </w:rPr>
      <w:fldChar w:fldCharType="separate"/>
    </w:r>
    <w:r>
      <w:rPr>
        <w:rFonts w:ascii="Verdana" w:hAnsi="Verdana" w:eastAsiaTheme="minorEastAsia"/>
        <w:b/>
        <w:bCs/>
        <w:sz w:val="16"/>
        <w:szCs w:val="16"/>
      </w:rPr>
      <w:t>1</w:t>
    </w:r>
    <w:r w:rsidRPr="002E1330">
      <w:rPr>
        <w:rFonts w:ascii="Verdana" w:hAnsi="Verdana" w:eastAsiaTheme="majorEastAsi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rsidR="00D520D8" w:rsidP="00D520D8" w:rsidRDefault="00D520D8" w14:paraId="0A735DD5" w14:textId="77777777">
    <w:pPr>
      <w:spacing w:after="0"/>
      <w:jc w:val="both"/>
      <w:rPr>
        <w:rFonts w:ascii="Verdana" w:hAnsi="Verdana"/>
        <w:sz w:val="18"/>
        <w:szCs w:val="18"/>
      </w:rPr>
    </w:pPr>
    <w:r w:rsidRPr="00E41027">
      <w:rPr>
        <w:rFonts w:ascii="Verdana" w:hAnsi="Verdana"/>
        <w:sz w:val="18"/>
        <w:szCs w:val="18"/>
      </w:rPr>
      <w:t>Dirección: Carrera 7 # 26 – 20 - Bogotá, Colombia</w:t>
    </w:r>
  </w:p>
  <w:p w:rsidRPr="00E41027" w:rsidR="00D520D8" w:rsidP="00D520D8" w:rsidRDefault="00D520D8" w14:paraId="06E36B88" w14:textId="77777777">
    <w:pPr>
      <w:spacing w:after="0"/>
      <w:jc w:val="both"/>
      <w:rPr>
        <w:rFonts w:ascii="Verdana" w:hAnsi="Verdana"/>
        <w:sz w:val="18"/>
        <w:szCs w:val="18"/>
      </w:rPr>
    </w:pPr>
    <w:r w:rsidRPr="00E41027">
      <w:rPr>
        <w:rFonts w:ascii="Verdana" w:hAnsi="Verdana"/>
        <w:sz w:val="18"/>
        <w:szCs w:val="18"/>
      </w:rPr>
      <w:t>Mesa de servicio: (+57) 601 7456788</w:t>
    </w:r>
  </w:p>
  <w:p w:rsidR="006219F8" w:rsidP="0025796E" w:rsidRDefault="00D520D8" w14:paraId="744661F5" w14:textId="593AA28F">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sidR="00FA47C0">
      <w:rPr>
        <w:rFonts w:ascii="Century Gothic" w:hAnsi="Century Gothic" w:eastAsia="Geo" w:cs="Geo"/>
        <w:b/>
        <w:color w:val="000000"/>
        <w:sz w:val="16"/>
        <w:szCs w:val="16"/>
        <w:lang w:eastAsia="es-CO"/>
      </w:rPr>
      <w:t xml:space="preserve">Código: </w:t>
    </w:r>
    <w:r w:rsidRPr="004A305D" w:rsidR="00FA47C0">
      <w:rPr>
        <w:rFonts w:ascii="Century Gothic" w:hAnsi="Century Gothic" w:eastAsia="Geo" w:cs="Geo"/>
        <w:bCs/>
        <w:color w:val="000000"/>
        <w:sz w:val="16"/>
        <w:szCs w:val="16"/>
        <w:lang w:eastAsia="es-CO"/>
      </w:rPr>
      <w:t>CCE-</w:t>
    </w:r>
    <w:r w:rsidR="00FA47C0">
      <w:rPr>
        <w:rFonts w:ascii="Century Gothic" w:hAnsi="Century Gothic" w:eastAsia="Geo" w:cs="Geo"/>
        <w:bCs/>
        <w:color w:val="000000"/>
        <w:sz w:val="16"/>
        <w:szCs w:val="16"/>
        <w:lang w:eastAsia="es-CO"/>
      </w:rPr>
      <w:t>REC</w:t>
    </w:r>
    <w:r w:rsidRPr="004A305D" w:rsidR="00FA47C0">
      <w:rPr>
        <w:rFonts w:ascii="Century Gothic" w:hAnsi="Century Gothic" w:eastAsia="Geo" w:cs="Geo"/>
        <w:bCs/>
        <w:color w:val="000000"/>
        <w:sz w:val="16"/>
        <w:szCs w:val="16"/>
        <w:lang w:eastAsia="es-CO"/>
      </w:rPr>
      <w:t>-FM-</w:t>
    </w:r>
    <w:r w:rsidR="00FA47C0">
      <w:rPr>
        <w:rFonts w:ascii="Century Gothic" w:hAnsi="Century Gothic" w:eastAsia="Geo" w:cs="Geo"/>
        <w:bCs/>
        <w:color w:val="000000"/>
        <w:sz w:val="16"/>
        <w:szCs w:val="16"/>
        <w:lang w:eastAsia="es-CO"/>
      </w:rPr>
      <w:t>17</w:t>
    </w:r>
    <w:r w:rsidR="0025796E">
      <w:rPr>
        <w:rFonts w:ascii="Century Gothic" w:hAnsi="Century Gothic" w:eastAsia="Geo" w:cs="Geo"/>
        <w:bCs/>
        <w:color w:val="000000"/>
        <w:sz w:val="16"/>
        <w:szCs w:val="16"/>
        <w:lang w:eastAsia="es-CO"/>
      </w:rPr>
      <w:t xml:space="preserve"> </w:t>
    </w:r>
    <w:r w:rsidRPr="004A305D" w:rsidR="00FA47C0">
      <w:rPr>
        <w:rFonts w:ascii="Century Gothic" w:hAnsi="Century Gothic" w:eastAsia="Geo" w:cs="Geo"/>
        <w:b/>
        <w:color w:val="000000"/>
        <w:sz w:val="16"/>
        <w:szCs w:val="16"/>
        <w:lang w:eastAsia="es-CO"/>
      </w:rPr>
      <w:t>Versión</w:t>
    </w:r>
    <w:r w:rsidRPr="004A305D" w:rsidR="00FA47C0">
      <w:rPr>
        <w:rFonts w:ascii="Century Gothic" w:hAnsi="Century Gothic" w:eastAsia="Arial Nova" w:cs="Arial Nova"/>
        <w:b/>
        <w:color w:val="000000"/>
        <w:sz w:val="16"/>
        <w:szCs w:val="16"/>
        <w:lang w:eastAsia="es-CO"/>
      </w:rPr>
      <w:t xml:space="preserve">: </w:t>
    </w:r>
    <w:r w:rsidRPr="004A305D" w:rsidR="00FA47C0">
      <w:rPr>
        <w:rFonts w:ascii="Century Gothic" w:hAnsi="Century Gothic" w:eastAsia="Geo" w:cs="Geo"/>
        <w:sz w:val="16"/>
        <w:szCs w:val="16"/>
        <w:lang w:eastAsia="es-CO"/>
      </w:rPr>
      <w:t>0</w:t>
    </w:r>
    <w:r w:rsidR="00FA47C0">
      <w:rPr>
        <w:rFonts w:ascii="Century Gothic" w:hAnsi="Century Gothic" w:eastAsia="Geo" w:cs="Geo"/>
        <w:sz w:val="16"/>
        <w:szCs w:val="16"/>
        <w:lang w:eastAsia="es-CO"/>
      </w:rPr>
      <w:t>2</w:t>
    </w:r>
    <w:r w:rsidRPr="004A305D" w:rsidR="00FA47C0">
      <w:rPr>
        <w:rFonts w:ascii="Century Gothic" w:hAnsi="Century Gothic" w:eastAsia="Geo" w:cs="Geo"/>
        <w:sz w:val="16"/>
        <w:szCs w:val="16"/>
        <w:lang w:eastAsia="es-CO"/>
      </w:rPr>
      <w:t xml:space="preserve"> </w:t>
    </w:r>
    <w:r w:rsidR="0025796E">
      <w:rPr>
        <w:rFonts w:ascii="Century Gothic" w:hAnsi="Century Gothic" w:eastAsia="Geo"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7737" w:rsidP="004A1847" w:rsidRDefault="00707737" w14:paraId="2A4C5211" w14:textId="77777777">
      <w:pPr>
        <w:spacing w:after="0" w:line="240" w:lineRule="auto"/>
      </w:pPr>
      <w:r>
        <w:separator/>
      </w:r>
    </w:p>
  </w:footnote>
  <w:footnote w:type="continuationSeparator" w:id="0">
    <w:p w:rsidR="00707737" w:rsidP="004A1847" w:rsidRDefault="00707737" w14:paraId="70FE6C23" w14:textId="77777777">
      <w:pPr>
        <w:spacing w:after="0" w:line="240" w:lineRule="auto"/>
      </w:pPr>
      <w:r>
        <w:continuationSeparator/>
      </w:r>
    </w:p>
  </w:footnote>
  <w:footnote w:id="1">
    <w:p w:rsidRPr="00503B74" w:rsidR="00D1069C" w:rsidRDefault="00D1069C" w14:paraId="6B1348BC" w14:textId="61B671EF">
      <w:pPr>
        <w:pStyle w:val="FootnoteText"/>
        <w:rPr>
          <w:sz w:val="16"/>
          <w:szCs w:val="16"/>
          <w:lang w:val="es-ES"/>
        </w:rPr>
      </w:pPr>
      <w:r>
        <w:rPr>
          <w:rStyle w:val="FootnoteReference"/>
        </w:rPr>
        <w:footnoteRef/>
      </w:r>
      <w:hyperlink w:history="1" r:id="rId1">
        <w:r w:rsidRPr="005F29BE" w:rsidR="00503B74">
          <w:rPr>
            <w:rStyle w:val="Hyperlink"/>
            <w:rFonts w:ascii="Verdana" w:hAnsi="Verdana"/>
            <w:sz w:val="16"/>
            <w:szCs w:val="16"/>
          </w:rPr>
          <w:t>https://www.colombiacompra.gov.co/wpcontent/uploads/2024/08/guia_de_buenas_practicas_software_ver1_logo01.pdf</w:t>
        </w:r>
      </w:hyperlink>
      <w:r w:rsidR="00503B74">
        <w:rPr>
          <w:rFonts w:ascii="Verdana" w:hAnsi="Verdana"/>
          <w:sz w:val="16"/>
          <w:szCs w:val="16"/>
        </w:rPr>
        <w:t xml:space="preserve"> </w:t>
      </w:r>
    </w:p>
  </w:footnote>
  <w:footnote w:id="2">
    <w:p w:rsidRPr="00F02B16" w:rsidR="006C2C82" w:rsidP="006C2C82" w:rsidRDefault="006C2C82" w14:paraId="2068C47B" w14:textId="77777777">
      <w:pPr>
        <w:spacing w:after="0" w:line="240" w:lineRule="auto"/>
        <w:jc w:val="both"/>
        <w:rPr>
          <w:rFonts w:ascii="Verdana" w:hAnsi="Verdana"/>
          <w:sz w:val="16"/>
          <w:szCs w:val="16"/>
          <w:lang w:val="es-ES"/>
        </w:rPr>
      </w:pPr>
      <w:r w:rsidRPr="00F02B16">
        <w:rPr>
          <w:rStyle w:val="FootnoteReference"/>
          <w:rFonts w:ascii="Verdana" w:hAnsi="Verdana"/>
          <w:sz w:val="16"/>
          <w:szCs w:val="16"/>
        </w:rPr>
        <w:footnoteRef/>
      </w:r>
      <w:r w:rsidRPr="00F02B16">
        <w:rPr>
          <w:rFonts w:ascii="Verdana" w:hAnsi="Verdana"/>
          <w:sz w:val="16"/>
          <w:szCs w:val="16"/>
        </w:rPr>
        <w:t xml:space="preserve"> </w:t>
      </w:r>
      <w:r w:rsidRPr="00F02B16">
        <w:rPr>
          <w:rFonts w:ascii="Verdana" w:hAnsi="Verdana" w:eastAsia="Calibri" w:cs="Arial"/>
          <w:sz w:val="16"/>
          <w:szCs w:val="16"/>
          <w:lang w:val="es-ES"/>
        </w:rPr>
        <w:t xml:space="preserve">Agencia Nacional de Contratación Pública – Colombia Compra Eficiente, Guía de buenas Prácticas en la Adquisición de Software y servicios asociados. </w:t>
      </w:r>
    </w:p>
  </w:footnote>
  <w:footnote w:id="3">
    <w:p w:rsidRPr="00F02B16" w:rsidR="006C2C82" w:rsidP="006C2C82" w:rsidRDefault="006C2C82" w14:paraId="6E465795" w14:textId="77777777">
      <w:pPr>
        <w:pStyle w:val="FootnoteText"/>
        <w:jc w:val="both"/>
        <w:rPr>
          <w:rFonts w:ascii="Verdana" w:hAnsi="Verdana"/>
          <w:sz w:val="16"/>
          <w:szCs w:val="16"/>
          <w:lang w:val="es-ES"/>
        </w:rPr>
      </w:pPr>
      <w:r w:rsidRPr="00F02B16">
        <w:rPr>
          <w:rStyle w:val="FootnoteReference"/>
          <w:rFonts w:ascii="Verdana" w:hAnsi="Verdana"/>
          <w:sz w:val="16"/>
          <w:szCs w:val="16"/>
        </w:rPr>
        <w:footnoteRef/>
      </w:r>
      <w:r w:rsidRPr="00F02B16">
        <w:rPr>
          <w:rFonts w:ascii="Verdana" w:hAnsi="Verdana"/>
          <w:sz w:val="16"/>
          <w:szCs w:val="16"/>
        </w:rPr>
        <w:t xml:space="preserve"> </w:t>
      </w:r>
      <w:r w:rsidRPr="00F02B16">
        <w:rPr>
          <w:rFonts w:ascii="Verdana" w:hAnsi="Verdana"/>
          <w:sz w:val="16"/>
          <w:szCs w:val="16"/>
          <w:lang w:val="es-ES"/>
        </w:rPr>
        <w:t xml:space="preserve">Ibidem, pág. 14. </w:t>
      </w:r>
    </w:p>
  </w:footnote>
  <w:footnote w:id="4">
    <w:p w:rsidRPr="00F02B16" w:rsidR="006C2C82" w:rsidP="006C2C82" w:rsidRDefault="006C2C82" w14:paraId="1B9AD21D" w14:textId="77777777">
      <w:pPr>
        <w:pStyle w:val="FootnoteText"/>
        <w:jc w:val="both"/>
        <w:rPr>
          <w:rFonts w:ascii="Verdana" w:hAnsi="Verdana"/>
          <w:sz w:val="16"/>
          <w:szCs w:val="16"/>
          <w:lang w:val="es-ES"/>
        </w:rPr>
      </w:pPr>
      <w:r w:rsidRPr="00F02B16">
        <w:rPr>
          <w:rStyle w:val="FootnoteReference"/>
          <w:rFonts w:ascii="Verdana" w:hAnsi="Verdana"/>
          <w:sz w:val="16"/>
          <w:szCs w:val="16"/>
        </w:rPr>
        <w:footnoteRef/>
      </w:r>
      <w:r w:rsidRPr="00F02B16">
        <w:rPr>
          <w:rFonts w:ascii="Verdana" w:hAnsi="Verdana"/>
          <w:sz w:val="16"/>
          <w:szCs w:val="16"/>
        </w:rPr>
        <w:t xml:space="preserve"> </w:t>
      </w:r>
      <w:r w:rsidRPr="00F02B16">
        <w:rPr>
          <w:rFonts w:ascii="Verdana" w:hAnsi="Verdana"/>
          <w:sz w:val="16"/>
          <w:szCs w:val="16"/>
          <w:lang w:val="es-ES"/>
        </w:rPr>
        <w:t>Decreto 1082 de 2015, artículo </w:t>
      </w:r>
      <w:bookmarkStart w:name="2.2.1.2.1.2.2" w:id="6"/>
      <w:bookmarkEnd w:id="6"/>
      <w:r w:rsidRPr="00F02B16">
        <w:rPr>
          <w:rFonts w:ascii="Verdana" w:hAnsi="Verdana"/>
          <w:sz w:val="16"/>
          <w:szCs w:val="16"/>
          <w:lang w:val="es-ES"/>
        </w:rPr>
        <w:t>2.2.1.2.1.2.2. y siguientes.</w:t>
      </w:r>
    </w:p>
  </w:footnote>
  <w:footnote w:id="5">
    <w:p w:rsidRPr="00F02B16" w:rsidR="006C2C82" w:rsidP="006C2C82" w:rsidRDefault="006C2C82" w14:paraId="1D7B5411" w14:textId="77777777">
      <w:pPr>
        <w:pStyle w:val="FootnoteText"/>
        <w:jc w:val="both"/>
        <w:rPr>
          <w:rFonts w:ascii="Verdana" w:hAnsi="Verdana"/>
          <w:sz w:val="16"/>
          <w:szCs w:val="16"/>
          <w:lang w:val="es-ES"/>
        </w:rPr>
      </w:pPr>
      <w:r w:rsidRPr="00F02B16">
        <w:rPr>
          <w:rStyle w:val="FootnoteReference"/>
          <w:rFonts w:ascii="Verdana" w:hAnsi="Verdana"/>
          <w:sz w:val="16"/>
          <w:szCs w:val="16"/>
        </w:rPr>
        <w:footnoteRef/>
      </w:r>
      <w:r w:rsidRPr="00F02B16">
        <w:rPr>
          <w:rFonts w:ascii="Verdana" w:hAnsi="Verdana"/>
          <w:sz w:val="16"/>
          <w:szCs w:val="16"/>
        </w:rPr>
        <w:t xml:space="preserve"> </w:t>
      </w:r>
      <w:r w:rsidRPr="00F02B16">
        <w:rPr>
          <w:rFonts w:ascii="Verdana" w:hAnsi="Verdana"/>
          <w:sz w:val="16"/>
          <w:szCs w:val="16"/>
          <w:lang w:val="es-ES"/>
        </w:rPr>
        <w:t>Ley 1150 de 2007, artículo 5, numeral 3.</w:t>
      </w:r>
    </w:p>
  </w:footnote>
  <w:footnote w:id="6">
    <w:p w:rsidRPr="00F02B16" w:rsidR="006C2C82" w:rsidP="006C2C82" w:rsidRDefault="006C2C82" w14:paraId="1F54C620" w14:textId="77777777">
      <w:pPr>
        <w:spacing w:line="240" w:lineRule="auto"/>
        <w:jc w:val="both"/>
        <w:rPr>
          <w:rFonts w:ascii="Verdana" w:hAnsi="Verdana" w:eastAsia="Calibri" w:cs="Arial"/>
          <w:sz w:val="16"/>
          <w:szCs w:val="16"/>
          <w:lang w:val="es-ES"/>
        </w:rPr>
      </w:pPr>
      <w:r w:rsidRPr="00F02B16">
        <w:rPr>
          <w:rStyle w:val="FootnoteReference"/>
          <w:rFonts w:ascii="Verdana" w:hAnsi="Verdana"/>
          <w:sz w:val="16"/>
          <w:szCs w:val="16"/>
        </w:rPr>
        <w:footnoteRef/>
      </w:r>
      <w:r w:rsidRPr="00F02B16">
        <w:rPr>
          <w:rFonts w:ascii="Verdana" w:hAnsi="Verdana"/>
          <w:sz w:val="16"/>
          <w:szCs w:val="16"/>
        </w:rPr>
        <w:t xml:space="preserve"> </w:t>
      </w:r>
      <w:r w:rsidRPr="00F02B16">
        <w:rPr>
          <w:rFonts w:ascii="Verdana" w:hAnsi="Verdana" w:eastAsia="Calibri" w:cs="Arial"/>
          <w:sz w:val="16"/>
          <w:szCs w:val="16"/>
          <w:lang w:val="es-ES"/>
        </w:rPr>
        <w:t>Por ejemplo, las entidades tienen la potestad de hacer uso del Instrumento de agregación de Demanda “</w:t>
      </w:r>
      <w:r w:rsidRPr="00F02B16">
        <w:rPr>
          <w:rFonts w:ascii="Verdana" w:hAnsi="Verdana" w:eastAsia="Calibri" w:cs="Arial"/>
          <w:sz w:val="16"/>
          <w:szCs w:val="16"/>
        </w:rPr>
        <w:t xml:space="preserve">IAD/SDA de Software por Catálogo II”. Para obtener información sobre el proceso de contratación y utilización de este instrumento consulte </w:t>
      </w:r>
      <w:hyperlink w:history="1" r:id="rId2">
        <w:r w:rsidRPr="00F02B16">
          <w:rPr>
            <w:rStyle w:val="Hyperlink"/>
            <w:rFonts w:ascii="Verdana" w:hAnsi="Verdana" w:eastAsia="Calibri" w:cs="Arial"/>
            <w:sz w:val="16"/>
            <w:szCs w:val="16"/>
          </w:rPr>
          <w:t>https://www.colombiacompra.gov.co/tienda-virtual-del-estado-colombiano/agregacion-de-demanda-espec%C3%ADfica</w:t>
        </w:r>
      </w:hyperlink>
      <w:r w:rsidRPr="00F02B16">
        <w:rPr>
          <w:rFonts w:ascii="Verdana" w:hAnsi="Verdana" w:eastAsia="Calibri" w:cs="Arial"/>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56841" w:rsidRDefault="009D3058" w14:paraId="435F4D03" w14:textId="0903BF04">
    <w:pPr>
      <w:pStyle w:val="Header"/>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rsidR="00756841" w:rsidRDefault="00756841" w14:paraId="1BE2B9AE" w14:textId="4B94DB3B">
    <w:pPr>
      <w:pStyle w:val="Header"/>
    </w:pPr>
  </w:p>
  <w:p w:rsidRPr="004A305D" w:rsidR="004A305D" w:rsidP="00B01B1A" w:rsidRDefault="004A305D" w14:paraId="5E18350A" w14:textId="705F7B76">
    <w:pPr>
      <w:spacing w:after="0" w:line="120" w:lineRule="auto"/>
      <w:rPr>
        <w:rFonts w:ascii="Century Gothic" w:hAnsi="Century Gothic" w:eastAsia="Geo" w:cs="Geo"/>
        <w:sz w:val="16"/>
        <w:szCs w:val="16"/>
        <w:lang w:eastAsia="es-CO"/>
      </w:rPr>
    </w:pPr>
  </w:p>
  <w:p w:rsidR="008A446D" w:rsidP="00061B2A" w:rsidRDefault="008A446D" w14:paraId="1FD1C243" w14:textId="6D74A3CF">
    <w:pPr>
      <w:pStyle w:val="Header"/>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hint="default" w:ascii="Arial" w:hAnsi="Arial" w:eastAsia="Times New Roman" w:cs="Arial"/>
        <w:b/>
      </w:rPr>
    </w:lvl>
    <w:lvl w:ilvl="1" w:tplc="0C0A0003" w:tentative="1">
      <w:start w:val="1"/>
      <w:numFmt w:val="bullet"/>
      <w:lvlText w:val="o"/>
      <w:lvlJc w:val="left"/>
      <w:pPr>
        <w:ind w:left="1800" w:hanging="360"/>
      </w:pPr>
      <w:rPr>
        <w:rFonts w:hint="default" w:ascii="Courier New" w:hAnsi="Courier New" w:cs="Courier New"/>
      </w:rPr>
    </w:lvl>
    <w:lvl w:ilvl="2" w:tplc="0C0A0005" w:tentative="1">
      <w:start w:val="1"/>
      <w:numFmt w:val="bullet"/>
      <w:lvlText w:val=""/>
      <w:lvlJc w:val="left"/>
      <w:pPr>
        <w:ind w:left="2520" w:hanging="360"/>
      </w:pPr>
      <w:rPr>
        <w:rFonts w:hint="default" w:ascii="Wingdings" w:hAnsi="Wingdings"/>
      </w:rPr>
    </w:lvl>
    <w:lvl w:ilvl="3" w:tplc="0C0A0001" w:tentative="1">
      <w:start w:val="1"/>
      <w:numFmt w:val="bullet"/>
      <w:lvlText w:val=""/>
      <w:lvlJc w:val="left"/>
      <w:pPr>
        <w:ind w:left="3240" w:hanging="360"/>
      </w:pPr>
      <w:rPr>
        <w:rFonts w:hint="default" w:ascii="Symbol" w:hAnsi="Symbol"/>
      </w:rPr>
    </w:lvl>
    <w:lvl w:ilvl="4" w:tplc="0C0A0003" w:tentative="1">
      <w:start w:val="1"/>
      <w:numFmt w:val="bullet"/>
      <w:lvlText w:val="o"/>
      <w:lvlJc w:val="left"/>
      <w:pPr>
        <w:ind w:left="3960" w:hanging="360"/>
      </w:pPr>
      <w:rPr>
        <w:rFonts w:hint="default" w:ascii="Courier New" w:hAnsi="Courier New" w:cs="Courier New"/>
      </w:rPr>
    </w:lvl>
    <w:lvl w:ilvl="5" w:tplc="0C0A0005" w:tentative="1">
      <w:start w:val="1"/>
      <w:numFmt w:val="bullet"/>
      <w:lvlText w:val=""/>
      <w:lvlJc w:val="left"/>
      <w:pPr>
        <w:ind w:left="4680" w:hanging="360"/>
      </w:pPr>
      <w:rPr>
        <w:rFonts w:hint="default" w:ascii="Wingdings" w:hAnsi="Wingdings"/>
      </w:rPr>
    </w:lvl>
    <w:lvl w:ilvl="6" w:tplc="0C0A0001" w:tentative="1">
      <w:start w:val="1"/>
      <w:numFmt w:val="bullet"/>
      <w:lvlText w:val=""/>
      <w:lvlJc w:val="left"/>
      <w:pPr>
        <w:ind w:left="5400" w:hanging="360"/>
      </w:pPr>
      <w:rPr>
        <w:rFonts w:hint="default" w:ascii="Symbol" w:hAnsi="Symbol"/>
      </w:rPr>
    </w:lvl>
    <w:lvl w:ilvl="7" w:tplc="0C0A0003" w:tentative="1">
      <w:start w:val="1"/>
      <w:numFmt w:val="bullet"/>
      <w:lvlText w:val="o"/>
      <w:lvlJc w:val="left"/>
      <w:pPr>
        <w:ind w:left="6120" w:hanging="360"/>
      </w:pPr>
      <w:rPr>
        <w:rFonts w:hint="default" w:ascii="Courier New" w:hAnsi="Courier New" w:cs="Courier New"/>
      </w:rPr>
    </w:lvl>
    <w:lvl w:ilvl="8" w:tplc="0C0A0005" w:tentative="1">
      <w:start w:val="1"/>
      <w:numFmt w:val="bullet"/>
      <w:lvlText w:val=""/>
      <w:lvlJc w:val="left"/>
      <w:pPr>
        <w:ind w:left="6840" w:hanging="360"/>
      </w:pPr>
      <w:rPr>
        <w:rFonts w:hint="default" w:ascii="Wingdings" w:hAnsi="Wingdings"/>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5F70BE"/>
    <w:multiLevelType w:val="hybridMultilevel"/>
    <w:tmpl w:val="DDC6B8DC"/>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5" w15:restartNumberingAfterBreak="0">
    <w:nsid w:val="29E447ED"/>
    <w:multiLevelType w:val="hybridMultilevel"/>
    <w:tmpl w:val="0D9EA20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8E5EF0"/>
    <w:multiLevelType w:val="hybridMultilevel"/>
    <w:tmpl w:val="BAEA2E58"/>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8"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9D726F5"/>
    <w:multiLevelType w:val="hybridMultilevel"/>
    <w:tmpl w:val="7BDC1A10"/>
    <w:lvl w:ilvl="0" w:tplc="040A0001">
      <w:start w:val="1"/>
      <w:numFmt w:val="bullet"/>
      <w:lvlText w:val=""/>
      <w:lvlJc w:val="left"/>
      <w:pPr>
        <w:ind w:left="720" w:hanging="360"/>
      </w:pPr>
      <w:rPr>
        <w:rFonts w:hint="default" w:ascii="Symbol" w:hAnsi="Symbol"/>
      </w:rPr>
    </w:lvl>
    <w:lvl w:ilvl="1" w:tplc="040A0003" w:tentative="1">
      <w:start w:val="1"/>
      <w:numFmt w:val="bullet"/>
      <w:lvlText w:val="o"/>
      <w:lvlJc w:val="left"/>
      <w:pPr>
        <w:ind w:left="1440" w:hanging="360"/>
      </w:pPr>
      <w:rPr>
        <w:rFonts w:hint="default" w:ascii="Courier New" w:hAnsi="Courier New" w:cs="Courier New"/>
      </w:rPr>
    </w:lvl>
    <w:lvl w:ilvl="2" w:tplc="040A0005" w:tentative="1">
      <w:start w:val="1"/>
      <w:numFmt w:val="bullet"/>
      <w:lvlText w:val=""/>
      <w:lvlJc w:val="left"/>
      <w:pPr>
        <w:ind w:left="2160" w:hanging="360"/>
      </w:pPr>
      <w:rPr>
        <w:rFonts w:hint="default" w:ascii="Wingdings" w:hAnsi="Wingdings"/>
      </w:rPr>
    </w:lvl>
    <w:lvl w:ilvl="3" w:tplc="040A0001" w:tentative="1">
      <w:start w:val="1"/>
      <w:numFmt w:val="bullet"/>
      <w:lvlText w:val=""/>
      <w:lvlJc w:val="left"/>
      <w:pPr>
        <w:ind w:left="2880" w:hanging="360"/>
      </w:pPr>
      <w:rPr>
        <w:rFonts w:hint="default" w:ascii="Symbol" w:hAnsi="Symbol"/>
      </w:rPr>
    </w:lvl>
    <w:lvl w:ilvl="4" w:tplc="040A0003" w:tentative="1">
      <w:start w:val="1"/>
      <w:numFmt w:val="bullet"/>
      <w:lvlText w:val="o"/>
      <w:lvlJc w:val="left"/>
      <w:pPr>
        <w:ind w:left="3600" w:hanging="360"/>
      </w:pPr>
      <w:rPr>
        <w:rFonts w:hint="default" w:ascii="Courier New" w:hAnsi="Courier New" w:cs="Courier New"/>
      </w:rPr>
    </w:lvl>
    <w:lvl w:ilvl="5" w:tplc="040A0005" w:tentative="1">
      <w:start w:val="1"/>
      <w:numFmt w:val="bullet"/>
      <w:lvlText w:val=""/>
      <w:lvlJc w:val="left"/>
      <w:pPr>
        <w:ind w:left="4320" w:hanging="360"/>
      </w:pPr>
      <w:rPr>
        <w:rFonts w:hint="default" w:ascii="Wingdings" w:hAnsi="Wingdings"/>
      </w:rPr>
    </w:lvl>
    <w:lvl w:ilvl="6" w:tplc="040A0001" w:tentative="1">
      <w:start w:val="1"/>
      <w:numFmt w:val="bullet"/>
      <w:lvlText w:val=""/>
      <w:lvlJc w:val="left"/>
      <w:pPr>
        <w:ind w:left="5040" w:hanging="360"/>
      </w:pPr>
      <w:rPr>
        <w:rFonts w:hint="default" w:ascii="Symbol" w:hAnsi="Symbol"/>
      </w:rPr>
    </w:lvl>
    <w:lvl w:ilvl="7" w:tplc="040A0003" w:tentative="1">
      <w:start w:val="1"/>
      <w:numFmt w:val="bullet"/>
      <w:lvlText w:val="o"/>
      <w:lvlJc w:val="left"/>
      <w:pPr>
        <w:ind w:left="5760" w:hanging="360"/>
      </w:pPr>
      <w:rPr>
        <w:rFonts w:hint="default" w:ascii="Courier New" w:hAnsi="Courier New" w:cs="Courier New"/>
      </w:rPr>
    </w:lvl>
    <w:lvl w:ilvl="8" w:tplc="040A0005" w:tentative="1">
      <w:start w:val="1"/>
      <w:numFmt w:val="bullet"/>
      <w:lvlText w:val=""/>
      <w:lvlJc w:val="left"/>
      <w:pPr>
        <w:ind w:left="6480" w:hanging="360"/>
      </w:pPr>
      <w:rPr>
        <w:rFonts w:hint="default" w:ascii="Wingdings" w:hAnsi="Wingdings"/>
      </w:rPr>
    </w:lvl>
  </w:abstractNum>
  <w:abstractNum w:abstractNumId="13" w15:restartNumberingAfterBreak="0">
    <w:nsid w:val="434D3366"/>
    <w:multiLevelType w:val="hybridMultilevel"/>
    <w:tmpl w:val="57CCBBD0"/>
    <w:lvl w:ilvl="0" w:tplc="040A0001">
      <w:start w:val="1"/>
      <w:numFmt w:val="bullet"/>
      <w:lvlText w:val=""/>
      <w:lvlJc w:val="left"/>
      <w:pPr>
        <w:ind w:left="360" w:hanging="360"/>
      </w:pPr>
      <w:rPr>
        <w:rFonts w:hint="default" w:ascii="Symbol" w:hAnsi="Symbol"/>
      </w:rPr>
    </w:lvl>
    <w:lvl w:ilvl="1" w:tplc="240A0003" w:tentative="1">
      <w:start w:val="1"/>
      <w:numFmt w:val="bullet"/>
      <w:lvlText w:val="o"/>
      <w:lvlJc w:val="left"/>
      <w:pPr>
        <w:ind w:left="1080" w:hanging="360"/>
      </w:pPr>
      <w:rPr>
        <w:rFonts w:hint="default" w:ascii="Courier New" w:hAnsi="Courier New" w:cs="Courier New"/>
      </w:rPr>
    </w:lvl>
    <w:lvl w:ilvl="2" w:tplc="240A0005" w:tentative="1">
      <w:start w:val="1"/>
      <w:numFmt w:val="bullet"/>
      <w:lvlText w:val=""/>
      <w:lvlJc w:val="left"/>
      <w:pPr>
        <w:ind w:left="1800" w:hanging="360"/>
      </w:pPr>
      <w:rPr>
        <w:rFonts w:hint="default" w:ascii="Wingdings" w:hAnsi="Wingdings"/>
      </w:rPr>
    </w:lvl>
    <w:lvl w:ilvl="3" w:tplc="240A0001" w:tentative="1">
      <w:start w:val="1"/>
      <w:numFmt w:val="bullet"/>
      <w:lvlText w:val=""/>
      <w:lvlJc w:val="left"/>
      <w:pPr>
        <w:ind w:left="2520" w:hanging="360"/>
      </w:pPr>
      <w:rPr>
        <w:rFonts w:hint="default" w:ascii="Symbol" w:hAnsi="Symbol"/>
      </w:rPr>
    </w:lvl>
    <w:lvl w:ilvl="4" w:tplc="240A0003" w:tentative="1">
      <w:start w:val="1"/>
      <w:numFmt w:val="bullet"/>
      <w:lvlText w:val="o"/>
      <w:lvlJc w:val="left"/>
      <w:pPr>
        <w:ind w:left="3240" w:hanging="360"/>
      </w:pPr>
      <w:rPr>
        <w:rFonts w:hint="default" w:ascii="Courier New" w:hAnsi="Courier New" w:cs="Courier New"/>
      </w:rPr>
    </w:lvl>
    <w:lvl w:ilvl="5" w:tplc="240A0005" w:tentative="1">
      <w:start w:val="1"/>
      <w:numFmt w:val="bullet"/>
      <w:lvlText w:val=""/>
      <w:lvlJc w:val="left"/>
      <w:pPr>
        <w:ind w:left="3960" w:hanging="360"/>
      </w:pPr>
      <w:rPr>
        <w:rFonts w:hint="default" w:ascii="Wingdings" w:hAnsi="Wingdings"/>
      </w:rPr>
    </w:lvl>
    <w:lvl w:ilvl="6" w:tplc="240A0001" w:tentative="1">
      <w:start w:val="1"/>
      <w:numFmt w:val="bullet"/>
      <w:lvlText w:val=""/>
      <w:lvlJc w:val="left"/>
      <w:pPr>
        <w:ind w:left="4680" w:hanging="360"/>
      </w:pPr>
      <w:rPr>
        <w:rFonts w:hint="default" w:ascii="Symbol" w:hAnsi="Symbol"/>
      </w:rPr>
    </w:lvl>
    <w:lvl w:ilvl="7" w:tplc="240A0003" w:tentative="1">
      <w:start w:val="1"/>
      <w:numFmt w:val="bullet"/>
      <w:lvlText w:val="o"/>
      <w:lvlJc w:val="left"/>
      <w:pPr>
        <w:ind w:left="5400" w:hanging="360"/>
      </w:pPr>
      <w:rPr>
        <w:rFonts w:hint="default" w:ascii="Courier New" w:hAnsi="Courier New" w:cs="Courier New"/>
      </w:rPr>
    </w:lvl>
    <w:lvl w:ilvl="8" w:tplc="240A0005" w:tentative="1">
      <w:start w:val="1"/>
      <w:numFmt w:val="bullet"/>
      <w:lvlText w:val=""/>
      <w:lvlJc w:val="left"/>
      <w:pPr>
        <w:ind w:left="6120" w:hanging="360"/>
      </w:pPr>
      <w:rPr>
        <w:rFonts w:hint="default" w:ascii="Wingdings" w:hAnsi="Wingdings"/>
      </w:rPr>
    </w:lvl>
  </w:abstractNum>
  <w:abstractNum w:abstractNumId="14" w15:restartNumberingAfterBreak="0">
    <w:nsid w:val="4EA56657"/>
    <w:multiLevelType w:val="hybridMultilevel"/>
    <w:tmpl w:val="993AE28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88A691A"/>
    <w:multiLevelType w:val="multilevel"/>
    <w:tmpl w:val="C2946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EFD47DF"/>
    <w:multiLevelType w:val="hybridMultilevel"/>
    <w:tmpl w:val="FC5CE12E"/>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17" w15:restartNumberingAfterBreak="0">
    <w:nsid w:val="636C03B0"/>
    <w:multiLevelType w:val="hybridMultilevel"/>
    <w:tmpl w:val="87183FAA"/>
    <w:lvl w:ilvl="0" w:tplc="240A0007">
      <w:start w:val="1"/>
      <w:numFmt w:val="bullet"/>
      <w:lvlText w:val=""/>
      <w:lvlJc w:val="left"/>
      <w:pPr>
        <w:ind w:left="785" w:hanging="360"/>
      </w:pPr>
      <w:rPr>
        <w:rFonts w:hint="default" w:ascii="Symbol" w:hAnsi="Symbol"/>
      </w:rPr>
    </w:lvl>
    <w:lvl w:ilvl="1" w:tplc="240A0003" w:tentative="1">
      <w:start w:val="1"/>
      <w:numFmt w:val="bullet"/>
      <w:lvlText w:val="o"/>
      <w:lvlJc w:val="left"/>
      <w:pPr>
        <w:ind w:left="1505" w:hanging="360"/>
      </w:pPr>
      <w:rPr>
        <w:rFonts w:hint="default" w:ascii="Courier New" w:hAnsi="Courier New" w:cs="Courier New"/>
      </w:rPr>
    </w:lvl>
    <w:lvl w:ilvl="2" w:tplc="240A0005" w:tentative="1">
      <w:start w:val="1"/>
      <w:numFmt w:val="bullet"/>
      <w:lvlText w:val=""/>
      <w:lvlJc w:val="left"/>
      <w:pPr>
        <w:ind w:left="2225" w:hanging="360"/>
      </w:pPr>
      <w:rPr>
        <w:rFonts w:hint="default" w:ascii="Wingdings" w:hAnsi="Wingdings"/>
      </w:rPr>
    </w:lvl>
    <w:lvl w:ilvl="3" w:tplc="240A0001" w:tentative="1">
      <w:start w:val="1"/>
      <w:numFmt w:val="bullet"/>
      <w:lvlText w:val=""/>
      <w:lvlJc w:val="left"/>
      <w:pPr>
        <w:ind w:left="2945" w:hanging="360"/>
      </w:pPr>
      <w:rPr>
        <w:rFonts w:hint="default" w:ascii="Symbol" w:hAnsi="Symbol"/>
      </w:rPr>
    </w:lvl>
    <w:lvl w:ilvl="4" w:tplc="240A0003" w:tentative="1">
      <w:start w:val="1"/>
      <w:numFmt w:val="bullet"/>
      <w:lvlText w:val="o"/>
      <w:lvlJc w:val="left"/>
      <w:pPr>
        <w:ind w:left="3665" w:hanging="360"/>
      </w:pPr>
      <w:rPr>
        <w:rFonts w:hint="default" w:ascii="Courier New" w:hAnsi="Courier New" w:cs="Courier New"/>
      </w:rPr>
    </w:lvl>
    <w:lvl w:ilvl="5" w:tplc="240A0005" w:tentative="1">
      <w:start w:val="1"/>
      <w:numFmt w:val="bullet"/>
      <w:lvlText w:val=""/>
      <w:lvlJc w:val="left"/>
      <w:pPr>
        <w:ind w:left="4385" w:hanging="360"/>
      </w:pPr>
      <w:rPr>
        <w:rFonts w:hint="default" w:ascii="Wingdings" w:hAnsi="Wingdings"/>
      </w:rPr>
    </w:lvl>
    <w:lvl w:ilvl="6" w:tplc="240A0001" w:tentative="1">
      <w:start w:val="1"/>
      <w:numFmt w:val="bullet"/>
      <w:lvlText w:val=""/>
      <w:lvlJc w:val="left"/>
      <w:pPr>
        <w:ind w:left="5105" w:hanging="360"/>
      </w:pPr>
      <w:rPr>
        <w:rFonts w:hint="default" w:ascii="Symbol" w:hAnsi="Symbol"/>
      </w:rPr>
    </w:lvl>
    <w:lvl w:ilvl="7" w:tplc="240A0003" w:tentative="1">
      <w:start w:val="1"/>
      <w:numFmt w:val="bullet"/>
      <w:lvlText w:val="o"/>
      <w:lvlJc w:val="left"/>
      <w:pPr>
        <w:ind w:left="5825" w:hanging="360"/>
      </w:pPr>
      <w:rPr>
        <w:rFonts w:hint="default" w:ascii="Courier New" w:hAnsi="Courier New" w:cs="Courier New"/>
      </w:rPr>
    </w:lvl>
    <w:lvl w:ilvl="8" w:tplc="240A0005" w:tentative="1">
      <w:start w:val="1"/>
      <w:numFmt w:val="bullet"/>
      <w:lvlText w:val=""/>
      <w:lvlJc w:val="left"/>
      <w:pPr>
        <w:ind w:left="6545" w:hanging="360"/>
      </w:pPr>
      <w:rPr>
        <w:rFonts w:hint="default" w:ascii="Wingdings" w:hAnsi="Wingdings"/>
      </w:rPr>
    </w:lvl>
  </w:abstractNum>
  <w:abstractNum w:abstractNumId="18"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880547"/>
    <w:multiLevelType w:val="hybridMultilevel"/>
    <w:tmpl w:val="2772A2DA"/>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23" w15:restartNumberingAfterBreak="0">
    <w:nsid w:val="7DD23916"/>
    <w:multiLevelType w:val="multilevel"/>
    <w:tmpl w:val="89F2A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948779781">
    <w:abstractNumId w:val="9"/>
  </w:num>
  <w:num w:numId="2" w16cid:durableId="19822139">
    <w:abstractNumId w:val="2"/>
  </w:num>
  <w:num w:numId="3" w16cid:durableId="876742304">
    <w:abstractNumId w:val="6"/>
  </w:num>
  <w:num w:numId="4" w16cid:durableId="2451864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20"/>
  </w:num>
  <w:num w:numId="7" w16cid:durableId="1946422806">
    <w:abstractNumId w:val="8"/>
  </w:num>
  <w:num w:numId="8" w16cid:durableId="152644682">
    <w:abstractNumId w:val="19"/>
  </w:num>
  <w:num w:numId="9" w16cid:durableId="1317221377">
    <w:abstractNumId w:val="10"/>
  </w:num>
  <w:num w:numId="10" w16cid:durableId="1471245386">
    <w:abstractNumId w:val="18"/>
  </w:num>
  <w:num w:numId="11" w16cid:durableId="289172385">
    <w:abstractNumId w:val="11"/>
  </w:num>
  <w:num w:numId="12" w16cid:durableId="1470781324">
    <w:abstractNumId w:val="1"/>
  </w:num>
  <w:num w:numId="13" w16cid:durableId="1512908409">
    <w:abstractNumId w:val="3"/>
  </w:num>
  <w:num w:numId="14" w16cid:durableId="895897244">
    <w:abstractNumId w:val="21"/>
  </w:num>
  <w:num w:numId="15" w16cid:durableId="390349800">
    <w:abstractNumId w:val="17"/>
  </w:num>
  <w:num w:numId="16" w16cid:durableId="1380713882">
    <w:abstractNumId w:val="0"/>
  </w:num>
  <w:num w:numId="17" w16cid:durableId="1982299905">
    <w:abstractNumId w:val="23"/>
  </w:num>
  <w:num w:numId="18" w16cid:durableId="1312443995">
    <w:abstractNumId w:val="13"/>
  </w:num>
  <w:num w:numId="19" w16cid:durableId="1090270099">
    <w:abstractNumId w:val="4"/>
  </w:num>
  <w:num w:numId="20" w16cid:durableId="1339229775">
    <w:abstractNumId w:val="5"/>
  </w:num>
  <w:num w:numId="21" w16cid:durableId="2063366378">
    <w:abstractNumId w:val="22"/>
  </w:num>
  <w:num w:numId="22" w16cid:durableId="344594084">
    <w:abstractNumId w:val="15"/>
  </w:num>
  <w:num w:numId="23" w16cid:durableId="116262960">
    <w:abstractNumId w:val="14"/>
  </w:num>
  <w:num w:numId="24" w16cid:durableId="1492209491">
    <w:abstractNumId w:val="7"/>
  </w:num>
  <w:num w:numId="25" w16cid:durableId="691802391">
    <w:abstractNumId w:val="12"/>
  </w:num>
  <w:num w:numId="26" w16cid:durableId="204801949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0FC6"/>
    <w:rsid w:val="00061B2A"/>
    <w:rsid w:val="00072551"/>
    <w:rsid w:val="00072912"/>
    <w:rsid w:val="00077D69"/>
    <w:rsid w:val="00082362"/>
    <w:rsid w:val="00082B55"/>
    <w:rsid w:val="00090F95"/>
    <w:rsid w:val="000A2406"/>
    <w:rsid w:val="000A683E"/>
    <w:rsid w:val="000B19B9"/>
    <w:rsid w:val="000C4E77"/>
    <w:rsid w:val="000D0334"/>
    <w:rsid w:val="000F6486"/>
    <w:rsid w:val="00113ED5"/>
    <w:rsid w:val="00125105"/>
    <w:rsid w:val="00127233"/>
    <w:rsid w:val="001511A0"/>
    <w:rsid w:val="00184545"/>
    <w:rsid w:val="001855B9"/>
    <w:rsid w:val="001E3B47"/>
    <w:rsid w:val="001E4177"/>
    <w:rsid w:val="001E7DAE"/>
    <w:rsid w:val="001F7DC6"/>
    <w:rsid w:val="0021322E"/>
    <w:rsid w:val="0023684A"/>
    <w:rsid w:val="002421BB"/>
    <w:rsid w:val="0025152B"/>
    <w:rsid w:val="00256D7F"/>
    <w:rsid w:val="0025796E"/>
    <w:rsid w:val="002707A2"/>
    <w:rsid w:val="002778E7"/>
    <w:rsid w:val="002948BE"/>
    <w:rsid w:val="002951A0"/>
    <w:rsid w:val="002962BC"/>
    <w:rsid w:val="002A093D"/>
    <w:rsid w:val="002A0DD0"/>
    <w:rsid w:val="002A49AC"/>
    <w:rsid w:val="002A64FD"/>
    <w:rsid w:val="002C7A84"/>
    <w:rsid w:val="002E4FD9"/>
    <w:rsid w:val="00302C2C"/>
    <w:rsid w:val="00322A85"/>
    <w:rsid w:val="00324168"/>
    <w:rsid w:val="00333083"/>
    <w:rsid w:val="003448F4"/>
    <w:rsid w:val="00345A07"/>
    <w:rsid w:val="00374F5E"/>
    <w:rsid w:val="00377E3E"/>
    <w:rsid w:val="003A779E"/>
    <w:rsid w:val="003B5924"/>
    <w:rsid w:val="003B63AC"/>
    <w:rsid w:val="003D0F4D"/>
    <w:rsid w:val="003D4041"/>
    <w:rsid w:val="003D5B0D"/>
    <w:rsid w:val="003E0499"/>
    <w:rsid w:val="003F3941"/>
    <w:rsid w:val="00406575"/>
    <w:rsid w:val="00414C74"/>
    <w:rsid w:val="0042176B"/>
    <w:rsid w:val="0042722E"/>
    <w:rsid w:val="00434387"/>
    <w:rsid w:val="0044528D"/>
    <w:rsid w:val="004A1847"/>
    <w:rsid w:val="004A1AB7"/>
    <w:rsid w:val="004A305D"/>
    <w:rsid w:val="004B4B15"/>
    <w:rsid w:val="004F21C4"/>
    <w:rsid w:val="004F6584"/>
    <w:rsid w:val="004F685F"/>
    <w:rsid w:val="00503B74"/>
    <w:rsid w:val="00531C97"/>
    <w:rsid w:val="00534E85"/>
    <w:rsid w:val="00550DCC"/>
    <w:rsid w:val="005566E8"/>
    <w:rsid w:val="005600EE"/>
    <w:rsid w:val="00574867"/>
    <w:rsid w:val="00591460"/>
    <w:rsid w:val="00593B7F"/>
    <w:rsid w:val="005B3816"/>
    <w:rsid w:val="005C2D6C"/>
    <w:rsid w:val="005C3777"/>
    <w:rsid w:val="005C5CDC"/>
    <w:rsid w:val="005D476C"/>
    <w:rsid w:val="005E4A9B"/>
    <w:rsid w:val="0060176C"/>
    <w:rsid w:val="0060676F"/>
    <w:rsid w:val="006219F8"/>
    <w:rsid w:val="00627ABB"/>
    <w:rsid w:val="00631945"/>
    <w:rsid w:val="00644898"/>
    <w:rsid w:val="00665D70"/>
    <w:rsid w:val="006869C3"/>
    <w:rsid w:val="00687B44"/>
    <w:rsid w:val="006900D9"/>
    <w:rsid w:val="006B4A7A"/>
    <w:rsid w:val="006C2C82"/>
    <w:rsid w:val="006D411F"/>
    <w:rsid w:val="00705671"/>
    <w:rsid w:val="00706C16"/>
    <w:rsid w:val="00707737"/>
    <w:rsid w:val="00756841"/>
    <w:rsid w:val="00762DE8"/>
    <w:rsid w:val="007649AB"/>
    <w:rsid w:val="00771D0C"/>
    <w:rsid w:val="007833AC"/>
    <w:rsid w:val="007A69A9"/>
    <w:rsid w:val="007B268C"/>
    <w:rsid w:val="007B7171"/>
    <w:rsid w:val="007C0C0F"/>
    <w:rsid w:val="007C3DC2"/>
    <w:rsid w:val="007E5497"/>
    <w:rsid w:val="00806F5F"/>
    <w:rsid w:val="008134C9"/>
    <w:rsid w:val="00820278"/>
    <w:rsid w:val="008433C8"/>
    <w:rsid w:val="00845E42"/>
    <w:rsid w:val="00867F95"/>
    <w:rsid w:val="008719A1"/>
    <w:rsid w:val="008843B6"/>
    <w:rsid w:val="00891928"/>
    <w:rsid w:val="00896B22"/>
    <w:rsid w:val="008A446D"/>
    <w:rsid w:val="008D0800"/>
    <w:rsid w:val="008D180B"/>
    <w:rsid w:val="008F0EA7"/>
    <w:rsid w:val="008F1692"/>
    <w:rsid w:val="00901FDB"/>
    <w:rsid w:val="009066A6"/>
    <w:rsid w:val="00923EEF"/>
    <w:rsid w:val="00936AFE"/>
    <w:rsid w:val="00941699"/>
    <w:rsid w:val="009419F9"/>
    <w:rsid w:val="00954480"/>
    <w:rsid w:val="0095685E"/>
    <w:rsid w:val="00961B09"/>
    <w:rsid w:val="009642E6"/>
    <w:rsid w:val="009643EB"/>
    <w:rsid w:val="00965334"/>
    <w:rsid w:val="0096573B"/>
    <w:rsid w:val="0097093E"/>
    <w:rsid w:val="00986AC5"/>
    <w:rsid w:val="00987663"/>
    <w:rsid w:val="009A0DFA"/>
    <w:rsid w:val="009B2D26"/>
    <w:rsid w:val="009C71FA"/>
    <w:rsid w:val="009C72E7"/>
    <w:rsid w:val="009D3058"/>
    <w:rsid w:val="009D6901"/>
    <w:rsid w:val="009F3A13"/>
    <w:rsid w:val="00A00CBA"/>
    <w:rsid w:val="00A02ED5"/>
    <w:rsid w:val="00A122D3"/>
    <w:rsid w:val="00A17F13"/>
    <w:rsid w:val="00A20739"/>
    <w:rsid w:val="00A33C78"/>
    <w:rsid w:val="00A62C58"/>
    <w:rsid w:val="00AA43E6"/>
    <w:rsid w:val="00AB0ADB"/>
    <w:rsid w:val="00AB59B6"/>
    <w:rsid w:val="00B01B1A"/>
    <w:rsid w:val="00B06BA4"/>
    <w:rsid w:val="00B66319"/>
    <w:rsid w:val="00B72CD3"/>
    <w:rsid w:val="00B72FFF"/>
    <w:rsid w:val="00B87D05"/>
    <w:rsid w:val="00B943DB"/>
    <w:rsid w:val="00BA31D9"/>
    <w:rsid w:val="00BC3D36"/>
    <w:rsid w:val="00BC6E1D"/>
    <w:rsid w:val="00BD7F72"/>
    <w:rsid w:val="00BE7487"/>
    <w:rsid w:val="00BF0567"/>
    <w:rsid w:val="00C04FB3"/>
    <w:rsid w:val="00C330EB"/>
    <w:rsid w:val="00C41061"/>
    <w:rsid w:val="00C71185"/>
    <w:rsid w:val="00C754BE"/>
    <w:rsid w:val="00C76B1C"/>
    <w:rsid w:val="00CB6357"/>
    <w:rsid w:val="00CC1B26"/>
    <w:rsid w:val="00CC5251"/>
    <w:rsid w:val="00CC6155"/>
    <w:rsid w:val="00CF583E"/>
    <w:rsid w:val="00D1069C"/>
    <w:rsid w:val="00D12964"/>
    <w:rsid w:val="00D13F39"/>
    <w:rsid w:val="00D1599B"/>
    <w:rsid w:val="00D33345"/>
    <w:rsid w:val="00D35275"/>
    <w:rsid w:val="00D423A2"/>
    <w:rsid w:val="00D520D8"/>
    <w:rsid w:val="00D63AC2"/>
    <w:rsid w:val="00D7383B"/>
    <w:rsid w:val="00DA231B"/>
    <w:rsid w:val="00DC39FC"/>
    <w:rsid w:val="00DF5254"/>
    <w:rsid w:val="00E132C3"/>
    <w:rsid w:val="00E16408"/>
    <w:rsid w:val="00E20894"/>
    <w:rsid w:val="00E245AB"/>
    <w:rsid w:val="00E2764C"/>
    <w:rsid w:val="00E27F2E"/>
    <w:rsid w:val="00E50AFE"/>
    <w:rsid w:val="00E72E52"/>
    <w:rsid w:val="00E743E5"/>
    <w:rsid w:val="00E75C92"/>
    <w:rsid w:val="00E771DC"/>
    <w:rsid w:val="00E8772A"/>
    <w:rsid w:val="00E90F6B"/>
    <w:rsid w:val="00E91A24"/>
    <w:rsid w:val="00E92C27"/>
    <w:rsid w:val="00EA0E3D"/>
    <w:rsid w:val="00EA3BF7"/>
    <w:rsid w:val="00EA6F8B"/>
    <w:rsid w:val="00EC38A7"/>
    <w:rsid w:val="00ED02FB"/>
    <w:rsid w:val="00ED7384"/>
    <w:rsid w:val="00EE1AA8"/>
    <w:rsid w:val="00F15530"/>
    <w:rsid w:val="00F17BBF"/>
    <w:rsid w:val="00F201CC"/>
    <w:rsid w:val="00F21077"/>
    <w:rsid w:val="00F2742E"/>
    <w:rsid w:val="00F31EDC"/>
    <w:rsid w:val="00F42B5C"/>
    <w:rsid w:val="00F462B3"/>
    <w:rsid w:val="00F5664F"/>
    <w:rsid w:val="00F63507"/>
    <w:rsid w:val="00F666C4"/>
    <w:rsid w:val="00F76AFC"/>
    <w:rsid w:val="00F829BE"/>
    <w:rsid w:val="00F96312"/>
    <w:rsid w:val="00FA47C0"/>
    <w:rsid w:val="00FB5DD1"/>
    <w:rsid w:val="00FB64AC"/>
    <w:rsid w:val="00FC2B5D"/>
    <w:rsid w:val="00FF1449"/>
    <w:rsid w:val="075ED4F8"/>
    <w:rsid w:val="165E9519"/>
    <w:rsid w:val="237943A4"/>
    <w:rsid w:val="247EFD6A"/>
    <w:rsid w:val="24B124F6"/>
    <w:rsid w:val="296E96C9"/>
    <w:rsid w:val="2C060A93"/>
    <w:rsid w:val="382536D9"/>
    <w:rsid w:val="49FCED5E"/>
    <w:rsid w:val="4CD01A1E"/>
    <w:rsid w:val="4E49A9A8"/>
    <w:rsid w:val="4EEEA6BC"/>
    <w:rsid w:val="4F910545"/>
    <w:rsid w:val="500681BA"/>
    <w:rsid w:val="5008949F"/>
    <w:rsid w:val="51B1CBF4"/>
    <w:rsid w:val="52A677C3"/>
    <w:rsid w:val="59561B80"/>
    <w:rsid w:val="63E24D13"/>
    <w:rsid w:val="69FE9A1B"/>
    <w:rsid w:val="6BBEA208"/>
    <w:rsid w:val="6C5B0772"/>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8090DDA-7EDF-4DB7-A9FD-96312C0D2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245AB"/>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A1847"/>
    <w:pPr>
      <w:tabs>
        <w:tab w:val="center" w:pos="4419"/>
        <w:tab w:val="right" w:pos="8838"/>
      </w:tabs>
      <w:spacing w:after="0" w:line="240" w:lineRule="auto"/>
    </w:pPr>
  </w:style>
  <w:style w:type="character" w:styleId="HeaderChar" w:customStyle="1">
    <w:name w:val="Header Char"/>
    <w:basedOn w:val="DefaultParagraphFont"/>
    <w:link w:val="Header"/>
    <w:uiPriority w:val="99"/>
    <w:rsid w:val="004A1847"/>
  </w:style>
  <w:style w:type="paragraph" w:styleId="Footer">
    <w:name w:val="footer"/>
    <w:basedOn w:val="Normal"/>
    <w:link w:val="FooterChar"/>
    <w:uiPriority w:val="99"/>
    <w:unhideWhenUsed/>
    <w:rsid w:val="004A1847"/>
    <w:pPr>
      <w:tabs>
        <w:tab w:val="center" w:pos="4419"/>
        <w:tab w:val="right" w:pos="8838"/>
      </w:tabs>
      <w:spacing w:after="0" w:line="240" w:lineRule="auto"/>
    </w:pPr>
  </w:style>
  <w:style w:type="character" w:styleId="FooterChar" w:customStyle="1">
    <w:name w:val="Footer Char"/>
    <w:basedOn w:val="DefaultParagraphFont"/>
    <w:link w:val="Footer"/>
    <w:uiPriority w:val="99"/>
    <w:rsid w:val="004A1847"/>
  </w:style>
  <w:style w:type="paragraph" w:styleId="Default" w:customStyle="1">
    <w:name w:val="Default"/>
    <w:rsid w:val="006219F8"/>
    <w:pPr>
      <w:autoSpaceDE w:val="0"/>
      <w:autoSpaceDN w:val="0"/>
      <w:adjustRightInd w:val="0"/>
      <w:spacing w:after="0" w:line="240" w:lineRule="auto"/>
    </w:pPr>
    <w:rPr>
      <w:rFonts w:ascii="Arial" w:hAnsi="Arial" w:cs="Arial"/>
      <w:color w:val="000000"/>
      <w:sz w:val="24"/>
      <w:szCs w:val="24"/>
    </w:rPr>
  </w:style>
  <w:style w:type="character" w:styleId="FootnoteTextChar" w:customStyle="1">
    <w:name w:val="Footnote Text Char"/>
    <w:aliases w:val="Ref. de nota al pie1 Char,Texto de nota al pie Char,referencia nota al pie Char,Appel note de bas de page Char,Footnotes refss Char,Footnote number Char,BVI fnr Char,Footnote Text Char Char Char Char Char Char,Footnote reference Char"/>
    <w:basedOn w:val="DefaultParagraphFont"/>
    <w:link w:val="FootnoteText"/>
    <w:uiPriority w:val="99"/>
    <w:qFormat/>
    <w:locked/>
    <w:rsid w:val="006219F8"/>
    <w:rPr>
      <w:sz w:val="20"/>
      <w:szCs w:val="20"/>
      <w:lang w:val="es-MX"/>
    </w:rPr>
  </w:style>
  <w:style w:type="paragraph" w:styleId="FootnoteText">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FootnoteTextChar"/>
    <w:uiPriority w:val="99"/>
    <w:unhideWhenUsed/>
    <w:qFormat/>
    <w:rsid w:val="006219F8"/>
    <w:pPr>
      <w:spacing w:after="0" w:line="240" w:lineRule="auto"/>
    </w:pPr>
    <w:rPr>
      <w:sz w:val="20"/>
      <w:szCs w:val="20"/>
      <w:lang w:val="es-MX"/>
    </w:rPr>
  </w:style>
  <w:style w:type="character" w:styleId="TextonotapieCar1" w:customStyle="1">
    <w:name w:val="Texto nota pie Car1"/>
    <w:basedOn w:val="DefaultParagraphFont"/>
    <w:uiPriority w:val="99"/>
    <w:semiHidden/>
    <w:rsid w:val="006219F8"/>
    <w:rPr>
      <w:sz w:val="20"/>
      <w:szCs w:val="20"/>
    </w:rPr>
  </w:style>
  <w:style w:type="character" w:styleId="FootnoteReference">
    <w:name w:val="footnote reference"/>
    <w:aliases w:val="Ref. de nota al pie 2,Ref,de nota al pie,FC,Appel note de bas de p,f,4_G,16 Point,Superscript 6 Point,Texto nota al pie,Pie de Página,Texto de nota al pi,Nota de pie,Texto de nota al p,Footnote Reference Char3,Texto nota pie Car2,F,R"/>
    <w:basedOn w:val="DefaultParagraphFont"/>
    <w:link w:val="Appelnotedebasde"/>
    <w:uiPriority w:val="99"/>
    <w:unhideWhenUsed/>
    <w:qFormat/>
    <w:rsid w:val="006219F8"/>
    <w:rPr>
      <w:vertAlign w:val="superscript"/>
    </w:rPr>
  </w:style>
  <w:style w:type="character" w:styleId="normaltextrun" w:customStyle="1">
    <w:name w:val="normaltextrun"/>
    <w:basedOn w:val="DefaultParagraphFont"/>
    <w:rsid w:val="006219F8"/>
  </w:style>
  <w:style w:type="table" w:styleId="TableGrid">
    <w:name w:val="Table Grid"/>
    <w:basedOn w:val="TableNormal"/>
    <w:uiPriority w:val="39"/>
    <w:qFormat/>
    <w:rsid w:val="006219F8"/>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aliases w:val="Fotografía,Párrafo de lista1,Bullet List,FooterText,numbered,Paragraphe de liste1,lp1,Scitum normal,HOJA,Bolita,Párrafo de lista4,BOLADEF,Párrafo de lista3,Párrafo de lista21,BOLA,Nivel 1 OS,Colorful List Accent 1,Foot"/>
    <w:basedOn w:val="Normal"/>
    <w:link w:val="ListParagraphChar"/>
    <w:uiPriority w:val="34"/>
    <w:qFormat/>
    <w:rsid w:val="005566E8"/>
    <w:pPr>
      <w:ind w:left="720"/>
      <w:contextualSpacing/>
    </w:pPr>
    <w:rPr>
      <w:rFonts w:ascii="Geomanist Light" w:hAnsi="Geomanist Light"/>
      <w:lang w:val="es-ES"/>
    </w:rPr>
  </w:style>
  <w:style w:type="paragraph" w:styleId="Title">
    <w:name w:val="Title"/>
    <w:basedOn w:val="Normal"/>
    <w:next w:val="Normal"/>
    <w:link w:val="TitleChar"/>
    <w:uiPriority w:val="10"/>
    <w:qFormat/>
    <w:rsid w:val="005566E8"/>
    <w:pPr>
      <w:spacing w:after="0" w:line="240" w:lineRule="auto"/>
      <w:contextualSpacing/>
    </w:pPr>
    <w:rPr>
      <w:rFonts w:ascii="Geomanist" w:hAnsi="Geomanist" w:eastAsiaTheme="majorEastAsia" w:cstheme="majorBidi"/>
      <w:spacing w:val="-10"/>
      <w:kern w:val="28"/>
      <w:szCs w:val="56"/>
      <w:lang w:val="es-ES"/>
    </w:rPr>
  </w:style>
  <w:style w:type="character" w:styleId="TitleChar" w:customStyle="1">
    <w:name w:val="Title Char"/>
    <w:basedOn w:val="DefaultParagraphFont"/>
    <w:link w:val="Title"/>
    <w:uiPriority w:val="10"/>
    <w:rsid w:val="005566E8"/>
    <w:rPr>
      <w:rFonts w:ascii="Geomanist" w:hAnsi="Geomanist" w:eastAsiaTheme="majorEastAsia" w:cstheme="majorBidi"/>
      <w:spacing w:val="-10"/>
      <w:kern w:val="28"/>
      <w:szCs w:val="56"/>
      <w:lang w:val="es-ES"/>
    </w:rPr>
  </w:style>
  <w:style w:type="character" w:styleId="ui-provider" w:customStyle="1">
    <w:name w:val="ui-provider"/>
    <w:basedOn w:val="DefaultParagraphFont"/>
    <w:rsid w:val="00DA231B"/>
  </w:style>
  <w:style w:type="character" w:styleId="Hyperlink">
    <w:name w:val="Hyperlink"/>
    <w:basedOn w:val="DefaultParagraphFont"/>
    <w:uiPriority w:val="99"/>
    <w:unhideWhenUsed/>
    <w:rsid w:val="00125105"/>
    <w:rPr>
      <w:color w:val="0000FF"/>
      <w:u w:val="single"/>
    </w:rPr>
  </w:style>
  <w:style w:type="character" w:styleId="FollowedHyperlink">
    <w:name w:val="FollowedHyperlink"/>
    <w:basedOn w:val="DefaultParagraphFont"/>
    <w:uiPriority w:val="99"/>
    <w:semiHidden/>
    <w:unhideWhenUsed/>
    <w:rsid w:val="00125105"/>
    <w:rPr>
      <w:color w:val="954F72" w:themeColor="followedHyperlink"/>
      <w:u w:val="single"/>
    </w:rPr>
  </w:style>
  <w:style w:type="paragraph" w:styleId="paragraph" w:customStyle="1">
    <w:name w:val="paragraph"/>
    <w:basedOn w:val="Normal"/>
    <w:rsid w:val="00322A85"/>
    <w:pPr>
      <w:spacing w:before="100" w:beforeAutospacing="1" w:after="100" w:afterAutospacing="1" w:line="240" w:lineRule="auto"/>
    </w:pPr>
    <w:rPr>
      <w:rFonts w:ascii="Times New Roman" w:hAnsi="Times New Roman" w:eastAsia="Times New Roman" w:cs="Times New Roman"/>
      <w:sz w:val="24"/>
      <w:szCs w:val="24"/>
      <w:lang w:eastAsia="es-CO"/>
    </w:rPr>
  </w:style>
  <w:style w:type="character" w:styleId="tabchar" w:customStyle="1">
    <w:name w:val="tabchar"/>
    <w:basedOn w:val="DefaultParagraphFont"/>
    <w:rsid w:val="00322A85"/>
  </w:style>
  <w:style w:type="character" w:styleId="eop" w:customStyle="1">
    <w:name w:val="eop"/>
    <w:basedOn w:val="DefaultParagraphFont"/>
    <w:rsid w:val="00322A85"/>
  </w:style>
  <w:style w:type="character" w:styleId="UnresolvedMention">
    <w:name w:val="Unresolved Mention"/>
    <w:basedOn w:val="DefaultParagraphFont"/>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blanco" w:customStyle="1">
    <w:name w:val="blanco"/>
    <w:basedOn w:val="Normal"/>
    <w:rsid w:val="00C76B1C"/>
    <w:pPr>
      <w:spacing w:before="100" w:beforeAutospacing="1" w:after="100" w:afterAutospacing="1" w:line="240" w:lineRule="auto"/>
    </w:pPr>
    <w:rPr>
      <w:rFonts w:ascii="Times New Roman" w:hAnsi="Times New Roman" w:eastAsia="Times New Roman" w:cs="Times New Roman"/>
      <w:sz w:val="24"/>
      <w:szCs w:val="24"/>
      <w:lang w:eastAsia="es-CO"/>
    </w:rPr>
  </w:style>
  <w:style w:type="paragraph" w:styleId="Revision">
    <w:name w:val="Revision"/>
    <w:hidden/>
    <w:uiPriority w:val="99"/>
    <w:semiHidden/>
    <w:rsid w:val="009F3A13"/>
    <w:pPr>
      <w:spacing w:after="0" w:line="240" w:lineRule="auto"/>
    </w:pPr>
  </w:style>
  <w:style w:type="paragraph" w:styleId="Appelnotedebasde" w:customStyle="1">
    <w:name w:val="Appel note de bas de..."/>
    <w:basedOn w:val="Normal"/>
    <w:link w:val="FootnoteReference"/>
    <w:uiPriority w:val="99"/>
    <w:rsid w:val="00EA6F8B"/>
    <w:pPr>
      <w:spacing w:line="240" w:lineRule="exact"/>
    </w:pPr>
    <w:rPr>
      <w:vertAlign w:val="superscript"/>
    </w:rPr>
  </w:style>
  <w:style w:type="character" w:styleId="ListParagraphChar" w:customStyle="1">
    <w:name w:val="List Paragraph Char"/>
    <w:aliases w:val="Fotografía Char,Párrafo de lista1 Char,Bullet List Char,FooterText Char,numbered Char,Paragraphe de liste1 Char,lp1 Char,Scitum normal Char,HOJA Char,Bolita Char,Párrafo de lista4 Char,BOLADEF Char,Párrafo de lista3 Char,BOLA Char"/>
    <w:link w:val="ListParagraph"/>
    <w:uiPriority w:val="34"/>
    <w:qFormat/>
    <w:locked/>
    <w:rsid w:val="00EA6F8B"/>
    <w:rPr>
      <w:rFonts w:ascii="Geomanist Light" w:hAnsi="Geomanist Light"/>
      <w:lang w:val="es-ES"/>
    </w:rPr>
  </w:style>
  <w:style w:type="paragraph" w:styleId="CommentText">
    <w:name w:val="annotation text"/>
    <w:basedOn w:val="Normal"/>
    <w:link w:val="CommentTextChar"/>
    <w:uiPriority w:val="99"/>
    <w:semiHidden/>
    <w:unhideWhenUsed/>
    <w:rsid w:val="003B5924"/>
    <w:pPr>
      <w:spacing w:line="240" w:lineRule="auto"/>
    </w:pPr>
    <w:rPr>
      <w:sz w:val="20"/>
      <w:szCs w:val="20"/>
    </w:rPr>
  </w:style>
  <w:style w:type="character" w:styleId="CommentTextChar" w:customStyle="1">
    <w:name w:val="Comment Text Char"/>
    <w:basedOn w:val="DefaultParagraphFont"/>
    <w:link w:val="CommentText"/>
    <w:uiPriority w:val="99"/>
    <w:semiHidden/>
    <w:rsid w:val="003B5924"/>
    <w:rPr>
      <w:sz w:val="20"/>
      <w:szCs w:val="20"/>
    </w:rPr>
  </w:style>
  <w:style w:type="character" w:styleId="CommentReference">
    <w:name w:val="annotation reference"/>
    <w:basedOn w:val="DefaultParagraphFont"/>
    <w:uiPriority w:val="99"/>
    <w:semiHidden/>
    <w:unhideWhenUsed/>
    <w:rsid w:val="003B5924"/>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3086834">
      <w:bodyDiv w:val="1"/>
      <w:marLeft w:val="0"/>
      <w:marRight w:val="0"/>
      <w:marTop w:val="0"/>
      <w:marBottom w:val="0"/>
      <w:divBdr>
        <w:top w:val="none" w:sz="0" w:space="0" w:color="auto"/>
        <w:left w:val="none" w:sz="0" w:space="0" w:color="auto"/>
        <w:bottom w:val="none" w:sz="0" w:space="0" w:color="auto"/>
        <w:right w:val="none" w:sz="0" w:space="0" w:color="auto"/>
      </w:divBdr>
      <w:divsChild>
        <w:div w:id="688606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385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017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845805">
          <w:blockQuote w:val="1"/>
          <w:marLeft w:val="720"/>
          <w:marRight w:val="720"/>
          <w:marTop w:val="100"/>
          <w:marBottom w:val="100"/>
          <w:divBdr>
            <w:top w:val="none" w:sz="0" w:space="0" w:color="auto"/>
            <w:left w:val="none" w:sz="0" w:space="0" w:color="auto"/>
            <w:bottom w:val="none" w:sz="0" w:space="0" w:color="auto"/>
            <w:right w:val="none" w:sz="0" w:space="0" w:color="auto"/>
          </w:divBdr>
        </w:div>
        <w:div w:id="2004510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32993783">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1351957622">
      <w:bodyDiv w:val="1"/>
      <w:marLeft w:val="0"/>
      <w:marRight w:val="0"/>
      <w:marTop w:val="0"/>
      <w:marBottom w:val="0"/>
      <w:divBdr>
        <w:top w:val="none" w:sz="0" w:space="0" w:color="auto"/>
        <w:left w:val="none" w:sz="0" w:space="0" w:color="auto"/>
        <w:bottom w:val="none" w:sz="0" w:space="0" w:color="auto"/>
        <w:right w:val="none" w:sz="0" w:space="0" w:color="auto"/>
      </w:divBdr>
    </w:div>
    <w:div w:id="1456364308">
      <w:bodyDiv w:val="1"/>
      <w:marLeft w:val="0"/>
      <w:marRight w:val="0"/>
      <w:marTop w:val="0"/>
      <w:marBottom w:val="0"/>
      <w:divBdr>
        <w:top w:val="none" w:sz="0" w:space="0" w:color="auto"/>
        <w:left w:val="none" w:sz="0" w:space="0" w:color="auto"/>
        <w:bottom w:val="none" w:sz="0" w:space="0" w:color="auto"/>
        <w:right w:val="none" w:sz="0" w:space="0" w:color="auto"/>
      </w:divBdr>
    </w:div>
    <w:div w:id="1543784455">
      <w:bodyDiv w:val="1"/>
      <w:marLeft w:val="0"/>
      <w:marRight w:val="0"/>
      <w:marTop w:val="0"/>
      <w:marBottom w:val="0"/>
      <w:divBdr>
        <w:top w:val="none" w:sz="0" w:space="0" w:color="auto"/>
        <w:left w:val="none" w:sz="0" w:space="0" w:color="auto"/>
        <w:bottom w:val="none" w:sz="0" w:space="0" w:color="auto"/>
        <w:right w:val="none" w:sz="0" w:space="0" w:color="auto"/>
      </w:divBdr>
    </w:div>
    <w:div w:id="1707873382">
      <w:bodyDiv w:val="1"/>
      <w:marLeft w:val="0"/>
      <w:marRight w:val="0"/>
      <w:marTop w:val="0"/>
      <w:marBottom w:val="0"/>
      <w:divBdr>
        <w:top w:val="none" w:sz="0" w:space="0" w:color="auto"/>
        <w:left w:val="none" w:sz="0" w:space="0" w:color="auto"/>
        <w:bottom w:val="none" w:sz="0" w:space="0" w:color="auto"/>
        <w:right w:val="none" w:sz="0" w:space="0" w:color="auto"/>
      </w:divBdr>
    </w:div>
    <w:div w:id="1713115253">
      <w:bodyDiv w:val="1"/>
      <w:marLeft w:val="0"/>
      <w:marRight w:val="0"/>
      <w:marTop w:val="0"/>
      <w:marBottom w:val="0"/>
      <w:divBdr>
        <w:top w:val="none" w:sz="0" w:space="0" w:color="auto"/>
        <w:left w:val="none" w:sz="0" w:space="0" w:color="auto"/>
        <w:bottom w:val="none" w:sz="0" w:space="0" w:color="auto"/>
        <w:right w:val="none" w:sz="0" w:space="0" w:color="auto"/>
      </w:divBdr>
    </w:div>
    <w:div w:id="1896351136">
      <w:bodyDiv w:val="1"/>
      <w:marLeft w:val="0"/>
      <w:marRight w:val="0"/>
      <w:marTop w:val="0"/>
      <w:marBottom w:val="0"/>
      <w:divBdr>
        <w:top w:val="none" w:sz="0" w:space="0" w:color="auto"/>
        <w:left w:val="none" w:sz="0" w:space="0" w:color="auto"/>
        <w:bottom w:val="none" w:sz="0" w:space="0" w:color="auto"/>
        <w:right w:val="none" w:sz="0" w:space="0" w:color="auto"/>
      </w:divBdr>
      <w:divsChild>
        <w:div w:id="88081671">
          <w:blockQuote w:val="1"/>
          <w:marLeft w:val="720"/>
          <w:marRight w:val="720"/>
          <w:marTop w:val="100"/>
          <w:marBottom w:val="100"/>
          <w:divBdr>
            <w:top w:val="none" w:sz="0" w:space="0" w:color="auto"/>
            <w:left w:val="none" w:sz="0" w:space="0" w:color="auto"/>
            <w:bottom w:val="none" w:sz="0" w:space="0" w:color="auto"/>
            <w:right w:val="none" w:sz="0" w:space="0" w:color="auto"/>
          </w:divBdr>
        </w:div>
        <w:div w:id="682631772">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00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794287">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2039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0593132">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 w:id="2144347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colombiacompra.gov.co/manuales-guias-y-pliegos-tipo/manuales-y-guias" TargetMode="External" Id="rId13" /><Relationship Type="http://schemas.openxmlformats.org/officeDocument/2006/relationships/image" Target="media/image2.jpeg" Id="rId18" /><Relationship Type="http://schemas.openxmlformats.org/officeDocument/2006/relationships/customXml" Target="../customXml/item3.xml" Id="rId3" /><Relationship Type="http://schemas.openxmlformats.org/officeDocument/2006/relationships/fontTable" Target="fontTable.xml" Id="rId21" /><Relationship Type="http://schemas.openxmlformats.org/officeDocument/2006/relationships/settings" Target="settings.xml" Id="rId7" /><Relationship Type="http://schemas.openxmlformats.org/officeDocument/2006/relationships/hyperlink" Target="mailto:lufefe28@hotmail.com" TargetMode="External" Id="rId12" /><Relationship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 Id="rId17" /><Relationship Type="http://schemas.openxmlformats.org/officeDocument/2006/relationships/customXml" Target="../customXml/item2.xml" Id="rId2" /><Relationship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 Id="rId15" /><Relationship Type="http://schemas.openxmlformats.org/officeDocument/2006/relationships/endnotes" Target="endnotes.xml" Id="rId10" /><Relationship Type="http://schemas.openxmlformats.org/officeDocument/2006/relationships/header" Target="head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relatoria.colombiacompra.gov.co/busqueda/conceptos" TargetMode="External" Id="rId14" /><Relationship Type="http://schemas.openxmlformats.org/officeDocument/2006/relationships/theme" Target="theme/theme1.xml" Id="rId22" /></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tienda-virtual-del-estado-colombiano/agregacion-de-demanda-espec%C3%ADfica" TargetMode="External"/><Relationship Id="rId1" Type="http://schemas.openxmlformats.org/officeDocument/2006/relationships/hyperlink" Target="https://www.colombiacompra.gov.co/wpcontent/uploads/2024/08/guia_de_buenas_practicas_software_ver1_logo0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5AA6E3E-060F-4ABF-BCF5-1540AFD13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119095-42A1-47BF-AF92-6CC90BA1F010}">
  <ds:schemaRefs>
    <ds:schemaRef ds:uri="http://schemas.openxmlformats.org/officeDocument/2006/bibliography"/>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Andrés Felipe Ospina Acosta</dc:creator>
  <keywords/>
  <dc:description/>
  <lastModifiedBy>Betty Elena Díaz Fernandez</lastModifiedBy>
  <revision>38</revision>
  <lastPrinted>2023-01-11T03:18:00.0000000Z</lastPrinted>
  <dcterms:created xsi:type="dcterms:W3CDTF">2025-06-05T14:12:00.0000000Z</dcterms:created>
  <dcterms:modified xsi:type="dcterms:W3CDTF">2025-07-02T16:53:22.9230833Z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