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D6FE9" w14:textId="77777777" w:rsidR="00BA1BB3" w:rsidRDefault="00BA1BB3" w:rsidP="00BA1BB3">
      <w:pPr>
        <w:spacing w:after="0" w:line="240" w:lineRule="auto"/>
        <w:jc w:val="both"/>
        <w:rPr>
          <w:rFonts w:ascii="Verdana" w:hAnsi="Verdana"/>
          <w:b/>
          <w:bCs/>
          <w:sz w:val="20"/>
          <w:szCs w:val="20"/>
        </w:rPr>
      </w:pPr>
      <w:bookmarkStart w:id="0" w:name="_Hlk186494164"/>
      <w:r w:rsidRPr="001F4272">
        <w:rPr>
          <w:rFonts w:ascii="Verdana" w:hAnsi="Verdana"/>
          <w:b/>
          <w:bCs/>
          <w:sz w:val="20"/>
          <w:szCs w:val="20"/>
        </w:rPr>
        <w:t>ADENDAS – Fundamento</w:t>
      </w:r>
    </w:p>
    <w:p w14:paraId="239AFB64" w14:textId="77777777" w:rsidR="00BA1BB3" w:rsidRPr="001F4272" w:rsidRDefault="00BA1BB3" w:rsidP="00BA1BB3">
      <w:pPr>
        <w:spacing w:after="0" w:line="240" w:lineRule="auto"/>
        <w:jc w:val="both"/>
        <w:rPr>
          <w:rFonts w:ascii="Verdana" w:hAnsi="Verdana"/>
          <w:b/>
          <w:bCs/>
          <w:sz w:val="20"/>
          <w:szCs w:val="20"/>
        </w:rPr>
      </w:pPr>
    </w:p>
    <w:p w14:paraId="0BAAE939" w14:textId="77777777" w:rsidR="00BA1BB3" w:rsidRPr="001F4272" w:rsidRDefault="00BA1BB3" w:rsidP="00BA1BB3">
      <w:pPr>
        <w:spacing w:after="0" w:line="240" w:lineRule="auto"/>
        <w:jc w:val="both"/>
        <w:rPr>
          <w:rFonts w:ascii="Verdana" w:hAnsi="Verdana"/>
          <w:sz w:val="20"/>
          <w:szCs w:val="20"/>
        </w:rPr>
      </w:pPr>
      <w:r w:rsidRPr="001F4272">
        <w:rPr>
          <w:rFonts w:ascii="Verdana" w:hAnsi="Verdana"/>
          <w:sz w:val="20"/>
          <w:szCs w:val="20"/>
        </w:rPr>
        <w:t xml:space="preserve">[…]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a través de adendas. </w:t>
      </w:r>
    </w:p>
    <w:p w14:paraId="36C1E488" w14:textId="77777777" w:rsidR="00BA1BB3" w:rsidRPr="001F4272" w:rsidRDefault="00BA1BB3" w:rsidP="00BA1BB3">
      <w:pPr>
        <w:spacing w:after="0" w:line="240" w:lineRule="auto"/>
        <w:jc w:val="both"/>
        <w:rPr>
          <w:rFonts w:ascii="Verdana" w:hAnsi="Verdana"/>
          <w:sz w:val="20"/>
          <w:szCs w:val="20"/>
        </w:rPr>
      </w:pPr>
    </w:p>
    <w:p w14:paraId="4769116B" w14:textId="77777777" w:rsidR="00BA1BB3" w:rsidRPr="001F4272" w:rsidRDefault="00BA1BB3" w:rsidP="00BA1BB3">
      <w:pPr>
        <w:spacing w:after="0" w:line="240" w:lineRule="auto"/>
        <w:jc w:val="both"/>
        <w:rPr>
          <w:rFonts w:ascii="Verdana" w:hAnsi="Verdana"/>
          <w:sz w:val="20"/>
          <w:szCs w:val="20"/>
        </w:rPr>
      </w:pPr>
      <w:r w:rsidRPr="001F4272">
        <w:rPr>
          <w:rFonts w:ascii="Verdana" w:hAnsi="Verdana"/>
          <w:sz w:val="20"/>
          <w:szCs w:val="20"/>
        </w:rPr>
        <w:t>Sin perjuicio de lo anterior, como lo ha reconocido la jurisprudencia del Consejo de Estado, dichas modificaciones pueden realizarse por medio de cualquier otro documento que contenga la manifestación de voluntad de la entidad de aclarar, añadir, adicionar, reemplazar o cambiar un aspecto o condición, incluida en los documentos del procedimiento de contratación, independientemente que a dicho documento se le titule como adenda.</w:t>
      </w:r>
    </w:p>
    <w:p w14:paraId="24CE11CF" w14:textId="77777777" w:rsidR="00BA1BB3" w:rsidRPr="001F4272" w:rsidRDefault="00BA1BB3" w:rsidP="00BA1BB3">
      <w:pPr>
        <w:spacing w:after="0" w:line="240" w:lineRule="auto"/>
        <w:jc w:val="both"/>
        <w:rPr>
          <w:rFonts w:ascii="Verdana" w:hAnsi="Verdana"/>
          <w:b/>
          <w:bCs/>
          <w:sz w:val="20"/>
          <w:szCs w:val="20"/>
        </w:rPr>
      </w:pPr>
    </w:p>
    <w:p w14:paraId="108E072C" w14:textId="77777777" w:rsidR="00BA1BB3" w:rsidRPr="001F4272" w:rsidRDefault="00BA1BB3" w:rsidP="00BA1BB3">
      <w:pPr>
        <w:spacing w:after="0" w:line="240" w:lineRule="auto"/>
        <w:jc w:val="both"/>
        <w:rPr>
          <w:rFonts w:ascii="Verdana" w:hAnsi="Verdana"/>
          <w:b/>
          <w:bCs/>
          <w:sz w:val="20"/>
          <w:szCs w:val="20"/>
        </w:rPr>
      </w:pPr>
      <w:r w:rsidRPr="001F4272">
        <w:rPr>
          <w:rFonts w:ascii="Verdana" w:hAnsi="Verdana"/>
          <w:b/>
          <w:bCs/>
          <w:sz w:val="20"/>
          <w:szCs w:val="20"/>
        </w:rPr>
        <w:t xml:space="preserve">ADENDAS – Cronograma – Alcance – Límites  </w:t>
      </w:r>
    </w:p>
    <w:p w14:paraId="33B5D5B6" w14:textId="77777777" w:rsidR="00BA1BB3" w:rsidRPr="001F4272" w:rsidRDefault="00BA1BB3" w:rsidP="00BA1BB3">
      <w:pPr>
        <w:spacing w:after="0" w:line="240" w:lineRule="auto"/>
        <w:jc w:val="both"/>
        <w:rPr>
          <w:rFonts w:ascii="Verdana" w:hAnsi="Verdana"/>
          <w:b/>
          <w:bCs/>
          <w:sz w:val="20"/>
          <w:szCs w:val="20"/>
        </w:rPr>
      </w:pPr>
    </w:p>
    <w:p w14:paraId="61D47FD5" w14:textId="77777777" w:rsidR="00BA1BB3" w:rsidRDefault="00BA1BB3" w:rsidP="00BA1BB3">
      <w:pPr>
        <w:spacing w:after="0" w:line="240" w:lineRule="auto"/>
        <w:jc w:val="both"/>
        <w:rPr>
          <w:rFonts w:ascii="Verdana" w:hAnsi="Verdana"/>
          <w:sz w:val="20"/>
          <w:szCs w:val="20"/>
        </w:rPr>
      </w:pPr>
      <w:r w:rsidRPr="001F4272">
        <w:rPr>
          <w:rFonts w:ascii="Verdana" w:hAnsi="Verdana"/>
          <w:sz w:val="20"/>
          <w:szCs w:val="20"/>
        </w:rPr>
        <w:t>En conclusión, para las modalidades de selección de contratistas distintas de la licitación pública, la entidad estatal debe respetar el término del artículo 2.2.1.1.2.2.1 y, por ende, solo puede expedir y publicar adendas a más tardar el día hábil anterior, hasta la hora fijada para la presentación de las ofertas del día hábil siguiente –esto es, del cierre del proceso–. Además de lo anterior, de acuerdo con dicha disposición las adendas deben publicarse en días hábiles, entre las 7:00 a. m. y las 7:00 p. m. Finalmente, conviene precisar que las exigencias anteriores también aplican para los procesos de mínima cuantía, de acuerdo con el numeral 4 del artículo 2.2.1.2.1.5.2. del Decreto 1082 de 2015 –modificado por el Decreto 1860 de 2021–.</w:t>
      </w:r>
    </w:p>
    <w:p w14:paraId="3038EA9E" w14:textId="77777777" w:rsidR="00BA1BB3" w:rsidRPr="001F4272" w:rsidRDefault="00BA1BB3" w:rsidP="00BA1BB3">
      <w:pPr>
        <w:spacing w:after="0" w:line="240" w:lineRule="auto"/>
        <w:jc w:val="both"/>
        <w:rPr>
          <w:rFonts w:ascii="Verdana" w:hAnsi="Verdana"/>
          <w:b/>
          <w:bCs/>
          <w:sz w:val="20"/>
          <w:szCs w:val="20"/>
        </w:rPr>
      </w:pPr>
    </w:p>
    <w:p w14:paraId="128D79E1" w14:textId="77777777" w:rsidR="00BA1BB3" w:rsidRDefault="00BA1BB3" w:rsidP="00BA1BB3">
      <w:pPr>
        <w:spacing w:after="0" w:line="240" w:lineRule="auto"/>
        <w:jc w:val="both"/>
        <w:rPr>
          <w:rFonts w:ascii="Verdana" w:hAnsi="Verdana"/>
          <w:b/>
          <w:bCs/>
          <w:sz w:val="20"/>
          <w:szCs w:val="20"/>
        </w:rPr>
      </w:pPr>
      <w:r w:rsidRPr="001F4272">
        <w:rPr>
          <w:rFonts w:ascii="Verdana" w:hAnsi="Verdana"/>
          <w:b/>
          <w:bCs/>
          <w:sz w:val="20"/>
          <w:szCs w:val="20"/>
        </w:rPr>
        <w:t>EXPEDICIÓN EXTEMPORANEA – Vulnera principios de transparencia y economía</w:t>
      </w:r>
    </w:p>
    <w:p w14:paraId="58897558" w14:textId="77777777" w:rsidR="00BA1BB3" w:rsidRDefault="00BA1BB3" w:rsidP="00BA1BB3">
      <w:pPr>
        <w:spacing w:after="0" w:line="240" w:lineRule="auto"/>
        <w:jc w:val="both"/>
        <w:rPr>
          <w:rFonts w:ascii="Verdana" w:hAnsi="Verdana"/>
          <w:b/>
          <w:bCs/>
          <w:sz w:val="20"/>
          <w:szCs w:val="20"/>
        </w:rPr>
      </w:pPr>
    </w:p>
    <w:p w14:paraId="2C678B2F" w14:textId="77777777" w:rsidR="00BA1BB3" w:rsidRDefault="00BA1BB3" w:rsidP="00BA1BB3">
      <w:pPr>
        <w:spacing w:after="0" w:line="240" w:lineRule="auto"/>
        <w:jc w:val="both"/>
        <w:rPr>
          <w:rFonts w:ascii="Verdana" w:hAnsi="Verdana"/>
          <w:sz w:val="20"/>
          <w:szCs w:val="20"/>
        </w:rPr>
      </w:pPr>
      <w:r>
        <w:rPr>
          <w:rFonts w:ascii="Verdana" w:hAnsi="Verdana"/>
          <w:sz w:val="20"/>
          <w:szCs w:val="20"/>
        </w:rPr>
        <w:t xml:space="preserve">[…] </w:t>
      </w:r>
      <w:r w:rsidRPr="000427C9">
        <w:rPr>
          <w:rFonts w:ascii="Verdana" w:hAnsi="Verdana"/>
          <w:sz w:val="20"/>
          <w:szCs w:val="20"/>
        </w:rPr>
        <w:t>En ese orden, la expedición de adendas por fuera del término de los plazos establecidos en el artículo 2.2.1.1.2.2.1 del Decreto 1082 de 2015, en el marco de un proceso de selección contractual, desconoce los principios de transparencia y economía que rigen la contratación estatal, en la medida en que introduce alteraciones sustanciales en las condiciones del proceso sin garantizar condiciones objetivas, predecibles y equitativas para todos los interesados.</w:t>
      </w:r>
    </w:p>
    <w:p w14:paraId="1B53583A" w14:textId="77777777" w:rsidR="00BA1BB3" w:rsidRPr="000427C9" w:rsidRDefault="00BA1BB3" w:rsidP="00BA1BB3">
      <w:pPr>
        <w:spacing w:after="0" w:line="240" w:lineRule="auto"/>
        <w:jc w:val="both"/>
        <w:rPr>
          <w:rFonts w:ascii="Verdana" w:hAnsi="Verdana"/>
          <w:sz w:val="20"/>
          <w:szCs w:val="20"/>
        </w:rPr>
      </w:pPr>
    </w:p>
    <w:p w14:paraId="676C6DDA" w14:textId="77777777" w:rsidR="00BA1BB3" w:rsidRDefault="00BA1BB3" w:rsidP="00BA1BB3">
      <w:pPr>
        <w:spacing w:after="0" w:line="240" w:lineRule="auto"/>
        <w:jc w:val="both"/>
        <w:rPr>
          <w:rFonts w:ascii="Verdana" w:hAnsi="Verdana"/>
          <w:sz w:val="20"/>
          <w:szCs w:val="20"/>
        </w:rPr>
      </w:pPr>
      <w:r w:rsidRPr="00583191">
        <w:rPr>
          <w:rFonts w:ascii="Verdana" w:hAnsi="Verdana"/>
          <w:sz w:val="20"/>
          <w:szCs w:val="20"/>
        </w:rPr>
        <w:t xml:space="preserve">En efecto, el marco normativo vigente establece plazos perentorios para la modificación del pliego de condiciones mediante adendas, como expresión concreta de los principios de planeación, publicidad y libre concurrencia. </w:t>
      </w:r>
      <w:r w:rsidRPr="000427C9">
        <w:rPr>
          <w:rFonts w:ascii="Verdana" w:hAnsi="Verdana"/>
          <w:sz w:val="20"/>
          <w:szCs w:val="20"/>
        </w:rPr>
        <w:t>De manera que e</w:t>
      </w:r>
      <w:r w:rsidRPr="00583191">
        <w:rPr>
          <w:rFonts w:ascii="Verdana" w:hAnsi="Verdana"/>
          <w:sz w:val="20"/>
          <w:szCs w:val="20"/>
        </w:rPr>
        <w:t xml:space="preserve">l desconocimiento de dichos plazos, incluso cuando obedezca a razones operativas o de buena fe, puede comprometer la igualdad de oportunidades entre los oferentes y afectar la adecuada preparación de las ofertas, lo que se traduce en una afectación a la eficiencia del proceso </w:t>
      </w:r>
      <w:r w:rsidRPr="000427C9">
        <w:rPr>
          <w:rFonts w:ascii="Verdana" w:hAnsi="Verdana"/>
          <w:sz w:val="20"/>
          <w:szCs w:val="20"/>
        </w:rPr>
        <w:t>(</w:t>
      </w:r>
      <w:r w:rsidRPr="00583191">
        <w:rPr>
          <w:rFonts w:ascii="Verdana" w:hAnsi="Verdana"/>
          <w:sz w:val="20"/>
          <w:szCs w:val="20"/>
        </w:rPr>
        <w:t>principio de economía) y a su integridad procedimental (principio de transparencia).</w:t>
      </w:r>
    </w:p>
    <w:p w14:paraId="45BF3AA8" w14:textId="77777777" w:rsidR="00BA1BB3" w:rsidRPr="00583191" w:rsidRDefault="00BA1BB3" w:rsidP="00BA1BB3">
      <w:pPr>
        <w:spacing w:after="0" w:line="240" w:lineRule="auto"/>
        <w:jc w:val="both"/>
        <w:rPr>
          <w:rFonts w:ascii="Verdana" w:hAnsi="Verdana"/>
          <w:sz w:val="20"/>
          <w:szCs w:val="20"/>
        </w:rPr>
      </w:pPr>
    </w:p>
    <w:p w14:paraId="543A1F8A" w14:textId="77777777" w:rsidR="00BA1BB3" w:rsidRDefault="00BA1BB3" w:rsidP="00BA1BB3">
      <w:pPr>
        <w:spacing w:after="0" w:line="240" w:lineRule="auto"/>
        <w:jc w:val="both"/>
        <w:rPr>
          <w:rFonts w:ascii="Verdana" w:hAnsi="Verdana"/>
          <w:sz w:val="20"/>
          <w:szCs w:val="20"/>
        </w:rPr>
      </w:pPr>
      <w:r w:rsidRPr="00583191">
        <w:rPr>
          <w:rFonts w:ascii="Verdana" w:hAnsi="Verdana"/>
          <w:sz w:val="20"/>
          <w:szCs w:val="20"/>
        </w:rPr>
        <w:t>Desde una perspectiva sistémica</w:t>
      </w:r>
      <w:r w:rsidRPr="000427C9">
        <w:rPr>
          <w:rFonts w:ascii="Verdana" w:hAnsi="Verdana"/>
          <w:sz w:val="20"/>
          <w:szCs w:val="20"/>
        </w:rPr>
        <w:t xml:space="preserve"> y axiológica</w:t>
      </w:r>
      <w:r w:rsidRPr="00583191">
        <w:rPr>
          <w:rFonts w:ascii="Verdana" w:hAnsi="Verdana"/>
          <w:sz w:val="20"/>
          <w:szCs w:val="20"/>
        </w:rPr>
        <w:t xml:space="preserve">, la oportunidad en la expedición de adendas no es una formalidad vacía, sino una garantía mínima del debido proceso en la contratación pública. La publicación extemporánea de modificaciones, al no permitir que </w:t>
      </w:r>
      <w:r w:rsidRPr="00583191">
        <w:rPr>
          <w:rFonts w:ascii="Verdana" w:hAnsi="Verdana"/>
          <w:sz w:val="20"/>
          <w:szCs w:val="20"/>
        </w:rPr>
        <w:lastRenderedPageBreak/>
        <w:t>todos los interesados accedan en condiciones de equidad a la nueva información, distorsiona el escenario competitivo y mina la confianza en la administración pública, contrariando así el fin último del EGCAP: asegurar la selección objetiva del contratista que ofrezca las mejores condiciones para el interés general.</w:t>
      </w:r>
    </w:p>
    <w:p w14:paraId="54D8C92C" w14:textId="77777777" w:rsidR="00BA1BB3" w:rsidRPr="00583191" w:rsidRDefault="00BA1BB3" w:rsidP="00BA1BB3">
      <w:pPr>
        <w:spacing w:after="0" w:line="240" w:lineRule="auto"/>
        <w:jc w:val="both"/>
        <w:rPr>
          <w:rFonts w:ascii="Verdana" w:hAnsi="Verdana"/>
          <w:sz w:val="20"/>
          <w:szCs w:val="20"/>
        </w:rPr>
      </w:pPr>
    </w:p>
    <w:p w14:paraId="1BAA873C" w14:textId="77777777" w:rsidR="00BA1BB3" w:rsidRPr="000427C9" w:rsidRDefault="00BA1BB3" w:rsidP="00BA1BB3">
      <w:pPr>
        <w:spacing w:after="0" w:line="240" w:lineRule="auto"/>
        <w:jc w:val="both"/>
        <w:rPr>
          <w:rFonts w:ascii="Verdana" w:hAnsi="Verdana"/>
          <w:sz w:val="20"/>
          <w:szCs w:val="20"/>
        </w:rPr>
      </w:pPr>
      <w:r w:rsidRPr="00583191">
        <w:rPr>
          <w:rFonts w:ascii="Verdana" w:hAnsi="Verdana"/>
          <w:sz w:val="20"/>
          <w:szCs w:val="20"/>
        </w:rPr>
        <w:t>Por tanto, la observancia estricta de los plazos para la expedición de adendas no solo es un requisito legal, sino también una manifestación sustancial de los principios que estructuran el régimen de contratación pública, cuya inobservancia debe analizarse con rigor, incluso cuando no haya una afectación concreta al resultado del proceso, ya que el juicio sobre su legalidad y legitimidad también se proyecta sobre su diseño y ejecución procedimental.</w:t>
      </w:r>
    </w:p>
    <w:p w14:paraId="7812D200" w14:textId="77777777" w:rsidR="00BA1BB3" w:rsidRPr="001F4272" w:rsidRDefault="00BA1BB3" w:rsidP="00BA1BB3">
      <w:pPr>
        <w:spacing w:after="0" w:line="240" w:lineRule="auto"/>
        <w:jc w:val="both"/>
        <w:rPr>
          <w:rFonts w:ascii="Verdana" w:hAnsi="Verdana"/>
          <w:b/>
          <w:bCs/>
          <w:sz w:val="20"/>
          <w:szCs w:val="20"/>
        </w:rPr>
      </w:pPr>
    </w:p>
    <w:p w14:paraId="050F359A" w14:textId="77777777" w:rsidR="00BA1BB3" w:rsidRPr="00526681" w:rsidRDefault="00BA1BB3" w:rsidP="00BA1BB3">
      <w:pPr>
        <w:spacing w:after="0" w:line="240" w:lineRule="auto"/>
        <w:rPr>
          <w:rFonts w:ascii="Verdana" w:hAnsi="Verdana"/>
          <w:b/>
          <w:bCs/>
          <w:sz w:val="20"/>
          <w:szCs w:val="20"/>
        </w:rPr>
      </w:pPr>
    </w:p>
    <w:p w14:paraId="33880221" w14:textId="77777777" w:rsidR="00BA1BB3" w:rsidRPr="00526681" w:rsidRDefault="00BA1BB3" w:rsidP="00BA1BB3">
      <w:pPr>
        <w:spacing w:after="0" w:line="240" w:lineRule="auto"/>
        <w:rPr>
          <w:rFonts w:ascii="Verdana" w:hAnsi="Verdana"/>
          <w:b/>
          <w:bCs/>
          <w:sz w:val="20"/>
          <w:szCs w:val="20"/>
        </w:rPr>
      </w:pPr>
    </w:p>
    <w:p w14:paraId="03C673C6" w14:textId="77777777" w:rsidR="00BA1BB3" w:rsidRPr="00526681" w:rsidRDefault="00BA1BB3" w:rsidP="00BA1BB3">
      <w:pPr>
        <w:spacing w:after="0" w:line="240" w:lineRule="auto"/>
        <w:rPr>
          <w:rFonts w:ascii="Verdana" w:hAnsi="Verdana"/>
          <w:b/>
          <w:bCs/>
          <w:sz w:val="20"/>
          <w:szCs w:val="20"/>
        </w:rPr>
      </w:pPr>
    </w:p>
    <w:p w14:paraId="6F5426DA" w14:textId="77777777" w:rsidR="00BA1BB3" w:rsidRPr="00526681" w:rsidRDefault="00BA1BB3" w:rsidP="00BA1BB3">
      <w:pPr>
        <w:spacing w:after="0" w:line="240" w:lineRule="auto"/>
        <w:rPr>
          <w:rFonts w:ascii="Verdana" w:hAnsi="Verdana"/>
          <w:b/>
          <w:bCs/>
          <w:sz w:val="20"/>
          <w:szCs w:val="20"/>
        </w:rPr>
      </w:pPr>
    </w:p>
    <w:p w14:paraId="0A6374AE" w14:textId="77777777" w:rsidR="00BA1BB3" w:rsidRPr="00526681" w:rsidRDefault="00BA1BB3" w:rsidP="00BA1BB3">
      <w:pPr>
        <w:spacing w:after="0" w:line="240" w:lineRule="auto"/>
        <w:rPr>
          <w:rFonts w:ascii="Verdana" w:hAnsi="Verdana"/>
          <w:b/>
          <w:bCs/>
          <w:sz w:val="20"/>
          <w:szCs w:val="20"/>
        </w:rPr>
      </w:pPr>
    </w:p>
    <w:p w14:paraId="247FF7E0" w14:textId="77777777" w:rsidR="00BA1BB3" w:rsidRPr="00526681" w:rsidRDefault="00BA1BB3" w:rsidP="00BA1BB3">
      <w:pPr>
        <w:spacing w:after="0" w:line="240" w:lineRule="auto"/>
        <w:rPr>
          <w:rFonts w:ascii="Verdana" w:hAnsi="Verdana"/>
          <w:b/>
          <w:bCs/>
          <w:sz w:val="20"/>
          <w:szCs w:val="20"/>
        </w:rPr>
      </w:pPr>
    </w:p>
    <w:p w14:paraId="5C551CD9" w14:textId="77777777" w:rsidR="00BA1BB3" w:rsidRPr="00526681" w:rsidRDefault="00BA1BB3" w:rsidP="00BA1BB3">
      <w:pPr>
        <w:spacing w:after="0" w:line="240" w:lineRule="auto"/>
        <w:rPr>
          <w:rFonts w:ascii="Verdana" w:hAnsi="Verdana"/>
          <w:b/>
          <w:bCs/>
          <w:sz w:val="20"/>
          <w:szCs w:val="20"/>
        </w:rPr>
      </w:pPr>
    </w:p>
    <w:p w14:paraId="48408DD1" w14:textId="77777777" w:rsidR="00BA1BB3" w:rsidRPr="00526681" w:rsidRDefault="00BA1BB3" w:rsidP="00BA1BB3">
      <w:pPr>
        <w:spacing w:after="0" w:line="240" w:lineRule="auto"/>
        <w:rPr>
          <w:rFonts w:ascii="Verdana" w:hAnsi="Verdana"/>
          <w:b/>
          <w:bCs/>
          <w:sz w:val="20"/>
          <w:szCs w:val="20"/>
        </w:rPr>
      </w:pPr>
    </w:p>
    <w:p w14:paraId="6F8D74B9" w14:textId="77777777" w:rsidR="00BA1BB3" w:rsidRPr="00526681" w:rsidRDefault="00BA1BB3" w:rsidP="00BA1BB3">
      <w:pPr>
        <w:spacing w:after="0" w:line="240" w:lineRule="auto"/>
        <w:rPr>
          <w:rFonts w:ascii="Verdana" w:hAnsi="Verdana"/>
          <w:b/>
          <w:bCs/>
          <w:sz w:val="20"/>
          <w:szCs w:val="20"/>
        </w:rPr>
      </w:pPr>
    </w:p>
    <w:p w14:paraId="20C3C955" w14:textId="77777777" w:rsidR="00BA1BB3" w:rsidRPr="00526681" w:rsidRDefault="00BA1BB3" w:rsidP="00BA1BB3">
      <w:pPr>
        <w:spacing w:after="0" w:line="240" w:lineRule="auto"/>
        <w:rPr>
          <w:rFonts w:ascii="Verdana" w:hAnsi="Verdana"/>
          <w:b/>
          <w:bCs/>
          <w:sz w:val="20"/>
          <w:szCs w:val="20"/>
        </w:rPr>
      </w:pPr>
    </w:p>
    <w:p w14:paraId="120F798E" w14:textId="77777777" w:rsidR="00BA1BB3" w:rsidRPr="00526681" w:rsidRDefault="00BA1BB3" w:rsidP="00BA1BB3">
      <w:pPr>
        <w:spacing w:after="0" w:line="240" w:lineRule="auto"/>
        <w:rPr>
          <w:rFonts w:ascii="Verdana" w:hAnsi="Verdana"/>
          <w:b/>
          <w:bCs/>
          <w:sz w:val="20"/>
          <w:szCs w:val="20"/>
        </w:rPr>
      </w:pPr>
    </w:p>
    <w:p w14:paraId="76B6EE7C" w14:textId="77777777" w:rsidR="00BA1BB3" w:rsidRPr="00526681" w:rsidRDefault="00BA1BB3" w:rsidP="00BA1BB3">
      <w:pPr>
        <w:spacing w:after="0" w:line="240" w:lineRule="auto"/>
        <w:rPr>
          <w:rFonts w:ascii="Verdana" w:hAnsi="Verdana"/>
          <w:b/>
          <w:bCs/>
          <w:sz w:val="20"/>
          <w:szCs w:val="20"/>
        </w:rPr>
      </w:pPr>
    </w:p>
    <w:p w14:paraId="62E80A33" w14:textId="77777777" w:rsidR="00BA1BB3" w:rsidRDefault="00BA1BB3" w:rsidP="00BA1BB3">
      <w:pPr>
        <w:spacing w:after="0" w:line="240" w:lineRule="auto"/>
        <w:rPr>
          <w:rFonts w:ascii="Verdana" w:eastAsia="Geomanist Light" w:hAnsi="Verdana" w:cs="Arial"/>
          <w:color w:val="000000" w:themeColor="text1"/>
        </w:rPr>
      </w:pPr>
    </w:p>
    <w:p w14:paraId="7ADC29CE" w14:textId="77777777" w:rsidR="00BA1BB3" w:rsidRDefault="00BA1BB3" w:rsidP="00BA1BB3">
      <w:pPr>
        <w:spacing w:after="0" w:line="240" w:lineRule="auto"/>
        <w:rPr>
          <w:rFonts w:ascii="Verdana" w:eastAsia="Geomanist Light" w:hAnsi="Verdana" w:cs="Arial"/>
          <w:color w:val="000000" w:themeColor="text1"/>
        </w:rPr>
      </w:pPr>
    </w:p>
    <w:p w14:paraId="6B3CB786" w14:textId="77777777" w:rsidR="00BA1BB3" w:rsidRDefault="00BA1BB3" w:rsidP="00BA1BB3">
      <w:pPr>
        <w:spacing w:after="0" w:line="240" w:lineRule="auto"/>
        <w:rPr>
          <w:rFonts w:ascii="Verdana" w:eastAsia="Geomanist Light" w:hAnsi="Verdana" w:cs="Arial"/>
          <w:color w:val="000000" w:themeColor="text1"/>
        </w:rPr>
      </w:pPr>
    </w:p>
    <w:p w14:paraId="13597AE8" w14:textId="77777777" w:rsidR="00BA1BB3" w:rsidRDefault="00BA1BB3" w:rsidP="00BA1BB3">
      <w:pPr>
        <w:spacing w:after="0" w:line="240" w:lineRule="auto"/>
        <w:rPr>
          <w:rFonts w:ascii="Verdana" w:eastAsia="Geomanist Light" w:hAnsi="Verdana" w:cs="Arial"/>
          <w:color w:val="000000" w:themeColor="text1"/>
        </w:rPr>
      </w:pPr>
    </w:p>
    <w:p w14:paraId="6ACCC70F" w14:textId="77777777" w:rsidR="00BA1BB3" w:rsidRDefault="00BA1BB3" w:rsidP="00BA1BB3">
      <w:pPr>
        <w:spacing w:after="0" w:line="240" w:lineRule="auto"/>
        <w:rPr>
          <w:rFonts w:ascii="Verdana" w:eastAsia="Geomanist Light" w:hAnsi="Verdana" w:cs="Arial"/>
          <w:color w:val="000000" w:themeColor="text1"/>
        </w:rPr>
      </w:pPr>
    </w:p>
    <w:p w14:paraId="4CFD6DCE" w14:textId="77777777" w:rsidR="00BA1BB3" w:rsidRDefault="00BA1BB3" w:rsidP="00BA1BB3">
      <w:pPr>
        <w:spacing w:after="0" w:line="240" w:lineRule="auto"/>
        <w:rPr>
          <w:rFonts w:ascii="Verdana" w:eastAsia="Geomanist Light" w:hAnsi="Verdana" w:cs="Arial"/>
          <w:color w:val="000000" w:themeColor="text1"/>
        </w:rPr>
      </w:pPr>
    </w:p>
    <w:p w14:paraId="316A4C48" w14:textId="77777777" w:rsidR="00BA1BB3" w:rsidRDefault="00BA1BB3" w:rsidP="00BA1BB3">
      <w:pPr>
        <w:spacing w:after="0" w:line="240" w:lineRule="auto"/>
        <w:rPr>
          <w:rFonts w:ascii="Verdana" w:eastAsia="Geomanist Light" w:hAnsi="Verdana" w:cs="Arial"/>
          <w:color w:val="000000" w:themeColor="text1"/>
        </w:rPr>
      </w:pPr>
    </w:p>
    <w:p w14:paraId="55FD34D4" w14:textId="77777777" w:rsidR="00BA1BB3" w:rsidRDefault="00BA1BB3" w:rsidP="00BA1BB3">
      <w:pPr>
        <w:spacing w:after="0" w:line="240" w:lineRule="auto"/>
        <w:rPr>
          <w:rFonts w:ascii="Verdana" w:eastAsia="Geomanist Light" w:hAnsi="Verdana" w:cs="Arial"/>
          <w:color w:val="000000" w:themeColor="text1"/>
        </w:rPr>
      </w:pPr>
    </w:p>
    <w:p w14:paraId="6DE09E93" w14:textId="77777777" w:rsidR="00BA1BB3" w:rsidRDefault="00BA1BB3" w:rsidP="00BA1BB3">
      <w:pPr>
        <w:spacing w:after="0" w:line="240" w:lineRule="auto"/>
        <w:rPr>
          <w:rFonts w:ascii="Verdana" w:eastAsia="Geomanist Light" w:hAnsi="Verdana" w:cs="Arial"/>
          <w:color w:val="000000" w:themeColor="text1"/>
        </w:rPr>
      </w:pPr>
    </w:p>
    <w:p w14:paraId="5D306D61" w14:textId="77777777" w:rsidR="00BA1BB3" w:rsidRDefault="00BA1BB3" w:rsidP="00BA1BB3">
      <w:pPr>
        <w:spacing w:after="0" w:line="240" w:lineRule="auto"/>
        <w:rPr>
          <w:rFonts w:ascii="Verdana" w:eastAsia="Geomanist Light" w:hAnsi="Verdana" w:cs="Arial"/>
          <w:color w:val="000000" w:themeColor="text1"/>
        </w:rPr>
      </w:pPr>
    </w:p>
    <w:p w14:paraId="25E1055F" w14:textId="77777777" w:rsidR="00BA1BB3" w:rsidRDefault="00BA1BB3" w:rsidP="00BA1BB3">
      <w:pPr>
        <w:spacing w:after="0" w:line="240" w:lineRule="auto"/>
        <w:rPr>
          <w:rFonts w:ascii="Verdana" w:eastAsia="Geomanist Light" w:hAnsi="Verdana" w:cs="Arial"/>
          <w:color w:val="000000" w:themeColor="text1"/>
        </w:rPr>
      </w:pPr>
    </w:p>
    <w:p w14:paraId="4497CCE7" w14:textId="77777777" w:rsidR="00BA1BB3" w:rsidRDefault="00BA1BB3" w:rsidP="00BA1BB3">
      <w:pPr>
        <w:spacing w:after="0" w:line="240" w:lineRule="auto"/>
        <w:rPr>
          <w:rFonts w:ascii="Verdana" w:eastAsia="Geomanist Light" w:hAnsi="Verdana" w:cs="Arial"/>
          <w:color w:val="000000" w:themeColor="text1"/>
        </w:rPr>
      </w:pPr>
    </w:p>
    <w:p w14:paraId="0E9C8706" w14:textId="77777777" w:rsidR="00BA1BB3" w:rsidRDefault="00BA1BB3" w:rsidP="00BA1BB3">
      <w:pPr>
        <w:spacing w:after="0" w:line="240" w:lineRule="auto"/>
        <w:rPr>
          <w:rFonts w:ascii="Verdana" w:eastAsia="Geomanist Light" w:hAnsi="Verdana" w:cs="Arial"/>
          <w:color w:val="000000" w:themeColor="text1"/>
        </w:rPr>
      </w:pPr>
    </w:p>
    <w:p w14:paraId="25F4A123" w14:textId="77777777" w:rsidR="00BA1BB3" w:rsidRDefault="00BA1BB3" w:rsidP="00BA1BB3">
      <w:pPr>
        <w:spacing w:after="0" w:line="240" w:lineRule="auto"/>
        <w:rPr>
          <w:rFonts w:ascii="Verdana" w:eastAsia="Geomanist Light" w:hAnsi="Verdana" w:cs="Arial"/>
          <w:color w:val="000000" w:themeColor="text1"/>
        </w:rPr>
      </w:pPr>
    </w:p>
    <w:p w14:paraId="34D678C8" w14:textId="77777777" w:rsidR="00BA1BB3" w:rsidRDefault="00BA1BB3" w:rsidP="00BA1BB3">
      <w:pPr>
        <w:spacing w:after="0" w:line="240" w:lineRule="auto"/>
        <w:rPr>
          <w:rFonts w:ascii="Verdana" w:eastAsia="Geomanist Light" w:hAnsi="Verdana" w:cs="Arial"/>
          <w:color w:val="000000" w:themeColor="text1"/>
        </w:rPr>
      </w:pPr>
    </w:p>
    <w:p w14:paraId="22E46BEC" w14:textId="77777777" w:rsidR="00BA1BB3" w:rsidRDefault="00BA1BB3" w:rsidP="00BA1BB3">
      <w:pPr>
        <w:spacing w:after="0" w:line="240" w:lineRule="auto"/>
        <w:rPr>
          <w:rFonts w:ascii="Verdana" w:eastAsia="Geomanist Light" w:hAnsi="Verdana" w:cs="Arial"/>
          <w:color w:val="000000" w:themeColor="text1"/>
        </w:rPr>
      </w:pPr>
    </w:p>
    <w:p w14:paraId="300CF95A" w14:textId="77777777" w:rsidR="00BA1BB3" w:rsidRDefault="00BA1BB3" w:rsidP="00BA1BB3">
      <w:pPr>
        <w:spacing w:after="0" w:line="240" w:lineRule="auto"/>
        <w:rPr>
          <w:rFonts w:ascii="Verdana" w:eastAsia="Geomanist Light" w:hAnsi="Verdana" w:cs="Arial"/>
          <w:color w:val="000000" w:themeColor="text1"/>
        </w:rPr>
      </w:pPr>
    </w:p>
    <w:p w14:paraId="7CC6C982" w14:textId="77777777" w:rsidR="00BA1BB3" w:rsidRDefault="00BA1BB3" w:rsidP="00BA1BB3">
      <w:pPr>
        <w:spacing w:after="0" w:line="240" w:lineRule="auto"/>
        <w:rPr>
          <w:rFonts w:ascii="Verdana" w:eastAsia="Geomanist Light" w:hAnsi="Verdana" w:cs="Arial"/>
          <w:color w:val="000000" w:themeColor="text1"/>
        </w:rPr>
      </w:pPr>
    </w:p>
    <w:p w14:paraId="712D7BEE" w14:textId="77777777" w:rsidR="00BA1BB3" w:rsidRDefault="00BA1BB3" w:rsidP="00BA1BB3">
      <w:pPr>
        <w:spacing w:after="0" w:line="240" w:lineRule="auto"/>
        <w:rPr>
          <w:rFonts w:ascii="Verdana" w:eastAsia="Geomanist Light" w:hAnsi="Verdana" w:cs="Arial"/>
          <w:color w:val="000000" w:themeColor="text1"/>
        </w:rPr>
      </w:pPr>
    </w:p>
    <w:p w14:paraId="78F85577" w14:textId="77777777" w:rsidR="00BA1BB3" w:rsidRDefault="00BA1BB3" w:rsidP="00BA1BB3">
      <w:pPr>
        <w:spacing w:after="0" w:line="240" w:lineRule="auto"/>
        <w:rPr>
          <w:rFonts w:ascii="Verdana" w:eastAsia="Geomanist Light" w:hAnsi="Verdana" w:cs="Arial"/>
          <w:color w:val="000000" w:themeColor="text1"/>
        </w:rPr>
      </w:pPr>
    </w:p>
    <w:p w14:paraId="69F3A7BF" w14:textId="77777777" w:rsidR="00BA1BB3" w:rsidRDefault="00BA1BB3" w:rsidP="00BA1BB3">
      <w:pPr>
        <w:spacing w:after="0" w:line="240" w:lineRule="auto"/>
        <w:rPr>
          <w:rFonts w:ascii="Verdana" w:eastAsia="Geomanist Light" w:hAnsi="Verdana" w:cs="Arial"/>
          <w:color w:val="000000" w:themeColor="text1"/>
        </w:rPr>
      </w:pPr>
    </w:p>
    <w:p w14:paraId="43772B6B" w14:textId="77777777" w:rsidR="00BA1BB3" w:rsidRDefault="00BA1BB3" w:rsidP="00BA1BB3">
      <w:pPr>
        <w:spacing w:after="0" w:line="240" w:lineRule="auto"/>
        <w:rPr>
          <w:rFonts w:ascii="Verdana" w:eastAsia="Geomanist Light" w:hAnsi="Verdana" w:cs="Arial"/>
          <w:color w:val="000000" w:themeColor="text1"/>
        </w:rPr>
      </w:pPr>
    </w:p>
    <w:p w14:paraId="4DC98A54" w14:textId="77777777" w:rsidR="00BA1BB3" w:rsidRDefault="00BA1BB3" w:rsidP="00BA1BB3">
      <w:pPr>
        <w:spacing w:after="0" w:line="240" w:lineRule="auto"/>
        <w:rPr>
          <w:rFonts w:ascii="Verdana" w:eastAsia="Geomanist Light" w:hAnsi="Verdana" w:cs="Arial"/>
          <w:color w:val="201F1E"/>
        </w:rPr>
      </w:pPr>
      <w:r w:rsidRPr="00526681">
        <w:rPr>
          <w:rFonts w:ascii="Verdana" w:eastAsia="Geomanist Light" w:hAnsi="Verdana" w:cs="Arial"/>
          <w:color w:val="000000" w:themeColor="text1"/>
        </w:rPr>
        <w:lastRenderedPageBreak/>
        <w:t>Bogotá D.C., </w:t>
      </w:r>
      <w:r w:rsidRPr="00526681">
        <w:rPr>
          <w:rFonts w:ascii="Verdana" w:eastAsia="Geomanist Light" w:hAnsi="Verdana" w:cs="Arial"/>
          <w:color w:val="201F1E"/>
        </w:rPr>
        <w:t>[Día] de [</w:t>
      </w:r>
      <w:proofErr w:type="spellStart"/>
      <w:r w:rsidRPr="00526681">
        <w:rPr>
          <w:rFonts w:ascii="Verdana" w:eastAsia="Geomanist Light" w:hAnsi="Verdana" w:cs="Arial"/>
          <w:color w:val="201F1E"/>
        </w:rPr>
        <w:t>Mes.NombreCapitalizado</w:t>
      </w:r>
      <w:proofErr w:type="spellEnd"/>
      <w:r w:rsidRPr="00526681">
        <w:rPr>
          <w:rFonts w:ascii="Verdana" w:eastAsia="Geomanist Light" w:hAnsi="Verdana" w:cs="Arial"/>
          <w:color w:val="201F1E"/>
        </w:rPr>
        <w:t>] de [Año]</w:t>
      </w:r>
    </w:p>
    <w:p w14:paraId="24BF8D12" w14:textId="77777777" w:rsidR="00A175FE" w:rsidRPr="00526681" w:rsidRDefault="00A175FE" w:rsidP="00BA1BB3">
      <w:pPr>
        <w:spacing w:after="0" w:line="240" w:lineRule="auto"/>
        <w:rPr>
          <w:rFonts w:ascii="Verdana" w:eastAsia="Calibri" w:hAnsi="Verdana" w:cs="Arial"/>
          <w:color w:val="000000"/>
        </w:rPr>
      </w:pPr>
    </w:p>
    <w:p w14:paraId="47CC85EB" w14:textId="42B33C3D" w:rsidR="00BA1BB3" w:rsidRPr="00526681" w:rsidRDefault="00A175FE" w:rsidP="00BA1BB3">
      <w:pPr>
        <w:spacing w:after="0" w:line="240" w:lineRule="auto"/>
        <w:jc w:val="right"/>
        <w:rPr>
          <w:rFonts w:ascii="Verdana" w:eastAsia="Calibri" w:hAnsi="Verdana" w:cs="Arial"/>
          <w:color w:val="000000"/>
        </w:rPr>
      </w:pPr>
      <w:r w:rsidRPr="00A175FE">
        <w:rPr>
          <w:rFonts w:ascii="Verdana" w:eastAsia="Calibri" w:hAnsi="Verdana" w:cs="Arial"/>
          <w:noProof/>
          <w:color w:val="000000"/>
        </w:rPr>
        <w:drawing>
          <wp:inline distT="0" distB="0" distL="0" distR="0" wp14:anchorId="711ADA55" wp14:editId="3BC56DA1">
            <wp:extent cx="2678183" cy="704850"/>
            <wp:effectExtent l="0" t="0" r="825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44527" cy="722310"/>
                    </a:xfrm>
                    <a:prstGeom prst="rect">
                      <a:avLst/>
                    </a:prstGeom>
                  </pic:spPr>
                </pic:pic>
              </a:graphicData>
            </a:graphic>
          </wp:inline>
        </w:drawing>
      </w:r>
    </w:p>
    <w:p w14:paraId="0C3A5434" w14:textId="77777777" w:rsidR="00BA1BB3" w:rsidRPr="00526681" w:rsidRDefault="00BA1BB3" w:rsidP="00BA1BB3">
      <w:pPr>
        <w:spacing w:after="0" w:line="240" w:lineRule="auto"/>
        <w:jc w:val="right"/>
        <w:rPr>
          <w:rFonts w:ascii="Verdana" w:eastAsia="Calibri" w:hAnsi="Verdana" w:cs="Arial"/>
          <w:color w:val="000000"/>
        </w:rPr>
      </w:pPr>
    </w:p>
    <w:p w14:paraId="51082DB8" w14:textId="39416C23" w:rsidR="00BA1BB3" w:rsidRPr="00526681" w:rsidRDefault="00BA1BB3" w:rsidP="00BA1BB3">
      <w:pPr>
        <w:spacing w:after="0" w:line="240" w:lineRule="auto"/>
        <w:jc w:val="both"/>
        <w:rPr>
          <w:rFonts w:ascii="Verdana" w:eastAsia="Calibri" w:hAnsi="Verdana" w:cs="Arial"/>
          <w:lang w:eastAsia="es-ES"/>
        </w:rPr>
      </w:pPr>
      <w:r w:rsidRPr="00526681">
        <w:rPr>
          <w:rFonts w:ascii="Verdana" w:eastAsia="Calibri" w:hAnsi="Verdana" w:cs="Arial"/>
          <w:lang w:eastAsia="es-ES"/>
        </w:rPr>
        <w:t>Señora</w:t>
      </w:r>
      <w:r w:rsidR="00257170">
        <w:rPr>
          <w:rFonts w:ascii="Verdana" w:eastAsia="Calibri" w:hAnsi="Verdana" w:cs="Arial"/>
          <w:lang w:eastAsia="es-ES"/>
        </w:rPr>
        <w:t xml:space="preserve"> </w:t>
      </w:r>
    </w:p>
    <w:p w14:paraId="41CEC0BD" w14:textId="77777777" w:rsidR="00BA1BB3" w:rsidRPr="00526681" w:rsidRDefault="00BA1BB3" w:rsidP="00BA1BB3">
      <w:pPr>
        <w:spacing w:after="0" w:line="240" w:lineRule="auto"/>
        <w:rPr>
          <w:rFonts w:ascii="Verdana" w:eastAsia="Calibri" w:hAnsi="Verdana" w:cs="Arial"/>
          <w:b/>
          <w:lang w:eastAsia="es-ES"/>
        </w:rPr>
      </w:pPr>
      <w:r w:rsidRPr="00526681">
        <w:rPr>
          <w:rFonts w:ascii="Verdana" w:eastAsia="Calibri" w:hAnsi="Verdana" w:cs="Arial"/>
          <w:b/>
          <w:lang w:eastAsia="es-ES"/>
        </w:rPr>
        <w:t xml:space="preserve">Sandra Verónica Socha Romero </w:t>
      </w:r>
    </w:p>
    <w:p w14:paraId="33C4E4C8" w14:textId="77777777" w:rsidR="00BA1BB3" w:rsidRPr="00526681" w:rsidRDefault="00BA1BB3" w:rsidP="00BA1BB3">
      <w:pPr>
        <w:spacing w:after="0" w:line="240" w:lineRule="auto"/>
        <w:rPr>
          <w:rFonts w:ascii="Verdana" w:eastAsia="Calibri" w:hAnsi="Verdana" w:cs="Arial"/>
          <w:bCs/>
          <w:lang w:eastAsia="es-ES"/>
        </w:rPr>
      </w:pPr>
      <w:r w:rsidRPr="00526681">
        <w:rPr>
          <w:rFonts w:ascii="Verdana" w:eastAsia="Calibri" w:hAnsi="Verdana" w:cs="Arial"/>
          <w:bCs/>
          <w:lang w:eastAsia="es-ES"/>
        </w:rPr>
        <w:t xml:space="preserve">Representante Legal </w:t>
      </w:r>
    </w:p>
    <w:p w14:paraId="2389A97F" w14:textId="77777777" w:rsidR="00BA1BB3" w:rsidRPr="00526681" w:rsidRDefault="00BA1BB3" w:rsidP="00BA1BB3">
      <w:pPr>
        <w:spacing w:after="0" w:line="240" w:lineRule="auto"/>
        <w:rPr>
          <w:rFonts w:ascii="Verdana" w:eastAsia="Calibri" w:hAnsi="Verdana" w:cs="Arial"/>
          <w:bCs/>
          <w:lang w:eastAsia="es-ES"/>
        </w:rPr>
      </w:pPr>
      <w:r w:rsidRPr="00526681">
        <w:rPr>
          <w:rFonts w:ascii="Verdana" w:eastAsia="Calibri" w:hAnsi="Verdana" w:cs="Arial"/>
          <w:bCs/>
          <w:lang w:eastAsia="es-ES"/>
        </w:rPr>
        <w:t>ABC FUMISERVICES FUMIGACIÓN Y EXTINTORES S.A.S.</w:t>
      </w:r>
      <w:r w:rsidRPr="00526681">
        <w:rPr>
          <w:rFonts w:ascii="Verdana" w:eastAsia="Calibri" w:hAnsi="Verdana" w:cs="Arial"/>
          <w:b/>
          <w:lang w:eastAsia="es-ES"/>
        </w:rPr>
        <w:t xml:space="preserve"> </w:t>
      </w:r>
      <w:hyperlink r:id="rId11" w:history="1">
        <w:r w:rsidRPr="00526681">
          <w:rPr>
            <w:rStyle w:val="Hipervnculo"/>
            <w:rFonts w:ascii="Verdana" w:eastAsia="Calibri" w:hAnsi="Verdana" w:cs="Arial"/>
            <w:bCs/>
            <w:lang w:eastAsia="es-ES"/>
          </w:rPr>
          <w:t>contratacion.abcfumiservicios98@hotmail.com</w:t>
        </w:r>
      </w:hyperlink>
      <w:r w:rsidRPr="00526681">
        <w:rPr>
          <w:rFonts w:ascii="Verdana" w:eastAsia="Calibri" w:hAnsi="Verdana" w:cs="Arial"/>
          <w:bCs/>
          <w:lang w:eastAsia="es-ES"/>
        </w:rPr>
        <w:t xml:space="preserve"> </w:t>
      </w:r>
    </w:p>
    <w:p w14:paraId="733822A2" w14:textId="77777777" w:rsidR="00BA1BB3" w:rsidRPr="00526681" w:rsidRDefault="00BA1BB3" w:rsidP="00BA1BB3">
      <w:pPr>
        <w:spacing w:after="0" w:line="240" w:lineRule="auto"/>
        <w:rPr>
          <w:rFonts w:ascii="Verdana" w:eastAsia="Calibri" w:hAnsi="Verdana" w:cs="Arial"/>
          <w:lang w:eastAsia="es-ES"/>
        </w:rPr>
      </w:pPr>
      <w:r w:rsidRPr="00526681">
        <w:rPr>
          <w:rFonts w:ascii="Verdana" w:hAnsi="Verdana"/>
        </w:rPr>
        <w:t>Bogotá, D.C.</w:t>
      </w:r>
    </w:p>
    <w:p w14:paraId="4B959537" w14:textId="77777777" w:rsidR="00BA1BB3" w:rsidRPr="00526681" w:rsidRDefault="00BA1BB3" w:rsidP="00BA1BB3">
      <w:pPr>
        <w:spacing w:after="0" w:line="240" w:lineRule="auto"/>
        <w:rPr>
          <w:rFonts w:ascii="Verdana" w:eastAsia="Calibri" w:hAnsi="Verdana" w:cs="Arial"/>
          <w:b/>
          <w:bCs/>
          <w:color w:val="000000"/>
          <w:lang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BA1BB3" w:rsidRPr="00526681" w14:paraId="01A33ABB" w14:textId="77777777" w:rsidTr="00373891">
        <w:trPr>
          <w:trHeight w:val="360"/>
        </w:trPr>
        <w:tc>
          <w:tcPr>
            <w:tcW w:w="2689" w:type="dxa"/>
          </w:tcPr>
          <w:p w14:paraId="448A3C44" w14:textId="77777777" w:rsidR="00BA1BB3" w:rsidRPr="00526681" w:rsidRDefault="00BA1BB3" w:rsidP="00373891">
            <w:pPr>
              <w:jc w:val="both"/>
              <w:rPr>
                <w:rFonts w:ascii="Verdana" w:eastAsia="Calibri" w:hAnsi="Verdana" w:cs="Arial"/>
                <w:b/>
                <w:bCs/>
                <w:color w:val="7030A0"/>
                <w:lang w:eastAsia="es-ES_tradnl"/>
              </w:rPr>
            </w:pPr>
          </w:p>
        </w:tc>
        <w:tc>
          <w:tcPr>
            <w:tcW w:w="6242" w:type="dxa"/>
          </w:tcPr>
          <w:p w14:paraId="0636DC04" w14:textId="77777777" w:rsidR="00BA1BB3" w:rsidRPr="00526681" w:rsidRDefault="00BA1BB3" w:rsidP="00373891">
            <w:pPr>
              <w:jc w:val="both"/>
              <w:rPr>
                <w:rFonts w:ascii="Verdana" w:eastAsia="Calibri" w:hAnsi="Verdana" w:cs="Arial"/>
                <w:b/>
                <w:bCs/>
                <w:lang w:eastAsia="es-ES"/>
              </w:rPr>
            </w:pPr>
            <w:r w:rsidRPr="00526681">
              <w:rPr>
                <w:rFonts w:ascii="Verdana" w:eastAsia="Calibri" w:hAnsi="Verdana" w:cs="Arial"/>
                <w:b/>
                <w:bCs/>
                <w:lang w:eastAsia="es-ES"/>
              </w:rPr>
              <w:t>Concepto C – 593 de 2025</w:t>
            </w:r>
          </w:p>
        </w:tc>
      </w:tr>
      <w:tr w:rsidR="00BA1BB3" w:rsidRPr="00526681" w14:paraId="4628D8BB" w14:textId="77777777" w:rsidTr="00373891">
        <w:trPr>
          <w:trHeight w:val="1591"/>
        </w:trPr>
        <w:tc>
          <w:tcPr>
            <w:tcW w:w="2689" w:type="dxa"/>
          </w:tcPr>
          <w:p w14:paraId="6E10D107" w14:textId="77777777" w:rsidR="00BA1BB3" w:rsidRPr="00526681" w:rsidRDefault="00BA1BB3" w:rsidP="00373891">
            <w:pPr>
              <w:jc w:val="both"/>
              <w:rPr>
                <w:rFonts w:ascii="Verdana" w:eastAsia="Calibri" w:hAnsi="Verdana" w:cs="Arial"/>
                <w:color w:val="000000"/>
                <w:lang w:eastAsia="es-ES_tradnl"/>
              </w:rPr>
            </w:pPr>
            <w:r w:rsidRPr="00526681">
              <w:rPr>
                <w:rFonts w:ascii="Verdana" w:eastAsia="Calibri" w:hAnsi="Verdana" w:cs="Arial"/>
                <w:b/>
                <w:color w:val="000000"/>
                <w:lang w:eastAsia="es-ES_tradnl"/>
              </w:rPr>
              <w:t>Temas:</w:t>
            </w:r>
            <w:r w:rsidRPr="00526681">
              <w:rPr>
                <w:rFonts w:ascii="Verdana" w:eastAsia="Calibri" w:hAnsi="Verdana" w:cs="Arial"/>
                <w:color w:val="000000"/>
                <w:lang w:eastAsia="es-ES_tradnl"/>
              </w:rPr>
              <w:t xml:space="preserve">                   </w:t>
            </w:r>
          </w:p>
        </w:tc>
        <w:tc>
          <w:tcPr>
            <w:tcW w:w="6242" w:type="dxa"/>
            <w:shd w:val="clear" w:color="auto" w:fill="auto"/>
          </w:tcPr>
          <w:p w14:paraId="162FE31F" w14:textId="77777777" w:rsidR="00BA1BB3" w:rsidRPr="00526681" w:rsidRDefault="00BA1BB3" w:rsidP="00373891">
            <w:pPr>
              <w:jc w:val="both"/>
              <w:rPr>
                <w:rFonts w:ascii="Verdana" w:eastAsia="Calibri" w:hAnsi="Verdana" w:cs="Arial"/>
                <w:lang w:eastAsia="es-ES"/>
              </w:rPr>
            </w:pPr>
            <w:r w:rsidRPr="00526681">
              <w:rPr>
                <w:rFonts w:ascii="Verdana" w:eastAsia="Calibri" w:hAnsi="Verdana" w:cs="Arial"/>
                <w:lang w:eastAsia="es-ES_tradnl"/>
              </w:rPr>
              <w:t xml:space="preserve">ADENDAS – Fundamento / ADENDAS – Cronograma – Alcance – Límites / </w:t>
            </w:r>
            <w:r>
              <w:rPr>
                <w:rFonts w:ascii="Verdana" w:eastAsia="Calibri" w:hAnsi="Verdana" w:cs="Arial"/>
                <w:lang w:eastAsia="es-ES_tradnl"/>
              </w:rPr>
              <w:t xml:space="preserve">EXPEDICIÓN EXTEMPORANEA – Vulnera principios de transparencia y economía / </w:t>
            </w:r>
            <w:r w:rsidRPr="00526681">
              <w:rPr>
                <w:rFonts w:ascii="Verdana" w:eastAsia="Calibri" w:hAnsi="Verdana" w:cs="Arial"/>
                <w:lang w:eastAsia="es-ES_tradnl"/>
              </w:rPr>
              <w:t>PROTOCOLO DE INDISPONIBILIDAD – Falla particular – Falla General – Modificación a través de adendas</w:t>
            </w:r>
            <w:r>
              <w:rPr>
                <w:rFonts w:ascii="Verdana" w:eastAsia="Calibri" w:hAnsi="Verdana" w:cs="Arial"/>
                <w:lang w:eastAsia="es-ES_tradnl"/>
              </w:rPr>
              <w:t xml:space="preserve"> - Procedimiento</w:t>
            </w:r>
          </w:p>
        </w:tc>
      </w:tr>
      <w:tr w:rsidR="00BA1BB3" w:rsidRPr="00526681" w14:paraId="37D18AA0" w14:textId="77777777" w:rsidTr="00373891">
        <w:tc>
          <w:tcPr>
            <w:tcW w:w="2689" w:type="dxa"/>
          </w:tcPr>
          <w:p w14:paraId="280F47D1" w14:textId="77777777" w:rsidR="00BA1BB3" w:rsidRPr="00526681" w:rsidRDefault="00BA1BB3" w:rsidP="00373891">
            <w:pPr>
              <w:jc w:val="both"/>
              <w:rPr>
                <w:rFonts w:ascii="Verdana" w:eastAsia="Calibri" w:hAnsi="Verdana" w:cs="Arial"/>
                <w:b/>
                <w:lang w:eastAsia="es-ES_tradnl"/>
              </w:rPr>
            </w:pPr>
            <w:r w:rsidRPr="00526681">
              <w:rPr>
                <w:rFonts w:ascii="Verdana" w:eastAsia="Calibri" w:hAnsi="Verdana" w:cs="Arial"/>
                <w:b/>
                <w:lang w:eastAsia="es-ES_tradnl"/>
              </w:rPr>
              <w:t>Radicación:</w:t>
            </w:r>
            <w:r w:rsidRPr="00526681">
              <w:rPr>
                <w:rFonts w:ascii="Verdana" w:eastAsia="Calibri" w:hAnsi="Verdana" w:cs="Arial"/>
                <w:lang w:eastAsia="es-ES_tradnl"/>
              </w:rPr>
              <w:t xml:space="preserve">               </w:t>
            </w:r>
          </w:p>
        </w:tc>
        <w:tc>
          <w:tcPr>
            <w:tcW w:w="6242" w:type="dxa"/>
          </w:tcPr>
          <w:p w14:paraId="6D42D425" w14:textId="77777777" w:rsidR="00BA1BB3" w:rsidRPr="00526681" w:rsidRDefault="00BA1BB3" w:rsidP="00373891">
            <w:pPr>
              <w:jc w:val="both"/>
              <w:rPr>
                <w:rFonts w:ascii="Verdana" w:eastAsia="Calibri" w:hAnsi="Verdana" w:cs="Arial"/>
                <w:lang w:eastAsia="es-ES_tradnl"/>
              </w:rPr>
            </w:pPr>
            <w:r w:rsidRPr="00526681">
              <w:rPr>
                <w:rFonts w:ascii="Verdana" w:eastAsia="Calibri" w:hAnsi="Verdana" w:cs="Arial"/>
                <w:lang w:eastAsia="es-ES_tradnl"/>
              </w:rPr>
              <w:t>Respuesta a la consulta con radicado No.  P20250515004663</w:t>
            </w:r>
          </w:p>
        </w:tc>
      </w:tr>
    </w:tbl>
    <w:p w14:paraId="7CBFE746" w14:textId="77777777" w:rsidR="00BA1BB3" w:rsidRPr="00526681" w:rsidRDefault="00BA1BB3" w:rsidP="00BA1BB3">
      <w:pPr>
        <w:spacing w:after="0" w:line="240" w:lineRule="auto"/>
        <w:jc w:val="both"/>
        <w:rPr>
          <w:rFonts w:ascii="Verdana" w:eastAsia="Calibri" w:hAnsi="Verdana" w:cs="Arial"/>
          <w:color w:val="000000"/>
          <w:lang w:eastAsia="es-ES_tradnl"/>
        </w:rPr>
      </w:pPr>
    </w:p>
    <w:p w14:paraId="69186FBF" w14:textId="77777777" w:rsidR="00BA1BB3" w:rsidRPr="00526681" w:rsidRDefault="00BA1BB3" w:rsidP="00BA1BB3">
      <w:pPr>
        <w:spacing w:after="0" w:line="240" w:lineRule="auto"/>
        <w:jc w:val="both"/>
        <w:rPr>
          <w:rFonts w:ascii="Verdana" w:eastAsia="Calibri" w:hAnsi="Verdana" w:cs="Arial"/>
          <w:color w:val="000000"/>
          <w:lang w:eastAsia="es-ES_tradnl"/>
        </w:rPr>
      </w:pPr>
    </w:p>
    <w:p w14:paraId="6983F463" w14:textId="77777777" w:rsidR="00BA1BB3" w:rsidRPr="00526681" w:rsidRDefault="00BA1BB3" w:rsidP="00BA1BB3">
      <w:pPr>
        <w:spacing w:after="0" w:line="276" w:lineRule="auto"/>
        <w:jc w:val="both"/>
        <w:rPr>
          <w:rFonts w:ascii="Verdana" w:eastAsia="Calibri" w:hAnsi="Verdana" w:cs="Arial"/>
          <w:lang w:eastAsia="es-ES"/>
        </w:rPr>
      </w:pPr>
      <w:r w:rsidRPr="00526681">
        <w:rPr>
          <w:rFonts w:ascii="Verdana" w:eastAsia="Calibri" w:hAnsi="Verdana" w:cs="Arial"/>
          <w:lang w:eastAsia="es-ES"/>
        </w:rPr>
        <w:t xml:space="preserve">Estimada señora Socha Romero: </w:t>
      </w:r>
    </w:p>
    <w:p w14:paraId="0643596D" w14:textId="77777777" w:rsidR="00BA1BB3" w:rsidRPr="00526681" w:rsidRDefault="00BA1BB3" w:rsidP="00BA1BB3">
      <w:pPr>
        <w:tabs>
          <w:tab w:val="left" w:pos="3768"/>
        </w:tabs>
        <w:spacing w:after="0" w:line="276" w:lineRule="auto"/>
        <w:jc w:val="both"/>
        <w:rPr>
          <w:rFonts w:ascii="Verdana" w:eastAsia="Calibri" w:hAnsi="Verdana" w:cs="Arial"/>
          <w:color w:val="000000" w:themeColor="text1"/>
          <w:lang w:eastAsia="es-ES"/>
        </w:rPr>
      </w:pPr>
      <w:r w:rsidRPr="00526681">
        <w:rPr>
          <w:rFonts w:ascii="Verdana" w:eastAsia="Calibri" w:hAnsi="Verdana" w:cs="Arial"/>
          <w:color w:val="000000" w:themeColor="text1"/>
          <w:lang w:eastAsia="es-ES"/>
        </w:rPr>
        <w:tab/>
      </w:r>
    </w:p>
    <w:p w14:paraId="60CA6DCF" w14:textId="77777777" w:rsidR="00BA1BB3" w:rsidRPr="00526681" w:rsidRDefault="00BA1BB3" w:rsidP="00BA1BB3">
      <w:pPr>
        <w:spacing w:after="120" w:line="276" w:lineRule="auto"/>
        <w:jc w:val="both"/>
        <w:rPr>
          <w:rFonts w:ascii="Verdana" w:eastAsia="Calibri" w:hAnsi="Verdana" w:cs="Arial"/>
          <w:i/>
          <w:iCs/>
          <w:lang w:eastAsia="es-ES"/>
        </w:rPr>
      </w:pPr>
      <w:r w:rsidRPr="00526681">
        <w:rPr>
          <w:rFonts w:ascii="Verdana" w:eastAsia="Calibri" w:hAnsi="Verdana" w:cs="Arial"/>
          <w:color w:val="000000" w:themeColor="text1"/>
          <w:lang w:eastAsia="es-ES"/>
        </w:rPr>
        <w:t>En ejercicio de la competencia otorgada por los artículos 3, numeral 5º, y 11, numeral 8º, del Decreto Ley 4170 de 2011,</w:t>
      </w:r>
      <w:r w:rsidRPr="00526681">
        <w:rPr>
          <w:rFonts w:ascii="Verdana" w:eastAsia="Arial MT" w:hAnsi="Verdana" w:cs="Arial MT"/>
          <w:lang w:eastAsia="es-ES"/>
        </w:rPr>
        <w:t xml:space="preserve"> </w:t>
      </w:r>
      <w:r w:rsidRPr="00526681">
        <w:rPr>
          <w:rFonts w:ascii="Verdana" w:hAnsi="Verdana" w:cs="Arial"/>
        </w:rPr>
        <w:t xml:space="preserve">así como lo establecido en el artículo 4 de la Resolución 1707 de 2018 expedida por esta Entidad, </w:t>
      </w:r>
      <w:r w:rsidRPr="00526681">
        <w:rPr>
          <w:rFonts w:ascii="Verdana" w:eastAsia="Calibri" w:hAnsi="Verdana" w:cs="Arial"/>
          <w:color w:val="000000" w:themeColor="text1"/>
          <w:lang w:eastAsia="es-ES"/>
        </w:rPr>
        <w:t>la Agencia Nacional de Contratación Pública – Colombia Compra Eficiente responde su solicitud del 15</w:t>
      </w:r>
      <w:r w:rsidRPr="00526681">
        <w:rPr>
          <w:rFonts w:ascii="Verdana" w:eastAsia="Calibri" w:hAnsi="Verdana" w:cs="Arial"/>
          <w:lang w:eastAsia="es-ES"/>
        </w:rPr>
        <w:t xml:space="preserve"> de mayo de 2025, en la cual consulta sobre lo siguiente:</w:t>
      </w:r>
      <w:r w:rsidRPr="00526681">
        <w:rPr>
          <w:rFonts w:ascii="Verdana" w:eastAsia="Calibri" w:hAnsi="Verdana" w:cs="Arial"/>
          <w:i/>
          <w:iCs/>
          <w:lang w:eastAsia="es-ES"/>
        </w:rPr>
        <w:t xml:space="preserve"> </w:t>
      </w:r>
      <w:bookmarkStart w:id="1" w:name="_Hlk95313578"/>
    </w:p>
    <w:p w14:paraId="50E3756A" w14:textId="77777777" w:rsidR="00BA1BB3" w:rsidRPr="00526681" w:rsidRDefault="00BA1BB3" w:rsidP="00BA1BB3">
      <w:pPr>
        <w:spacing w:after="0" w:line="276" w:lineRule="auto"/>
        <w:jc w:val="both"/>
        <w:rPr>
          <w:rFonts w:ascii="Verdana" w:eastAsia="Calibri" w:hAnsi="Verdana" w:cs="Arial"/>
          <w:i/>
          <w:iCs/>
          <w:lang w:eastAsia="es-ES"/>
        </w:rPr>
      </w:pPr>
    </w:p>
    <w:bookmarkEnd w:id="1"/>
    <w:p w14:paraId="411C4DD5" w14:textId="77777777" w:rsidR="00BA1BB3" w:rsidRPr="00526681" w:rsidRDefault="00BA1BB3" w:rsidP="00BA1BB3">
      <w:pPr>
        <w:spacing w:after="0" w:line="240" w:lineRule="auto"/>
        <w:ind w:left="709" w:right="618"/>
        <w:jc w:val="both"/>
        <w:rPr>
          <w:rFonts w:ascii="Verdana" w:eastAsia="Arial" w:hAnsi="Verdana" w:cs="Arial"/>
          <w:i/>
          <w:iCs/>
          <w:color w:val="000000"/>
          <w:sz w:val="20"/>
          <w:szCs w:val="20"/>
        </w:rPr>
      </w:pPr>
      <w:r w:rsidRPr="00526681">
        <w:rPr>
          <w:rFonts w:ascii="Verdana" w:eastAsia="Arial" w:hAnsi="Verdana" w:cs="Arial"/>
          <w:i/>
          <w:iCs/>
          <w:color w:val="000000"/>
          <w:sz w:val="20"/>
          <w:szCs w:val="20"/>
        </w:rPr>
        <w:t>“¿Es jurídicamente válida una adenda publicada el mismo día del vencimiento del plazo para presentar ofertas, a no más de 4 minutos de cerrarse el proceso, cuando la norma exige su expedición “a más tardar el día hábil anterior”?</w:t>
      </w:r>
    </w:p>
    <w:p w14:paraId="75E2B48D" w14:textId="77777777" w:rsidR="00BA1BB3" w:rsidRPr="00526681" w:rsidRDefault="00BA1BB3" w:rsidP="00BA1BB3">
      <w:pPr>
        <w:spacing w:after="0" w:line="240" w:lineRule="auto"/>
        <w:ind w:left="709" w:right="618"/>
        <w:jc w:val="both"/>
        <w:rPr>
          <w:rFonts w:ascii="Verdana" w:eastAsia="Arial" w:hAnsi="Verdana" w:cs="Arial"/>
          <w:i/>
          <w:iCs/>
          <w:color w:val="000000"/>
          <w:sz w:val="20"/>
          <w:szCs w:val="20"/>
        </w:rPr>
      </w:pPr>
      <w:r w:rsidRPr="00526681">
        <w:rPr>
          <w:rFonts w:ascii="Verdana" w:eastAsia="Arial" w:hAnsi="Verdana" w:cs="Arial"/>
          <w:i/>
          <w:iCs/>
          <w:color w:val="000000"/>
          <w:sz w:val="20"/>
          <w:szCs w:val="20"/>
        </w:rPr>
        <w:t>¿Puede una entidad modificar un cronograma por contingencia del SECOP II sin que exista una declaratoria formal de falla técnica por parte del administrador del sistema (CCE)?</w:t>
      </w:r>
    </w:p>
    <w:p w14:paraId="15356CB4" w14:textId="77777777" w:rsidR="00BA1BB3" w:rsidRPr="00526681" w:rsidRDefault="00BA1BB3" w:rsidP="00BA1BB3">
      <w:pPr>
        <w:spacing w:after="0" w:line="240" w:lineRule="auto"/>
        <w:ind w:left="709" w:right="618"/>
        <w:jc w:val="both"/>
        <w:rPr>
          <w:rFonts w:ascii="Verdana" w:eastAsia="Arial" w:hAnsi="Verdana" w:cs="Arial"/>
          <w:i/>
          <w:iCs/>
          <w:color w:val="000000"/>
          <w:sz w:val="20"/>
          <w:szCs w:val="20"/>
        </w:rPr>
      </w:pPr>
    </w:p>
    <w:p w14:paraId="3D97E306" w14:textId="77777777" w:rsidR="00BA1BB3" w:rsidRPr="00526681" w:rsidRDefault="00BA1BB3" w:rsidP="00BA1BB3">
      <w:pPr>
        <w:spacing w:after="0" w:line="240" w:lineRule="auto"/>
        <w:ind w:left="709" w:right="618"/>
        <w:jc w:val="both"/>
        <w:rPr>
          <w:rFonts w:ascii="Verdana" w:eastAsia="Arial" w:hAnsi="Verdana" w:cs="Arial"/>
          <w:i/>
          <w:iCs/>
          <w:color w:val="000000"/>
          <w:sz w:val="20"/>
          <w:szCs w:val="20"/>
        </w:rPr>
      </w:pPr>
      <w:r w:rsidRPr="00526681">
        <w:rPr>
          <w:rFonts w:ascii="Verdana" w:eastAsia="Arial" w:hAnsi="Verdana" w:cs="Arial"/>
          <w:i/>
          <w:iCs/>
          <w:color w:val="000000"/>
          <w:sz w:val="20"/>
          <w:szCs w:val="20"/>
        </w:rPr>
        <w:t xml:space="preserve">¿Qué efectos genera para el principio de igualdad y selección objetiva el hecho de que algunos oferentes presenten su oferta sin conocer el método </w:t>
      </w:r>
      <w:r w:rsidRPr="00526681">
        <w:rPr>
          <w:rFonts w:ascii="Verdana" w:eastAsia="Arial" w:hAnsi="Verdana" w:cs="Arial"/>
          <w:i/>
          <w:iCs/>
          <w:color w:val="000000"/>
          <w:sz w:val="20"/>
          <w:szCs w:val="20"/>
        </w:rPr>
        <w:lastRenderedPageBreak/>
        <w:t>de evaluación según la (TRM), mientras que otros sí lo conocen por cuenta de una adenda extemporánea antes de presentar su oferta?</w:t>
      </w:r>
    </w:p>
    <w:p w14:paraId="06ED2869" w14:textId="77777777" w:rsidR="00BA1BB3" w:rsidRPr="00526681" w:rsidRDefault="00BA1BB3" w:rsidP="00BA1BB3">
      <w:pPr>
        <w:spacing w:after="0" w:line="240" w:lineRule="auto"/>
        <w:ind w:left="709" w:right="618"/>
        <w:jc w:val="both"/>
        <w:rPr>
          <w:rFonts w:ascii="Verdana" w:eastAsia="Arial" w:hAnsi="Verdana" w:cs="Arial"/>
          <w:i/>
          <w:iCs/>
          <w:color w:val="000000"/>
          <w:sz w:val="20"/>
          <w:szCs w:val="20"/>
        </w:rPr>
      </w:pPr>
    </w:p>
    <w:p w14:paraId="533405B5" w14:textId="77777777" w:rsidR="00BA1BB3" w:rsidRPr="00526681" w:rsidRDefault="00BA1BB3" w:rsidP="00BA1BB3">
      <w:pPr>
        <w:spacing w:after="0" w:line="240" w:lineRule="auto"/>
        <w:ind w:left="709" w:right="618"/>
        <w:jc w:val="both"/>
        <w:rPr>
          <w:rFonts w:ascii="Verdana" w:hAnsi="Verdana"/>
          <w:sz w:val="20"/>
          <w:szCs w:val="20"/>
        </w:rPr>
      </w:pPr>
      <w:r w:rsidRPr="00526681">
        <w:rPr>
          <w:rFonts w:ascii="Verdana" w:eastAsia="Arial" w:hAnsi="Verdana" w:cs="Arial"/>
          <w:i/>
          <w:iCs/>
          <w:color w:val="000000"/>
          <w:sz w:val="20"/>
          <w:szCs w:val="20"/>
        </w:rPr>
        <w:t>¿Qué recomendaciones u orientaciones tiene Colombia Compra Eficiente para la actuación del comité evaluador y de los órganos de control en este tipo de casos?</w:t>
      </w:r>
      <w:r w:rsidRPr="00526681">
        <w:rPr>
          <w:rFonts w:ascii="Verdana" w:hAnsi="Verdana"/>
          <w:sz w:val="20"/>
          <w:szCs w:val="20"/>
        </w:rPr>
        <w:t>”</w:t>
      </w:r>
    </w:p>
    <w:p w14:paraId="0DCBC820" w14:textId="77777777" w:rsidR="00BA1BB3" w:rsidRPr="00526681" w:rsidRDefault="00BA1BB3" w:rsidP="00BA1BB3">
      <w:pPr>
        <w:spacing w:after="0" w:line="276" w:lineRule="auto"/>
        <w:ind w:left="709" w:right="618"/>
        <w:jc w:val="both"/>
        <w:rPr>
          <w:rFonts w:ascii="Verdana" w:hAnsi="Verdana"/>
          <w:sz w:val="20"/>
          <w:szCs w:val="20"/>
        </w:rPr>
      </w:pPr>
    </w:p>
    <w:p w14:paraId="5DC91F28" w14:textId="77777777" w:rsidR="00BA1BB3" w:rsidRPr="00526681" w:rsidRDefault="00BA1BB3" w:rsidP="00BA1BB3">
      <w:pPr>
        <w:spacing w:after="120" w:line="276" w:lineRule="auto"/>
        <w:ind w:firstLine="709"/>
        <w:jc w:val="both"/>
        <w:rPr>
          <w:rFonts w:ascii="Verdana" w:eastAsia="Calibri" w:hAnsi="Verdana" w:cs="Arial"/>
          <w:color w:val="000000"/>
          <w:lang w:eastAsia="es-ES"/>
        </w:rPr>
      </w:pPr>
      <w:r w:rsidRPr="00526681">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26681">
        <w:rPr>
          <w:rFonts w:ascii="Verdana" w:eastAsia="Calibri" w:hAnsi="Verdana" w:cs="Arial"/>
          <w:color w:val="000000"/>
          <w:szCs w:val="24"/>
          <w:lang w:eastAsia="es-ES_tradnl"/>
        </w:rPr>
        <w:tab/>
      </w:r>
    </w:p>
    <w:p w14:paraId="07BD2FD4" w14:textId="77777777" w:rsidR="00BA1BB3" w:rsidRPr="00526681" w:rsidRDefault="00BA1BB3" w:rsidP="00BA1BB3">
      <w:pPr>
        <w:spacing w:after="0" w:line="276" w:lineRule="auto"/>
        <w:ind w:firstLine="709"/>
        <w:jc w:val="both"/>
        <w:rPr>
          <w:rFonts w:ascii="Verdana" w:eastAsia="Calibri" w:hAnsi="Verdana" w:cs="Arial"/>
          <w:lang w:eastAsia="es-ES"/>
        </w:rPr>
      </w:pPr>
      <w:r w:rsidRPr="00526681">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w:t>
      </w:r>
      <w:r w:rsidRPr="00526681">
        <w:rPr>
          <w:rFonts w:ascii="Verdana" w:eastAsia="Calibri" w:hAnsi="Verdana" w:cs="Arial"/>
          <w:lang w:eastAsia="es-ES"/>
        </w:rPr>
        <w:t xml:space="preserve">esto es, haciendo abstracción de las circunstancias particulares y concretas mencionadas en su petición, pero exponiendo algunas consideraciones sobre las normas generales relacionadas con el problema jurídico propuesto. </w:t>
      </w:r>
    </w:p>
    <w:p w14:paraId="7FE099E0" w14:textId="77777777" w:rsidR="00BA1BB3" w:rsidRPr="00526681" w:rsidRDefault="00BA1BB3" w:rsidP="00BA1BB3">
      <w:pPr>
        <w:spacing w:after="0" w:line="276" w:lineRule="auto"/>
        <w:ind w:firstLine="709"/>
        <w:jc w:val="both"/>
        <w:rPr>
          <w:rFonts w:ascii="Verdana" w:eastAsia="Calibri" w:hAnsi="Verdana" w:cs="Arial"/>
          <w:color w:val="000000"/>
          <w:lang w:eastAsia="es-ES"/>
        </w:rPr>
      </w:pPr>
    </w:p>
    <w:p w14:paraId="667C199D" w14:textId="77777777" w:rsidR="00BA1BB3" w:rsidRPr="00526681" w:rsidRDefault="00BA1BB3" w:rsidP="00BA1BB3">
      <w:pPr>
        <w:numPr>
          <w:ilvl w:val="0"/>
          <w:numId w:val="1"/>
        </w:numPr>
        <w:tabs>
          <w:tab w:val="left" w:pos="142"/>
          <w:tab w:val="left" w:pos="284"/>
        </w:tabs>
        <w:spacing w:after="0" w:line="276" w:lineRule="auto"/>
        <w:contextualSpacing/>
        <w:jc w:val="both"/>
        <w:rPr>
          <w:rFonts w:ascii="Verdana" w:eastAsia="Century Gothic" w:hAnsi="Verdana" w:cs="Century Gothic"/>
          <w:b/>
          <w:bCs/>
        </w:rPr>
      </w:pPr>
      <w:r w:rsidRPr="00526681">
        <w:rPr>
          <w:rFonts w:ascii="Verdana" w:eastAsia="Century Gothic" w:hAnsi="Verdana" w:cs="Century Gothic"/>
          <w:b/>
          <w:bCs/>
        </w:rPr>
        <w:t>Problemas planteados:</w:t>
      </w:r>
    </w:p>
    <w:p w14:paraId="41EF83F6" w14:textId="77777777" w:rsidR="00BA1BB3" w:rsidRPr="00526681" w:rsidRDefault="00BA1BB3" w:rsidP="00BA1BB3">
      <w:pPr>
        <w:tabs>
          <w:tab w:val="left" w:pos="426"/>
        </w:tabs>
        <w:spacing w:after="0" w:line="276" w:lineRule="auto"/>
        <w:jc w:val="both"/>
        <w:rPr>
          <w:rFonts w:ascii="Verdana" w:eastAsia="Century Gothic" w:hAnsi="Verdana" w:cs="Century Gothic"/>
        </w:rPr>
      </w:pPr>
    </w:p>
    <w:p w14:paraId="1CA64BBC" w14:textId="77777777" w:rsidR="00BA1BB3" w:rsidRPr="00526681" w:rsidRDefault="00BA1BB3" w:rsidP="00BA1BB3">
      <w:pPr>
        <w:spacing w:after="0" w:line="276" w:lineRule="auto"/>
        <w:jc w:val="both"/>
        <w:rPr>
          <w:rFonts w:ascii="Verdana" w:eastAsia="Century Gothic" w:hAnsi="Verdana" w:cs="Century Gothic"/>
        </w:rPr>
      </w:pPr>
      <w:r w:rsidRPr="00526681">
        <w:rPr>
          <w:rFonts w:ascii="Verdana" w:eastAsia="Century Gothic" w:hAnsi="Verdana" w:cs="Century Gothic"/>
        </w:rPr>
        <w:t xml:space="preserve">De acuerdo con el contenido de su solicitud, esta Agencia resolverá los siguientes interrogantes: </w:t>
      </w:r>
    </w:p>
    <w:p w14:paraId="32B43D32" w14:textId="77777777" w:rsidR="00BA1BB3" w:rsidRPr="00526681" w:rsidRDefault="00BA1BB3" w:rsidP="00BA1BB3">
      <w:pPr>
        <w:spacing w:after="0" w:line="276" w:lineRule="auto"/>
        <w:jc w:val="both"/>
        <w:rPr>
          <w:rFonts w:ascii="Verdana" w:eastAsia="Century Gothic" w:hAnsi="Verdana" w:cs="Century Gothic"/>
        </w:rPr>
      </w:pPr>
    </w:p>
    <w:p w14:paraId="479C6F18" w14:textId="77777777" w:rsidR="00BA1BB3" w:rsidRPr="00526681" w:rsidRDefault="00BA1BB3" w:rsidP="00BA1BB3">
      <w:pPr>
        <w:spacing w:after="0" w:line="276" w:lineRule="auto"/>
        <w:jc w:val="both"/>
        <w:rPr>
          <w:rFonts w:ascii="Verdana" w:eastAsia="Century Gothic" w:hAnsi="Verdana" w:cs="Century Gothic"/>
        </w:rPr>
      </w:pPr>
      <w:r w:rsidRPr="00526681">
        <w:rPr>
          <w:rFonts w:ascii="Verdana" w:eastAsia="Century Gothic" w:hAnsi="Verdana" w:cs="Century Gothic"/>
        </w:rPr>
        <w:t>1. ¿Cuál es el marco legal y reglamentario vigente aplicable en la expedición de adendas, en el marco de Procesos de Contratación regidos por el EGCAP?</w:t>
      </w:r>
    </w:p>
    <w:p w14:paraId="575ED3F1" w14:textId="77777777" w:rsidR="00BA1BB3" w:rsidRPr="00526681" w:rsidRDefault="00BA1BB3" w:rsidP="00BA1BB3">
      <w:pPr>
        <w:spacing w:after="0" w:line="276" w:lineRule="auto"/>
        <w:jc w:val="both"/>
        <w:rPr>
          <w:rFonts w:ascii="Verdana" w:eastAsia="Century Gothic" w:hAnsi="Verdana" w:cs="Century Gothic"/>
        </w:rPr>
      </w:pPr>
    </w:p>
    <w:p w14:paraId="6BF5B7CA" w14:textId="77777777" w:rsidR="00BA1BB3" w:rsidRPr="00526681" w:rsidRDefault="00BA1BB3" w:rsidP="00BA1BB3">
      <w:pPr>
        <w:spacing w:after="0" w:line="276" w:lineRule="auto"/>
        <w:jc w:val="both"/>
        <w:rPr>
          <w:rFonts w:ascii="Verdana" w:eastAsia="Century Gothic" w:hAnsi="Verdana" w:cs="Century Gothic"/>
        </w:rPr>
      </w:pPr>
      <w:r w:rsidRPr="00526681">
        <w:rPr>
          <w:rFonts w:ascii="Verdana" w:eastAsia="Century Gothic" w:hAnsi="Verdana" w:cs="Century Gothic"/>
        </w:rPr>
        <w:t>2. Con base en el marco normativo expuesto ¿Las Entidades Estatales están facultadas para modificar el cronograma, antes del cierre del proceso de selección, en procesos adelantados por la plataforma SECOP II, ante una falla general o particular en dicha plataforma? ¿Cuáles son las recomendaciones u orientaciones respectivas de esta Agencia ante escenarios en los cuales se presente falla particular en la plataforma SECOP II?</w:t>
      </w:r>
    </w:p>
    <w:p w14:paraId="4C98A828" w14:textId="77777777" w:rsidR="00BA1BB3" w:rsidRPr="00526681" w:rsidRDefault="00BA1BB3" w:rsidP="00BA1BB3">
      <w:pPr>
        <w:spacing w:after="0" w:line="276" w:lineRule="auto"/>
        <w:jc w:val="both"/>
        <w:rPr>
          <w:rFonts w:ascii="Verdana" w:eastAsia="Century Gothic" w:hAnsi="Verdana" w:cs="Century Gothic"/>
        </w:rPr>
      </w:pPr>
    </w:p>
    <w:p w14:paraId="1777F667" w14:textId="77777777" w:rsidR="00BA1BB3" w:rsidRPr="00526681" w:rsidRDefault="00BA1BB3" w:rsidP="00BA1BB3">
      <w:pPr>
        <w:spacing w:after="0" w:line="276" w:lineRule="auto"/>
        <w:jc w:val="both"/>
        <w:rPr>
          <w:rFonts w:ascii="Verdana" w:eastAsia="Century Gothic" w:hAnsi="Verdana" w:cs="Century Gothic"/>
        </w:rPr>
      </w:pPr>
      <w:r w:rsidRPr="00526681">
        <w:rPr>
          <w:rFonts w:ascii="Verdana" w:eastAsia="Century Gothic" w:hAnsi="Verdana" w:cs="Century Gothic"/>
        </w:rPr>
        <w:t>3. ¿La expedición de adendas por fuera del término legal establecido vulnera los principios de la contratación estatal? ¿Cuáles son las recomendaciones u orientaciones respectivas de esta Agencia ante dichos escenarios?</w:t>
      </w:r>
    </w:p>
    <w:p w14:paraId="70348829" w14:textId="77777777" w:rsidR="00BA1BB3" w:rsidRPr="00526681" w:rsidRDefault="00BA1BB3" w:rsidP="00BA1BB3">
      <w:pPr>
        <w:spacing w:after="0" w:line="276" w:lineRule="auto"/>
        <w:jc w:val="both"/>
        <w:rPr>
          <w:rFonts w:ascii="Verdana" w:eastAsia="Century Gothic" w:hAnsi="Verdana" w:cs="Century Gothic"/>
        </w:rPr>
      </w:pPr>
    </w:p>
    <w:p w14:paraId="2A587652" w14:textId="77777777" w:rsidR="00BA1BB3" w:rsidRPr="00526681" w:rsidRDefault="00BA1BB3" w:rsidP="00BA1BB3">
      <w:pPr>
        <w:numPr>
          <w:ilvl w:val="0"/>
          <w:numId w:val="1"/>
        </w:numPr>
        <w:tabs>
          <w:tab w:val="left" w:pos="142"/>
          <w:tab w:val="left" w:pos="284"/>
        </w:tabs>
        <w:spacing w:after="0" w:line="276" w:lineRule="auto"/>
        <w:jc w:val="both"/>
        <w:rPr>
          <w:rFonts w:ascii="Verdana" w:eastAsia="Century Gothic" w:hAnsi="Verdana" w:cs="Century Gothic"/>
          <w:b/>
          <w:bCs/>
        </w:rPr>
      </w:pPr>
      <w:r w:rsidRPr="00526681">
        <w:rPr>
          <w:rFonts w:ascii="Verdana" w:eastAsia="Century Gothic" w:hAnsi="Verdana" w:cs="Century Gothic"/>
          <w:b/>
          <w:bCs/>
        </w:rPr>
        <w:t>Respuestas:</w:t>
      </w:r>
    </w:p>
    <w:p w14:paraId="1EBFF125" w14:textId="77777777" w:rsidR="00BA1BB3" w:rsidRPr="00526681" w:rsidRDefault="00BA1BB3" w:rsidP="00BA1BB3">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A1BB3" w:rsidRPr="00526681" w14:paraId="4CF9D603" w14:textId="77777777" w:rsidTr="00373891">
        <w:trPr>
          <w:jc w:val="center"/>
        </w:trPr>
        <w:tc>
          <w:tcPr>
            <w:tcW w:w="8828" w:type="dxa"/>
            <w:shd w:val="clear" w:color="auto" w:fill="auto"/>
          </w:tcPr>
          <w:p w14:paraId="4492EB9D" w14:textId="77777777" w:rsidR="00BA1BB3" w:rsidRPr="00526681" w:rsidRDefault="00BA1BB3" w:rsidP="00373891">
            <w:pPr>
              <w:spacing w:after="120" w:line="276" w:lineRule="auto"/>
              <w:jc w:val="both"/>
              <w:rPr>
                <w:rFonts w:ascii="Verdana" w:eastAsia="Calibri" w:hAnsi="Verdana" w:cs="Arial"/>
                <w:sz w:val="21"/>
                <w:szCs w:val="21"/>
              </w:rPr>
            </w:pPr>
            <w:bookmarkStart w:id="2" w:name="_Hlk171694685"/>
            <w:r w:rsidRPr="00526681">
              <w:rPr>
                <w:rFonts w:ascii="Verdana" w:eastAsia="Calibri" w:hAnsi="Verdana" w:cs="Arial"/>
                <w:b/>
                <w:bCs/>
                <w:color w:val="000000" w:themeColor="text1"/>
              </w:rPr>
              <w:t>1.</w:t>
            </w:r>
            <w:r w:rsidRPr="00526681">
              <w:rPr>
                <w:rFonts w:ascii="Verdana" w:eastAsia="Calibri" w:hAnsi="Verdana" w:cs="Arial"/>
                <w:color w:val="000000" w:themeColor="text1"/>
              </w:rPr>
              <w:t xml:space="preserve"> De acuerdo con el ámbito de competencia de esta Agencia, precisado al inicio de las consideraciones, de conformidad con el artículo 30, numeral 5, de la Ley 80 de 1993 y el artículo 2.2.1.1.2.2.1. del Decreto 1082 de 2015, </w:t>
            </w:r>
            <w:r w:rsidRPr="00526681">
              <w:rPr>
                <w:rFonts w:ascii="Verdana" w:eastAsia="Arial" w:hAnsi="Verdana" w:cs="Arial"/>
                <w:lang w:eastAsia="es-ES" w:bidi="es-ES"/>
              </w:rPr>
              <w:t xml:space="preserve">existen </w:t>
            </w:r>
            <w:r w:rsidRPr="00526681">
              <w:rPr>
                <w:rFonts w:ascii="Verdana" w:eastAsia="Calibri" w:hAnsi="Verdana" w:cs="Arial"/>
              </w:rPr>
              <w:t xml:space="preserve">dos (2) tipos de ajustes que pueden dar lugar a la expedición de adendas: i) los referidos a las condiciones técnicas, jurídicas y económicas del pliego definitivo y, en general, a cualquier contenido distinto del cronograma del procedimiento de selección y </w:t>
            </w:r>
            <w:proofErr w:type="spellStart"/>
            <w:r w:rsidRPr="00526681">
              <w:rPr>
                <w:rFonts w:ascii="Verdana" w:eastAsia="Calibri" w:hAnsi="Verdana" w:cs="Arial"/>
              </w:rPr>
              <w:t>ii</w:t>
            </w:r>
            <w:proofErr w:type="spellEnd"/>
            <w:r w:rsidRPr="00526681">
              <w:rPr>
                <w:rFonts w:ascii="Verdana" w:eastAsia="Calibri" w:hAnsi="Verdana" w:cs="Arial"/>
              </w:rPr>
              <w:t xml:space="preserve">)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526681">
              <w:rPr>
                <w:rFonts w:ascii="Verdana" w:eastAsia="Calibri" w:hAnsi="Verdana" w:cs="Arial"/>
                <w:sz w:val="21"/>
                <w:szCs w:val="21"/>
              </w:rPr>
              <w:t xml:space="preserve">2.2.1.1.2.2.1. </w:t>
            </w:r>
            <w:proofErr w:type="spellStart"/>
            <w:r w:rsidRPr="00526681">
              <w:rPr>
                <w:rFonts w:ascii="Verdana" w:eastAsia="Calibri" w:hAnsi="Verdana" w:cs="Arial"/>
                <w:i/>
                <w:iCs/>
                <w:sz w:val="21"/>
                <w:szCs w:val="21"/>
              </w:rPr>
              <w:t>ejusdem</w:t>
            </w:r>
            <w:proofErr w:type="spellEnd"/>
            <w:r w:rsidRPr="00526681">
              <w:rPr>
                <w:rFonts w:ascii="Verdana" w:eastAsia="Calibri" w:hAnsi="Verdana" w:cs="Arial"/>
                <w:sz w:val="21"/>
                <w:szCs w:val="21"/>
              </w:rPr>
              <w:t>.</w:t>
            </w:r>
          </w:p>
          <w:p w14:paraId="5365B156" w14:textId="77777777" w:rsidR="00BA1BB3" w:rsidRPr="00526681" w:rsidRDefault="00BA1BB3" w:rsidP="00373891">
            <w:pPr>
              <w:spacing w:after="120" w:line="276" w:lineRule="auto"/>
              <w:ind w:firstLine="708"/>
              <w:jc w:val="both"/>
              <w:textAlignment w:val="baseline"/>
              <w:rPr>
                <w:rFonts w:ascii="Verdana" w:hAnsi="Verdana" w:cs="Arial"/>
                <w:lang w:eastAsia="es-CO"/>
              </w:rPr>
            </w:pPr>
            <w:r w:rsidRPr="00526681">
              <w:rPr>
                <w:rFonts w:ascii="Verdana" w:hAnsi="Verdana" w:cs="Arial"/>
                <w:lang w:eastAsia="es-CO"/>
              </w:rPr>
              <w:t xml:space="preserve">Como se observa, tanto para la licitación pública, como para los demás procedimientos de selección de contratistas, las normas legales y reglamentarias prevén la posibilidad de modificar los pliegos de condiciones mediante </w:t>
            </w:r>
            <w:r w:rsidRPr="00526681">
              <w:rPr>
                <w:rFonts w:ascii="Verdana" w:hAnsi="Verdana" w:cs="Arial"/>
                <w:i/>
                <w:iCs/>
                <w:lang w:eastAsia="es-CO"/>
              </w:rPr>
              <w:t>adendas</w:t>
            </w:r>
            <w:r w:rsidRPr="00526681">
              <w:rPr>
                <w:rFonts w:ascii="Verdana" w:hAnsi="Verdana" w:cs="Arial"/>
                <w:lang w:eastAsia="es-CO"/>
              </w:rPr>
              <w:t xml:space="preserve">. </w:t>
            </w:r>
          </w:p>
          <w:p w14:paraId="7F511F22" w14:textId="77777777" w:rsidR="00BA1BB3" w:rsidRPr="00526681" w:rsidRDefault="00BA1BB3" w:rsidP="00373891">
            <w:pPr>
              <w:spacing w:after="120" w:line="276" w:lineRule="auto"/>
              <w:ind w:firstLine="708"/>
              <w:jc w:val="both"/>
              <w:textAlignment w:val="baseline"/>
              <w:rPr>
                <w:rFonts w:ascii="Verdana" w:hAnsi="Verdana" w:cs="Arial"/>
                <w:lang w:eastAsia="es-CO"/>
              </w:rPr>
            </w:pPr>
            <w:r w:rsidRPr="00526681">
              <w:rPr>
                <w:rFonts w:ascii="Verdana" w:hAnsi="Verdana" w:cs="Arial"/>
                <w:lang w:eastAsia="es-CO"/>
              </w:rPr>
              <w:t xml:space="preserve">No obstante, respecto de las adendas proferidas antes del cierre del proceso, es claro que existen ciertos límites temporales para la expedición y publicación de las adendas. En primer lugar, es necesario que las mismas se publiquen entre las 7:00 am y las 7:00 pm de un día hábil. En segundo lugar, esta publicación debe realizarse a más tardar el día hábil anterior al vencimiento del plazo para presentar ofertas “a la hora fijada para tal presentación”. Así, a modo de ejemplo, si el plazo para presentar ofertas –cierre del proceso– venciera a las 3:00 pm del jueves 22 de octubre, el plazo para publicar adendas terminaría a las 3:00 pm del miércoles 21 de octubre. En tercer lugar, existe una regla de excepción que deriva directamente del artículo 30-5 de la Ley 80 de 1993, y se reitera en la norma citada del Decreto </w:t>
            </w:r>
            <w:r w:rsidRPr="00526681">
              <w:rPr>
                <w:rFonts w:ascii="Verdana" w:hAnsi="Verdana" w:cs="Arial"/>
                <w:lang w:eastAsia="es-CO"/>
              </w:rPr>
              <w:lastRenderedPageBreak/>
              <w:t xml:space="preserve">1082 de 2015, para la licitación pública, donde las adendas </w:t>
            </w:r>
            <w:r w:rsidRPr="00526681">
              <w:rPr>
                <w:rFonts w:ascii="Verdana" w:eastAsia="Arial" w:hAnsi="Verdana" w:cs="Arial"/>
                <w:lang w:eastAsia="es-ES" w:bidi="es-ES"/>
              </w:rPr>
              <w:t>no podrán expedirse dentro de los tres (3) días hábiles anteriores en que se tiene previsto el cierre del proceso de selección, sino que deberán expedirse antes de dicho momento.</w:t>
            </w:r>
            <w:r w:rsidRPr="00526681">
              <w:rPr>
                <w:rFonts w:ascii="Verdana" w:hAnsi="Verdana" w:cs="Arial"/>
                <w:lang w:eastAsia="es-CO"/>
              </w:rPr>
              <w:t xml:space="preserve"> </w:t>
            </w:r>
          </w:p>
          <w:p w14:paraId="662454F5" w14:textId="77777777" w:rsidR="00BA1BB3" w:rsidRPr="00526681" w:rsidRDefault="00BA1BB3" w:rsidP="00373891">
            <w:pPr>
              <w:spacing w:after="120" w:line="276" w:lineRule="auto"/>
              <w:ind w:firstLine="708"/>
              <w:jc w:val="both"/>
              <w:textAlignment w:val="baseline"/>
              <w:rPr>
                <w:rFonts w:ascii="Verdana" w:hAnsi="Verdana" w:cs="Arial"/>
                <w:lang w:eastAsia="es-CO"/>
              </w:rPr>
            </w:pPr>
            <w:r w:rsidRPr="00526681">
              <w:rPr>
                <w:rFonts w:ascii="Verdana" w:hAnsi="Verdana" w:cs="Arial"/>
                <w:lang w:eastAsia="es-CO"/>
              </w:rPr>
              <w:t xml:space="preserve">En ese orden de ideas, las normas prevén dos límites temporales para la publicación de las adendas: i) 3 días hábiles antes del vencimiento del plazo para presentar ofertas para la licitación pública y </w:t>
            </w:r>
            <w:proofErr w:type="spellStart"/>
            <w:r w:rsidRPr="00526681">
              <w:rPr>
                <w:rFonts w:ascii="Verdana" w:hAnsi="Verdana" w:cs="Arial"/>
                <w:lang w:eastAsia="es-CO"/>
              </w:rPr>
              <w:t>ii</w:t>
            </w:r>
            <w:proofErr w:type="spellEnd"/>
            <w:r w:rsidRPr="00526681">
              <w:rPr>
                <w:rFonts w:ascii="Verdana" w:hAnsi="Verdana" w:cs="Arial"/>
                <w:lang w:eastAsia="es-CO"/>
              </w:rPr>
              <w:t xml:space="preserve">) un día hábil antes del vencimiento del plazo para presentar ofertas para las demás modalidades de selección.  </w:t>
            </w:r>
          </w:p>
          <w:p w14:paraId="1ADC33B7" w14:textId="77777777" w:rsidR="00BA1BB3" w:rsidRPr="00526681" w:rsidRDefault="00BA1BB3" w:rsidP="00373891">
            <w:pPr>
              <w:spacing w:after="120" w:line="276" w:lineRule="auto"/>
              <w:ind w:firstLine="708"/>
              <w:jc w:val="both"/>
              <w:rPr>
                <w:rFonts w:ascii="Verdana" w:hAnsi="Verdana" w:cs="Arial"/>
                <w:lang w:eastAsia="es-CO"/>
              </w:rPr>
            </w:pPr>
            <w:r w:rsidRPr="00526681">
              <w:rPr>
                <w:rFonts w:ascii="Verdana" w:hAnsi="Verdana" w:cs="Arial"/>
                <w:lang w:eastAsia="es-CO"/>
              </w:rPr>
              <w:t>Quiere decir lo anterior que, para las modalidades de selección de contratistas distintas de la licitación, la entidad estatal debe respetar el término del artículo 2.2.1.1.2.2.1, y, por ende, solo puede expedir y publicar adendas a más tardar el día hábil anterior hasta la hora fijada para la presentación de las ofertas del día hábil siguiente, como se explicó anteriormente.</w:t>
            </w:r>
          </w:p>
          <w:p w14:paraId="0CB8BEDD" w14:textId="77777777" w:rsidR="00BA1BB3" w:rsidRPr="00526681" w:rsidRDefault="00BA1BB3" w:rsidP="00373891">
            <w:pPr>
              <w:spacing w:after="120" w:line="276" w:lineRule="auto"/>
              <w:ind w:firstLine="708"/>
              <w:jc w:val="both"/>
              <w:textAlignment w:val="baseline"/>
              <w:rPr>
                <w:rFonts w:ascii="Verdana" w:eastAsia="Calibri" w:hAnsi="Verdana" w:cs="Arial"/>
                <w:bCs/>
                <w:color w:val="000000"/>
                <w:lang w:eastAsia="es-CO"/>
              </w:rPr>
            </w:pPr>
            <w:r w:rsidRPr="00526681">
              <w:rPr>
                <w:rFonts w:ascii="Verdana" w:hAnsi="Verdana" w:cs="Arial"/>
                <w:lang w:eastAsia="es-CO"/>
              </w:rPr>
              <w:t>En conclusión, para las modalidades de selección de contratistas distintas de la licitación pública, la entidad estatal debe respetar el término del artículo 2.2.1.1.2.2.1 y, por ende, solo puede expedir y publicar adendas a más tardar el día hábil anterior, hasta la hora fijada para la presentación de las ofertas del día hábil siguiente –esto es, del cierre del proceso–. Además de lo anterior, de acuerdo con dicha disposición las adendas deben publicarse en días hábiles, entre las 7:00 a. m. y las 7:00 p. m. Finalmente, conviene precisar que las exigencias anteriores también aplican para los procesos de mínima cuantía, de acuerdo con el numeral 4 del artículo 2.2.1.2.1.5.2. del Decreto 1082 de 2015 –modificado por el Decreto 1860 de 2021–.</w:t>
            </w:r>
            <w:r w:rsidRPr="00526681">
              <w:rPr>
                <w:rFonts w:ascii="Verdana" w:eastAsia="Calibri" w:hAnsi="Verdana" w:cs="Arial"/>
                <w:bCs/>
                <w:color w:val="000000"/>
                <w:lang w:eastAsia="es-CO"/>
              </w:rPr>
              <w:t xml:space="preserve">  </w:t>
            </w:r>
          </w:p>
          <w:p w14:paraId="267ECD6C" w14:textId="77777777" w:rsidR="00BA1BB3" w:rsidRPr="00526681" w:rsidRDefault="00BA1BB3" w:rsidP="00373891">
            <w:pPr>
              <w:spacing w:after="160" w:line="276" w:lineRule="auto"/>
              <w:ind w:firstLine="708"/>
              <w:jc w:val="both"/>
              <w:textAlignment w:val="baseline"/>
              <w:rPr>
                <w:rFonts w:ascii="Verdana" w:eastAsia="Calibri" w:hAnsi="Verdana" w:cs="Arial"/>
                <w:b/>
                <w:color w:val="000000"/>
                <w:lang w:eastAsia="es-CO"/>
              </w:rPr>
            </w:pPr>
            <w:r w:rsidRPr="00526681">
              <w:rPr>
                <w:rFonts w:ascii="Verdana" w:eastAsia="Calibri" w:hAnsi="Verdana" w:cs="Arial"/>
                <w:b/>
                <w:color w:val="000000"/>
                <w:lang w:eastAsia="es-CO"/>
              </w:rPr>
              <w:t xml:space="preserve">2. </w:t>
            </w:r>
            <w:r w:rsidRPr="00526681">
              <w:rPr>
                <w:rFonts w:ascii="Verdana" w:eastAsia="Calibri" w:hAnsi="Verdana" w:cs="Arial"/>
                <w:bCs/>
                <w:color w:val="000000"/>
                <w:lang w:eastAsia="es-CO"/>
              </w:rPr>
              <w:t xml:space="preserve">Para aquellos Procesos de Contratación que se gestionen en la plataforma SECOP II, y en el evento en que se presenten fallas generales o particulares que impidan el normal desarrollo de las distintas etapas, existen recomendaciones y orientaciones para la Entidad Estatal y el Oferente o Proveedor. En ese sentido, le invitamos a consultar la repuesta elaborada por la Subdirección de Información y Desarrollo Tecnológico y adjunta a la presente respuesta, donde se aborda el tema sobre Protocolo de Indisponibilidad y define de manera particular y concreta el procedimiento que deben adelantar dichos partícipes, ante el escenario descrito en su consulta. </w:t>
            </w:r>
          </w:p>
          <w:p w14:paraId="699B775B" w14:textId="77777777" w:rsidR="00BA1BB3" w:rsidRPr="00526681" w:rsidRDefault="00BA1BB3" w:rsidP="00373891">
            <w:pPr>
              <w:spacing w:after="160" w:line="276" w:lineRule="auto"/>
              <w:ind w:firstLine="708"/>
              <w:jc w:val="both"/>
              <w:textAlignment w:val="baseline"/>
              <w:rPr>
                <w:rFonts w:ascii="Verdana" w:hAnsi="Verdana" w:cs="Arial"/>
                <w:lang w:eastAsia="es-CO"/>
              </w:rPr>
            </w:pPr>
            <w:r w:rsidRPr="00526681">
              <w:rPr>
                <w:rFonts w:ascii="Verdana" w:eastAsia="Calibri" w:hAnsi="Verdana" w:cs="Arial"/>
                <w:b/>
                <w:color w:val="000000"/>
                <w:lang w:eastAsia="es-CO"/>
              </w:rPr>
              <w:t xml:space="preserve">3. </w:t>
            </w:r>
            <w:r w:rsidRPr="00526681">
              <w:rPr>
                <w:rFonts w:ascii="Verdana" w:hAnsi="Verdana" w:cs="Arial"/>
                <w:lang w:eastAsia="es-CO"/>
              </w:rPr>
              <w:t xml:space="preserve">Explicado el contexto anterior, se entiende que el cumplimiento de las reglas dispuestas para la expedición de adendas antes del cierre del </w:t>
            </w:r>
            <w:r w:rsidRPr="00526681">
              <w:rPr>
                <w:rFonts w:ascii="Verdana" w:hAnsi="Verdana" w:cs="Arial"/>
                <w:lang w:eastAsia="es-CO"/>
              </w:rPr>
              <w:lastRenderedPageBreak/>
              <w:t>proceso de selección garantiza que las actuaciones de la Administración se ajusten y observen los principios que rigen en la gestión contractual del Estado. En ese orden, la expedición de adendas por fuera del término de los plazos establecidos en el artículo 2.2.1.1.2.2.1 del Decreto 1082 de 2015, en el marco de un proceso de selección contractual, desconoce los principios de transparencia y economía que rigen la contratación estatal, en la medida en que introduce alteraciones sustanciales en las condiciones del proceso sin garantizar condiciones objetivas, predecibles y equitativas para todos los interesados.</w:t>
            </w:r>
          </w:p>
          <w:p w14:paraId="0C3ED712" w14:textId="77777777" w:rsidR="00BA1BB3" w:rsidRPr="00583191" w:rsidRDefault="00BA1BB3" w:rsidP="00373891">
            <w:pPr>
              <w:spacing w:after="160" w:line="276" w:lineRule="auto"/>
              <w:ind w:firstLine="708"/>
              <w:jc w:val="both"/>
              <w:textAlignment w:val="baseline"/>
              <w:rPr>
                <w:rFonts w:ascii="Verdana" w:hAnsi="Verdana" w:cs="Arial"/>
                <w:lang w:eastAsia="es-CO"/>
              </w:rPr>
            </w:pPr>
            <w:r w:rsidRPr="00583191">
              <w:rPr>
                <w:rFonts w:ascii="Verdana" w:hAnsi="Verdana" w:cs="Arial"/>
                <w:lang w:eastAsia="es-CO"/>
              </w:rPr>
              <w:t xml:space="preserve">En efecto, el marco normativo vigente establece plazos perentorios para la modificación del pliego de condiciones mediante adendas, como expresión concreta de los principios de planeación, publicidad y libre concurrencia. </w:t>
            </w:r>
            <w:r w:rsidRPr="00526681">
              <w:rPr>
                <w:rFonts w:ascii="Verdana" w:hAnsi="Verdana" w:cs="Arial"/>
                <w:lang w:eastAsia="es-CO"/>
              </w:rPr>
              <w:t>De manera que e</w:t>
            </w:r>
            <w:r w:rsidRPr="00583191">
              <w:rPr>
                <w:rFonts w:ascii="Verdana" w:hAnsi="Verdana" w:cs="Arial"/>
                <w:lang w:eastAsia="es-CO"/>
              </w:rPr>
              <w:t xml:space="preserve">l desconocimiento de dichos plazos, incluso cuando obedezca a razones operativas o de buena fe, puede comprometer la igualdad de oportunidades entre los oferentes y afectar la adecuada preparación de las ofertas, lo que se traduce en una afectación a la eficiencia del proceso </w:t>
            </w:r>
            <w:r w:rsidRPr="00526681">
              <w:rPr>
                <w:rFonts w:ascii="Verdana" w:hAnsi="Verdana" w:cs="Arial"/>
                <w:lang w:eastAsia="es-CO"/>
              </w:rPr>
              <w:t>(</w:t>
            </w:r>
            <w:r w:rsidRPr="00583191">
              <w:rPr>
                <w:rFonts w:ascii="Verdana" w:hAnsi="Verdana" w:cs="Arial"/>
                <w:lang w:eastAsia="es-CO"/>
              </w:rPr>
              <w:t>principio de economía) y a su integridad procedimental (principio de transparencia).</w:t>
            </w:r>
          </w:p>
          <w:p w14:paraId="61CD8E6D" w14:textId="77777777" w:rsidR="00BA1BB3" w:rsidRPr="00583191" w:rsidRDefault="00BA1BB3" w:rsidP="00373891">
            <w:pPr>
              <w:spacing w:after="160" w:line="276" w:lineRule="auto"/>
              <w:ind w:firstLine="708"/>
              <w:jc w:val="both"/>
              <w:textAlignment w:val="baseline"/>
              <w:rPr>
                <w:rFonts w:ascii="Verdana" w:hAnsi="Verdana" w:cs="Arial"/>
                <w:lang w:eastAsia="es-CO"/>
              </w:rPr>
            </w:pPr>
            <w:r w:rsidRPr="00583191">
              <w:rPr>
                <w:rFonts w:ascii="Verdana" w:hAnsi="Verdana" w:cs="Arial"/>
                <w:lang w:eastAsia="es-CO"/>
              </w:rPr>
              <w:t>Desde una perspectiva sistémica</w:t>
            </w:r>
            <w:r w:rsidRPr="00526681">
              <w:rPr>
                <w:rFonts w:ascii="Verdana" w:hAnsi="Verdana" w:cs="Arial"/>
                <w:lang w:eastAsia="es-CO"/>
              </w:rPr>
              <w:t xml:space="preserve"> y axiológica</w:t>
            </w:r>
            <w:r w:rsidRPr="00583191">
              <w:rPr>
                <w:rFonts w:ascii="Verdana" w:hAnsi="Verdana" w:cs="Arial"/>
                <w:lang w:eastAsia="es-CO"/>
              </w:rPr>
              <w:t>, la oportunidad en la expedición de adendas no es una formalidad vacía, sino una garantía mínima del debido proceso en la contratación pública. La publicación extemporánea de modificaciones, al no permitir que todos los interesados accedan en condiciones de equidad a la nueva información, distorsiona el escenario competitivo y mina la confianza en la administración pública, contrariando así el fin último del EGCAP: asegurar la selección objetiva del contratista que ofrezca las mejores condiciones para el interés general.</w:t>
            </w:r>
          </w:p>
          <w:p w14:paraId="25DDD0FA" w14:textId="77777777" w:rsidR="00BA1BB3" w:rsidRPr="00526681" w:rsidRDefault="00BA1BB3" w:rsidP="00373891">
            <w:pPr>
              <w:spacing w:after="160" w:line="276" w:lineRule="auto"/>
              <w:ind w:firstLine="708"/>
              <w:jc w:val="both"/>
              <w:textAlignment w:val="baseline"/>
              <w:rPr>
                <w:rFonts w:ascii="Verdana" w:hAnsi="Verdana" w:cs="Arial"/>
                <w:lang w:eastAsia="es-CO"/>
              </w:rPr>
            </w:pPr>
            <w:r w:rsidRPr="00583191">
              <w:rPr>
                <w:rFonts w:ascii="Verdana" w:hAnsi="Verdana" w:cs="Arial"/>
                <w:lang w:eastAsia="es-CO"/>
              </w:rPr>
              <w:t>Por tanto, la observancia estricta de los plazos para la expedición de adendas no solo es un requisito legal, sino también una manifestación sustancial de los principios que estructuran el régimen de contratación pública, cuya inobservancia debe analizarse con rigor, incluso cuando no haya una afectación concreta al resultado del proceso, ya que el juicio sobre su legalidad y legitimidad también se proyecta sobre su diseño y ejecución procedimental.</w:t>
            </w:r>
          </w:p>
          <w:p w14:paraId="49A6D771" w14:textId="77777777" w:rsidR="00BA1BB3" w:rsidRPr="00526681" w:rsidRDefault="00BA1BB3" w:rsidP="00373891">
            <w:pPr>
              <w:spacing w:after="160" w:line="276" w:lineRule="auto"/>
              <w:ind w:firstLine="708"/>
              <w:jc w:val="both"/>
              <w:textAlignment w:val="baseline"/>
              <w:rPr>
                <w:rFonts w:ascii="Verdana" w:hAnsi="Verdana" w:cs="Arial"/>
              </w:rPr>
            </w:pPr>
            <w:r w:rsidRPr="00526681">
              <w:rPr>
                <w:rFonts w:ascii="Verdana" w:hAnsi="Verdana" w:cs="Arial"/>
                <w:lang w:eastAsia="es-CO"/>
              </w:rPr>
              <w:t xml:space="preserve">Ahora bien, esta Agencia, en su función orientadora, recomienda a las Entidades Estatales que, </w:t>
            </w:r>
            <w:r w:rsidRPr="00526681">
              <w:rPr>
                <w:rFonts w:ascii="Verdana" w:hAnsi="Verdana" w:cs="Arial"/>
              </w:rPr>
              <w:t xml:space="preserve">en todos los Procesos de Contratación, observen rigurosamente los términos establecidos en el artículo 2.2.1.1.2.2.1 del </w:t>
            </w:r>
            <w:r w:rsidRPr="00526681">
              <w:rPr>
                <w:rFonts w:ascii="Verdana" w:hAnsi="Verdana" w:cs="Arial"/>
              </w:rPr>
              <w:lastRenderedPageBreak/>
              <w:t>Decreto 1082 de 2015 para la expedición de adendas, como garantía esencial de los principios de planeación, transparencia, economía y libre concurrencia.</w:t>
            </w:r>
          </w:p>
          <w:p w14:paraId="20A3F4FA" w14:textId="77777777" w:rsidR="00BA1BB3" w:rsidRPr="00526681" w:rsidRDefault="00BA1BB3" w:rsidP="00373891">
            <w:pPr>
              <w:spacing w:after="160" w:line="276" w:lineRule="auto"/>
              <w:ind w:firstLine="708"/>
              <w:jc w:val="both"/>
              <w:textAlignment w:val="baseline"/>
              <w:rPr>
                <w:rFonts w:ascii="Verdana" w:eastAsia="Calibri" w:hAnsi="Verdana" w:cs="Arial"/>
                <w:b/>
                <w:color w:val="000000"/>
                <w:lang w:eastAsia="es-CO"/>
              </w:rPr>
            </w:pPr>
            <w:r w:rsidRPr="00C94579">
              <w:rPr>
                <w:rFonts w:ascii="Verdana" w:hAnsi="Verdana" w:cs="Arial"/>
                <w:lang w:eastAsia="es-CO"/>
              </w:rPr>
              <w:t xml:space="preserve">La modificación de los </w:t>
            </w:r>
            <w:r w:rsidRPr="00526681">
              <w:rPr>
                <w:rFonts w:ascii="Verdana" w:hAnsi="Verdana" w:cs="Arial"/>
                <w:lang w:eastAsia="es-CO"/>
              </w:rPr>
              <w:t>D</w:t>
            </w:r>
            <w:r w:rsidRPr="00C94579">
              <w:rPr>
                <w:rFonts w:ascii="Verdana" w:hAnsi="Verdana" w:cs="Arial"/>
                <w:lang w:eastAsia="es-CO"/>
              </w:rPr>
              <w:t xml:space="preserve">ocumentos del </w:t>
            </w:r>
            <w:r w:rsidRPr="00526681">
              <w:rPr>
                <w:rFonts w:ascii="Verdana" w:hAnsi="Verdana" w:cs="Arial"/>
                <w:lang w:eastAsia="es-CO"/>
              </w:rPr>
              <w:t>P</w:t>
            </w:r>
            <w:r w:rsidRPr="00C94579">
              <w:rPr>
                <w:rFonts w:ascii="Verdana" w:hAnsi="Verdana" w:cs="Arial"/>
                <w:lang w:eastAsia="es-CO"/>
              </w:rPr>
              <w:t xml:space="preserve">roceso por fuera de los plazos legalmente previstos puede comprometer la validez del procedimiento y vulnerar garantías procedimentales fundamentales para los interesados, afectando su derecho a participar en igualdad de condiciones. </w:t>
            </w:r>
          </w:p>
        </w:tc>
      </w:tr>
    </w:tbl>
    <w:p w14:paraId="27941DF6" w14:textId="77777777" w:rsidR="00BA1BB3" w:rsidRPr="00526681" w:rsidRDefault="00BA1BB3" w:rsidP="00BA1BB3">
      <w:pPr>
        <w:tabs>
          <w:tab w:val="left" w:pos="142"/>
          <w:tab w:val="left" w:pos="284"/>
        </w:tabs>
        <w:spacing w:after="0" w:line="276" w:lineRule="auto"/>
        <w:jc w:val="both"/>
        <w:rPr>
          <w:rFonts w:ascii="Verdana" w:eastAsia="Century Gothic" w:hAnsi="Verdana" w:cs="Century Gothic"/>
          <w:b/>
          <w:bCs/>
        </w:rPr>
      </w:pPr>
    </w:p>
    <w:bookmarkEnd w:id="2"/>
    <w:p w14:paraId="784E3D48" w14:textId="77777777" w:rsidR="00BA1BB3" w:rsidRPr="00526681" w:rsidRDefault="00BA1BB3" w:rsidP="00BA1BB3">
      <w:pPr>
        <w:numPr>
          <w:ilvl w:val="0"/>
          <w:numId w:val="1"/>
        </w:numPr>
        <w:tabs>
          <w:tab w:val="left" w:pos="142"/>
          <w:tab w:val="left" w:pos="284"/>
        </w:tabs>
        <w:spacing w:after="0" w:line="276" w:lineRule="auto"/>
        <w:jc w:val="both"/>
        <w:rPr>
          <w:rFonts w:ascii="Verdana" w:eastAsia="Century Gothic" w:hAnsi="Verdana" w:cs="Century Gothic"/>
          <w:b/>
          <w:bCs/>
        </w:rPr>
      </w:pPr>
      <w:r w:rsidRPr="00526681">
        <w:rPr>
          <w:rFonts w:ascii="Verdana" w:eastAsia="Century Gothic" w:hAnsi="Verdana" w:cs="Century Gothic"/>
          <w:b/>
          <w:bCs/>
        </w:rPr>
        <w:t>Razones de las respuestas:</w:t>
      </w:r>
    </w:p>
    <w:p w14:paraId="6C91E7F8" w14:textId="77777777" w:rsidR="00BA1BB3" w:rsidRPr="00526681" w:rsidRDefault="00BA1BB3" w:rsidP="00BA1BB3">
      <w:pPr>
        <w:spacing w:after="0" w:line="276" w:lineRule="auto"/>
        <w:jc w:val="both"/>
        <w:rPr>
          <w:rFonts w:ascii="Verdana" w:eastAsia="Calibri" w:hAnsi="Verdana" w:cs="Arial"/>
          <w:color w:val="7030A0"/>
        </w:rPr>
      </w:pPr>
    </w:p>
    <w:p w14:paraId="347CF5D4" w14:textId="77777777" w:rsidR="00BA1BB3" w:rsidRPr="00526681" w:rsidRDefault="00BA1BB3" w:rsidP="00BA1BB3">
      <w:pPr>
        <w:spacing w:after="0" w:line="276" w:lineRule="auto"/>
        <w:jc w:val="both"/>
        <w:rPr>
          <w:rFonts w:ascii="Verdana" w:eastAsia="Calibri" w:hAnsi="Verdana" w:cs="Arial"/>
        </w:rPr>
      </w:pPr>
      <w:r w:rsidRPr="00526681">
        <w:rPr>
          <w:rFonts w:ascii="Verdana" w:eastAsia="Calibri" w:hAnsi="Verdana" w:cs="Arial"/>
        </w:rPr>
        <w:t>Lo anterior se sustenta en las siguientes consideraciones:</w:t>
      </w:r>
    </w:p>
    <w:p w14:paraId="38EF8CAC" w14:textId="77777777" w:rsidR="00BA1BB3" w:rsidRPr="00526681" w:rsidRDefault="00BA1BB3" w:rsidP="00BA1BB3">
      <w:pPr>
        <w:widowControl w:val="0"/>
        <w:autoSpaceDE w:val="0"/>
        <w:autoSpaceDN w:val="0"/>
        <w:spacing w:after="0" w:line="276" w:lineRule="auto"/>
        <w:jc w:val="both"/>
        <w:rPr>
          <w:rFonts w:ascii="Verdana" w:eastAsia="Calibri" w:hAnsi="Verdana" w:cs="Arial"/>
        </w:rPr>
      </w:pPr>
    </w:p>
    <w:p w14:paraId="58F48756" w14:textId="77777777" w:rsidR="00BA1BB3" w:rsidRPr="00526681" w:rsidRDefault="00BA1BB3" w:rsidP="00BA1BB3">
      <w:pPr>
        <w:widowControl w:val="0"/>
        <w:autoSpaceDE w:val="0"/>
        <w:autoSpaceDN w:val="0"/>
        <w:spacing w:after="120" w:line="276" w:lineRule="auto"/>
        <w:ind w:right="108"/>
        <w:jc w:val="both"/>
        <w:rPr>
          <w:rFonts w:ascii="Verdana" w:eastAsia="Arial" w:hAnsi="Verdana" w:cs="Arial"/>
          <w:lang w:eastAsia="es-ES" w:bidi="es-ES"/>
        </w:rPr>
      </w:pPr>
      <w:r w:rsidRPr="00526681">
        <w:rPr>
          <w:rFonts w:ascii="Verdana" w:eastAsia="Arial" w:hAnsi="Verdana" w:cs="Arial"/>
          <w:lang w:eastAsia="es-ES" w:bidi="es-ES"/>
        </w:rPr>
        <w:t>El pliego de condiciones es la hoja de ruta o plan</w:t>
      </w:r>
      <w:r w:rsidRPr="00526681">
        <w:rPr>
          <w:rFonts w:ascii="Verdana" w:eastAsia="Arial" w:hAnsi="Verdana" w:cs="Arial"/>
          <w:vertAlign w:val="superscript"/>
          <w:lang w:eastAsia="es-ES" w:bidi="es-ES"/>
        </w:rPr>
        <w:footnoteReference w:id="1"/>
      </w:r>
      <w:r w:rsidRPr="00526681">
        <w:rPr>
          <w:rFonts w:ascii="Verdana" w:eastAsia="Arial" w:hAnsi="Verdana" w:cs="Arial"/>
          <w:lang w:eastAsia="es-ES" w:bidi="es-ES"/>
        </w:rPr>
        <w:t xml:space="preserve"> sobre el cual se diseña, estructura y concreta el procedimiento de selección de contratistas, y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526681">
        <w:rPr>
          <w:rFonts w:ascii="Verdana" w:eastAsia="Arial" w:hAnsi="Verdana" w:cs="Arial"/>
          <w:vertAlign w:val="superscript"/>
          <w:lang w:eastAsia="es-ES" w:bidi="es-ES"/>
        </w:rPr>
        <w:footnoteReference w:id="2"/>
      </w:r>
      <w:r w:rsidRPr="00526681">
        <w:rPr>
          <w:rFonts w:ascii="Verdana" w:eastAsia="Arial" w:hAnsi="Verdana" w:cs="Arial"/>
          <w:lang w:eastAsia="es-ES" w:bidi="es-ES"/>
        </w:rPr>
        <w:t>.</w:t>
      </w:r>
    </w:p>
    <w:p w14:paraId="37F8DAD0" w14:textId="77777777" w:rsidR="00BA1BB3" w:rsidRPr="00526681" w:rsidRDefault="00BA1BB3" w:rsidP="00BA1BB3">
      <w:pPr>
        <w:widowControl w:val="0"/>
        <w:autoSpaceDE w:val="0"/>
        <w:autoSpaceDN w:val="0"/>
        <w:spacing w:after="0" w:line="276" w:lineRule="auto"/>
        <w:ind w:right="108" w:firstLine="708"/>
        <w:jc w:val="both"/>
        <w:rPr>
          <w:rFonts w:ascii="Verdana" w:eastAsia="Arial" w:hAnsi="Verdana" w:cs="Arial"/>
          <w:lang w:eastAsia="es-ES" w:bidi="es-ES"/>
        </w:rPr>
      </w:pPr>
      <w:r w:rsidRPr="00526681">
        <w:rPr>
          <w:rFonts w:ascii="Verdana" w:eastAsia="Arial" w:hAnsi="Verdana" w:cs="Arial"/>
          <w:lang w:eastAsia="es-ES" w:bidi="es-ES"/>
        </w:rPr>
        <w:t xml:space="preserve">El pliego es un instrumento en el cual se materializa el principio de transparencia, pues en él se prefijan las reglas de escogencia del contratista del Estado, para la selección objetiva de la mejor oferta, la adjudicación y la posterior celebración y ejecución del contrato, lo cual lo convierte en una reglamentación de todo el </w:t>
      </w:r>
      <w:proofErr w:type="spellStart"/>
      <w:r w:rsidRPr="00526681">
        <w:rPr>
          <w:rFonts w:ascii="Verdana" w:eastAsia="Arial" w:hAnsi="Verdana" w:cs="Arial"/>
          <w:i/>
          <w:iCs/>
          <w:lang w:eastAsia="es-ES" w:bidi="es-ES"/>
        </w:rPr>
        <w:t>iter</w:t>
      </w:r>
      <w:proofErr w:type="spellEnd"/>
      <w:r w:rsidRPr="00526681">
        <w:rPr>
          <w:rFonts w:ascii="Verdana" w:eastAsia="Arial" w:hAnsi="Verdana" w:cs="Arial"/>
          <w:i/>
          <w:iCs/>
          <w:lang w:eastAsia="es-ES" w:bidi="es-ES"/>
        </w:rPr>
        <w:t xml:space="preserve"> </w:t>
      </w:r>
      <w:r w:rsidRPr="00526681">
        <w:rPr>
          <w:rFonts w:ascii="Verdana" w:eastAsia="Arial" w:hAnsi="Verdana" w:cs="Arial"/>
          <w:lang w:eastAsia="es-ES" w:bidi="es-ES"/>
        </w:rPr>
        <w:t>contractual. Su contenido</w:t>
      </w:r>
      <w:r w:rsidRPr="00526681">
        <w:rPr>
          <w:rFonts w:ascii="Verdana" w:eastAsia="Arial" w:hAnsi="Verdana" w:cs="Arial"/>
          <w:vertAlign w:val="superscript"/>
          <w:lang w:eastAsia="es-ES" w:bidi="es-ES"/>
        </w:rPr>
        <w:footnoteReference w:id="3"/>
      </w:r>
      <w:r w:rsidRPr="00526681">
        <w:rPr>
          <w:rFonts w:ascii="Verdana" w:eastAsia="Arial" w:hAnsi="Verdana" w:cs="Arial"/>
          <w:lang w:eastAsia="es-ES" w:bidi="es-ES"/>
        </w:rPr>
        <w:t xml:space="preserve"> está previsto en el numeral 5 del artículo 24 de la Ley 80 de 1993, que establece algunas directrices que deben tenerse en cuenta en su elaboración:</w:t>
      </w:r>
    </w:p>
    <w:p w14:paraId="60EF3EF8" w14:textId="77777777" w:rsidR="00BA1BB3" w:rsidRPr="00526681" w:rsidRDefault="00BA1BB3" w:rsidP="00BA1BB3">
      <w:pPr>
        <w:widowControl w:val="0"/>
        <w:autoSpaceDE w:val="0"/>
        <w:autoSpaceDN w:val="0"/>
        <w:spacing w:after="0" w:line="276" w:lineRule="auto"/>
        <w:ind w:right="108" w:firstLine="708"/>
        <w:jc w:val="both"/>
        <w:rPr>
          <w:rFonts w:ascii="Verdana" w:eastAsia="Arial" w:hAnsi="Verdana" w:cs="Arial"/>
          <w:lang w:eastAsia="es-ES" w:bidi="es-ES"/>
        </w:rPr>
      </w:pPr>
    </w:p>
    <w:p w14:paraId="554F8F07" w14:textId="77777777" w:rsidR="00BA1BB3" w:rsidRPr="00526681" w:rsidRDefault="00BA1BB3" w:rsidP="00BA1BB3">
      <w:pPr>
        <w:widowControl w:val="0"/>
        <w:autoSpaceDE w:val="0"/>
        <w:autoSpaceDN w:val="0"/>
        <w:spacing w:after="120"/>
        <w:ind w:left="800"/>
        <w:rPr>
          <w:rFonts w:ascii="Verdana" w:eastAsia="Arial" w:hAnsi="Verdana" w:cs="Arial"/>
          <w:sz w:val="21"/>
          <w:szCs w:val="21"/>
          <w:lang w:eastAsia="es-ES" w:bidi="es-ES"/>
        </w:rPr>
      </w:pPr>
      <w:r w:rsidRPr="00526681">
        <w:rPr>
          <w:rFonts w:ascii="Verdana" w:eastAsia="Arial" w:hAnsi="Verdana" w:cs="Arial"/>
          <w:sz w:val="21"/>
          <w:szCs w:val="21"/>
          <w:lang w:eastAsia="es-ES" w:bidi="es-ES"/>
        </w:rPr>
        <w:t>5o. En los pliegos de condiciones:</w:t>
      </w:r>
    </w:p>
    <w:p w14:paraId="682EDEB3" w14:textId="77777777" w:rsidR="00BA1BB3" w:rsidRPr="00526681" w:rsidRDefault="00BA1BB3" w:rsidP="00BA1BB3">
      <w:pPr>
        <w:widowControl w:val="0"/>
        <w:numPr>
          <w:ilvl w:val="2"/>
          <w:numId w:val="3"/>
        </w:numPr>
        <w:tabs>
          <w:tab w:val="left" w:pos="1126"/>
        </w:tabs>
        <w:autoSpaceDE w:val="0"/>
        <w:autoSpaceDN w:val="0"/>
        <w:spacing w:after="120" w:line="240" w:lineRule="auto"/>
        <w:ind w:right="791" w:firstLine="0"/>
        <w:jc w:val="both"/>
        <w:rPr>
          <w:rFonts w:ascii="Verdana" w:eastAsia="Calibri" w:hAnsi="Verdana" w:cs="Arial"/>
          <w:sz w:val="21"/>
          <w:szCs w:val="21"/>
        </w:rPr>
      </w:pPr>
      <w:r w:rsidRPr="00526681">
        <w:rPr>
          <w:rFonts w:ascii="Verdana" w:eastAsia="Calibri" w:hAnsi="Verdana" w:cs="Arial"/>
          <w:sz w:val="21"/>
          <w:szCs w:val="21"/>
        </w:rPr>
        <w:t>Se indicarán los requisitos objetivos necesarios para participar en el correspondiente proceso de</w:t>
      </w:r>
      <w:r w:rsidRPr="00526681">
        <w:rPr>
          <w:rFonts w:ascii="Verdana" w:eastAsia="Calibri" w:hAnsi="Verdana" w:cs="Arial"/>
          <w:spacing w:val="-2"/>
          <w:sz w:val="21"/>
          <w:szCs w:val="21"/>
        </w:rPr>
        <w:t xml:space="preserve"> </w:t>
      </w:r>
      <w:r w:rsidRPr="00526681">
        <w:rPr>
          <w:rFonts w:ascii="Verdana" w:eastAsia="Calibri" w:hAnsi="Verdana" w:cs="Arial"/>
          <w:sz w:val="21"/>
          <w:szCs w:val="21"/>
        </w:rPr>
        <w:t>selección.</w:t>
      </w:r>
    </w:p>
    <w:p w14:paraId="69226D17" w14:textId="77777777" w:rsidR="00BA1BB3" w:rsidRPr="00526681" w:rsidRDefault="00BA1BB3" w:rsidP="00BA1BB3">
      <w:pPr>
        <w:widowControl w:val="0"/>
        <w:numPr>
          <w:ilvl w:val="2"/>
          <w:numId w:val="3"/>
        </w:numPr>
        <w:tabs>
          <w:tab w:val="left" w:pos="1088"/>
        </w:tabs>
        <w:autoSpaceDE w:val="0"/>
        <w:autoSpaceDN w:val="0"/>
        <w:spacing w:after="120" w:line="240" w:lineRule="auto"/>
        <w:ind w:right="789" w:firstLine="0"/>
        <w:jc w:val="both"/>
        <w:rPr>
          <w:rFonts w:ascii="Verdana" w:eastAsia="Calibri" w:hAnsi="Verdana" w:cs="Arial"/>
          <w:sz w:val="21"/>
          <w:szCs w:val="21"/>
        </w:rPr>
      </w:pPr>
      <w:r w:rsidRPr="00526681">
        <w:rPr>
          <w:rFonts w:ascii="Verdana" w:eastAsia="Calibri" w:hAnsi="Verdana" w:cs="Arial"/>
          <w:sz w:val="21"/>
          <w:szCs w:val="21"/>
        </w:rPr>
        <w:t xml:space="preserve">Se definirán reglas objetivas, justas, claras y completas que permitan la confección de ofrecimientos de la misma índole, aseguren </w:t>
      </w:r>
      <w:r w:rsidRPr="00526681">
        <w:rPr>
          <w:rFonts w:ascii="Verdana" w:eastAsia="Calibri" w:hAnsi="Verdana" w:cs="Arial"/>
          <w:sz w:val="21"/>
          <w:szCs w:val="21"/>
        </w:rPr>
        <w:lastRenderedPageBreak/>
        <w:t>una escogencia objetiva y eviten las declaratorias de desierta de la</w:t>
      </w:r>
      <w:r w:rsidRPr="00526681">
        <w:rPr>
          <w:rFonts w:ascii="Verdana" w:eastAsia="Calibri" w:hAnsi="Verdana" w:cs="Arial"/>
          <w:spacing w:val="-16"/>
          <w:sz w:val="21"/>
          <w:szCs w:val="21"/>
        </w:rPr>
        <w:t xml:space="preserve"> </w:t>
      </w:r>
      <w:r w:rsidRPr="00526681">
        <w:rPr>
          <w:rFonts w:ascii="Verdana" w:eastAsia="Calibri" w:hAnsi="Verdana" w:cs="Arial"/>
          <w:sz w:val="21"/>
          <w:szCs w:val="21"/>
        </w:rPr>
        <w:t>licitación.</w:t>
      </w:r>
    </w:p>
    <w:p w14:paraId="68BFF30E" w14:textId="77777777" w:rsidR="00BA1BB3" w:rsidRPr="00526681" w:rsidRDefault="00BA1BB3" w:rsidP="00BA1BB3">
      <w:pPr>
        <w:widowControl w:val="0"/>
        <w:numPr>
          <w:ilvl w:val="2"/>
          <w:numId w:val="3"/>
        </w:numPr>
        <w:tabs>
          <w:tab w:val="left" w:pos="1108"/>
        </w:tabs>
        <w:autoSpaceDE w:val="0"/>
        <w:autoSpaceDN w:val="0"/>
        <w:spacing w:after="120" w:line="240" w:lineRule="auto"/>
        <w:ind w:right="794" w:firstLine="0"/>
        <w:jc w:val="both"/>
        <w:rPr>
          <w:rFonts w:ascii="Verdana" w:eastAsia="Calibri" w:hAnsi="Verdana"/>
          <w:sz w:val="21"/>
          <w:szCs w:val="21"/>
        </w:rPr>
      </w:pPr>
      <w:r w:rsidRPr="00526681">
        <w:rPr>
          <w:rFonts w:ascii="Verdana" w:eastAsia="Calibri" w:hAnsi="Verdana" w:cs="Arial"/>
          <w:sz w:val="21"/>
          <w:szCs w:val="21"/>
        </w:rPr>
        <w:t>Se definirán con precisión las condiciones de costo y calidad de los bienes, obras o servicios necesarios para la ejecución del objeto del</w:t>
      </w:r>
      <w:r w:rsidRPr="00526681">
        <w:rPr>
          <w:rFonts w:ascii="Verdana" w:eastAsia="Calibri" w:hAnsi="Verdana" w:cs="Arial"/>
          <w:spacing w:val="-43"/>
          <w:sz w:val="21"/>
          <w:szCs w:val="21"/>
        </w:rPr>
        <w:t xml:space="preserve"> </w:t>
      </w:r>
      <w:r w:rsidRPr="00526681">
        <w:rPr>
          <w:rFonts w:ascii="Verdana" w:eastAsia="Calibri" w:hAnsi="Verdana" w:cs="Arial"/>
          <w:sz w:val="21"/>
          <w:szCs w:val="21"/>
        </w:rPr>
        <w:t>contrato.</w:t>
      </w:r>
    </w:p>
    <w:p w14:paraId="26DC48EA" w14:textId="77777777" w:rsidR="00BA1BB3" w:rsidRPr="00526681" w:rsidRDefault="00BA1BB3" w:rsidP="00BA1BB3">
      <w:pPr>
        <w:widowControl w:val="0"/>
        <w:autoSpaceDE w:val="0"/>
        <w:autoSpaceDN w:val="0"/>
        <w:spacing w:after="120"/>
        <w:ind w:left="800" w:right="758"/>
        <w:jc w:val="both"/>
        <w:rPr>
          <w:rFonts w:ascii="Verdana" w:eastAsia="Arial" w:hAnsi="Verdana" w:cs="Arial"/>
          <w:sz w:val="21"/>
          <w:szCs w:val="21"/>
          <w:lang w:eastAsia="es-ES" w:bidi="es-ES"/>
        </w:rPr>
      </w:pPr>
      <w:r w:rsidRPr="00526681">
        <w:rPr>
          <w:rFonts w:ascii="Verdana" w:eastAsia="Arial" w:hAnsi="Verdana" w:cs="Arial"/>
          <w:sz w:val="21"/>
          <w:szCs w:val="21"/>
          <w:lang w:eastAsia="es-ES" w:bidi="es-ES"/>
        </w:rPr>
        <w:t>No se incluirán condiciones y exigencias de imposible cumplimiento, ni exenciones de la responsabilidad derivada de los datos, informes</w:t>
      </w:r>
      <w:r w:rsidRPr="00526681">
        <w:rPr>
          <w:rFonts w:ascii="Verdana" w:eastAsia="Arial" w:hAnsi="Verdana" w:cs="Arial"/>
          <w:spacing w:val="1"/>
          <w:sz w:val="21"/>
          <w:szCs w:val="21"/>
          <w:lang w:eastAsia="es-ES" w:bidi="es-ES"/>
        </w:rPr>
        <w:t xml:space="preserve"> </w:t>
      </w:r>
      <w:r w:rsidRPr="00526681">
        <w:rPr>
          <w:rFonts w:ascii="Verdana" w:eastAsia="Arial" w:hAnsi="Verdana" w:cs="Arial"/>
          <w:sz w:val="21"/>
          <w:szCs w:val="21"/>
          <w:lang w:eastAsia="es-ES" w:bidi="es-ES"/>
        </w:rPr>
        <w:t>y documentos que se suministren.</w:t>
      </w:r>
    </w:p>
    <w:p w14:paraId="6BE5F0E7" w14:textId="77777777" w:rsidR="00BA1BB3" w:rsidRPr="00526681" w:rsidRDefault="00BA1BB3" w:rsidP="00BA1BB3">
      <w:pPr>
        <w:widowControl w:val="0"/>
        <w:numPr>
          <w:ilvl w:val="2"/>
          <w:numId w:val="3"/>
        </w:numPr>
        <w:tabs>
          <w:tab w:val="left" w:pos="1151"/>
        </w:tabs>
        <w:autoSpaceDE w:val="0"/>
        <w:autoSpaceDN w:val="0"/>
        <w:spacing w:after="120" w:line="240" w:lineRule="auto"/>
        <w:ind w:right="788" w:firstLine="0"/>
        <w:jc w:val="both"/>
        <w:rPr>
          <w:rFonts w:ascii="Verdana" w:eastAsia="Calibri" w:hAnsi="Verdana" w:cs="Arial"/>
          <w:sz w:val="21"/>
          <w:szCs w:val="21"/>
        </w:rPr>
      </w:pPr>
      <w:r w:rsidRPr="00526681">
        <w:rPr>
          <w:rFonts w:ascii="Verdana" w:eastAsia="Calibri" w:hAnsi="Verdana" w:cs="Arial"/>
          <w:sz w:val="21"/>
          <w:szCs w:val="21"/>
        </w:rPr>
        <w:t>Se definirán reglas que no induzcan a error a los proponentes y contratistas y que impidan la Formulación de ofrecimientos de extensión ilimitada o que dependan de la voluntad exclusiva de la</w:t>
      </w:r>
      <w:r w:rsidRPr="00526681">
        <w:rPr>
          <w:rFonts w:ascii="Verdana" w:eastAsia="Calibri" w:hAnsi="Verdana" w:cs="Arial"/>
          <w:spacing w:val="-20"/>
          <w:sz w:val="21"/>
          <w:szCs w:val="21"/>
        </w:rPr>
        <w:t xml:space="preserve"> </w:t>
      </w:r>
      <w:r w:rsidRPr="00526681">
        <w:rPr>
          <w:rFonts w:ascii="Verdana" w:eastAsia="Calibri" w:hAnsi="Verdana" w:cs="Arial"/>
          <w:sz w:val="21"/>
          <w:szCs w:val="21"/>
        </w:rPr>
        <w:t>entidad.</w:t>
      </w:r>
    </w:p>
    <w:p w14:paraId="6F57BB16" w14:textId="77777777" w:rsidR="00BA1BB3" w:rsidRPr="00526681" w:rsidRDefault="00BA1BB3" w:rsidP="00BA1BB3">
      <w:pPr>
        <w:widowControl w:val="0"/>
        <w:numPr>
          <w:ilvl w:val="2"/>
          <w:numId w:val="3"/>
        </w:numPr>
        <w:tabs>
          <w:tab w:val="left" w:pos="1016"/>
        </w:tabs>
        <w:autoSpaceDE w:val="0"/>
        <w:autoSpaceDN w:val="0"/>
        <w:spacing w:after="120" w:line="240" w:lineRule="auto"/>
        <w:ind w:right="784" w:firstLine="0"/>
        <w:jc w:val="both"/>
        <w:rPr>
          <w:rFonts w:ascii="Verdana" w:eastAsia="Calibri" w:hAnsi="Verdana" w:cs="Arial"/>
          <w:sz w:val="21"/>
          <w:szCs w:val="21"/>
        </w:rPr>
      </w:pPr>
      <w:r w:rsidRPr="00526681">
        <w:rPr>
          <w:rFonts w:ascii="Verdana" w:eastAsia="Calibri" w:hAnsi="Verdana" w:cs="Arial"/>
          <w:sz w:val="21"/>
          <w:szCs w:val="21"/>
        </w:rPr>
        <w:t>Se definirá el plazo para la liquidación del contrato, cuando a ello hubiere lugar, teniendo en cuenta su objeto, naturaleza y</w:t>
      </w:r>
      <w:r w:rsidRPr="00526681">
        <w:rPr>
          <w:rFonts w:ascii="Verdana" w:eastAsia="Calibri" w:hAnsi="Verdana" w:cs="Arial"/>
          <w:spacing w:val="-13"/>
          <w:sz w:val="21"/>
          <w:szCs w:val="21"/>
        </w:rPr>
        <w:t xml:space="preserve"> </w:t>
      </w:r>
      <w:r w:rsidRPr="00526681">
        <w:rPr>
          <w:rFonts w:ascii="Verdana" w:eastAsia="Calibri" w:hAnsi="Verdana" w:cs="Arial"/>
          <w:sz w:val="21"/>
          <w:szCs w:val="21"/>
        </w:rPr>
        <w:t>cuantía.</w:t>
      </w:r>
    </w:p>
    <w:p w14:paraId="13B12DDC" w14:textId="77777777" w:rsidR="00BA1BB3" w:rsidRPr="00526681" w:rsidRDefault="00BA1BB3" w:rsidP="00BA1BB3">
      <w:pPr>
        <w:widowControl w:val="0"/>
        <w:autoSpaceDE w:val="0"/>
        <w:autoSpaceDN w:val="0"/>
        <w:spacing w:after="0"/>
        <w:ind w:left="800" w:right="789"/>
        <w:jc w:val="both"/>
        <w:rPr>
          <w:rFonts w:ascii="Verdana" w:eastAsia="Arial" w:hAnsi="Verdana" w:cs="Arial"/>
          <w:sz w:val="21"/>
          <w:szCs w:val="21"/>
          <w:lang w:eastAsia="es-ES" w:bidi="es-ES"/>
        </w:rPr>
      </w:pPr>
      <w:r w:rsidRPr="00526681">
        <w:rPr>
          <w:rFonts w:ascii="Verdana" w:eastAsia="Arial" w:hAnsi="Verdana" w:cs="Arial"/>
          <w:sz w:val="21"/>
          <w:szCs w:val="21"/>
          <w:lang w:eastAsia="es-ES" w:bidi="es-ES"/>
        </w:rPr>
        <w:t>Serán ineficaces de pleno derecho las estipulaciones de los pliegos y de los contratos que contravengan lo dispuesto en este numeral, o dispongan renuncias a reclamaciones por la ocurrencia de los hechos aquí enunciados.</w:t>
      </w:r>
    </w:p>
    <w:p w14:paraId="0F3915EF" w14:textId="77777777" w:rsidR="00BA1BB3" w:rsidRPr="00526681" w:rsidRDefault="00BA1BB3" w:rsidP="00BA1BB3">
      <w:pPr>
        <w:widowControl w:val="0"/>
        <w:autoSpaceDE w:val="0"/>
        <w:autoSpaceDN w:val="0"/>
        <w:spacing w:after="0"/>
        <w:ind w:left="800" w:right="789"/>
        <w:jc w:val="both"/>
        <w:rPr>
          <w:rFonts w:ascii="Verdana" w:eastAsia="Arial" w:hAnsi="Verdana" w:cs="Arial"/>
          <w:sz w:val="21"/>
          <w:szCs w:val="21"/>
          <w:lang w:eastAsia="es-ES" w:bidi="es-ES"/>
        </w:rPr>
      </w:pPr>
    </w:p>
    <w:p w14:paraId="1C0B3077" w14:textId="77777777" w:rsidR="00BA1BB3" w:rsidRPr="00526681" w:rsidRDefault="00BA1BB3" w:rsidP="00BA1BB3">
      <w:pPr>
        <w:widowControl w:val="0"/>
        <w:autoSpaceDE w:val="0"/>
        <w:autoSpaceDN w:val="0"/>
        <w:spacing w:after="120" w:line="276" w:lineRule="auto"/>
        <w:ind w:left="120" w:right="103" w:firstLine="600"/>
        <w:jc w:val="both"/>
        <w:rPr>
          <w:rFonts w:ascii="Verdana" w:eastAsia="Arial" w:hAnsi="Verdana" w:cs="Arial"/>
          <w:lang w:eastAsia="es-ES" w:bidi="es-ES"/>
        </w:rPr>
      </w:pPr>
      <w:r w:rsidRPr="00526681">
        <w:rPr>
          <w:rFonts w:ascii="Verdana" w:eastAsia="Arial" w:hAnsi="Verdana" w:cs="Arial"/>
          <w:lang w:eastAsia="es-ES" w:bidi="es-ES"/>
        </w:rPr>
        <w:t>De conformidad con lo anterior, la Administración tiene la facultad de configurar las reglas y exigencias de los pliegos de condiciones de manera libre, dentro de los parámetros y límites establecidos por el ordenamiento jurídico</w:t>
      </w:r>
      <w:r w:rsidRPr="00526681">
        <w:rPr>
          <w:rStyle w:val="Refdenotaalpie"/>
          <w:rFonts w:ascii="Verdana" w:eastAsia="Arial" w:hAnsi="Verdana" w:cs="Arial"/>
          <w:lang w:eastAsia="es-ES" w:bidi="es-ES"/>
        </w:rPr>
        <w:footnoteReference w:id="4"/>
      </w:r>
      <w:r w:rsidRPr="00526681">
        <w:rPr>
          <w:rFonts w:ascii="Verdana" w:eastAsia="Arial" w:hAnsi="Verdana" w:cs="Arial"/>
          <w:lang w:eastAsia="es-ES" w:bidi="es-ES"/>
        </w:rPr>
        <w:t>, con fundamento en los estudios realizados en la fase de planeación. Además, tiene la carga de elaborarlos de manera idónea, objetiva, clara, precisa y completa, tal como se deduce de la disposición recién citada.</w:t>
      </w:r>
    </w:p>
    <w:p w14:paraId="744F195F" w14:textId="77777777" w:rsidR="00BA1BB3" w:rsidRPr="00526681" w:rsidRDefault="00BA1BB3" w:rsidP="00BA1BB3">
      <w:pPr>
        <w:widowControl w:val="0"/>
        <w:autoSpaceDE w:val="0"/>
        <w:autoSpaceDN w:val="0"/>
        <w:spacing w:after="120" w:line="276" w:lineRule="auto"/>
        <w:ind w:left="120" w:right="103" w:firstLine="600"/>
        <w:jc w:val="both"/>
        <w:rPr>
          <w:rFonts w:ascii="Verdana" w:eastAsia="Arial" w:hAnsi="Verdana" w:cs="Arial"/>
          <w:lang w:eastAsia="es-ES" w:bidi="es-ES"/>
        </w:rPr>
      </w:pPr>
      <w:r w:rsidRPr="00526681">
        <w:rPr>
          <w:rFonts w:ascii="Verdana" w:eastAsia="Arial" w:hAnsi="Verdana" w:cs="Arial"/>
          <w:lang w:eastAsia="es-ES" w:bidi="es-ES"/>
        </w:rPr>
        <w:t>Sin perjuicio de lo anterior, puede ocurrir que surja la necesidad de efectuar correcciones, aclaraciones o modificaciones, bien sea porque las mismas tienen origen en necesidades identificadas por la entidad contratante o como consecuencia de observaciones realizadas por los interesados en el</w:t>
      </w:r>
      <w:r w:rsidRPr="00526681">
        <w:rPr>
          <w:rFonts w:ascii="Verdana" w:eastAsia="Arial" w:hAnsi="Verdana" w:cs="Arial"/>
          <w:spacing w:val="-6"/>
          <w:lang w:eastAsia="es-ES" w:bidi="es-ES"/>
        </w:rPr>
        <w:t xml:space="preserve"> </w:t>
      </w:r>
      <w:r w:rsidRPr="00526681">
        <w:rPr>
          <w:rFonts w:ascii="Verdana" w:eastAsia="Arial" w:hAnsi="Verdana" w:cs="Arial"/>
          <w:lang w:eastAsia="es-ES" w:bidi="es-ES"/>
        </w:rPr>
        <w:t>proceso, de manera que, pese a la planeación previa y el cumplimiento de las disposiciones aplicables, es posible que sea necesario modificar el pliego de condiciones, como se explicará.</w:t>
      </w:r>
    </w:p>
    <w:p w14:paraId="198D510B" w14:textId="77777777" w:rsidR="00BA1BB3" w:rsidRPr="00526681" w:rsidRDefault="00BA1BB3" w:rsidP="00BA1BB3">
      <w:pPr>
        <w:widowControl w:val="0"/>
        <w:autoSpaceDE w:val="0"/>
        <w:autoSpaceDN w:val="0"/>
        <w:spacing w:after="120" w:line="276" w:lineRule="auto"/>
        <w:ind w:right="108" w:firstLine="709"/>
        <w:jc w:val="both"/>
        <w:rPr>
          <w:rFonts w:ascii="Verdana" w:eastAsia="Arial" w:hAnsi="Verdana" w:cs="Arial"/>
          <w:i/>
          <w:lang w:eastAsia="es-ES" w:bidi="es-ES"/>
        </w:rPr>
      </w:pPr>
      <w:r w:rsidRPr="00526681">
        <w:rPr>
          <w:rFonts w:ascii="Verdana" w:eastAsia="Arial" w:hAnsi="Verdana" w:cs="Arial"/>
          <w:lang w:eastAsia="es-ES" w:bidi="es-ES"/>
        </w:rPr>
        <w:t xml:space="preserve">De esta forma, una vez publicados los pliegos de condiciones definitivos, las entidades pueden modificar su contenido, como consecuencia de las observaciones recibidas por parte de los interesados o por iniciativa de la misma </w:t>
      </w:r>
      <w:r w:rsidRPr="00526681">
        <w:rPr>
          <w:rFonts w:ascii="Verdana" w:eastAsia="Arial" w:hAnsi="Verdana" w:cs="Arial"/>
          <w:lang w:eastAsia="es-ES" w:bidi="es-ES"/>
        </w:rPr>
        <w:lastRenderedPageBreak/>
        <w:t xml:space="preserve">entidad, cuando quiera que evidencie la necesidad de modificar, ajustar o aclarar algún aspecto o condición, modificación que se realiza mediante </w:t>
      </w:r>
      <w:r w:rsidRPr="00526681">
        <w:rPr>
          <w:rFonts w:ascii="Verdana" w:eastAsia="Arial" w:hAnsi="Verdana" w:cs="Arial"/>
          <w:i/>
          <w:iCs/>
          <w:lang w:eastAsia="es-ES" w:bidi="es-ES"/>
        </w:rPr>
        <w:t>adendas</w:t>
      </w:r>
      <w:r w:rsidRPr="00526681">
        <w:rPr>
          <w:rFonts w:ascii="Verdana" w:eastAsia="Arial" w:hAnsi="Verdana" w:cs="Arial"/>
          <w:i/>
          <w:lang w:eastAsia="es-ES" w:bidi="es-ES"/>
        </w:rPr>
        <w:t xml:space="preserve">. </w:t>
      </w:r>
    </w:p>
    <w:p w14:paraId="5D6ACC77" w14:textId="77777777" w:rsidR="00BA1BB3" w:rsidRPr="00526681" w:rsidRDefault="00BA1BB3" w:rsidP="00BA1BB3">
      <w:pPr>
        <w:widowControl w:val="0"/>
        <w:autoSpaceDE w:val="0"/>
        <w:autoSpaceDN w:val="0"/>
        <w:spacing w:after="120" w:line="276" w:lineRule="auto"/>
        <w:ind w:right="107" w:firstLine="708"/>
        <w:jc w:val="both"/>
        <w:rPr>
          <w:rFonts w:ascii="Verdana" w:eastAsia="Arial" w:hAnsi="Verdana" w:cs="Arial"/>
          <w:lang w:eastAsia="es-ES" w:bidi="es-ES"/>
        </w:rPr>
      </w:pPr>
      <w:r w:rsidRPr="00526681">
        <w:rPr>
          <w:rFonts w:ascii="Verdana" w:eastAsia="Arial" w:hAnsi="Verdana" w:cs="Arial"/>
          <w:iCs/>
          <w:lang w:eastAsia="es-ES" w:bidi="es-ES"/>
        </w:rPr>
        <w:t>No obstante,</w:t>
      </w:r>
      <w:r w:rsidRPr="00526681">
        <w:rPr>
          <w:rFonts w:ascii="Verdana" w:eastAsia="Arial" w:hAnsi="Verdana" w:cs="Arial"/>
          <w:i/>
          <w:lang w:eastAsia="es-ES" w:bidi="es-ES"/>
        </w:rPr>
        <w:t xml:space="preserve"> </w:t>
      </w:r>
      <w:r w:rsidRPr="00526681">
        <w:rPr>
          <w:rFonts w:ascii="Verdana" w:eastAsia="Arial" w:hAnsi="Verdana" w:cs="Arial"/>
          <w:lang w:eastAsia="es-ES" w:bidi="es-ES"/>
        </w:rPr>
        <w:t>como lo ha reconocido la jurisprudencia del Consejo de Estado, dichas modificaciones pueden realizarse por medio de cualquier otro documento que contenga</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manifestación</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voluntad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entidad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aclarar,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añadir,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 xml:space="preserve">adicionar, reemplazar o cambiar un aspecto o condición, incluida en los documentos del procedimiento de contratación, independientemente que a dicho documento se le titule como </w:t>
      </w:r>
      <w:r w:rsidRPr="00526681">
        <w:rPr>
          <w:rFonts w:ascii="Verdana" w:eastAsia="Arial" w:hAnsi="Verdana" w:cs="Arial"/>
          <w:i/>
          <w:iCs/>
          <w:lang w:eastAsia="es-ES" w:bidi="es-ES"/>
        </w:rPr>
        <w:t xml:space="preserve">adenda, </w:t>
      </w:r>
      <w:r w:rsidRPr="00526681">
        <w:rPr>
          <w:rFonts w:ascii="Verdana" w:eastAsia="Arial" w:hAnsi="Verdana" w:cs="Arial"/>
          <w:lang w:eastAsia="es-ES" w:bidi="es-ES"/>
        </w:rPr>
        <w:t>siempre que mediante dicho documento se modifiquen los pliegos de condiciones</w:t>
      </w:r>
      <w:r w:rsidRPr="00526681">
        <w:rPr>
          <w:rFonts w:ascii="Verdana" w:eastAsia="Arial" w:hAnsi="Verdana" w:cs="Arial"/>
          <w:vertAlign w:val="superscript"/>
          <w:lang w:eastAsia="es-ES" w:bidi="es-ES"/>
        </w:rPr>
        <w:footnoteReference w:id="5"/>
      </w:r>
      <w:r w:rsidRPr="00526681">
        <w:rPr>
          <w:rFonts w:ascii="Verdana" w:eastAsia="Arial" w:hAnsi="Verdana" w:cs="Arial"/>
          <w:lang w:eastAsia="es-ES" w:bidi="es-ES"/>
        </w:rPr>
        <w:t>.</w:t>
      </w:r>
    </w:p>
    <w:p w14:paraId="6532D748" w14:textId="77777777" w:rsidR="00BA1BB3" w:rsidRPr="00526681" w:rsidRDefault="00BA1BB3" w:rsidP="00BA1BB3">
      <w:pPr>
        <w:widowControl w:val="0"/>
        <w:autoSpaceDE w:val="0"/>
        <w:autoSpaceDN w:val="0"/>
        <w:spacing w:before="1" w:after="0" w:line="276" w:lineRule="auto"/>
        <w:ind w:right="107" w:firstLine="708"/>
        <w:jc w:val="both"/>
        <w:rPr>
          <w:rFonts w:ascii="Verdana" w:eastAsia="Arial" w:hAnsi="Verdana" w:cs="Arial"/>
          <w:lang w:eastAsia="es-ES" w:bidi="es-ES"/>
        </w:rPr>
      </w:pPr>
      <w:r w:rsidRPr="00526681">
        <w:rPr>
          <w:rFonts w:ascii="Verdana" w:eastAsia="Arial" w:hAnsi="Verdana" w:cs="Arial"/>
          <w:lang w:eastAsia="es-ES" w:bidi="es-ES"/>
        </w:rPr>
        <w:t>De acuerdo con lo anterior, en relación con las adendas resulta necesario acudir al artículo 30, numeral 5, de la Ley 80 de 1993 –modificado por el artículo 89 de la Ley 1474 de 2011–, que dispone:</w:t>
      </w:r>
    </w:p>
    <w:p w14:paraId="6A79CE21" w14:textId="77777777" w:rsidR="00BA1BB3" w:rsidRPr="00526681" w:rsidRDefault="00BA1BB3" w:rsidP="00BA1BB3">
      <w:pPr>
        <w:widowControl w:val="0"/>
        <w:autoSpaceDE w:val="0"/>
        <w:autoSpaceDN w:val="0"/>
        <w:spacing w:before="1" w:after="0" w:line="276" w:lineRule="auto"/>
        <w:ind w:right="107" w:firstLine="708"/>
        <w:jc w:val="both"/>
        <w:rPr>
          <w:rFonts w:ascii="Verdana" w:eastAsia="Arial" w:hAnsi="Verdana" w:cs="Arial"/>
          <w:lang w:eastAsia="es-ES" w:bidi="es-ES"/>
        </w:rPr>
      </w:pPr>
    </w:p>
    <w:p w14:paraId="5DE5B42F" w14:textId="77777777" w:rsidR="00BA1BB3" w:rsidRPr="00526681" w:rsidRDefault="00BA1BB3" w:rsidP="00BA1BB3">
      <w:pPr>
        <w:widowControl w:val="0"/>
        <w:autoSpaceDE w:val="0"/>
        <w:autoSpaceDN w:val="0"/>
        <w:spacing w:before="1" w:after="240"/>
        <w:ind w:left="708" w:right="644"/>
        <w:jc w:val="both"/>
        <w:rPr>
          <w:rFonts w:ascii="Verdana" w:eastAsia="Arial" w:hAnsi="Verdana" w:cs="Arial"/>
          <w:sz w:val="21"/>
          <w:szCs w:val="21"/>
          <w:lang w:eastAsia="es-ES" w:bidi="es-ES"/>
        </w:rPr>
      </w:pPr>
      <w:r w:rsidRPr="00526681">
        <w:rPr>
          <w:rFonts w:ascii="Verdana" w:eastAsia="Arial" w:hAnsi="Verdana" w:cs="Arial"/>
          <w:sz w:val="21"/>
          <w:szCs w:val="21"/>
          <w:lang w:eastAsia="es-ES" w:bidi="es-ES"/>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503E5401" w14:textId="77777777" w:rsidR="00BA1BB3" w:rsidRPr="00526681" w:rsidRDefault="00BA1BB3" w:rsidP="00BA1BB3">
      <w:pPr>
        <w:widowControl w:val="0"/>
        <w:autoSpaceDE w:val="0"/>
        <w:autoSpaceDN w:val="0"/>
        <w:spacing w:after="0"/>
        <w:ind w:left="709" w:right="646"/>
        <w:jc w:val="both"/>
        <w:rPr>
          <w:rFonts w:ascii="Verdana" w:eastAsia="Arial" w:hAnsi="Verdana" w:cs="Arial"/>
          <w:sz w:val="21"/>
          <w:szCs w:val="21"/>
          <w:lang w:eastAsia="es-ES" w:bidi="es-ES"/>
        </w:rPr>
      </w:pPr>
      <w:r w:rsidRPr="00526681">
        <w:rPr>
          <w:rFonts w:ascii="Verdana" w:eastAsia="Arial" w:hAnsi="Verdana" w:cs="Arial"/>
          <w:sz w:val="21"/>
          <w:szCs w:val="21"/>
          <w:lang w:eastAsia="es-ES" w:bidi="es-ES"/>
        </w:rPr>
        <w:t xml:space="preserve">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526681">
        <w:rPr>
          <w:rFonts w:ascii="Verdana" w:eastAsia="Arial" w:hAnsi="Verdana" w:cs="Arial"/>
          <w:sz w:val="21"/>
          <w:szCs w:val="21"/>
          <w:lang w:eastAsia="es-ES" w:bidi="es-ES"/>
        </w:rPr>
        <w:lastRenderedPageBreak/>
        <w:t>del mismo</w:t>
      </w:r>
      <w:proofErr w:type="gramEnd"/>
      <w:r w:rsidRPr="00526681">
        <w:rPr>
          <w:rFonts w:ascii="Verdana" w:eastAsia="Arial" w:hAnsi="Verdana" w:cs="Arial"/>
          <w:sz w:val="21"/>
          <w:szCs w:val="21"/>
          <w:lang w:eastAsia="es-ES" w:bidi="es-ES"/>
        </w:rPr>
        <w:t>. La publicación de estas adendas sólo se podrá realizar en días hábiles y horarios laborales.</w:t>
      </w:r>
    </w:p>
    <w:p w14:paraId="0229778B" w14:textId="77777777" w:rsidR="00BA1BB3" w:rsidRPr="00526681" w:rsidRDefault="00BA1BB3" w:rsidP="00BA1BB3">
      <w:pPr>
        <w:widowControl w:val="0"/>
        <w:autoSpaceDE w:val="0"/>
        <w:autoSpaceDN w:val="0"/>
        <w:spacing w:after="0"/>
        <w:ind w:left="709" w:right="646"/>
        <w:jc w:val="both"/>
        <w:rPr>
          <w:rFonts w:ascii="Verdana" w:eastAsia="Arial" w:hAnsi="Verdana" w:cs="Arial"/>
          <w:lang w:eastAsia="es-ES" w:bidi="es-ES"/>
        </w:rPr>
      </w:pPr>
    </w:p>
    <w:p w14:paraId="0BDBC66C" w14:textId="77777777" w:rsidR="00BA1BB3" w:rsidRPr="00526681" w:rsidRDefault="00BA1BB3" w:rsidP="00BA1BB3">
      <w:pPr>
        <w:widowControl w:val="0"/>
        <w:autoSpaceDE w:val="0"/>
        <w:autoSpaceDN w:val="0"/>
        <w:spacing w:after="0" w:line="276" w:lineRule="auto"/>
        <w:ind w:firstLine="709"/>
        <w:jc w:val="both"/>
        <w:rPr>
          <w:rFonts w:ascii="Verdana" w:eastAsia="Arial" w:hAnsi="Verdana" w:cs="Arial"/>
          <w:lang w:eastAsia="es-ES" w:bidi="es-ES"/>
        </w:rPr>
      </w:pPr>
      <w:r w:rsidRPr="00526681">
        <w:rPr>
          <w:rFonts w:ascii="Verdana" w:eastAsia="Arial" w:hAnsi="Verdana" w:cs="Arial"/>
          <w:lang w:eastAsia="es-ES" w:bidi="es-ES"/>
        </w:rPr>
        <w:t>En armonía con la disposición anterior, el artículo 2.2.1.1.2.2.1. del Decreto 1082 de 2015, establece lo siguiente:</w:t>
      </w:r>
    </w:p>
    <w:p w14:paraId="0957D630" w14:textId="77777777" w:rsidR="00BA1BB3" w:rsidRPr="00526681" w:rsidRDefault="00BA1BB3" w:rsidP="00BA1BB3">
      <w:pPr>
        <w:widowControl w:val="0"/>
        <w:autoSpaceDE w:val="0"/>
        <w:autoSpaceDN w:val="0"/>
        <w:spacing w:after="0" w:line="276" w:lineRule="auto"/>
        <w:ind w:firstLine="709"/>
        <w:jc w:val="both"/>
        <w:rPr>
          <w:rFonts w:ascii="Verdana" w:hAnsi="Verdana" w:cs="Segoe UI"/>
          <w:sz w:val="18"/>
          <w:szCs w:val="18"/>
          <w:lang w:eastAsia="es-CO"/>
        </w:rPr>
      </w:pPr>
      <w:r w:rsidRPr="00526681">
        <w:rPr>
          <w:rFonts w:ascii="Verdana" w:hAnsi="Verdana" w:cs="Arial"/>
          <w:sz w:val="20"/>
          <w:szCs w:val="20"/>
          <w:lang w:eastAsia="es-CO"/>
        </w:rPr>
        <w:t> </w:t>
      </w:r>
    </w:p>
    <w:p w14:paraId="09C09558" w14:textId="77777777" w:rsidR="00BA1BB3" w:rsidRPr="00526681" w:rsidRDefault="00BA1BB3" w:rsidP="00BA1BB3">
      <w:pPr>
        <w:ind w:left="709" w:right="709"/>
        <w:jc w:val="both"/>
        <w:textAlignment w:val="baseline"/>
        <w:rPr>
          <w:rFonts w:ascii="Verdana" w:eastAsia="Calibri" w:hAnsi="Verdana" w:cs="Arial"/>
          <w:sz w:val="21"/>
          <w:szCs w:val="21"/>
        </w:rPr>
      </w:pPr>
      <w:r w:rsidRPr="00526681">
        <w:rPr>
          <w:rFonts w:ascii="Verdana" w:eastAsia="Calibri" w:hAnsi="Verdana" w:cs="Arial"/>
          <w:sz w:val="21"/>
          <w:szCs w:val="21"/>
        </w:rPr>
        <w:t>Artículo 2.2.1.1.2.2.1. Modificación de los pliegos de condiciones. La Entidad Estatal puede modificar los pliegos de condiciones a través de Adendas expedidas antes del vencimiento del plazo para presentar ofertas.  </w:t>
      </w:r>
    </w:p>
    <w:p w14:paraId="3C2E181B" w14:textId="77777777" w:rsidR="00BA1BB3" w:rsidRPr="00526681" w:rsidRDefault="00BA1BB3" w:rsidP="00BA1BB3">
      <w:pPr>
        <w:ind w:left="709" w:right="709"/>
        <w:jc w:val="both"/>
        <w:textAlignment w:val="baseline"/>
        <w:rPr>
          <w:rFonts w:ascii="Verdana" w:eastAsia="Calibri" w:hAnsi="Verdana" w:cs="Arial"/>
          <w:sz w:val="21"/>
          <w:szCs w:val="21"/>
        </w:rPr>
      </w:pPr>
      <w:r w:rsidRPr="00526681">
        <w:rPr>
          <w:rFonts w:ascii="Verdana" w:eastAsia="Calibri" w:hAnsi="Verdana" w:cs="Arial"/>
          <w:sz w:val="21"/>
          <w:szCs w:val="21"/>
        </w:rPr>
        <w:t>La Entidad Estatal puede expedir Adendas para modificar el Cronograma una vez vencido el término para la presentación de las ofertas y antes de la adjudicación del contrato. </w:t>
      </w:r>
    </w:p>
    <w:p w14:paraId="4F5F8D27" w14:textId="77777777" w:rsidR="00BA1BB3" w:rsidRPr="00526681" w:rsidRDefault="00BA1BB3" w:rsidP="00BA1BB3">
      <w:pPr>
        <w:spacing w:after="0"/>
        <w:ind w:left="709" w:right="709"/>
        <w:jc w:val="both"/>
        <w:textAlignment w:val="baseline"/>
        <w:rPr>
          <w:rFonts w:ascii="Verdana" w:eastAsia="Calibri" w:hAnsi="Verdana" w:cs="Arial"/>
          <w:sz w:val="21"/>
          <w:szCs w:val="21"/>
        </w:rPr>
      </w:pPr>
      <w:r w:rsidRPr="00526681">
        <w:rPr>
          <w:rFonts w:ascii="Verdana" w:eastAsia="Calibri" w:hAnsi="Verdana" w:cs="Arial"/>
          <w:i/>
          <w:iCs/>
          <w:sz w:val="21"/>
          <w:szCs w:val="21"/>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r w:rsidRPr="00526681">
        <w:rPr>
          <w:rFonts w:ascii="Verdana" w:eastAsia="Calibri" w:hAnsi="Verdana" w:cs="Arial"/>
          <w:sz w:val="21"/>
          <w:szCs w:val="21"/>
        </w:rPr>
        <w:t xml:space="preserve"> (Cursiva fuera del original).</w:t>
      </w:r>
    </w:p>
    <w:p w14:paraId="1FB6FB6B" w14:textId="77777777" w:rsidR="00BA1BB3" w:rsidRPr="00526681" w:rsidRDefault="00BA1BB3" w:rsidP="00BA1BB3">
      <w:pPr>
        <w:spacing w:after="0"/>
        <w:ind w:left="709" w:right="709"/>
        <w:jc w:val="both"/>
        <w:textAlignment w:val="baseline"/>
        <w:rPr>
          <w:rFonts w:ascii="Verdana" w:eastAsia="Calibri" w:hAnsi="Verdana" w:cs="Arial"/>
        </w:rPr>
      </w:pPr>
      <w:r w:rsidRPr="00526681">
        <w:rPr>
          <w:rFonts w:ascii="Verdana" w:eastAsia="Calibri" w:hAnsi="Verdana"/>
        </w:rPr>
        <w:t> </w:t>
      </w:r>
    </w:p>
    <w:p w14:paraId="49D80113" w14:textId="77777777" w:rsidR="00BA1BB3" w:rsidRPr="00526681" w:rsidRDefault="00BA1BB3" w:rsidP="00BA1BB3">
      <w:pPr>
        <w:spacing w:after="120" w:line="276" w:lineRule="auto"/>
        <w:ind w:firstLine="708"/>
        <w:jc w:val="both"/>
        <w:rPr>
          <w:rFonts w:ascii="Verdana" w:eastAsia="Calibri" w:hAnsi="Verdana" w:cs="Arial"/>
          <w:sz w:val="21"/>
          <w:szCs w:val="21"/>
        </w:rPr>
      </w:pPr>
      <w:r w:rsidRPr="00526681">
        <w:rPr>
          <w:rFonts w:ascii="Verdana" w:eastAsia="Calibri" w:hAnsi="Verdana" w:cs="Arial"/>
        </w:rPr>
        <w:t xml:space="preserve">La interpretación de esta norma supone diferenciar entre dos (2) tipos de ajustes que pueden dar lugar a la expedición de </w:t>
      </w:r>
      <w:bookmarkStart w:id="3" w:name="_Hlk113271930"/>
      <w:r w:rsidRPr="00526681">
        <w:rPr>
          <w:rFonts w:ascii="Verdana" w:eastAsia="Calibri" w:hAnsi="Verdana" w:cs="Arial"/>
        </w:rPr>
        <w:t>adendas: i) los referidos a las condiciones técnicas, jurídicas y económicas del pliego definitivo</w:t>
      </w:r>
      <w:bookmarkEnd w:id="3"/>
      <w:r w:rsidRPr="00526681">
        <w:rPr>
          <w:rFonts w:ascii="Verdana" w:eastAsia="Calibri" w:hAnsi="Verdana" w:cs="Arial"/>
        </w:rPr>
        <w:t xml:space="preserve"> y, en general, a cualquier contenido distinto del cronograma del procedimiento de selección y </w:t>
      </w:r>
      <w:proofErr w:type="spellStart"/>
      <w:r w:rsidRPr="00526681">
        <w:rPr>
          <w:rFonts w:ascii="Verdana" w:eastAsia="Calibri" w:hAnsi="Verdana" w:cs="Arial"/>
        </w:rPr>
        <w:t>ii</w:t>
      </w:r>
      <w:proofErr w:type="spellEnd"/>
      <w:r w:rsidRPr="00526681">
        <w:rPr>
          <w:rFonts w:ascii="Verdana" w:eastAsia="Calibri" w:hAnsi="Verdana" w:cs="Arial"/>
        </w:rPr>
        <w:t>)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w:t>
      </w:r>
      <w:r w:rsidRPr="00526681">
        <w:rPr>
          <w:rStyle w:val="Refdenotaalpie"/>
          <w:rFonts w:ascii="Verdana" w:eastAsia="Calibri" w:hAnsi="Verdana" w:cs="Arial"/>
        </w:rPr>
        <w:footnoteReference w:id="6"/>
      </w:r>
      <w:r w:rsidRPr="00526681">
        <w:rPr>
          <w:rFonts w:ascii="Verdana" w:eastAsia="Calibri" w:hAnsi="Verdana" w:cs="Arial"/>
        </w:rPr>
        <w:t xml:space="preserve">.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526681">
        <w:rPr>
          <w:rFonts w:ascii="Verdana" w:eastAsia="Calibri" w:hAnsi="Verdana" w:cs="Arial"/>
          <w:sz w:val="21"/>
          <w:szCs w:val="21"/>
        </w:rPr>
        <w:t xml:space="preserve">2.2.1.1.2.2.1. </w:t>
      </w:r>
      <w:proofErr w:type="spellStart"/>
      <w:r w:rsidRPr="00526681">
        <w:rPr>
          <w:rFonts w:ascii="Verdana" w:eastAsia="Calibri" w:hAnsi="Verdana" w:cs="Arial"/>
          <w:i/>
          <w:iCs/>
          <w:sz w:val="21"/>
          <w:szCs w:val="21"/>
        </w:rPr>
        <w:t>ejusdem</w:t>
      </w:r>
      <w:proofErr w:type="spellEnd"/>
      <w:r w:rsidRPr="00526681">
        <w:rPr>
          <w:rFonts w:ascii="Verdana" w:eastAsia="Calibri" w:hAnsi="Verdana" w:cs="Arial"/>
          <w:sz w:val="21"/>
          <w:szCs w:val="21"/>
        </w:rPr>
        <w:t>.</w:t>
      </w:r>
    </w:p>
    <w:p w14:paraId="7EAE217F" w14:textId="77777777" w:rsidR="00BA1BB3" w:rsidRPr="00526681" w:rsidRDefault="00BA1BB3" w:rsidP="00BA1BB3">
      <w:pPr>
        <w:spacing w:after="120" w:line="276" w:lineRule="auto"/>
        <w:ind w:firstLine="708"/>
        <w:jc w:val="both"/>
        <w:textAlignment w:val="baseline"/>
        <w:rPr>
          <w:rFonts w:ascii="Verdana" w:hAnsi="Verdana" w:cs="Arial"/>
          <w:lang w:eastAsia="es-CO"/>
        </w:rPr>
      </w:pPr>
      <w:r w:rsidRPr="00526681">
        <w:rPr>
          <w:rFonts w:ascii="Verdana" w:hAnsi="Verdana" w:cs="Arial"/>
          <w:lang w:eastAsia="es-CO"/>
        </w:rPr>
        <w:lastRenderedPageBreak/>
        <w:t xml:space="preserve">Como se observa, tanto para la licitación pública, como para los demás procedimientos de selección de contratistas, las normas legales y reglamentarias prevén la posibilidad de modificar los pliegos de condiciones mediante </w:t>
      </w:r>
      <w:r w:rsidRPr="00526681">
        <w:rPr>
          <w:rFonts w:ascii="Verdana" w:hAnsi="Verdana" w:cs="Arial"/>
          <w:i/>
          <w:iCs/>
          <w:lang w:eastAsia="es-CO"/>
        </w:rPr>
        <w:t>adendas</w:t>
      </w:r>
      <w:r w:rsidRPr="00526681">
        <w:rPr>
          <w:rFonts w:ascii="Verdana" w:hAnsi="Verdana" w:cs="Arial"/>
          <w:lang w:eastAsia="es-CO"/>
        </w:rPr>
        <w:t xml:space="preserve">. </w:t>
      </w:r>
    </w:p>
    <w:p w14:paraId="7947FF0B" w14:textId="77777777" w:rsidR="00BA1BB3" w:rsidRPr="00526681" w:rsidRDefault="00BA1BB3" w:rsidP="00BA1BB3">
      <w:pPr>
        <w:spacing w:after="120" w:line="276" w:lineRule="auto"/>
        <w:ind w:firstLine="708"/>
        <w:jc w:val="both"/>
        <w:textAlignment w:val="baseline"/>
        <w:rPr>
          <w:rFonts w:ascii="Verdana" w:hAnsi="Verdana" w:cs="Arial"/>
          <w:lang w:eastAsia="es-CO"/>
        </w:rPr>
      </w:pPr>
      <w:bookmarkStart w:id="4" w:name="_Hlk113273292"/>
      <w:r w:rsidRPr="00526681">
        <w:rPr>
          <w:rFonts w:ascii="Verdana" w:hAnsi="Verdana" w:cs="Arial"/>
          <w:lang w:eastAsia="es-CO"/>
        </w:rPr>
        <w:t xml:space="preserve">Sin embargo, respecto de las adendas proferidas antes del cierre del proceso, es claro que existen ciertos límites temporales para la expedición y publicación de las adendas. En primer lugar, es necesario que las mismas se publiquen entre las 7:00 am y las 7:00 pm de un día hábil. En segundo lugar, esta publicación debe realizarse a más tardar el día hábil anterior al vencimiento del plazo para presentar ofertas “a la hora fijada para tal presentación”. Así, a modo de ejemplo, si el plazo para presentar ofertas –cierre del proceso– venciera a las 3:00 pm del jueves 22 de octubre, el plazo para publicar adendas terminaría a las 3:00 pm del miércoles 21 de octubre. En tercer lugar, existe una regla de excepción que deriva directamente del artículo 30-5 de la Ley 80 de 1993, y se reitera en la norma citada del Decreto 1082 de 2015, para la licitación pública, donde las adendas </w:t>
      </w:r>
      <w:r w:rsidRPr="00526681">
        <w:rPr>
          <w:rFonts w:ascii="Verdana" w:eastAsia="Arial" w:hAnsi="Verdana" w:cs="Arial"/>
          <w:lang w:eastAsia="es-ES" w:bidi="es-ES"/>
        </w:rPr>
        <w:t>no podrán expedirse dentro de los tres (3) días hábiles anteriores en que se tiene previsto el cierre del proceso de selección, sino que deberán expedirse antes de dicho momento.</w:t>
      </w:r>
      <w:r w:rsidRPr="00526681">
        <w:rPr>
          <w:rFonts w:ascii="Verdana" w:hAnsi="Verdana" w:cs="Arial"/>
          <w:lang w:eastAsia="es-CO"/>
        </w:rPr>
        <w:t xml:space="preserve"> </w:t>
      </w:r>
    </w:p>
    <w:bookmarkEnd w:id="4"/>
    <w:p w14:paraId="5A103737" w14:textId="77777777" w:rsidR="00BA1BB3" w:rsidRPr="00526681" w:rsidRDefault="00BA1BB3" w:rsidP="00BA1BB3">
      <w:pPr>
        <w:spacing w:after="120" w:line="276" w:lineRule="auto"/>
        <w:ind w:firstLine="708"/>
        <w:jc w:val="both"/>
        <w:textAlignment w:val="baseline"/>
        <w:rPr>
          <w:rFonts w:ascii="Verdana" w:hAnsi="Verdana" w:cs="Arial"/>
          <w:lang w:eastAsia="es-CO"/>
        </w:rPr>
      </w:pPr>
      <w:r w:rsidRPr="00526681">
        <w:rPr>
          <w:rFonts w:ascii="Verdana" w:hAnsi="Verdana" w:cs="Arial"/>
          <w:lang w:eastAsia="es-CO"/>
        </w:rPr>
        <w:t xml:space="preserve">En ese orden de ideas, las normas prevén dos límites temporales para la publicación de las adendas, antes del cierre del proceso de selección: i) 3 días hábiles antes del vencimiento del plazo para presentar ofertas para la licitación pública y </w:t>
      </w:r>
      <w:proofErr w:type="spellStart"/>
      <w:r w:rsidRPr="00526681">
        <w:rPr>
          <w:rFonts w:ascii="Verdana" w:hAnsi="Verdana" w:cs="Arial"/>
          <w:lang w:eastAsia="es-CO"/>
        </w:rPr>
        <w:t>ii</w:t>
      </w:r>
      <w:proofErr w:type="spellEnd"/>
      <w:r w:rsidRPr="00526681">
        <w:rPr>
          <w:rFonts w:ascii="Verdana" w:hAnsi="Verdana" w:cs="Arial"/>
          <w:lang w:eastAsia="es-CO"/>
        </w:rPr>
        <w:t xml:space="preserve">) un día hábil antes del vencimiento del plazo para presentar ofertas para las demás modalidades de selección.  </w:t>
      </w:r>
    </w:p>
    <w:p w14:paraId="3B231A50" w14:textId="77777777" w:rsidR="00BA1BB3" w:rsidRPr="00526681" w:rsidRDefault="00BA1BB3" w:rsidP="00BA1BB3">
      <w:pPr>
        <w:spacing w:after="120" w:line="276" w:lineRule="auto"/>
        <w:ind w:firstLine="708"/>
        <w:jc w:val="both"/>
        <w:textAlignment w:val="baseline"/>
        <w:rPr>
          <w:rFonts w:ascii="Verdana" w:hAnsi="Verdana" w:cs="Arial"/>
          <w:lang w:eastAsia="es-CO"/>
        </w:rPr>
      </w:pPr>
      <w:r w:rsidRPr="00526681">
        <w:rPr>
          <w:rFonts w:ascii="Verdana" w:hAnsi="Verdana" w:cs="Arial"/>
          <w:lang w:eastAsia="es-CO"/>
        </w:rPr>
        <w:t>Quiere decir lo anterior que, para las modalidades de selección de contratistas distintas de la licitación, la entidad estatal debe respetar el término del artículo 2.2.1.1.2.2.1, y, por ende, solo puede expedir y publicar adendas a más tardar el día hábil anterior hasta la hora fijada para la presentación de las ofertas del día hábil siguiente, como se explicó anteriormente</w:t>
      </w:r>
      <w:r w:rsidRPr="00526681">
        <w:rPr>
          <w:rStyle w:val="Refdenotaalpie"/>
          <w:rFonts w:ascii="Verdana" w:hAnsi="Verdana" w:cs="Arial"/>
          <w:lang w:eastAsia="es-CO"/>
        </w:rPr>
        <w:footnoteReference w:id="7"/>
      </w:r>
      <w:r w:rsidRPr="00526681">
        <w:rPr>
          <w:rFonts w:ascii="Verdana" w:hAnsi="Verdana" w:cs="Arial"/>
          <w:lang w:eastAsia="es-CO"/>
        </w:rPr>
        <w:t>.</w:t>
      </w:r>
    </w:p>
    <w:p w14:paraId="4CB54707" w14:textId="77777777" w:rsidR="00BA1BB3" w:rsidRPr="00526681" w:rsidRDefault="00BA1BB3" w:rsidP="00BA1BB3">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 xml:space="preserve">En armonía con lo anterior, la Agencia Nacional de Contratación Pública – Colombia Compra Eficiente ha venido pronunciándose, de manera concreta, </w:t>
      </w:r>
      <w:r w:rsidRPr="00526681">
        <w:rPr>
          <w:rFonts w:ascii="Verdana" w:hAnsi="Verdana" w:cs="Arial"/>
          <w:lang w:eastAsia="es-CO"/>
        </w:rPr>
        <w:lastRenderedPageBreak/>
        <w:t>sobre la oportunidad que tienen las entidades estatales para modificar el pliego de condiciones, como en el concepto C-564 del 8 de septiembre de 2022, al respecto se refirió la agencia:</w:t>
      </w:r>
    </w:p>
    <w:p w14:paraId="6172BAD2" w14:textId="77777777" w:rsidR="00BA1BB3" w:rsidRPr="00526681" w:rsidRDefault="00BA1BB3" w:rsidP="00BA1BB3">
      <w:pPr>
        <w:spacing w:after="0" w:line="276" w:lineRule="auto"/>
        <w:ind w:firstLine="708"/>
        <w:jc w:val="both"/>
        <w:textAlignment w:val="baseline"/>
        <w:rPr>
          <w:rFonts w:ascii="Verdana" w:hAnsi="Verdana" w:cs="Arial"/>
          <w:lang w:eastAsia="es-CO"/>
        </w:rPr>
      </w:pPr>
    </w:p>
    <w:p w14:paraId="0975FDFB" w14:textId="77777777" w:rsidR="00BA1BB3" w:rsidRPr="00526681" w:rsidRDefault="00BA1BB3" w:rsidP="00BA1BB3">
      <w:pPr>
        <w:ind w:left="709" w:right="709"/>
        <w:jc w:val="both"/>
        <w:textAlignment w:val="baseline"/>
        <w:rPr>
          <w:rFonts w:ascii="Verdana" w:eastAsia="Calibri" w:hAnsi="Verdana" w:cs="Arial"/>
          <w:sz w:val="21"/>
          <w:szCs w:val="21"/>
        </w:rPr>
      </w:pPr>
      <w:r w:rsidRPr="00526681">
        <w:rPr>
          <w:rFonts w:ascii="Verdana" w:eastAsia="Calibri" w:hAnsi="Verdana" w:cs="Arial"/>
          <w:sz w:val="21"/>
          <w:szCs w:val="21"/>
        </w:rPr>
        <w:t>Las Entidades Estatales pueden modificar el pliego de condiciones mediante Adendas expedidas antes del vencimiento del plazo para presentar ofertas. Así mismo, el Cronograma puede ser modificado mediante Adenda una vez vencido el término para la presentación de ofertas y antes de la adjudicación del contrato.</w:t>
      </w:r>
    </w:p>
    <w:p w14:paraId="0E9D4B0C" w14:textId="77777777" w:rsidR="00BA1BB3" w:rsidRPr="00526681" w:rsidRDefault="00BA1BB3" w:rsidP="00BA1BB3">
      <w:pPr>
        <w:spacing w:after="0"/>
        <w:ind w:left="709" w:right="709"/>
        <w:jc w:val="both"/>
        <w:textAlignment w:val="baseline"/>
        <w:rPr>
          <w:rFonts w:ascii="Verdana" w:eastAsia="Calibri" w:hAnsi="Verdana" w:cs="Arial"/>
          <w:sz w:val="21"/>
          <w:szCs w:val="21"/>
        </w:rPr>
      </w:pPr>
      <w:r w:rsidRPr="00526681">
        <w:rPr>
          <w:rFonts w:ascii="Verdana" w:eastAsia="Calibri" w:hAnsi="Verdana" w:cs="Arial"/>
          <w:sz w:val="21"/>
          <w:szCs w:val="21"/>
        </w:rPr>
        <w:t>Cuando el Proceso de Contratación se adelanta mediante licitación pública, la publicación de las Adendas debe hacerse tres días antes de la presentación de las Ofertas. En los demás Procesos de Contratación la Entidad Estatal debe publicar las Adendas en los días hábiles, entre las 7:00 a.m. y las 7:00 p.m., a más tardar el día hábil anterior al vencimiento del plazo para presentar ofertas a la hora fijada para tal presentación.</w:t>
      </w:r>
    </w:p>
    <w:p w14:paraId="4354BC10" w14:textId="77777777" w:rsidR="00BA1BB3" w:rsidRPr="00526681" w:rsidRDefault="00BA1BB3" w:rsidP="00BA1BB3">
      <w:pPr>
        <w:spacing w:after="0"/>
        <w:ind w:left="709" w:right="709"/>
        <w:jc w:val="both"/>
        <w:textAlignment w:val="baseline"/>
        <w:rPr>
          <w:rFonts w:ascii="Verdana" w:eastAsia="Calibri" w:hAnsi="Verdana" w:cs="Arial"/>
          <w:sz w:val="21"/>
          <w:szCs w:val="21"/>
        </w:rPr>
      </w:pPr>
    </w:p>
    <w:p w14:paraId="24BF8E33" w14:textId="77777777" w:rsidR="00BA1BB3" w:rsidRPr="00526681" w:rsidRDefault="00BA1BB3" w:rsidP="00BA1BB3">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De igual forma, la doctrina se ha pronunciado sobre la procedencia de las adendas para modificar el pliego de condiciones de la siguiente forma:</w:t>
      </w:r>
    </w:p>
    <w:p w14:paraId="63BF12F1" w14:textId="77777777" w:rsidR="00BA1BB3" w:rsidRPr="00526681" w:rsidRDefault="00BA1BB3" w:rsidP="00BA1BB3">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 xml:space="preserve"> </w:t>
      </w:r>
    </w:p>
    <w:p w14:paraId="34468E47" w14:textId="77777777" w:rsidR="00BA1BB3" w:rsidRPr="00526681" w:rsidRDefault="00BA1BB3" w:rsidP="00BA1BB3">
      <w:pPr>
        <w:ind w:left="709" w:right="709"/>
        <w:jc w:val="both"/>
        <w:textAlignment w:val="baseline"/>
        <w:rPr>
          <w:rFonts w:ascii="Verdana" w:eastAsia="Calibri" w:hAnsi="Verdana" w:cs="Arial"/>
          <w:sz w:val="21"/>
          <w:szCs w:val="21"/>
        </w:rPr>
      </w:pPr>
      <w:r w:rsidRPr="00526681">
        <w:rPr>
          <w:rFonts w:ascii="Verdana" w:eastAsia="Calibri" w:hAnsi="Verdana" w:cs="Arial"/>
          <w:sz w:val="21"/>
          <w:szCs w:val="21"/>
        </w:rPr>
        <w:t>Hasta antes de la expedición de la Ley 1474 de 2011, era posible expedir adendas el mismo día de cierre del proceso cuando su finalidad era ampliar el término para presentar ofertas y hasta un día antes del cierre para los demás casos. A partir del 12 de julio de 2011, las adendas solo pueden ser expedidas por fuera de los tres días hábiles anteriores al cierre del proceso de selección, atendiendo lo dispuesto en el artículo 89 de la Ley 1474 de 2011. Además, resalta la norma que la publicación de las adendas en la licitación pública debe efectuarse en horas y días hábiles laborales. Con esta disposición, como hasta ahora se ha referenciado, se da cumplimiento a los principios de transparencia y economía, permitiendo a los posibles oferentes disponer de un tiempo adecuado para preparar y elaborar la propuesta, garantizando que no se realizarán cambios a última hora, afectándose sustancialmente la misma.</w:t>
      </w:r>
    </w:p>
    <w:p w14:paraId="11CD14C2" w14:textId="77777777" w:rsidR="00BA1BB3" w:rsidRPr="00526681" w:rsidRDefault="00BA1BB3" w:rsidP="00BA1BB3">
      <w:pPr>
        <w:ind w:left="709" w:right="709"/>
        <w:jc w:val="both"/>
        <w:textAlignment w:val="baseline"/>
        <w:rPr>
          <w:rFonts w:ascii="Verdana" w:eastAsia="Calibri" w:hAnsi="Verdana" w:cs="Arial"/>
          <w:sz w:val="21"/>
          <w:szCs w:val="21"/>
        </w:rPr>
      </w:pPr>
      <w:r w:rsidRPr="00526681">
        <w:rPr>
          <w:rFonts w:ascii="Verdana" w:eastAsia="Calibri" w:hAnsi="Verdana" w:cs="Arial"/>
          <w:sz w:val="21"/>
          <w:szCs w:val="21"/>
        </w:rPr>
        <w:t>[…]</w:t>
      </w:r>
    </w:p>
    <w:p w14:paraId="03A21D96" w14:textId="77777777" w:rsidR="00BA1BB3" w:rsidRPr="00526681" w:rsidRDefault="00BA1BB3" w:rsidP="00BA1BB3">
      <w:pPr>
        <w:ind w:left="709" w:right="709"/>
        <w:jc w:val="both"/>
        <w:textAlignment w:val="baseline"/>
        <w:rPr>
          <w:rFonts w:ascii="Verdana" w:eastAsia="Calibri" w:hAnsi="Verdana" w:cs="Arial"/>
          <w:sz w:val="21"/>
          <w:szCs w:val="21"/>
        </w:rPr>
      </w:pPr>
      <w:r w:rsidRPr="00526681">
        <w:rPr>
          <w:rFonts w:ascii="Verdana" w:eastAsia="Calibri" w:hAnsi="Verdana" w:cs="Arial"/>
          <w:sz w:val="21"/>
          <w:szCs w:val="21"/>
        </w:rPr>
        <w:t xml:space="preserve">respecto a la modificación del pliego de condiciones estableció en el artículo 2.2.1.1.2.2.1 del Decreto 1082 de 2015 que este podrá modificarse por adendas, antes del vencimiento del plazo para recibir ofertas, tal como ya lo traía el Decreto 734 de 2012. Trae algo nuevo y es la facultad de expedir adendas para modificar el cronograma del </w:t>
      </w:r>
      <w:r w:rsidRPr="00526681">
        <w:rPr>
          <w:rFonts w:ascii="Verdana" w:eastAsia="Calibri" w:hAnsi="Verdana" w:cs="Arial"/>
          <w:sz w:val="21"/>
          <w:szCs w:val="21"/>
        </w:rPr>
        <w:lastRenderedPageBreak/>
        <w:t>proceso de selección vencido el plazo para presentar ofertas y antes de la adjudicación; cabe anotar que esto se venía realizando con autorización del Decreto 734 de 2012, pero bajo un acto administrativo diferente a la adenda.</w:t>
      </w:r>
    </w:p>
    <w:p w14:paraId="7D55C56D" w14:textId="77777777" w:rsidR="00BA1BB3" w:rsidRPr="00526681" w:rsidRDefault="00BA1BB3" w:rsidP="00BA1BB3">
      <w:pPr>
        <w:ind w:left="709" w:right="709"/>
        <w:jc w:val="both"/>
        <w:textAlignment w:val="baseline"/>
        <w:rPr>
          <w:rFonts w:ascii="Verdana" w:eastAsia="Calibri" w:hAnsi="Verdana" w:cs="Arial"/>
          <w:sz w:val="21"/>
          <w:szCs w:val="21"/>
        </w:rPr>
      </w:pPr>
      <w:r w:rsidRPr="00526681">
        <w:rPr>
          <w:rFonts w:ascii="Verdana" w:eastAsia="Calibri" w:hAnsi="Verdana" w:cs="Arial"/>
          <w:sz w:val="21"/>
          <w:szCs w:val="21"/>
        </w:rPr>
        <w:t>De acuerdo con lo estipulado en el artículo 2.2.1.1.2.2.1 del Decreto 1082 de 2015, tanto en las modalidades de licitación, selección abreviada como concurso de méritos, el pliego de condiciones puede ser modificado por medio de adendas y en el plazo estipulado en el pliego de condiciones, debiendo tener en cuenta los términos legales que a continuación se expresarán. Por lo anterior, las entidades interesadas en la contratación tienen el deber de prever en el cronograma del proceso de selección el plazo suficiente para que los proponentes puedan ajustar sus propuestas a las modificaciones realizadas.</w:t>
      </w:r>
    </w:p>
    <w:p w14:paraId="5E83E0CE" w14:textId="77777777" w:rsidR="00BA1BB3" w:rsidRPr="00526681" w:rsidRDefault="00BA1BB3" w:rsidP="00BA1BB3">
      <w:pPr>
        <w:spacing w:after="0"/>
        <w:ind w:left="709" w:right="709"/>
        <w:jc w:val="both"/>
        <w:textAlignment w:val="baseline"/>
        <w:rPr>
          <w:rFonts w:ascii="Verdana" w:eastAsia="Calibri" w:hAnsi="Verdana" w:cs="Arial"/>
          <w:sz w:val="21"/>
          <w:szCs w:val="21"/>
        </w:rPr>
      </w:pPr>
      <w:r w:rsidRPr="00526681">
        <w:rPr>
          <w:rFonts w:ascii="Verdana" w:eastAsia="Calibri" w:hAnsi="Verdana" w:cs="Arial"/>
          <w:sz w:val="21"/>
          <w:szCs w:val="21"/>
        </w:rPr>
        <w:t xml:space="preserve">La expedición y publicación de adendas en las modalidades de selección abreviada y concurso de méritos debe efectuarse a más tardar el día hábil anterior a la finalización del plazo para recibir ofertas, en día hábil y horario laboral, entendiéndose por día hábil </w:t>
      </w:r>
      <w:bookmarkStart w:id="5" w:name="_Hlk113272420"/>
      <w:r w:rsidRPr="00526681">
        <w:rPr>
          <w:rFonts w:ascii="Verdana" w:eastAsia="Calibri" w:hAnsi="Verdana" w:cs="Arial"/>
          <w:sz w:val="21"/>
          <w:szCs w:val="21"/>
        </w:rPr>
        <w:t>los días no feriados de lunes a viernes y como horario laboral el comprendido entre las 7:00 am a 7:00 pm</w:t>
      </w:r>
      <w:bookmarkEnd w:id="5"/>
      <w:r w:rsidRPr="00526681">
        <w:rPr>
          <w:rStyle w:val="Refdenotaalpie"/>
          <w:rFonts w:ascii="Verdana" w:eastAsia="Calibri" w:hAnsi="Verdana" w:cs="Arial"/>
          <w:sz w:val="21"/>
          <w:szCs w:val="21"/>
        </w:rPr>
        <w:footnoteReference w:id="8"/>
      </w:r>
      <w:r w:rsidRPr="00526681">
        <w:rPr>
          <w:rFonts w:ascii="Verdana" w:eastAsia="Calibri" w:hAnsi="Verdana" w:cs="Arial"/>
          <w:sz w:val="21"/>
          <w:szCs w:val="21"/>
        </w:rPr>
        <w:t>.</w:t>
      </w:r>
    </w:p>
    <w:p w14:paraId="04542292" w14:textId="77777777" w:rsidR="00BA1BB3" w:rsidRPr="00526681" w:rsidRDefault="00BA1BB3" w:rsidP="00BA1BB3">
      <w:pPr>
        <w:spacing w:after="0"/>
        <w:ind w:left="709" w:right="709"/>
        <w:jc w:val="both"/>
        <w:textAlignment w:val="baseline"/>
        <w:rPr>
          <w:rFonts w:ascii="Verdana" w:eastAsia="Calibri" w:hAnsi="Verdana" w:cs="Arial"/>
          <w:sz w:val="21"/>
          <w:szCs w:val="21"/>
        </w:rPr>
      </w:pPr>
    </w:p>
    <w:p w14:paraId="2ABEE573" w14:textId="77777777" w:rsidR="00BA1BB3" w:rsidRPr="00526681" w:rsidRDefault="00BA1BB3" w:rsidP="00BA1BB3">
      <w:pPr>
        <w:spacing w:line="276" w:lineRule="auto"/>
        <w:ind w:firstLine="708"/>
        <w:jc w:val="both"/>
        <w:textAlignment w:val="baseline"/>
        <w:rPr>
          <w:rFonts w:ascii="Verdana" w:hAnsi="Verdana" w:cs="Arial"/>
          <w:lang w:eastAsia="es-CO"/>
        </w:rPr>
      </w:pPr>
      <w:r w:rsidRPr="00526681">
        <w:rPr>
          <w:rFonts w:ascii="Verdana" w:hAnsi="Verdana" w:cs="Arial"/>
          <w:lang w:eastAsia="es-CO"/>
        </w:rPr>
        <w:t>En conclusión, para las modalidades de selección de contratistas distintas de la licitación pública, la entidad estatal debe respetar el término del artículo 2.2.1.1.2.2.1 y, por ende, solo puede expedir y publicar adendas a más tardar el día hábil anterior, hasta la hora fijada para la presentación de las ofertas del día hábil siguiente –esto es, del cierre del proceso–. Además de lo anterior, de acuerdo con dicha disposición las adendas deben publicarse en días hábiles, entre las 7:00 a. m. y las 7:00 p. m. Finalmente, conviene precisar que las exigencias anteriores también aplican para los procesos de mínima cuantía, de acuerdo con el numeral 4 del artículo 2.2.1.2.1.5.2. del Decreto 1082 de 2015 –modificado por el Decreto 1860 de 2021–.</w:t>
      </w:r>
    </w:p>
    <w:p w14:paraId="78753F45" w14:textId="77777777" w:rsidR="00BA1BB3" w:rsidRPr="00526681" w:rsidRDefault="00BA1BB3" w:rsidP="00BA1BB3">
      <w:pPr>
        <w:spacing w:line="276" w:lineRule="auto"/>
        <w:ind w:firstLine="708"/>
        <w:jc w:val="both"/>
        <w:textAlignment w:val="baseline"/>
        <w:rPr>
          <w:rFonts w:ascii="Verdana" w:hAnsi="Verdana" w:cs="Arial"/>
          <w:lang w:eastAsia="es-CO"/>
        </w:rPr>
      </w:pPr>
      <w:r w:rsidRPr="00526681">
        <w:rPr>
          <w:rFonts w:ascii="Verdana" w:hAnsi="Verdana" w:cs="Arial"/>
          <w:lang w:eastAsia="es-CO"/>
        </w:rPr>
        <w:t>Explicado el contexto anterior, se entiende que el cumplimiento de las reglas dispuestas para la expedición de adendas antes del cierre del proceso de selección garantiza que las actuaciones de la Administración se ajusten y observen los principios que rigen en la gestión contractual del Estado</w:t>
      </w:r>
      <w:r w:rsidRPr="00526681">
        <w:rPr>
          <w:rStyle w:val="Refdenotaalpie"/>
          <w:rFonts w:ascii="Verdana" w:hAnsi="Verdana" w:cs="Arial"/>
          <w:lang w:eastAsia="es-CO"/>
        </w:rPr>
        <w:footnoteReference w:id="9"/>
      </w:r>
      <w:r w:rsidRPr="00526681">
        <w:rPr>
          <w:rFonts w:ascii="Verdana" w:hAnsi="Verdana" w:cs="Arial"/>
          <w:lang w:eastAsia="es-CO"/>
        </w:rPr>
        <w:t xml:space="preserve">. En ese </w:t>
      </w:r>
      <w:r w:rsidRPr="00526681">
        <w:rPr>
          <w:rFonts w:ascii="Verdana" w:hAnsi="Verdana" w:cs="Arial"/>
          <w:lang w:eastAsia="es-CO"/>
        </w:rPr>
        <w:lastRenderedPageBreak/>
        <w:t>orden, la expedición de adendas por fuera del término de los plazos establecidos en el artículo 2.2.1.1.2.2.1 del Decreto 1082 de 2015, en el marco de un proceso de selección contractual, desconoce los principios de transparencia</w:t>
      </w:r>
      <w:r w:rsidRPr="00526681">
        <w:rPr>
          <w:rStyle w:val="Refdenotaalpie"/>
          <w:rFonts w:ascii="Verdana" w:hAnsi="Verdana" w:cs="Arial"/>
          <w:lang w:eastAsia="es-CO"/>
        </w:rPr>
        <w:footnoteReference w:id="10"/>
      </w:r>
      <w:r w:rsidRPr="00526681">
        <w:rPr>
          <w:rFonts w:ascii="Verdana" w:hAnsi="Verdana" w:cs="Arial"/>
          <w:lang w:eastAsia="es-CO"/>
        </w:rPr>
        <w:t xml:space="preserve"> y economía</w:t>
      </w:r>
      <w:r w:rsidRPr="00526681">
        <w:rPr>
          <w:rStyle w:val="Refdenotaalpie"/>
          <w:rFonts w:ascii="Verdana" w:hAnsi="Verdana" w:cs="Arial"/>
          <w:lang w:eastAsia="es-CO"/>
        </w:rPr>
        <w:footnoteReference w:id="11"/>
      </w:r>
      <w:r w:rsidRPr="00526681">
        <w:rPr>
          <w:rFonts w:ascii="Verdana" w:hAnsi="Verdana" w:cs="Arial"/>
          <w:lang w:eastAsia="es-CO"/>
        </w:rPr>
        <w:t xml:space="preserve"> que rigen la contratación estatal, en la medida en que introduce alteraciones sustanciales en las condiciones del proceso sin garantizar condiciones objetivas, predecibles y equitativas para todos los interesados.</w:t>
      </w:r>
    </w:p>
    <w:p w14:paraId="450939BF" w14:textId="77777777" w:rsidR="00BA1BB3" w:rsidRPr="00583191" w:rsidRDefault="00BA1BB3" w:rsidP="00BA1BB3">
      <w:pPr>
        <w:spacing w:line="276" w:lineRule="auto"/>
        <w:ind w:firstLine="708"/>
        <w:jc w:val="both"/>
        <w:textAlignment w:val="baseline"/>
        <w:rPr>
          <w:rFonts w:ascii="Verdana" w:hAnsi="Verdana" w:cs="Arial"/>
          <w:lang w:eastAsia="es-CO"/>
        </w:rPr>
      </w:pPr>
      <w:r w:rsidRPr="00583191">
        <w:rPr>
          <w:rFonts w:ascii="Verdana" w:hAnsi="Verdana" w:cs="Arial"/>
          <w:lang w:eastAsia="es-CO"/>
        </w:rPr>
        <w:t xml:space="preserve">En efecto, el marco normativo vigente establece plazos perentorios para la modificación del pliego de condiciones mediante adendas, como expresión concreta de los principios de planeación, publicidad y libre concurrencia. </w:t>
      </w:r>
      <w:r w:rsidRPr="00526681">
        <w:rPr>
          <w:rFonts w:ascii="Verdana" w:hAnsi="Verdana" w:cs="Arial"/>
          <w:lang w:eastAsia="es-CO"/>
        </w:rPr>
        <w:t>De manera que e</w:t>
      </w:r>
      <w:r w:rsidRPr="00583191">
        <w:rPr>
          <w:rFonts w:ascii="Verdana" w:hAnsi="Verdana" w:cs="Arial"/>
          <w:lang w:eastAsia="es-CO"/>
        </w:rPr>
        <w:t xml:space="preserve">l desconocimiento de dichos plazos, incluso cuando obedezca a razones operativas o de buena fe, puede comprometer la igualdad de oportunidades entre los oferentes y afectar la adecuada preparación de las ofertas, lo que se traduce en una afectación a la eficiencia del proceso </w:t>
      </w:r>
      <w:r w:rsidRPr="00526681">
        <w:rPr>
          <w:rFonts w:ascii="Verdana" w:hAnsi="Verdana" w:cs="Arial"/>
          <w:lang w:eastAsia="es-CO"/>
        </w:rPr>
        <w:t>(</w:t>
      </w:r>
      <w:r w:rsidRPr="00583191">
        <w:rPr>
          <w:rFonts w:ascii="Verdana" w:hAnsi="Verdana" w:cs="Arial"/>
          <w:lang w:eastAsia="es-CO"/>
        </w:rPr>
        <w:t>principio de economía) y a su integridad procedimental (principio de transparencia).</w:t>
      </w:r>
    </w:p>
    <w:p w14:paraId="0DF91BA6" w14:textId="77777777" w:rsidR="00BA1BB3" w:rsidRDefault="00BA1BB3" w:rsidP="00BA1BB3">
      <w:pPr>
        <w:spacing w:line="276" w:lineRule="auto"/>
        <w:ind w:firstLine="708"/>
        <w:jc w:val="both"/>
        <w:textAlignment w:val="baseline"/>
        <w:rPr>
          <w:rFonts w:ascii="Verdana" w:hAnsi="Verdana" w:cs="Arial"/>
          <w:lang w:eastAsia="es-CO"/>
        </w:rPr>
      </w:pPr>
      <w:r w:rsidRPr="00583191">
        <w:rPr>
          <w:rFonts w:ascii="Verdana" w:hAnsi="Verdana" w:cs="Arial"/>
          <w:lang w:eastAsia="es-CO"/>
        </w:rPr>
        <w:t>Desde una perspectiva sistémica</w:t>
      </w:r>
      <w:r w:rsidRPr="00526681">
        <w:rPr>
          <w:rFonts w:ascii="Verdana" w:hAnsi="Verdana" w:cs="Arial"/>
          <w:lang w:eastAsia="es-CO"/>
        </w:rPr>
        <w:t xml:space="preserve"> y axiológica</w:t>
      </w:r>
      <w:r w:rsidRPr="00583191">
        <w:rPr>
          <w:rFonts w:ascii="Verdana" w:hAnsi="Verdana" w:cs="Arial"/>
          <w:lang w:eastAsia="es-CO"/>
        </w:rPr>
        <w:t>, la oportunidad en la expedición de adendas no es una formalidad vacía, sino una garantía mínima del debido proceso en la contratación pública. La publicación extemporánea de modificaciones, al no permitir que todos los interesados accedan en condiciones de equidad a la nueva información, distorsiona el escenario competitivo y mina la confianza en la administración pública, contrariando así el fin último del EGCAP: asegurar la selección objetiva del contratista que ofrezca las mejores condiciones para el interés general.</w:t>
      </w:r>
    </w:p>
    <w:p w14:paraId="28A658D1" w14:textId="77777777" w:rsidR="00BA1BB3" w:rsidRDefault="00BA1BB3" w:rsidP="00BA1BB3">
      <w:pPr>
        <w:spacing w:after="0" w:line="276" w:lineRule="auto"/>
        <w:ind w:firstLine="708"/>
        <w:jc w:val="both"/>
        <w:textAlignment w:val="baseline"/>
        <w:rPr>
          <w:rFonts w:ascii="Verdana" w:hAnsi="Verdana" w:cs="Arial"/>
          <w:lang w:eastAsia="es-CO"/>
        </w:rPr>
      </w:pPr>
      <w:r>
        <w:rPr>
          <w:rFonts w:ascii="Verdana" w:hAnsi="Verdana" w:cs="Arial"/>
          <w:lang w:eastAsia="es-CO"/>
        </w:rPr>
        <w:t>En línea con lo anterior, el Consejo de Estado puntualizó sobre la importancia de la observancia de los principios de la contratación estatal al señalar que:</w:t>
      </w:r>
    </w:p>
    <w:p w14:paraId="10AA1588" w14:textId="77777777" w:rsidR="00BA1BB3" w:rsidRDefault="00BA1BB3" w:rsidP="00BA1BB3">
      <w:pPr>
        <w:spacing w:after="0" w:line="276" w:lineRule="auto"/>
        <w:ind w:firstLine="708"/>
        <w:jc w:val="both"/>
        <w:textAlignment w:val="baseline"/>
        <w:rPr>
          <w:rFonts w:ascii="Verdana" w:hAnsi="Verdana" w:cs="Arial"/>
          <w:lang w:eastAsia="es-CO"/>
        </w:rPr>
      </w:pPr>
    </w:p>
    <w:p w14:paraId="6808C072" w14:textId="77777777" w:rsidR="00BA1BB3" w:rsidRDefault="00BA1BB3" w:rsidP="00BA1BB3">
      <w:pPr>
        <w:spacing w:after="0" w:line="276" w:lineRule="auto"/>
        <w:ind w:left="709" w:right="709"/>
        <w:jc w:val="both"/>
        <w:textAlignment w:val="baseline"/>
        <w:rPr>
          <w:rFonts w:ascii="Verdana" w:hAnsi="Verdana" w:cs="Arial"/>
          <w:sz w:val="21"/>
          <w:szCs w:val="21"/>
          <w:lang w:eastAsia="es-CO"/>
        </w:rPr>
      </w:pPr>
      <w:r w:rsidRPr="00E40A5C">
        <w:rPr>
          <w:rFonts w:ascii="Verdana" w:hAnsi="Verdana" w:cs="Arial"/>
          <w:sz w:val="21"/>
          <w:szCs w:val="21"/>
          <w:lang w:eastAsia="es-CO"/>
        </w:rPr>
        <w:t xml:space="preserve">De acuerdo con el artículo 23 de la Ley 80 de 1993 las actuaciones de quienes intervengan en la contratación estatal deben ceñirse a los principios de transparencia, economía y responsabilidad, sin dejar de lado los postulados que rigen la función administrativa, esto es que esa función está al servicio de los intereses generales y debe desarrollarse de acuerdo con los principios de igualdad, moralidad, eficacia, celeridad, imparcialidad y publicidad. El principio de transparencia en </w:t>
      </w:r>
      <w:r w:rsidRPr="00E40A5C">
        <w:rPr>
          <w:rFonts w:ascii="Verdana" w:hAnsi="Verdana" w:cs="Arial"/>
          <w:sz w:val="21"/>
          <w:szCs w:val="21"/>
          <w:lang w:eastAsia="es-CO"/>
        </w:rPr>
        <w:lastRenderedPageBreak/>
        <w:t xml:space="preserve">la contratación estatal comprende aspectos tales como la claridad y la nitidez en la actuación contractual para poder hacer efectiva la supremacía del interés general, la libre concurrencia de los interesados en contratar con el Estado, la igualdad de los oferentes, la publicidad de todo el </w:t>
      </w:r>
      <w:proofErr w:type="spellStart"/>
      <w:r w:rsidRPr="00E40A5C">
        <w:rPr>
          <w:rFonts w:ascii="Verdana" w:hAnsi="Verdana" w:cs="Arial"/>
          <w:sz w:val="21"/>
          <w:szCs w:val="21"/>
          <w:lang w:eastAsia="es-CO"/>
        </w:rPr>
        <w:t>iter</w:t>
      </w:r>
      <w:proofErr w:type="spellEnd"/>
      <w:r w:rsidRPr="00E40A5C">
        <w:rPr>
          <w:rFonts w:ascii="Verdana" w:hAnsi="Verdana" w:cs="Arial"/>
          <w:sz w:val="21"/>
          <w:szCs w:val="21"/>
          <w:lang w:eastAsia="es-CO"/>
        </w:rPr>
        <w:t xml:space="preserve"> contractual, la selección objetiva del contratista, el derecho a cuestionar o controvertir las decisiones que en esta materia realice la Administración, etc. La libre concurrencia de los interesados implica la posibilidad de estos de acceder e intervenir en el proceso de selección y la imposibilidad para la Administración de establecer, sin justificación legal alguna, mecanismos o previsiones que conduzcan a la exclusión de potenciales oferentes. Y es que de no ser así se conculcaría también el deber de selección objetiva porque al excluir posibles proponentes se estaría creando un universo restringido de oferentes en el que perfectamente puede no estar la mejor oferta</w:t>
      </w:r>
      <w:r>
        <w:rPr>
          <w:rStyle w:val="Refdenotaalpie"/>
          <w:rFonts w:ascii="Verdana" w:hAnsi="Verdana" w:cs="Arial"/>
          <w:sz w:val="21"/>
          <w:szCs w:val="21"/>
          <w:lang w:eastAsia="es-CO"/>
        </w:rPr>
        <w:footnoteReference w:id="12"/>
      </w:r>
      <w:r>
        <w:rPr>
          <w:rFonts w:ascii="Verdana" w:hAnsi="Verdana" w:cs="Arial"/>
          <w:sz w:val="21"/>
          <w:szCs w:val="21"/>
          <w:lang w:eastAsia="es-CO"/>
        </w:rPr>
        <w:t>.</w:t>
      </w:r>
    </w:p>
    <w:p w14:paraId="32CBBE8A" w14:textId="77777777" w:rsidR="00BA1BB3" w:rsidRPr="00583191" w:rsidRDefault="00BA1BB3" w:rsidP="00BA1BB3">
      <w:pPr>
        <w:spacing w:after="0" w:line="276" w:lineRule="auto"/>
        <w:ind w:left="709" w:right="709"/>
        <w:jc w:val="both"/>
        <w:textAlignment w:val="baseline"/>
        <w:rPr>
          <w:rFonts w:ascii="Verdana" w:hAnsi="Verdana" w:cs="Arial"/>
          <w:sz w:val="21"/>
          <w:szCs w:val="21"/>
          <w:lang w:eastAsia="es-CO"/>
        </w:rPr>
      </w:pPr>
    </w:p>
    <w:p w14:paraId="4D5987E7" w14:textId="77777777" w:rsidR="00BA1BB3" w:rsidRDefault="00BA1BB3" w:rsidP="00BA1BB3">
      <w:pPr>
        <w:spacing w:line="276" w:lineRule="auto"/>
        <w:ind w:firstLine="708"/>
        <w:jc w:val="both"/>
        <w:textAlignment w:val="baseline"/>
        <w:rPr>
          <w:rFonts w:ascii="Verdana" w:hAnsi="Verdana" w:cs="Arial"/>
          <w:lang w:eastAsia="es-CO"/>
        </w:rPr>
      </w:pPr>
      <w:r w:rsidRPr="00583191">
        <w:rPr>
          <w:rFonts w:ascii="Verdana" w:hAnsi="Verdana" w:cs="Arial"/>
          <w:lang w:eastAsia="es-CO"/>
        </w:rPr>
        <w:t>Por tanto, la observancia estricta de los plazos para la expedición de adendas no solo es un requisito legal, sino también una manifestación sustancial de los principios que estructuran el régimen de contratación pública, cuya inobservancia debe analizarse con rigor, incluso cuando no haya una afectación concreta al resultado del proceso, ya que el juicio sobre su legalidad y legitimidad también se proyecta sobre su diseño y ejecución procedimental.</w:t>
      </w:r>
    </w:p>
    <w:p w14:paraId="7EBF859A" w14:textId="77777777" w:rsidR="00BA1BB3" w:rsidRPr="00526681" w:rsidRDefault="00BA1BB3" w:rsidP="00BA1BB3">
      <w:pPr>
        <w:spacing w:after="0" w:line="276" w:lineRule="auto"/>
        <w:ind w:firstLine="709"/>
        <w:jc w:val="both"/>
        <w:rPr>
          <w:rFonts w:ascii="Verdana" w:eastAsia="Calibri" w:hAnsi="Verdana" w:cs="Arial"/>
          <w:color w:val="000000" w:themeColor="text1"/>
          <w:lang w:eastAsia="es-ES_tradnl"/>
        </w:rPr>
      </w:pPr>
    </w:p>
    <w:p w14:paraId="1475593D" w14:textId="77777777" w:rsidR="00BA1BB3" w:rsidRPr="00526681" w:rsidRDefault="00BA1BB3" w:rsidP="00BA1BB3">
      <w:pPr>
        <w:widowControl w:val="0"/>
        <w:autoSpaceDE w:val="0"/>
        <w:autoSpaceDN w:val="0"/>
        <w:spacing w:after="0" w:line="276" w:lineRule="auto"/>
        <w:jc w:val="both"/>
        <w:rPr>
          <w:rFonts w:ascii="Verdana" w:hAnsi="Verdana" w:cs="Arial"/>
          <w:color w:val="000000" w:themeColor="text1"/>
        </w:rPr>
      </w:pPr>
      <w:r w:rsidRPr="00526681">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4ED2909" w14:textId="77777777" w:rsidR="00BA1BB3" w:rsidRPr="00526681" w:rsidRDefault="00BA1BB3" w:rsidP="00BA1BB3">
      <w:pPr>
        <w:spacing w:after="0" w:line="276" w:lineRule="auto"/>
        <w:ind w:firstLine="708"/>
        <w:jc w:val="both"/>
        <w:rPr>
          <w:rFonts w:ascii="Verdana" w:eastAsia="Calibri" w:hAnsi="Verdana" w:cs="Arial"/>
          <w:bCs/>
          <w:lang w:eastAsia="es-ES_tradnl"/>
        </w:rPr>
      </w:pPr>
    </w:p>
    <w:p w14:paraId="494C4118" w14:textId="77777777" w:rsidR="00BA1BB3" w:rsidRPr="00526681" w:rsidRDefault="00BA1BB3" w:rsidP="00BA1BB3">
      <w:pPr>
        <w:numPr>
          <w:ilvl w:val="0"/>
          <w:numId w:val="1"/>
        </w:numPr>
        <w:tabs>
          <w:tab w:val="left" w:pos="142"/>
          <w:tab w:val="left" w:pos="284"/>
        </w:tabs>
        <w:spacing w:after="0" w:line="276" w:lineRule="auto"/>
        <w:jc w:val="both"/>
        <w:rPr>
          <w:rFonts w:ascii="Verdana" w:eastAsia="Century Gothic" w:hAnsi="Verdana" w:cs="Century Gothic"/>
          <w:b/>
          <w:bCs/>
        </w:rPr>
      </w:pPr>
      <w:r w:rsidRPr="00526681">
        <w:rPr>
          <w:rFonts w:ascii="Verdana" w:eastAsia="Century Gothic" w:hAnsi="Verdana" w:cs="Century Gothic"/>
          <w:b/>
          <w:bCs/>
        </w:rPr>
        <w:t>Referencias normativas y jurisprudenciales:</w:t>
      </w:r>
    </w:p>
    <w:p w14:paraId="0D6A1541" w14:textId="77777777" w:rsidR="00BA1BB3" w:rsidRPr="00526681" w:rsidRDefault="00BA1BB3" w:rsidP="00BA1BB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A1BB3" w:rsidRPr="00526681" w14:paraId="0D6B6101" w14:textId="77777777" w:rsidTr="00373891">
        <w:trPr>
          <w:trHeight w:val="856"/>
          <w:jc w:val="center"/>
        </w:trPr>
        <w:tc>
          <w:tcPr>
            <w:tcW w:w="8647" w:type="dxa"/>
          </w:tcPr>
          <w:p w14:paraId="39BE28CB" w14:textId="77777777" w:rsidR="00BA1BB3" w:rsidRPr="0095392C" w:rsidRDefault="00BA1BB3" w:rsidP="00BA1BB3">
            <w:pPr>
              <w:pStyle w:val="Prrafodelista"/>
              <w:numPr>
                <w:ilvl w:val="0"/>
                <w:numId w:val="2"/>
              </w:numPr>
              <w:spacing w:line="276" w:lineRule="auto"/>
              <w:jc w:val="both"/>
              <w:rPr>
                <w:rFonts w:ascii="Verdana" w:hAnsi="Verdana"/>
              </w:rPr>
            </w:pPr>
            <w:r w:rsidRPr="0095392C">
              <w:rPr>
                <w:rFonts w:ascii="Verdana" w:hAnsi="Verdana"/>
              </w:rPr>
              <w:t>Ley 80 de 1993, artículos 23, 24, 25 y numeral 5 del artículo 30.</w:t>
            </w:r>
          </w:p>
          <w:p w14:paraId="4F2FC6D7" w14:textId="77777777" w:rsidR="00BA1BB3" w:rsidRPr="0095392C" w:rsidRDefault="00BA1BB3" w:rsidP="00BA1BB3">
            <w:pPr>
              <w:pStyle w:val="Prrafodelista"/>
              <w:numPr>
                <w:ilvl w:val="0"/>
                <w:numId w:val="2"/>
              </w:numPr>
              <w:spacing w:line="276" w:lineRule="auto"/>
              <w:jc w:val="both"/>
              <w:rPr>
                <w:rFonts w:ascii="Verdana" w:hAnsi="Verdana"/>
              </w:rPr>
            </w:pPr>
            <w:r w:rsidRPr="0095392C">
              <w:rPr>
                <w:rFonts w:ascii="Verdana" w:eastAsia="Calibri" w:hAnsi="Verdana" w:cs="Arial"/>
                <w:color w:val="000000" w:themeColor="text1"/>
              </w:rPr>
              <w:t>Decreto 1082 de 2015, artículo 2.2.1.1.2.2.1.</w:t>
            </w:r>
          </w:p>
          <w:p w14:paraId="76EC10CD" w14:textId="77777777" w:rsidR="00BA1BB3" w:rsidRPr="0095392C" w:rsidRDefault="00BA1BB3" w:rsidP="00BA1BB3">
            <w:pPr>
              <w:pStyle w:val="Prrafodelista"/>
              <w:numPr>
                <w:ilvl w:val="0"/>
                <w:numId w:val="2"/>
              </w:numPr>
              <w:spacing w:line="276" w:lineRule="auto"/>
              <w:jc w:val="both"/>
              <w:rPr>
                <w:rFonts w:ascii="Verdana" w:hAnsi="Verdana" w:cs="Arial"/>
              </w:rPr>
            </w:pPr>
            <w:r w:rsidRPr="0095392C">
              <w:rPr>
                <w:rFonts w:ascii="Verdana" w:eastAsia="Arial" w:hAnsi="Verdana" w:cs="Arial"/>
                <w:lang w:eastAsia="es-ES" w:bidi="es-ES"/>
              </w:rPr>
              <w:t>Ley 1474 de 2011, artículo 89.</w:t>
            </w:r>
          </w:p>
          <w:p w14:paraId="594D7B7D" w14:textId="77777777" w:rsidR="00BA1BB3" w:rsidRPr="0095392C" w:rsidRDefault="00BA1BB3" w:rsidP="00BA1BB3">
            <w:pPr>
              <w:pStyle w:val="Prrafodelista"/>
              <w:numPr>
                <w:ilvl w:val="0"/>
                <w:numId w:val="2"/>
              </w:numPr>
              <w:spacing w:line="276" w:lineRule="auto"/>
              <w:jc w:val="both"/>
              <w:rPr>
                <w:rFonts w:ascii="Verdana" w:hAnsi="Verdana" w:cs="Arial"/>
              </w:rPr>
            </w:pPr>
            <w:r w:rsidRPr="0095392C">
              <w:rPr>
                <w:rFonts w:ascii="Verdana" w:hAnsi="Verdana"/>
              </w:rPr>
              <w:t>CONSEJO DE ESTADO, Sección Tercera, Subsección A, del 16 de septiembre de 2013, expediente No. 30.571, C.P. Mauricio Fajardo Gómez.</w:t>
            </w:r>
          </w:p>
          <w:p w14:paraId="0C873D5C" w14:textId="77777777" w:rsidR="00BA1BB3" w:rsidRPr="0095392C" w:rsidRDefault="00BA1BB3" w:rsidP="00BA1BB3">
            <w:pPr>
              <w:pStyle w:val="Prrafodelista"/>
              <w:numPr>
                <w:ilvl w:val="0"/>
                <w:numId w:val="2"/>
              </w:numPr>
              <w:spacing w:line="276" w:lineRule="auto"/>
              <w:jc w:val="both"/>
              <w:rPr>
                <w:rFonts w:ascii="Verdana" w:hAnsi="Verdana" w:cs="Arial"/>
              </w:rPr>
            </w:pPr>
            <w:r w:rsidRPr="0095392C">
              <w:rPr>
                <w:rFonts w:ascii="Verdana" w:hAnsi="Verdana" w:cs="Arial"/>
              </w:rPr>
              <w:lastRenderedPageBreak/>
              <w:t xml:space="preserve">CONSEJO DE ESTADO, SALA DE LO CONTENCIOSO ADMINISTRATIVO SECCION TERCERA SUBSECCION C </w:t>
            </w:r>
            <w:proofErr w:type="gramStart"/>
            <w:r w:rsidRPr="0095392C">
              <w:rPr>
                <w:rFonts w:ascii="Verdana" w:hAnsi="Verdana" w:cs="Arial"/>
              </w:rPr>
              <w:t>Consejero</w:t>
            </w:r>
            <w:proofErr w:type="gramEnd"/>
            <w:r w:rsidRPr="0095392C">
              <w:rPr>
                <w:rFonts w:ascii="Verdana" w:hAnsi="Verdana" w:cs="Arial"/>
              </w:rPr>
              <w:t xml:space="preserve"> ponente: JAIME ORLANDO SANTOFIMIO GAMBOA Bogotá, D.C., Veinticuatro (24) de Marzo de dos mil once (2011) Radicación número: 63001-23-31-000-1998-00752-01(18118)</w:t>
            </w:r>
          </w:p>
          <w:p w14:paraId="3B49A8D2" w14:textId="77777777" w:rsidR="00BA1BB3" w:rsidRPr="0095392C" w:rsidRDefault="00BA1BB3" w:rsidP="00BA1BB3">
            <w:pPr>
              <w:pStyle w:val="Prrafodelista"/>
              <w:numPr>
                <w:ilvl w:val="0"/>
                <w:numId w:val="2"/>
              </w:numPr>
              <w:spacing w:line="276" w:lineRule="auto"/>
              <w:jc w:val="both"/>
              <w:rPr>
                <w:rFonts w:ascii="Verdana" w:hAnsi="Verdana" w:cs="Arial"/>
              </w:rPr>
            </w:pPr>
            <w:r w:rsidRPr="0095392C">
              <w:rPr>
                <w:rFonts w:ascii="Verdana" w:hAnsi="Verdana" w:cs="Arial"/>
              </w:rPr>
              <w:t>ROSERO MELO. Bertha Cecilia. Contratación Estatal. Ediciones de la U. Págs. 39 y 64.</w:t>
            </w:r>
          </w:p>
          <w:p w14:paraId="13DE5530" w14:textId="77777777" w:rsidR="00BA1BB3" w:rsidRPr="0095392C" w:rsidRDefault="00BA1BB3" w:rsidP="00BA1BB3">
            <w:pPr>
              <w:pStyle w:val="Prrafodelista"/>
              <w:numPr>
                <w:ilvl w:val="0"/>
                <w:numId w:val="2"/>
              </w:numPr>
              <w:spacing w:line="276" w:lineRule="auto"/>
              <w:jc w:val="both"/>
              <w:rPr>
                <w:rFonts w:ascii="Verdana" w:hAnsi="Verdana" w:cs="Arial"/>
              </w:rPr>
            </w:pPr>
            <w:r w:rsidRPr="0095392C">
              <w:rPr>
                <w:rFonts w:ascii="Verdana" w:hAnsi="Verdana" w:cs="Arial"/>
              </w:rPr>
              <w:t>Cfr. PALACIO HINCAPÉ, Juan Ángel. La contratación de las entidades estatales. Séptima Edición. Medellín: Librería Jurídica Sánchez, 2014. p. 266</w:t>
            </w:r>
          </w:p>
          <w:p w14:paraId="5376BE32" w14:textId="77777777" w:rsidR="00BA1BB3" w:rsidRPr="00526681" w:rsidRDefault="00BA1BB3" w:rsidP="00BA1BB3">
            <w:pPr>
              <w:pStyle w:val="Prrafodelista"/>
              <w:numPr>
                <w:ilvl w:val="0"/>
                <w:numId w:val="2"/>
              </w:numPr>
              <w:spacing w:line="276" w:lineRule="auto"/>
              <w:jc w:val="both"/>
              <w:rPr>
                <w:rFonts w:ascii="Verdana" w:hAnsi="Verdana" w:cs="Arial"/>
              </w:rPr>
            </w:pPr>
            <w:r w:rsidRPr="0095392C">
              <w:rPr>
                <w:rFonts w:ascii="Verdana" w:hAnsi="Verdana" w:cs="Arial"/>
              </w:rPr>
              <w:t>AGENCIA NACIONAL DE CONTRATACIÓN PÚBLICA – COLOMBIA COMPRA EFICIENTE, concepto C-564 del 8 de septiembre de 2022.</w:t>
            </w:r>
          </w:p>
        </w:tc>
      </w:tr>
    </w:tbl>
    <w:p w14:paraId="6B7518DC" w14:textId="77777777" w:rsidR="00BA1BB3" w:rsidRPr="00526681" w:rsidRDefault="00BA1BB3" w:rsidP="00BA1BB3">
      <w:pPr>
        <w:widowControl w:val="0"/>
        <w:autoSpaceDE w:val="0"/>
        <w:autoSpaceDN w:val="0"/>
        <w:spacing w:after="0" w:line="276" w:lineRule="auto"/>
        <w:jc w:val="both"/>
        <w:rPr>
          <w:rFonts w:ascii="Verdana" w:hAnsi="Verdana" w:cs="Arial"/>
        </w:rPr>
      </w:pPr>
    </w:p>
    <w:p w14:paraId="0647A44A" w14:textId="77777777" w:rsidR="00BA1BB3" w:rsidRPr="00526681" w:rsidRDefault="00BA1BB3" w:rsidP="00BA1BB3">
      <w:pPr>
        <w:numPr>
          <w:ilvl w:val="0"/>
          <w:numId w:val="1"/>
        </w:numPr>
        <w:tabs>
          <w:tab w:val="left" w:pos="142"/>
          <w:tab w:val="left" w:pos="284"/>
        </w:tabs>
        <w:spacing w:after="0" w:line="276" w:lineRule="auto"/>
        <w:jc w:val="both"/>
        <w:rPr>
          <w:rFonts w:ascii="Verdana" w:eastAsia="Century Gothic" w:hAnsi="Verdana" w:cs="Century Gothic"/>
          <w:b/>
          <w:bCs/>
        </w:rPr>
      </w:pPr>
      <w:r w:rsidRPr="00526681">
        <w:rPr>
          <w:rFonts w:ascii="Verdana" w:eastAsia="Century Gothic" w:hAnsi="Verdana" w:cs="Century Gothic"/>
          <w:b/>
          <w:bCs/>
        </w:rPr>
        <w:t>Doctrina de la Agencia Nacional de Contratación Pública:</w:t>
      </w:r>
    </w:p>
    <w:p w14:paraId="057661CF" w14:textId="77777777" w:rsidR="00BA1BB3" w:rsidRPr="00526681" w:rsidRDefault="00BA1BB3" w:rsidP="00BA1BB3">
      <w:pPr>
        <w:widowControl w:val="0"/>
        <w:autoSpaceDE w:val="0"/>
        <w:autoSpaceDN w:val="0"/>
        <w:spacing w:after="0" w:line="276" w:lineRule="auto"/>
        <w:jc w:val="both"/>
        <w:rPr>
          <w:rFonts w:ascii="Verdana" w:hAnsi="Verdana" w:cs="Arial"/>
        </w:rPr>
      </w:pPr>
    </w:p>
    <w:p w14:paraId="2992FB25" w14:textId="77777777" w:rsidR="00BA1BB3" w:rsidRDefault="00BA1BB3" w:rsidP="00BA1BB3">
      <w:pPr>
        <w:widowControl w:val="0"/>
        <w:autoSpaceDE w:val="0"/>
        <w:autoSpaceDN w:val="0"/>
        <w:spacing w:after="0" w:line="240" w:lineRule="auto"/>
        <w:jc w:val="both"/>
        <w:rPr>
          <w:rFonts w:ascii="Verdana" w:hAnsi="Verdana"/>
        </w:rPr>
      </w:pPr>
      <w:r w:rsidRPr="00F71A6A">
        <w:rPr>
          <w:rStyle w:val="normaltextrun"/>
          <w:rFonts w:ascii="Verdana" w:hAnsi="Verdana" w:cs="Arial"/>
          <w:shd w:val="clear" w:color="auto" w:fill="FFFFFF"/>
          <w:lang w:val="es-ES"/>
        </w:rPr>
        <w:t xml:space="preserve">Sobre </w:t>
      </w:r>
      <w:r>
        <w:rPr>
          <w:rStyle w:val="normaltextrun"/>
          <w:rFonts w:ascii="Verdana" w:hAnsi="Verdana" w:cs="Arial"/>
          <w:shd w:val="clear" w:color="auto" w:fill="FFFFFF"/>
          <w:lang w:val="es-ES"/>
        </w:rPr>
        <w:t xml:space="preserve">la modificación de los pliegos de condiciones a través de las adendas dentro de los procesos de selección </w:t>
      </w:r>
      <w:r w:rsidRPr="00F71A6A">
        <w:rPr>
          <w:rStyle w:val="normaltextrun"/>
          <w:rFonts w:ascii="Verdana" w:hAnsi="Verdana" w:cs="Arial"/>
          <w:shd w:val="clear" w:color="auto" w:fill="FFFFFF"/>
          <w:lang w:val="es-ES"/>
        </w:rPr>
        <w:t xml:space="preserve">esta </w:t>
      </w:r>
      <w:r w:rsidRPr="00AC4E53">
        <w:rPr>
          <w:rStyle w:val="normaltextrun"/>
          <w:rFonts w:ascii="Verdana" w:hAnsi="Verdana" w:cs="Arial"/>
          <w:shd w:val="clear" w:color="auto" w:fill="FFFFFF"/>
          <w:lang w:val="es-ES"/>
        </w:rPr>
        <w:t>Subdirección </w:t>
      </w:r>
      <w:r>
        <w:rPr>
          <w:rStyle w:val="normaltextrun"/>
          <w:rFonts w:ascii="Verdana" w:hAnsi="Verdana" w:cs="Arial"/>
          <w:shd w:val="clear" w:color="auto" w:fill="FFFFFF"/>
          <w:lang w:val="es-ES"/>
        </w:rPr>
        <w:t xml:space="preserve">se pronunció </w:t>
      </w:r>
      <w:r w:rsidRPr="00AC4E53">
        <w:rPr>
          <w:rStyle w:val="normaltextrun"/>
          <w:rFonts w:ascii="Verdana" w:hAnsi="Verdana" w:cs="Arial"/>
          <w:shd w:val="clear" w:color="auto" w:fill="FFFFFF"/>
          <w:lang w:val="es-ES"/>
        </w:rPr>
        <w:t>en los conceptos</w:t>
      </w:r>
      <w:r w:rsidRPr="00AC4E53">
        <w:rPr>
          <w:rFonts w:ascii="Verdana" w:eastAsia="Aptos" w:hAnsi="Verdana" w:cs="Arial"/>
          <w:shd w:val="clear" w:color="auto" w:fill="FFFFFF"/>
          <w:lang w:val="es-ES"/>
        </w:rPr>
        <w:t xml:space="preserve"> C</w:t>
      </w:r>
      <w:r>
        <w:rPr>
          <w:rFonts w:ascii="Verdana" w:eastAsia="Aptos" w:hAnsi="Verdana" w:cs="Arial"/>
          <w:shd w:val="clear" w:color="auto" w:fill="FFFFFF"/>
          <w:lang w:val="es-ES"/>
        </w:rPr>
        <w:t>-674 del 18 de noviembre de 2020, C-564 del 8 de septiembre de 2022, C-519 del 13 de septiembre de 2022, C-647 del 5 de octubre de 2022, C-705 de 25 de octubre de 2022, C-817 del 5 de diciembre de 2022, C-882 del 21 de diciembre de 2022, C-218 del 13 de julio de 2023</w:t>
      </w:r>
      <w:r w:rsidRPr="00AC4E53">
        <w:rPr>
          <w:rStyle w:val="normaltextrun"/>
          <w:rFonts w:ascii="Verdana" w:hAnsi="Verdana" w:cs="Calibri"/>
          <w:shd w:val="clear" w:color="auto" w:fill="FFFFFF"/>
        </w:rPr>
        <w:t>,</w:t>
      </w:r>
      <w:r>
        <w:rPr>
          <w:rStyle w:val="normaltextrun"/>
          <w:rFonts w:ascii="Verdana" w:hAnsi="Verdana" w:cs="Calibri"/>
          <w:shd w:val="clear" w:color="auto" w:fill="FFFFFF"/>
        </w:rPr>
        <w:t xml:space="preserve"> C- 383 del 20 de septiembre de 2023, </w:t>
      </w:r>
      <w:r>
        <w:rPr>
          <w:rFonts w:ascii="Verdana" w:eastAsia="Aptos" w:hAnsi="Verdana" w:cs="Arial"/>
          <w:shd w:val="clear" w:color="auto" w:fill="FFFFFF"/>
          <w:lang w:val="es-ES"/>
        </w:rPr>
        <w:t xml:space="preserve">C-299 del 21 de agosto de 2024, C-432 del 16 de septiembre de 2024, </w:t>
      </w:r>
      <w:r>
        <w:rPr>
          <w:rStyle w:val="normaltextrun"/>
          <w:rFonts w:ascii="Verdana" w:hAnsi="Verdana" w:cs="Calibri"/>
          <w:shd w:val="clear" w:color="auto" w:fill="FFFFFF"/>
        </w:rPr>
        <w:t>C-393 del 9 de septiembre de 2024, C-782 del 18 de noviembre de 2024, C-1020 del 27 de diciembre de 2024,</w:t>
      </w:r>
      <w:r w:rsidRPr="00AC4E53">
        <w:rPr>
          <w:rFonts w:ascii="Verdana" w:eastAsia="Aptos" w:hAnsi="Verdana" w:cs="Arial"/>
          <w:shd w:val="clear" w:color="auto" w:fill="FFFFFF"/>
          <w:lang w:val="es-ES"/>
        </w:rPr>
        <w:t xml:space="preserve"> entre otros</w:t>
      </w:r>
      <w:r w:rsidRPr="00AC4E53">
        <w:rPr>
          <w:rStyle w:val="normaltextrun"/>
          <w:rFonts w:ascii="Verdana" w:hAnsi="Verdana" w:cs="Arial"/>
          <w:color w:val="7030A0"/>
          <w:shd w:val="clear" w:color="auto" w:fill="FFFFFF"/>
          <w:lang w:val="es-ES"/>
        </w:rPr>
        <w:t xml:space="preserve">. </w:t>
      </w:r>
      <w:r w:rsidRPr="00A96C66">
        <w:rPr>
          <w:rStyle w:val="normaltextrun"/>
          <w:rFonts w:ascii="Verdana" w:hAnsi="Verdana" w:cs="Arial"/>
          <w:shd w:val="clear" w:color="auto" w:fill="FFFFFF"/>
          <w:lang w:val="es-ES"/>
        </w:rPr>
        <w:t>Con respecto</w:t>
      </w:r>
      <w:r>
        <w:rPr>
          <w:rStyle w:val="normaltextrun"/>
          <w:rFonts w:ascii="Verdana" w:hAnsi="Verdana" w:cs="Arial"/>
          <w:shd w:val="clear" w:color="auto" w:fill="FFFFFF"/>
          <w:lang w:val="es-ES"/>
        </w:rPr>
        <w:t xml:space="preserve"> al principio de publicidad y garantía en el SECOP II se pueden visualizar los conceptos </w:t>
      </w:r>
      <w:r w:rsidRPr="000E4790">
        <w:rPr>
          <w:rFonts w:ascii="Verdana" w:hAnsi="Verdana" w:cs="Arial"/>
          <w:shd w:val="clear" w:color="auto" w:fill="FFFFFF"/>
          <w:lang w:val="es-ES_tradnl"/>
        </w:rPr>
        <w:t>C−068 del 22 de abril de 2021, C-185 del 29 de abril de 2021, C-472 del 6 de septiembre de 2021</w:t>
      </w:r>
      <w:r>
        <w:rPr>
          <w:rFonts w:ascii="Verdana" w:hAnsi="Verdana" w:cs="Arial"/>
          <w:shd w:val="clear" w:color="auto" w:fill="FFFFFF"/>
          <w:lang w:val="es-ES_tradnl"/>
        </w:rPr>
        <w:t xml:space="preserve">, C-723 del 19 de noviembre de 2024, </w:t>
      </w:r>
      <w:r>
        <w:rPr>
          <w:rStyle w:val="normaltextrun"/>
          <w:rFonts w:ascii="Verdana" w:hAnsi="Verdana" w:cs="Arial"/>
          <w:shd w:val="clear" w:color="auto" w:fill="FFFFFF"/>
          <w:lang w:val="es-ES"/>
        </w:rPr>
        <w:t>C-976 del 23 de enero de 2025, entre otros</w:t>
      </w:r>
      <w:r w:rsidRPr="00526681">
        <w:rPr>
          <w:rFonts w:ascii="Verdana" w:eastAsia="Calibri" w:hAnsi="Verdana" w:cs="Arial"/>
          <w:bCs/>
          <w:color w:val="000000" w:themeColor="text1"/>
          <w:lang w:eastAsia="es-ES_tradnl"/>
        </w:rPr>
        <w:t xml:space="preserve">. </w:t>
      </w:r>
      <w:r w:rsidRPr="00526681">
        <w:rPr>
          <w:rFonts w:ascii="Verdana" w:hAnsi="Verdana" w:cs="Arial"/>
          <w:shd w:val="clear" w:color="auto" w:fill="FFFFFF"/>
        </w:rPr>
        <w:t>Es</w:t>
      </w:r>
      <w:r w:rsidRPr="00526681">
        <w:rPr>
          <w:rFonts w:ascii="Verdana" w:hAnsi="Verdana"/>
        </w:rPr>
        <w:t>tos y otros conceptos se encuentran disponibles para consulta en el Sistema de relatoría de la Agencia, al cual se puede acceder a través del siguiente enlace:</w:t>
      </w:r>
    </w:p>
    <w:p w14:paraId="06B99615" w14:textId="77777777" w:rsidR="00BA1BB3" w:rsidRDefault="00BA1BB3" w:rsidP="00BA1BB3">
      <w:pPr>
        <w:widowControl w:val="0"/>
        <w:autoSpaceDE w:val="0"/>
        <w:autoSpaceDN w:val="0"/>
        <w:spacing w:after="0" w:line="240" w:lineRule="auto"/>
        <w:jc w:val="both"/>
        <w:rPr>
          <w:rFonts w:ascii="Verdana" w:hAnsi="Verdana"/>
        </w:rPr>
      </w:pPr>
    </w:p>
    <w:p w14:paraId="18BF5CBA" w14:textId="77777777" w:rsidR="00BA1BB3" w:rsidRPr="00526681" w:rsidRDefault="00BA1BB3" w:rsidP="00BA1BB3">
      <w:pPr>
        <w:widowControl w:val="0"/>
        <w:autoSpaceDE w:val="0"/>
        <w:autoSpaceDN w:val="0"/>
        <w:spacing w:after="0" w:line="240" w:lineRule="auto"/>
        <w:jc w:val="both"/>
        <w:rPr>
          <w:rStyle w:val="Hipervnculo"/>
          <w:rFonts w:ascii="Verdana" w:eastAsia="Times New Roman" w:hAnsi="Verdana" w:cs="Times New Roman"/>
          <w:bdr w:val="none" w:sz="0" w:space="0" w:color="auto" w:frame="1"/>
          <w:lang w:eastAsia="es-CO"/>
        </w:rPr>
      </w:pPr>
      <w:hyperlink r:id="rId12" w:history="1">
        <w:r w:rsidRPr="00064B16">
          <w:rPr>
            <w:rStyle w:val="Hipervnculo"/>
            <w:rFonts w:ascii="Verdana" w:eastAsia="Times New Roman" w:hAnsi="Verdana" w:cs="Times New Roman"/>
            <w:bdr w:val="none" w:sz="0" w:space="0" w:color="auto" w:frame="1"/>
            <w:lang w:eastAsia="es-CO"/>
          </w:rPr>
          <w:t>https://relatoria.colombiacompra.gov.co/busqueda/conceptos</w:t>
        </w:r>
      </w:hyperlink>
      <w:r w:rsidRPr="00526681">
        <w:rPr>
          <w:rStyle w:val="Hipervnculo"/>
          <w:rFonts w:ascii="Verdana" w:eastAsia="Times New Roman" w:hAnsi="Verdana" w:cs="Times New Roman"/>
          <w:bdr w:val="none" w:sz="0" w:space="0" w:color="auto" w:frame="1"/>
          <w:lang w:eastAsia="es-CO"/>
        </w:rPr>
        <w:t xml:space="preserve"> </w:t>
      </w:r>
    </w:p>
    <w:p w14:paraId="00550EC9" w14:textId="77777777" w:rsidR="00BA1BB3" w:rsidRPr="00526681" w:rsidRDefault="00BA1BB3" w:rsidP="00BA1BB3">
      <w:pPr>
        <w:widowControl w:val="0"/>
        <w:autoSpaceDE w:val="0"/>
        <w:autoSpaceDN w:val="0"/>
        <w:spacing w:after="0" w:line="240" w:lineRule="auto"/>
        <w:ind w:firstLine="708"/>
        <w:jc w:val="both"/>
        <w:rPr>
          <w:rFonts w:ascii="Verdana" w:eastAsia="Times New Roman" w:hAnsi="Verdana" w:cs="Times New Roman"/>
          <w:color w:val="000000"/>
          <w:bdr w:val="none" w:sz="0" w:space="0" w:color="auto" w:frame="1"/>
          <w:lang w:eastAsia="es-CO"/>
        </w:rPr>
      </w:pPr>
    </w:p>
    <w:p w14:paraId="5A24E5DF" w14:textId="77777777" w:rsidR="00BA1BB3" w:rsidRPr="00526681" w:rsidRDefault="00BA1BB3" w:rsidP="00BA1BB3">
      <w:pPr>
        <w:widowControl w:val="0"/>
        <w:autoSpaceDE w:val="0"/>
        <w:autoSpaceDN w:val="0"/>
        <w:spacing w:after="0" w:line="240" w:lineRule="auto"/>
        <w:ind w:firstLine="708"/>
        <w:jc w:val="both"/>
        <w:rPr>
          <w:rFonts w:ascii="Verdana" w:eastAsia="Times New Roman" w:hAnsi="Verdana" w:cs="Times New Roman"/>
          <w:color w:val="000000"/>
          <w:bdr w:val="none" w:sz="0" w:space="0" w:color="auto" w:frame="1"/>
          <w:lang w:eastAsia="es-CO"/>
        </w:rPr>
      </w:pPr>
      <w:r w:rsidRPr="00526681">
        <w:rPr>
          <w:rFonts w:ascii="Verdana" w:eastAsia="Times New Roman" w:hAnsi="Verdana" w:cs="Times New Roman"/>
          <w:color w:val="000000"/>
          <w:bdr w:val="none" w:sz="0" w:space="0" w:color="auto" w:frame="1"/>
          <w:lang w:eastAsia="es-CO"/>
        </w:rPr>
        <w:t xml:space="preserve">También le contamos que ya se encuentra disponible la </w:t>
      </w:r>
      <w:r w:rsidRPr="00526681">
        <w:rPr>
          <w:rFonts w:ascii="Verdana" w:eastAsia="Times New Roman" w:hAnsi="Verdana" w:cs="Times New Roman"/>
          <w:b/>
          <w:bCs/>
          <w:color w:val="000000"/>
          <w:bdr w:val="none" w:sz="0" w:space="0" w:color="auto" w:frame="1"/>
          <w:lang w:eastAsia="es-CO"/>
        </w:rPr>
        <w:t xml:space="preserve">Guía de lineamientos de transparencia y selección objetiva para el departamento de La Guajira – Objetivo sexto constitucional de la Sentencia T-302 del 2017. </w:t>
      </w:r>
      <w:r w:rsidRPr="00526681">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w:t>
      </w:r>
      <w:r w:rsidRPr="00526681">
        <w:rPr>
          <w:rFonts w:ascii="Verdana" w:eastAsia="Times New Roman" w:hAnsi="Verdana" w:cs="Times New Roman"/>
          <w:color w:val="000000"/>
          <w:bdr w:val="none" w:sz="0" w:space="0" w:color="auto" w:frame="1"/>
          <w:lang w:eastAsia="es-CO"/>
        </w:rPr>
        <w:lastRenderedPageBreak/>
        <w:t xml:space="preserve">de las niñas del Pueblo </w:t>
      </w:r>
      <w:proofErr w:type="spellStart"/>
      <w:r w:rsidRPr="00526681">
        <w:rPr>
          <w:rFonts w:ascii="Verdana" w:eastAsia="Times New Roman" w:hAnsi="Verdana" w:cs="Times New Roman"/>
          <w:color w:val="000000"/>
          <w:bdr w:val="none" w:sz="0" w:space="0" w:color="auto" w:frame="1"/>
          <w:lang w:eastAsia="es-CO"/>
        </w:rPr>
        <w:t>Wayúu</w:t>
      </w:r>
      <w:proofErr w:type="spellEnd"/>
      <w:r w:rsidRPr="00526681">
        <w:rPr>
          <w:rFonts w:ascii="Verdana" w:eastAsia="Times New Roman" w:hAnsi="Verdana" w:cs="Times New Roman"/>
          <w:color w:val="000000"/>
          <w:bdr w:val="none" w:sz="0" w:space="0" w:color="auto" w:frame="1"/>
          <w:lang w:eastAsia="es-CO"/>
        </w:rPr>
        <w:t xml:space="preserve">.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526681">
          <w:rPr>
            <w:rStyle w:val="Hipervnculo"/>
            <w:rFonts w:ascii="Verdana" w:eastAsia="Times New Roman" w:hAnsi="Verdana" w:cs="Times New Roman"/>
            <w:bdr w:val="none" w:sz="0" w:space="0" w:color="auto" w:frame="1"/>
            <w:lang w:eastAsia="es-CO"/>
          </w:rPr>
          <w:t>Guía de lineamientos de transparencia y selección objetiva para el departamento de La Guajira – Objetivo sexto constitucional de la Sentencia T-302 del 2017</w:t>
        </w:r>
      </w:hyperlink>
    </w:p>
    <w:p w14:paraId="54938656" w14:textId="77777777" w:rsidR="00BA1BB3" w:rsidRPr="00526681" w:rsidRDefault="00BA1BB3" w:rsidP="00BA1BB3">
      <w:pPr>
        <w:widowControl w:val="0"/>
        <w:autoSpaceDE w:val="0"/>
        <w:autoSpaceDN w:val="0"/>
        <w:spacing w:after="0" w:line="276" w:lineRule="auto"/>
        <w:jc w:val="both"/>
        <w:rPr>
          <w:rFonts w:ascii="Verdana" w:hAnsi="Verdana" w:cs="Arial"/>
        </w:rPr>
      </w:pPr>
    </w:p>
    <w:p w14:paraId="3A956FCD" w14:textId="77777777" w:rsidR="00BA1BB3" w:rsidRPr="00526681" w:rsidRDefault="00BA1BB3" w:rsidP="00BA1BB3">
      <w:pPr>
        <w:spacing w:after="0" w:line="240" w:lineRule="auto"/>
        <w:rPr>
          <w:rFonts w:ascii="Verdana" w:hAnsi="Verdana" w:cs="Arial"/>
          <w:lang w:eastAsia="es-CO"/>
        </w:rPr>
      </w:pPr>
      <w:r w:rsidRPr="00526681">
        <w:rPr>
          <w:rFonts w:ascii="Verdana" w:eastAsia="Times New Roman" w:hAnsi="Verdana" w:cs="Arial"/>
          <w:lang w:eastAsia="es-CO"/>
        </w:rPr>
        <w:t>Atentamente,</w:t>
      </w:r>
      <w:r w:rsidRPr="00526681">
        <w:rPr>
          <w:rFonts w:ascii="Verdana" w:hAnsi="Verdana" w:cs="Arial"/>
          <w:lang w:eastAsia="es-CO"/>
        </w:rPr>
        <w:t xml:space="preserve"> </w:t>
      </w:r>
    </w:p>
    <w:p w14:paraId="11EEEE28" w14:textId="56421094" w:rsidR="00BA1BB3" w:rsidRPr="00526681" w:rsidRDefault="0057622B" w:rsidP="00BA1BB3">
      <w:pPr>
        <w:spacing w:line="276" w:lineRule="auto"/>
        <w:jc w:val="center"/>
        <w:rPr>
          <w:rFonts w:ascii="Verdana" w:hAnsi="Verdana" w:cs="Arial"/>
          <w:color w:val="000000"/>
          <w:lang w:eastAsia="es-CO"/>
        </w:rPr>
      </w:pPr>
      <w:r w:rsidRPr="004D5C25">
        <w:rPr>
          <w:rFonts w:ascii="Century Gothic" w:hAnsi="Century Gothic"/>
          <w:noProof/>
        </w:rPr>
        <w:drawing>
          <wp:inline distT="0" distB="0" distL="0" distR="0" wp14:anchorId="3F82ED1C" wp14:editId="1CCF21D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A1BB3" w:rsidRPr="00526681" w14:paraId="42C3FA8D" w14:textId="77777777" w:rsidTr="00373891">
        <w:trPr>
          <w:trHeight w:val="315"/>
        </w:trPr>
        <w:tc>
          <w:tcPr>
            <w:tcW w:w="893" w:type="dxa"/>
            <w:vAlign w:val="center"/>
            <w:hideMark/>
          </w:tcPr>
          <w:p w14:paraId="1633307A" w14:textId="77777777" w:rsidR="00BA1BB3" w:rsidRPr="00526681" w:rsidRDefault="00BA1BB3" w:rsidP="00373891">
            <w:pPr>
              <w:contextualSpacing/>
              <w:rPr>
                <w:rFonts w:ascii="Verdana" w:hAnsi="Verdana" w:cs="Arial"/>
                <w:sz w:val="16"/>
                <w:szCs w:val="16"/>
                <w:lang w:eastAsia="es-ES"/>
              </w:rPr>
            </w:pPr>
            <w:r w:rsidRPr="00526681">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4D777C9" w14:textId="77777777" w:rsidR="00BA1BB3" w:rsidRPr="00526681" w:rsidRDefault="00BA1BB3" w:rsidP="00373891">
            <w:pPr>
              <w:contextualSpacing/>
              <w:rPr>
                <w:rFonts w:ascii="Verdana" w:hAnsi="Verdana"/>
                <w:sz w:val="16"/>
                <w:szCs w:val="16"/>
              </w:rPr>
            </w:pPr>
            <w:r w:rsidRPr="00526681">
              <w:rPr>
                <w:rFonts w:ascii="Verdana" w:hAnsi="Verdana"/>
                <w:sz w:val="16"/>
                <w:szCs w:val="16"/>
              </w:rPr>
              <w:t>Sergio Enrique Caballero Lesmes</w:t>
            </w:r>
          </w:p>
          <w:p w14:paraId="191B2E17" w14:textId="77777777" w:rsidR="00BA1BB3" w:rsidRPr="00526681" w:rsidRDefault="00BA1BB3" w:rsidP="00373891">
            <w:pPr>
              <w:contextualSpacing/>
              <w:rPr>
                <w:rFonts w:ascii="Verdana" w:eastAsia="Arial" w:hAnsi="Verdana" w:cs="Arial"/>
                <w:sz w:val="16"/>
                <w:szCs w:val="16"/>
              </w:rPr>
            </w:pPr>
            <w:r w:rsidRPr="00526681">
              <w:rPr>
                <w:rFonts w:ascii="Verdana" w:hAnsi="Verdana"/>
                <w:sz w:val="16"/>
                <w:szCs w:val="16"/>
              </w:rPr>
              <w:t>Analista T2-02 de la Subdirección de Gestión Contractual</w:t>
            </w:r>
          </w:p>
        </w:tc>
      </w:tr>
      <w:tr w:rsidR="00BA1BB3" w:rsidRPr="00526681" w14:paraId="6A6947C0" w14:textId="77777777" w:rsidTr="00373891">
        <w:trPr>
          <w:trHeight w:val="330"/>
        </w:trPr>
        <w:tc>
          <w:tcPr>
            <w:tcW w:w="893" w:type="dxa"/>
            <w:vAlign w:val="center"/>
            <w:hideMark/>
          </w:tcPr>
          <w:p w14:paraId="736FD706" w14:textId="77777777" w:rsidR="00BA1BB3" w:rsidRPr="00526681" w:rsidRDefault="00BA1BB3" w:rsidP="00373891">
            <w:pPr>
              <w:contextualSpacing/>
              <w:rPr>
                <w:rFonts w:ascii="Verdana" w:hAnsi="Verdana" w:cs="Arial"/>
                <w:sz w:val="16"/>
                <w:szCs w:val="16"/>
                <w:lang w:eastAsia="es-ES"/>
              </w:rPr>
            </w:pPr>
            <w:r w:rsidRPr="00526681">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98FF49" w14:textId="77777777" w:rsidR="00BA1BB3" w:rsidRPr="00BF523E" w:rsidRDefault="00BA1BB3" w:rsidP="00373891">
            <w:pPr>
              <w:contextualSpacing/>
              <w:rPr>
                <w:rFonts w:ascii="Verdana" w:hAnsi="Verdana"/>
                <w:sz w:val="16"/>
                <w:szCs w:val="16"/>
              </w:rPr>
            </w:pPr>
            <w:r w:rsidRPr="00BF523E">
              <w:rPr>
                <w:rFonts w:ascii="Verdana" w:hAnsi="Verdana"/>
                <w:sz w:val="16"/>
                <w:szCs w:val="16"/>
              </w:rPr>
              <w:t xml:space="preserve">Diana Lucia Saavedra </w:t>
            </w:r>
            <w:r>
              <w:rPr>
                <w:rFonts w:ascii="Verdana" w:hAnsi="Verdana"/>
                <w:sz w:val="16"/>
                <w:szCs w:val="16"/>
              </w:rPr>
              <w:t>Castañeda</w:t>
            </w:r>
          </w:p>
          <w:p w14:paraId="1C8661F9" w14:textId="77777777" w:rsidR="00BA1BB3" w:rsidRPr="00526681" w:rsidRDefault="00BA1BB3" w:rsidP="00373891">
            <w:pPr>
              <w:contextualSpacing/>
              <w:textAlignment w:val="baseline"/>
              <w:rPr>
                <w:rFonts w:ascii="Verdana" w:hAnsi="Verdana"/>
                <w:sz w:val="16"/>
                <w:szCs w:val="16"/>
              </w:rPr>
            </w:pPr>
            <w:r w:rsidRPr="00526681">
              <w:rPr>
                <w:rFonts w:ascii="Verdana" w:hAnsi="Verdana"/>
                <w:sz w:val="16"/>
                <w:szCs w:val="16"/>
              </w:rPr>
              <w:t>Contratista de la Subdirección de Gestión Contractual</w:t>
            </w:r>
          </w:p>
        </w:tc>
      </w:tr>
      <w:tr w:rsidR="00BA1BB3" w:rsidRPr="00526681" w14:paraId="31EF0966" w14:textId="77777777" w:rsidTr="00373891">
        <w:trPr>
          <w:trHeight w:val="300"/>
        </w:trPr>
        <w:tc>
          <w:tcPr>
            <w:tcW w:w="893" w:type="dxa"/>
            <w:vAlign w:val="center"/>
          </w:tcPr>
          <w:p w14:paraId="63F276BA" w14:textId="77777777" w:rsidR="00BA1BB3" w:rsidRPr="00526681" w:rsidRDefault="00BA1BB3" w:rsidP="00373891">
            <w:pPr>
              <w:contextualSpacing/>
              <w:rPr>
                <w:rFonts w:ascii="Verdana" w:hAnsi="Verdana" w:cs="Arial"/>
                <w:sz w:val="16"/>
                <w:szCs w:val="16"/>
                <w:lang w:eastAsia="es-ES"/>
              </w:rPr>
            </w:pPr>
            <w:r w:rsidRPr="00526681">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7C19F93" w14:textId="77777777" w:rsidR="00BA1BB3" w:rsidRPr="00526681" w:rsidRDefault="00BA1BB3" w:rsidP="00373891">
            <w:pPr>
              <w:contextualSpacing/>
              <w:rPr>
                <w:rFonts w:ascii="Verdana" w:eastAsia="Calibri" w:hAnsi="Verdana" w:cs="Arial"/>
                <w:sz w:val="16"/>
                <w:szCs w:val="16"/>
                <w:lang w:eastAsia="es-ES"/>
              </w:rPr>
            </w:pPr>
            <w:r w:rsidRPr="00526681">
              <w:rPr>
                <w:rFonts w:ascii="Verdana" w:eastAsia="Calibri" w:hAnsi="Verdana" w:cs="Arial"/>
                <w:sz w:val="16"/>
                <w:szCs w:val="16"/>
                <w:lang w:eastAsia="es-ES"/>
              </w:rPr>
              <w:t xml:space="preserve">Carolina Quintero </w:t>
            </w:r>
            <w:proofErr w:type="spellStart"/>
            <w:r w:rsidRPr="00526681">
              <w:rPr>
                <w:rFonts w:ascii="Verdana" w:eastAsia="Calibri" w:hAnsi="Verdana" w:cs="Arial"/>
                <w:sz w:val="16"/>
                <w:szCs w:val="16"/>
                <w:lang w:eastAsia="es-ES"/>
              </w:rPr>
              <w:t>Gacharná</w:t>
            </w:r>
            <w:proofErr w:type="spellEnd"/>
          </w:p>
          <w:p w14:paraId="0A13BAB9" w14:textId="77777777" w:rsidR="00BA1BB3" w:rsidRPr="00526681" w:rsidRDefault="00BA1BB3" w:rsidP="00373891">
            <w:pPr>
              <w:contextualSpacing/>
              <w:rPr>
                <w:rFonts w:ascii="Verdana" w:eastAsia="Calibri" w:hAnsi="Verdana" w:cs="Arial"/>
                <w:sz w:val="16"/>
                <w:szCs w:val="16"/>
                <w:lang w:eastAsia="es-ES"/>
              </w:rPr>
            </w:pPr>
            <w:r w:rsidRPr="00526681">
              <w:rPr>
                <w:rFonts w:ascii="Verdana" w:eastAsia="Calibri" w:hAnsi="Verdana" w:cs="Arial"/>
                <w:sz w:val="16"/>
                <w:szCs w:val="16"/>
                <w:lang w:eastAsia="es-ES"/>
              </w:rPr>
              <w:t>Subdirectora de Gestión Contractual ANCP – CCE</w:t>
            </w:r>
          </w:p>
        </w:tc>
      </w:tr>
      <w:bookmarkEnd w:id="0"/>
    </w:tbl>
    <w:p w14:paraId="3A485EC1" w14:textId="77777777" w:rsidR="00BA1BB3" w:rsidRPr="00526681" w:rsidRDefault="00BA1BB3" w:rsidP="00BA1BB3"/>
    <w:p w14:paraId="0567DDA5" w14:textId="77777777" w:rsidR="00BA1BB3" w:rsidRPr="00526681" w:rsidRDefault="00BA1BB3" w:rsidP="00BA1BB3"/>
    <w:p w14:paraId="7CAEBA03" w14:textId="77777777" w:rsidR="00BA1BB3" w:rsidRPr="00526681" w:rsidRDefault="00BA1BB3" w:rsidP="00BA1BB3"/>
    <w:p w14:paraId="5622F256" w14:textId="77777777" w:rsidR="00BA1BB3" w:rsidRPr="00526681" w:rsidRDefault="00BA1BB3" w:rsidP="00BA1BB3">
      <w:pPr>
        <w:spacing w:after="0"/>
        <w:rPr>
          <w:rFonts w:ascii="Verdana" w:eastAsia="Times New Roman" w:hAnsi="Verdana" w:cs="Segoe UI"/>
          <w:b/>
          <w:bCs/>
          <w:color w:val="46589C"/>
          <w:lang w:eastAsia="es-CO"/>
        </w:rPr>
      </w:pPr>
    </w:p>
    <w:p w14:paraId="603E293D" w14:textId="77777777" w:rsidR="00C24FFE" w:rsidRDefault="00C24FFE"/>
    <w:sectPr w:rsidR="00C24FFE" w:rsidSect="003414B5">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D2F94" w14:textId="77777777" w:rsidR="004E0AA2" w:rsidRDefault="004E0AA2" w:rsidP="00BA1BB3">
      <w:pPr>
        <w:spacing w:after="0" w:line="240" w:lineRule="auto"/>
      </w:pPr>
      <w:r>
        <w:separator/>
      </w:r>
    </w:p>
  </w:endnote>
  <w:endnote w:type="continuationSeparator" w:id="0">
    <w:p w14:paraId="7839D1E5" w14:textId="77777777" w:rsidR="004E0AA2" w:rsidRDefault="004E0AA2" w:rsidP="00BA1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C8C90" w14:textId="77777777" w:rsidR="0042791D" w:rsidRDefault="0042791D">
    <w:pPr>
      <w:pStyle w:val="Piedepgina"/>
    </w:pPr>
  </w:p>
  <w:p w14:paraId="09C94296" w14:textId="77777777" w:rsidR="0042791D" w:rsidRPr="00174B77" w:rsidRDefault="0042791D"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90C38E8" w14:textId="77777777" w:rsidR="0042791D" w:rsidRDefault="0042791D"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4EFC98A" w14:textId="77777777" w:rsidR="0042791D" w:rsidRPr="00E41027" w:rsidRDefault="0042791D" w:rsidP="00D520D8">
    <w:pPr>
      <w:spacing w:after="0"/>
      <w:jc w:val="both"/>
      <w:rPr>
        <w:rFonts w:ascii="Verdana" w:hAnsi="Verdana"/>
        <w:sz w:val="18"/>
        <w:szCs w:val="18"/>
      </w:rPr>
    </w:pPr>
    <w:r w:rsidRPr="00E41027">
      <w:rPr>
        <w:rFonts w:ascii="Verdana" w:hAnsi="Verdana"/>
        <w:sz w:val="18"/>
        <w:szCs w:val="18"/>
      </w:rPr>
      <w:t>Mesa de servicio: (+57) 601 7456788</w:t>
    </w:r>
  </w:p>
  <w:p w14:paraId="6E1381E1" w14:textId="77777777" w:rsidR="0042791D" w:rsidRDefault="0042791D"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5D48F" w14:textId="77777777" w:rsidR="004E0AA2" w:rsidRDefault="004E0AA2" w:rsidP="00BA1BB3">
      <w:pPr>
        <w:spacing w:after="0" w:line="240" w:lineRule="auto"/>
      </w:pPr>
      <w:r>
        <w:separator/>
      </w:r>
    </w:p>
  </w:footnote>
  <w:footnote w:type="continuationSeparator" w:id="0">
    <w:p w14:paraId="5E6E648A" w14:textId="77777777" w:rsidR="004E0AA2" w:rsidRDefault="004E0AA2" w:rsidP="00BA1BB3">
      <w:pPr>
        <w:spacing w:after="0" w:line="240" w:lineRule="auto"/>
      </w:pPr>
      <w:r>
        <w:continuationSeparator/>
      </w:r>
    </w:p>
  </w:footnote>
  <w:footnote w:id="1">
    <w:p w14:paraId="5BF17E8C" w14:textId="77777777" w:rsidR="00BA1BB3" w:rsidRPr="001610B6" w:rsidRDefault="00BA1BB3" w:rsidP="00BA1BB3">
      <w:pPr>
        <w:pStyle w:val="Textonotapie"/>
        <w:ind w:firstLine="708"/>
        <w:jc w:val="both"/>
        <w:rPr>
          <w:rFonts w:ascii="Verdana" w:hAnsi="Verdana" w:cs="Arial"/>
          <w:color w:val="000000" w:themeColor="text1"/>
          <w:sz w:val="14"/>
          <w:szCs w:val="14"/>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OSPINA MENA, Jesús Marino. Régimen de la Contratación Estatal. Un salto a la contratación líquida. Bogotá: Ed. 1ª. Diké, 2020. p. 383.</w:t>
      </w:r>
    </w:p>
    <w:p w14:paraId="5A9095FA" w14:textId="77777777" w:rsidR="00BA1BB3" w:rsidRPr="001610B6" w:rsidRDefault="00BA1BB3" w:rsidP="00BA1BB3">
      <w:pPr>
        <w:pStyle w:val="Textonotapie"/>
        <w:ind w:firstLine="708"/>
        <w:jc w:val="both"/>
        <w:rPr>
          <w:rFonts w:ascii="Verdana" w:hAnsi="Verdana" w:cs="Arial"/>
          <w:color w:val="000000" w:themeColor="text1"/>
          <w:sz w:val="14"/>
          <w:szCs w:val="14"/>
        </w:rPr>
      </w:pPr>
    </w:p>
  </w:footnote>
  <w:footnote w:id="2">
    <w:p w14:paraId="77D67ED8" w14:textId="77777777" w:rsidR="00BA1BB3" w:rsidRPr="001610B6" w:rsidRDefault="00BA1BB3" w:rsidP="00BA1BB3">
      <w:pPr>
        <w:pStyle w:val="Textonotapie"/>
        <w:ind w:firstLine="708"/>
        <w:jc w:val="both"/>
        <w:rPr>
          <w:rFonts w:ascii="Verdana" w:hAnsi="Verdana" w:cs="Arial"/>
          <w:color w:val="000000" w:themeColor="text1"/>
          <w:sz w:val="14"/>
          <w:szCs w:val="14"/>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CONSEJO DE ESTADO. Sección Tercera. Sentencia de 30 de noviembre de 2006. Exp. 18.059. M.P. Alier Hernández Enríquez.</w:t>
      </w:r>
    </w:p>
    <w:p w14:paraId="7ACD1B4D" w14:textId="77777777" w:rsidR="00BA1BB3" w:rsidRPr="001610B6" w:rsidRDefault="00BA1BB3" w:rsidP="00BA1BB3">
      <w:pPr>
        <w:pStyle w:val="Textonotapie"/>
        <w:jc w:val="both"/>
        <w:rPr>
          <w:rFonts w:ascii="Verdana" w:hAnsi="Verdana" w:cs="Arial"/>
          <w:color w:val="000000" w:themeColor="text1"/>
          <w:sz w:val="14"/>
          <w:szCs w:val="14"/>
        </w:rPr>
      </w:pPr>
    </w:p>
  </w:footnote>
  <w:footnote w:id="3">
    <w:p w14:paraId="299D5C79" w14:textId="77777777" w:rsidR="00BA1BB3" w:rsidRPr="001610B6" w:rsidRDefault="00BA1BB3" w:rsidP="00BA1BB3">
      <w:pPr>
        <w:pStyle w:val="Textonotapie"/>
        <w:ind w:firstLine="708"/>
        <w:jc w:val="both"/>
        <w:rPr>
          <w:rFonts w:ascii="Verdana" w:hAnsi="Verdana" w:cs="Arial"/>
          <w:color w:val="000000" w:themeColor="text1"/>
          <w:sz w:val="14"/>
          <w:szCs w:val="14"/>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Sin perjuicio de los dispuesto en el artículo 2.2.1.1.2.1.3. del Decreto 1082 de 2015 sobre el contenido del pliego de condiciones.</w:t>
      </w:r>
    </w:p>
  </w:footnote>
  <w:footnote w:id="4">
    <w:p w14:paraId="14F15F68" w14:textId="77777777" w:rsidR="00BA1BB3" w:rsidRPr="001610B6" w:rsidRDefault="00BA1BB3" w:rsidP="00BA1BB3">
      <w:pPr>
        <w:pStyle w:val="Textonotapie"/>
        <w:ind w:firstLine="708"/>
        <w:jc w:val="both"/>
        <w:rPr>
          <w:rFonts w:ascii="Verdana" w:hAnsi="Verdana" w:cs="Arial"/>
          <w:color w:val="000000" w:themeColor="text1"/>
          <w:sz w:val="14"/>
          <w:szCs w:val="14"/>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Lo anterior, sin perjuicio de los casos en que resulten aplicables los documentos tipo –o pliegos tipo– de que trata el parágrafo 7 del artículo 2 de la Ley 1150 de 2007, modificado por el artículo 1 de la Ley 2022 de 2020.</w:t>
      </w:r>
    </w:p>
    <w:p w14:paraId="0AE5DD45" w14:textId="77777777" w:rsidR="00BA1BB3" w:rsidRPr="001610B6" w:rsidRDefault="00BA1BB3" w:rsidP="00BA1BB3">
      <w:pPr>
        <w:pStyle w:val="Textonotapie"/>
        <w:ind w:firstLine="708"/>
        <w:jc w:val="both"/>
        <w:rPr>
          <w:rFonts w:ascii="Verdana" w:hAnsi="Verdana" w:cs="Arial"/>
          <w:color w:val="000000" w:themeColor="text1"/>
          <w:sz w:val="14"/>
          <w:szCs w:val="14"/>
        </w:rPr>
      </w:pPr>
    </w:p>
  </w:footnote>
  <w:footnote w:id="5">
    <w:p w14:paraId="2F66544B" w14:textId="77777777" w:rsidR="00BA1BB3" w:rsidRPr="001610B6" w:rsidRDefault="00BA1BB3" w:rsidP="00BA1BB3">
      <w:pPr>
        <w:spacing w:after="0"/>
        <w:ind w:firstLine="720"/>
        <w:jc w:val="both"/>
        <w:rPr>
          <w:rFonts w:ascii="Verdana" w:hAnsi="Verdana" w:cs="Arial"/>
          <w:color w:val="000000" w:themeColor="text1"/>
          <w:sz w:val="14"/>
          <w:szCs w:val="14"/>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03BC8BE1" w14:textId="77777777" w:rsidR="00BA1BB3" w:rsidRPr="001610B6" w:rsidRDefault="00BA1BB3" w:rsidP="00BA1BB3">
      <w:pPr>
        <w:spacing w:after="0"/>
        <w:ind w:firstLine="720"/>
        <w:jc w:val="both"/>
        <w:rPr>
          <w:rFonts w:ascii="Verdana" w:hAnsi="Verdana" w:cs="Arial"/>
          <w:color w:val="000000" w:themeColor="text1"/>
          <w:sz w:val="14"/>
          <w:szCs w:val="14"/>
        </w:rPr>
      </w:pPr>
      <w:r w:rsidRPr="001610B6">
        <w:rPr>
          <w:rFonts w:ascii="Verdana" w:hAnsi="Verdana" w:cs="Arial"/>
          <w:color w:val="000000" w:themeColor="text1"/>
          <w:sz w:val="14"/>
          <w:szCs w:val="14"/>
          <w:u w:val="single" w:color="4E4D4D"/>
        </w:rPr>
        <w:t xml:space="preserve"> </w:t>
      </w:r>
      <w:r w:rsidRPr="001610B6">
        <w:rPr>
          <w:rFonts w:ascii="Verdana" w:hAnsi="Verdana" w:cs="Arial"/>
          <w:color w:val="000000" w:themeColor="text1"/>
          <w:sz w:val="14"/>
          <w:szCs w:val="14"/>
        </w:rPr>
        <w:t>“5.2. De la fuerza vinculante de las respuestas a las solicitudes de aclaraciones en relación con los términos de referencia.</w:t>
      </w:r>
    </w:p>
    <w:p w14:paraId="734EE6EA" w14:textId="77777777" w:rsidR="00BA1BB3" w:rsidRPr="001610B6" w:rsidRDefault="00BA1BB3" w:rsidP="00BA1BB3">
      <w:pPr>
        <w:spacing w:after="0"/>
        <w:ind w:firstLine="720"/>
        <w:jc w:val="both"/>
        <w:rPr>
          <w:rFonts w:ascii="Verdana" w:hAnsi="Verdana" w:cs="Arial"/>
          <w:color w:val="000000" w:themeColor="text1"/>
          <w:sz w:val="14"/>
          <w:szCs w:val="14"/>
        </w:rPr>
      </w:pPr>
      <w:r w:rsidRPr="001610B6">
        <w:rPr>
          <w:rFonts w:ascii="Verdana" w:hAnsi="Verdana" w:cs="Arial"/>
          <w:color w:val="000000" w:themeColor="text1"/>
          <w:sz w:val="14"/>
          <w:szCs w:val="14"/>
        </w:rPr>
        <w:t>[…]</w:t>
      </w:r>
    </w:p>
    <w:p w14:paraId="34FD9758" w14:textId="77777777" w:rsidR="00BA1BB3" w:rsidRPr="001610B6" w:rsidRDefault="00BA1BB3" w:rsidP="00BA1BB3">
      <w:pPr>
        <w:spacing w:after="0"/>
        <w:ind w:firstLine="720"/>
        <w:jc w:val="both"/>
        <w:rPr>
          <w:rFonts w:ascii="Verdana" w:hAnsi="Verdana" w:cs="Arial"/>
          <w:color w:val="000000" w:themeColor="text1"/>
          <w:sz w:val="14"/>
          <w:szCs w:val="14"/>
        </w:rPr>
      </w:pPr>
      <w:r w:rsidRPr="001610B6">
        <w:rPr>
          <w:rFonts w:ascii="Verdana" w:hAnsi="Verdana" w:cs="Arial"/>
          <w:color w:val="000000" w:themeColor="text1"/>
          <w:sz w:val="14"/>
          <w:szCs w:val="14"/>
        </w:rPr>
        <w:t>Siguiendo el lineamiento expuesto, en criterio de la Sala, independientemente de que el contenido de la modificación se encuentre comprendido en un documento que no tenga el rótulo de “adenda”,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1610B6">
        <w:rPr>
          <w:rFonts w:ascii="Verdana" w:hAnsi="Verdana" w:cs="Arial"/>
          <w:color w:val="000000" w:themeColor="text1"/>
          <w:spacing w:val="-11"/>
          <w:sz w:val="14"/>
          <w:szCs w:val="14"/>
        </w:rPr>
        <w:t xml:space="preserve"> </w:t>
      </w:r>
      <w:r w:rsidRPr="001610B6">
        <w:rPr>
          <w:rFonts w:ascii="Verdana" w:hAnsi="Verdana" w:cs="Arial"/>
          <w:color w:val="000000" w:themeColor="text1"/>
          <w:sz w:val="14"/>
          <w:szCs w:val="14"/>
        </w:rPr>
        <w:t>oferentes.</w:t>
      </w:r>
    </w:p>
    <w:p w14:paraId="7FA3DA04" w14:textId="77777777" w:rsidR="00BA1BB3" w:rsidRPr="001610B6" w:rsidRDefault="00BA1BB3" w:rsidP="00BA1BB3">
      <w:pPr>
        <w:ind w:firstLine="720"/>
        <w:jc w:val="both"/>
        <w:rPr>
          <w:rFonts w:ascii="Verdana" w:hAnsi="Verdana" w:cs="Arial"/>
          <w:color w:val="000000" w:themeColor="text1"/>
          <w:sz w:val="14"/>
          <w:szCs w:val="14"/>
        </w:rPr>
      </w:pPr>
      <w:r w:rsidRPr="001610B6">
        <w:rPr>
          <w:rFonts w:ascii="Verdana" w:hAnsi="Verdana" w:cs="Arial"/>
          <w:color w:val="000000" w:themeColor="text1"/>
          <w:sz w:val="14"/>
          <w:szCs w:val="14"/>
        </w:rPr>
        <w:t>En ese orden de ideas, sea que se llame adenda,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1610B6">
        <w:rPr>
          <w:rFonts w:ascii="Verdana" w:hAnsi="Verdana" w:cs="Arial"/>
          <w:color w:val="000000" w:themeColor="text1"/>
          <w:spacing w:val="-20"/>
          <w:sz w:val="14"/>
          <w:szCs w:val="14"/>
        </w:rPr>
        <w:t xml:space="preserve"> </w:t>
      </w:r>
      <w:r w:rsidRPr="001610B6">
        <w:rPr>
          <w:rFonts w:ascii="Verdana" w:hAnsi="Verdana" w:cs="Arial"/>
          <w:color w:val="000000" w:themeColor="text1"/>
          <w:sz w:val="14"/>
          <w:szCs w:val="14"/>
        </w:rPr>
        <w:t>condiciones”.</w:t>
      </w:r>
    </w:p>
    <w:p w14:paraId="4BEFBD7E" w14:textId="77777777" w:rsidR="00BA1BB3" w:rsidRPr="001610B6" w:rsidRDefault="00BA1BB3" w:rsidP="00BA1BB3">
      <w:pPr>
        <w:pStyle w:val="Textonotapie"/>
        <w:ind w:firstLine="720"/>
        <w:jc w:val="both"/>
        <w:rPr>
          <w:rFonts w:ascii="Verdana" w:hAnsi="Verdana" w:cs="Arial"/>
          <w:color w:val="000000" w:themeColor="text1"/>
          <w:sz w:val="14"/>
          <w:szCs w:val="14"/>
          <w:lang w:val="es-CO"/>
        </w:rPr>
      </w:pPr>
    </w:p>
  </w:footnote>
  <w:footnote w:id="6">
    <w:p w14:paraId="4745764C" w14:textId="77777777" w:rsidR="00BA1BB3" w:rsidRPr="001610B6" w:rsidRDefault="00BA1BB3" w:rsidP="00BA1BB3">
      <w:pPr>
        <w:pStyle w:val="Textonotapie"/>
        <w:ind w:firstLine="708"/>
        <w:jc w:val="both"/>
        <w:rPr>
          <w:rFonts w:ascii="Verdana" w:hAnsi="Verdana" w:cs="Arial"/>
          <w:color w:val="000000" w:themeColor="text1"/>
          <w:sz w:val="14"/>
          <w:szCs w:val="14"/>
          <w:lang w:val="es-ES"/>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p. 266).  </w:t>
      </w:r>
    </w:p>
  </w:footnote>
  <w:footnote w:id="7">
    <w:p w14:paraId="4ED80E2F" w14:textId="77777777" w:rsidR="00BA1BB3" w:rsidRPr="001610B6" w:rsidRDefault="00BA1BB3" w:rsidP="00BA1BB3">
      <w:pPr>
        <w:pStyle w:val="Textonotapie"/>
        <w:ind w:firstLine="708"/>
        <w:jc w:val="both"/>
        <w:rPr>
          <w:rFonts w:ascii="Verdana" w:hAnsi="Verdana" w:cs="Arial"/>
          <w:color w:val="000000" w:themeColor="text1"/>
          <w:sz w:val="14"/>
          <w:szCs w:val="14"/>
          <w:lang w:val="es-CO"/>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Cabe precisar que la conclusión anterior también aplica para los procesos de mínima cuantía, toda vez que como lo establece el numeral 4 del artículo 2.2.1.2.1.5.2. del Decreto 1082 de 2015 –modificado por el Decreto 1860 de 2021–, en los procesos de mínima cuantía: “</w:t>
      </w:r>
      <w:r w:rsidRPr="001610B6">
        <w:rPr>
          <w:rFonts w:ascii="Verdana" w:hAnsi="Verdana" w:cs="Arial"/>
          <w:color w:val="000000" w:themeColor="text1"/>
          <w:sz w:val="14"/>
          <w:szCs w:val="14"/>
          <w:shd w:val="clear" w:color="auto" w:fill="FFFFFF"/>
        </w:rPr>
        <w:t xml:space="preserve">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w:t>
      </w:r>
      <w:r w:rsidRPr="001610B6">
        <w:rPr>
          <w:rFonts w:ascii="Verdana" w:hAnsi="Verdana" w:cs="Arial"/>
          <w:i/>
          <w:iCs/>
          <w:color w:val="000000" w:themeColor="text1"/>
          <w:sz w:val="14"/>
          <w:szCs w:val="14"/>
          <w:shd w:val="clear" w:color="auto" w:fill="FFFFFF"/>
        </w:rPr>
        <w:t>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w:t>
      </w:r>
      <w:r w:rsidRPr="001610B6">
        <w:rPr>
          <w:rFonts w:ascii="Verdana" w:hAnsi="Verdana" w:cs="Arial"/>
          <w:color w:val="000000" w:themeColor="text1"/>
          <w:sz w:val="14"/>
          <w:szCs w:val="14"/>
          <w:shd w:val="clear" w:color="auto" w:fill="FFFFFF"/>
        </w:rPr>
        <w:t xml:space="preserve">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footnote>
  <w:footnote w:id="8">
    <w:p w14:paraId="51A51357" w14:textId="77777777" w:rsidR="00BA1BB3" w:rsidRPr="001610B6" w:rsidRDefault="00BA1BB3" w:rsidP="00BA1BB3">
      <w:pPr>
        <w:pStyle w:val="Textonotapie"/>
        <w:ind w:firstLine="708"/>
        <w:jc w:val="both"/>
        <w:rPr>
          <w:rFonts w:ascii="Verdana" w:hAnsi="Verdana" w:cs="Arial"/>
          <w:color w:val="000000" w:themeColor="text1"/>
          <w:sz w:val="14"/>
          <w:szCs w:val="14"/>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ROSERO MELO. Bertha Cecilia. Contratación Estatal. Ediciones de la U. Págs. 39 y 64.</w:t>
      </w:r>
    </w:p>
    <w:p w14:paraId="44E3CA85" w14:textId="77777777" w:rsidR="00BA1BB3" w:rsidRPr="001610B6" w:rsidRDefault="00BA1BB3" w:rsidP="00BA1BB3">
      <w:pPr>
        <w:pStyle w:val="Textonotapie"/>
        <w:ind w:firstLine="708"/>
        <w:jc w:val="both"/>
        <w:rPr>
          <w:rFonts w:ascii="Verdana" w:hAnsi="Verdana" w:cs="Arial"/>
          <w:color w:val="000000" w:themeColor="text1"/>
          <w:sz w:val="14"/>
          <w:szCs w:val="14"/>
          <w:lang w:val="es-CO"/>
        </w:rPr>
      </w:pPr>
    </w:p>
  </w:footnote>
  <w:footnote w:id="9">
    <w:p w14:paraId="71DD28F4" w14:textId="77777777" w:rsidR="00BA1BB3" w:rsidRPr="001610B6" w:rsidRDefault="00BA1BB3" w:rsidP="00BA1BB3">
      <w:pPr>
        <w:pStyle w:val="Textonotapie"/>
        <w:ind w:firstLine="708"/>
        <w:jc w:val="both"/>
        <w:rPr>
          <w:rFonts w:ascii="Verdana" w:hAnsi="Verdana"/>
          <w:sz w:val="14"/>
          <w:szCs w:val="14"/>
          <w:lang w:val="es-CO"/>
        </w:rPr>
      </w:pPr>
      <w:r w:rsidRPr="001610B6">
        <w:rPr>
          <w:rStyle w:val="Refdenotaalpie"/>
          <w:rFonts w:ascii="Verdana" w:hAnsi="Verdana"/>
          <w:sz w:val="14"/>
          <w:szCs w:val="14"/>
        </w:rPr>
        <w:footnoteRef/>
      </w:r>
      <w:r w:rsidRPr="001610B6">
        <w:rPr>
          <w:rFonts w:ascii="Verdana" w:hAnsi="Verdana"/>
          <w:sz w:val="14"/>
          <w:szCs w:val="14"/>
        </w:rPr>
        <w:t xml:space="preserve"> </w:t>
      </w:r>
      <w:r w:rsidRPr="001610B6">
        <w:rPr>
          <w:rFonts w:ascii="Verdana" w:hAnsi="Verdana"/>
          <w:sz w:val="14"/>
          <w:szCs w:val="14"/>
          <w:lang w:val="es-CO"/>
        </w:rPr>
        <w:t xml:space="preserve">Artículo 23. </w:t>
      </w:r>
      <w:r w:rsidRPr="001610B6">
        <w:rPr>
          <w:rFonts w:ascii="Verdana" w:hAnsi="Verdana"/>
          <w:i/>
          <w:iCs/>
          <w:sz w:val="14"/>
          <w:szCs w:val="14"/>
          <w:lang w:val="es-CO"/>
        </w:rPr>
        <w:t>De Los Principios En Las Actuaciones Contractuales De Las Entidades Estatales</w:t>
      </w:r>
      <w:r w:rsidRPr="001610B6">
        <w:rPr>
          <w:rFonts w:ascii="Verdana" w:hAnsi="Verdana"/>
          <w:sz w:val="14"/>
          <w:szCs w:val="14"/>
          <w:lang w:val="es-CO"/>
        </w:rPr>
        <w:t>.</w:t>
      </w:r>
      <w:r w:rsidRPr="001610B6">
        <w:rPr>
          <w:rFonts w:ascii="Verdana" w:hAnsi="Verdana"/>
          <w:b/>
          <w:bCs/>
          <w:sz w:val="14"/>
          <w:szCs w:val="14"/>
          <w:lang w:val="es-CO"/>
        </w:rPr>
        <w:t> </w:t>
      </w:r>
      <w:r w:rsidRPr="001610B6">
        <w:rPr>
          <w:rFonts w:ascii="Verdana" w:hAnsi="Verdana"/>
          <w:sz w:val="14"/>
          <w:szCs w:val="14"/>
          <w:lang w:val="es-CO"/>
        </w:rPr>
        <w:t>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w:t>
      </w:r>
    </w:p>
    <w:p w14:paraId="4C791446" w14:textId="77777777" w:rsidR="00BA1BB3" w:rsidRPr="001610B6" w:rsidRDefault="00BA1BB3" w:rsidP="00BA1BB3">
      <w:pPr>
        <w:pStyle w:val="Textonotapie"/>
        <w:ind w:firstLine="708"/>
        <w:jc w:val="both"/>
        <w:rPr>
          <w:rFonts w:ascii="Verdana" w:hAnsi="Verdana"/>
          <w:sz w:val="14"/>
          <w:szCs w:val="14"/>
          <w:lang w:val="es-CO"/>
        </w:rPr>
      </w:pPr>
    </w:p>
  </w:footnote>
  <w:footnote w:id="10">
    <w:p w14:paraId="5C0B902E" w14:textId="77777777" w:rsidR="00BA1BB3" w:rsidRPr="001610B6" w:rsidRDefault="00BA1BB3" w:rsidP="00BA1BB3">
      <w:pPr>
        <w:pStyle w:val="Textonotapie"/>
        <w:ind w:firstLine="708"/>
        <w:rPr>
          <w:rFonts w:ascii="Verdana" w:hAnsi="Verdana"/>
          <w:sz w:val="14"/>
          <w:szCs w:val="14"/>
          <w:lang w:val="es-CO"/>
        </w:rPr>
      </w:pPr>
      <w:r w:rsidRPr="001610B6">
        <w:rPr>
          <w:rStyle w:val="Refdenotaalpie"/>
          <w:rFonts w:ascii="Verdana" w:hAnsi="Verdana"/>
          <w:sz w:val="14"/>
          <w:szCs w:val="14"/>
        </w:rPr>
        <w:footnoteRef/>
      </w:r>
      <w:r w:rsidRPr="001610B6">
        <w:rPr>
          <w:rFonts w:ascii="Verdana" w:hAnsi="Verdana"/>
          <w:sz w:val="14"/>
          <w:szCs w:val="14"/>
        </w:rPr>
        <w:t xml:space="preserve"> </w:t>
      </w:r>
      <w:r w:rsidRPr="001610B6">
        <w:rPr>
          <w:rFonts w:ascii="Verdana" w:hAnsi="Verdana"/>
          <w:sz w:val="14"/>
          <w:szCs w:val="14"/>
          <w:lang w:val="es-CO"/>
        </w:rPr>
        <w:t>Artículo 24 de la Ley 80 de 1993</w:t>
      </w:r>
      <w:r>
        <w:rPr>
          <w:rFonts w:ascii="Verdana" w:hAnsi="Verdana"/>
          <w:sz w:val="14"/>
          <w:szCs w:val="14"/>
          <w:lang w:val="es-CO"/>
        </w:rPr>
        <w:t>.</w:t>
      </w:r>
    </w:p>
    <w:p w14:paraId="42A70AE1" w14:textId="77777777" w:rsidR="00BA1BB3" w:rsidRPr="001610B6" w:rsidRDefault="00BA1BB3" w:rsidP="00BA1BB3">
      <w:pPr>
        <w:pStyle w:val="Textonotapie"/>
        <w:rPr>
          <w:rFonts w:ascii="Verdana" w:hAnsi="Verdana"/>
          <w:sz w:val="14"/>
          <w:szCs w:val="14"/>
          <w:lang w:val="es-CO"/>
        </w:rPr>
      </w:pPr>
    </w:p>
  </w:footnote>
  <w:footnote w:id="11">
    <w:p w14:paraId="1D592F3C" w14:textId="77777777" w:rsidR="00BA1BB3" w:rsidRPr="001610B6" w:rsidRDefault="00BA1BB3" w:rsidP="00BA1BB3">
      <w:pPr>
        <w:pStyle w:val="Textonotapie"/>
        <w:ind w:firstLine="708"/>
        <w:rPr>
          <w:rFonts w:ascii="Verdana" w:hAnsi="Verdana"/>
          <w:sz w:val="14"/>
          <w:szCs w:val="14"/>
          <w:lang w:val="es-CO"/>
        </w:rPr>
      </w:pPr>
      <w:r w:rsidRPr="001610B6">
        <w:rPr>
          <w:rStyle w:val="Refdenotaalpie"/>
          <w:rFonts w:ascii="Verdana" w:hAnsi="Verdana"/>
          <w:sz w:val="14"/>
          <w:szCs w:val="14"/>
        </w:rPr>
        <w:footnoteRef/>
      </w:r>
      <w:r w:rsidRPr="001610B6">
        <w:rPr>
          <w:rFonts w:ascii="Verdana" w:hAnsi="Verdana"/>
          <w:sz w:val="14"/>
          <w:szCs w:val="14"/>
        </w:rPr>
        <w:t xml:space="preserve"> </w:t>
      </w:r>
      <w:r w:rsidRPr="001610B6">
        <w:rPr>
          <w:rFonts w:ascii="Verdana" w:hAnsi="Verdana"/>
          <w:sz w:val="14"/>
          <w:szCs w:val="14"/>
          <w:lang w:val="es-CO"/>
        </w:rPr>
        <w:t>Artículo 25 de la Ley 80 de 1993</w:t>
      </w:r>
      <w:r>
        <w:rPr>
          <w:rFonts w:ascii="Verdana" w:hAnsi="Verdana"/>
          <w:sz w:val="14"/>
          <w:szCs w:val="14"/>
          <w:lang w:val="es-CO"/>
        </w:rPr>
        <w:t>.</w:t>
      </w:r>
      <w:r w:rsidRPr="001610B6">
        <w:rPr>
          <w:rFonts w:ascii="Verdana" w:hAnsi="Verdana"/>
          <w:sz w:val="14"/>
          <w:szCs w:val="14"/>
          <w:lang w:val="es-CO"/>
        </w:rPr>
        <w:t xml:space="preserve"> </w:t>
      </w:r>
    </w:p>
  </w:footnote>
  <w:footnote w:id="12">
    <w:p w14:paraId="0175CDF1" w14:textId="77777777" w:rsidR="00BA1BB3" w:rsidRPr="000750FA" w:rsidRDefault="00BA1BB3" w:rsidP="00BA1BB3">
      <w:pPr>
        <w:pStyle w:val="Textonotapie"/>
        <w:ind w:firstLine="708"/>
        <w:jc w:val="both"/>
        <w:rPr>
          <w:rFonts w:ascii="Verdana" w:hAnsi="Verdana"/>
          <w:sz w:val="14"/>
          <w:szCs w:val="14"/>
          <w:lang w:val="es-CO"/>
        </w:rPr>
      </w:pPr>
      <w:r w:rsidRPr="000750FA">
        <w:rPr>
          <w:rStyle w:val="Refdenotaalpie"/>
          <w:rFonts w:ascii="Verdana" w:hAnsi="Verdana"/>
          <w:sz w:val="14"/>
          <w:szCs w:val="14"/>
        </w:rPr>
        <w:footnoteRef/>
      </w:r>
      <w:r w:rsidRPr="000750FA">
        <w:rPr>
          <w:rFonts w:ascii="Verdana" w:hAnsi="Verdana"/>
          <w:sz w:val="14"/>
          <w:szCs w:val="14"/>
        </w:rPr>
        <w:t xml:space="preserve"> CONSEJO DE ESTADO, </w:t>
      </w:r>
      <w:r w:rsidRPr="000750FA">
        <w:rPr>
          <w:rFonts w:ascii="Verdana" w:hAnsi="Verdana"/>
          <w:sz w:val="14"/>
          <w:szCs w:val="14"/>
          <w:lang w:val="es-CO"/>
        </w:rPr>
        <w:t>SALA DE LO CONTENCIOSO ADMINISTRATIVO SECCION TERCERA SUBSECCION C Consejero ponente: JAIME ORLANDO SANTOFIMIO GAMBOA Bogotá, D.C., Veinticuatro (24) de Marzo de dos mil once (2011) Radicación número: 63001-23-31-000-1998-00752-01(18118)</w:t>
      </w:r>
      <w:r>
        <w:rPr>
          <w:rFonts w:ascii="Verdana" w:hAnsi="Verdana"/>
          <w:sz w:val="14"/>
          <w:szCs w:val="14"/>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A526C" w14:textId="77777777" w:rsidR="0042791D" w:rsidRDefault="0042791D">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7284F9F" wp14:editId="208359E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A1DF120" wp14:editId="19B8478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CE8B1BB" w14:textId="77777777" w:rsidR="0042791D" w:rsidRDefault="0042791D">
    <w:pPr>
      <w:pStyle w:val="Encabezado"/>
    </w:pPr>
  </w:p>
  <w:p w14:paraId="15F736A1" w14:textId="77777777" w:rsidR="0042791D" w:rsidRDefault="0042791D" w:rsidP="004A305D">
    <w:pPr>
      <w:spacing w:after="0"/>
      <w:rPr>
        <w:rFonts w:ascii="Verdana" w:hAnsi="Verdana"/>
        <w:b/>
        <w:bCs/>
      </w:rPr>
    </w:pPr>
  </w:p>
  <w:p w14:paraId="47F778A2" w14:textId="77777777" w:rsidR="0042791D" w:rsidRPr="004A305D" w:rsidRDefault="0042791D" w:rsidP="00B01B1A">
    <w:pPr>
      <w:spacing w:after="0" w:line="120" w:lineRule="auto"/>
      <w:rPr>
        <w:rFonts w:ascii="Century Gothic" w:eastAsia="Geo" w:hAnsi="Century Gothic" w:cs="Geo"/>
        <w:sz w:val="16"/>
        <w:szCs w:val="16"/>
        <w:lang w:eastAsia="es-CO"/>
      </w:rPr>
    </w:pPr>
  </w:p>
  <w:p w14:paraId="7BDBB6E4" w14:textId="77777777" w:rsidR="0042791D" w:rsidRDefault="0042791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25F444DB"/>
    <w:multiLevelType w:val="hybridMultilevel"/>
    <w:tmpl w:val="92EE34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16cid:durableId="1330140246">
    <w:abstractNumId w:val="0"/>
  </w:num>
  <w:num w:numId="2" w16cid:durableId="2000301726">
    <w:abstractNumId w:val="1"/>
  </w:num>
  <w:num w:numId="3" w16cid:durableId="1372534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BB3"/>
    <w:rsid w:val="001A0FCF"/>
    <w:rsid w:val="001D4802"/>
    <w:rsid w:val="002257FB"/>
    <w:rsid w:val="00257170"/>
    <w:rsid w:val="003414B5"/>
    <w:rsid w:val="003D07CD"/>
    <w:rsid w:val="003F5E8B"/>
    <w:rsid w:val="0042791D"/>
    <w:rsid w:val="00474DF4"/>
    <w:rsid w:val="00485D25"/>
    <w:rsid w:val="004C2B11"/>
    <w:rsid w:val="004E0AA2"/>
    <w:rsid w:val="004F471F"/>
    <w:rsid w:val="0057622B"/>
    <w:rsid w:val="00582028"/>
    <w:rsid w:val="005F0872"/>
    <w:rsid w:val="00757F86"/>
    <w:rsid w:val="00844DFC"/>
    <w:rsid w:val="009A0439"/>
    <w:rsid w:val="00A175FE"/>
    <w:rsid w:val="00BA1BB3"/>
    <w:rsid w:val="00C24FFE"/>
    <w:rsid w:val="00CC225A"/>
    <w:rsid w:val="00CC428F"/>
    <w:rsid w:val="00D63942"/>
    <w:rsid w:val="00F86B0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5F78E"/>
  <w15:chartTrackingRefBased/>
  <w15:docId w15:val="{425114A8-AF75-41D0-BB38-1326245BB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BB3"/>
    <w:rPr>
      <w:kern w:val="0"/>
      <w14:ligatures w14:val="none"/>
    </w:rPr>
  </w:style>
  <w:style w:type="paragraph" w:styleId="Ttulo1">
    <w:name w:val="heading 1"/>
    <w:basedOn w:val="Normal"/>
    <w:next w:val="Normal"/>
    <w:link w:val="Ttulo1Car"/>
    <w:uiPriority w:val="9"/>
    <w:qFormat/>
    <w:rsid w:val="00BA1B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A1B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A1BB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A1BB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A1BB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A1BB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A1BB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A1BB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A1BB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A1BB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A1BB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A1BB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A1BB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A1BB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A1BB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A1BB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A1BB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A1BB3"/>
    <w:rPr>
      <w:rFonts w:eastAsiaTheme="majorEastAsia" w:cstheme="majorBidi"/>
      <w:color w:val="272727" w:themeColor="text1" w:themeTint="D8"/>
    </w:rPr>
  </w:style>
  <w:style w:type="paragraph" w:styleId="Ttulo">
    <w:name w:val="Title"/>
    <w:basedOn w:val="Normal"/>
    <w:next w:val="Normal"/>
    <w:link w:val="TtuloCar"/>
    <w:uiPriority w:val="10"/>
    <w:qFormat/>
    <w:rsid w:val="00BA1B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A1BB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A1BB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A1BB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A1BB3"/>
    <w:pPr>
      <w:spacing w:before="160"/>
      <w:jc w:val="center"/>
    </w:pPr>
    <w:rPr>
      <w:i/>
      <w:iCs/>
      <w:color w:val="404040" w:themeColor="text1" w:themeTint="BF"/>
    </w:rPr>
  </w:style>
  <w:style w:type="character" w:customStyle="1" w:styleId="CitaCar">
    <w:name w:val="Cita Car"/>
    <w:basedOn w:val="Fuentedeprrafopredeter"/>
    <w:link w:val="Cita"/>
    <w:uiPriority w:val="29"/>
    <w:rsid w:val="00BA1BB3"/>
    <w:rPr>
      <w:i/>
      <w:iCs/>
      <w:color w:val="404040" w:themeColor="text1" w:themeTint="BF"/>
    </w:rPr>
  </w:style>
  <w:style w:type="paragraph" w:styleId="Prrafodelista">
    <w:name w:val="List Paragraph"/>
    <w:basedOn w:val="Normal"/>
    <w:uiPriority w:val="34"/>
    <w:qFormat/>
    <w:rsid w:val="00BA1BB3"/>
    <w:pPr>
      <w:ind w:left="720"/>
      <w:contextualSpacing/>
    </w:pPr>
  </w:style>
  <w:style w:type="character" w:styleId="nfasisintenso">
    <w:name w:val="Intense Emphasis"/>
    <w:basedOn w:val="Fuentedeprrafopredeter"/>
    <w:uiPriority w:val="21"/>
    <w:qFormat/>
    <w:rsid w:val="00BA1BB3"/>
    <w:rPr>
      <w:i/>
      <w:iCs/>
      <w:color w:val="2F5496" w:themeColor="accent1" w:themeShade="BF"/>
    </w:rPr>
  </w:style>
  <w:style w:type="paragraph" w:styleId="Citadestacada">
    <w:name w:val="Intense Quote"/>
    <w:basedOn w:val="Normal"/>
    <w:next w:val="Normal"/>
    <w:link w:val="CitadestacadaCar"/>
    <w:uiPriority w:val="30"/>
    <w:qFormat/>
    <w:rsid w:val="00BA1B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A1BB3"/>
    <w:rPr>
      <w:i/>
      <w:iCs/>
      <w:color w:val="2F5496" w:themeColor="accent1" w:themeShade="BF"/>
    </w:rPr>
  </w:style>
  <w:style w:type="character" w:styleId="Referenciaintensa">
    <w:name w:val="Intense Reference"/>
    <w:basedOn w:val="Fuentedeprrafopredeter"/>
    <w:uiPriority w:val="32"/>
    <w:qFormat/>
    <w:rsid w:val="00BA1BB3"/>
    <w:rPr>
      <w:b/>
      <w:bCs/>
      <w:smallCaps/>
      <w:color w:val="2F5496" w:themeColor="accent1" w:themeShade="BF"/>
      <w:spacing w:val="5"/>
    </w:rPr>
  </w:style>
  <w:style w:type="paragraph" w:styleId="Encabezado">
    <w:name w:val="header"/>
    <w:basedOn w:val="Normal"/>
    <w:link w:val="EncabezadoCar"/>
    <w:uiPriority w:val="99"/>
    <w:unhideWhenUsed/>
    <w:rsid w:val="00BA1B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A1BB3"/>
    <w:rPr>
      <w:kern w:val="0"/>
      <w14:ligatures w14:val="none"/>
    </w:rPr>
  </w:style>
  <w:style w:type="paragraph" w:styleId="Piedepgina">
    <w:name w:val="footer"/>
    <w:basedOn w:val="Normal"/>
    <w:link w:val="PiedepginaCar"/>
    <w:uiPriority w:val="99"/>
    <w:unhideWhenUsed/>
    <w:rsid w:val="00BA1B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A1BB3"/>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A1BB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A1BB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A1BB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A1BB3"/>
    <w:rPr>
      <w:vertAlign w:val="superscript"/>
    </w:rPr>
  </w:style>
  <w:style w:type="character" w:customStyle="1" w:styleId="normaltextrun">
    <w:name w:val="normaltextrun"/>
    <w:basedOn w:val="Fuentedeprrafopredeter"/>
    <w:rsid w:val="00BA1BB3"/>
  </w:style>
  <w:style w:type="table" w:styleId="Tablaconcuadrcula">
    <w:name w:val="Table Grid"/>
    <w:basedOn w:val="Tablanormal"/>
    <w:uiPriority w:val="39"/>
    <w:qFormat/>
    <w:rsid w:val="00BA1BB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A1BB3"/>
    <w:rPr>
      <w:color w:val="0000FF"/>
      <w:u w:val="single"/>
    </w:rPr>
  </w:style>
  <w:style w:type="paragraph" w:customStyle="1" w:styleId="Appelnotedebasde">
    <w:name w:val="Appel note de bas de..."/>
    <w:basedOn w:val="Normal"/>
    <w:link w:val="Refdenotaalpie"/>
    <w:uiPriority w:val="99"/>
    <w:rsid w:val="00BA1BB3"/>
    <w:pPr>
      <w:spacing w:line="240" w:lineRule="exact"/>
    </w:pPr>
    <w:rPr>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ratacion.abcfumiservicios98@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710258-D019-4547-BF7B-BA9921A1F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4876B7-F473-4C19-9ECA-A383ED63C566}">
  <ds:schemaRefs>
    <ds:schemaRef ds:uri="http://schemas.microsoft.com/sharepoint/v3/contenttype/forms"/>
  </ds:schemaRefs>
</ds:datastoreItem>
</file>

<file path=customXml/itemProps3.xml><?xml version="1.0" encoding="utf-8"?>
<ds:datastoreItem xmlns:ds="http://schemas.openxmlformats.org/officeDocument/2006/customXml" ds:itemID="{041790EE-189D-4B6E-97C6-16EFEA89EF2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5764</Words>
  <Characters>31703</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5</cp:revision>
  <dcterms:created xsi:type="dcterms:W3CDTF">2025-06-24T20:35:00Z</dcterms:created>
  <dcterms:modified xsi:type="dcterms:W3CDTF">2025-07-01T14:37:00Z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