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701B0" w14:textId="77777777" w:rsidR="001B5150" w:rsidRPr="00B5320E" w:rsidRDefault="001B5150" w:rsidP="001B5150">
      <w:pPr>
        <w:ind w:left="708" w:hanging="708"/>
        <w:jc w:val="right"/>
        <w:rPr>
          <w:rFonts w:ascii="Arial" w:hAnsi="Arial" w:cs="Arial"/>
          <w:b/>
          <w:sz w:val="16"/>
          <w:szCs w:val="16"/>
          <w:lang w:eastAsia="es-ES"/>
        </w:rPr>
      </w:pPr>
      <w:bookmarkStart w:id="0" w:name="_Hlk28946138"/>
      <w:bookmarkStart w:id="1" w:name="_Hlk29548183"/>
      <w:bookmarkStart w:id="2" w:name="_Hlk51594970"/>
      <w:r w:rsidRPr="00B5320E">
        <w:rPr>
          <w:rFonts w:ascii="Arial" w:hAnsi="Arial" w:cs="Arial"/>
          <w:b/>
          <w:sz w:val="16"/>
          <w:szCs w:val="16"/>
          <w:lang w:eastAsia="es-ES"/>
        </w:rPr>
        <w:tab/>
        <w:t>CCE-DES-FM-17</w:t>
      </w:r>
    </w:p>
    <w:bookmarkEnd w:id="0"/>
    <w:bookmarkEnd w:id="1"/>
    <w:p w14:paraId="19DFCAF8" w14:textId="77777777" w:rsidR="00442AD3" w:rsidRPr="00DC2D8C" w:rsidRDefault="00442AD3" w:rsidP="00862262">
      <w:pPr>
        <w:jc w:val="both"/>
        <w:rPr>
          <w:rFonts w:ascii="Arial" w:eastAsia="Calibri" w:hAnsi="Arial" w:cs="Arial"/>
          <w:bCs/>
          <w:sz w:val="16"/>
          <w:szCs w:val="16"/>
        </w:rPr>
      </w:pPr>
    </w:p>
    <w:p w14:paraId="0B933F06" w14:textId="6CDA9DAC" w:rsidR="00442AD3" w:rsidRPr="00941667" w:rsidRDefault="00442AD3" w:rsidP="00862262">
      <w:pPr>
        <w:jc w:val="both"/>
        <w:rPr>
          <w:rFonts w:ascii="Arial" w:eastAsia="Calibri" w:hAnsi="Arial" w:cs="Arial"/>
          <w:b/>
          <w:sz w:val="22"/>
          <w:lang w:val="es-ES_tradnl"/>
        </w:rPr>
      </w:pPr>
      <w:r w:rsidRPr="00941667">
        <w:rPr>
          <w:rFonts w:ascii="Arial" w:eastAsia="Calibri" w:hAnsi="Arial" w:cs="Arial"/>
          <w:b/>
          <w:sz w:val="22"/>
          <w:lang w:val="es-ES_tradnl"/>
        </w:rPr>
        <w:t>PRINCIPIO DE SELECCIÓN OBJETIVA – Noción – Normativa</w:t>
      </w:r>
    </w:p>
    <w:p w14:paraId="2462BAC0" w14:textId="77777777" w:rsidR="00622929" w:rsidRDefault="00622929" w:rsidP="00862262">
      <w:pPr>
        <w:jc w:val="both"/>
        <w:rPr>
          <w:rFonts w:ascii="Arial" w:eastAsia="Calibri" w:hAnsi="Arial" w:cs="Arial"/>
          <w:bCs/>
          <w:sz w:val="20"/>
          <w:szCs w:val="20"/>
          <w:lang w:val="es-ES_tradnl"/>
        </w:rPr>
      </w:pPr>
    </w:p>
    <w:p w14:paraId="2AE580C7" w14:textId="70771B64" w:rsidR="00442AD3" w:rsidRPr="00941667" w:rsidRDefault="00442AD3" w:rsidP="00442AD3">
      <w:pPr>
        <w:spacing w:after="120"/>
        <w:jc w:val="both"/>
        <w:rPr>
          <w:rFonts w:ascii="Arial" w:eastAsia="Calibri" w:hAnsi="Arial" w:cs="Arial"/>
          <w:bCs/>
          <w:sz w:val="20"/>
          <w:szCs w:val="20"/>
          <w:lang w:val="es-ES_tradnl"/>
        </w:rPr>
      </w:pPr>
      <w:r w:rsidRPr="00941667">
        <w:rPr>
          <w:rFonts w:ascii="Arial" w:eastAsia="Calibri" w:hAnsi="Arial" w:cs="Arial"/>
          <w:bCs/>
          <w:sz w:val="20"/>
          <w:szCs w:val="20"/>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w:t>
      </w:r>
      <w:proofErr w:type="gramStart"/>
      <w:r w:rsidRPr="00941667">
        <w:rPr>
          <w:rFonts w:ascii="Arial" w:eastAsia="Calibri" w:hAnsi="Arial" w:cs="Arial"/>
          <w:bCs/>
          <w:sz w:val="20"/>
          <w:szCs w:val="20"/>
          <w:lang w:val="es-ES_tradnl"/>
        </w:rPr>
        <w:t>principio ,</w:t>
      </w:r>
      <w:proofErr w:type="gramEnd"/>
      <w:r w:rsidRPr="00941667">
        <w:rPr>
          <w:rFonts w:ascii="Arial" w:eastAsia="Calibri" w:hAnsi="Arial" w:cs="Arial"/>
          <w:bCs/>
          <w:sz w:val="20"/>
          <w:szCs w:val="20"/>
          <w:lang w:val="es-ES_tradnl"/>
        </w:rPr>
        <w:t xml:space="preserve"> en la actualidad la disposición legal que lo prevé de manera más clara y contundente es el artículo 5 de la Ley 1150 de 2007, modificado por el artículo 88 de la Ley 1474 de 2011 y por el artículo 5 de la Ley 1882 de 2018 . </w:t>
      </w:r>
    </w:p>
    <w:p w14:paraId="418A2397" w14:textId="77777777" w:rsidR="00442AD3" w:rsidRPr="00941667" w:rsidRDefault="00442AD3" w:rsidP="00442AD3">
      <w:pPr>
        <w:jc w:val="both"/>
        <w:rPr>
          <w:rFonts w:ascii="Arial" w:eastAsia="Calibri" w:hAnsi="Arial" w:cs="Arial"/>
          <w:bCs/>
          <w:sz w:val="20"/>
          <w:szCs w:val="20"/>
          <w:lang w:val="es-ES_tradnl"/>
        </w:rPr>
      </w:pPr>
      <w:r w:rsidRPr="00941667">
        <w:rPr>
          <w:rFonts w:ascii="Arial" w:eastAsia="Calibri" w:hAnsi="Arial" w:cs="Arial"/>
          <w:bCs/>
          <w:sz w:val="20"/>
          <w:szCs w:val="20"/>
          <w:lang w:val="es-ES_tradnl"/>
        </w:rPr>
        <w:t xml:space="preserve">Así mismo, la Ley 80 de 1993 se refiere a la selección objetiva en varios apartados normativos, como: i) el primer inciso del artículo 21, que obliga a las entidades estatales a tener en cuenta la selección objetiva, al garantizar la participación de los oferentes de bienes y servicios de origen nacional, </w:t>
      </w:r>
      <w:proofErr w:type="spellStart"/>
      <w:r w:rsidRPr="00941667">
        <w:rPr>
          <w:rFonts w:ascii="Arial" w:eastAsia="Calibri" w:hAnsi="Arial" w:cs="Arial"/>
          <w:bCs/>
          <w:sz w:val="20"/>
          <w:szCs w:val="20"/>
          <w:lang w:val="es-ES_tradnl"/>
        </w:rPr>
        <w:t>ii</w:t>
      </w:r>
      <w:proofErr w:type="spellEnd"/>
      <w:r w:rsidRPr="00941667">
        <w:rPr>
          <w:rFonts w:ascii="Arial" w:eastAsia="Calibri" w:hAnsi="Arial" w:cs="Arial"/>
          <w:bCs/>
          <w:sz w:val="20"/>
          <w:szCs w:val="20"/>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Pr="00941667">
        <w:rPr>
          <w:rFonts w:ascii="Arial" w:eastAsia="Calibri" w:hAnsi="Arial" w:cs="Arial"/>
          <w:bCs/>
          <w:sz w:val="20"/>
          <w:szCs w:val="20"/>
          <w:lang w:val="es-ES_tradnl"/>
        </w:rPr>
        <w:t>iii</w:t>
      </w:r>
      <w:proofErr w:type="spellEnd"/>
      <w:r w:rsidRPr="00941667">
        <w:rPr>
          <w:rFonts w:ascii="Arial" w:eastAsia="Calibri" w:hAnsi="Arial" w:cs="Arial"/>
          <w:bCs/>
          <w:sz w:val="20"/>
          <w:szCs w:val="20"/>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941667">
        <w:rPr>
          <w:rFonts w:ascii="Arial" w:eastAsia="Calibri" w:hAnsi="Arial" w:cs="Arial"/>
          <w:bCs/>
          <w:sz w:val="20"/>
          <w:szCs w:val="20"/>
          <w:lang w:val="es-ES_tradnl"/>
        </w:rPr>
        <w:t>iv</w:t>
      </w:r>
      <w:proofErr w:type="spellEnd"/>
      <w:r w:rsidRPr="00941667">
        <w:rPr>
          <w:rFonts w:ascii="Arial" w:eastAsia="Calibri" w:hAnsi="Arial" w:cs="Arial"/>
          <w:bCs/>
          <w:sz w:val="20"/>
          <w:szCs w:val="20"/>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941667">
        <w:rPr>
          <w:rFonts w:ascii="Arial" w:eastAsia="Calibri" w:hAnsi="Arial" w:cs="Arial"/>
          <w:bCs/>
          <w:sz w:val="20"/>
          <w:szCs w:val="20"/>
          <w:lang w:val="es-ES_tradnl"/>
        </w:rPr>
        <w:t>vii</w:t>
      </w:r>
      <w:proofErr w:type="spellEnd"/>
      <w:r w:rsidRPr="00941667">
        <w:rPr>
          <w:rFonts w:ascii="Arial" w:eastAsia="Calibri" w:hAnsi="Arial" w:cs="Arial"/>
          <w:bCs/>
          <w:sz w:val="20"/>
          <w:szCs w:val="20"/>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941667">
        <w:rPr>
          <w:rFonts w:ascii="Arial" w:eastAsia="Calibri" w:hAnsi="Arial" w:cs="Arial"/>
          <w:bCs/>
          <w:sz w:val="20"/>
          <w:szCs w:val="20"/>
          <w:lang w:val="es-ES_tradnl"/>
        </w:rPr>
        <w:t>viii</w:t>
      </w:r>
      <w:proofErr w:type="spellEnd"/>
      <w:r w:rsidRPr="00941667">
        <w:rPr>
          <w:rFonts w:ascii="Arial" w:eastAsia="Calibri" w:hAnsi="Arial" w:cs="Arial"/>
          <w:bCs/>
          <w:sz w:val="20"/>
          <w:szCs w:val="20"/>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941667">
        <w:rPr>
          <w:rFonts w:ascii="Arial" w:eastAsia="Calibri" w:hAnsi="Arial" w:cs="Arial"/>
          <w:bCs/>
          <w:sz w:val="20"/>
          <w:szCs w:val="20"/>
          <w:lang w:val="es-ES_tradnl"/>
        </w:rPr>
        <w:t>ix</w:t>
      </w:r>
      <w:proofErr w:type="spellEnd"/>
      <w:r w:rsidRPr="00941667">
        <w:rPr>
          <w:rFonts w:ascii="Arial" w:eastAsia="Calibri" w:hAnsi="Arial" w:cs="Arial"/>
          <w:bCs/>
          <w:sz w:val="20"/>
          <w:szCs w:val="20"/>
          <w:lang w:val="es-ES_tradnl"/>
        </w:rPr>
        <w:t>) el segundo inciso del artículo 76, que ordena cumplir también con dicho principio a las entidades que tengan por objeto la exploración, explotación y comercialización de recursos naturales renovables y no renovables.</w:t>
      </w:r>
    </w:p>
    <w:p w14:paraId="6B8434C4" w14:textId="77777777" w:rsidR="00442AD3" w:rsidRPr="00862262" w:rsidRDefault="00442AD3" w:rsidP="00442AD3">
      <w:pPr>
        <w:jc w:val="both"/>
        <w:rPr>
          <w:rFonts w:ascii="Arial" w:eastAsia="Calibri" w:hAnsi="Arial" w:cs="Arial"/>
          <w:bCs/>
          <w:sz w:val="20"/>
          <w:szCs w:val="20"/>
          <w:lang w:val="es-ES_tradnl"/>
        </w:rPr>
      </w:pPr>
    </w:p>
    <w:p w14:paraId="49E92609" w14:textId="77777777" w:rsidR="00442AD3" w:rsidRPr="00941667" w:rsidRDefault="00442AD3" w:rsidP="00442AD3">
      <w:pPr>
        <w:jc w:val="both"/>
        <w:rPr>
          <w:rFonts w:ascii="Arial" w:eastAsia="Calibri" w:hAnsi="Arial" w:cs="Arial"/>
          <w:sz w:val="22"/>
          <w:lang w:val="es-ES_tradnl"/>
        </w:rPr>
      </w:pPr>
      <w:r w:rsidRPr="00941667">
        <w:rPr>
          <w:rFonts w:ascii="Arial" w:eastAsia="Calibri" w:hAnsi="Arial" w:cs="Arial"/>
          <w:b/>
          <w:sz w:val="22"/>
          <w:lang w:val="es-ES_tradnl"/>
        </w:rPr>
        <w:t>SUBSANABILIDAD – Requisitos habilitantes – Circunstancias posteriores al cierre – Mínima cuantía</w:t>
      </w:r>
    </w:p>
    <w:p w14:paraId="1064F13A" w14:textId="77777777" w:rsidR="00442AD3" w:rsidRPr="00941667" w:rsidRDefault="00442AD3" w:rsidP="00442AD3">
      <w:pPr>
        <w:jc w:val="both"/>
        <w:rPr>
          <w:rFonts w:ascii="Arial" w:eastAsia="Calibri" w:hAnsi="Arial" w:cs="Arial"/>
          <w:sz w:val="20"/>
          <w:szCs w:val="20"/>
          <w:lang w:val="es-ES_tradnl"/>
        </w:rPr>
      </w:pPr>
    </w:p>
    <w:p w14:paraId="0B86FC44" w14:textId="77777777" w:rsidR="00442AD3" w:rsidRPr="00941667" w:rsidRDefault="00442AD3" w:rsidP="00442AD3">
      <w:pPr>
        <w:jc w:val="both"/>
        <w:rPr>
          <w:rFonts w:ascii="Arial" w:eastAsia="Calibri" w:hAnsi="Arial" w:cs="Arial"/>
          <w:sz w:val="20"/>
          <w:szCs w:val="20"/>
          <w:lang w:val="es-ES_tradnl"/>
        </w:rPr>
      </w:pPr>
      <w:r w:rsidRPr="00941667">
        <w:rPr>
          <w:rFonts w:ascii="Arial" w:eastAsia="Calibri" w:hAnsi="Arial" w:cs="Arial"/>
          <w:sz w:val="20"/>
          <w:szCs w:val="20"/>
          <w:lang w:val="es-ES_tradnl"/>
        </w:rPr>
        <w:t xml:space="preserve">La regla de la </w:t>
      </w:r>
      <w:proofErr w:type="spellStart"/>
      <w:r w:rsidRPr="00941667">
        <w:rPr>
          <w:rFonts w:ascii="Arial" w:eastAsia="Calibri" w:hAnsi="Arial" w:cs="Arial"/>
          <w:sz w:val="20"/>
          <w:szCs w:val="20"/>
          <w:lang w:val="es-ES_tradnl"/>
        </w:rPr>
        <w:t>subsanabilidad</w:t>
      </w:r>
      <w:proofErr w:type="spellEnd"/>
      <w:r w:rsidRPr="00941667">
        <w:rPr>
          <w:rFonts w:ascii="Arial" w:eastAsia="Calibri" w:hAnsi="Arial" w:cs="Arial"/>
          <w:sz w:val="20"/>
          <w:szCs w:val="20"/>
          <w:lang w:val="es-ES_tradnl"/>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w:t>
      </w:r>
      <w:r w:rsidRPr="00941667">
        <w:rPr>
          <w:rFonts w:ascii="Arial" w:eastAsia="Calibri" w:hAnsi="Arial" w:cs="Arial"/>
          <w:sz w:val="20"/>
          <w:szCs w:val="20"/>
          <w:lang w:val="es-ES_tradnl"/>
        </w:rPr>
        <w:lastRenderedPageBreak/>
        <w:t xml:space="preserve">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941667">
        <w:rPr>
          <w:rFonts w:ascii="Arial" w:eastAsia="Calibri" w:hAnsi="Arial" w:cs="Arial"/>
          <w:sz w:val="20"/>
          <w:szCs w:val="20"/>
          <w:lang w:val="es-ES_tradnl"/>
        </w:rPr>
        <w:t>subsanabilidad</w:t>
      </w:r>
      <w:proofErr w:type="spellEnd"/>
      <w:r w:rsidRPr="00941667">
        <w:rPr>
          <w:rFonts w:ascii="Arial" w:eastAsia="Calibri" w:hAnsi="Arial" w:cs="Arial"/>
          <w:sz w:val="20"/>
          <w:szCs w:val="20"/>
          <w:lang w:val="es-ES_tradnl"/>
        </w:rPr>
        <w:t xml:space="preserve"> de las ofertas debe interpretarse como una regla general en relación con la falta de entrega o con los defectos de los requisitos habilitantes.</w:t>
      </w:r>
    </w:p>
    <w:p w14:paraId="54886709" w14:textId="77777777" w:rsidR="00442AD3" w:rsidRPr="00941667" w:rsidRDefault="00442AD3" w:rsidP="00442AD3">
      <w:pPr>
        <w:jc w:val="both"/>
        <w:rPr>
          <w:rFonts w:ascii="Arial" w:eastAsia="Calibri" w:hAnsi="Arial" w:cs="Arial"/>
          <w:sz w:val="20"/>
          <w:szCs w:val="20"/>
          <w:lang w:val="es-ES_tradnl"/>
        </w:rPr>
      </w:pPr>
    </w:p>
    <w:p w14:paraId="0FE5B62A" w14:textId="77777777" w:rsidR="00442AD3" w:rsidRPr="00941667" w:rsidRDefault="00442AD3" w:rsidP="00442AD3">
      <w:pPr>
        <w:jc w:val="both"/>
        <w:rPr>
          <w:rFonts w:ascii="Arial" w:eastAsia="Calibri" w:hAnsi="Arial" w:cs="Arial"/>
          <w:sz w:val="22"/>
          <w:lang w:val="es-ES_tradnl"/>
        </w:rPr>
      </w:pPr>
      <w:r w:rsidRPr="00941667">
        <w:rPr>
          <w:rFonts w:ascii="Arial" w:eastAsia="Calibri" w:hAnsi="Arial" w:cs="Arial"/>
          <w:b/>
          <w:sz w:val="22"/>
          <w:lang w:val="es-ES_tradnl"/>
        </w:rPr>
        <w:t>SUBSANABILIDAD – Mínima cuantía – Regla – Término para subsanar</w:t>
      </w:r>
    </w:p>
    <w:p w14:paraId="7A8A2054" w14:textId="77777777" w:rsidR="00442AD3" w:rsidRPr="00941667" w:rsidRDefault="00442AD3" w:rsidP="00442AD3">
      <w:pPr>
        <w:jc w:val="both"/>
        <w:rPr>
          <w:rFonts w:ascii="Arial" w:eastAsia="Calibri" w:hAnsi="Arial" w:cs="Arial"/>
          <w:sz w:val="20"/>
          <w:szCs w:val="20"/>
          <w:lang w:val="es-ES_tradnl"/>
        </w:rPr>
      </w:pPr>
    </w:p>
    <w:p w14:paraId="200723C3" w14:textId="77777777" w:rsidR="00442AD3" w:rsidRPr="00941667" w:rsidRDefault="00442AD3" w:rsidP="00442AD3">
      <w:pPr>
        <w:jc w:val="both"/>
        <w:rPr>
          <w:rFonts w:ascii="Arial" w:eastAsia="Calibri" w:hAnsi="Arial" w:cs="Arial"/>
          <w:sz w:val="20"/>
          <w:szCs w:val="20"/>
        </w:rPr>
      </w:pPr>
      <w:r w:rsidRPr="00941667">
        <w:rPr>
          <w:rFonts w:ascii="Arial" w:eastAsia="Calibri" w:hAnsi="Arial" w:cs="Arial"/>
          <w:sz w:val="20"/>
          <w:szCs w:val="20"/>
        </w:rPr>
        <w:t xml:space="preserve">Según lo indicó esta Subdirección en respuesta a las consultas C-082 del 25 de febrero de 2020 —radicado 44202012000000563— y C – 013 del 17 de abril de 2020 —radicado 4202013000002326—, 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941667">
        <w:rPr>
          <w:rFonts w:ascii="Arial" w:eastAsia="Calibri" w:hAnsi="Arial" w:cs="Arial"/>
          <w:i/>
          <w:iCs/>
          <w:sz w:val="20"/>
          <w:szCs w:val="20"/>
        </w:rPr>
        <w:t>i)</w:t>
      </w:r>
      <w:r w:rsidRPr="00941667">
        <w:rPr>
          <w:rFonts w:ascii="Arial" w:eastAsia="Calibri" w:hAnsi="Arial" w:cs="Arial"/>
          <w:sz w:val="20"/>
          <w:szCs w:val="20"/>
        </w:rPr>
        <w:t xml:space="preserve"> que en la mínima cuantía no se permite la </w:t>
      </w:r>
      <w:proofErr w:type="spellStart"/>
      <w:r w:rsidRPr="00941667">
        <w:rPr>
          <w:rFonts w:ascii="Arial" w:eastAsia="Calibri" w:hAnsi="Arial" w:cs="Arial"/>
          <w:sz w:val="20"/>
          <w:szCs w:val="20"/>
        </w:rPr>
        <w:t>subsanabilidad</w:t>
      </w:r>
      <w:proofErr w:type="spellEnd"/>
      <w:r w:rsidRPr="00941667">
        <w:rPr>
          <w:rFonts w:ascii="Arial" w:eastAsia="Calibri" w:hAnsi="Arial" w:cs="Arial"/>
          <w:sz w:val="20"/>
          <w:szCs w:val="20"/>
        </w:rPr>
        <w:t xml:space="preserve"> –interpretación que no es acorde con el principio de la prevalencia de lo sustancial sobre lo formal–, </w:t>
      </w:r>
      <w:proofErr w:type="spellStart"/>
      <w:r w:rsidRPr="00941667">
        <w:rPr>
          <w:rFonts w:ascii="Arial" w:eastAsia="Calibri" w:hAnsi="Arial" w:cs="Arial"/>
          <w:i/>
          <w:iCs/>
          <w:sz w:val="20"/>
          <w:szCs w:val="20"/>
        </w:rPr>
        <w:t>ii</w:t>
      </w:r>
      <w:proofErr w:type="spellEnd"/>
      <w:r w:rsidRPr="00941667">
        <w:rPr>
          <w:rFonts w:ascii="Arial" w:eastAsia="Calibri" w:hAnsi="Arial" w:cs="Arial"/>
          <w:i/>
          <w:iCs/>
          <w:sz w:val="20"/>
          <w:szCs w:val="20"/>
        </w:rPr>
        <w:t>)</w:t>
      </w:r>
      <w:r w:rsidRPr="00941667">
        <w:rPr>
          <w:rFonts w:ascii="Arial" w:eastAsia="Calibri" w:hAnsi="Arial" w:cs="Arial"/>
          <w:sz w:val="20"/>
          <w:szCs w:val="20"/>
        </w:rPr>
        <w:t xml:space="preserve"> que el término para presentar los requisitos subsanados es el mismo de publicación del informe de evaluación, es decir, un (1) día hábil, </w:t>
      </w:r>
      <w:proofErr w:type="spellStart"/>
      <w:r w:rsidRPr="00941667">
        <w:rPr>
          <w:rFonts w:ascii="Arial" w:eastAsia="Calibri" w:hAnsi="Arial" w:cs="Arial"/>
          <w:i/>
          <w:iCs/>
          <w:sz w:val="20"/>
          <w:szCs w:val="20"/>
        </w:rPr>
        <w:t>iii</w:t>
      </w:r>
      <w:proofErr w:type="spellEnd"/>
      <w:r w:rsidRPr="00941667">
        <w:rPr>
          <w:rFonts w:ascii="Arial" w:eastAsia="Calibri" w:hAnsi="Arial" w:cs="Arial"/>
          <w:i/>
          <w:iCs/>
          <w:sz w:val="20"/>
          <w:szCs w:val="20"/>
        </w:rPr>
        <w:t>)</w:t>
      </w:r>
      <w:r w:rsidRPr="00941667">
        <w:rPr>
          <w:rFonts w:ascii="Arial" w:eastAsia="Calibri" w:hAnsi="Arial" w:cs="Arial"/>
          <w:sz w:val="20"/>
          <w:szCs w:val="20"/>
        </w:rPr>
        <w:t xml:space="preserve"> que existe un vacío y que este puede llenarse discrecionalmente por la entidad estatal, disponiendo de un término razonable de </w:t>
      </w:r>
      <w:proofErr w:type="spellStart"/>
      <w:r w:rsidRPr="00941667">
        <w:rPr>
          <w:rFonts w:ascii="Arial" w:eastAsia="Calibri" w:hAnsi="Arial" w:cs="Arial"/>
          <w:sz w:val="20"/>
          <w:szCs w:val="20"/>
        </w:rPr>
        <w:t>subsanabilidad</w:t>
      </w:r>
      <w:proofErr w:type="spellEnd"/>
      <w:r w:rsidRPr="00941667">
        <w:rPr>
          <w:rFonts w:ascii="Arial" w:eastAsia="Calibri" w:hAnsi="Arial" w:cs="Arial"/>
          <w:sz w:val="20"/>
          <w:szCs w:val="20"/>
        </w:rPr>
        <w:t>.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p>
    <w:p w14:paraId="4B009DD1" w14:textId="77777777" w:rsidR="001B5150" w:rsidRPr="00862262" w:rsidRDefault="001B5150" w:rsidP="001B5150">
      <w:pPr>
        <w:pStyle w:val="Default"/>
        <w:rPr>
          <w:color w:val="auto"/>
          <w:sz w:val="22"/>
          <w:szCs w:val="22"/>
          <w:lang w:val="es-MX"/>
        </w:rPr>
      </w:pPr>
    </w:p>
    <w:p w14:paraId="71B328D9" w14:textId="77777777" w:rsidR="001B5150" w:rsidRPr="00862262" w:rsidRDefault="001B5150" w:rsidP="001B5150">
      <w:pPr>
        <w:pStyle w:val="Default"/>
        <w:rPr>
          <w:rFonts w:asciiTheme="minorBidi" w:hAnsiTheme="minorBidi" w:cstheme="minorBidi"/>
          <w:color w:val="auto"/>
          <w:sz w:val="22"/>
          <w:szCs w:val="22"/>
        </w:rPr>
      </w:pPr>
    </w:p>
    <w:p w14:paraId="418DDE41" w14:textId="77777777" w:rsidR="00862262" w:rsidRPr="00862262" w:rsidRDefault="00862262" w:rsidP="001B5150">
      <w:pPr>
        <w:rPr>
          <w:rFonts w:asciiTheme="minorBidi" w:hAnsiTheme="minorBidi"/>
          <w:b/>
          <w:bCs/>
          <w:sz w:val="22"/>
          <w:lang w:val="pt-BR"/>
        </w:rPr>
      </w:pPr>
      <w:r w:rsidRPr="00862262">
        <w:rPr>
          <w:rFonts w:asciiTheme="minorBidi" w:hAnsiTheme="minorBidi"/>
          <w:sz w:val="22"/>
          <w:lang w:val="pt-BR"/>
        </w:rPr>
        <w:t xml:space="preserve">Bogotá D.C., </w:t>
      </w:r>
      <w:r w:rsidRPr="00862262">
        <w:rPr>
          <w:rFonts w:asciiTheme="minorBidi" w:hAnsiTheme="minorBidi"/>
          <w:b/>
          <w:bCs/>
          <w:sz w:val="22"/>
          <w:lang w:val="pt-BR"/>
        </w:rPr>
        <w:t xml:space="preserve">21/09/2020 Hora 15:39:43s </w:t>
      </w:r>
    </w:p>
    <w:p w14:paraId="7A24C30C" w14:textId="77777777" w:rsidR="00862262" w:rsidRDefault="00862262" w:rsidP="00862262">
      <w:pPr>
        <w:jc w:val="right"/>
        <w:rPr>
          <w:rFonts w:asciiTheme="minorBidi" w:hAnsiTheme="minorBidi"/>
          <w:b/>
          <w:bCs/>
          <w:sz w:val="22"/>
          <w:lang w:val="pt-BR"/>
        </w:rPr>
      </w:pPr>
      <w:r w:rsidRPr="00862262">
        <w:rPr>
          <w:rFonts w:asciiTheme="minorBidi" w:hAnsiTheme="minorBidi"/>
          <w:b/>
          <w:bCs/>
          <w:sz w:val="22"/>
          <w:lang w:val="pt-BR"/>
        </w:rPr>
        <w:t>N° Radicado: 2202013000009065</w:t>
      </w:r>
    </w:p>
    <w:p w14:paraId="2A45558F" w14:textId="77777777" w:rsidR="00862262" w:rsidRDefault="00862262" w:rsidP="00862262">
      <w:pPr>
        <w:rPr>
          <w:rFonts w:asciiTheme="minorBidi" w:eastAsia="Calibri" w:hAnsiTheme="minorBidi"/>
          <w:sz w:val="22"/>
          <w:lang w:val="pt-BR"/>
        </w:rPr>
      </w:pPr>
    </w:p>
    <w:p w14:paraId="310F7310" w14:textId="6F5BA7E8" w:rsidR="001B5150" w:rsidRPr="00862262" w:rsidRDefault="001B5150" w:rsidP="00862262">
      <w:pPr>
        <w:rPr>
          <w:rFonts w:asciiTheme="minorBidi" w:eastAsia="Calibri" w:hAnsiTheme="minorBidi"/>
          <w:sz w:val="22"/>
          <w:lang w:val="pt-BR"/>
        </w:rPr>
      </w:pPr>
      <w:proofErr w:type="spellStart"/>
      <w:r w:rsidRPr="00862262">
        <w:rPr>
          <w:rFonts w:asciiTheme="minorBidi" w:eastAsia="Calibri" w:hAnsiTheme="minorBidi"/>
          <w:sz w:val="22"/>
          <w:lang w:val="pt-BR"/>
        </w:rPr>
        <w:t>Señor</w:t>
      </w:r>
      <w:proofErr w:type="spellEnd"/>
    </w:p>
    <w:p w14:paraId="3DDDE483" w14:textId="6A92D4B1" w:rsidR="001B5150" w:rsidRPr="00862262" w:rsidRDefault="00622929" w:rsidP="001B5150">
      <w:pPr>
        <w:rPr>
          <w:rFonts w:asciiTheme="minorBidi" w:hAnsiTheme="minorBidi"/>
          <w:b/>
          <w:bCs/>
          <w:sz w:val="22"/>
          <w:lang w:val="pt-BR"/>
        </w:rPr>
      </w:pPr>
      <w:r w:rsidRPr="00862262">
        <w:rPr>
          <w:rFonts w:asciiTheme="minorBidi" w:hAnsiTheme="minorBidi"/>
          <w:b/>
          <w:bCs/>
          <w:sz w:val="22"/>
          <w:lang w:val="pt-BR"/>
        </w:rPr>
        <w:t>Leonardo Correa Guerrero</w:t>
      </w:r>
    </w:p>
    <w:p w14:paraId="69BDBCAF" w14:textId="46DF508D" w:rsidR="001B5150" w:rsidRPr="00900AFE" w:rsidRDefault="001B5150" w:rsidP="001B5150">
      <w:pPr>
        <w:rPr>
          <w:rFonts w:asciiTheme="minorBidi" w:eastAsia="Calibri" w:hAnsiTheme="minorBidi"/>
          <w:sz w:val="22"/>
          <w:lang w:val="pt-BR"/>
        </w:rPr>
      </w:pPr>
      <w:r w:rsidRPr="00900AFE">
        <w:rPr>
          <w:rFonts w:asciiTheme="minorBidi" w:eastAsia="Calibri" w:hAnsiTheme="minorBidi"/>
          <w:sz w:val="22"/>
          <w:lang w:val="pt-BR"/>
        </w:rPr>
        <w:t>Cúcuta, Norte de Santander</w:t>
      </w:r>
    </w:p>
    <w:p w14:paraId="2EFC6C61" w14:textId="7ABEA908" w:rsidR="001B5150" w:rsidRDefault="001B5150" w:rsidP="001B5150">
      <w:pPr>
        <w:rPr>
          <w:rFonts w:ascii="Arial" w:eastAsia="Calibri" w:hAnsi="Arial" w:cs="Arial"/>
          <w:sz w:val="22"/>
          <w:szCs w:val="20"/>
          <w:lang w:val="pt-BR"/>
        </w:rPr>
      </w:pPr>
    </w:p>
    <w:p w14:paraId="7F6794CF" w14:textId="77777777" w:rsidR="00622929" w:rsidRPr="00B5320E" w:rsidRDefault="00622929" w:rsidP="001B5150">
      <w:pPr>
        <w:rPr>
          <w:rFonts w:ascii="Arial" w:eastAsia="Calibri" w:hAnsi="Arial" w:cs="Arial"/>
          <w:sz w:val="22"/>
          <w:szCs w:val="20"/>
          <w:lang w:val="pt-BR"/>
        </w:rPr>
      </w:pPr>
    </w:p>
    <w:p w14:paraId="24D680CF" w14:textId="42B0AA4E" w:rsidR="001B5150" w:rsidRPr="00B5320E" w:rsidRDefault="00622929" w:rsidP="00862262">
      <w:pPr>
        <w:rPr>
          <w:rFonts w:ascii="Arial" w:eastAsia="Calibri" w:hAnsi="Arial" w:cs="Arial"/>
          <w:b/>
          <w:sz w:val="22"/>
        </w:rPr>
      </w:pPr>
      <w:r w:rsidRPr="00862262">
        <w:rPr>
          <w:rFonts w:ascii="Arial" w:eastAsia="Calibri" w:hAnsi="Arial" w:cs="Arial"/>
          <w:b/>
          <w:sz w:val="22"/>
          <w:lang w:val="pt-BR"/>
        </w:rPr>
        <w:t xml:space="preserve">                                            </w:t>
      </w:r>
      <w:r w:rsidR="001B5150" w:rsidRPr="00B5320E">
        <w:rPr>
          <w:rFonts w:ascii="Arial" w:eastAsia="Calibri" w:hAnsi="Arial" w:cs="Arial"/>
          <w:b/>
          <w:sz w:val="22"/>
        </w:rPr>
        <w:t xml:space="preserve">Concepto C </w:t>
      </w:r>
      <w:r>
        <w:rPr>
          <w:rFonts w:ascii="Arial" w:eastAsia="Calibri" w:hAnsi="Arial" w:cs="Arial"/>
          <w:b/>
          <w:sz w:val="22"/>
        </w:rPr>
        <w:t>–</w:t>
      </w:r>
      <w:r w:rsidR="001B5150" w:rsidRPr="00B5320E">
        <w:rPr>
          <w:rFonts w:ascii="Arial" w:eastAsia="Calibri" w:hAnsi="Arial" w:cs="Arial"/>
          <w:b/>
          <w:sz w:val="22"/>
        </w:rPr>
        <w:t xml:space="preserve"> </w:t>
      </w:r>
      <w:r w:rsidR="00900AFE">
        <w:rPr>
          <w:rFonts w:ascii="Arial" w:eastAsia="Calibri" w:hAnsi="Arial" w:cs="Arial"/>
          <w:b/>
          <w:sz w:val="22"/>
        </w:rPr>
        <w:t>595</w:t>
      </w:r>
      <w:r w:rsidR="00900AFE" w:rsidRPr="00B5320E">
        <w:rPr>
          <w:rFonts w:ascii="Arial" w:eastAsia="Calibri" w:hAnsi="Arial" w:cs="Arial"/>
          <w:b/>
          <w:sz w:val="22"/>
        </w:rPr>
        <w:t xml:space="preserve"> </w:t>
      </w:r>
      <w:r w:rsidR="001B5150" w:rsidRPr="00B5320E">
        <w:rPr>
          <w:rFonts w:ascii="Arial" w:eastAsia="Calibri" w:hAnsi="Arial" w:cs="Arial"/>
          <w:b/>
          <w:sz w:val="22"/>
        </w:rPr>
        <w:t>de 2020</w:t>
      </w:r>
    </w:p>
    <w:p w14:paraId="42961BC0" w14:textId="77777777" w:rsidR="001B5150" w:rsidRPr="00B5320E" w:rsidRDefault="001B5150" w:rsidP="001B515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320E" w:rsidRPr="00B5320E" w14:paraId="7EAD92CB" w14:textId="77777777" w:rsidTr="008071D7">
        <w:tc>
          <w:tcPr>
            <w:tcW w:w="2689" w:type="dxa"/>
            <w:hideMark/>
          </w:tcPr>
          <w:p w14:paraId="13B36513" w14:textId="64D85FCD" w:rsidR="001B5150" w:rsidRPr="00900AFE" w:rsidRDefault="001B5150" w:rsidP="008071D7">
            <w:pPr>
              <w:rPr>
                <w:rFonts w:ascii="Arial" w:eastAsia="Calibri" w:hAnsi="Arial" w:cs="Arial"/>
                <w:sz w:val="22"/>
                <w:lang w:val="es-ES_tradnl"/>
              </w:rPr>
            </w:pPr>
            <w:r w:rsidRPr="00B5320E">
              <w:rPr>
                <w:rFonts w:ascii="Arial" w:eastAsia="Calibri" w:hAnsi="Arial" w:cs="Arial"/>
                <w:b/>
                <w:sz w:val="22"/>
              </w:rPr>
              <w:t>Temas:</w:t>
            </w:r>
            <w:r w:rsidRPr="00B5320E">
              <w:rPr>
                <w:rFonts w:ascii="Arial" w:eastAsia="Calibri" w:hAnsi="Arial" w:cs="Arial"/>
                <w:sz w:val="22"/>
              </w:rPr>
              <w:t xml:space="preserve">           </w:t>
            </w:r>
            <w:r w:rsidR="00900AFE">
              <w:rPr>
                <w:rFonts w:ascii="Arial" w:eastAsia="Calibri" w:hAnsi="Arial" w:cs="Arial"/>
                <w:sz w:val="22"/>
              </w:rPr>
              <w:t xml:space="preserve">  </w:t>
            </w:r>
          </w:p>
          <w:p w14:paraId="643958F3" w14:textId="77777777" w:rsidR="001B5150" w:rsidRPr="00B5320E" w:rsidRDefault="001B5150" w:rsidP="008071D7">
            <w:pPr>
              <w:rPr>
                <w:rFonts w:ascii="Arial" w:eastAsia="Calibri" w:hAnsi="Arial" w:cs="Arial"/>
                <w:sz w:val="22"/>
              </w:rPr>
            </w:pPr>
            <w:r w:rsidRPr="00B5320E">
              <w:rPr>
                <w:rFonts w:ascii="Arial" w:eastAsia="Calibri" w:hAnsi="Arial" w:cs="Arial"/>
                <w:sz w:val="22"/>
              </w:rPr>
              <w:t xml:space="preserve">                           </w:t>
            </w:r>
          </w:p>
        </w:tc>
        <w:tc>
          <w:tcPr>
            <w:tcW w:w="6237" w:type="dxa"/>
            <w:hideMark/>
          </w:tcPr>
          <w:p w14:paraId="100E3C35" w14:textId="01D400DF" w:rsidR="00900AFE" w:rsidRPr="00900AFE" w:rsidRDefault="00900AFE" w:rsidP="00862262">
            <w:pPr>
              <w:spacing w:after="120"/>
              <w:jc w:val="both"/>
              <w:rPr>
                <w:rFonts w:ascii="Arial" w:eastAsia="Calibri" w:hAnsi="Arial" w:cs="Arial"/>
                <w:bCs/>
                <w:sz w:val="22"/>
                <w:lang w:val="es-ES_tradnl"/>
              </w:rPr>
            </w:pPr>
            <w:r w:rsidRPr="00900AFE">
              <w:rPr>
                <w:rFonts w:ascii="Arial" w:eastAsia="Calibri" w:hAnsi="Arial" w:cs="Arial"/>
                <w:bCs/>
                <w:sz w:val="22"/>
                <w:lang w:val="es-ES_tradnl"/>
              </w:rPr>
              <w:t xml:space="preserve">PRINCIPIO DE SELECCIÓN OBJETIVA </w:t>
            </w:r>
            <w:r w:rsidRPr="00900AFE">
              <w:rPr>
                <w:rFonts w:ascii="Arial" w:eastAsia="Calibri" w:hAnsi="Arial" w:cs="Arial"/>
                <w:bCs/>
                <w:sz w:val="22"/>
              </w:rPr>
              <w:t>―</w:t>
            </w:r>
            <w:r w:rsidRPr="00900AFE">
              <w:rPr>
                <w:rFonts w:ascii="Arial" w:eastAsia="Calibri" w:hAnsi="Arial" w:cs="Arial"/>
                <w:bCs/>
                <w:sz w:val="22"/>
                <w:lang w:val="es-ES_tradnl"/>
              </w:rPr>
              <w:t xml:space="preserve"> Noción </w:t>
            </w:r>
            <w:r w:rsidRPr="00900AFE">
              <w:rPr>
                <w:rFonts w:ascii="Arial" w:eastAsia="Calibri" w:hAnsi="Arial" w:cs="Arial"/>
                <w:bCs/>
                <w:sz w:val="22"/>
              </w:rPr>
              <w:t>―</w:t>
            </w:r>
            <w:r w:rsidRPr="00900AFE">
              <w:rPr>
                <w:rFonts w:ascii="Arial" w:eastAsia="Calibri" w:hAnsi="Arial" w:cs="Arial"/>
                <w:bCs/>
                <w:sz w:val="22"/>
                <w:lang w:val="es-ES_tradnl"/>
              </w:rPr>
              <w:t xml:space="preserve"> Normativa SUBSANABILIDAD </w:t>
            </w:r>
            <w:r w:rsidRPr="00900AFE">
              <w:rPr>
                <w:rFonts w:ascii="Arial" w:eastAsia="Calibri" w:hAnsi="Arial" w:cs="Arial"/>
                <w:bCs/>
                <w:sz w:val="22"/>
              </w:rPr>
              <w:t>―</w:t>
            </w:r>
            <w:r w:rsidRPr="00900AFE">
              <w:rPr>
                <w:rFonts w:ascii="Arial" w:eastAsia="Calibri" w:hAnsi="Arial" w:cs="Arial"/>
                <w:bCs/>
                <w:sz w:val="22"/>
                <w:lang w:val="es-ES_tradnl"/>
              </w:rPr>
              <w:t xml:space="preserve"> Requisitos habilitantes </w:t>
            </w:r>
            <w:r w:rsidRPr="00900AFE">
              <w:rPr>
                <w:rFonts w:ascii="Arial" w:eastAsia="Calibri" w:hAnsi="Arial" w:cs="Arial"/>
                <w:bCs/>
                <w:sz w:val="22"/>
              </w:rPr>
              <w:t>―</w:t>
            </w:r>
            <w:r w:rsidRPr="00900AFE">
              <w:rPr>
                <w:rFonts w:ascii="Arial" w:eastAsia="Calibri" w:hAnsi="Arial" w:cs="Arial"/>
                <w:bCs/>
                <w:sz w:val="22"/>
                <w:lang w:val="es-ES_tradnl"/>
              </w:rPr>
              <w:t xml:space="preserve"> Circunstancias </w:t>
            </w:r>
            <w:r w:rsidRPr="00900AFE">
              <w:rPr>
                <w:rFonts w:ascii="Arial" w:eastAsia="Calibri" w:hAnsi="Arial" w:cs="Arial"/>
                <w:bCs/>
                <w:sz w:val="22"/>
                <w:lang w:val="es-ES_tradnl"/>
              </w:rPr>
              <w:lastRenderedPageBreak/>
              <w:t xml:space="preserve">posteriores al cierre </w:t>
            </w:r>
            <w:r w:rsidRPr="00900AFE">
              <w:rPr>
                <w:rFonts w:ascii="Arial" w:eastAsia="Calibri" w:hAnsi="Arial" w:cs="Arial"/>
                <w:bCs/>
                <w:sz w:val="22"/>
              </w:rPr>
              <w:t>―</w:t>
            </w:r>
            <w:r w:rsidRPr="00900AFE">
              <w:rPr>
                <w:rFonts w:ascii="Arial" w:eastAsia="Calibri" w:hAnsi="Arial" w:cs="Arial"/>
                <w:bCs/>
                <w:sz w:val="22"/>
                <w:lang w:val="es-ES_tradnl"/>
              </w:rPr>
              <w:t xml:space="preserve"> Mínima cuantía Mínima cuantía </w:t>
            </w:r>
            <w:r w:rsidRPr="00900AFE">
              <w:rPr>
                <w:rFonts w:ascii="Arial" w:eastAsia="Calibri" w:hAnsi="Arial" w:cs="Arial"/>
                <w:bCs/>
                <w:sz w:val="22"/>
              </w:rPr>
              <w:t>―</w:t>
            </w:r>
            <w:r w:rsidRPr="00900AFE">
              <w:rPr>
                <w:rFonts w:ascii="Arial" w:eastAsia="Calibri" w:hAnsi="Arial" w:cs="Arial"/>
                <w:bCs/>
                <w:sz w:val="22"/>
                <w:lang w:val="es-ES_tradnl"/>
              </w:rPr>
              <w:t xml:space="preserve"> Regla </w:t>
            </w:r>
            <w:r w:rsidRPr="00900AFE">
              <w:rPr>
                <w:rFonts w:ascii="Arial" w:eastAsia="Calibri" w:hAnsi="Arial" w:cs="Arial"/>
                <w:bCs/>
                <w:sz w:val="22"/>
              </w:rPr>
              <w:t>―</w:t>
            </w:r>
            <w:r w:rsidRPr="00900AFE">
              <w:rPr>
                <w:rFonts w:ascii="Arial" w:eastAsia="Calibri" w:hAnsi="Arial" w:cs="Arial"/>
                <w:bCs/>
                <w:sz w:val="22"/>
                <w:lang w:val="es-ES_tradnl"/>
              </w:rPr>
              <w:t xml:space="preserve"> Término para subsanar</w:t>
            </w:r>
          </w:p>
          <w:p w14:paraId="07165452" w14:textId="3D32180B" w:rsidR="001B5150" w:rsidRPr="00900AFE" w:rsidRDefault="001B5150" w:rsidP="008071D7">
            <w:pPr>
              <w:jc w:val="both"/>
              <w:rPr>
                <w:rFonts w:ascii="Arial" w:eastAsia="Calibri" w:hAnsi="Arial" w:cs="Arial"/>
                <w:bCs/>
                <w:sz w:val="22"/>
              </w:rPr>
            </w:pPr>
          </w:p>
        </w:tc>
      </w:tr>
      <w:tr w:rsidR="00B5320E" w:rsidRPr="00B5320E" w14:paraId="1B5B3161" w14:textId="77777777" w:rsidTr="008071D7">
        <w:tc>
          <w:tcPr>
            <w:tcW w:w="2689" w:type="dxa"/>
          </w:tcPr>
          <w:p w14:paraId="63E5811C" w14:textId="77777777" w:rsidR="001B5150" w:rsidRPr="00B5320E" w:rsidRDefault="001B5150" w:rsidP="008071D7">
            <w:pPr>
              <w:rPr>
                <w:rFonts w:ascii="Arial" w:eastAsia="Calibri" w:hAnsi="Arial" w:cs="Arial"/>
                <w:b/>
                <w:sz w:val="22"/>
              </w:rPr>
            </w:pPr>
            <w:r w:rsidRPr="00B5320E">
              <w:rPr>
                <w:rFonts w:ascii="Arial" w:eastAsia="Calibri" w:hAnsi="Arial" w:cs="Arial"/>
                <w:b/>
                <w:sz w:val="22"/>
              </w:rPr>
              <w:lastRenderedPageBreak/>
              <w:t>Radicación:</w:t>
            </w:r>
            <w:r w:rsidRPr="00B5320E">
              <w:rPr>
                <w:rFonts w:ascii="Arial" w:eastAsia="Calibri" w:hAnsi="Arial" w:cs="Arial"/>
                <w:sz w:val="22"/>
              </w:rPr>
              <w:t xml:space="preserve">                              </w:t>
            </w:r>
          </w:p>
        </w:tc>
        <w:tc>
          <w:tcPr>
            <w:tcW w:w="6237" w:type="dxa"/>
          </w:tcPr>
          <w:p w14:paraId="769709AD" w14:textId="601194AF" w:rsidR="001B5150" w:rsidRPr="00B5320E" w:rsidRDefault="001B5150" w:rsidP="008071D7">
            <w:pPr>
              <w:jc w:val="both"/>
              <w:rPr>
                <w:rFonts w:ascii="Arial" w:eastAsia="Calibri" w:hAnsi="Arial" w:cs="Arial"/>
                <w:sz w:val="22"/>
              </w:rPr>
            </w:pPr>
            <w:r w:rsidRPr="00B5320E">
              <w:rPr>
                <w:rFonts w:ascii="Arial" w:eastAsia="Calibri" w:hAnsi="Arial" w:cs="Arial"/>
                <w:sz w:val="22"/>
              </w:rPr>
              <w:t xml:space="preserve">Respuesta a la consulta </w:t>
            </w:r>
            <w:r w:rsidRPr="00622929">
              <w:rPr>
                <w:rFonts w:ascii="Arial" w:eastAsia="Calibri" w:hAnsi="Arial" w:cs="Arial"/>
                <w:sz w:val="22"/>
              </w:rPr>
              <w:t xml:space="preserve"># </w:t>
            </w:r>
            <w:r w:rsidRPr="00862262">
              <w:rPr>
                <w:rFonts w:ascii="Arial" w:hAnsi="Arial" w:cs="Arial"/>
                <w:sz w:val="22"/>
              </w:rPr>
              <w:t>4202013000007944</w:t>
            </w:r>
          </w:p>
        </w:tc>
      </w:tr>
    </w:tbl>
    <w:p w14:paraId="14820FB6" w14:textId="7E800AA8" w:rsidR="001B5150" w:rsidRDefault="001B5150" w:rsidP="001B5150">
      <w:pPr>
        <w:jc w:val="both"/>
        <w:rPr>
          <w:rFonts w:ascii="Arial" w:eastAsia="Calibri" w:hAnsi="Arial" w:cs="Arial"/>
          <w:sz w:val="22"/>
        </w:rPr>
      </w:pPr>
    </w:p>
    <w:p w14:paraId="1125D84E" w14:textId="77777777" w:rsidR="00622929" w:rsidRPr="00B5320E" w:rsidRDefault="00622929" w:rsidP="001B5150">
      <w:pPr>
        <w:jc w:val="both"/>
        <w:rPr>
          <w:rFonts w:ascii="Arial" w:eastAsia="Calibri" w:hAnsi="Arial" w:cs="Arial"/>
          <w:sz w:val="22"/>
        </w:rPr>
      </w:pPr>
    </w:p>
    <w:p w14:paraId="39A45FD0" w14:textId="34C00DE7" w:rsidR="001B5150" w:rsidRPr="00B5320E" w:rsidRDefault="001B5150" w:rsidP="001B5150">
      <w:pPr>
        <w:rPr>
          <w:rFonts w:ascii="Arial" w:eastAsia="Calibri" w:hAnsi="Arial" w:cs="Arial"/>
          <w:sz w:val="22"/>
        </w:rPr>
      </w:pPr>
      <w:r w:rsidRPr="00B5320E">
        <w:rPr>
          <w:rFonts w:ascii="Arial" w:eastAsia="Calibri" w:hAnsi="Arial" w:cs="Arial"/>
          <w:sz w:val="22"/>
        </w:rPr>
        <w:t>Estimado señor Correa Guerrer</w:t>
      </w:r>
      <w:r w:rsidR="000B2CD2">
        <w:rPr>
          <w:rFonts w:ascii="Arial" w:eastAsia="Calibri" w:hAnsi="Arial" w:cs="Arial"/>
          <w:sz w:val="22"/>
        </w:rPr>
        <w:t>o:</w:t>
      </w:r>
    </w:p>
    <w:p w14:paraId="71FC7465" w14:textId="77777777" w:rsidR="001B5150" w:rsidRPr="00B5320E" w:rsidRDefault="001B5150" w:rsidP="001B5150">
      <w:pPr>
        <w:rPr>
          <w:rFonts w:ascii="Arial" w:eastAsia="Calibri" w:hAnsi="Arial" w:cs="Arial"/>
          <w:sz w:val="22"/>
        </w:rPr>
      </w:pPr>
    </w:p>
    <w:p w14:paraId="7D0A2B9E" w14:textId="52FEBC78" w:rsidR="001B5150" w:rsidRPr="00B5320E" w:rsidRDefault="001B5150" w:rsidP="001B5150">
      <w:pPr>
        <w:spacing w:line="276" w:lineRule="auto"/>
        <w:ind w:right="49"/>
        <w:jc w:val="both"/>
        <w:rPr>
          <w:rFonts w:ascii="Arial" w:eastAsia="Calibri" w:hAnsi="Arial" w:cs="Arial"/>
          <w:sz w:val="22"/>
        </w:rPr>
      </w:pPr>
      <w:r w:rsidRPr="00B5320E">
        <w:rPr>
          <w:rFonts w:ascii="Arial" w:eastAsia="Calibri" w:hAnsi="Arial" w:cs="Arial"/>
          <w:sz w:val="22"/>
        </w:rPr>
        <w:t xml:space="preserve">La Agencia Nacional de Contratación Pública ―Colombia Compra Eficiente― responde su consulta del 10 de septiembre de 2020, en ejercicio de la competencia otorgada por el numeral 8 del artículo 11 y el numeral 5 del artículo 3 del Decreto Ley 4170 de 2011. </w:t>
      </w:r>
    </w:p>
    <w:p w14:paraId="0A384004" w14:textId="77777777" w:rsidR="001B5150" w:rsidRPr="00B5320E" w:rsidRDefault="001B5150" w:rsidP="001B5150">
      <w:pPr>
        <w:pStyle w:val="Prrafodelista"/>
        <w:tabs>
          <w:tab w:val="left" w:pos="284"/>
        </w:tabs>
        <w:spacing w:line="276" w:lineRule="auto"/>
        <w:ind w:left="0"/>
        <w:jc w:val="both"/>
        <w:rPr>
          <w:rFonts w:ascii="Arial" w:eastAsia="Calibri" w:hAnsi="Arial" w:cs="Arial"/>
          <w:sz w:val="22"/>
        </w:rPr>
      </w:pPr>
    </w:p>
    <w:p w14:paraId="2AFC976C" w14:textId="77777777" w:rsidR="001B5150" w:rsidRPr="00B5320E" w:rsidRDefault="001B5150" w:rsidP="001B5150">
      <w:pPr>
        <w:pStyle w:val="Prrafodelista"/>
        <w:tabs>
          <w:tab w:val="left" w:pos="284"/>
        </w:tabs>
        <w:spacing w:line="276" w:lineRule="auto"/>
        <w:ind w:left="0"/>
        <w:jc w:val="both"/>
        <w:rPr>
          <w:rFonts w:ascii="Arial" w:eastAsia="Calibri" w:hAnsi="Arial" w:cs="Arial"/>
          <w:b/>
          <w:sz w:val="22"/>
        </w:rPr>
      </w:pPr>
      <w:r w:rsidRPr="00B5320E">
        <w:rPr>
          <w:rFonts w:ascii="Arial" w:eastAsia="Calibri" w:hAnsi="Arial" w:cs="Arial"/>
          <w:b/>
          <w:sz w:val="22"/>
        </w:rPr>
        <w:t>1.</w:t>
      </w:r>
      <w:r w:rsidRPr="00B5320E">
        <w:rPr>
          <w:rFonts w:ascii="Arial" w:eastAsia="Calibri" w:hAnsi="Arial" w:cs="Arial"/>
          <w:sz w:val="22"/>
        </w:rPr>
        <w:t xml:space="preserve"> </w:t>
      </w:r>
      <w:r w:rsidRPr="00B5320E">
        <w:rPr>
          <w:rFonts w:ascii="Arial" w:eastAsia="Calibri" w:hAnsi="Arial" w:cs="Arial"/>
          <w:b/>
          <w:sz w:val="22"/>
        </w:rPr>
        <w:t xml:space="preserve">Problemas planteados </w:t>
      </w:r>
    </w:p>
    <w:p w14:paraId="3749C607" w14:textId="77777777" w:rsidR="001B5150" w:rsidRPr="00862262" w:rsidRDefault="001B5150" w:rsidP="001B5150">
      <w:pPr>
        <w:tabs>
          <w:tab w:val="left" w:pos="426"/>
        </w:tabs>
        <w:spacing w:line="276" w:lineRule="auto"/>
        <w:jc w:val="both"/>
        <w:rPr>
          <w:rFonts w:ascii="Arial" w:eastAsia="Calibri" w:hAnsi="Arial" w:cs="Arial"/>
          <w:bCs/>
          <w:sz w:val="22"/>
        </w:rPr>
      </w:pPr>
    </w:p>
    <w:p w14:paraId="243ED270" w14:textId="64A121A9" w:rsidR="001B5150" w:rsidRPr="00B5320E" w:rsidRDefault="000B2CD2" w:rsidP="000B2CD2">
      <w:pPr>
        <w:tabs>
          <w:tab w:val="left" w:pos="426"/>
        </w:tabs>
        <w:spacing w:line="276" w:lineRule="auto"/>
        <w:jc w:val="both"/>
        <w:rPr>
          <w:rFonts w:asciiTheme="minorBidi" w:eastAsia="Calibri" w:hAnsiTheme="minorBidi"/>
          <w:sz w:val="22"/>
        </w:rPr>
      </w:pPr>
      <w:r>
        <w:rPr>
          <w:rFonts w:asciiTheme="minorBidi" w:eastAsia="Calibri" w:hAnsiTheme="minorBidi"/>
          <w:sz w:val="22"/>
        </w:rPr>
        <w:t>Respecto a</w:t>
      </w:r>
      <w:r w:rsidRPr="000B2CD2">
        <w:rPr>
          <w:rFonts w:asciiTheme="minorBidi" w:eastAsia="Calibri" w:hAnsiTheme="minorBidi"/>
          <w:sz w:val="22"/>
        </w:rPr>
        <w:t xml:space="preserve">l parágrafo 1 del </w:t>
      </w:r>
      <w:r>
        <w:rPr>
          <w:rFonts w:asciiTheme="minorBidi" w:eastAsia="Calibri" w:hAnsiTheme="minorBidi"/>
          <w:sz w:val="22"/>
        </w:rPr>
        <w:t>a</w:t>
      </w:r>
      <w:r w:rsidRPr="000B2CD2">
        <w:rPr>
          <w:rFonts w:asciiTheme="minorBidi" w:eastAsia="Calibri" w:hAnsiTheme="minorBidi"/>
          <w:sz w:val="22"/>
        </w:rPr>
        <w:t>rtículo 5 de la</w:t>
      </w:r>
      <w:r>
        <w:rPr>
          <w:rFonts w:asciiTheme="minorBidi" w:eastAsia="Calibri" w:hAnsiTheme="minorBidi"/>
          <w:sz w:val="22"/>
        </w:rPr>
        <w:t xml:space="preserve"> </w:t>
      </w:r>
      <w:r w:rsidRPr="000B2CD2">
        <w:rPr>
          <w:rFonts w:asciiTheme="minorBidi" w:eastAsia="Calibri" w:hAnsiTheme="minorBidi"/>
          <w:sz w:val="22"/>
        </w:rPr>
        <w:t>Ley 1150 de 2007</w:t>
      </w:r>
      <w:r>
        <w:rPr>
          <w:rFonts w:asciiTheme="minorBidi" w:eastAsia="Calibri" w:hAnsiTheme="minorBidi"/>
          <w:sz w:val="22"/>
        </w:rPr>
        <w:t>, u</w:t>
      </w:r>
      <w:r w:rsidR="001B5150" w:rsidRPr="00B5320E">
        <w:rPr>
          <w:rFonts w:asciiTheme="minorBidi" w:eastAsia="Calibri" w:hAnsiTheme="minorBidi"/>
          <w:sz w:val="22"/>
        </w:rPr>
        <w:t xml:space="preserve">sted realiza las siguientes preguntas: </w:t>
      </w:r>
      <w:r>
        <w:rPr>
          <w:rFonts w:asciiTheme="minorBidi" w:eastAsia="Calibri" w:hAnsiTheme="minorBidi"/>
          <w:sz w:val="22"/>
        </w:rPr>
        <w:t>i) «</w:t>
      </w:r>
      <w:r w:rsidRPr="000B2CD2">
        <w:rPr>
          <w:rFonts w:asciiTheme="minorBidi" w:eastAsia="Calibri" w:hAnsiTheme="minorBidi"/>
          <w:sz w:val="22"/>
        </w:rPr>
        <w:t>¿Para la modalidad de selección de Mínima Cuantía, se permite subsanar o no, documentos que NO</w:t>
      </w:r>
      <w:r>
        <w:rPr>
          <w:rFonts w:asciiTheme="minorBidi" w:eastAsia="Calibri" w:hAnsiTheme="minorBidi"/>
          <w:sz w:val="22"/>
        </w:rPr>
        <w:t xml:space="preserve"> </w:t>
      </w:r>
      <w:r w:rsidRPr="000B2CD2">
        <w:rPr>
          <w:rFonts w:asciiTheme="minorBidi" w:eastAsia="Calibri" w:hAnsiTheme="minorBidi"/>
          <w:sz w:val="22"/>
        </w:rPr>
        <w:t>SE APORTARON en la oferta presentada?</w:t>
      </w:r>
      <w:r>
        <w:rPr>
          <w:rFonts w:asciiTheme="minorBidi" w:eastAsia="Calibri" w:hAnsiTheme="minorBidi"/>
          <w:sz w:val="22"/>
        </w:rPr>
        <w:t xml:space="preserve"> […]» y </w:t>
      </w:r>
      <w:bookmarkStart w:id="3" w:name="_Hlk51183223"/>
      <w:proofErr w:type="spellStart"/>
      <w:r>
        <w:rPr>
          <w:rFonts w:asciiTheme="minorBidi" w:eastAsia="Calibri" w:hAnsiTheme="minorBidi"/>
          <w:sz w:val="22"/>
        </w:rPr>
        <w:t>ii</w:t>
      </w:r>
      <w:proofErr w:type="spellEnd"/>
      <w:r>
        <w:rPr>
          <w:rFonts w:asciiTheme="minorBidi" w:eastAsia="Calibri" w:hAnsiTheme="minorBidi"/>
          <w:sz w:val="22"/>
        </w:rPr>
        <w:t>) «</w:t>
      </w:r>
      <w:r w:rsidRPr="000B2CD2">
        <w:rPr>
          <w:rFonts w:asciiTheme="minorBidi" w:eastAsia="Calibri" w:hAnsiTheme="minorBidi"/>
          <w:sz w:val="22"/>
        </w:rPr>
        <w:t>¿A que hace referencia o que indica la mencionada salvedad en la modalidad de mínima cuantía?</w:t>
      </w:r>
      <w:r>
        <w:rPr>
          <w:rFonts w:asciiTheme="minorBidi" w:eastAsia="Calibri" w:hAnsiTheme="minorBidi"/>
          <w:sz w:val="22"/>
        </w:rPr>
        <w:t>».</w:t>
      </w:r>
      <w:bookmarkEnd w:id="3"/>
    </w:p>
    <w:p w14:paraId="191BC8A3" w14:textId="77777777" w:rsidR="001B5150" w:rsidRPr="00B5320E" w:rsidRDefault="001B5150" w:rsidP="001B5150">
      <w:pPr>
        <w:tabs>
          <w:tab w:val="left" w:pos="426"/>
        </w:tabs>
        <w:spacing w:line="276" w:lineRule="auto"/>
        <w:jc w:val="both"/>
        <w:rPr>
          <w:rFonts w:ascii="Arial" w:eastAsia="Calibri" w:hAnsi="Arial" w:cs="Arial"/>
          <w:sz w:val="22"/>
        </w:rPr>
      </w:pPr>
    </w:p>
    <w:p w14:paraId="59ECE6A9" w14:textId="77777777" w:rsidR="001B5150" w:rsidRPr="00B5320E" w:rsidRDefault="001B5150" w:rsidP="001B5150">
      <w:pPr>
        <w:tabs>
          <w:tab w:val="left" w:pos="426"/>
        </w:tabs>
        <w:spacing w:line="276" w:lineRule="auto"/>
        <w:jc w:val="both"/>
        <w:rPr>
          <w:rFonts w:ascii="Arial" w:eastAsia="Calibri" w:hAnsi="Arial" w:cs="Arial"/>
          <w:b/>
          <w:sz w:val="22"/>
        </w:rPr>
      </w:pPr>
      <w:r w:rsidRPr="00B5320E">
        <w:rPr>
          <w:rFonts w:ascii="Arial" w:eastAsia="Calibri" w:hAnsi="Arial" w:cs="Arial"/>
          <w:b/>
          <w:sz w:val="22"/>
        </w:rPr>
        <w:t>2.</w:t>
      </w:r>
      <w:r w:rsidRPr="00B5320E">
        <w:rPr>
          <w:rFonts w:ascii="Arial" w:eastAsia="Calibri" w:hAnsi="Arial" w:cs="Arial"/>
          <w:sz w:val="22"/>
        </w:rPr>
        <w:t xml:space="preserve"> </w:t>
      </w:r>
      <w:r w:rsidRPr="00B5320E">
        <w:rPr>
          <w:rFonts w:ascii="Arial" w:eastAsia="Calibri" w:hAnsi="Arial" w:cs="Arial"/>
          <w:b/>
          <w:sz w:val="22"/>
        </w:rPr>
        <w:t>Consideraciones</w:t>
      </w:r>
    </w:p>
    <w:p w14:paraId="7059CC3D" w14:textId="77777777" w:rsidR="001B5150" w:rsidRPr="00B5320E" w:rsidRDefault="001B5150" w:rsidP="001B5150">
      <w:pPr>
        <w:tabs>
          <w:tab w:val="left" w:pos="426"/>
        </w:tabs>
        <w:spacing w:line="276" w:lineRule="auto"/>
        <w:jc w:val="both"/>
        <w:rPr>
          <w:rFonts w:ascii="Arial" w:eastAsia="Calibri" w:hAnsi="Arial" w:cs="Arial"/>
          <w:b/>
          <w:sz w:val="22"/>
        </w:rPr>
      </w:pPr>
    </w:p>
    <w:p w14:paraId="368A03D6" w14:textId="77777777" w:rsidR="00442AD3" w:rsidRPr="00941667" w:rsidRDefault="00442AD3" w:rsidP="00442AD3">
      <w:pPr>
        <w:tabs>
          <w:tab w:val="left" w:pos="426"/>
        </w:tabs>
        <w:spacing w:after="120" w:line="276" w:lineRule="auto"/>
        <w:jc w:val="both"/>
        <w:rPr>
          <w:rFonts w:ascii="Arial" w:eastAsia="Calibri" w:hAnsi="Arial" w:cs="Arial"/>
          <w:sz w:val="22"/>
          <w:lang w:val="es-ES_tradnl"/>
        </w:rPr>
      </w:pPr>
      <w:r w:rsidRPr="00941667">
        <w:rPr>
          <w:rFonts w:ascii="Arial" w:eastAsia="Calibri" w:hAnsi="Arial" w:cs="Arial"/>
          <w:sz w:val="22"/>
          <w:lang w:val="es-ES_tradnl"/>
        </w:rPr>
        <w:t xml:space="preserve">Para resolver esta consulta se hará un análisis de los siguientes temas: i) el principio de selección objetiva, como fundamento de la </w:t>
      </w:r>
      <w:proofErr w:type="spellStart"/>
      <w:r w:rsidRPr="00941667">
        <w:rPr>
          <w:rFonts w:ascii="Arial" w:eastAsia="Calibri" w:hAnsi="Arial" w:cs="Arial"/>
          <w:sz w:val="22"/>
          <w:lang w:val="es-ES_tradnl"/>
        </w:rPr>
        <w:t>subsanabilidad</w:t>
      </w:r>
      <w:proofErr w:type="spellEnd"/>
      <w:r w:rsidRPr="00941667">
        <w:rPr>
          <w:rFonts w:ascii="Arial" w:eastAsia="Calibri" w:hAnsi="Arial" w:cs="Arial"/>
          <w:sz w:val="22"/>
          <w:lang w:val="es-ES_tradnl"/>
        </w:rPr>
        <w:t xml:space="preserve"> en los procedimientos de selección, </w:t>
      </w:r>
      <w:proofErr w:type="spellStart"/>
      <w:r w:rsidRPr="00941667">
        <w:rPr>
          <w:rFonts w:ascii="Arial" w:eastAsia="Calibri" w:hAnsi="Arial" w:cs="Arial"/>
          <w:sz w:val="22"/>
          <w:lang w:val="es-ES_tradnl"/>
        </w:rPr>
        <w:t>ii</w:t>
      </w:r>
      <w:proofErr w:type="spellEnd"/>
      <w:r w:rsidRPr="00941667">
        <w:rPr>
          <w:rFonts w:ascii="Arial" w:eastAsia="Calibri" w:hAnsi="Arial" w:cs="Arial"/>
          <w:sz w:val="22"/>
          <w:lang w:val="es-ES_tradnl"/>
        </w:rPr>
        <w:t>) la forma como opera esta regla, incluyendo la reiteración de los conceptos de esta Subdirección sobre las circunstancias y los requisitos que admiten subsanación, aplicando estas consideraciones a la modalidad de mínima cuantía.</w:t>
      </w:r>
    </w:p>
    <w:p w14:paraId="71B7C03C" w14:textId="09F80ACA" w:rsidR="001B5150" w:rsidRPr="00B5320E" w:rsidRDefault="00442AD3" w:rsidP="00442AD3">
      <w:pPr>
        <w:spacing w:before="120" w:line="276" w:lineRule="auto"/>
        <w:jc w:val="both"/>
        <w:rPr>
          <w:rFonts w:ascii="Arial" w:hAnsi="Arial" w:cs="Arial"/>
          <w:sz w:val="22"/>
          <w:lang w:val="es-ES_tradnl"/>
        </w:rPr>
      </w:pPr>
      <w:r w:rsidRPr="00941667">
        <w:rPr>
          <w:rFonts w:ascii="Arial" w:eastAsia="Calibri" w:hAnsi="Arial" w:cs="Arial"/>
          <w:sz w:val="22"/>
          <w:lang w:val="es-ES_tradnl"/>
        </w:rPr>
        <w:tab/>
        <w:t xml:space="preserve">Para esto se reiterarán algunas consideraciones del concepto CU–060 del 24 de febrero de 2020, sobre la aplicación de las reglas de </w:t>
      </w:r>
      <w:proofErr w:type="spellStart"/>
      <w:r w:rsidRPr="00941667">
        <w:rPr>
          <w:rFonts w:ascii="Arial" w:eastAsia="Calibri" w:hAnsi="Arial" w:cs="Arial"/>
          <w:sz w:val="22"/>
          <w:lang w:val="es-ES_tradnl"/>
        </w:rPr>
        <w:t>subsanabilidad</w:t>
      </w:r>
      <w:proofErr w:type="spellEnd"/>
      <w:r w:rsidRPr="00941667">
        <w:rPr>
          <w:rFonts w:ascii="Arial" w:eastAsia="Calibri" w:hAnsi="Arial" w:cs="Arial"/>
          <w:sz w:val="22"/>
          <w:lang w:val="es-ES_tradnl"/>
        </w:rPr>
        <w:t>, y se retomarán otras de los conceptos con radicados 4201912000004574 del 21 de agosto de 2019, 4201912000005533 del 03 de septiembre de 2019, C–121 del 3 de marzo de 2020, C–160 del 3 de abril de 2020,  C-013 del 17 de abril de 2020,  C-465 del 27 de julio de 2020</w:t>
      </w:r>
      <w:r>
        <w:rPr>
          <w:rFonts w:ascii="Arial" w:eastAsia="Calibri" w:hAnsi="Arial" w:cs="Arial"/>
          <w:sz w:val="22"/>
          <w:lang w:val="es-ES_tradnl"/>
        </w:rPr>
        <w:t xml:space="preserve">, </w:t>
      </w:r>
      <w:r w:rsidRPr="00941667">
        <w:rPr>
          <w:rFonts w:ascii="Arial" w:eastAsia="Calibri" w:hAnsi="Arial" w:cs="Arial"/>
          <w:sz w:val="22"/>
          <w:lang w:val="es-ES_tradnl"/>
        </w:rPr>
        <w:t xml:space="preserve"> C-557 del 21 de agosto de 2020</w:t>
      </w:r>
      <w:r>
        <w:rPr>
          <w:rFonts w:ascii="Arial" w:eastAsia="Calibri" w:hAnsi="Arial" w:cs="Arial"/>
          <w:sz w:val="22"/>
          <w:lang w:val="es-ES_tradnl"/>
        </w:rPr>
        <w:t xml:space="preserve"> y C-573 del 27 de agosto de 2020</w:t>
      </w:r>
      <w:r w:rsidRPr="00941667">
        <w:rPr>
          <w:rFonts w:ascii="Arial" w:eastAsia="Calibri" w:hAnsi="Arial" w:cs="Arial"/>
          <w:sz w:val="22"/>
          <w:lang w:val="es-ES_tradnl"/>
        </w:rPr>
        <w:t xml:space="preserve">, relativos al procedimiento de selección de mínima cuantía y su regla de </w:t>
      </w:r>
      <w:proofErr w:type="spellStart"/>
      <w:r w:rsidRPr="00941667">
        <w:rPr>
          <w:rFonts w:ascii="Arial" w:eastAsia="Calibri" w:hAnsi="Arial" w:cs="Arial"/>
          <w:sz w:val="22"/>
          <w:lang w:val="es-ES_tradnl"/>
        </w:rPr>
        <w:t>subsanabilidad</w:t>
      </w:r>
      <w:proofErr w:type="spellEnd"/>
      <w:r w:rsidR="001B5150" w:rsidRPr="00B5320E">
        <w:rPr>
          <w:rFonts w:ascii="Arial" w:hAnsi="Arial" w:cs="Arial"/>
          <w:sz w:val="22"/>
          <w:lang w:val="es-ES_tradnl"/>
        </w:rPr>
        <w:t xml:space="preserve"> </w:t>
      </w:r>
    </w:p>
    <w:p w14:paraId="36B20CC3" w14:textId="243F2B50" w:rsidR="001B5150" w:rsidRPr="00B5320E" w:rsidRDefault="001B5150" w:rsidP="001B5150">
      <w:pPr>
        <w:spacing w:line="276" w:lineRule="auto"/>
        <w:jc w:val="both"/>
        <w:rPr>
          <w:rFonts w:ascii="Arial" w:eastAsia="Calibri" w:hAnsi="Arial" w:cs="Arial"/>
          <w:sz w:val="22"/>
          <w:lang w:val="es-ES_tradnl"/>
        </w:rPr>
      </w:pPr>
      <w:r w:rsidRPr="00B5320E">
        <w:rPr>
          <w:rFonts w:ascii="Arial" w:eastAsia="Calibri" w:hAnsi="Arial" w:cs="Arial"/>
          <w:sz w:val="22"/>
          <w:lang w:val="es-ES_tradnl"/>
        </w:rPr>
        <w:t xml:space="preserve"> </w:t>
      </w:r>
    </w:p>
    <w:p w14:paraId="156FDC91" w14:textId="77777777" w:rsidR="00873DA1" w:rsidRPr="00941667" w:rsidRDefault="0065016C" w:rsidP="00873DA1">
      <w:pPr>
        <w:spacing w:line="276" w:lineRule="auto"/>
        <w:jc w:val="both"/>
        <w:rPr>
          <w:rFonts w:ascii="Arial" w:hAnsi="Arial" w:cs="Arial"/>
          <w:b/>
          <w:bCs/>
          <w:sz w:val="22"/>
          <w:lang w:val="es-ES_tradnl"/>
        </w:rPr>
      </w:pPr>
      <w:r w:rsidRPr="00B5320E">
        <w:rPr>
          <w:rFonts w:ascii="Arial" w:eastAsia="Calibri" w:hAnsi="Arial" w:cs="Arial"/>
          <w:b/>
          <w:bCs/>
          <w:sz w:val="22"/>
          <w:lang w:val="es-ES_tradnl"/>
        </w:rPr>
        <w:t>2</w:t>
      </w:r>
      <w:r w:rsidR="00873DA1">
        <w:rPr>
          <w:rFonts w:ascii="Arial" w:eastAsia="Calibri" w:hAnsi="Arial" w:cs="Arial"/>
          <w:b/>
          <w:bCs/>
          <w:sz w:val="22"/>
          <w:lang w:val="es-ES_tradnl"/>
        </w:rPr>
        <w:t xml:space="preserve">.1 </w:t>
      </w:r>
      <w:r w:rsidR="00873DA1" w:rsidRPr="00941667">
        <w:rPr>
          <w:rFonts w:ascii="Arial" w:hAnsi="Arial" w:cs="Arial"/>
          <w:b/>
          <w:bCs/>
          <w:sz w:val="22"/>
          <w:lang w:val="es-ES_tradnl"/>
        </w:rPr>
        <w:t xml:space="preserve">2.1. </w:t>
      </w:r>
      <w:r w:rsidR="00873DA1" w:rsidRPr="00941667">
        <w:rPr>
          <w:rFonts w:ascii="Arial" w:eastAsia="Calibri" w:hAnsi="Arial" w:cs="Arial"/>
          <w:b/>
          <w:bCs/>
          <w:sz w:val="22"/>
          <w:lang w:val="es-ES_tradnl"/>
        </w:rPr>
        <w:t>Principio de selección objetiva en la contratación estatal</w:t>
      </w:r>
    </w:p>
    <w:p w14:paraId="7F6D6D54" w14:textId="77777777" w:rsidR="00873DA1" w:rsidRPr="00941667" w:rsidRDefault="00873DA1" w:rsidP="00873DA1">
      <w:pPr>
        <w:spacing w:line="276" w:lineRule="auto"/>
        <w:jc w:val="both"/>
        <w:rPr>
          <w:rFonts w:ascii="Arial" w:eastAsia="Calibri" w:hAnsi="Arial" w:cs="Arial"/>
          <w:sz w:val="22"/>
          <w:lang w:val="es-ES_tradnl"/>
        </w:rPr>
      </w:pPr>
    </w:p>
    <w:p w14:paraId="24083ABC" w14:textId="77777777" w:rsidR="00873DA1" w:rsidRPr="00941667" w:rsidRDefault="00873DA1" w:rsidP="00873DA1">
      <w:pPr>
        <w:tabs>
          <w:tab w:val="left" w:pos="426"/>
        </w:tabs>
        <w:spacing w:after="120" w:line="276" w:lineRule="auto"/>
        <w:jc w:val="both"/>
        <w:rPr>
          <w:rFonts w:ascii="Arial" w:eastAsia="Calibri" w:hAnsi="Arial" w:cs="Arial"/>
          <w:sz w:val="22"/>
          <w:lang w:val="es-ES_tradnl"/>
        </w:rPr>
      </w:pPr>
      <w:r w:rsidRPr="00941667">
        <w:rPr>
          <w:rFonts w:ascii="Arial" w:eastAsia="Calibri" w:hAnsi="Arial" w:cs="Arial"/>
          <w:sz w:val="22"/>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6AC204A7" w14:textId="23D4C6C3" w:rsidR="00873DA1" w:rsidRPr="00941667" w:rsidRDefault="00CF33B0" w:rsidP="00873DA1">
      <w:pPr>
        <w:tabs>
          <w:tab w:val="left" w:pos="426"/>
        </w:tabs>
        <w:spacing w:after="120" w:line="276" w:lineRule="auto"/>
        <w:jc w:val="both"/>
        <w:rPr>
          <w:rFonts w:ascii="Arial" w:eastAsia="Calibri" w:hAnsi="Arial" w:cs="Arial"/>
          <w:sz w:val="22"/>
          <w:lang w:val="es-ES_tradnl"/>
        </w:rPr>
      </w:pPr>
      <w:r>
        <w:rPr>
          <w:rFonts w:ascii="Arial" w:eastAsia="Calibri" w:hAnsi="Arial" w:cs="Arial"/>
          <w:sz w:val="22"/>
          <w:lang w:val="es-ES_tradnl"/>
        </w:rPr>
        <w:lastRenderedPageBreak/>
        <w:tab/>
      </w:r>
      <w:r>
        <w:rPr>
          <w:rFonts w:ascii="Arial" w:eastAsia="Calibri" w:hAnsi="Arial" w:cs="Arial"/>
          <w:sz w:val="22"/>
          <w:lang w:val="es-ES_tradnl"/>
        </w:rPr>
        <w:tab/>
      </w:r>
      <w:r w:rsidR="00873DA1" w:rsidRPr="00941667">
        <w:rPr>
          <w:rFonts w:ascii="Arial" w:eastAsia="Calibri" w:hAnsi="Arial" w:cs="Arial"/>
          <w:sz w:val="22"/>
          <w:lang w:val="es-ES_tradnl"/>
        </w:rPr>
        <w:t>Si bien, dentro de la historia de la contratación pública en Colombia, se vislumbran antecedentes normativos que consagraban dicho principio</w:t>
      </w:r>
      <w:r w:rsidR="00873DA1" w:rsidRPr="00941667">
        <w:rPr>
          <w:rFonts w:ascii="Arial" w:hAnsi="Arial" w:cs="Arial"/>
          <w:sz w:val="22"/>
          <w:szCs w:val="20"/>
          <w:vertAlign w:val="superscript"/>
        </w:rPr>
        <w:footnoteReference w:id="1"/>
      </w:r>
      <w:r w:rsidR="00873DA1" w:rsidRPr="00941667">
        <w:rPr>
          <w:rFonts w:ascii="Arial" w:eastAsia="Calibri" w:hAnsi="Arial" w:cs="Arial"/>
          <w:sz w:val="22"/>
          <w:lang w:val="es-ES_tradnl"/>
        </w:rPr>
        <w:t>, en la actualidad la disposición legal que lo prevé de manera más clara y contundente es el artículo 5 de la Ley 1150 de 2007, modificado por el artículo 88 de la Ley 1474 de 2011 y por el artículo 5 de la Ley 1882 de 2018</w:t>
      </w:r>
      <w:r w:rsidR="00873DA1" w:rsidRPr="00941667">
        <w:rPr>
          <w:rFonts w:ascii="Arial" w:hAnsi="Arial" w:cs="Arial"/>
          <w:sz w:val="22"/>
          <w:szCs w:val="20"/>
          <w:vertAlign w:val="superscript"/>
        </w:rPr>
        <w:footnoteReference w:id="2"/>
      </w:r>
      <w:r w:rsidR="00873DA1" w:rsidRPr="00941667">
        <w:rPr>
          <w:rFonts w:ascii="Arial" w:eastAsia="Calibri" w:hAnsi="Arial" w:cs="Arial"/>
          <w:sz w:val="22"/>
          <w:lang w:val="es-ES_tradnl"/>
        </w:rPr>
        <w:t xml:space="preserve">. </w:t>
      </w:r>
    </w:p>
    <w:p w14:paraId="30396A03" w14:textId="2A0E283F" w:rsidR="00873DA1" w:rsidRPr="00941667" w:rsidRDefault="00CF33B0" w:rsidP="00873DA1">
      <w:pPr>
        <w:tabs>
          <w:tab w:val="left" w:pos="426"/>
        </w:tabs>
        <w:spacing w:after="120" w:line="276" w:lineRule="auto"/>
        <w:jc w:val="both"/>
        <w:rPr>
          <w:rFonts w:ascii="Arial" w:eastAsia="Calibri" w:hAnsi="Arial" w:cs="Arial"/>
          <w:sz w:val="22"/>
          <w:lang w:val="es-ES_tradnl"/>
        </w:rPr>
      </w:pPr>
      <w:r>
        <w:rPr>
          <w:rFonts w:ascii="Arial" w:eastAsia="Calibri" w:hAnsi="Arial" w:cs="Arial"/>
          <w:sz w:val="22"/>
          <w:lang w:val="es-ES_tradnl"/>
        </w:rPr>
        <w:lastRenderedPageBreak/>
        <w:tab/>
      </w:r>
      <w:r>
        <w:rPr>
          <w:rFonts w:ascii="Arial" w:eastAsia="Calibri" w:hAnsi="Arial" w:cs="Arial"/>
          <w:sz w:val="22"/>
          <w:lang w:val="es-ES_tradnl"/>
        </w:rPr>
        <w:tab/>
      </w:r>
      <w:r w:rsidR="00873DA1" w:rsidRPr="00941667">
        <w:rPr>
          <w:rFonts w:ascii="Arial" w:eastAsia="Calibri" w:hAnsi="Arial" w:cs="Arial"/>
          <w:sz w:val="22"/>
          <w:lang w:val="es-ES_tradnl"/>
        </w:rPr>
        <w:t xml:space="preserve">Así mismo, la Ley 80 de 1993 se refiere a la selección objetiva en varios apartados normativos, como: i) el primer inciso del artículo 21, que obliga a las entidades estatales a tener en cuenta la selección objetiva, al garantizar la participación de los oferentes de bienes y servicios de origen nacional, </w:t>
      </w:r>
      <w:proofErr w:type="spellStart"/>
      <w:r w:rsidR="00873DA1" w:rsidRPr="00941667">
        <w:rPr>
          <w:rFonts w:ascii="Arial" w:eastAsia="Calibri" w:hAnsi="Arial" w:cs="Arial"/>
          <w:sz w:val="22"/>
          <w:lang w:val="es-ES_tradnl"/>
        </w:rPr>
        <w:t>ii</w:t>
      </w:r>
      <w:proofErr w:type="spellEnd"/>
      <w:r w:rsidR="00873DA1" w:rsidRPr="00941667">
        <w:rPr>
          <w:rFonts w:ascii="Arial" w:eastAsia="Calibri" w:hAnsi="Arial" w:cs="Arial"/>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00873DA1" w:rsidRPr="00941667">
        <w:rPr>
          <w:rFonts w:ascii="Arial" w:eastAsia="Calibri" w:hAnsi="Arial" w:cs="Arial"/>
          <w:sz w:val="22"/>
          <w:lang w:val="es-ES_tradnl"/>
        </w:rPr>
        <w:t>iii</w:t>
      </w:r>
      <w:proofErr w:type="spellEnd"/>
      <w:r w:rsidR="00873DA1" w:rsidRPr="00941667">
        <w:rPr>
          <w:rFonts w:ascii="Arial" w:eastAsia="Calibri" w:hAnsi="Arial" w:cs="Arial"/>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00873DA1" w:rsidRPr="00941667">
        <w:rPr>
          <w:rFonts w:ascii="Arial" w:eastAsia="Calibri" w:hAnsi="Arial" w:cs="Arial"/>
          <w:sz w:val="22"/>
          <w:lang w:val="es-ES_tradnl"/>
        </w:rPr>
        <w:t>iv</w:t>
      </w:r>
      <w:proofErr w:type="spellEnd"/>
      <w:r w:rsidR="00873DA1" w:rsidRPr="00941667">
        <w:rPr>
          <w:rFonts w:ascii="Arial" w:eastAsia="Calibri" w:hAnsi="Arial" w:cs="Arial"/>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w:t>
      </w:r>
      <w:r w:rsidR="00873DA1" w:rsidRPr="00941667">
        <w:rPr>
          <w:rFonts w:ascii="Arial" w:eastAsia="Calibri" w:hAnsi="Arial" w:cs="Arial"/>
          <w:sz w:val="22"/>
          <w:lang w:val="es-ES_tradnl"/>
        </w:rPr>
        <w:lastRenderedPageBreak/>
        <w:t xml:space="preserve">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00873DA1" w:rsidRPr="00941667">
        <w:rPr>
          <w:rFonts w:ascii="Arial" w:eastAsia="Calibri" w:hAnsi="Arial" w:cs="Arial"/>
          <w:sz w:val="22"/>
          <w:lang w:val="es-ES_tradnl"/>
        </w:rPr>
        <w:t>vii</w:t>
      </w:r>
      <w:proofErr w:type="spellEnd"/>
      <w:r w:rsidR="00873DA1" w:rsidRPr="00941667">
        <w:rPr>
          <w:rFonts w:ascii="Arial" w:eastAsia="Calibri" w:hAnsi="Arial" w:cs="Arial"/>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00873DA1" w:rsidRPr="00941667">
        <w:rPr>
          <w:rFonts w:ascii="Arial" w:eastAsia="Calibri" w:hAnsi="Arial" w:cs="Arial"/>
          <w:sz w:val="22"/>
          <w:lang w:val="es-ES_tradnl"/>
        </w:rPr>
        <w:t>viii</w:t>
      </w:r>
      <w:proofErr w:type="spellEnd"/>
      <w:r w:rsidR="00873DA1" w:rsidRPr="00941667">
        <w:rPr>
          <w:rFonts w:ascii="Arial" w:eastAsia="Calibri" w:hAnsi="Arial" w:cs="Arial"/>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00873DA1" w:rsidRPr="00941667">
        <w:rPr>
          <w:rFonts w:ascii="Arial" w:eastAsia="Calibri" w:hAnsi="Arial" w:cs="Arial"/>
          <w:sz w:val="22"/>
          <w:lang w:val="es-ES_tradnl"/>
        </w:rPr>
        <w:t>ix</w:t>
      </w:r>
      <w:proofErr w:type="spellEnd"/>
      <w:r w:rsidR="00873DA1" w:rsidRPr="00941667">
        <w:rPr>
          <w:rFonts w:ascii="Arial" w:eastAsia="Calibri" w:hAnsi="Arial" w:cs="Arial"/>
          <w:sz w:val="22"/>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25A4CBC9" w14:textId="77777777" w:rsidR="00873DA1" w:rsidRPr="00941667" w:rsidRDefault="00873DA1" w:rsidP="00873DA1">
      <w:pPr>
        <w:spacing w:after="120" w:line="276" w:lineRule="auto"/>
        <w:ind w:firstLine="709"/>
        <w:jc w:val="both"/>
        <w:rPr>
          <w:rFonts w:ascii="Arial" w:eastAsia="Calibri" w:hAnsi="Arial" w:cs="Arial"/>
          <w:sz w:val="22"/>
          <w:lang w:val="es-ES_tradnl"/>
        </w:rPr>
      </w:pPr>
      <w:r w:rsidRPr="00941667">
        <w:rPr>
          <w:rFonts w:ascii="Arial" w:eastAsia="Calibri" w:hAnsi="Arial" w:cs="Arial"/>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941667">
        <w:rPr>
          <w:rFonts w:ascii="Arial" w:eastAsia="Calibri" w:hAnsi="Arial" w:cs="Arial"/>
          <w:sz w:val="22"/>
          <w:lang w:val="es-ES_tradnl"/>
        </w:rPr>
        <w:t>ii</w:t>
      </w:r>
      <w:proofErr w:type="spellEnd"/>
      <w:r w:rsidRPr="00941667">
        <w:rPr>
          <w:rFonts w:ascii="Arial" w:eastAsia="Calibri" w:hAnsi="Arial" w:cs="Arial"/>
          <w:sz w:val="22"/>
          <w:lang w:val="es-ES_tradnl"/>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941667">
        <w:rPr>
          <w:rFonts w:ascii="Arial" w:eastAsia="Calibri" w:hAnsi="Arial" w:cs="Arial"/>
          <w:sz w:val="22"/>
          <w:lang w:val="es-ES_tradnl"/>
        </w:rPr>
        <w:t>iii</w:t>
      </w:r>
      <w:proofErr w:type="spellEnd"/>
      <w:r w:rsidRPr="00941667">
        <w:rPr>
          <w:rFonts w:ascii="Arial" w:eastAsia="Calibri" w:hAnsi="Arial" w:cs="Arial"/>
          <w:sz w:val="22"/>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3E2A9791" w14:textId="77777777" w:rsidR="00873DA1" w:rsidRPr="00941667" w:rsidRDefault="00873DA1" w:rsidP="00873DA1">
      <w:pPr>
        <w:spacing w:after="120" w:line="276" w:lineRule="auto"/>
        <w:ind w:firstLine="709"/>
        <w:jc w:val="both"/>
        <w:rPr>
          <w:rFonts w:ascii="Arial" w:eastAsia="Calibri" w:hAnsi="Arial" w:cs="Arial"/>
          <w:sz w:val="22"/>
          <w:lang w:val="es-ES_tradnl"/>
        </w:rPr>
      </w:pPr>
      <w:r w:rsidRPr="00941667">
        <w:rPr>
          <w:rFonts w:ascii="Arial" w:eastAsia="Calibri" w:hAnsi="Arial" w:cs="Arial"/>
          <w:sz w:val="22"/>
          <w:lang w:val="es-ES_tradnl"/>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w:t>
      </w:r>
      <w:r w:rsidRPr="00941667">
        <w:rPr>
          <w:rFonts w:ascii="Arial" w:eastAsia="Calibri" w:hAnsi="Arial" w:cs="Arial"/>
          <w:sz w:val="22"/>
          <w:lang w:val="es-ES_tradnl"/>
        </w:rPr>
        <w:lastRenderedPageBreak/>
        <w:t>uno de ellos en el pliego de condiciones y 4. Estar determinada la adjudicación y celebración del negocio jurídico por un análisis, comparación y evaluación objetiva de las propuestas presentadas»</w:t>
      </w:r>
      <w:r w:rsidRPr="00941667">
        <w:rPr>
          <w:rStyle w:val="Refdenotaalpie"/>
          <w:rFonts w:ascii="Arial" w:eastAsia="Calibri" w:hAnsi="Arial" w:cs="Arial"/>
          <w:sz w:val="22"/>
          <w:lang w:val="es-ES_tradnl"/>
        </w:rPr>
        <w:footnoteReference w:id="3"/>
      </w:r>
      <w:r w:rsidRPr="00941667">
        <w:rPr>
          <w:rFonts w:ascii="Arial" w:eastAsia="Calibri" w:hAnsi="Arial" w:cs="Arial"/>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941667">
        <w:rPr>
          <w:rStyle w:val="Refdenotaalpie"/>
          <w:rFonts w:ascii="Arial" w:eastAsia="Calibri" w:hAnsi="Arial" w:cs="Arial"/>
          <w:sz w:val="22"/>
          <w:lang w:val="es-ES_tradnl"/>
        </w:rPr>
        <w:footnoteReference w:id="4"/>
      </w:r>
      <w:r w:rsidRPr="00941667">
        <w:rPr>
          <w:rFonts w:ascii="Arial" w:eastAsia="Calibri" w:hAnsi="Arial" w:cs="Arial"/>
          <w:sz w:val="22"/>
          <w:lang w:val="es-ES_tradnl"/>
        </w:rPr>
        <w:t>.</w:t>
      </w:r>
    </w:p>
    <w:p w14:paraId="03055C56" w14:textId="77777777" w:rsidR="00873DA1" w:rsidRPr="00941667" w:rsidRDefault="00873DA1" w:rsidP="00873DA1">
      <w:pPr>
        <w:spacing w:line="276" w:lineRule="auto"/>
        <w:ind w:firstLine="709"/>
        <w:jc w:val="both"/>
        <w:rPr>
          <w:rFonts w:ascii="Arial" w:eastAsia="Calibri" w:hAnsi="Arial" w:cs="Arial"/>
          <w:sz w:val="22"/>
          <w:lang w:val="es-ES_tradnl"/>
        </w:rPr>
      </w:pPr>
      <w:r w:rsidRPr="00941667">
        <w:rPr>
          <w:rFonts w:ascii="Arial" w:eastAsia="Calibri" w:hAnsi="Arial" w:cs="Arial"/>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1B48247A" w14:textId="77777777" w:rsidR="0065016C" w:rsidRPr="00B5320E" w:rsidRDefault="0065016C" w:rsidP="001B5150">
      <w:pPr>
        <w:spacing w:line="276" w:lineRule="auto"/>
        <w:jc w:val="both"/>
        <w:rPr>
          <w:rFonts w:ascii="Arial" w:eastAsia="Calibri" w:hAnsi="Arial" w:cs="Arial"/>
          <w:sz w:val="22"/>
          <w:lang w:val="es-ES_tradnl"/>
        </w:rPr>
      </w:pPr>
    </w:p>
    <w:p w14:paraId="67A05CD8" w14:textId="7E955050" w:rsidR="001B5150" w:rsidRPr="00B5320E" w:rsidRDefault="001B5150" w:rsidP="00442AD3">
      <w:pPr>
        <w:spacing w:line="276" w:lineRule="auto"/>
        <w:jc w:val="both"/>
        <w:rPr>
          <w:rFonts w:ascii="Arial" w:eastAsia="Calibri" w:hAnsi="Arial" w:cs="Arial"/>
          <w:b/>
          <w:bCs/>
          <w:sz w:val="22"/>
          <w:lang w:val="es-ES_tradnl"/>
        </w:rPr>
      </w:pPr>
      <w:r w:rsidRPr="00B5320E">
        <w:rPr>
          <w:rFonts w:ascii="Arial" w:eastAsia="Calibri" w:hAnsi="Arial" w:cs="Arial"/>
          <w:b/>
          <w:bCs/>
          <w:sz w:val="22"/>
          <w:lang w:val="es-ES_tradnl"/>
        </w:rPr>
        <w:t>2.</w:t>
      </w:r>
      <w:r w:rsidR="0065016C" w:rsidRPr="00B5320E">
        <w:rPr>
          <w:rFonts w:ascii="Arial" w:eastAsia="Calibri" w:hAnsi="Arial" w:cs="Arial"/>
          <w:b/>
          <w:bCs/>
          <w:sz w:val="22"/>
          <w:lang w:val="es-ES_tradnl"/>
        </w:rPr>
        <w:t>2</w:t>
      </w:r>
      <w:r w:rsidRPr="00B5320E">
        <w:rPr>
          <w:rFonts w:ascii="Arial" w:eastAsia="Calibri" w:hAnsi="Arial" w:cs="Arial"/>
          <w:b/>
          <w:bCs/>
          <w:sz w:val="22"/>
          <w:lang w:val="es-ES_tradnl"/>
        </w:rPr>
        <w:t xml:space="preserve">. </w:t>
      </w:r>
      <w:r w:rsidR="00442AD3" w:rsidRPr="00941667">
        <w:rPr>
          <w:rFonts w:ascii="Arial" w:hAnsi="Arial" w:cs="Arial"/>
          <w:b/>
          <w:bCs/>
          <w:sz w:val="22"/>
        </w:rPr>
        <w:t xml:space="preserve">Regla de la </w:t>
      </w:r>
      <w:proofErr w:type="spellStart"/>
      <w:r w:rsidR="00442AD3" w:rsidRPr="00941667">
        <w:rPr>
          <w:rFonts w:ascii="Arial" w:hAnsi="Arial" w:cs="Arial"/>
          <w:b/>
          <w:bCs/>
          <w:sz w:val="22"/>
        </w:rPr>
        <w:t>subsanabilidad</w:t>
      </w:r>
      <w:proofErr w:type="spellEnd"/>
      <w:r w:rsidR="00442AD3" w:rsidRPr="00941667">
        <w:rPr>
          <w:rFonts w:ascii="Arial" w:hAnsi="Arial" w:cs="Arial"/>
          <w:b/>
          <w:bCs/>
          <w:sz w:val="22"/>
        </w:rPr>
        <w:t xml:space="preserve"> en los procedimientos de selección: su aplicación a la mínima cuantía</w:t>
      </w:r>
    </w:p>
    <w:p w14:paraId="0E16B9AA" w14:textId="77777777" w:rsidR="001B5150" w:rsidRPr="00B5320E" w:rsidRDefault="001B5150" w:rsidP="001B5150">
      <w:pPr>
        <w:spacing w:line="276" w:lineRule="auto"/>
        <w:jc w:val="both"/>
        <w:rPr>
          <w:rFonts w:ascii="Arial" w:eastAsia="Calibri" w:hAnsi="Arial" w:cs="Arial"/>
          <w:b/>
          <w:bCs/>
          <w:sz w:val="22"/>
          <w:lang w:val="es-ES_tradnl"/>
        </w:rPr>
      </w:pPr>
    </w:p>
    <w:p w14:paraId="600F44F1" w14:textId="7733448C" w:rsidR="00701F37" w:rsidRDefault="00701F37" w:rsidP="001B5150">
      <w:pPr>
        <w:spacing w:after="120" w:line="276" w:lineRule="auto"/>
        <w:jc w:val="both"/>
        <w:rPr>
          <w:rFonts w:ascii="Arial" w:hAnsi="Arial" w:cs="Arial"/>
          <w:sz w:val="22"/>
          <w:lang w:val="es-ES_tradnl"/>
        </w:rPr>
      </w:pPr>
      <w:r w:rsidRPr="00701F37">
        <w:rPr>
          <w:rFonts w:ascii="Arial" w:hAnsi="Arial" w:cs="Arial"/>
          <w:sz w:val="22"/>
          <w:lang w:val="es-ES_tradnl"/>
        </w:rPr>
        <w:t xml:space="preserve">Esta Subdirección se ha pronunciado en diversas oportunidades acerca del alcance de la regla de la </w:t>
      </w:r>
      <w:proofErr w:type="spellStart"/>
      <w:r w:rsidRPr="00701F37">
        <w:rPr>
          <w:rFonts w:ascii="Arial" w:hAnsi="Arial" w:cs="Arial"/>
          <w:sz w:val="22"/>
          <w:lang w:val="es-ES_tradnl"/>
        </w:rPr>
        <w:t>subsanabilidad</w:t>
      </w:r>
      <w:proofErr w:type="spellEnd"/>
      <w:r w:rsidRPr="00701F37">
        <w:rPr>
          <w:rFonts w:ascii="Arial" w:hAnsi="Arial" w:cs="Arial"/>
          <w:sz w:val="22"/>
          <w:lang w:val="es-ES_tradnl"/>
        </w:rPr>
        <w:t xml:space="preserve">, contenida actualmente en el artículo 5 de la Ley 1150 de 2007. Al respecto, la postura que se reitera en el presente concepto es la siguiente: por regla general, i) la falta de entrega o </w:t>
      </w:r>
      <w:proofErr w:type="spellStart"/>
      <w:r w:rsidRPr="00701F37">
        <w:rPr>
          <w:rFonts w:ascii="Arial" w:hAnsi="Arial" w:cs="Arial"/>
          <w:sz w:val="22"/>
          <w:lang w:val="es-ES_tradnl"/>
        </w:rPr>
        <w:t>ii</w:t>
      </w:r>
      <w:proofErr w:type="spellEnd"/>
      <w:r w:rsidRPr="00701F37">
        <w:rPr>
          <w:rFonts w:ascii="Arial" w:hAnsi="Arial" w:cs="Arial"/>
          <w:sz w:val="22"/>
          <w:lang w:val="es-ES_tradnl"/>
        </w:rPr>
        <w:t xml:space="preserve">) los defectos, de los requisitos habilitantes, son subsanables. La excepción se encuentra en los casos, previstos en la ley, que limitan la </w:t>
      </w:r>
      <w:proofErr w:type="spellStart"/>
      <w:r w:rsidRPr="00701F37">
        <w:rPr>
          <w:rFonts w:ascii="Arial" w:hAnsi="Arial" w:cs="Arial"/>
          <w:sz w:val="22"/>
          <w:lang w:val="es-ES_tradnl"/>
        </w:rPr>
        <w:t>subsanabilidad</w:t>
      </w:r>
      <w:proofErr w:type="spellEnd"/>
      <w:r w:rsidRPr="00701F37">
        <w:rPr>
          <w:rFonts w:ascii="Arial" w:hAnsi="Arial" w:cs="Arial"/>
          <w:sz w:val="22"/>
          <w:lang w:val="es-ES_tradnl"/>
        </w:rPr>
        <w:t xml:space="preserve">, es decir, en la prohibición de permitir la entrega de la garantía de seriedad </w:t>
      </w:r>
      <w:r w:rsidRPr="00701F37">
        <w:rPr>
          <w:rFonts w:ascii="Arial" w:hAnsi="Arial" w:cs="Arial"/>
          <w:sz w:val="22"/>
          <w:lang w:val="es-ES_tradnl"/>
        </w:rPr>
        <w:lastRenderedPageBreak/>
        <w:t xml:space="preserve">de la oferta que no fue aportada con la propuesta y de valer la acreditación de circunstancias ocurridas con posterioridad al cierre del proceso.  </w:t>
      </w:r>
    </w:p>
    <w:p w14:paraId="18DD7784" w14:textId="46810E52" w:rsidR="001B5150" w:rsidRPr="00B5320E" w:rsidRDefault="001B5150" w:rsidP="00862262">
      <w:pPr>
        <w:spacing w:after="120" w:line="276" w:lineRule="auto"/>
        <w:ind w:firstLine="708"/>
        <w:jc w:val="both"/>
        <w:rPr>
          <w:rFonts w:ascii="Arial" w:hAnsi="Arial" w:cs="Arial"/>
          <w:sz w:val="22"/>
          <w:lang w:val="es-ES_tradnl"/>
        </w:rPr>
      </w:pPr>
      <w:r w:rsidRPr="00B5320E">
        <w:rPr>
          <w:rFonts w:ascii="Arial" w:hAnsi="Arial" w:cs="Arial"/>
          <w:sz w:val="22"/>
          <w:lang w:val="es-ES_tradnl"/>
        </w:rPr>
        <w:t xml:space="preserve">La posibilidad de enmendar, corregir o subsanar los errores en los que se incurre en los documentos contentivos de la oferta es un tema que ha tenido diferentes momentos o etapas en el ordenamiento jurídico colombiano. En un </w:t>
      </w:r>
      <w:r w:rsidRPr="00B5320E">
        <w:rPr>
          <w:rFonts w:ascii="Arial" w:hAnsi="Arial" w:cs="Arial"/>
          <w:i/>
          <w:sz w:val="22"/>
          <w:lang w:val="es-ES_tradnl"/>
        </w:rPr>
        <w:t>primer momento</w:t>
      </w:r>
      <w:r w:rsidRPr="00B5320E">
        <w:rPr>
          <w:rFonts w:ascii="Arial" w:hAnsi="Arial" w:cs="Arial"/>
          <w:sz w:val="22"/>
          <w:lang w:val="es-ES_tradnl"/>
        </w:rPr>
        <w:t xml:space="preserve">, antes de la </w:t>
      </w:r>
      <w:proofErr w:type="gramStart"/>
      <w:r w:rsidRPr="00B5320E">
        <w:rPr>
          <w:rFonts w:ascii="Arial" w:hAnsi="Arial" w:cs="Arial"/>
          <w:sz w:val="22"/>
          <w:lang w:val="es-ES_tradnl"/>
        </w:rPr>
        <w:t>entrada en vigencia</w:t>
      </w:r>
      <w:proofErr w:type="gramEnd"/>
      <w:r w:rsidRPr="00B5320E">
        <w:rPr>
          <w:rFonts w:ascii="Arial" w:hAnsi="Arial" w:cs="Arial"/>
          <w:sz w:val="22"/>
          <w:lang w:val="es-ES_tradnl"/>
        </w:rPr>
        <w:t xml:space="preserve"> de la Constitución Política de 1991, el régimen jurídico de la </w:t>
      </w:r>
      <w:proofErr w:type="spellStart"/>
      <w:r w:rsidRPr="00B5320E">
        <w:rPr>
          <w:rFonts w:ascii="Arial" w:hAnsi="Arial" w:cs="Arial"/>
          <w:sz w:val="22"/>
          <w:lang w:val="es-ES_tradnl"/>
        </w:rPr>
        <w:t>subsanabilidad</w:t>
      </w:r>
      <w:proofErr w:type="spellEnd"/>
      <w:r w:rsidRPr="00B5320E">
        <w:rPr>
          <w:rFonts w:ascii="Arial" w:hAnsi="Arial" w:cs="Arial"/>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33EC4BF" w14:textId="77777777" w:rsidR="001B5150" w:rsidRPr="00B5320E" w:rsidRDefault="001B5150" w:rsidP="00862262">
      <w:pPr>
        <w:spacing w:before="120" w:line="276" w:lineRule="auto"/>
        <w:ind w:firstLine="709"/>
        <w:jc w:val="both"/>
        <w:rPr>
          <w:rFonts w:ascii="Arial" w:hAnsi="Arial" w:cs="Arial"/>
          <w:sz w:val="22"/>
          <w:lang w:val="es-ES_tradnl"/>
        </w:rPr>
      </w:pPr>
      <w:r w:rsidRPr="00B5320E">
        <w:rPr>
          <w:rFonts w:ascii="Arial" w:hAnsi="Arial" w:cs="Arial"/>
          <w:sz w:val="22"/>
          <w:lang w:val="es-ES_tradnl"/>
        </w:rPr>
        <w:t xml:space="preserve">En un </w:t>
      </w:r>
      <w:r w:rsidRPr="00B5320E">
        <w:rPr>
          <w:rFonts w:ascii="Arial" w:hAnsi="Arial" w:cs="Arial"/>
          <w:i/>
          <w:sz w:val="22"/>
          <w:lang w:val="es-ES_tradnl"/>
        </w:rPr>
        <w:t>segundo momento</w:t>
      </w:r>
      <w:r w:rsidRPr="00B5320E">
        <w:rPr>
          <w:rFonts w:ascii="Arial" w:hAnsi="Arial" w:cs="Arial"/>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1A0E72EF" w14:textId="77777777" w:rsidR="001B5150" w:rsidRPr="00B5320E" w:rsidRDefault="001B5150" w:rsidP="001B5150">
      <w:pPr>
        <w:spacing w:line="276" w:lineRule="auto"/>
        <w:jc w:val="both"/>
        <w:rPr>
          <w:rFonts w:ascii="Arial" w:hAnsi="Arial" w:cs="Arial"/>
          <w:sz w:val="22"/>
          <w:lang w:val="es-ES_tradnl"/>
        </w:rPr>
      </w:pPr>
    </w:p>
    <w:p w14:paraId="375C005C"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F86A97A"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 xml:space="preserve"> </w:t>
      </w:r>
    </w:p>
    <w:p w14:paraId="4C20A847"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BE48868" w14:textId="77777777" w:rsidR="001B5150" w:rsidRPr="00B5320E" w:rsidRDefault="001B5150" w:rsidP="001B5150">
      <w:pPr>
        <w:spacing w:line="276" w:lineRule="auto"/>
        <w:jc w:val="both"/>
        <w:rPr>
          <w:rFonts w:ascii="Arial" w:hAnsi="Arial" w:cs="Arial"/>
          <w:b/>
          <w:sz w:val="22"/>
          <w:lang w:val="es-ES_tradnl"/>
        </w:rPr>
      </w:pPr>
    </w:p>
    <w:p w14:paraId="2951C4BD" w14:textId="77777777" w:rsidR="001B5150" w:rsidRPr="00B5320E" w:rsidRDefault="001B5150" w:rsidP="001B5150">
      <w:pPr>
        <w:spacing w:line="276" w:lineRule="auto"/>
        <w:ind w:firstLine="709"/>
        <w:jc w:val="both"/>
        <w:rPr>
          <w:rFonts w:ascii="Arial" w:hAnsi="Arial" w:cs="Arial"/>
          <w:sz w:val="22"/>
          <w:lang w:val="es-ES_tradnl"/>
        </w:rPr>
      </w:pPr>
      <w:r w:rsidRPr="00B5320E">
        <w:rPr>
          <w:rFonts w:ascii="Arial" w:hAnsi="Arial" w:cs="Arial"/>
          <w:sz w:val="22"/>
          <w:lang w:val="es-ES_tradnl"/>
        </w:rPr>
        <w:t xml:space="preserve">Bajo el amparo de esta norma, el régimen jurídico de </w:t>
      </w:r>
      <w:proofErr w:type="spellStart"/>
      <w:r w:rsidRPr="00B5320E">
        <w:rPr>
          <w:rFonts w:ascii="Arial" w:hAnsi="Arial" w:cs="Arial"/>
          <w:sz w:val="22"/>
          <w:lang w:val="es-ES_tradnl"/>
        </w:rPr>
        <w:t>subsanabilidad</w:t>
      </w:r>
      <w:proofErr w:type="spellEnd"/>
      <w:r w:rsidRPr="00B5320E">
        <w:rPr>
          <w:rFonts w:ascii="Arial" w:hAnsi="Arial" w:cs="Arial"/>
          <w:sz w:val="22"/>
          <w:lang w:val="es-ES_tradnl"/>
        </w:rPr>
        <w:t xml:space="preserve">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33FDECA" w14:textId="77777777" w:rsidR="00614363" w:rsidRDefault="001B5150" w:rsidP="001B5150">
      <w:pPr>
        <w:spacing w:before="120" w:after="120" w:line="276" w:lineRule="auto"/>
        <w:ind w:firstLine="709"/>
        <w:jc w:val="both"/>
        <w:rPr>
          <w:rFonts w:ascii="Arial" w:hAnsi="Arial" w:cs="Arial"/>
          <w:sz w:val="22"/>
          <w:lang w:val="es-ES_tradnl"/>
        </w:rPr>
      </w:pPr>
      <w:r w:rsidRPr="00B5320E">
        <w:rPr>
          <w:rFonts w:ascii="Arial" w:hAnsi="Arial" w:cs="Arial"/>
          <w:sz w:val="22"/>
          <w:lang w:val="es-ES_tradnl"/>
        </w:rPr>
        <w:t>Esta norma debía leerse en conjunto con otras de la Ley 80 de 1993, particularmente con el artículo 30.7</w:t>
      </w:r>
      <w:r w:rsidRPr="00B5320E">
        <w:rPr>
          <w:rStyle w:val="Refdenotaalpie"/>
          <w:rFonts w:ascii="Arial" w:hAnsi="Arial" w:cs="Arial"/>
          <w:sz w:val="22"/>
          <w:lang w:val="es-ES_tradnl"/>
        </w:rPr>
        <w:footnoteReference w:id="5"/>
      </w:r>
      <w:r w:rsidRPr="00B5320E">
        <w:rPr>
          <w:rFonts w:ascii="Arial" w:hAnsi="Arial" w:cs="Arial"/>
          <w:sz w:val="22"/>
          <w:lang w:val="es-ES_tradnl"/>
        </w:rPr>
        <w:t xml:space="preserve">, que ordena a la entidad señalar un plazo razonable para evaluar las </w:t>
      </w:r>
      <w:r w:rsidRPr="00B5320E">
        <w:rPr>
          <w:rFonts w:ascii="Arial" w:hAnsi="Arial" w:cs="Arial"/>
          <w:sz w:val="22"/>
          <w:lang w:val="es-ES_tradnl"/>
        </w:rPr>
        <w:lastRenderedPageBreak/>
        <w:t>propuestas y pedir a los proponentes, de ser necesario, que aclaren o expliquen aspectos que ofrezcan dudas y resulten indispensables para hacer la evaluación; y con el artículo 30.8</w:t>
      </w:r>
      <w:r w:rsidRPr="00B5320E">
        <w:rPr>
          <w:rStyle w:val="Refdenotaalpie"/>
          <w:rFonts w:ascii="Arial" w:hAnsi="Arial" w:cs="Arial"/>
          <w:sz w:val="22"/>
          <w:lang w:val="es-ES_tradnl"/>
        </w:rPr>
        <w:footnoteReference w:id="6"/>
      </w:r>
      <w:r w:rsidRPr="00B5320E">
        <w:rPr>
          <w:rFonts w:ascii="Arial" w:hAnsi="Arial" w:cs="Arial"/>
          <w:sz w:val="22"/>
          <w:lang w:val="es-ES_tradnl"/>
        </w:rPr>
        <w:t xml:space="preserve">, que consagró el término de 5 días hábiles para que los oferentes presenten observaciones al informe de evaluación de las propuestas, sin que sea posible completar, adicionar, modificar o mejorar la oferta. </w:t>
      </w:r>
    </w:p>
    <w:p w14:paraId="40F56106" w14:textId="6B47F99D" w:rsidR="001B5150" w:rsidRPr="00B5320E" w:rsidRDefault="001B5150" w:rsidP="001B5150">
      <w:pPr>
        <w:spacing w:before="120" w:after="120" w:line="276" w:lineRule="auto"/>
        <w:ind w:firstLine="709"/>
        <w:jc w:val="both"/>
        <w:rPr>
          <w:rFonts w:ascii="Arial" w:hAnsi="Arial" w:cs="Arial"/>
          <w:sz w:val="22"/>
          <w:lang w:val="es-ES_tradnl"/>
        </w:rPr>
      </w:pPr>
      <w:r w:rsidRPr="00B5320E">
        <w:rPr>
          <w:rFonts w:ascii="Arial" w:hAnsi="Arial" w:cs="Arial"/>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B5320E">
        <w:rPr>
          <w:rFonts w:ascii="Arial" w:hAnsi="Arial" w:cs="Arial"/>
          <w:sz w:val="22"/>
          <w:lang w:val="es-ES_tradnl"/>
        </w:rPr>
        <w:t>la misma</w:t>
      </w:r>
      <w:proofErr w:type="gramEnd"/>
      <w:r w:rsidRPr="00B5320E">
        <w:rPr>
          <w:rFonts w:ascii="Arial" w:hAnsi="Arial" w:cs="Arial"/>
          <w:sz w:val="22"/>
          <w:lang w:val="es-ES_tradnl"/>
        </w:rPr>
        <w:t xml:space="preserve"> no podía llevar a su rechazo, sin antes verificar que lo omitido fuera un aspecto necesario para la comparación. </w:t>
      </w:r>
    </w:p>
    <w:p w14:paraId="2097FF45" w14:textId="77777777" w:rsidR="001B5150" w:rsidRPr="00B5320E" w:rsidRDefault="001B5150" w:rsidP="001B5150">
      <w:pPr>
        <w:spacing w:line="276" w:lineRule="auto"/>
        <w:ind w:firstLine="709"/>
        <w:jc w:val="both"/>
        <w:rPr>
          <w:rFonts w:ascii="Arial" w:hAnsi="Arial" w:cs="Arial"/>
          <w:sz w:val="22"/>
          <w:lang w:val="es-ES_tradnl"/>
        </w:rPr>
      </w:pPr>
      <w:r w:rsidRPr="00B5320E">
        <w:rPr>
          <w:rFonts w:ascii="Arial" w:hAnsi="Arial" w:cs="Arial"/>
          <w:sz w:val="22"/>
          <w:lang w:val="es-ES_tradnl"/>
        </w:rPr>
        <w:t xml:space="preserve">En un </w:t>
      </w:r>
      <w:r w:rsidRPr="00B5320E">
        <w:rPr>
          <w:rFonts w:ascii="Arial" w:hAnsi="Arial" w:cs="Arial"/>
          <w:i/>
          <w:sz w:val="22"/>
          <w:lang w:val="es-ES_tradnl"/>
        </w:rPr>
        <w:t>tercer momento</w:t>
      </w:r>
      <w:r w:rsidRPr="00B5320E">
        <w:rPr>
          <w:rFonts w:ascii="Arial" w:hAnsi="Arial" w:cs="Arial"/>
          <w:sz w:val="22"/>
          <w:lang w:val="es-ES_tradnl"/>
        </w:rPr>
        <w:t xml:space="preserve">, y siguiendo la línea trazada por la Ley 80 de 1993, el legislador expidió la Ley 1150 de 2007, que, en el parágrafo 1º del artículo 5, determinó lo siguiente: </w:t>
      </w:r>
    </w:p>
    <w:p w14:paraId="0228B69D" w14:textId="77777777" w:rsidR="001B5150" w:rsidRPr="00B5320E" w:rsidRDefault="001B5150" w:rsidP="001B5150">
      <w:pPr>
        <w:spacing w:line="276" w:lineRule="auto"/>
        <w:jc w:val="both"/>
        <w:rPr>
          <w:rFonts w:ascii="Arial" w:hAnsi="Arial" w:cs="Arial"/>
          <w:sz w:val="22"/>
          <w:lang w:val="es-ES_tradnl"/>
        </w:rPr>
      </w:pPr>
    </w:p>
    <w:p w14:paraId="6EF24F84"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B5320E">
        <w:rPr>
          <w:rFonts w:ascii="Arial" w:hAnsi="Arial" w:cs="Arial"/>
          <w:b/>
          <w:sz w:val="21"/>
          <w:szCs w:val="21"/>
          <w:lang w:val="es-ES_tradnl"/>
        </w:rPr>
        <w:t xml:space="preserve">, </w:t>
      </w:r>
      <w:r w:rsidRPr="00B5320E">
        <w:rPr>
          <w:rFonts w:ascii="Arial" w:hAnsi="Arial" w:cs="Arial"/>
          <w:sz w:val="21"/>
          <w:szCs w:val="21"/>
          <w:lang w:val="es-ES_tradnl"/>
        </w:rPr>
        <w:t xml:space="preserve">todos aquellos requisitos de la propuesta que no afecten la asignación de </w:t>
      </w:r>
      <w:proofErr w:type="gramStart"/>
      <w:r w:rsidRPr="00B5320E">
        <w:rPr>
          <w:rFonts w:ascii="Arial" w:hAnsi="Arial" w:cs="Arial"/>
          <w:sz w:val="21"/>
          <w:szCs w:val="21"/>
          <w:lang w:val="es-ES_tradnl"/>
        </w:rPr>
        <w:t>puntaje,</w:t>
      </w:r>
      <w:proofErr w:type="gramEnd"/>
      <w:r w:rsidRPr="00B5320E">
        <w:rPr>
          <w:rFonts w:ascii="Arial" w:hAnsi="Arial" w:cs="Arial"/>
          <w:sz w:val="21"/>
          <w:szCs w:val="21"/>
          <w:lang w:val="es-ES_tradnl"/>
        </w:rPr>
        <w:t xml:space="preserve"> podrán ser solicitados por las entidades en cualquier momento, hasta la adjudicación. No </w:t>
      </w:r>
      <w:proofErr w:type="gramStart"/>
      <w:r w:rsidRPr="00B5320E">
        <w:rPr>
          <w:rFonts w:ascii="Arial" w:hAnsi="Arial" w:cs="Arial"/>
          <w:sz w:val="21"/>
          <w:szCs w:val="21"/>
          <w:lang w:val="es-ES_tradnl"/>
        </w:rPr>
        <w:t>obstante</w:t>
      </w:r>
      <w:proofErr w:type="gramEnd"/>
      <w:r w:rsidRPr="00B5320E">
        <w:rPr>
          <w:rFonts w:ascii="Arial" w:hAnsi="Arial" w:cs="Arial"/>
          <w:sz w:val="21"/>
          <w:szCs w:val="21"/>
          <w:lang w:val="es-ES_tradnl"/>
        </w:rPr>
        <w:t xml:space="preserve"> lo anterior, en aquellos procesos de selección en los que se utilice el mecanismo de subasta, deberán ser solicitados hasta el momento previo a su realización. </w:t>
      </w:r>
    </w:p>
    <w:p w14:paraId="60E17AC8" w14:textId="77777777" w:rsidR="001B5150" w:rsidRPr="00B5320E" w:rsidRDefault="001B5150" w:rsidP="001B5150">
      <w:pPr>
        <w:spacing w:line="276" w:lineRule="auto"/>
        <w:jc w:val="both"/>
        <w:rPr>
          <w:rFonts w:ascii="Arial" w:hAnsi="Arial" w:cs="Arial"/>
          <w:b/>
          <w:sz w:val="22"/>
          <w:lang w:val="es-ES_tradnl"/>
        </w:rPr>
      </w:pPr>
    </w:p>
    <w:p w14:paraId="129F345A" w14:textId="77777777" w:rsidR="00873DA1" w:rsidRDefault="001B5150" w:rsidP="001B5150">
      <w:pPr>
        <w:spacing w:line="276" w:lineRule="auto"/>
        <w:ind w:firstLine="709"/>
        <w:jc w:val="both"/>
        <w:rPr>
          <w:rFonts w:ascii="Arial" w:hAnsi="Arial" w:cs="Arial"/>
          <w:sz w:val="22"/>
          <w:lang w:val="es-ES_tradnl"/>
        </w:rPr>
      </w:pPr>
      <w:r w:rsidRPr="00B5320E">
        <w:rPr>
          <w:rFonts w:ascii="Arial" w:hAnsi="Arial" w:cs="Arial"/>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59FEB0B" w14:textId="5308C5F5" w:rsidR="00873DA1" w:rsidRDefault="001B5150" w:rsidP="001B5150">
      <w:pPr>
        <w:spacing w:line="276" w:lineRule="auto"/>
        <w:ind w:firstLine="709"/>
        <w:jc w:val="both"/>
        <w:rPr>
          <w:rFonts w:ascii="Arial" w:hAnsi="Arial" w:cs="Arial"/>
          <w:sz w:val="22"/>
          <w:lang w:val="es-ES_tradnl"/>
        </w:rPr>
      </w:pPr>
      <w:r w:rsidRPr="00B5320E">
        <w:rPr>
          <w:rFonts w:ascii="Arial" w:hAnsi="Arial" w:cs="Arial"/>
          <w:sz w:val="22"/>
          <w:lang w:val="es-ES_tradnl"/>
        </w:rPr>
        <w:t xml:space="preserve">A partir de esta norma,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453036ED" w14:textId="3DC47A98" w:rsidR="001B5150" w:rsidRPr="00B5320E" w:rsidRDefault="001B5150" w:rsidP="00862262">
      <w:pPr>
        <w:spacing w:after="120" w:line="276" w:lineRule="auto"/>
        <w:ind w:firstLine="709"/>
        <w:jc w:val="both"/>
        <w:rPr>
          <w:rFonts w:ascii="Arial" w:hAnsi="Arial" w:cs="Arial"/>
          <w:sz w:val="22"/>
          <w:lang w:val="es-ES_tradnl"/>
        </w:rPr>
      </w:pPr>
      <w:r w:rsidRPr="00B5320E">
        <w:rPr>
          <w:rFonts w:ascii="Arial" w:hAnsi="Arial" w:cs="Arial"/>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65B80DFE" w14:textId="77777777" w:rsidR="001B5150" w:rsidRPr="00B5320E" w:rsidRDefault="001B5150" w:rsidP="00873DA1">
      <w:pPr>
        <w:spacing w:line="276" w:lineRule="auto"/>
        <w:ind w:firstLine="709"/>
        <w:jc w:val="both"/>
        <w:rPr>
          <w:rFonts w:ascii="Arial" w:hAnsi="Arial" w:cs="Arial"/>
          <w:sz w:val="22"/>
          <w:lang w:val="es-ES_tradnl"/>
        </w:rPr>
      </w:pPr>
      <w:r w:rsidRPr="00B5320E">
        <w:rPr>
          <w:rFonts w:ascii="Arial" w:hAnsi="Arial" w:cs="Arial"/>
          <w:sz w:val="22"/>
          <w:lang w:val="es-ES_tradnl"/>
        </w:rPr>
        <w:lastRenderedPageBreak/>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60FDB8B1" w14:textId="77777777" w:rsidR="001B5150" w:rsidRPr="00B5320E" w:rsidRDefault="001B5150" w:rsidP="001B5150">
      <w:pPr>
        <w:spacing w:line="276" w:lineRule="auto"/>
        <w:jc w:val="both"/>
        <w:rPr>
          <w:rFonts w:ascii="Arial" w:hAnsi="Arial" w:cs="Arial"/>
          <w:sz w:val="22"/>
          <w:lang w:val="es-ES_tradnl"/>
        </w:rPr>
      </w:pPr>
    </w:p>
    <w:p w14:paraId="00A33BF7"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B5320E">
        <w:rPr>
          <w:rStyle w:val="Refdenotaalpie"/>
          <w:rFonts w:ascii="Arial" w:hAnsi="Arial" w:cs="Arial"/>
          <w:sz w:val="21"/>
          <w:szCs w:val="21"/>
          <w:lang w:val="es-ES_tradnl"/>
        </w:rPr>
        <w:footnoteReference w:id="7"/>
      </w:r>
      <w:r w:rsidRPr="00B5320E">
        <w:rPr>
          <w:rFonts w:ascii="Arial" w:hAnsi="Arial" w:cs="Arial"/>
          <w:sz w:val="21"/>
          <w:szCs w:val="21"/>
          <w:lang w:val="es-ES_tradnl"/>
        </w:rPr>
        <w:t>.</w:t>
      </w:r>
    </w:p>
    <w:p w14:paraId="11402828" w14:textId="77777777" w:rsidR="001B5150" w:rsidRPr="00B5320E" w:rsidRDefault="001B5150" w:rsidP="001B5150">
      <w:pPr>
        <w:spacing w:line="276" w:lineRule="auto"/>
        <w:jc w:val="both"/>
        <w:rPr>
          <w:rFonts w:ascii="Arial" w:hAnsi="Arial" w:cs="Arial"/>
          <w:b/>
          <w:sz w:val="22"/>
          <w:lang w:val="es-ES_tradnl"/>
        </w:rPr>
      </w:pPr>
    </w:p>
    <w:p w14:paraId="65514D90" w14:textId="77777777" w:rsidR="001B5150" w:rsidRPr="00B5320E" w:rsidRDefault="001B5150" w:rsidP="001B5150">
      <w:pPr>
        <w:pStyle w:val="Textoindependiente"/>
        <w:tabs>
          <w:tab w:val="left" w:pos="284"/>
        </w:tabs>
        <w:spacing w:after="0"/>
        <w:ind w:firstLine="709"/>
        <w:jc w:val="both"/>
        <w:rPr>
          <w:rFonts w:ascii="Arial" w:eastAsiaTheme="minorHAnsi" w:hAnsi="Arial" w:cs="Arial"/>
          <w:lang w:val="es-ES_tradnl" w:eastAsia="en-US"/>
        </w:rPr>
      </w:pPr>
      <w:r w:rsidRPr="00B5320E">
        <w:rPr>
          <w:rFonts w:ascii="Arial" w:eastAsiaTheme="minorHAnsi" w:hAnsi="Arial" w:cs="Arial"/>
          <w:lang w:val="es-ES_tradnl" w:eastAsia="en-US"/>
        </w:rPr>
        <w:t xml:space="preserve">Esa interpretación fue compartida por la </w:t>
      </w:r>
      <w:r w:rsidRPr="00B5320E">
        <w:rPr>
          <w:rFonts w:ascii="Arial" w:hAnsi="Arial" w:cs="Arial"/>
          <w:lang w:val="es-ES_tradnl"/>
        </w:rPr>
        <w:t>Agencia Nacional de Contratación Pública – Colombia Compra Eficiente</w:t>
      </w:r>
      <w:r w:rsidRPr="00B5320E">
        <w:rPr>
          <w:rFonts w:ascii="Arial" w:eastAsiaTheme="minorHAnsi" w:hAnsi="Arial" w:cs="Arial"/>
          <w:lang w:val="es-ES_tradnl" w:eastAsia="en-US"/>
        </w:rPr>
        <w:t xml:space="preserve">, pues en la Circular Externa Única se precisó </w:t>
      </w:r>
      <w:proofErr w:type="gramStart"/>
      <w:r w:rsidRPr="00B5320E">
        <w:rPr>
          <w:rFonts w:ascii="Arial" w:eastAsiaTheme="minorHAnsi" w:hAnsi="Arial" w:cs="Arial"/>
          <w:lang w:val="es-ES_tradnl" w:eastAsia="en-US"/>
        </w:rPr>
        <w:t>que</w:t>
      </w:r>
      <w:proofErr w:type="gramEnd"/>
      <w:r w:rsidRPr="00B5320E">
        <w:rPr>
          <w:rFonts w:ascii="Arial" w:eastAsiaTheme="minorHAnsi" w:hAnsi="Arial" w:cs="Arial"/>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7B197A24" w14:textId="77777777" w:rsidR="001B5150" w:rsidRPr="00B5320E" w:rsidRDefault="001B5150" w:rsidP="001B5150">
      <w:pPr>
        <w:pStyle w:val="Textoindependiente"/>
        <w:tabs>
          <w:tab w:val="left" w:pos="284"/>
        </w:tabs>
        <w:spacing w:before="120" w:after="0"/>
        <w:ind w:firstLine="709"/>
        <w:jc w:val="both"/>
        <w:rPr>
          <w:rFonts w:ascii="Arial" w:eastAsiaTheme="minorHAnsi" w:hAnsi="Arial" w:cs="Arial"/>
          <w:lang w:val="es-ES_tradnl" w:eastAsia="en-US"/>
        </w:rPr>
      </w:pPr>
      <w:r w:rsidRPr="00B5320E">
        <w:rPr>
          <w:rFonts w:ascii="Arial" w:hAnsi="Arial" w:cs="Arial"/>
          <w:lang w:val="es-ES_tradnl"/>
        </w:rPr>
        <w:t xml:space="preserve">En un </w:t>
      </w:r>
      <w:r w:rsidRPr="00B5320E">
        <w:rPr>
          <w:rFonts w:ascii="Arial" w:hAnsi="Arial" w:cs="Arial"/>
          <w:i/>
          <w:lang w:val="es-ES_tradnl"/>
        </w:rPr>
        <w:t>cuarto momento</w:t>
      </w:r>
      <w:r w:rsidRPr="00B5320E">
        <w:rPr>
          <w:rFonts w:ascii="Arial" w:hAnsi="Arial" w:cs="Arial"/>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1B6FC419" w14:textId="77777777" w:rsidR="001B5150" w:rsidRPr="00B5320E" w:rsidRDefault="001B5150" w:rsidP="001B5150">
      <w:pPr>
        <w:spacing w:line="276" w:lineRule="auto"/>
        <w:jc w:val="both"/>
        <w:rPr>
          <w:rFonts w:ascii="Arial" w:hAnsi="Arial" w:cs="Arial"/>
          <w:sz w:val="22"/>
          <w:lang w:val="es-ES_tradnl"/>
        </w:rPr>
      </w:pPr>
    </w:p>
    <w:p w14:paraId="29C2A0DD"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 xml:space="preserve">Artículo 5°. De la selección objetiva. </w:t>
      </w:r>
    </w:p>
    <w:p w14:paraId="2AA21774" w14:textId="0180B41D"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w:t>
      </w:r>
    </w:p>
    <w:p w14:paraId="276A7676" w14:textId="77777777" w:rsidR="001B5150" w:rsidRPr="00B5320E" w:rsidRDefault="001B5150" w:rsidP="001B5150">
      <w:pPr>
        <w:ind w:left="709" w:right="709"/>
        <w:jc w:val="both"/>
        <w:rPr>
          <w:rFonts w:ascii="Arial" w:hAnsi="Arial" w:cs="Arial"/>
          <w:sz w:val="21"/>
          <w:szCs w:val="21"/>
          <w:lang w:val="es-ES_tradnl"/>
        </w:rPr>
      </w:pPr>
    </w:p>
    <w:p w14:paraId="3A4F64FC" w14:textId="77777777" w:rsidR="001B5150" w:rsidRPr="00B5320E" w:rsidRDefault="001B5150" w:rsidP="001B5150">
      <w:pPr>
        <w:ind w:left="709" w:right="709"/>
        <w:jc w:val="both"/>
        <w:rPr>
          <w:rFonts w:ascii="Arial" w:hAnsi="Arial" w:cs="Arial"/>
          <w:sz w:val="21"/>
          <w:szCs w:val="21"/>
          <w:lang w:val="es-ES_tradnl"/>
        </w:rPr>
      </w:pPr>
      <w:r w:rsidRPr="00B5320E">
        <w:rPr>
          <w:rFonts w:ascii="Arial"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B5320E">
        <w:rPr>
          <w:rFonts w:ascii="Arial" w:hAnsi="Arial" w:cs="Arial"/>
          <w:sz w:val="21"/>
          <w:szCs w:val="21"/>
          <w:lang w:val="es-ES_tradnl"/>
        </w:rPr>
        <w:t>puntaje,</w:t>
      </w:r>
      <w:proofErr w:type="gramEnd"/>
      <w:r w:rsidRPr="00B5320E">
        <w:rPr>
          <w:rFonts w:ascii="Arial"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w:t>
      </w:r>
      <w:r w:rsidRPr="00B5320E">
        <w:rPr>
          <w:rFonts w:ascii="Arial" w:hAnsi="Arial" w:cs="Arial"/>
          <w:sz w:val="21"/>
          <w:szCs w:val="21"/>
          <w:lang w:val="es-ES_tradnl"/>
        </w:rPr>
        <w:lastRenderedPageBreak/>
        <w:t xml:space="preserve">documentación solicitada por la entidad estatal hasta el plazo anteriormente señalado. Durante el término otorgado para subsanar las ofertas, los proponentes no podrán acreditar circunstancias ocurridas con posterioridad al cierre del proceso. </w:t>
      </w:r>
    </w:p>
    <w:p w14:paraId="12E1E267" w14:textId="77777777" w:rsidR="001B5150" w:rsidRPr="00B5320E" w:rsidRDefault="001B5150" w:rsidP="001B5150">
      <w:pPr>
        <w:spacing w:line="276" w:lineRule="auto"/>
        <w:jc w:val="both"/>
        <w:rPr>
          <w:rFonts w:ascii="Arial" w:hAnsi="Arial" w:cs="Arial"/>
          <w:b/>
          <w:sz w:val="22"/>
          <w:lang w:val="es-ES_tradnl"/>
        </w:rPr>
      </w:pPr>
    </w:p>
    <w:p w14:paraId="7EB74E80" w14:textId="48ACB87C" w:rsidR="001B5150" w:rsidRPr="00B5320E" w:rsidRDefault="00873DA1" w:rsidP="001B5150">
      <w:pPr>
        <w:spacing w:line="276" w:lineRule="auto"/>
        <w:ind w:firstLine="709"/>
        <w:jc w:val="both"/>
        <w:rPr>
          <w:rFonts w:ascii="Arial" w:hAnsi="Arial" w:cs="Arial"/>
          <w:sz w:val="22"/>
          <w:lang w:val="es-ES_tradnl"/>
        </w:rPr>
      </w:pPr>
      <w:r>
        <w:rPr>
          <w:rFonts w:ascii="Arial" w:hAnsi="Arial" w:cs="Arial"/>
          <w:sz w:val="22"/>
          <w:lang w:val="es-ES_tradnl"/>
        </w:rPr>
        <w:t>Como se observa, e</w:t>
      </w:r>
      <w:r w:rsidR="001B5150" w:rsidRPr="00B5320E">
        <w:rPr>
          <w:rFonts w:ascii="Arial" w:hAnsi="Arial" w:cs="Arial"/>
          <w:sz w:val="22"/>
          <w:lang w:val="es-ES_tradnl"/>
        </w:rPr>
        <w:t xml:space="preserve">sta norma: i) mantiene el criterio de la Ley 80 de 1993, relativo a que todo lo que no sea necesario para la comparación de propuestas no es título suficiente para su rechazo; </w:t>
      </w:r>
      <w:proofErr w:type="spellStart"/>
      <w:r w:rsidR="001B5150" w:rsidRPr="00B5320E">
        <w:rPr>
          <w:rFonts w:ascii="Arial" w:hAnsi="Arial" w:cs="Arial"/>
          <w:sz w:val="22"/>
          <w:lang w:val="es-ES_tradnl"/>
        </w:rPr>
        <w:t>ii</w:t>
      </w:r>
      <w:proofErr w:type="spellEnd"/>
      <w:r w:rsidR="001B5150" w:rsidRPr="00B5320E">
        <w:rPr>
          <w:rFonts w:ascii="Arial" w:hAnsi="Arial" w:cs="Arial"/>
          <w:sz w:val="22"/>
          <w:lang w:val="es-ES_tradnl"/>
        </w:rPr>
        <w:t xml:space="preserve">) mantiene el criterio aclaratorio de la Ley 1150 de 2007, según el cual todo lo que no afecte la asignación de puntaje puede subsanarse e </w:t>
      </w:r>
      <w:proofErr w:type="spellStart"/>
      <w:r w:rsidR="001B5150" w:rsidRPr="00B5320E">
        <w:rPr>
          <w:rFonts w:ascii="Arial" w:hAnsi="Arial" w:cs="Arial"/>
          <w:sz w:val="22"/>
          <w:lang w:val="es-ES_tradnl"/>
        </w:rPr>
        <w:t>iii</w:t>
      </w:r>
      <w:proofErr w:type="spellEnd"/>
      <w:r w:rsidR="001B5150" w:rsidRPr="00B5320E">
        <w:rPr>
          <w:rFonts w:ascii="Arial" w:hAnsi="Arial" w:cs="Arial"/>
          <w:sz w:val="22"/>
          <w:lang w:val="es-ES_tradnl"/>
        </w:rPr>
        <w:t xml:space="preserve">) introduce modificaciones en relación con algunos aspectos que se analizarán a continuación. </w:t>
      </w:r>
    </w:p>
    <w:p w14:paraId="594B7078" w14:textId="77777777" w:rsidR="001B5150" w:rsidRPr="00B5320E" w:rsidRDefault="001B5150" w:rsidP="001B5150">
      <w:pPr>
        <w:spacing w:before="120" w:after="120" w:line="276" w:lineRule="auto"/>
        <w:ind w:firstLine="709"/>
        <w:jc w:val="both"/>
        <w:rPr>
          <w:rFonts w:ascii="Arial" w:hAnsi="Arial" w:cs="Arial"/>
          <w:sz w:val="22"/>
          <w:lang w:val="es-ES_tradnl"/>
        </w:rPr>
      </w:pPr>
      <w:r w:rsidRPr="00B5320E">
        <w:rPr>
          <w:rFonts w:ascii="Arial" w:hAnsi="Arial" w:cs="Arial"/>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B5320E">
        <w:rPr>
          <w:rFonts w:ascii="Arial" w:eastAsia="Calibri" w:hAnsi="Arial" w:cs="Arial"/>
          <w:sz w:val="22"/>
          <w:lang w:val="es-ES_tradnl"/>
        </w:rPr>
        <w:t>de selección a través del sistema de subasta</w:t>
      </w:r>
      <w:r w:rsidRPr="00B5320E">
        <w:rPr>
          <w:rStyle w:val="Refdenotaalpie"/>
          <w:rFonts w:ascii="Arial" w:eastAsia="Calibri" w:hAnsi="Arial" w:cs="Arial"/>
          <w:sz w:val="22"/>
          <w:lang w:val="es-ES_tradnl"/>
        </w:rPr>
        <w:footnoteReference w:id="8"/>
      </w:r>
      <w:r w:rsidRPr="00B5320E">
        <w:rPr>
          <w:rFonts w:ascii="Arial" w:eastAsia="Calibri" w:hAnsi="Arial" w:cs="Arial"/>
          <w:sz w:val="22"/>
          <w:lang w:val="es-ES_tradnl"/>
        </w:rPr>
        <w:t xml:space="preserve">; en el último los documentos o requisitos subsanables pueden y deben solicitarse hasta el momento previo a su realización.  </w:t>
      </w:r>
    </w:p>
    <w:p w14:paraId="7A6DEF20" w14:textId="77777777" w:rsidR="00873DA1" w:rsidRDefault="001B5150" w:rsidP="001B5150">
      <w:pPr>
        <w:spacing w:before="120" w:after="120" w:line="276" w:lineRule="auto"/>
        <w:ind w:firstLine="709"/>
        <w:jc w:val="both"/>
        <w:rPr>
          <w:rFonts w:ascii="Arial" w:eastAsia="Calibri" w:hAnsi="Arial" w:cs="Arial"/>
          <w:sz w:val="22"/>
          <w:lang w:val="es-ES_tradnl"/>
        </w:rPr>
      </w:pPr>
      <w:r w:rsidRPr="00B5320E">
        <w:rPr>
          <w:rFonts w:ascii="Arial" w:eastAsia="Calibri" w:hAnsi="Arial" w:cs="Arial"/>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3E26A20E" w14:textId="252E4085" w:rsidR="001B5150" w:rsidRPr="00B5320E" w:rsidRDefault="001B5150" w:rsidP="001B5150">
      <w:pPr>
        <w:spacing w:before="120" w:after="120" w:line="276" w:lineRule="auto"/>
        <w:ind w:firstLine="709"/>
        <w:jc w:val="both"/>
        <w:rPr>
          <w:rFonts w:ascii="Arial" w:hAnsi="Arial" w:cs="Arial"/>
          <w:sz w:val="22"/>
          <w:lang w:val="es-ES_tradnl"/>
        </w:rPr>
      </w:pPr>
      <w:r w:rsidRPr="00B5320E">
        <w:rPr>
          <w:rFonts w:ascii="Arial" w:eastAsia="Calibri" w:hAnsi="Arial" w:cs="Arial"/>
          <w:sz w:val="22"/>
          <w:lang w:val="es-ES_tradnl"/>
        </w:rPr>
        <w:t>En efecto, la redacción de la norma permite que la Administración solicite a los oferentes subsanar y que estos lo hagan hasta antes del término del traslado del informe de evaluación: «</w:t>
      </w:r>
      <w:r w:rsidRPr="00B5320E">
        <w:rPr>
          <w:rFonts w:ascii="Arial" w:hAnsi="Arial" w:cs="Arial"/>
          <w:sz w:val="22"/>
          <w:lang w:val="es-ES_tradnl"/>
        </w:rPr>
        <w:t xml:space="preserve">deberán ser solicitados por las entidades estatales y deberán ser entregados por los proponentes hasta el término de traslado del informe de evaluación que corresponda a cada modalidad de selección».  </w:t>
      </w:r>
    </w:p>
    <w:p w14:paraId="7C115EE0"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No obstante, de la lectura de este aparte podrían, en la práctica, darse dos interpretaciones que dan lugar a dos formas de proceder en los procesos de selección, en lo que a la </w:t>
      </w:r>
      <w:proofErr w:type="spellStart"/>
      <w:r w:rsidRPr="00941667">
        <w:rPr>
          <w:rFonts w:ascii="Arial" w:hAnsi="Arial" w:cs="Arial"/>
          <w:sz w:val="22"/>
          <w:lang w:val="es-ES_tradnl"/>
        </w:rPr>
        <w:t>subsanabilidad</w:t>
      </w:r>
      <w:proofErr w:type="spellEnd"/>
      <w:r w:rsidRPr="00941667">
        <w:rPr>
          <w:rFonts w:ascii="Arial" w:hAnsi="Arial" w:cs="Arial"/>
          <w:sz w:val="22"/>
          <w:lang w:val="es-ES_tradnl"/>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4171B122"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lastRenderedPageBreak/>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1A545A2"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publique el informe ya se encuentren subsanadas las propuestas, sin perjuicio del término límite que concedió la ley.</w:t>
      </w:r>
    </w:p>
    <w:p w14:paraId="7C6D4159"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0670E9F3"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4CBB112" w14:textId="418A5EA1"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De otro lado, el segundo cambio importante de la Ley 1882 de 2018 fue la introducción de un criterio material, directamente relacionado con los aspectos subsanables: «los proponentes no podrán acreditar circunstancias ocurridas con posterioridad al cierre del proceso». Lo anterior nos ofrece dos aspectos que merecen clarificación; primero, qué debe entenderse por circunstancias ocurridas con posterioridad; y segundo, qu</w:t>
      </w:r>
      <w:r w:rsidR="00614363">
        <w:rPr>
          <w:rFonts w:ascii="Arial" w:hAnsi="Arial" w:cs="Arial"/>
          <w:sz w:val="22"/>
          <w:lang w:val="es-ES_tradnl"/>
        </w:rPr>
        <w:t>e</w:t>
      </w:r>
      <w:r w:rsidRPr="00941667">
        <w:rPr>
          <w:rFonts w:ascii="Arial" w:hAnsi="Arial" w:cs="Arial"/>
          <w:sz w:val="22"/>
          <w:lang w:val="es-ES_tradnl"/>
        </w:rPr>
        <w:t xml:space="preserve"> es el cierre del proceso. </w:t>
      </w:r>
    </w:p>
    <w:p w14:paraId="0554D64F"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La Sala de Consulta y Servicio Civil del Consejo de Estado ya había tenido la oportunidad de precisar estas expresiones, a propósito de un concepto en el que se refirió </w:t>
      </w:r>
      <w:r w:rsidRPr="00941667">
        <w:rPr>
          <w:rFonts w:ascii="Arial" w:hAnsi="Arial" w:cs="Arial"/>
          <w:sz w:val="22"/>
          <w:lang w:val="es-ES_tradnl"/>
        </w:rPr>
        <w:lastRenderedPageBreak/>
        <w:t>al artículo 10 del derogado Decreto 2474 de 2008</w:t>
      </w:r>
      <w:r w:rsidRPr="00941667">
        <w:rPr>
          <w:rStyle w:val="Refdenotaalpie"/>
          <w:rFonts w:ascii="Arial" w:hAnsi="Arial" w:cs="Arial"/>
          <w:sz w:val="22"/>
          <w:lang w:val="es-ES_tradnl"/>
        </w:rPr>
        <w:footnoteReference w:id="9"/>
      </w:r>
      <w:r w:rsidRPr="00941667">
        <w:rPr>
          <w:rFonts w:ascii="Arial" w:hAnsi="Arial" w:cs="Arial"/>
          <w:sz w:val="22"/>
          <w:lang w:val="es-ES_tradnl"/>
        </w:rPr>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941667">
        <w:rPr>
          <w:rStyle w:val="Refdenotaalpie"/>
          <w:rFonts w:ascii="Arial" w:hAnsi="Arial" w:cs="Arial"/>
          <w:sz w:val="21"/>
          <w:szCs w:val="21"/>
          <w:lang w:val="es-ES_tradnl"/>
        </w:rPr>
        <w:footnoteReference w:id="10"/>
      </w:r>
      <w:r w:rsidRPr="00941667">
        <w:rPr>
          <w:rFonts w:ascii="Arial" w:hAnsi="Arial" w:cs="Arial"/>
          <w:sz w:val="21"/>
          <w:szCs w:val="21"/>
          <w:lang w:val="es-ES_tradnl"/>
        </w:rPr>
        <w:t>.</w:t>
      </w:r>
    </w:p>
    <w:p w14:paraId="22AE5537"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w:t>
      </w:r>
      <w:r w:rsidRPr="00941667">
        <w:rPr>
          <w:rFonts w:ascii="Arial" w:hAnsi="Arial" w:cs="Arial"/>
          <w:sz w:val="22"/>
          <w:lang w:val="es-ES_tradnl"/>
        </w:rPr>
        <w:lastRenderedPageBreak/>
        <w:t xml:space="preserve">ofertas, y pretendan cumplirlos durante el proceso de selección o, inclusive, que se puedan variar condiciones de la oferta una vez presentada. </w:t>
      </w:r>
    </w:p>
    <w:p w14:paraId="1507E185"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941667">
        <w:rPr>
          <w:rFonts w:ascii="Arial" w:hAnsi="Arial" w:cs="Arial"/>
          <w:sz w:val="22"/>
          <w:lang w:val="es-ES_tradnl"/>
        </w:rPr>
        <w:t>subsanabilidad</w:t>
      </w:r>
      <w:proofErr w:type="spellEnd"/>
      <w:r w:rsidRPr="00941667">
        <w:rPr>
          <w:rFonts w:ascii="Arial" w:hAnsi="Arial" w:cs="Arial"/>
          <w:sz w:val="22"/>
          <w:lang w:val="es-ES_tradnl"/>
        </w:rPr>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 </w:t>
      </w:r>
    </w:p>
    <w:p w14:paraId="6A636A2E"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941667">
        <w:rPr>
          <w:rFonts w:ascii="Arial" w:hAnsi="Arial" w:cs="Arial"/>
          <w:sz w:val="22"/>
          <w:lang w:val="es-ES_tradnl"/>
        </w:rPr>
        <w:t>ii</w:t>
      </w:r>
      <w:proofErr w:type="spellEnd"/>
      <w:r w:rsidRPr="00941667">
        <w:rPr>
          <w:rFonts w:ascii="Arial" w:hAnsi="Arial" w:cs="Arial"/>
          <w:sz w:val="22"/>
          <w:lang w:val="es-ES_tradnl"/>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941667">
        <w:rPr>
          <w:rFonts w:ascii="Arial" w:hAnsi="Arial" w:cs="Arial"/>
          <w:sz w:val="22"/>
          <w:vertAlign w:val="superscript"/>
        </w:rPr>
        <w:footnoteReference w:id="11"/>
      </w:r>
      <w:r w:rsidRPr="00941667">
        <w:rPr>
          <w:rFonts w:ascii="Arial" w:hAnsi="Arial" w:cs="Arial"/>
          <w:sz w:val="22"/>
          <w:lang w:val="es-ES_tradnl"/>
        </w:rPr>
        <w:t xml:space="preserve">; </w:t>
      </w:r>
      <w:proofErr w:type="spellStart"/>
      <w:r w:rsidRPr="00941667">
        <w:rPr>
          <w:rFonts w:ascii="Arial" w:hAnsi="Arial" w:cs="Arial"/>
          <w:sz w:val="22"/>
          <w:lang w:val="es-ES_tradnl"/>
        </w:rPr>
        <w:t>iii</w:t>
      </w:r>
      <w:proofErr w:type="spellEnd"/>
      <w:r w:rsidRPr="00941667">
        <w:rPr>
          <w:rFonts w:ascii="Arial" w:hAnsi="Arial" w:cs="Arial"/>
          <w:sz w:val="22"/>
          <w:lang w:val="es-ES_tradnl"/>
        </w:rPr>
        <w:t>) si un oferente no anexó el Certificado de existencia y representación legal, el documento aportado con posterioridad debe dar cuenta de que la sociedad existe antes del cierre del proceso</w:t>
      </w:r>
      <w:r w:rsidRPr="00941667">
        <w:rPr>
          <w:rFonts w:ascii="Arial" w:hAnsi="Arial" w:cs="Arial"/>
          <w:sz w:val="22"/>
          <w:vertAlign w:val="superscript"/>
        </w:rPr>
        <w:footnoteReference w:id="12"/>
      </w:r>
      <w:r w:rsidRPr="00941667">
        <w:rPr>
          <w:rFonts w:ascii="Arial" w:hAnsi="Arial" w:cs="Arial"/>
          <w:sz w:val="22"/>
          <w:lang w:val="es-ES_tradnl"/>
        </w:rPr>
        <w:t xml:space="preserve">; </w:t>
      </w:r>
      <w:proofErr w:type="spellStart"/>
      <w:r w:rsidRPr="00941667">
        <w:rPr>
          <w:rFonts w:ascii="Arial" w:hAnsi="Arial" w:cs="Arial"/>
          <w:sz w:val="22"/>
          <w:lang w:val="es-ES_tradnl"/>
        </w:rPr>
        <w:t>iv</w:t>
      </w:r>
      <w:proofErr w:type="spellEnd"/>
      <w:r w:rsidRPr="00941667">
        <w:rPr>
          <w:rFonts w:ascii="Arial" w:hAnsi="Arial" w:cs="Arial"/>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2ED4FC4"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519B8A4"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Es por ello </w:t>
      </w:r>
      <w:proofErr w:type="gramStart"/>
      <w:r w:rsidRPr="00941667">
        <w:rPr>
          <w:rFonts w:ascii="Arial" w:hAnsi="Arial" w:cs="Arial"/>
          <w:sz w:val="22"/>
          <w:lang w:val="es-ES_tradnl"/>
        </w:rPr>
        <w:t>que</w:t>
      </w:r>
      <w:proofErr w:type="gramEnd"/>
      <w:r w:rsidRPr="00941667">
        <w:rPr>
          <w:rFonts w:ascii="Arial" w:hAnsi="Arial" w:cs="Arial"/>
          <w:sz w:val="22"/>
          <w:lang w:val="es-ES_tradnl"/>
        </w:rPr>
        <w:t xml:space="preserve"> el Consejo de Estado sostiene que «lo que se subsana es la prueba y no la condición habilitante o un elemento de la propuesta [...] lo que se puede remediar </w:t>
      </w:r>
      <w:r w:rsidRPr="00941667">
        <w:rPr>
          <w:rFonts w:ascii="Arial" w:hAnsi="Arial" w:cs="Arial"/>
          <w:sz w:val="22"/>
          <w:lang w:val="es-ES_tradnl"/>
        </w:rPr>
        <w:lastRenderedPageBreak/>
        <w:t>es la prueba y no el requisito: La posibilidad debe recaer exclusivamente sobre circunstancias acaecidas antes del cierre del respectivo proceso, esto es, del vencimiento del plazo para presentar ofertas»</w:t>
      </w:r>
      <w:r w:rsidRPr="00941667">
        <w:rPr>
          <w:rFonts w:ascii="Arial" w:hAnsi="Arial" w:cs="Arial"/>
          <w:sz w:val="22"/>
          <w:vertAlign w:val="superscript"/>
          <w:lang w:val="es-ES_tradnl"/>
        </w:rPr>
        <w:footnoteReference w:id="13"/>
      </w:r>
      <w:r w:rsidRPr="00941667">
        <w:rPr>
          <w:rFonts w:ascii="Arial" w:hAnsi="Arial" w:cs="Arial"/>
          <w:sz w:val="22"/>
          <w:lang w:val="es-ES_tradnl"/>
        </w:rPr>
        <w:t xml:space="preserve">.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w:t>
      </w:r>
    </w:p>
    <w:p w14:paraId="26CD4C64"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941667">
        <w:rPr>
          <w:rFonts w:ascii="Arial" w:hAnsi="Arial" w:cs="Arial"/>
          <w:sz w:val="22"/>
          <w:lang w:val="es-ES_tradnl"/>
        </w:rPr>
        <w:t>subsanabilidad</w:t>
      </w:r>
      <w:proofErr w:type="spellEnd"/>
      <w:r w:rsidRPr="00941667">
        <w:rPr>
          <w:rFonts w:ascii="Arial" w:hAnsi="Arial" w:cs="Arial"/>
          <w:sz w:val="22"/>
          <w:lang w:val="es-ES_tradnl"/>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2CF85685"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Una reiteración de la postura de esta Subdirección, según la cual la </w:t>
      </w:r>
      <w:proofErr w:type="spellStart"/>
      <w:r w:rsidRPr="00941667">
        <w:rPr>
          <w:rFonts w:ascii="Arial" w:hAnsi="Arial" w:cs="Arial"/>
          <w:sz w:val="22"/>
          <w:lang w:val="es-ES_tradnl"/>
        </w:rPr>
        <w:t>subsanabilidad</w:t>
      </w:r>
      <w:proofErr w:type="spellEnd"/>
      <w:r w:rsidRPr="00941667">
        <w:rPr>
          <w:rFonts w:ascii="Arial" w:hAnsi="Arial" w:cs="Arial"/>
          <w:sz w:val="22"/>
          <w:lang w:val="es-ES_tradnl"/>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w:t>
      </w:r>
      <w:r w:rsidRPr="00941667">
        <w:rPr>
          <w:rFonts w:ascii="Arial" w:hAnsi="Arial" w:cs="Arial"/>
          <w:sz w:val="22"/>
          <w:lang w:val="es-ES_tradnl"/>
        </w:rPr>
        <w:lastRenderedPageBreak/>
        <w:t xml:space="preserve">modificación de la oferta y la acreditación de un aspecto que es posterior al cierre del procedimiento de selección–. </w:t>
      </w:r>
    </w:p>
    <w:p w14:paraId="4E1BFD03"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Visto lo anterior, una vez verificada la ausencia de requisitos y/o documentos de la oferta, para efectos de saber si se puede subsanar, la Administración se debe preguntar, en primer lugar, si lo que hace falta es un ítem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22C64DFC"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941667">
        <w:rPr>
          <w:rFonts w:ascii="Arial" w:hAnsi="Arial" w:cs="Arial"/>
          <w:sz w:val="22"/>
          <w:lang w:val="es-ES_tradnl"/>
        </w:rPr>
        <w:t>la misma</w:t>
      </w:r>
      <w:proofErr w:type="gramEnd"/>
      <w:r w:rsidRPr="00941667">
        <w:rPr>
          <w:rFonts w:ascii="Arial" w:hAnsi="Arial" w:cs="Arial"/>
          <w:sz w:val="22"/>
          <w:lang w:val="es-ES_tradnl"/>
        </w:rPr>
        <w:t>», dejando claro que se trata de un documento de obligatoria presentación junto con la propuesta y que materializa los principios de seriedad e irrevocabilidad de la oferta.</w:t>
      </w:r>
    </w:p>
    <w:p w14:paraId="2CAA739F"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En cuanto a la modalidad de selección de mínima cuantía, de conformidad con los numerales 1 y 2 del artículo 2.2.1.2.1.5.2. del Decreto 1082 de 2015, las entidades deben incluir dentro de la invitación a participar la forma en la que se acreditará la capacidad jurídica, pudiendo además exigir una experiencia mínima y capacidad financiera cuando el procedimiento no prevea «el pago contra entrega a satisfacción de los bienes, obras o servicios». El numeral 1 del artículo 2.2.1.2.1.5.2. del Decreto 1082 de 2015, al establecer que la invitación deberá fijar «la experiencia mínima, si se exige esta última», da a entender que no es obligatorio solicitarla como criterio de participación.</w:t>
      </w:r>
    </w:p>
    <w:p w14:paraId="222261A5"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Sin embargo, la experiencia y la capacidad jurídica no podrán incluirse en la invitación del procedimiento de mínima cuantía como factor de calificación, pues el literal c) del numeral 5 del artículo 2 de la Ley 1150 de 2007 establece que el menor precio es el único criterio de evaluación en dicha modalidad, aspecto que ratifica el numeral 6 del artículo 2.2.1.2.1.5.2. del Decreto 1082 de 2015.</w:t>
      </w:r>
    </w:p>
    <w:p w14:paraId="1C08CA57" w14:textId="77777777" w:rsidR="009C5E43" w:rsidRPr="00941667" w:rsidRDefault="009C5E43" w:rsidP="009C5E43">
      <w:pPr>
        <w:spacing w:after="120" w:line="276" w:lineRule="auto"/>
        <w:ind w:firstLine="709"/>
        <w:jc w:val="both"/>
        <w:rPr>
          <w:rFonts w:ascii="Arial" w:hAnsi="Arial" w:cs="Arial"/>
          <w:sz w:val="22"/>
          <w:lang w:val="es-ES_tradnl"/>
        </w:rPr>
      </w:pPr>
      <w:r w:rsidRPr="00941667">
        <w:rPr>
          <w:rFonts w:ascii="Arial" w:hAnsi="Arial" w:cs="Arial"/>
          <w:sz w:val="22"/>
          <w:lang w:val="es-ES_tradnl"/>
        </w:rPr>
        <w:t xml:space="preserve">Por tanto, si en un procedimiento de selección de mínima cuantía la entidad estatal, además de la capacidad jurídica, exige en la invitación a los interesados acreditar determinada experiencia en ciertas actividades económicas o cierta capacidad financiera, tales requisitos son habilitantes y, por lo tanto, </w:t>
      </w:r>
      <w:r w:rsidRPr="00941667">
        <w:rPr>
          <w:rFonts w:ascii="Arial" w:hAnsi="Arial" w:cs="Arial"/>
          <w:i/>
          <w:iCs/>
          <w:sz w:val="22"/>
          <w:lang w:val="es-ES_tradnl"/>
        </w:rPr>
        <w:t>subsanables</w:t>
      </w:r>
      <w:r w:rsidRPr="00941667">
        <w:rPr>
          <w:rFonts w:ascii="Arial" w:hAnsi="Arial" w:cs="Arial"/>
          <w:sz w:val="22"/>
          <w:lang w:val="es-ES_tradnl"/>
        </w:rPr>
        <w:t xml:space="preserve">, de conformidad con lo dispuesto en el artículo 5 de la Ley 1150 de 2007, modificado parcialmente por la Ley 1882 de 2018. Esta misma regla opera frente a los demás requisitos subsanables habilitantes y aspectos formales de la propuesta, cuyos defectos pueden corregirse por los proponentes. </w:t>
      </w:r>
    </w:p>
    <w:p w14:paraId="18472574" w14:textId="77777777" w:rsidR="009C5E43" w:rsidRPr="00941667" w:rsidRDefault="009C5E43" w:rsidP="00862262">
      <w:pPr>
        <w:spacing w:before="120" w:after="120" w:line="276" w:lineRule="auto"/>
        <w:ind w:firstLine="709"/>
        <w:jc w:val="both"/>
        <w:rPr>
          <w:rFonts w:ascii="Arial" w:eastAsia="Calibri" w:hAnsi="Arial" w:cs="Arial"/>
          <w:sz w:val="22"/>
        </w:rPr>
      </w:pPr>
      <w:r>
        <w:rPr>
          <w:rFonts w:ascii="Arial" w:hAnsi="Arial" w:cs="Arial"/>
          <w:sz w:val="22"/>
        </w:rPr>
        <w:t>Conforme a esto</w:t>
      </w:r>
      <w:r w:rsidRPr="00941667">
        <w:rPr>
          <w:rFonts w:ascii="Arial" w:hAnsi="Arial" w:cs="Arial"/>
          <w:sz w:val="22"/>
        </w:rPr>
        <w:t xml:space="preserve">, la subsanación en procesos de mínima cuantía está sometida a los presupuestos antes explicados respecto de la regla general de </w:t>
      </w:r>
      <w:proofErr w:type="spellStart"/>
      <w:r w:rsidRPr="00941667">
        <w:rPr>
          <w:rFonts w:ascii="Arial" w:hAnsi="Arial" w:cs="Arial"/>
          <w:sz w:val="22"/>
        </w:rPr>
        <w:t>subsanabilidad</w:t>
      </w:r>
      <w:proofErr w:type="spellEnd"/>
      <w:r w:rsidRPr="00941667">
        <w:rPr>
          <w:rFonts w:ascii="Arial" w:hAnsi="Arial" w:cs="Arial"/>
          <w:sz w:val="22"/>
        </w:rPr>
        <w:t xml:space="preserve">, por lo </w:t>
      </w:r>
      <w:r w:rsidRPr="00941667">
        <w:rPr>
          <w:rFonts w:ascii="Arial" w:hAnsi="Arial" w:cs="Arial"/>
          <w:sz w:val="22"/>
        </w:rPr>
        <w:lastRenderedPageBreak/>
        <w:t xml:space="preserve">que la posibilidad de subsanar solo podría ejercerse respecto de requisitos no sujetos a puntuación, y en relación con circunstancias ocurridas con anterioridad al vencimiento del plazo para recibir ofertas, no resultando posible subsanar </w:t>
      </w:r>
      <w:r>
        <w:rPr>
          <w:rFonts w:ascii="Arial" w:hAnsi="Arial" w:cs="Arial"/>
          <w:sz w:val="22"/>
        </w:rPr>
        <w:t>r</w:t>
      </w:r>
      <w:r w:rsidRPr="00941667">
        <w:rPr>
          <w:rFonts w:ascii="Arial" w:hAnsi="Arial" w:cs="Arial"/>
          <w:sz w:val="22"/>
        </w:rPr>
        <w:t>equisito</w:t>
      </w:r>
      <w:r>
        <w:rPr>
          <w:rFonts w:ascii="Arial" w:hAnsi="Arial" w:cs="Arial"/>
          <w:sz w:val="22"/>
        </w:rPr>
        <w:t>s habilitantes</w:t>
      </w:r>
      <w:r w:rsidRPr="00941667">
        <w:rPr>
          <w:rFonts w:ascii="Arial" w:hAnsi="Arial" w:cs="Arial"/>
          <w:sz w:val="22"/>
        </w:rPr>
        <w:t>, acreditando circunstancias acontecidas con posterioridad al cierre del procedimiento.</w:t>
      </w:r>
    </w:p>
    <w:p w14:paraId="5CCB4081" w14:textId="406BE0FB" w:rsidR="001B5150" w:rsidRPr="00B5320E" w:rsidRDefault="009C5E43" w:rsidP="009C5E43">
      <w:pPr>
        <w:spacing w:line="276" w:lineRule="auto"/>
        <w:ind w:firstLine="709"/>
        <w:jc w:val="both"/>
        <w:rPr>
          <w:rFonts w:ascii="Arial" w:eastAsia="Calibri" w:hAnsi="Arial" w:cs="Arial"/>
          <w:sz w:val="22"/>
          <w:lang w:val="es-ES_tradnl"/>
        </w:rPr>
      </w:pPr>
      <w:r w:rsidRPr="00941667">
        <w:rPr>
          <w:rFonts w:ascii="Arial" w:eastAsia="Calibri" w:hAnsi="Arial" w:cs="Arial"/>
          <w:sz w:val="22"/>
        </w:rPr>
        <w:t xml:space="preserve">Ahora bien, según lo indicó esta Subdirección en </w:t>
      </w:r>
      <w:r w:rsidR="004803AA">
        <w:rPr>
          <w:rFonts w:ascii="Arial" w:eastAsia="Calibri" w:hAnsi="Arial" w:cs="Arial"/>
          <w:sz w:val="22"/>
        </w:rPr>
        <w:t xml:space="preserve">los Conceptos </w:t>
      </w:r>
      <w:r w:rsidRPr="00941667">
        <w:rPr>
          <w:rFonts w:ascii="Arial" w:eastAsia="Calibri" w:hAnsi="Arial" w:cs="Arial"/>
          <w:sz w:val="22"/>
        </w:rPr>
        <w:t xml:space="preserve">C-082 del 25 de febrero de 2020 —radicado 44202012000000563— y C – 013 del 17 de abril de 2020 —radicado 4202013000002326—, 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941667">
        <w:rPr>
          <w:rFonts w:ascii="Arial" w:eastAsia="Calibri" w:hAnsi="Arial" w:cs="Arial"/>
          <w:i/>
          <w:iCs/>
          <w:sz w:val="22"/>
        </w:rPr>
        <w:t>i)</w:t>
      </w:r>
      <w:r w:rsidRPr="00941667">
        <w:rPr>
          <w:rFonts w:ascii="Arial" w:eastAsia="Calibri" w:hAnsi="Arial" w:cs="Arial"/>
          <w:sz w:val="22"/>
        </w:rPr>
        <w:t xml:space="preserve"> que en la mínima cuantía no se permite la </w:t>
      </w:r>
      <w:proofErr w:type="spellStart"/>
      <w:r w:rsidRPr="00941667">
        <w:rPr>
          <w:rFonts w:ascii="Arial" w:eastAsia="Calibri" w:hAnsi="Arial" w:cs="Arial"/>
          <w:sz w:val="22"/>
        </w:rPr>
        <w:t>subsanabilidad</w:t>
      </w:r>
      <w:proofErr w:type="spellEnd"/>
      <w:r w:rsidRPr="00941667">
        <w:rPr>
          <w:rFonts w:ascii="Arial" w:eastAsia="Calibri" w:hAnsi="Arial" w:cs="Arial"/>
          <w:sz w:val="22"/>
        </w:rPr>
        <w:t xml:space="preserve"> –interpretación que no es acorde con el principio de la prevalencia de lo sustancial sobre lo formal–, </w:t>
      </w:r>
      <w:proofErr w:type="spellStart"/>
      <w:r w:rsidRPr="00941667">
        <w:rPr>
          <w:rFonts w:ascii="Arial" w:eastAsia="Calibri" w:hAnsi="Arial" w:cs="Arial"/>
          <w:i/>
          <w:iCs/>
          <w:sz w:val="22"/>
        </w:rPr>
        <w:t>ii</w:t>
      </w:r>
      <w:proofErr w:type="spellEnd"/>
      <w:r w:rsidRPr="00941667">
        <w:rPr>
          <w:rFonts w:ascii="Arial" w:eastAsia="Calibri" w:hAnsi="Arial" w:cs="Arial"/>
          <w:i/>
          <w:iCs/>
          <w:sz w:val="22"/>
        </w:rPr>
        <w:t>)</w:t>
      </w:r>
      <w:r w:rsidRPr="00941667">
        <w:rPr>
          <w:rFonts w:ascii="Arial" w:eastAsia="Calibri" w:hAnsi="Arial" w:cs="Arial"/>
          <w:sz w:val="22"/>
        </w:rPr>
        <w:t xml:space="preserve"> que el término para presentar los requisitos subsanados es el mismo de publicación del informe de evaluación, es decir, un (1) día hábil, </w:t>
      </w:r>
      <w:proofErr w:type="spellStart"/>
      <w:r w:rsidRPr="00941667">
        <w:rPr>
          <w:rFonts w:ascii="Arial" w:eastAsia="Calibri" w:hAnsi="Arial" w:cs="Arial"/>
          <w:i/>
          <w:iCs/>
          <w:sz w:val="22"/>
        </w:rPr>
        <w:t>iii</w:t>
      </w:r>
      <w:proofErr w:type="spellEnd"/>
      <w:r w:rsidRPr="00941667">
        <w:rPr>
          <w:rFonts w:ascii="Arial" w:eastAsia="Calibri" w:hAnsi="Arial" w:cs="Arial"/>
          <w:i/>
          <w:iCs/>
          <w:sz w:val="22"/>
        </w:rPr>
        <w:t>)</w:t>
      </w:r>
      <w:r w:rsidRPr="00941667">
        <w:rPr>
          <w:rFonts w:ascii="Arial" w:eastAsia="Calibri" w:hAnsi="Arial" w:cs="Arial"/>
          <w:sz w:val="22"/>
        </w:rPr>
        <w:t xml:space="preserve"> que existe un vacío y que este puede llenarse discrecionalmente por la entidad estatal, disponiendo de un término razonable de </w:t>
      </w:r>
      <w:proofErr w:type="spellStart"/>
      <w:r w:rsidRPr="00941667">
        <w:rPr>
          <w:rFonts w:ascii="Arial" w:eastAsia="Calibri" w:hAnsi="Arial" w:cs="Arial"/>
          <w:sz w:val="22"/>
        </w:rPr>
        <w:t>subsanabilidad</w:t>
      </w:r>
      <w:proofErr w:type="spellEnd"/>
      <w:r w:rsidRPr="00941667">
        <w:rPr>
          <w:rFonts w:ascii="Arial" w:eastAsia="Calibri" w:hAnsi="Arial" w:cs="Arial"/>
          <w:sz w:val="22"/>
        </w:rPr>
        <w:t>.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r w:rsidR="004803AA">
        <w:rPr>
          <w:rStyle w:val="Refdenotaalpie"/>
          <w:rFonts w:ascii="Arial" w:eastAsia="Calibri" w:hAnsi="Arial" w:cs="Arial"/>
          <w:sz w:val="22"/>
        </w:rPr>
        <w:footnoteReference w:id="14"/>
      </w:r>
      <w:r w:rsidR="001B5150" w:rsidRPr="00B5320E">
        <w:rPr>
          <w:rFonts w:ascii="Arial" w:eastAsia="Calibri" w:hAnsi="Arial" w:cs="Arial"/>
          <w:sz w:val="22"/>
          <w:lang w:val="es-ES_tradnl"/>
        </w:rPr>
        <w:t>.</w:t>
      </w:r>
    </w:p>
    <w:p w14:paraId="7C7680FB" w14:textId="77777777" w:rsidR="001B5150" w:rsidRPr="00862262" w:rsidRDefault="001B5150" w:rsidP="001B5150">
      <w:pPr>
        <w:spacing w:line="276" w:lineRule="auto"/>
        <w:jc w:val="both"/>
        <w:rPr>
          <w:rFonts w:ascii="Arial" w:hAnsi="Arial" w:cs="Arial"/>
          <w:sz w:val="22"/>
          <w:lang w:val="es-ES" w:eastAsia="es-ES"/>
        </w:rPr>
      </w:pPr>
    </w:p>
    <w:p w14:paraId="693F2181" w14:textId="77777777" w:rsidR="001B5150" w:rsidRPr="00B5320E" w:rsidRDefault="001B5150" w:rsidP="001B5150">
      <w:pPr>
        <w:pStyle w:val="Prrafodelista"/>
        <w:tabs>
          <w:tab w:val="left" w:pos="284"/>
        </w:tabs>
        <w:spacing w:line="276" w:lineRule="auto"/>
        <w:ind w:left="0"/>
        <w:jc w:val="both"/>
        <w:rPr>
          <w:rFonts w:ascii="Arial" w:eastAsia="Calibri" w:hAnsi="Arial" w:cs="Arial"/>
          <w:b/>
          <w:sz w:val="22"/>
        </w:rPr>
      </w:pPr>
      <w:r w:rsidRPr="00B5320E">
        <w:rPr>
          <w:rFonts w:ascii="Arial" w:eastAsia="Calibri" w:hAnsi="Arial" w:cs="Arial"/>
          <w:b/>
          <w:sz w:val="22"/>
        </w:rPr>
        <w:t>3. Respuestas</w:t>
      </w:r>
    </w:p>
    <w:p w14:paraId="6443B3C4" w14:textId="279B3B92" w:rsidR="00B5320E" w:rsidRDefault="00B5320E" w:rsidP="00B5320E">
      <w:pPr>
        <w:tabs>
          <w:tab w:val="left" w:pos="426"/>
        </w:tabs>
        <w:spacing w:line="276" w:lineRule="auto"/>
        <w:jc w:val="both"/>
        <w:rPr>
          <w:rFonts w:ascii="Arial" w:hAnsi="Arial" w:cs="Arial"/>
          <w:sz w:val="22"/>
        </w:rPr>
      </w:pPr>
    </w:p>
    <w:p w14:paraId="094917D3" w14:textId="7323608D" w:rsidR="002D322B" w:rsidRPr="00862262" w:rsidRDefault="002D322B" w:rsidP="00862262">
      <w:pPr>
        <w:tabs>
          <w:tab w:val="left" w:pos="426"/>
        </w:tabs>
        <w:ind w:left="709" w:right="709"/>
        <w:jc w:val="both"/>
        <w:rPr>
          <w:rFonts w:ascii="Arial" w:hAnsi="Arial" w:cs="Arial"/>
          <w:sz w:val="21"/>
          <w:szCs w:val="21"/>
        </w:rPr>
      </w:pPr>
      <w:r w:rsidRPr="00862262">
        <w:rPr>
          <w:rFonts w:ascii="Arial" w:hAnsi="Arial" w:cs="Arial"/>
          <w:sz w:val="21"/>
          <w:szCs w:val="21"/>
        </w:rPr>
        <w:t>i) «¿Para la modalidad de selección de Mínima Cuantía, se permite subsanar o no, documentos que NO SE APORTARON en la oferta presentada? […]».</w:t>
      </w:r>
    </w:p>
    <w:p w14:paraId="00B501F1" w14:textId="721EAC0D" w:rsidR="00B5320E" w:rsidRPr="00862262" w:rsidRDefault="00B5320E" w:rsidP="00B5320E">
      <w:pPr>
        <w:tabs>
          <w:tab w:val="left" w:pos="426"/>
        </w:tabs>
        <w:spacing w:line="276" w:lineRule="auto"/>
        <w:ind w:left="360"/>
        <w:jc w:val="both"/>
        <w:rPr>
          <w:rFonts w:ascii="Arial" w:hAnsi="Arial" w:cs="Arial"/>
        </w:rPr>
      </w:pPr>
    </w:p>
    <w:p w14:paraId="1E175657" w14:textId="50E8E05E" w:rsidR="00873DA1" w:rsidRDefault="00873DA1" w:rsidP="00862262">
      <w:pPr>
        <w:spacing w:line="276" w:lineRule="auto"/>
        <w:jc w:val="both"/>
        <w:rPr>
          <w:rFonts w:ascii="Arial" w:eastAsia="Calibri" w:hAnsi="Arial" w:cs="Arial"/>
          <w:sz w:val="22"/>
          <w:lang w:val="es-ES_tradnl"/>
        </w:rPr>
      </w:pPr>
      <w:r w:rsidRPr="00941667">
        <w:rPr>
          <w:rFonts w:ascii="Arial" w:eastAsia="Calibri" w:hAnsi="Arial" w:cs="Arial"/>
          <w:sz w:val="22"/>
          <w:lang w:val="es-ES_tradnl"/>
        </w:rPr>
        <w:t xml:space="preserve">En los procesos de mínima cuantía, en virtud de lo dispuesto en el parágrafo 1 del artículo 5 de la Ley 1150 de 2007, modificado por el artículo 5 de la Ley 1882 de 2018, debe permitirse la subsanación de documentos o requisitos que no asignen puntaje o no necesarios para la comparación de ofertas. Conforme a dicha norma, durante el término </w:t>
      </w:r>
      <w:r w:rsidRPr="00941667">
        <w:rPr>
          <w:rFonts w:ascii="Arial" w:eastAsia="Calibri" w:hAnsi="Arial" w:cs="Arial"/>
          <w:sz w:val="22"/>
          <w:lang w:val="es-ES_tradnl"/>
        </w:rPr>
        <w:lastRenderedPageBreak/>
        <w:t>otorgado para subsanar las ofertas, los proponentes no podrán acreditar circunstancias ocurridas con posterioridad al cierre del proceso.</w:t>
      </w:r>
    </w:p>
    <w:p w14:paraId="10F467D1" w14:textId="77777777" w:rsidR="00442AD3" w:rsidRPr="00941667" w:rsidRDefault="00442AD3" w:rsidP="00862262">
      <w:pPr>
        <w:spacing w:line="276" w:lineRule="auto"/>
        <w:jc w:val="both"/>
        <w:rPr>
          <w:rFonts w:ascii="Arial" w:eastAsia="Calibri" w:hAnsi="Arial" w:cs="Arial"/>
          <w:sz w:val="22"/>
          <w:lang w:val="es-ES_tradnl"/>
        </w:rPr>
      </w:pPr>
    </w:p>
    <w:p w14:paraId="65D0EFE0" w14:textId="14D49C92" w:rsidR="00B5320E" w:rsidRPr="00862262" w:rsidRDefault="00175DF7" w:rsidP="00862262">
      <w:pPr>
        <w:tabs>
          <w:tab w:val="left" w:pos="426"/>
        </w:tabs>
        <w:spacing w:line="276" w:lineRule="auto"/>
        <w:ind w:left="709" w:right="709"/>
        <w:jc w:val="both"/>
        <w:rPr>
          <w:rFonts w:ascii="Arial" w:eastAsia="Calibri" w:hAnsi="Arial" w:cs="Arial"/>
          <w:sz w:val="22"/>
        </w:rPr>
      </w:pPr>
      <w:proofErr w:type="spellStart"/>
      <w:r w:rsidRPr="00862262">
        <w:rPr>
          <w:rFonts w:ascii="Arial" w:hAnsi="Arial" w:cs="Arial"/>
          <w:sz w:val="22"/>
        </w:rPr>
        <w:t>ii</w:t>
      </w:r>
      <w:proofErr w:type="spellEnd"/>
      <w:r w:rsidRPr="00862262">
        <w:rPr>
          <w:rFonts w:ascii="Arial" w:hAnsi="Arial" w:cs="Arial"/>
          <w:sz w:val="22"/>
        </w:rPr>
        <w:t>) «¿A que hace referencia o que indica la mencionada salvedad en la modalidad de mínima cuantía?».</w:t>
      </w:r>
    </w:p>
    <w:p w14:paraId="35F549AD" w14:textId="64DDA300" w:rsidR="001B5150" w:rsidRDefault="001B5150" w:rsidP="001B5150">
      <w:pPr>
        <w:pStyle w:val="Prrafodelista"/>
        <w:tabs>
          <w:tab w:val="left" w:pos="284"/>
        </w:tabs>
        <w:spacing w:line="276" w:lineRule="auto"/>
        <w:ind w:left="0"/>
        <w:jc w:val="both"/>
        <w:rPr>
          <w:rFonts w:ascii="Arial" w:eastAsia="Calibri" w:hAnsi="Arial" w:cs="Arial"/>
          <w:sz w:val="22"/>
        </w:rPr>
      </w:pPr>
    </w:p>
    <w:p w14:paraId="4404358F" w14:textId="6CA21C8E" w:rsidR="009C5E43" w:rsidRPr="00442AD3" w:rsidRDefault="007D7545" w:rsidP="00862262">
      <w:pPr>
        <w:spacing w:line="276" w:lineRule="auto"/>
        <w:jc w:val="both"/>
        <w:rPr>
          <w:rFonts w:asciiTheme="minorBidi" w:eastAsia="Calibri" w:hAnsiTheme="minorBidi"/>
          <w:sz w:val="22"/>
          <w:lang w:val="es-ES_tradnl"/>
        </w:rPr>
      </w:pPr>
      <w:r>
        <w:rPr>
          <w:rFonts w:asciiTheme="minorBidi" w:eastAsia="Calibri" w:hAnsiTheme="minorBidi"/>
          <w:sz w:val="22"/>
          <w:lang w:val="es-ES_tradnl"/>
        </w:rPr>
        <w:t>Respecto a</w:t>
      </w:r>
      <w:r w:rsidR="00442AD3" w:rsidRPr="00442AD3">
        <w:rPr>
          <w:rFonts w:asciiTheme="minorBidi" w:eastAsia="Calibri" w:hAnsiTheme="minorBidi"/>
          <w:sz w:val="22"/>
          <w:lang w:val="es-ES_tradnl"/>
        </w:rPr>
        <w:t xml:space="preserve"> la salvedad contenida en el </w:t>
      </w:r>
      <w:r w:rsidR="00442AD3" w:rsidRPr="00442AD3">
        <w:rPr>
          <w:rFonts w:asciiTheme="minorBidi" w:hAnsiTheme="minorBidi"/>
          <w:sz w:val="22"/>
        </w:rPr>
        <w:t xml:space="preserve">artículo 5 de la Ley 1882 de 2018, que modificó el parágrafo 1 del </w:t>
      </w:r>
      <w:r w:rsidR="00900AFE" w:rsidRPr="00442AD3">
        <w:rPr>
          <w:rFonts w:asciiTheme="minorBidi" w:hAnsiTheme="minorBidi"/>
          <w:sz w:val="22"/>
        </w:rPr>
        <w:t>artículo</w:t>
      </w:r>
      <w:r w:rsidR="00442AD3">
        <w:rPr>
          <w:rFonts w:asciiTheme="minorBidi" w:hAnsiTheme="minorBidi"/>
          <w:sz w:val="22"/>
        </w:rPr>
        <w:t xml:space="preserve"> </w:t>
      </w:r>
      <w:r w:rsidR="00442AD3" w:rsidRPr="00442AD3">
        <w:rPr>
          <w:rFonts w:asciiTheme="minorBidi" w:hAnsiTheme="minorBidi"/>
          <w:sz w:val="22"/>
        </w:rPr>
        <w:t xml:space="preserve">5 de la Ley 1150 de 2007, la </w:t>
      </w:r>
      <w:r w:rsidR="009C5E43" w:rsidRPr="00442AD3">
        <w:rPr>
          <w:rFonts w:asciiTheme="minorBidi" w:eastAsia="Calibri" w:hAnsiTheme="minorBidi"/>
          <w:sz w:val="22"/>
          <w:lang w:val="es-ES_tradnl"/>
        </w:rPr>
        <w:t xml:space="preserve">norma deja un vacío respecto del momento hasta el cual es procedente la subsanación, al exceptuar la mínima cuantía de la regla general establecida para otras modalidades de selección, razón por la que las entidades cuentan con cierta discrecionalidad para definir dicho término en las invitaciones a participar, el cual en todo caso deberá ser razonable. En los casos en los que no se establezca dicha oportunidad, o no se regule la subsanación, los proponentes podrán allegar los respectivos documentos hasta antes de la aceptación de la oferta. </w:t>
      </w:r>
    </w:p>
    <w:p w14:paraId="3A65471E" w14:textId="19B74925" w:rsidR="001B5150" w:rsidRPr="00B5320E" w:rsidRDefault="001B5150" w:rsidP="009C5E43">
      <w:pPr>
        <w:pStyle w:val="Prrafodelista"/>
        <w:tabs>
          <w:tab w:val="left" w:pos="284"/>
        </w:tabs>
        <w:spacing w:line="276" w:lineRule="auto"/>
        <w:ind w:left="0"/>
        <w:jc w:val="both"/>
        <w:rPr>
          <w:rFonts w:ascii="Arial" w:hAnsi="Arial" w:cs="Arial"/>
          <w:sz w:val="22"/>
          <w:lang w:val="es-ES_tradnl"/>
        </w:rPr>
      </w:pPr>
    </w:p>
    <w:p w14:paraId="5A662323" w14:textId="77777777" w:rsidR="001B5150" w:rsidRPr="00B5320E" w:rsidRDefault="001B5150" w:rsidP="001B5150">
      <w:pPr>
        <w:spacing w:before="120" w:line="276" w:lineRule="auto"/>
        <w:jc w:val="both"/>
        <w:rPr>
          <w:rFonts w:ascii="Arial" w:eastAsia="Calibri" w:hAnsi="Arial" w:cs="Arial"/>
          <w:sz w:val="22"/>
        </w:rPr>
      </w:pPr>
      <w:r w:rsidRPr="00B5320E">
        <w:rPr>
          <w:rFonts w:ascii="Arial" w:eastAsia="Calibri" w:hAnsi="Arial" w:cs="Arial"/>
          <w:sz w:val="22"/>
        </w:rPr>
        <w:t>Este concepto tiene el alcance previsto en el artículo 28 del Código de Procedimiento Administrativo y de lo Contencioso Administrativo.</w:t>
      </w:r>
    </w:p>
    <w:p w14:paraId="1B5EDC5F" w14:textId="77777777" w:rsidR="001B5150" w:rsidRPr="00B5320E" w:rsidRDefault="001B5150" w:rsidP="001B5150">
      <w:pPr>
        <w:spacing w:line="276" w:lineRule="auto"/>
        <w:jc w:val="both"/>
        <w:rPr>
          <w:rFonts w:ascii="Arial" w:eastAsia="Calibri" w:hAnsi="Arial" w:cs="Arial"/>
          <w:sz w:val="22"/>
        </w:rPr>
      </w:pPr>
    </w:p>
    <w:p w14:paraId="2138D625" w14:textId="77777777" w:rsidR="001B5150" w:rsidRPr="00B5320E" w:rsidRDefault="001B5150" w:rsidP="001B5150">
      <w:pPr>
        <w:jc w:val="both"/>
        <w:rPr>
          <w:rFonts w:ascii="Arial" w:eastAsia="Calibri" w:hAnsi="Arial" w:cs="Arial"/>
          <w:sz w:val="22"/>
        </w:rPr>
      </w:pPr>
      <w:r w:rsidRPr="00B5320E">
        <w:rPr>
          <w:noProof/>
          <w:lang w:val="en-US"/>
        </w:rPr>
        <mc:AlternateContent>
          <mc:Choice Requires="wps">
            <w:drawing>
              <wp:anchor distT="0" distB="0" distL="114300" distR="114300" simplePos="0" relativeHeight="251659264" behindDoc="0" locked="0" layoutInCell="1" allowOverlap="1" wp14:anchorId="3DE149B8" wp14:editId="06D5E50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04E95C6"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C7C14AC" w14:textId="77777777" w:rsidR="001B5150" w:rsidRPr="00B5320E" w:rsidRDefault="001B5150" w:rsidP="001B5150">
      <w:pPr>
        <w:rPr>
          <w:rFonts w:ascii="Arial" w:eastAsia="Times New Roman" w:hAnsi="Arial" w:cs="Arial"/>
          <w:sz w:val="22"/>
          <w:lang w:eastAsia="es-CO"/>
        </w:rPr>
      </w:pPr>
      <w:r w:rsidRPr="00B5320E">
        <w:rPr>
          <w:rFonts w:ascii="Arial" w:eastAsia="Times New Roman" w:hAnsi="Arial" w:cs="Arial"/>
          <w:sz w:val="22"/>
          <w:lang w:eastAsia="es-CO"/>
        </w:rPr>
        <w:t>Atentamente,</w:t>
      </w:r>
    </w:p>
    <w:p w14:paraId="5F31CC0C" w14:textId="0FD15CFB" w:rsidR="001B5150" w:rsidRDefault="007A547D" w:rsidP="001B5150">
      <w:pPr>
        <w:jc w:val="center"/>
      </w:pPr>
      <w:r>
        <w:rPr>
          <w:noProof/>
          <w:lang w:eastAsia="es-CO"/>
        </w:rPr>
        <w:drawing>
          <wp:inline distT="0" distB="0" distL="0" distR="0" wp14:anchorId="03919689" wp14:editId="0348AF0F">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71700" cy="923925"/>
                    </a:xfrm>
                    <a:prstGeom prst="rect">
                      <a:avLst/>
                    </a:prstGeom>
                  </pic:spPr>
                </pic:pic>
              </a:graphicData>
            </a:graphic>
          </wp:inline>
        </w:drawing>
      </w:r>
    </w:p>
    <w:p w14:paraId="6DE8C99F" w14:textId="77777777" w:rsidR="00EA32A3" w:rsidRPr="00B5320E" w:rsidRDefault="00EA32A3" w:rsidP="001B5150">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5320E" w:rsidRPr="00B5320E" w14:paraId="033C87E9" w14:textId="77777777" w:rsidTr="008071D7">
        <w:trPr>
          <w:trHeight w:val="315"/>
        </w:trPr>
        <w:tc>
          <w:tcPr>
            <w:tcW w:w="812" w:type="dxa"/>
            <w:vAlign w:val="center"/>
            <w:hideMark/>
          </w:tcPr>
          <w:p w14:paraId="146DBFBB" w14:textId="77777777"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611477" w14:textId="7CB2009F" w:rsidR="001B5150" w:rsidRPr="00B5320E" w:rsidRDefault="00442AD3" w:rsidP="008071D7">
            <w:pPr>
              <w:rPr>
                <w:rFonts w:ascii="Arial" w:eastAsia="Times New Roman" w:hAnsi="Arial" w:cs="Arial"/>
                <w:sz w:val="16"/>
                <w:szCs w:val="16"/>
                <w:lang w:eastAsia="es-ES"/>
              </w:rPr>
            </w:pPr>
            <w:r>
              <w:rPr>
                <w:rFonts w:ascii="Arial" w:eastAsia="Times New Roman" w:hAnsi="Arial" w:cs="Arial"/>
                <w:sz w:val="16"/>
                <w:szCs w:val="16"/>
                <w:lang w:eastAsia="es-ES"/>
              </w:rPr>
              <w:t>Carlos Mario Castrillon Endo</w:t>
            </w:r>
          </w:p>
          <w:p w14:paraId="145B0787" w14:textId="222E5B83"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Contratista</w:t>
            </w:r>
            <w:r w:rsidR="007D7545">
              <w:rPr>
                <w:rFonts w:ascii="Arial" w:eastAsia="Times New Roman" w:hAnsi="Arial" w:cs="Arial"/>
                <w:sz w:val="16"/>
                <w:szCs w:val="16"/>
                <w:lang w:eastAsia="es-ES"/>
              </w:rPr>
              <w:t xml:space="preserve"> de la </w:t>
            </w:r>
            <w:r w:rsidRPr="00B5320E">
              <w:rPr>
                <w:rFonts w:ascii="Arial" w:eastAsia="Times New Roman" w:hAnsi="Arial" w:cs="Arial"/>
                <w:sz w:val="16"/>
                <w:szCs w:val="16"/>
                <w:lang w:eastAsia="es-ES"/>
              </w:rPr>
              <w:t>Subdirección de Gestión Contractual</w:t>
            </w:r>
          </w:p>
        </w:tc>
      </w:tr>
      <w:tr w:rsidR="00B5320E" w:rsidRPr="00B5320E" w14:paraId="00CC0681" w14:textId="77777777" w:rsidTr="008071D7">
        <w:trPr>
          <w:trHeight w:val="330"/>
        </w:trPr>
        <w:tc>
          <w:tcPr>
            <w:tcW w:w="812" w:type="dxa"/>
            <w:vAlign w:val="center"/>
            <w:hideMark/>
          </w:tcPr>
          <w:p w14:paraId="44369C28" w14:textId="77777777"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11924E" w14:textId="54F13A6D" w:rsidR="001B5150" w:rsidRPr="00B5320E" w:rsidRDefault="007D7545" w:rsidP="008071D7">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0326C123" w14:textId="67798807"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Contratista</w:t>
            </w:r>
            <w:r w:rsidR="007D7545">
              <w:rPr>
                <w:rFonts w:ascii="Arial" w:eastAsia="Times New Roman" w:hAnsi="Arial" w:cs="Arial"/>
                <w:sz w:val="16"/>
                <w:szCs w:val="16"/>
                <w:lang w:eastAsia="es-ES"/>
              </w:rPr>
              <w:t xml:space="preserve"> de la</w:t>
            </w:r>
            <w:r w:rsidRPr="00B5320E">
              <w:rPr>
                <w:rFonts w:ascii="Arial" w:eastAsia="Times New Roman" w:hAnsi="Arial" w:cs="Arial"/>
                <w:sz w:val="16"/>
                <w:szCs w:val="16"/>
                <w:lang w:eastAsia="es-ES"/>
              </w:rPr>
              <w:t xml:space="preserve"> Subdirección de Gestión Contractual</w:t>
            </w:r>
          </w:p>
        </w:tc>
      </w:tr>
      <w:tr w:rsidR="00B5320E" w:rsidRPr="00B5320E" w14:paraId="2C9AA5A1" w14:textId="77777777" w:rsidTr="008071D7">
        <w:trPr>
          <w:trHeight w:val="300"/>
        </w:trPr>
        <w:tc>
          <w:tcPr>
            <w:tcW w:w="812" w:type="dxa"/>
            <w:vAlign w:val="center"/>
            <w:hideMark/>
          </w:tcPr>
          <w:p w14:paraId="2E222B7A" w14:textId="77777777"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EAC306" w14:textId="01B02D18" w:rsidR="001B5150" w:rsidRPr="00B5320E" w:rsidRDefault="00442AD3" w:rsidP="008071D7">
            <w:pPr>
              <w:rPr>
                <w:rFonts w:ascii="Arial" w:eastAsia="Times New Roman" w:hAnsi="Arial" w:cs="Arial"/>
                <w:sz w:val="16"/>
                <w:szCs w:val="16"/>
                <w:lang w:eastAsia="es-ES"/>
              </w:rPr>
            </w:pPr>
            <w:r>
              <w:rPr>
                <w:rFonts w:ascii="Arial" w:eastAsia="Times New Roman" w:hAnsi="Arial" w:cs="Arial"/>
                <w:sz w:val="16"/>
                <w:szCs w:val="16"/>
                <w:lang w:eastAsia="es-ES"/>
              </w:rPr>
              <w:t>Andres Ricardo Mancipe González</w:t>
            </w:r>
          </w:p>
          <w:p w14:paraId="1C48B6D4" w14:textId="77777777" w:rsidR="001B5150" w:rsidRPr="00B5320E" w:rsidRDefault="001B5150" w:rsidP="008071D7">
            <w:pPr>
              <w:rPr>
                <w:rFonts w:ascii="Arial" w:eastAsia="Times New Roman" w:hAnsi="Arial" w:cs="Arial"/>
                <w:sz w:val="16"/>
                <w:szCs w:val="16"/>
                <w:lang w:eastAsia="es-ES"/>
              </w:rPr>
            </w:pPr>
            <w:r w:rsidRPr="00B5320E">
              <w:rPr>
                <w:rFonts w:ascii="Arial" w:eastAsia="Times New Roman" w:hAnsi="Arial" w:cs="Arial"/>
                <w:sz w:val="16"/>
                <w:szCs w:val="16"/>
                <w:lang w:eastAsia="es-ES"/>
              </w:rPr>
              <w:t>Subdirector de Gestión Contractual</w:t>
            </w:r>
          </w:p>
        </w:tc>
      </w:tr>
      <w:bookmarkEnd w:id="2"/>
    </w:tbl>
    <w:p w14:paraId="34C14348" w14:textId="77777777" w:rsidR="00BD0429" w:rsidRPr="00B5320E" w:rsidRDefault="00BD0429"/>
    <w:sectPr w:rsidR="00BD0429" w:rsidRPr="00B5320E"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F1B9C" w14:textId="77777777" w:rsidR="00F517D6" w:rsidRDefault="00F517D6" w:rsidP="001B5150">
      <w:r>
        <w:separator/>
      </w:r>
    </w:p>
  </w:endnote>
  <w:endnote w:type="continuationSeparator" w:id="0">
    <w:p w14:paraId="66021271" w14:textId="77777777" w:rsidR="00F517D6" w:rsidRDefault="00F517D6" w:rsidP="001B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92B34" w14:textId="77777777" w:rsidR="00442AD3" w:rsidRDefault="00442AD3" w:rsidP="00322937">
    <w:pPr>
      <w:pStyle w:val="Sinespaciado"/>
      <w:jc w:val="right"/>
      <w:rPr>
        <w:rFonts w:ascii="Arial" w:hAnsi="Arial" w:cs="Arial"/>
        <w:sz w:val="18"/>
        <w:szCs w:val="18"/>
      </w:rPr>
    </w:pPr>
  </w:p>
  <w:p w14:paraId="5330F0AE" w14:textId="77777777" w:rsidR="006A59DE" w:rsidRPr="008217B7" w:rsidRDefault="00900AF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178E1C87" w14:textId="77777777" w:rsidR="006A59DE" w:rsidRDefault="00900AFE" w:rsidP="00322937">
    <w:pPr>
      <w:pStyle w:val="Piedepgina"/>
      <w:jc w:val="center"/>
      <w:rPr>
        <w:lang w:val="es-ES"/>
      </w:rPr>
    </w:pPr>
    <w:r>
      <w:rPr>
        <w:noProof/>
        <w:lang w:val="en-US"/>
      </w:rPr>
      <w:drawing>
        <wp:inline distT="0" distB="0" distL="0" distR="0" wp14:anchorId="63D11D20" wp14:editId="68573402">
          <wp:extent cx="3700130" cy="519139"/>
          <wp:effectExtent l="0" t="0" r="0" b="0"/>
          <wp:docPr id="6616621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1E92E4D" w14:textId="77777777" w:rsidR="006A59DE" w:rsidRDefault="00046F80" w:rsidP="007B0854">
    <w:pPr>
      <w:pStyle w:val="Piedepgina"/>
      <w:jc w:val="center"/>
      <w:rPr>
        <w:lang w:val="es-ES"/>
      </w:rPr>
    </w:pPr>
  </w:p>
  <w:p w14:paraId="29A20FD9" w14:textId="77777777" w:rsidR="006A59DE" w:rsidRPr="007B0854" w:rsidRDefault="00046F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166F13" w14:textId="77777777" w:rsidR="00F517D6" w:rsidRDefault="00F517D6" w:rsidP="001B5150">
      <w:r>
        <w:separator/>
      </w:r>
    </w:p>
  </w:footnote>
  <w:footnote w:type="continuationSeparator" w:id="0">
    <w:p w14:paraId="3EF14B3B" w14:textId="77777777" w:rsidR="00F517D6" w:rsidRDefault="00F517D6" w:rsidP="001B5150">
      <w:r>
        <w:continuationSeparator/>
      </w:r>
    </w:p>
  </w:footnote>
  <w:footnote w:id="1">
    <w:p w14:paraId="397FAB82" w14:textId="77777777" w:rsidR="00873DA1" w:rsidRPr="00862262" w:rsidRDefault="00873DA1" w:rsidP="00873DA1">
      <w:pPr>
        <w:pStyle w:val="Textonotapie"/>
        <w:ind w:firstLine="709"/>
        <w:jc w:val="both"/>
        <w:rPr>
          <w:rFonts w:ascii="Arial" w:hAnsi="Arial" w:cs="Arial"/>
          <w:sz w:val="19"/>
          <w:szCs w:val="19"/>
          <w:lang w:val="es-ES"/>
        </w:rPr>
      </w:pPr>
      <w:r w:rsidRPr="00862262">
        <w:rPr>
          <w:rStyle w:val="Refdenotaalpie"/>
          <w:rFonts w:ascii="Arial" w:hAnsi="Arial" w:cs="Arial"/>
          <w:sz w:val="19"/>
          <w:szCs w:val="19"/>
        </w:rPr>
        <w:footnoteRef/>
      </w:r>
      <w:r w:rsidRPr="00862262">
        <w:rPr>
          <w:rFonts w:ascii="Arial" w:hAnsi="Arial" w:cs="Arial"/>
          <w:sz w:val="19"/>
          <w:szCs w:val="19"/>
        </w:rPr>
        <w:t xml:space="preserve"> </w:t>
      </w:r>
      <w:r w:rsidRPr="00862262">
        <w:rPr>
          <w:rFonts w:ascii="Arial" w:hAnsi="Arial" w:cs="Arial"/>
          <w:sz w:val="19"/>
          <w:szCs w:val="19"/>
          <w:lang w:val="es-ES"/>
        </w:rPr>
        <w:t>Al respecto, conviene recordar el artículo 29 de la Ley 80 de 1993, derogado por el artículo 32 de la Ley 1150 de 2007, que establecía: «La selección de contratistas será objetiva.</w:t>
      </w:r>
    </w:p>
    <w:p w14:paraId="71E36C45" w14:textId="77777777" w:rsidR="00873DA1" w:rsidRPr="00862262" w:rsidRDefault="00873DA1" w:rsidP="00873DA1">
      <w:pPr>
        <w:pStyle w:val="Textonotapie"/>
        <w:ind w:firstLine="709"/>
        <w:jc w:val="both"/>
        <w:rPr>
          <w:rFonts w:ascii="Arial" w:hAnsi="Arial" w:cs="Arial"/>
          <w:sz w:val="19"/>
          <w:szCs w:val="19"/>
          <w:lang w:val="es-ES"/>
        </w:rPr>
      </w:pPr>
      <w:r w:rsidRPr="00862262">
        <w:rPr>
          <w:rFonts w:ascii="Arial" w:hAnsi="Arial" w:cs="Arial"/>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CBD8F4C" w14:textId="77777777" w:rsidR="00873DA1" w:rsidRPr="00862262" w:rsidRDefault="00873DA1" w:rsidP="00873DA1">
      <w:pPr>
        <w:pStyle w:val="Textonotapie"/>
        <w:ind w:firstLine="709"/>
        <w:jc w:val="both"/>
        <w:rPr>
          <w:rFonts w:ascii="Arial" w:hAnsi="Arial" w:cs="Arial"/>
          <w:sz w:val="19"/>
          <w:szCs w:val="19"/>
          <w:lang w:val="es-ES"/>
        </w:rPr>
      </w:pPr>
      <w:r w:rsidRPr="00862262">
        <w:rPr>
          <w:rFonts w:ascii="Arial" w:hAnsi="Arial" w:cs="Arial"/>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F2F36BE" w14:textId="77777777" w:rsidR="00873DA1" w:rsidRPr="00862262" w:rsidRDefault="00873DA1" w:rsidP="00873DA1">
      <w:pPr>
        <w:pStyle w:val="Textonotapie"/>
        <w:ind w:firstLine="709"/>
        <w:jc w:val="both"/>
        <w:rPr>
          <w:rFonts w:ascii="Arial" w:hAnsi="Arial" w:cs="Arial"/>
          <w:sz w:val="19"/>
          <w:szCs w:val="19"/>
          <w:lang w:val="es-ES"/>
        </w:rPr>
      </w:pPr>
      <w:r w:rsidRPr="00862262">
        <w:rPr>
          <w:rFonts w:ascii="Arial" w:hAnsi="Arial" w:cs="Arial"/>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6153F296" w14:textId="77777777" w:rsidR="00873DA1" w:rsidRPr="00862262" w:rsidRDefault="00873DA1" w:rsidP="00873DA1">
      <w:pPr>
        <w:pStyle w:val="Textonotapie"/>
        <w:ind w:firstLine="709"/>
        <w:jc w:val="both"/>
        <w:rPr>
          <w:rFonts w:ascii="Arial" w:hAnsi="Arial" w:cs="Arial"/>
          <w:sz w:val="19"/>
          <w:szCs w:val="19"/>
          <w:lang w:val="es-ES"/>
        </w:rPr>
      </w:pPr>
      <w:r w:rsidRPr="00862262">
        <w:rPr>
          <w:rFonts w:ascii="Arial" w:hAnsi="Arial" w:cs="Arial"/>
          <w:sz w:val="19"/>
          <w:szCs w:val="19"/>
          <w:lang w:val="es-ES"/>
        </w:rPr>
        <w:t>»En caso de comparación de propuestas nacionales y extranjeras, se incluirán los costos necesarios para la entrega del producto terminado en el lugar de su utilización».</w:t>
      </w:r>
    </w:p>
    <w:p w14:paraId="6C8E3CFB" w14:textId="77777777" w:rsidR="00873DA1" w:rsidRPr="00862262" w:rsidRDefault="00873DA1" w:rsidP="00873DA1">
      <w:pPr>
        <w:pStyle w:val="Textonotapie"/>
        <w:ind w:firstLine="709"/>
        <w:jc w:val="both"/>
        <w:rPr>
          <w:rFonts w:ascii="Arial" w:hAnsi="Arial" w:cs="Arial"/>
          <w:sz w:val="19"/>
          <w:szCs w:val="19"/>
          <w:lang w:val="es-ES"/>
        </w:rPr>
      </w:pPr>
    </w:p>
  </w:footnote>
  <w:footnote w:id="2">
    <w:p w14:paraId="27C656E1" w14:textId="77777777" w:rsidR="00873DA1" w:rsidRPr="00862262" w:rsidRDefault="00873DA1" w:rsidP="00873DA1">
      <w:pPr>
        <w:ind w:firstLine="709"/>
        <w:jc w:val="both"/>
        <w:rPr>
          <w:rFonts w:ascii="Arial" w:eastAsia="Calibri" w:hAnsi="Arial" w:cs="Arial"/>
          <w:sz w:val="19"/>
          <w:szCs w:val="19"/>
          <w:lang w:val="es-ES_tradnl"/>
        </w:rPr>
      </w:pPr>
      <w:r w:rsidRPr="00862262">
        <w:rPr>
          <w:rStyle w:val="Refdenotaalpie"/>
          <w:rFonts w:ascii="Arial" w:hAnsi="Arial" w:cs="Arial"/>
          <w:sz w:val="19"/>
          <w:szCs w:val="19"/>
        </w:rPr>
        <w:footnoteRef/>
      </w:r>
      <w:r w:rsidRPr="00862262">
        <w:rPr>
          <w:rFonts w:ascii="Arial" w:hAnsi="Arial" w:cs="Arial"/>
          <w:sz w:val="19"/>
          <w:szCs w:val="19"/>
        </w:rPr>
        <w:t xml:space="preserve"> </w:t>
      </w:r>
      <w:r w:rsidRPr="00862262">
        <w:rPr>
          <w:rFonts w:ascii="Arial" w:eastAsia="Calibri" w:hAnsi="Arial" w:cs="Arial"/>
          <w:sz w:val="19"/>
          <w:szCs w:val="19"/>
          <w:lang w:val="es-ES_tradnl"/>
        </w:rPr>
        <w:t>Enunciado normativo en el que se lee: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EFFCC94"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658379D"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15A4099"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»En los procesos de selección en los que se tenga en cuenta los factores técnicos y económicos, la oferta más ventajosa será la que resulte de aplicar alguna de las siguientes alternativas:</w:t>
      </w:r>
    </w:p>
    <w:p w14:paraId="2E6D211F"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»a) La ponderación de los elementos de calidad y precio soportados en puntajes o fórmulas señaladas en el pliego de condiciones; o</w:t>
      </w:r>
    </w:p>
    <w:p w14:paraId="2B9C7FB3"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»b) La ponderación de los elementos de calidad y precio que representen la mejor relación de costo-beneficio para la entidad.</w:t>
      </w:r>
    </w:p>
    <w:p w14:paraId="2DDBBCE9"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61EB0A0A"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0ED01D8"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»En ningún caso se podrá incluir el precio, como factor de escogencia para la selección de consultores.</w:t>
      </w:r>
    </w:p>
    <w:p w14:paraId="6F6C77A2"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2F367C96"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»Durante el término otorgado para subsanar las ofertas, los proponentes no podrán acreditar circunstancias ocurridas con posterioridad al cierre del proceso.</w:t>
      </w:r>
    </w:p>
    <w:p w14:paraId="58564E59"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»PARÁGRAFO 2o. Las certificaciones de sistemas de gestión de calidad no serán objeto de calificación, ni podrán establecerse como documento habilitante para participar en licitaciones o concursos.</w:t>
      </w:r>
    </w:p>
    <w:p w14:paraId="02088D98"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1D2CAADB"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5A35499" w14:textId="77777777" w:rsidR="00873DA1" w:rsidRPr="00862262" w:rsidRDefault="00873DA1" w:rsidP="00873DA1">
      <w:pPr>
        <w:ind w:firstLine="709"/>
        <w:jc w:val="both"/>
        <w:rPr>
          <w:rFonts w:ascii="Arial" w:eastAsia="Calibri" w:hAnsi="Arial" w:cs="Arial"/>
          <w:sz w:val="19"/>
          <w:szCs w:val="19"/>
          <w:lang w:val="es-ES_tradnl"/>
        </w:rPr>
      </w:pPr>
      <w:r w:rsidRPr="00862262">
        <w:rPr>
          <w:rFonts w:ascii="Arial" w:eastAsia="Calibri" w:hAnsi="Arial" w:cs="Arial"/>
          <w:sz w:val="19"/>
          <w:szCs w:val="19"/>
          <w:lang w:val="es-ES_tradnl"/>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footnote>
  <w:footnote w:id="3">
    <w:p w14:paraId="75F15589" w14:textId="77777777" w:rsidR="00873DA1" w:rsidRPr="00862262" w:rsidRDefault="00873DA1" w:rsidP="00873DA1">
      <w:pPr>
        <w:pStyle w:val="Textonotapie"/>
        <w:ind w:firstLine="709"/>
        <w:jc w:val="both"/>
        <w:rPr>
          <w:rFonts w:ascii="Arial" w:hAnsi="Arial" w:cs="Arial"/>
          <w:sz w:val="19"/>
          <w:szCs w:val="19"/>
        </w:rPr>
      </w:pPr>
      <w:r w:rsidRPr="00862262">
        <w:rPr>
          <w:rStyle w:val="Refdenotaalpie"/>
          <w:rFonts w:ascii="Arial" w:hAnsi="Arial" w:cs="Arial"/>
          <w:sz w:val="19"/>
          <w:szCs w:val="19"/>
        </w:rPr>
        <w:footnoteRef/>
      </w:r>
      <w:r w:rsidRPr="00862262">
        <w:rPr>
          <w:rFonts w:ascii="Arial" w:hAnsi="Arial" w:cs="Arial"/>
          <w:sz w:val="19"/>
          <w:szCs w:val="19"/>
        </w:rPr>
        <w:t xml:space="preserve"> Consejo de Estado. Sección Tercera. Subsección A. Sentencia del 25 de octubre de 2019. Exp. 39945. Consejera Ponente: María Adriana Marín.</w:t>
      </w:r>
    </w:p>
    <w:p w14:paraId="466B4E72" w14:textId="77777777" w:rsidR="00873DA1" w:rsidRPr="00862262" w:rsidRDefault="00873DA1" w:rsidP="00873DA1">
      <w:pPr>
        <w:pStyle w:val="Textonotapie"/>
        <w:ind w:firstLine="709"/>
        <w:jc w:val="both"/>
        <w:rPr>
          <w:rFonts w:ascii="Arial" w:hAnsi="Arial" w:cs="Arial"/>
          <w:sz w:val="19"/>
          <w:szCs w:val="19"/>
          <w:lang w:val="es-ES"/>
        </w:rPr>
      </w:pPr>
    </w:p>
  </w:footnote>
  <w:footnote w:id="4">
    <w:p w14:paraId="1DAD57FD" w14:textId="77777777" w:rsidR="00873DA1" w:rsidRPr="00862262" w:rsidRDefault="00873DA1" w:rsidP="00873DA1">
      <w:pPr>
        <w:pStyle w:val="Textonotapie"/>
        <w:ind w:firstLine="709"/>
        <w:jc w:val="both"/>
        <w:rPr>
          <w:rFonts w:ascii="Arial" w:hAnsi="Arial" w:cs="Arial"/>
          <w:sz w:val="19"/>
          <w:szCs w:val="19"/>
          <w:lang w:val="es-ES"/>
        </w:rPr>
      </w:pPr>
      <w:r w:rsidRPr="00862262">
        <w:rPr>
          <w:rStyle w:val="Refdenotaalpie"/>
          <w:rFonts w:ascii="Arial" w:hAnsi="Arial" w:cs="Arial"/>
          <w:sz w:val="19"/>
          <w:szCs w:val="19"/>
        </w:rPr>
        <w:footnoteRef/>
      </w:r>
      <w:r w:rsidRPr="00862262">
        <w:rPr>
          <w:rStyle w:val="Refdenotaalpie"/>
          <w:rFonts w:ascii="Arial" w:hAnsi="Arial" w:cs="Arial"/>
          <w:sz w:val="19"/>
          <w:szCs w:val="19"/>
        </w:rPr>
        <w:t xml:space="preserve"> </w:t>
      </w:r>
      <w:r w:rsidRPr="00862262">
        <w:rPr>
          <w:rFonts w:ascii="Arial" w:hAnsi="Arial" w:cs="Arial"/>
          <w:sz w:val="19"/>
          <w:szCs w:val="19"/>
        </w:rPr>
        <w:t>Consejo de Estado. Sección Tercera. Subsección A. Sentencia del 5 de julio de 2018. Exp. 37834. Consejero Ponente: Carlos Alberto Zambrano Barrera.</w:t>
      </w:r>
    </w:p>
  </w:footnote>
  <w:footnote w:id="5">
    <w:p w14:paraId="7CC322A6" w14:textId="77777777" w:rsidR="001B5150" w:rsidRPr="00321FA3" w:rsidRDefault="001B5150" w:rsidP="001B5150">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65153077" w14:textId="77777777" w:rsidR="001B5150" w:rsidRPr="00321FA3" w:rsidRDefault="001B5150" w:rsidP="001B5150">
      <w:pPr>
        <w:pStyle w:val="Textonotapie"/>
        <w:ind w:firstLine="709"/>
        <w:jc w:val="both"/>
        <w:rPr>
          <w:rFonts w:ascii="Arial" w:hAnsi="Arial" w:cs="Arial"/>
          <w:color w:val="000000" w:themeColor="text1"/>
          <w:sz w:val="19"/>
          <w:szCs w:val="19"/>
        </w:rPr>
      </w:pPr>
    </w:p>
  </w:footnote>
  <w:footnote w:id="6">
    <w:p w14:paraId="78F1304D" w14:textId="77777777" w:rsidR="001B5150" w:rsidRPr="00321FA3" w:rsidRDefault="001B5150" w:rsidP="001B5150">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7">
    <w:p w14:paraId="57D6E977" w14:textId="77777777" w:rsidR="001B5150" w:rsidRPr="00321FA3" w:rsidRDefault="001B5150" w:rsidP="001B5150">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CONSEJO DE ESTADO. Sección Tercera. Subsección C. Sentencia del 26 de febrero de 2014. Rad. 25.804. C.P. Enrique Gil Botero. </w:t>
      </w:r>
    </w:p>
  </w:footnote>
  <w:footnote w:id="8">
    <w:p w14:paraId="6AC75EDB" w14:textId="77777777" w:rsidR="001B5150" w:rsidRPr="00321FA3" w:rsidRDefault="001B5150" w:rsidP="001B5150">
      <w:pPr>
        <w:pStyle w:val="Textonotapie"/>
        <w:ind w:firstLine="709"/>
        <w:jc w:val="both"/>
        <w:rPr>
          <w:rFonts w:ascii="Arial" w:hAnsi="Arial" w:cs="Arial"/>
          <w:color w:val="000000" w:themeColor="text1"/>
          <w:sz w:val="19"/>
          <w:szCs w:val="19"/>
          <w:lang w:val="es-CO"/>
        </w:rPr>
      </w:pPr>
      <w:r w:rsidRPr="00321FA3">
        <w:rPr>
          <w:rStyle w:val="Refdenotaalpie"/>
          <w:rFonts w:ascii="Arial" w:hAnsi="Arial" w:cs="Arial"/>
          <w:color w:val="000000" w:themeColor="text1"/>
          <w:sz w:val="19"/>
          <w:szCs w:val="19"/>
        </w:rPr>
        <w:footnoteRef/>
      </w:r>
      <w:r w:rsidRPr="00321FA3">
        <w:rPr>
          <w:rStyle w:val="Refdenotaalpie"/>
          <w:rFonts w:ascii="Arial" w:hAnsi="Arial" w:cs="Arial"/>
          <w:color w:val="000000" w:themeColor="text1"/>
          <w:sz w:val="19"/>
          <w:szCs w:val="19"/>
        </w:rPr>
        <w:t xml:space="preserve"> </w:t>
      </w:r>
      <w:r w:rsidRPr="00321FA3">
        <w:rPr>
          <w:rFonts w:ascii="Arial" w:hAnsi="Arial" w:cs="Arial"/>
          <w:color w:val="000000" w:themeColor="text1"/>
          <w:sz w:val="19"/>
          <w:szCs w:val="19"/>
          <w:lang w:val="es-CO"/>
        </w:rPr>
        <w:t>Ley 1150 de 2007, artículo 5, parágrafo 4°: «</w:t>
      </w:r>
      <w:r w:rsidRPr="00321FA3">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9">
    <w:p w14:paraId="1EAA9E12" w14:textId="77777777" w:rsidR="009C5E43" w:rsidRPr="00862262" w:rsidRDefault="009C5E43" w:rsidP="009C5E43">
      <w:pPr>
        <w:ind w:firstLine="709"/>
        <w:jc w:val="both"/>
        <w:rPr>
          <w:rFonts w:ascii="Arial" w:hAnsi="Arial" w:cs="Arial"/>
          <w:sz w:val="19"/>
          <w:szCs w:val="19"/>
        </w:rPr>
      </w:pPr>
      <w:r w:rsidRPr="00862262">
        <w:rPr>
          <w:rStyle w:val="Refdenotaalpie"/>
          <w:rFonts w:ascii="Arial" w:hAnsi="Arial" w:cs="Arial"/>
          <w:sz w:val="19"/>
          <w:szCs w:val="19"/>
        </w:rPr>
        <w:footnoteRef/>
      </w:r>
      <w:r w:rsidRPr="00862262">
        <w:rPr>
          <w:rFonts w:ascii="Arial" w:hAnsi="Arial" w:cs="Arial"/>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862262">
          <w:rPr>
            <w:rFonts w:ascii="Arial" w:hAnsi="Arial" w:cs="Arial"/>
            <w:sz w:val="19"/>
            <w:szCs w:val="19"/>
          </w:rPr>
          <w:t>Ley 1150 de 2007</w:t>
        </w:r>
      </w:hyperlink>
      <w:r w:rsidRPr="00862262">
        <w:rPr>
          <w:rFonts w:ascii="Arial" w:hAnsi="Arial" w:cs="Arial"/>
          <w:sz w:val="19"/>
          <w:szCs w:val="19"/>
        </w:rPr>
        <w:t> y en el presente decreto.</w:t>
      </w:r>
    </w:p>
    <w:p w14:paraId="127EE066" w14:textId="77777777" w:rsidR="009C5E43" w:rsidRPr="00862262" w:rsidRDefault="009C5E43" w:rsidP="009C5E43">
      <w:pPr>
        <w:ind w:firstLine="709"/>
        <w:jc w:val="both"/>
        <w:rPr>
          <w:rFonts w:ascii="Arial" w:hAnsi="Arial" w:cs="Arial"/>
          <w:sz w:val="19"/>
          <w:szCs w:val="19"/>
        </w:rPr>
      </w:pPr>
      <w:r w:rsidRPr="00862262">
        <w:rPr>
          <w:rFonts w:ascii="Arial" w:hAnsi="Arial" w:cs="Arial"/>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87363F3" w14:textId="77777777" w:rsidR="009C5E43" w:rsidRPr="00862262" w:rsidRDefault="009C5E43" w:rsidP="009C5E43">
      <w:pPr>
        <w:ind w:firstLine="709"/>
        <w:jc w:val="both"/>
        <w:rPr>
          <w:rFonts w:ascii="Arial" w:hAnsi="Arial" w:cs="Arial"/>
          <w:sz w:val="19"/>
          <w:szCs w:val="19"/>
        </w:rPr>
      </w:pPr>
      <w:r w:rsidRPr="00862262">
        <w:rPr>
          <w:rFonts w:ascii="Arial" w:hAnsi="Arial" w:cs="Arial"/>
          <w:sz w:val="19"/>
          <w:szCs w:val="19"/>
        </w:rPr>
        <w:t>»Será rechazada la oferta del proponente que dentro del término previsto en el pliego o en la solicitud, no responda al requerimiento que le haga la entidad para subsanarla.</w:t>
      </w:r>
    </w:p>
    <w:p w14:paraId="6DCE3246" w14:textId="77777777" w:rsidR="009C5E43" w:rsidRPr="00862262" w:rsidRDefault="009C5E43" w:rsidP="009C5E43">
      <w:pPr>
        <w:ind w:firstLine="709"/>
        <w:jc w:val="both"/>
        <w:rPr>
          <w:rFonts w:ascii="Arial" w:hAnsi="Arial" w:cs="Arial"/>
          <w:sz w:val="19"/>
          <w:szCs w:val="19"/>
        </w:rPr>
      </w:pPr>
      <w:r w:rsidRPr="00862262">
        <w:rPr>
          <w:rFonts w:ascii="Arial" w:hAnsi="Arial" w:cs="Arial"/>
          <w:sz w:val="19"/>
          <w:szCs w:val="19"/>
        </w:rPr>
        <w:t>»Cuando se utilice el mecanismo de subasta esta posibilidad deberá ejercerse hasta el momento previo a su realización, de conformidad con el artículo 22 del presente decreto.</w:t>
      </w:r>
    </w:p>
    <w:p w14:paraId="1A6B8ED5" w14:textId="77777777" w:rsidR="009C5E43" w:rsidRPr="00862262" w:rsidRDefault="009C5E43" w:rsidP="009C5E43">
      <w:pPr>
        <w:ind w:firstLine="709"/>
        <w:jc w:val="both"/>
        <w:rPr>
          <w:rFonts w:ascii="Arial" w:hAnsi="Arial" w:cs="Arial"/>
          <w:sz w:val="19"/>
          <w:szCs w:val="19"/>
        </w:rPr>
      </w:pPr>
      <w:r w:rsidRPr="00862262">
        <w:rPr>
          <w:rFonts w:ascii="Arial" w:hAnsi="Arial" w:cs="Arial"/>
          <w:sz w:val="19"/>
          <w:szCs w:val="19"/>
        </w:rPr>
        <w:t>»En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p w14:paraId="2B534E55" w14:textId="77777777" w:rsidR="009C5E43" w:rsidRPr="00862262" w:rsidRDefault="009C5E43" w:rsidP="009C5E43">
      <w:pPr>
        <w:ind w:firstLine="709"/>
        <w:jc w:val="both"/>
        <w:rPr>
          <w:rFonts w:ascii="Arial" w:hAnsi="Arial" w:cs="Arial"/>
          <w:sz w:val="19"/>
          <w:szCs w:val="19"/>
        </w:rPr>
      </w:pPr>
      <w:r w:rsidRPr="00862262">
        <w:rPr>
          <w:rFonts w:ascii="Arial" w:hAnsi="Arial" w:cs="Arial"/>
          <w:sz w:val="19"/>
          <w:szCs w:val="19"/>
        </w:rPr>
        <w:t xml:space="preserve"> </w:t>
      </w:r>
    </w:p>
  </w:footnote>
  <w:footnote w:id="10">
    <w:p w14:paraId="35F0DB43" w14:textId="77777777" w:rsidR="009C5E43" w:rsidRPr="00862262" w:rsidRDefault="009C5E43" w:rsidP="009C5E43">
      <w:pPr>
        <w:pStyle w:val="Textonotapie"/>
        <w:ind w:firstLine="709"/>
        <w:jc w:val="both"/>
        <w:rPr>
          <w:rFonts w:ascii="Arial" w:hAnsi="Arial" w:cs="Arial"/>
          <w:sz w:val="19"/>
          <w:szCs w:val="19"/>
        </w:rPr>
      </w:pPr>
      <w:r w:rsidRPr="00862262">
        <w:rPr>
          <w:rStyle w:val="Refdenotaalpie"/>
          <w:rFonts w:ascii="Arial" w:hAnsi="Arial" w:cs="Arial"/>
          <w:sz w:val="19"/>
          <w:szCs w:val="19"/>
        </w:rPr>
        <w:footnoteRef/>
      </w:r>
      <w:r w:rsidRPr="00862262">
        <w:rPr>
          <w:rFonts w:ascii="Arial" w:hAnsi="Arial" w:cs="Arial"/>
          <w:sz w:val="19"/>
          <w:szCs w:val="19"/>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4185EA5" w14:textId="144D5759" w:rsidR="009C5E43" w:rsidRDefault="009C5E43" w:rsidP="009C5E43">
      <w:pPr>
        <w:pStyle w:val="Textonotapie"/>
        <w:ind w:firstLine="709"/>
        <w:jc w:val="both"/>
        <w:rPr>
          <w:rFonts w:ascii="Arial" w:hAnsi="Arial" w:cs="Arial"/>
          <w:sz w:val="19"/>
          <w:szCs w:val="19"/>
        </w:rPr>
      </w:pPr>
      <w:r w:rsidRPr="00862262">
        <w:rPr>
          <w:rFonts w:ascii="Arial" w:hAnsi="Arial" w:cs="Arial"/>
          <w:sz w:val="19"/>
          <w:szCs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761CB4FD" w14:textId="77777777" w:rsidR="00F13895" w:rsidRPr="00862262" w:rsidRDefault="00F13895" w:rsidP="009C5E43">
      <w:pPr>
        <w:pStyle w:val="Textonotapie"/>
        <w:ind w:firstLine="709"/>
        <w:jc w:val="both"/>
        <w:rPr>
          <w:rFonts w:ascii="Arial" w:hAnsi="Arial" w:cs="Arial"/>
          <w:sz w:val="19"/>
          <w:szCs w:val="19"/>
        </w:rPr>
      </w:pPr>
    </w:p>
  </w:footnote>
  <w:footnote w:id="11">
    <w:p w14:paraId="65F3E0D1" w14:textId="77777777" w:rsidR="009C5E43" w:rsidRPr="00862262" w:rsidRDefault="009C5E43" w:rsidP="009C5E43">
      <w:pPr>
        <w:pStyle w:val="Textonotapie"/>
        <w:ind w:firstLine="709"/>
        <w:jc w:val="both"/>
        <w:rPr>
          <w:rFonts w:ascii="Arial" w:hAnsi="Arial" w:cs="Arial"/>
          <w:sz w:val="19"/>
          <w:szCs w:val="19"/>
        </w:rPr>
      </w:pPr>
      <w:r w:rsidRPr="00862262">
        <w:rPr>
          <w:rStyle w:val="Refdenotaalpie"/>
          <w:rFonts w:ascii="Arial" w:hAnsi="Arial" w:cs="Arial"/>
          <w:sz w:val="19"/>
          <w:szCs w:val="19"/>
        </w:rPr>
        <w:footnoteRef/>
      </w:r>
      <w:r w:rsidRPr="00862262">
        <w:rPr>
          <w:rFonts w:ascii="Arial" w:hAnsi="Arial" w:cs="Arial"/>
          <w:sz w:val="19"/>
          <w:szCs w:val="19"/>
        </w:rPr>
        <w:t xml:space="preserve"> Ver Consejo de Estado, Sección Tercera, Subsección C. Sentencia del 26 de febrero de 2011. C.P. Jaime Orlando Santofimio. Rad. 36.408.  </w:t>
      </w:r>
    </w:p>
    <w:p w14:paraId="58049BF3" w14:textId="77777777" w:rsidR="009C5E43" w:rsidRPr="00862262" w:rsidRDefault="009C5E43" w:rsidP="009C5E43">
      <w:pPr>
        <w:pStyle w:val="Textonotapie"/>
        <w:ind w:firstLine="709"/>
        <w:jc w:val="both"/>
        <w:rPr>
          <w:rFonts w:ascii="Arial" w:hAnsi="Arial" w:cs="Arial"/>
          <w:sz w:val="19"/>
          <w:szCs w:val="19"/>
        </w:rPr>
      </w:pPr>
    </w:p>
  </w:footnote>
  <w:footnote w:id="12">
    <w:p w14:paraId="43DF93F1" w14:textId="77777777" w:rsidR="009C5E43" w:rsidRPr="00862262" w:rsidRDefault="009C5E43" w:rsidP="009C5E43">
      <w:pPr>
        <w:pStyle w:val="Textonotapie"/>
        <w:ind w:firstLine="709"/>
        <w:jc w:val="both"/>
        <w:rPr>
          <w:rFonts w:ascii="Arial" w:hAnsi="Arial" w:cs="Arial"/>
          <w:sz w:val="19"/>
          <w:szCs w:val="19"/>
        </w:rPr>
      </w:pPr>
      <w:r w:rsidRPr="00862262">
        <w:rPr>
          <w:rStyle w:val="Refdenotaalpie"/>
          <w:rFonts w:ascii="Arial" w:hAnsi="Arial" w:cs="Arial"/>
          <w:sz w:val="19"/>
          <w:szCs w:val="19"/>
        </w:rPr>
        <w:footnoteRef/>
      </w:r>
      <w:r w:rsidRPr="00862262">
        <w:rPr>
          <w:rFonts w:ascii="Arial" w:hAnsi="Arial" w:cs="Arial"/>
          <w:sz w:val="19"/>
          <w:szCs w:val="19"/>
        </w:rPr>
        <w:t xml:space="preserve"> Ver Consejo de Estado, Sección Tercera, Subsección C. Sentencia del 26 de febrero de 2014. C.P. Enrique Gil Botero. Rad. 25.804.  </w:t>
      </w:r>
    </w:p>
  </w:footnote>
  <w:footnote w:id="13">
    <w:p w14:paraId="4664C23A" w14:textId="3C6473C6" w:rsidR="009C5E43" w:rsidRPr="00941667" w:rsidRDefault="009C5E43">
      <w:pPr>
        <w:pStyle w:val="Textonotapie"/>
        <w:ind w:firstLine="709"/>
        <w:jc w:val="both"/>
        <w:rPr>
          <w:rFonts w:ascii="Arial" w:hAnsi="Arial" w:cs="Arial"/>
          <w:color w:val="404040" w:themeColor="text1" w:themeTint="BF"/>
          <w:sz w:val="18"/>
          <w:szCs w:val="18"/>
        </w:rPr>
      </w:pPr>
      <w:r w:rsidRPr="00862262">
        <w:rPr>
          <w:rStyle w:val="Refdenotaalpie"/>
          <w:rFonts w:ascii="Arial" w:hAnsi="Arial" w:cs="Arial"/>
          <w:sz w:val="19"/>
          <w:szCs w:val="19"/>
        </w:rPr>
        <w:footnoteRef/>
      </w:r>
      <w:r w:rsidRPr="00862262">
        <w:rPr>
          <w:rFonts w:ascii="Arial" w:hAnsi="Arial" w:cs="Arial"/>
          <w:sz w:val="19"/>
          <w:szCs w:val="19"/>
        </w:rPr>
        <w:t xml:space="preserve"> Consejo de Estado. Sala de Consulta y Servicio Civil. Concepto del 20 de mayo de 2010. Expediente: 1992. Consejero Ponente: Enrique José Arboleda Perdomo.</w:t>
      </w:r>
    </w:p>
  </w:footnote>
  <w:footnote w:id="14">
    <w:p w14:paraId="5B1FD90C" w14:textId="1913F9CF" w:rsidR="004803AA" w:rsidRPr="00862262" w:rsidRDefault="004803AA" w:rsidP="00862262">
      <w:pPr>
        <w:pStyle w:val="Textonotapie"/>
        <w:ind w:firstLine="708"/>
        <w:jc w:val="both"/>
        <w:rPr>
          <w:rFonts w:ascii="Arial" w:hAnsi="Arial" w:cs="Arial"/>
          <w:sz w:val="19"/>
          <w:szCs w:val="19"/>
          <w:lang w:val="es-ES"/>
        </w:rPr>
      </w:pPr>
      <w:r>
        <w:rPr>
          <w:rStyle w:val="Refdenotaalpie"/>
        </w:rPr>
        <w:footnoteRef/>
      </w:r>
      <w:r>
        <w:t xml:space="preserve"> </w:t>
      </w:r>
      <w:r w:rsidRPr="00862262">
        <w:rPr>
          <w:rFonts w:ascii="Arial" w:hAnsi="Arial" w:cs="Arial"/>
          <w:sz w:val="19"/>
          <w:szCs w:val="19"/>
        </w:rPr>
        <w:t xml:space="preserve">Agencia Nacional de Contratación Pública – Colombia Compra Eficiente. Circular Externa Única. Actualizada el 16 de abril de 2019. En: https://www.colombiacompra.gov.co/sites/cce_public/files/cce_circulares/cce_circular_unica.pdf.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35D13" w14:textId="77777777" w:rsidR="006A59DE" w:rsidRDefault="00900AFE">
    <w:pPr>
      <w:pStyle w:val="Encabezado"/>
    </w:pPr>
    <w:r>
      <w:rPr>
        <w:noProof/>
        <w:lang w:val="en-US"/>
      </w:rPr>
      <w:drawing>
        <wp:anchor distT="0" distB="0" distL="114300" distR="114300" simplePos="0" relativeHeight="251659264" behindDoc="1" locked="0" layoutInCell="1" allowOverlap="1" wp14:anchorId="28E8B904" wp14:editId="030EA4B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E221B1"/>
    <w:multiLevelType w:val="hybridMultilevel"/>
    <w:tmpl w:val="109A36E4"/>
    <w:lvl w:ilvl="0" w:tplc="3C0276D2">
      <w:start w:val="4"/>
      <w:numFmt w:val="lowerRoman"/>
      <w:lvlText w:val="%1)"/>
      <w:lvlJc w:val="left"/>
      <w:pPr>
        <w:ind w:left="100" w:hanging="318"/>
      </w:pPr>
      <w:rPr>
        <w:rFonts w:ascii="Arial" w:eastAsia="Arial" w:hAnsi="Arial" w:cs="Arial" w:hint="default"/>
        <w:color w:val="4E4D4D"/>
        <w:spacing w:val="-3"/>
        <w:w w:val="100"/>
        <w:sz w:val="22"/>
        <w:szCs w:val="22"/>
        <w:lang w:val="es-ES" w:eastAsia="es-ES" w:bidi="es-ES"/>
      </w:rPr>
    </w:lvl>
    <w:lvl w:ilvl="1" w:tplc="35CAFFEA">
      <w:start w:val="1"/>
      <w:numFmt w:val="lowerLetter"/>
      <w:lvlText w:val="%2)"/>
      <w:lvlJc w:val="left"/>
      <w:pPr>
        <w:ind w:left="668" w:hanging="253"/>
      </w:pPr>
      <w:rPr>
        <w:rFonts w:ascii="Arial" w:eastAsia="Arial" w:hAnsi="Arial" w:cs="Arial" w:hint="default"/>
        <w:color w:val="auto"/>
        <w:w w:val="100"/>
        <w:sz w:val="21"/>
        <w:szCs w:val="21"/>
        <w:lang w:val="es-ES" w:eastAsia="es-ES" w:bidi="es-ES"/>
      </w:rPr>
    </w:lvl>
    <w:lvl w:ilvl="2" w:tplc="9AAE8B70">
      <w:numFmt w:val="bullet"/>
      <w:lvlText w:val="•"/>
      <w:lvlJc w:val="left"/>
      <w:pPr>
        <w:ind w:left="1602" w:hanging="253"/>
      </w:pPr>
      <w:rPr>
        <w:rFonts w:hint="default"/>
        <w:lang w:val="es-ES" w:eastAsia="es-ES" w:bidi="es-ES"/>
      </w:rPr>
    </w:lvl>
    <w:lvl w:ilvl="3" w:tplc="BBD2D990">
      <w:numFmt w:val="bullet"/>
      <w:lvlText w:val="•"/>
      <w:lvlJc w:val="left"/>
      <w:pPr>
        <w:ind w:left="2544" w:hanging="253"/>
      </w:pPr>
      <w:rPr>
        <w:rFonts w:hint="default"/>
        <w:lang w:val="es-ES" w:eastAsia="es-ES" w:bidi="es-ES"/>
      </w:rPr>
    </w:lvl>
    <w:lvl w:ilvl="4" w:tplc="0778F89E">
      <w:numFmt w:val="bullet"/>
      <w:lvlText w:val="•"/>
      <w:lvlJc w:val="left"/>
      <w:pPr>
        <w:ind w:left="3486" w:hanging="253"/>
      </w:pPr>
      <w:rPr>
        <w:rFonts w:hint="default"/>
        <w:lang w:val="es-ES" w:eastAsia="es-ES" w:bidi="es-ES"/>
      </w:rPr>
    </w:lvl>
    <w:lvl w:ilvl="5" w:tplc="46F44A54">
      <w:numFmt w:val="bullet"/>
      <w:lvlText w:val="•"/>
      <w:lvlJc w:val="left"/>
      <w:pPr>
        <w:ind w:left="4428" w:hanging="253"/>
      </w:pPr>
      <w:rPr>
        <w:rFonts w:hint="default"/>
        <w:lang w:val="es-ES" w:eastAsia="es-ES" w:bidi="es-ES"/>
      </w:rPr>
    </w:lvl>
    <w:lvl w:ilvl="6" w:tplc="EF02DB40">
      <w:numFmt w:val="bullet"/>
      <w:lvlText w:val="•"/>
      <w:lvlJc w:val="left"/>
      <w:pPr>
        <w:ind w:left="5371" w:hanging="253"/>
      </w:pPr>
      <w:rPr>
        <w:rFonts w:hint="default"/>
        <w:lang w:val="es-ES" w:eastAsia="es-ES" w:bidi="es-ES"/>
      </w:rPr>
    </w:lvl>
    <w:lvl w:ilvl="7" w:tplc="AF6EB400">
      <w:numFmt w:val="bullet"/>
      <w:lvlText w:val="•"/>
      <w:lvlJc w:val="left"/>
      <w:pPr>
        <w:ind w:left="6313" w:hanging="253"/>
      </w:pPr>
      <w:rPr>
        <w:rFonts w:hint="default"/>
        <w:lang w:val="es-ES" w:eastAsia="es-ES" w:bidi="es-ES"/>
      </w:rPr>
    </w:lvl>
    <w:lvl w:ilvl="8" w:tplc="17662006">
      <w:numFmt w:val="bullet"/>
      <w:lvlText w:val="•"/>
      <w:lvlJc w:val="left"/>
      <w:pPr>
        <w:ind w:left="7255" w:hanging="253"/>
      </w:pPr>
      <w:rPr>
        <w:rFonts w:hint="default"/>
        <w:lang w:val="es-ES" w:eastAsia="es-ES" w:bidi="es-ES"/>
      </w:rPr>
    </w:lvl>
  </w:abstractNum>
  <w:abstractNum w:abstractNumId="1" w15:restartNumberingAfterBreak="0">
    <w:nsid w:val="5D2B0D6E"/>
    <w:multiLevelType w:val="hybridMultilevel"/>
    <w:tmpl w:val="FD1E0E10"/>
    <w:lvl w:ilvl="0" w:tplc="0BE6CD1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686459D"/>
    <w:multiLevelType w:val="hybridMultilevel"/>
    <w:tmpl w:val="856021DA"/>
    <w:lvl w:ilvl="0" w:tplc="14763860">
      <w:start w:val="1"/>
      <w:numFmt w:val="decimal"/>
      <w:lvlText w:val="%1."/>
      <w:lvlJc w:val="left"/>
      <w:pPr>
        <w:ind w:left="668" w:hanging="535"/>
      </w:pPr>
      <w:rPr>
        <w:rFonts w:ascii="Arial" w:eastAsia="Arial" w:hAnsi="Arial" w:cs="Arial" w:hint="default"/>
        <w:color w:val="auto"/>
        <w:spacing w:val="-28"/>
        <w:w w:val="100"/>
        <w:sz w:val="21"/>
        <w:szCs w:val="21"/>
        <w:lang w:val="es-ES" w:eastAsia="es-ES" w:bidi="es-ES"/>
      </w:rPr>
    </w:lvl>
    <w:lvl w:ilvl="1" w:tplc="BFC22068">
      <w:numFmt w:val="bullet"/>
      <w:lvlText w:val="•"/>
      <w:lvlJc w:val="left"/>
      <w:pPr>
        <w:ind w:left="1508" w:hanging="535"/>
      </w:pPr>
      <w:rPr>
        <w:rFonts w:hint="default"/>
        <w:lang w:val="es-ES" w:eastAsia="es-ES" w:bidi="es-ES"/>
      </w:rPr>
    </w:lvl>
    <w:lvl w:ilvl="2" w:tplc="8CFAE5B2">
      <w:numFmt w:val="bullet"/>
      <w:lvlText w:val="•"/>
      <w:lvlJc w:val="left"/>
      <w:pPr>
        <w:ind w:left="2356" w:hanging="535"/>
      </w:pPr>
      <w:rPr>
        <w:rFonts w:hint="default"/>
        <w:lang w:val="es-ES" w:eastAsia="es-ES" w:bidi="es-ES"/>
      </w:rPr>
    </w:lvl>
    <w:lvl w:ilvl="3" w:tplc="7090C3BE">
      <w:numFmt w:val="bullet"/>
      <w:lvlText w:val="•"/>
      <w:lvlJc w:val="left"/>
      <w:pPr>
        <w:ind w:left="3204" w:hanging="535"/>
      </w:pPr>
      <w:rPr>
        <w:rFonts w:hint="default"/>
        <w:lang w:val="es-ES" w:eastAsia="es-ES" w:bidi="es-ES"/>
      </w:rPr>
    </w:lvl>
    <w:lvl w:ilvl="4" w:tplc="ED0203E2">
      <w:numFmt w:val="bullet"/>
      <w:lvlText w:val="•"/>
      <w:lvlJc w:val="left"/>
      <w:pPr>
        <w:ind w:left="4052" w:hanging="535"/>
      </w:pPr>
      <w:rPr>
        <w:rFonts w:hint="default"/>
        <w:lang w:val="es-ES" w:eastAsia="es-ES" w:bidi="es-ES"/>
      </w:rPr>
    </w:lvl>
    <w:lvl w:ilvl="5" w:tplc="52B0BB94">
      <w:numFmt w:val="bullet"/>
      <w:lvlText w:val="•"/>
      <w:lvlJc w:val="left"/>
      <w:pPr>
        <w:ind w:left="4900" w:hanging="535"/>
      </w:pPr>
      <w:rPr>
        <w:rFonts w:hint="default"/>
        <w:lang w:val="es-ES" w:eastAsia="es-ES" w:bidi="es-ES"/>
      </w:rPr>
    </w:lvl>
    <w:lvl w:ilvl="6" w:tplc="95DC8EF8">
      <w:numFmt w:val="bullet"/>
      <w:lvlText w:val="•"/>
      <w:lvlJc w:val="left"/>
      <w:pPr>
        <w:ind w:left="5748" w:hanging="535"/>
      </w:pPr>
      <w:rPr>
        <w:rFonts w:hint="default"/>
        <w:lang w:val="es-ES" w:eastAsia="es-ES" w:bidi="es-ES"/>
      </w:rPr>
    </w:lvl>
    <w:lvl w:ilvl="7" w:tplc="2742574C">
      <w:numFmt w:val="bullet"/>
      <w:lvlText w:val="•"/>
      <w:lvlJc w:val="left"/>
      <w:pPr>
        <w:ind w:left="6596" w:hanging="535"/>
      </w:pPr>
      <w:rPr>
        <w:rFonts w:hint="default"/>
        <w:lang w:val="es-ES" w:eastAsia="es-ES" w:bidi="es-ES"/>
      </w:rPr>
    </w:lvl>
    <w:lvl w:ilvl="8" w:tplc="6100DA50">
      <w:numFmt w:val="bullet"/>
      <w:lvlText w:val="•"/>
      <w:lvlJc w:val="left"/>
      <w:pPr>
        <w:ind w:left="7444" w:hanging="535"/>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50"/>
    <w:rsid w:val="00085F5C"/>
    <w:rsid w:val="000B2CD2"/>
    <w:rsid w:val="00175DF7"/>
    <w:rsid w:val="001B5150"/>
    <w:rsid w:val="00226CDE"/>
    <w:rsid w:val="002D322B"/>
    <w:rsid w:val="00442AD3"/>
    <w:rsid w:val="004803AA"/>
    <w:rsid w:val="00614363"/>
    <w:rsid w:val="00622929"/>
    <w:rsid w:val="0065016C"/>
    <w:rsid w:val="00701F37"/>
    <w:rsid w:val="007A547D"/>
    <w:rsid w:val="007D7545"/>
    <w:rsid w:val="00862262"/>
    <w:rsid w:val="00873DA1"/>
    <w:rsid w:val="00874E1F"/>
    <w:rsid w:val="00900AFE"/>
    <w:rsid w:val="009C5E43"/>
    <w:rsid w:val="00AB05EF"/>
    <w:rsid w:val="00B5320E"/>
    <w:rsid w:val="00BD0429"/>
    <w:rsid w:val="00CF33B0"/>
    <w:rsid w:val="00D974B0"/>
    <w:rsid w:val="00DC2D8C"/>
    <w:rsid w:val="00EA32A3"/>
    <w:rsid w:val="00F13895"/>
    <w:rsid w:val="00F517D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A458"/>
  <w15:chartTrackingRefBased/>
  <w15:docId w15:val="{F2AFC153-9F54-4896-BB59-056DC5D3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15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B5150"/>
    <w:pPr>
      <w:tabs>
        <w:tab w:val="center" w:pos="4419"/>
        <w:tab w:val="right" w:pos="8838"/>
      </w:tabs>
    </w:pPr>
  </w:style>
  <w:style w:type="character" w:customStyle="1" w:styleId="PiedepginaCar">
    <w:name w:val="Pie de página Car"/>
    <w:basedOn w:val="Fuentedeprrafopredeter"/>
    <w:link w:val="Piedepgina"/>
    <w:uiPriority w:val="99"/>
    <w:rsid w:val="001B5150"/>
    <w:rPr>
      <w:sz w:val="24"/>
      <w:lang w:val="es-MX"/>
    </w:rPr>
  </w:style>
  <w:style w:type="paragraph" w:styleId="Encabezado">
    <w:name w:val="header"/>
    <w:basedOn w:val="Normal"/>
    <w:link w:val="EncabezadoCar"/>
    <w:uiPriority w:val="99"/>
    <w:unhideWhenUsed/>
    <w:rsid w:val="001B5150"/>
    <w:pPr>
      <w:tabs>
        <w:tab w:val="center" w:pos="4252"/>
        <w:tab w:val="right" w:pos="8504"/>
      </w:tabs>
    </w:pPr>
  </w:style>
  <w:style w:type="character" w:customStyle="1" w:styleId="EncabezadoCar">
    <w:name w:val="Encabezado Car"/>
    <w:basedOn w:val="Fuentedeprrafopredeter"/>
    <w:link w:val="Encabezado"/>
    <w:uiPriority w:val="99"/>
    <w:rsid w:val="001B5150"/>
    <w:rPr>
      <w:sz w:val="24"/>
      <w:lang w:val="es-MX"/>
    </w:rPr>
  </w:style>
  <w:style w:type="table" w:styleId="Tablaconcuadrcula">
    <w:name w:val="Table Grid"/>
    <w:basedOn w:val="Tablanormal"/>
    <w:uiPriority w:val="59"/>
    <w:rsid w:val="001B5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1B5150"/>
    <w:pPr>
      <w:ind w:left="720"/>
      <w:contextualSpacing/>
    </w:pPr>
  </w:style>
  <w:style w:type="paragraph" w:styleId="Sinespaciado">
    <w:name w:val="No Spacing"/>
    <w:uiPriority w:val="1"/>
    <w:qFormat/>
    <w:rsid w:val="001B5150"/>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B515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1B5150"/>
    <w:rPr>
      <w:sz w:val="20"/>
      <w:szCs w:val="20"/>
    </w:rPr>
  </w:style>
  <w:style w:type="character" w:customStyle="1" w:styleId="TextonotapieCar1">
    <w:name w:val="Texto nota pie Car1"/>
    <w:basedOn w:val="Fuentedeprrafopredeter"/>
    <w:uiPriority w:val="99"/>
    <w:semiHidden/>
    <w:rsid w:val="001B5150"/>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B5150"/>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1B5150"/>
    <w:rPr>
      <w:vertAlign w:val="superscript"/>
    </w:rPr>
  </w:style>
  <w:style w:type="paragraph" w:styleId="Textoindependiente">
    <w:name w:val="Body Text"/>
    <w:basedOn w:val="Normal"/>
    <w:link w:val="TextoindependienteCar"/>
    <w:uiPriority w:val="99"/>
    <w:unhideWhenUsed/>
    <w:rsid w:val="001B5150"/>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B5150"/>
    <w:rPr>
      <w:rFonts w:eastAsiaTheme="minorEastAsia"/>
      <w:lang w:eastAsia="es-CO"/>
    </w:rPr>
  </w:style>
  <w:style w:type="paragraph" w:customStyle="1" w:styleId="Default">
    <w:name w:val="Default"/>
    <w:rsid w:val="001B5150"/>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1B515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5150"/>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2F3DBDE-BFF1-4FA3-B1E2-C718785D293C}">
  <ds:schemaRefs>
    <ds:schemaRef ds:uri="http://schemas.openxmlformats.org/officeDocument/2006/bibliography"/>
  </ds:schemaRefs>
</ds:datastoreItem>
</file>

<file path=customXml/itemProps2.xml><?xml version="1.0" encoding="utf-8"?>
<ds:datastoreItem xmlns:ds="http://schemas.openxmlformats.org/officeDocument/2006/customXml" ds:itemID="{D65623D7-E773-46F3-8DE0-C13A41162AC0}"/>
</file>

<file path=customXml/itemProps3.xml><?xml version="1.0" encoding="utf-8"?>
<ds:datastoreItem xmlns:ds="http://schemas.openxmlformats.org/officeDocument/2006/customXml" ds:itemID="{670EE1F7-B269-4B0F-8A4D-FDAA1CAD4B3D}"/>
</file>

<file path=customXml/itemProps4.xml><?xml version="1.0" encoding="utf-8"?>
<ds:datastoreItem xmlns:ds="http://schemas.openxmlformats.org/officeDocument/2006/customXml" ds:itemID="{006F94B3-1B4D-44F2-8EC9-CDC1E5DDF1E0}"/>
</file>

<file path=docProps/app.xml><?xml version="1.0" encoding="utf-8"?>
<Properties xmlns="http://schemas.openxmlformats.org/officeDocument/2006/extended-properties" xmlns:vt="http://schemas.openxmlformats.org/officeDocument/2006/docPropsVTypes">
  <Template>Normal</Template>
  <TotalTime>0</TotalTime>
  <Pages>18</Pages>
  <Words>6895</Words>
  <Characters>37923</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2020-10-05T14:01:00Z</dcterms:created>
  <dcterms:modified xsi:type="dcterms:W3CDTF">2020-10-05T14:01:00Z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