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85790B"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6C15D5">
        <w:rPr>
          <w:rFonts w:ascii="Arial" w:hAnsi="Arial" w:cs="Arial"/>
          <w:bCs/>
          <w:color w:val="000000" w:themeColor="text1"/>
          <w:sz w:val="16"/>
          <w:szCs w:val="16"/>
          <w:lang w:eastAsia="es-ES"/>
        </w:rPr>
        <w:t>CCE-DES-FM-17</w:t>
      </w:r>
    </w:p>
    <w:bookmarkEnd w:id="0"/>
    <w:bookmarkEnd w:id="1"/>
    <w:p w14:paraId="1BED658F" w14:textId="77777777" w:rsidR="00F02D25" w:rsidRPr="0085790B" w:rsidRDefault="00F02D25" w:rsidP="00E548C3">
      <w:pPr>
        <w:jc w:val="both"/>
        <w:rPr>
          <w:rFonts w:ascii="Arial" w:eastAsia="Calibri" w:hAnsi="Arial" w:cs="Arial"/>
          <w:b/>
          <w:bCs/>
          <w:color w:val="000000" w:themeColor="text1"/>
          <w:sz w:val="22"/>
          <w:lang w:val="es-ES_tradnl"/>
        </w:rPr>
      </w:pPr>
    </w:p>
    <w:p w14:paraId="149BCE66" w14:textId="77777777" w:rsidR="009F1EAE" w:rsidRPr="0085790B" w:rsidRDefault="009F1EAE" w:rsidP="00CD050A">
      <w:pPr>
        <w:jc w:val="both"/>
        <w:rPr>
          <w:rFonts w:ascii="Arial" w:eastAsia="Arial" w:hAnsi="Arial" w:cs="Arial"/>
          <w:b/>
          <w:bCs/>
          <w:sz w:val="22"/>
          <w:lang w:val="es-ES_tradnl"/>
        </w:rPr>
      </w:pPr>
      <w:r w:rsidRPr="0085790B">
        <w:rPr>
          <w:rFonts w:ascii="Arial" w:eastAsia="Arial" w:hAnsi="Arial" w:cs="Arial"/>
          <w:b/>
          <w:bCs/>
          <w:sz w:val="22"/>
          <w:lang w:val="es-ES_tradnl"/>
        </w:rPr>
        <w:t>FACTOR DE CALIDAD – Cuadrillas de trabajo adicional – Conformación</w:t>
      </w:r>
    </w:p>
    <w:p w14:paraId="3849EE8E" w14:textId="77777777" w:rsidR="009F1EAE" w:rsidRPr="0085790B" w:rsidRDefault="009F1EAE" w:rsidP="00CD050A">
      <w:pPr>
        <w:jc w:val="both"/>
        <w:rPr>
          <w:rFonts w:ascii="Arial" w:eastAsia="Arial" w:hAnsi="Arial" w:cs="Arial"/>
          <w:sz w:val="20"/>
          <w:szCs w:val="20"/>
          <w:lang w:val="es-ES_tradnl"/>
        </w:rPr>
      </w:pPr>
    </w:p>
    <w:p w14:paraId="1B7433BE" w14:textId="47CF166C" w:rsidR="00CD050A" w:rsidRDefault="009F1EAE" w:rsidP="00C51C9A">
      <w:pPr>
        <w:spacing w:after="120"/>
        <w:jc w:val="both"/>
        <w:rPr>
          <w:rFonts w:ascii="Arial" w:eastAsia="Arial" w:hAnsi="Arial" w:cs="Arial"/>
          <w:sz w:val="20"/>
          <w:szCs w:val="20"/>
          <w:lang w:val="es-ES_tradnl"/>
        </w:rPr>
      </w:pPr>
      <w:r w:rsidRPr="0085790B">
        <w:rPr>
          <w:rFonts w:ascii="Arial" w:eastAsia="Arial" w:hAnsi="Arial" w:cs="Arial"/>
          <w:sz w:val="20"/>
          <w:szCs w:val="20"/>
          <w:lang w:val="es-ES_tradnl"/>
        </w:rPr>
        <w:t xml:space="preserve">El «Factor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5E8FF4C3" w14:textId="579F75BA"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En lo relativo a las cuadrillas de trabajo adicionales, a partir de la modificación introducida por la Resolución No. 116 de 2020, las entidades deben elegir si establecen un estimado de frentes de trabajo o si no lo establecen, pues, en el primer evento, «[e]l proponente podrá́ ofrecer hasta máximo 2 cuadrillas por cada frente de trabajo» , mientras que en el segundo, «[…] ofrecerá 1 cuadrilla adicional por cada 50 obreros que sean requeridos para el proyecto de infraestructura de transporte».</w:t>
      </w:r>
    </w:p>
    <w:p w14:paraId="13781770" w14:textId="77777777" w:rsidR="001805C1" w:rsidRPr="0085790B" w:rsidRDefault="001805C1" w:rsidP="00CD050A">
      <w:pPr>
        <w:jc w:val="both"/>
        <w:rPr>
          <w:rFonts w:ascii="Arial" w:eastAsia="Arial" w:hAnsi="Arial" w:cs="Arial"/>
          <w:b/>
          <w:bCs/>
          <w:sz w:val="22"/>
          <w:lang w:val="es-ES_tradnl"/>
        </w:rPr>
      </w:pPr>
    </w:p>
    <w:p w14:paraId="53ADC417" w14:textId="5D4DF9E1" w:rsidR="009F1EAE" w:rsidRPr="0085790B" w:rsidRDefault="009F1EAE" w:rsidP="00CD050A">
      <w:pPr>
        <w:jc w:val="both"/>
        <w:rPr>
          <w:rFonts w:ascii="Arial" w:eastAsia="Arial" w:hAnsi="Arial" w:cs="Arial"/>
          <w:b/>
          <w:bCs/>
          <w:sz w:val="22"/>
          <w:lang w:val="es-ES_tradnl"/>
        </w:rPr>
      </w:pPr>
      <w:r w:rsidRPr="0085790B">
        <w:rPr>
          <w:rFonts w:ascii="Arial" w:eastAsia="Arial" w:hAnsi="Arial" w:cs="Arial"/>
          <w:b/>
          <w:bCs/>
          <w:sz w:val="22"/>
          <w:lang w:val="es-ES_tradnl"/>
        </w:rPr>
        <w:t>FACTOR DE CALIDAD – Cuadrillas de trabajo adicional – Opciones – Límites – Ofertas</w:t>
      </w:r>
    </w:p>
    <w:p w14:paraId="4C488BBC" w14:textId="77777777" w:rsidR="009F1EAE" w:rsidRPr="0085790B" w:rsidRDefault="009F1EAE" w:rsidP="00CD050A">
      <w:pPr>
        <w:jc w:val="both"/>
        <w:rPr>
          <w:rFonts w:ascii="Arial" w:eastAsia="Arial" w:hAnsi="Arial" w:cs="Arial"/>
          <w:sz w:val="20"/>
          <w:szCs w:val="20"/>
          <w:lang w:val="es-ES_tradnl"/>
        </w:rPr>
      </w:pPr>
    </w:p>
    <w:p w14:paraId="16257BEC"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[L]as entidades que implementen el factor de calidad de cuadrillas de trabajo adicional escogerán entre la opción I y II. Al escogerse la opción I, conforme a lo determinado en la etapa de planeación del correspondiente contrato, las entidades deberán indicar en el pliego de condiciones los frentes de trabajo que fueron estimados. Tal indicación permitirá limitar los ofrecimientos de cuadrillas adicionales, en la medida que solo estará permitido ofrecer dos de estas por cada frente de trabajo.</w:t>
      </w:r>
    </w:p>
    <w:p w14:paraId="370FD14B"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Por otro lado, en el caso de que de la planeación del contrato no surja una estimación de los frentes de obra que deberán implementarse en el desarrollo del contrato, las entidades estatales podrán decantarse por la opción II, en la que la limitación a los ofrecimientos se configura a partir de un estimado de los obreros en total requeridos para el desarrollo de la obra, de tal manera que los proponentes podrán ofertar una cuadrilla de trabajo adicional por cada 50 obreros que sean requeridos..</w:t>
      </w:r>
    </w:p>
    <w:p w14:paraId="74DD0BCD" w14:textId="77777777" w:rsidR="009F1EAE" w:rsidRPr="0085790B" w:rsidRDefault="009F1EAE" w:rsidP="00CD050A">
      <w:pPr>
        <w:jc w:val="both"/>
        <w:rPr>
          <w:rFonts w:ascii="Arial" w:eastAsia="Arial" w:hAnsi="Arial" w:cs="Arial"/>
          <w:sz w:val="20"/>
          <w:szCs w:val="20"/>
          <w:lang w:val="es-ES_tradnl"/>
        </w:rPr>
      </w:pPr>
    </w:p>
    <w:p w14:paraId="5F1AA458"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b/>
          <w:bCs/>
          <w:sz w:val="22"/>
          <w:lang w:val="es-ES_tradnl"/>
        </w:rPr>
        <w:t>FACTOR DE CALIDAD – Cuadrillas de trabajo adicional – Destinación – Alternativas</w:t>
      </w:r>
    </w:p>
    <w:p w14:paraId="1C1F9AF7" w14:textId="77777777" w:rsidR="009F1EAE" w:rsidRPr="0085790B" w:rsidRDefault="009F1EAE" w:rsidP="00CD050A">
      <w:pPr>
        <w:jc w:val="both"/>
        <w:rPr>
          <w:rFonts w:ascii="Arial" w:eastAsia="Arial" w:hAnsi="Arial" w:cs="Arial"/>
          <w:sz w:val="20"/>
          <w:szCs w:val="20"/>
          <w:lang w:val="es-ES_tradnl"/>
        </w:rPr>
      </w:pPr>
    </w:p>
    <w:p w14:paraId="7E121E0B" w14:textId="78A10C42" w:rsidR="00CD050A" w:rsidRDefault="009F1EAE" w:rsidP="001462F7">
      <w:pPr>
        <w:spacing w:after="120"/>
        <w:jc w:val="both"/>
        <w:rPr>
          <w:rFonts w:ascii="Arial" w:eastAsia="Arial" w:hAnsi="Arial" w:cs="Arial"/>
          <w:sz w:val="20"/>
          <w:szCs w:val="20"/>
          <w:lang w:val="es-ES_tradnl"/>
        </w:rPr>
      </w:pPr>
      <w:r w:rsidRPr="0085790B">
        <w:rPr>
          <w:rFonts w:ascii="Arial" w:eastAsia="Arial" w:hAnsi="Arial" w:cs="Arial"/>
          <w:sz w:val="20"/>
          <w:szCs w:val="20"/>
          <w:lang w:val="es-ES_tradnl"/>
        </w:rPr>
        <w:t>Ahora bien, independientemente de la opción que se escoja, conforme indica el literal d) del punto II del numeral 4.2.5 del documento base, las entidades pueden definir en el pliego de condiciones las actividades de mayor relevancia que serán objeto de la intervención de las cuadrillas ofertadas. Como dispone el literal citado, si lo consideran pertinente, las entidades están facultadas para usar esta posibilidad, pudiendo optar por no hacerlo.</w:t>
      </w:r>
    </w:p>
    <w:p w14:paraId="2C268F8F" w14:textId="53F1CB53"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En caso de que la respectiva entidad no haga uso de la posibilidad de señalar las actividades que serán objeto de intervención de las cuadrillas adicionales, el contratista tendrá cierta libertad en cuanto a la distribución de la labor de estas entre las diferentes actividades contempladas en la ejecución de la obra. Por el contrario, si dentro literal d) del punto II del numeral 4.2.5 del documento base, la entidad considera pertinente incluir un listado de actividades que serán objeto de intervención, esta decisión condicionará las labores realizadas por las cuadrillas al punto que estas, durante la ejecución de la obra, deberán efectivamente destinar sus labores a la realización de estas actividades.</w:t>
      </w:r>
    </w:p>
    <w:p w14:paraId="5E5E20F0" w14:textId="77777777" w:rsidR="009F1EAE" w:rsidRPr="0085790B" w:rsidRDefault="009F1EAE" w:rsidP="00CD050A">
      <w:pPr>
        <w:jc w:val="both"/>
        <w:rPr>
          <w:rFonts w:ascii="Arial" w:eastAsia="Arial" w:hAnsi="Arial" w:cs="Arial"/>
          <w:sz w:val="20"/>
          <w:szCs w:val="20"/>
          <w:lang w:val="es-ES_tradnl"/>
        </w:rPr>
      </w:pPr>
    </w:p>
    <w:p w14:paraId="5C2275AC" w14:textId="77777777" w:rsidR="009F1EAE" w:rsidRPr="0085790B" w:rsidRDefault="009F1EAE" w:rsidP="00CD050A">
      <w:pPr>
        <w:jc w:val="both"/>
        <w:rPr>
          <w:rFonts w:ascii="Arial" w:eastAsia="Arial" w:hAnsi="Arial" w:cs="Arial"/>
          <w:sz w:val="20"/>
          <w:szCs w:val="20"/>
          <w:lang w:val="es-ES_tradnl"/>
        </w:rPr>
      </w:pPr>
    </w:p>
    <w:p w14:paraId="31092333" w14:textId="77777777" w:rsidR="009F1EAE" w:rsidRPr="0085790B" w:rsidRDefault="009F1EAE" w:rsidP="00CD050A">
      <w:pPr>
        <w:jc w:val="both"/>
        <w:rPr>
          <w:rFonts w:ascii="Arial" w:eastAsia="Arial" w:hAnsi="Arial" w:cs="Arial"/>
          <w:sz w:val="20"/>
          <w:szCs w:val="20"/>
          <w:lang w:val="es-ES_tradnl"/>
        </w:rPr>
      </w:pPr>
    </w:p>
    <w:p w14:paraId="46981B97" w14:textId="77777777" w:rsidR="009F1EAE" w:rsidRPr="0085790B" w:rsidRDefault="009F1EAE" w:rsidP="00CD050A">
      <w:pPr>
        <w:jc w:val="both"/>
        <w:rPr>
          <w:rFonts w:ascii="Arial" w:eastAsia="Arial" w:hAnsi="Arial" w:cs="Arial"/>
          <w:sz w:val="20"/>
          <w:szCs w:val="20"/>
          <w:lang w:val="es-ES_tradnl"/>
        </w:rPr>
      </w:pPr>
    </w:p>
    <w:p w14:paraId="5467554F"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b/>
          <w:bCs/>
          <w:sz w:val="22"/>
          <w:lang w:val="es-ES_tradnl"/>
        </w:rPr>
        <w:t>FACTOR DE CALIDAD – Cuadrillas de trabajo adicional – Destinación – Regulación –Actividades – Prestablecidas</w:t>
      </w:r>
    </w:p>
    <w:p w14:paraId="1B408F4B" w14:textId="77777777" w:rsidR="009F1EAE" w:rsidRPr="0085790B" w:rsidRDefault="009F1EAE" w:rsidP="00CD050A">
      <w:pPr>
        <w:jc w:val="both"/>
        <w:rPr>
          <w:rFonts w:ascii="Arial" w:eastAsia="Arial" w:hAnsi="Arial" w:cs="Arial"/>
          <w:sz w:val="20"/>
          <w:szCs w:val="20"/>
          <w:lang w:val="es-ES_tradnl"/>
        </w:rPr>
      </w:pPr>
    </w:p>
    <w:p w14:paraId="16C5F0B0"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 xml:space="preserve">En ese sentido, el literal en comento brinda a las entidades la posibilidad de regular en cierta manera el trabajo de las cuadrillas adicionales contempladas como factor de calidad en el numeral 4.2.5 del Documento Base, cuando se estime que el desarrollo del proceso de selección o el objeto contractual así lo exigen. Conforme a esto, estima esta Agencia que en ejercicio de esta facultad las entidades no solo podrán incluir un listado de las actividades que principalmente deberán ser objeto de intervención por parte de las cuadrillas de trabajo adicionales que sean o hayan sido ofertadas, sino que podrán definir reglas respecto de la destinación de sus labores antes de iniciar o una vez concluidas las actividades principales a las cuales están asociadas dentro del programa de obra. </w:t>
      </w:r>
    </w:p>
    <w:p w14:paraId="42AF4B81"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A modo de ejemplo, una entidad podrá establecer que las cuadrillas adicionales que sean ofertadas estarán destinadas a la actividad A, y que una vez concluida esta deberán dedicarse a la actividad B, o que las cuadrillas se destinarán principalmente a la actividad B, pero que hasta tanto no inicie la ejecución de esta deberán participar de la realización de las actividades C y D. Así también las entidades podrán dejar en libertad al contratista para que destine el trabajo de las cuadrillas a las actividades que considere pertinentes, ya sea antes de iniciarse la ejecución de las actividades a las cuales deberán dedicarse o una vez concluidas estas.</w:t>
      </w:r>
    </w:p>
    <w:p w14:paraId="59F07D36" w14:textId="77777777" w:rsidR="009F1EAE" w:rsidRPr="0085790B" w:rsidRDefault="009F1EAE" w:rsidP="00CD050A">
      <w:pPr>
        <w:jc w:val="both"/>
        <w:rPr>
          <w:rFonts w:ascii="Arial" w:eastAsia="Arial" w:hAnsi="Arial" w:cs="Arial"/>
          <w:b/>
          <w:bCs/>
          <w:sz w:val="22"/>
          <w:lang w:val="es-ES_tradnl"/>
        </w:rPr>
      </w:pPr>
    </w:p>
    <w:p w14:paraId="7A00694A"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b/>
          <w:bCs/>
          <w:sz w:val="22"/>
          <w:lang w:val="es-ES_tradnl"/>
        </w:rPr>
        <w:t>FACTOR DE CALIDAD – Mantenimiento adicional – Finalidad</w:t>
      </w:r>
    </w:p>
    <w:p w14:paraId="7CD43291" w14:textId="77777777" w:rsidR="009F1EAE" w:rsidRPr="0085790B" w:rsidRDefault="009F1EAE" w:rsidP="00CD050A">
      <w:pPr>
        <w:jc w:val="both"/>
        <w:rPr>
          <w:rFonts w:ascii="Arial" w:eastAsia="Arial" w:hAnsi="Arial" w:cs="Arial"/>
          <w:sz w:val="20"/>
          <w:szCs w:val="20"/>
          <w:lang w:val="es-ES_tradnl"/>
        </w:rPr>
      </w:pPr>
    </w:p>
    <w:p w14:paraId="73A4DA16"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 xml:space="preserve">[E]l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164F701C" w14:textId="77777777" w:rsidR="009F1EAE" w:rsidRPr="0085790B" w:rsidRDefault="009F1EAE" w:rsidP="00CD050A">
      <w:pPr>
        <w:jc w:val="both"/>
        <w:rPr>
          <w:rFonts w:ascii="Arial" w:eastAsia="Arial" w:hAnsi="Arial" w:cs="Arial"/>
          <w:sz w:val="20"/>
          <w:szCs w:val="20"/>
          <w:lang w:val="es-ES_tradnl"/>
        </w:rPr>
      </w:pPr>
    </w:p>
    <w:p w14:paraId="008CAE3A"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b/>
          <w:bCs/>
          <w:sz w:val="22"/>
          <w:lang w:val="es-ES_tradnl"/>
        </w:rPr>
        <w:t>FACTOR DE CALIDAD – Mantenimiento adicional – Resolución No. 116 de 2020 – Límites – Ofertas</w:t>
      </w:r>
    </w:p>
    <w:p w14:paraId="3004A88F" w14:textId="77777777" w:rsidR="009F1EAE" w:rsidRPr="0085790B" w:rsidRDefault="009F1EAE" w:rsidP="00CD050A">
      <w:pPr>
        <w:jc w:val="both"/>
        <w:rPr>
          <w:rFonts w:ascii="Arial" w:eastAsia="Arial" w:hAnsi="Arial" w:cs="Arial"/>
          <w:sz w:val="20"/>
          <w:szCs w:val="20"/>
          <w:lang w:val="es-ES_tradnl"/>
        </w:rPr>
      </w:pPr>
    </w:p>
    <w:p w14:paraId="3DC34659" w14:textId="77777777"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[L]as entidades estatales al aplicar la versión 2 del Documento Tipo para licitación pública, con la modificación introducida por la Resolución No. 116 de 2020, deberán determinar un número máximo de meses de mantenimiento adicional que no podrán superar los oferentes en sus ofrecimientos.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tal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p>
    <w:p w14:paraId="076EA5DB" w14:textId="77777777" w:rsidR="009F1EAE" w:rsidRPr="0085790B" w:rsidRDefault="009F1EAE" w:rsidP="00CD050A">
      <w:pPr>
        <w:jc w:val="both"/>
        <w:rPr>
          <w:rFonts w:ascii="Arial" w:eastAsia="Arial" w:hAnsi="Arial" w:cs="Arial"/>
          <w:sz w:val="20"/>
          <w:szCs w:val="20"/>
          <w:lang w:val="es-ES_tradnl"/>
        </w:rPr>
      </w:pPr>
    </w:p>
    <w:p w14:paraId="3ADD725D" w14:textId="696511C9" w:rsidR="009F1EAE" w:rsidRDefault="009F1EAE" w:rsidP="00CD050A">
      <w:pPr>
        <w:jc w:val="both"/>
        <w:rPr>
          <w:rFonts w:ascii="Arial" w:eastAsia="Arial" w:hAnsi="Arial" w:cs="Arial"/>
          <w:b/>
          <w:bCs/>
          <w:sz w:val="22"/>
          <w:lang w:val="es-ES_tradnl"/>
        </w:rPr>
      </w:pPr>
      <w:r w:rsidRPr="0085790B">
        <w:rPr>
          <w:rFonts w:ascii="Arial" w:eastAsia="Arial" w:hAnsi="Arial" w:cs="Arial"/>
          <w:b/>
          <w:bCs/>
          <w:sz w:val="22"/>
          <w:lang w:val="es-ES_tradnl"/>
        </w:rPr>
        <w:t xml:space="preserve">FACTOR DE CALIDAD – Mantenimiento adicional – Término – Computo – Ejecución </w:t>
      </w:r>
    </w:p>
    <w:p w14:paraId="65683F2F" w14:textId="77777777" w:rsidR="00B55C69" w:rsidRPr="0085790B" w:rsidRDefault="00B55C69" w:rsidP="00CD050A">
      <w:pPr>
        <w:jc w:val="both"/>
        <w:rPr>
          <w:rFonts w:ascii="Arial" w:eastAsia="Arial" w:hAnsi="Arial" w:cs="Arial"/>
          <w:sz w:val="20"/>
          <w:szCs w:val="20"/>
          <w:lang w:val="es-ES_tradnl"/>
        </w:rPr>
      </w:pPr>
    </w:p>
    <w:p w14:paraId="596D5DA7" w14:textId="2CB1BA57" w:rsidR="00CD050A" w:rsidRDefault="009F1EAE" w:rsidP="001462F7">
      <w:pPr>
        <w:spacing w:after="120"/>
        <w:jc w:val="both"/>
        <w:rPr>
          <w:rFonts w:ascii="Arial" w:eastAsia="Arial" w:hAnsi="Arial" w:cs="Arial"/>
          <w:sz w:val="20"/>
          <w:szCs w:val="20"/>
          <w:lang w:val="es-ES_tradnl"/>
        </w:rPr>
      </w:pPr>
      <w:r w:rsidRPr="0085790B">
        <w:rPr>
          <w:rFonts w:ascii="Arial" w:eastAsia="Arial" w:hAnsi="Arial" w:cs="Arial"/>
          <w:sz w:val="20"/>
          <w:szCs w:val="20"/>
          <w:lang w:val="es-ES_tradnl"/>
        </w:rPr>
        <w:t xml:space="preserve">[E]l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w:t>
      </w:r>
      <w:r w:rsidRPr="0085790B">
        <w:rPr>
          <w:rFonts w:ascii="Arial" w:eastAsia="Arial" w:hAnsi="Arial" w:cs="Arial"/>
          <w:sz w:val="20"/>
          <w:szCs w:val="20"/>
          <w:lang w:val="es-ES_tradnl"/>
        </w:rPr>
        <w:lastRenderedPageBreak/>
        <w:t>del Documento Base, será computado a partir de la terminación de las obras objeto del procedimiento de contratación y hará parte del periodo de ejecución del contrato.</w:t>
      </w:r>
    </w:p>
    <w:p w14:paraId="30179A4D" w14:textId="1817859C" w:rsidR="009F1EAE" w:rsidRPr="0085790B" w:rsidRDefault="009F1EAE" w:rsidP="00CD050A">
      <w:pPr>
        <w:jc w:val="both"/>
        <w:rPr>
          <w:rFonts w:ascii="Arial" w:eastAsia="Arial" w:hAnsi="Arial" w:cs="Arial"/>
          <w:sz w:val="20"/>
          <w:szCs w:val="20"/>
          <w:lang w:val="es-ES_tradnl"/>
        </w:rPr>
      </w:pPr>
      <w:r w:rsidRPr="0085790B">
        <w:rPr>
          <w:rFonts w:ascii="Arial" w:eastAsia="Arial" w:hAnsi="Arial" w:cs="Arial"/>
          <w:sz w:val="20"/>
          <w:szCs w:val="20"/>
          <w:lang w:val="es-ES_tradnl"/>
        </w:rPr>
        <w:t>Esto último quiere decir que el término de meses durante el cual el adjudicatario se haya comprometido a realizar labores de mantenimiento rutinario, deberá ser contado a partir de la terminación de la obra contratada, esto es, una vez cumplido a cabalidad el objeto del respectivo contrato de obra, lo que descarta de antemano la posibilidad de realizar dicho computo a partir de entregas parciales de obra, a la que se alude en la petición. Este término, además, conforme al punto I del numeral 4.2.6 del Documento Base, estará comprendido dentro del periodo de ejecución del contrato, lo que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haya adjudicado un contrato de obra un proponente que se comprometió a realizar labores de mantenimiento rutinario, el periodo de ejecución del contrato estará comprendido por el lapso durante el que se lleven a cabo las obras, más los meses de mantenimiento rutinario ofertados.</w:t>
      </w:r>
    </w:p>
    <w:p w14:paraId="11D42DD3" w14:textId="77777777" w:rsidR="00AB726C" w:rsidRPr="0085790B" w:rsidRDefault="00AB726C" w:rsidP="00AB726C">
      <w:pPr>
        <w:tabs>
          <w:tab w:val="left" w:pos="709"/>
        </w:tabs>
        <w:jc w:val="both"/>
        <w:rPr>
          <w:rFonts w:ascii="Arial" w:eastAsia="Arial" w:hAnsi="Arial" w:cs="Arial"/>
          <w:sz w:val="20"/>
          <w:szCs w:val="20"/>
          <w:lang w:val="es-ES_tradnl"/>
        </w:rPr>
      </w:pPr>
    </w:p>
    <w:p w14:paraId="4E5C1D62" w14:textId="6C916B83" w:rsidR="00DD5B04" w:rsidRPr="0085790B" w:rsidRDefault="00DD5B04" w:rsidP="4FF674C6">
      <w:pPr>
        <w:spacing w:line="276" w:lineRule="auto"/>
        <w:jc w:val="both"/>
        <w:rPr>
          <w:rFonts w:ascii="Arial" w:hAnsi="Arial" w:cs="Arial"/>
          <w:b/>
          <w:bCs/>
          <w:noProof/>
          <w:color w:val="000000" w:themeColor="text1"/>
          <w:sz w:val="22"/>
          <w:lang w:val="es-ES"/>
        </w:rPr>
      </w:pPr>
      <w:r w:rsidRPr="4FF674C6">
        <w:rPr>
          <w:rFonts w:ascii="Arial" w:hAnsi="Arial" w:cs="Arial"/>
          <w:noProof/>
          <w:color w:val="000000" w:themeColor="text1"/>
          <w:sz w:val="22"/>
          <w:lang w:val="es-ES"/>
        </w:rPr>
        <w:t xml:space="preserve">Bogotá D.C., </w:t>
      </w:r>
      <w:r w:rsidR="12E3D72F" w:rsidRPr="4FF674C6">
        <w:rPr>
          <w:rFonts w:ascii="Arial" w:hAnsi="Arial" w:cs="Arial"/>
          <w:b/>
          <w:bCs/>
          <w:noProof/>
          <w:color w:val="000000" w:themeColor="text1"/>
          <w:sz w:val="22"/>
          <w:lang w:val="es-ES"/>
        </w:rPr>
        <w:t>25/09/2020</w:t>
      </w:r>
    </w:p>
    <w:p w14:paraId="3EE008C6" w14:textId="2601B8B3" w:rsidR="00DD5B04" w:rsidRPr="0085790B" w:rsidRDefault="00DD5B04" w:rsidP="4FF674C6">
      <w:pPr>
        <w:spacing w:line="276" w:lineRule="auto"/>
        <w:jc w:val="right"/>
        <w:rPr>
          <w:rFonts w:ascii="Arial" w:hAnsi="Arial" w:cs="Arial"/>
          <w:b/>
          <w:bCs/>
          <w:noProof/>
          <w:color w:val="000000" w:themeColor="text1"/>
          <w:sz w:val="22"/>
          <w:lang w:val="es-ES"/>
        </w:rPr>
      </w:pPr>
      <w:r w:rsidRPr="4FF674C6">
        <w:rPr>
          <w:rFonts w:ascii="Arial" w:hAnsi="Arial" w:cs="Arial"/>
          <w:b/>
          <w:bCs/>
          <w:noProof/>
          <w:color w:val="000000" w:themeColor="text1"/>
          <w:sz w:val="22"/>
          <w:lang w:val="es-ES"/>
        </w:rPr>
        <w:t xml:space="preserve">N° Radicado: </w:t>
      </w:r>
      <w:r w:rsidR="5B5295DE" w:rsidRPr="4FF674C6">
        <w:rPr>
          <w:rFonts w:ascii="Arial" w:hAnsi="Arial" w:cs="Arial"/>
          <w:b/>
          <w:bCs/>
          <w:noProof/>
          <w:color w:val="000000" w:themeColor="text1"/>
          <w:sz w:val="22"/>
          <w:lang w:val="es-ES"/>
        </w:rPr>
        <w:t>2202013000009200</w:t>
      </w:r>
    </w:p>
    <w:p w14:paraId="33BD7B68" w14:textId="77777777" w:rsidR="00DD5B04" w:rsidRPr="0085790B" w:rsidRDefault="00DD5B04" w:rsidP="00DF76A2">
      <w:pPr>
        <w:jc w:val="both"/>
        <w:rPr>
          <w:rFonts w:ascii="Arial" w:hAnsi="Arial" w:cs="Arial"/>
          <w:b/>
          <w:color w:val="000000" w:themeColor="text1"/>
          <w:sz w:val="22"/>
          <w:lang w:val="es-ES_tradnl"/>
        </w:rPr>
      </w:pPr>
    </w:p>
    <w:p w14:paraId="74A475A6" w14:textId="6586A3A9"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Señor</w:t>
      </w:r>
      <w:r w:rsidR="00FA5043" w:rsidRPr="0085790B">
        <w:rPr>
          <w:rFonts w:ascii="Arial" w:eastAsia="Calibri" w:hAnsi="Arial" w:cs="Arial"/>
          <w:color w:val="000000" w:themeColor="text1"/>
          <w:sz w:val="22"/>
          <w:lang w:val="es-ES_tradnl"/>
        </w:rPr>
        <w:t>a</w:t>
      </w:r>
    </w:p>
    <w:p w14:paraId="6011130B" w14:textId="28F50658" w:rsidR="00AE1990" w:rsidRPr="0085790B" w:rsidRDefault="00E445E4" w:rsidP="00DF76A2">
      <w:pPr>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Martha Lucía Pineda</w:t>
      </w:r>
    </w:p>
    <w:p w14:paraId="5E9E4CD6" w14:textId="4F1126FA"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Ciudad</w:t>
      </w:r>
    </w:p>
    <w:p w14:paraId="79F69118" w14:textId="77777777" w:rsidR="00DD5B04" w:rsidRPr="0085790B" w:rsidRDefault="00DD5B04" w:rsidP="00DF76A2">
      <w:pPr>
        <w:jc w:val="both"/>
        <w:rPr>
          <w:rFonts w:ascii="Arial" w:eastAsia="Calibri" w:hAnsi="Arial" w:cs="Arial"/>
          <w:color w:val="000000" w:themeColor="text1"/>
          <w:sz w:val="22"/>
          <w:lang w:val="es-ES_tradnl"/>
        </w:rPr>
      </w:pPr>
    </w:p>
    <w:p w14:paraId="03294061" w14:textId="77777777" w:rsidR="00DD5B04" w:rsidRPr="0085790B" w:rsidRDefault="00DD5B04" w:rsidP="00DF76A2">
      <w:pPr>
        <w:jc w:val="both"/>
        <w:rPr>
          <w:rFonts w:ascii="Arial" w:eastAsia="Calibri" w:hAnsi="Arial" w:cs="Arial"/>
          <w:color w:val="000000" w:themeColor="text1"/>
          <w:sz w:val="22"/>
          <w:lang w:val="es-ES_tradnl"/>
        </w:rPr>
      </w:pPr>
    </w:p>
    <w:p w14:paraId="60978A0D" w14:textId="62566822" w:rsidR="00DD5B04" w:rsidRPr="0085790B" w:rsidRDefault="00DD5B04" w:rsidP="002A1A58">
      <w:pPr>
        <w:jc w:val="center"/>
        <w:rPr>
          <w:rFonts w:ascii="Arial" w:eastAsia="Calibri" w:hAnsi="Arial" w:cs="Arial"/>
          <w:b/>
          <w:bCs/>
          <w:color w:val="000000" w:themeColor="text1"/>
          <w:sz w:val="22"/>
          <w:lang w:val="es-ES_tradnl"/>
        </w:rPr>
      </w:pPr>
      <w:r w:rsidRPr="0085790B">
        <w:rPr>
          <w:rFonts w:ascii="Arial" w:eastAsia="Calibri" w:hAnsi="Arial" w:cs="Arial"/>
          <w:b/>
          <w:bCs/>
          <w:color w:val="000000" w:themeColor="text1"/>
          <w:sz w:val="22"/>
          <w:lang w:val="es-ES_tradnl"/>
        </w:rPr>
        <w:t>Concepto C</w:t>
      </w:r>
      <w:r w:rsidR="00FE144E" w:rsidRPr="0085790B">
        <w:rPr>
          <w:rFonts w:ascii="Arial" w:eastAsia="Calibri" w:hAnsi="Arial" w:cs="Arial"/>
          <w:b/>
          <w:bCs/>
          <w:color w:val="000000" w:themeColor="text1"/>
          <w:sz w:val="22"/>
          <w:lang w:val="es-ES_tradnl"/>
        </w:rPr>
        <w:t xml:space="preserve"> </w:t>
      </w:r>
      <w:r w:rsidRPr="0085790B">
        <w:rPr>
          <w:rFonts w:ascii="Arial" w:eastAsia="Calibri" w:hAnsi="Arial" w:cs="Arial"/>
          <w:b/>
          <w:bCs/>
          <w:color w:val="000000" w:themeColor="text1"/>
          <w:sz w:val="22"/>
          <w:lang w:val="es-ES_tradnl"/>
        </w:rPr>
        <w:t xml:space="preserve">‒ </w:t>
      </w:r>
      <w:r w:rsidR="00AE1990" w:rsidRPr="0085790B">
        <w:rPr>
          <w:rFonts w:ascii="Arial" w:eastAsia="Calibri" w:hAnsi="Arial" w:cs="Arial"/>
          <w:b/>
          <w:bCs/>
          <w:color w:val="000000" w:themeColor="text1"/>
          <w:sz w:val="22"/>
          <w:lang w:val="es-ES_tradnl"/>
        </w:rPr>
        <w:t>5</w:t>
      </w:r>
      <w:r w:rsidR="00AC4B20" w:rsidRPr="0085790B">
        <w:rPr>
          <w:rFonts w:ascii="Arial" w:eastAsia="Calibri" w:hAnsi="Arial" w:cs="Arial"/>
          <w:b/>
          <w:bCs/>
          <w:color w:val="000000" w:themeColor="text1"/>
          <w:sz w:val="22"/>
          <w:lang w:val="es-ES_tradnl"/>
        </w:rPr>
        <w:t>98</w:t>
      </w:r>
      <w:r w:rsidR="00B52697" w:rsidRPr="0085790B">
        <w:rPr>
          <w:rFonts w:ascii="Arial" w:eastAsia="Calibri" w:hAnsi="Arial" w:cs="Arial"/>
          <w:b/>
          <w:bCs/>
          <w:color w:val="000000" w:themeColor="text1"/>
          <w:sz w:val="22"/>
          <w:lang w:val="es-ES_tradnl"/>
        </w:rPr>
        <w:t xml:space="preserve"> </w:t>
      </w:r>
      <w:r w:rsidRPr="0085790B">
        <w:rPr>
          <w:rFonts w:ascii="Arial" w:eastAsia="Calibri" w:hAnsi="Arial" w:cs="Arial"/>
          <w:b/>
          <w:bCs/>
          <w:color w:val="000000" w:themeColor="text1"/>
          <w:sz w:val="22"/>
          <w:lang w:val="es-ES_tradnl"/>
        </w:rPr>
        <w:t>de 2020</w:t>
      </w:r>
    </w:p>
    <w:p w14:paraId="3097F323" w14:textId="3A1E6C73" w:rsidR="00DD5B04" w:rsidRPr="0085790B" w:rsidRDefault="00DD5B04" w:rsidP="00DF76A2">
      <w:pPr>
        <w:jc w:val="both"/>
        <w:rPr>
          <w:rFonts w:ascii="Arial" w:eastAsia="Calibri" w:hAnsi="Arial" w:cs="Arial"/>
          <w:color w:val="000000" w:themeColor="text1"/>
          <w:sz w:val="22"/>
          <w:lang w:val="es-ES_tradnl"/>
        </w:rPr>
      </w:pPr>
    </w:p>
    <w:p w14:paraId="3C334747" w14:textId="77777777" w:rsidR="00F02D25" w:rsidRPr="0085790B" w:rsidRDefault="00F02D25" w:rsidP="00DF76A2">
      <w:pPr>
        <w:jc w:val="both"/>
        <w:rPr>
          <w:rFonts w:ascii="Arial" w:eastAsia="Calibri" w:hAnsi="Arial" w:cs="Arial"/>
          <w:color w:val="000000" w:themeColor="text1"/>
          <w:sz w:val="22"/>
          <w:lang w:val="es-ES_tradnl"/>
        </w:rPr>
      </w:pPr>
    </w:p>
    <w:p w14:paraId="50574B19" w14:textId="77777777" w:rsidR="00DD5B04" w:rsidRPr="0085790B"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85790B" w14:paraId="10318206" w14:textId="77777777" w:rsidTr="00083F1B">
        <w:tc>
          <w:tcPr>
            <w:tcW w:w="2689" w:type="dxa"/>
          </w:tcPr>
          <w:p w14:paraId="3FE8DF90" w14:textId="77777777"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b/>
                <w:color w:val="000000" w:themeColor="text1"/>
                <w:sz w:val="22"/>
                <w:lang w:val="es-ES_tradnl"/>
              </w:rPr>
              <w:t>Temas:</w:t>
            </w:r>
            <w:r w:rsidRPr="0085790B">
              <w:rPr>
                <w:rFonts w:ascii="Arial" w:eastAsia="Calibri" w:hAnsi="Arial" w:cs="Arial"/>
                <w:color w:val="000000" w:themeColor="text1"/>
                <w:sz w:val="22"/>
                <w:lang w:val="es-ES_tradnl"/>
              </w:rPr>
              <w:t xml:space="preserve">                                      </w:t>
            </w:r>
          </w:p>
        </w:tc>
        <w:tc>
          <w:tcPr>
            <w:tcW w:w="6237" w:type="dxa"/>
          </w:tcPr>
          <w:p w14:paraId="63D57D37" w14:textId="1FF4ADD5" w:rsidR="00DD5B04" w:rsidRPr="0085790B" w:rsidRDefault="0057696F" w:rsidP="00DF76A2">
            <w:pPr>
              <w:jc w:val="both"/>
              <w:rPr>
                <w:rFonts w:ascii="Arial" w:eastAsia="Calibri" w:hAnsi="Arial" w:cs="Arial"/>
                <w:color w:val="000000" w:themeColor="text1"/>
                <w:sz w:val="22"/>
                <w:lang w:val="es-ES_tradnl"/>
              </w:rPr>
            </w:pPr>
            <w:r w:rsidRPr="0085790B">
              <w:rPr>
                <w:rFonts w:ascii="Arial" w:eastAsia="Arial" w:hAnsi="Arial" w:cs="Arial"/>
                <w:sz w:val="22"/>
                <w:lang w:val="es-ES_tradnl"/>
              </w:rPr>
              <w:t>DOCUMENTOS TIPO – Factor de Calidad – Resolución No. 116 de 2020 / FACTOR DE CALIDAD – Cuadrillas de trabajo adicional – Conformación / FACTOR DE CALIDAD – Cuadrillas de trabajo adicional – Opciones – Límites – Ofertas / FACTOR DE CALIDAD – Cuadrillas de trabajo adicional –Destinación / FACTOR DE CALIDAD – Mantenimiento adicional – Finalidad / FACTOR DE CALIDAD – Mantenimiento adicional – Resolución No. 116 de 2020 – Límites – Ofertas / FACTOR DE CALIDAD – Mantenimiento adicional – Término – Computo – Ejecución</w:t>
            </w:r>
            <w:r w:rsidR="00FB1570" w:rsidRPr="0085790B">
              <w:rPr>
                <w:rFonts w:ascii="Arial" w:eastAsia="Arial" w:hAnsi="Arial" w:cs="Arial"/>
                <w:color w:val="000000"/>
                <w:sz w:val="22"/>
                <w:lang w:val="es-ES_tradnl"/>
              </w:rPr>
              <w:t>.</w:t>
            </w:r>
          </w:p>
        </w:tc>
      </w:tr>
      <w:tr w:rsidR="00DD5B04" w:rsidRPr="0085790B" w14:paraId="60E06E0C" w14:textId="77777777" w:rsidTr="00083F1B">
        <w:tc>
          <w:tcPr>
            <w:tcW w:w="2689" w:type="dxa"/>
          </w:tcPr>
          <w:p w14:paraId="5655C7E4" w14:textId="77777777" w:rsidR="00DD5B04" w:rsidRPr="0085790B" w:rsidRDefault="00DD5B04" w:rsidP="00DF76A2">
            <w:pPr>
              <w:spacing w:before="12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Radicación:</w:t>
            </w:r>
            <w:r w:rsidRPr="0085790B">
              <w:rPr>
                <w:rFonts w:ascii="Arial" w:eastAsia="Calibri" w:hAnsi="Arial" w:cs="Arial"/>
                <w:color w:val="000000" w:themeColor="text1"/>
                <w:sz w:val="22"/>
                <w:lang w:val="es-ES_tradnl"/>
              </w:rPr>
              <w:t xml:space="preserve">                              </w:t>
            </w:r>
          </w:p>
        </w:tc>
        <w:tc>
          <w:tcPr>
            <w:tcW w:w="6237" w:type="dxa"/>
          </w:tcPr>
          <w:p w14:paraId="33E25A02" w14:textId="6DE8FF97" w:rsidR="00DD5B04" w:rsidRPr="0085790B" w:rsidRDefault="00DD5B04" w:rsidP="00DF76A2">
            <w:pPr>
              <w:spacing w:before="120"/>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Respuesta</w:t>
            </w:r>
            <w:r w:rsidR="008100F7" w:rsidRPr="0085790B">
              <w:rPr>
                <w:rFonts w:ascii="Arial" w:eastAsia="Calibri" w:hAnsi="Arial" w:cs="Arial"/>
                <w:color w:val="000000" w:themeColor="text1"/>
                <w:sz w:val="22"/>
                <w:lang w:val="es-ES_tradnl"/>
              </w:rPr>
              <w:t xml:space="preserve"> </w:t>
            </w:r>
            <w:r w:rsidR="00CA5812" w:rsidRPr="0085790B">
              <w:rPr>
                <w:rFonts w:ascii="Arial" w:eastAsia="Calibri" w:hAnsi="Arial" w:cs="Arial"/>
                <w:color w:val="000000" w:themeColor="text1"/>
                <w:sz w:val="22"/>
                <w:lang w:val="es-ES_tradnl"/>
              </w:rPr>
              <w:t xml:space="preserve">a </w:t>
            </w:r>
            <w:r w:rsidRPr="0085790B">
              <w:rPr>
                <w:rFonts w:ascii="Arial" w:eastAsia="Calibri" w:hAnsi="Arial" w:cs="Arial"/>
                <w:color w:val="000000" w:themeColor="text1"/>
                <w:sz w:val="22"/>
                <w:lang w:val="es-ES_tradnl"/>
              </w:rPr>
              <w:t>consulta</w:t>
            </w:r>
            <w:r w:rsidR="008022C9" w:rsidRPr="0085790B">
              <w:rPr>
                <w:rFonts w:ascii="Arial" w:eastAsia="Calibri" w:hAnsi="Arial" w:cs="Arial"/>
                <w:color w:val="000000" w:themeColor="text1"/>
                <w:sz w:val="22"/>
                <w:lang w:val="es-ES_tradnl"/>
              </w:rPr>
              <w:t xml:space="preserve"> </w:t>
            </w:r>
            <w:r w:rsidRPr="0085790B">
              <w:rPr>
                <w:rFonts w:ascii="Arial" w:eastAsia="Calibri" w:hAnsi="Arial" w:cs="Arial"/>
                <w:color w:val="000000" w:themeColor="text1"/>
                <w:sz w:val="22"/>
                <w:lang w:val="es-ES_tradnl"/>
              </w:rPr>
              <w:t xml:space="preserve"># </w:t>
            </w:r>
            <w:r w:rsidR="00B7423D" w:rsidRPr="0085790B">
              <w:rPr>
                <w:rFonts w:ascii="Arial" w:eastAsia="Calibri" w:hAnsi="Arial" w:cs="Arial"/>
                <w:color w:val="000000" w:themeColor="text1"/>
                <w:sz w:val="22"/>
                <w:lang w:val="es-ES_tradnl"/>
              </w:rPr>
              <w:t>4202012000007625</w:t>
            </w:r>
          </w:p>
          <w:p w14:paraId="0DA3D2F3" w14:textId="77777777" w:rsidR="00DD5B04" w:rsidRPr="0085790B" w:rsidRDefault="00DD5B04" w:rsidP="00DF76A2">
            <w:pPr>
              <w:spacing w:before="120"/>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 </w:t>
            </w:r>
          </w:p>
        </w:tc>
      </w:tr>
    </w:tbl>
    <w:p w14:paraId="3D1F1089" w14:textId="77777777" w:rsidR="005305E5" w:rsidRPr="0085790B" w:rsidRDefault="005305E5" w:rsidP="00DF76A2">
      <w:pPr>
        <w:jc w:val="both"/>
        <w:rPr>
          <w:rFonts w:ascii="Arial" w:eastAsia="Calibri" w:hAnsi="Arial" w:cs="Arial"/>
          <w:color w:val="000000" w:themeColor="text1"/>
          <w:sz w:val="22"/>
          <w:lang w:val="es-ES_tradnl"/>
        </w:rPr>
      </w:pPr>
    </w:p>
    <w:p w14:paraId="30BB5B67" w14:textId="43E9A26F"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Estimad</w:t>
      </w:r>
      <w:r w:rsidR="00FA5043" w:rsidRPr="0085790B">
        <w:rPr>
          <w:rFonts w:ascii="Arial" w:eastAsia="Calibri" w:hAnsi="Arial" w:cs="Arial"/>
          <w:color w:val="000000" w:themeColor="text1"/>
          <w:sz w:val="22"/>
          <w:lang w:val="es-ES_tradnl"/>
        </w:rPr>
        <w:t>a</w:t>
      </w:r>
      <w:r w:rsidRPr="0085790B">
        <w:rPr>
          <w:rFonts w:ascii="Arial" w:eastAsia="Calibri" w:hAnsi="Arial" w:cs="Arial"/>
          <w:color w:val="000000" w:themeColor="text1"/>
          <w:sz w:val="22"/>
          <w:lang w:val="es-ES_tradnl"/>
        </w:rPr>
        <w:t xml:space="preserve"> señor</w:t>
      </w:r>
      <w:r w:rsidR="00FA5043" w:rsidRPr="0085790B">
        <w:rPr>
          <w:rFonts w:ascii="Arial" w:eastAsia="Calibri" w:hAnsi="Arial" w:cs="Arial"/>
          <w:color w:val="000000" w:themeColor="text1"/>
          <w:sz w:val="22"/>
          <w:lang w:val="es-ES_tradnl"/>
        </w:rPr>
        <w:t>a</w:t>
      </w:r>
      <w:r w:rsidRPr="0085790B">
        <w:rPr>
          <w:rFonts w:ascii="Arial" w:eastAsia="Calibri" w:hAnsi="Arial" w:cs="Arial"/>
          <w:color w:val="000000" w:themeColor="text1"/>
          <w:sz w:val="22"/>
          <w:lang w:val="es-ES_tradnl"/>
        </w:rPr>
        <w:t xml:space="preserve"> </w:t>
      </w:r>
      <w:r w:rsidR="00E445E4" w:rsidRPr="0085790B">
        <w:rPr>
          <w:rFonts w:ascii="Arial" w:eastAsia="Calibri" w:hAnsi="Arial" w:cs="Arial"/>
          <w:color w:val="000000" w:themeColor="text1"/>
          <w:sz w:val="22"/>
          <w:lang w:val="es-ES_tradnl"/>
        </w:rPr>
        <w:t>Pineda</w:t>
      </w:r>
      <w:r w:rsidRPr="0085790B">
        <w:rPr>
          <w:rFonts w:ascii="Arial" w:eastAsia="Calibri" w:hAnsi="Arial" w:cs="Arial"/>
          <w:color w:val="000000" w:themeColor="text1"/>
          <w:sz w:val="22"/>
          <w:lang w:val="es-ES_tradnl"/>
        </w:rPr>
        <w:t>:</w:t>
      </w:r>
    </w:p>
    <w:p w14:paraId="1EAE5543" w14:textId="77777777" w:rsidR="00DD5B04" w:rsidRPr="0085790B" w:rsidRDefault="00DD5B04" w:rsidP="00DF76A2">
      <w:pPr>
        <w:jc w:val="both"/>
        <w:rPr>
          <w:rFonts w:ascii="Arial" w:eastAsia="Calibri" w:hAnsi="Arial" w:cs="Arial"/>
          <w:color w:val="000000" w:themeColor="text1"/>
          <w:sz w:val="22"/>
          <w:lang w:val="es-ES_tradnl"/>
        </w:rPr>
      </w:pPr>
    </w:p>
    <w:p w14:paraId="2109B2D3" w14:textId="6390B911" w:rsidR="00DD5B04" w:rsidRPr="0085790B" w:rsidRDefault="00DD5B04" w:rsidP="00DF76A2">
      <w:pPr>
        <w:spacing w:line="276" w:lineRule="auto"/>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8E0FAD" w:rsidRPr="0085790B">
        <w:rPr>
          <w:rFonts w:ascii="Arial" w:eastAsia="Calibri" w:hAnsi="Arial" w:cs="Arial"/>
          <w:color w:val="000000" w:themeColor="text1"/>
          <w:sz w:val="22"/>
          <w:lang w:val="es-ES_tradnl"/>
        </w:rPr>
        <w:t>1</w:t>
      </w:r>
      <w:r w:rsidR="00FD4AF3" w:rsidRPr="0085790B">
        <w:rPr>
          <w:rFonts w:ascii="Arial" w:eastAsia="Calibri" w:hAnsi="Arial" w:cs="Arial"/>
          <w:color w:val="000000" w:themeColor="text1"/>
          <w:sz w:val="22"/>
          <w:lang w:val="es-ES_tradnl"/>
        </w:rPr>
        <w:t xml:space="preserve"> de </w:t>
      </w:r>
      <w:r w:rsidR="008E0FAD" w:rsidRPr="0085790B">
        <w:rPr>
          <w:rFonts w:ascii="Arial" w:eastAsia="Calibri" w:hAnsi="Arial" w:cs="Arial"/>
          <w:color w:val="000000" w:themeColor="text1"/>
          <w:sz w:val="22"/>
          <w:lang w:val="es-ES_tradnl"/>
        </w:rPr>
        <w:t>septiembre</w:t>
      </w:r>
      <w:r w:rsidRPr="0085790B">
        <w:rPr>
          <w:rFonts w:ascii="Arial" w:eastAsia="Calibri" w:hAnsi="Arial" w:cs="Arial"/>
          <w:color w:val="000000" w:themeColor="text1"/>
          <w:sz w:val="22"/>
          <w:lang w:val="es-ES_tradnl"/>
        </w:rPr>
        <w:t xml:space="preserve"> del</w:t>
      </w:r>
      <w:r w:rsidR="007E74BF" w:rsidRPr="0085790B">
        <w:rPr>
          <w:rFonts w:ascii="Arial" w:eastAsia="Calibri" w:hAnsi="Arial" w:cs="Arial"/>
          <w:color w:val="000000" w:themeColor="text1"/>
          <w:sz w:val="22"/>
          <w:lang w:val="es-ES_tradnl"/>
        </w:rPr>
        <w:t xml:space="preserve"> </w:t>
      </w:r>
      <w:r w:rsidRPr="0085790B">
        <w:rPr>
          <w:rFonts w:ascii="Arial" w:eastAsia="Calibri" w:hAnsi="Arial" w:cs="Arial"/>
          <w:color w:val="000000" w:themeColor="text1"/>
          <w:sz w:val="22"/>
          <w:lang w:val="es-ES_tradnl"/>
        </w:rPr>
        <w:t>2020</w:t>
      </w:r>
      <w:r w:rsidR="00FD4AF3" w:rsidRPr="0085790B">
        <w:rPr>
          <w:rFonts w:ascii="Arial" w:eastAsia="Calibri" w:hAnsi="Arial" w:cs="Arial"/>
          <w:color w:val="000000" w:themeColor="text1"/>
          <w:sz w:val="22"/>
          <w:lang w:val="es-ES_tradnl"/>
        </w:rPr>
        <w:t>.</w:t>
      </w:r>
    </w:p>
    <w:p w14:paraId="0C1E0712" w14:textId="77777777" w:rsidR="00DD5B04" w:rsidRPr="0085790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5790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 xml:space="preserve">Problema planteado </w:t>
      </w:r>
    </w:p>
    <w:p w14:paraId="224B43D3" w14:textId="77777777" w:rsidR="00DD5B04" w:rsidRPr="0085790B"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B6D537E" w14:textId="388515ED" w:rsidR="008D1A2A" w:rsidRPr="0085790B" w:rsidRDefault="00DD5B04" w:rsidP="008D1A2A">
      <w:pPr>
        <w:spacing w:line="276" w:lineRule="auto"/>
        <w:jc w:val="both"/>
        <w:rPr>
          <w:rFonts w:ascii="Arial" w:hAnsi="Arial" w:cs="Arial"/>
          <w:color w:val="000000" w:themeColor="text1"/>
          <w:sz w:val="22"/>
          <w:lang w:val="es-ES_tradnl"/>
        </w:rPr>
      </w:pPr>
      <w:r w:rsidRPr="0085790B">
        <w:rPr>
          <w:rFonts w:ascii="Arial" w:hAnsi="Arial" w:cs="Arial"/>
          <w:color w:val="000000" w:themeColor="text1"/>
          <w:sz w:val="22"/>
          <w:lang w:val="es-ES_tradnl"/>
        </w:rPr>
        <w:t xml:space="preserve">Usted </w:t>
      </w:r>
      <w:r w:rsidR="00B422C0" w:rsidRPr="0085790B">
        <w:rPr>
          <w:rFonts w:ascii="Arial" w:hAnsi="Arial" w:cs="Arial"/>
          <w:color w:val="000000" w:themeColor="text1"/>
          <w:sz w:val="22"/>
          <w:lang w:val="es-ES_tradnl"/>
        </w:rPr>
        <w:t xml:space="preserve">formula inquietudes </w:t>
      </w:r>
      <w:r w:rsidR="008D1A2A" w:rsidRPr="0085790B">
        <w:rPr>
          <w:rFonts w:ascii="Arial" w:hAnsi="Arial" w:cs="Arial"/>
          <w:color w:val="000000" w:themeColor="text1"/>
          <w:sz w:val="22"/>
          <w:lang w:val="es-ES_tradnl"/>
        </w:rPr>
        <w:t>«Frente al numeral 4.2.5 CUADRILLAS DE TRABAJO adoptada mediante resolución 116 de 2020 por Colombia Compra Eficiente</w:t>
      </w:r>
      <w:r w:rsidR="00A94FCA" w:rsidRPr="0085790B">
        <w:rPr>
          <w:rFonts w:ascii="Arial" w:hAnsi="Arial" w:cs="Arial"/>
          <w:color w:val="000000" w:themeColor="text1"/>
          <w:sz w:val="22"/>
          <w:lang w:val="es-ES_tradnl"/>
        </w:rPr>
        <w:t xml:space="preserve">» y concretamente en relación con lo establecido en </w:t>
      </w:r>
      <w:r w:rsidR="00B422C0" w:rsidRPr="0085790B">
        <w:rPr>
          <w:rFonts w:ascii="Arial" w:hAnsi="Arial" w:cs="Arial"/>
          <w:color w:val="000000" w:themeColor="text1"/>
          <w:sz w:val="22"/>
          <w:lang w:val="es-ES_tradnl"/>
        </w:rPr>
        <w:t>dicha Resolución</w:t>
      </w:r>
      <w:r w:rsidR="00A94FCA" w:rsidRPr="0085790B">
        <w:rPr>
          <w:rFonts w:ascii="Arial" w:hAnsi="Arial" w:cs="Arial"/>
          <w:color w:val="000000" w:themeColor="text1"/>
          <w:sz w:val="22"/>
          <w:lang w:val="es-ES_tradnl"/>
        </w:rPr>
        <w:t xml:space="preserve"> en el sentido de que «</w:t>
      </w:r>
      <w:r w:rsidR="008D1A2A" w:rsidRPr="0085790B">
        <w:rPr>
          <w:rFonts w:ascii="Arial" w:hAnsi="Arial" w:cs="Arial"/>
          <w:color w:val="000000" w:themeColor="text1"/>
          <w:sz w:val="22"/>
          <w:lang w:val="es-ES_tradnl"/>
        </w:rPr>
        <w:t>Por cuadrilla de trabajo adicional se entiende la configurada por el personal obrero adicional para un frente adicional o unidad de trabajo que requiera el proyecto de infraestructura de trabajo, la cual deberá ser de 5 obreros</w:t>
      </w:r>
      <w:r w:rsidR="00A94FCA" w:rsidRPr="0085790B">
        <w:rPr>
          <w:rFonts w:ascii="Arial" w:hAnsi="Arial" w:cs="Arial"/>
          <w:color w:val="000000" w:themeColor="text1"/>
          <w:sz w:val="22"/>
          <w:lang w:val="es-ES_tradnl"/>
        </w:rPr>
        <w:t>»</w:t>
      </w:r>
      <w:r w:rsidR="00B422C0" w:rsidRPr="0085790B">
        <w:rPr>
          <w:rFonts w:ascii="Arial" w:hAnsi="Arial" w:cs="Arial"/>
          <w:color w:val="000000" w:themeColor="text1"/>
          <w:sz w:val="22"/>
          <w:lang w:val="es-ES_tradnl"/>
        </w:rPr>
        <w:t>. Así pues, según lo planteado por usted, «</w:t>
      </w:r>
      <w:r w:rsidR="008D1A2A" w:rsidRPr="0085790B">
        <w:rPr>
          <w:rFonts w:ascii="Arial" w:hAnsi="Arial" w:cs="Arial"/>
          <w:color w:val="000000" w:themeColor="text1"/>
          <w:sz w:val="22"/>
          <w:lang w:val="es-ES_tradnl"/>
        </w:rPr>
        <w:t>En el supuesto que cualquier entidad establezca un frente de trabajo en su estudio previo, y en el entendido de la definición de cuadrilla de trabajo solicito resolver las siguientes inquietudes</w:t>
      </w:r>
      <w:r w:rsidR="00B422C0" w:rsidRPr="0085790B">
        <w:rPr>
          <w:rFonts w:ascii="Arial" w:hAnsi="Arial" w:cs="Arial"/>
          <w:color w:val="000000" w:themeColor="text1"/>
          <w:sz w:val="22"/>
          <w:lang w:val="es-ES_tradnl"/>
        </w:rPr>
        <w:t>»:</w:t>
      </w:r>
    </w:p>
    <w:p w14:paraId="64A6EC81" w14:textId="77777777" w:rsidR="00B61FD4" w:rsidRPr="0085790B" w:rsidRDefault="00B61FD4" w:rsidP="008D1A2A">
      <w:pPr>
        <w:spacing w:line="276" w:lineRule="auto"/>
        <w:jc w:val="both"/>
        <w:rPr>
          <w:rFonts w:ascii="Arial" w:hAnsi="Arial" w:cs="Arial"/>
          <w:color w:val="000000" w:themeColor="text1"/>
          <w:sz w:val="22"/>
          <w:lang w:val="es-ES_tradnl"/>
        </w:rPr>
      </w:pPr>
    </w:p>
    <w:p w14:paraId="7C28CB62" w14:textId="61941B9A" w:rsidR="008D1A2A" w:rsidRPr="0085790B" w:rsidRDefault="00B422C0" w:rsidP="00B422C0">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w:t>
      </w:r>
      <w:r w:rsidR="008D1A2A" w:rsidRPr="0085790B">
        <w:rPr>
          <w:rFonts w:ascii="Arial" w:hAnsi="Arial" w:cs="Arial"/>
          <w:color w:val="000000" w:themeColor="text1"/>
          <w:sz w:val="21"/>
          <w:szCs w:val="21"/>
          <w:lang w:val="es-ES_tradnl"/>
        </w:rPr>
        <w:t>¿A qué hace referencia el termino: "cuadrilla de trabajo adicional y por qué no es de recibo la conformada por un Maestro y un ayudante (2 obreros) sino la conformada por 5 obreros?</w:t>
      </w:r>
      <w:r w:rsidR="00D32A27" w:rsidRPr="0085790B">
        <w:rPr>
          <w:rFonts w:ascii="Arial" w:hAnsi="Arial" w:cs="Arial"/>
          <w:color w:val="000000" w:themeColor="text1"/>
          <w:sz w:val="21"/>
          <w:szCs w:val="21"/>
          <w:lang w:val="es-ES_tradnl"/>
        </w:rPr>
        <w:t xml:space="preserve"> (sic)</w:t>
      </w:r>
    </w:p>
    <w:p w14:paraId="6CC3567E" w14:textId="77777777" w:rsidR="00B422C0" w:rsidRPr="0085790B" w:rsidRDefault="00B422C0" w:rsidP="00B422C0">
      <w:pPr>
        <w:ind w:left="709" w:right="709"/>
        <w:jc w:val="both"/>
        <w:rPr>
          <w:rFonts w:ascii="Arial" w:hAnsi="Arial" w:cs="Arial"/>
          <w:color w:val="000000" w:themeColor="text1"/>
          <w:sz w:val="21"/>
          <w:szCs w:val="21"/>
          <w:lang w:val="es-ES_tradnl"/>
        </w:rPr>
      </w:pPr>
    </w:p>
    <w:p w14:paraId="440F5ACC" w14:textId="6F033F6C" w:rsidR="008D1A2A" w:rsidRPr="0085790B" w:rsidRDefault="00B422C0" w:rsidP="00B422C0">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w:t>
      </w:r>
      <w:r w:rsidR="008D1A2A" w:rsidRPr="0085790B">
        <w:rPr>
          <w:rFonts w:ascii="Arial" w:hAnsi="Arial" w:cs="Arial"/>
          <w:color w:val="000000" w:themeColor="text1"/>
          <w:sz w:val="21"/>
          <w:szCs w:val="21"/>
          <w:lang w:val="es-ES_tradnl"/>
        </w:rPr>
        <w:t>¿Al indicar Adicional se debe entender que ya existe un numero mínimo de trabajadores y se deben ofrecer mas?</w:t>
      </w:r>
    </w:p>
    <w:p w14:paraId="7343B705" w14:textId="77777777" w:rsidR="00B422C0" w:rsidRPr="0085790B" w:rsidRDefault="00B422C0" w:rsidP="00B422C0">
      <w:pPr>
        <w:ind w:left="709" w:right="709"/>
        <w:jc w:val="both"/>
        <w:rPr>
          <w:rFonts w:ascii="Arial" w:hAnsi="Arial" w:cs="Arial"/>
          <w:color w:val="000000" w:themeColor="text1"/>
          <w:sz w:val="21"/>
          <w:szCs w:val="21"/>
          <w:lang w:val="es-ES_tradnl"/>
        </w:rPr>
      </w:pPr>
    </w:p>
    <w:p w14:paraId="1C1B290A" w14:textId="4AB0BBA6" w:rsidR="008D1A2A" w:rsidRPr="0085790B" w:rsidRDefault="00B422C0" w:rsidP="00B422C0">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w:t>
      </w:r>
      <w:r w:rsidR="008D1A2A" w:rsidRPr="0085790B">
        <w:rPr>
          <w:rFonts w:ascii="Arial" w:hAnsi="Arial" w:cs="Arial"/>
          <w:color w:val="000000" w:themeColor="text1"/>
          <w:sz w:val="21"/>
          <w:szCs w:val="21"/>
          <w:lang w:val="es-ES_tradnl"/>
        </w:rPr>
        <w:t>¿Al ofrecer máximo 2 cuadrillas de trabajo por frente establecido, en el caso que la entidad hay optado</w:t>
      </w:r>
      <w:r w:rsidR="00673ECF" w:rsidRPr="0085790B">
        <w:rPr>
          <w:rFonts w:ascii="Arial" w:hAnsi="Arial" w:cs="Arial"/>
          <w:color w:val="000000" w:themeColor="text1"/>
          <w:sz w:val="21"/>
          <w:szCs w:val="21"/>
          <w:lang w:val="es-ES_tradnl"/>
        </w:rPr>
        <w:t xml:space="preserve"> (sic)</w:t>
      </w:r>
      <w:r w:rsidR="008D1A2A" w:rsidRPr="0085790B">
        <w:rPr>
          <w:rFonts w:ascii="Arial" w:hAnsi="Arial" w:cs="Arial"/>
          <w:color w:val="000000" w:themeColor="text1"/>
          <w:sz w:val="21"/>
          <w:szCs w:val="21"/>
          <w:lang w:val="es-ES_tradnl"/>
        </w:rPr>
        <w:t xml:space="preserve"> por la opción I a-(Detalle de frentes de trabajo): 1 frente, los oferentes deberán ofertar 2 cuadrillas, es decir 10 trabajadores por el frente de trabajo?</w:t>
      </w:r>
    </w:p>
    <w:p w14:paraId="7C965164" w14:textId="77777777" w:rsidR="00B422C0" w:rsidRPr="0085790B" w:rsidRDefault="00B422C0" w:rsidP="00B422C0">
      <w:pPr>
        <w:ind w:left="709" w:right="709"/>
        <w:jc w:val="both"/>
        <w:rPr>
          <w:rFonts w:ascii="Arial" w:hAnsi="Arial" w:cs="Arial"/>
          <w:color w:val="000000" w:themeColor="text1"/>
          <w:sz w:val="21"/>
          <w:szCs w:val="21"/>
          <w:lang w:val="es-ES_tradnl"/>
        </w:rPr>
      </w:pPr>
    </w:p>
    <w:p w14:paraId="7E8B8948" w14:textId="4C5B308B" w:rsidR="008D1A2A" w:rsidRPr="0085790B" w:rsidRDefault="00B422C0" w:rsidP="00B422C0">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w:t>
      </w:r>
      <w:r w:rsidR="008D1A2A" w:rsidRPr="0085790B">
        <w:rPr>
          <w:rFonts w:ascii="Arial" w:hAnsi="Arial" w:cs="Arial"/>
          <w:color w:val="000000" w:themeColor="text1"/>
          <w:sz w:val="21"/>
          <w:szCs w:val="21"/>
          <w:lang w:val="es-ES_tradnl"/>
        </w:rPr>
        <w:t>¿Los trabajadores mencionados (10) deberán permanecer por la vigencia o plazo del contrato, incurriendo en los gastos propios (nóminas, seguridad social, y demás pagos a que haya lugar, aún si no ejecutan ninguna actividad en la obra?</w:t>
      </w:r>
      <w:r w:rsidRPr="0085790B">
        <w:rPr>
          <w:rFonts w:ascii="Arial" w:hAnsi="Arial" w:cs="Arial"/>
          <w:color w:val="000000" w:themeColor="text1"/>
          <w:sz w:val="21"/>
          <w:szCs w:val="21"/>
          <w:lang w:val="es-ES_tradnl"/>
        </w:rPr>
        <w:t>»</w:t>
      </w:r>
      <w:r w:rsidR="00D32A27" w:rsidRPr="0085790B">
        <w:rPr>
          <w:rFonts w:ascii="Arial" w:hAnsi="Arial" w:cs="Arial"/>
          <w:color w:val="000000" w:themeColor="text1"/>
          <w:sz w:val="21"/>
          <w:szCs w:val="21"/>
          <w:lang w:val="es-ES_tradnl"/>
        </w:rPr>
        <w:t>.</w:t>
      </w:r>
    </w:p>
    <w:p w14:paraId="3C2ECFFE" w14:textId="77777777" w:rsidR="00F02BFD" w:rsidRPr="0085790B" w:rsidRDefault="00F02BFD" w:rsidP="006A457D">
      <w:pPr>
        <w:spacing w:line="276" w:lineRule="auto"/>
        <w:jc w:val="both"/>
        <w:rPr>
          <w:rFonts w:ascii="Arial" w:hAnsi="Arial" w:cs="Arial"/>
          <w:color w:val="000000" w:themeColor="text1"/>
          <w:sz w:val="22"/>
          <w:lang w:val="es-ES_tradnl"/>
        </w:rPr>
      </w:pPr>
    </w:p>
    <w:p w14:paraId="124D2DCA" w14:textId="77777777" w:rsidR="00DD5B04" w:rsidRPr="0085790B"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Consideraciones</w:t>
      </w:r>
    </w:p>
    <w:p w14:paraId="35E25E39" w14:textId="77777777" w:rsidR="00DD5B04" w:rsidRPr="0085790B" w:rsidRDefault="00DD5B04" w:rsidP="00DF76A2">
      <w:pPr>
        <w:spacing w:line="276" w:lineRule="auto"/>
        <w:jc w:val="both"/>
        <w:rPr>
          <w:rFonts w:ascii="Arial" w:eastAsia="Calibri" w:hAnsi="Arial" w:cs="Arial"/>
          <w:color w:val="000000" w:themeColor="text1"/>
          <w:sz w:val="20"/>
          <w:szCs w:val="20"/>
          <w:lang w:val="es-ES_tradnl"/>
        </w:rPr>
      </w:pPr>
    </w:p>
    <w:p w14:paraId="446C8210" w14:textId="29E09203" w:rsidR="00A036AC" w:rsidRPr="0085790B" w:rsidRDefault="00A036AC" w:rsidP="003536F6">
      <w:pPr>
        <w:spacing w:before="120" w:line="276" w:lineRule="auto"/>
        <w:jc w:val="both"/>
        <w:rPr>
          <w:rFonts w:ascii="Arial" w:hAnsi="Arial" w:cs="Arial"/>
          <w:color w:val="000000" w:themeColor="text1"/>
          <w:sz w:val="22"/>
          <w:lang w:val="es-ES_tradnl"/>
        </w:rPr>
      </w:pPr>
      <w:r w:rsidRPr="0085790B">
        <w:rPr>
          <w:rFonts w:ascii="Arial" w:eastAsia="Arial" w:hAnsi="Arial" w:cs="Arial"/>
          <w:color w:val="000000"/>
          <w:sz w:val="22"/>
          <w:lang w:val="es-ES_tradnl"/>
        </w:rPr>
        <w:t xml:space="preserve">Para desarrollar </w:t>
      </w:r>
      <w:r w:rsidR="005F3361" w:rsidRPr="0085790B">
        <w:rPr>
          <w:rFonts w:ascii="Arial" w:eastAsia="Arial" w:hAnsi="Arial" w:cs="Arial"/>
          <w:color w:val="000000"/>
          <w:sz w:val="22"/>
          <w:lang w:val="es-ES_tradnl"/>
        </w:rPr>
        <w:t>el</w:t>
      </w:r>
      <w:r w:rsidRPr="0085790B">
        <w:rPr>
          <w:rFonts w:ascii="Arial" w:eastAsia="Arial" w:hAnsi="Arial" w:cs="Arial"/>
          <w:color w:val="000000"/>
          <w:sz w:val="22"/>
          <w:lang w:val="es-ES_tradnl"/>
        </w:rPr>
        <w:t xml:space="preserve"> problema planteado, es necesario explicar</w:t>
      </w:r>
      <w:r w:rsidR="005F3361" w:rsidRPr="0085790B">
        <w:rPr>
          <w:rFonts w:ascii="Arial" w:eastAsia="Arial" w:hAnsi="Arial" w:cs="Arial"/>
          <w:color w:val="000000"/>
          <w:sz w:val="22"/>
          <w:lang w:val="es-ES_tradnl"/>
        </w:rPr>
        <w:t xml:space="preserve">: i) </w:t>
      </w:r>
      <w:r w:rsidR="00257730" w:rsidRPr="0085790B">
        <w:rPr>
          <w:rFonts w:ascii="Arial" w:eastAsia="Arial" w:hAnsi="Arial" w:cs="Arial"/>
          <w:color w:val="000000"/>
          <w:sz w:val="22"/>
          <w:lang w:val="es-ES_tradnl"/>
        </w:rPr>
        <w:t>la vigencia de la Resolución No. 116 de 2020</w:t>
      </w:r>
      <w:r w:rsidR="00F963FC" w:rsidRPr="0085790B">
        <w:rPr>
          <w:rFonts w:ascii="Arial" w:eastAsia="Arial" w:hAnsi="Arial" w:cs="Arial"/>
          <w:color w:val="000000"/>
          <w:sz w:val="22"/>
          <w:lang w:val="es-ES_tradnl"/>
        </w:rPr>
        <w:t xml:space="preserve">, que modificó el numeral </w:t>
      </w:r>
      <w:r w:rsidR="00454548" w:rsidRPr="0085790B">
        <w:rPr>
          <w:rFonts w:ascii="Arial" w:eastAsia="Arial" w:hAnsi="Arial" w:cs="Arial"/>
          <w:color w:val="000000"/>
          <w:sz w:val="22"/>
          <w:lang w:val="es-ES_tradnl"/>
        </w:rPr>
        <w:t>4.2.5. –«Cuadrillas de Trabajo»</w:t>
      </w:r>
      <w:r w:rsidR="00144335" w:rsidRPr="0085790B">
        <w:rPr>
          <w:rFonts w:ascii="Arial" w:eastAsia="Arial" w:hAnsi="Arial" w:cs="Arial"/>
          <w:color w:val="000000"/>
          <w:sz w:val="22"/>
          <w:lang w:val="es-ES_tradnl"/>
        </w:rPr>
        <w:t>–</w:t>
      </w:r>
      <w:r w:rsidR="00F105AE" w:rsidRPr="0085790B">
        <w:rPr>
          <w:rFonts w:ascii="Arial" w:eastAsia="Arial" w:hAnsi="Arial" w:cs="Arial"/>
          <w:color w:val="000000"/>
          <w:sz w:val="22"/>
          <w:lang w:val="es-ES_tradnl"/>
        </w:rPr>
        <w:t xml:space="preserve"> de los </w:t>
      </w:r>
      <w:r w:rsidR="009579E4" w:rsidRPr="0085790B">
        <w:rPr>
          <w:rFonts w:ascii="Arial" w:eastAsia="Arial" w:hAnsi="Arial" w:cs="Arial"/>
          <w:color w:val="000000"/>
          <w:sz w:val="22"/>
          <w:lang w:val="es-ES_tradnl"/>
        </w:rPr>
        <w:t>pliegos de condiciones tipo de licitación</w:t>
      </w:r>
      <w:r w:rsidR="00BC34A3" w:rsidRPr="0085790B">
        <w:rPr>
          <w:rFonts w:ascii="Arial" w:eastAsia="Arial" w:hAnsi="Arial" w:cs="Arial"/>
          <w:color w:val="000000"/>
          <w:sz w:val="22"/>
          <w:lang w:val="es-ES_tradnl"/>
        </w:rPr>
        <w:t xml:space="preserve"> –versión 2– </w:t>
      </w:r>
      <w:r w:rsidR="009579E4" w:rsidRPr="0085790B">
        <w:rPr>
          <w:rFonts w:ascii="Arial" w:eastAsia="Arial" w:hAnsi="Arial" w:cs="Arial"/>
          <w:color w:val="000000"/>
          <w:sz w:val="22"/>
          <w:lang w:val="es-ES_tradnl"/>
        </w:rPr>
        <w:t>y de selección abreviada de menor cuantía de obra pública de infraestructura de transporte</w:t>
      </w:r>
      <w:r w:rsidR="00BC34A3" w:rsidRPr="0085790B">
        <w:rPr>
          <w:rFonts w:ascii="Arial" w:eastAsia="Arial" w:hAnsi="Arial" w:cs="Arial"/>
          <w:color w:val="000000"/>
          <w:sz w:val="22"/>
          <w:lang w:val="es-ES_tradnl"/>
        </w:rPr>
        <w:t>,</w:t>
      </w:r>
      <w:r w:rsidR="00257730" w:rsidRPr="0085790B">
        <w:rPr>
          <w:rFonts w:ascii="Arial" w:eastAsia="Arial" w:hAnsi="Arial" w:cs="Arial"/>
          <w:color w:val="000000"/>
          <w:sz w:val="22"/>
          <w:lang w:val="es-ES_tradnl"/>
        </w:rPr>
        <w:t xml:space="preserve"> y ii) </w:t>
      </w:r>
      <w:r w:rsidRPr="0085790B">
        <w:rPr>
          <w:rFonts w:ascii="Arial" w:eastAsia="Arial" w:hAnsi="Arial" w:cs="Arial"/>
          <w:color w:val="000000"/>
          <w:sz w:val="22"/>
          <w:lang w:val="es-ES_tradnl"/>
        </w:rPr>
        <w:t>el alcance del factor de calidad como criterio de evaluación, asignación de puntaje y desempate de las propuestas económicas, particularmente, en relación con</w:t>
      </w:r>
      <w:r w:rsidR="00257730" w:rsidRPr="0085790B">
        <w:rPr>
          <w:rFonts w:ascii="Arial" w:eastAsia="Arial" w:hAnsi="Arial" w:cs="Arial"/>
          <w:color w:val="000000"/>
          <w:sz w:val="22"/>
          <w:lang w:val="es-ES_tradnl"/>
        </w:rPr>
        <w:t xml:space="preserve"> </w:t>
      </w:r>
      <w:r w:rsidRPr="0085790B">
        <w:rPr>
          <w:rFonts w:ascii="Arial" w:eastAsia="Arial" w:hAnsi="Arial" w:cs="Arial"/>
          <w:color w:val="000000"/>
          <w:sz w:val="22"/>
          <w:lang w:val="es-ES_tradnl"/>
        </w:rPr>
        <w:t xml:space="preserve">las cuadrillas de trabajo adicional a costo y riesgo </w:t>
      </w:r>
      <w:r w:rsidR="000341F2" w:rsidRPr="0085790B">
        <w:rPr>
          <w:rFonts w:ascii="Arial" w:eastAsia="Arial" w:hAnsi="Arial" w:cs="Arial"/>
          <w:color w:val="000000"/>
          <w:sz w:val="22"/>
          <w:lang w:val="es-ES_tradnl"/>
        </w:rPr>
        <w:t>del contratista</w:t>
      </w:r>
      <w:r w:rsidR="00257730" w:rsidRPr="0085790B">
        <w:rPr>
          <w:rFonts w:ascii="Arial" w:eastAsia="Arial" w:hAnsi="Arial" w:cs="Arial"/>
          <w:color w:val="000000"/>
          <w:sz w:val="22"/>
          <w:lang w:val="es-ES_tradnl"/>
        </w:rPr>
        <w:t>.</w:t>
      </w:r>
    </w:p>
    <w:p w14:paraId="127FE5F8" w14:textId="5D7A7A96" w:rsidR="00A06E4A" w:rsidRPr="0085790B" w:rsidRDefault="00A036AC" w:rsidP="00BC34A3">
      <w:pPr>
        <w:spacing w:before="120" w:line="276" w:lineRule="auto"/>
        <w:ind w:firstLine="709"/>
        <w:jc w:val="both"/>
        <w:rPr>
          <w:rFonts w:ascii="Arial" w:eastAsia="Arial" w:hAnsi="Arial" w:cs="Arial"/>
          <w:color w:val="000000"/>
          <w:sz w:val="22"/>
          <w:lang w:val="es-ES_tradnl"/>
        </w:rPr>
      </w:pPr>
      <w:r w:rsidRPr="0085790B">
        <w:rPr>
          <w:rFonts w:ascii="Arial" w:eastAsia="Arial" w:hAnsi="Arial" w:cs="Arial"/>
          <w:color w:val="000000"/>
          <w:sz w:val="22"/>
          <w:lang w:val="es-ES_tradnl"/>
        </w:rPr>
        <w:t xml:space="preserve">Para tales fines, se reiterarán las tesis expuestas en los conceptos del 10 y el </w:t>
      </w:r>
      <w:r w:rsidRPr="0085790B">
        <w:rPr>
          <w:rFonts w:ascii="Arial" w:eastAsia="Arial" w:hAnsi="Arial" w:cs="Arial"/>
          <w:color w:val="000000"/>
          <w:sz w:val="22"/>
          <w:highlight w:val="white"/>
          <w:lang w:val="es-ES_tradnl"/>
        </w:rPr>
        <w:t xml:space="preserve">23 de julio de 2019, del 13 de agosto de 2019, del 16 y el 18 de septiembre de 2019, del 3 y 10 de octubre de 2019, del 16 de noviembre de 2019 y del 2 y 27 de diciembre de 2019 –Radicados Nos. 4201912000004631, 4201913000005084, 4201913000004446, </w:t>
      </w:r>
      <w:r w:rsidRPr="0085790B">
        <w:rPr>
          <w:rFonts w:ascii="Arial" w:eastAsia="Arial" w:hAnsi="Arial" w:cs="Arial"/>
          <w:color w:val="000000"/>
          <w:sz w:val="22"/>
          <w:highlight w:val="white"/>
          <w:lang w:val="es-ES_tradnl"/>
        </w:rPr>
        <w:lastRenderedPageBreak/>
        <w:t>4201912000005689, 4201913000006373, 4201912000006258, 4201913000006154, 4201912000007756, 4201913000007151 y 4201912000008593–, así como en los conceptos C-019 del 14 de enero de 2020, C-030 del 28 de enero de 2020, C-026 del 11 de febrero de 2020, C-063 del 24 de febrero de 2020</w:t>
      </w:r>
      <w:r w:rsidR="00A06E4A" w:rsidRPr="0085790B">
        <w:rPr>
          <w:rFonts w:ascii="Arial" w:eastAsia="Arial" w:hAnsi="Arial" w:cs="Arial"/>
          <w:color w:val="000000"/>
          <w:sz w:val="22"/>
          <w:highlight w:val="white"/>
          <w:lang w:val="es-ES_tradnl"/>
        </w:rPr>
        <w:t xml:space="preserve">, </w:t>
      </w:r>
      <w:r w:rsidRPr="0085790B">
        <w:rPr>
          <w:rFonts w:ascii="Arial" w:eastAsia="Arial" w:hAnsi="Arial" w:cs="Arial"/>
          <w:color w:val="000000"/>
          <w:sz w:val="22"/>
          <w:highlight w:val="white"/>
          <w:lang w:val="es-ES_tradnl"/>
        </w:rPr>
        <w:t>C-137 del 26 de marzo de 2020</w:t>
      </w:r>
      <w:r w:rsidR="00A06E4A" w:rsidRPr="0085790B">
        <w:rPr>
          <w:rFonts w:ascii="Arial" w:eastAsia="Arial" w:hAnsi="Arial" w:cs="Arial"/>
          <w:color w:val="000000"/>
          <w:sz w:val="22"/>
          <w:lang w:val="es-ES_tradnl"/>
        </w:rPr>
        <w:t xml:space="preserve">, </w:t>
      </w:r>
      <w:r w:rsidRPr="0085790B">
        <w:rPr>
          <w:rFonts w:ascii="Arial" w:eastAsia="Arial" w:hAnsi="Arial" w:cs="Arial"/>
          <w:color w:val="000000"/>
          <w:sz w:val="22"/>
          <w:lang w:val="es-ES_tradnl"/>
        </w:rPr>
        <w:t>C-294 del 18 de mayo de 2020</w:t>
      </w:r>
      <w:r w:rsidR="00A06E4A" w:rsidRPr="0085790B">
        <w:rPr>
          <w:rFonts w:ascii="Arial" w:eastAsia="Arial" w:hAnsi="Arial" w:cs="Arial"/>
          <w:color w:val="000000"/>
          <w:sz w:val="22"/>
          <w:lang w:val="es-ES_tradnl"/>
        </w:rPr>
        <w:t xml:space="preserve">, </w:t>
      </w:r>
      <w:r w:rsidRPr="0085790B">
        <w:rPr>
          <w:rFonts w:ascii="Arial" w:eastAsia="Arial" w:hAnsi="Arial" w:cs="Arial"/>
          <w:color w:val="000000"/>
          <w:sz w:val="22"/>
          <w:lang w:val="es-ES_tradnl"/>
        </w:rPr>
        <w:t>C-276 y C-277 del 26 de mayo de 2020; C–380 y C–381 del 1 de junio de 2020; C-404 del 12 de junio de 2020, C-430 del 7 de julio de 2020, C-481 del 27 de julio de 2020 y C-478 del 30 de julio de 2020</w:t>
      </w:r>
      <w:r w:rsidR="000E3B46" w:rsidRPr="0085790B">
        <w:rPr>
          <w:rFonts w:ascii="Arial" w:eastAsia="Arial" w:hAnsi="Arial" w:cs="Arial"/>
          <w:color w:val="000000"/>
          <w:sz w:val="22"/>
          <w:lang w:val="es-ES_tradnl"/>
        </w:rPr>
        <w:t>,</w:t>
      </w:r>
      <w:r w:rsidR="00EF6DC2" w:rsidRPr="0085790B">
        <w:rPr>
          <w:rFonts w:ascii="Arial" w:eastAsia="Arial" w:hAnsi="Arial" w:cs="Arial"/>
          <w:color w:val="000000"/>
          <w:sz w:val="22"/>
          <w:lang w:val="es-ES_tradnl"/>
        </w:rPr>
        <w:t xml:space="preserve"> C-540 del 19 de agosto de 2020, C-536 del 24 de agosto de 2020, </w:t>
      </w:r>
      <w:r w:rsidR="000E3B46" w:rsidRPr="0085790B">
        <w:rPr>
          <w:rFonts w:ascii="Arial" w:eastAsia="Arial" w:hAnsi="Arial" w:cs="Arial"/>
          <w:color w:val="000000"/>
          <w:sz w:val="22"/>
          <w:lang w:val="es-ES_tradnl"/>
        </w:rPr>
        <w:t>C-520</w:t>
      </w:r>
      <w:r w:rsidR="00F565E6" w:rsidRPr="0085790B">
        <w:rPr>
          <w:rFonts w:ascii="Arial" w:eastAsia="Arial" w:hAnsi="Arial" w:cs="Arial"/>
          <w:color w:val="000000"/>
          <w:sz w:val="22"/>
          <w:lang w:val="es-ES_tradnl"/>
        </w:rPr>
        <w:t xml:space="preserve"> del 25 de agosto de 2020</w:t>
      </w:r>
      <w:r w:rsidR="00EF6DC2" w:rsidRPr="0085790B">
        <w:rPr>
          <w:rFonts w:ascii="Arial" w:eastAsia="Arial" w:hAnsi="Arial" w:cs="Arial"/>
          <w:color w:val="000000"/>
          <w:sz w:val="22"/>
          <w:lang w:val="es-ES_tradnl"/>
        </w:rPr>
        <w:t xml:space="preserve"> y </w:t>
      </w:r>
      <w:r w:rsidR="00B1557C" w:rsidRPr="0085790B">
        <w:rPr>
          <w:rFonts w:ascii="Arial" w:eastAsia="Arial" w:hAnsi="Arial" w:cs="Arial"/>
          <w:color w:val="000000"/>
          <w:sz w:val="22"/>
          <w:lang w:val="es-ES_tradnl"/>
        </w:rPr>
        <w:t>C-539 del 29 de agosto de 2020</w:t>
      </w:r>
      <w:r w:rsidR="00EF6DC2" w:rsidRPr="0085790B">
        <w:rPr>
          <w:rFonts w:ascii="Arial" w:eastAsia="Arial" w:hAnsi="Arial" w:cs="Arial"/>
          <w:color w:val="000000"/>
          <w:sz w:val="22"/>
          <w:lang w:val="es-ES_tradnl"/>
        </w:rPr>
        <w:t>.</w:t>
      </w:r>
      <w:r w:rsidR="00AB4DEE" w:rsidRPr="0085790B">
        <w:rPr>
          <w:rFonts w:ascii="Arial" w:eastAsia="Arial" w:hAnsi="Arial" w:cs="Arial"/>
          <w:color w:val="000000"/>
          <w:sz w:val="22"/>
          <w:lang w:val="es-ES_tradnl"/>
        </w:rPr>
        <w:t xml:space="preserve"> </w:t>
      </w:r>
      <w:r w:rsidR="00B1557C" w:rsidRPr="0085790B">
        <w:rPr>
          <w:rFonts w:ascii="Arial" w:eastAsia="Arial" w:hAnsi="Arial" w:cs="Arial"/>
          <w:color w:val="000000"/>
          <w:sz w:val="22"/>
          <w:lang w:val="es-ES_tradnl"/>
        </w:rPr>
        <w:t xml:space="preserve"> </w:t>
      </w:r>
    </w:p>
    <w:p w14:paraId="1165A5B8" w14:textId="77777777" w:rsidR="00BC34A3" w:rsidRPr="0085790B" w:rsidRDefault="00BC34A3" w:rsidP="009D61BB">
      <w:pPr>
        <w:spacing w:line="276" w:lineRule="auto"/>
        <w:jc w:val="both"/>
        <w:rPr>
          <w:rFonts w:ascii="Arial" w:eastAsia="Arial" w:hAnsi="Arial" w:cs="Arial"/>
          <w:b/>
          <w:bCs/>
          <w:color w:val="000000"/>
          <w:sz w:val="22"/>
          <w:lang w:val="es-ES_tradnl"/>
        </w:rPr>
      </w:pPr>
    </w:p>
    <w:p w14:paraId="4FAAF61E" w14:textId="3EBDC61A" w:rsidR="007101B7" w:rsidRPr="0085790B" w:rsidRDefault="009D61BB" w:rsidP="009D61BB">
      <w:pPr>
        <w:spacing w:line="276" w:lineRule="auto"/>
        <w:jc w:val="both"/>
        <w:rPr>
          <w:rFonts w:ascii="Arial" w:eastAsia="Arial" w:hAnsi="Arial" w:cs="Arial"/>
          <w:b/>
          <w:bCs/>
          <w:color w:val="000000"/>
          <w:sz w:val="22"/>
          <w:lang w:val="es-ES_tradnl"/>
        </w:rPr>
      </w:pPr>
      <w:r w:rsidRPr="0085790B">
        <w:rPr>
          <w:rFonts w:ascii="Arial" w:eastAsia="Arial" w:hAnsi="Arial" w:cs="Arial"/>
          <w:b/>
          <w:bCs/>
          <w:color w:val="000000"/>
          <w:sz w:val="22"/>
          <w:lang w:val="es-ES_tradnl"/>
        </w:rPr>
        <w:t>2.1. Vigencia de la Resolución No. 116 de 2020</w:t>
      </w:r>
    </w:p>
    <w:p w14:paraId="64E1F6E4" w14:textId="77777777" w:rsidR="00202E44" w:rsidRPr="0085790B" w:rsidRDefault="00202E44" w:rsidP="00202E44">
      <w:pPr>
        <w:spacing w:line="276" w:lineRule="auto"/>
        <w:jc w:val="both"/>
        <w:rPr>
          <w:rFonts w:ascii="Arial" w:eastAsia="Calibri" w:hAnsi="Arial" w:cs="Arial"/>
          <w:color w:val="000000" w:themeColor="text1"/>
          <w:sz w:val="22"/>
          <w:lang w:val="es-ES_tradnl"/>
        </w:rPr>
      </w:pPr>
    </w:p>
    <w:p w14:paraId="6803049C" w14:textId="0148E766" w:rsidR="00202E44" w:rsidRPr="0085790B" w:rsidRDefault="00202E44" w:rsidP="00202E44">
      <w:pPr>
        <w:spacing w:line="276" w:lineRule="auto"/>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85790B">
        <w:rPr>
          <w:rStyle w:val="Refdenotaalpie"/>
          <w:rFonts w:ascii="Arial" w:eastAsia="Calibri" w:hAnsi="Arial" w:cs="Arial"/>
          <w:color w:val="000000" w:themeColor="text1"/>
          <w:sz w:val="22"/>
          <w:lang w:val="es-ES_tradnl"/>
        </w:rPr>
        <w:footnoteReference w:id="2"/>
      </w:r>
      <w:r w:rsidRPr="0085790B">
        <w:rPr>
          <w:rFonts w:ascii="Arial" w:eastAsia="Calibri" w:hAnsi="Arial" w:cs="Arial"/>
          <w:color w:val="000000" w:themeColor="text1"/>
          <w:sz w:val="22"/>
          <w:lang w:val="es-ES_tradnl"/>
        </w:rPr>
        <w:t>.</w:t>
      </w:r>
    </w:p>
    <w:p w14:paraId="56D4B3AE" w14:textId="77777777" w:rsidR="00202E44" w:rsidRPr="0085790B" w:rsidRDefault="00202E44" w:rsidP="00202E44">
      <w:pPr>
        <w:spacing w:before="120" w:line="276" w:lineRule="auto"/>
        <w:ind w:firstLine="709"/>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significando que nadie puede ser sancionado –no solo en el ámbito penal, sino también en el administrativo– sino al amparo de una disposición que se haya expedido </w:t>
      </w:r>
      <w:r w:rsidRPr="0085790B">
        <w:rPr>
          <w:rFonts w:ascii="Arial" w:eastAsia="Calibri" w:hAnsi="Arial" w:cs="Arial"/>
          <w:i/>
          <w:iCs/>
          <w:color w:val="000000" w:themeColor="text1"/>
          <w:sz w:val="22"/>
          <w:lang w:val="es-ES_tradnl"/>
        </w:rPr>
        <w:t>antes</w:t>
      </w:r>
      <w:r w:rsidRPr="0085790B">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85790B">
        <w:rPr>
          <w:rFonts w:ascii="Arial" w:eastAsia="Calibri" w:hAnsi="Arial" w:cs="Arial"/>
          <w:i/>
          <w:iCs/>
          <w:color w:val="000000" w:themeColor="text1"/>
          <w:sz w:val="22"/>
          <w:lang w:val="es-ES_tradnl"/>
        </w:rPr>
        <w:t>irretroactividad</w:t>
      </w:r>
      <w:r w:rsidRPr="0085790B">
        <w:rPr>
          <w:rFonts w:ascii="Arial" w:eastAsia="Calibri" w:hAnsi="Arial" w:cs="Arial"/>
          <w:color w:val="000000" w:themeColor="text1"/>
          <w:sz w:val="22"/>
          <w:lang w:val="es-ES_tradnl"/>
        </w:rPr>
        <w:t xml:space="preserve"> de las leyes.</w:t>
      </w:r>
    </w:p>
    <w:p w14:paraId="38FE0057" w14:textId="77777777" w:rsidR="00202E44" w:rsidRPr="0085790B" w:rsidRDefault="00202E44" w:rsidP="00202E44">
      <w:pPr>
        <w:spacing w:before="120" w:line="276" w:lineRule="auto"/>
        <w:ind w:firstLine="709"/>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 que se analiza en este concepto, se resaltan los siguientes artículos de dicha Ley:</w:t>
      </w:r>
    </w:p>
    <w:p w14:paraId="035FD330" w14:textId="77777777" w:rsidR="00202E44" w:rsidRPr="0085790B" w:rsidRDefault="00202E44" w:rsidP="00202E44">
      <w:pPr>
        <w:spacing w:line="276" w:lineRule="auto"/>
        <w:ind w:firstLine="709"/>
        <w:jc w:val="both"/>
        <w:rPr>
          <w:rFonts w:ascii="Arial" w:eastAsia="Calibri" w:hAnsi="Arial" w:cs="Arial"/>
          <w:color w:val="000000" w:themeColor="text1"/>
          <w:sz w:val="22"/>
          <w:lang w:val="es-ES_tradnl"/>
        </w:rPr>
      </w:pPr>
    </w:p>
    <w:p w14:paraId="0E359A27" w14:textId="77777777"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Artículo 38. En todo contrato se entenderán incorporadas las leyes vigentes al tiempo de su celebración. </w:t>
      </w:r>
    </w:p>
    <w:p w14:paraId="5403C0D3" w14:textId="77777777"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Exceptúanse de esta disposición: </w:t>
      </w:r>
    </w:p>
    <w:p w14:paraId="12F686D9" w14:textId="77777777"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1. Las leyes concernientes al modo de reclamar en juicio los derechos que resultaren del contrato, y </w:t>
      </w:r>
    </w:p>
    <w:p w14:paraId="12B46F72" w14:textId="77777777"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1B11C02E" w14:textId="7E6919D9"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Artículo 40.</w:t>
      </w:r>
      <w:r w:rsidR="00B55C69">
        <w:rPr>
          <w:rFonts w:ascii="Arial" w:hAnsi="Arial" w:cs="Arial"/>
          <w:color w:val="000000" w:themeColor="text1"/>
          <w:sz w:val="21"/>
          <w:szCs w:val="21"/>
          <w:lang w:val="es-ES_tradnl"/>
        </w:rPr>
        <w:t xml:space="preserve"> </w:t>
      </w:r>
      <w:r w:rsidRPr="0085790B">
        <w:rPr>
          <w:rFonts w:ascii="Arial" w:hAnsi="Arial" w:cs="Arial"/>
          <w:color w:val="000000" w:themeColor="text1"/>
          <w:sz w:val="21"/>
          <w:szCs w:val="21"/>
          <w:lang w:val="es-ES_tradnl"/>
        </w:rPr>
        <w:t xml:space="preserve">Las leyes concernientes a la sustanciación y ritualidad de los juicios prevalecen sobre las anteriores desde el momento en que deben empezar a regir. </w:t>
      </w:r>
    </w:p>
    <w:p w14:paraId="7574DAFA" w14:textId="77777777" w:rsidR="00202E44" w:rsidRPr="0085790B" w:rsidRDefault="00202E44" w:rsidP="00777696">
      <w:pPr>
        <w:spacing w:after="120"/>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1D0EC4E5" w14:textId="77777777" w:rsidR="00202E44" w:rsidRPr="0085790B" w:rsidRDefault="00202E44" w:rsidP="00215B8E">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5AA434FF" w14:textId="77777777" w:rsidR="00202E44" w:rsidRPr="0085790B" w:rsidRDefault="00202E44" w:rsidP="00202E44">
      <w:pPr>
        <w:ind w:left="709" w:right="709"/>
        <w:jc w:val="both"/>
        <w:rPr>
          <w:rFonts w:ascii="Arial" w:hAnsi="Arial" w:cs="Arial"/>
          <w:color w:val="000000" w:themeColor="text1"/>
          <w:sz w:val="21"/>
          <w:szCs w:val="21"/>
          <w:lang w:val="es-ES_tradnl"/>
        </w:rPr>
      </w:pPr>
    </w:p>
    <w:p w14:paraId="6891F021" w14:textId="77777777" w:rsidR="00202E44" w:rsidRPr="0085790B" w:rsidRDefault="00202E44" w:rsidP="00202E44">
      <w:pPr>
        <w:spacing w:line="276" w:lineRule="auto"/>
        <w:ind w:firstLine="709"/>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De dichos enunciados se pueden extraer las siguientes subreglas: i) en principio, las leyes promulgadas rigen hacia el futuro, es decir, no regulan situaciones del pasado; son, pues, irretroactivas; en consecuencia, nadie puede ser «juzgado» ni sancionado, sino conforme a leyes preexistentes al acto que se imputa; ii)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85790B">
        <w:rPr>
          <w:rStyle w:val="Refdenotaalpie"/>
          <w:rFonts w:ascii="Arial" w:eastAsia="Calibri" w:hAnsi="Arial" w:cs="Arial"/>
          <w:color w:val="000000" w:themeColor="text1"/>
          <w:sz w:val="22"/>
          <w:lang w:val="es-ES_tradnl"/>
        </w:rPr>
        <w:footnoteReference w:id="3"/>
      </w:r>
      <w:r w:rsidRPr="0085790B">
        <w:rPr>
          <w:rFonts w:ascii="Arial" w:eastAsia="Calibri" w:hAnsi="Arial" w:cs="Arial"/>
          <w:color w:val="000000" w:themeColor="text1"/>
          <w:sz w:val="22"/>
          <w:lang w:val="es-ES_tradnl"/>
        </w:rPr>
        <w:t xml:space="preserve">. Así lo ha </w:t>
      </w:r>
      <w:r w:rsidRPr="0085790B">
        <w:rPr>
          <w:rFonts w:ascii="Arial" w:eastAsia="Calibri" w:hAnsi="Arial" w:cs="Arial"/>
          <w:color w:val="000000" w:themeColor="text1"/>
          <w:sz w:val="22"/>
          <w:lang w:val="es-ES_tradnl"/>
        </w:rPr>
        <w:lastRenderedPageBreak/>
        <w:t>entendido la Corte Constitucional, al indicar que en las actuaciones administrativas se debe aplicar el principio de favorabilidad. Fue esta la tesis que defendió en la Sentencia C-619 de 2001, que estudió la demanda de inconstitucionalidad en contra del primer inciso del artículo 67 de la Ley 610 de 2000</w:t>
      </w:r>
      <w:r w:rsidRPr="0085790B">
        <w:rPr>
          <w:rStyle w:val="Refdenotaalpie"/>
          <w:rFonts w:ascii="Arial" w:eastAsia="Calibri" w:hAnsi="Arial" w:cs="Arial"/>
          <w:color w:val="000000" w:themeColor="text1"/>
          <w:sz w:val="22"/>
          <w:lang w:val="es-ES_tradnl"/>
        </w:rPr>
        <w:footnoteReference w:id="4"/>
      </w:r>
      <w:r w:rsidRPr="0085790B">
        <w:rPr>
          <w:rFonts w:ascii="Arial" w:eastAsia="Calibri" w:hAnsi="Arial" w:cs="Arial"/>
          <w:color w:val="000000" w:themeColor="text1"/>
          <w:sz w:val="22"/>
          <w:lang w:val="es-ES_tradnl"/>
        </w:rPr>
        <w:t xml:space="preserve">. </w:t>
      </w:r>
    </w:p>
    <w:p w14:paraId="41B6057E" w14:textId="77777777" w:rsidR="00202E44" w:rsidRPr="0085790B" w:rsidRDefault="00202E44" w:rsidP="00202E44">
      <w:pPr>
        <w:spacing w:before="120" w:line="276" w:lineRule="auto"/>
        <w:ind w:firstLine="709"/>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En relación con las normas procesales, el artículo 40 de la Ley 153 de 1887 es claro en el sentido de indicar que las diligencias o etapas que se hubieren iniciado continúan rigiéndose por las normas vigentes en el momento de comenzar el trámite, lo cual también se aplica a los procedimientos administrativos, y dentro de estos, a los de selección. Esto permite concluir que la Resolución </w:t>
      </w:r>
      <w:r w:rsidRPr="0085790B">
        <w:rPr>
          <w:rFonts w:ascii="Arial" w:eastAsia="Arial" w:hAnsi="Arial" w:cs="Arial"/>
          <w:sz w:val="22"/>
          <w:lang w:val="es-ES_tradnl"/>
        </w:rPr>
        <w:t>No. 116 del 21 de julio de 2020 es obligatoria para los procedimientos de licitación pública y de selección abreviada de menor cuantía de infraestructura de transporte iniciados con posterioridad a su entrada en vigencia; no a los anteriores. El artículo 4º del referido acto administrativo dispone que «Esta resolución rige a partir de su publicación», pero este precepto debe interpretarse con el matiz previsto para las normas anteriores, en el artículo 40 de la Ley 153 de 1887.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 De este modo, si se encuentra abierto el procedimiento de selección contractual, las normas que regularon la elaboración del pliego de condiciones se mantienen vigentes durante todo el procedimiento e incluso se incorporan al contrato, como se desprende del artículo 38 de la Ley 153 de 1887.</w:t>
      </w:r>
    </w:p>
    <w:p w14:paraId="39BE7CFD" w14:textId="77777777" w:rsidR="009D61BB" w:rsidRPr="0085790B" w:rsidRDefault="009D61BB" w:rsidP="00A036AC">
      <w:pPr>
        <w:tabs>
          <w:tab w:val="left" w:pos="709"/>
        </w:tabs>
        <w:spacing w:before="120" w:line="276" w:lineRule="auto"/>
        <w:jc w:val="both"/>
        <w:rPr>
          <w:rFonts w:ascii="Arial" w:eastAsia="Arial" w:hAnsi="Arial" w:cs="Arial"/>
          <w:sz w:val="22"/>
          <w:lang w:val="es-ES_tradnl"/>
        </w:rPr>
      </w:pPr>
    </w:p>
    <w:p w14:paraId="1DCA6114" w14:textId="77777777" w:rsidR="00BD2063" w:rsidRPr="0085790B" w:rsidRDefault="009D61BB" w:rsidP="00A036AC">
      <w:pPr>
        <w:tabs>
          <w:tab w:val="left" w:pos="709"/>
        </w:tabs>
        <w:spacing w:before="120" w:line="276" w:lineRule="auto"/>
        <w:jc w:val="both"/>
        <w:rPr>
          <w:rFonts w:ascii="Arial" w:eastAsia="Arial" w:hAnsi="Arial" w:cs="Arial"/>
          <w:b/>
          <w:bCs/>
          <w:sz w:val="22"/>
          <w:lang w:val="es-ES_tradnl"/>
        </w:rPr>
      </w:pPr>
      <w:r w:rsidRPr="0085790B">
        <w:rPr>
          <w:rFonts w:ascii="Arial" w:eastAsia="Arial" w:hAnsi="Arial" w:cs="Arial"/>
          <w:b/>
          <w:bCs/>
          <w:sz w:val="22"/>
          <w:lang w:val="es-ES_tradnl"/>
        </w:rPr>
        <w:t xml:space="preserve">2.2. </w:t>
      </w:r>
      <w:r w:rsidR="00BD2063" w:rsidRPr="0085790B">
        <w:rPr>
          <w:rFonts w:ascii="Arial" w:eastAsia="Arial" w:hAnsi="Arial" w:cs="Arial"/>
          <w:b/>
          <w:bCs/>
          <w:sz w:val="22"/>
          <w:lang w:val="es-ES_tradnl"/>
        </w:rPr>
        <w:t>Factor de calidad: en especial, las cuadrillas de trabajo adicional</w:t>
      </w:r>
    </w:p>
    <w:p w14:paraId="2DEA76C6" w14:textId="77777777" w:rsidR="00AA0A06" w:rsidRPr="0085790B" w:rsidRDefault="00AA0A06" w:rsidP="00AA0A06">
      <w:pPr>
        <w:tabs>
          <w:tab w:val="left" w:pos="426"/>
        </w:tabs>
        <w:spacing w:line="276" w:lineRule="auto"/>
        <w:jc w:val="both"/>
        <w:rPr>
          <w:rFonts w:ascii="Arial" w:eastAsia="Arial" w:hAnsi="Arial" w:cs="Arial"/>
          <w:sz w:val="22"/>
          <w:lang w:val="es-ES_tradnl"/>
        </w:rPr>
      </w:pPr>
    </w:p>
    <w:p w14:paraId="15CA6C5E" w14:textId="76BC392D" w:rsidR="00194E8C" w:rsidRPr="0085790B" w:rsidRDefault="00194E8C" w:rsidP="00194E8C">
      <w:pPr>
        <w:tabs>
          <w:tab w:val="left" w:pos="426"/>
        </w:tabs>
        <w:spacing w:after="120" w:line="276" w:lineRule="auto"/>
        <w:jc w:val="both"/>
        <w:rPr>
          <w:rFonts w:ascii="Arial" w:eastAsia="Arial" w:hAnsi="Arial" w:cs="Arial"/>
          <w:sz w:val="22"/>
          <w:lang w:val="es-ES_tradnl"/>
        </w:rPr>
      </w:pPr>
      <w:r w:rsidRPr="0085790B">
        <w:rPr>
          <w:rFonts w:ascii="Arial" w:eastAsia="Arial" w:hAnsi="Arial" w:cs="Arial"/>
          <w:sz w:val="22"/>
          <w:lang w:val="es-ES_tradnl"/>
        </w:rPr>
        <w:lastRenderedPageBreak/>
        <w:t xml:space="preserve">Antes de proceder al estudio de los interrogantes planteados, es necesario resaltar que los numerales 4.2.4, 4.2.5. y 4.2.6. del documento base para licitaciones públicas de infraestructura de trasporte –versión 2–, relativos a los factores de calidad de garantía suplementaria, cuadrillas de trabajo adicional y mantenimiento adicional, así como también los mismos numerales del pliego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11AC13A4" w14:textId="77777777" w:rsidR="00194E8C" w:rsidRPr="0085790B" w:rsidRDefault="00194E8C" w:rsidP="00194E8C">
      <w:pPr>
        <w:tabs>
          <w:tab w:val="left" w:pos="709"/>
        </w:tabs>
        <w:spacing w:before="120" w:line="276" w:lineRule="auto"/>
        <w:jc w:val="both"/>
        <w:rPr>
          <w:rFonts w:ascii="Arial" w:eastAsia="Arial" w:hAnsi="Arial" w:cs="Arial"/>
          <w:sz w:val="22"/>
          <w:lang w:val="es-ES_tradnl"/>
        </w:rPr>
      </w:pPr>
      <w:r w:rsidRPr="0085790B">
        <w:rPr>
          <w:rFonts w:ascii="Arial" w:eastAsia="Arial" w:hAnsi="Arial" w:cs="Arial"/>
          <w:sz w:val="22"/>
          <w:lang w:val="es-ES_tradnl"/>
        </w:rPr>
        <w:tab/>
        <w:t>En relación con el «factor de calidad», la versión 2 de los documentos tipo para procesos de licitación de obra pública de infraestructura de transporte –Resolución No. 045 de 2020–, conserva los tres factores existentes en la versión 1 –Resolución No. 1798 de 2019–, e incluyen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117A301E" w14:textId="77777777" w:rsidR="00194E8C" w:rsidRPr="0085790B" w:rsidRDefault="00194E8C" w:rsidP="00194E8C">
      <w:pPr>
        <w:spacing w:before="120" w:line="276" w:lineRule="auto"/>
        <w:ind w:firstLine="709"/>
        <w:jc w:val="both"/>
        <w:rPr>
          <w:rFonts w:ascii="Arial" w:eastAsia="Arial" w:hAnsi="Arial" w:cs="Arial"/>
          <w:sz w:val="22"/>
          <w:lang w:val="es-ES_tradnl"/>
        </w:rPr>
      </w:pPr>
      <w:r w:rsidRPr="0085790B">
        <w:rPr>
          <w:rFonts w:ascii="Arial" w:eastAsia="Arial" w:hAnsi="Arial" w:cs="Arial"/>
          <w:sz w:val="22"/>
          <w:lang w:val="es-ES_tradnl"/>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1794AD34" w14:textId="7CEC771F" w:rsidR="00194E8C" w:rsidRPr="0085790B" w:rsidRDefault="00194E8C" w:rsidP="00194E8C">
      <w:pPr>
        <w:spacing w:before="120" w:line="276" w:lineRule="auto"/>
        <w:ind w:firstLine="709"/>
        <w:jc w:val="both"/>
        <w:rPr>
          <w:rFonts w:ascii="Arial" w:eastAsia="Arial" w:hAnsi="Arial" w:cs="Arial"/>
          <w:sz w:val="22"/>
          <w:lang w:val="es-ES_tradnl"/>
        </w:rPr>
      </w:pPr>
      <w:r w:rsidRPr="0085790B">
        <w:rPr>
          <w:rFonts w:ascii="Arial" w:eastAsia="Arial" w:hAnsi="Arial" w:cs="Arial"/>
          <w:sz w:val="22"/>
          <w:lang w:val="es-ES_tradnl"/>
        </w:rPr>
        <w:t>Adicionalmente, esta versión de los documentos tipo conserva el puntaje establecido para el factor de calidad en la versión 1, de modo que no se alteró el total de los 19 puntos que puede otorgar la entidad por este criterio de evaluación. Estos 19 puntos corresponderán al total de los que podrán asignarse como puntaje al rubro de factor de calidad, en caso de que se opte por varios factores de calidad estos puntos debe</w:t>
      </w:r>
      <w:r w:rsidR="005D466F">
        <w:rPr>
          <w:rFonts w:ascii="Arial" w:eastAsia="Arial" w:hAnsi="Arial" w:cs="Arial"/>
          <w:sz w:val="22"/>
          <w:lang w:val="es-ES_tradnl"/>
        </w:rPr>
        <w:t>n</w:t>
      </w:r>
      <w:r w:rsidRPr="0085790B">
        <w:rPr>
          <w:rFonts w:ascii="Arial" w:eastAsia="Arial" w:hAnsi="Arial" w:cs="Arial"/>
          <w:sz w:val="22"/>
          <w:lang w:val="es-ES_tradnl"/>
        </w:rPr>
        <w:t xml:space="preserve"> repart</w:t>
      </w:r>
      <w:r w:rsidR="005D466F">
        <w:rPr>
          <w:rFonts w:ascii="Arial" w:eastAsia="Arial" w:hAnsi="Arial" w:cs="Arial"/>
          <w:sz w:val="22"/>
          <w:lang w:val="es-ES_tradnl"/>
        </w:rPr>
        <w:t>irse</w:t>
      </w:r>
      <w:r w:rsidRPr="0085790B">
        <w:rPr>
          <w:rFonts w:ascii="Arial" w:eastAsia="Arial" w:hAnsi="Arial" w:cs="Arial"/>
          <w:sz w:val="22"/>
          <w:lang w:val="es-ES_tradnl"/>
        </w:rPr>
        <w:t xml:space="preserve"> entre </w:t>
      </w:r>
      <w:r w:rsidR="005D466F">
        <w:rPr>
          <w:rFonts w:ascii="Arial" w:eastAsia="Arial" w:hAnsi="Arial" w:cs="Arial"/>
          <w:sz w:val="22"/>
          <w:lang w:val="es-ES_tradnl"/>
        </w:rPr>
        <w:t>ellos</w:t>
      </w:r>
      <w:r w:rsidRPr="0085790B">
        <w:rPr>
          <w:rFonts w:ascii="Arial" w:eastAsia="Arial" w:hAnsi="Arial" w:cs="Arial"/>
          <w:sz w:val="22"/>
          <w:lang w:val="es-ES_tradnl"/>
        </w:rPr>
        <w:t xml:space="preserve">, de tal manera que la sumatoria del puntaje de los factores de calidad escogidos por la entidad no sobre pase los 19 puntos.  </w:t>
      </w:r>
    </w:p>
    <w:p w14:paraId="3DC56BDC" w14:textId="72491D31" w:rsidR="00194E8C" w:rsidRPr="0085790B" w:rsidRDefault="00194E8C" w:rsidP="00194E8C">
      <w:pPr>
        <w:spacing w:before="120" w:line="276" w:lineRule="auto"/>
        <w:ind w:firstLine="709"/>
        <w:jc w:val="both"/>
        <w:rPr>
          <w:rFonts w:ascii="Arial" w:eastAsia="Arial" w:hAnsi="Arial" w:cs="Arial"/>
          <w:sz w:val="22"/>
          <w:lang w:val="es-ES_tradnl"/>
        </w:rPr>
      </w:pPr>
      <w:r w:rsidRPr="0085790B">
        <w:rPr>
          <w:rFonts w:ascii="Arial" w:eastAsia="Arial" w:hAnsi="Arial" w:cs="Arial"/>
          <w:sz w:val="22"/>
          <w:lang w:val="es-ES_tradnl"/>
        </w:rPr>
        <w:t xml:space="preserve">El </w:t>
      </w:r>
      <w:r w:rsidRPr="0085790B">
        <w:rPr>
          <w:rStyle w:val="normaltextrun"/>
          <w:rFonts w:ascii="Arial" w:hAnsi="Arial" w:cs="Arial"/>
          <w:color w:val="000000"/>
          <w:sz w:val="20"/>
          <w:szCs w:val="20"/>
          <w:shd w:val="clear" w:color="auto" w:fill="FFFFFF"/>
          <w:lang w:val="es-ES_tradnl"/>
        </w:rPr>
        <w:t>«</w:t>
      </w:r>
      <w:r w:rsidRPr="0085790B">
        <w:rPr>
          <w:rStyle w:val="normaltextrun"/>
          <w:rFonts w:ascii="Arial" w:hAnsi="Arial" w:cs="Arial"/>
          <w:color w:val="000000"/>
          <w:sz w:val="22"/>
          <w:shd w:val="clear" w:color="auto" w:fill="FFFFFF"/>
          <w:lang w:val="es-ES_tradnl"/>
        </w:rPr>
        <w:t>Factor de Calidad – Cuadrilla de trabajo adicional»</w:t>
      </w:r>
      <w:r w:rsidRPr="0085790B">
        <w:rPr>
          <w:rFonts w:ascii="Arial" w:eastAsia="Arial" w:hAnsi="Arial" w:cs="Arial"/>
          <w:sz w:val="22"/>
          <w:lang w:val="es-ES_tradnl"/>
        </w:rPr>
        <w:t xml:space="preserve">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 ser de 5 obreros. Asimismo, este ofrecimiento </w:t>
      </w:r>
      <w:r w:rsidR="006013C9">
        <w:rPr>
          <w:rFonts w:ascii="Arial" w:eastAsia="Arial" w:hAnsi="Arial" w:cs="Arial"/>
          <w:sz w:val="22"/>
          <w:lang w:val="es-ES_tradnl"/>
        </w:rPr>
        <w:t>es</w:t>
      </w:r>
      <w:r w:rsidR="006013C9" w:rsidRPr="0085790B">
        <w:rPr>
          <w:rFonts w:ascii="Arial" w:eastAsia="Arial" w:hAnsi="Arial" w:cs="Arial"/>
          <w:sz w:val="22"/>
          <w:lang w:val="es-ES_tradnl"/>
        </w:rPr>
        <w:t xml:space="preserve"> </w:t>
      </w:r>
      <w:r w:rsidRPr="0085790B">
        <w:rPr>
          <w:rFonts w:ascii="Arial" w:eastAsia="Arial" w:hAnsi="Arial" w:cs="Arial"/>
          <w:sz w:val="22"/>
          <w:lang w:val="es-ES_tradnl"/>
        </w:rPr>
        <w:t xml:space="preserve">a costo y riesgo del contratista </w:t>
      </w:r>
      <w:r w:rsidRPr="0085790B">
        <w:rPr>
          <w:rFonts w:ascii="Arial" w:eastAsia="Arial" w:hAnsi="Arial" w:cs="Arial"/>
          <w:sz w:val="22"/>
          <w:lang w:val="es-ES_tradnl"/>
        </w:rPr>
        <w:lastRenderedPageBreak/>
        <w:t xml:space="preserve">durante la ejecución del contrato y no </w:t>
      </w:r>
      <w:r w:rsidR="006013C9">
        <w:rPr>
          <w:rFonts w:ascii="Arial" w:eastAsia="Arial" w:hAnsi="Arial" w:cs="Arial"/>
          <w:sz w:val="22"/>
          <w:lang w:val="es-ES_tradnl"/>
        </w:rPr>
        <w:t>puede</w:t>
      </w:r>
      <w:r w:rsidR="006013C9" w:rsidRPr="0085790B">
        <w:rPr>
          <w:rFonts w:ascii="Arial" w:eastAsia="Arial" w:hAnsi="Arial" w:cs="Arial"/>
          <w:sz w:val="22"/>
          <w:lang w:val="es-ES_tradnl"/>
        </w:rPr>
        <w:t xml:space="preserve"> </w:t>
      </w:r>
      <w:r w:rsidRPr="0085790B">
        <w:rPr>
          <w:rFonts w:ascii="Arial" w:eastAsia="Arial" w:hAnsi="Arial" w:cs="Arial"/>
          <w:sz w:val="22"/>
          <w:lang w:val="es-ES_tradnl"/>
        </w:rPr>
        <w:t xml:space="preserve">ser objeto de cobro adicional alguno a la entidad. </w:t>
      </w:r>
    </w:p>
    <w:p w14:paraId="59C7AF73" w14:textId="79F1CC2C" w:rsidR="00194E8C" w:rsidRPr="0085790B" w:rsidRDefault="00194E8C" w:rsidP="00194E8C">
      <w:pPr>
        <w:tabs>
          <w:tab w:val="left" w:pos="709"/>
        </w:tabs>
        <w:spacing w:before="120" w:line="276" w:lineRule="auto"/>
        <w:jc w:val="both"/>
        <w:rPr>
          <w:rFonts w:ascii="Arial" w:hAnsi="Arial" w:cs="Arial"/>
          <w:sz w:val="22"/>
          <w:lang w:val="es-ES_tradnl"/>
        </w:rPr>
      </w:pPr>
      <w:r w:rsidRPr="0085790B">
        <w:rPr>
          <w:rFonts w:ascii="Arial" w:eastAsia="Arial" w:hAnsi="Arial" w:cs="Arial"/>
          <w:sz w:val="22"/>
          <w:lang w:val="es-ES_tradnl"/>
        </w:rPr>
        <w:tab/>
        <w:t xml:space="preserve">En lo relativo a las cuadrillas de trabajo adicionales, a partir de la modificación introducida por la Resolución No. 116 de 2020, las entidades deben elegir si establecen un estimado de frentes de trabajo o si no lo </w:t>
      </w:r>
      <w:r w:rsidR="006013C9">
        <w:rPr>
          <w:rFonts w:ascii="Arial" w:eastAsia="Arial" w:hAnsi="Arial" w:cs="Arial"/>
          <w:sz w:val="22"/>
          <w:lang w:val="es-ES_tradnl"/>
        </w:rPr>
        <w:t>hacen</w:t>
      </w:r>
      <w:r w:rsidRPr="0085790B">
        <w:rPr>
          <w:rFonts w:ascii="Arial" w:eastAsia="Arial" w:hAnsi="Arial" w:cs="Arial"/>
          <w:sz w:val="22"/>
          <w:lang w:val="es-ES_tradnl"/>
        </w:rPr>
        <w:t>, pues, en el primer evento, «</w:t>
      </w:r>
      <w:r w:rsidRPr="0085790B">
        <w:rPr>
          <w:rFonts w:ascii="Arial" w:hAnsi="Arial" w:cs="Arial"/>
          <w:sz w:val="22"/>
          <w:lang w:val="es-ES_tradnl"/>
        </w:rPr>
        <w:t>[e]l proponente podrá ofrecer hasta máximo 2 cuadrillas por cada frente de trabajo»</w:t>
      </w:r>
      <w:r w:rsidRPr="0085790B">
        <w:rPr>
          <w:rStyle w:val="Refdenotaalpie"/>
          <w:rFonts w:ascii="Arial" w:hAnsi="Arial" w:cs="Arial"/>
          <w:sz w:val="22"/>
          <w:lang w:val="es-ES_tradnl"/>
        </w:rPr>
        <w:footnoteReference w:id="5"/>
      </w:r>
      <w:r w:rsidRPr="0085790B">
        <w:rPr>
          <w:rFonts w:ascii="Arial" w:hAnsi="Arial" w:cs="Arial"/>
          <w:sz w:val="22"/>
          <w:lang w:val="es-ES_tradnl"/>
        </w:rPr>
        <w:t>, mientras que en el segundo, «[…] ofrecerá 1 cuadrilla adicional por cada 50 obreros que sean requeridos para el proyecto de infraestructura de transporte»</w:t>
      </w:r>
      <w:r w:rsidRPr="0085790B">
        <w:rPr>
          <w:rStyle w:val="Refdenotaalpie"/>
          <w:rFonts w:ascii="Arial" w:hAnsi="Arial" w:cs="Arial"/>
          <w:sz w:val="22"/>
          <w:lang w:val="es-ES_tradnl"/>
        </w:rPr>
        <w:footnoteReference w:id="6"/>
      </w:r>
      <w:r w:rsidRPr="0085790B">
        <w:rPr>
          <w:rFonts w:ascii="Arial" w:hAnsi="Arial" w:cs="Arial"/>
          <w:sz w:val="22"/>
          <w:lang w:val="es-ES_tradnl"/>
        </w:rPr>
        <w:t>. Así lo establece el nuevo texto del numeral 4.2.5 del documento base:</w:t>
      </w:r>
    </w:p>
    <w:p w14:paraId="5CA2ACBC" w14:textId="77777777" w:rsidR="00194E8C" w:rsidRPr="0085790B" w:rsidRDefault="00194E8C" w:rsidP="00194E8C">
      <w:pPr>
        <w:tabs>
          <w:tab w:val="left" w:pos="709"/>
        </w:tabs>
        <w:spacing w:line="276" w:lineRule="auto"/>
        <w:jc w:val="both"/>
        <w:rPr>
          <w:rFonts w:ascii="ArialMT" w:hAnsi="ArialMT"/>
          <w:sz w:val="22"/>
          <w:lang w:val="es-ES_tradnl"/>
        </w:rPr>
      </w:pPr>
    </w:p>
    <w:p w14:paraId="67C99FF5" w14:textId="77777777" w:rsidR="00194E8C" w:rsidRPr="0085790B" w:rsidRDefault="00194E8C" w:rsidP="00194E8C">
      <w:pPr>
        <w:ind w:left="709" w:right="709"/>
        <w:jc w:val="both"/>
        <w:rPr>
          <w:rFonts w:ascii="Arial" w:hAnsi="Arial" w:cs="Arial"/>
          <w:sz w:val="21"/>
          <w:szCs w:val="21"/>
          <w:lang w:val="es-ES_tradnl"/>
        </w:rPr>
      </w:pPr>
      <w:r w:rsidRPr="0085790B">
        <w:rPr>
          <w:rFonts w:ascii="Arial" w:hAnsi="Arial" w:cs="Arial"/>
          <w:sz w:val="21"/>
          <w:szCs w:val="21"/>
          <w:lang w:val="es-ES_tradnl"/>
        </w:rPr>
        <w:t xml:space="preserve">Por cuadrilla de trabajo adicional se entiende la configurada por el personal obrero adicional para un frente o unidad de trabajo que requiera el proyecto de infraestructura de trabajo, la cual deberá ser de 5 obreros. Este ofrecimiento será a costo y riesgo del contratista durante la ejecución del contrato y no podrá ser objeto de cobro alguno a la Entidad. </w:t>
      </w:r>
    </w:p>
    <w:p w14:paraId="3D0A56EA"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En caso de que el proponente se comprometa a ofertar este Factor de Calidad debe tener en cuenta las siguientes consideraciones:</w:t>
      </w:r>
    </w:p>
    <w:p w14:paraId="50B531D6" w14:textId="77777777" w:rsidR="00194E8C" w:rsidRPr="0085790B" w:rsidRDefault="00194E8C" w:rsidP="00194E8C">
      <w:pPr>
        <w:tabs>
          <w:tab w:val="left" w:pos="709"/>
        </w:tabs>
        <w:spacing w:before="120"/>
        <w:ind w:left="709" w:right="709"/>
        <w:jc w:val="both"/>
        <w:rPr>
          <w:rFonts w:ascii="Arial" w:hAnsi="Arial" w:cs="Arial"/>
          <w:sz w:val="21"/>
          <w:szCs w:val="21"/>
          <w:highlight w:val="darkGray"/>
          <w:lang w:val="es-ES_tradnl"/>
        </w:rPr>
      </w:pPr>
      <w:r w:rsidRPr="0085790B">
        <w:rPr>
          <w:rFonts w:ascii="Arial" w:hAnsi="Arial" w:cs="Arial"/>
          <w:sz w:val="21"/>
          <w:szCs w:val="21"/>
          <w:lang w:val="es-ES_tradnl"/>
        </w:rPr>
        <w:t xml:space="preserve"> I. </w:t>
      </w:r>
      <w:r w:rsidRPr="0085790B">
        <w:rPr>
          <w:rFonts w:ascii="Arial" w:hAnsi="Arial" w:cs="Arial"/>
          <w:sz w:val="21"/>
          <w:szCs w:val="21"/>
          <w:highlight w:val="darkGray"/>
          <w:lang w:val="es-ES_tradnl"/>
        </w:rPr>
        <w:t xml:space="preserve">[La entidad podrá escoger una única opción entre alguna de las siguientes, según sea el caso particular de su proceso de contratación: </w:t>
      </w:r>
    </w:p>
    <w:p w14:paraId="5245CEFC"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a. Opción I (Detalle de frentes de trabajo): </w:t>
      </w:r>
      <w:r w:rsidRPr="0085790B">
        <w:rPr>
          <w:rFonts w:ascii="Arial" w:hAnsi="Arial" w:cs="Arial"/>
          <w:sz w:val="21"/>
          <w:szCs w:val="21"/>
          <w:highlight w:val="darkGray"/>
          <w:lang w:val="es-ES_tradnl"/>
        </w:rPr>
        <w:t>[En el caso que la entidad en su etapa previa de planeación haya estimado un valor mínimo de frentes de trabajo]</w:t>
      </w:r>
      <w:r w:rsidRPr="0085790B">
        <w:rPr>
          <w:rFonts w:ascii="Arial" w:hAnsi="Arial" w:cs="Arial"/>
          <w:sz w:val="21"/>
          <w:szCs w:val="21"/>
          <w:lang w:val="es-ES_tradnl"/>
        </w:rPr>
        <w:t xml:space="preserve"> El proponente podrá ofrecer hasta máximo 2 cuadrillas por cada frente de trabajo, y la ponderación se hará en función de la sumatoria de las cuadrillas para la totalidad de los frentes de obra. Para los fines del presente proceso de contratación, los frentes estimados de trabajo son: </w:t>
      </w:r>
      <w:r w:rsidRPr="0085790B">
        <w:rPr>
          <w:rFonts w:ascii="Arial" w:hAnsi="Arial" w:cs="Arial"/>
          <w:sz w:val="21"/>
          <w:szCs w:val="21"/>
          <w:highlight w:val="darkGray"/>
          <w:lang w:val="es-ES_tradnl"/>
        </w:rPr>
        <w:t>[la entidad deberá indicar los frentes de obra estimados como parte de su etapa previa para ser considerados por el proponente en su ofrecimiento]</w:t>
      </w:r>
      <w:r w:rsidRPr="0085790B">
        <w:rPr>
          <w:rFonts w:ascii="Arial" w:hAnsi="Arial" w:cs="Arial"/>
          <w:sz w:val="21"/>
          <w:szCs w:val="21"/>
          <w:lang w:val="es-ES_tradnl"/>
        </w:rPr>
        <w:t xml:space="preserve">. </w:t>
      </w:r>
    </w:p>
    <w:p w14:paraId="5B227722"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b. Opción II (Sin estimado de frentes de trabajo): </w:t>
      </w:r>
      <w:r w:rsidRPr="0085790B">
        <w:rPr>
          <w:rFonts w:ascii="Arial" w:hAnsi="Arial" w:cs="Arial"/>
          <w:sz w:val="21"/>
          <w:szCs w:val="21"/>
          <w:highlight w:val="darkGray"/>
          <w:lang w:val="es-ES_tradnl"/>
        </w:rPr>
        <w:t>[En el caso que la entidad en su etapa previa de planeación, o como producto de la misma no haya considerado como necesario estimar frentes de trabajo y decida optar por este factor de calidad, podrá aplicar el siguiente criterio:]</w:t>
      </w:r>
      <w:r w:rsidRPr="0085790B">
        <w:rPr>
          <w:rFonts w:ascii="Arial" w:hAnsi="Arial" w:cs="Arial"/>
          <w:sz w:val="21"/>
          <w:szCs w:val="21"/>
          <w:lang w:val="es-ES_tradnl"/>
        </w:rPr>
        <w:t xml:space="preserve"> </w:t>
      </w:r>
    </w:p>
    <w:p w14:paraId="5441282B"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El proponente ofrecerá 1 cuadrilla adicional por cada 50 obreros que sean requeridos para el proyecto de infraestructura de transporte. </w:t>
      </w:r>
      <w:r w:rsidRPr="0085790B">
        <w:rPr>
          <w:rFonts w:ascii="Arial" w:hAnsi="Arial" w:cs="Arial"/>
          <w:sz w:val="21"/>
          <w:szCs w:val="21"/>
          <w:highlight w:val="darkGray"/>
          <w:lang w:val="es-ES_tradnl"/>
        </w:rPr>
        <w:t>[P.ej. en el caso que para un proyecto sean estimados un total de 100 obreros para poder ejecutar el objeto contractual, se podrán ofrecer hasta máximo 2 cuadrillas]</w:t>
      </w:r>
      <w:r w:rsidRPr="0085790B">
        <w:rPr>
          <w:rFonts w:ascii="Arial" w:hAnsi="Arial" w:cs="Arial"/>
          <w:sz w:val="21"/>
          <w:szCs w:val="21"/>
          <w:lang w:val="es-ES_tradnl"/>
        </w:rPr>
        <w:t xml:space="preserve"> </w:t>
      </w:r>
    </w:p>
    <w:p w14:paraId="62AEEB23" w14:textId="060BA9B5"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La ponderación se hará en función de la sumatoria de las cuadrillas adicionales ofrecidas</w:t>
      </w:r>
      <w:r w:rsidR="006013C9">
        <w:rPr>
          <w:rFonts w:ascii="Arial" w:hAnsi="Arial" w:cs="Arial"/>
          <w:sz w:val="21"/>
          <w:szCs w:val="21"/>
          <w:lang w:val="es-ES_tradnl"/>
        </w:rPr>
        <w:t>.</w:t>
      </w:r>
      <w:r w:rsidRPr="0085790B">
        <w:rPr>
          <w:rFonts w:ascii="Arial" w:hAnsi="Arial" w:cs="Arial"/>
          <w:sz w:val="21"/>
          <w:szCs w:val="21"/>
          <w:lang w:val="es-ES_tradnl"/>
        </w:rPr>
        <w:t xml:space="preserve"> Para los fines de este aspecto, se tiene un valor aproximado de </w:t>
      </w:r>
      <w:r w:rsidRPr="0085790B">
        <w:rPr>
          <w:rFonts w:ascii="Arial" w:hAnsi="Arial" w:cs="Arial"/>
          <w:sz w:val="21"/>
          <w:szCs w:val="21"/>
          <w:highlight w:val="darkGray"/>
          <w:lang w:val="es-ES_tradnl"/>
        </w:rPr>
        <w:t xml:space="preserve">[la entidad deberá brindar un valor indicativo al proponente de la cantidad de </w:t>
      </w:r>
      <w:r w:rsidRPr="0085790B">
        <w:rPr>
          <w:rFonts w:ascii="Arial" w:hAnsi="Arial" w:cs="Arial"/>
          <w:sz w:val="21"/>
          <w:szCs w:val="21"/>
          <w:highlight w:val="darkGray"/>
          <w:lang w:val="es-ES_tradnl"/>
        </w:rPr>
        <w:lastRenderedPageBreak/>
        <w:t>obreros estimados]</w:t>
      </w:r>
      <w:r w:rsidRPr="0085790B">
        <w:rPr>
          <w:rFonts w:ascii="Arial" w:hAnsi="Arial" w:cs="Arial"/>
          <w:sz w:val="21"/>
          <w:szCs w:val="21"/>
          <w:lang w:val="es-ES_tradnl"/>
        </w:rPr>
        <w:t xml:space="preserve"> obreros como un valor estimativo para ser considerado por el proponente. </w:t>
      </w:r>
    </w:p>
    <w:p w14:paraId="6B7F7EAB"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II. Las cuadrillas de trabajo adicionales ofrecidas deben laborar en cumplimiento de las siguientes condiciones:</w:t>
      </w:r>
    </w:p>
    <w:p w14:paraId="152B67FA" w14:textId="77777777" w:rsidR="00194E8C" w:rsidRPr="0085790B" w:rsidRDefault="00194E8C" w:rsidP="00194E8C">
      <w:pPr>
        <w:tabs>
          <w:tab w:val="left" w:pos="709"/>
        </w:tabs>
        <w:ind w:left="709" w:right="709"/>
        <w:jc w:val="both"/>
        <w:rPr>
          <w:rFonts w:ascii="Arial" w:hAnsi="Arial" w:cs="Arial"/>
          <w:sz w:val="21"/>
          <w:szCs w:val="21"/>
          <w:lang w:val="es-ES_tradnl"/>
        </w:rPr>
      </w:pPr>
      <w:r w:rsidRPr="0085790B">
        <w:rPr>
          <w:rFonts w:ascii="Arial" w:hAnsi="Arial" w:cs="Arial"/>
          <w:sz w:val="21"/>
          <w:szCs w:val="21"/>
          <w:lang w:val="es-ES_tradnl"/>
        </w:rPr>
        <w:t>[…]</w:t>
      </w:r>
    </w:p>
    <w:p w14:paraId="3D408D0E" w14:textId="77777777" w:rsidR="00194E8C" w:rsidRPr="0085790B" w:rsidRDefault="00194E8C" w:rsidP="00194E8C">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d. </w:t>
      </w:r>
      <w:r w:rsidRPr="0085790B">
        <w:rPr>
          <w:rFonts w:ascii="Arial" w:hAnsi="Arial" w:cs="Arial"/>
          <w:sz w:val="21"/>
          <w:szCs w:val="21"/>
          <w:highlight w:val="darkGray"/>
          <w:lang w:val="es-ES_tradnl"/>
        </w:rPr>
        <w:t>[En este espacio la entidad podrá definir a modo indicativo las actividades de mayor relevancia que serán sujeto de intervención de las cuadrillas de acuerdo con el objeto del proceso de contratación, si así lo considera pertinente]</w:t>
      </w:r>
    </w:p>
    <w:p w14:paraId="70702481" w14:textId="77777777" w:rsidR="00194E8C" w:rsidRPr="0085790B" w:rsidRDefault="00194E8C" w:rsidP="00194E8C">
      <w:pPr>
        <w:tabs>
          <w:tab w:val="left" w:pos="709"/>
        </w:tabs>
        <w:spacing w:line="276" w:lineRule="auto"/>
        <w:jc w:val="both"/>
        <w:rPr>
          <w:rFonts w:ascii="ArialMT" w:hAnsi="ArialMT"/>
          <w:sz w:val="22"/>
          <w:lang w:val="es-ES_tradnl"/>
        </w:rPr>
      </w:pPr>
    </w:p>
    <w:p w14:paraId="19356193" w14:textId="77777777" w:rsidR="00194E8C" w:rsidRPr="0085790B" w:rsidRDefault="00194E8C" w:rsidP="00194E8C">
      <w:pPr>
        <w:tabs>
          <w:tab w:val="left" w:pos="709"/>
        </w:tabs>
        <w:spacing w:line="276" w:lineRule="auto"/>
        <w:jc w:val="both"/>
        <w:rPr>
          <w:rFonts w:ascii="Arial" w:hAnsi="Arial" w:cs="Arial"/>
          <w:sz w:val="22"/>
          <w:lang w:val="es-ES_tradnl"/>
        </w:rPr>
      </w:pPr>
      <w:r w:rsidRPr="0085790B">
        <w:rPr>
          <w:rFonts w:ascii="ArialMT" w:hAnsi="ArialMT"/>
          <w:sz w:val="22"/>
          <w:lang w:val="es-ES_tradnl"/>
        </w:rPr>
        <w:tab/>
      </w:r>
      <w:r w:rsidRPr="0085790B">
        <w:rPr>
          <w:rFonts w:ascii="Arial" w:hAnsi="Arial" w:cs="Arial"/>
          <w:sz w:val="22"/>
          <w:lang w:val="es-ES_tradnl"/>
        </w:rPr>
        <w:t>Conforme a lo anterior, las entidades que implementen el factor de calidad de cuadrillas de trabajo adicional escogerán entre la opción I y II. Al escogerse la opción I, conforme a lo determinado en la etapa de planeación del correspondiente contrato, las entidades deberán indicar en el pliego de condiciones los frentes de trabajo que fueron estimados. Tal indicación permitirá limitar los ofrecimientos de cuadrillas adicionales, en la medida que solo estará permitido ofrecer dos de estas por cada frente de trabajo.</w:t>
      </w:r>
    </w:p>
    <w:p w14:paraId="2FED0FDB" w14:textId="72BE4C55" w:rsidR="00194E8C" w:rsidRPr="0085790B" w:rsidRDefault="00194E8C" w:rsidP="00194E8C">
      <w:pPr>
        <w:tabs>
          <w:tab w:val="left" w:pos="709"/>
        </w:tabs>
        <w:spacing w:before="120" w:line="276" w:lineRule="auto"/>
        <w:jc w:val="both"/>
        <w:rPr>
          <w:rFonts w:ascii="Arial" w:hAnsi="Arial" w:cs="Arial"/>
          <w:sz w:val="22"/>
          <w:lang w:val="es-ES_tradnl"/>
        </w:rPr>
      </w:pPr>
      <w:r w:rsidRPr="0085790B">
        <w:rPr>
          <w:rFonts w:ascii="Arial" w:hAnsi="Arial" w:cs="Arial"/>
          <w:sz w:val="22"/>
          <w:lang w:val="es-ES_tradnl"/>
        </w:rPr>
        <w:tab/>
        <w:t xml:space="preserve">Por otro lado, en el caso </w:t>
      </w:r>
      <w:r w:rsidR="00407A7A" w:rsidRPr="0085790B">
        <w:rPr>
          <w:rFonts w:ascii="Arial" w:hAnsi="Arial" w:cs="Arial"/>
          <w:sz w:val="22"/>
          <w:lang w:val="es-ES_tradnl"/>
        </w:rPr>
        <w:t>en</w:t>
      </w:r>
      <w:r w:rsidRPr="0085790B">
        <w:rPr>
          <w:rFonts w:ascii="Arial" w:hAnsi="Arial" w:cs="Arial"/>
          <w:sz w:val="22"/>
          <w:lang w:val="es-ES_tradnl"/>
        </w:rPr>
        <w:t xml:space="preserve"> que de la planeación del contrato no surja una estimación de los frentes de obra que deberán implementarse en el desarrollo del contrato, las entidades estatales podrán decantarse por la opción II, en la que la limitación a los ofrecimientos se configura a partir de un estimado de los obreros en total requeridos para el desarrollo de la obra, de tal manera que los proponentes podrán ofertar una cuadrilla de trabajo adicional por cada 50 obreros que sean requeridos. </w:t>
      </w:r>
    </w:p>
    <w:p w14:paraId="34861B07" w14:textId="1BAB7C63" w:rsidR="00194E8C" w:rsidRPr="0085790B" w:rsidRDefault="00194E8C" w:rsidP="00194E8C">
      <w:pPr>
        <w:tabs>
          <w:tab w:val="left" w:pos="709"/>
        </w:tabs>
        <w:spacing w:before="120" w:after="120" w:line="276" w:lineRule="auto"/>
        <w:jc w:val="both"/>
        <w:rPr>
          <w:rFonts w:ascii="Arial" w:hAnsi="Arial" w:cs="Arial"/>
          <w:sz w:val="22"/>
          <w:lang w:val="es-ES_tradnl"/>
        </w:rPr>
      </w:pPr>
      <w:r w:rsidRPr="0085790B">
        <w:rPr>
          <w:rFonts w:ascii="Arial" w:hAnsi="Arial" w:cs="Arial"/>
          <w:sz w:val="22"/>
          <w:lang w:val="es-ES_tradnl"/>
        </w:rPr>
        <w:tab/>
        <w:t xml:space="preserve">Ahora bien, </w:t>
      </w:r>
      <w:bookmarkStart w:id="2" w:name="_Hlk47618398"/>
      <w:r w:rsidRPr="0085790B">
        <w:rPr>
          <w:rFonts w:ascii="Arial" w:hAnsi="Arial" w:cs="Arial"/>
          <w:sz w:val="22"/>
          <w:lang w:val="es-ES_tradnl"/>
        </w:rPr>
        <w:t xml:space="preserve">independientemente de la opción que se escoja, conforme indica el literal d) del punto II del numeral 4.2.5 del documento base, las entidades pueden definir en el pliego de condiciones las actividades de mayor relevancia que serán objeto de intervención </w:t>
      </w:r>
      <w:r w:rsidR="006013C9">
        <w:rPr>
          <w:rFonts w:ascii="Arial" w:hAnsi="Arial" w:cs="Arial"/>
          <w:sz w:val="22"/>
          <w:lang w:val="es-ES_tradnl"/>
        </w:rPr>
        <w:t>por</w:t>
      </w:r>
      <w:r w:rsidR="006013C9" w:rsidRPr="0085790B">
        <w:rPr>
          <w:rFonts w:ascii="Arial" w:hAnsi="Arial" w:cs="Arial"/>
          <w:sz w:val="22"/>
          <w:lang w:val="es-ES_tradnl"/>
        </w:rPr>
        <w:t xml:space="preserve"> </w:t>
      </w:r>
      <w:r w:rsidRPr="0085790B">
        <w:rPr>
          <w:rFonts w:ascii="Arial" w:hAnsi="Arial" w:cs="Arial"/>
          <w:sz w:val="22"/>
          <w:lang w:val="es-ES_tradnl"/>
        </w:rPr>
        <w:t>las cuadrillas ofertadas. Como dispone el literal citado, si lo consideran pertinente, las entidades están facultadas para usar esta posibilidad, pudiendo optar por no hacerlo.</w:t>
      </w:r>
    </w:p>
    <w:p w14:paraId="17C7A68D" w14:textId="1ACBCAD1" w:rsidR="00194E8C" w:rsidRPr="0085790B" w:rsidRDefault="00194E8C" w:rsidP="00194E8C">
      <w:pPr>
        <w:tabs>
          <w:tab w:val="left" w:pos="709"/>
        </w:tabs>
        <w:spacing w:before="120" w:after="120" w:line="276" w:lineRule="auto"/>
        <w:jc w:val="both"/>
        <w:rPr>
          <w:rFonts w:ascii="Arial" w:hAnsi="Arial" w:cs="Arial"/>
          <w:sz w:val="22"/>
          <w:lang w:val="es-ES_tradnl"/>
        </w:rPr>
      </w:pPr>
      <w:r w:rsidRPr="0085790B">
        <w:rPr>
          <w:rFonts w:ascii="Arial" w:hAnsi="Arial" w:cs="Arial"/>
          <w:sz w:val="22"/>
          <w:lang w:val="es-ES_tradnl"/>
        </w:rPr>
        <w:tab/>
        <w:t xml:space="preserve">En caso de que la respectiva entidad no haga uso de la posibilidad de señalar las actividades que serán objeto de intervención de las cuadrillas adicionales, el contratista tendrá cierta libertad en cuanto a la distribución de la labor de estas entre las diferentes actividades contempladas en la ejecución de la obra. Por el contrario, si dentro </w:t>
      </w:r>
      <w:r w:rsidR="00F9167D" w:rsidRPr="0085790B">
        <w:rPr>
          <w:rFonts w:ascii="Arial" w:hAnsi="Arial" w:cs="Arial"/>
          <w:sz w:val="22"/>
          <w:lang w:val="es-ES_tradnl"/>
        </w:rPr>
        <w:t xml:space="preserve">del </w:t>
      </w:r>
      <w:r w:rsidRPr="0085790B">
        <w:rPr>
          <w:rFonts w:ascii="Arial" w:hAnsi="Arial" w:cs="Arial"/>
          <w:sz w:val="22"/>
          <w:lang w:val="es-ES_tradnl"/>
        </w:rPr>
        <w:t xml:space="preserve">literal d) del punto II del numeral 4.2.5 del documento base, la entidad considera pertinente incluir un listado de actividades que serán objeto de intervención, esta decisión condicionará las labores realizadas por las cuadrillas al punto que estas, durante la ejecución de la obra, deberán efectivamente destinar sus labores a la realización de estas actividades. </w:t>
      </w:r>
    </w:p>
    <w:p w14:paraId="614D1BE1" w14:textId="7502CF67" w:rsidR="00194E8C" w:rsidRPr="0085790B" w:rsidRDefault="00194E8C" w:rsidP="00194E8C">
      <w:pPr>
        <w:tabs>
          <w:tab w:val="left" w:pos="709"/>
        </w:tabs>
        <w:spacing w:before="120" w:after="120" w:line="276" w:lineRule="auto"/>
        <w:jc w:val="both"/>
        <w:rPr>
          <w:rFonts w:ascii="Arial" w:hAnsi="Arial" w:cs="Arial"/>
          <w:sz w:val="22"/>
          <w:lang w:val="es-ES_tradnl"/>
        </w:rPr>
      </w:pPr>
      <w:r w:rsidRPr="0085790B">
        <w:rPr>
          <w:rFonts w:ascii="Arial" w:hAnsi="Arial" w:cs="Arial"/>
          <w:sz w:val="22"/>
          <w:lang w:val="es-ES_tradnl"/>
        </w:rPr>
        <w:tab/>
        <w:t>En ese sentido, el literal en comento brinda a las entidades la posibilidad de regular</w:t>
      </w:r>
      <w:r w:rsidR="006013C9">
        <w:rPr>
          <w:rFonts w:ascii="Arial" w:hAnsi="Arial" w:cs="Arial"/>
          <w:sz w:val="22"/>
          <w:lang w:val="es-ES_tradnl"/>
        </w:rPr>
        <w:t>,</w:t>
      </w:r>
      <w:r w:rsidRPr="0085790B">
        <w:rPr>
          <w:rFonts w:ascii="Arial" w:hAnsi="Arial" w:cs="Arial"/>
          <w:sz w:val="22"/>
          <w:lang w:val="es-ES_tradnl"/>
        </w:rPr>
        <w:t xml:space="preserve"> en cierta manera</w:t>
      </w:r>
      <w:r w:rsidR="006013C9">
        <w:rPr>
          <w:rFonts w:ascii="Arial" w:hAnsi="Arial" w:cs="Arial"/>
          <w:sz w:val="22"/>
          <w:lang w:val="es-ES_tradnl"/>
        </w:rPr>
        <w:t>,</w:t>
      </w:r>
      <w:r w:rsidRPr="0085790B">
        <w:rPr>
          <w:rFonts w:ascii="Arial" w:hAnsi="Arial" w:cs="Arial"/>
          <w:sz w:val="22"/>
          <w:lang w:val="es-ES_tradnl"/>
        </w:rPr>
        <w:t xml:space="preserve"> el trabajo de las cuadrillas adicionales contempladas como factor de calidad en el numeral 4.2.5 del documento base, cuando estime que el desarrollo del objeto contractual así lo exige. Conforme a esto, en ejercicio de esta facultad las entidades no solo </w:t>
      </w:r>
      <w:r w:rsidRPr="0085790B">
        <w:rPr>
          <w:rFonts w:ascii="Arial" w:hAnsi="Arial" w:cs="Arial"/>
          <w:sz w:val="22"/>
          <w:lang w:val="es-ES_tradnl"/>
        </w:rPr>
        <w:lastRenderedPageBreak/>
        <w:t xml:space="preserve">podrán incluir un listado de las actividades que principalmente deberán ser objeto de intervención por parte de las cuadrillas de trabajo adicionales ofertadas, sino que –por ejemplo– también podrán definir reglas respecto de la destinación de sus labores antes de iniciar o una vez concluidas las actividades principales a las cuales están asociadas dentro del programa de obra. </w:t>
      </w:r>
    </w:p>
    <w:p w14:paraId="66336A77" w14:textId="77777777" w:rsidR="00194E8C" w:rsidRPr="0085790B" w:rsidRDefault="00194E8C" w:rsidP="00194E8C">
      <w:pPr>
        <w:tabs>
          <w:tab w:val="left" w:pos="709"/>
        </w:tabs>
        <w:spacing w:before="120" w:after="120" w:line="276" w:lineRule="auto"/>
        <w:jc w:val="both"/>
        <w:rPr>
          <w:rFonts w:ascii="Arial" w:hAnsi="Arial" w:cs="Arial"/>
          <w:sz w:val="22"/>
          <w:lang w:val="es-ES_tradnl"/>
        </w:rPr>
      </w:pPr>
      <w:r w:rsidRPr="0085790B">
        <w:rPr>
          <w:rFonts w:ascii="Arial" w:hAnsi="Arial" w:cs="Arial"/>
          <w:sz w:val="22"/>
          <w:lang w:val="es-ES_tradnl"/>
        </w:rPr>
        <w:tab/>
        <w:t xml:space="preserve">De esta manera, en desarrollo del ejemplo propuesto, una entidad podrá establecer que las cuadrillas adicionales estarán destinadas a la actividad A, y que una vez concluida esta última deberán dedicarse a la actividad B, o que las cuadrillas se destinarán principalmente a la actividad B, pero que hasta tanto no inicie la ejecución de esta deberán participar de la realización de las actividades C y D. Incluso, las entidades también podrán dejar en libertad al contratista para que destine el trabajo de las cuadrillas a las actividades que considere pertinentes, ya sea antes de iniciarse la ejecución de las actividades a las cuales deberán dedicarse o una vez concluidas estas. </w:t>
      </w:r>
    </w:p>
    <w:p w14:paraId="5D884E5D" w14:textId="77777777" w:rsidR="00194E8C" w:rsidRPr="0085790B" w:rsidRDefault="00194E8C" w:rsidP="00194E8C">
      <w:pPr>
        <w:tabs>
          <w:tab w:val="left" w:pos="709"/>
        </w:tabs>
        <w:spacing w:before="120" w:after="120" w:line="276" w:lineRule="auto"/>
        <w:jc w:val="both"/>
        <w:rPr>
          <w:rFonts w:ascii="Arial" w:hAnsi="Arial" w:cs="Arial"/>
          <w:sz w:val="22"/>
          <w:lang w:val="es-ES_tradnl"/>
        </w:rPr>
      </w:pPr>
      <w:r w:rsidRPr="0085790B">
        <w:rPr>
          <w:rFonts w:ascii="Arial" w:hAnsi="Arial" w:cs="Arial"/>
          <w:sz w:val="22"/>
          <w:lang w:val="es-ES_tradnl"/>
        </w:rPr>
        <w:t xml:space="preserve"> </w:t>
      </w:r>
      <w:r w:rsidRPr="0085790B">
        <w:rPr>
          <w:rFonts w:ascii="Arial" w:hAnsi="Arial" w:cs="Arial"/>
          <w:sz w:val="22"/>
          <w:lang w:val="es-ES_tradnl"/>
        </w:rPr>
        <w:tab/>
        <w:t xml:space="preserve">En todo caso, ya sea que la entidad opte o no por incluir en el pliego de condiciones las actividades que serán objeto de intervención por parte de las cuadrillas de trabajo adicional, no debe perderse de vista que el ofrecimiento realizado con ocasión de este factor de calidad será objeto de verificación por parte de la interventoría, en el marco de la cual deberá constatarse que efectivamente se hayan vinculado las cuadrillas adicionales al desarrollo de la obra en los términos establecidos en el pliego, lo que supone, de ser el caso, determinar si estas se dedicaron a las actividades indicadas por la entidad contratante.  </w:t>
      </w:r>
    </w:p>
    <w:bookmarkEnd w:id="2"/>
    <w:p w14:paraId="4BBD4EBE" w14:textId="3E3A0486" w:rsidR="00194E8C" w:rsidRPr="0085790B" w:rsidRDefault="00194E8C" w:rsidP="00194E8C">
      <w:pPr>
        <w:spacing w:before="120" w:line="276" w:lineRule="auto"/>
        <w:ind w:firstLine="709"/>
        <w:jc w:val="both"/>
        <w:rPr>
          <w:rFonts w:ascii="Arial" w:hAnsi="Arial" w:cs="Arial"/>
          <w:sz w:val="22"/>
          <w:lang w:val="es-ES_tradnl"/>
        </w:rPr>
      </w:pPr>
      <w:r w:rsidRPr="0085790B">
        <w:rPr>
          <w:rFonts w:ascii="Arial" w:hAnsi="Arial" w:cs="Arial"/>
          <w:sz w:val="22"/>
          <w:lang w:val="es-ES_tradnl"/>
        </w:rPr>
        <w:t>En conclusión, frente al factor de calidad de cuadrillas de trabajo adicional, cuando la entidad opte por no establecer las actividades a las que estará dedicado el trabajo de las cuadrillas adicionales, el contratista podrá distribuir las mismas entre las diferentes actividades del programa de obra según estime conveniente. Por el contrario, si la entidad establece las actividades a las que deberán dedicarse las cuadrillas, el contratista en la ejecución de la obra deberá cumplir con la destinación señalada por la Administración vinculando las cuadrillas ofertadas a las actividades indicadas en el pliego</w:t>
      </w:r>
      <w:r w:rsidR="00B57B9D" w:rsidRPr="0085790B">
        <w:rPr>
          <w:rFonts w:ascii="Arial" w:hAnsi="Arial" w:cs="Arial"/>
          <w:sz w:val="22"/>
          <w:lang w:val="es-ES_tradnl"/>
        </w:rPr>
        <w:t>.</w:t>
      </w:r>
    </w:p>
    <w:p w14:paraId="43F2607D" w14:textId="77777777" w:rsidR="00A036AC" w:rsidRPr="0085790B" w:rsidRDefault="00A036AC" w:rsidP="00E86D35">
      <w:pPr>
        <w:tabs>
          <w:tab w:val="left" w:pos="426"/>
        </w:tabs>
        <w:spacing w:line="276" w:lineRule="auto"/>
        <w:jc w:val="both"/>
        <w:rPr>
          <w:rFonts w:ascii="Arial" w:eastAsia="Calibri" w:hAnsi="Arial" w:cs="Arial"/>
          <w:b/>
          <w:color w:val="000000" w:themeColor="text1"/>
          <w:sz w:val="22"/>
          <w:lang w:val="es-ES_tradnl"/>
        </w:rPr>
      </w:pPr>
    </w:p>
    <w:p w14:paraId="37CA9805" w14:textId="048E662B" w:rsidR="00DD5B04" w:rsidRPr="0085790B" w:rsidRDefault="004177A6" w:rsidP="002C5D0F">
      <w:pPr>
        <w:tabs>
          <w:tab w:val="left" w:pos="0"/>
        </w:tabs>
        <w:spacing w:line="276" w:lineRule="auto"/>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3</w:t>
      </w:r>
      <w:r w:rsidR="00B011A9" w:rsidRPr="0085790B">
        <w:rPr>
          <w:rFonts w:ascii="Arial" w:eastAsia="Calibri" w:hAnsi="Arial" w:cs="Arial"/>
          <w:b/>
          <w:color w:val="000000" w:themeColor="text1"/>
          <w:sz w:val="22"/>
          <w:lang w:val="es-ES_tradnl"/>
        </w:rPr>
        <w:t xml:space="preserve">. </w:t>
      </w:r>
      <w:r w:rsidR="00DD5B04" w:rsidRPr="0085790B">
        <w:rPr>
          <w:rFonts w:ascii="Arial" w:eastAsia="Calibri" w:hAnsi="Arial" w:cs="Arial"/>
          <w:b/>
          <w:color w:val="000000" w:themeColor="text1"/>
          <w:sz w:val="22"/>
          <w:lang w:val="es-ES_tradnl"/>
        </w:rPr>
        <w:t>Respuesta</w:t>
      </w:r>
      <w:r w:rsidR="00931451" w:rsidRPr="0085790B">
        <w:rPr>
          <w:rFonts w:ascii="Arial" w:eastAsia="Calibri" w:hAnsi="Arial" w:cs="Arial"/>
          <w:b/>
          <w:color w:val="000000" w:themeColor="text1"/>
          <w:sz w:val="22"/>
          <w:lang w:val="es-ES_tradnl"/>
        </w:rPr>
        <w:t>s</w:t>
      </w:r>
    </w:p>
    <w:p w14:paraId="0B74D5B8" w14:textId="5B5B8028" w:rsidR="00C4581D" w:rsidRPr="0085790B" w:rsidRDefault="00C4581D" w:rsidP="00DF76A2">
      <w:pPr>
        <w:tabs>
          <w:tab w:val="left" w:pos="0"/>
        </w:tabs>
        <w:spacing w:line="276" w:lineRule="auto"/>
        <w:jc w:val="both"/>
        <w:rPr>
          <w:rFonts w:ascii="Arial" w:eastAsia="Calibri" w:hAnsi="Arial" w:cs="Arial"/>
          <w:color w:val="000000" w:themeColor="text1"/>
          <w:sz w:val="22"/>
          <w:lang w:val="es-ES_tradnl"/>
        </w:rPr>
      </w:pPr>
    </w:p>
    <w:p w14:paraId="0491CF3E" w14:textId="5BC58A31" w:rsidR="00F91CB2" w:rsidRPr="0085790B" w:rsidRDefault="00F91CB2" w:rsidP="00F91CB2">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«¿A qué hace referencia el termino: "cuadrilla de trabajo adicional y por qué no es de recibo la conformada por un Maestro y un ayudante (2 obreros) sino la conformada por 5 obreros?» (sic)</w:t>
      </w:r>
    </w:p>
    <w:p w14:paraId="68C81E1D" w14:textId="67F1B244" w:rsidR="00F91CB2" w:rsidRPr="0085790B" w:rsidRDefault="00F91CB2" w:rsidP="00E40430">
      <w:pPr>
        <w:ind w:right="709"/>
        <w:jc w:val="both"/>
        <w:rPr>
          <w:rFonts w:ascii="Arial" w:hAnsi="Arial" w:cs="Arial"/>
          <w:color w:val="000000" w:themeColor="text1"/>
          <w:sz w:val="21"/>
          <w:szCs w:val="21"/>
          <w:lang w:val="es-ES_tradnl"/>
        </w:rPr>
      </w:pPr>
    </w:p>
    <w:p w14:paraId="0788BA39" w14:textId="025A976B" w:rsidR="00496664" w:rsidRPr="00777696" w:rsidRDefault="00E40430" w:rsidP="00A22571">
      <w:pPr>
        <w:spacing w:line="276" w:lineRule="auto"/>
        <w:jc w:val="both"/>
        <w:rPr>
          <w:rFonts w:ascii="Arial" w:hAnsi="Arial" w:cs="Arial"/>
          <w:color w:val="000000" w:themeColor="text1"/>
          <w:sz w:val="22"/>
          <w:lang w:val="es-ES_tradnl"/>
        </w:rPr>
      </w:pPr>
      <w:r w:rsidRPr="00777696">
        <w:rPr>
          <w:rFonts w:ascii="Arial" w:hAnsi="Arial" w:cs="Arial"/>
          <w:color w:val="000000" w:themeColor="text1"/>
          <w:sz w:val="22"/>
          <w:lang w:val="es-ES_tradnl"/>
        </w:rPr>
        <w:t>Una cuadrilla de trabajo</w:t>
      </w:r>
      <w:r w:rsidR="00B85681" w:rsidRPr="00777696">
        <w:rPr>
          <w:rFonts w:ascii="Arial" w:hAnsi="Arial" w:cs="Arial"/>
          <w:color w:val="000000" w:themeColor="text1"/>
          <w:sz w:val="22"/>
          <w:lang w:val="es-ES_tradnl"/>
        </w:rPr>
        <w:t xml:space="preserve">, según el numeral </w:t>
      </w:r>
      <w:r w:rsidR="00691EAA" w:rsidRPr="00777696">
        <w:rPr>
          <w:rFonts w:ascii="Arial" w:hAnsi="Arial" w:cs="Arial"/>
          <w:color w:val="000000" w:themeColor="text1"/>
          <w:sz w:val="22"/>
          <w:lang w:val="es-ES_tradnl"/>
        </w:rPr>
        <w:t>4.2.5. del Documento Base de</w:t>
      </w:r>
      <w:r w:rsidR="0085790B" w:rsidRPr="00777696">
        <w:rPr>
          <w:rFonts w:ascii="Arial" w:hAnsi="Arial" w:cs="Arial"/>
          <w:color w:val="000000" w:themeColor="text1"/>
          <w:sz w:val="22"/>
          <w:lang w:val="es-ES_tradnl"/>
        </w:rPr>
        <w:t xml:space="preserve"> los</w:t>
      </w:r>
      <w:r w:rsidR="00691EAA" w:rsidRPr="00777696">
        <w:rPr>
          <w:rFonts w:ascii="Arial" w:hAnsi="Arial" w:cs="Arial"/>
          <w:color w:val="000000" w:themeColor="text1"/>
          <w:sz w:val="22"/>
          <w:lang w:val="es-ES_tradnl"/>
        </w:rPr>
        <w:t xml:space="preserve"> pliego</w:t>
      </w:r>
      <w:r w:rsidR="0085790B" w:rsidRPr="00777696">
        <w:rPr>
          <w:rFonts w:ascii="Arial" w:hAnsi="Arial" w:cs="Arial"/>
          <w:color w:val="000000" w:themeColor="text1"/>
          <w:sz w:val="22"/>
          <w:lang w:val="es-ES_tradnl"/>
        </w:rPr>
        <w:t>s</w:t>
      </w:r>
      <w:r w:rsidR="00691EAA" w:rsidRPr="00777696">
        <w:rPr>
          <w:rFonts w:ascii="Arial" w:hAnsi="Arial" w:cs="Arial"/>
          <w:color w:val="000000" w:themeColor="text1"/>
          <w:sz w:val="22"/>
          <w:lang w:val="es-ES_tradnl"/>
        </w:rPr>
        <w:t xml:space="preserve"> de condiciones tipo de licitación</w:t>
      </w:r>
      <w:r w:rsidR="0085790B" w:rsidRPr="00777696">
        <w:rPr>
          <w:rFonts w:ascii="Arial" w:hAnsi="Arial" w:cs="Arial"/>
          <w:color w:val="000000" w:themeColor="text1"/>
          <w:sz w:val="22"/>
          <w:lang w:val="es-ES_tradnl"/>
        </w:rPr>
        <w:t xml:space="preserve"> y de selección abreviada de menor cuantía</w:t>
      </w:r>
      <w:r w:rsidR="00EF7BF4" w:rsidRPr="00777696">
        <w:rPr>
          <w:rFonts w:ascii="Arial" w:hAnsi="Arial" w:cs="Arial"/>
          <w:color w:val="000000" w:themeColor="text1"/>
          <w:sz w:val="22"/>
          <w:lang w:val="es-ES_tradnl"/>
        </w:rPr>
        <w:t xml:space="preserve"> de infraestructura de transporte</w:t>
      </w:r>
      <w:r w:rsidR="0085790B" w:rsidRPr="00777696">
        <w:rPr>
          <w:rFonts w:ascii="Arial" w:hAnsi="Arial" w:cs="Arial"/>
          <w:color w:val="000000" w:themeColor="text1"/>
          <w:sz w:val="22"/>
          <w:lang w:val="es-ES_tradnl"/>
        </w:rPr>
        <w:t>, se define como «</w:t>
      </w:r>
      <w:r w:rsidR="00A22571" w:rsidRPr="00777696">
        <w:rPr>
          <w:rFonts w:ascii="Arial" w:hAnsi="Arial" w:cs="Arial"/>
          <w:color w:val="000000" w:themeColor="text1"/>
          <w:sz w:val="22"/>
          <w:lang w:val="es-ES_tradnl"/>
        </w:rPr>
        <w:t>la configurada por el personal obrero adicional para un frente o unidad de trabajo que requiera el proyecto de infraestructura de trabajo, la cual deberá ser de 5 obreros».</w:t>
      </w:r>
      <w:r w:rsidR="00B935C9" w:rsidRPr="00777696">
        <w:rPr>
          <w:rFonts w:ascii="Arial" w:hAnsi="Arial" w:cs="Arial"/>
          <w:color w:val="000000" w:themeColor="text1"/>
          <w:sz w:val="22"/>
          <w:lang w:val="es-ES_tradnl"/>
        </w:rPr>
        <w:t xml:space="preserve"> En tal sentido, como lo indicó esta Agencia en el documento de respuesta </w:t>
      </w:r>
      <w:r w:rsidR="00B935C9" w:rsidRPr="00777696">
        <w:rPr>
          <w:rFonts w:ascii="Arial" w:hAnsi="Arial" w:cs="Arial"/>
          <w:color w:val="000000" w:themeColor="text1"/>
          <w:sz w:val="22"/>
          <w:lang w:val="es-ES_tradnl"/>
        </w:rPr>
        <w:lastRenderedPageBreak/>
        <w:t>a las observaciones</w:t>
      </w:r>
      <w:r w:rsidR="00D4515F" w:rsidRPr="00777696">
        <w:rPr>
          <w:rFonts w:ascii="Arial" w:hAnsi="Arial" w:cs="Arial"/>
          <w:color w:val="000000" w:themeColor="text1"/>
          <w:sz w:val="22"/>
          <w:lang w:val="es-ES_tradnl"/>
        </w:rPr>
        <w:t xml:space="preserve"> </w:t>
      </w:r>
      <w:r w:rsidR="00081D62" w:rsidRPr="00777696">
        <w:rPr>
          <w:rFonts w:ascii="Arial" w:hAnsi="Arial" w:cs="Arial"/>
          <w:color w:val="000000" w:themeColor="text1"/>
          <w:sz w:val="22"/>
          <w:lang w:val="es-ES_tradnl"/>
        </w:rPr>
        <w:t xml:space="preserve">formuladas </w:t>
      </w:r>
      <w:r w:rsidR="00D4515F" w:rsidRPr="00777696">
        <w:rPr>
          <w:rFonts w:ascii="Arial" w:hAnsi="Arial" w:cs="Arial"/>
          <w:color w:val="000000" w:themeColor="text1"/>
          <w:sz w:val="22"/>
          <w:lang w:val="es-ES_tradnl"/>
        </w:rPr>
        <w:t>a la versión</w:t>
      </w:r>
      <w:r w:rsidR="00E9737B" w:rsidRPr="00777696">
        <w:rPr>
          <w:rFonts w:ascii="Arial" w:hAnsi="Arial" w:cs="Arial"/>
          <w:color w:val="000000" w:themeColor="text1"/>
          <w:sz w:val="22"/>
          <w:lang w:val="es-ES_tradnl"/>
        </w:rPr>
        <w:t xml:space="preserve"> 2</w:t>
      </w:r>
      <w:r w:rsidR="00D4515F" w:rsidRPr="00777696">
        <w:rPr>
          <w:rFonts w:ascii="Arial" w:hAnsi="Arial" w:cs="Arial"/>
          <w:color w:val="000000" w:themeColor="text1"/>
          <w:sz w:val="22"/>
          <w:lang w:val="es-ES_tradnl"/>
        </w:rPr>
        <w:t xml:space="preserve"> del pliego tipo</w:t>
      </w:r>
      <w:r w:rsidR="00E9737B" w:rsidRPr="00777696">
        <w:rPr>
          <w:rFonts w:ascii="Arial" w:hAnsi="Arial" w:cs="Arial"/>
          <w:color w:val="000000" w:themeColor="text1"/>
          <w:sz w:val="22"/>
          <w:lang w:val="es-ES_tradnl"/>
        </w:rPr>
        <w:t xml:space="preserve"> de licitación de </w:t>
      </w:r>
      <w:r w:rsidR="00BD0140">
        <w:rPr>
          <w:rFonts w:ascii="Arial" w:hAnsi="Arial" w:cs="Arial"/>
          <w:color w:val="000000" w:themeColor="text1"/>
          <w:sz w:val="22"/>
          <w:lang w:val="es-ES_tradnl"/>
        </w:rPr>
        <w:t xml:space="preserve">obra de </w:t>
      </w:r>
      <w:r w:rsidR="00E9737B" w:rsidRPr="00777696">
        <w:rPr>
          <w:rFonts w:ascii="Arial" w:hAnsi="Arial" w:cs="Arial"/>
          <w:color w:val="000000" w:themeColor="text1"/>
          <w:sz w:val="22"/>
          <w:lang w:val="es-ES_tradnl"/>
        </w:rPr>
        <w:t>infraestructura de transporte</w:t>
      </w:r>
      <w:r w:rsidR="00D4515F" w:rsidRPr="00777696">
        <w:rPr>
          <w:rFonts w:ascii="Arial" w:hAnsi="Arial" w:cs="Arial"/>
          <w:color w:val="000000" w:themeColor="text1"/>
          <w:sz w:val="22"/>
          <w:lang w:val="es-ES_tradnl"/>
        </w:rPr>
        <w:t>, «[…] el factor de calidad referido a la cuadrilla del trabajo adicional garantiza la calidad de la obra porque permite que se entregue la obra final en menor tiempo</w:t>
      </w:r>
      <w:r w:rsidR="00A62C3A" w:rsidRPr="00777696">
        <w:rPr>
          <w:rFonts w:ascii="Arial" w:hAnsi="Arial" w:cs="Arial"/>
          <w:color w:val="000000" w:themeColor="text1"/>
          <w:sz w:val="22"/>
          <w:lang w:val="es-ES_tradnl"/>
        </w:rPr>
        <w:t>»</w:t>
      </w:r>
      <w:r w:rsidR="00D4515F" w:rsidRPr="00777696">
        <w:rPr>
          <w:rFonts w:ascii="Arial" w:hAnsi="Arial" w:cs="Arial"/>
          <w:color w:val="000000" w:themeColor="text1"/>
          <w:sz w:val="22"/>
          <w:lang w:val="es-ES_tradnl"/>
        </w:rPr>
        <w:t>.</w:t>
      </w:r>
    </w:p>
    <w:p w14:paraId="3E50DBBB" w14:textId="534CC508" w:rsidR="00E40430" w:rsidRPr="00777696" w:rsidRDefault="00496664" w:rsidP="0046320A">
      <w:pPr>
        <w:spacing w:before="120" w:line="276" w:lineRule="auto"/>
        <w:ind w:firstLine="709"/>
        <w:jc w:val="both"/>
        <w:rPr>
          <w:rFonts w:ascii="Arial" w:hAnsi="Arial" w:cs="Arial"/>
          <w:color w:val="000000" w:themeColor="text1"/>
          <w:sz w:val="22"/>
          <w:lang w:val="es-ES_tradnl"/>
        </w:rPr>
      </w:pPr>
      <w:r w:rsidRPr="00777696">
        <w:rPr>
          <w:rFonts w:ascii="Arial" w:hAnsi="Arial" w:cs="Arial"/>
          <w:color w:val="000000" w:themeColor="text1"/>
          <w:sz w:val="22"/>
          <w:lang w:val="es-ES_tradnl"/>
        </w:rPr>
        <w:t>Por lo anterior, luego de</w:t>
      </w:r>
      <w:r w:rsidR="00343EFB" w:rsidRPr="00777696">
        <w:rPr>
          <w:rFonts w:ascii="Arial" w:hAnsi="Arial" w:cs="Arial"/>
          <w:color w:val="000000" w:themeColor="text1"/>
          <w:sz w:val="22"/>
          <w:lang w:val="es-ES_tradnl"/>
        </w:rPr>
        <w:t xml:space="preserve"> estructurar</w:t>
      </w:r>
      <w:r w:rsidR="006A575B" w:rsidRPr="00777696">
        <w:rPr>
          <w:rFonts w:ascii="Arial" w:hAnsi="Arial" w:cs="Arial"/>
          <w:color w:val="000000" w:themeColor="text1"/>
          <w:sz w:val="22"/>
          <w:lang w:val="es-ES_tradnl"/>
        </w:rPr>
        <w:t xml:space="preserve"> la versión borrador de los pliegos de condiciones</w:t>
      </w:r>
      <w:r w:rsidR="00F533F1" w:rsidRPr="00777696">
        <w:rPr>
          <w:rFonts w:ascii="Arial" w:hAnsi="Arial" w:cs="Arial"/>
          <w:color w:val="000000" w:themeColor="text1"/>
          <w:sz w:val="22"/>
          <w:lang w:val="es-ES_tradnl"/>
        </w:rPr>
        <w:t xml:space="preserve"> y de</w:t>
      </w:r>
      <w:r w:rsidRPr="00777696">
        <w:rPr>
          <w:rFonts w:ascii="Arial" w:hAnsi="Arial" w:cs="Arial"/>
          <w:color w:val="000000" w:themeColor="text1"/>
          <w:sz w:val="22"/>
          <w:lang w:val="es-ES_tradnl"/>
        </w:rPr>
        <w:t xml:space="preserve"> analizar las observaciones </w:t>
      </w:r>
      <w:r w:rsidR="00343EFB" w:rsidRPr="00777696">
        <w:rPr>
          <w:rFonts w:ascii="Arial" w:hAnsi="Arial" w:cs="Arial"/>
          <w:color w:val="000000" w:themeColor="text1"/>
          <w:sz w:val="22"/>
          <w:lang w:val="es-ES_tradnl"/>
        </w:rPr>
        <w:t>presentadas por los ciudadanos y grupos de interés</w:t>
      </w:r>
      <w:r w:rsidR="0046320A" w:rsidRPr="00777696">
        <w:rPr>
          <w:rFonts w:ascii="Arial" w:hAnsi="Arial" w:cs="Arial"/>
          <w:color w:val="000000" w:themeColor="text1"/>
          <w:sz w:val="22"/>
          <w:lang w:val="es-ES_tradnl"/>
        </w:rPr>
        <w:t xml:space="preserve">, la Agencia Nacional de Contratación Pública – Colombia Compra Eficiente </w:t>
      </w:r>
      <w:r w:rsidR="00964C98" w:rsidRPr="00777696">
        <w:rPr>
          <w:rFonts w:ascii="Arial" w:hAnsi="Arial" w:cs="Arial"/>
          <w:color w:val="000000" w:themeColor="text1"/>
          <w:sz w:val="22"/>
          <w:lang w:val="es-ES_tradnl"/>
        </w:rPr>
        <w:t>decidió</w:t>
      </w:r>
      <w:r w:rsidR="00FB193B" w:rsidRPr="00777696">
        <w:rPr>
          <w:rFonts w:ascii="Arial" w:hAnsi="Arial" w:cs="Arial"/>
          <w:color w:val="000000" w:themeColor="text1"/>
          <w:sz w:val="22"/>
          <w:lang w:val="es-ES_tradnl"/>
        </w:rPr>
        <w:t xml:space="preserve"> conservar la definición de la cuadrilla de trabajo compuesta por cinco (5) obreros, ya que se considera oportuno y conveniente que así sea, para garantizar </w:t>
      </w:r>
      <w:r w:rsidR="00CA41E7" w:rsidRPr="00777696">
        <w:rPr>
          <w:rFonts w:ascii="Arial" w:hAnsi="Arial" w:cs="Arial"/>
          <w:color w:val="000000" w:themeColor="text1"/>
          <w:sz w:val="22"/>
          <w:lang w:val="es-ES_tradnl"/>
        </w:rPr>
        <w:t xml:space="preserve">la entrega de la obra final en un menor tiempo. Ello explica por qué no es </w:t>
      </w:r>
      <w:r w:rsidR="00D759C0" w:rsidRPr="00777696">
        <w:rPr>
          <w:rFonts w:ascii="Arial" w:hAnsi="Arial" w:cs="Arial"/>
          <w:color w:val="000000" w:themeColor="text1"/>
          <w:sz w:val="22"/>
          <w:lang w:val="es-ES_tradnl"/>
        </w:rPr>
        <w:t>admisible</w:t>
      </w:r>
      <w:r w:rsidR="00CA41E7" w:rsidRPr="00777696">
        <w:rPr>
          <w:rFonts w:ascii="Arial" w:hAnsi="Arial" w:cs="Arial"/>
          <w:color w:val="000000" w:themeColor="text1"/>
          <w:sz w:val="22"/>
          <w:lang w:val="es-ES_tradnl"/>
        </w:rPr>
        <w:t xml:space="preserve"> </w:t>
      </w:r>
      <w:r w:rsidR="00781D29" w:rsidRPr="00777696">
        <w:rPr>
          <w:rFonts w:ascii="Arial" w:hAnsi="Arial" w:cs="Arial"/>
          <w:color w:val="000000" w:themeColor="text1"/>
          <w:sz w:val="22"/>
          <w:lang w:val="es-ES_tradnl"/>
        </w:rPr>
        <w:t>entender por cuadrilla la conformada por un número inferior, como el que usted plantea de dos (2) obreros: un maestro y un ayudante.</w:t>
      </w:r>
      <w:r w:rsidR="00964C98" w:rsidRPr="00777696">
        <w:rPr>
          <w:rFonts w:ascii="Arial" w:hAnsi="Arial" w:cs="Arial"/>
          <w:color w:val="000000" w:themeColor="text1"/>
          <w:sz w:val="22"/>
          <w:lang w:val="es-ES_tradnl"/>
        </w:rPr>
        <w:t xml:space="preserve"> </w:t>
      </w:r>
      <w:r w:rsidR="0085790B" w:rsidRPr="00777696">
        <w:rPr>
          <w:rFonts w:ascii="Arial" w:hAnsi="Arial" w:cs="Arial"/>
          <w:color w:val="000000" w:themeColor="text1"/>
          <w:sz w:val="22"/>
          <w:lang w:val="es-ES_tradnl"/>
        </w:rPr>
        <w:t xml:space="preserve"> </w:t>
      </w:r>
    </w:p>
    <w:p w14:paraId="0F84E629" w14:textId="77777777" w:rsidR="00E40430" w:rsidRPr="0085790B" w:rsidRDefault="00E40430" w:rsidP="00E40430">
      <w:pPr>
        <w:ind w:right="709"/>
        <w:jc w:val="both"/>
        <w:rPr>
          <w:rFonts w:ascii="Arial" w:hAnsi="Arial" w:cs="Arial"/>
          <w:color w:val="000000" w:themeColor="text1"/>
          <w:sz w:val="21"/>
          <w:szCs w:val="21"/>
          <w:lang w:val="es-ES_tradnl"/>
        </w:rPr>
      </w:pPr>
    </w:p>
    <w:p w14:paraId="60383F43" w14:textId="26C6A506" w:rsidR="00F91CB2" w:rsidRPr="0085790B" w:rsidRDefault="00F91CB2" w:rsidP="00F91CB2">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«¿Al indicar Adicional se debe entender que ya existe un numero mínimo de trabajadores y se deben ofrecer mas?»</w:t>
      </w:r>
    </w:p>
    <w:p w14:paraId="68DFC96D" w14:textId="1967FD57" w:rsidR="00F91CB2" w:rsidRDefault="00F91CB2" w:rsidP="00A90F12">
      <w:pPr>
        <w:ind w:right="709"/>
        <w:jc w:val="both"/>
        <w:rPr>
          <w:rFonts w:ascii="Arial" w:hAnsi="Arial" w:cs="Arial"/>
          <w:color w:val="000000" w:themeColor="text1"/>
          <w:sz w:val="21"/>
          <w:szCs w:val="21"/>
          <w:lang w:val="es-ES_tradnl"/>
        </w:rPr>
      </w:pPr>
    </w:p>
    <w:p w14:paraId="42FA0D60" w14:textId="09ACC310" w:rsidR="00A90F12" w:rsidRPr="00777696" w:rsidRDefault="00ED5771" w:rsidP="00A90F12">
      <w:pPr>
        <w:spacing w:line="276" w:lineRule="auto"/>
        <w:jc w:val="both"/>
        <w:rPr>
          <w:rFonts w:ascii="Arial" w:hAnsi="Arial" w:cs="Arial"/>
          <w:color w:val="000000" w:themeColor="text1"/>
          <w:sz w:val="22"/>
          <w:lang w:val="es-ES_tradnl"/>
        </w:rPr>
      </w:pPr>
      <w:r w:rsidRPr="00777696">
        <w:rPr>
          <w:rFonts w:ascii="Arial" w:hAnsi="Arial" w:cs="Arial"/>
          <w:color w:val="000000" w:themeColor="text1"/>
          <w:sz w:val="22"/>
          <w:lang w:val="es-ES_tradnl"/>
        </w:rPr>
        <w:t>De conformidad con el numeral 4.2.5. del Documento Base, e</w:t>
      </w:r>
      <w:r w:rsidR="007B5428" w:rsidRPr="00777696">
        <w:rPr>
          <w:rFonts w:ascii="Arial" w:hAnsi="Arial" w:cs="Arial"/>
          <w:color w:val="000000" w:themeColor="text1"/>
          <w:sz w:val="22"/>
          <w:lang w:val="es-ES_tradnl"/>
        </w:rPr>
        <w:t xml:space="preserve">l concepto «adicional» que </w:t>
      </w:r>
      <w:r w:rsidR="00F840BF" w:rsidRPr="00777696">
        <w:rPr>
          <w:rFonts w:ascii="Arial" w:hAnsi="Arial" w:cs="Arial"/>
          <w:color w:val="000000" w:themeColor="text1"/>
          <w:sz w:val="22"/>
          <w:lang w:val="es-ES_tradnl"/>
        </w:rPr>
        <w:t>sucede a</w:t>
      </w:r>
      <w:r w:rsidR="007B5428" w:rsidRPr="00777696">
        <w:rPr>
          <w:rFonts w:ascii="Arial" w:hAnsi="Arial" w:cs="Arial"/>
          <w:color w:val="000000" w:themeColor="text1"/>
          <w:sz w:val="22"/>
          <w:lang w:val="es-ES_tradnl"/>
        </w:rPr>
        <w:t xml:space="preserve"> la expresión «</w:t>
      </w:r>
      <w:r w:rsidR="00964B3F" w:rsidRPr="00777696">
        <w:rPr>
          <w:rFonts w:ascii="Arial" w:hAnsi="Arial" w:cs="Arial"/>
          <w:color w:val="000000" w:themeColor="text1"/>
          <w:sz w:val="22"/>
          <w:lang w:val="es-ES_tradnl"/>
        </w:rPr>
        <w:t>cuadrillas de trabajo»</w:t>
      </w:r>
      <w:r w:rsidR="00355131" w:rsidRPr="00777696">
        <w:rPr>
          <w:rFonts w:ascii="Arial" w:hAnsi="Arial" w:cs="Arial"/>
          <w:color w:val="000000" w:themeColor="text1"/>
          <w:sz w:val="22"/>
          <w:lang w:val="es-ES_tradnl"/>
        </w:rPr>
        <w:t xml:space="preserve"> significa que son grupos de cinco (5) obreros</w:t>
      </w:r>
      <w:r w:rsidR="000C3B77" w:rsidRPr="00777696">
        <w:rPr>
          <w:rFonts w:ascii="Arial" w:hAnsi="Arial" w:cs="Arial"/>
          <w:color w:val="000000" w:themeColor="text1"/>
          <w:sz w:val="22"/>
          <w:lang w:val="es-ES_tradnl"/>
        </w:rPr>
        <w:t xml:space="preserve"> </w:t>
      </w:r>
      <w:r w:rsidR="000C3B77" w:rsidRPr="00777696">
        <w:rPr>
          <w:rFonts w:ascii="Arial" w:hAnsi="Arial" w:cs="Arial"/>
          <w:i/>
          <w:iCs/>
          <w:color w:val="000000" w:themeColor="text1"/>
          <w:sz w:val="22"/>
          <w:lang w:val="es-ES_tradnl"/>
        </w:rPr>
        <w:t>adicionales</w:t>
      </w:r>
      <w:r w:rsidR="000C3B77" w:rsidRPr="00777696">
        <w:rPr>
          <w:rFonts w:ascii="Arial" w:hAnsi="Arial" w:cs="Arial"/>
          <w:color w:val="000000" w:themeColor="text1"/>
          <w:sz w:val="22"/>
          <w:lang w:val="es-ES_tradnl"/>
        </w:rPr>
        <w:t xml:space="preserve"> </w:t>
      </w:r>
      <w:r w:rsidR="00797A9C" w:rsidRPr="00777696">
        <w:rPr>
          <w:rFonts w:ascii="Arial" w:hAnsi="Arial" w:cs="Arial"/>
          <w:color w:val="000000" w:themeColor="text1"/>
          <w:sz w:val="22"/>
          <w:lang w:val="es-ES_tradnl"/>
        </w:rPr>
        <w:t>para un frente o unidad de trabajo</w:t>
      </w:r>
      <w:r w:rsidRPr="00777696">
        <w:rPr>
          <w:rFonts w:ascii="Arial" w:hAnsi="Arial" w:cs="Arial"/>
          <w:color w:val="000000" w:themeColor="text1"/>
          <w:sz w:val="22"/>
          <w:lang w:val="es-ES_tradnl"/>
        </w:rPr>
        <w:t xml:space="preserve"> que requiera el proyecto de infraestructura</w:t>
      </w:r>
      <w:r w:rsidR="000C3B77" w:rsidRPr="00777696">
        <w:rPr>
          <w:rFonts w:ascii="Arial" w:hAnsi="Arial" w:cs="Arial"/>
          <w:color w:val="000000" w:themeColor="text1"/>
          <w:sz w:val="22"/>
          <w:lang w:val="es-ES_tradnl"/>
        </w:rPr>
        <w:t>.</w:t>
      </w:r>
      <w:r w:rsidR="002B6459" w:rsidRPr="00777696">
        <w:rPr>
          <w:rFonts w:ascii="Arial" w:hAnsi="Arial" w:cs="Arial"/>
          <w:color w:val="000000" w:themeColor="text1"/>
          <w:sz w:val="22"/>
          <w:lang w:val="es-ES_tradnl"/>
        </w:rPr>
        <w:t xml:space="preserve"> En tal sentido,</w:t>
      </w:r>
      <w:r w:rsidRPr="00777696">
        <w:rPr>
          <w:rFonts w:ascii="Arial" w:hAnsi="Arial" w:cs="Arial"/>
          <w:color w:val="000000" w:themeColor="text1"/>
          <w:sz w:val="22"/>
          <w:lang w:val="es-ES_tradnl"/>
        </w:rPr>
        <w:t xml:space="preserve"> </w:t>
      </w:r>
      <w:r w:rsidR="00AD2DBD" w:rsidRPr="00777696">
        <w:rPr>
          <w:rFonts w:ascii="Arial" w:hAnsi="Arial" w:cs="Arial"/>
          <w:color w:val="000000" w:themeColor="text1"/>
          <w:sz w:val="22"/>
          <w:lang w:val="es-ES_tradnl"/>
        </w:rPr>
        <w:t>según el numeral en comento</w:t>
      </w:r>
      <w:r w:rsidR="00F840BF" w:rsidRPr="00777696">
        <w:rPr>
          <w:rFonts w:ascii="Arial" w:hAnsi="Arial" w:cs="Arial"/>
          <w:color w:val="000000" w:themeColor="text1"/>
          <w:sz w:val="22"/>
          <w:lang w:val="es-ES_tradnl"/>
        </w:rPr>
        <w:t xml:space="preserve"> –y como se explicó en las consideraciones de este concepto–</w:t>
      </w:r>
      <w:r w:rsidR="00AD2DBD" w:rsidRPr="00777696">
        <w:rPr>
          <w:rFonts w:ascii="Arial" w:hAnsi="Arial" w:cs="Arial"/>
          <w:color w:val="000000" w:themeColor="text1"/>
          <w:sz w:val="22"/>
          <w:lang w:val="es-ES_tradnl"/>
        </w:rPr>
        <w:t xml:space="preserve">, </w:t>
      </w:r>
      <w:r w:rsidRPr="00777696">
        <w:rPr>
          <w:rFonts w:ascii="Arial" w:hAnsi="Arial" w:cs="Arial"/>
          <w:color w:val="000000" w:themeColor="text1"/>
          <w:sz w:val="22"/>
          <w:lang w:val="es-ES_tradnl"/>
        </w:rPr>
        <w:t>la entidad</w:t>
      </w:r>
      <w:r w:rsidR="00AD2DBD" w:rsidRPr="00777696">
        <w:rPr>
          <w:rFonts w:ascii="Arial" w:hAnsi="Arial" w:cs="Arial"/>
          <w:color w:val="000000" w:themeColor="text1"/>
          <w:sz w:val="22"/>
          <w:lang w:val="es-ES_tradnl"/>
        </w:rPr>
        <w:t xml:space="preserve"> estatal</w:t>
      </w:r>
      <w:r w:rsidRPr="00777696">
        <w:rPr>
          <w:rFonts w:ascii="Arial" w:hAnsi="Arial" w:cs="Arial"/>
          <w:color w:val="000000" w:themeColor="text1"/>
          <w:sz w:val="22"/>
          <w:lang w:val="es-ES_tradnl"/>
        </w:rPr>
        <w:t xml:space="preserve"> puede esco</w:t>
      </w:r>
      <w:r w:rsidR="00AD2DBD" w:rsidRPr="00777696">
        <w:rPr>
          <w:rFonts w:ascii="Arial" w:hAnsi="Arial" w:cs="Arial"/>
          <w:color w:val="000000" w:themeColor="text1"/>
          <w:sz w:val="22"/>
          <w:lang w:val="es-ES_tradnl"/>
        </w:rPr>
        <w:t>ger entre la opción I</w:t>
      </w:r>
      <w:r w:rsidR="001A1D4A" w:rsidRPr="00777696">
        <w:rPr>
          <w:rFonts w:ascii="Arial" w:hAnsi="Arial" w:cs="Arial"/>
          <w:color w:val="000000" w:themeColor="text1"/>
          <w:sz w:val="22"/>
          <w:lang w:val="es-ES_tradnl"/>
        </w:rPr>
        <w:t xml:space="preserve"> o la II. En la primera, la entidad estima un </w:t>
      </w:r>
      <w:r w:rsidR="00947337" w:rsidRPr="00777696">
        <w:rPr>
          <w:rFonts w:ascii="Arial" w:hAnsi="Arial" w:cs="Arial"/>
          <w:color w:val="000000" w:themeColor="text1"/>
          <w:sz w:val="22"/>
          <w:lang w:val="es-ES_tradnl"/>
        </w:rPr>
        <w:t>valor mínimo de frentes de trabajo y lo indica así en el pliego de condiciones; caso en el cual el proponente puede ofrecer hasta dos (2) cuadrillas</w:t>
      </w:r>
      <w:r w:rsidR="00F06E19" w:rsidRPr="00777696">
        <w:rPr>
          <w:rFonts w:ascii="Arial" w:hAnsi="Arial" w:cs="Arial"/>
          <w:color w:val="000000" w:themeColor="text1"/>
          <w:sz w:val="22"/>
          <w:lang w:val="es-ES_tradnl"/>
        </w:rPr>
        <w:t xml:space="preserve"> adicionales por cada frente de trabajo. En la segunda opción</w:t>
      </w:r>
      <w:r w:rsidR="00741358" w:rsidRPr="00777696">
        <w:rPr>
          <w:rFonts w:ascii="Arial" w:hAnsi="Arial" w:cs="Arial"/>
          <w:color w:val="000000" w:themeColor="text1"/>
          <w:sz w:val="22"/>
          <w:lang w:val="es-ES_tradnl"/>
        </w:rPr>
        <w:t>, la entidad</w:t>
      </w:r>
      <w:r w:rsidR="002E2D7D" w:rsidRPr="00777696">
        <w:rPr>
          <w:rFonts w:ascii="Arial" w:hAnsi="Arial" w:cs="Arial"/>
          <w:color w:val="000000" w:themeColor="text1"/>
          <w:sz w:val="22"/>
          <w:lang w:val="es-ES_tradnl"/>
        </w:rPr>
        <w:t xml:space="preserve"> debe brindar un valor indicativo</w:t>
      </w:r>
      <w:r w:rsidR="00546C9B" w:rsidRPr="00777696">
        <w:rPr>
          <w:rFonts w:ascii="Arial" w:hAnsi="Arial" w:cs="Arial"/>
          <w:color w:val="000000" w:themeColor="text1"/>
          <w:sz w:val="22"/>
          <w:lang w:val="es-ES_tradnl"/>
        </w:rPr>
        <w:t xml:space="preserve"> de la cantidad de obreros estimados que requiera para el </w:t>
      </w:r>
      <w:r w:rsidR="00820FA8" w:rsidRPr="00777696">
        <w:rPr>
          <w:rFonts w:ascii="Arial" w:hAnsi="Arial" w:cs="Arial"/>
          <w:color w:val="000000" w:themeColor="text1"/>
          <w:sz w:val="22"/>
          <w:lang w:val="es-ES_tradnl"/>
        </w:rPr>
        <w:t>proyecto de infraestructura de transporte</w:t>
      </w:r>
      <w:r w:rsidR="00695C0C" w:rsidRPr="00777696">
        <w:rPr>
          <w:rFonts w:ascii="Arial" w:hAnsi="Arial" w:cs="Arial"/>
          <w:color w:val="000000" w:themeColor="text1"/>
          <w:sz w:val="22"/>
          <w:lang w:val="es-ES_tradnl"/>
        </w:rPr>
        <w:t>,</w:t>
      </w:r>
      <w:r w:rsidR="00297098" w:rsidRPr="00777696">
        <w:rPr>
          <w:rFonts w:ascii="Arial" w:hAnsi="Arial" w:cs="Arial"/>
          <w:color w:val="000000" w:themeColor="text1"/>
          <w:sz w:val="22"/>
          <w:lang w:val="es-ES_tradnl"/>
        </w:rPr>
        <w:t xml:space="preserve"> y sobre esta base el proponente ofrecerá una (1) cuadrilla</w:t>
      </w:r>
      <w:r w:rsidR="00113FEA" w:rsidRPr="00777696">
        <w:rPr>
          <w:rFonts w:ascii="Arial" w:hAnsi="Arial" w:cs="Arial"/>
          <w:color w:val="000000" w:themeColor="text1"/>
          <w:sz w:val="22"/>
          <w:lang w:val="es-ES_tradnl"/>
        </w:rPr>
        <w:t xml:space="preserve"> adicional por cada 50 obreros. Entonces, en sentido estricto, </w:t>
      </w:r>
      <w:r w:rsidR="00017B65" w:rsidRPr="00777696">
        <w:rPr>
          <w:rFonts w:ascii="Arial" w:hAnsi="Arial" w:cs="Arial"/>
          <w:color w:val="000000" w:themeColor="text1"/>
          <w:sz w:val="22"/>
          <w:lang w:val="es-ES_tradnl"/>
        </w:rPr>
        <w:t xml:space="preserve">en la opción I las cuadrillas de trabajo adicionales que puede ofrecer el proponente se determinan no por un número mínimo de trabajadores, sino </w:t>
      </w:r>
      <w:r w:rsidR="00647DCC" w:rsidRPr="00777696">
        <w:rPr>
          <w:rFonts w:ascii="Arial" w:hAnsi="Arial" w:cs="Arial"/>
          <w:color w:val="000000" w:themeColor="text1"/>
          <w:sz w:val="22"/>
          <w:lang w:val="es-ES_tradnl"/>
        </w:rPr>
        <w:t>según los frentes de trabajo estimados por la entidad, y en la opción II dichas cuadrillas</w:t>
      </w:r>
      <w:r w:rsidR="007437C6" w:rsidRPr="00777696">
        <w:rPr>
          <w:rFonts w:ascii="Arial" w:hAnsi="Arial" w:cs="Arial"/>
          <w:color w:val="000000" w:themeColor="text1"/>
          <w:sz w:val="22"/>
          <w:lang w:val="es-ES_tradnl"/>
        </w:rPr>
        <w:t xml:space="preserve"> de trabajo adicionales sí tienen en cuenta la estimación de una cantidad de obreros mínimos.</w:t>
      </w:r>
    </w:p>
    <w:p w14:paraId="456EB3F1" w14:textId="77777777" w:rsidR="00A90F12" w:rsidRPr="0085790B" w:rsidRDefault="00A90F12" w:rsidP="00A90F12">
      <w:pPr>
        <w:ind w:right="709"/>
        <w:jc w:val="both"/>
        <w:rPr>
          <w:rFonts w:ascii="Arial" w:hAnsi="Arial" w:cs="Arial"/>
          <w:color w:val="000000" w:themeColor="text1"/>
          <w:sz w:val="21"/>
          <w:szCs w:val="21"/>
          <w:lang w:val="es-ES_tradnl"/>
        </w:rPr>
      </w:pPr>
    </w:p>
    <w:p w14:paraId="6C3F3D80" w14:textId="63AD479F" w:rsidR="00F91CB2" w:rsidRPr="0085790B" w:rsidRDefault="00F91CB2" w:rsidP="00F91CB2">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«¿Al ofrecer máximo 2 cuadrillas de trabajo por frente establecido, en el caso que la entidad hay optado (sic) por la opción I a-(Detalle de frentes de trabajo): 1 frente, los oferentes deberán ofertar 2 cuadrillas, es decir 10 trabajadores por el frente de trabajo?»</w:t>
      </w:r>
    </w:p>
    <w:p w14:paraId="51274EB6" w14:textId="61CF0693" w:rsidR="00F91CB2" w:rsidRDefault="00F91CB2" w:rsidP="00886DF2">
      <w:pPr>
        <w:ind w:right="709"/>
        <w:jc w:val="both"/>
        <w:rPr>
          <w:rFonts w:ascii="Arial" w:hAnsi="Arial" w:cs="Arial"/>
          <w:color w:val="000000" w:themeColor="text1"/>
          <w:sz w:val="21"/>
          <w:szCs w:val="21"/>
          <w:lang w:val="es-ES_tradnl"/>
        </w:rPr>
      </w:pPr>
    </w:p>
    <w:p w14:paraId="2C0CAA68" w14:textId="3E050D7B" w:rsidR="00530405" w:rsidRPr="00777696" w:rsidRDefault="00C37A7B" w:rsidP="00530405">
      <w:pPr>
        <w:spacing w:line="276" w:lineRule="auto"/>
        <w:jc w:val="both"/>
        <w:rPr>
          <w:rFonts w:ascii="Arial" w:hAnsi="Arial" w:cs="Arial"/>
          <w:color w:val="000000" w:themeColor="text1"/>
          <w:sz w:val="22"/>
          <w:lang w:val="es-ES_tradnl"/>
        </w:rPr>
      </w:pPr>
      <w:r w:rsidRPr="00777696">
        <w:rPr>
          <w:rFonts w:ascii="Arial" w:hAnsi="Arial" w:cs="Arial"/>
          <w:color w:val="000000" w:themeColor="text1"/>
          <w:sz w:val="22"/>
          <w:lang w:val="es-ES_tradnl"/>
        </w:rPr>
        <w:t>Si la entidad se decantó por la opción I, es decir,</w:t>
      </w:r>
      <w:r w:rsidR="001C5072" w:rsidRPr="00777696">
        <w:rPr>
          <w:rFonts w:ascii="Arial" w:hAnsi="Arial" w:cs="Arial"/>
          <w:color w:val="000000" w:themeColor="text1"/>
          <w:sz w:val="22"/>
          <w:lang w:val="es-ES_tradnl"/>
        </w:rPr>
        <w:t xml:space="preserve"> «En el caso que la entidad en su etapa previa de planeación haya estimado un valor mínimo de frentes de trabajo» y </w:t>
      </w:r>
      <w:r w:rsidR="00A069E0" w:rsidRPr="00777696">
        <w:rPr>
          <w:rFonts w:ascii="Arial" w:hAnsi="Arial" w:cs="Arial"/>
          <w:color w:val="000000" w:themeColor="text1"/>
          <w:sz w:val="22"/>
          <w:lang w:val="es-ES_tradnl"/>
        </w:rPr>
        <w:t>haya dicho</w:t>
      </w:r>
      <w:r w:rsidR="001C5072" w:rsidRPr="00777696">
        <w:rPr>
          <w:rFonts w:ascii="Arial" w:hAnsi="Arial" w:cs="Arial"/>
          <w:color w:val="000000" w:themeColor="text1"/>
          <w:sz w:val="22"/>
          <w:lang w:val="es-ES_tradnl"/>
        </w:rPr>
        <w:t xml:space="preserve"> que se requ</w:t>
      </w:r>
      <w:r w:rsidR="00A069E0" w:rsidRPr="00777696">
        <w:rPr>
          <w:rFonts w:ascii="Arial" w:hAnsi="Arial" w:cs="Arial"/>
          <w:color w:val="000000" w:themeColor="text1"/>
          <w:sz w:val="22"/>
          <w:lang w:val="es-ES_tradnl"/>
        </w:rPr>
        <w:t>iere</w:t>
      </w:r>
      <w:r w:rsidR="001C5072" w:rsidRPr="00777696">
        <w:rPr>
          <w:rFonts w:ascii="Arial" w:hAnsi="Arial" w:cs="Arial"/>
          <w:color w:val="000000" w:themeColor="text1"/>
          <w:sz w:val="22"/>
          <w:lang w:val="es-ES_tradnl"/>
        </w:rPr>
        <w:t xml:space="preserve"> un (1) frente como mínimo, en tal </w:t>
      </w:r>
      <w:r w:rsidR="00121103" w:rsidRPr="00777696">
        <w:rPr>
          <w:rFonts w:ascii="Arial" w:hAnsi="Arial" w:cs="Arial"/>
          <w:color w:val="000000" w:themeColor="text1"/>
          <w:sz w:val="22"/>
          <w:lang w:val="es-ES_tradnl"/>
        </w:rPr>
        <w:t>evento</w:t>
      </w:r>
      <w:r w:rsidR="000856DE" w:rsidRPr="00777696">
        <w:rPr>
          <w:rFonts w:ascii="Arial" w:hAnsi="Arial" w:cs="Arial"/>
          <w:color w:val="000000" w:themeColor="text1"/>
          <w:sz w:val="22"/>
          <w:lang w:val="es-ES_tradnl"/>
        </w:rPr>
        <w:t xml:space="preserve"> </w:t>
      </w:r>
      <w:r w:rsidR="00121103" w:rsidRPr="00777696">
        <w:rPr>
          <w:rFonts w:ascii="Arial" w:hAnsi="Arial" w:cs="Arial"/>
          <w:color w:val="000000" w:themeColor="text1"/>
          <w:sz w:val="22"/>
          <w:lang w:val="es-ES_tradnl"/>
        </w:rPr>
        <w:t xml:space="preserve">«El proponente podrá ofrecer </w:t>
      </w:r>
      <w:r w:rsidR="00121103" w:rsidRPr="00777696">
        <w:rPr>
          <w:rFonts w:ascii="Arial" w:hAnsi="Arial" w:cs="Arial"/>
          <w:i/>
          <w:iCs/>
          <w:color w:val="000000" w:themeColor="text1"/>
          <w:sz w:val="22"/>
          <w:lang w:val="es-ES_tradnl"/>
        </w:rPr>
        <w:t>hasta máximo</w:t>
      </w:r>
      <w:r w:rsidR="00121103" w:rsidRPr="00777696">
        <w:rPr>
          <w:rFonts w:ascii="Arial" w:hAnsi="Arial" w:cs="Arial"/>
          <w:color w:val="000000" w:themeColor="text1"/>
          <w:sz w:val="22"/>
          <w:lang w:val="es-ES_tradnl"/>
        </w:rPr>
        <w:t xml:space="preserve"> 2 cuadrillas por cada frente de trabajo»</w:t>
      </w:r>
      <w:r w:rsidR="00382BAD" w:rsidRPr="00777696">
        <w:rPr>
          <w:rFonts w:ascii="Arial" w:hAnsi="Arial" w:cs="Arial"/>
          <w:color w:val="000000" w:themeColor="text1"/>
          <w:sz w:val="22"/>
          <w:lang w:val="es-ES_tradnl"/>
        </w:rPr>
        <w:t xml:space="preserve"> (cursiva fuera de texto),</w:t>
      </w:r>
      <w:r w:rsidR="00121103" w:rsidRPr="00777696">
        <w:rPr>
          <w:rFonts w:ascii="Arial" w:hAnsi="Arial" w:cs="Arial"/>
          <w:color w:val="000000" w:themeColor="text1"/>
          <w:sz w:val="22"/>
          <w:lang w:val="es-ES_tradnl"/>
        </w:rPr>
        <w:t xml:space="preserve"> y como cada cuadrilla</w:t>
      </w:r>
      <w:r w:rsidR="00AF644B" w:rsidRPr="00777696">
        <w:rPr>
          <w:rFonts w:ascii="Arial" w:hAnsi="Arial" w:cs="Arial"/>
          <w:color w:val="000000" w:themeColor="text1"/>
          <w:sz w:val="22"/>
          <w:lang w:val="es-ES_tradnl"/>
        </w:rPr>
        <w:t xml:space="preserve"> deberá ser de cinco (5) obreros, si ofrece dos</w:t>
      </w:r>
      <w:r w:rsidR="00382BAD" w:rsidRPr="00777696">
        <w:rPr>
          <w:rFonts w:ascii="Arial" w:hAnsi="Arial" w:cs="Arial"/>
          <w:color w:val="000000" w:themeColor="text1"/>
          <w:sz w:val="22"/>
          <w:lang w:val="es-ES_tradnl"/>
        </w:rPr>
        <w:t xml:space="preserve"> (2) cuadrillas</w:t>
      </w:r>
      <w:r w:rsidR="00AF644B" w:rsidRPr="00777696">
        <w:rPr>
          <w:rFonts w:ascii="Arial" w:hAnsi="Arial" w:cs="Arial"/>
          <w:color w:val="000000" w:themeColor="text1"/>
          <w:sz w:val="22"/>
          <w:lang w:val="es-ES_tradnl"/>
        </w:rPr>
        <w:t xml:space="preserve">, se entenderá que </w:t>
      </w:r>
      <w:r w:rsidR="00382BAD" w:rsidRPr="00777696">
        <w:rPr>
          <w:rFonts w:ascii="Arial" w:hAnsi="Arial" w:cs="Arial"/>
          <w:color w:val="000000" w:themeColor="text1"/>
          <w:sz w:val="22"/>
          <w:lang w:val="es-ES_tradnl"/>
        </w:rPr>
        <w:lastRenderedPageBreak/>
        <w:t>ofreció</w:t>
      </w:r>
      <w:r w:rsidR="00AF644B" w:rsidRPr="00777696">
        <w:rPr>
          <w:rFonts w:ascii="Arial" w:hAnsi="Arial" w:cs="Arial"/>
          <w:color w:val="000000" w:themeColor="text1"/>
          <w:sz w:val="22"/>
          <w:lang w:val="es-ES_tradnl"/>
        </w:rPr>
        <w:t xml:space="preserve"> diez (10)</w:t>
      </w:r>
      <w:r w:rsidR="00382BAD" w:rsidRPr="00777696">
        <w:rPr>
          <w:rFonts w:ascii="Arial" w:hAnsi="Arial" w:cs="Arial"/>
          <w:color w:val="000000" w:themeColor="text1"/>
          <w:sz w:val="22"/>
          <w:lang w:val="es-ES_tradnl"/>
        </w:rPr>
        <w:t xml:space="preserve"> obreros</w:t>
      </w:r>
      <w:r w:rsidR="00AF644B" w:rsidRPr="00777696">
        <w:rPr>
          <w:rFonts w:ascii="Arial" w:hAnsi="Arial" w:cs="Arial"/>
          <w:color w:val="000000" w:themeColor="text1"/>
          <w:sz w:val="22"/>
          <w:lang w:val="es-ES_tradnl"/>
        </w:rPr>
        <w:t xml:space="preserve">. Ahora bien, </w:t>
      </w:r>
      <w:r w:rsidR="007B4632" w:rsidRPr="00777696">
        <w:rPr>
          <w:rFonts w:ascii="Arial" w:hAnsi="Arial" w:cs="Arial"/>
          <w:color w:val="000000" w:themeColor="text1"/>
          <w:sz w:val="22"/>
          <w:lang w:val="es-ES_tradnl"/>
        </w:rPr>
        <w:t xml:space="preserve">el proponente </w:t>
      </w:r>
      <w:r w:rsidR="00527E57" w:rsidRPr="00777696">
        <w:rPr>
          <w:rFonts w:ascii="Arial" w:hAnsi="Arial" w:cs="Arial"/>
          <w:color w:val="000000" w:themeColor="text1"/>
          <w:sz w:val="22"/>
          <w:lang w:val="es-ES_tradnl"/>
        </w:rPr>
        <w:t>no está obligado a ofrecer las dos cuadrillas. Podrá ofrecer solo una; pues</w:t>
      </w:r>
      <w:r w:rsidR="007B4632" w:rsidRPr="00777696">
        <w:rPr>
          <w:rFonts w:ascii="Arial" w:hAnsi="Arial" w:cs="Arial"/>
          <w:color w:val="000000" w:themeColor="text1"/>
          <w:sz w:val="22"/>
          <w:lang w:val="es-ES_tradnl"/>
        </w:rPr>
        <w:t xml:space="preserve">, </w:t>
      </w:r>
      <w:r w:rsidR="000F122D" w:rsidRPr="00777696">
        <w:rPr>
          <w:rFonts w:ascii="Arial" w:hAnsi="Arial" w:cs="Arial"/>
          <w:color w:val="000000" w:themeColor="text1"/>
          <w:sz w:val="22"/>
          <w:lang w:val="es-ES_tradnl"/>
        </w:rPr>
        <w:t>como se indicó</w:t>
      </w:r>
      <w:r w:rsidR="007B4632" w:rsidRPr="00777696">
        <w:rPr>
          <w:rFonts w:ascii="Arial" w:hAnsi="Arial" w:cs="Arial"/>
          <w:color w:val="000000" w:themeColor="text1"/>
          <w:sz w:val="22"/>
          <w:lang w:val="es-ES_tradnl"/>
        </w:rPr>
        <w:t xml:space="preserve">, </w:t>
      </w:r>
      <w:r w:rsidR="000F122D" w:rsidRPr="00777696">
        <w:rPr>
          <w:rFonts w:ascii="Arial" w:hAnsi="Arial" w:cs="Arial"/>
          <w:color w:val="000000" w:themeColor="text1"/>
          <w:sz w:val="22"/>
          <w:lang w:val="es-ES_tradnl"/>
        </w:rPr>
        <w:t xml:space="preserve">el Documento Base establece las dos (2) cuadrillas como un número </w:t>
      </w:r>
      <w:r w:rsidR="000F122D" w:rsidRPr="00777696">
        <w:rPr>
          <w:rFonts w:ascii="Arial" w:hAnsi="Arial" w:cs="Arial"/>
          <w:i/>
          <w:iCs/>
          <w:color w:val="000000" w:themeColor="text1"/>
          <w:sz w:val="22"/>
          <w:lang w:val="es-ES_tradnl"/>
        </w:rPr>
        <w:t>máximo</w:t>
      </w:r>
      <w:r w:rsidR="00802041">
        <w:rPr>
          <w:rFonts w:ascii="Arial" w:hAnsi="Arial" w:cs="Arial"/>
          <w:color w:val="000000" w:themeColor="text1"/>
          <w:sz w:val="22"/>
          <w:lang w:val="es-ES_tradnl"/>
        </w:rPr>
        <w:t>; sin perjuicio de las consecuencias que genere el número de cuadrillas ofrecidas en la asignación de puntaje.</w:t>
      </w:r>
    </w:p>
    <w:p w14:paraId="4C2E7E3F" w14:textId="77777777" w:rsidR="00530405" w:rsidRDefault="00530405" w:rsidP="00F91CB2">
      <w:pPr>
        <w:ind w:left="709" w:right="709"/>
        <w:jc w:val="both"/>
        <w:rPr>
          <w:rFonts w:ascii="Arial" w:hAnsi="Arial" w:cs="Arial"/>
          <w:color w:val="000000" w:themeColor="text1"/>
          <w:sz w:val="21"/>
          <w:szCs w:val="21"/>
          <w:lang w:val="es-ES_tradnl"/>
        </w:rPr>
      </w:pPr>
    </w:p>
    <w:p w14:paraId="6C0375A7" w14:textId="7E66E364" w:rsidR="00F91CB2" w:rsidRPr="0085790B" w:rsidRDefault="00F91CB2" w:rsidP="00F91CB2">
      <w:pPr>
        <w:ind w:left="709" w:right="709"/>
        <w:jc w:val="both"/>
        <w:rPr>
          <w:rFonts w:ascii="Arial" w:hAnsi="Arial" w:cs="Arial"/>
          <w:color w:val="000000" w:themeColor="text1"/>
          <w:sz w:val="21"/>
          <w:szCs w:val="21"/>
          <w:lang w:val="es-ES_tradnl"/>
        </w:rPr>
      </w:pPr>
      <w:r w:rsidRPr="0085790B">
        <w:rPr>
          <w:rFonts w:ascii="Arial" w:hAnsi="Arial" w:cs="Arial"/>
          <w:color w:val="000000" w:themeColor="text1"/>
          <w:sz w:val="21"/>
          <w:szCs w:val="21"/>
          <w:lang w:val="es-ES_tradnl"/>
        </w:rPr>
        <w:t>«¿Los trabajadores mencionados (10) deberán permanecer por la vigencia o plazo del contrato, incurriendo en los gastos propios (nóminas, seguridad social, y demás pagos a que haya lugar, aún si no ejecutan ninguna actividad en la obra?».</w:t>
      </w:r>
    </w:p>
    <w:p w14:paraId="60505320" w14:textId="172FF5D1" w:rsidR="00F91CB2" w:rsidRDefault="00F91CB2" w:rsidP="00DF76A2">
      <w:pPr>
        <w:tabs>
          <w:tab w:val="left" w:pos="0"/>
        </w:tabs>
        <w:spacing w:line="276" w:lineRule="auto"/>
        <w:jc w:val="both"/>
        <w:rPr>
          <w:rFonts w:ascii="Arial" w:eastAsia="Calibri" w:hAnsi="Arial" w:cs="Arial"/>
          <w:color w:val="000000" w:themeColor="text1"/>
          <w:sz w:val="22"/>
          <w:lang w:val="es-ES_tradnl"/>
        </w:rPr>
      </w:pPr>
    </w:p>
    <w:p w14:paraId="25F61D8E" w14:textId="45C08757" w:rsidR="00C25813" w:rsidRPr="00A143EC" w:rsidRDefault="00FC434C" w:rsidP="00041029">
      <w:pPr>
        <w:tabs>
          <w:tab w:val="left" w:pos="0"/>
        </w:tabs>
        <w:spacing w:line="276" w:lineRule="auto"/>
        <w:jc w:val="both"/>
        <w:rPr>
          <w:rFonts w:ascii="Arial" w:eastAsia="Calibri" w:hAnsi="Arial" w:cs="Arial"/>
          <w:i/>
          <w:iCs/>
          <w:color w:val="000000" w:themeColor="text1"/>
          <w:sz w:val="22"/>
          <w:lang w:val="es-ES_tradnl"/>
        </w:rPr>
      </w:pPr>
      <w:r>
        <w:rPr>
          <w:rFonts w:ascii="Arial" w:eastAsia="Calibri" w:hAnsi="Arial" w:cs="Arial"/>
          <w:color w:val="000000" w:themeColor="text1"/>
          <w:sz w:val="22"/>
          <w:lang w:val="es-ES_tradnl"/>
        </w:rPr>
        <w:t>El numeral 4.2.5. del Documento Base</w:t>
      </w:r>
      <w:r w:rsidR="00BB2841">
        <w:rPr>
          <w:rFonts w:ascii="Arial" w:eastAsia="Calibri" w:hAnsi="Arial" w:cs="Arial"/>
          <w:color w:val="000000" w:themeColor="text1"/>
          <w:sz w:val="22"/>
          <w:lang w:val="es-ES_tradnl"/>
        </w:rPr>
        <w:t xml:space="preserve"> establece</w:t>
      </w:r>
      <w:r w:rsidR="00A143EC">
        <w:rPr>
          <w:rFonts w:ascii="Arial" w:eastAsia="Calibri" w:hAnsi="Arial" w:cs="Arial"/>
          <w:color w:val="000000" w:themeColor="text1"/>
          <w:sz w:val="22"/>
          <w:lang w:val="es-ES_tradnl"/>
        </w:rPr>
        <w:t>,</w:t>
      </w:r>
      <w:r w:rsidR="00BB2841">
        <w:rPr>
          <w:rFonts w:ascii="Arial" w:eastAsia="Calibri" w:hAnsi="Arial" w:cs="Arial"/>
          <w:color w:val="000000" w:themeColor="text1"/>
          <w:sz w:val="22"/>
          <w:lang w:val="es-ES_tradnl"/>
        </w:rPr>
        <w:t xml:space="preserve"> en cuanto a la propuesta de «cuadrillas de trabajo adicional</w:t>
      </w:r>
      <w:r w:rsidR="00041029">
        <w:rPr>
          <w:rFonts w:ascii="Arial" w:eastAsia="Calibri" w:hAnsi="Arial" w:cs="Arial"/>
          <w:color w:val="000000" w:themeColor="text1"/>
          <w:sz w:val="22"/>
          <w:lang w:val="es-ES_tradnl"/>
        </w:rPr>
        <w:t>»</w:t>
      </w:r>
      <w:r w:rsidR="00A143EC">
        <w:rPr>
          <w:rFonts w:ascii="Arial" w:eastAsia="Calibri" w:hAnsi="Arial" w:cs="Arial"/>
          <w:color w:val="000000" w:themeColor="text1"/>
          <w:sz w:val="22"/>
          <w:lang w:val="es-ES_tradnl"/>
        </w:rPr>
        <w:t>,</w:t>
      </w:r>
      <w:r w:rsidR="00041029">
        <w:rPr>
          <w:rFonts w:ascii="Arial" w:eastAsia="Calibri" w:hAnsi="Arial" w:cs="Arial"/>
          <w:color w:val="000000" w:themeColor="text1"/>
          <w:sz w:val="22"/>
          <w:lang w:val="es-ES_tradnl"/>
        </w:rPr>
        <w:t xml:space="preserve"> que «</w:t>
      </w:r>
      <w:r w:rsidR="00041029" w:rsidRPr="00041029">
        <w:rPr>
          <w:rFonts w:ascii="Arial" w:eastAsia="Calibri" w:hAnsi="Arial" w:cs="Arial"/>
          <w:color w:val="000000" w:themeColor="text1"/>
          <w:sz w:val="22"/>
          <w:lang w:val="es-ES_tradnl"/>
        </w:rPr>
        <w:t xml:space="preserve">Este ofrecimiento será a costo y riesgo del contratista </w:t>
      </w:r>
      <w:r w:rsidR="00041029" w:rsidRPr="00041029">
        <w:rPr>
          <w:rFonts w:ascii="Arial" w:eastAsia="Calibri" w:hAnsi="Arial" w:cs="Arial"/>
          <w:i/>
          <w:iCs/>
          <w:color w:val="000000" w:themeColor="text1"/>
          <w:sz w:val="22"/>
          <w:lang w:val="es-ES_tradnl"/>
        </w:rPr>
        <w:t>durante la</w:t>
      </w:r>
      <w:r w:rsidR="00A143EC">
        <w:rPr>
          <w:rFonts w:ascii="Arial" w:eastAsia="Calibri" w:hAnsi="Arial" w:cs="Arial"/>
          <w:i/>
          <w:iCs/>
          <w:color w:val="000000" w:themeColor="text1"/>
          <w:sz w:val="22"/>
          <w:lang w:val="es-ES_tradnl"/>
        </w:rPr>
        <w:t xml:space="preserve"> </w:t>
      </w:r>
      <w:r w:rsidR="00041029" w:rsidRPr="00041029">
        <w:rPr>
          <w:rFonts w:ascii="Arial" w:eastAsia="Calibri" w:hAnsi="Arial" w:cs="Arial"/>
          <w:i/>
          <w:iCs/>
          <w:color w:val="000000" w:themeColor="text1"/>
          <w:sz w:val="22"/>
          <w:lang w:val="es-ES_tradnl"/>
        </w:rPr>
        <w:t>ejecución del contrato</w:t>
      </w:r>
      <w:r w:rsidR="00041029" w:rsidRPr="00041029">
        <w:rPr>
          <w:rFonts w:ascii="Arial" w:eastAsia="Calibri" w:hAnsi="Arial" w:cs="Arial"/>
          <w:color w:val="000000" w:themeColor="text1"/>
          <w:sz w:val="22"/>
          <w:lang w:val="es-ES_tradnl"/>
        </w:rPr>
        <w:t xml:space="preserve"> y no podrá ser objeto de cobro alguno a la entidad</w:t>
      </w:r>
      <w:r w:rsidR="00041029">
        <w:rPr>
          <w:rFonts w:ascii="Arial" w:eastAsia="Calibri" w:hAnsi="Arial" w:cs="Arial"/>
          <w:color w:val="000000" w:themeColor="text1"/>
          <w:sz w:val="22"/>
          <w:lang w:val="es-ES_tradnl"/>
        </w:rPr>
        <w:t>» (cursiva fuera de texto)</w:t>
      </w:r>
      <w:r w:rsidR="00041029" w:rsidRPr="00041029">
        <w:rPr>
          <w:rFonts w:ascii="Arial" w:eastAsia="Calibri" w:hAnsi="Arial" w:cs="Arial"/>
          <w:color w:val="000000" w:themeColor="text1"/>
          <w:sz w:val="22"/>
          <w:lang w:val="es-ES_tradnl"/>
        </w:rPr>
        <w:t>.</w:t>
      </w:r>
      <w:r w:rsidR="00041029">
        <w:rPr>
          <w:rFonts w:ascii="Arial" w:eastAsia="Calibri" w:hAnsi="Arial" w:cs="Arial"/>
          <w:color w:val="000000" w:themeColor="text1"/>
          <w:sz w:val="22"/>
          <w:lang w:val="es-ES_tradnl"/>
        </w:rPr>
        <w:t xml:space="preserve"> Así mismo, el Formato 7E</w:t>
      </w:r>
      <w:r w:rsidR="00086B2A">
        <w:rPr>
          <w:rFonts w:ascii="Arial" w:eastAsia="Calibri" w:hAnsi="Arial" w:cs="Arial"/>
          <w:color w:val="000000" w:themeColor="text1"/>
          <w:sz w:val="22"/>
          <w:lang w:val="es-ES_tradnl"/>
        </w:rPr>
        <w:t xml:space="preserve"> –en el que consta</w:t>
      </w:r>
      <w:r w:rsidR="009A0A33">
        <w:rPr>
          <w:rFonts w:ascii="Arial" w:eastAsia="Calibri" w:hAnsi="Arial" w:cs="Arial"/>
          <w:color w:val="000000" w:themeColor="text1"/>
          <w:sz w:val="22"/>
          <w:lang w:val="es-ES_tradnl"/>
        </w:rPr>
        <w:t>,</w:t>
      </w:r>
      <w:r w:rsidR="00086B2A">
        <w:rPr>
          <w:rFonts w:ascii="Arial" w:eastAsia="Calibri" w:hAnsi="Arial" w:cs="Arial"/>
          <w:color w:val="000000" w:themeColor="text1"/>
          <w:sz w:val="22"/>
          <w:lang w:val="es-ES_tradnl"/>
        </w:rPr>
        <w:t xml:space="preserve"> bajo la gravedad de juramento</w:t>
      </w:r>
      <w:r w:rsidR="009A0A33">
        <w:rPr>
          <w:rFonts w:ascii="Arial" w:eastAsia="Calibri" w:hAnsi="Arial" w:cs="Arial"/>
          <w:color w:val="000000" w:themeColor="text1"/>
          <w:sz w:val="22"/>
          <w:lang w:val="es-ES_tradnl"/>
        </w:rPr>
        <w:t>,</w:t>
      </w:r>
      <w:r w:rsidR="00086B2A">
        <w:rPr>
          <w:rFonts w:ascii="Arial" w:eastAsia="Calibri" w:hAnsi="Arial" w:cs="Arial"/>
          <w:color w:val="000000" w:themeColor="text1"/>
          <w:sz w:val="22"/>
          <w:lang w:val="es-ES_tradnl"/>
        </w:rPr>
        <w:t xml:space="preserve"> dicho compromiso–</w:t>
      </w:r>
      <w:r w:rsidR="00FA6F8B">
        <w:rPr>
          <w:rFonts w:ascii="Arial" w:eastAsia="Calibri" w:hAnsi="Arial" w:cs="Arial"/>
          <w:color w:val="000000" w:themeColor="text1"/>
          <w:sz w:val="22"/>
          <w:lang w:val="es-ES_tradnl"/>
        </w:rPr>
        <w:t xml:space="preserve"> contiene la siguiente nota</w:t>
      </w:r>
      <w:r w:rsidR="00185E78">
        <w:rPr>
          <w:rFonts w:ascii="Arial" w:eastAsia="Calibri" w:hAnsi="Arial" w:cs="Arial"/>
          <w:color w:val="000000" w:themeColor="text1"/>
          <w:sz w:val="22"/>
          <w:lang w:val="es-ES_tradnl"/>
        </w:rPr>
        <w:t xml:space="preserve"> que el proponente debe aceptar</w:t>
      </w:r>
      <w:r w:rsidR="009A0A33">
        <w:rPr>
          <w:rFonts w:ascii="Arial" w:eastAsia="Calibri" w:hAnsi="Arial" w:cs="Arial"/>
          <w:color w:val="000000" w:themeColor="text1"/>
          <w:sz w:val="22"/>
          <w:lang w:val="es-ES_tradnl"/>
        </w:rPr>
        <w:t>,</w:t>
      </w:r>
      <w:r w:rsidR="00185E78">
        <w:rPr>
          <w:rFonts w:ascii="Arial" w:eastAsia="Calibri" w:hAnsi="Arial" w:cs="Arial"/>
          <w:color w:val="000000" w:themeColor="text1"/>
          <w:sz w:val="22"/>
          <w:lang w:val="es-ES_tradnl"/>
        </w:rPr>
        <w:t xml:space="preserve"> si decide incluir este factor en su oferta: «</w:t>
      </w:r>
      <w:r w:rsidR="00EC5393">
        <w:rPr>
          <w:rFonts w:ascii="Arial" w:eastAsia="Calibri" w:hAnsi="Arial" w:cs="Arial"/>
          <w:color w:val="000000" w:themeColor="text1"/>
          <w:sz w:val="22"/>
          <w:lang w:val="es-ES_tradnl"/>
        </w:rPr>
        <w:t xml:space="preserve">[…] me comprometo a que estas cuadrillas laborarán en el proyecto de infraestructura de transporte </w:t>
      </w:r>
      <w:r w:rsidR="00EC5393" w:rsidRPr="009A0A33">
        <w:rPr>
          <w:rFonts w:ascii="Arial" w:eastAsia="Calibri" w:hAnsi="Arial" w:cs="Arial"/>
          <w:i/>
          <w:iCs/>
          <w:color w:val="000000" w:themeColor="text1"/>
          <w:sz w:val="22"/>
          <w:lang w:val="es-ES_tradnl"/>
        </w:rPr>
        <w:t>durante la vigencia del mismo</w:t>
      </w:r>
      <w:r w:rsidR="00EC5393">
        <w:rPr>
          <w:rFonts w:ascii="Arial" w:eastAsia="Calibri" w:hAnsi="Arial" w:cs="Arial"/>
          <w:color w:val="000000" w:themeColor="text1"/>
          <w:sz w:val="22"/>
          <w:lang w:val="es-ES_tradnl"/>
        </w:rPr>
        <w:t>»</w:t>
      </w:r>
      <w:r w:rsidR="009A0A33">
        <w:rPr>
          <w:rFonts w:ascii="Arial" w:eastAsia="Calibri" w:hAnsi="Arial" w:cs="Arial"/>
          <w:color w:val="000000" w:themeColor="text1"/>
          <w:sz w:val="22"/>
          <w:lang w:val="es-ES_tradnl"/>
        </w:rPr>
        <w:t xml:space="preserve"> (cursiva fuera de texto)</w:t>
      </w:r>
      <w:r w:rsidR="00EC5393">
        <w:rPr>
          <w:rFonts w:ascii="Arial" w:eastAsia="Calibri" w:hAnsi="Arial" w:cs="Arial"/>
          <w:color w:val="000000" w:themeColor="text1"/>
          <w:sz w:val="22"/>
          <w:lang w:val="es-ES_tradnl"/>
        </w:rPr>
        <w:t>.</w:t>
      </w:r>
      <w:r w:rsidR="008A7888">
        <w:rPr>
          <w:rFonts w:ascii="Arial" w:eastAsia="Calibri" w:hAnsi="Arial" w:cs="Arial"/>
          <w:color w:val="000000" w:themeColor="text1"/>
          <w:sz w:val="22"/>
          <w:lang w:val="es-ES_tradnl"/>
        </w:rPr>
        <w:t xml:space="preserve"> Entonces, la permanencia de las cuadrillas ofrecidas por el proponente no depende de </w:t>
      </w:r>
      <w:r w:rsidR="00647EFA">
        <w:rPr>
          <w:rFonts w:ascii="Arial" w:eastAsia="Calibri" w:hAnsi="Arial" w:cs="Arial"/>
          <w:color w:val="000000" w:themeColor="text1"/>
          <w:sz w:val="22"/>
          <w:lang w:val="es-ES_tradnl"/>
        </w:rPr>
        <w:t xml:space="preserve">la ejecución material de la actividad, sino de la vigencia del proyecto, pues este es el compromiso que asume </w:t>
      </w:r>
      <w:r w:rsidR="00874607">
        <w:rPr>
          <w:rFonts w:ascii="Arial" w:eastAsia="Calibri" w:hAnsi="Arial" w:cs="Arial"/>
          <w:color w:val="000000" w:themeColor="text1"/>
          <w:sz w:val="22"/>
          <w:lang w:val="es-ES_tradnl"/>
        </w:rPr>
        <w:t xml:space="preserve">el proponente y futuro contratista. Además, estas cuadrillas adicionales se ofrecen por su cuenta y riesgo, entonces </w:t>
      </w:r>
      <w:r w:rsidR="004D0F95">
        <w:rPr>
          <w:rFonts w:ascii="Arial" w:eastAsia="Calibri" w:hAnsi="Arial" w:cs="Arial"/>
          <w:color w:val="000000" w:themeColor="text1"/>
          <w:sz w:val="22"/>
          <w:lang w:val="es-ES_tradnl"/>
        </w:rPr>
        <w:t>es el contratista quien debe encargarse del pago de los salarios y prestaciones sociales de los obreros que integran cada cuadrilla.</w:t>
      </w:r>
      <w:r w:rsidR="004D03FE">
        <w:rPr>
          <w:rFonts w:ascii="Arial" w:eastAsia="Calibri" w:hAnsi="Arial" w:cs="Arial"/>
          <w:color w:val="000000" w:themeColor="text1"/>
          <w:sz w:val="22"/>
          <w:lang w:val="es-ES_tradnl"/>
        </w:rPr>
        <w:t xml:space="preserve"> Lo anterior no obsta para que, como se explicó en este concepto, la entidad estatal pueda</w:t>
      </w:r>
      <w:r w:rsidR="004647FB">
        <w:rPr>
          <w:rFonts w:ascii="Arial" w:eastAsia="Calibri" w:hAnsi="Arial" w:cs="Arial"/>
          <w:color w:val="000000" w:themeColor="text1"/>
          <w:sz w:val="22"/>
          <w:lang w:val="es-ES_tradnl"/>
        </w:rPr>
        <w:t xml:space="preserve"> establecer las actividades a las que deban dedicarse las cuadrillas.</w:t>
      </w:r>
      <w:r w:rsidR="004D03FE">
        <w:rPr>
          <w:rFonts w:ascii="Arial" w:eastAsia="Calibri" w:hAnsi="Arial" w:cs="Arial"/>
          <w:color w:val="000000" w:themeColor="text1"/>
          <w:sz w:val="22"/>
          <w:lang w:val="es-ES_tradnl"/>
        </w:rPr>
        <w:t xml:space="preserve"> </w:t>
      </w:r>
    </w:p>
    <w:p w14:paraId="1864F1BB" w14:textId="77777777" w:rsidR="00FC434C" w:rsidRPr="0085790B" w:rsidRDefault="00FC434C" w:rsidP="00DF76A2">
      <w:pPr>
        <w:tabs>
          <w:tab w:val="left" w:pos="0"/>
        </w:tabs>
        <w:spacing w:line="276" w:lineRule="auto"/>
        <w:jc w:val="both"/>
        <w:rPr>
          <w:rFonts w:ascii="Arial" w:eastAsia="Calibri" w:hAnsi="Arial" w:cs="Arial"/>
          <w:color w:val="000000" w:themeColor="text1"/>
          <w:sz w:val="22"/>
          <w:lang w:val="es-ES_tradnl"/>
        </w:rPr>
      </w:pPr>
    </w:p>
    <w:p w14:paraId="7B2C921D" w14:textId="676D574B" w:rsidR="00DD5B04" w:rsidRPr="0085790B" w:rsidRDefault="00DD5B04" w:rsidP="00DF76A2">
      <w:pPr>
        <w:spacing w:line="276" w:lineRule="auto"/>
        <w:jc w:val="both"/>
        <w:rPr>
          <w:rFonts w:ascii="Arial" w:hAnsi="Arial" w:cs="Arial"/>
          <w:color w:val="000000" w:themeColor="text1"/>
          <w:sz w:val="22"/>
          <w:lang w:val="es-ES_tradnl"/>
        </w:rPr>
      </w:pPr>
      <w:r w:rsidRPr="0085790B">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5790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85790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5790B">
        <w:rPr>
          <w:rFonts w:ascii="Arial" w:hAnsi="Arial" w:cs="Arial"/>
          <w:color w:val="000000" w:themeColor="text1"/>
          <w:sz w:val="22"/>
          <w:szCs w:val="22"/>
          <w:lang w:val="es-ES_tradnl"/>
        </w:rPr>
        <w:t>Atentamente,</w:t>
      </w:r>
    </w:p>
    <w:p w14:paraId="5CBAE239" w14:textId="77777777" w:rsidR="00425C43" w:rsidRPr="0085790B" w:rsidRDefault="00425C43" w:rsidP="00B37657">
      <w:pPr>
        <w:jc w:val="center"/>
        <w:rPr>
          <w:rFonts w:ascii="Arial" w:eastAsia="Times New Roman" w:hAnsi="Arial" w:cs="Arial"/>
          <w:color w:val="000000" w:themeColor="text1"/>
          <w:sz w:val="18"/>
          <w:szCs w:val="20"/>
          <w:lang w:val="es-ES_tradnl" w:eastAsia="es-CO"/>
        </w:rPr>
      </w:pPr>
    </w:p>
    <w:p w14:paraId="49730030" w14:textId="7007C15C" w:rsidR="00DD5B04" w:rsidRPr="0085790B" w:rsidRDefault="001F2EC1" w:rsidP="00B37657">
      <w:pPr>
        <w:jc w:val="center"/>
        <w:rPr>
          <w:rFonts w:ascii="Arial" w:eastAsia="Times New Roman" w:hAnsi="Arial" w:cs="Arial"/>
          <w:color w:val="000000" w:themeColor="text1"/>
          <w:sz w:val="18"/>
          <w:szCs w:val="20"/>
          <w:lang w:val="es-ES_tradnl" w:eastAsia="es-CO"/>
        </w:rPr>
      </w:pPr>
      <w:r>
        <w:rPr>
          <w:noProof/>
        </w:rPr>
        <w:drawing>
          <wp:inline distT="0" distB="0" distL="0" distR="0" wp14:anchorId="7491CB4F" wp14:editId="1831990D">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5790B" w14:paraId="0C7DC5F7" w14:textId="77777777" w:rsidTr="00083F1B">
        <w:trPr>
          <w:trHeight w:val="315"/>
        </w:trPr>
        <w:tc>
          <w:tcPr>
            <w:tcW w:w="812" w:type="dxa"/>
            <w:vAlign w:val="center"/>
            <w:hideMark/>
          </w:tcPr>
          <w:p w14:paraId="5BDB1AC9"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Cristian Andrés Díaz Díez</w:t>
            </w:r>
          </w:p>
          <w:p w14:paraId="240C71FD" w14:textId="31312C95"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Contratista</w:t>
            </w:r>
            <w:r w:rsidR="00FF0050" w:rsidRPr="0085790B">
              <w:rPr>
                <w:rFonts w:ascii="Arial" w:eastAsia="Times New Roman" w:hAnsi="Arial" w:cs="Arial"/>
                <w:color w:val="000000" w:themeColor="text1"/>
                <w:sz w:val="16"/>
                <w:szCs w:val="16"/>
                <w:lang w:val="es-ES_tradnl" w:eastAsia="es-ES"/>
              </w:rPr>
              <w:t xml:space="preserve"> de la </w:t>
            </w:r>
            <w:r w:rsidRPr="0085790B">
              <w:rPr>
                <w:rFonts w:ascii="Arial" w:eastAsia="Times New Roman" w:hAnsi="Arial" w:cs="Arial"/>
                <w:color w:val="000000" w:themeColor="text1"/>
                <w:sz w:val="16"/>
                <w:szCs w:val="16"/>
                <w:lang w:val="es-ES_tradnl" w:eastAsia="es-ES"/>
              </w:rPr>
              <w:t>Subdirección de Gestión Contractual</w:t>
            </w:r>
          </w:p>
        </w:tc>
      </w:tr>
      <w:tr w:rsidR="00DD5B04" w:rsidRPr="0085790B" w14:paraId="2F8FD650" w14:textId="77777777" w:rsidTr="00083F1B">
        <w:trPr>
          <w:trHeight w:val="330"/>
        </w:trPr>
        <w:tc>
          <w:tcPr>
            <w:tcW w:w="812" w:type="dxa"/>
            <w:vAlign w:val="center"/>
            <w:hideMark/>
          </w:tcPr>
          <w:p w14:paraId="50203A0B"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6BF77CBF" w:rsidR="006A55EE" w:rsidRPr="0085790B" w:rsidRDefault="00626EE3" w:rsidP="006A55E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130B3228" w14:textId="6AB3E72B" w:rsidR="00DD5B04" w:rsidRPr="0085790B" w:rsidRDefault="00626EE3" w:rsidP="00DF76A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w:t>
            </w:r>
            <w:r w:rsidR="0079146D">
              <w:rPr>
                <w:rFonts w:ascii="Arial" w:eastAsia="Times New Roman" w:hAnsi="Arial" w:cs="Arial"/>
                <w:color w:val="000000" w:themeColor="text1"/>
                <w:sz w:val="16"/>
                <w:szCs w:val="16"/>
                <w:lang w:val="es-ES_tradnl" w:eastAsia="es-ES"/>
              </w:rPr>
              <w:t>T</w:t>
            </w:r>
            <w:r>
              <w:rPr>
                <w:rFonts w:ascii="Arial" w:eastAsia="Times New Roman" w:hAnsi="Arial" w:cs="Arial"/>
                <w:color w:val="000000" w:themeColor="text1"/>
                <w:sz w:val="16"/>
                <w:szCs w:val="16"/>
                <w:lang w:val="es-ES_tradnl" w:eastAsia="es-ES"/>
              </w:rPr>
              <w:t xml:space="preserve">1 – Grado 15 </w:t>
            </w:r>
            <w:r w:rsidRPr="0085790B">
              <w:rPr>
                <w:rFonts w:ascii="Arial" w:eastAsia="Times New Roman" w:hAnsi="Arial" w:cs="Arial"/>
                <w:color w:val="000000" w:themeColor="text1"/>
                <w:sz w:val="16"/>
                <w:szCs w:val="16"/>
                <w:lang w:val="es-ES_tradnl" w:eastAsia="es-ES"/>
              </w:rPr>
              <w:t>Subdirección de Gestión Contractual</w:t>
            </w:r>
          </w:p>
        </w:tc>
      </w:tr>
      <w:tr w:rsidR="00DD5B04" w:rsidRPr="0085790B" w14:paraId="0FCBCA4A" w14:textId="77777777" w:rsidTr="00083F1B">
        <w:trPr>
          <w:trHeight w:val="300"/>
        </w:trPr>
        <w:tc>
          <w:tcPr>
            <w:tcW w:w="812" w:type="dxa"/>
            <w:vAlign w:val="center"/>
            <w:hideMark/>
          </w:tcPr>
          <w:p w14:paraId="3C1D943A"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7777777" w:rsidR="006A55EE" w:rsidRPr="0085790B" w:rsidRDefault="006A55EE"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 xml:space="preserve">Andrés Ricardo Mancipe González </w:t>
            </w:r>
          </w:p>
          <w:p w14:paraId="1ADC483B" w14:textId="0BF77DE8"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Subdirector de Gestión Contractual</w:t>
            </w:r>
            <w:r w:rsidR="006A55EE" w:rsidRPr="0085790B">
              <w:rPr>
                <w:rFonts w:ascii="Arial" w:eastAsia="Times New Roman" w:hAnsi="Arial" w:cs="Arial"/>
                <w:color w:val="000000" w:themeColor="text1"/>
                <w:sz w:val="16"/>
                <w:szCs w:val="16"/>
                <w:lang w:val="es-ES_tradnl" w:eastAsia="es-ES"/>
              </w:rPr>
              <w:t xml:space="preserve"> (E)</w:t>
            </w:r>
          </w:p>
        </w:tc>
      </w:tr>
    </w:tbl>
    <w:p w14:paraId="35B56F46" w14:textId="77777777" w:rsidR="00746E08" w:rsidRPr="0085790B" w:rsidRDefault="00746E08" w:rsidP="00215B8E">
      <w:pPr>
        <w:jc w:val="both"/>
        <w:rPr>
          <w:rFonts w:ascii="Arial" w:hAnsi="Arial" w:cs="Arial"/>
          <w:lang w:val="es-ES_tradnl"/>
        </w:rPr>
      </w:pPr>
    </w:p>
    <w:sectPr w:rsidR="00746E08" w:rsidRPr="0085790B"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5A4B8" w14:textId="77777777" w:rsidR="001C22D5" w:rsidRDefault="001C22D5">
      <w:r>
        <w:separator/>
      </w:r>
    </w:p>
  </w:endnote>
  <w:endnote w:type="continuationSeparator" w:id="0">
    <w:p w14:paraId="11C105E8" w14:textId="77777777" w:rsidR="001C22D5" w:rsidRDefault="001C22D5">
      <w:r>
        <w:continuationSeparator/>
      </w:r>
    </w:p>
  </w:endnote>
  <w:endnote w:type="continuationNotice" w:id="1">
    <w:p w14:paraId="34FF38C0" w14:textId="77777777" w:rsidR="001C22D5" w:rsidRDefault="001C2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4FF674C6" w:rsidP="00322937">
    <w:pPr>
      <w:pStyle w:val="Piedepgina"/>
      <w:jc w:val="center"/>
      <w:rPr>
        <w:lang w:val="es-ES"/>
      </w:rPr>
    </w:pPr>
    <w:r>
      <w:rPr>
        <w:noProof/>
      </w:rPr>
      <w:drawing>
        <wp:inline distT="0" distB="0" distL="0" distR="0" wp14:anchorId="608B196D" wp14:editId="091B98B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CA10C" w14:textId="77777777" w:rsidR="001C22D5" w:rsidRDefault="001C22D5">
      <w:r>
        <w:separator/>
      </w:r>
    </w:p>
  </w:footnote>
  <w:footnote w:type="continuationSeparator" w:id="0">
    <w:p w14:paraId="5172B421" w14:textId="77777777" w:rsidR="001C22D5" w:rsidRDefault="001C22D5">
      <w:r>
        <w:continuationSeparator/>
      </w:r>
    </w:p>
  </w:footnote>
  <w:footnote w:type="continuationNotice" w:id="1">
    <w:p w14:paraId="050BAEEC" w14:textId="77777777" w:rsidR="001C22D5" w:rsidRDefault="001C22D5"/>
  </w:footnote>
  <w:footnote w:id="2">
    <w:p w14:paraId="7EFD9500" w14:textId="77777777" w:rsidR="00202E44" w:rsidRPr="002A7F6D" w:rsidRDefault="00202E44" w:rsidP="00202E44">
      <w:pPr>
        <w:pStyle w:val="Textonotapie"/>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3">
    <w:p w14:paraId="614A2639" w14:textId="024EE92C" w:rsidR="00202E44" w:rsidRDefault="00202E44" w:rsidP="00202E44">
      <w:pPr>
        <w:pStyle w:val="Textonotapie"/>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Marienhoff, cuando se pregunta «¿Y cuál es la vigencia de la ley con relación al tiempo?», respondiendo a renglón seguido: «El principio general consiste  en que las leyes rigen </w:t>
      </w:r>
      <w:r w:rsidRPr="002A7F6D">
        <w:rPr>
          <w:rFonts w:ascii="Arial" w:hAnsi="Arial" w:cs="Arial"/>
          <w:i/>
          <w:iCs/>
          <w:color w:val="000000" w:themeColor="text1"/>
          <w:sz w:val="19"/>
          <w:szCs w:val="19"/>
          <w:lang w:val="es-ES"/>
        </w:rPr>
        <w:t>“ex nunc”</w:t>
      </w:r>
      <w:r w:rsidRPr="002A7F6D">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2A7F6D">
        <w:rPr>
          <w:rFonts w:ascii="Arial" w:hAnsi="Arial" w:cs="Arial"/>
          <w:i/>
          <w:iCs/>
          <w:color w:val="000000" w:themeColor="text1"/>
          <w:sz w:val="19"/>
          <w:szCs w:val="19"/>
          <w:lang w:val="es-ES"/>
        </w:rPr>
        <w:t>“excepcional”</w:t>
      </w:r>
      <w:r w:rsidRPr="002A7F6D">
        <w:rPr>
          <w:rFonts w:ascii="Arial" w:hAnsi="Arial" w:cs="Arial"/>
          <w:color w:val="000000" w:themeColor="text1"/>
          <w:sz w:val="19"/>
          <w:szCs w:val="19"/>
          <w:lang w:val="es-ES"/>
        </w:rPr>
        <w:t xml:space="preserve">, la ley puede regir para el pasado, es decir, puede tener efecto retroactivo, </w:t>
      </w:r>
      <w:r w:rsidRPr="002A7F6D">
        <w:rPr>
          <w:rFonts w:ascii="Arial" w:hAnsi="Arial" w:cs="Arial"/>
          <w:i/>
          <w:iCs/>
          <w:color w:val="000000" w:themeColor="text1"/>
          <w:sz w:val="19"/>
          <w:szCs w:val="19"/>
          <w:lang w:val="es-ES"/>
        </w:rPr>
        <w:t>“ex tunc”</w:t>
      </w:r>
      <w:r w:rsidRPr="002A7F6D">
        <w:rPr>
          <w:rFonts w:ascii="Arial" w:hAnsi="Arial" w:cs="Arial"/>
          <w:color w:val="000000" w:themeColor="text1"/>
          <w:sz w:val="19"/>
          <w:szCs w:val="19"/>
          <w:lang w:val="es-ES"/>
        </w:rPr>
        <w:t xml:space="preserve">; pero la intención del legislador de dar efecto retroactivo a una ley debe resultar de una declaración </w:t>
      </w:r>
      <w:r w:rsidRPr="002A7F6D">
        <w:rPr>
          <w:rFonts w:ascii="Arial" w:hAnsi="Arial" w:cs="Arial"/>
          <w:i/>
          <w:iCs/>
          <w:color w:val="000000" w:themeColor="text1"/>
          <w:sz w:val="19"/>
          <w:szCs w:val="19"/>
          <w:lang w:val="es-ES"/>
        </w:rPr>
        <w:t>expresa</w:t>
      </w:r>
      <w:r w:rsidRPr="002A7F6D">
        <w:rPr>
          <w:rFonts w:ascii="Arial" w:hAnsi="Arial" w:cs="Arial"/>
          <w:color w:val="000000" w:themeColor="text1"/>
          <w:sz w:val="19"/>
          <w:szCs w:val="19"/>
          <w:lang w:val="es-ES"/>
        </w:rPr>
        <w:t xml:space="preserve"> o bien de otra forma </w:t>
      </w:r>
      <w:r w:rsidRPr="002A7F6D">
        <w:rPr>
          <w:rFonts w:ascii="Arial" w:hAnsi="Arial" w:cs="Arial"/>
          <w:i/>
          <w:iCs/>
          <w:color w:val="000000" w:themeColor="text1"/>
          <w:sz w:val="19"/>
          <w:szCs w:val="19"/>
          <w:lang w:val="es-ES"/>
        </w:rPr>
        <w:t>inequívoca</w:t>
      </w:r>
      <w:r w:rsidRPr="002A7F6D">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p w14:paraId="2853DD48" w14:textId="77777777" w:rsidR="00415D32" w:rsidRPr="002A7F6D" w:rsidRDefault="00415D32" w:rsidP="00202E44">
      <w:pPr>
        <w:pStyle w:val="Textonotapie"/>
        <w:ind w:firstLine="709"/>
        <w:jc w:val="both"/>
        <w:rPr>
          <w:rFonts w:ascii="Arial" w:hAnsi="Arial" w:cs="Arial"/>
          <w:color w:val="000000" w:themeColor="text1"/>
          <w:sz w:val="19"/>
          <w:szCs w:val="19"/>
          <w:lang w:val="es-ES"/>
        </w:rPr>
      </w:pPr>
    </w:p>
  </w:footnote>
  <w:footnote w:id="4">
    <w:p w14:paraId="74A9310B" w14:textId="77777777" w:rsidR="00202E44" w:rsidRPr="002A7F6D" w:rsidRDefault="00202E44" w:rsidP="00202E44">
      <w:pPr>
        <w:ind w:firstLine="709"/>
        <w:jc w:val="both"/>
        <w:rPr>
          <w:rFonts w:ascii="Arial" w:hAnsi="Arial" w:cs="Arial"/>
          <w:color w:val="000000" w:themeColor="text1"/>
          <w:sz w:val="19"/>
          <w:szCs w:val="19"/>
          <w:lang w:val="es-ES"/>
        </w:rPr>
      </w:pPr>
      <w:r w:rsidRPr="002A7F6D">
        <w:rPr>
          <w:rStyle w:val="Refdenotaalpie"/>
          <w:rFonts w:ascii="Arial" w:hAnsi="Arial" w:cs="Arial"/>
          <w:color w:val="000000" w:themeColor="text1"/>
          <w:sz w:val="19"/>
          <w:szCs w:val="19"/>
        </w:rPr>
        <w:footnoteRef/>
      </w:r>
      <w:r w:rsidRPr="002A7F6D">
        <w:rPr>
          <w:rFonts w:ascii="Arial" w:hAnsi="Arial" w:cs="Arial"/>
          <w:color w:val="000000" w:themeColor="text1"/>
          <w:sz w:val="19"/>
          <w:szCs w:val="19"/>
        </w:rPr>
        <w:t xml:space="preserve"> </w:t>
      </w:r>
      <w:r w:rsidRPr="002A7F6D">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19CB791F" w14:textId="77777777" w:rsidR="00202E44" w:rsidRPr="002A7F6D" w:rsidRDefault="00202E44" w:rsidP="00202E44">
      <w:pPr>
        <w:pStyle w:val="Textonotapie"/>
        <w:ind w:firstLine="709"/>
        <w:jc w:val="both"/>
        <w:rPr>
          <w:rFonts w:ascii="Arial" w:hAnsi="Arial" w:cs="Arial"/>
          <w:color w:val="000000" w:themeColor="text1"/>
          <w:sz w:val="19"/>
          <w:szCs w:val="19"/>
          <w:lang w:val="es-CO"/>
        </w:rPr>
      </w:pPr>
    </w:p>
  </w:footnote>
  <w:footnote w:id="5">
    <w:p w14:paraId="3882A0C5" w14:textId="77777777" w:rsidR="00194E8C" w:rsidRPr="00E86699" w:rsidRDefault="00194E8C" w:rsidP="00194E8C">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 xml:space="preserve">Agencia Nacional de Contratación Pública </w:t>
      </w:r>
      <w:r>
        <w:rPr>
          <w:rFonts w:ascii="Arial" w:hAnsi="Arial" w:cs="Arial"/>
          <w:sz w:val="19"/>
          <w:szCs w:val="19"/>
          <w:lang w:val="es-ES"/>
        </w:rPr>
        <w:softHyphen/>
        <w:t>– Colombia Compra Eficiente. Resolución No. 116 de 21 de julio de 2020.</w:t>
      </w:r>
      <w:r w:rsidRPr="00E86699">
        <w:rPr>
          <w:rFonts w:ascii="Arial" w:hAnsi="Arial" w:cs="Arial"/>
          <w:sz w:val="19"/>
          <w:szCs w:val="19"/>
          <w:lang w:val="es-ES"/>
        </w:rPr>
        <w:t xml:space="preserve"> </w:t>
      </w:r>
    </w:p>
    <w:p w14:paraId="065E85EE" w14:textId="77777777" w:rsidR="00194E8C" w:rsidRPr="00E86699" w:rsidRDefault="00194E8C" w:rsidP="00194E8C">
      <w:pPr>
        <w:pStyle w:val="Textonotapie"/>
        <w:ind w:firstLine="708"/>
        <w:jc w:val="both"/>
        <w:rPr>
          <w:rFonts w:ascii="Arial" w:hAnsi="Arial" w:cs="Arial"/>
          <w:sz w:val="19"/>
          <w:szCs w:val="19"/>
          <w:lang w:val="es-ES"/>
        </w:rPr>
      </w:pPr>
    </w:p>
  </w:footnote>
  <w:footnote w:id="6">
    <w:p w14:paraId="73449F33" w14:textId="77777777" w:rsidR="00194E8C" w:rsidRPr="00E86699" w:rsidRDefault="00194E8C" w:rsidP="00194E8C">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486E1FDE">
      <w:start w:val="1"/>
      <w:numFmt w:val="decimal"/>
      <w:lvlText w:val="%1."/>
      <w:lvlJc w:val="left"/>
      <w:pPr>
        <w:ind w:left="360" w:hanging="360"/>
      </w:pPr>
      <w:rPr>
        <w:color w:val="auto"/>
        <w:sz w:val="20"/>
        <w:szCs w:val="20"/>
      </w:rPr>
    </w:lvl>
    <w:lvl w:ilvl="1" w:tplc="CC36F172">
      <w:start w:val="1"/>
      <w:numFmt w:val="decimal"/>
      <w:lvlText w:val="3.%2."/>
      <w:lvlJc w:val="left"/>
      <w:pPr>
        <w:ind w:left="1004" w:hanging="720"/>
      </w:pPr>
      <w:rPr>
        <w:b/>
        <w:i w:val="0"/>
        <w:color w:val="000000"/>
      </w:rPr>
    </w:lvl>
    <w:lvl w:ilvl="2" w:tplc="54943CAA">
      <w:start w:val="1"/>
      <w:numFmt w:val="decimal"/>
      <w:lvlText w:val="4.1.%3."/>
      <w:lvlJc w:val="left"/>
      <w:pPr>
        <w:ind w:left="964" w:hanging="624"/>
      </w:pPr>
      <w:rPr>
        <w:b/>
        <w:i w:val="0"/>
      </w:rPr>
    </w:lvl>
    <w:lvl w:ilvl="3" w:tplc="A426DC0C">
      <w:start w:val="1"/>
      <w:numFmt w:val="decimal"/>
      <w:lvlText w:val="%1.%2.%3.%4."/>
      <w:lvlJc w:val="left"/>
      <w:pPr>
        <w:ind w:left="1080" w:hanging="1080"/>
      </w:pPr>
      <w:rPr>
        <w:b/>
      </w:rPr>
    </w:lvl>
    <w:lvl w:ilvl="4" w:tplc="6A861778">
      <w:start w:val="1"/>
      <w:numFmt w:val="decimal"/>
      <w:lvlText w:val="%1.%2.%3.%4.%5."/>
      <w:lvlJc w:val="left"/>
      <w:pPr>
        <w:ind w:left="1080" w:hanging="1080"/>
      </w:pPr>
    </w:lvl>
    <w:lvl w:ilvl="5" w:tplc="D9900864">
      <w:start w:val="1"/>
      <w:numFmt w:val="decimal"/>
      <w:lvlText w:val="%1.%2.%3.%4.%5.%6."/>
      <w:lvlJc w:val="left"/>
      <w:pPr>
        <w:ind w:left="1440" w:hanging="1440"/>
      </w:pPr>
    </w:lvl>
    <w:lvl w:ilvl="6" w:tplc="58727E82">
      <w:start w:val="1"/>
      <w:numFmt w:val="decimal"/>
      <w:lvlText w:val="%1.%2.%3.%4.%5.%6.%7."/>
      <w:lvlJc w:val="left"/>
      <w:pPr>
        <w:ind w:left="1440" w:hanging="1440"/>
      </w:pPr>
    </w:lvl>
    <w:lvl w:ilvl="7" w:tplc="A432BA66">
      <w:start w:val="1"/>
      <w:numFmt w:val="decimal"/>
      <w:lvlText w:val="%1.%2.%3.%4.%5.%6.%7.%8."/>
      <w:lvlJc w:val="left"/>
      <w:pPr>
        <w:ind w:left="1800" w:hanging="1800"/>
      </w:pPr>
    </w:lvl>
    <w:lvl w:ilvl="8" w:tplc="900E0444">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7C30B120">
      <w:start w:val="2"/>
      <w:numFmt w:val="decimal"/>
      <w:lvlText w:val="%1"/>
      <w:lvlJc w:val="left"/>
      <w:pPr>
        <w:ind w:left="360" w:hanging="360"/>
      </w:pPr>
      <w:rPr>
        <w:rFonts w:hint="default"/>
      </w:rPr>
    </w:lvl>
    <w:lvl w:ilvl="1" w:tplc="91D2C19A">
      <w:start w:val="3"/>
      <w:numFmt w:val="decimal"/>
      <w:lvlText w:val="%1.%2"/>
      <w:lvlJc w:val="left"/>
      <w:pPr>
        <w:ind w:left="360" w:hanging="360"/>
      </w:pPr>
      <w:rPr>
        <w:rFonts w:hint="default"/>
      </w:rPr>
    </w:lvl>
    <w:lvl w:ilvl="2" w:tplc="CDE67B3A">
      <w:start w:val="1"/>
      <w:numFmt w:val="decimal"/>
      <w:lvlText w:val="%1.%2.%3"/>
      <w:lvlJc w:val="left"/>
      <w:pPr>
        <w:ind w:left="720" w:hanging="720"/>
      </w:pPr>
      <w:rPr>
        <w:rFonts w:hint="default"/>
      </w:rPr>
    </w:lvl>
    <w:lvl w:ilvl="3" w:tplc="C4BC0308">
      <w:start w:val="1"/>
      <w:numFmt w:val="decimal"/>
      <w:lvlText w:val="%1.%2.%3.%4"/>
      <w:lvlJc w:val="left"/>
      <w:pPr>
        <w:ind w:left="720" w:hanging="720"/>
      </w:pPr>
      <w:rPr>
        <w:rFonts w:hint="default"/>
      </w:rPr>
    </w:lvl>
    <w:lvl w:ilvl="4" w:tplc="AEF45082">
      <w:start w:val="1"/>
      <w:numFmt w:val="decimal"/>
      <w:lvlText w:val="%1.%2.%3.%4.%5"/>
      <w:lvlJc w:val="left"/>
      <w:pPr>
        <w:ind w:left="1080" w:hanging="1080"/>
      </w:pPr>
      <w:rPr>
        <w:rFonts w:hint="default"/>
      </w:rPr>
    </w:lvl>
    <w:lvl w:ilvl="5" w:tplc="DBFE305C">
      <w:start w:val="1"/>
      <w:numFmt w:val="decimal"/>
      <w:lvlText w:val="%1.%2.%3.%4.%5.%6"/>
      <w:lvlJc w:val="left"/>
      <w:pPr>
        <w:ind w:left="1080" w:hanging="1080"/>
      </w:pPr>
      <w:rPr>
        <w:rFonts w:hint="default"/>
      </w:rPr>
    </w:lvl>
    <w:lvl w:ilvl="6" w:tplc="956CE1EA">
      <w:start w:val="1"/>
      <w:numFmt w:val="decimal"/>
      <w:lvlText w:val="%1.%2.%3.%4.%5.%6.%7"/>
      <w:lvlJc w:val="left"/>
      <w:pPr>
        <w:ind w:left="1440" w:hanging="1440"/>
      </w:pPr>
      <w:rPr>
        <w:rFonts w:hint="default"/>
      </w:rPr>
    </w:lvl>
    <w:lvl w:ilvl="7" w:tplc="63F62E1A">
      <w:start w:val="1"/>
      <w:numFmt w:val="decimal"/>
      <w:lvlText w:val="%1.%2.%3.%4.%5.%6.%7.%8"/>
      <w:lvlJc w:val="left"/>
      <w:pPr>
        <w:ind w:left="1440" w:hanging="1440"/>
      </w:pPr>
      <w:rPr>
        <w:rFonts w:hint="default"/>
      </w:rPr>
    </w:lvl>
    <w:lvl w:ilvl="8" w:tplc="10D64B96">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tplc="C7DAA064">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B76C30EE">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75A4A3BE">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5256FCCE">
      <w:numFmt w:val="bullet"/>
      <w:lvlText w:val="•"/>
      <w:lvlJc w:val="left"/>
      <w:pPr>
        <w:ind w:left="2853" w:hanging="265"/>
      </w:pPr>
      <w:rPr>
        <w:rFonts w:hint="default"/>
        <w:lang w:val="es-ES" w:eastAsia="en-US" w:bidi="ar-SA"/>
      </w:rPr>
    </w:lvl>
    <w:lvl w:ilvl="4" w:tplc="0CA445FE">
      <w:numFmt w:val="bullet"/>
      <w:lvlText w:val="•"/>
      <w:lvlJc w:val="left"/>
      <w:pPr>
        <w:ind w:left="3780" w:hanging="265"/>
      </w:pPr>
      <w:rPr>
        <w:rFonts w:hint="default"/>
        <w:lang w:val="es-ES" w:eastAsia="en-US" w:bidi="ar-SA"/>
      </w:rPr>
    </w:lvl>
    <w:lvl w:ilvl="5" w:tplc="B2A01AF0">
      <w:numFmt w:val="bullet"/>
      <w:lvlText w:val="•"/>
      <w:lvlJc w:val="left"/>
      <w:pPr>
        <w:ind w:left="4706" w:hanging="265"/>
      </w:pPr>
      <w:rPr>
        <w:rFonts w:hint="default"/>
        <w:lang w:val="es-ES" w:eastAsia="en-US" w:bidi="ar-SA"/>
      </w:rPr>
    </w:lvl>
    <w:lvl w:ilvl="6" w:tplc="AB52D282">
      <w:numFmt w:val="bullet"/>
      <w:lvlText w:val="•"/>
      <w:lvlJc w:val="left"/>
      <w:pPr>
        <w:ind w:left="5633" w:hanging="265"/>
      </w:pPr>
      <w:rPr>
        <w:rFonts w:hint="default"/>
        <w:lang w:val="es-ES" w:eastAsia="en-US" w:bidi="ar-SA"/>
      </w:rPr>
    </w:lvl>
    <w:lvl w:ilvl="7" w:tplc="84F08A18">
      <w:numFmt w:val="bullet"/>
      <w:lvlText w:val="•"/>
      <w:lvlJc w:val="left"/>
      <w:pPr>
        <w:ind w:left="6560" w:hanging="265"/>
      </w:pPr>
      <w:rPr>
        <w:rFonts w:hint="default"/>
        <w:lang w:val="es-ES" w:eastAsia="en-US" w:bidi="ar-SA"/>
      </w:rPr>
    </w:lvl>
    <w:lvl w:ilvl="8" w:tplc="266C5450">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E20CA96A">
      <w:start w:val="1"/>
      <w:numFmt w:val="decimal"/>
      <w:lvlText w:val="%1."/>
      <w:lvlJc w:val="left"/>
      <w:pPr>
        <w:tabs>
          <w:tab w:val="num" w:pos="720"/>
        </w:tabs>
        <w:ind w:left="720" w:hanging="360"/>
      </w:pPr>
    </w:lvl>
    <w:lvl w:ilvl="1" w:tplc="EDEE83F8" w:tentative="1">
      <w:start w:val="1"/>
      <w:numFmt w:val="decimal"/>
      <w:lvlText w:val="%2."/>
      <w:lvlJc w:val="left"/>
      <w:pPr>
        <w:tabs>
          <w:tab w:val="num" w:pos="1440"/>
        </w:tabs>
        <w:ind w:left="1440" w:hanging="360"/>
      </w:pPr>
    </w:lvl>
    <w:lvl w:ilvl="2" w:tplc="39864D84" w:tentative="1">
      <w:start w:val="1"/>
      <w:numFmt w:val="decimal"/>
      <w:lvlText w:val="%3."/>
      <w:lvlJc w:val="left"/>
      <w:pPr>
        <w:tabs>
          <w:tab w:val="num" w:pos="2160"/>
        </w:tabs>
        <w:ind w:left="2160" w:hanging="360"/>
      </w:pPr>
    </w:lvl>
    <w:lvl w:ilvl="3" w:tplc="29FC26AA" w:tentative="1">
      <w:start w:val="1"/>
      <w:numFmt w:val="decimal"/>
      <w:lvlText w:val="%4."/>
      <w:lvlJc w:val="left"/>
      <w:pPr>
        <w:tabs>
          <w:tab w:val="num" w:pos="2880"/>
        </w:tabs>
        <w:ind w:left="2880" w:hanging="360"/>
      </w:pPr>
    </w:lvl>
    <w:lvl w:ilvl="4" w:tplc="A2A07862" w:tentative="1">
      <w:start w:val="1"/>
      <w:numFmt w:val="decimal"/>
      <w:lvlText w:val="%5."/>
      <w:lvlJc w:val="left"/>
      <w:pPr>
        <w:tabs>
          <w:tab w:val="num" w:pos="3600"/>
        </w:tabs>
        <w:ind w:left="3600" w:hanging="360"/>
      </w:pPr>
    </w:lvl>
    <w:lvl w:ilvl="5" w:tplc="ABCA1A60" w:tentative="1">
      <w:start w:val="1"/>
      <w:numFmt w:val="decimal"/>
      <w:lvlText w:val="%6."/>
      <w:lvlJc w:val="left"/>
      <w:pPr>
        <w:tabs>
          <w:tab w:val="num" w:pos="4320"/>
        </w:tabs>
        <w:ind w:left="4320" w:hanging="360"/>
      </w:pPr>
    </w:lvl>
    <w:lvl w:ilvl="6" w:tplc="4B60245E" w:tentative="1">
      <w:start w:val="1"/>
      <w:numFmt w:val="decimal"/>
      <w:lvlText w:val="%7."/>
      <w:lvlJc w:val="left"/>
      <w:pPr>
        <w:tabs>
          <w:tab w:val="num" w:pos="5040"/>
        </w:tabs>
        <w:ind w:left="5040" w:hanging="360"/>
      </w:pPr>
    </w:lvl>
    <w:lvl w:ilvl="7" w:tplc="AE1CFAA4" w:tentative="1">
      <w:start w:val="1"/>
      <w:numFmt w:val="decimal"/>
      <w:lvlText w:val="%8."/>
      <w:lvlJc w:val="left"/>
      <w:pPr>
        <w:tabs>
          <w:tab w:val="num" w:pos="5760"/>
        </w:tabs>
        <w:ind w:left="5760" w:hanging="360"/>
      </w:pPr>
    </w:lvl>
    <w:lvl w:ilvl="8" w:tplc="0FF45AB2"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hybridMultilevel"/>
    <w:tmpl w:val="5768BC5E"/>
    <w:lvl w:ilvl="0" w:tplc="CA26A4D0">
      <w:start w:val="2"/>
      <w:numFmt w:val="decimal"/>
      <w:lvlText w:val="%1."/>
      <w:lvlJc w:val="left"/>
      <w:pPr>
        <w:ind w:left="360" w:hanging="360"/>
      </w:pPr>
    </w:lvl>
    <w:lvl w:ilvl="1" w:tplc="366C57B0">
      <w:start w:val="1"/>
      <w:numFmt w:val="decimal"/>
      <w:lvlText w:val="%1.%2."/>
      <w:lvlJc w:val="left"/>
      <w:pPr>
        <w:ind w:left="720" w:hanging="720"/>
      </w:pPr>
    </w:lvl>
    <w:lvl w:ilvl="2" w:tplc="65FABBEE">
      <w:start w:val="1"/>
      <w:numFmt w:val="decimal"/>
      <w:lvlText w:val="%1.%2.%3."/>
      <w:lvlJc w:val="left"/>
      <w:pPr>
        <w:ind w:left="720" w:hanging="720"/>
      </w:pPr>
    </w:lvl>
    <w:lvl w:ilvl="3" w:tplc="4E6E536A">
      <w:start w:val="1"/>
      <w:numFmt w:val="decimal"/>
      <w:lvlText w:val="%1.%2.%3.%4."/>
      <w:lvlJc w:val="left"/>
      <w:pPr>
        <w:ind w:left="1080" w:hanging="1080"/>
      </w:pPr>
    </w:lvl>
    <w:lvl w:ilvl="4" w:tplc="7798854E">
      <w:start w:val="1"/>
      <w:numFmt w:val="decimal"/>
      <w:lvlText w:val="%1.%2.%3.%4.%5."/>
      <w:lvlJc w:val="left"/>
      <w:pPr>
        <w:ind w:left="1080" w:hanging="1080"/>
      </w:pPr>
    </w:lvl>
    <w:lvl w:ilvl="5" w:tplc="A2BA3224">
      <w:start w:val="1"/>
      <w:numFmt w:val="decimal"/>
      <w:lvlText w:val="%1.%2.%3.%4.%5.%6."/>
      <w:lvlJc w:val="left"/>
      <w:pPr>
        <w:ind w:left="1440" w:hanging="1440"/>
      </w:pPr>
    </w:lvl>
    <w:lvl w:ilvl="6" w:tplc="008C74CA">
      <w:start w:val="1"/>
      <w:numFmt w:val="decimal"/>
      <w:lvlText w:val="%1.%2.%3.%4.%5.%6.%7."/>
      <w:lvlJc w:val="left"/>
      <w:pPr>
        <w:ind w:left="1440" w:hanging="1440"/>
      </w:pPr>
    </w:lvl>
    <w:lvl w:ilvl="7" w:tplc="D8E8DA4E">
      <w:start w:val="1"/>
      <w:numFmt w:val="decimal"/>
      <w:lvlText w:val="%1.%2.%3.%4.%5.%6.%7.%8."/>
      <w:lvlJc w:val="left"/>
      <w:pPr>
        <w:ind w:left="1800" w:hanging="1800"/>
      </w:pPr>
    </w:lvl>
    <w:lvl w:ilvl="8" w:tplc="8CB68C92">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59D3"/>
    <w:rsid w:val="00006081"/>
    <w:rsid w:val="00007750"/>
    <w:rsid w:val="000077FD"/>
    <w:rsid w:val="00007E37"/>
    <w:rsid w:val="00010C40"/>
    <w:rsid w:val="00011DCC"/>
    <w:rsid w:val="00012B9E"/>
    <w:rsid w:val="00013C6B"/>
    <w:rsid w:val="0001406B"/>
    <w:rsid w:val="00014624"/>
    <w:rsid w:val="00016081"/>
    <w:rsid w:val="000165AC"/>
    <w:rsid w:val="00016651"/>
    <w:rsid w:val="000171A2"/>
    <w:rsid w:val="00017B65"/>
    <w:rsid w:val="00020158"/>
    <w:rsid w:val="000207E0"/>
    <w:rsid w:val="00020F8F"/>
    <w:rsid w:val="00021A95"/>
    <w:rsid w:val="0002256F"/>
    <w:rsid w:val="00023DAE"/>
    <w:rsid w:val="000263F0"/>
    <w:rsid w:val="00026407"/>
    <w:rsid w:val="00026608"/>
    <w:rsid w:val="000315E1"/>
    <w:rsid w:val="0003236E"/>
    <w:rsid w:val="0003339A"/>
    <w:rsid w:val="000341F2"/>
    <w:rsid w:val="00036D09"/>
    <w:rsid w:val="00036E03"/>
    <w:rsid w:val="00041029"/>
    <w:rsid w:val="00042961"/>
    <w:rsid w:val="00042C25"/>
    <w:rsid w:val="00042D03"/>
    <w:rsid w:val="00043086"/>
    <w:rsid w:val="000430A0"/>
    <w:rsid w:val="0004418C"/>
    <w:rsid w:val="00044204"/>
    <w:rsid w:val="000449D4"/>
    <w:rsid w:val="00046A63"/>
    <w:rsid w:val="00046C09"/>
    <w:rsid w:val="0004716A"/>
    <w:rsid w:val="000504DE"/>
    <w:rsid w:val="00051074"/>
    <w:rsid w:val="00052EA0"/>
    <w:rsid w:val="0005474D"/>
    <w:rsid w:val="00055CB9"/>
    <w:rsid w:val="0005702F"/>
    <w:rsid w:val="00061D06"/>
    <w:rsid w:val="00062CDD"/>
    <w:rsid w:val="00064CAE"/>
    <w:rsid w:val="00064FA7"/>
    <w:rsid w:val="00065195"/>
    <w:rsid w:val="00070AF1"/>
    <w:rsid w:val="0007254F"/>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617E"/>
    <w:rsid w:val="000979CF"/>
    <w:rsid w:val="000A03C8"/>
    <w:rsid w:val="000A0861"/>
    <w:rsid w:val="000A12DB"/>
    <w:rsid w:val="000A2128"/>
    <w:rsid w:val="000A362F"/>
    <w:rsid w:val="000A5F97"/>
    <w:rsid w:val="000A648E"/>
    <w:rsid w:val="000A73BB"/>
    <w:rsid w:val="000A7EF4"/>
    <w:rsid w:val="000B103F"/>
    <w:rsid w:val="000B1437"/>
    <w:rsid w:val="000B1470"/>
    <w:rsid w:val="000B2B86"/>
    <w:rsid w:val="000B3051"/>
    <w:rsid w:val="000B419B"/>
    <w:rsid w:val="000B5781"/>
    <w:rsid w:val="000C0185"/>
    <w:rsid w:val="000C128D"/>
    <w:rsid w:val="000C1D4B"/>
    <w:rsid w:val="000C3B77"/>
    <w:rsid w:val="000C4F49"/>
    <w:rsid w:val="000C5861"/>
    <w:rsid w:val="000C639D"/>
    <w:rsid w:val="000C6F79"/>
    <w:rsid w:val="000C7476"/>
    <w:rsid w:val="000C7711"/>
    <w:rsid w:val="000C7AA2"/>
    <w:rsid w:val="000D0462"/>
    <w:rsid w:val="000D0ED2"/>
    <w:rsid w:val="000D2563"/>
    <w:rsid w:val="000D25BF"/>
    <w:rsid w:val="000D3FDC"/>
    <w:rsid w:val="000D4E38"/>
    <w:rsid w:val="000D6288"/>
    <w:rsid w:val="000D7541"/>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7E8F"/>
    <w:rsid w:val="001000FB"/>
    <w:rsid w:val="00102605"/>
    <w:rsid w:val="00103915"/>
    <w:rsid w:val="001051E5"/>
    <w:rsid w:val="00105A74"/>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1B5A"/>
    <w:rsid w:val="00132EFD"/>
    <w:rsid w:val="0013695C"/>
    <w:rsid w:val="00136BF7"/>
    <w:rsid w:val="00137FFA"/>
    <w:rsid w:val="00140109"/>
    <w:rsid w:val="0014029B"/>
    <w:rsid w:val="00140A4F"/>
    <w:rsid w:val="001413AB"/>
    <w:rsid w:val="00144335"/>
    <w:rsid w:val="0014502F"/>
    <w:rsid w:val="00145282"/>
    <w:rsid w:val="001453B0"/>
    <w:rsid w:val="00145D8E"/>
    <w:rsid w:val="00146083"/>
    <w:rsid w:val="001462F7"/>
    <w:rsid w:val="00151B99"/>
    <w:rsid w:val="0015361C"/>
    <w:rsid w:val="0015407E"/>
    <w:rsid w:val="0015448E"/>
    <w:rsid w:val="00154A6F"/>
    <w:rsid w:val="00155D08"/>
    <w:rsid w:val="00156BE5"/>
    <w:rsid w:val="00157232"/>
    <w:rsid w:val="00160401"/>
    <w:rsid w:val="00161E62"/>
    <w:rsid w:val="00161F1C"/>
    <w:rsid w:val="0016200B"/>
    <w:rsid w:val="00164281"/>
    <w:rsid w:val="001676A9"/>
    <w:rsid w:val="00167A50"/>
    <w:rsid w:val="00167DF5"/>
    <w:rsid w:val="00170001"/>
    <w:rsid w:val="00172198"/>
    <w:rsid w:val="001734E3"/>
    <w:rsid w:val="001742BF"/>
    <w:rsid w:val="00175E49"/>
    <w:rsid w:val="001805C1"/>
    <w:rsid w:val="001813AF"/>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449C"/>
    <w:rsid w:val="001B4AA2"/>
    <w:rsid w:val="001B4ADE"/>
    <w:rsid w:val="001C19CD"/>
    <w:rsid w:val="001C22D5"/>
    <w:rsid w:val="001C2515"/>
    <w:rsid w:val="001C26FB"/>
    <w:rsid w:val="001C33C1"/>
    <w:rsid w:val="001C3E30"/>
    <w:rsid w:val="001C3E5C"/>
    <w:rsid w:val="001C5072"/>
    <w:rsid w:val="001C5B2A"/>
    <w:rsid w:val="001C600B"/>
    <w:rsid w:val="001C6898"/>
    <w:rsid w:val="001C6DD8"/>
    <w:rsid w:val="001D12D1"/>
    <w:rsid w:val="001D15DF"/>
    <w:rsid w:val="001D31A0"/>
    <w:rsid w:val="001D338E"/>
    <w:rsid w:val="001D56E9"/>
    <w:rsid w:val="001D796A"/>
    <w:rsid w:val="001D7A84"/>
    <w:rsid w:val="001E1D38"/>
    <w:rsid w:val="001E70FB"/>
    <w:rsid w:val="001E780A"/>
    <w:rsid w:val="001F0FA0"/>
    <w:rsid w:val="001F1349"/>
    <w:rsid w:val="001F2356"/>
    <w:rsid w:val="001F2A68"/>
    <w:rsid w:val="001F2EC1"/>
    <w:rsid w:val="001F4773"/>
    <w:rsid w:val="001F5008"/>
    <w:rsid w:val="001F56AA"/>
    <w:rsid w:val="001F58AA"/>
    <w:rsid w:val="001F5EF6"/>
    <w:rsid w:val="001F657F"/>
    <w:rsid w:val="001F6FB6"/>
    <w:rsid w:val="001F7978"/>
    <w:rsid w:val="001F7A0E"/>
    <w:rsid w:val="0020054E"/>
    <w:rsid w:val="0020299B"/>
    <w:rsid w:val="00202E44"/>
    <w:rsid w:val="002037AA"/>
    <w:rsid w:val="00203FE3"/>
    <w:rsid w:val="002042D8"/>
    <w:rsid w:val="00204515"/>
    <w:rsid w:val="002058D4"/>
    <w:rsid w:val="0020632A"/>
    <w:rsid w:val="002110EB"/>
    <w:rsid w:val="00211338"/>
    <w:rsid w:val="00211388"/>
    <w:rsid w:val="0021148C"/>
    <w:rsid w:val="0021201A"/>
    <w:rsid w:val="00213A1F"/>
    <w:rsid w:val="00213C63"/>
    <w:rsid w:val="00214741"/>
    <w:rsid w:val="0021539A"/>
    <w:rsid w:val="00215852"/>
    <w:rsid w:val="00215B8E"/>
    <w:rsid w:val="00216264"/>
    <w:rsid w:val="00217DB8"/>
    <w:rsid w:val="002221CE"/>
    <w:rsid w:val="00222BE8"/>
    <w:rsid w:val="00226055"/>
    <w:rsid w:val="0022613F"/>
    <w:rsid w:val="00226236"/>
    <w:rsid w:val="002270C9"/>
    <w:rsid w:val="00227A8B"/>
    <w:rsid w:val="002315A0"/>
    <w:rsid w:val="00231EC7"/>
    <w:rsid w:val="00232E15"/>
    <w:rsid w:val="00233977"/>
    <w:rsid w:val="00233C58"/>
    <w:rsid w:val="00233C71"/>
    <w:rsid w:val="002345B6"/>
    <w:rsid w:val="00234B84"/>
    <w:rsid w:val="00237065"/>
    <w:rsid w:val="00237589"/>
    <w:rsid w:val="0024019A"/>
    <w:rsid w:val="002431D7"/>
    <w:rsid w:val="00244058"/>
    <w:rsid w:val="00245E07"/>
    <w:rsid w:val="00247712"/>
    <w:rsid w:val="00251866"/>
    <w:rsid w:val="00251A9F"/>
    <w:rsid w:val="00252492"/>
    <w:rsid w:val="00252B35"/>
    <w:rsid w:val="00253A02"/>
    <w:rsid w:val="00253B81"/>
    <w:rsid w:val="002554DE"/>
    <w:rsid w:val="00255E11"/>
    <w:rsid w:val="00256835"/>
    <w:rsid w:val="00256ECF"/>
    <w:rsid w:val="00257730"/>
    <w:rsid w:val="00257999"/>
    <w:rsid w:val="002604AA"/>
    <w:rsid w:val="0026129B"/>
    <w:rsid w:val="00261560"/>
    <w:rsid w:val="00261715"/>
    <w:rsid w:val="00261CF9"/>
    <w:rsid w:val="00261EC0"/>
    <w:rsid w:val="00263201"/>
    <w:rsid w:val="00263A37"/>
    <w:rsid w:val="002653A6"/>
    <w:rsid w:val="002661F1"/>
    <w:rsid w:val="002711A4"/>
    <w:rsid w:val="00271F13"/>
    <w:rsid w:val="00275BB1"/>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7098"/>
    <w:rsid w:val="002A05D4"/>
    <w:rsid w:val="002A0E60"/>
    <w:rsid w:val="002A1A58"/>
    <w:rsid w:val="002A1B02"/>
    <w:rsid w:val="002A1C53"/>
    <w:rsid w:val="002A28FC"/>
    <w:rsid w:val="002A2EA5"/>
    <w:rsid w:val="002A3D94"/>
    <w:rsid w:val="002A4736"/>
    <w:rsid w:val="002A733D"/>
    <w:rsid w:val="002A7F6D"/>
    <w:rsid w:val="002B1342"/>
    <w:rsid w:val="002B27C8"/>
    <w:rsid w:val="002B2A7F"/>
    <w:rsid w:val="002B330B"/>
    <w:rsid w:val="002B48DB"/>
    <w:rsid w:val="002B4B34"/>
    <w:rsid w:val="002B541A"/>
    <w:rsid w:val="002B6407"/>
    <w:rsid w:val="002B6416"/>
    <w:rsid w:val="002B6459"/>
    <w:rsid w:val="002C24B4"/>
    <w:rsid w:val="002C2B3A"/>
    <w:rsid w:val="002C2B87"/>
    <w:rsid w:val="002C3CF4"/>
    <w:rsid w:val="002C4B84"/>
    <w:rsid w:val="002C4C0C"/>
    <w:rsid w:val="002C5016"/>
    <w:rsid w:val="002C5C2F"/>
    <w:rsid w:val="002C5D0F"/>
    <w:rsid w:val="002C60B9"/>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D7D"/>
    <w:rsid w:val="002E3D76"/>
    <w:rsid w:val="002E40A1"/>
    <w:rsid w:val="002E48EC"/>
    <w:rsid w:val="002E4B44"/>
    <w:rsid w:val="002E4ECB"/>
    <w:rsid w:val="002F3601"/>
    <w:rsid w:val="002F45F6"/>
    <w:rsid w:val="002F7B66"/>
    <w:rsid w:val="00300CB4"/>
    <w:rsid w:val="00300E24"/>
    <w:rsid w:val="003033BA"/>
    <w:rsid w:val="003043A3"/>
    <w:rsid w:val="00304BD4"/>
    <w:rsid w:val="0030500A"/>
    <w:rsid w:val="003052EB"/>
    <w:rsid w:val="00305FCB"/>
    <w:rsid w:val="00306B44"/>
    <w:rsid w:val="0031088E"/>
    <w:rsid w:val="00311376"/>
    <w:rsid w:val="00311A1F"/>
    <w:rsid w:val="00311B47"/>
    <w:rsid w:val="00311D52"/>
    <w:rsid w:val="00312190"/>
    <w:rsid w:val="003125E0"/>
    <w:rsid w:val="00313447"/>
    <w:rsid w:val="00313748"/>
    <w:rsid w:val="003161A4"/>
    <w:rsid w:val="00316955"/>
    <w:rsid w:val="0031720A"/>
    <w:rsid w:val="00317C9D"/>
    <w:rsid w:val="00317CD2"/>
    <w:rsid w:val="0032078D"/>
    <w:rsid w:val="0032137B"/>
    <w:rsid w:val="00321FA3"/>
    <w:rsid w:val="003227D3"/>
    <w:rsid w:val="00322937"/>
    <w:rsid w:val="00325D98"/>
    <w:rsid w:val="00327A5C"/>
    <w:rsid w:val="0033092C"/>
    <w:rsid w:val="0033122A"/>
    <w:rsid w:val="003315AC"/>
    <w:rsid w:val="00331932"/>
    <w:rsid w:val="00335B15"/>
    <w:rsid w:val="00335B21"/>
    <w:rsid w:val="00336104"/>
    <w:rsid w:val="00336729"/>
    <w:rsid w:val="0033726D"/>
    <w:rsid w:val="00337CA8"/>
    <w:rsid w:val="0034177C"/>
    <w:rsid w:val="00342345"/>
    <w:rsid w:val="00342C27"/>
    <w:rsid w:val="003432C8"/>
    <w:rsid w:val="003434B3"/>
    <w:rsid w:val="00343536"/>
    <w:rsid w:val="00343EFB"/>
    <w:rsid w:val="00344760"/>
    <w:rsid w:val="0034680A"/>
    <w:rsid w:val="00346C62"/>
    <w:rsid w:val="003501E2"/>
    <w:rsid w:val="00351E10"/>
    <w:rsid w:val="003536F6"/>
    <w:rsid w:val="00353DD5"/>
    <w:rsid w:val="00355131"/>
    <w:rsid w:val="00363857"/>
    <w:rsid w:val="00363D59"/>
    <w:rsid w:val="003640F7"/>
    <w:rsid w:val="00365D3A"/>
    <w:rsid w:val="003664FF"/>
    <w:rsid w:val="003670B8"/>
    <w:rsid w:val="003706F2"/>
    <w:rsid w:val="0037124F"/>
    <w:rsid w:val="0037507B"/>
    <w:rsid w:val="00375C7C"/>
    <w:rsid w:val="00377135"/>
    <w:rsid w:val="00380272"/>
    <w:rsid w:val="00382BAD"/>
    <w:rsid w:val="00384DF1"/>
    <w:rsid w:val="00384FF3"/>
    <w:rsid w:val="00386456"/>
    <w:rsid w:val="003865A9"/>
    <w:rsid w:val="0039135E"/>
    <w:rsid w:val="00393CAE"/>
    <w:rsid w:val="00394EB5"/>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1E57"/>
    <w:rsid w:val="003B5391"/>
    <w:rsid w:val="003B65D7"/>
    <w:rsid w:val="003B6BD4"/>
    <w:rsid w:val="003B6F4D"/>
    <w:rsid w:val="003B6FE7"/>
    <w:rsid w:val="003C116A"/>
    <w:rsid w:val="003C1AF4"/>
    <w:rsid w:val="003C1CB8"/>
    <w:rsid w:val="003C2550"/>
    <w:rsid w:val="003C287F"/>
    <w:rsid w:val="003C375A"/>
    <w:rsid w:val="003C4D9F"/>
    <w:rsid w:val="003C622C"/>
    <w:rsid w:val="003C73C7"/>
    <w:rsid w:val="003D050B"/>
    <w:rsid w:val="003D0C3C"/>
    <w:rsid w:val="003D0DE5"/>
    <w:rsid w:val="003D1351"/>
    <w:rsid w:val="003D3B2E"/>
    <w:rsid w:val="003D49CB"/>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7343"/>
    <w:rsid w:val="00400002"/>
    <w:rsid w:val="00400054"/>
    <w:rsid w:val="00401B31"/>
    <w:rsid w:val="0040202B"/>
    <w:rsid w:val="00402DE1"/>
    <w:rsid w:val="004037C2"/>
    <w:rsid w:val="00404B43"/>
    <w:rsid w:val="00405487"/>
    <w:rsid w:val="0040602B"/>
    <w:rsid w:val="00407A7A"/>
    <w:rsid w:val="00407ABC"/>
    <w:rsid w:val="00407F1E"/>
    <w:rsid w:val="00410A88"/>
    <w:rsid w:val="00411317"/>
    <w:rsid w:val="0041259F"/>
    <w:rsid w:val="00412B4D"/>
    <w:rsid w:val="00412C51"/>
    <w:rsid w:val="00413262"/>
    <w:rsid w:val="0041329C"/>
    <w:rsid w:val="00413FFA"/>
    <w:rsid w:val="00414D9A"/>
    <w:rsid w:val="00415194"/>
    <w:rsid w:val="00415B88"/>
    <w:rsid w:val="00415D32"/>
    <w:rsid w:val="004160A2"/>
    <w:rsid w:val="004170D7"/>
    <w:rsid w:val="004177A6"/>
    <w:rsid w:val="00417EFD"/>
    <w:rsid w:val="004200EE"/>
    <w:rsid w:val="00421FCB"/>
    <w:rsid w:val="00422DCA"/>
    <w:rsid w:val="00423F9F"/>
    <w:rsid w:val="00425C43"/>
    <w:rsid w:val="004273FA"/>
    <w:rsid w:val="00430186"/>
    <w:rsid w:val="0043269A"/>
    <w:rsid w:val="004333C2"/>
    <w:rsid w:val="00434787"/>
    <w:rsid w:val="0043683F"/>
    <w:rsid w:val="00436F40"/>
    <w:rsid w:val="00440DB0"/>
    <w:rsid w:val="00440FAD"/>
    <w:rsid w:val="004420AB"/>
    <w:rsid w:val="004422D6"/>
    <w:rsid w:val="00442D4D"/>
    <w:rsid w:val="00443D27"/>
    <w:rsid w:val="00446037"/>
    <w:rsid w:val="0044642F"/>
    <w:rsid w:val="0044772C"/>
    <w:rsid w:val="0045271D"/>
    <w:rsid w:val="00452803"/>
    <w:rsid w:val="004529C6"/>
    <w:rsid w:val="004534D1"/>
    <w:rsid w:val="00454548"/>
    <w:rsid w:val="00454717"/>
    <w:rsid w:val="00455354"/>
    <w:rsid w:val="0045558D"/>
    <w:rsid w:val="00456970"/>
    <w:rsid w:val="00456BB1"/>
    <w:rsid w:val="00456DDB"/>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F0F"/>
    <w:rsid w:val="004861B4"/>
    <w:rsid w:val="00486BD0"/>
    <w:rsid w:val="00486D00"/>
    <w:rsid w:val="00487263"/>
    <w:rsid w:val="0048734F"/>
    <w:rsid w:val="0049029D"/>
    <w:rsid w:val="004912A8"/>
    <w:rsid w:val="0049241A"/>
    <w:rsid w:val="00492C1F"/>
    <w:rsid w:val="00492E4C"/>
    <w:rsid w:val="00493E04"/>
    <w:rsid w:val="004940E3"/>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578D"/>
    <w:rsid w:val="004B5BE7"/>
    <w:rsid w:val="004B5E2D"/>
    <w:rsid w:val="004B6C07"/>
    <w:rsid w:val="004B788E"/>
    <w:rsid w:val="004B7E5D"/>
    <w:rsid w:val="004C22F7"/>
    <w:rsid w:val="004C3929"/>
    <w:rsid w:val="004C5EF0"/>
    <w:rsid w:val="004C7226"/>
    <w:rsid w:val="004C7D70"/>
    <w:rsid w:val="004D02F9"/>
    <w:rsid w:val="004D03FE"/>
    <w:rsid w:val="004D0F95"/>
    <w:rsid w:val="004D36AF"/>
    <w:rsid w:val="004D3BD1"/>
    <w:rsid w:val="004D4BA1"/>
    <w:rsid w:val="004D584D"/>
    <w:rsid w:val="004D6826"/>
    <w:rsid w:val="004E023F"/>
    <w:rsid w:val="004E0742"/>
    <w:rsid w:val="004E0C64"/>
    <w:rsid w:val="004E0F6B"/>
    <w:rsid w:val="004E2A35"/>
    <w:rsid w:val="004E40CE"/>
    <w:rsid w:val="004E5B36"/>
    <w:rsid w:val="004E6045"/>
    <w:rsid w:val="004E6F43"/>
    <w:rsid w:val="004E7200"/>
    <w:rsid w:val="004F0960"/>
    <w:rsid w:val="004F0A5C"/>
    <w:rsid w:val="004F163F"/>
    <w:rsid w:val="004F18A0"/>
    <w:rsid w:val="004F1A08"/>
    <w:rsid w:val="004F3764"/>
    <w:rsid w:val="004F3EEF"/>
    <w:rsid w:val="004F5930"/>
    <w:rsid w:val="004F6121"/>
    <w:rsid w:val="004F66BC"/>
    <w:rsid w:val="004F6C26"/>
    <w:rsid w:val="0050062F"/>
    <w:rsid w:val="0050284E"/>
    <w:rsid w:val="005075CA"/>
    <w:rsid w:val="0051074C"/>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4275A"/>
    <w:rsid w:val="0054413A"/>
    <w:rsid w:val="00544288"/>
    <w:rsid w:val="005446BB"/>
    <w:rsid w:val="00545E30"/>
    <w:rsid w:val="00546C9B"/>
    <w:rsid w:val="00551598"/>
    <w:rsid w:val="0055162B"/>
    <w:rsid w:val="00551D68"/>
    <w:rsid w:val="005551AA"/>
    <w:rsid w:val="005564CA"/>
    <w:rsid w:val="00557140"/>
    <w:rsid w:val="00560C87"/>
    <w:rsid w:val="0056182B"/>
    <w:rsid w:val="00561AF3"/>
    <w:rsid w:val="00561E0B"/>
    <w:rsid w:val="00562141"/>
    <w:rsid w:val="00564704"/>
    <w:rsid w:val="00564712"/>
    <w:rsid w:val="005657A8"/>
    <w:rsid w:val="00567AB8"/>
    <w:rsid w:val="00570A26"/>
    <w:rsid w:val="00572539"/>
    <w:rsid w:val="0057337D"/>
    <w:rsid w:val="00573504"/>
    <w:rsid w:val="00574708"/>
    <w:rsid w:val="005756AA"/>
    <w:rsid w:val="0057696F"/>
    <w:rsid w:val="0058040C"/>
    <w:rsid w:val="00580D6D"/>
    <w:rsid w:val="005813DE"/>
    <w:rsid w:val="00581796"/>
    <w:rsid w:val="00581B45"/>
    <w:rsid w:val="00582480"/>
    <w:rsid w:val="0058290E"/>
    <w:rsid w:val="00582CAB"/>
    <w:rsid w:val="0058375E"/>
    <w:rsid w:val="00584233"/>
    <w:rsid w:val="005855AE"/>
    <w:rsid w:val="00585CA8"/>
    <w:rsid w:val="00586412"/>
    <w:rsid w:val="005864B9"/>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4948"/>
    <w:rsid w:val="005B501D"/>
    <w:rsid w:val="005B54CC"/>
    <w:rsid w:val="005B74AD"/>
    <w:rsid w:val="005C0429"/>
    <w:rsid w:val="005C1954"/>
    <w:rsid w:val="005C1C0B"/>
    <w:rsid w:val="005C2011"/>
    <w:rsid w:val="005C5011"/>
    <w:rsid w:val="005C57BA"/>
    <w:rsid w:val="005C5C52"/>
    <w:rsid w:val="005C5D3D"/>
    <w:rsid w:val="005C7F3E"/>
    <w:rsid w:val="005D2044"/>
    <w:rsid w:val="005D2EB2"/>
    <w:rsid w:val="005D2F48"/>
    <w:rsid w:val="005D464B"/>
    <w:rsid w:val="005D466F"/>
    <w:rsid w:val="005D49F0"/>
    <w:rsid w:val="005D51FA"/>
    <w:rsid w:val="005D53E8"/>
    <w:rsid w:val="005D5A9D"/>
    <w:rsid w:val="005D6651"/>
    <w:rsid w:val="005D691D"/>
    <w:rsid w:val="005D6A72"/>
    <w:rsid w:val="005D791B"/>
    <w:rsid w:val="005D7F92"/>
    <w:rsid w:val="005E1595"/>
    <w:rsid w:val="005E1F1D"/>
    <w:rsid w:val="005E3278"/>
    <w:rsid w:val="005F305B"/>
    <w:rsid w:val="005F3361"/>
    <w:rsid w:val="005F4481"/>
    <w:rsid w:val="005F4A58"/>
    <w:rsid w:val="005F5888"/>
    <w:rsid w:val="005F6CE2"/>
    <w:rsid w:val="005F72E9"/>
    <w:rsid w:val="00600473"/>
    <w:rsid w:val="006013C9"/>
    <w:rsid w:val="00602B45"/>
    <w:rsid w:val="006035F5"/>
    <w:rsid w:val="00603CC2"/>
    <w:rsid w:val="006047D1"/>
    <w:rsid w:val="00604A55"/>
    <w:rsid w:val="00606908"/>
    <w:rsid w:val="00607A37"/>
    <w:rsid w:val="0061085E"/>
    <w:rsid w:val="00611398"/>
    <w:rsid w:val="00612322"/>
    <w:rsid w:val="0061401F"/>
    <w:rsid w:val="00614817"/>
    <w:rsid w:val="0061591D"/>
    <w:rsid w:val="0061604C"/>
    <w:rsid w:val="00616C2B"/>
    <w:rsid w:val="006178D1"/>
    <w:rsid w:val="00620719"/>
    <w:rsid w:val="006212C9"/>
    <w:rsid w:val="00622470"/>
    <w:rsid w:val="00622725"/>
    <w:rsid w:val="006231AA"/>
    <w:rsid w:val="00623482"/>
    <w:rsid w:val="00623AC2"/>
    <w:rsid w:val="006266D7"/>
    <w:rsid w:val="00626EE3"/>
    <w:rsid w:val="006274AD"/>
    <w:rsid w:val="00627532"/>
    <w:rsid w:val="006302AA"/>
    <w:rsid w:val="006310C3"/>
    <w:rsid w:val="0063161E"/>
    <w:rsid w:val="00631BB5"/>
    <w:rsid w:val="00631DD0"/>
    <w:rsid w:val="00633DBF"/>
    <w:rsid w:val="00634122"/>
    <w:rsid w:val="00635E32"/>
    <w:rsid w:val="006365DE"/>
    <w:rsid w:val="00637836"/>
    <w:rsid w:val="00637C26"/>
    <w:rsid w:val="00641078"/>
    <w:rsid w:val="00641242"/>
    <w:rsid w:val="006433D5"/>
    <w:rsid w:val="00646B20"/>
    <w:rsid w:val="00646D0F"/>
    <w:rsid w:val="00647DCC"/>
    <w:rsid w:val="00647EFA"/>
    <w:rsid w:val="00651C47"/>
    <w:rsid w:val="00652E70"/>
    <w:rsid w:val="00653469"/>
    <w:rsid w:val="00654A38"/>
    <w:rsid w:val="00655301"/>
    <w:rsid w:val="00655371"/>
    <w:rsid w:val="006573EA"/>
    <w:rsid w:val="00661029"/>
    <w:rsid w:val="0066135A"/>
    <w:rsid w:val="0066272D"/>
    <w:rsid w:val="006635A0"/>
    <w:rsid w:val="00664351"/>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4F8"/>
    <w:rsid w:val="00676127"/>
    <w:rsid w:val="00676AED"/>
    <w:rsid w:val="00677F26"/>
    <w:rsid w:val="006811C9"/>
    <w:rsid w:val="006812CE"/>
    <w:rsid w:val="00682C89"/>
    <w:rsid w:val="0068553E"/>
    <w:rsid w:val="00685E7B"/>
    <w:rsid w:val="00686551"/>
    <w:rsid w:val="00690839"/>
    <w:rsid w:val="006908DB"/>
    <w:rsid w:val="00691DE9"/>
    <w:rsid w:val="00691EAA"/>
    <w:rsid w:val="00693772"/>
    <w:rsid w:val="00694160"/>
    <w:rsid w:val="00695C0C"/>
    <w:rsid w:val="00696A05"/>
    <w:rsid w:val="00697665"/>
    <w:rsid w:val="00697C9A"/>
    <w:rsid w:val="00697E68"/>
    <w:rsid w:val="006A0274"/>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67AC"/>
    <w:rsid w:val="006C003A"/>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687"/>
    <w:rsid w:val="006D7D1F"/>
    <w:rsid w:val="006D7D8A"/>
    <w:rsid w:val="006E0572"/>
    <w:rsid w:val="006E08EE"/>
    <w:rsid w:val="006E39D1"/>
    <w:rsid w:val="006E437F"/>
    <w:rsid w:val="006E4D5B"/>
    <w:rsid w:val="006E602F"/>
    <w:rsid w:val="006E7275"/>
    <w:rsid w:val="006E77B8"/>
    <w:rsid w:val="006F15CC"/>
    <w:rsid w:val="006F4147"/>
    <w:rsid w:val="006F4CB0"/>
    <w:rsid w:val="006F547E"/>
    <w:rsid w:val="006F5CCF"/>
    <w:rsid w:val="0070138A"/>
    <w:rsid w:val="0070157E"/>
    <w:rsid w:val="007030D4"/>
    <w:rsid w:val="00703B61"/>
    <w:rsid w:val="00703E11"/>
    <w:rsid w:val="00704102"/>
    <w:rsid w:val="0070461C"/>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CAD"/>
    <w:rsid w:val="00717363"/>
    <w:rsid w:val="00717ACB"/>
    <w:rsid w:val="00724635"/>
    <w:rsid w:val="0072554B"/>
    <w:rsid w:val="00725AFD"/>
    <w:rsid w:val="00726603"/>
    <w:rsid w:val="00727DDC"/>
    <w:rsid w:val="00730CD6"/>
    <w:rsid w:val="00730F74"/>
    <w:rsid w:val="0073114B"/>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22E8"/>
    <w:rsid w:val="00754A0B"/>
    <w:rsid w:val="007552DB"/>
    <w:rsid w:val="0075647A"/>
    <w:rsid w:val="00756A2F"/>
    <w:rsid w:val="007573E1"/>
    <w:rsid w:val="00757B2D"/>
    <w:rsid w:val="00757D62"/>
    <w:rsid w:val="00760867"/>
    <w:rsid w:val="00760EB6"/>
    <w:rsid w:val="007616DB"/>
    <w:rsid w:val="0076228A"/>
    <w:rsid w:val="00762440"/>
    <w:rsid w:val="007634AD"/>
    <w:rsid w:val="007672F3"/>
    <w:rsid w:val="007678B1"/>
    <w:rsid w:val="007708A8"/>
    <w:rsid w:val="0077380D"/>
    <w:rsid w:val="00773BC8"/>
    <w:rsid w:val="0077466F"/>
    <w:rsid w:val="007752B7"/>
    <w:rsid w:val="007759A8"/>
    <w:rsid w:val="00775D98"/>
    <w:rsid w:val="00776FE5"/>
    <w:rsid w:val="007774E7"/>
    <w:rsid w:val="0077768C"/>
    <w:rsid w:val="00777696"/>
    <w:rsid w:val="00777FF4"/>
    <w:rsid w:val="00780251"/>
    <w:rsid w:val="00780F32"/>
    <w:rsid w:val="0078122E"/>
    <w:rsid w:val="00781939"/>
    <w:rsid w:val="00781D29"/>
    <w:rsid w:val="007825EF"/>
    <w:rsid w:val="00782D2C"/>
    <w:rsid w:val="00786FAD"/>
    <w:rsid w:val="00787F5E"/>
    <w:rsid w:val="00790164"/>
    <w:rsid w:val="00790A24"/>
    <w:rsid w:val="00790A37"/>
    <w:rsid w:val="00790A60"/>
    <w:rsid w:val="0079146D"/>
    <w:rsid w:val="00791FF0"/>
    <w:rsid w:val="007923D0"/>
    <w:rsid w:val="007930D3"/>
    <w:rsid w:val="0079381F"/>
    <w:rsid w:val="007948F5"/>
    <w:rsid w:val="00795647"/>
    <w:rsid w:val="007963F6"/>
    <w:rsid w:val="00796E80"/>
    <w:rsid w:val="007979AD"/>
    <w:rsid w:val="00797A9C"/>
    <w:rsid w:val="007A2341"/>
    <w:rsid w:val="007A38A1"/>
    <w:rsid w:val="007A3BBE"/>
    <w:rsid w:val="007B0313"/>
    <w:rsid w:val="007B0854"/>
    <w:rsid w:val="007B1D1B"/>
    <w:rsid w:val="007B32F7"/>
    <w:rsid w:val="007B3659"/>
    <w:rsid w:val="007B4632"/>
    <w:rsid w:val="007B46A2"/>
    <w:rsid w:val="007B4828"/>
    <w:rsid w:val="007B4D4A"/>
    <w:rsid w:val="007B5428"/>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7CFC"/>
    <w:rsid w:val="007E2C36"/>
    <w:rsid w:val="007E350D"/>
    <w:rsid w:val="007E5C4A"/>
    <w:rsid w:val="007E64D4"/>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0F"/>
    <w:rsid w:val="0080153A"/>
    <w:rsid w:val="00802041"/>
    <w:rsid w:val="008022C9"/>
    <w:rsid w:val="00802F9E"/>
    <w:rsid w:val="00803D9D"/>
    <w:rsid w:val="008059C6"/>
    <w:rsid w:val="00805AD7"/>
    <w:rsid w:val="00805BD6"/>
    <w:rsid w:val="00807C35"/>
    <w:rsid w:val="008100F7"/>
    <w:rsid w:val="00810206"/>
    <w:rsid w:val="008124D8"/>
    <w:rsid w:val="00813A7B"/>
    <w:rsid w:val="00813F04"/>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3430"/>
    <w:rsid w:val="0083417F"/>
    <w:rsid w:val="00835143"/>
    <w:rsid w:val="00835741"/>
    <w:rsid w:val="00836E74"/>
    <w:rsid w:val="00836EAB"/>
    <w:rsid w:val="00837937"/>
    <w:rsid w:val="00837D82"/>
    <w:rsid w:val="00840893"/>
    <w:rsid w:val="008423EC"/>
    <w:rsid w:val="00843615"/>
    <w:rsid w:val="00843B57"/>
    <w:rsid w:val="00843D33"/>
    <w:rsid w:val="00844D4F"/>
    <w:rsid w:val="00845AE3"/>
    <w:rsid w:val="008466A0"/>
    <w:rsid w:val="00847535"/>
    <w:rsid w:val="00847B6D"/>
    <w:rsid w:val="0085092D"/>
    <w:rsid w:val="00850F79"/>
    <w:rsid w:val="0085100B"/>
    <w:rsid w:val="0085304C"/>
    <w:rsid w:val="00856C06"/>
    <w:rsid w:val="0085790B"/>
    <w:rsid w:val="00857C95"/>
    <w:rsid w:val="00857E78"/>
    <w:rsid w:val="0086122C"/>
    <w:rsid w:val="00861310"/>
    <w:rsid w:val="00861F53"/>
    <w:rsid w:val="00863F8A"/>
    <w:rsid w:val="00863FE3"/>
    <w:rsid w:val="00864241"/>
    <w:rsid w:val="0086468A"/>
    <w:rsid w:val="008650BE"/>
    <w:rsid w:val="0086633B"/>
    <w:rsid w:val="00866931"/>
    <w:rsid w:val="00867512"/>
    <w:rsid w:val="0087033C"/>
    <w:rsid w:val="00871E3C"/>
    <w:rsid w:val="00872F97"/>
    <w:rsid w:val="00874607"/>
    <w:rsid w:val="00874915"/>
    <w:rsid w:val="00874B89"/>
    <w:rsid w:val="00875403"/>
    <w:rsid w:val="00876215"/>
    <w:rsid w:val="00877932"/>
    <w:rsid w:val="0088106B"/>
    <w:rsid w:val="0088107D"/>
    <w:rsid w:val="00881E64"/>
    <w:rsid w:val="00882E39"/>
    <w:rsid w:val="008850EB"/>
    <w:rsid w:val="00886DF2"/>
    <w:rsid w:val="00886FB9"/>
    <w:rsid w:val="0089107B"/>
    <w:rsid w:val="008914AE"/>
    <w:rsid w:val="008919CF"/>
    <w:rsid w:val="00891F84"/>
    <w:rsid w:val="008928EC"/>
    <w:rsid w:val="008935CF"/>
    <w:rsid w:val="008959C6"/>
    <w:rsid w:val="00896129"/>
    <w:rsid w:val="0089774F"/>
    <w:rsid w:val="00897B8F"/>
    <w:rsid w:val="008A00D9"/>
    <w:rsid w:val="008A2A23"/>
    <w:rsid w:val="008A2AF5"/>
    <w:rsid w:val="008A3F9D"/>
    <w:rsid w:val="008A5474"/>
    <w:rsid w:val="008A5C9A"/>
    <w:rsid w:val="008A6A55"/>
    <w:rsid w:val="008A6F6E"/>
    <w:rsid w:val="008A7888"/>
    <w:rsid w:val="008A796E"/>
    <w:rsid w:val="008B0862"/>
    <w:rsid w:val="008B088C"/>
    <w:rsid w:val="008B1BF5"/>
    <w:rsid w:val="008B263F"/>
    <w:rsid w:val="008B47A6"/>
    <w:rsid w:val="008B672C"/>
    <w:rsid w:val="008C0743"/>
    <w:rsid w:val="008C0B4C"/>
    <w:rsid w:val="008C11F0"/>
    <w:rsid w:val="008C1DBA"/>
    <w:rsid w:val="008C24E7"/>
    <w:rsid w:val="008C2CAC"/>
    <w:rsid w:val="008C3E2A"/>
    <w:rsid w:val="008C45BD"/>
    <w:rsid w:val="008C4B19"/>
    <w:rsid w:val="008C62D4"/>
    <w:rsid w:val="008D18AA"/>
    <w:rsid w:val="008D1A2A"/>
    <w:rsid w:val="008D35D9"/>
    <w:rsid w:val="008D3B85"/>
    <w:rsid w:val="008D462D"/>
    <w:rsid w:val="008D66CA"/>
    <w:rsid w:val="008D69B1"/>
    <w:rsid w:val="008E0012"/>
    <w:rsid w:val="008E0DF7"/>
    <w:rsid w:val="008E0FAD"/>
    <w:rsid w:val="008E16E0"/>
    <w:rsid w:val="008E1C15"/>
    <w:rsid w:val="008E44AB"/>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116CE"/>
    <w:rsid w:val="00911714"/>
    <w:rsid w:val="009136D4"/>
    <w:rsid w:val="00914B9A"/>
    <w:rsid w:val="00914C3F"/>
    <w:rsid w:val="00914F33"/>
    <w:rsid w:val="00915FCE"/>
    <w:rsid w:val="00916FC8"/>
    <w:rsid w:val="009170D3"/>
    <w:rsid w:val="0091759C"/>
    <w:rsid w:val="00920026"/>
    <w:rsid w:val="009203E2"/>
    <w:rsid w:val="00921805"/>
    <w:rsid w:val="00923396"/>
    <w:rsid w:val="00923F56"/>
    <w:rsid w:val="00925743"/>
    <w:rsid w:val="00927E8D"/>
    <w:rsid w:val="00927F23"/>
    <w:rsid w:val="009307CD"/>
    <w:rsid w:val="00931451"/>
    <w:rsid w:val="009314FA"/>
    <w:rsid w:val="0093194F"/>
    <w:rsid w:val="00931BF3"/>
    <w:rsid w:val="00933333"/>
    <w:rsid w:val="0093349A"/>
    <w:rsid w:val="00933FCB"/>
    <w:rsid w:val="00934E69"/>
    <w:rsid w:val="00937401"/>
    <w:rsid w:val="00937D6B"/>
    <w:rsid w:val="00940477"/>
    <w:rsid w:val="00940876"/>
    <w:rsid w:val="00940A53"/>
    <w:rsid w:val="00940F3C"/>
    <w:rsid w:val="009410E0"/>
    <w:rsid w:val="009444B4"/>
    <w:rsid w:val="00946A24"/>
    <w:rsid w:val="009470D4"/>
    <w:rsid w:val="00947337"/>
    <w:rsid w:val="009533E2"/>
    <w:rsid w:val="0095385A"/>
    <w:rsid w:val="0095780A"/>
    <w:rsid w:val="009579E4"/>
    <w:rsid w:val="00960BDB"/>
    <w:rsid w:val="0096147D"/>
    <w:rsid w:val="00961E5F"/>
    <w:rsid w:val="00962A50"/>
    <w:rsid w:val="00964138"/>
    <w:rsid w:val="00964B3F"/>
    <w:rsid w:val="00964C98"/>
    <w:rsid w:val="00971441"/>
    <w:rsid w:val="009715D4"/>
    <w:rsid w:val="00974B58"/>
    <w:rsid w:val="009761ED"/>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A33"/>
    <w:rsid w:val="009A1351"/>
    <w:rsid w:val="009A2435"/>
    <w:rsid w:val="009A38AB"/>
    <w:rsid w:val="009A3D47"/>
    <w:rsid w:val="009A5356"/>
    <w:rsid w:val="009A5468"/>
    <w:rsid w:val="009A5D99"/>
    <w:rsid w:val="009A608C"/>
    <w:rsid w:val="009A6FDF"/>
    <w:rsid w:val="009A76D6"/>
    <w:rsid w:val="009B2E29"/>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604F"/>
    <w:rsid w:val="009D61BB"/>
    <w:rsid w:val="009D68BB"/>
    <w:rsid w:val="009D7ADB"/>
    <w:rsid w:val="009E0703"/>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76EA"/>
    <w:rsid w:val="009F78EB"/>
    <w:rsid w:val="009F7FEB"/>
    <w:rsid w:val="00A01852"/>
    <w:rsid w:val="00A0188B"/>
    <w:rsid w:val="00A01E73"/>
    <w:rsid w:val="00A023E7"/>
    <w:rsid w:val="00A02B88"/>
    <w:rsid w:val="00A03160"/>
    <w:rsid w:val="00A036AC"/>
    <w:rsid w:val="00A041BC"/>
    <w:rsid w:val="00A046D2"/>
    <w:rsid w:val="00A04A54"/>
    <w:rsid w:val="00A066C3"/>
    <w:rsid w:val="00A06754"/>
    <w:rsid w:val="00A069E0"/>
    <w:rsid w:val="00A06E4A"/>
    <w:rsid w:val="00A078FB"/>
    <w:rsid w:val="00A1036D"/>
    <w:rsid w:val="00A1069F"/>
    <w:rsid w:val="00A10ACA"/>
    <w:rsid w:val="00A12355"/>
    <w:rsid w:val="00A127D2"/>
    <w:rsid w:val="00A143EC"/>
    <w:rsid w:val="00A1500F"/>
    <w:rsid w:val="00A15621"/>
    <w:rsid w:val="00A15670"/>
    <w:rsid w:val="00A157A0"/>
    <w:rsid w:val="00A16809"/>
    <w:rsid w:val="00A17EA2"/>
    <w:rsid w:val="00A20264"/>
    <w:rsid w:val="00A20997"/>
    <w:rsid w:val="00A21454"/>
    <w:rsid w:val="00A22025"/>
    <w:rsid w:val="00A22498"/>
    <w:rsid w:val="00A22571"/>
    <w:rsid w:val="00A24560"/>
    <w:rsid w:val="00A25BBB"/>
    <w:rsid w:val="00A30368"/>
    <w:rsid w:val="00A30E02"/>
    <w:rsid w:val="00A30F6A"/>
    <w:rsid w:val="00A31C3E"/>
    <w:rsid w:val="00A34538"/>
    <w:rsid w:val="00A3540F"/>
    <w:rsid w:val="00A35630"/>
    <w:rsid w:val="00A36189"/>
    <w:rsid w:val="00A37E73"/>
    <w:rsid w:val="00A37FB6"/>
    <w:rsid w:val="00A4104A"/>
    <w:rsid w:val="00A41081"/>
    <w:rsid w:val="00A411CA"/>
    <w:rsid w:val="00A42096"/>
    <w:rsid w:val="00A426F3"/>
    <w:rsid w:val="00A42FDF"/>
    <w:rsid w:val="00A430A9"/>
    <w:rsid w:val="00A431FE"/>
    <w:rsid w:val="00A439E5"/>
    <w:rsid w:val="00A4497A"/>
    <w:rsid w:val="00A44F54"/>
    <w:rsid w:val="00A46574"/>
    <w:rsid w:val="00A53037"/>
    <w:rsid w:val="00A532B9"/>
    <w:rsid w:val="00A5351D"/>
    <w:rsid w:val="00A53E79"/>
    <w:rsid w:val="00A54031"/>
    <w:rsid w:val="00A55122"/>
    <w:rsid w:val="00A56DE7"/>
    <w:rsid w:val="00A6009E"/>
    <w:rsid w:val="00A60B1F"/>
    <w:rsid w:val="00A62C3A"/>
    <w:rsid w:val="00A63812"/>
    <w:rsid w:val="00A668BA"/>
    <w:rsid w:val="00A66FA7"/>
    <w:rsid w:val="00A70C5C"/>
    <w:rsid w:val="00A71EA7"/>
    <w:rsid w:val="00A73D64"/>
    <w:rsid w:val="00A74216"/>
    <w:rsid w:val="00A751E3"/>
    <w:rsid w:val="00A75504"/>
    <w:rsid w:val="00A77168"/>
    <w:rsid w:val="00A80085"/>
    <w:rsid w:val="00A8043B"/>
    <w:rsid w:val="00A81323"/>
    <w:rsid w:val="00A820CB"/>
    <w:rsid w:val="00A82342"/>
    <w:rsid w:val="00A84443"/>
    <w:rsid w:val="00A8487F"/>
    <w:rsid w:val="00A90F12"/>
    <w:rsid w:val="00A93101"/>
    <w:rsid w:val="00A94293"/>
    <w:rsid w:val="00A94BDE"/>
    <w:rsid w:val="00A94FCA"/>
    <w:rsid w:val="00A96C60"/>
    <w:rsid w:val="00A9740B"/>
    <w:rsid w:val="00A9766C"/>
    <w:rsid w:val="00A977F8"/>
    <w:rsid w:val="00AA08E7"/>
    <w:rsid w:val="00AA0A06"/>
    <w:rsid w:val="00AA1351"/>
    <w:rsid w:val="00AA1C84"/>
    <w:rsid w:val="00AA3D7B"/>
    <w:rsid w:val="00AA42A0"/>
    <w:rsid w:val="00AA442B"/>
    <w:rsid w:val="00AA46A4"/>
    <w:rsid w:val="00AA5779"/>
    <w:rsid w:val="00AA61C7"/>
    <w:rsid w:val="00AA669D"/>
    <w:rsid w:val="00AA6BE1"/>
    <w:rsid w:val="00AA7416"/>
    <w:rsid w:val="00AA7A60"/>
    <w:rsid w:val="00AB14E8"/>
    <w:rsid w:val="00AB1B1D"/>
    <w:rsid w:val="00AB358D"/>
    <w:rsid w:val="00AB37A1"/>
    <w:rsid w:val="00AB3CFD"/>
    <w:rsid w:val="00AB49BC"/>
    <w:rsid w:val="00AB4DEE"/>
    <w:rsid w:val="00AB4E32"/>
    <w:rsid w:val="00AB726C"/>
    <w:rsid w:val="00AB72B4"/>
    <w:rsid w:val="00AC02AA"/>
    <w:rsid w:val="00AC0537"/>
    <w:rsid w:val="00AC2A0B"/>
    <w:rsid w:val="00AC2E53"/>
    <w:rsid w:val="00AC4B20"/>
    <w:rsid w:val="00AD1EFA"/>
    <w:rsid w:val="00AD2072"/>
    <w:rsid w:val="00AD2DBD"/>
    <w:rsid w:val="00AD2FBF"/>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644B"/>
    <w:rsid w:val="00AF6CA6"/>
    <w:rsid w:val="00AF6EB6"/>
    <w:rsid w:val="00AF7796"/>
    <w:rsid w:val="00B011A9"/>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7447"/>
    <w:rsid w:val="00B1771D"/>
    <w:rsid w:val="00B20209"/>
    <w:rsid w:val="00B203C9"/>
    <w:rsid w:val="00B22E22"/>
    <w:rsid w:val="00B23FD9"/>
    <w:rsid w:val="00B24591"/>
    <w:rsid w:val="00B245D5"/>
    <w:rsid w:val="00B24C36"/>
    <w:rsid w:val="00B24F94"/>
    <w:rsid w:val="00B25126"/>
    <w:rsid w:val="00B25FC3"/>
    <w:rsid w:val="00B27875"/>
    <w:rsid w:val="00B3008D"/>
    <w:rsid w:val="00B30E11"/>
    <w:rsid w:val="00B30EEB"/>
    <w:rsid w:val="00B31423"/>
    <w:rsid w:val="00B323E0"/>
    <w:rsid w:val="00B3346C"/>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4D8F"/>
    <w:rsid w:val="00B55C69"/>
    <w:rsid w:val="00B56851"/>
    <w:rsid w:val="00B572F7"/>
    <w:rsid w:val="00B57B9D"/>
    <w:rsid w:val="00B57DAF"/>
    <w:rsid w:val="00B6022C"/>
    <w:rsid w:val="00B614F8"/>
    <w:rsid w:val="00B61994"/>
    <w:rsid w:val="00B61FD4"/>
    <w:rsid w:val="00B63872"/>
    <w:rsid w:val="00B63CB2"/>
    <w:rsid w:val="00B64246"/>
    <w:rsid w:val="00B64EDB"/>
    <w:rsid w:val="00B65938"/>
    <w:rsid w:val="00B65C8A"/>
    <w:rsid w:val="00B66109"/>
    <w:rsid w:val="00B66349"/>
    <w:rsid w:val="00B72B91"/>
    <w:rsid w:val="00B73019"/>
    <w:rsid w:val="00B7315F"/>
    <w:rsid w:val="00B7423D"/>
    <w:rsid w:val="00B74D05"/>
    <w:rsid w:val="00B777FA"/>
    <w:rsid w:val="00B77850"/>
    <w:rsid w:val="00B7796B"/>
    <w:rsid w:val="00B81964"/>
    <w:rsid w:val="00B81E6F"/>
    <w:rsid w:val="00B82123"/>
    <w:rsid w:val="00B8225B"/>
    <w:rsid w:val="00B82BB5"/>
    <w:rsid w:val="00B851E4"/>
    <w:rsid w:val="00B854CE"/>
    <w:rsid w:val="00B85681"/>
    <w:rsid w:val="00B86877"/>
    <w:rsid w:val="00B8695D"/>
    <w:rsid w:val="00B86E66"/>
    <w:rsid w:val="00B873BA"/>
    <w:rsid w:val="00B8746F"/>
    <w:rsid w:val="00B87706"/>
    <w:rsid w:val="00B91B8E"/>
    <w:rsid w:val="00B92531"/>
    <w:rsid w:val="00B92618"/>
    <w:rsid w:val="00B92B69"/>
    <w:rsid w:val="00B92CC6"/>
    <w:rsid w:val="00B935C9"/>
    <w:rsid w:val="00B93E3D"/>
    <w:rsid w:val="00B95464"/>
    <w:rsid w:val="00B95E3D"/>
    <w:rsid w:val="00B9691F"/>
    <w:rsid w:val="00B976C7"/>
    <w:rsid w:val="00BA0C54"/>
    <w:rsid w:val="00BA1382"/>
    <w:rsid w:val="00BA20D8"/>
    <w:rsid w:val="00BA22FC"/>
    <w:rsid w:val="00BA2F30"/>
    <w:rsid w:val="00BA4771"/>
    <w:rsid w:val="00BA7370"/>
    <w:rsid w:val="00BA778B"/>
    <w:rsid w:val="00BB0888"/>
    <w:rsid w:val="00BB0E9B"/>
    <w:rsid w:val="00BB2841"/>
    <w:rsid w:val="00BB300F"/>
    <w:rsid w:val="00BB32C9"/>
    <w:rsid w:val="00BB35C5"/>
    <w:rsid w:val="00BB4C8E"/>
    <w:rsid w:val="00BB57ED"/>
    <w:rsid w:val="00BB65C3"/>
    <w:rsid w:val="00BB662E"/>
    <w:rsid w:val="00BB6C01"/>
    <w:rsid w:val="00BB7CD1"/>
    <w:rsid w:val="00BC17CC"/>
    <w:rsid w:val="00BC2898"/>
    <w:rsid w:val="00BC2928"/>
    <w:rsid w:val="00BC2BB1"/>
    <w:rsid w:val="00BC34A3"/>
    <w:rsid w:val="00BC3FF9"/>
    <w:rsid w:val="00BC4A97"/>
    <w:rsid w:val="00BC68B4"/>
    <w:rsid w:val="00BD0140"/>
    <w:rsid w:val="00BD02CC"/>
    <w:rsid w:val="00BD2063"/>
    <w:rsid w:val="00BD33D9"/>
    <w:rsid w:val="00BD3DEA"/>
    <w:rsid w:val="00BD3E97"/>
    <w:rsid w:val="00BD52FE"/>
    <w:rsid w:val="00BD62CF"/>
    <w:rsid w:val="00BD78FE"/>
    <w:rsid w:val="00BE0767"/>
    <w:rsid w:val="00BE12D7"/>
    <w:rsid w:val="00BE18DA"/>
    <w:rsid w:val="00BE26C0"/>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305"/>
    <w:rsid w:val="00C03738"/>
    <w:rsid w:val="00C037A6"/>
    <w:rsid w:val="00C04BDB"/>
    <w:rsid w:val="00C06CCF"/>
    <w:rsid w:val="00C1159D"/>
    <w:rsid w:val="00C1233E"/>
    <w:rsid w:val="00C12FB3"/>
    <w:rsid w:val="00C13D85"/>
    <w:rsid w:val="00C14E82"/>
    <w:rsid w:val="00C14FF6"/>
    <w:rsid w:val="00C1641B"/>
    <w:rsid w:val="00C165FC"/>
    <w:rsid w:val="00C176D5"/>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1C9A"/>
    <w:rsid w:val="00C52D98"/>
    <w:rsid w:val="00C54640"/>
    <w:rsid w:val="00C547A6"/>
    <w:rsid w:val="00C54A3A"/>
    <w:rsid w:val="00C56A67"/>
    <w:rsid w:val="00C56CC2"/>
    <w:rsid w:val="00C57498"/>
    <w:rsid w:val="00C5763C"/>
    <w:rsid w:val="00C5780C"/>
    <w:rsid w:val="00C5796B"/>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33B4"/>
    <w:rsid w:val="00C84284"/>
    <w:rsid w:val="00C861FC"/>
    <w:rsid w:val="00C9005E"/>
    <w:rsid w:val="00C90CA9"/>
    <w:rsid w:val="00C917B1"/>
    <w:rsid w:val="00C9193C"/>
    <w:rsid w:val="00C91B77"/>
    <w:rsid w:val="00C920E2"/>
    <w:rsid w:val="00C93765"/>
    <w:rsid w:val="00C93877"/>
    <w:rsid w:val="00C93D8C"/>
    <w:rsid w:val="00C959BD"/>
    <w:rsid w:val="00CA0031"/>
    <w:rsid w:val="00CA0413"/>
    <w:rsid w:val="00CA043A"/>
    <w:rsid w:val="00CA41E7"/>
    <w:rsid w:val="00CA5812"/>
    <w:rsid w:val="00CA5BD4"/>
    <w:rsid w:val="00CA5C14"/>
    <w:rsid w:val="00CA7E7B"/>
    <w:rsid w:val="00CB2D38"/>
    <w:rsid w:val="00CB4137"/>
    <w:rsid w:val="00CB52D0"/>
    <w:rsid w:val="00CB5578"/>
    <w:rsid w:val="00CB591C"/>
    <w:rsid w:val="00CB61B3"/>
    <w:rsid w:val="00CB6F83"/>
    <w:rsid w:val="00CB72AE"/>
    <w:rsid w:val="00CC00CD"/>
    <w:rsid w:val="00CC0AF3"/>
    <w:rsid w:val="00CC0BC6"/>
    <w:rsid w:val="00CC0E68"/>
    <w:rsid w:val="00CC2514"/>
    <w:rsid w:val="00CC2F69"/>
    <w:rsid w:val="00CC315F"/>
    <w:rsid w:val="00CC3D38"/>
    <w:rsid w:val="00CC40C3"/>
    <w:rsid w:val="00CC4E5D"/>
    <w:rsid w:val="00CC50AE"/>
    <w:rsid w:val="00CC69EC"/>
    <w:rsid w:val="00CC743D"/>
    <w:rsid w:val="00CD050A"/>
    <w:rsid w:val="00CD205D"/>
    <w:rsid w:val="00CD2A22"/>
    <w:rsid w:val="00CD2B50"/>
    <w:rsid w:val="00CD4506"/>
    <w:rsid w:val="00CD520B"/>
    <w:rsid w:val="00CD5A1A"/>
    <w:rsid w:val="00CD7EFA"/>
    <w:rsid w:val="00CE020E"/>
    <w:rsid w:val="00CE0566"/>
    <w:rsid w:val="00CE1CD4"/>
    <w:rsid w:val="00CE2761"/>
    <w:rsid w:val="00CE314E"/>
    <w:rsid w:val="00CE3D5C"/>
    <w:rsid w:val="00CE3E14"/>
    <w:rsid w:val="00CE44C7"/>
    <w:rsid w:val="00CE53CC"/>
    <w:rsid w:val="00CE65A7"/>
    <w:rsid w:val="00CE6EC4"/>
    <w:rsid w:val="00CE7F26"/>
    <w:rsid w:val="00CF1E1D"/>
    <w:rsid w:val="00CF35D0"/>
    <w:rsid w:val="00CF3DD5"/>
    <w:rsid w:val="00CF4AF7"/>
    <w:rsid w:val="00CF4D20"/>
    <w:rsid w:val="00CF73F8"/>
    <w:rsid w:val="00CF7928"/>
    <w:rsid w:val="00D00A8E"/>
    <w:rsid w:val="00D00DE0"/>
    <w:rsid w:val="00D012BF"/>
    <w:rsid w:val="00D01760"/>
    <w:rsid w:val="00D0368E"/>
    <w:rsid w:val="00D03D2D"/>
    <w:rsid w:val="00D03E7B"/>
    <w:rsid w:val="00D0401A"/>
    <w:rsid w:val="00D058E9"/>
    <w:rsid w:val="00D0612A"/>
    <w:rsid w:val="00D1060D"/>
    <w:rsid w:val="00D10E7C"/>
    <w:rsid w:val="00D11182"/>
    <w:rsid w:val="00D11807"/>
    <w:rsid w:val="00D12D82"/>
    <w:rsid w:val="00D1306E"/>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312DC"/>
    <w:rsid w:val="00D31B84"/>
    <w:rsid w:val="00D31C6A"/>
    <w:rsid w:val="00D31EDF"/>
    <w:rsid w:val="00D31FF9"/>
    <w:rsid w:val="00D32256"/>
    <w:rsid w:val="00D32A27"/>
    <w:rsid w:val="00D32ABC"/>
    <w:rsid w:val="00D34F4E"/>
    <w:rsid w:val="00D357F3"/>
    <w:rsid w:val="00D35C0E"/>
    <w:rsid w:val="00D373A8"/>
    <w:rsid w:val="00D401BE"/>
    <w:rsid w:val="00D41858"/>
    <w:rsid w:val="00D422DB"/>
    <w:rsid w:val="00D42AC2"/>
    <w:rsid w:val="00D4515F"/>
    <w:rsid w:val="00D466C9"/>
    <w:rsid w:val="00D52E2F"/>
    <w:rsid w:val="00D52F59"/>
    <w:rsid w:val="00D53E3E"/>
    <w:rsid w:val="00D5616F"/>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CE5"/>
    <w:rsid w:val="00D8342C"/>
    <w:rsid w:val="00D85494"/>
    <w:rsid w:val="00D8616D"/>
    <w:rsid w:val="00D915C8"/>
    <w:rsid w:val="00D9310B"/>
    <w:rsid w:val="00D93726"/>
    <w:rsid w:val="00D93F3E"/>
    <w:rsid w:val="00D9405B"/>
    <w:rsid w:val="00D95145"/>
    <w:rsid w:val="00D967CB"/>
    <w:rsid w:val="00D96EE0"/>
    <w:rsid w:val="00D97BD1"/>
    <w:rsid w:val="00DA06B8"/>
    <w:rsid w:val="00DA2969"/>
    <w:rsid w:val="00DA29B7"/>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30B8"/>
    <w:rsid w:val="00DC62E5"/>
    <w:rsid w:val="00DC6F33"/>
    <w:rsid w:val="00DC7349"/>
    <w:rsid w:val="00DD1599"/>
    <w:rsid w:val="00DD1B03"/>
    <w:rsid w:val="00DD2A62"/>
    <w:rsid w:val="00DD2F2F"/>
    <w:rsid w:val="00DD2F7A"/>
    <w:rsid w:val="00DD3885"/>
    <w:rsid w:val="00DD5946"/>
    <w:rsid w:val="00DD5B04"/>
    <w:rsid w:val="00DD5EC6"/>
    <w:rsid w:val="00DD605F"/>
    <w:rsid w:val="00DD735D"/>
    <w:rsid w:val="00DE0159"/>
    <w:rsid w:val="00DE082D"/>
    <w:rsid w:val="00DE3119"/>
    <w:rsid w:val="00DE3FF0"/>
    <w:rsid w:val="00DE4105"/>
    <w:rsid w:val="00DE5189"/>
    <w:rsid w:val="00DF0263"/>
    <w:rsid w:val="00DF1E36"/>
    <w:rsid w:val="00DF236B"/>
    <w:rsid w:val="00DF3889"/>
    <w:rsid w:val="00DF3CC9"/>
    <w:rsid w:val="00DF4451"/>
    <w:rsid w:val="00DF49FF"/>
    <w:rsid w:val="00DF4FFB"/>
    <w:rsid w:val="00DF5236"/>
    <w:rsid w:val="00DF651F"/>
    <w:rsid w:val="00DF6F43"/>
    <w:rsid w:val="00DF752F"/>
    <w:rsid w:val="00DF76A2"/>
    <w:rsid w:val="00E02186"/>
    <w:rsid w:val="00E026BB"/>
    <w:rsid w:val="00E027C5"/>
    <w:rsid w:val="00E03124"/>
    <w:rsid w:val="00E03951"/>
    <w:rsid w:val="00E03DB8"/>
    <w:rsid w:val="00E05E70"/>
    <w:rsid w:val="00E064BC"/>
    <w:rsid w:val="00E109DD"/>
    <w:rsid w:val="00E11229"/>
    <w:rsid w:val="00E1397F"/>
    <w:rsid w:val="00E13AB8"/>
    <w:rsid w:val="00E1482E"/>
    <w:rsid w:val="00E1699C"/>
    <w:rsid w:val="00E16E75"/>
    <w:rsid w:val="00E23137"/>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4700"/>
    <w:rsid w:val="00E65074"/>
    <w:rsid w:val="00E65E70"/>
    <w:rsid w:val="00E66087"/>
    <w:rsid w:val="00E66FF9"/>
    <w:rsid w:val="00E67856"/>
    <w:rsid w:val="00E724E7"/>
    <w:rsid w:val="00E7347B"/>
    <w:rsid w:val="00E73D03"/>
    <w:rsid w:val="00E77AF5"/>
    <w:rsid w:val="00E82C1F"/>
    <w:rsid w:val="00E84A71"/>
    <w:rsid w:val="00E86556"/>
    <w:rsid w:val="00E86D35"/>
    <w:rsid w:val="00E86DC2"/>
    <w:rsid w:val="00E9011F"/>
    <w:rsid w:val="00E906EB"/>
    <w:rsid w:val="00E92E62"/>
    <w:rsid w:val="00E95434"/>
    <w:rsid w:val="00E96467"/>
    <w:rsid w:val="00E96948"/>
    <w:rsid w:val="00E9737B"/>
    <w:rsid w:val="00E97A3F"/>
    <w:rsid w:val="00E97F0A"/>
    <w:rsid w:val="00EA2744"/>
    <w:rsid w:val="00EA37B9"/>
    <w:rsid w:val="00EA3DC2"/>
    <w:rsid w:val="00EA4757"/>
    <w:rsid w:val="00EA560B"/>
    <w:rsid w:val="00EA5669"/>
    <w:rsid w:val="00EA63EF"/>
    <w:rsid w:val="00EB0A89"/>
    <w:rsid w:val="00EB1910"/>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FB9"/>
    <w:rsid w:val="00EC5393"/>
    <w:rsid w:val="00EC5DA3"/>
    <w:rsid w:val="00EC6014"/>
    <w:rsid w:val="00EC6B3E"/>
    <w:rsid w:val="00EC7637"/>
    <w:rsid w:val="00ED046C"/>
    <w:rsid w:val="00ED053A"/>
    <w:rsid w:val="00ED1F03"/>
    <w:rsid w:val="00ED2D27"/>
    <w:rsid w:val="00ED3347"/>
    <w:rsid w:val="00ED4967"/>
    <w:rsid w:val="00ED5771"/>
    <w:rsid w:val="00ED587F"/>
    <w:rsid w:val="00ED5964"/>
    <w:rsid w:val="00ED72E9"/>
    <w:rsid w:val="00ED7FBC"/>
    <w:rsid w:val="00EE0253"/>
    <w:rsid w:val="00EE0297"/>
    <w:rsid w:val="00EE1668"/>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30400"/>
    <w:rsid w:val="00F346ED"/>
    <w:rsid w:val="00F34945"/>
    <w:rsid w:val="00F34E1E"/>
    <w:rsid w:val="00F368FF"/>
    <w:rsid w:val="00F37068"/>
    <w:rsid w:val="00F40992"/>
    <w:rsid w:val="00F41596"/>
    <w:rsid w:val="00F41D8B"/>
    <w:rsid w:val="00F42121"/>
    <w:rsid w:val="00F428B4"/>
    <w:rsid w:val="00F4345D"/>
    <w:rsid w:val="00F4387B"/>
    <w:rsid w:val="00F45B91"/>
    <w:rsid w:val="00F46639"/>
    <w:rsid w:val="00F50183"/>
    <w:rsid w:val="00F50D92"/>
    <w:rsid w:val="00F51765"/>
    <w:rsid w:val="00F51A51"/>
    <w:rsid w:val="00F51CB4"/>
    <w:rsid w:val="00F52324"/>
    <w:rsid w:val="00F52C9D"/>
    <w:rsid w:val="00F533F1"/>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40BF"/>
    <w:rsid w:val="00F843DF"/>
    <w:rsid w:val="00F84899"/>
    <w:rsid w:val="00F85585"/>
    <w:rsid w:val="00F859F0"/>
    <w:rsid w:val="00F85CC1"/>
    <w:rsid w:val="00F86B5D"/>
    <w:rsid w:val="00F87C13"/>
    <w:rsid w:val="00F87E29"/>
    <w:rsid w:val="00F87F18"/>
    <w:rsid w:val="00F87F68"/>
    <w:rsid w:val="00F9167D"/>
    <w:rsid w:val="00F91CB2"/>
    <w:rsid w:val="00F9289C"/>
    <w:rsid w:val="00F94644"/>
    <w:rsid w:val="00F9537B"/>
    <w:rsid w:val="00F963FC"/>
    <w:rsid w:val="00FA015F"/>
    <w:rsid w:val="00FA1DA2"/>
    <w:rsid w:val="00FA347A"/>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F73"/>
    <w:rsid w:val="00FC3A9B"/>
    <w:rsid w:val="00FC3AE1"/>
    <w:rsid w:val="00FC3EF4"/>
    <w:rsid w:val="00FC431B"/>
    <w:rsid w:val="00FC434C"/>
    <w:rsid w:val="00FC5CF4"/>
    <w:rsid w:val="00FC6A39"/>
    <w:rsid w:val="00FC79AB"/>
    <w:rsid w:val="00FC7DAC"/>
    <w:rsid w:val="00FD04AE"/>
    <w:rsid w:val="00FD1994"/>
    <w:rsid w:val="00FD393C"/>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A39"/>
    <w:rsid w:val="12E3D72F"/>
    <w:rsid w:val="3C153FAD"/>
    <w:rsid w:val="4FF674C6"/>
    <w:rsid w:val="5B5295D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5621</Words>
  <Characters>30916</Characters>
  <Application>Microsoft Office Word</Application>
  <DocSecurity>0</DocSecurity>
  <Lines>257</Lines>
  <Paragraphs>72</Paragraphs>
  <ScaleCrop>false</ScaleCrop>
  <Company/>
  <LinksUpToDate>false</LinksUpToDate>
  <CharactersWithSpaces>36465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1437</cp:revision>
  <cp:lastPrinted>2020-01-30T15:05:00Z</cp:lastPrinted>
  <dcterms:created xsi:type="dcterms:W3CDTF">2020-08-06T16:35:00Z</dcterms:created>
  <dcterms:modified xsi:type="dcterms:W3CDTF">2020-10-08T19:37:00Z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