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1E7C7" w14:textId="4D283DAB" w:rsidR="00F76EF7" w:rsidRPr="00220A08" w:rsidRDefault="00F76EF7" w:rsidP="00F76EF7">
      <w:pPr>
        <w:spacing w:after="100" w:afterAutospacing="1" w:line="240" w:lineRule="auto"/>
        <w:contextualSpacing/>
        <w:jc w:val="both"/>
        <w:rPr>
          <w:rFonts w:ascii="Verdana" w:eastAsia="Calibri" w:hAnsi="Verdana" w:cs="Arial"/>
          <w:b/>
          <w:bCs/>
        </w:rPr>
      </w:pPr>
      <w:r w:rsidRPr="00220A08">
        <w:rPr>
          <w:rFonts w:ascii="Verdana" w:eastAsia="Calibri" w:hAnsi="Verdana" w:cs="Arial"/>
          <w:b/>
          <w:bCs/>
        </w:rPr>
        <w:t>APLICACIÓN DE LA LEY 330 DE 1996 A LAS CONTRALORÍAS DEPARTAMENTALES</w:t>
      </w:r>
      <w:r w:rsidR="009B01AE">
        <w:rPr>
          <w:rFonts w:ascii="Verdana" w:eastAsia="Calibri" w:hAnsi="Verdana" w:cs="Arial"/>
          <w:b/>
          <w:bCs/>
        </w:rPr>
        <w:t xml:space="preserve"> </w:t>
      </w:r>
      <w:r w:rsidR="009B01AE" w:rsidRPr="009B01AE">
        <w:rPr>
          <w:rFonts w:ascii="Verdana" w:eastAsia="Calibri" w:hAnsi="Verdana" w:cs="Arial"/>
          <w:b/>
          <w:bCs/>
          <w:lang w:val="es-ES"/>
        </w:rPr>
        <w:t>–</w:t>
      </w:r>
      <w:r>
        <w:rPr>
          <w:rFonts w:ascii="Verdana" w:eastAsia="Calibri" w:hAnsi="Verdana" w:cs="Arial"/>
          <w:b/>
          <w:bCs/>
        </w:rPr>
        <w:t xml:space="preserve"> </w:t>
      </w:r>
      <w:r w:rsidR="009B01AE">
        <w:rPr>
          <w:rFonts w:ascii="Verdana" w:eastAsia="Calibri" w:hAnsi="Verdana" w:cs="Arial"/>
          <w:b/>
          <w:bCs/>
        </w:rPr>
        <w:t>R</w:t>
      </w:r>
      <w:r>
        <w:rPr>
          <w:rFonts w:ascii="Verdana" w:eastAsia="Calibri" w:hAnsi="Verdana" w:cs="Arial"/>
          <w:b/>
          <w:bCs/>
        </w:rPr>
        <w:t>estricciones a la posibilidad de contratar servicios personales mediante contratos de prestación de servicios</w:t>
      </w:r>
    </w:p>
    <w:p w14:paraId="07C58C92" w14:textId="77777777" w:rsidR="00F76EF7" w:rsidRPr="00220A08" w:rsidRDefault="00F76EF7" w:rsidP="00F76EF7">
      <w:pPr>
        <w:spacing w:after="100" w:afterAutospacing="1" w:line="240" w:lineRule="auto"/>
        <w:contextualSpacing/>
        <w:jc w:val="both"/>
        <w:rPr>
          <w:rFonts w:ascii="Verdana" w:eastAsia="Calibri" w:hAnsi="Verdana" w:cs="Arial"/>
          <w:b/>
          <w:bCs/>
        </w:rPr>
      </w:pPr>
    </w:p>
    <w:p w14:paraId="40AE7742" w14:textId="77777777" w:rsidR="00F76EF7" w:rsidRPr="009B01AE" w:rsidRDefault="00F76EF7" w:rsidP="00F76EF7">
      <w:pPr>
        <w:spacing w:after="100" w:afterAutospacing="1" w:line="240" w:lineRule="auto"/>
        <w:contextualSpacing/>
        <w:jc w:val="both"/>
        <w:rPr>
          <w:rFonts w:ascii="Verdana" w:eastAsia="Calibri" w:hAnsi="Verdana" w:cs="Arial"/>
          <w:sz w:val="20"/>
          <w:szCs w:val="20"/>
        </w:rPr>
      </w:pPr>
      <w:r w:rsidRPr="009B01AE">
        <w:rPr>
          <w:rFonts w:ascii="Verdana" w:eastAsia="Calibri" w:hAnsi="Verdana" w:cs="Arial"/>
          <w:sz w:val="20"/>
          <w:szCs w:val="20"/>
        </w:rPr>
        <w:t>Es importante señalar que, tratándose de las contralorías departamentales, la posibilidad de contratar servicios personales mediante contratos de prestación de servicios se encuentra restringida por una norma especial: el artículo 15 de la Ley 330 de 1996. Esta disposición establece expresamente que:</w:t>
      </w:r>
    </w:p>
    <w:p w14:paraId="0021FDFD" w14:textId="77777777" w:rsidR="00F76EF7" w:rsidRPr="009B01AE" w:rsidRDefault="00F76EF7" w:rsidP="00F76EF7">
      <w:pPr>
        <w:spacing w:after="100" w:afterAutospacing="1" w:line="240" w:lineRule="auto"/>
        <w:contextualSpacing/>
        <w:jc w:val="both"/>
        <w:rPr>
          <w:rFonts w:ascii="Verdana" w:eastAsia="Calibri" w:hAnsi="Verdana" w:cs="Arial"/>
          <w:sz w:val="20"/>
          <w:szCs w:val="20"/>
        </w:rPr>
      </w:pPr>
    </w:p>
    <w:p w14:paraId="331992AD" w14:textId="77777777" w:rsidR="00F76EF7" w:rsidRPr="009B01AE" w:rsidRDefault="00F76EF7" w:rsidP="00F76EF7">
      <w:pPr>
        <w:spacing w:after="100" w:afterAutospacing="1" w:line="240" w:lineRule="auto"/>
        <w:contextualSpacing/>
        <w:jc w:val="both"/>
        <w:rPr>
          <w:rFonts w:ascii="Verdana" w:eastAsia="Calibri" w:hAnsi="Verdana" w:cs="Arial"/>
          <w:b/>
          <w:bCs/>
          <w:sz w:val="20"/>
          <w:szCs w:val="20"/>
        </w:rPr>
      </w:pPr>
      <w:r w:rsidRPr="009B01AE">
        <w:rPr>
          <w:rFonts w:ascii="Verdana" w:eastAsia="Calibri" w:hAnsi="Verdana" w:cs="Arial"/>
          <w:sz w:val="20"/>
          <w:szCs w:val="20"/>
        </w:rPr>
        <w:t>“Las Contralorías Departamentales no podrán contratar la prestación de servicios personales para el cumplimiento de funciones que estén a cargo de los empleados que hagan parte de la planta de personal. Igualmente, no podrán destinar recurso alguno para atender actividades que no tengan relación directa con el control fiscal. La violación de lo dispuesto en este artículo será causal de mala conducta</w:t>
      </w:r>
      <w:r w:rsidRPr="009B01AE">
        <w:rPr>
          <w:rFonts w:ascii="Verdana" w:eastAsia="Calibri" w:hAnsi="Verdana" w:cs="Arial"/>
          <w:b/>
          <w:bCs/>
          <w:sz w:val="20"/>
          <w:szCs w:val="20"/>
        </w:rPr>
        <w:t>.”</w:t>
      </w:r>
    </w:p>
    <w:p w14:paraId="771CC06D" w14:textId="77777777" w:rsidR="00F76EF7" w:rsidRDefault="00F76EF7" w:rsidP="00F76EF7">
      <w:pPr>
        <w:spacing w:after="100" w:afterAutospacing="1" w:line="240" w:lineRule="auto"/>
        <w:contextualSpacing/>
        <w:jc w:val="both"/>
        <w:rPr>
          <w:rFonts w:ascii="Verdana" w:eastAsia="Calibri" w:hAnsi="Verdana" w:cs="Arial"/>
          <w:b/>
          <w:bCs/>
        </w:rPr>
      </w:pPr>
    </w:p>
    <w:p w14:paraId="250F0C10" w14:textId="77777777" w:rsidR="00F76EF7" w:rsidRPr="00BC1800" w:rsidRDefault="00F76EF7" w:rsidP="00F76EF7">
      <w:pPr>
        <w:spacing w:after="100" w:afterAutospacing="1" w:line="240" w:lineRule="auto"/>
        <w:contextualSpacing/>
        <w:jc w:val="both"/>
        <w:rPr>
          <w:rFonts w:ascii="Verdana" w:eastAsia="Calibri" w:hAnsi="Verdana" w:cs="Arial"/>
          <w:b/>
          <w:bCs/>
          <w:lang w:val="es-ES_tradnl"/>
        </w:rPr>
      </w:pPr>
      <w:r w:rsidRPr="00BC1800">
        <w:rPr>
          <w:rFonts w:ascii="Verdana" w:eastAsia="Calibri" w:hAnsi="Verdana" w:cs="Arial"/>
          <w:b/>
          <w:bCs/>
        </w:rPr>
        <w:t xml:space="preserve">CONTRATO DE PRESTACIÓN DE SERVICIOS – Concepto </w:t>
      </w:r>
      <w:r w:rsidRPr="00BC1800">
        <w:rPr>
          <w:rFonts w:ascii="Verdana" w:eastAsia="Calibri" w:hAnsi="Verdana" w:cs="Arial"/>
          <w:b/>
          <w:bCs/>
          <w:lang w:val="es-ES_tradnl"/>
        </w:rPr>
        <w:t xml:space="preserve"> </w:t>
      </w:r>
    </w:p>
    <w:p w14:paraId="4D4E7C08" w14:textId="77777777" w:rsidR="00F76EF7" w:rsidRPr="00BC1800" w:rsidRDefault="00F76EF7" w:rsidP="00F76EF7">
      <w:pPr>
        <w:spacing w:after="100" w:afterAutospacing="1" w:line="240" w:lineRule="auto"/>
        <w:contextualSpacing/>
        <w:jc w:val="both"/>
        <w:rPr>
          <w:rFonts w:ascii="Verdana" w:eastAsia="Calibri" w:hAnsi="Verdana" w:cs="Arial"/>
          <w:lang w:val="es-ES_tradnl"/>
        </w:rPr>
      </w:pPr>
    </w:p>
    <w:p w14:paraId="56F91DEA" w14:textId="77777777" w:rsidR="00F76EF7" w:rsidRPr="00BC1800" w:rsidRDefault="00F76EF7" w:rsidP="00F76EF7">
      <w:pPr>
        <w:spacing w:after="100" w:afterAutospacing="1" w:line="240" w:lineRule="auto"/>
        <w:contextualSpacing/>
        <w:jc w:val="both"/>
        <w:rPr>
          <w:rFonts w:ascii="Verdana" w:eastAsia="Calibri" w:hAnsi="Verdana" w:cs="Arial"/>
          <w:sz w:val="20"/>
          <w:szCs w:val="20"/>
          <w:lang w:val="es-ES_tradnl"/>
        </w:rPr>
      </w:pPr>
      <w:r w:rsidRPr="00BC1800">
        <w:rPr>
          <w:rFonts w:ascii="Verdana" w:eastAsia="Calibri" w:hAnsi="Verdana" w:cs="Arial"/>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BC1800">
        <w:rPr>
          <w:rFonts w:ascii="Verdana" w:eastAsia="Calibri" w:hAnsi="Verdana" w:cs="Arial"/>
          <w:sz w:val="20"/>
          <w:szCs w:val="20"/>
          <w:lang w:val="es-ES_tradnl"/>
        </w:rPr>
        <w:t xml:space="preserve"> </w:t>
      </w:r>
      <w:r w:rsidRPr="00BC1800">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BC1800">
        <w:rPr>
          <w:rFonts w:ascii="Verdana" w:eastAsia="Calibri" w:hAnsi="Verdana" w:cs="Arial"/>
          <w:sz w:val="20"/>
          <w:szCs w:val="20"/>
          <w:lang w:val="es-ES_tradnl"/>
        </w:rPr>
        <w:t xml:space="preserve"> </w:t>
      </w:r>
      <w:r w:rsidRPr="00BC1800">
        <w:rPr>
          <w:rFonts w:ascii="Verdana" w:eastAsia="Calibri" w:hAnsi="Verdana" w:cs="Arial"/>
          <w:sz w:val="20"/>
          <w:szCs w:val="20"/>
        </w:rPr>
        <w:t>En ningún caso estos contratos generan relación laboral ni prestaciones sociales y se celebrarán por el término estrictamente indispensable.</w:t>
      </w:r>
    </w:p>
    <w:p w14:paraId="2DFD8023" w14:textId="77777777" w:rsidR="00F76EF7" w:rsidRPr="00BC1800" w:rsidRDefault="00F76EF7" w:rsidP="00F76EF7">
      <w:pPr>
        <w:spacing w:after="100" w:afterAutospacing="1" w:line="240" w:lineRule="auto"/>
        <w:contextualSpacing/>
        <w:jc w:val="both"/>
        <w:rPr>
          <w:rFonts w:ascii="Verdana" w:eastAsia="Calibri" w:hAnsi="Verdana" w:cs="Arial"/>
          <w:b/>
          <w:bCs/>
          <w:lang w:val="es-ES_tradnl"/>
        </w:rPr>
      </w:pPr>
    </w:p>
    <w:p w14:paraId="7129884B" w14:textId="77777777" w:rsidR="00F76EF7" w:rsidRPr="00BC1800" w:rsidRDefault="00F76EF7" w:rsidP="00F76EF7">
      <w:pPr>
        <w:spacing w:after="0" w:line="240" w:lineRule="auto"/>
        <w:rPr>
          <w:rFonts w:ascii="Verdana" w:eastAsia="Geomanist Light" w:hAnsi="Verdana" w:cs="Arial"/>
          <w:lang w:val="es-MX"/>
        </w:rPr>
      </w:pPr>
    </w:p>
    <w:p w14:paraId="615E8D52" w14:textId="77777777" w:rsidR="00F76EF7" w:rsidRPr="00BC1800" w:rsidRDefault="00F76EF7" w:rsidP="00F76EF7">
      <w:pPr>
        <w:spacing w:after="0" w:line="240" w:lineRule="auto"/>
        <w:rPr>
          <w:rFonts w:ascii="Verdana" w:eastAsia="Geomanist Light" w:hAnsi="Verdana" w:cs="Arial"/>
          <w:lang w:val="es-MX"/>
        </w:rPr>
      </w:pPr>
    </w:p>
    <w:p w14:paraId="0360682C" w14:textId="77777777" w:rsidR="00F76EF7" w:rsidRPr="00BC1800" w:rsidRDefault="00F76EF7" w:rsidP="00F76EF7">
      <w:pPr>
        <w:spacing w:after="0" w:line="240" w:lineRule="auto"/>
        <w:rPr>
          <w:rFonts w:ascii="Verdana" w:eastAsia="Geomanist Light" w:hAnsi="Verdana" w:cs="Arial"/>
          <w:lang w:val="es-MX"/>
        </w:rPr>
      </w:pPr>
    </w:p>
    <w:p w14:paraId="24890A3F" w14:textId="77777777" w:rsidR="00F76EF7" w:rsidRPr="00BC1800" w:rsidRDefault="00F76EF7" w:rsidP="00F76EF7">
      <w:pPr>
        <w:spacing w:after="0" w:line="240" w:lineRule="auto"/>
        <w:rPr>
          <w:rFonts w:ascii="Verdana" w:eastAsia="Geomanist Light" w:hAnsi="Verdana" w:cs="Arial"/>
          <w:lang w:val="es-MX"/>
        </w:rPr>
      </w:pPr>
    </w:p>
    <w:p w14:paraId="385AD772" w14:textId="77777777" w:rsidR="00F76EF7" w:rsidRPr="00BC1800" w:rsidRDefault="00F76EF7" w:rsidP="00F76EF7">
      <w:pPr>
        <w:spacing w:after="0" w:line="240" w:lineRule="auto"/>
        <w:rPr>
          <w:rFonts w:ascii="Verdana" w:eastAsia="Geomanist Light" w:hAnsi="Verdana" w:cs="Arial"/>
          <w:lang w:val="es-MX"/>
        </w:rPr>
      </w:pPr>
    </w:p>
    <w:p w14:paraId="100811F9" w14:textId="77777777" w:rsidR="00F76EF7" w:rsidRPr="00BC1800" w:rsidRDefault="00F76EF7" w:rsidP="00F76EF7">
      <w:pPr>
        <w:spacing w:after="0" w:line="240" w:lineRule="auto"/>
        <w:rPr>
          <w:rFonts w:ascii="Verdana" w:eastAsia="Geomanist Light" w:hAnsi="Verdana" w:cs="Arial"/>
          <w:lang w:val="es-MX"/>
        </w:rPr>
      </w:pPr>
    </w:p>
    <w:p w14:paraId="20A643F7" w14:textId="77777777" w:rsidR="00F76EF7" w:rsidRDefault="00F76EF7" w:rsidP="00F76EF7">
      <w:pPr>
        <w:spacing w:after="0" w:line="240" w:lineRule="auto"/>
        <w:rPr>
          <w:rFonts w:ascii="Verdana" w:eastAsia="Geomanist Light" w:hAnsi="Verdana" w:cs="Arial"/>
          <w:lang w:val="es-MX"/>
        </w:rPr>
      </w:pPr>
    </w:p>
    <w:p w14:paraId="02E7BE81" w14:textId="77777777" w:rsidR="00F76EF7" w:rsidRDefault="00F76EF7" w:rsidP="00F76EF7">
      <w:pPr>
        <w:spacing w:after="0" w:line="240" w:lineRule="auto"/>
        <w:rPr>
          <w:rFonts w:ascii="Verdana" w:eastAsia="Geomanist Light" w:hAnsi="Verdana" w:cs="Arial"/>
          <w:lang w:val="es-MX"/>
        </w:rPr>
      </w:pPr>
    </w:p>
    <w:p w14:paraId="55EAEB04" w14:textId="77777777" w:rsidR="00F76EF7" w:rsidRDefault="00F76EF7" w:rsidP="00F76EF7">
      <w:pPr>
        <w:spacing w:after="0" w:line="240" w:lineRule="auto"/>
        <w:rPr>
          <w:rFonts w:ascii="Verdana" w:eastAsia="Geomanist Light" w:hAnsi="Verdana" w:cs="Arial"/>
          <w:lang w:val="es-MX"/>
        </w:rPr>
      </w:pPr>
    </w:p>
    <w:p w14:paraId="27CA9B3F" w14:textId="77777777" w:rsidR="00F76EF7" w:rsidRDefault="00F76EF7" w:rsidP="00F76EF7">
      <w:pPr>
        <w:spacing w:after="0" w:line="240" w:lineRule="auto"/>
        <w:rPr>
          <w:rFonts w:ascii="Verdana" w:eastAsia="Geomanist Light" w:hAnsi="Verdana" w:cs="Arial"/>
          <w:lang w:val="es-MX"/>
        </w:rPr>
      </w:pPr>
    </w:p>
    <w:p w14:paraId="384D4B6A" w14:textId="77777777" w:rsidR="00F76EF7" w:rsidRPr="00BC1800" w:rsidRDefault="00F76EF7" w:rsidP="00F76EF7">
      <w:pPr>
        <w:spacing w:after="0" w:line="240" w:lineRule="auto"/>
        <w:rPr>
          <w:rFonts w:ascii="Verdana" w:eastAsia="Geomanist Light" w:hAnsi="Verdana" w:cs="Arial"/>
          <w:lang w:val="es-MX"/>
        </w:rPr>
      </w:pPr>
    </w:p>
    <w:p w14:paraId="258A31A6" w14:textId="77777777" w:rsidR="00F76EF7" w:rsidRPr="00BC1800" w:rsidRDefault="00F76EF7" w:rsidP="00F76EF7">
      <w:pPr>
        <w:spacing w:after="0" w:line="240" w:lineRule="auto"/>
        <w:rPr>
          <w:rFonts w:ascii="Verdana" w:eastAsia="Geomanist Light" w:hAnsi="Verdana" w:cs="Arial"/>
          <w:lang w:val="es-MX"/>
        </w:rPr>
      </w:pPr>
    </w:p>
    <w:p w14:paraId="419F7BC1" w14:textId="77777777" w:rsidR="00F76EF7" w:rsidRPr="00BC1800" w:rsidRDefault="00F76EF7" w:rsidP="00F76EF7">
      <w:pPr>
        <w:spacing w:after="0" w:line="240" w:lineRule="auto"/>
        <w:rPr>
          <w:rFonts w:ascii="Verdana" w:eastAsia="Geomanist Light" w:hAnsi="Verdana" w:cs="Arial"/>
          <w:lang w:val="es-MX"/>
        </w:rPr>
      </w:pPr>
    </w:p>
    <w:p w14:paraId="7D324CF9" w14:textId="77777777" w:rsidR="009B01AE" w:rsidRDefault="009B01AE" w:rsidP="00F76EF7">
      <w:pPr>
        <w:spacing w:after="0" w:line="240" w:lineRule="auto"/>
        <w:rPr>
          <w:rFonts w:ascii="Verdana" w:eastAsia="Geomanist Light" w:hAnsi="Verdana" w:cs="Arial"/>
          <w:lang w:val="es-MX"/>
        </w:rPr>
      </w:pPr>
    </w:p>
    <w:p w14:paraId="150C968F" w14:textId="77777777" w:rsidR="009B01AE" w:rsidRDefault="009B01AE" w:rsidP="00F76EF7">
      <w:pPr>
        <w:spacing w:after="0" w:line="240" w:lineRule="auto"/>
        <w:rPr>
          <w:rFonts w:ascii="Verdana" w:eastAsia="Geomanist Light" w:hAnsi="Verdana" w:cs="Arial"/>
          <w:lang w:val="es-MX"/>
        </w:rPr>
      </w:pPr>
    </w:p>
    <w:p w14:paraId="4379053A" w14:textId="77777777" w:rsidR="009B01AE" w:rsidRDefault="009B01AE" w:rsidP="00F76EF7">
      <w:pPr>
        <w:spacing w:after="0" w:line="240" w:lineRule="auto"/>
        <w:rPr>
          <w:rFonts w:ascii="Verdana" w:eastAsia="Geomanist Light" w:hAnsi="Verdana" w:cs="Arial"/>
          <w:lang w:val="es-MX"/>
        </w:rPr>
      </w:pPr>
    </w:p>
    <w:p w14:paraId="1E5B7BC6" w14:textId="1EF8A259" w:rsidR="00F76EF7" w:rsidRPr="00BC1800" w:rsidRDefault="00F76EF7" w:rsidP="00F76EF7">
      <w:pPr>
        <w:spacing w:after="0" w:line="240" w:lineRule="auto"/>
        <w:rPr>
          <w:rFonts w:ascii="Verdana" w:eastAsia="Geomanist Light" w:hAnsi="Verdana" w:cs="Arial"/>
          <w:lang w:val="es-MX"/>
        </w:rPr>
      </w:pPr>
      <w:r w:rsidRPr="00BC1800">
        <w:rPr>
          <w:rFonts w:ascii="Verdana" w:eastAsia="Geomanist Light" w:hAnsi="Verdana" w:cs="Arial"/>
          <w:lang w:val="es-MX"/>
        </w:rPr>
        <w:lastRenderedPageBreak/>
        <w:t>Bogotá D.C., [Día] de [</w:t>
      </w:r>
      <w:proofErr w:type="spellStart"/>
      <w:r w:rsidRPr="00BC1800">
        <w:rPr>
          <w:rFonts w:ascii="Verdana" w:eastAsia="Geomanist Light" w:hAnsi="Verdana" w:cs="Arial"/>
          <w:lang w:val="es-MX"/>
        </w:rPr>
        <w:t>Mes.NombreCapitalizado</w:t>
      </w:r>
      <w:proofErr w:type="spellEnd"/>
      <w:r w:rsidRPr="00BC1800">
        <w:rPr>
          <w:rFonts w:ascii="Verdana" w:eastAsia="Geomanist Light" w:hAnsi="Verdana" w:cs="Arial"/>
          <w:lang w:val="es-MX"/>
        </w:rPr>
        <w:t>] de [Año]</w:t>
      </w:r>
    </w:p>
    <w:p w14:paraId="36A81A8B" w14:textId="77777777" w:rsidR="00F76EF7" w:rsidRPr="00BC1800" w:rsidRDefault="00F76EF7" w:rsidP="00F76EF7">
      <w:pPr>
        <w:spacing w:after="0" w:line="240" w:lineRule="auto"/>
        <w:jc w:val="both"/>
        <w:rPr>
          <w:rFonts w:ascii="Verdana" w:eastAsia="Calibri" w:hAnsi="Verdana" w:cs="Arial"/>
          <w:lang w:val="es-ES"/>
        </w:rPr>
      </w:pPr>
    </w:p>
    <w:p w14:paraId="2DC0ABED" w14:textId="77777777" w:rsidR="00643775" w:rsidRDefault="00643775" w:rsidP="00F76EF7">
      <w:pPr>
        <w:spacing w:after="0" w:line="240" w:lineRule="auto"/>
        <w:jc w:val="both"/>
        <w:rPr>
          <w:rFonts w:ascii="Verdana" w:eastAsia="Calibri" w:hAnsi="Verdana" w:cs="Arial"/>
          <w:lang w:val="es-ES" w:eastAsia="es-ES"/>
        </w:rPr>
      </w:pPr>
    </w:p>
    <w:p w14:paraId="644A6C14" w14:textId="77777777" w:rsidR="00643775" w:rsidRDefault="00643775" w:rsidP="00F76EF7">
      <w:pPr>
        <w:spacing w:after="0" w:line="240" w:lineRule="auto"/>
        <w:jc w:val="both"/>
        <w:rPr>
          <w:rFonts w:ascii="Verdana" w:eastAsia="Calibri" w:hAnsi="Verdana" w:cs="Arial"/>
          <w:lang w:val="es-ES" w:eastAsia="es-ES"/>
        </w:rPr>
      </w:pPr>
    </w:p>
    <w:p w14:paraId="6A0F2880" w14:textId="58745025" w:rsidR="00F76EF7" w:rsidRPr="00BC1800" w:rsidRDefault="006601AC" w:rsidP="00F76EF7">
      <w:pPr>
        <w:spacing w:after="0" w:line="240" w:lineRule="auto"/>
        <w:jc w:val="both"/>
        <w:rPr>
          <w:rFonts w:ascii="Verdana" w:eastAsia="Calibri" w:hAnsi="Verdana" w:cs="Arial"/>
          <w:lang w:val="es-ES" w:eastAsia="es-ES"/>
        </w:rPr>
      </w:pPr>
      <w:r w:rsidRPr="006601AC">
        <w:rPr>
          <w:rFonts w:ascii="Verdana" w:eastAsia="Calibri" w:hAnsi="Verdana" w:cs="Arial"/>
          <w:noProof/>
          <w:lang w:val="es-ES" w:eastAsia="es-ES"/>
        </w:rPr>
        <w:drawing>
          <wp:anchor distT="0" distB="0" distL="114300" distR="114300" simplePos="0" relativeHeight="251658240" behindDoc="1" locked="0" layoutInCell="1" allowOverlap="1" wp14:anchorId="0C17AAC8" wp14:editId="36DBEA64">
            <wp:simplePos x="0" y="0"/>
            <wp:positionH relativeFrom="column">
              <wp:posOffset>2990519</wp:posOffset>
            </wp:positionH>
            <wp:positionV relativeFrom="paragraph">
              <wp:posOffset>90446</wp:posOffset>
            </wp:positionV>
            <wp:extent cx="2856230" cy="725805"/>
            <wp:effectExtent l="0" t="0" r="1270" b="0"/>
            <wp:wrapSquare wrapText="bothSides"/>
            <wp:docPr id="9527434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43489"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6230" cy="725805"/>
                    </a:xfrm>
                    <a:prstGeom prst="rect">
                      <a:avLst/>
                    </a:prstGeom>
                  </pic:spPr>
                </pic:pic>
              </a:graphicData>
            </a:graphic>
            <wp14:sizeRelH relativeFrom="page">
              <wp14:pctWidth>0</wp14:pctWidth>
            </wp14:sizeRelH>
            <wp14:sizeRelV relativeFrom="page">
              <wp14:pctHeight>0</wp14:pctHeight>
            </wp14:sizeRelV>
          </wp:anchor>
        </w:drawing>
      </w:r>
      <w:r w:rsidR="00F76EF7" w:rsidRPr="00BC1800">
        <w:rPr>
          <w:rFonts w:ascii="Verdana" w:eastAsia="Calibri" w:hAnsi="Verdana" w:cs="Arial"/>
          <w:lang w:val="es-ES" w:eastAsia="es-ES"/>
        </w:rPr>
        <w:t>Señor</w:t>
      </w:r>
    </w:p>
    <w:p w14:paraId="6291A6D1" w14:textId="77777777" w:rsidR="00F76EF7" w:rsidRPr="00BC1800" w:rsidRDefault="00F76EF7" w:rsidP="00F76EF7">
      <w:pPr>
        <w:spacing w:after="0" w:line="240" w:lineRule="auto"/>
        <w:rPr>
          <w:rFonts w:ascii="Verdana" w:eastAsia="Calibri" w:hAnsi="Verdana" w:cs="Arial"/>
          <w:b/>
          <w:lang w:val="es-ES_tradnl" w:eastAsia="es-ES_tradnl"/>
        </w:rPr>
      </w:pPr>
      <w:r w:rsidRPr="00BC1800">
        <w:rPr>
          <w:rFonts w:ascii="Verdana" w:eastAsia="Calibri" w:hAnsi="Verdana" w:cs="Arial"/>
          <w:b/>
          <w:lang w:val="es-ES_tradnl" w:eastAsia="es-ES_tradnl"/>
        </w:rPr>
        <w:t>Carlos Alejandro Montoya Sánchez</w:t>
      </w:r>
    </w:p>
    <w:p w14:paraId="08B9847C" w14:textId="77777777" w:rsidR="00F76EF7" w:rsidRPr="00BC1800" w:rsidRDefault="00F76EF7" w:rsidP="00F76EF7">
      <w:pPr>
        <w:spacing w:after="0" w:line="240" w:lineRule="auto"/>
        <w:rPr>
          <w:rFonts w:ascii="Verdana" w:eastAsia="Calibri" w:hAnsi="Verdana" w:cs="Arial"/>
          <w:bCs/>
          <w:lang w:val="es-ES_tradnl" w:eastAsia="es-ES_tradnl"/>
        </w:rPr>
      </w:pPr>
      <w:r w:rsidRPr="00BC1800">
        <w:rPr>
          <w:rFonts w:ascii="Verdana" w:eastAsia="Calibri" w:hAnsi="Verdana" w:cs="Arial"/>
          <w:bCs/>
          <w:lang w:val="es-ES_tradnl" w:eastAsia="es-ES_tradnl"/>
        </w:rPr>
        <w:t>Contralor Departamental</w:t>
      </w:r>
    </w:p>
    <w:p w14:paraId="501C3361" w14:textId="77777777" w:rsidR="00F76EF7" w:rsidRPr="00BC1800" w:rsidRDefault="00F76EF7" w:rsidP="00F76EF7">
      <w:pPr>
        <w:spacing w:after="0" w:line="240" w:lineRule="auto"/>
        <w:rPr>
          <w:rFonts w:ascii="Verdana" w:eastAsia="Calibri" w:hAnsi="Verdana" w:cs="Arial"/>
          <w:u w:val="single"/>
          <w:lang w:val="es-ES" w:eastAsia="es-ES"/>
        </w:rPr>
      </w:pPr>
      <w:r w:rsidRPr="00BC1800">
        <w:rPr>
          <w:rFonts w:ascii="Verdana" w:eastAsia="Calibri" w:hAnsi="Verdana" w:cs="Arial"/>
          <w:u w:val="single"/>
          <w:lang w:val="es-ES" w:eastAsia="es-ES"/>
        </w:rPr>
        <w:t>cmontoya@contraloriaguaviare.gov.co</w:t>
      </w:r>
    </w:p>
    <w:p w14:paraId="64EC0221" w14:textId="77777777" w:rsidR="00F76EF7" w:rsidRPr="00BC1800" w:rsidRDefault="00F76EF7" w:rsidP="00F76EF7">
      <w:pPr>
        <w:spacing w:after="0" w:line="240" w:lineRule="auto"/>
        <w:rPr>
          <w:rFonts w:ascii="Verdana" w:eastAsia="Calibri" w:hAnsi="Verdana" w:cs="Arial"/>
          <w:b/>
          <w:bCs/>
          <w:lang w:val="es-ES" w:eastAsia="es-ES"/>
        </w:rPr>
      </w:pPr>
      <w:r w:rsidRPr="00BC1800">
        <w:rPr>
          <w:rFonts w:ascii="Verdana" w:eastAsia="Calibri" w:hAnsi="Verdana" w:cs="Arial"/>
          <w:lang w:val="es-ES" w:eastAsia="es-ES"/>
        </w:rPr>
        <w:t>San José del Guaviare, Guaviare</w:t>
      </w:r>
    </w:p>
    <w:p w14:paraId="4D1A896C" w14:textId="77777777" w:rsidR="00F76EF7" w:rsidRPr="00BC1800" w:rsidRDefault="00F76EF7" w:rsidP="00F76EF7">
      <w:pPr>
        <w:spacing w:after="0" w:line="240" w:lineRule="auto"/>
        <w:rPr>
          <w:rFonts w:ascii="Verdana" w:eastAsia="Calibri" w:hAnsi="Verdana" w:cs="Arial"/>
          <w:b/>
          <w:bCs/>
          <w:lang w:val="es-ES_tradnl" w:eastAsia="es-ES_tradnl"/>
        </w:rPr>
      </w:pPr>
    </w:p>
    <w:p w14:paraId="0E16E17C" w14:textId="77777777" w:rsidR="00F76EF7" w:rsidRPr="00BC1800" w:rsidRDefault="00F76EF7" w:rsidP="00F76EF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6EF7" w:rsidRPr="00BC1800" w14:paraId="017C3E7E" w14:textId="77777777" w:rsidTr="009C6DC3">
        <w:trPr>
          <w:trHeight w:val="884"/>
        </w:trPr>
        <w:tc>
          <w:tcPr>
            <w:tcW w:w="2689" w:type="dxa"/>
          </w:tcPr>
          <w:p w14:paraId="1ED4FF15" w14:textId="77777777" w:rsidR="00F76EF7" w:rsidRPr="00BC1800" w:rsidRDefault="00F76EF7" w:rsidP="009C6DC3">
            <w:pPr>
              <w:jc w:val="both"/>
              <w:rPr>
                <w:rFonts w:ascii="Verdana" w:eastAsia="Calibri" w:hAnsi="Verdana" w:cs="Arial"/>
                <w:b/>
                <w:bCs/>
                <w:lang w:val="es-ES_tradnl" w:eastAsia="es-ES_tradnl"/>
              </w:rPr>
            </w:pPr>
          </w:p>
        </w:tc>
        <w:tc>
          <w:tcPr>
            <w:tcW w:w="6100" w:type="dxa"/>
          </w:tcPr>
          <w:p w14:paraId="6C4A8279" w14:textId="77777777" w:rsidR="00F76EF7" w:rsidRPr="00BC1800" w:rsidRDefault="00F76EF7" w:rsidP="009C6DC3">
            <w:pPr>
              <w:jc w:val="both"/>
              <w:rPr>
                <w:rFonts w:ascii="Verdana" w:eastAsia="Calibri" w:hAnsi="Verdana" w:cs="Arial"/>
                <w:b/>
                <w:bCs/>
                <w:lang w:val="es-ES" w:eastAsia="es-ES"/>
              </w:rPr>
            </w:pPr>
            <w:r w:rsidRPr="00BC1800">
              <w:rPr>
                <w:rFonts w:ascii="Verdana" w:eastAsia="Calibri" w:hAnsi="Verdana" w:cs="Arial"/>
                <w:b/>
                <w:bCs/>
                <w:lang w:val="es-ES" w:eastAsia="es-ES"/>
              </w:rPr>
              <w:t>Concepto C- 598 de 2025</w:t>
            </w:r>
          </w:p>
        </w:tc>
      </w:tr>
      <w:tr w:rsidR="00F76EF7" w:rsidRPr="00BC1800" w14:paraId="15C87171" w14:textId="77777777" w:rsidTr="009C6DC3">
        <w:trPr>
          <w:trHeight w:val="884"/>
        </w:trPr>
        <w:tc>
          <w:tcPr>
            <w:tcW w:w="2689" w:type="dxa"/>
          </w:tcPr>
          <w:p w14:paraId="167615DB" w14:textId="77777777" w:rsidR="00F76EF7" w:rsidRPr="00BC1800" w:rsidRDefault="00F76EF7" w:rsidP="009C6DC3">
            <w:pPr>
              <w:jc w:val="both"/>
              <w:rPr>
                <w:rFonts w:ascii="Verdana" w:eastAsia="Calibri" w:hAnsi="Verdana" w:cs="Arial"/>
                <w:lang w:val="es-ES_tradnl" w:eastAsia="es-ES_tradnl"/>
              </w:rPr>
            </w:pPr>
            <w:r w:rsidRPr="00BC1800">
              <w:rPr>
                <w:rFonts w:ascii="Verdana" w:eastAsia="Calibri" w:hAnsi="Verdana" w:cs="Arial"/>
                <w:b/>
                <w:lang w:val="es-ES_tradnl" w:eastAsia="es-ES_tradnl"/>
              </w:rPr>
              <w:t>Temas:</w:t>
            </w:r>
            <w:r w:rsidRPr="00BC1800">
              <w:rPr>
                <w:rFonts w:ascii="Verdana" w:eastAsia="Calibri" w:hAnsi="Verdana" w:cs="Arial"/>
                <w:lang w:val="es-ES_tradnl" w:eastAsia="es-ES_tradnl"/>
              </w:rPr>
              <w:t xml:space="preserve">                   </w:t>
            </w:r>
          </w:p>
        </w:tc>
        <w:tc>
          <w:tcPr>
            <w:tcW w:w="6100" w:type="dxa"/>
          </w:tcPr>
          <w:p w14:paraId="709C6A95" w14:textId="411B2D1C" w:rsidR="00F76EF7" w:rsidRDefault="00F76EF7" w:rsidP="00643775">
            <w:pPr>
              <w:jc w:val="both"/>
              <w:rPr>
                <w:rFonts w:ascii="Verdana" w:eastAsia="Calibri" w:hAnsi="Verdana" w:cs="Arial"/>
                <w:lang w:val="es-ES_tradnl"/>
              </w:rPr>
            </w:pPr>
            <w:r w:rsidRPr="007716D0">
              <w:rPr>
                <w:rFonts w:ascii="Verdana" w:eastAsia="Calibri" w:hAnsi="Verdana" w:cs="Arial"/>
              </w:rPr>
              <w:t>SOBRE LA APLICACIÓN DE LA LEY 330 DE 1996 A LAS CONTRALORÍAS DEPARTAMENTALES</w:t>
            </w:r>
            <w:r w:rsidR="009B01AE">
              <w:rPr>
                <w:rFonts w:ascii="Verdana" w:eastAsia="Calibri" w:hAnsi="Verdana" w:cs="Arial"/>
              </w:rPr>
              <w:t xml:space="preserve"> </w:t>
            </w:r>
            <w:r w:rsidR="009B01AE" w:rsidRPr="009B01AE">
              <w:rPr>
                <w:rFonts w:ascii="Verdana" w:eastAsia="Calibri" w:hAnsi="Verdana" w:cs="Arial"/>
                <w:lang w:val="es-ES"/>
              </w:rPr>
              <w:t>–</w:t>
            </w:r>
            <w:r w:rsidRPr="007716D0">
              <w:rPr>
                <w:rFonts w:ascii="Verdana" w:eastAsia="Calibri" w:hAnsi="Verdana" w:cs="Arial"/>
              </w:rPr>
              <w:t xml:space="preserve"> </w:t>
            </w:r>
            <w:r w:rsidR="00204C05">
              <w:rPr>
                <w:rFonts w:ascii="Verdana" w:eastAsia="Calibri" w:hAnsi="Verdana" w:cs="Arial"/>
              </w:rPr>
              <w:t>R</w:t>
            </w:r>
            <w:r>
              <w:rPr>
                <w:rFonts w:ascii="Verdana" w:eastAsia="Calibri" w:hAnsi="Verdana" w:cs="Arial"/>
              </w:rPr>
              <w:t xml:space="preserve">estricciones a la </w:t>
            </w:r>
            <w:r w:rsidRPr="007716D0">
              <w:rPr>
                <w:rFonts w:ascii="Verdana" w:eastAsia="Calibri" w:hAnsi="Verdana" w:cs="Arial"/>
              </w:rPr>
              <w:t>posibilidad de contratar servicios personales mediante contratos de prestación de servicios</w:t>
            </w:r>
            <w:r w:rsidR="009B01AE">
              <w:rPr>
                <w:rFonts w:ascii="Verdana" w:eastAsia="Calibri" w:hAnsi="Verdana" w:cs="Arial"/>
              </w:rPr>
              <w:t xml:space="preserve"> </w:t>
            </w:r>
            <w:r>
              <w:rPr>
                <w:rFonts w:ascii="Verdana" w:eastAsia="Calibri" w:hAnsi="Verdana" w:cs="Arial"/>
              </w:rPr>
              <w:t>/</w:t>
            </w:r>
            <w:r w:rsidR="009B01AE">
              <w:rPr>
                <w:rFonts w:ascii="Verdana" w:eastAsia="Calibri" w:hAnsi="Verdana" w:cs="Arial"/>
              </w:rPr>
              <w:t xml:space="preserve"> </w:t>
            </w:r>
            <w:r w:rsidRPr="00BC1800">
              <w:rPr>
                <w:rFonts w:ascii="Verdana" w:eastAsia="Calibri" w:hAnsi="Verdana" w:cs="Arial"/>
              </w:rPr>
              <w:t xml:space="preserve">CONTRATO DE PRESTACIÓN DE SERVICIOS – Concepto </w:t>
            </w:r>
          </w:p>
          <w:p w14:paraId="3BA07580" w14:textId="726EBE2C" w:rsidR="00643775" w:rsidRPr="00BC1800" w:rsidRDefault="00643775" w:rsidP="00643775">
            <w:pPr>
              <w:jc w:val="both"/>
              <w:rPr>
                <w:rFonts w:ascii="Verdana" w:eastAsia="Calibri" w:hAnsi="Verdana" w:cs="Arial"/>
                <w:lang w:val="es-ES" w:eastAsia="es-ES"/>
              </w:rPr>
            </w:pPr>
          </w:p>
        </w:tc>
      </w:tr>
      <w:tr w:rsidR="00F76EF7" w:rsidRPr="00BC1800" w14:paraId="1900F19F" w14:textId="77777777" w:rsidTr="009C6DC3">
        <w:tc>
          <w:tcPr>
            <w:tcW w:w="2689" w:type="dxa"/>
          </w:tcPr>
          <w:p w14:paraId="45B4A988" w14:textId="77777777" w:rsidR="00F76EF7" w:rsidRPr="00BC1800" w:rsidRDefault="00F76EF7" w:rsidP="009C6DC3">
            <w:pPr>
              <w:jc w:val="both"/>
              <w:rPr>
                <w:rFonts w:ascii="Verdana" w:eastAsia="Calibri" w:hAnsi="Verdana" w:cs="Arial"/>
                <w:b/>
                <w:lang w:val="es-ES_tradnl" w:eastAsia="es-ES_tradnl"/>
              </w:rPr>
            </w:pPr>
            <w:r w:rsidRPr="00BC1800">
              <w:rPr>
                <w:rFonts w:ascii="Verdana" w:eastAsia="Calibri" w:hAnsi="Verdana" w:cs="Arial"/>
                <w:b/>
                <w:lang w:val="es-ES_tradnl" w:eastAsia="es-ES_tradnl"/>
              </w:rPr>
              <w:t>Radicación:</w:t>
            </w:r>
            <w:r w:rsidRPr="00BC1800">
              <w:rPr>
                <w:rFonts w:ascii="Verdana" w:eastAsia="Calibri" w:hAnsi="Verdana" w:cs="Arial"/>
                <w:lang w:val="es-ES_tradnl" w:eastAsia="es-ES_tradnl"/>
              </w:rPr>
              <w:t xml:space="preserve">               </w:t>
            </w:r>
          </w:p>
        </w:tc>
        <w:tc>
          <w:tcPr>
            <w:tcW w:w="6100" w:type="dxa"/>
          </w:tcPr>
          <w:p w14:paraId="3ED8AA10" w14:textId="77777777" w:rsidR="00F76EF7" w:rsidRPr="00BC1800" w:rsidRDefault="00F76EF7" w:rsidP="009C6DC3">
            <w:pPr>
              <w:jc w:val="both"/>
              <w:rPr>
                <w:rFonts w:ascii="Verdana" w:eastAsia="Calibri" w:hAnsi="Verdana" w:cs="Arial"/>
                <w:lang w:val="es-ES_tradnl" w:eastAsia="es-ES_tradnl"/>
              </w:rPr>
            </w:pPr>
            <w:r w:rsidRPr="00BC1800">
              <w:rPr>
                <w:rFonts w:ascii="Verdana" w:eastAsia="Calibri" w:hAnsi="Verdana" w:cs="Arial"/>
                <w:lang w:val="es-ES_tradnl" w:eastAsia="es-ES_tradnl"/>
              </w:rPr>
              <w:t xml:space="preserve">Respuesta a consulta con radicado No. </w:t>
            </w:r>
            <w:r w:rsidRPr="00BC1800">
              <w:rPr>
                <w:rFonts w:ascii="Segoe UI" w:hAnsi="Segoe UI" w:cs="Segoe UI"/>
                <w:sz w:val="27"/>
                <w:szCs w:val="27"/>
                <w:shd w:val="clear" w:color="auto" w:fill="FFFFFF"/>
              </w:rPr>
              <w:t xml:space="preserve"> </w:t>
            </w:r>
            <w:r w:rsidRPr="00BC1800">
              <w:rPr>
                <w:rFonts w:ascii="Verdana" w:eastAsia="Calibri" w:hAnsi="Verdana" w:cs="Arial"/>
                <w:lang w:eastAsia="es-ES_tradnl"/>
              </w:rPr>
              <w:t>P20250515004690 y P20250516004703 (Acumuladas)</w:t>
            </w:r>
          </w:p>
        </w:tc>
      </w:tr>
    </w:tbl>
    <w:p w14:paraId="54421104" w14:textId="77777777" w:rsidR="00F76EF7" w:rsidRPr="00BC1800" w:rsidRDefault="00F76EF7" w:rsidP="00F76EF7">
      <w:pPr>
        <w:spacing w:after="0" w:line="240" w:lineRule="auto"/>
        <w:jc w:val="both"/>
        <w:rPr>
          <w:rFonts w:ascii="Verdana" w:eastAsia="Calibri" w:hAnsi="Verdana" w:cs="Arial"/>
          <w:lang w:val="es-ES_tradnl" w:eastAsia="es-ES_tradnl"/>
        </w:rPr>
      </w:pPr>
    </w:p>
    <w:p w14:paraId="05939F66" w14:textId="77777777" w:rsidR="00F76EF7" w:rsidRPr="00BC1800" w:rsidRDefault="00F76EF7" w:rsidP="00F76EF7">
      <w:pPr>
        <w:spacing w:after="0" w:line="240" w:lineRule="auto"/>
        <w:jc w:val="both"/>
        <w:rPr>
          <w:rFonts w:ascii="Verdana" w:eastAsia="Calibri" w:hAnsi="Verdana" w:cs="Arial"/>
          <w:lang w:val="es-ES_tradnl" w:eastAsia="es-ES_tradnl"/>
        </w:rPr>
      </w:pPr>
    </w:p>
    <w:p w14:paraId="0B56B079" w14:textId="77777777" w:rsidR="00F76EF7" w:rsidRPr="00BC1800" w:rsidRDefault="00F76EF7" w:rsidP="00F76EF7">
      <w:pPr>
        <w:spacing w:after="0" w:line="276" w:lineRule="auto"/>
        <w:jc w:val="both"/>
        <w:rPr>
          <w:rFonts w:ascii="Verdana" w:eastAsia="Calibri" w:hAnsi="Verdana" w:cs="Arial"/>
          <w:lang w:val="es-ES" w:eastAsia="es-ES"/>
        </w:rPr>
      </w:pPr>
      <w:r w:rsidRPr="00BC1800">
        <w:rPr>
          <w:rFonts w:ascii="Verdana" w:eastAsia="Calibri" w:hAnsi="Verdana" w:cs="Arial"/>
          <w:lang w:val="es-ES" w:eastAsia="es-ES"/>
        </w:rPr>
        <w:t xml:space="preserve">Estimado señor Montoya: </w:t>
      </w:r>
    </w:p>
    <w:p w14:paraId="17BCD013" w14:textId="77777777" w:rsidR="00F76EF7" w:rsidRPr="00BC1800" w:rsidRDefault="00F76EF7" w:rsidP="00F76EF7">
      <w:pPr>
        <w:tabs>
          <w:tab w:val="left" w:pos="3768"/>
        </w:tabs>
        <w:spacing w:after="0" w:line="276" w:lineRule="auto"/>
        <w:jc w:val="both"/>
        <w:rPr>
          <w:rFonts w:ascii="Verdana" w:eastAsia="Calibri" w:hAnsi="Verdana" w:cs="Arial"/>
          <w:lang w:val="es-ES" w:eastAsia="es-ES"/>
        </w:rPr>
      </w:pPr>
      <w:r w:rsidRPr="00BC1800">
        <w:rPr>
          <w:rFonts w:ascii="Verdana" w:eastAsia="Calibri" w:hAnsi="Verdana" w:cs="Arial"/>
          <w:lang w:val="es-ES" w:eastAsia="es-ES"/>
        </w:rPr>
        <w:tab/>
      </w:r>
    </w:p>
    <w:p w14:paraId="418732A2" w14:textId="4A9E5520" w:rsidR="00F76EF7" w:rsidRPr="00BC1800" w:rsidRDefault="00F76EF7" w:rsidP="00F76EF7">
      <w:pPr>
        <w:spacing w:after="0" w:line="276" w:lineRule="auto"/>
        <w:jc w:val="both"/>
        <w:rPr>
          <w:rFonts w:ascii="Verdana" w:eastAsia="Calibri" w:hAnsi="Verdana" w:cs="Arial"/>
          <w:lang w:val="es-ES" w:eastAsia="es-ES"/>
        </w:rPr>
      </w:pPr>
      <w:r w:rsidRPr="00BC1800">
        <w:rPr>
          <w:rFonts w:ascii="Verdana" w:eastAsia="Calibri" w:hAnsi="Verdana" w:cs="Arial"/>
          <w:lang w:val="es-ES" w:eastAsia="es-ES"/>
        </w:rPr>
        <w:t>En ejercicio de la competencia otorgada por los artículos 3, numeral 5º, y 11, numeral 8º, del Decreto Ley 4170 de 2011,</w:t>
      </w:r>
      <w:r w:rsidRPr="00BC1800">
        <w:rPr>
          <w:rFonts w:ascii="Verdana" w:eastAsia="Arial MT" w:hAnsi="Verdana" w:cs="Arial MT"/>
          <w:lang w:val="es-ES" w:eastAsia="es-ES"/>
        </w:rPr>
        <w:t xml:space="preserve"> </w:t>
      </w:r>
      <w:r w:rsidRPr="00BC1800">
        <w:rPr>
          <w:rFonts w:ascii="Verdana" w:hAnsi="Verdana" w:cs="Arial"/>
        </w:rPr>
        <w:t xml:space="preserve">así como lo establecido en el artículo 4 de la Resolución 1707 de 2018 expedida por esta Entidad, </w:t>
      </w:r>
      <w:r w:rsidRPr="00BC1800">
        <w:rPr>
          <w:rFonts w:ascii="Verdana" w:eastAsia="Calibri" w:hAnsi="Verdana" w:cs="Arial"/>
          <w:lang w:val="es-ES" w:eastAsia="es-ES"/>
        </w:rPr>
        <w:t xml:space="preserve">la Agencia Nacional de Contratación Pública – Colombia Compra Eficiente– responde su solicitud, </w:t>
      </w:r>
      <w:r w:rsidRPr="00BC1800">
        <w:rPr>
          <w:rFonts w:ascii="Verdana" w:eastAsia="Calibri" w:hAnsi="Verdana" w:cs="Arial"/>
          <w:lang w:eastAsia="es-ES"/>
        </w:rPr>
        <w:t>la cual fue remitida por razón de competencia, por la Procuraduría General de la Nación el 16 de mayo de 2025</w:t>
      </w:r>
      <w:r w:rsidRPr="00BC1800">
        <w:rPr>
          <w:rFonts w:ascii="Verdana" w:eastAsia="Calibri" w:hAnsi="Verdana" w:cs="Arial"/>
          <w:lang w:val="es-ES" w:eastAsia="es-ES"/>
        </w:rPr>
        <w:t xml:space="preserve">, en la cual manifiesta lo siguiente: </w:t>
      </w:r>
    </w:p>
    <w:p w14:paraId="7AAE407F" w14:textId="77777777" w:rsidR="00F76EF7" w:rsidRPr="00BC1800" w:rsidRDefault="00F76EF7" w:rsidP="00F76EF7">
      <w:pPr>
        <w:pStyle w:val="Prrafodelista"/>
        <w:tabs>
          <w:tab w:val="left" w:pos="142"/>
          <w:tab w:val="left" w:pos="284"/>
        </w:tabs>
        <w:spacing w:line="276" w:lineRule="auto"/>
        <w:ind w:left="0"/>
        <w:jc w:val="both"/>
        <w:rPr>
          <w:rFonts w:ascii="Verdana" w:eastAsia="Century Gothic" w:hAnsi="Verdana" w:cs="Century Gothic"/>
          <w:b/>
          <w:bCs/>
        </w:rPr>
      </w:pPr>
    </w:p>
    <w:p w14:paraId="09ED4B91" w14:textId="77777777" w:rsidR="00F76EF7" w:rsidRPr="00BC1800" w:rsidRDefault="00F76EF7" w:rsidP="00F76EF7">
      <w:pPr>
        <w:spacing w:after="0" w:line="240" w:lineRule="auto"/>
        <w:ind w:left="709" w:right="709"/>
        <w:jc w:val="both"/>
        <w:rPr>
          <w:rFonts w:ascii="Verdana" w:eastAsia="Century Gothic" w:hAnsi="Verdana" w:cs="Century Gothic"/>
          <w:sz w:val="20"/>
          <w:szCs w:val="20"/>
        </w:rPr>
      </w:pPr>
      <w:bookmarkStart w:id="0" w:name="_Hlk95313578"/>
      <w:r w:rsidRPr="00BC1800">
        <w:rPr>
          <w:rFonts w:ascii="Verdana" w:eastAsia="Century Gothic" w:hAnsi="Verdana" w:cs="Century Gothic"/>
          <w:sz w:val="20"/>
          <w:szCs w:val="20"/>
          <w:lang w:val="es-ES"/>
        </w:rPr>
        <w:t xml:space="preserve">“1. </w:t>
      </w:r>
      <w:r w:rsidRPr="00BC1800">
        <w:rPr>
          <w:rFonts w:ascii="Verdana" w:eastAsia="Century Gothic" w:hAnsi="Verdana" w:cs="Century Gothic"/>
          <w:sz w:val="20"/>
          <w:szCs w:val="20"/>
        </w:rPr>
        <w:t xml:space="preserve">¿Es viable jurídicamente que la Contraloría Departamental del Guaviare (CDG), contrate por prestación de servicios de acuerdo con el Estatuto General de Contratación Pública – L. 80/93, apoyo jurídico para el área de la Contraloría Auxiliar de Responsabilidad Fiscal y Jurisdicción Coactiva (CARFYJC), para el cumplimiento de metas y compromisos del Plan de Mejoramiento de la AGR e informe de Control Interno de la Entidad, teniendo en cuenta que existe una sobre carga laboral y falta de personal que desborda la capacidad administrativa del área de la </w:t>
      </w:r>
      <w:r w:rsidRPr="00BC1800">
        <w:rPr>
          <w:rFonts w:ascii="Verdana" w:eastAsia="Century Gothic" w:hAnsi="Verdana" w:cs="Century Gothic"/>
          <w:sz w:val="20"/>
          <w:szCs w:val="20"/>
        </w:rPr>
        <w:lastRenderedPageBreak/>
        <w:t>Contraloría Auxiliar de Responsabilidad Fiscal y Jurisdicción Coactiva (CARFYJC) de la Contraloría Departamental del Guaviare (CDG)?.</w:t>
      </w:r>
    </w:p>
    <w:p w14:paraId="6F789DDD" w14:textId="77777777" w:rsidR="00F76EF7" w:rsidRPr="00BC1800" w:rsidRDefault="00F76EF7" w:rsidP="00F76EF7">
      <w:pPr>
        <w:spacing w:after="0" w:line="240" w:lineRule="auto"/>
        <w:ind w:left="709" w:right="709"/>
        <w:jc w:val="both"/>
        <w:rPr>
          <w:rFonts w:ascii="Verdana" w:eastAsia="Century Gothic" w:hAnsi="Verdana" w:cs="Century Gothic"/>
          <w:sz w:val="20"/>
          <w:szCs w:val="20"/>
        </w:rPr>
      </w:pPr>
    </w:p>
    <w:p w14:paraId="014D1D3A" w14:textId="77777777" w:rsidR="00F76EF7" w:rsidRPr="00BC1800" w:rsidRDefault="00F76EF7" w:rsidP="00F76EF7">
      <w:pPr>
        <w:spacing w:after="0" w:line="240" w:lineRule="auto"/>
        <w:ind w:left="709" w:right="709"/>
        <w:jc w:val="both"/>
        <w:rPr>
          <w:rFonts w:ascii="Verdana" w:eastAsia="Century Gothic" w:hAnsi="Verdana" w:cs="Century Gothic"/>
          <w:sz w:val="20"/>
          <w:szCs w:val="20"/>
        </w:rPr>
      </w:pPr>
      <w:r w:rsidRPr="00BC1800">
        <w:rPr>
          <w:rFonts w:ascii="Verdana" w:eastAsia="Century Gothic" w:hAnsi="Verdana" w:cs="Century Gothic"/>
          <w:sz w:val="20"/>
          <w:szCs w:val="20"/>
        </w:rPr>
        <w:t xml:space="preserve">2. ¿En el evento que fuere afirmativa la respuesta anterior, que actividades podrían realizar dichos apoyos jurídicos, considerando que la responsabilidad, las funciones y la firma de documentos están a cargo del Contralor Auxiliar de Responsabilidad Fiscal, es decir, no se trata de una Delegación de Funciones a </w:t>
      </w:r>
      <w:proofErr w:type="gramStart"/>
      <w:r w:rsidRPr="00BC1800">
        <w:rPr>
          <w:rFonts w:ascii="Verdana" w:eastAsia="Century Gothic" w:hAnsi="Verdana" w:cs="Century Gothic"/>
          <w:sz w:val="20"/>
          <w:szCs w:val="20"/>
        </w:rPr>
        <w:t>particulares?.</w:t>
      </w:r>
      <w:proofErr w:type="gramEnd"/>
    </w:p>
    <w:p w14:paraId="0666E9F4" w14:textId="77777777" w:rsidR="00F76EF7" w:rsidRPr="00BC1800" w:rsidRDefault="00F76EF7" w:rsidP="00F76EF7">
      <w:pPr>
        <w:spacing w:after="0" w:line="240" w:lineRule="auto"/>
        <w:ind w:left="709" w:right="709"/>
        <w:jc w:val="both"/>
        <w:rPr>
          <w:rFonts w:ascii="Verdana" w:eastAsia="Century Gothic" w:hAnsi="Verdana" w:cs="Century Gothic"/>
          <w:sz w:val="20"/>
          <w:szCs w:val="20"/>
        </w:rPr>
      </w:pPr>
    </w:p>
    <w:p w14:paraId="3529EBBE" w14:textId="77777777" w:rsidR="00F76EF7" w:rsidRPr="00BC1800" w:rsidRDefault="00F76EF7" w:rsidP="00F76EF7">
      <w:pPr>
        <w:spacing w:after="0" w:line="240" w:lineRule="auto"/>
        <w:ind w:left="709" w:right="709"/>
        <w:jc w:val="both"/>
        <w:rPr>
          <w:rFonts w:ascii="Verdana" w:eastAsia="Century Gothic" w:hAnsi="Verdana" w:cs="Century Gothic"/>
          <w:sz w:val="20"/>
          <w:szCs w:val="20"/>
          <w:lang w:val="es-ES"/>
        </w:rPr>
      </w:pPr>
      <w:r w:rsidRPr="00BC1800">
        <w:rPr>
          <w:rFonts w:ascii="Verdana" w:eastAsia="Century Gothic" w:hAnsi="Verdana" w:cs="Century Gothic"/>
          <w:sz w:val="20"/>
          <w:szCs w:val="20"/>
        </w:rPr>
        <w:t xml:space="preserve">3. Para mejor ilustración, agradecemos, nos informe los demás aspectos que puedan aclarar lo relacionado con el asunto consultado en los numerales anteriores. </w:t>
      </w:r>
      <w:r w:rsidRPr="00BC1800">
        <w:rPr>
          <w:rStyle w:val="normaltextrun"/>
          <w:rFonts w:ascii="Verdana" w:hAnsi="Verdana" w:cs="Arial"/>
          <w:sz w:val="20"/>
          <w:szCs w:val="20"/>
          <w:shd w:val="clear" w:color="auto" w:fill="FFFFFF"/>
          <w:lang w:val="es-ES"/>
        </w:rPr>
        <w:t>[…]</w:t>
      </w:r>
      <w:r w:rsidRPr="00BC1800">
        <w:rPr>
          <w:rFonts w:ascii="Verdana" w:eastAsia="Century Gothic" w:hAnsi="Verdana" w:cs="Century Gothic"/>
          <w:sz w:val="20"/>
          <w:szCs w:val="20"/>
          <w:lang w:val="es-ES"/>
        </w:rPr>
        <w:t>”</w:t>
      </w:r>
      <w:bookmarkEnd w:id="0"/>
      <w:r w:rsidRPr="00BC1800">
        <w:rPr>
          <w:rFonts w:ascii="Verdana" w:eastAsia="Century Gothic" w:hAnsi="Verdana" w:cs="Century Gothic"/>
          <w:sz w:val="20"/>
          <w:szCs w:val="20"/>
          <w:lang w:val="es-ES"/>
        </w:rPr>
        <w:t>.</w:t>
      </w:r>
    </w:p>
    <w:p w14:paraId="24459C8B" w14:textId="77777777" w:rsidR="00F76EF7" w:rsidRPr="00BC1800" w:rsidRDefault="00F76EF7" w:rsidP="00F76EF7">
      <w:pPr>
        <w:pStyle w:val="Prrafodelista"/>
        <w:tabs>
          <w:tab w:val="left" w:pos="142"/>
          <w:tab w:val="left" w:pos="284"/>
        </w:tabs>
        <w:spacing w:line="276" w:lineRule="auto"/>
        <w:ind w:left="0"/>
        <w:jc w:val="both"/>
        <w:rPr>
          <w:rFonts w:ascii="Verdana" w:eastAsia="Century Gothic" w:hAnsi="Verdana" w:cs="Century Gothic"/>
          <w:b/>
          <w:bCs/>
        </w:rPr>
      </w:pPr>
    </w:p>
    <w:p w14:paraId="1D9343BF" w14:textId="77777777" w:rsidR="00F76EF7" w:rsidRPr="00BC1800" w:rsidRDefault="00F76EF7" w:rsidP="00F76EF7">
      <w:pPr>
        <w:spacing w:after="120" w:line="276" w:lineRule="auto"/>
        <w:ind w:firstLine="709"/>
        <w:jc w:val="both"/>
        <w:rPr>
          <w:rFonts w:ascii="Verdana" w:eastAsia="Calibri" w:hAnsi="Verdana" w:cs="Arial"/>
          <w:szCs w:val="24"/>
          <w:lang w:val="es-ES_tradnl" w:eastAsia="es-ES_tradnl"/>
        </w:rPr>
      </w:pPr>
      <w:r w:rsidRPr="00BC180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1800">
        <w:rPr>
          <w:rFonts w:ascii="Verdana" w:eastAsia="Calibri" w:hAnsi="Verdana" w:cs="Arial"/>
          <w:szCs w:val="24"/>
          <w:lang w:val="es-ES_tradnl" w:eastAsia="es-ES_tradnl"/>
        </w:rPr>
        <w:tab/>
      </w:r>
    </w:p>
    <w:p w14:paraId="359ABDE8" w14:textId="77777777" w:rsidR="00F76EF7" w:rsidRPr="00BC1800" w:rsidRDefault="00F76EF7" w:rsidP="00F76EF7">
      <w:pPr>
        <w:spacing w:after="0" w:line="276" w:lineRule="auto"/>
        <w:ind w:firstLine="709"/>
        <w:jc w:val="both"/>
        <w:rPr>
          <w:rFonts w:ascii="Verdana" w:eastAsia="Calibri" w:hAnsi="Verdana" w:cs="Arial"/>
          <w:lang w:val="es-ES" w:eastAsia="es-ES"/>
        </w:rPr>
      </w:pPr>
      <w:r w:rsidRPr="00BC180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C74425E" w14:textId="77777777" w:rsidR="00F76EF7" w:rsidRPr="00BC1800" w:rsidRDefault="00F76EF7" w:rsidP="00F76EF7">
      <w:pPr>
        <w:spacing w:after="0" w:line="276" w:lineRule="auto"/>
        <w:ind w:firstLine="709"/>
        <w:jc w:val="both"/>
        <w:rPr>
          <w:rFonts w:ascii="Verdana" w:eastAsia="Calibri" w:hAnsi="Verdana" w:cs="Arial"/>
          <w:lang w:val="es-ES" w:eastAsia="es-ES"/>
        </w:rPr>
      </w:pPr>
    </w:p>
    <w:p w14:paraId="6322BA1B" w14:textId="77777777" w:rsidR="00F76EF7" w:rsidRPr="00BC1800" w:rsidRDefault="00F76EF7" w:rsidP="00F76EF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C1800">
        <w:rPr>
          <w:rFonts w:ascii="Verdana" w:eastAsia="Century Gothic" w:hAnsi="Verdana" w:cs="Century Gothic"/>
          <w:b/>
          <w:bCs/>
        </w:rPr>
        <w:t>Problema planteado:</w:t>
      </w:r>
    </w:p>
    <w:p w14:paraId="464A9339" w14:textId="77777777" w:rsidR="00F76EF7" w:rsidRPr="00BC1800" w:rsidRDefault="00F76EF7" w:rsidP="00F76EF7">
      <w:pPr>
        <w:tabs>
          <w:tab w:val="left" w:pos="426"/>
        </w:tabs>
        <w:spacing w:after="0" w:line="276" w:lineRule="auto"/>
        <w:jc w:val="both"/>
        <w:rPr>
          <w:rFonts w:ascii="Verdana" w:eastAsia="Century Gothic" w:hAnsi="Verdana" w:cs="Century Gothic"/>
          <w:lang w:val="es-ES"/>
        </w:rPr>
      </w:pPr>
    </w:p>
    <w:p w14:paraId="35FEBD63" w14:textId="77777777" w:rsidR="00F76EF7" w:rsidRDefault="00F76EF7" w:rsidP="00F76EF7">
      <w:pPr>
        <w:spacing w:after="0" w:line="276" w:lineRule="auto"/>
        <w:jc w:val="both"/>
        <w:rPr>
          <w:rFonts w:ascii="Verdana" w:eastAsia="Century Gothic" w:hAnsi="Verdana" w:cs="Century Gothic"/>
        </w:rPr>
      </w:pPr>
      <w:r w:rsidRPr="00BC1800">
        <w:rPr>
          <w:rFonts w:ascii="Verdana" w:eastAsia="Century Gothic" w:hAnsi="Verdana" w:cs="Century Gothic"/>
        </w:rPr>
        <w:t xml:space="preserve">De acuerdo con el contenido de su solicitud, esta Agencia resolverá los siguientes problemas jurídicos: </w:t>
      </w:r>
    </w:p>
    <w:p w14:paraId="08B443FA" w14:textId="77777777" w:rsidR="00F76EF7" w:rsidRDefault="00F76EF7" w:rsidP="00F76EF7">
      <w:pPr>
        <w:spacing w:after="0" w:line="276" w:lineRule="auto"/>
        <w:jc w:val="both"/>
        <w:rPr>
          <w:rFonts w:ascii="Verdana" w:eastAsia="Century Gothic" w:hAnsi="Verdana" w:cs="Century Gothic"/>
        </w:rPr>
      </w:pPr>
    </w:p>
    <w:p w14:paraId="06A08C77" w14:textId="77777777" w:rsidR="00F76EF7" w:rsidRDefault="00F76EF7" w:rsidP="00F76EF7">
      <w:pPr>
        <w:spacing w:after="0" w:line="276" w:lineRule="auto"/>
        <w:jc w:val="both"/>
        <w:rPr>
          <w:rFonts w:ascii="Verdana" w:eastAsia="Century Gothic" w:hAnsi="Verdana" w:cs="Century Gothic"/>
        </w:rPr>
      </w:pPr>
      <w:r>
        <w:rPr>
          <w:rFonts w:ascii="Verdana" w:eastAsia="Century Gothic" w:hAnsi="Verdana" w:cs="Century Gothic"/>
        </w:rPr>
        <w:t>(i</w:t>
      </w:r>
      <w:proofErr w:type="gramStart"/>
      <w:r>
        <w:rPr>
          <w:rFonts w:ascii="Verdana" w:eastAsia="Century Gothic" w:hAnsi="Verdana" w:cs="Century Gothic"/>
        </w:rPr>
        <w:t>)</w:t>
      </w:r>
      <w:r w:rsidRPr="00582FAD">
        <w:rPr>
          <w:rFonts w:ascii="Verdana" w:eastAsia="Century Gothic" w:hAnsi="Verdana" w:cs="Century Gothic"/>
        </w:rPr>
        <w:t>¿</w:t>
      </w:r>
      <w:proofErr w:type="gramEnd"/>
      <w:r>
        <w:rPr>
          <w:rFonts w:ascii="Verdana" w:eastAsia="Century Gothic" w:hAnsi="Verdana" w:cs="Century Gothic"/>
        </w:rPr>
        <w:t>Es procedente</w:t>
      </w:r>
      <w:r w:rsidRPr="00582FAD">
        <w:rPr>
          <w:rFonts w:ascii="Verdana" w:eastAsia="Century Gothic" w:hAnsi="Verdana" w:cs="Century Gothic"/>
        </w:rPr>
        <w:t xml:space="preserve"> que la Contraloría Departamental del Guaviare</w:t>
      </w:r>
      <w:r>
        <w:rPr>
          <w:rFonts w:ascii="Verdana" w:eastAsia="Century Gothic" w:hAnsi="Verdana" w:cs="Century Gothic"/>
        </w:rPr>
        <w:t>,</w:t>
      </w:r>
      <w:r w:rsidRPr="00582FAD">
        <w:rPr>
          <w:rFonts w:ascii="Verdana" w:eastAsia="Century Gothic" w:hAnsi="Verdana" w:cs="Century Gothic"/>
        </w:rPr>
        <w:t xml:space="preserve"> contrate mediante la modalidad de prestación de servicios </w:t>
      </w:r>
      <w:r>
        <w:rPr>
          <w:rFonts w:ascii="Verdana" w:eastAsia="Century Gothic" w:hAnsi="Verdana" w:cs="Century Gothic"/>
        </w:rPr>
        <w:t xml:space="preserve">el </w:t>
      </w:r>
      <w:r w:rsidRPr="00582FAD">
        <w:rPr>
          <w:rFonts w:ascii="Verdana" w:eastAsia="Century Gothic" w:hAnsi="Verdana" w:cs="Century Gothic"/>
        </w:rPr>
        <w:t xml:space="preserve">apoyo jurídico para el área </w:t>
      </w:r>
      <w:r w:rsidRPr="00582FAD">
        <w:rPr>
          <w:rFonts w:ascii="Verdana" w:eastAsia="Century Gothic" w:hAnsi="Verdana" w:cs="Century Gothic"/>
        </w:rPr>
        <w:lastRenderedPageBreak/>
        <w:t xml:space="preserve">de Responsabilidad Fiscal y Jurisdicción Coactiva, con el fin de cumplir compromisos del Plan de Mejoramiento de la AGR y del informe de Control Interno, ante la sobrecarga laboral y falta de personal en dicha dependencia? </w:t>
      </w:r>
    </w:p>
    <w:p w14:paraId="58395F03" w14:textId="77777777" w:rsidR="00F76EF7" w:rsidRDefault="00F76EF7" w:rsidP="00F76EF7">
      <w:pPr>
        <w:spacing w:after="0" w:line="276" w:lineRule="auto"/>
        <w:jc w:val="both"/>
        <w:rPr>
          <w:rFonts w:ascii="Verdana" w:eastAsia="Century Gothic" w:hAnsi="Verdana" w:cs="Century Gothic"/>
        </w:rPr>
      </w:pPr>
    </w:p>
    <w:p w14:paraId="2BFECF42" w14:textId="77777777" w:rsidR="00F76EF7" w:rsidRDefault="00F76EF7" w:rsidP="00F76EF7">
      <w:pPr>
        <w:spacing w:after="0" w:line="276" w:lineRule="auto"/>
        <w:jc w:val="both"/>
        <w:rPr>
          <w:rFonts w:ascii="Verdana" w:eastAsia="Century Gothic" w:hAnsi="Verdana" w:cs="Century Gothic"/>
        </w:rPr>
      </w:pPr>
      <w:r>
        <w:rPr>
          <w:rFonts w:ascii="Verdana" w:eastAsia="Century Gothic" w:hAnsi="Verdana" w:cs="Century Gothic"/>
        </w:rPr>
        <w:t>(</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582FAD">
        <w:rPr>
          <w:rFonts w:ascii="Verdana" w:eastAsia="Century Gothic" w:hAnsi="Verdana" w:cs="Century Gothic"/>
        </w:rPr>
        <w:t>¿</w:t>
      </w:r>
      <w:r>
        <w:rPr>
          <w:rFonts w:ascii="Verdana" w:eastAsia="Century Gothic" w:hAnsi="Verdana" w:cs="Century Gothic"/>
        </w:rPr>
        <w:t>Q</w:t>
      </w:r>
      <w:r w:rsidRPr="00582FAD">
        <w:rPr>
          <w:rFonts w:ascii="Verdana" w:eastAsia="Century Gothic" w:hAnsi="Verdana" w:cs="Century Gothic"/>
        </w:rPr>
        <w:t xml:space="preserve">ué actividades podrían desarrollar los contratistas, considerando que la responsabilidad y firma de documentos corresponde exclusivamente al Contralor Auxiliar, sin que se configure una delegación de </w:t>
      </w:r>
      <w:proofErr w:type="gramStart"/>
      <w:r w:rsidRPr="00582FAD">
        <w:rPr>
          <w:rFonts w:ascii="Verdana" w:eastAsia="Century Gothic" w:hAnsi="Verdana" w:cs="Century Gothic"/>
        </w:rPr>
        <w:t>funciones?</w:t>
      </w:r>
      <w:r>
        <w:rPr>
          <w:rFonts w:ascii="Verdana" w:eastAsia="Century Gothic" w:hAnsi="Verdana" w:cs="Century Gothic"/>
        </w:rPr>
        <w:t>.</w:t>
      </w:r>
      <w:proofErr w:type="gramEnd"/>
    </w:p>
    <w:p w14:paraId="6961D04B" w14:textId="77777777" w:rsidR="00F76EF7" w:rsidRDefault="00F76EF7" w:rsidP="00F76EF7">
      <w:pPr>
        <w:spacing w:after="0" w:line="276" w:lineRule="auto"/>
        <w:jc w:val="both"/>
        <w:rPr>
          <w:rFonts w:ascii="Verdana" w:eastAsia="Century Gothic" w:hAnsi="Verdana" w:cs="Century Gothic"/>
        </w:rPr>
      </w:pPr>
    </w:p>
    <w:p w14:paraId="6880CBB9" w14:textId="77777777" w:rsidR="00F76EF7" w:rsidRDefault="00F76EF7" w:rsidP="00F76EF7">
      <w:pPr>
        <w:spacing w:after="0" w:line="276" w:lineRule="auto"/>
        <w:jc w:val="both"/>
        <w:rPr>
          <w:rFonts w:ascii="Verdana" w:eastAsia="Century Gothic" w:hAnsi="Verdana" w:cs="Century Gothic"/>
        </w:rPr>
      </w:pPr>
      <w:r>
        <w:rPr>
          <w:rFonts w:ascii="Verdana" w:eastAsia="Century Gothic" w:hAnsi="Verdana" w:cs="Century Gothic"/>
        </w:rPr>
        <w:t>(</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582FAD">
        <w:rPr>
          <w:rFonts w:ascii="Verdana" w:eastAsia="Century Gothic" w:hAnsi="Verdana" w:cs="Century Gothic"/>
        </w:rPr>
        <w:t>¿Qué otros elementos deben considerarse para delimitar adecuadamente esta contratación?</w:t>
      </w:r>
    </w:p>
    <w:p w14:paraId="3014696D" w14:textId="77777777" w:rsidR="00F76EF7" w:rsidRPr="00BC1800" w:rsidRDefault="00F76EF7" w:rsidP="00F76EF7">
      <w:pPr>
        <w:spacing w:after="0" w:line="276" w:lineRule="auto"/>
        <w:jc w:val="both"/>
        <w:rPr>
          <w:rFonts w:ascii="Verdana" w:eastAsia="Calibri" w:hAnsi="Verdana" w:cs="Arial"/>
          <w:lang w:val="es-ES"/>
        </w:rPr>
      </w:pPr>
    </w:p>
    <w:p w14:paraId="1A1D3FAF" w14:textId="77777777" w:rsidR="00F76EF7" w:rsidRPr="00BC1800" w:rsidRDefault="00F76EF7" w:rsidP="00F76EF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1800">
        <w:rPr>
          <w:rFonts w:ascii="Verdana" w:eastAsia="Century Gothic" w:hAnsi="Verdana" w:cs="Century Gothic"/>
          <w:b/>
          <w:bCs/>
        </w:rPr>
        <w:t>Respuesta:</w:t>
      </w:r>
    </w:p>
    <w:p w14:paraId="6F20E22E" w14:textId="77777777" w:rsidR="00F76EF7" w:rsidRPr="00BC1800" w:rsidRDefault="00F76EF7" w:rsidP="00F76EF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6EF7" w:rsidRPr="00BC1800" w14:paraId="7091AF9E" w14:textId="77777777" w:rsidTr="009C6DC3">
        <w:tc>
          <w:tcPr>
            <w:tcW w:w="8828" w:type="dxa"/>
            <w:shd w:val="clear" w:color="auto" w:fill="auto"/>
          </w:tcPr>
          <w:p w14:paraId="5B91F519" w14:textId="77777777" w:rsidR="00F76EF7" w:rsidRDefault="00F76EF7" w:rsidP="009C6DC3">
            <w:pPr>
              <w:spacing w:line="276" w:lineRule="auto"/>
              <w:jc w:val="both"/>
              <w:rPr>
                <w:rFonts w:ascii="Verdana" w:eastAsia="Calibri" w:hAnsi="Verdana" w:cs="Arial"/>
              </w:rPr>
            </w:pPr>
            <w:r>
              <w:rPr>
                <w:rFonts w:ascii="Verdana" w:eastAsia="Calibri" w:hAnsi="Verdana" w:cs="Arial"/>
              </w:rPr>
              <w:t>(i)</w:t>
            </w:r>
            <w:r w:rsidRPr="00EE3B51">
              <w:rPr>
                <w:rFonts w:ascii="Verdana" w:eastAsia="Calibri" w:hAnsi="Verdana" w:cs="Arial"/>
              </w:rPr>
              <w:t>De conformidad con lo dispuesto en el artículo 15 de la Ley 330 de 1996, las contralorías departamentales tienen expresamente prohibido contratar la prestación de servicios personales para el cumplimiento de funciones asignadas a los empleos de su planta de personal. Esta disposición ha sido interpretada de manera uniforme por la Sala de Consulta y Servicio Civil del Consejo de Estado qu</w:t>
            </w:r>
            <w:r>
              <w:rPr>
                <w:rFonts w:ascii="Verdana" w:eastAsia="Calibri" w:hAnsi="Verdana" w:cs="Arial"/>
              </w:rPr>
              <w:t>e</w:t>
            </w:r>
            <w:r w:rsidRPr="00EE3B51">
              <w:rPr>
                <w:rFonts w:ascii="Verdana" w:eastAsia="Calibri" w:hAnsi="Verdana" w:cs="Arial"/>
              </w:rPr>
              <w:t xml:space="preserve"> ha señalado que dicha prohibición constituye una excepción legal expresa al régimen general de contratación estatal contenido en el artículo 32 de la Ley 80 de 1993. En ese sentido, no es jurídicamente viable que la Contraloría Departamental del Guaviare acuda a la contratación por prestación de servicios para suplir necesidades funcionales que se correspondan con obligaciones propias de los cargos de planta</w:t>
            </w:r>
            <w:r>
              <w:rPr>
                <w:rFonts w:ascii="Verdana" w:eastAsia="Calibri" w:hAnsi="Verdana" w:cs="Arial"/>
              </w:rPr>
              <w:t>.</w:t>
            </w:r>
          </w:p>
          <w:p w14:paraId="097499A0" w14:textId="77777777" w:rsidR="00F76EF7" w:rsidRDefault="00F76EF7" w:rsidP="009C6DC3">
            <w:pPr>
              <w:spacing w:line="276" w:lineRule="auto"/>
              <w:jc w:val="both"/>
              <w:rPr>
                <w:rFonts w:ascii="Verdana" w:eastAsia="Calibri" w:hAnsi="Verdana" w:cs="Arial"/>
                <w:i/>
                <w:iCs/>
              </w:rPr>
            </w:pPr>
          </w:p>
          <w:p w14:paraId="11FEFB9C" w14:textId="7D6CFF99" w:rsidR="00F76EF7" w:rsidRDefault="00F76EF7" w:rsidP="009C6DC3">
            <w:pPr>
              <w:spacing w:line="276" w:lineRule="auto"/>
              <w:jc w:val="both"/>
              <w:rPr>
                <w:rFonts w:ascii="Verdana" w:eastAsia="Calibri" w:hAnsi="Verdana" w:cs="Arial"/>
              </w:rPr>
            </w:pPr>
            <w:r w:rsidRPr="00520618">
              <w:rPr>
                <w:rFonts w:ascii="Verdana" w:eastAsia="Calibri" w:hAnsi="Verdana" w:cs="Arial"/>
              </w:rPr>
              <w:t>(</w:t>
            </w:r>
            <w:proofErr w:type="spellStart"/>
            <w:r w:rsidRPr="00520618">
              <w:rPr>
                <w:rFonts w:ascii="Verdana" w:eastAsia="Calibri" w:hAnsi="Verdana" w:cs="Arial"/>
              </w:rPr>
              <w:t>ii</w:t>
            </w:r>
            <w:proofErr w:type="spellEnd"/>
            <w:r w:rsidRPr="00520618">
              <w:rPr>
                <w:rFonts w:ascii="Verdana" w:eastAsia="Calibri" w:hAnsi="Verdana" w:cs="Arial"/>
              </w:rPr>
              <w:t>)</w:t>
            </w:r>
            <w:r>
              <w:rPr>
                <w:rFonts w:ascii="Verdana" w:eastAsia="Calibri" w:hAnsi="Verdana" w:cs="Arial"/>
              </w:rPr>
              <w:t xml:space="preserve"> </w:t>
            </w:r>
            <w:r w:rsidR="006F0BAC" w:rsidRPr="006F0BAC">
              <w:rPr>
                <w:rFonts w:ascii="Verdana" w:eastAsia="Calibri" w:hAnsi="Verdana" w:cs="Arial"/>
              </w:rPr>
              <w:t>En línea con lo anterior, no resulta jurídicamente procedente celebrar contratos de prestación de servicios para ejecutar las actividades relacionadas con el apoyo jurídico al área de Responsabilidad Fiscal y Jurisdicción Coactiva, ni otras de naturaleza conexa, toda vez que tales labores corresponden a funciones asignadas a la planta de personal. Esta limitación aplica incluso si dichas actividades no conllevan firma o delegación formal de funciones, en atención a la prohibición contenida en el artículo 15 de la Ley 330 de 1996.</w:t>
            </w:r>
          </w:p>
          <w:p w14:paraId="69CDB12F" w14:textId="77777777" w:rsidR="006F0BAC" w:rsidRPr="00582FAD" w:rsidRDefault="006F0BAC" w:rsidP="009C6DC3">
            <w:pPr>
              <w:spacing w:line="276" w:lineRule="auto"/>
              <w:jc w:val="both"/>
              <w:rPr>
                <w:rFonts w:ascii="Verdana" w:hAnsi="Verdana"/>
              </w:rPr>
            </w:pPr>
          </w:p>
          <w:p w14:paraId="7E075C65" w14:textId="77777777" w:rsidR="00F76EF7" w:rsidRPr="00254535" w:rsidRDefault="00F76EF7" w:rsidP="009C6DC3">
            <w:pPr>
              <w:spacing w:line="276" w:lineRule="auto"/>
              <w:jc w:val="both"/>
              <w:rPr>
                <w:rFonts w:ascii="Verdana" w:hAnsi="Verdana"/>
              </w:rPr>
            </w:pPr>
            <w:r>
              <w:rPr>
                <w:rFonts w:ascii="Verdana" w:hAnsi="Verdana"/>
              </w:rPr>
              <w:t>(</w:t>
            </w:r>
            <w:proofErr w:type="spellStart"/>
            <w:r>
              <w:rPr>
                <w:rFonts w:ascii="Verdana" w:hAnsi="Verdana"/>
              </w:rPr>
              <w:t>iii</w:t>
            </w:r>
            <w:proofErr w:type="spellEnd"/>
            <w:r>
              <w:rPr>
                <w:rFonts w:ascii="Verdana" w:hAnsi="Verdana"/>
              </w:rPr>
              <w:t>)</w:t>
            </w:r>
            <w:r w:rsidRPr="00582FAD">
              <w:rPr>
                <w:rFonts w:ascii="Verdana" w:hAnsi="Verdana"/>
              </w:rPr>
              <w:t xml:space="preserve">En consecuencia, no existe un margen de actividades que pueda válidamente asignarse a contratistas sin incurrir en una violación a la prohibición legal, aun cuando se pretenda evitar la delegación de firma o </w:t>
            </w:r>
            <w:r w:rsidRPr="00582FAD">
              <w:rPr>
                <w:rFonts w:ascii="Verdana" w:hAnsi="Verdana"/>
              </w:rPr>
              <w:lastRenderedPageBreak/>
              <w:t>responsabilidad. La solución, en estos casos, debe orientarse a la adecuación de la planta de personal conforme al procedimiento legal.</w:t>
            </w:r>
          </w:p>
          <w:p w14:paraId="7B708EE4" w14:textId="77777777" w:rsidR="00F76EF7" w:rsidRPr="00BC1800" w:rsidRDefault="00F76EF7" w:rsidP="009C6DC3">
            <w:pPr>
              <w:spacing w:line="276" w:lineRule="auto"/>
              <w:jc w:val="both"/>
              <w:rPr>
                <w:rFonts w:ascii="Verdana" w:eastAsia="Calibri" w:hAnsi="Verdana" w:cs="Arial"/>
                <w:lang w:val="es-ES"/>
              </w:rPr>
            </w:pPr>
            <w:r>
              <w:rPr>
                <w:rFonts w:ascii="Verdana" w:eastAsia="Calibri" w:hAnsi="Verdana" w:cs="Arial"/>
                <w:lang w:val="es-ES"/>
              </w:rPr>
              <w:t xml:space="preserve"> </w:t>
            </w:r>
          </w:p>
          <w:p w14:paraId="2826B8F1" w14:textId="77777777" w:rsidR="00F76EF7" w:rsidRPr="00BC1800" w:rsidRDefault="00F76EF7" w:rsidP="009C6DC3">
            <w:pPr>
              <w:spacing w:line="276" w:lineRule="auto"/>
              <w:jc w:val="both"/>
              <w:rPr>
                <w:rFonts w:ascii="Verdana" w:eastAsia="Calibri" w:hAnsi="Verdana" w:cs="Arial"/>
                <w:lang w:val="es-ES"/>
              </w:rPr>
            </w:pPr>
            <w:r w:rsidRPr="00BC1800">
              <w:rPr>
                <w:rFonts w:ascii="Verdana" w:eastAsia="Calibri" w:hAnsi="Verdana" w:cs="Arial"/>
                <w:lang w:val="es-ES"/>
              </w:rPr>
              <w:t xml:space="preserve">Finalmente, se precisa que la Agencia Nacional de Contratación Pública – Colombia Compra Eficiente carece de competencia para pronunciarse sobre casos particulares o concretos, así como para formular ejemplos específicos, conforme a los límites establecidos en el Decreto Ley 4170 de 2011. </w:t>
            </w:r>
          </w:p>
        </w:tc>
      </w:tr>
    </w:tbl>
    <w:p w14:paraId="200B37D6" w14:textId="77777777" w:rsidR="00F76EF7" w:rsidRPr="00BC1800" w:rsidRDefault="00F76EF7" w:rsidP="00F76EF7">
      <w:pPr>
        <w:tabs>
          <w:tab w:val="left" w:pos="142"/>
          <w:tab w:val="left" w:pos="284"/>
        </w:tabs>
        <w:spacing w:after="0" w:line="276" w:lineRule="auto"/>
        <w:jc w:val="both"/>
        <w:rPr>
          <w:rFonts w:ascii="Verdana" w:eastAsia="Century Gothic" w:hAnsi="Verdana" w:cs="Century Gothic"/>
          <w:b/>
          <w:bCs/>
          <w:lang w:val="es-ES"/>
        </w:rPr>
      </w:pPr>
    </w:p>
    <w:p w14:paraId="6969D4E5" w14:textId="77777777" w:rsidR="00F76EF7" w:rsidRPr="00BC1800" w:rsidRDefault="00F76EF7" w:rsidP="00F76EF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1800">
        <w:rPr>
          <w:rFonts w:ascii="Verdana" w:eastAsia="Century Gothic" w:hAnsi="Verdana" w:cs="Century Gothic"/>
          <w:b/>
          <w:bCs/>
        </w:rPr>
        <w:t>Razones de la respuesta:</w:t>
      </w:r>
    </w:p>
    <w:p w14:paraId="1C195253" w14:textId="77777777" w:rsidR="00F76EF7" w:rsidRPr="00BC1800" w:rsidRDefault="00F76EF7" w:rsidP="00F76EF7">
      <w:pPr>
        <w:spacing w:after="0" w:line="276" w:lineRule="auto"/>
        <w:jc w:val="both"/>
        <w:rPr>
          <w:rFonts w:ascii="Verdana" w:eastAsia="Calibri" w:hAnsi="Verdana" w:cs="Arial"/>
          <w:lang w:val="es-ES"/>
        </w:rPr>
      </w:pPr>
    </w:p>
    <w:p w14:paraId="1277FAAB" w14:textId="77777777" w:rsidR="00F76EF7" w:rsidRPr="00BC1800" w:rsidRDefault="00F76EF7" w:rsidP="00F76EF7">
      <w:pPr>
        <w:spacing w:after="0" w:line="276" w:lineRule="auto"/>
        <w:jc w:val="both"/>
        <w:rPr>
          <w:rFonts w:ascii="Verdana" w:eastAsia="Calibri" w:hAnsi="Verdana" w:cs="Arial"/>
          <w:lang w:val="es-ES"/>
        </w:rPr>
      </w:pPr>
      <w:r w:rsidRPr="00BC1800">
        <w:rPr>
          <w:rFonts w:ascii="Verdana" w:eastAsia="Calibri" w:hAnsi="Verdana" w:cs="Arial"/>
          <w:lang w:val="es-ES"/>
        </w:rPr>
        <w:t xml:space="preserve">Lo anterior se sustenta en las siguientes consideraciones: </w:t>
      </w:r>
    </w:p>
    <w:p w14:paraId="1FD834A9" w14:textId="77777777" w:rsidR="00F76EF7" w:rsidRDefault="00F76EF7" w:rsidP="00F76EF7">
      <w:pPr>
        <w:spacing w:after="0" w:line="276" w:lineRule="auto"/>
        <w:jc w:val="both"/>
        <w:rPr>
          <w:rFonts w:ascii="Verdana" w:eastAsia="Calibri" w:hAnsi="Verdana" w:cs="Arial"/>
          <w:lang w:val="es-ES"/>
        </w:rPr>
      </w:pPr>
    </w:p>
    <w:p w14:paraId="4468F642" w14:textId="77777777" w:rsidR="00F76EF7" w:rsidRPr="00464252"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t>Inicialmente, frente a las consultas elevadas y atendiendo a que se trata de manera específica de una situación jurídica particular que involucra a una Contraloría Departamental, es preciso señalar que, para este caso concreto, resulta aplicable un régimen normativo especial previsto en la Ley 330 de 1996, la cual establece los principios y reglas para la organización y funcionamiento de las contralorías departamentales, así como disposiciones especiales sobre el régimen de personal y la gestión contractual de estas entidades.</w:t>
      </w:r>
    </w:p>
    <w:p w14:paraId="09BC2B08" w14:textId="77777777" w:rsidR="00F76EF7" w:rsidRPr="00464252" w:rsidRDefault="00F76EF7" w:rsidP="00F76EF7">
      <w:pPr>
        <w:spacing w:after="0" w:line="276" w:lineRule="auto"/>
        <w:ind w:right="-93" w:firstLine="708"/>
        <w:jc w:val="both"/>
        <w:rPr>
          <w:rFonts w:ascii="Verdana" w:eastAsia="Calibri" w:hAnsi="Verdana" w:cs="Arial"/>
        </w:rPr>
      </w:pPr>
    </w:p>
    <w:p w14:paraId="12CB7859" w14:textId="77777777" w:rsidR="00F76EF7" w:rsidRPr="00464252"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t>En particular, el artículo 15 de la Ley 330 establece una prohibición específica que limita el uso de contratos de prestación de servicios en las contralorías departamentales. Dicha norma señala expresamente que:</w:t>
      </w:r>
    </w:p>
    <w:p w14:paraId="22D4A8C7" w14:textId="77777777" w:rsidR="00F76EF7" w:rsidRPr="00464252" w:rsidRDefault="00F76EF7" w:rsidP="00F76EF7">
      <w:pPr>
        <w:spacing w:after="0" w:line="276" w:lineRule="auto"/>
        <w:ind w:right="-93" w:firstLine="708"/>
        <w:jc w:val="both"/>
        <w:rPr>
          <w:rFonts w:ascii="Verdana" w:eastAsia="Calibri" w:hAnsi="Verdana" w:cs="Arial"/>
        </w:rPr>
      </w:pPr>
    </w:p>
    <w:p w14:paraId="535BA7D8" w14:textId="77777777" w:rsidR="00F76EF7" w:rsidRPr="00464252" w:rsidRDefault="00F76EF7" w:rsidP="00F76EF7">
      <w:pPr>
        <w:spacing w:after="0" w:line="276" w:lineRule="auto"/>
        <w:ind w:left="851" w:right="616"/>
        <w:jc w:val="both"/>
        <w:rPr>
          <w:rFonts w:ascii="Verdana" w:eastAsia="Calibri" w:hAnsi="Verdana" w:cs="Arial"/>
          <w:i/>
          <w:iCs/>
          <w:sz w:val="20"/>
          <w:szCs w:val="20"/>
        </w:rPr>
      </w:pPr>
      <w:r w:rsidRPr="00464252">
        <w:rPr>
          <w:rFonts w:ascii="Verdana" w:eastAsia="Calibri" w:hAnsi="Verdana" w:cs="Arial"/>
          <w:i/>
          <w:iCs/>
          <w:sz w:val="20"/>
          <w:szCs w:val="20"/>
        </w:rPr>
        <w:t>“Las Contralorías Departamentales no podrán contratar la prestación de servicios personales para el cumplimiento de funciones que estén a cargo de los empleados que hagan parte de la planta de personal. Igualmente, no podrán destinar recurso alguno para atender actividades que no tengan relación directa con el control fiscal. La violación de lo dispuesto en este artículo será causal de mala conducta.”</w:t>
      </w:r>
    </w:p>
    <w:p w14:paraId="7E42E33B" w14:textId="77777777" w:rsidR="00F76EF7" w:rsidRPr="00464252" w:rsidRDefault="00F76EF7" w:rsidP="00F76EF7">
      <w:pPr>
        <w:spacing w:after="0" w:line="276" w:lineRule="auto"/>
        <w:ind w:left="851" w:right="616"/>
        <w:jc w:val="both"/>
        <w:rPr>
          <w:rFonts w:ascii="Verdana" w:eastAsia="Calibri" w:hAnsi="Verdana" w:cs="Arial"/>
          <w:sz w:val="20"/>
          <w:szCs w:val="20"/>
        </w:rPr>
      </w:pPr>
    </w:p>
    <w:p w14:paraId="67143F80" w14:textId="77777777" w:rsidR="00F76EF7"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t>Esta disposición, de carácter imperativo, restringe la facultad de las contralorías territoriales para utilizar la contratación por prestación de servicios personales como mecanismo supletorio o estructural de sus necesidades funcionales. Se trata de una limitación que tiene fundamento constitucional en los principios de legalidad del gasto público (art. 345 C.P.), especialización de funciones y carrera administrativa (arts. 125 y 130 C.P</w:t>
      </w:r>
      <w:r>
        <w:rPr>
          <w:rFonts w:ascii="Verdana" w:eastAsia="Calibri" w:hAnsi="Verdana" w:cs="Arial"/>
        </w:rPr>
        <w:t xml:space="preserve">). </w:t>
      </w:r>
    </w:p>
    <w:p w14:paraId="0ED4EF17" w14:textId="77777777" w:rsidR="00F76EF7" w:rsidRPr="00464252" w:rsidRDefault="00F76EF7" w:rsidP="00F76EF7">
      <w:pPr>
        <w:spacing w:after="0" w:line="276" w:lineRule="auto"/>
        <w:ind w:right="-93" w:firstLine="708"/>
        <w:jc w:val="both"/>
        <w:rPr>
          <w:rFonts w:ascii="Verdana" w:eastAsia="Calibri" w:hAnsi="Verdana" w:cs="Arial"/>
        </w:rPr>
      </w:pPr>
    </w:p>
    <w:p w14:paraId="19E4F3D0" w14:textId="77777777" w:rsidR="00F76EF7"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lastRenderedPageBreak/>
        <w:t>Esta prohibición no es meramente formal, sino que responde a la finalidad de preservar la naturaleza institucional del empleo público en las contralorías, asegurando que las funciones propias del control fiscal</w:t>
      </w:r>
      <w:r>
        <w:rPr>
          <w:rFonts w:ascii="Verdana" w:eastAsia="Calibri" w:hAnsi="Verdana" w:cs="Arial"/>
        </w:rPr>
        <w:t xml:space="preserve"> </w:t>
      </w:r>
      <w:r w:rsidRPr="00464252">
        <w:rPr>
          <w:rFonts w:ascii="Verdana" w:eastAsia="Calibri" w:hAnsi="Verdana" w:cs="Arial"/>
        </w:rPr>
        <w:t xml:space="preserve">por su carácter permanente, técnico y especializado sean desempeñadas por personal vinculado conforme al sistema de carrera administrativa especial previsto para estas entidades. </w:t>
      </w:r>
    </w:p>
    <w:p w14:paraId="7F6A3DB6" w14:textId="77777777" w:rsidR="00F76EF7" w:rsidRPr="00464252" w:rsidRDefault="00F76EF7" w:rsidP="00F76EF7">
      <w:pPr>
        <w:spacing w:after="0" w:line="276" w:lineRule="auto"/>
        <w:ind w:right="-93" w:firstLine="708"/>
        <w:jc w:val="both"/>
        <w:rPr>
          <w:rFonts w:ascii="Verdana" w:eastAsia="Calibri" w:hAnsi="Verdana" w:cs="Arial"/>
        </w:rPr>
      </w:pPr>
    </w:p>
    <w:p w14:paraId="29CE7670" w14:textId="77777777" w:rsidR="00F76EF7"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t>Sobre este aspecto, la Sala de Consulta y Servicio Civil del Consejo de Estado, en el Concepto 2201 de 2014 (Rad. 11001-03-06-000-2013-00029-00, del 3 de julio de 2014), al interpretar de forma sistemática el artículo 15 de la Ley 330 de 1996, fue enfática en reiterar la improcedencia jurídica de este tipo de contratación para suplir funciones permanentes de las plantas de personal en las contralorías. En ese concepto se señaló que:</w:t>
      </w:r>
    </w:p>
    <w:p w14:paraId="70A28252" w14:textId="77777777" w:rsidR="00F76EF7" w:rsidRPr="00464252" w:rsidRDefault="00F76EF7" w:rsidP="00F76EF7">
      <w:pPr>
        <w:spacing w:after="0" w:line="276" w:lineRule="auto"/>
        <w:ind w:right="-93" w:firstLine="708"/>
        <w:jc w:val="both"/>
        <w:rPr>
          <w:rFonts w:ascii="Verdana" w:eastAsia="Calibri" w:hAnsi="Verdana" w:cs="Arial"/>
        </w:rPr>
      </w:pPr>
    </w:p>
    <w:p w14:paraId="256E899D" w14:textId="77777777" w:rsidR="00F76EF7" w:rsidRDefault="00F76EF7" w:rsidP="00F76EF7">
      <w:pPr>
        <w:spacing w:after="0" w:line="276" w:lineRule="auto"/>
        <w:ind w:left="851" w:right="616"/>
        <w:jc w:val="both"/>
        <w:rPr>
          <w:rFonts w:ascii="Verdana" w:eastAsia="Calibri" w:hAnsi="Verdana" w:cs="Arial"/>
          <w:i/>
          <w:iCs/>
          <w:sz w:val="20"/>
          <w:szCs w:val="20"/>
        </w:rPr>
      </w:pPr>
      <w:r w:rsidRPr="00464252">
        <w:rPr>
          <w:rFonts w:ascii="Verdana" w:eastAsia="Calibri" w:hAnsi="Verdana" w:cs="Arial"/>
          <w:i/>
          <w:iCs/>
          <w:sz w:val="20"/>
          <w:szCs w:val="20"/>
        </w:rPr>
        <w:t xml:space="preserve">“No es jurídicamente viable que las contralorías territoriales celebren contratos de prestación de servicios con personas naturales para que estas desempeñen funciones propias de los cargos previstos en su planta de personal. (…) Lo anterior, </w:t>
      </w:r>
      <w:proofErr w:type="gramStart"/>
      <w:r w:rsidRPr="00464252">
        <w:rPr>
          <w:rFonts w:ascii="Verdana" w:eastAsia="Calibri" w:hAnsi="Verdana" w:cs="Arial"/>
          <w:i/>
          <w:iCs/>
          <w:sz w:val="20"/>
          <w:szCs w:val="20"/>
        </w:rPr>
        <w:t>en razón de</w:t>
      </w:r>
      <w:proofErr w:type="gramEnd"/>
      <w:r w:rsidRPr="00464252">
        <w:rPr>
          <w:rFonts w:ascii="Verdana" w:eastAsia="Calibri" w:hAnsi="Verdana" w:cs="Arial"/>
          <w:i/>
          <w:iCs/>
          <w:sz w:val="20"/>
          <w:szCs w:val="20"/>
        </w:rPr>
        <w:t xml:space="preserve"> que este tipo de contratos no pueden ser utilizados como mecanismo para suplir necesidades permanentes del servicio, lo cual desconoce los principios que rigen el empleo público y la carrera administrativa especial de estas entidades.”</w:t>
      </w:r>
    </w:p>
    <w:p w14:paraId="1CA20F66" w14:textId="77777777" w:rsidR="00F76EF7" w:rsidRPr="00464252" w:rsidRDefault="00F76EF7" w:rsidP="00F76EF7">
      <w:pPr>
        <w:spacing w:after="0" w:line="276" w:lineRule="auto"/>
        <w:ind w:left="851" w:right="616"/>
        <w:jc w:val="both"/>
        <w:rPr>
          <w:rFonts w:ascii="Verdana" w:eastAsia="Calibri" w:hAnsi="Verdana" w:cs="Arial"/>
          <w:sz w:val="20"/>
          <w:szCs w:val="20"/>
        </w:rPr>
      </w:pPr>
    </w:p>
    <w:p w14:paraId="10357AD9" w14:textId="77777777" w:rsidR="00F76EF7" w:rsidRPr="00464252" w:rsidRDefault="00F76EF7" w:rsidP="00F76EF7">
      <w:pPr>
        <w:spacing w:after="0" w:line="276" w:lineRule="auto"/>
        <w:ind w:right="-93" w:firstLine="708"/>
        <w:jc w:val="both"/>
        <w:rPr>
          <w:rFonts w:ascii="Verdana" w:eastAsia="Calibri" w:hAnsi="Verdana" w:cs="Arial"/>
        </w:rPr>
      </w:pPr>
    </w:p>
    <w:p w14:paraId="6EB6928C" w14:textId="77777777" w:rsidR="00F76EF7" w:rsidRDefault="00F76EF7" w:rsidP="00F76EF7">
      <w:pPr>
        <w:spacing w:after="0" w:line="276" w:lineRule="auto"/>
        <w:ind w:right="-93" w:firstLine="708"/>
        <w:jc w:val="both"/>
        <w:rPr>
          <w:rFonts w:ascii="Verdana" w:eastAsia="Calibri" w:hAnsi="Verdana" w:cs="Arial"/>
        </w:rPr>
      </w:pPr>
      <w:r w:rsidRPr="00464252">
        <w:rPr>
          <w:rFonts w:ascii="Verdana" w:eastAsia="Calibri" w:hAnsi="Verdana" w:cs="Arial"/>
        </w:rPr>
        <w:t xml:space="preserve">Por </w:t>
      </w:r>
      <w:r>
        <w:rPr>
          <w:rFonts w:ascii="Verdana" w:eastAsia="Calibri" w:hAnsi="Verdana" w:cs="Arial"/>
        </w:rPr>
        <w:t>lo referido</w:t>
      </w:r>
      <w:r w:rsidRPr="00464252">
        <w:rPr>
          <w:rFonts w:ascii="Verdana" w:eastAsia="Calibri" w:hAnsi="Verdana" w:cs="Arial"/>
        </w:rPr>
        <w:t>, si una contraloría departamental identifica una necesidad institucional permanente —como lo sería el apoyo jurídico continuo y estructural en el área de Responsabilidad Fiscal y Jurisdicción Coactiva— cuya atención no puede ser asumida por el personal de planta existente, la vía jurídicamente procedente no es la contratación por prestación de servicios, sino la revisión de su estructura orgánica y la promoción de los ajustes requeridos en la planta de personal, conforme a los trámites establecidos en las normas presupuestales, de función pública y carrera administrativa vigentes.</w:t>
      </w:r>
    </w:p>
    <w:p w14:paraId="6D20FC25" w14:textId="77777777" w:rsidR="00F76EF7" w:rsidRPr="00464252" w:rsidRDefault="00F76EF7" w:rsidP="00F76EF7">
      <w:pPr>
        <w:spacing w:after="0" w:line="276" w:lineRule="auto"/>
        <w:ind w:right="-93"/>
        <w:jc w:val="both"/>
        <w:rPr>
          <w:rFonts w:ascii="Verdana" w:eastAsia="Calibri" w:hAnsi="Verdana" w:cs="Arial"/>
        </w:rPr>
      </w:pPr>
    </w:p>
    <w:p w14:paraId="2575F7E0" w14:textId="77777777" w:rsidR="00F76EF7" w:rsidRDefault="00F76EF7" w:rsidP="00F76EF7">
      <w:pPr>
        <w:spacing w:after="0" w:line="276" w:lineRule="auto"/>
        <w:ind w:right="-93" w:firstLine="708"/>
        <w:jc w:val="both"/>
        <w:rPr>
          <w:rFonts w:ascii="Verdana" w:eastAsia="Calibri" w:hAnsi="Verdana" w:cs="Arial"/>
        </w:rPr>
      </w:pPr>
      <w:r w:rsidRPr="00556EE7">
        <w:rPr>
          <w:rFonts w:ascii="Verdana" w:eastAsia="Calibri" w:hAnsi="Verdana" w:cs="Arial"/>
        </w:rPr>
        <w:t xml:space="preserve">Ahora bien, en lo que respecta a la definición del contrato de prestación de servicios, </w:t>
      </w:r>
      <w:r w:rsidRPr="00EA7EBE">
        <w:rPr>
          <w:rFonts w:ascii="Verdana" w:eastAsia="Calibri" w:hAnsi="Verdana" w:cs="Arial"/>
          <w:u w:val="single"/>
        </w:rPr>
        <w:t>y para las entidades que no se encuentran cobijadas por la excepción legal prevista en el artículo 15 de la Ley 330 de 1996</w:t>
      </w:r>
      <w:r w:rsidRPr="00556EE7">
        <w:rPr>
          <w:rFonts w:ascii="Verdana" w:eastAsia="Calibri" w:hAnsi="Verdana" w:cs="Arial"/>
        </w:rPr>
        <w:t xml:space="preserve">, es importante precisar que este corresponde a uno de los tipos contractuales contemplados en el Estatuto General de Contratación de la Administración Pública, y puede ser celebrado por las entidades estatales conforme a sus necesidades. Se trata de un contrato </w:t>
      </w:r>
      <w:r w:rsidRPr="00556EE7">
        <w:rPr>
          <w:rFonts w:ascii="Verdana" w:eastAsia="Calibri" w:hAnsi="Verdana" w:cs="Arial"/>
        </w:rPr>
        <w:lastRenderedPageBreak/>
        <w:t>típico, en tanto se encuentra expresamente definido en la ley. En efecto, el numeral 3º del artículo 32 de la Ley 80 de 1993 dispone:</w:t>
      </w:r>
    </w:p>
    <w:p w14:paraId="39B31D86" w14:textId="77777777" w:rsidR="00F76EF7" w:rsidRDefault="00F76EF7" w:rsidP="00F76EF7">
      <w:pPr>
        <w:spacing w:after="0" w:line="240" w:lineRule="auto"/>
        <w:ind w:left="709" w:right="709"/>
        <w:jc w:val="both"/>
        <w:rPr>
          <w:rFonts w:ascii="Verdana" w:eastAsia="Calibri" w:hAnsi="Verdana" w:cs="Arial"/>
        </w:rPr>
      </w:pPr>
    </w:p>
    <w:p w14:paraId="27806CA8"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4D52DBF" w14:textId="77777777" w:rsidR="00F76EF7" w:rsidRPr="00BC1800" w:rsidRDefault="00F76EF7" w:rsidP="00F76EF7">
      <w:pPr>
        <w:spacing w:after="0" w:line="240" w:lineRule="auto"/>
        <w:ind w:left="709" w:right="709"/>
        <w:jc w:val="both"/>
        <w:rPr>
          <w:rFonts w:ascii="Verdana" w:eastAsia="Calibri" w:hAnsi="Verdana" w:cs="Arial"/>
          <w:sz w:val="20"/>
          <w:szCs w:val="20"/>
        </w:rPr>
      </w:pPr>
    </w:p>
    <w:p w14:paraId="01489B28"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En ningún caso estos contratos generan relación laboral ni prestaciones sociales y se celebrarán por el término estrictamente indispensable.</w:t>
      </w:r>
    </w:p>
    <w:p w14:paraId="59750BCC" w14:textId="77777777" w:rsidR="00F76EF7" w:rsidRPr="00BC1800" w:rsidRDefault="00F76EF7" w:rsidP="00F76EF7">
      <w:pPr>
        <w:tabs>
          <w:tab w:val="left" w:pos="284"/>
        </w:tabs>
        <w:spacing w:after="0" w:line="276" w:lineRule="auto"/>
        <w:contextualSpacing/>
        <w:jc w:val="both"/>
        <w:rPr>
          <w:rFonts w:ascii="Verdana" w:eastAsia="Calibri" w:hAnsi="Verdana" w:cs="Arial"/>
          <w:b/>
        </w:rPr>
      </w:pPr>
    </w:p>
    <w:p w14:paraId="7A5268C6" w14:textId="77777777" w:rsidR="00F76EF7" w:rsidRPr="00BC1800" w:rsidRDefault="00F76EF7" w:rsidP="00F76EF7">
      <w:pPr>
        <w:spacing w:after="0" w:line="276" w:lineRule="auto"/>
        <w:ind w:firstLine="709"/>
        <w:jc w:val="both"/>
        <w:rPr>
          <w:rFonts w:ascii="Verdana" w:eastAsia="Calibri" w:hAnsi="Verdana" w:cs="Arial"/>
        </w:rPr>
      </w:pPr>
      <w:r w:rsidRPr="00BC1800">
        <w:rPr>
          <w:rFonts w:ascii="Verdana" w:eastAsia="Calibri" w:hAnsi="Verdana" w:cs="Arial"/>
        </w:rPr>
        <w:t>De otro lado, la celebración de dicho contrato debe efectuarse mediante la modalidad de la contratación directa. Así lo prevé el artículo 2, numeral 4º, literal h) de la Ley 1150 de 2007, que dispone:</w:t>
      </w:r>
    </w:p>
    <w:p w14:paraId="468A6D2A" w14:textId="77777777" w:rsidR="00F76EF7" w:rsidRPr="00BC1800" w:rsidRDefault="00F76EF7" w:rsidP="00F76EF7">
      <w:pPr>
        <w:spacing w:after="0" w:line="276" w:lineRule="auto"/>
        <w:ind w:firstLine="709"/>
        <w:jc w:val="both"/>
        <w:rPr>
          <w:rFonts w:ascii="Verdana" w:eastAsia="Calibri" w:hAnsi="Verdana" w:cs="Arial"/>
        </w:rPr>
      </w:pPr>
    </w:p>
    <w:p w14:paraId="478ABA33"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w:t>
      </w:r>
    </w:p>
    <w:p w14:paraId="30161D7B"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 xml:space="preserve">Contratación directa. La modalidad de selección de contratación </w:t>
      </w:r>
      <w:proofErr w:type="gramStart"/>
      <w:r w:rsidRPr="00BC1800">
        <w:rPr>
          <w:rFonts w:ascii="Verdana" w:eastAsia="Calibri" w:hAnsi="Verdana" w:cs="Arial"/>
          <w:sz w:val="20"/>
          <w:szCs w:val="20"/>
        </w:rPr>
        <w:t>directa,</w:t>
      </w:r>
      <w:proofErr w:type="gramEnd"/>
      <w:r w:rsidRPr="00BC1800">
        <w:rPr>
          <w:rFonts w:ascii="Verdana" w:eastAsia="Calibri" w:hAnsi="Verdana" w:cs="Arial"/>
          <w:sz w:val="20"/>
          <w:szCs w:val="20"/>
        </w:rPr>
        <w:t xml:space="preserve"> solamente procederá en los siguientes casos:</w:t>
      </w:r>
    </w:p>
    <w:p w14:paraId="5B75C130" w14:textId="77777777" w:rsidR="00F76EF7" w:rsidRPr="00BC1800" w:rsidRDefault="00F76EF7" w:rsidP="00F76EF7">
      <w:pPr>
        <w:spacing w:after="0" w:line="240" w:lineRule="auto"/>
        <w:ind w:left="709" w:right="709"/>
        <w:jc w:val="both"/>
        <w:rPr>
          <w:rFonts w:ascii="Verdana" w:eastAsia="Calibri" w:hAnsi="Verdana" w:cs="Arial"/>
          <w:sz w:val="20"/>
          <w:szCs w:val="20"/>
        </w:rPr>
      </w:pPr>
    </w:p>
    <w:p w14:paraId="4F812F8B"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w:t>
      </w:r>
    </w:p>
    <w:p w14:paraId="2A09D0EC"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55A0B703" w14:textId="77777777" w:rsidR="00F76EF7" w:rsidRPr="00BC1800" w:rsidRDefault="00F76EF7" w:rsidP="00F76EF7">
      <w:pPr>
        <w:spacing w:after="0" w:line="240" w:lineRule="auto"/>
        <w:ind w:right="709"/>
        <w:jc w:val="both"/>
        <w:rPr>
          <w:rFonts w:ascii="Verdana" w:eastAsia="Calibri" w:hAnsi="Verdana" w:cs="Arial"/>
          <w:sz w:val="20"/>
          <w:szCs w:val="20"/>
        </w:rPr>
      </w:pPr>
    </w:p>
    <w:p w14:paraId="1199E0A9" w14:textId="77777777" w:rsidR="00F76EF7" w:rsidRPr="00BC1800" w:rsidRDefault="00F76EF7" w:rsidP="00F76EF7">
      <w:pPr>
        <w:spacing w:after="0" w:line="276" w:lineRule="auto"/>
        <w:ind w:firstLine="709"/>
        <w:jc w:val="both"/>
        <w:rPr>
          <w:rFonts w:ascii="Verdana" w:eastAsia="Calibri" w:hAnsi="Verdana" w:cs="Arial"/>
        </w:rPr>
      </w:pPr>
      <w:r w:rsidRPr="00BC1800">
        <w:rPr>
          <w:rFonts w:ascii="Verdana" w:eastAsia="Calibri"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574C5C74" w14:textId="77777777" w:rsidR="00F76EF7" w:rsidRPr="00BC1800" w:rsidRDefault="00F76EF7" w:rsidP="00F76EF7">
      <w:pPr>
        <w:spacing w:before="120" w:after="120" w:line="276" w:lineRule="auto"/>
        <w:ind w:firstLine="709"/>
        <w:jc w:val="both"/>
        <w:rPr>
          <w:rFonts w:ascii="Verdana" w:eastAsia="Calibri" w:hAnsi="Verdana" w:cs="Arial"/>
        </w:rPr>
      </w:pPr>
      <w:r w:rsidRPr="00BC1800">
        <w:rPr>
          <w:rFonts w:ascii="Verdana" w:eastAsia="Calibri" w:hAnsi="Verdana" w:cs="Arial"/>
        </w:rPr>
        <w:t>a) Solo puede celebrarse para realizar “actividades relacionadas con la administración o funcionamiento de la entidad”, es decir, que hagan parte de su giro ordinario o quehacer cotidiano.</w:t>
      </w:r>
    </w:p>
    <w:p w14:paraId="2783BCA9" w14:textId="77777777" w:rsidR="00F76EF7" w:rsidRPr="00BC1800" w:rsidRDefault="00F76EF7" w:rsidP="00F76EF7">
      <w:pPr>
        <w:spacing w:before="120" w:after="120" w:line="276" w:lineRule="auto"/>
        <w:ind w:firstLine="709"/>
        <w:jc w:val="both"/>
        <w:rPr>
          <w:rFonts w:ascii="Verdana" w:eastAsia="Calibri" w:hAnsi="Verdana" w:cs="Arial"/>
        </w:rPr>
      </w:pPr>
      <w:r w:rsidRPr="00BC1800">
        <w:rPr>
          <w:rFonts w:ascii="Verdana" w:eastAsia="Calibri" w:hAnsi="Verdana" w:cs="Arial"/>
        </w:rPr>
        <w:t xml:space="preserve">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w:t>
      </w:r>
      <w:r w:rsidRPr="00BC1800">
        <w:rPr>
          <w:rFonts w:ascii="Verdana" w:eastAsia="Calibri" w:hAnsi="Verdana" w:cs="Arial"/>
        </w:rPr>
        <w:lastRenderedPageBreak/>
        <w:t>haya personal de planta, pero no tenga la experticia o conocimiento especializado en la materia, y que, por esta razón, sea necesario contratar los servicios de una persona natural que posea conocimiento y experiencia en el tema.</w:t>
      </w:r>
    </w:p>
    <w:p w14:paraId="03E9762A" w14:textId="77777777" w:rsidR="00F76EF7" w:rsidRPr="00BC1800" w:rsidRDefault="00F76EF7" w:rsidP="00F76EF7">
      <w:pPr>
        <w:spacing w:before="120" w:after="120" w:line="276" w:lineRule="auto"/>
        <w:ind w:firstLine="709"/>
        <w:jc w:val="both"/>
        <w:rPr>
          <w:rFonts w:ascii="Verdana" w:eastAsia="Calibri" w:hAnsi="Verdana" w:cs="Arial"/>
        </w:rPr>
      </w:pPr>
      <w:r w:rsidRPr="00BC1800">
        <w:rPr>
          <w:rFonts w:ascii="Verdana" w:eastAsia="Calibri" w:hAnsi="Verdana" w:cs="Arial"/>
        </w:rPr>
        <w:t>c) Si bien se celebran para obtener la prestación personal de un servicio, se diferencian del contrato de trabajo</w:t>
      </w:r>
      <w:r w:rsidRPr="00BC1800">
        <w:rPr>
          <w:rFonts w:ascii="Verdana" w:eastAsia="Calibri" w:hAnsi="Verdana" w:cs="Arial"/>
          <w:vertAlign w:val="superscript"/>
        </w:rPr>
        <w:footnoteReference w:id="2"/>
      </w:r>
      <w:r w:rsidRPr="00BC1800">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BC1800">
        <w:rPr>
          <w:rFonts w:ascii="Verdana" w:eastAsia="Calibri" w:hAnsi="Verdana" w:cs="Arial"/>
          <w:i/>
        </w:rPr>
        <w:t>subordinación y dependencia</w:t>
      </w:r>
      <w:r w:rsidRPr="00BC1800">
        <w:rPr>
          <w:rFonts w:ascii="Verdana" w:eastAsia="Calibri" w:hAnsi="Verdana" w:cs="Arial"/>
          <w:iCs/>
        </w:rPr>
        <w:t>,</w:t>
      </w:r>
      <w:r w:rsidRPr="00BC1800">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BC1800">
        <w:rPr>
          <w:rFonts w:ascii="Verdana" w:eastAsia="Calibri" w:hAnsi="Verdana" w:cs="Arial"/>
          <w:i/>
        </w:rPr>
        <w:t>no pueden</w:t>
      </w:r>
      <w:r w:rsidRPr="00BC1800">
        <w:rPr>
          <w:rFonts w:ascii="Verdana" w:eastAsia="Calibri"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C1800">
        <w:rPr>
          <w:rFonts w:ascii="Verdana" w:eastAsia="Calibri" w:hAnsi="Verdana" w:cs="Arial"/>
          <w:vertAlign w:val="superscript"/>
        </w:rPr>
        <w:footnoteReference w:id="3"/>
      </w:r>
      <w:r w:rsidRPr="00BC1800">
        <w:rPr>
          <w:rFonts w:ascii="Verdana" w:eastAsia="Calibri" w:hAnsi="Verdana" w:cs="Arial"/>
        </w:rPr>
        <w:t xml:space="preserve">. Pero es posible que, a pesar de este mandato deontológico, en la práctica surja la relación laboral, pues, como se sabe, el contrato de trabajo es un </w:t>
      </w:r>
      <w:r w:rsidRPr="00BC1800">
        <w:rPr>
          <w:rFonts w:ascii="Verdana" w:eastAsia="Calibri" w:hAnsi="Verdana" w:cs="Arial"/>
          <w:i/>
        </w:rPr>
        <w:t>contrato realidad</w:t>
      </w:r>
      <w:r w:rsidRPr="00BC1800">
        <w:rPr>
          <w:rFonts w:ascii="Verdana" w:eastAsia="Calibri" w:hAnsi="Verdana" w:cs="Arial"/>
        </w:rPr>
        <w:t xml:space="preserve">, ya que para </w:t>
      </w:r>
      <w:r w:rsidRPr="00BC1800">
        <w:rPr>
          <w:rFonts w:ascii="Verdana" w:eastAsia="Calibri" w:hAnsi="Verdana" w:cs="Arial"/>
        </w:rPr>
        <w:lastRenderedPageBreak/>
        <w:t xml:space="preserve">su perfeccionamiento rige el principio de la prevalencia de la realidad sobre las formalidades. </w:t>
      </w:r>
    </w:p>
    <w:p w14:paraId="2E66E9C6" w14:textId="77777777" w:rsidR="00F76EF7" w:rsidRPr="00BC1800" w:rsidRDefault="00F76EF7" w:rsidP="00F76EF7">
      <w:pPr>
        <w:spacing w:before="120" w:after="120" w:line="276" w:lineRule="auto"/>
        <w:ind w:firstLine="709"/>
        <w:jc w:val="both"/>
        <w:rPr>
          <w:rFonts w:ascii="Verdana" w:eastAsia="Calibri" w:hAnsi="Verdana" w:cs="Arial"/>
        </w:rPr>
      </w:pPr>
      <w:r w:rsidRPr="00BC1800">
        <w:rPr>
          <w:rFonts w:ascii="Verdana" w:eastAsia="Calibri" w:hAnsi="Verdana" w:cs="Arial"/>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BC1800">
        <w:rPr>
          <w:rFonts w:ascii="Verdana" w:eastAsia="Calibri" w:hAnsi="Verdana" w:cs="Arial"/>
          <w:vertAlign w:val="superscript"/>
        </w:rPr>
        <w:footnoteReference w:id="4"/>
      </w:r>
      <w:r w:rsidRPr="00BC1800">
        <w:rPr>
          <w:rFonts w:ascii="Verdana" w:eastAsia="Calibri" w:hAnsi="Verdana" w:cs="Arial"/>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800">
        <w:rPr>
          <w:rFonts w:ascii="Verdana" w:eastAsia="Calibri" w:hAnsi="Verdana" w:cs="Arial"/>
          <w:vertAlign w:val="superscript"/>
        </w:rPr>
        <w:footnoteReference w:id="5"/>
      </w:r>
      <w:r w:rsidRPr="00BC1800">
        <w:rPr>
          <w:rFonts w:ascii="Verdana" w:eastAsia="Calibri" w:hAnsi="Verdana" w:cs="Arial"/>
        </w:rPr>
        <w:t xml:space="preserve">. De modo que, bajo la perspectiva indicada, se podría invocar la presunción de la existencia de una relación laboral; siendo contrario a uno de los aspectos más relevantes del contrato de prestación de servicio, la autonomía e independencia en la ejecución </w:t>
      </w:r>
      <w:proofErr w:type="gramStart"/>
      <w:r w:rsidRPr="00BC1800">
        <w:rPr>
          <w:rFonts w:ascii="Verdana" w:eastAsia="Calibri" w:hAnsi="Verdana" w:cs="Arial"/>
        </w:rPr>
        <w:t>del mismo</w:t>
      </w:r>
      <w:proofErr w:type="gramEnd"/>
      <w:r w:rsidRPr="00BC1800">
        <w:rPr>
          <w:rFonts w:ascii="Verdana" w:eastAsia="Calibri" w:hAnsi="Verdana" w:cs="Arial"/>
        </w:rPr>
        <w:t>.</w:t>
      </w:r>
    </w:p>
    <w:p w14:paraId="3D231377" w14:textId="77777777" w:rsidR="00F76EF7" w:rsidRPr="00BC1800" w:rsidRDefault="00F76EF7" w:rsidP="00F76EF7">
      <w:pPr>
        <w:spacing w:after="0" w:line="276" w:lineRule="auto"/>
        <w:ind w:firstLine="709"/>
        <w:jc w:val="both"/>
        <w:rPr>
          <w:rFonts w:ascii="Verdana" w:eastAsia="Calibri" w:hAnsi="Verdana" w:cs="Arial"/>
        </w:rPr>
      </w:pPr>
      <w:r w:rsidRPr="00BC1800">
        <w:rPr>
          <w:rFonts w:ascii="Verdana" w:eastAsia="Calibri" w:hAnsi="Verdana" w:cs="Arial"/>
        </w:rPr>
        <w:t>d) Deben ser temporales. Así lo señaló la Corte Constitucional en la misma providencia a la que se aludió previamente, expresando que:</w:t>
      </w:r>
    </w:p>
    <w:p w14:paraId="05AEA176" w14:textId="77777777" w:rsidR="00F76EF7" w:rsidRPr="00BC1800" w:rsidRDefault="00F76EF7" w:rsidP="00F76EF7">
      <w:pPr>
        <w:spacing w:after="0" w:line="276" w:lineRule="auto"/>
        <w:ind w:firstLine="709"/>
        <w:jc w:val="both"/>
        <w:rPr>
          <w:rFonts w:ascii="Verdana" w:eastAsia="Calibri" w:hAnsi="Verdana" w:cs="Arial"/>
        </w:rPr>
      </w:pPr>
    </w:p>
    <w:p w14:paraId="1774EE8E" w14:textId="77777777" w:rsidR="00F76EF7" w:rsidRPr="00BC1800" w:rsidRDefault="00F76EF7" w:rsidP="00F76EF7">
      <w:pPr>
        <w:spacing w:after="0" w:line="240" w:lineRule="auto"/>
        <w:ind w:left="709" w:right="709"/>
        <w:jc w:val="both"/>
        <w:rPr>
          <w:rFonts w:ascii="Verdana" w:eastAsia="Calibri" w:hAnsi="Verdana" w:cs="Arial"/>
          <w:sz w:val="21"/>
          <w:szCs w:val="21"/>
        </w:rPr>
      </w:pPr>
      <w:r w:rsidRPr="00BC1800">
        <w:rPr>
          <w:rFonts w:ascii="Verdana" w:eastAsia="Calibri"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BC1800">
        <w:rPr>
          <w:rFonts w:ascii="Verdana" w:eastAsia="Calibri" w:hAnsi="Verdana" w:cs="Arial"/>
          <w:sz w:val="21"/>
          <w:szCs w:val="21"/>
          <w:vertAlign w:val="superscript"/>
        </w:rPr>
        <w:footnoteReference w:id="6"/>
      </w:r>
      <w:r w:rsidRPr="00BC1800">
        <w:rPr>
          <w:rFonts w:ascii="Verdana" w:eastAsia="Calibri" w:hAnsi="Verdana" w:cs="Arial"/>
          <w:sz w:val="21"/>
          <w:szCs w:val="21"/>
        </w:rPr>
        <w:t>.</w:t>
      </w:r>
    </w:p>
    <w:p w14:paraId="7BF08A62" w14:textId="77777777" w:rsidR="00F76EF7" w:rsidRPr="00BC1800" w:rsidRDefault="00F76EF7" w:rsidP="00F76EF7">
      <w:pPr>
        <w:spacing w:after="0" w:line="276" w:lineRule="auto"/>
        <w:ind w:firstLine="709"/>
        <w:jc w:val="both"/>
        <w:rPr>
          <w:rFonts w:ascii="Verdana" w:eastAsia="Calibri" w:hAnsi="Verdana" w:cs="Arial"/>
        </w:rPr>
      </w:pPr>
    </w:p>
    <w:p w14:paraId="55F9D8C5" w14:textId="77777777" w:rsidR="00F76EF7" w:rsidRPr="00BC1800" w:rsidRDefault="00F76EF7" w:rsidP="00F76EF7">
      <w:pPr>
        <w:spacing w:after="0" w:line="276" w:lineRule="auto"/>
        <w:ind w:firstLine="709"/>
        <w:jc w:val="both"/>
        <w:rPr>
          <w:rFonts w:ascii="Verdana" w:eastAsia="Calibri" w:hAnsi="Verdana" w:cs="Arial"/>
        </w:rPr>
      </w:pPr>
      <w:r w:rsidRPr="00BC1800">
        <w:rPr>
          <w:rFonts w:ascii="Verdana" w:eastAsia="Calibri" w:hAnsi="Verdana" w:cs="Arial"/>
        </w:rPr>
        <w:lastRenderedPageBreak/>
        <w:t xml:space="preserve">e) Los contratos de prestación de servicios profesionales hacen parte del género denominado </w:t>
      </w:r>
      <w:r w:rsidRPr="00BC1800">
        <w:rPr>
          <w:rFonts w:ascii="Verdana" w:eastAsia="Calibri" w:hAnsi="Verdana" w:cs="Arial"/>
          <w:i/>
        </w:rPr>
        <w:t>contratos de prestación de servicios</w:t>
      </w:r>
      <w:r w:rsidRPr="00BC1800">
        <w:rPr>
          <w:rFonts w:ascii="Verdana" w:eastAsia="Calibri" w:hAnsi="Verdana" w:cs="Arial"/>
        </w:rPr>
        <w:t>,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BC1800">
        <w:rPr>
          <w:rFonts w:ascii="Verdana" w:eastAsia="Calibri" w:hAnsi="Verdana" w:cs="Arial"/>
          <w:vertAlign w:val="superscript"/>
        </w:rPr>
        <w:footnoteReference w:id="7"/>
      </w:r>
      <w:r w:rsidRPr="00BC1800">
        <w:rPr>
          <w:rFonts w:ascii="Verdana" w:eastAsia="Calibri" w:hAnsi="Verdana" w:cs="Arial"/>
        </w:rPr>
        <w:t xml:space="preserve">. La diferencia entre el contrato de prestación de servicios </w:t>
      </w:r>
      <w:r w:rsidRPr="00BC1800">
        <w:rPr>
          <w:rFonts w:ascii="Verdana" w:eastAsia="Calibri" w:hAnsi="Verdana" w:cs="Arial"/>
          <w:i/>
        </w:rPr>
        <w:t>profesionales</w:t>
      </w:r>
      <w:r w:rsidRPr="00BC1800">
        <w:rPr>
          <w:rFonts w:ascii="Verdana" w:eastAsia="Calibri" w:hAnsi="Verdana" w:cs="Aria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CFDF17A" w14:textId="77777777" w:rsidR="00F76EF7" w:rsidRPr="00BC1800" w:rsidRDefault="00F76EF7" w:rsidP="00F76EF7">
      <w:pPr>
        <w:spacing w:after="0" w:line="276" w:lineRule="auto"/>
        <w:ind w:firstLine="709"/>
        <w:jc w:val="both"/>
        <w:rPr>
          <w:rFonts w:ascii="Verdana" w:eastAsia="Calibri" w:hAnsi="Verdana" w:cs="Arial"/>
        </w:rPr>
      </w:pPr>
    </w:p>
    <w:p w14:paraId="6525D572" w14:textId="77777777" w:rsidR="00F76EF7" w:rsidRPr="00BC1800" w:rsidRDefault="00F76EF7" w:rsidP="00F76EF7">
      <w:pPr>
        <w:spacing w:after="0" w:line="240" w:lineRule="auto"/>
        <w:ind w:left="709" w:right="709"/>
        <w:jc w:val="both"/>
        <w:rPr>
          <w:rFonts w:ascii="Verdana" w:eastAsia="Calibri" w:hAnsi="Verdana" w:cs="Arial"/>
          <w:sz w:val="21"/>
          <w:szCs w:val="21"/>
        </w:rPr>
      </w:pPr>
      <w:r w:rsidRPr="00BC1800">
        <w:rPr>
          <w:rFonts w:ascii="Verdana" w:eastAsia="Calibri" w:hAnsi="Verdana" w:cs="Arial"/>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C1800">
        <w:rPr>
          <w:rFonts w:ascii="Verdana" w:eastAsia="Calibri" w:hAnsi="Verdana" w:cs="Arial"/>
          <w:sz w:val="21"/>
          <w:szCs w:val="21"/>
          <w:vertAlign w:val="superscript"/>
        </w:rPr>
        <w:footnoteReference w:id="8"/>
      </w:r>
      <w:r w:rsidRPr="00BC1800">
        <w:rPr>
          <w:rFonts w:ascii="Verdana" w:eastAsia="Calibri" w:hAnsi="Verdana" w:cs="Arial"/>
          <w:sz w:val="21"/>
          <w:szCs w:val="21"/>
        </w:rPr>
        <w:t>.</w:t>
      </w:r>
    </w:p>
    <w:p w14:paraId="777A67A1" w14:textId="77777777" w:rsidR="00F76EF7" w:rsidRPr="00BC1800" w:rsidRDefault="00F76EF7" w:rsidP="00F76EF7">
      <w:pPr>
        <w:spacing w:after="0" w:line="276" w:lineRule="auto"/>
        <w:ind w:firstLine="709"/>
        <w:jc w:val="both"/>
        <w:rPr>
          <w:rFonts w:ascii="Verdana" w:eastAsia="Calibri" w:hAnsi="Verdana" w:cs="Arial"/>
        </w:rPr>
      </w:pPr>
    </w:p>
    <w:p w14:paraId="2DE676F0" w14:textId="77777777" w:rsidR="00F76EF7" w:rsidRPr="00BC1800" w:rsidRDefault="00F76EF7" w:rsidP="00F76EF7">
      <w:pPr>
        <w:spacing w:after="0" w:line="276" w:lineRule="auto"/>
        <w:ind w:firstLine="709"/>
        <w:jc w:val="both"/>
        <w:rPr>
          <w:rFonts w:ascii="Verdana" w:eastAsia="Calibri" w:hAnsi="Verdana" w:cs="Arial"/>
        </w:rPr>
      </w:pPr>
      <w:r w:rsidRPr="00BC1800">
        <w:rPr>
          <w:rFonts w:ascii="Verdana" w:eastAsia="Calibri" w:hAnsi="Verdana" w:cs="Arial"/>
        </w:rPr>
        <w:t>Objeto que, según la sentencia que se cita, se diferencia del objeto del contrato de prestación de servicios de apoyo a la gestión, porque en este:</w:t>
      </w:r>
    </w:p>
    <w:p w14:paraId="7D6D9AF1" w14:textId="77777777" w:rsidR="00F76EF7" w:rsidRPr="00BC1800" w:rsidRDefault="00F76EF7" w:rsidP="00F76EF7">
      <w:pPr>
        <w:spacing w:after="0" w:line="276" w:lineRule="auto"/>
        <w:ind w:firstLine="709"/>
        <w:jc w:val="both"/>
        <w:rPr>
          <w:rFonts w:ascii="Verdana" w:eastAsia="Calibri" w:hAnsi="Verdana" w:cs="Arial"/>
        </w:rPr>
      </w:pPr>
    </w:p>
    <w:p w14:paraId="70DE13DF"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2AD49D3" w14:textId="77777777" w:rsidR="00F76EF7" w:rsidRPr="00BC1800" w:rsidRDefault="00F76EF7" w:rsidP="00F76EF7">
      <w:pPr>
        <w:spacing w:after="0" w:line="240" w:lineRule="auto"/>
        <w:ind w:left="709" w:right="709"/>
        <w:jc w:val="both"/>
        <w:rPr>
          <w:rFonts w:ascii="Verdana" w:eastAsia="Calibri" w:hAnsi="Verdana" w:cs="Arial"/>
          <w:sz w:val="20"/>
          <w:szCs w:val="20"/>
        </w:rPr>
      </w:pPr>
    </w:p>
    <w:p w14:paraId="1CF5E837"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lastRenderedPageBreak/>
        <w:t xml:space="preserve">Aunque también se caracteriza por el desempeño de actividad intelectiva, ésta </w:t>
      </w:r>
      <w:proofErr w:type="gramStart"/>
      <w:r w:rsidRPr="00BC1800">
        <w:rPr>
          <w:rFonts w:ascii="Verdana" w:eastAsia="Calibri" w:hAnsi="Verdana" w:cs="Arial"/>
          <w:sz w:val="20"/>
          <w:szCs w:val="20"/>
        </w:rPr>
        <w:t>se enmarca dentro de</w:t>
      </w:r>
      <w:proofErr w:type="gramEnd"/>
      <w:r w:rsidRPr="00BC1800">
        <w:rPr>
          <w:rFonts w:ascii="Verdana" w:eastAsia="Calibri" w:hAnsi="Verdana" w:cs="Arial"/>
          <w:sz w:val="20"/>
          <w:szCs w:val="20"/>
        </w:rPr>
        <w:t xml:space="preserve"> un saber propiamente técnico; igualmente involucra actividades en donde prima el esfuerzo físico o mecánico, en donde no se requiere de personal profesional.</w:t>
      </w:r>
    </w:p>
    <w:p w14:paraId="20DA412D" w14:textId="77777777" w:rsidR="00F76EF7" w:rsidRPr="00BC1800" w:rsidRDefault="00F76EF7" w:rsidP="00F76EF7">
      <w:pPr>
        <w:spacing w:after="0" w:line="240" w:lineRule="auto"/>
        <w:ind w:left="709" w:right="709"/>
        <w:jc w:val="both"/>
        <w:rPr>
          <w:rFonts w:ascii="Verdana" w:eastAsia="Calibri" w:hAnsi="Verdana" w:cs="Arial"/>
          <w:sz w:val="20"/>
          <w:szCs w:val="20"/>
        </w:rPr>
      </w:pPr>
    </w:p>
    <w:p w14:paraId="700321DA" w14:textId="77777777" w:rsidR="00F76EF7" w:rsidRPr="00BC1800" w:rsidRDefault="00F76EF7" w:rsidP="00F76EF7">
      <w:pPr>
        <w:spacing w:after="0" w:line="240" w:lineRule="auto"/>
        <w:ind w:left="709" w:right="709"/>
        <w:jc w:val="both"/>
        <w:rPr>
          <w:rFonts w:ascii="Verdana" w:eastAsia="Calibri" w:hAnsi="Verdana" w:cs="Arial"/>
          <w:sz w:val="20"/>
          <w:szCs w:val="20"/>
        </w:rPr>
      </w:pPr>
      <w:r w:rsidRPr="00BC1800">
        <w:rPr>
          <w:rFonts w:ascii="Verdana" w:eastAsia="Calibri" w:hAnsi="Verdana" w:cs="Arial"/>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14:paraId="4336A57A" w14:textId="77777777" w:rsidR="00F76EF7" w:rsidRPr="00BC1800" w:rsidRDefault="00F76EF7" w:rsidP="00F76EF7">
      <w:pPr>
        <w:spacing w:after="0" w:line="240" w:lineRule="auto"/>
        <w:ind w:left="709" w:right="709"/>
        <w:jc w:val="both"/>
        <w:rPr>
          <w:rFonts w:ascii="Verdana" w:eastAsia="Calibri" w:hAnsi="Verdana" w:cs="Arial"/>
          <w:sz w:val="20"/>
          <w:szCs w:val="20"/>
        </w:rPr>
      </w:pPr>
    </w:p>
    <w:p w14:paraId="227707C6" w14:textId="77777777" w:rsidR="00F76EF7" w:rsidRDefault="00F76EF7" w:rsidP="00F76EF7">
      <w:pPr>
        <w:spacing w:after="0" w:line="240" w:lineRule="auto"/>
        <w:ind w:left="709" w:right="709"/>
        <w:jc w:val="both"/>
        <w:rPr>
          <w:rFonts w:ascii="Verdana" w:eastAsia="Calibri" w:hAnsi="Verdana" w:cs="Arial"/>
          <w:sz w:val="21"/>
          <w:szCs w:val="21"/>
        </w:rPr>
      </w:pPr>
      <w:r w:rsidRPr="00BC1800">
        <w:rPr>
          <w:rFonts w:ascii="Verdana" w:eastAsia="Calibri" w:hAnsi="Verdana" w:cs="Arial"/>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BC1800">
        <w:rPr>
          <w:rFonts w:ascii="Verdana" w:eastAsia="Calibri" w:hAnsi="Verdana" w:cs="Arial"/>
          <w:sz w:val="21"/>
          <w:szCs w:val="21"/>
          <w:vertAlign w:val="superscript"/>
        </w:rPr>
        <w:footnoteReference w:id="9"/>
      </w:r>
      <w:r w:rsidRPr="00BC1800">
        <w:rPr>
          <w:rFonts w:ascii="Verdana" w:eastAsia="Calibri" w:hAnsi="Verdana" w:cs="Arial"/>
          <w:sz w:val="21"/>
          <w:szCs w:val="21"/>
        </w:rPr>
        <w:t>.</w:t>
      </w:r>
    </w:p>
    <w:p w14:paraId="4B71F139" w14:textId="77777777" w:rsidR="00F76EF7" w:rsidRPr="00BC1800" w:rsidRDefault="00F76EF7" w:rsidP="00F76EF7">
      <w:pPr>
        <w:spacing w:after="0" w:line="240" w:lineRule="auto"/>
        <w:ind w:left="709" w:right="709"/>
        <w:jc w:val="both"/>
        <w:rPr>
          <w:rFonts w:ascii="Verdana" w:eastAsia="Calibri" w:hAnsi="Verdana" w:cs="Arial"/>
          <w:sz w:val="21"/>
          <w:szCs w:val="21"/>
        </w:rPr>
      </w:pPr>
    </w:p>
    <w:p w14:paraId="6D3FFDAF" w14:textId="77777777" w:rsidR="00F76EF7" w:rsidRDefault="00F76EF7" w:rsidP="00F76EF7">
      <w:pPr>
        <w:spacing w:after="0" w:line="276" w:lineRule="auto"/>
        <w:ind w:firstLine="708"/>
        <w:jc w:val="both"/>
        <w:rPr>
          <w:rFonts w:ascii="Verdana" w:eastAsia="Calibri" w:hAnsi="Verdana" w:cs="Arial"/>
        </w:rPr>
      </w:pPr>
      <w:r w:rsidRPr="00880BE0">
        <w:rPr>
          <w:rFonts w:ascii="Verdana" w:eastAsia="Calibri" w:hAnsi="Verdana" w:cs="Arial"/>
        </w:rPr>
        <w:t>Conforme al marco normativo general, la contratación de servicios personales es jurídicamente viable. No obstante, en virtud del régimen especial aplicable a las contralorías departamentales, consagrado en el artículo 15 de la Ley 330 de 1996, se establece de manera expresa la prohibición de contratar la prestación de servicios personales para el cumplimiento de funciones asignadas a los cargos de la planta de personal, así como la de destinar recursos a actividades que no guarden relación directa con el ejercicio del control fiscal.</w:t>
      </w:r>
    </w:p>
    <w:p w14:paraId="4AF40495" w14:textId="77777777" w:rsidR="00F76EF7" w:rsidRDefault="00F76EF7" w:rsidP="00F76EF7">
      <w:pPr>
        <w:spacing w:after="0" w:line="276" w:lineRule="auto"/>
        <w:ind w:firstLine="708"/>
        <w:jc w:val="both"/>
        <w:rPr>
          <w:rFonts w:ascii="Verdana" w:eastAsia="Calibri" w:hAnsi="Verdana" w:cs="Arial"/>
        </w:rPr>
      </w:pPr>
    </w:p>
    <w:p w14:paraId="0E609216" w14:textId="77777777" w:rsidR="00F76EF7" w:rsidRDefault="00F76EF7" w:rsidP="00F76EF7">
      <w:pPr>
        <w:spacing w:after="0" w:line="276" w:lineRule="auto"/>
        <w:ind w:firstLine="708"/>
        <w:jc w:val="both"/>
        <w:rPr>
          <w:rFonts w:ascii="Verdana" w:eastAsia="Calibri" w:hAnsi="Verdana" w:cs="Arial"/>
        </w:rPr>
      </w:pPr>
      <w:r w:rsidRPr="00880BE0">
        <w:rPr>
          <w:rFonts w:ascii="Verdana" w:eastAsia="Calibri" w:hAnsi="Verdana" w:cs="Arial"/>
        </w:rPr>
        <w:t xml:space="preserve"> Esta disposición constituye una excepción legal al régimen general de contratación pública previsto en la Ley 80 de 1993, y su inobservancia puede generar consecuencias de orden disciplinario.</w:t>
      </w:r>
    </w:p>
    <w:p w14:paraId="29D1142F" w14:textId="77777777" w:rsidR="00F76EF7" w:rsidRPr="00BC1800" w:rsidRDefault="00F76EF7" w:rsidP="00F76EF7">
      <w:pPr>
        <w:spacing w:before="120" w:after="0" w:line="276" w:lineRule="auto"/>
        <w:jc w:val="both"/>
        <w:rPr>
          <w:rFonts w:ascii="Verdana" w:eastAsia="Century Gothic" w:hAnsi="Verdana" w:cs="Century Gothic"/>
          <w:b/>
          <w:bCs/>
          <w:lang w:val="es-ES"/>
        </w:rPr>
      </w:pPr>
      <w:r w:rsidRPr="00BC1800">
        <w:rPr>
          <w:rFonts w:ascii="Verdana" w:eastAsia="Century Gothic" w:hAnsi="Verdana" w:cs="Century Gothic"/>
          <w:b/>
          <w:bCs/>
          <w:lang w:val="es-ES"/>
        </w:rPr>
        <w:t>Referencias normativas, jurisprudenciales y otras fuentes:</w:t>
      </w:r>
    </w:p>
    <w:p w14:paraId="55001FC5" w14:textId="77777777" w:rsidR="00F76EF7" w:rsidRPr="00BC1800" w:rsidRDefault="00F76EF7" w:rsidP="00F76EF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6EF7" w:rsidRPr="00BC1800" w14:paraId="5D258D99" w14:textId="77777777" w:rsidTr="009C6DC3">
        <w:trPr>
          <w:trHeight w:val="870"/>
        </w:trPr>
        <w:tc>
          <w:tcPr>
            <w:tcW w:w="8647" w:type="dxa"/>
          </w:tcPr>
          <w:p w14:paraId="00CFBA76" w14:textId="77777777" w:rsidR="00F76EF7" w:rsidRDefault="00F76EF7" w:rsidP="00F76EF7">
            <w:pPr>
              <w:pStyle w:val="Prrafodelista"/>
              <w:numPr>
                <w:ilvl w:val="0"/>
                <w:numId w:val="17"/>
              </w:numPr>
              <w:rPr>
                <w:rFonts w:ascii="Verdana" w:hAnsi="Verdana" w:cs="Arial"/>
              </w:rPr>
            </w:pPr>
            <w:r>
              <w:rPr>
                <w:rFonts w:ascii="Verdana" w:hAnsi="Verdana" w:cs="Arial"/>
              </w:rPr>
              <w:t xml:space="preserve">Ley 330 de 1996, artículo 15 </w:t>
            </w:r>
          </w:p>
          <w:p w14:paraId="3C30F7F1" w14:textId="77777777" w:rsidR="00F76EF7" w:rsidRDefault="00F76EF7" w:rsidP="009C6DC3">
            <w:pPr>
              <w:pStyle w:val="Prrafodelista"/>
              <w:rPr>
                <w:rFonts w:ascii="Verdana" w:hAnsi="Verdana" w:cs="Arial"/>
              </w:rPr>
            </w:pPr>
          </w:p>
          <w:p w14:paraId="3DA49F6F" w14:textId="77777777" w:rsidR="00F76EF7" w:rsidRPr="00BC1800" w:rsidRDefault="00F76EF7" w:rsidP="00F76EF7">
            <w:pPr>
              <w:pStyle w:val="Prrafodelista"/>
              <w:numPr>
                <w:ilvl w:val="0"/>
                <w:numId w:val="17"/>
              </w:numPr>
              <w:rPr>
                <w:rFonts w:ascii="Verdana" w:hAnsi="Verdana" w:cs="Arial"/>
              </w:rPr>
            </w:pPr>
            <w:r w:rsidRPr="00BC1800">
              <w:rPr>
                <w:rFonts w:ascii="Verdana" w:hAnsi="Verdana" w:cs="Arial"/>
              </w:rPr>
              <w:t xml:space="preserve">Ley 80 de 1993, artículos 25 y 32, numeral 3º. </w:t>
            </w:r>
          </w:p>
          <w:p w14:paraId="6F85442E" w14:textId="77777777" w:rsidR="00F76EF7" w:rsidRPr="00BC1800" w:rsidRDefault="00F76EF7" w:rsidP="009C6DC3">
            <w:pPr>
              <w:pStyle w:val="Prrafodelista"/>
              <w:rPr>
                <w:rFonts w:ascii="Verdana" w:hAnsi="Verdana" w:cs="Arial"/>
              </w:rPr>
            </w:pPr>
          </w:p>
          <w:p w14:paraId="66959743" w14:textId="77777777" w:rsidR="00F76EF7" w:rsidRPr="00BC1800" w:rsidRDefault="00F76EF7" w:rsidP="00F76EF7">
            <w:pPr>
              <w:pStyle w:val="Prrafodelista"/>
              <w:numPr>
                <w:ilvl w:val="0"/>
                <w:numId w:val="17"/>
              </w:numPr>
              <w:rPr>
                <w:rFonts w:ascii="Verdana" w:hAnsi="Verdana" w:cs="Arial"/>
              </w:rPr>
            </w:pPr>
            <w:r w:rsidRPr="00BC1800">
              <w:rPr>
                <w:rFonts w:ascii="Verdana" w:hAnsi="Verdana" w:cs="Arial"/>
              </w:rPr>
              <w:t xml:space="preserve">Ley 1150 de 2007, artículo 2, numeral 4º, literal h). </w:t>
            </w:r>
          </w:p>
          <w:p w14:paraId="13D8DD9A" w14:textId="77777777" w:rsidR="00F76EF7" w:rsidRPr="00BC1800" w:rsidRDefault="00F76EF7" w:rsidP="009C6DC3">
            <w:pPr>
              <w:pStyle w:val="Prrafodelista"/>
              <w:rPr>
                <w:rFonts w:ascii="Verdana" w:hAnsi="Verdana" w:cs="Arial"/>
              </w:rPr>
            </w:pPr>
          </w:p>
          <w:p w14:paraId="01BA24E1" w14:textId="77777777" w:rsidR="00F76EF7" w:rsidRPr="00BC1800" w:rsidRDefault="00F76EF7" w:rsidP="009C6DC3">
            <w:pPr>
              <w:pStyle w:val="Prrafodelista"/>
              <w:rPr>
                <w:rFonts w:ascii="Verdana" w:hAnsi="Verdana" w:cs="Arial"/>
              </w:rPr>
            </w:pPr>
            <w:r w:rsidRPr="00BC1800">
              <w:rPr>
                <w:rFonts w:ascii="Verdana" w:hAnsi="Verdana" w:cs="Arial"/>
              </w:rPr>
              <w:t xml:space="preserve"> </w:t>
            </w:r>
          </w:p>
        </w:tc>
      </w:tr>
    </w:tbl>
    <w:p w14:paraId="04B619D4" w14:textId="77777777" w:rsidR="00F76EF7" w:rsidRPr="00BC1800" w:rsidRDefault="00F76EF7" w:rsidP="00F76EF7">
      <w:pPr>
        <w:widowControl w:val="0"/>
        <w:autoSpaceDE w:val="0"/>
        <w:autoSpaceDN w:val="0"/>
        <w:spacing w:after="0" w:line="276" w:lineRule="auto"/>
        <w:jc w:val="both"/>
        <w:rPr>
          <w:rFonts w:ascii="Verdana" w:hAnsi="Verdana" w:cs="Arial"/>
        </w:rPr>
      </w:pPr>
    </w:p>
    <w:p w14:paraId="59098C11" w14:textId="77777777" w:rsidR="00F76EF7" w:rsidRPr="00BC1800" w:rsidRDefault="00F76EF7" w:rsidP="00F76EF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1800">
        <w:rPr>
          <w:rFonts w:ascii="Verdana" w:eastAsia="Century Gothic" w:hAnsi="Verdana" w:cs="Century Gothic"/>
          <w:b/>
          <w:bCs/>
        </w:rPr>
        <w:t>Doctrina de la Agencia Nacional de Contratación Pública:</w:t>
      </w:r>
    </w:p>
    <w:p w14:paraId="5E4F4EE7" w14:textId="77777777" w:rsidR="00F76EF7" w:rsidRPr="00BC1800" w:rsidRDefault="00F76EF7" w:rsidP="00F76EF7">
      <w:pPr>
        <w:widowControl w:val="0"/>
        <w:autoSpaceDE w:val="0"/>
        <w:autoSpaceDN w:val="0"/>
        <w:spacing w:after="0" w:line="276" w:lineRule="auto"/>
        <w:jc w:val="both"/>
        <w:rPr>
          <w:rFonts w:ascii="Verdana" w:hAnsi="Verdana" w:cs="Arial"/>
        </w:rPr>
      </w:pPr>
    </w:p>
    <w:p w14:paraId="2392CEE2" w14:textId="77777777" w:rsidR="00F76EF7" w:rsidRPr="00BC1800" w:rsidRDefault="00F76EF7" w:rsidP="00F76EF7">
      <w:pPr>
        <w:widowControl w:val="0"/>
        <w:autoSpaceDE w:val="0"/>
        <w:autoSpaceDN w:val="0"/>
        <w:spacing w:after="0" w:line="276" w:lineRule="auto"/>
        <w:jc w:val="both"/>
        <w:rPr>
          <w:rStyle w:val="normaltextrun"/>
          <w:rFonts w:ascii="Verdana" w:hAnsi="Verdana" w:cs="Arial"/>
          <w:shd w:val="clear" w:color="auto" w:fill="FFFFFF"/>
          <w:lang w:val="es-ES"/>
        </w:rPr>
      </w:pPr>
      <w:r w:rsidRPr="00BC1800">
        <w:rPr>
          <w:rStyle w:val="normaltextrun"/>
          <w:rFonts w:ascii="Verdana" w:hAnsi="Verdana" w:cs="Arial"/>
          <w:shd w:val="clear" w:color="auto" w:fill="FFFFFF"/>
          <w:lang w:val="es-ES"/>
        </w:rPr>
        <w:t xml:space="preserve">Sobre </w:t>
      </w:r>
      <w:r w:rsidRPr="00BC1800">
        <w:rPr>
          <w:rFonts w:ascii="Verdana" w:hAnsi="Verdana" w:cs="Arial"/>
          <w:shd w:val="clear" w:color="auto" w:fill="FFFFFF"/>
          <w:lang w:val="es-ES"/>
        </w:rPr>
        <w:t xml:space="preserve">los contratos de prestación de servicios, así como los requisitos para su </w:t>
      </w:r>
      <w:r w:rsidRPr="00BC1800">
        <w:rPr>
          <w:rFonts w:ascii="Verdana" w:hAnsi="Verdana" w:cs="Arial"/>
          <w:shd w:val="clear" w:color="auto" w:fill="FFFFFF"/>
          <w:lang w:val="es-ES"/>
        </w:rPr>
        <w:lastRenderedPageBreak/>
        <w:t xml:space="preserve">celebración, entre otros, </w:t>
      </w:r>
      <w:r w:rsidRPr="00BC1800">
        <w:rPr>
          <w:rStyle w:val="normaltextrun"/>
          <w:rFonts w:ascii="Verdana" w:hAnsi="Verdana" w:cs="Arial"/>
          <w:shd w:val="clear" w:color="auto" w:fill="FFFFFF"/>
          <w:lang w:val="es-ES"/>
        </w:rPr>
        <w:t>se pronunció esta Subdirección en los conceptos</w:t>
      </w:r>
      <w:r w:rsidRPr="00BC1800">
        <w:rPr>
          <w:rStyle w:val="normaltextrun"/>
          <w:rFonts w:ascii="Verdana" w:hAnsi="Verdana" w:cs="Calibri"/>
          <w:shd w:val="clear" w:color="auto" w:fill="FFFFFF"/>
        </w:rPr>
        <w:t xml:space="preserve"> </w:t>
      </w:r>
      <w:r w:rsidRPr="00BC1800">
        <w:rPr>
          <w:rFonts w:ascii="Verdana" w:hAnsi="Verdana" w:cs="Arial"/>
          <w:shd w:val="clear" w:color="auto" w:fill="FFFFFF"/>
          <w:lang w:val="es-ES"/>
        </w:rPr>
        <w:t>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C-363 de 2025, C-517 de 2025, entre otros</w:t>
      </w:r>
      <w:r w:rsidRPr="00BC1800">
        <w:rPr>
          <w:rStyle w:val="normaltextrun"/>
          <w:rFonts w:ascii="Verdana" w:hAnsi="Verdana" w:cs="Arial"/>
          <w:shd w:val="clear" w:color="auto" w:fill="FFFFFF"/>
          <w:lang w:val="es-ES"/>
        </w:rPr>
        <w:t>. Es</w:t>
      </w:r>
      <w:r w:rsidRPr="00BC1800">
        <w:rPr>
          <w:rFonts w:ascii="Verdana" w:hAnsi="Verdana"/>
        </w:rPr>
        <w:t>tos y otros conceptos se encuentran disponibles para consulta en el Sistema de relatoría de la Agencia, al cual se puede acceder a través del siguiente enlace:</w:t>
      </w:r>
      <w:r w:rsidRPr="00BC1800">
        <w:rPr>
          <w:rStyle w:val="normaltextrun"/>
          <w:rFonts w:ascii="Verdana" w:hAnsi="Verdana" w:cs="Arial"/>
          <w:shd w:val="clear" w:color="auto" w:fill="FFFFFF"/>
          <w:lang w:val="es-ES"/>
        </w:rPr>
        <w:t xml:space="preserve"> </w:t>
      </w:r>
      <w:hyperlink r:id="rId11" w:history="1">
        <w:r w:rsidRPr="00BC1800">
          <w:rPr>
            <w:rStyle w:val="Hipervnculo"/>
            <w:rFonts w:ascii="Verdana" w:hAnsi="Verdana" w:cs="Arial"/>
            <w:shd w:val="clear" w:color="auto" w:fill="FFFFFF"/>
            <w:lang w:val="es-ES"/>
          </w:rPr>
          <w:t>https://relatoria.colombiacompra.gov.co/busqueda/conceptos</w:t>
        </w:r>
      </w:hyperlink>
      <w:r w:rsidRPr="00BC1800">
        <w:rPr>
          <w:rStyle w:val="normaltextrun"/>
          <w:rFonts w:ascii="Verdana" w:hAnsi="Verdana" w:cs="Arial"/>
          <w:shd w:val="clear" w:color="auto" w:fill="FFFFFF"/>
          <w:lang w:val="es-ES"/>
        </w:rPr>
        <w:t xml:space="preserve">. </w:t>
      </w:r>
    </w:p>
    <w:p w14:paraId="52177B35" w14:textId="77777777" w:rsidR="00F76EF7" w:rsidRPr="00BC1800" w:rsidRDefault="00F76EF7" w:rsidP="00F76EF7">
      <w:pPr>
        <w:widowControl w:val="0"/>
        <w:autoSpaceDE w:val="0"/>
        <w:autoSpaceDN w:val="0"/>
        <w:spacing w:after="0" w:line="276" w:lineRule="auto"/>
        <w:jc w:val="both"/>
        <w:rPr>
          <w:rFonts w:ascii="Verdana" w:hAnsi="Verdana" w:cs="Arial"/>
          <w:shd w:val="clear" w:color="auto" w:fill="FFFFFF"/>
        </w:rPr>
      </w:pPr>
    </w:p>
    <w:p w14:paraId="69DE888D" w14:textId="77777777" w:rsidR="00F76EF7" w:rsidRPr="00DF45C7" w:rsidRDefault="00F76EF7" w:rsidP="00F76EF7">
      <w:pPr>
        <w:spacing w:after="0" w:line="276" w:lineRule="auto"/>
        <w:jc w:val="both"/>
        <w:rPr>
          <w:rFonts w:ascii="Verdana" w:hAnsi="Verdana"/>
        </w:rPr>
      </w:pPr>
      <w:r w:rsidRPr="00DF45C7">
        <w:rPr>
          <w:rFonts w:ascii="Verdana" w:hAnsi="Verdana"/>
        </w:rPr>
        <w:t xml:space="preserve">Por último, lo invitamos a seguirnos en las redes sociales en las cuales se difunde información institucional: </w:t>
      </w:r>
    </w:p>
    <w:p w14:paraId="1929836F" w14:textId="77777777" w:rsidR="00F76EF7" w:rsidRPr="00DF45C7" w:rsidRDefault="00F76EF7" w:rsidP="00F76EF7">
      <w:pPr>
        <w:spacing w:after="0" w:line="276" w:lineRule="auto"/>
        <w:jc w:val="both"/>
        <w:rPr>
          <w:rFonts w:ascii="Verdana" w:hAnsi="Verdana"/>
        </w:rPr>
      </w:pPr>
    </w:p>
    <w:p w14:paraId="68A3F69D" w14:textId="77777777" w:rsidR="00F76EF7" w:rsidRPr="00DF45C7" w:rsidRDefault="00F76EF7" w:rsidP="00F76EF7">
      <w:pPr>
        <w:spacing w:after="0" w:line="276" w:lineRule="auto"/>
        <w:jc w:val="both"/>
        <w:rPr>
          <w:rFonts w:ascii="Verdana" w:hAnsi="Verdana"/>
        </w:rPr>
      </w:pPr>
      <w:r w:rsidRPr="00DF45C7">
        <w:rPr>
          <w:rFonts w:ascii="Verdana" w:hAnsi="Verdana"/>
        </w:rPr>
        <w:t xml:space="preserve">Twitter: </w:t>
      </w:r>
      <w:r w:rsidRPr="00DF45C7">
        <w:rPr>
          <w:rStyle w:val="Hipervnculo"/>
          <w:rFonts w:ascii="Verdana" w:hAnsi="Verdana"/>
        </w:rPr>
        <w:t>@colombiacompra</w:t>
      </w:r>
      <w:r w:rsidRPr="00DF45C7">
        <w:rPr>
          <w:rFonts w:ascii="Verdana" w:hAnsi="Verdana"/>
        </w:rPr>
        <w:t xml:space="preserve"> </w:t>
      </w:r>
    </w:p>
    <w:p w14:paraId="7538D533" w14:textId="77777777" w:rsidR="00F76EF7" w:rsidRPr="00DF45C7" w:rsidRDefault="00F76EF7" w:rsidP="00F76EF7">
      <w:pPr>
        <w:spacing w:after="0" w:line="276" w:lineRule="auto"/>
        <w:jc w:val="both"/>
        <w:rPr>
          <w:rFonts w:ascii="Verdana" w:hAnsi="Verdana"/>
        </w:rPr>
      </w:pPr>
      <w:r w:rsidRPr="00DF45C7">
        <w:rPr>
          <w:rFonts w:ascii="Verdana" w:hAnsi="Verdana"/>
        </w:rPr>
        <w:t xml:space="preserve">Facebook: </w:t>
      </w:r>
      <w:proofErr w:type="spellStart"/>
      <w:r w:rsidRPr="00DF45C7">
        <w:rPr>
          <w:rStyle w:val="Hipervnculo"/>
          <w:rFonts w:ascii="Verdana" w:hAnsi="Verdana"/>
        </w:rPr>
        <w:t>ColombiaCompraEficiente</w:t>
      </w:r>
      <w:proofErr w:type="spellEnd"/>
    </w:p>
    <w:p w14:paraId="20580283" w14:textId="77777777" w:rsidR="00F76EF7" w:rsidRPr="00DF45C7" w:rsidRDefault="00F76EF7" w:rsidP="00F76EF7">
      <w:pPr>
        <w:spacing w:after="0" w:line="276" w:lineRule="auto"/>
        <w:jc w:val="both"/>
        <w:rPr>
          <w:rStyle w:val="Hipervnculo"/>
          <w:rFonts w:ascii="Verdana" w:hAnsi="Verdana"/>
        </w:rPr>
      </w:pPr>
      <w:r w:rsidRPr="00DF45C7">
        <w:rPr>
          <w:rFonts w:ascii="Verdana" w:hAnsi="Verdana"/>
        </w:rPr>
        <w:t xml:space="preserve">LinkedIn: </w:t>
      </w:r>
      <w:r w:rsidRPr="00DF45C7">
        <w:rPr>
          <w:rStyle w:val="Hipervnculo"/>
          <w:rFonts w:ascii="Verdana" w:hAnsi="Verdana"/>
        </w:rPr>
        <w:t>Agencia Nacional de Contratación Pública - Colombia Compra Eficiente</w:t>
      </w:r>
      <w:r w:rsidRPr="00DF45C7">
        <w:rPr>
          <w:rFonts w:ascii="Verdana" w:hAnsi="Verdana"/>
        </w:rPr>
        <w:t xml:space="preserve"> Instagram: </w:t>
      </w:r>
      <w:r w:rsidRPr="00DF45C7">
        <w:rPr>
          <w:rStyle w:val="Hipervnculo"/>
          <w:rFonts w:ascii="Verdana" w:hAnsi="Verdana"/>
        </w:rPr>
        <w:t>@colombiacompraeficiente_cce</w:t>
      </w:r>
    </w:p>
    <w:p w14:paraId="6B650E2A" w14:textId="77777777" w:rsidR="00F76EF7" w:rsidRPr="00DF45C7" w:rsidRDefault="00F76EF7" w:rsidP="00F76EF7">
      <w:pPr>
        <w:widowControl w:val="0"/>
        <w:autoSpaceDE w:val="0"/>
        <w:autoSpaceDN w:val="0"/>
        <w:spacing w:after="0" w:line="276" w:lineRule="auto"/>
        <w:jc w:val="both"/>
        <w:rPr>
          <w:rFonts w:ascii="Verdana" w:hAnsi="Verdana" w:cs="Arial"/>
        </w:rPr>
      </w:pPr>
    </w:p>
    <w:p w14:paraId="1EDD5267" w14:textId="77777777" w:rsidR="00F76EF7" w:rsidRPr="00DF45C7" w:rsidRDefault="00F76EF7" w:rsidP="00F76EF7">
      <w:pPr>
        <w:widowControl w:val="0"/>
        <w:autoSpaceDE w:val="0"/>
        <w:autoSpaceDN w:val="0"/>
        <w:spacing w:after="0" w:line="276" w:lineRule="auto"/>
        <w:jc w:val="both"/>
        <w:rPr>
          <w:rFonts w:ascii="Verdana" w:hAnsi="Verdana" w:cs="Arial"/>
          <w:lang w:val="es-ES_tradnl"/>
        </w:rPr>
      </w:pPr>
      <w:r w:rsidRPr="00DF45C7">
        <w:rPr>
          <w:rFonts w:ascii="Verdana" w:hAnsi="Verdana" w:cs="Arial"/>
        </w:rPr>
        <w:t xml:space="preserve">Este concepto tiene el alcance previsto en el artículo 28 del Código de Procedimiento Administrativo y de lo Contencioso Administrativo </w:t>
      </w:r>
      <w:r w:rsidRPr="00DF45C7">
        <w:rPr>
          <w:rFonts w:ascii="Verdana" w:hAnsi="Verdana" w:cs="Arial"/>
          <w:lang w:val="es-ES_tradnl"/>
        </w:rPr>
        <w:t xml:space="preserve">y las expresiones aquí utilizadas con mayúscula inicial deben ser entendidas con el </w:t>
      </w:r>
      <w:r w:rsidRPr="00DF45C7">
        <w:rPr>
          <w:rFonts w:ascii="Verdana" w:hAnsi="Verdana" w:cs="Arial"/>
          <w:lang w:val="es-ES_tradnl"/>
        </w:rPr>
        <w:lastRenderedPageBreak/>
        <w:t>significado que les otorga el artículo 2.2.1.1.1.3.1. del Decreto 1082 de 2015.</w:t>
      </w:r>
    </w:p>
    <w:p w14:paraId="2BAEF7AF" w14:textId="77777777" w:rsidR="00F76EF7" w:rsidRPr="00BC1800" w:rsidRDefault="00F76EF7" w:rsidP="00F76EF7">
      <w:pPr>
        <w:widowControl w:val="0"/>
        <w:autoSpaceDE w:val="0"/>
        <w:autoSpaceDN w:val="0"/>
        <w:spacing w:after="0" w:line="276" w:lineRule="auto"/>
        <w:jc w:val="both"/>
        <w:rPr>
          <w:rFonts w:ascii="Verdana" w:hAnsi="Verdana" w:cs="Arial"/>
        </w:rPr>
      </w:pPr>
    </w:p>
    <w:p w14:paraId="7260CC3D" w14:textId="77777777" w:rsidR="00F76EF7" w:rsidRPr="00BC1800" w:rsidRDefault="00F76EF7" w:rsidP="00F76EF7">
      <w:pPr>
        <w:spacing w:after="0" w:line="240" w:lineRule="auto"/>
        <w:rPr>
          <w:rFonts w:ascii="Verdana" w:hAnsi="Verdana" w:cs="Arial"/>
          <w:lang w:eastAsia="es-CO"/>
        </w:rPr>
      </w:pPr>
      <w:r w:rsidRPr="00BC1800">
        <w:rPr>
          <w:rFonts w:ascii="Verdana" w:eastAsia="Times New Roman" w:hAnsi="Verdana" w:cs="Arial"/>
          <w:lang w:eastAsia="es-CO"/>
        </w:rPr>
        <w:t>Atentamente,</w:t>
      </w:r>
      <w:r w:rsidRPr="00BC1800">
        <w:rPr>
          <w:rFonts w:ascii="Verdana" w:hAnsi="Verdana" w:cs="Arial"/>
          <w:lang w:eastAsia="es-CO"/>
        </w:rPr>
        <w:t xml:space="preserve"> </w:t>
      </w:r>
    </w:p>
    <w:p w14:paraId="06882DEF" w14:textId="09975C7B" w:rsidR="00F76EF7" w:rsidRPr="00BC1800" w:rsidRDefault="006601AC" w:rsidP="00F76EF7">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0EC3858C" wp14:editId="0392033D">
            <wp:extent cx="3639058" cy="1343212"/>
            <wp:effectExtent l="0" t="0" r="0" b="0"/>
            <wp:docPr id="14620505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50576"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6EF7" w:rsidRPr="00BC1800" w14:paraId="5E53A120" w14:textId="77777777" w:rsidTr="009C6DC3">
        <w:trPr>
          <w:trHeight w:val="315"/>
        </w:trPr>
        <w:tc>
          <w:tcPr>
            <w:tcW w:w="893" w:type="dxa"/>
            <w:vAlign w:val="center"/>
            <w:hideMark/>
          </w:tcPr>
          <w:p w14:paraId="3156E159" w14:textId="77777777" w:rsidR="00F76EF7" w:rsidRPr="00BC1800" w:rsidRDefault="00F76EF7" w:rsidP="009C6DC3">
            <w:pPr>
              <w:contextualSpacing/>
              <w:rPr>
                <w:rFonts w:ascii="Verdana" w:hAnsi="Verdana" w:cs="Arial"/>
                <w:sz w:val="16"/>
                <w:szCs w:val="16"/>
                <w:lang w:val="es-ES" w:eastAsia="es-ES"/>
              </w:rPr>
            </w:pPr>
            <w:r w:rsidRPr="00BC180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D0FDDA9" w14:textId="77777777" w:rsidR="00F76EF7" w:rsidRPr="00BC1800" w:rsidRDefault="00F76EF7" w:rsidP="009C6DC3">
            <w:pPr>
              <w:contextualSpacing/>
              <w:rPr>
                <w:rFonts w:ascii="Verdana" w:eastAsia="Arial" w:hAnsi="Verdana" w:cs="Arial"/>
                <w:sz w:val="16"/>
                <w:szCs w:val="16"/>
              </w:rPr>
            </w:pPr>
            <w:r w:rsidRPr="00BC1800">
              <w:rPr>
                <w:rFonts w:ascii="Verdana" w:eastAsia="Arial" w:hAnsi="Verdana" w:cs="Arial"/>
                <w:sz w:val="16"/>
                <w:szCs w:val="16"/>
              </w:rPr>
              <w:t>Gloria Elizabeth Arango Builes</w:t>
            </w:r>
          </w:p>
          <w:p w14:paraId="14B77D6E" w14:textId="77777777" w:rsidR="00F76EF7" w:rsidRPr="00BC1800" w:rsidRDefault="00F76EF7" w:rsidP="009C6DC3">
            <w:pPr>
              <w:contextualSpacing/>
              <w:rPr>
                <w:rFonts w:ascii="Verdana" w:eastAsia="Arial" w:hAnsi="Verdana" w:cs="Arial"/>
                <w:sz w:val="16"/>
                <w:szCs w:val="16"/>
              </w:rPr>
            </w:pPr>
            <w:r w:rsidRPr="00BC1800">
              <w:rPr>
                <w:rStyle w:val="normaltextrun"/>
                <w:rFonts w:ascii="Verdana" w:eastAsia="Arial" w:hAnsi="Verdana" w:cs="Arial"/>
                <w:sz w:val="16"/>
                <w:szCs w:val="16"/>
              </w:rPr>
              <w:t>Contratista de la Subdirección de Gestión Contractual</w:t>
            </w:r>
          </w:p>
        </w:tc>
      </w:tr>
      <w:tr w:rsidR="00F76EF7" w:rsidRPr="00BC1800" w14:paraId="0BCA68F2" w14:textId="77777777" w:rsidTr="009C6DC3">
        <w:trPr>
          <w:trHeight w:val="330"/>
        </w:trPr>
        <w:tc>
          <w:tcPr>
            <w:tcW w:w="893" w:type="dxa"/>
            <w:vAlign w:val="center"/>
            <w:hideMark/>
          </w:tcPr>
          <w:p w14:paraId="4959435B" w14:textId="77777777" w:rsidR="00F76EF7" w:rsidRPr="00BC1800" w:rsidRDefault="00F76EF7" w:rsidP="009C6DC3">
            <w:pPr>
              <w:contextualSpacing/>
              <w:rPr>
                <w:rFonts w:ascii="Verdana" w:hAnsi="Verdana" w:cs="Arial"/>
                <w:sz w:val="16"/>
                <w:szCs w:val="16"/>
                <w:lang w:val="es-ES" w:eastAsia="es-ES"/>
              </w:rPr>
            </w:pPr>
            <w:r w:rsidRPr="00BC18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79E822" w14:textId="77777777" w:rsidR="00F76EF7" w:rsidRPr="00BC1800" w:rsidRDefault="00F76EF7" w:rsidP="009C6DC3">
            <w:pPr>
              <w:pStyle w:val="paragraph"/>
              <w:spacing w:before="0" w:beforeAutospacing="0" w:after="0" w:afterAutospacing="0"/>
              <w:contextualSpacing/>
              <w:textAlignment w:val="baseline"/>
              <w:rPr>
                <w:rFonts w:ascii="Verdana" w:hAnsi="Verdana" w:cs="Segoe UI"/>
                <w:sz w:val="16"/>
                <w:szCs w:val="16"/>
              </w:rPr>
            </w:pPr>
            <w:r w:rsidRPr="00BC1800">
              <w:rPr>
                <w:rFonts w:ascii="Verdana" w:hAnsi="Verdana" w:cs="Segoe UI"/>
                <w:sz w:val="16"/>
                <w:szCs w:val="16"/>
              </w:rPr>
              <w:t>Juan Carlos González Velásquez</w:t>
            </w:r>
          </w:p>
          <w:p w14:paraId="5FCB0D4F" w14:textId="77777777" w:rsidR="00F76EF7" w:rsidRPr="00BC1800" w:rsidRDefault="00F76EF7" w:rsidP="009C6DC3">
            <w:pPr>
              <w:pStyle w:val="paragraph"/>
              <w:spacing w:before="0" w:beforeAutospacing="0" w:after="0" w:afterAutospacing="0"/>
              <w:contextualSpacing/>
              <w:textAlignment w:val="baseline"/>
              <w:rPr>
                <w:rFonts w:ascii="Verdana" w:hAnsi="Verdana" w:cs="Segoe UI"/>
                <w:sz w:val="16"/>
                <w:szCs w:val="16"/>
              </w:rPr>
            </w:pPr>
            <w:r w:rsidRPr="00BC1800">
              <w:rPr>
                <w:rStyle w:val="normaltextrun"/>
                <w:rFonts w:ascii="Verdana" w:hAnsi="Verdana" w:cs="Arial"/>
                <w:sz w:val="16"/>
                <w:szCs w:val="16"/>
                <w:lang w:val="es-ES"/>
              </w:rPr>
              <w:t>Contratista de la Subdirección de Gestión Contractual</w:t>
            </w:r>
            <w:r w:rsidRPr="00BC1800">
              <w:rPr>
                <w:rStyle w:val="eop"/>
                <w:rFonts w:ascii="Verdana" w:hAnsi="Verdana" w:cs="Arial"/>
                <w:sz w:val="16"/>
                <w:szCs w:val="16"/>
              </w:rPr>
              <w:t> </w:t>
            </w:r>
          </w:p>
        </w:tc>
      </w:tr>
      <w:tr w:rsidR="00F76EF7" w:rsidRPr="00BC1800" w14:paraId="5AE5F22C" w14:textId="77777777" w:rsidTr="009C6DC3">
        <w:trPr>
          <w:trHeight w:val="300"/>
        </w:trPr>
        <w:tc>
          <w:tcPr>
            <w:tcW w:w="893" w:type="dxa"/>
            <w:vAlign w:val="center"/>
          </w:tcPr>
          <w:p w14:paraId="6F28B14D" w14:textId="77777777" w:rsidR="00F76EF7" w:rsidRPr="00BC1800" w:rsidRDefault="00F76EF7" w:rsidP="009C6DC3">
            <w:pPr>
              <w:contextualSpacing/>
              <w:rPr>
                <w:rFonts w:ascii="Verdana" w:hAnsi="Verdana" w:cs="Arial"/>
                <w:sz w:val="16"/>
                <w:szCs w:val="16"/>
                <w:lang w:val="es-ES" w:eastAsia="es-ES"/>
              </w:rPr>
            </w:pPr>
            <w:r w:rsidRPr="00BC18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726C951" w14:textId="77777777" w:rsidR="00F76EF7" w:rsidRPr="00BC1800" w:rsidRDefault="00F76EF7" w:rsidP="009C6DC3">
            <w:pPr>
              <w:contextualSpacing/>
              <w:rPr>
                <w:rFonts w:ascii="Verdana" w:eastAsia="Calibri" w:hAnsi="Verdana" w:cs="Arial"/>
                <w:sz w:val="16"/>
                <w:szCs w:val="16"/>
                <w:lang w:val="pt-BR" w:eastAsia="es-ES"/>
              </w:rPr>
            </w:pPr>
            <w:r w:rsidRPr="00BC1800">
              <w:rPr>
                <w:rFonts w:ascii="Verdana" w:eastAsia="Calibri" w:hAnsi="Verdana" w:cs="Arial"/>
                <w:sz w:val="16"/>
                <w:szCs w:val="16"/>
                <w:lang w:val="pt-BR" w:eastAsia="es-ES"/>
              </w:rPr>
              <w:t xml:space="preserve">Carolina Quintero </w:t>
            </w:r>
            <w:proofErr w:type="spellStart"/>
            <w:r w:rsidRPr="00BC1800">
              <w:rPr>
                <w:rFonts w:ascii="Verdana" w:eastAsia="Calibri" w:hAnsi="Verdana" w:cs="Arial"/>
                <w:sz w:val="16"/>
                <w:szCs w:val="16"/>
                <w:lang w:val="pt-BR" w:eastAsia="es-ES"/>
              </w:rPr>
              <w:t>Gacharná</w:t>
            </w:r>
            <w:proofErr w:type="spellEnd"/>
          </w:p>
          <w:p w14:paraId="7605E317" w14:textId="77777777" w:rsidR="00F76EF7" w:rsidRPr="00BC1800" w:rsidRDefault="00F76EF7" w:rsidP="009C6DC3">
            <w:pPr>
              <w:contextualSpacing/>
              <w:rPr>
                <w:rFonts w:ascii="Verdana" w:eastAsia="Calibri" w:hAnsi="Verdana" w:cs="Arial"/>
                <w:sz w:val="16"/>
                <w:szCs w:val="16"/>
                <w:lang w:val="pt-BR" w:eastAsia="es-ES"/>
              </w:rPr>
            </w:pPr>
            <w:r w:rsidRPr="00BC1800">
              <w:rPr>
                <w:rFonts w:ascii="Verdana" w:eastAsia="Calibri" w:hAnsi="Verdana" w:cs="Arial"/>
                <w:sz w:val="16"/>
                <w:szCs w:val="16"/>
                <w:lang w:eastAsia="es-ES"/>
              </w:rPr>
              <w:t>Subdirectora</w:t>
            </w:r>
            <w:r w:rsidRPr="00BC1800">
              <w:rPr>
                <w:rFonts w:ascii="Verdana" w:eastAsia="Calibri" w:hAnsi="Verdana" w:cs="Arial"/>
                <w:sz w:val="16"/>
                <w:szCs w:val="16"/>
                <w:lang w:val="pt-BR" w:eastAsia="es-ES"/>
              </w:rPr>
              <w:t xml:space="preserve"> de Gestión </w:t>
            </w:r>
            <w:proofErr w:type="spellStart"/>
            <w:r w:rsidRPr="00BC1800">
              <w:rPr>
                <w:rFonts w:ascii="Verdana" w:eastAsia="Calibri" w:hAnsi="Verdana" w:cs="Arial"/>
                <w:sz w:val="16"/>
                <w:szCs w:val="16"/>
                <w:lang w:val="pt-BR" w:eastAsia="es-ES"/>
              </w:rPr>
              <w:t>Contractual</w:t>
            </w:r>
            <w:proofErr w:type="spellEnd"/>
            <w:r w:rsidRPr="00BC1800">
              <w:rPr>
                <w:rFonts w:ascii="Verdana" w:eastAsia="Calibri" w:hAnsi="Verdana" w:cs="Arial"/>
                <w:sz w:val="16"/>
                <w:szCs w:val="16"/>
                <w:lang w:val="pt-BR" w:eastAsia="es-ES"/>
              </w:rPr>
              <w:t xml:space="preserve"> ANCP – CCE</w:t>
            </w:r>
          </w:p>
        </w:tc>
      </w:tr>
    </w:tbl>
    <w:p w14:paraId="428875E6" w14:textId="77777777" w:rsidR="00F76EF7" w:rsidRPr="00BC1800" w:rsidRDefault="00F76EF7" w:rsidP="00F76EF7">
      <w:pPr>
        <w:spacing w:after="0" w:line="240" w:lineRule="auto"/>
        <w:rPr>
          <w:rFonts w:ascii="Verdana" w:eastAsia="Times New Roman" w:hAnsi="Verdana" w:cs="Arial"/>
          <w:sz w:val="24"/>
          <w:szCs w:val="24"/>
          <w:lang w:eastAsia="es-ES"/>
        </w:rPr>
      </w:pPr>
    </w:p>
    <w:p w14:paraId="081FD253" w14:textId="77777777" w:rsidR="00F76EF7" w:rsidRPr="00BC1800" w:rsidRDefault="00F76EF7" w:rsidP="00F76EF7"/>
    <w:p w14:paraId="3900974D" w14:textId="77777777" w:rsidR="003D5B0D" w:rsidRPr="006565BC" w:rsidRDefault="003D5B0D" w:rsidP="006565BC"/>
    <w:sectPr w:rsidR="003D5B0D" w:rsidRPr="006565BC"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D869F" w14:textId="77777777" w:rsidR="00C45700" w:rsidRDefault="00C45700" w:rsidP="004A1847">
      <w:pPr>
        <w:spacing w:after="0" w:line="240" w:lineRule="auto"/>
      </w:pPr>
      <w:r>
        <w:separator/>
      </w:r>
    </w:p>
  </w:endnote>
  <w:endnote w:type="continuationSeparator" w:id="0">
    <w:p w14:paraId="3679D49F" w14:textId="77777777" w:rsidR="00C45700" w:rsidRDefault="00C45700" w:rsidP="004A1847">
      <w:pPr>
        <w:spacing w:after="0" w:line="240" w:lineRule="auto"/>
      </w:pPr>
      <w:r>
        <w:continuationSeparator/>
      </w:r>
    </w:p>
  </w:endnote>
  <w:endnote w:type="continuationNotice" w:id="1">
    <w:p w14:paraId="499E51A8" w14:textId="77777777" w:rsidR="00C45700" w:rsidRDefault="00C457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E2B3" w14:textId="77777777" w:rsidR="00C45700" w:rsidRDefault="00C45700" w:rsidP="004A1847">
      <w:pPr>
        <w:spacing w:after="0" w:line="240" w:lineRule="auto"/>
      </w:pPr>
      <w:r>
        <w:separator/>
      </w:r>
    </w:p>
  </w:footnote>
  <w:footnote w:type="continuationSeparator" w:id="0">
    <w:p w14:paraId="6044AE55" w14:textId="77777777" w:rsidR="00C45700" w:rsidRDefault="00C45700" w:rsidP="004A1847">
      <w:pPr>
        <w:spacing w:after="0" w:line="240" w:lineRule="auto"/>
      </w:pPr>
      <w:r>
        <w:continuationSeparator/>
      </w:r>
    </w:p>
  </w:footnote>
  <w:footnote w:type="continuationNotice" w:id="1">
    <w:p w14:paraId="6047D068" w14:textId="77777777" w:rsidR="00C45700" w:rsidRDefault="00C45700">
      <w:pPr>
        <w:spacing w:after="0" w:line="240" w:lineRule="auto"/>
      </w:pPr>
    </w:p>
  </w:footnote>
  <w:footnote w:id="2">
    <w:p w14:paraId="7D1DEF5E"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074DECA"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1E93A5C1"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14AA3B3"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776CD0D"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El Gobierno nacional reglamentará el mecanismo para realizar la mensualización de que trata el presente artículo.</w:t>
      </w:r>
    </w:p>
    <w:p w14:paraId="33A544B3"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6649686F" w14:textId="77777777" w:rsidR="00F76EF7" w:rsidRPr="00FE6A9E" w:rsidRDefault="00F76EF7" w:rsidP="00F76EF7">
      <w:pPr>
        <w:pStyle w:val="Textonotapie"/>
        <w:ind w:firstLine="709"/>
        <w:jc w:val="both"/>
        <w:rPr>
          <w:rFonts w:ascii="Verdana" w:hAnsi="Verdana" w:cs="Arial"/>
          <w:color w:val="000000"/>
          <w:sz w:val="16"/>
          <w:szCs w:val="16"/>
          <w:lang w:val="es-ES"/>
        </w:rPr>
      </w:pPr>
    </w:p>
  </w:footnote>
  <w:footnote w:id="4">
    <w:p w14:paraId="29384943" w14:textId="77777777" w:rsidR="00F76EF7" w:rsidRPr="00FE6A9E" w:rsidRDefault="00F76EF7" w:rsidP="00F76EF7">
      <w:pPr>
        <w:pStyle w:val="Textonotapie"/>
        <w:ind w:firstLine="708"/>
        <w:rPr>
          <w:rFonts w:ascii="Verdana" w:hAnsi="Verdana"/>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footnote>
  <w:footnote w:id="5">
    <w:p w14:paraId="6F5F4822" w14:textId="77777777" w:rsidR="00F76EF7" w:rsidRPr="00FE6A9E" w:rsidRDefault="00F76EF7" w:rsidP="00F76EF7">
      <w:pPr>
        <w:spacing w:after="0"/>
        <w:ind w:firstLine="708"/>
        <w:jc w:val="both"/>
        <w:rPr>
          <w:rFonts w:ascii="Verdana" w:eastAsia="Arial Nova" w:hAnsi="Verdana" w:cs="Arial"/>
          <w:sz w:val="16"/>
          <w:szCs w:val="16"/>
          <w:lang w:val="es"/>
        </w:rPr>
      </w:pPr>
      <w:r w:rsidRPr="00FE6A9E">
        <w:rPr>
          <w:rStyle w:val="Refdenotaalpie"/>
          <w:rFonts w:ascii="Verdana" w:hAnsi="Verdana" w:cs="Arial"/>
          <w:sz w:val="16"/>
          <w:szCs w:val="16"/>
        </w:rPr>
        <w:footnoteRef/>
      </w:r>
      <w:r w:rsidRPr="00FE6A9E">
        <w:rPr>
          <w:rFonts w:ascii="Verdana" w:hAnsi="Verdana" w:cs="Arial"/>
          <w:sz w:val="16"/>
          <w:szCs w:val="16"/>
        </w:rPr>
        <w:t xml:space="preserve"> </w:t>
      </w:r>
      <w:r w:rsidRPr="00FE6A9E">
        <w:rPr>
          <w:rFonts w:ascii="Verdana" w:eastAsia="Arial Nova" w:hAnsi="Verdana" w:cs="Arial"/>
          <w:sz w:val="16"/>
          <w:szCs w:val="16"/>
          <w:lang w:val="es"/>
        </w:rPr>
        <w:t xml:space="preserve">Corte Constitucional. Sentencia C-614 de 2009. M.P. Jorge Ignacio Pretelt Chaljub. </w:t>
      </w:r>
    </w:p>
    <w:p w14:paraId="355F346B" w14:textId="77777777" w:rsidR="00F76EF7" w:rsidRPr="00FE6A9E" w:rsidRDefault="00F76EF7" w:rsidP="00F76EF7">
      <w:pPr>
        <w:pStyle w:val="Textonotapie"/>
        <w:rPr>
          <w:rFonts w:ascii="Verdana" w:hAnsi="Verdana"/>
          <w:sz w:val="16"/>
          <w:szCs w:val="16"/>
        </w:rPr>
      </w:pPr>
    </w:p>
  </w:footnote>
  <w:footnote w:id="6">
    <w:p w14:paraId="206AAE49" w14:textId="77777777" w:rsidR="00F76EF7" w:rsidRPr="00FE6A9E" w:rsidRDefault="00F76EF7" w:rsidP="00F76EF7">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p w14:paraId="37ACEFF3" w14:textId="77777777" w:rsidR="00F76EF7" w:rsidRPr="00FE6A9E" w:rsidRDefault="00F76EF7" w:rsidP="00F76EF7">
      <w:pPr>
        <w:pStyle w:val="Textonotapie"/>
        <w:ind w:firstLine="708"/>
        <w:rPr>
          <w:rFonts w:ascii="Verdana" w:hAnsi="Verdana"/>
          <w:sz w:val="16"/>
          <w:szCs w:val="16"/>
        </w:rPr>
      </w:pPr>
    </w:p>
  </w:footnote>
  <w:footnote w:id="7">
    <w:p w14:paraId="007E176C"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0552B0F" w14:textId="77777777" w:rsidR="00F76EF7" w:rsidRPr="00FE6A9E" w:rsidRDefault="00F76EF7" w:rsidP="00F76EF7">
      <w:pPr>
        <w:pStyle w:val="Textonotapie"/>
        <w:ind w:firstLine="708"/>
        <w:rPr>
          <w:rFonts w:ascii="Verdana" w:hAnsi="Verdana"/>
          <w:sz w:val="16"/>
          <w:szCs w:val="16"/>
          <w:lang w:val="es-ES"/>
        </w:rPr>
      </w:pPr>
    </w:p>
  </w:footnote>
  <w:footnote w:id="8">
    <w:p w14:paraId="5E6180FE" w14:textId="77777777" w:rsidR="00F76EF7" w:rsidRPr="00FE6A9E" w:rsidRDefault="00F76EF7" w:rsidP="00F76EF7">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5D9E6B7F" w14:textId="77777777" w:rsidR="00F76EF7" w:rsidRPr="00FE6A9E" w:rsidRDefault="00F76EF7" w:rsidP="00F76EF7">
      <w:pPr>
        <w:pStyle w:val="Textonotapie"/>
        <w:ind w:firstLine="708"/>
        <w:rPr>
          <w:rFonts w:ascii="Verdana" w:hAnsi="Verdana"/>
          <w:sz w:val="16"/>
          <w:szCs w:val="16"/>
          <w:lang w:val="es-ES"/>
        </w:rPr>
      </w:pPr>
    </w:p>
  </w:footnote>
  <w:footnote w:id="9">
    <w:p w14:paraId="218EC5B3" w14:textId="77777777" w:rsidR="00F76EF7" w:rsidRPr="00FE6A9E" w:rsidRDefault="00F76EF7" w:rsidP="00F76EF7">
      <w:pPr>
        <w:pStyle w:val="Textonotapie"/>
        <w:ind w:firstLine="708"/>
        <w:rPr>
          <w:rFonts w:ascii="Verdana" w:hAnsi="Verdana"/>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Ibíd.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CAF6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28480793" o:spid="_x0000_i1025" type="#_x0000_t75" style="width:11.25pt;height:11.25pt;visibility:visible;mso-wrap-style:square">
            <v:imagedata r:id="rId1" o:title=""/>
          </v:shape>
        </w:pict>
      </mc:Choice>
      <mc:Fallback>
        <w:drawing>
          <wp:inline distT="0" distB="0" distL="0" distR="0" wp14:anchorId="484F58CA">
            <wp:extent cx="142875" cy="142875"/>
            <wp:effectExtent l="0" t="0" r="0" b="0"/>
            <wp:docPr id="1328480793" name="Imagen 132848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6C8"/>
    <w:rsid w:val="000A683E"/>
    <w:rsid w:val="000B19B9"/>
    <w:rsid w:val="000D0334"/>
    <w:rsid w:val="000F6486"/>
    <w:rsid w:val="00103FFC"/>
    <w:rsid w:val="00125105"/>
    <w:rsid w:val="001265F4"/>
    <w:rsid w:val="00127233"/>
    <w:rsid w:val="001511A0"/>
    <w:rsid w:val="0017437E"/>
    <w:rsid w:val="001E4177"/>
    <w:rsid w:val="001F7DC6"/>
    <w:rsid w:val="00204C05"/>
    <w:rsid w:val="002421BB"/>
    <w:rsid w:val="0025796E"/>
    <w:rsid w:val="002707A2"/>
    <w:rsid w:val="00283FBF"/>
    <w:rsid w:val="002951A0"/>
    <w:rsid w:val="002962BC"/>
    <w:rsid w:val="002A093D"/>
    <w:rsid w:val="002A0DD0"/>
    <w:rsid w:val="002A49AC"/>
    <w:rsid w:val="002A64FD"/>
    <w:rsid w:val="002C7A84"/>
    <w:rsid w:val="002D1489"/>
    <w:rsid w:val="002E4FD9"/>
    <w:rsid w:val="00322A85"/>
    <w:rsid w:val="00324168"/>
    <w:rsid w:val="003448F4"/>
    <w:rsid w:val="00374F5E"/>
    <w:rsid w:val="00377E3E"/>
    <w:rsid w:val="00390FD1"/>
    <w:rsid w:val="003A779E"/>
    <w:rsid w:val="003C08D1"/>
    <w:rsid w:val="003D0F4D"/>
    <w:rsid w:val="003D5B0D"/>
    <w:rsid w:val="003E0499"/>
    <w:rsid w:val="003F3941"/>
    <w:rsid w:val="00406575"/>
    <w:rsid w:val="00414C74"/>
    <w:rsid w:val="0042722E"/>
    <w:rsid w:val="0044528D"/>
    <w:rsid w:val="00490543"/>
    <w:rsid w:val="004A1847"/>
    <w:rsid w:val="004A305D"/>
    <w:rsid w:val="004A3FBC"/>
    <w:rsid w:val="004B1771"/>
    <w:rsid w:val="004F21C4"/>
    <w:rsid w:val="004F685F"/>
    <w:rsid w:val="005566E8"/>
    <w:rsid w:val="00574867"/>
    <w:rsid w:val="00591460"/>
    <w:rsid w:val="005B3816"/>
    <w:rsid w:val="005C3777"/>
    <w:rsid w:val="005C5CDC"/>
    <w:rsid w:val="005D476C"/>
    <w:rsid w:val="006219F8"/>
    <w:rsid w:val="00641D82"/>
    <w:rsid w:val="00643775"/>
    <w:rsid w:val="006565BC"/>
    <w:rsid w:val="006601AC"/>
    <w:rsid w:val="00665D70"/>
    <w:rsid w:val="006900D9"/>
    <w:rsid w:val="006F0BAC"/>
    <w:rsid w:val="00706C16"/>
    <w:rsid w:val="00756841"/>
    <w:rsid w:val="007649AB"/>
    <w:rsid w:val="00771D0C"/>
    <w:rsid w:val="007833AC"/>
    <w:rsid w:val="007B268C"/>
    <w:rsid w:val="007B7171"/>
    <w:rsid w:val="007C0C0F"/>
    <w:rsid w:val="007C3DC2"/>
    <w:rsid w:val="007E4EE3"/>
    <w:rsid w:val="007E5497"/>
    <w:rsid w:val="007F693C"/>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01AE"/>
    <w:rsid w:val="009B2D26"/>
    <w:rsid w:val="009C3167"/>
    <w:rsid w:val="009C71FA"/>
    <w:rsid w:val="009C72E7"/>
    <w:rsid w:val="009D3058"/>
    <w:rsid w:val="009F3A13"/>
    <w:rsid w:val="00A0776A"/>
    <w:rsid w:val="00A122D3"/>
    <w:rsid w:val="00A16F43"/>
    <w:rsid w:val="00A17F13"/>
    <w:rsid w:val="00A20739"/>
    <w:rsid w:val="00A33C78"/>
    <w:rsid w:val="00A70B97"/>
    <w:rsid w:val="00AB0ADB"/>
    <w:rsid w:val="00AC0053"/>
    <w:rsid w:val="00AD72C7"/>
    <w:rsid w:val="00B01B1A"/>
    <w:rsid w:val="00B43A52"/>
    <w:rsid w:val="00B66319"/>
    <w:rsid w:val="00B72CD3"/>
    <w:rsid w:val="00B72FFF"/>
    <w:rsid w:val="00BC3D36"/>
    <w:rsid w:val="00BD626F"/>
    <w:rsid w:val="00BD7F72"/>
    <w:rsid w:val="00BF0500"/>
    <w:rsid w:val="00C04FB3"/>
    <w:rsid w:val="00C330EB"/>
    <w:rsid w:val="00C41061"/>
    <w:rsid w:val="00C45700"/>
    <w:rsid w:val="00C754BE"/>
    <w:rsid w:val="00C76B1C"/>
    <w:rsid w:val="00CB6357"/>
    <w:rsid w:val="00CC1B26"/>
    <w:rsid w:val="00D423A2"/>
    <w:rsid w:val="00D520D8"/>
    <w:rsid w:val="00D63AC2"/>
    <w:rsid w:val="00D7383B"/>
    <w:rsid w:val="00DA231B"/>
    <w:rsid w:val="00DC39FC"/>
    <w:rsid w:val="00DF5254"/>
    <w:rsid w:val="00E160D6"/>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0EC7"/>
    <w:rsid w:val="00F41BE8"/>
    <w:rsid w:val="00F462B3"/>
    <w:rsid w:val="00F55EEF"/>
    <w:rsid w:val="00F5664F"/>
    <w:rsid w:val="00F60E17"/>
    <w:rsid w:val="00F666C4"/>
    <w:rsid w:val="00F76AFC"/>
    <w:rsid w:val="00F76EF7"/>
    <w:rsid w:val="00FA47C0"/>
    <w:rsid w:val="00FB5DD1"/>
    <w:rsid w:val="00FB7CC1"/>
    <w:rsid w:val="00FC2B5D"/>
    <w:rsid w:val="00FF1449"/>
    <w:rsid w:val="09413C11"/>
    <w:rsid w:val="165E9519"/>
    <w:rsid w:val="265A5E6F"/>
    <w:rsid w:val="274BAB57"/>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16F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6F43"/>
    <w:rPr>
      <w:rFonts w:ascii="Geomanist Light" w:hAnsi="Geomanist Light"/>
      <w:lang w:val="es-ES"/>
    </w:rPr>
  </w:style>
  <w:style w:type="paragraph" w:styleId="Textocomentario">
    <w:name w:val="annotation text"/>
    <w:basedOn w:val="Normal"/>
    <w:link w:val="TextocomentarioCar"/>
    <w:uiPriority w:val="99"/>
    <w:semiHidden/>
    <w:unhideWhenUsed/>
    <w:rsid w:val="007F693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F693C"/>
    <w:rPr>
      <w:sz w:val="20"/>
      <w:szCs w:val="20"/>
    </w:rPr>
  </w:style>
  <w:style w:type="character" w:styleId="Refdecomentario">
    <w:name w:val="annotation reference"/>
    <w:basedOn w:val="Fuentedeprrafopredeter"/>
    <w:uiPriority w:val="99"/>
    <w:semiHidden/>
    <w:unhideWhenUsed/>
    <w:rsid w:val="007F693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E066C15-4DCE-4AF7-BB8C-5D7011136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3831</Words>
  <Characters>21076</Characters>
  <Application>Microsoft Office Word</Application>
  <DocSecurity>0</DocSecurity>
  <Lines>175</Lines>
  <Paragraphs>49</Paragraphs>
  <ScaleCrop>false</ScaleCrop>
  <Company/>
  <LinksUpToDate>false</LinksUpToDate>
  <CharactersWithSpaces>24858</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2025-06-26T13:40:00Z</dcterms:created>
  <dcterms:modified xsi:type="dcterms:W3CDTF">2025-06-26T13:40:00Z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