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5F01E" w14:textId="77777777" w:rsidR="0088609F" w:rsidRPr="0088609F" w:rsidRDefault="0088609F" w:rsidP="0088609F">
      <w:pPr>
        <w:pStyle w:val="Sinespaciado"/>
        <w:jc w:val="both"/>
        <w:rPr>
          <w:rFonts w:ascii="Verdana" w:hAnsi="Verdana" w:cs="Arial"/>
          <w:b/>
          <w:bCs/>
          <w:sz w:val="22"/>
          <w:lang w:val="es-ES"/>
        </w:rPr>
      </w:pPr>
      <w:bookmarkStart w:id="0" w:name="_Hlk143780582"/>
      <w:r w:rsidRPr="0088609F">
        <w:rPr>
          <w:rFonts w:ascii="Verdana" w:hAnsi="Verdana" w:cs="Arial"/>
          <w:b/>
          <w:bCs/>
          <w:sz w:val="22"/>
          <w:lang w:val="es-ES"/>
        </w:rPr>
        <w:t>INHABILIDADES – Definición – Finalidad – Limitación a capacidad</w:t>
      </w:r>
    </w:p>
    <w:p w14:paraId="3499896A" w14:textId="77777777" w:rsidR="0088609F" w:rsidRPr="0088609F" w:rsidRDefault="0088609F" w:rsidP="0088609F">
      <w:pPr>
        <w:pStyle w:val="Sinespaciado"/>
        <w:jc w:val="both"/>
        <w:rPr>
          <w:rFonts w:ascii="Verdana" w:hAnsi="Verdana" w:cs="Arial"/>
          <w:sz w:val="22"/>
          <w:lang w:val="es-ES"/>
        </w:rPr>
      </w:pPr>
    </w:p>
    <w:p w14:paraId="01396B2C" w14:textId="77777777" w:rsidR="0088609F" w:rsidRPr="0088609F" w:rsidRDefault="0088609F" w:rsidP="0088609F">
      <w:pPr>
        <w:pStyle w:val="Sinespaciado"/>
        <w:jc w:val="both"/>
        <w:rPr>
          <w:rFonts w:ascii="Verdana" w:hAnsi="Verdana" w:cs="Arial"/>
          <w:sz w:val="22"/>
          <w:lang w:val="es-ES"/>
        </w:rPr>
      </w:pPr>
      <w:r w:rsidRPr="0088609F">
        <w:rPr>
          <w:rFonts w:ascii="Verdana" w:hAnsi="Verdana" w:cs="Arial"/>
          <w:sz w:val="22"/>
          <w:lang w:val="es-ES"/>
        </w:rPr>
        <w:t xml:space="preserve">Las inhabilidades son circunstancias establecidas por la Constitución o la ley que impiden que personas naturales o jurídicas sean elegidas o designadas en un cargo público o celebren contratos con el Estado, con el objetivo de garantizar la idoneidad, imparcialidad, probidad, transparencia y moralidad de la función pública, garantizando el interés general.  </w:t>
      </w:r>
    </w:p>
    <w:p w14:paraId="12D12B4A" w14:textId="77777777" w:rsidR="0088609F" w:rsidRPr="0088609F" w:rsidRDefault="0088609F" w:rsidP="0088609F">
      <w:pPr>
        <w:pStyle w:val="Sinespaciado"/>
        <w:jc w:val="both"/>
        <w:rPr>
          <w:rFonts w:ascii="Verdana" w:hAnsi="Verdana" w:cs="Arial"/>
          <w:sz w:val="22"/>
          <w:lang w:val="es-ES"/>
        </w:rPr>
      </w:pPr>
    </w:p>
    <w:p w14:paraId="7D76611D" w14:textId="77777777" w:rsidR="0088609F" w:rsidRPr="0088609F" w:rsidRDefault="0088609F" w:rsidP="0088609F">
      <w:pPr>
        <w:pStyle w:val="Sinespaciado"/>
        <w:jc w:val="both"/>
        <w:rPr>
          <w:rFonts w:ascii="Verdana" w:hAnsi="Verdana" w:cs="Arial"/>
          <w:sz w:val="22"/>
          <w:lang w:val="es-ES"/>
        </w:rPr>
      </w:pPr>
      <w:r w:rsidRPr="0088609F">
        <w:rPr>
          <w:rFonts w:ascii="Verdana" w:hAnsi="Verdana" w:cs="Arial"/>
          <w:sz w:val="22"/>
          <w:lang w:val="es-ES"/>
        </w:rPr>
        <w:t>El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En esta medida, la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p>
    <w:p w14:paraId="417899D2" w14:textId="77777777" w:rsidR="0088609F" w:rsidRPr="0088609F" w:rsidRDefault="0088609F" w:rsidP="0088609F">
      <w:pPr>
        <w:pStyle w:val="Sinespaciado"/>
        <w:jc w:val="both"/>
        <w:rPr>
          <w:rFonts w:ascii="Verdana" w:hAnsi="Verdana" w:cs="Arial"/>
          <w:sz w:val="22"/>
          <w:lang w:val="es-ES"/>
        </w:rPr>
      </w:pPr>
    </w:p>
    <w:p w14:paraId="2710A23F" w14:textId="6BBDFCAB" w:rsidR="0088609F" w:rsidRPr="0088609F" w:rsidRDefault="0088609F" w:rsidP="0088609F">
      <w:pPr>
        <w:pStyle w:val="Sinespaciado"/>
        <w:jc w:val="both"/>
        <w:rPr>
          <w:rFonts w:ascii="Verdana" w:hAnsi="Verdana" w:cs="Arial"/>
          <w:sz w:val="22"/>
          <w:lang w:val="es-ES"/>
        </w:rPr>
      </w:pPr>
      <w:r w:rsidRPr="0088609F">
        <w:rPr>
          <w:rFonts w:ascii="Verdana" w:hAnsi="Verdana" w:cs="Arial"/>
          <w:b/>
          <w:bCs/>
          <w:sz w:val="22"/>
          <w:lang w:val="es-ES"/>
        </w:rPr>
        <w:t>INHABILIDADES – Clasificación – Sanción – Proceso sancionatorio – Requisito – Condiciones personales</w:t>
      </w:r>
    </w:p>
    <w:p w14:paraId="11099AB7" w14:textId="377DAF61" w:rsidR="0088609F" w:rsidRPr="0088609F" w:rsidRDefault="0088609F" w:rsidP="0088609F">
      <w:pPr>
        <w:jc w:val="both"/>
        <w:rPr>
          <w:rFonts w:ascii="Verdana" w:hAnsi="Verdana" w:cs="Arial"/>
          <w:lang w:val="es-ES"/>
        </w:rPr>
      </w:pPr>
      <w:r w:rsidRPr="0088609F">
        <w:rPr>
          <w:rFonts w:ascii="Verdana" w:hAnsi="Verdana" w:cs="Arial"/>
          <w:lang w:val="es-ES"/>
        </w:rPr>
        <w:t xml:space="preserve">Conviene también distinguir las fuentes de las inhabilidades, las cuales han sido clasificadas en dos (2) grupos: i) inhabilidades-sanción y </w:t>
      </w:r>
      <w:proofErr w:type="spellStart"/>
      <w:r w:rsidRPr="0088609F">
        <w:rPr>
          <w:rFonts w:ascii="Verdana" w:hAnsi="Verdana" w:cs="Arial"/>
          <w:lang w:val="es-ES"/>
        </w:rPr>
        <w:t>ii</w:t>
      </w:r>
      <w:proofErr w:type="spellEnd"/>
      <w:r w:rsidRPr="0088609F">
        <w:rPr>
          <w:rFonts w:ascii="Verdana" w:hAnsi="Verdana" w:cs="Arial"/>
          <w:lang w:val="es-ES"/>
        </w:rPr>
        <w:t xml:space="preserve">) inhabilidades-requisito. En el primer grupo se encuentran las inhabilidades que surgen como consecuencia de un proceso sancionatorio, en los ámbitos penal, disciplinario, contravencional o de pérdida de investidura. En el segundo grupo están aquellas que no devienen de un proceso sancionatorio, sino de condiciones propias de la persona y garantizan la moralidad, la imparcialidad, la eficacia y la </w:t>
      </w:r>
      <w:proofErr w:type="gramStart"/>
      <w:r w:rsidRPr="0088609F">
        <w:rPr>
          <w:rFonts w:ascii="Verdana" w:hAnsi="Verdana" w:cs="Arial"/>
          <w:lang w:val="es-ES"/>
        </w:rPr>
        <w:t>transparencia .</w:t>
      </w:r>
      <w:proofErr w:type="gramEnd"/>
      <w:r w:rsidRPr="0088609F">
        <w:rPr>
          <w:rFonts w:ascii="Verdana" w:hAnsi="Verdana" w:cs="Arial"/>
          <w:lang w:val="es-ES"/>
        </w:rPr>
        <w:t xml:space="preserve"> </w:t>
      </w:r>
    </w:p>
    <w:p w14:paraId="49924193" w14:textId="1BE4E6F9" w:rsidR="0088609F" w:rsidRPr="0088609F" w:rsidRDefault="0088609F" w:rsidP="0088609F">
      <w:pPr>
        <w:jc w:val="both"/>
        <w:rPr>
          <w:rFonts w:ascii="Verdana" w:eastAsia="Calibri" w:hAnsi="Verdana" w:cs="Arial"/>
          <w:b/>
          <w:bCs/>
          <w:lang w:val="es-ES"/>
        </w:rPr>
      </w:pPr>
      <w:r w:rsidRPr="0088609F">
        <w:rPr>
          <w:rFonts w:ascii="Verdana" w:eastAsia="Calibri" w:hAnsi="Verdana" w:cs="Arial"/>
          <w:b/>
          <w:bCs/>
          <w:lang w:val="es-ES"/>
        </w:rPr>
        <w:t>INHABILIDADES – Taxatividad – Principio de legalidad – Interpretación restrictiva</w:t>
      </w:r>
    </w:p>
    <w:p w14:paraId="0AEA794D" w14:textId="77777777" w:rsidR="0088609F" w:rsidRPr="0088609F" w:rsidRDefault="0088609F" w:rsidP="0088609F">
      <w:pPr>
        <w:jc w:val="both"/>
        <w:rPr>
          <w:rFonts w:ascii="Verdana" w:eastAsia="Calibri" w:hAnsi="Verdana" w:cs="Arial"/>
          <w:lang w:val="es-ES"/>
        </w:rPr>
      </w:pPr>
      <w:r w:rsidRPr="0088609F">
        <w:rPr>
          <w:rFonts w:ascii="Verdana" w:eastAsia="Calibri" w:hAnsi="Verdana" w:cs="Arial"/>
          <w:lang w:val="es-ES"/>
        </w:rPr>
        <w:t xml:space="preserve">Ahora bien, las inhabilidades e incompatibilidades al ser restricciones o límites especiales a la capacidad para presentar ofertas y celebrar contratos estatales, solo pueden tipificarse en la ley –o sea, deben satisfacer el principio de legalidad– y su interpretación debe ser restrictiva, pues si se admitiera una interpretación amplia, extensiva o finalista de las mismas, tales enunciados normativos contemplarían múltiples supuestos indeterminados, según el parecer o el sentido común de los operadores jurídicos, poniendo en riesgo principios como la igualdad, el debido proceso, la libre concurrencia y el ejercicio de la </w:t>
      </w:r>
      <w:r w:rsidRPr="0088609F">
        <w:rPr>
          <w:rFonts w:ascii="Verdana" w:eastAsia="Calibri" w:hAnsi="Verdana" w:cs="Arial"/>
          <w:lang w:val="es-ES"/>
        </w:rPr>
        <w:lastRenderedPageBreak/>
        <w:t>profesión u oficio. Tal ha sido la postura de la jurisprudencia, tanto de la Corte Constitucional como de la Sección Tercera del Consejo de Estado.</w:t>
      </w:r>
    </w:p>
    <w:p w14:paraId="5F2D2E38" w14:textId="746A5C7C" w:rsidR="0088609F" w:rsidRDefault="0088609F" w:rsidP="0088609F">
      <w:pPr>
        <w:pStyle w:val="Textoindependiente"/>
        <w:spacing w:before="163"/>
      </w:pPr>
    </w:p>
    <w:p w14:paraId="002C63BA" w14:textId="77777777" w:rsidR="0088609F" w:rsidRDefault="0088609F" w:rsidP="0088609F">
      <w:pPr>
        <w:pStyle w:val="Textoindependiente"/>
        <w:spacing w:before="163"/>
      </w:pPr>
    </w:p>
    <w:p w14:paraId="407283DB" w14:textId="6B805567" w:rsidR="0088609F" w:rsidRDefault="0088609F" w:rsidP="0088609F">
      <w:pPr>
        <w:pStyle w:val="Textoindependiente"/>
        <w:spacing w:before="163"/>
      </w:pPr>
    </w:p>
    <w:p w14:paraId="24646CD7" w14:textId="13D71FB2" w:rsidR="0088609F" w:rsidRDefault="0088609F" w:rsidP="0088609F">
      <w:pPr>
        <w:pStyle w:val="Textoindependiente"/>
        <w:spacing w:before="163"/>
      </w:pPr>
    </w:p>
    <w:p w14:paraId="726C53F5" w14:textId="385806DA" w:rsidR="0088609F" w:rsidRDefault="0088609F" w:rsidP="0088609F">
      <w:pPr>
        <w:pStyle w:val="Textoindependiente"/>
        <w:spacing w:before="163"/>
      </w:pPr>
    </w:p>
    <w:p w14:paraId="1AD346BB" w14:textId="77777777" w:rsidR="0088609F" w:rsidRDefault="0088609F" w:rsidP="0088609F">
      <w:pPr>
        <w:pStyle w:val="Textoindependiente"/>
        <w:spacing w:before="163"/>
      </w:pPr>
    </w:p>
    <w:p w14:paraId="49DC4E15" w14:textId="22244E31" w:rsidR="0088609F" w:rsidRDefault="0088609F" w:rsidP="0088609F">
      <w:pPr>
        <w:pStyle w:val="Textoindependiente"/>
        <w:spacing w:before="163"/>
      </w:pPr>
    </w:p>
    <w:p w14:paraId="25C2097C" w14:textId="4E23C48A" w:rsidR="0088609F" w:rsidRDefault="0088609F" w:rsidP="0088609F">
      <w:pPr>
        <w:pStyle w:val="Textoindependiente"/>
        <w:spacing w:before="163"/>
      </w:pPr>
    </w:p>
    <w:p w14:paraId="37403E72" w14:textId="2B3F91A9" w:rsidR="0088609F" w:rsidRDefault="0088609F" w:rsidP="0088609F">
      <w:pPr>
        <w:pStyle w:val="Textoindependiente"/>
        <w:spacing w:before="163"/>
      </w:pPr>
    </w:p>
    <w:p w14:paraId="7902E0A2" w14:textId="1FE79FEE" w:rsidR="0088609F" w:rsidRDefault="0088609F" w:rsidP="0088609F">
      <w:pPr>
        <w:pStyle w:val="Textoindependiente"/>
        <w:spacing w:before="163"/>
      </w:pPr>
    </w:p>
    <w:p w14:paraId="42B73668" w14:textId="3958E3ED" w:rsidR="0088609F" w:rsidRDefault="0088609F" w:rsidP="0088609F">
      <w:pPr>
        <w:pStyle w:val="Textoindependiente"/>
        <w:spacing w:before="163"/>
      </w:pPr>
    </w:p>
    <w:p w14:paraId="18F2BDBC" w14:textId="3E7C043D" w:rsidR="0088609F" w:rsidRDefault="0088609F" w:rsidP="0088609F">
      <w:pPr>
        <w:pStyle w:val="Textoindependiente"/>
        <w:spacing w:before="163"/>
      </w:pPr>
    </w:p>
    <w:p w14:paraId="5925E6A3" w14:textId="5B0E51F5" w:rsidR="0088609F" w:rsidRDefault="0088609F" w:rsidP="0088609F">
      <w:pPr>
        <w:pStyle w:val="Textoindependiente"/>
        <w:spacing w:before="163"/>
      </w:pPr>
    </w:p>
    <w:p w14:paraId="12D315D9" w14:textId="70D08CF3" w:rsidR="0088609F" w:rsidRDefault="0088609F" w:rsidP="0088609F">
      <w:pPr>
        <w:pStyle w:val="Textoindependiente"/>
        <w:spacing w:before="163"/>
      </w:pPr>
    </w:p>
    <w:p w14:paraId="7C2EE50E" w14:textId="67B3ED8D" w:rsidR="0088609F" w:rsidRDefault="0088609F" w:rsidP="0088609F">
      <w:pPr>
        <w:pStyle w:val="Textoindependiente"/>
        <w:spacing w:before="163"/>
      </w:pPr>
    </w:p>
    <w:p w14:paraId="26FC1857" w14:textId="0A6C321A" w:rsidR="0088609F" w:rsidRDefault="0088609F" w:rsidP="0088609F">
      <w:pPr>
        <w:pStyle w:val="Textoindependiente"/>
        <w:spacing w:before="163"/>
      </w:pPr>
    </w:p>
    <w:p w14:paraId="6A51B371" w14:textId="18697970" w:rsidR="0088609F" w:rsidRDefault="0088609F" w:rsidP="0088609F">
      <w:pPr>
        <w:pStyle w:val="Textoindependiente"/>
        <w:spacing w:before="163"/>
      </w:pPr>
    </w:p>
    <w:p w14:paraId="3B2236CD" w14:textId="79D67CB7" w:rsidR="0088609F" w:rsidRDefault="0088609F" w:rsidP="0088609F">
      <w:pPr>
        <w:pStyle w:val="Textoindependiente"/>
        <w:spacing w:before="163"/>
      </w:pPr>
    </w:p>
    <w:p w14:paraId="684841C8" w14:textId="70583C42" w:rsidR="0088609F" w:rsidRDefault="0088609F" w:rsidP="0088609F">
      <w:pPr>
        <w:pStyle w:val="Textoindependiente"/>
        <w:spacing w:before="163"/>
      </w:pPr>
    </w:p>
    <w:p w14:paraId="0D24C637" w14:textId="3DACBB0D" w:rsidR="0088609F" w:rsidRDefault="0088609F" w:rsidP="0088609F">
      <w:pPr>
        <w:pStyle w:val="Textoindependiente"/>
        <w:spacing w:before="163"/>
      </w:pPr>
    </w:p>
    <w:p w14:paraId="427B9B6C" w14:textId="51B56A4E" w:rsidR="0088609F" w:rsidRDefault="0088609F" w:rsidP="0088609F">
      <w:pPr>
        <w:pStyle w:val="Textoindependiente"/>
        <w:spacing w:before="163"/>
      </w:pPr>
    </w:p>
    <w:p w14:paraId="5D25C5CE" w14:textId="6BB36361" w:rsidR="0088609F" w:rsidRDefault="0088609F" w:rsidP="0088609F">
      <w:pPr>
        <w:pStyle w:val="Textoindependiente"/>
        <w:spacing w:before="163"/>
      </w:pPr>
    </w:p>
    <w:p w14:paraId="7B50F6E6" w14:textId="309E8F47" w:rsidR="0088609F" w:rsidRDefault="0088609F" w:rsidP="0088609F">
      <w:pPr>
        <w:pStyle w:val="Textoindependiente"/>
        <w:spacing w:before="163"/>
      </w:pPr>
    </w:p>
    <w:p w14:paraId="28D6E9EF" w14:textId="720E15D2" w:rsidR="0088609F" w:rsidRDefault="0088609F" w:rsidP="0088609F">
      <w:pPr>
        <w:pStyle w:val="Textoindependiente"/>
        <w:spacing w:before="163"/>
      </w:pPr>
    </w:p>
    <w:p w14:paraId="469E40C2" w14:textId="42D278DE" w:rsidR="0088609F" w:rsidRDefault="0088609F" w:rsidP="0088609F">
      <w:pPr>
        <w:pStyle w:val="Textoindependiente"/>
        <w:spacing w:before="163"/>
      </w:pPr>
    </w:p>
    <w:p w14:paraId="3968F645" w14:textId="002B32CD" w:rsidR="0088609F" w:rsidRDefault="0088609F" w:rsidP="0088609F">
      <w:pPr>
        <w:pStyle w:val="Textoindependiente"/>
        <w:spacing w:before="163"/>
      </w:pPr>
    </w:p>
    <w:p w14:paraId="0066D913" w14:textId="7CAD2F2F" w:rsidR="0088609F" w:rsidRDefault="0088609F" w:rsidP="0088609F">
      <w:pPr>
        <w:pStyle w:val="Textoindependiente"/>
        <w:spacing w:before="163"/>
      </w:pPr>
      <w:r>
        <w:rPr>
          <w:noProof/>
        </w:rPr>
        <w:drawing>
          <wp:anchor distT="0" distB="0" distL="0" distR="0" simplePos="0" relativeHeight="251658240" behindDoc="0" locked="0" layoutInCell="1" allowOverlap="1" wp14:anchorId="70754A74" wp14:editId="0ED254C3">
            <wp:simplePos x="0" y="0"/>
            <wp:positionH relativeFrom="page">
              <wp:posOffset>4070350</wp:posOffset>
            </wp:positionH>
            <wp:positionV relativeFrom="paragraph">
              <wp:posOffset>-25729</wp:posOffset>
            </wp:positionV>
            <wp:extent cx="2400300" cy="615950"/>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0" cstate="print"/>
                    <a:stretch>
                      <a:fillRect/>
                    </a:stretch>
                  </pic:blipFill>
                  <pic:spPr>
                    <a:xfrm>
                      <a:off x="0" y="0"/>
                      <a:ext cx="2400300" cy="615950"/>
                    </a:xfrm>
                    <a:prstGeom prst="rect">
                      <a:avLst/>
                    </a:prstGeom>
                  </pic:spPr>
                </pic:pic>
              </a:graphicData>
            </a:graphic>
          </wp:anchor>
        </w:drawing>
      </w:r>
    </w:p>
    <w:p w14:paraId="08D30CDB" w14:textId="2709F856" w:rsidR="0088609F" w:rsidRDefault="0088609F" w:rsidP="0088609F">
      <w:pPr>
        <w:pStyle w:val="Textoindependiente"/>
        <w:spacing w:before="163"/>
      </w:pPr>
      <w:r>
        <w:t>Bogotá</w:t>
      </w:r>
      <w:r>
        <w:rPr>
          <w:spacing w:val="-6"/>
        </w:rPr>
        <w:t xml:space="preserve"> </w:t>
      </w:r>
      <w:r>
        <w:t>D.C.,</w:t>
      </w:r>
      <w:r>
        <w:rPr>
          <w:spacing w:val="2"/>
        </w:rPr>
        <w:t xml:space="preserve"> </w:t>
      </w:r>
      <w:r>
        <w:t>26</w:t>
      </w:r>
      <w:r>
        <w:rPr>
          <w:spacing w:val="-2"/>
        </w:rPr>
        <w:t xml:space="preserve"> </w:t>
      </w:r>
      <w:proofErr w:type="gramStart"/>
      <w:r>
        <w:t>Junio</w:t>
      </w:r>
      <w:proofErr w:type="gramEnd"/>
      <w:r>
        <w:t xml:space="preserve"> </w:t>
      </w:r>
      <w:r>
        <w:rPr>
          <w:spacing w:val="-4"/>
        </w:rPr>
        <w:t>2025</w:t>
      </w:r>
    </w:p>
    <w:p w14:paraId="23A0F21F" w14:textId="77777777" w:rsidR="0088609F" w:rsidRDefault="0088609F" w:rsidP="0088609F">
      <w:pPr>
        <w:pStyle w:val="Textoindependiente"/>
        <w:spacing w:before="1"/>
      </w:pPr>
    </w:p>
    <w:p w14:paraId="200B468A" w14:textId="77777777" w:rsidR="005C029E" w:rsidRPr="00536009" w:rsidRDefault="005C029E" w:rsidP="000035A2">
      <w:pPr>
        <w:spacing w:after="0" w:line="240" w:lineRule="auto"/>
        <w:jc w:val="both"/>
        <w:rPr>
          <w:rFonts w:ascii="Verdana" w:eastAsia="Calibri" w:hAnsi="Verdana" w:cs="Arial"/>
          <w:lang w:val="es-ES" w:eastAsia="es-ES"/>
        </w:rPr>
      </w:pPr>
      <w:r w:rsidRPr="00536009">
        <w:rPr>
          <w:rFonts w:ascii="Verdana" w:eastAsia="Calibri" w:hAnsi="Verdana" w:cs="Arial"/>
          <w:lang w:val="es-ES" w:eastAsia="es-ES"/>
        </w:rPr>
        <w:t>Señores</w:t>
      </w:r>
    </w:p>
    <w:p w14:paraId="6B9DF140" w14:textId="77777777" w:rsidR="005C029E" w:rsidRPr="000035A2" w:rsidRDefault="005C029E" w:rsidP="000035A2">
      <w:pPr>
        <w:spacing w:after="0" w:line="240" w:lineRule="auto"/>
        <w:jc w:val="both"/>
        <w:rPr>
          <w:rFonts w:ascii="Verdana" w:eastAsia="Calibri" w:hAnsi="Verdana" w:cs="Arial"/>
          <w:b/>
          <w:lang w:val="es-ES" w:eastAsia="es-ES"/>
        </w:rPr>
      </w:pPr>
      <w:r w:rsidRPr="000035A2">
        <w:rPr>
          <w:rFonts w:ascii="Verdana" w:eastAsia="Calibri" w:hAnsi="Verdana" w:cs="Arial"/>
          <w:b/>
          <w:lang w:val="es-ES" w:eastAsia="es-ES"/>
        </w:rPr>
        <w:t>Oficina de Control Interno Disciplinario</w:t>
      </w:r>
    </w:p>
    <w:p w14:paraId="253D0B47" w14:textId="77777777" w:rsidR="005C029E" w:rsidRPr="000035A2" w:rsidRDefault="005C029E" w:rsidP="000035A2">
      <w:pPr>
        <w:spacing w:after="0" w:line="240" w:lineRule="auto"/>
        <w:jc w:val="both"/>
        <w:rPr>
          <w:rFonts w:ascii="Verdana" w:eastAsia="Calibri" w:hAnsi="Verdana" w:cs="Arial"/>
          <w:lang w:val="es-ES" w:eastAsia="es-ES"/>
        </w:rPr>
      </w:pPr>
      <w:r w:rsidRPr="000035A2">
        <w:rPr>
          <w:rFonts w:ascii="Verdana" w:eastAsia="Calibri" w:hAnsi="Verdana" w:cs="Arial"/>
          <w:lang w:val="es-ES" w:eastAsia="es-ES"/>
        </w:rPr>
        <w:t>Empresa de Acueducto y Alcantarillado de Bogotá</w:t>
      </w:r>
    </w:p>
    <w:p w14:paraId="31E67358" w14:textId="77777777" w:rsidR="005C029E" w:rsidRPr="00536009" w:rsidRDefault="005C029E" w:rsidP="000035A2">
      <w:pPr>
        <w:spacing w:after="0" w:line="240" w:lineRule="auto"/>
        <w:rPr>
          <w:rFonts w:ascii="Verdana" w:eastAsia="Calibri" w:hAnsi="Verdana" w:cs="Arial"/>
          <w:b/>
          <w:lang w:val="es-ES_tradnl" w:eastAsia="es-ES_tradnl"/>
        </w:rPr>
      </w:pPr>
      <w:hyperlink r:id="rId11" w:history="1">
        <w:r w:rsidRPr="00536009">
          <w:rPr>
            <w:rStyle w:val="Hipervnculo"/>
            <w:rFonts w:ascii="Verdana" w:eastAsia="Calibri" w:hAnsi="Verdana" w:cs="Arial"/>
            <w:b/>
            <w:lang w:val="es-ES_tradnl" w:eastAsia="es-ES_tradnl"/>
          </w:rPr>
          <w:t>asuntosdisciplinarios@acueducto.com.co</w:t>
        </w:r>
      </w:hyperlink>
      <w:r w:rsidRPr="00536009">
        <w:rPr>
          <w:rFonts w:ascii="Verdana" w:eastAsia="Calibri" w:hAnsi="Verdana" w:cs="Arial"/>
          <w:b/>
          <w:lang w:val="es-ES_tradnl" w:eastAsia="es-ES_tradnl"/>
        </w:rPr>
        <w:t xml:space="preserve"> </w:t>
      </w:r>
    </w:p>
    <w:p w14:paraId="70E3B48F" w14:textId="77777777" w:rsidR="005C029E" w:rsidRPr="00536009" w:rsidRDefault="005C029E" w:rsidP="000035A2">
      <w:pPr>
        <w:spacing w:after="0" w:line="240" w:lineRule="auto"/>
        <w:rPr>
          <w:rFonts w:ascii="Verdana" w:eastAsia="Calibri" w:hAnsi="Verdana" w:cs="Arial"/>
          <w:b/>
          <w:bCs/>
          <w:lang w:val="es-ES" w:eastAsia="es-ES"/>
        </w:rPr>
      </w:pPr>
      <w:r w:rsidRPr="00536009">
        <w:rPr>
          <w:rFonts w:ascii="Verdana" w:eastAsia="Calibri" w:hAnsi="Verdana" w:cs="Arial"/>
          <w:lang w:val="es-ES" w:eastAsia="es-ES"/>
        </w:rPr>
        <w:t>Bogotá D.C</w:t>
      </w:r>
    </w:p>
    <w:p w14:paraId="199B61B3" w14:textId="77777777" w:rsidR="005C029E" w:rsidRPr="00536009" w:rsidRDefault="005C029E" w:rsidP="00B52AE6">
      <w:pPr>
        <w:spacing w:after="0" w:line="240" w:lineRule="auto"/>
        <w:rPr>
          <w:rFonts w:ascii="Verdana" w:eastAsia="Calibri" w:hAnsi="Verdana" w:cs="Arial"/>
          <w:b/>
          <w:bCs/>
          <w:color w:val="000000"/>
          <w:lang w:val="es-ES_tradnl" w:eastAsia="es-ES_tradnl"/>
        </w:rPr>
      </w:pPr>
    </w:p>
    <w:p w14:paraId="301B7A70" w14:textId="77777777" w:rsidR="00B52AE6" w:rsidRPr="00B52AE6" w:rsidRDefault="00B52AE6" w:rsidP="000035A2">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5C029E" w:rsidRPr="00536009" w14:paraId="0E021132" w14:textId="77777777" w:rsidTr="000035A2">
        <w:trPr>
          <w:trHeight w:val="222"/>
        </w:trPr>
        <w:tc>
          <w:tcPr>
            <w:tcW w:w="2689" w:type="dxa"/>
          </w:tcPr>
          <w:p w14:paraId="78FFCB11" w14:textId="77777777" w:rsidR="005C029E" w:rsidRPr="00536009" w:rsidRDefault="005C029E" w:rsidP="000035A2">
            <w:pPr>
              <w:jc w:val="both"/>
              <w:rPr>
                <w:rFonts w:ascii="Verdana" w:eastAsia="Calibri" w:hAnsi="Verdana" w:cs="Arial"/>
                <w:b/>
                <w:bCs/>
                <w:color w:val="7030A0"/>
                <w:lang w:val="es-ES_tradnl" w:eastAsia="es-ES_tradnl"/>
              </w:rPr>
            </w:pPr>
          </w:p>
        </w:tc>
        <w:tc>
          <w:tcPr>
            <w:tcW w:w="6100" w:type="dxa"/>
          </w:tcPr>
          <w:p w14:paraId="7D4530F9" w14:textId="77777777" w:rsidR="005C029E" w:rsidRDefault="005C029E" w:rsidP="00B52AE6">
            <w:pPr>
              <w:jc w:val="both"/>
              <w:rPr>
                <w:rFonts w:ascii="Verdana" w:eastAsia="Calibri" w:hAnsi="Verdana" w:cs="Arial"/>
                <w:b/>
                <w:bCs/>
                <w:lang w:val="es-ES" w:eastAsia="es-ES"/>
              </w:rPr>
            </w:pPr>
            <w:r w:rsidRPr="00536009">
              <w:rPr>
                <w:rFonts w:ascii="Verdana" w:eastAsia="Calibri" w:hAnsi="Verdana" w:cs="Arial"/>
                <w:b/>
                <w:bCs/>
                <w:lang w:val="es-ES" w:eastAsia="es-ES"/>
              </w:rPr>
              <w:t>Concepto C- 599</w:t>
            </w:r>
            <w:r w:rsidRPr="00536009">
              <w:rPr>
                <w:rFonts w:ascii="Verdana" w:eastAsia="Calibri" w:hAnsi="Verdana" w:cs="Arial"/>
                <w:b/>
                <w:bCs/>
                <w:color w:val="7030A0"/>
                <w:lang w:val="es-ES" w:eastAsia="es-ES"/>
              </w:rPr>
              <w:t xml:space="preserve"> </w:t>
            </w:r>
            <w:r w:rsidRPr="00536009">
              <w:rPr>
                <w:rFonts w:ascii="Verdana" w:eastAsia="Calibri" w:hAnsi="Verdana" w:cs="Arial"/>
                <w:b/>
                <w:bCs/>
                <w:lang w:val="es-ES" w:eastAsia="es-ES"/>
              </w:rPr>
              <w:t>de 2025</w:t>
            </w:r>
          </w:p>
          <w:p w14:paraId="081E507A" w14:textId="77777777" w:rsidR="005C029E" w:rsidRPr="00536009" w:rsidRDefault="005C029E" w:rsidP="000035A2">
            <w:pPr>
              <w:jc w:val="both"/>
              <w:rPr>
                <w:rFonts w:ascii="Verdana" w:eastAsia="Calibri" w:hAnsi="Verdana" w:cs="Arial"/>
                <w:b/>
                <w:bCs/>
                <w:color w:val="7030A0"/>
                <w:lang w:val="es-ES" w:eastAsia="es-ES"/>
              </w:rPr>
            </w:pPr>
          </w:p>
        </w:tc>
      </w:tr>
      <w:tr w:rsidR="005C029E" w:rsidRPr="00536009" w14:paraId="6C09652F" w14:textId="77777777" w:rsidTr="00537C04">
        <w:trPr>
          <w:trHeight w:val="884"/>
        </w:trPr>
        <w:tc>
          <w:tcPr>
            <w:tcW w:w="2689" w:type="dxa"/>
          </w:tcPr>
          <w:p w14:paraId="005A5979" w14:textId="77777777" w:rsidR="005C029E" w:rsidRPr="00536009" w:rsidRDefault="005C029E" w:rsidP="000035A2">
            <w:pPr>
              <w:jc w:val="both"/>
              <w:rPr>
                <w:rFonts w:ascii="Verdana" w:eastAsia="Calibri" w:hAnsi="Verdana" w:cs="Arial"/>
                <w:color w:val="000000" w:themeColor="text1"/>
                <w:lang w:val="es-ES_tradnl" w:eastAsia="es-ES_tradnl"/>
              </w:rPr>
            </w:pPr>
            <w:r w:rsidRPr="00536009">
              <w:rPr>
                <w:rFonts w:ascii="Verdana" w:eastAsia="Calibri" w:hAnsi="Verdana" w:cs="Arial"/>
                <w:b/>
                <w:color w:val="000000" w:themeColor="text1"/>
                <w:lang w:val="es-ES_tradnl" w:eastAsia="es-ES_tradnl"/>
              </w:rPr>
              <w:t>Temas:</w:t>
            </w:r>
            <w:r w:rsidRPr="00536009">
              <w:rPr>
                <w:rFonts w:ascii="Verdana" w:eastAsia="Calibri" w:hAnsi="Verdana" w:cs="Arial"/>
                <w:color w:val="000000" w:themeColor="text1"/>
                <w:lang w:val="es-ES_tradnl" w:eastAsia="es-ES_tradnl"/>
              </w:rPr>
              <w:t xml:space="preserve">                   </w:t>
            </w:r>
          </w:p>
        </w:tc>
        <w:tc>
          <w:tcPr>
            <w:tcW w:w="6100" w:type="dxa"/>
          </w:tcPr>
          <w:p w14:paraId="0DEA4415" w14:textId="5CE60BF2" w:rsidR="005C029E" w:rsidRDefault="005C029E" w:rsidP="00B52AE6">
            <w:pPr>
              <w:jc w:val="both"/>
              <w:rPr>
                <w:rFonts w:ascii="Verdana" w:hAnsi="Verdana" w:cs="Arial"/>
                <w:color w:val="000000" w:themeColor="text1"/>
                <w:lang w:val="es-ES"/>
              </w:rPr>
            </w:pPr>
            <w:r w:rsidRPr="00536009">
              <w:rPr>
                <w:rFonts w:ascii="Verdana" w:hAnsi="Verdana" w:cs="Arial"/>
                <w:color w:val="000000" w:themeColor="text1"/>
                <w:lang w:val="es-ES"/>
              </w:rPr>
              <w:t>INHABILIDADES – Definición – Finalidad – Limitación capacidad / INHABILIDADES – Clasificación – Sanción – Proceso sancionatorio – Requisito – Condiciones personales / INHABILIDADES – Taxatividad – Principio de legalidad – Interpretación restrictiva</w:t>
            </w:r>
          </w:p>
          <w:p w14:paraId="2527342D" w14:textId="77777777" w:rsidR="005C029E" w:rsidRPr="00536009" w:rsidRDefault="005C029E" w:rsidP="000035A2">
            <w:pPr>
              <w:jc w:val="both"/>
              <w:rPr>
                <w:rFonts w:ascii="Verdana" w:eastAsia="Calibri" w:hAnsi="Verdana" w:cs="Arial"/>
                <w:color w:val="000000" w:themeColor="text1"/>
                <w:lang w:val="es-ES" w:eastAsia="es-ES"/>
              </w:rPr>
            </w:pPr>
          </w:p>
        </w:tc>
      </w:tr>
      <w:tr w:rsidR="005C029E" w:rsidRPr="00536009" w14:paraId="3740452B" w14:textId="77777777" w:rsidTr="00537C04">
        <w:tc>
          <w:tcPr>
            <w:tcW w:w="2689" w:type="dxa"/>
          </w:tcPr>
          <w:p w14:paraId="3F7BA533" w14:textId="77777777" w:rsidR="005C029E" w:rsidRPr="00536009" w:rsidRDefault="005C029E" w:rsidP="000035A2">
            <w:pPr>
              <w:jc w:val="both"/>
              <w:rPr>
                <w:rFonts w:ascii="Verdana" w:eastAsia="Calibri" w:hAnsi="Verdana" w:cs="Arial"/>
                <w:b/>
                <w:color w:val="000000" w:themeColor="text1"/>
                <w:lang w:val="es-ES_tradnl" w:eastAsia="es-ES_tradnl"/>
              </w:rPr>
            </w:pPr>
            <w:r w:rsidRPr="00536009">
              <w:rPr>
                <w:rFonts w:ascii="Verdana" w:eastAsia="Calibri" w:hAnsi="Verdana" w:cs="Arial"/>
                <w:b/>
                <w:color w:val="000000" w:themeColor="text1"/>
                <w:lang w:val="es-ES_tradnl" w:eastAsia="es-ES_tradnl"/>
              </w:rPr>
              <w:t>Radicación:</w:t>
            </w:r>
            <w:r w:rsidRPr="00536009">
              <w:rPr>
                <w:rFonts w:ascii="Verdana" w:eastAsia="Calibri" w:hAnsi="Verdana" w:cs="Arial"/>
                <w:color w:val="000000" w:themeColor="text1"/>
                <w:lang w:val="es-ES_tradnl" w:eastAsia="es-ES_tradnl"/>
              </w:rPr>
              <w:t xml:space="preserve">               </w:t>
            </w:r>
          </w:p>
        </w:tc>
        <w:tc>
          <w:tcPr>
            <w:tcW w:w="6100" w:type="dxa"/>
          </w:tcPr>
          <w:p w14:paraId="057D6960" w14:textId="77777777" w:rsidR="005C029E" w:rsidRPr="00536009" w:rsidRDefault="005C029E" w:rsidP="000035A2">
            <w:pPr>
              <w:jc w:val="both"/>
              <w:rPr>
                <w:rFonts w:ascii="Verdana" w:eastAsia="Calibri" w:hAnsi="Verdana" w:cs="Arial"/>
                <w:color w:val="000000" w:themeColor="text1"/>
                <w:lang w:val="es-ES_tradnl" w:eastAsia="es-ES_tradnl"/>
              </w:rPr>
            </w:pPr>
            <w:r w:rsidRPr="00536009">
              <w:rPr>
                <w:rFonts w:ascii="Verdana" w:eastAsia="Calibri" w:hAnsi="Verdana" w:cs="Arial"/>
                <w:color w:val="000000" w:themeColor="text1"/>
                <w:lang w:val="es-ES_tradnl" w:eastAsia="es-ES_tradnl"/>
              </w:rPr>
              <w:t>Respuesta a consulta con radicado No. P20250515004691</w:t>
            </w:r>
          </w:p>
        </w:tc>
      </w:tr>
    </w:tbl>
    <w:p w14:paraId="37AA4C6D" w14:textId="77777777" w:rsidR="005C029E" w:rsidRPr="00536009" w:rsidRDefault="005C029E" w:rsidP="005C029E">
      <w:pPr>
        <w:spacing w:after="0" w:line="276" w:lineRule="auto"/>
        <w:jc w:val="both"/>
        <w:rPr>
          <w:rFonts w:ascii="Verdana" w:eastAsia="Calibri" w:hAnsi="Verdana" w:cs="Arial"/>
          <w:color w:val="000000"/>
          <w:lang w:val="es-ES_tradnl" w:eastAsia="es-ES_tradnl"/>
        </w:rPr>
      </w:pPr>
    </w:p>
    <w:p w14:paraId="1B42C838" w14:textId="77777777" w:rsidR="005C029E" w:rsidRPr="00536009" w:rsidRDefault="005C029E" w:rsidP="005C029E">
      <w:pPr>
        <w:spacing w:after="0" w:line="276" w:lineRule="auto"/>
        <w:jc w:val="both"/>
        <w:rPr>
          <w:rFonts w:ascii="Verdana" w:eastAsia="Calibri" w:hAnsi="Verdana" w:cs="Arial"/>
          <w:color w:val="000000"/>
          <w:lang w:val="es-ES_tradnl" w:eastAsia="es-ES_tradnl"/>
        </w:rPr>
      </w:pPr>
    </w:p>
    <w:p w14:paraId="6C07BEEB" w14:textId="77777777" w:rsidR="005C029E" w:rsidRPr="00536009" w:rsidRDefault="005C029E" w:rsidP="005C029E">
      <w:pPr>
        <w:spacing w:after="0" w:line="276" w:lineRule="auto"/>
        <w:jc w:val="both"/>
        <w:rPr>
          <w:rFonts w:ascii="Verdana" w:eastAsia="Calibri" w:hAnsi="Verdana" w:cs="Arial"/>
          <w:color w:val="000000" w:themeColor="text1"/>
          <w:lang w:val="es-ES" w:eastAsia="es-ES"/>
        </w:rPr>
      </w:pPr>
      <w:r w:rsidRPr="00536009">
        <w:rPr>
          <w:rFonts w:ascii="Verdana" w:eastAsia="Calibri" w:hAnsi="Verdana" w:cs="Arial"/>
          <w:color w:val="000000" w:themeColor="text1"/>
          <w:lang w:val="es-ES" w:eastAsia="es-ES"/>
        </w:rPr>
        <w:t xml:space="preserve">Estimados señores: </w:t>
      </w:r>
    </w:p>
    <w:p w14:paraId="00342E84" w14:textId="77777777" w:rsidR="005C029E" w:rsidRPr="00536009" w:rsidRDefault="005C029E" w:rsidP="005C029E">
      <w:pPr>
        <w:tabs>
          <w:tab w:val="left" w:pos="3768"/>
        </w:tabs>
        <w:spacing w:after="0" w:line="276" w:lineRule="auto"/>
        <w:jc w:val="both"/>
        <w:rPr>
          <w:rFonts w:ascii="Verdana" w:eastAsia="Calibri" w:hAnsi="Verdana" w:cs="Arial"/>
          <w:color w:val="000000" w:themeColor="text1"/>
          <w:lang w:val="es-ES" w:eastAsia="es-ES"/>
        </w:rPr>
      </w:pPr>
      <w:r w:rsidRPr="00536009">
        <w:rPr>
          <w:rFonts w:ascii="Verdana" w:eastAsia="Calibri" w:hAnsi="Verdana" w:cs="Arial"/>
          <w:color w:val="000000" w:themeColor="text1"/>
          <w:lang w:val="es-ES" w:eastAsia="es-ES"/>
        </w:rPr>
        <w:tab/>
      </w:r>
    </w:p>
    <w:p w14:paraId="6CE93C11" w14:textId="77777777" w:rsidR="005C029E" w:rsidRPr="00536009" w:rsidRDefault="005C029E" w:rsidP="005C029E">
      <w:pPr>
        <w:spacing w:after="0" w:line="276" w:lineRule="auto"/>
        <w:jc w:val="both"/>
        <w:rPr>
          <w:rFonts w:ascii="Verdana" w:eastAsia="Calibri" w:hAnsi="Verdana" w:cs="Arial"/>
          <w:color w:val="000000" w:themeColor="text1"/>
          <w:lang w:val="es-ES" w:eastAsia="es-ES"/>
        </w:rPr>
      </w:pPr>
      <w:r w:rsidRPr="00536009">
        <w:rPr>
          <w:rFonts w:ascii="Verdana" w:eastAsia="Calibri" w:hAnsi="Verdana" w:cs="Arial"/>
          <w:color w:val="000000" w:themeColor="text1"/>
          <w:lang w:val="es-ES" w:eastAsia="es-ES"/>
        </w:rPr>
        <w:t>En ejercicio de la competencia otorgada por los artículos 3, numeral 5º, y 11, numeral 8º, del Decreto Ley 4170 de 2011,</w:t>
      </w:r>
      <w:r w:rsidRPr="00536009">
        <w:rPr>
          <w:rFonts w:ascii="Verdana" w:eastAsia="Arial MT" w:hAnsi="Verdana" w:cs="Arial MT"/>
          <w:color w:val="000000" w:themeColor="text1"/>
          <w:lang w:val="es-ES" w:eastAsia="es-ES"/>
        </w:rPr>
        <w:t xml:space="preserve"> </w:t>
      </w:r>
      <w:r w:rsidRPr="00536009">
        <w:rPr>
          <w:rFonts w:ascii="Verdana" w:hAnsi="Verdana" w:cs="Arial"/>
          <w:color w:val="000000" w:themeColor="text1"/>
        </w:rPr>
        <w:t xml:space="preserve">así como lo establecido en el artículo 4 de la Resolución 1707 de 2018 expedida por esta Entidad, </w:t>
      </w:r>
      <w:r w:rsidRPr="00536009">
        <w:rPr>
          <w:rFonts w:ascii="Verdana" w:eastAsia="Calibri" w:hAnsi="Verdana" w:cs="Arial"/>
          <w:color w:val="000000" w:themeColor="text1"/>
          <w:lang w:val="es-ES" w:eastAsia="es-ES"/>
        </w:rPr>
        <w:t xml:space="preserve">la Agencia Nacional de Contratación Pública – Colombia Compra Eficiente– responde su solicitud de consulta de fecha 15 de mayo de 2025, en la cual manifiesta lo siguiente: </w:t>
      </w:r>
    </w:p>
    <w:p w14:paraId="4AB24845" w14:textId="77777777" w:rsidR="005C029E" w:rsidRPr="00536009" w:rsidRDefault="005C029E" w:rsidP="000035A2">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348B5D1A" w14:textId="77777777" w:rsidR="005C029E" w:rsidRPr="000035A2" w:rsidRDefault="005C029E" w:rsidP="004B1C34">
      <w:pPr>
        <w:spacing w:after="0" w:line="240" w:lineRule="auto"/>
        <w:ind w:left="709" w:right="709"/>
        <w:jc w:val="both"/>
        <w:rPr>
          <w:rFonts w:ascii="Verdana" w:eastAsia="Century Gothic" w:hAnsi="Verdana" w:cs="Century Gothic"/>
          <w:color w:val="000000" w:themeColor="text1"/>
          <w:sz w:val="20"/>
          <w:szCs w:val="20"/>
          <w:lang w:val="es-ES"/>
        </w:rPr>
      </w:pPr>
      <w:bookmarkStart w:id="1" w:name="_Hlk95313578"/>
      <w:r w:rsidRPr="000035A2">
        <w:rPr>
          <w:rFonts w:ascii="Verdana" w:eastAsia="Century Gothic" w:hAnsi="Verdana" w:cs="Century Gothic"/>
          <w:color w:val="000000" w:themeColor="text1"/>
          <w:sz w:val="20"/>
          <w:szCs w:val="20"/>
          <w:lang w:val="es-ES"/>
        </w:rPr>
        <w:t>“</w:t>
      </w:r>
      <w:bookmarkEnd w:id="1"/>
      <w:r w:rsidRPr="000035A2">
        <w:rPr>
          <w:rFonts w:ascii="Verdana" w:eastAsia="Century Gothic" w:hAnsi="Verdana" w:cs="Century Gothic"/>
          <w:color w:val="000000" w:themeColor="text1"/>
          <w:sz w:val="20"/>
          <w:szCs w:val="20"/>
          <w:lang w:val="es-ES"/>
        </w:rPr>
        <w:t>Emitir concepto en el que se determine si la inhabilidad contemplada en literal d) del numeral 1 del artículo 8 de la Ley 80 de 1993, cobija la imposibilidad de suscribir o mantener en ejecución contratos de trabajo con Empresas Industriales y Comerciales del Estado que otorguen la calidad de trabajadores oficiales a las personas naturales con quienes se celebren”.</w:t>
      </w:r>
    </w:p>
    <w:p w14:paraId="617F86B6" w14:textId="77777777" w:rsidR="005C029E" w:rsidRPr="00536009" w:rsidRDefault="005C029E" w:rsidP="000035A2">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745FCCE8" w14:textId="77777777" w:rsidR="005C029E" w:rsidRPr="00536009" w:rsidRDefault="005C029E" w:rsidP="005C029E">
      <w:pPr>
        <w:spacing w:after="120" w:line="276" w:lineRule="auto"/>
        <w:ind w:firstLine="709"/>
        <w:jc w:val="both"/>
        <w:rPr>
          <w:rFonts w:ascii="Verdana" w:eastAsia="Calibri" w:hAnsi="Verdana" w:cs="Arial"/>
          <w:color w:val="000000"/>
          <w:lang w:val="es-ES_tradnl" w:eastAsia="es-ES_tradnl"/>
        </w:rPr>
      </w:pPr>
      <w:r w:rsidRPr="00536009">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w:t>
      </w:r>
      <w:r w:rsidRPr="00536009">
        <w:rPr>
          <w:rFonts w:ascii="Verdana" w:eastAsia="Calibri" w:hAnsi="Verdana" w:cs="Arial"/>
          <w:color w:val="000000"/>
          <w:lang w:val="es-ES" w:eastAsia="es-ES"/>
        </w:rPr>
        <w:lastRenderedPageBreak/>
        <w:t xml:space="preserve">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36009">
        <w:rPr>
          <w:rFonts w:ascii="Verdana" w:eastAsia="Calibri" w:hAnsi="Verdana" w:cs="Arial"/>
          <w:color w:val="000000"/>
          <w:lang w:val="es-ES_tradnl" w:eastAsia="es-ES_tradnl"/>
        </w:rPr>
        <w:tab/>
      </w:r>
    </w:p>
    <w:p w14:paraId="1A44C37D" w14:textId="77777777" w:rsidR="005C029E" w:rsidRPr="00536009" w:rsidRDefault="005C029E" w:rsidP="005C029E">
      <w:pPr>
        <w:spacing w:after="0" w:line="276" w:lineRule="auto"/>
        <w:ind w:firstLine="709"/>
        <w:jc w:val="both"/>
        <w:rPr>
          <w:rFonts w:ascii="Verdana" w:eastAsia="Calibri" w:hAnsi="Verdana" w:cs="Arial"/>
          <w:color w:val="000000"/>
          <w:lang w:val="es-ES" w:eastAsia="es-ES"/>
        </w:rPr>
      </w:pPr>
      <w:r w:rsidRPr="00536009">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unas consideraciones sobre las normas generales relacionadas con el</w:t>
      </w:r>
      <w:r w:rsidRPr="00536009">
        <w:rPr>
          <w:rFonts w:ascii="Verdana" w:eastAsia="Calibri" w:hAnsi="Verdana" w:cs="Arial"/>
          <w:color w:val="7030A0"/>
          <w:lang w:val="es-ES" w:eastAsia="es-ES"/>
        </w:rPr>
        <w:t xml:space="preserve"> </w:t>
      </w:r>
      <w:r w:rsidRPr="00536009">
        <w:rPr>
          <w:rFonts w:ascii="Verdana" w:eastAsia="Calibri" w:hAnsi="Verdana" w:cs="Arial"/>
          <w:color w:val="000000"/>
          <w:lang w:val="es-ES" w:eastAsia="es-ES"/>
        </w:rPr>
        <w:t>problema</w:t>
      </w:r>
      <w:r w:rsidRPr="00536009">
        <w:rPr>
          <w:rFonts w:ascii="Verdana" w:eastAsia="Calibri" w:hAnsi="Verdana" w:cs="Arial"/>
          <w:color w:val="7030A0"/>
          <w:lang w:val="es-ES" w:eastAsia="es-ES"/>
        </w:rPr>
        <w:t xml:space="preserve"> </w:t>
      </w:r>
      <w:r w:rsidRPr="00536009">
        <w:rPr>
          <w:rFonts w:ascii="Verdana" w:eastAsia="Calibri" w:hAnsi="Verdana" w:cs="Arial"/>
          <w:color w:val="000000"/>
          <w:lang w:val="es-ES" w:eastAsia="es-ES"/>
        </w:rPr>
        <w:t>jurídico</w:t>
      </w:r>
      <w:r w:rsidRPr="00536009">
        <w:rPr>
          <w:rFonts w:ascii="Verdana" w:eastAsia="Calibri" w:hAnsi="Verdana" w:cs="Arial"/>
          <w:color w:val="7030A0"/>
          <w:lang w:val="es-ES" w:eastAsia="es-ES"/>
        </w:rPr>
        <w:t xml:space="preserve"> </w:t>
      </w:r>
      <w:r w:rsidRPr="00536009">
        <w:rPr>
          <w:rFonts w:ascii="Verdana" w:eastAsia="Calibri" w:hAnsi="Verdana" w:cs="Arial"/>
          <w:color w:val="000000"/>
          <w:lang w:val="es-ES" w:eastAsia="es-ES"/>
        </w:rPr>
        <w:t xml:space="preserve">de su consulta. </w:t>
      </w:r>
    </w:p>
    <w:p w14:paraId="5B0C58C4" w14:textId="77777777" w:rsidR="005C029E" w:rsidRPr="00536009" w:rsidRDefault="005C029E" w:rsidP="005C029E">
      <w:pPr>
        <w:spacing w:after="0" w:line="276" w:lineRule="auto"/>
        <w:ind w:firstLine="709"/>
        <w:jc w:val="both"/>
        <w:rPr>
          <w:rFonts w:ascii="Verdana" w:eastAsia="Calibri" w:hAnsi="Verdana" w:cs="Arial"/>
          <w:color w:val="000000"/>
          <w:lang w:val="es-ES" w:eastAsia="es-ES"/>
        </w:rPr>
      </w:pPr>
    </w:p>
    <w:p w14:paraId="03B6468D" w14:textId="77777777" w:rsidR="005C029E" w:rsidRPr="00536009" w:rsidRDefault="005C029E" w:rsidP="00B52AE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36009">
        <w:rPr>
          <w:rFonts w:ascii="Verdana" w:eastAsia="Century Gothic" w:hAnsi="Verdana" w:cs="Century Gothic"/>
          <w:b/>
          <w:bCs/>
        </w:rPr>
        <w:t>Problema planteado:</w:t>
      </w:r>
    </w:p>
    <w:p w14:paraId="57EF84F4" w14:textId="77777777" w:rsidR="00B52AE6" w:rsidRPr="00536009" w:rsidRDefault="00B52AE6" w:rsidP="000035A2">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61ABB302" w14:textId="06D8954F" w:rsidR="005C029E" w:rsidRPr="00D46C15" w:rsidRDefault="005C029E" w:rsidP="00B52AE6">
      <w:pPr>
        <w:pStyle w:val="NormalWeb"/>
        <w:shd w:val="clear" w:color="auto" w:fill="FFFFFF"/>
        <w:spacing w:before="0" w:beforeAutospacing="0" w:after="0" w:afterAutospacing="0" w:line="276" w:lineRule="auto"/>
        <w:jc w:val="both"/>
        <w:rPr>
          <w:rFonts w:ascii="Verdana" w:hAnsi="Verdana"/>
          <w:color w:val="333333"/>
          <w:sz w:val="22"/>
          <w:szCs w:val="22"/>
          <w:lang w:eastAsia="es-MX"/>
        </w:rPr>
      </w:pPr>
      <w:r w:rsidRPr="00536009">
        <w:rPr>
          <w:rFonts w:ascii="Verdana" w:eastAsia="Century Gothic" w:hAnsi="Verdana" w:cs="Century Gothic"/>
          <w:sz w:val="22"/>
          <w:szCs w:val="22"/>
        </w:rPr>
        <w:t xml:space="preserve">De acuerdo con el contenido de su solicitud, esta Agencia resolverá </w:t>
      </w:r>
      <w:r w:rsidR="00B52AE6" w:rsidRPr="00536009">
        <w:rPr>
          <w:rFonts w:ascii="Verdana" w:eastAsia="Century Gothic" w:hAnsi="Verdana" w:cs="Century Gothic"/>
          <w:sz w:val="22"/>
          <w:szCs w:val="22"/>
        </w:rPr>
        <w:t>el siguiente</w:t>
      </w:r>
      <w:r w:rsidRPr="00536009">
        <w:rPr>
          <w:rFonts w:ascii="Verdana" w:eastAsia="Century Gothic" w:hAnsi="Verdana" w:cs="Century Gothic"/>
          <w:sz w:val="22"/>
          <w:szCs w:val="22"/>
        </w:rPr>
        <w:t xml:space="preserve"> problema jurídico: ¿Puede una persona </w:t>
      </w:r>
      <w:r w:rsidRPr="00536009">
        <w:rPr>
          <w:rFonts w:ascii="Verdana" w:hAnsi="Verdana"/>
          <w:color w:val="333333"/>
          <w:sz w:val="22"/>
          <w:szCs w:val="22"/>
          <w:lang w:eastAsia="es-MX"/>
        </w:rPr>
        <w:t>que ha sido condenada a la pena accesoria de interdicción de derechos y funciones públicas </w:t>
      </w:r>
      <w:r w:rsidR="00D92155">
        <w:rPr>
          <w:rFonts w:ascii="Verdana" w:hAnsi="Verdana"/>
          <w:color w:val="333333"/>
          <w:sz w:val="22"/>
          <w:szCs w:val="22"/>
          <w:lang w:eastAsia="es-MX"/>
        </w:rPr>
        <w:t>o que</w:t>
      </w:r>
      <w:r w:rsidRPr="00536009">
        <w:rPr>
          <w:rFonts w:ascii="Verdana" w:hAnsi="Verdana"/>
          <w:color w:val="333333"/>
          <w:sz w:val="22"/>
          <w:szCs w:val="22"/>
          <w:lang w:eastAsia="es-MX"/>
        </w:rPr>
        <w:t xml:space="preserve"> ha sido sancionado disciplinariamente con destitución, celebrar un contrato con el estado?</w:t>
      </w:r>
    </w:p>
    <w:p w14:paraId="492822C7" w14:textId="77777777" w:rsidR="00B52AE6" w:rsidRPr="00D46C15" w:rsidRDefault="00B52AE6" w:rsidP="000035A2">
      <w:pPr>
        <w:pStyle w:val="NormalWeb"/>
        <w:shd w:val="clear" w:color="auto" w:fill="FFFFFF"/>
        <w:spacing w:before="0" w:beforeAutospacing="0" w:after="0" w:afterAutospacing="0" w:line="276" w:lineRule="auto"/>
        <w:jc w:val="both"/>
        <w:rPr>
          <w:rFonts w:ascii="Verdana" w:hAnsi="Verdana"/>
          <w:color w:val="333333"/>
          <w:sz w:val="22"/>
          <w:szCs w:val="22"/>
          <w:lang w:eastAsia="es-MX"/>
        </w:rPr>
      </w:pPr>
    </w:p>
    <w:p w14:paraId="12FF4F96" w14:textId="77777777" w:rsidR="005C029E" w:rsidRPr="00536009" w:rsidRDefault="005C029E" w:rsidP="005C029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36009">
        <w:rPr>
          <w:rFonts w:ascii="Verdana" w:eastAsia="Century Gothic" w:hAnsi="Verdana" w:cs="Century Gothic"/>
          <w:b/>
          <w:bCs/>
        </w:rPr>
        <w:t>Respuesta:</w:t>
      </w:r>
    </w:p>
    <w:p w14:paraId="679CEAA2" w14:textId="77777777" w:rsidR="005C029E" w:rsidRPr="00536009" w:rsidRDefault="005C029E" w:rsidP="005C029E">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C029E" w:rsidRPr="00536009" w14:paraId="7A8D4C4F" w14:textId="77777777" w:rsidTr="001F5FB1">
        <w:tc>
          <w:tcPr>
            <w:tcW w:w="8828" w:type="dxa"/>
          </w:tcPr>
          <w:p w14:paraId="09E22B16" w14:textId="77777777" w:rsidR="005C029E" w:rsidRPr="00536009" w:rsidRDefault="005C029E" w:rsidP="00537C04">
            <w:pPr>
              <w:spacing w:after="120" w:line="276" w:lineRule="auto"/>
              <w:jc w:val="both"/>
              <w:rPr>
                <w:rFonts w:ascii="Verdana" w:hAnsi="Verdana" w:cs="Arial"/>
                <w:color w:val="000000"/>
              </w:rPr>
            </w:pPr>
            <w:r>
              <w:rPr>
                <w:rFonts w:ascii="Verdana" w:hAnsi="Verdana" w:cs="Arial"/>
                <w:lang w:val="es-ES"/>
              </w:rPr>
              <w:t>L</w:t>
            </w:r>
            <w:r w:rsidRPr="00536009">
              <w:rPr>
                <w:rFonts w:ascii="Verdana" w:hAnsi="Verdana" w:cs="Arial"/>
                <w:lang w:val="es-ES"/>
              </w:rPr>
              <w:t xml:space="preserve">a inhabilidad prevista en el literal d) del numeral 1 del artículo 8 de la Ley 80 de 1993, de cuyo texto </w:t>
            </w:r>
            <w:r>
              <w:rPr>
                <w:rFonts w:ascii="Verdana" w:hAnsi="Verdana" w:cs="Arial"/>
                <w:lang w:val="es-ES"/>
              </w:rPr>
              <w:t>se extrae</w:t>
            </w:r>
            <w:r w:rsidRPr="00536009">
              <w:rPr>
                <w:rFonts w:ascii="Verdana" w:hAnsi="Verdana" w:cs="Arial"/>
                <w:lang w:val="es-ES"/>
              </w:rPr>
              <w:t xml:space="preserve"> </w:t>
            </w:r>
            <w:r>
              <w:rPr>
                <w:rFonts w:ascii="Verdana" w:hAnsi="Verdana" w:cs="Arial"/>
                <w:lang w:val="es-ES"/>
              </w:rPr>
              <w:t xml:space="preserve">de forma categórica que, </w:t>
            </w:r>
            <w:r w:rsidRPr="00536009">
              <w:rPr>
                <w:rFonts w:ascii="Verdana" w:hAnsi="Verdana" w:cs="Arial"/>
                <w:lang w:val="es-ES"/>
              </w:rPr>
              <w:t>son inhábiles para contratar: «</w:t>
            </w:r>
            <w:r w:rsidRPr="00536009">
              <w:rPr>
                <w:rFonts w:ascii="Verdana" w:hAnsi="Verdana" w:cs="Arial"/>
                <w:color w:val="000000"/>
              </w:rPr>
              <w:t xml:space="preserve">Quienes en sentencia judicial hayan sido condenados a la pena accesoria de interdicción de derechos y funciones públicas y quienes hayan sido sancionados disciplinariamente con destitución». En efecto, se trata de una inhabilidad sanción, puesto que se configura en atención a unos supuestos de hecho que implican la expedición de providencias judiciales o administrativas en contra de personas a quienes, por la connotación de las conductas que se les reprochan, el Estatuto General de Contratación de la </w:t>
            </w:r>
            <w:r w:rsidRPr="00536009">
              <w:rPr>
                <w:rFonts w:ascii="Verdana" w:hAnsi="Verdana" w:cs="Arial"/>
                <w:color w:val="000000"/>
              </w:rPr>
              <w:lastRenderedPageBreak/>
              <w:t xml:space="preserve">Administración Pública ha restringido su capacidad para suscribir y ejecutar contratos estatales. </w:t>
            </w:r>
          </w:p>
          <w:p w14:paraId="449BA37D" w14:textId="77777777" w:rsidR="005C029E" w:rsidRDefault="005C029E" w:rsidP="00537C04">
            <w:pPr>
              <w:spacing w:after="120" w:line="276" w:lineRule="auto"/>
              <w:jc w:val="both"/>
              <w:rPr>
                <w:rFonts w:ascii="Verdana" w:hAnsi="Verdana" w:cs="Arial"/>
              </w:rPr>
            </w:pPr>
            <w:r w:rsidRPr="00536009">
              <w:rPr>
                <w:rFonts w:ascii="Verdana" w:hAnsi="Verdana" w:cs="Arial"/>
                <w:lang w:val="es-ES"/>
              </w:rPr>
              <w:tab/>
              <w:t xml:space="preserve">La inhabilitación para el ejercicio de funciones públicas es una pena contemplada en el Código Penal que se impone de manera accesoria, en virtud de la cual se «[…] priva al penado de la facultad de elegir y ser elegido, del ejercicio de cualquier otro derecho político, función pública, dignidades y honores que confieren las entidades oficiales». Por su parte, en el ámbito disciplinario, la sanción de «destitución e inhabilidad general» implica: </w:t>
            </w:r>
            <w:r w:rsidRPr="00536009">
              <w:rPr>
                <w:rFonts w:ascii="Verdana" w:hAnsi="Verdana" w:cs="Arial"/>
              </w:rPr>
              <w:t xml:space="preserve">la terminación de la relación del servidor público o del particular con la administración –sin que importe que sea de libre nombramiento y remoción, de carrera o elección–, o la desvinculación del cargo, en los casos previstos en la Constitución Política y la ley; o la terminación del contrato de trabajo, y, en cualquier caso, la imposibilidad de ejercer la función pública en cualquier cargo o función, por el termino señalado en el fallo.  </w:t>
            </w:r>
          </w:p>
          <w:p w14:paraId="21DBCA9A" w14:textId="77777777" w:rsidR="005C029E" w:rsidRPr="004D4336" w:rsidRDefault="005C029E" w:rsidP="00537C04">
            <w:pPr>
              <w:spacing w:line="276" w:lineRule="auto"/>
              <w:jc w:val="both"/>
              <w:rPr>
                <w:rFonts w:ascii="Verdana" w:eastAsia="Times New Roman" w:hAnsi="Verdana" w:cs="Arial"/>
                <w:lang w:eastAsia="es-MX"/>
              </w:rPr>
            </w:pPr>
            <w:r>
              <w:rPr>
                <w:rFonts w:ascii="Verdana" w:eastAsia="Times New Roman" w:hAnsi="Verdana" w:cs="Arial"/>
                <w:lang w:eastAsia="es-MX"/>
              </w:rPr>
              <w:t xml:space="preserve">      </w:t>
            </w:r>
            <w:r w:rsidRPr="004D4336">
              <w:rPr>
                <w:rFonts w:ascii="Verdana" w:eastAsia="Times New Roman" w:hAnsi="Verdana" w:cs="Arial"/>
                <w:lang w:eastAsia="es-MX"/>
              </w:rPr>
              <w:t xml:space="preserve">De otra parte, tal y como lo señala el artículo 13 de la Ley 1150 de 2007: </w:t>
            </w:r>
            <w:r w:rsidRPr="004D4336">
              <w:rPr>
                <w:rFonts w:ascii="Verdana" w:eastAsia="Times New Roman" w:hAnsi="Verdana" w:cs="Arial"/>
                <w:color w:val="000000" w:themeColor="text1"/>
                <w:lang w:eastAsia="es-MX"/>
              </w:rPr>
              <w:t>“</w:t>
            </w:r>
            <w:r w:rsidRPr="004D4336">
              <w:rPr>
                <w:rFonts w:ascii="Verdana" w:hAnsi="Verdana" w:cs="Open Sans"/>
                <w:color w:val="000000" w:themeColor="text1"/>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12" w:anchor="209" w:history="1">
              <w:r w:rsidRPr="004D4336">
                <w:rPr>
                  <w:rStyle w:val="Hipervnculo"/>
                  <w:rFonts w:ascii="Verdana" w:hAnsi="Verdana" w:cs="Open Sans"/>
                  <w:color w:val="000000" w:themeColor="text1"/>
                </w:rPr>
                <w:t>209</w:t>
              </w:r>
            </w:hyperlink>
            <w:r w:rsidRPr="004D4336">
              <w:rPr>
                <w:rFonts w:ascii="Verdana" w:hAnsi="Verdana" w:cs="Open Sans"/>
                <w:color w:val="000000" w:themeColor="text1"/>
              </w:rPr>
              <w:t> y </w:t>
            </w:r>
            <w:hyperlink r:id="rId13" w:anchor="267" w:history="1">
              <w:r w:rsidRPr="004D4336">
                <w:rPr>
                  <w:rStyle w:val="Hipervnculo"/>
                  <w:rFonts w:ascii="Verdana" w:hAnsi="Verdana" w:cs="Open Sans"/>
                  <w:color w:val="000000" w:themeColor="text1"/>
                </w:rPr>
                <w:t>267</w:t>
              </w:r>
            </w:hyperlink>
            <w:r w:rsidRPr="004D4336">
              <w:rPr>
                <w:rFonts w:ascii="Verdana" w:hAnsi="Verdana" w:cs="Open Sans"/>
                <w:color w:val="000000" w:themeColor="text1"/>
              </w:rPr>
              <w:t xml:space="preserve"> de la Constitución Política, respectivamente según sea el caso y estarán sometidas al régimen de inhabilidades e incompatibilidades previsto legalmente para la contratación estatal” por lo que les aplica </w:t>
            </w:r>
            <w:r w:rsidRPr="004D4336">
              <w:rPr>
                <w:rFonts w:ascii="Verdana" w:hAnsi="Verdana" w:cs="Open Sans"/>
                <w:color w:val="000000" w:themeColor="text1"/>
                <w:sz w:val="18"/>
                <w:szCs w:val="18"/>
              </w:rPr>
              <w:t xml:space="preserve"> </w:t>
            </w:r>
          </w:p>
          <w:p w14:paraId="5AE61187" w14:textId="042059D7" w:rsidR="005C029E" w:rsidRDefault="005C029E" w:rsidP="00537C04">
            <w:pPr>
              <w:spacing w:line="276" w:lineRule="auto"/>
              <w:jc w:val="both"/>
              <w:rPr>
                <w:rFonts w:ascii="Verdana" w:eastAsia="Times New Roman" w:hAnsi="Verdana" w:cs="Times New Roman"/>
                <w:lang w:eastAsia="es-MX"/>
              </w:rPr>
            </w:pPr>
            <w:r>
              <w:rPr>
                <w:rFonts w:ascii="Verdana" w:eastAsia="Times New Roman" w:hAnsi="Verdana" w:cs="Arial"/>
                <w:lang w:eastAsia="es-MX"/>
              </w:rPr>
              <w:t xml:space="preserve">             </w:t>
            </w:r>
            <w:r w:rsidRPr="004D4336">
              <w:rPr>
                <w:rFonts w:ascii="Verdana" w:eastAsia="Times New Roman" w:hAnsi="Verdana" w:cs="Arial"/>
                <w:lang w:eastAsia="es-MX"/>
              </w:rPr>
              <w:t>Finalmente, es importante mencionar que en el marco de nuestras competencias el concepto emitido se da a la luz del sistema de compras y contratación pública, pues l</w:t>
            </w:r>
            <w:r w:rsidRPr="004D4336">
              <w:rPr>
                <w:rFonts w:ascii="Verdana" w:hAnsi="Verdana"/>
              </w:rPr>
              <w:t xml:space="preserve">a vinculación de un trabajador oficial con una Empresa Industrial y Comercial del Estado (EICE) se materializa a través de un </w:t>
            </w:r>
            <w:r w:rsidRPr="004D4336">
              <w:rPr>
                <w:rStyle w:val="Textoennegrita"/>
                <w:rFonts w:ascii="Verdana" w:hAnsi="Verdana"/>
                <w:b w:val="0"/>
                <w:bCs w:val="0"/>
              </w:rPr>
              <w:t>contrato de trabajo</w:t>
            </w:r>
            <w:r w:rsidRPr="004D4336">
              <w:rPr>
                <w:rFonts w:ascii="Verdana" w:hAnsi="Verdana"/>
              </w:rPr>
              <w:t>. Esta relación no se rige por la Ley 80 de 1993, sino por el Código Sustantivo del Trabajo y las convenciones colectivas que le sean aplicables.</w:t>
            </w:r>
            <w:r>
              <w:rPr>
                <w:rFonts w:ascii="Verdana" w:hAnsi="Verdana"/>
              </w:rPr>
              <w:t xml:space="preserve"> </w:t>
            </w:r>
            <w:r w:rsidRPr="004D4336">
              <w:rPr>
                <w:rFonts w:ascii="Verdana" w:eastAsia="Times New Roman" w:hAnsi="Verdana" w:cs="Times New Roman"/>
                <w:lang w:eastAsia="es-MX"/>
              </w:rPr>
              <w:t>Esta Agencia Nacional de Contratación Pública - Colombia Compra Eficiente, ha sido clara al respecto, concluyendo que "El régimen de inhabilidades e incompatibilidades previsto en la Ley 80 de 1993 aplica para la celebración de los contratos regidos por este cuerpo normativo, sin que pueda hacerse extensivo a las relaciones laborales que se establecen entre los servidores públicos y el Estado".</w:t>
            </w:r>
          </w:p>
          <w:p w14:paraId="4A214CD4" w14:textId="77777777" w:rsidR="005C029E" w:rsidRPr="00D5039B" w:rsidRDefault="005C029E" w:rsidP="00537C04">
            <w:pPr>
              <w:spacing w:line="276" w:lineRule="auto"/>
              <w:jc w:val="both"/>
              <w:rPr>
                <w:rFonts w:ascii="Verdana" w:hAnsi="Verdana"/>
              </w:rPr>
            </w:pPr>
            <w:r>
              <w:rPr>
                <w:rFonts w:ascii="Verdana" w:eastAsia="Times New Roman" w:hAnsi="Verdana" w:cs="Times New Roman"/>
                <w:lang w:eastAsia="es-MX"/>
              </w:rPr>
              <w:lastRenderedPageBreak/>
              <w:t xml:space="preserve">      </w:t>
            </w:r>
            <w:r w:rsidRPr="004D4336">
              <w:rPr>
                <w:rFonts w:ascii="Verdana" w:eastAsia="Times New Roman" w:hAnsi="Verdana" w:cs="Times New Roman"/>
                <w:lang w:eastAsia="es-MX"/>
              </w:rPr>
              <w:t>Por tanto, la prohibición para un miembro de junta directiva de una EICE de suscribir "contratos" con dicha entidad, se refiere a contratos de compraventa, suministro, obra, consultoría, prestación de servicios profesionales (como contratista independiente), etc., pero no al acto jurídico de vinculación laboral mediante un contrato de trabajo que le otorgue la calidad de trabajador ofici</w:t>
            </w:r>
            <w:r>
              <w:rPr>
                <w:rFonts w:ascii="Verdana" w:eastAsia="Times New Roman" w:hAnsi="Verdana" w:cs="Times New Roman"/>
                <w:lang w:eastAsia="es-MX"/>
              </w:rPr>
              <w:t>al.</w:t>
            </w:r>
          </w:p>
        </w:tc>
      </w:tr>
    </w:tbl>
    <w:p w14:paraId="19B5771A" w14:textId="77777777" w:rsidR="005C029E" w:rsidRPr="00536009" w:rsidRDefault="005C029E" w:rsidP="005C029E">
      <w:pPr>
        <w:tabs>
          <w:tab w:val="left" w:pos="142"/>
          <w:tab w:val="left" w:pos="284"/>
        </w:tabs>
        <w:spacing w:after="0" w:line="276" w:lineRule="auto"/>
        <w:jc w:val="both"/>
        <w:rPr>
          <w:rFonts w:ascii="Verdana" w:eastAsia="Century Gothic" w:hAnsi="Verdana" w:cs="Century Gothic"/>
          <w:b/>
          <w:bCs/>
          <w:lang w:val="es-ES"/>
        </w:rPr>
      </w:pPr>
    </w:p>
    <w:p w14:paraId="61A6D26C" w14:textId="77777777" w:rsidR="005C029E" w:rsidRPr="00536009" w:rsidRDefault="005C029E" w:rsidP="005C029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36009">
        <w:rPr>
          <w:rFonts w:ascii="Verdana" w:eastAsia="Century Gothic" w:hAnsi="Verdana" w:cs="Century Gothic"/>
          <w:b/>
          <w:bCs/>
        </w:rPr>
        <w:t>Razones de la respuesta:</w:t>
      </w:r>
    </w:p>
    <w:p w14:paraId="57E358FE" w14:textId="77777777" w:rsidR="005C029E" w:rsidRPr="00536009" w:rsidRDefault="005C029E" w:rsidP="005C029E">
      <w:pPr>
        <w:spacing w:after="0" w:line="276" w:lineRule="auto"/>
        <w:jc w:val="both"/>
        <w:rPr>
          <w:rFonts w:ascii="Verdana" w:eastAsia="Calibri" w:hAnsi="Verdana" w:cs="Arial"/>
          <w:color w:val="7030A0"/>
          <w:lang w:val="es-ES"/>
        </w:rPr>
      </w:pPr>
    </w:p>
    <w:p w14:paraId="47D9E75B" w14:textId="77777777" w:rsidR="005C029E" w:rsidRPr="00536009" w:rsidRDefault="005C029E" w:rsidP="005C029E">
      <w:pPr>
        <w:spacing w:after="0" w:line="276" w:lineRule="auto"/>
        <w:jc w:val="both"/>
        <w:rPr>
          <w:rFonts w:ascii="Verdana" w:eastAsia="Calibri" w:hAnsi="Verdana" w:cs="Arial"/>
          <w:lang w:val="es-ES"/>
        </w:rPr>
      </w:pPr>
      <w:r w:rsidRPr="00536009">
        <w:rPr>
          <w:rFonts w:ascii="Verdana" w:eastAsia="Calibri" w:hAnsi="Verdana" w:cs="Arial"/>
          <w:lang w:val="es-ES"/>
        </w:rPr>
        <w:t xml:space="preserve">Lo anterior se sustenta en las siguientes consideraciones: </w:t>
      </w:r>
    </w:p>
    <w:p w14:paraId="0D8D7B28" w14:textId="77777777" w:rsidR="005C029E" w:rsidRPr="00536009" w:rsidRDefault="005C029E" w:rsidP="005C029E">
      <w:pPr>
        <w:spacing w:after="0" w:line="276" w:lineRule="auto"/>
        <w:jc w:val="both"/>
        <w:rPr>
          <w:rFonts w:ascii="Verdana" w:eastAsia="Calibri" w:hAnsi="Verdana" w:cs="Arial"/>
          <w:color w:val="7030A0"/>
          <w:lang w:val="es-ES"/>
        </w:rPr>
      </w:pPr>
    </w:p>
    <w:p w14:paraId="07BA72FE" w14:textId="70E49CC9" w:rsidR="005C029E" w:rsidRPr="00536009" w:rsidRDefault="005C029E" w:rsidP="000035A2">
      <w:pPr>
        <w:spacing w:after="120" w:line="276" w:lineRule="auto"/>
        <w:jc w:val="both"/>
        <w:rPr>
          <w:rFonts w:ascii="Verdana" w:hAnsi="Verdana" w:cs="Arial"/>
          <w:lang w:val="es-ES"/>
        </w:rPr>
      </w:pPr>
      <w:bookmarkStart w:id="2" w:name="OLE_LINK1"/>
      <w:r w:rsidRPr="00536009">
        <w:rPr>
          <w:rFonts w:ascii="Verdana" w:eastAsia="Calibri" w:hAnsi="Verdana" w:cs="Arial"/>
          <w:lang w:val="es-ES"/>
        </w:rPr>
        <w:t xml:space="preserve">El régimen de inhabilidades e incompatibilidades </w:t>
      </w:r>
      <w:r w:rsidRPr="00536009">
        <w:rPr>
          <w:rFonts w:ascii="Verdana" w:hAnsi="Verdana" w:cs="Arial"/>
          <w:lang w:val="es-ES"/>
        </w:rPr>
        <w:t xml:space="preserve">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En esta medida, la Corte Constitucional explica que </w:t>
      </w:r>
      <w:r w:rsidR="00AE75F9">
        <w:rPr>
          <w:rFonts w:ascii="Verdana" w:hAnsi="Verdana" w:cs="Arial"/>
          <w:lang w:val="es-ES"/>
        </w:rPr>
        <w:t>“</w:t>
      </w:r>
      <w:r w:rsidRPr="00536009">
        <w:rPr>
          <w:rFonts w:ascii="Verdana" w:hAnsi="Verdana" w:cs="Arial"/>
          <w:lang w:val="es-ES"/>
        </w:rPr>
        <w:t>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r w:rsidR="00AE75F9">
        <w:rPr>
          <w:rFonts w:ascii="Verdana" w:hAnsi="Verdana" w:cs="Arial"/>
          <w:lang w:val="es-ES"/>
        </w:rPr>
        <w:t>”</w:t>
      </w:r>
      <w:r w:rsidRPr="00536009">
        <w:rPr>
          <w:rFonts w:ascii="Verdana" w:hAnsi="Verdana" w:cs="Arial"/>
          <w:vertAlign w:val="superscript"/>
          <w:lang w:val="es-ES"/>
        </w:rPr>
        <w:footnoteReference w:id="1"/>
      </w:r>
      <w:r w:rsidRPr="00536009">
        <w:rPr>
          <w:rFonts w:ascii="Verdana" w:hAnsi="Verdana" w:cs="Arial"/>
          <w:lang w:val="es-ES"/>
        </w:rPr>
        <w:t xml:space="preserve">. </w:t>
      </w:r>
    </w:p>
    <w:p w14:paraId="16DA3C5D" w14:textId="77777777" w:rsidR="005C029E" w:rsidRPr="00536009" w:rsidRDefault="005C029E" w:rsidP="005C029E">
      <w:pPr>
        <w:pStyle w:val="Sinespaciado"/>
        <w:spacing w:before="120" w:line="276" w:lineRule="auto"/>
        <w:ind w:firstLine="709"/>
        <w:jc w:val="both"/>
        <w:rPr>
          <w:rFonts w:ascii="Verdana" w:hAnsi="Verdana" w:cs="Arial"/>
          <w:sz w:val="22"/>
          <w:lang w:val="es-ES"/>
        </w:rPr>
      </w:pPr>
      <w:r w:rsidRPr="00536009">
        <w:rPr>
          <w:rFonts w:ascii="Verdana" w:hAnsi="Verdana" w:cs="Arial"/>
          <w:sz w:val="22"/>
          <w:lang w:val="es-ES"/>
        </w:rPr>
        <w:t xml:space="preserve">Las limitaciones que afectan la capacidad jurídica para contratar desarrollan los principios de la función administrativa consagrados en el artículo 209 de la Constitución Política, con especial énfasis la moralidad administrativa. Así lo ha entendido el Consejo de Estado, quien se ha pronunciado al respecto en los siguientes términos: </w:t>
      </w:r>
    </w:p>
    <w:p w14:paraId="4D4A7734" w14:textId="77777777" w:rsidR="005C029E" w:rsidRPr="00536009" w:rsidRDefault="005C029E" w:rsidP="005C029E">
      <w:pPr>
        <w:pStyle w:val="Sinespaciado"/>
        <w:spacing w:line="276" w:lineRule="auto"/>
        <w:jc w:val="both"/>
        <w:rPr>
          <w:rFonts w:ascii="Verdana" w:hAnsi="Verdana" w:cs="Arial"/>
          <w:sz w:val="22"/>
          <w:lang w:val="es-ES"/>
        </w:rPr>
      </w:pPr>
    </w:p>
    <w:p w14:paraId="3CCBE14E" w14:textId="46285FC3" w:rsidR="005C029E" w:rsidRDefault="00ED4C27" w:rsidP="00ED4C27">
      <w:pPr>
        <w:pStyle w:val="NormalWeb"/>
        <w:shd w:val="clear" w:color="auto" w:fill="FFFFFF"/>
        <w:spacing w:before="0" w:beforeAutospacing="0" w:after="0" w:afterAutospacing="0"/>
        <w:ind w:left="709" w:right="709"/>
        <w:jc w:val="both"/>
        <w:rPr>
          <w:rFonts w:ascii="Verdana" w:eastAsiaTheme="minorHAnsi" w:hAnsi="Verdana" w:cs="Arial"/>
          <w:sz w:val="20"/>
          <w:szCs w:val="20"/>
          <w:lang w:val="es-ES" w:eastAsia="en-US"/>
        </w:rPr>
      </w:pPr>
      <w:r>
        <w:rPr>
          <w:rFonts w:ascii="Verdana" w:hAnsi="Verdana" w:cs="Arial"/>
          <w:sz w:val="20"/>
          <w:szCs w:val="20"/>
        </w:rPr>
        <w:t>“</w:t>
      </w:r>
      <w:r w:rsidR="005C029E" w:rsidRPr="000035A2">
        <w:rPr>
          <w:rFonts w:ascii="Verdana" w:eastAsiaTheme="minorHAnsi" w:hAnsi="Verdana" w:cs="Arial"/>
          <w:sz w:val="20"/>
          <w:szCs w:val="20"/>
          <w:lang w:val="es-ES" w:eastAsia="en-US"/>
        </w:rPr>
        <w:t>De manera primordial en esta reflexión debe advertirse que la consagración legal de las incompatibilidades e inhabilidades en materia contractual, no es sino desarrollo del Principio de Moralidad que la Constitución Política consagra como uno de los rectores de la Función Administrativa, instituido en el artículo 209 de la Carta, toda vez que este Principio –en su carácter jurídico, ordenador y orientador del derecho– constituye la Finalidad, el Deber Ser, la Razón de Primer Orden en la cual se inspira, justifica y legitima la existencia de las normas que definen y regulan las inhabilidades e incompatibilidades.</w:t>
      </w:r>
    </w:p>
    <w:p w14:paraId="0D223550" w14:textId="77777777" w:rsidR="00ED4C27" w:rsidRPr="000035A2" w:rsidRDefault="00ED4C27" w:rsidP="000035A2">
      <w:pPr>
        <w:pStyle w:val="NormalWeb"/>
        <w:shd w:val="clear" w:color="auto" w:fill="FFFFFF"/>
        <w:spacing w:before="0" w:beforeAutospacing="0" w:after="0" w:afterAutospacing="0"/>
        <w:ind w:left="709" w:right="709"/>
        <w:jc w:val="both"/>
        <w:rPr>
          <w:rFonts w:ascii="Verdana" w:eastAsiaTheme="minorHAnsi" w:hAnsi="Verdana" w:cs="Arial"/>
          <w:sz w:val="20"/>
          <w:szCs w:val="20"/>
          <w:lang w:val="es-ES" w:eastAsia="en-US"/>
        </w:rPr>
      </w:pPr>
    </w:p>
    <w:p w14:paraId="748F37E3" w14:textId="7D5B6118" w:rsidR="005C029E" w:rsidRPr="00536009" w:rsidRDefault="005C029E" w:rsidP="000035A2">
      <w:pPr>
        <w:pStyle w:val="NormalWeb"/>
        <w:shd w:val="clear" w:color="auto" w:fill="FFFFFF"/>
        <w:spacing w:before="0" w:beforeAutospacing="0" w:after="0" w:afterAutospacing="0"/>
        <w:ind w:left="709" w:right="709"/>
        <w:jc w:val="both"/>
        <w:rPr>
          <w:rFonts w:ascii="Verdana" w:eastAsiaTheme="minorHAnsi" w:hAnsi="Verdana" w:cs="Arial"/>
          <w:sz w:val="22"/>
          <w:szCs w:val="22"/>
          <w:lang w:val="es-ES" w:eastAsia="en-US"/>
        </w:rPr>
      </w:pPr>
      <w:r w:rsidRPr="000035A2">
        <w:rPr>
          <w:rFonts w:ascii="Verdana" w:eastAsiaTheme="minorHAnsi" w:hAnsi="Verdana" w:cs="Arial"/>
          <w:sz w:val="20"/>
          <w:szCs w:val="20"/>
          <w:lang w:val="es-ES" w:eastAsia="en-US"/>
        </w:rPr>
        <w:lastRenderedPageBreak/>
        <w:t>Adicionalmente, toda vez que la Jurisprudencia Constitucional se ha referido a la protección del Interés General como causa que legitima la estructuración legal de las incompatibilidades e inhabilidades, se puede precisar que la regulación de sus causales para contratar con el Estado debe orientarse por el Principio de Moralidad que obviamente –como es propio de todos los Principios de la Función Administrativa– se despliega ordenado con base en la protección prevalente del interés general y, por ello, se entiende que la potestad de configuración legislativa en materia de incompatibilidades e inhabilidades para contratar con el Estado puede concretarse a través de una regla de carácter excluyente para determinados potenciales contratistas, la cual se impone entonces por razón de ese fin de interés general como regla legal prevalente, esto es que puede ser impuesta sobre el derecho individual a contratar con el Estado</w:t>
      </w:r>
      <w:r w:rsidR="00ED4C27">
        <w:rPr>
          <w:rFonts w:ascii="Verdana" w:hAnsi="Verdana" w:cs="Arial"/>
          <w:sz w:val="20"/>
          <w:szCs w:val="20"/>
        </w:rPr>
        <w:t>”</w:t>
      </w:r>
      <w:r w:rsidRPr="000035A2">
        <w:rPr>
          <w:rStyle w:val="Refdenotaalpie"/>
          <w:rFonts w:ascii="Verdana" w:eastAsiaTheme="minorHAnsi" w:hAnsi="Verdana" w:cs="Arial"/>
          <w:sz w:val="20"/>
          <w:szCs w:val="20"/>
          <w:lang w:val="es-ES" w:eastAsia="en-US"/>
        </w:rPr>
        <w:footnoteReference w:id="2"/>
      </w:r>
      <w:r w:rsidRPr="000035A2">
        <w:rPr>
          <w:rFonts w:ascii="Verdana" w:eastAsiaTheme="minorHAnsi" w:hAnsi="Verdana" w:cs="Arial"/>
          <w:sz w:val="20"/>
          <w:szCs w:val="20"/>
          <w:lang w:val="es-ES" w:eastAsia="en-US"/>
        </w:rPr>
        <w:t>.</w:t>
      </w:r>
      <w:r w:rsidRPr="00536009">
        <w:rPr>
          <w:rFonts w:ascii="Verdana" w:eastAsiaTheme="minorHAnsi" w:hAnsi="Verdana" w:cs="Arial"/>
          <w:sz w:val="22"/>
          <w:szCs w:val="22"/>
          <w:lang w:val="es-ES" w:eastAsia="en-US"/>
        </w:rPr>
        <w:t xml:space="preserve"> </w:t>
      </w:r>
    </w:p>
    <w:p w14:paraId="355FF567" w14:textId="77777777" w:rsidR="005C029E" w:rsidRPr="00536009" w:rsidRDefault="005C029E" w:rsidP="005C029E">
      <w:pPr>
        <w:pStyle w:val="Sinespaciado"/>
        <w:spacing w:line="276" w:lineRule="auto"/>
        <w:jc w:val="both"/>
        <w:rPr>
          <w:rFonts w:ascii="Verdana" w:hAnsi="Verdana" w:cs="Arial"/>
          <w:sz w:val="22"/>
          <w:lang w:val="es-ES"/>
        </w:rPr>
      </w:pPr>
    </w:p>
    <w:p w14:paraId="3D564683" w14:textId="77777777" w:rsidR="005C029E" w:rsidRPr="00536009" w:rsidRDefault="005C029E" w:rsidP="005C029E">
      <w:pPr>
        <w:pStyle w:val="Sinespaciado"/>
        <w:spacing w:line="276" w:lineRule="auto"/>
        <w:ind w:firstLine="709"/>
        <w:jc w:val="both"/>
        <w:rPr>
          <w:rFonts w:ascii="Verdana" w:hAnsi="Verdana" w:cs="Arial"/>
          <w:sz w:val="22"/>
          <w:lang w:val="es-ES"/>
        </w:rPr>
      </w:pPr>
      <w:r w:rsidRPr="00536009">
        <w:rPr>
          <w:rFonts w:ascii="Verdana" w:hAnsi="Verdana" w:cs="Arial"/>
          <w:sz w:val="22"/>
          <w:lang w:val="es-ES"/>
        </w:rPr>
        <w:t xml:space="preserve">Se puede afirmar que las inhabilidades son medios que garantizan la transparencia y eficiencia en la actividad contractual del Estado, imponiendo restricciones en la personalidad jurídica, la igualdad, la libre empresa y, particularmente, en el derecho a participar en procesos de selección y celebrar contratos con el Estado. La Corte Constitucional ha reconocido que estas limitaciones deben estar justificadas en la salvaguarda del interés general y que su lectura e interpretación es taxativa y restrictiva: </w:t>
      </w:r>
    </w:p>
    <w:p w14:paraId="31DBDE1E" w14:textId="77777777" w:rsidR="005C029E" w:rsidRPr="00536009" w:rsidRDefault="005C029E" w:rsidP="000035A2">
      <w:pPr>
        <w:spacing w:after="0" w:line="276" w:lineRule="auto"/>
        <w:rPr>
          <w:rFonts w:ascii="Verdana" w:eastAsia="Times New Roman" w:hAnsi="Verdana" w:cs="Arial"/>
          <w:shd w:val="clear" w:color="auto" w:fill="FFFFFF"/>
          <w:lang w:val="es-ES" w:eastAsia="es-ES_tradnl"/>
        </w:rPr>
      </w:pPr>
    </w:p>
    <w:p w14:paraId="5AE4E629" w14:textId="4CB8A8D8" w:rsidR="005C029E" w:rsidRDefault="003532EB" w:rsidP="003532EB">
      <w:pPr>
        <w:spacing w:after="0" w:line="240" w:lineRule="auto"/>
        <w:ind w:left="709" w:right="709"/>
        <w:jc w:val="both"/>
        <w:rPr>
          <w:rFonts w:ascii="Verdana" w:hAnsi="Verdana" w:cs="Arial"/>
          <w:sz w:val="20"/>
          <w:szCs w:val="20"/>
          <w:lang w:val="es-ES"/>
        </w:rPr>
      </w:pPr>
      <w:r>
        <w:rPr>
          <w:rFonts w:ascii="Verdana" w:hAnsi="Verdana" w:cs="Arial"/>
          <w:sz w:val="20"/>
          <w:szCs w:val="20"/>
        </w:rPr>
        <w:t>“</w:t>
      </w:r>
      <w:r w:rsidR="005C029E" w:rsidRPr="000035A2">
        <w:rPr>
          <w:rFonts w:ascii="Verdana" w:hAnsi="Verdana" w:cs="Arial"/>
          <w:sz w:val="20"/>
          <w:szCs w:val="20"/>
          <w:lang w:val="es-ES"/>
        </w:rPr>
        <w:t xml:space="preserve">Todo régimen de inhabilidades e incompatibilidades de suyo excluye a ciertas categorías de personas del proceso de contratación, generando incapacidades especiales, impedimentos y prohibiciones de variada naturaleza, que en cierta medida afectan el derecho a la personalidad jurídica traducido, a su turno, en el principio general de capacidad legal [CC arts. 1502 y 1503; ley 80 de 1993, art. 6]. De ordinario, como ocurre en la contratación estatal, la inobservancia del régimen de inhabilidades e </w:t>
      </w:r>
      <w:proofErr w:type="gramStart"/>
      <w:r w:rsidR="005C029E" w:rsidRPr="000035A2">
        <w:rPr>
          <w:rFonts w:ascii="Verdana" w:hAnsi="Verdana" w:cs="Arial"/>
          <w:sz w:val="20"/>
          <w:szCs w:val="20"/>
          <w:lang w:val="es-ES"/>
        </w:rPr>
        <w:t>incompatibilidades,</w:t>
      </w:r>
      <w:proofErr w:type="gramEnd"/>
      <w:r w:rsidR="005C029E" w:rsidRPr="000035A2">
        <w:rPr>
          <w:rFonts w:ascii="Verdana" w:hAnsi="Verdana" w:cs="Arial"/>
          <w:sz w:val="20"/>
          <w:szCs w:val="20"/>
          <w:lang w:val="es-ES"/>
        </w:rPr>
        <w:t xml:space="preserve"> se erige en causal de nulidad del contrato celebrado en esas condiciones (ley 80 de 1993, art. 44).</w:t>
      </w:r>
    </w:p>
    <w:p w14:paraId="04450F1F" w14:textId="77777777" w:rsidR="003532EB" w:rsidRPr="000035A2" w:rsidRDefault="003532EB" w:rsidP="000035A2">
      <w:pPr>
        <w:spacing w:after="0" w:line="240" w:lineRule="auto"/>
        <w:ind w:left="709" w:right="709"/>
        <w:jc w:val="both"/>
        <w:rPr>
          <w:rFonts w:ascii="Verdana" w:hAnsi="Verdana" w:cs="Arial"/>
          <w:sz w:val="20"/>
          <w:szCs w:val="20"/>
          <w:lang w:val="es-ES"/>
        </w:rPr>
      </w:pPr>
    </w:p>
    <w:p w14:paraId="1A5E94C1" w14:textId="1BF09052" w:rsidR="005C029E" w:rsidRDefault="005C029E" w:rsidP="003532EB">
      <w:pPr>
        <w:spacing w:after="0" w:line="240" w:lineRule="auto"/>
        <w:ind w:left="709" w:right="709"/>
        <w:jc w:val="both"/>
        <w:rPr>
          <w:rFonts w:ascii="Verdana" w:hAnsi="Verdana" w:cs="Arial"/>
          <w:sz w:val="20"/>
          <w:szCs w:val="20"/>
        </w:rPr>
      </w:pPr>
      <w:r w:rsidRPr="000035A2">
        <w:rPr>
          <w:rFonts w:ascii="Verdana" w:hAnsi="Verdana" w:cs="Arial"/>
          <w:sz w:val="20"/>
          <w:szCs w:val="20"/>
          <w:lang w:val="es-ES"/>
        </w:rPr>
        <w:t xml:space="preserve">El carácter reconocidamente taxativo y restrictivo de este régimen y el de las correlativas nulidades, obedece a la necesidad de salvaguardar el interés general ínsito en la contratación pública de manera que implique el menor sacrificio posible al derecho de igualdad y de reconocimiento de la personalidad jurídica de quienes aspiran a contratar con el Estado. Es evidente que si la restricción legal [incompatibilidad o inhabilidad] no se sustenta en ninguna necesidad de protección del interés general o ésta es irrazonable o desproporcionada, en esa misma medida pierde justificación </w:t>
      </w:r>
      <w:r w:rsidRPr="000035A2">
        <w:rPr>
          <w:rFonts w:ascii="Verdana" w:hAnsi="Verdana" w:cs="Arial"/>
          <w:sz w:val="20"/>
          <w:szCs w:val="20"/>
          <w:lang w:val="es-ES"/>
        </w:rPr>
        <w:lastRenderedPageBreak/>
        <w:t>constitucional como medio legítimo para restringir, en ese caso, el derecho a la igualdad y el reconocimiento de la personalidad jurídica de las personas que resultan rechazadas del ámbito contractual del Estado</w:t>
      </w:r>
      <w:r w:rsidR="003532EB">
        <w:rPr>
          <w:rFonts w:ascii="Verdana" w:hAnsi="Verdana" w:cs="Arial"/>
          <w:sz w:val="20"/>
          <w:szCs w:val="20"/>
          <w:lang w:val="es-ES"/>
        </w:rPr>
        <w:t>”</w:t>
      </w:r>
      <w:r w:rsidRPr="000035A2">
        <w:rPr>
          <w:rStyle w:val="Refdenotaalpie"/>
          <w:rFonts w:ascii="Verdana" w:hAnsi="Verdana" w:cs="Arial"/>
          <w:sz w:val="20"/>
          <w:szCs w:val="20"/>
          <w:lang w:val="es-ES"/>
        </w:rPr>
        <w:footnoteReference w:id="3"/>
      </w:r>
      <w:r w:rsidR="003532EB">
        <w:rPr>
          <w:rFonts w:ascii="Verdana" w:hAnsi="Verdana" w:cs="Arial"/>
          <w:sz w:val="20"/>
          <w:szCs w:val="20"/>
        </w:rPr>
        <w:t>.</w:t>
      </w:r>
    </w:p>
    <w:p w14:paraId="783AD64D" w14:textId="77777777" w:rsidR="003532EB" w:rsidRPr="003532EB" w:rsidRDefault="003532EB" w:rsidP="000035A2">
      <w:pPr>
        <w:spacing w:after="0" w:line="276" w:lineRule="auto"/>
        <w:ind w:left="709" w:right="709"/>
        <w:jc w:val="both"/>
        <w:rPr>
          <w:rFonts w:ascii="Verdana" w:hAnsi="Verdana" w:cs="Arial"/>
          <w:lang w:val="es-ES"/>
        </w:rPr>
      </w:pPr>
    </w:p>
    <w:p w14:paraId="397D6C22" w14:textId="77777777" w:rsidR="005C029E" w:rsidRPr="00536009" w:rsidRDefault="005C029E" w:rsidP="000035A2">
      <w:pPr>
        <w:spacing w:after="0" w:line="276" w:lineRule="auto"/>
        <w:ind w:firstLine="709"/>
        <w:jc w:val="both"/>
        <w:rPr>
          <w:rFonts w:ascii="Verdana" w:hAnsi="Verdana" w:cs="Arial"/>
          <w:lang w:val="es-ES"/>
        </w:rPr>
      </w:pPr>
      <w:r w:rsidRPr="00536009">
        <w:rPr>
          <w:rFonts w:ascii="Verdana" w:hAnsi="Verdana" w:cs="Arial"/>
          <w:lang w:val="es-ES"/>
        </w:rPr>
        <w:t>Además, la Corte Constitucional ha explicado que el legislador tiene la competencia para determinar qué hechos o situaciones generan inhabilidad para contratar, pues este régimen es un aspecto propio del Estatuto General de Contratación de la Administración Pública, cuya expedición compete al Congreso de la República de conformidad con el artículo 150 de la Constitución Política, y que en esta materia rige el principio de legalidad:</w:t>
      </w:r>
    </w:p>
    <w:p w14:paraId="1BAA1AC9" w14:textId="77777777" w:rsidR="005C029E" w:rsidRPr="00536009" w:rsidRDefault="005C029E" w:rsidP="005C029E">
      <w:pPr>
        <w:pStyle w:val="Sinespaciado"/>
        <w:tabs>
          <w:tab w:val="left" w:pos="1532"/>
        </w:tabs>
        <w:spacing w:line="276" w:lineRule="auto"/>
        <w:jc w:val="both"/>
        <w:rPr>
          <w:rFonts w:ascii="Verdana" w:hAnsi="Verdana" w:cs="Arial"/>
          <w:sz w:val="22"/>
          <w:lang w:val="es-ES"/>
        </w:rPr>
      </w:pPr>
    </w:p>
    <w:p w14:paraId="67D260F7" w14:textId="76DD4D90" w:rsidR="005C029E" w:rsidRPr="000035A2" w:rsidRDefault="003532EB" w:rsidP="000035A2">
      <w:pPr>
        <w:spacing w:after="0" w:line="240" w:lineRule="auto"/>
        <w:ind w:left="709" w:right="709"/>
        <w:jc w:val="both"/>
        <w:rPr>
          <w:rFonts w:ascii="Verdana" w:hAnsi="Verdana" w:cs="Arial"/>
          <w:sz w:val="20"/>
          <w:szCs w:val="20"/>
          <w:lang w:val="es-ES"/>
        </w:rPr>
      </w:pPr>
      <w:r>
        <w:rPr>
          <w:rFonts w:ascii="Verdana" w:hAnsi="Verdana" w:cs="Arial"/>
          <w:sz w:val="20"/>
          <w:szCs w:val="20"/>
        </w:rPr>
        <w:t>“</w:t>
      </w:r>
      <w:r w:rsidR="005C029E" w:rsidRPr="000035A2">
        <w:rPr>
          <w:rFonts w:ascii="Verdana" w:hAnsi="Verdana" w:cs="Arial"/>
          <w:sz w:val="20"/>
          <w:szCs w:val="20"/>
          <w:lang w:val="es-ES"/>
        </w:rPr>
        <w:t xml:space="preserve">Las limitaciones y restricciones que se contienen en el citado estatuto, predicables de la relación Estado-particulares y que afectan los diversos momentos de formación, celebración y ejecución de los contratos estatales, se refieren a una faceta de la actividad del Estado y en la que se contempla, en los términos de la ley, una especial modalidad de participación o colaboración de los particulares en su papel de contratistas. La ley demandada recae sobre una materia que pertenece al dominio de la esfera estatal y pública, dentro de la cual no rige el principio pro </w:t>
      </w:r>
      <w:proofErr w:type="spellStart"/>
      <w:r w:rsidR="005C029E" w:rsidRPr="000035A2">
        <w:rPr>
          <w:rFonts w:ascii="Verdana" w:hAnsi="Verdana" w:cs="Arial"/>
          <w:sz w:val="20"/>
          <w:szCs w:val="20"/>
          <w:lang w:val="es-ES"/>
        </w:rPr>
        <w:t>libertate</w:t>
      </w:r>
      <w:proofErr w:type="spellEnd"/>
      <w:r w:rsidR="005C029E" w:rsidRPr="000035A2">
        <w:rPr>
          <w:rFonts w:ascii="Verdana" w:hAnsi="Verdana" w:cs="Arial"/>
          <w:sz w:val="20"/>
          <w:szCs w:val="20"/>
          <w:lang w:val="es-ES"/>
        </w:rPr>
        <w:t xml:space="preserve">, sino el de legalidad, el que ordena que la función pública debe someterse estrictamente a lo que disponga la Constitución y la ley (CP art. 6). </w:t>
      </w:r>
    </w:p>
    <w:p w14:paraId="5B19D310" w14:textId="77777777" w:rsidR="00057FED" w:rsidRDefault="00057FED" w:rsidP="003532EB">
      <w:pPr>
        <w:spacing w:after="0" w:line="240" w:lineRule="auto"/>
        <w:ind w:left="709" w:right="709"/>
        <w:jc w:val="both"/>
        <w:rPr>
          <w:rFonts w:ascii="Verdana" w:hAnsi="Verdana" w:cs="Arial"/>
          <w:sz w:val="20"/>
          <w:szCs w:val="20"/>
          <w:lang w:val="es-ES"/>
        </w:rPr>
      </w:pPr>
    </w:p>
    <w:p w14:paraId="0CDEDCAB" w14:textId="02964D22" w:rsidR="005C029E" w:rsidRPr="000035A2" w:rsidRDefault="005C029E" w:rsidP="004B1C34">
      <w:pPr>
        <w:spacing w:after="0" w:line="240" w:lineRule="auto"/>
        <w:ind w:left="709" w:right="709"/>
        <w:jc w:val="both"/>
        <w:rPr>
          <w:rFonts w:ascii="Verdana" w:hAnsi="Verdana" w:cs="Arial"/>
          <w:sz w:val="20"/>
          <w:szCs w:val="20"/>
          <w:lang w:val="es-ES"/>
        </w:rPr>
      </w:pPr>
      <w:r w:rsidRPr="000035A2">
        <w:rPr>
          <w:rFonts w:ascii="Verdana" w:hAnsi="Verdana" w:cs="Arial"/>
          <w:sz w:val="20"/>
          <w:szCs w:val="20"/>
          <w:lang w:val="es-ES"/>
        </w:rPr>
        <w:t xml:space="preserve">[…] </w:t>
      </w:r>
    </w:p>
    <w:p w14:paraId="487B1568" w14:textId="77777777" w:rsidR="00057FED" w:rsidRDefault="00057FED" w:rsidP="003532EB">
      <w:pPr>
        <w:spacing w:after="0" w:line="240" w:lineRule="auto"/>
        <w:ind w:left="709" w:right="709"/>
        <w:jc w:val="both"/>
        <w:rPr>
          <w:rFonts w:ascii="Verdana" w:hAnsi="Verdana" w:cs="Arial"/>
          <w:sz w:val="20"/>
          <w:szCs w:val="20"/>
          <w:lang w:val="es-ES"/>
        </w:rPr>
      </w:pPr>
    </w:p>
    <w:p w14:paraId="5CC4460A" w14:textId="3E7712D4" w:rsidR="005C029E" w:rsidRDefault="005C029E" w:rsidP="003532EB">
      <w:pPr>
        <w:spacing w:after="0" w:line="240" w:lineRule="auto"/>
        <w:ind w:left="709" w:right="709"/>
        <w:jc w:val="both"/>
        <w:rPr>
          <w:rFonts w:ascii="Verdana" w:hAnsi="Verdana" w:cs="Arial"/>
          <w:sz w:val="20"/>
          <w:szCs w:val="20"/>
        </w:rPr>
      </w:pPr>
      <w:r w:rsidRPr="000035A2">
        <w:rPr>
          <w:rFonts w:ascii="Verdana" w:hAnsi="Verdana" w:cs="Arial"/>
          <w:sz w:val="20"/>
          <w:szCs w:val="20"/>
          <w:lang w:val="es-ES"/>
        </w:rPr>
        <w:t xml:space="preserve">Se comprende con facilidad que el régimen de inhabilidades e </w:t>
      </w:r>
      <w:proofErr w:type="gramStart"/>
      <w:r w:rsidRPr="000035A2">
        <w:rPr>
          <w:rFonts w:ascii="Verdana" w:hAnsi="Verdana" w:cs="Arial"/>
          <w:sz w:val="20"/>
          <w:szCs w:val="20"/>
          <w:lang w:val="es-ES"/>
        </w:rPr>
        <w:t>incompatibilidades,</w:t>
      </w:r>
      <w:proofErr w:type="gramEnd"/>
      <w:r w:rsidRPr="000035A2">
        <w:rPr>
          <w:rFonts w:ascii="Verdana" w:hAnsi="Verdana" w:cs="Arial"/>
          <w:sz w:val="20"/>
          <w:szCs w:val="20"/>
          <w:lang w:val="es-ES"/>
        </w:rPr>
        <w:t xml:space="preserve"> corresponde a una materia de normal y obligada inclusión en un estatuto contractual. El legislador, a quien se ha confiado expedir el indicado estatuto, tiene, pues, competencia para establecerlo (CP art. 150)</w:t>
      </w:r>
      <w:r w:rsidR="003532EB">
        <w:rPr>
          <w:rFonts w:ascii="Verdana" w:hAnsi="Verdana" w:cs="Arial"/>
          <w:sz w:val="20"/>
          <w:szCs w:val="20"/>
        </w:rPr>
        <w:t>”</w:t>
      </w:r>
      <w:r w:rsidRPr="000035A2">
        <w:rPr>
          <w:rStyle w:val="Refdenotaalpie"/>
          <w:rFonts w:ascii="Verdana" w:hAnsi="Verdana" w:cs="Arial"/>
          <w:sz w:val="20"/>
          <w:szCs w:val="20"/>
          <w:lang w:val="es-ES"/>
        </w:rPr>
        <w:footnoteReference w:id="4"/>
      </w:r>
    </w:p>
    <w:p w14:paraId="1ACE651B" w14:textId="77777777" w:rsidR="003532EB" w:rsidRPr="003532EB" w:rsidRDefault="003532EB" w:rsidP="000035A2">
      <w:pPr>
        <w:spacing w:after="0" w:line="276" w:lineRule="auto"/>
        <w:ind w:left="709" w:right="709"/>
        <w:jc w:val="both"/>
        <w:rPr>
          <w:rFonts w:ascii="Verdana" w:hAnsi="Verdana" w:cs="Arial"/>
          <w:lang w:val="es-ES"/>
        </w:rPr>
      </w:pPr>
    </w:p>
    <w:p w14:paraId="70BFD721" w14:textId="77777777" w:rsidR="005C029E" w:rsidRPr="00536009" w:rsidRDefault="005C029E" w:rsidP="005C029E">
      <w:pPr>
        <w:spacing w:after="120" w:line="276" w:lineRule="auto"/>
        <w:ind w:firstLine="709"/>
        <w:jc w:val="both"/>
        <w:rPr>
          <w:rFonts w:ascii="Verdana" w:hAnsi="Verdana" w:cs="Arial"/>
          <w:lang w:val="es-ES"/>
        </w:rPr>
      </w:pPr>
      <w:r w:rsidRPr="00536009">
        <w:rPr>
          <w:rFonts w:ascii="Verdana" w:hAnsi="Verdana" w:cs="Arial"/>
          <w:lang w:val="es-ES"/>
        </w:rPr>
        <w:t xml:space="preserve">Conviene también distinguir las fuentes de las inhabilidades, las cuales han sido clasificadas en dos (2) grupos: i) inhabilidades-sanción y </w:t>
      </w:r>
      <w:proofErr w:type="spellStart"/>
      <w:r w:rsidRPr="00536009">
        <w:rPr>
          <w:rFonts w:ascii="Verdana" w:hAnsi="Verdana" w:cs="Arial"/>
          <w:lang w:val="es-ES"/>
        </w:rPr>
        <w:t>ii</w:t>
      </w:r>
      <w:proofErr w:type="spellEnd"/>
      <w:r w:rsidRPr="00536009">
        <w:rPr>
          <w:rFonts w:ascii="Verdana" w:hAnsi="Verdana" w:cs="Arial"/>
          <w:lang w:val="es-ES"/>
        </w:rPr>
        <w:t xml:space="preserve">) inhabilidades-requisito. En el primer grupo se encuentran las inhabilidades que surgen como consecuencia de un proceso sancionatorio, en los ámbitos penal, disciplinario, contravencional o de pérdida de investidura. En el segundo grupo están aquellas que no devienen de un proceso sancionatorio, sino de condiciones </w:t>
      </w:r>
      <w:r w:rsidRPr="00536009">
        <w:rPr>
          <w:rFonts w:ascii="Verdana" w:hAnsi="Verdana" w:cs="Arial"/>
          <w:lang w:val="es-ES"/>
        </w:rPr>
        <w:lastRenderedPageBreak/>
        <w:t>propias de la persona y garantizan la moralidad, la imparcialidad, la eficacia y la transparencia</w:t>
      </w:r>
      <w:r w:rsidRPr="00536009">
        <w:rPr>
          <w:rStyle w:val="Refdenotaalpie"/>
          <w:rFonts w:ascii="Verdana" w:hAnsi="Verdana" w:cs="Arial"/>
          <w:lang w:val="es-ES"/>
        </w:rPr>
        <w:footnoteReference w:id="5"/>
      </w:r>
      <w:r w:rsidRPr="00536009">
        <w:rPr>
          <w:rFonts w:ascii="Verdana" w:hAnsi="Verdana" w:cs="Arial"/>
          <w:lang w:val="es-ES"/>
        </w:rPr>
        <w:t xml:space="preserve">. </w:t>
      </w:r>
    </w:p>
    <w:p w14:paraId="0AAD039A" w14:textId="77777777" w:rsidR="005C029E" w:rsidRPr="00536009" w:rsidRDefault="005C029E" w:rsidP="000035A2">
      <w:pPr>
        <w:spacing w:after="120" w:line="276" w:lineRule="auto"/>
        <w:ind w:firstLine="708"/>
        <w:jc w:val="both"/>
        <w:rPr>
          <w:rFonts w:ascii="Verdana" w:hAnsi="Verdana" w:cs="Arial"/>
          <w:lang w:val="es-ES"/>
        </w:rPr>
      </w:pPr>
      <w:r>
        <w:rPr>
          <w:rFonts w:ascii="Verdana" w:hAnsi="Verdana" w:cs="Arial"/>
          <w:lang w:val="es-ES"/>
        </w:rPr>
        <w:t>E</w:t>
      </w:r>
      <w:r w:rsidRPr="00536009">
        <w:rPr>
          <w:rFonts w:ascii="Verdana" w:hAnsi="Verdana" w:cs="Arial"/>
          <w:lang w:val="es-ES"/>
        </w:rPr>
        <w:t>n materia contractual, los literales c), d) y j) del numeral 1 del artículo 8 de la Ley 80 de 1993</w:t>
      </w:r>
      <w:r w:rsidRPr="00536009">
        <w:rPr>
          <w:rFonts w:ascii="Verdana" w:hAnsi="Verdana" w:cs="Arial"/>
          <w:vertAlign w:val="superscript"/>
          <w:lang w:val="es-ES"/>
        </w:rPr>
        <w:footnoteReference w:id="6"/>
      </w:r>
      <w:r w:rsidRPr="00536009">
        <w:rPr>
          <w:rFonts w:ascii="Verdana" w:hAnsi="Verdana" w:cs="Arial"/>
          <w:lang w:val="es-ES"/>
        </w:rPr>
        <w:t xml:space="preserve"> establecen inhabilidades-sanción, porque la prohibición </w:t>
      </w:r>
      <w:r w:rsidRPr="00536009">
        <w:rPr>
          <w:rFonts w:ascii="Verdana" w:hAnsi="Verdana" w:cs="Arial"/>
          <w:lang w:val="es-ES"/>
        </w:rPr>
        <w:lastRenderedPageBreak/>
        <w:t xml:space="preserve">para contratar con el Estado en esos eventos es una consecuencia de una declaratoria de responsabilidad que surge luego de un proceso sancionatorio –administrativo, disciplinario o penal–; mientras que las inhabilidades de los literales f), g) y h) del numeral 1 de la norma citada establecen inhabilidades–requisito, pues no se configuran por la comisión previa de una falta o un delito que dio lugar a una declaratoria por parte de la Administración o el juez, sino de aspectos propios de la persona, derivados, por ejemplo, del parentesco o la afinidad o de la condición de servidor público. </w:t>
      </w:r>
    </w:p>
    <w:p w14:paraId="2A6FF31A" w14:textId="7A1A1CB0" w:rsidR="005C029E" w:rsidRPr="00536009" w:rsidRDefault="005C029E" w:rsidP="005C029E">
      <w:pPr>
        <w:spacing w:after="120" w:line="276" w:lineRule="auto"/>
        <w:jc w:val="both"/>
        <w:rPr>
          <w:rFonts w:ascii="Verdana" w:hAnsi="Verdana" w:cs="Arial"/>
          <w:color w:val="000000"/>
        </w:rPr>
      </w:pPr>
      <w:bookmarkStart w:id="3" w:name="_Hlk40976328"/>
      <w:r w:rsidRPr="00536009">
        <w:rPr>
          <w:rFonts w:ascii="Verdana" w:hAnsi="Verdana" w:cs="Arial"/>
          <w:lang w:val="es-ES"/>
        </w:rPr>
        <w:tab/>
      </w:r>
      <w:bookmarkEnd w:id="3"/>
      <w:r w:rsidRPr="00536009">
        <w:rPr>
          <w:rFonts w:ascii="Verdana" w:hAnsi="Verdana" w:cs="Arial"/>
          <w:lang w:val="es-ES"/>
        </w:rPr>
        <w:t>Ahora bien, la consulta específicamente se refiere a la inhabilidad prevista en el literal d) del numeral 1 del artículo 8 de la Ley 80 de 1993, de cuyo texto indica que son inhábiles para contratar</w:t>
      </w:r>
      <w:r w:rsidR="005C78AF">
        <w:rPr>
          <w:rFonts w:ascii="Verdana" w:hAnsi="Verdana" w:cs="Arial"/>
          <w:lang w:val="es-ES"/>
        </w:rPr>
        <w:t xml:space="preserve"> con el </w:t>
      </w:r>
      <w:r w:rsidR="00571374">
        <w:rPr>
          <w:rFonts w:ascii="Verdana" w:hAnsi="Verdana" w:cs="Arial"/>
          <w:lang w:val="es-ES"/>
        </w:rPr>
        <w:t>Estado</w:t>
      </w:r>
      <w:r w:rsidRPr="00536009">
        <w:rPr>
          <w:rFonts w:ascii="Verdana" w:hAnsi="Verdana" w:cs="Arial"/>
          <w:lang w:val="es-ES"/>
        </w:rPr>
        <w:t xml:space="preserve">: </w:t>
      </w:r>
      <w:r w:rsidR="00571374">
        <w:rPr>
          <w:rFonts w:ascii="Verdana" w:hAnsi="Verdana" w:cs="Arial"/>
          <w:lang w:val="es-ES"/>
        </w:rPr>
        <w:t>“</w:t>
      </w:r>
      <w:r w:rsidRPr="00536009">
        <w:rPr>
          <w:rFonts w:ascii="Verdana" w:hAnsi="Verdana" w:cs="Arial"/>
          <w:color w:val="000000"/>
        </w:rPr>
        <w:t>Quienes en sentencia judicial hayan sido condenados a la pena accesoria de interdicción de derechos y funciones públicas y quienes hayan sido sancionados disciplinariamente con destitución</w:t>
      </w:r>
      <w:r w:rsidR="00571374">
        <w:rPr>
          <w:rFonts w:ascii="Verdana" w:hAnsi="Verdana" w:cs="Arial"/>
          <w:color w:val="000000"/>
        </w:rPr>
        <w:t>”</w:t>
      </w:r>
      <w:r w:rsidRPr="00536009">
        <w:rPr>
          <w:rFonts w:ascii="Verdana" w:hAnsi="Verdana" w:cs="Arial"/>
          <w:color w:val="000000"/>
        </w:rPr>
        <w:t xml:space="preserve">. En efecto, se trata de una inhabilidad sanción, puesto que se configura en atención a unos supuestos de hecho que implican la expedición de providencias judiciales o administrativas en contra de personas a quienes, por la connotación de las conductas que se les reprochan, el Estatuto General de Contratación de la Administración Pública ha restringido su capacidad para suscribir y ejecutar contratos estatales. </w:t>
      </w:r>
    </w:p>
    <w:p w14:paraId="23CE0337" w14:textId="54140D79" w:rsidR="005C029E" w:rsidRPr="00536009" w:rsidRDefault="005C029E" w:rsidP="005C029E">
      <w:pPr>
        <w:spacing w:after="120" w:line="276" w:lineRule="auto"/>
        <w:jc w:val="both"/>
        <w:rPr>
          <w:rFonts w:ascii="Verdana" w:hAnsi="Verdana" w:cs="Arial"/>
        </w:rPr>
      </w:pPr>
      <w:r w:rsidRPr="00536009">
        <w:rPr>
          <w:rFonts w:ascii="Verdana" w:hAnsi="Verdana" w:cs="Arial"/>
          <w:lang w:val="es-ES"/>
        </w:rPr>
        <w:lastRenderedPageBreak/>
        <w:tab/>
        <w:t xml:space="preserve">La inhabilitación para el ejercicio de funciones públicas es una pena contemplada en el Código Penal que se impone de manera accesoria, en virtud de la cual se </w:t>
      </w:r>
      <w:r w:rsidR="00034499">
        <w:rPr>
          <w:rFonts w:ascii="Verdana" w:hAnsi="Verdana" w:cs="Arial"/>
          <w:lang w:val="es-ES"/>
        </w:rPr>
        <w:t>“</w:t>
      </w:r>
      <w:r w:rsidRPr="00536009">
        <w:rPr>
          <w:rFonts w:ascii="Verdana" w:hAnsi="Verdana" w:cs="Arial"/>
          <w:lang w:val="es-ES"/>
        </w:rPr>
        <w:t>[…] priva al penado de la facultad de elegir y ser elegido, del ejercicio de cualquier otro derecho político, función pública, dignidades y honores que confieren las entidades oficiales</w:t>
      </w:r>
      <w:r w:rsidR="00596278">
        <w:rPr>
          <w:rFonts w:ascii="Verdana" w:hAnsi="Verdana" w:cs="Arial"/>
          <w:lang w:val="es-ES"/>
        </w:rPr>
        <w:t>”</w:t>
      </w:r>
      <w:r w:rsidRPr="00536009">
        <w:rPr>
          <w:rStyle w:val="Refdenotaalpie"/>
          <w:rFonts w:ascii="Verdana" w:hAnsi="Verdana" w:cs="Arial"/>
          <w:lang w:val="es-ES"/>
        </w:rPr>
        <w:footnoteReference w:id="7"/>
      </w:r>
      <w:r w:rsidRPr="00536009">
        <w:rPr>
          <w:rFonts w:ascii="Verdana" w:hAnsi="Verdana" w:cs="Arial"/>
          <w:lang w:val="es-ES"/>
        </w:rPr>
        <w:t xml:space="preserve">. Por su parte, en el ámbito disciplinario, la sanción de </w:t>
      </w:r>
      <w:r w:rsidR="00596278">
        <w:rPr>
          <w:rFonts w:ascii="Verdana" w:hAnsi="Verdana" w:cs="Arial"/>
          <w:lang w:val="es-ES"/>
        </w:rPr>
        <w:t>“</w:t>
      </w:r>
      <w:r w:rsidRPr="00536009">
        <w:rPr>
          <w:rFonts w:ascii="Verdana" w:hAnsi="Verdana" w:cs="Arial"/>
          <w:lang w:val="es-ES"/>
        </w:rPr>
        <w:t>destitución e inhabilidad general</w:t>
      </w:r>
      <w:r w:rsidR="00596278">
        <w:rPr>
          <w:rFonts w:ascii="Verdana" w:hAnsi="Verdana" w:cs="Arial"/>
          <w:lang w:val="es-ES"/>
        </w:rPr>
        <w:t>”</w:t>
      </w:r>
      <w:r w:rsidRPr="00536009">
        <w:rPr>
          <w:rFonts w:ascii="Verdana" w:hAnsi="Verdana" w:cs="Arial"/>
          <w:lang w:val="es-ES"/>
        </w:rPr>
        <w:t xml:space="preserve"> implica: </w:t>
      </w:r>
      <w:r w:rsidRPr="00536009">
        <w:rPr>
          <w:rFonts w:ascii="Verdana" w:hAnsi="Verdana" w:cs="Arial"/>
        </w:rPr>
        <w:t>la terminación de la relación del servidor público o del particular con la administración –sin que importe que sea de libre nombramiento y remoción, de carrera o elección–, o la desvinculación del cargo, en los casos previstos en la Constitución Política y la ley; o la terminación del contrato de trabajo, y, en cualquier caso, la imposibilidad de ejercer la función pública en cualquier cargo o función, por el termino señalado en el fallo</w:t>
      </w:r>
      <w:r w:rsidRPr="00536009">
        <w:rPr>
          <w:rStyle w:val="Refdenotaalpie"/>
          <w:rFonts w:ascii="Verdana" w:hAnsi="Verdana" w:cs="Arial"/>
        </w:rPr>
        <w:footnoteReference w:id="8"/>
      </w:r>
      <w:r w:rsidRPr="00536009">
        <w:rPr>
          <w:rFonts w:ascii="Verdana" w:hAnsi="Verdana" w:cs="Arial"/>
        </w:rPr>
        <w:t xml:space="preserve">.  </w:t>
      </w:r>
    </w:p>
    <w:p w14:paraId="315E157F" w14:textId="2055C85B" w:rsidR="005C029E" w:rsidRPr="00536009" w:rsidRDefault="005C029E" w:rsidP="000035A2">
      <w:pPr>
        <w:spacing w:after="0" w:line="276" w:lineRule="auto"/>
        <w:ind w:firstLine="708"/>
        <w:jc w:val="both"/>
        <w:rPr>
          <w:rFonts w:ascii="Verdana" w:hAnsi="Verdana" w:cs="Arial"/>
        </w:rPr>
      </w:pPr>
      <w:r w:rsidRPr="00536009">
        <w:rPr>
          <w:rFonts w:ascii="Verdana" w:hAnsi="Verdana" w:cs="Arial"/>
          <w:lang w:val="es-ES"/>
        </w:rPr>
        <w:t xml:space="preserve"> De acuerdo con lo anterior, las penas judiciales y disciplinarias referidas en el supuesto de hecho de la inhabilidad tipificada en literal d) del numeral 1 del artículo 8 de la Ley 80 de 1993, de por sí suponen la imposibilidad para el penado de ejercer cargos y funciones públicas, lo </w:t>
      </w:r>
      <w:r w:rsidR="005308B6" w:rsidRPr="00536009">
        <w:rPr>
          <w:rFonts w:ascii="Verdana" w:hAnsi="Verdana" w:cs="Arial"/>
          <w:lang w:val="es-ES"/>
        </w:rPr>
        <w:t>que,</w:t>
      </w:r>
      <w:r w:rsidRPr="00536009">
        <w:rPr>
          <w:rFonts w:ascii="Verdana" w:hAnsi="Verdana" w:cs="Arial"/>
          <w:lang w:val="es-ES"/>
        </w:rPr>
        <w:t xml:space="preserve"> en virtud de su conexidad con los fines del contrato estatal, deviene en una restricción a la posibilidad fungir como colaborador de la administración pública. </w:t>
      </w:r>
      <w:r w:rsidRPr="00536009">
        <w:rPr>
          <w:rFonts w:ascii="Verdana" w:hAnsi="Verdana" w:cs="Arial"/>
        </w:rPr>
        <w:t xml:space="preserve">Sobre la constitucionalidad de esta norma se pronunció la Corte Constitucional manifestando lo siguiente:  </w:t>
      </w:r>
    </w:p>
    <w:p w14:paraId="016B6BAD" w14:textId="77777777" w:rsidR="005C029E" w:rsidRPr="00536009" w:rsidRDefault="005C029E" w:rsidP="005C029E">
      <w:pPr>
        <w:pStyle w:val="NormalWeb"/>
        <w:spacing w:before="0" w:beforeAutospacing="0" w:after="0" w:afterAutospacing="0" w:line="276" w:lineRule="auto"/>
        <w:ind w:left="709" w:right="709"/>
        <w:jc w:val="both"/>
        <w:rPr>
          <w:rFonts w:ascii="Verdana" w:hAnsi="Verdana" w:cs="Arial"/>
          <w:sz w:val="22"/>
          <w:szCs w:val="22"/>
        </w:rPr>
      </w:pPr>
    </w:p>
    <w:p w14:paraId="110E8AB7" w14:textId="792CAE09" w:rsidR="005C029E" w:rsidRPr="000035A2" w:rsidRDefault="00F64EEC" w:rsidP="000035A2">
      <w:pPr>
        <w:pStyle w:val="NormalWeb"/>
        <w:spacing w:before="0" w:beforeAutospacing="0" w:after="0" w:afterAutospacing="0"/>
        <w:ind w:left="709" w:right="709"/>
        <w:jc w:val="both"/>
        <w:rPr>
          <w:rFonts w:ascii="Verdana" w:hAnsi="Verdana" w:cs="Arial"/>
          <w:color w:val="000000" w:themeColor="text1"/>
          <w:sz w:val="20"/>
          <w:szCs w:val="20"/>
        </w:rPr>
      </w:pPr>
      <w:r>
        <w:rPr>
          <w:rFonts w:ascii="Verdana" w:hAnsi="Verdana" w:cs="Arial"/>
          <w:color w:val="000000" w:themeColor="text1"/>
          <w:sz w:val="20"/>
          <w:szCs w:val="20"/>
        </w:rPr>
        <w:lastRenderedPageBreak/>
        <w:t>“</w:t>
      </w:r>
      <w:r w:rsidR="005C029E" w:rsidRPr="000035A2">
        <w:rPr>
          <w:rFonts w:ascii="Verdana" w:hAnsi="Verdana" w:cs="Arial"/>
          <w:color w:val="000000" w:themeColor="text1"/>
          <w:sz w:val="20"/>
          <w:szCs w:val="20"/>
        </w:rPr>
        <w:t>Estima la Corte, que la inhabilidad señalada en el literal d) del ordinal 1o. del artículo </w:t>
      </w:r>
      <w:hyperlink r:id="rId14" w:anchor="8" w:history="1">
        <w:r w:rsidR="005C029E" w:rsidRPr="000035A2">
          <w:rPr>
            <w:rFonts w:ascii="Verdana" w:hAnsi="Verdana"/>
            <w:sz w:val="20"/>
            <w:szCs w:val="20"/>
          </w:rPr>
          <w:t>8</w:t>
        </w:r>
      </w:hyperlink>
      <w:r w:rsidR="005C029E" w:rsidRPr="000035A2">
        <w:rPr>
          <w:rFonts w:ascii="Verdana" w:hAnsi="Verdana" w:cs="Arial"/>
          <w:color w:val="000000" w:themeColor="text1"/>
          <w:sz w:val="20"/>
          <w:szCs w:val="20"/>
        </w:rPr>
        <w:t>o, de la Ley 80, aunque tiene como fuente u origen o fundamento la pena accesoria de interdicción de derechos y funciones públicas, no constituye una nueva pena. En efecto:</w:t>
      </w:r>
    </w:p>
    <w:p w14:paraId="75EC512A" w14:textId="77777777" w:rsidR="005C029E" w:rsidRPr="000035A2" w:rsidRDefault="005C029E" w:rsidP="000035A2">
      <w:pPr>
        <w:pStyle w:val="NormalWeb"/>
        <w:spacing w:before="0" w:beforeAutospacing="0" w:after="0" w:afterAutospacing="0"/>
        <w:ind w:left="709" w:right="709"/>
        <w:jc w:val="both"/>
        <w:rPr>
          <w:rFonts w:ascii="Verdana" w:hAnsi="Verdana" w:cs="Arial"/>
          <w:color w:val="000000" w:themeColor="text1"/>
          <w:sz w:val="20"/>
          <w:szCs w:val="20"/>
        </w:rPr>
      </w:pPr>
    </w:p>
    <w:p w14:paraId="05F2B6EE" w14:textId="77777777" w:rsidR="005C029E" w:rsidRPr="000035A2" w:rsidRDefault="005C029E" w:rsidP="000035A2">
      <w:pPr>
        <w:spacing w:after="0" w:line="240" w:lineRule="auto"/>
        <w:ind w:left="709" w:right="709"/>
        <w:jc w:val="both"/>
        <w:rPr>
          <w:rFonts w:ascii="Verdana" w:eastAsia="Times New Roman" w:hAnsi="Verdana" w:cs="Arial"/>
          <w:color w:val="000000" w:themeColor="text1"/>
          <w:sz w:val="20"/>
          <w:szCs w:val="20"/>
          <w:lang w:eastAsia="es-MX"/>
        </w:rPr>
      </w:pPr>
      <w:r w:rsidRPr="000035A2">
        <w:rPr>
          <w:rFonts w:ascii="Verdana" w:eastAsia="Times New Roman" w:hAnsi="Verdana" w:cs="Arial"/>
          <w:color w:val="000000" w:themeColor="text1"/>
          <w:sz w:val="20"/>
          <w:szCs w:val="20"/>
          <w:lang w:eastAsia="es-MX"/>
        </w:rPr>
        <w:t>Las penas principales y accesorias, por infracción de las normas penales hacen parte de un sistema normativo contenido en el Código Penal. Tal ha sido la tradición jurídica. Pero, además, las inhabilidades e incompatibilidades que, como se ha visto, obedecen a finalidades diferentes de interés público, asociadas al logro de la imparcialidad, la eficacia, la eficiencia y la moralidad en las operaciones contractuales, no pueden identificarse ni asimilarse a las penas que se imponen por la comisión de un ilícito, con los fines, entre otros, de retribuir a la sociedad el perjuicio causado por la conducta que afecta un bien jurídico superior o fundamental para ésta. </w:t>
      </w:r>
    </w:p>
    <w:p w14:paraId="4B606B27" w14:textId="77777777" w:rsidR="005C029E" w:rsidRDefault="005C029E" w:rsidP="00F3755E">
      <w:pPr>
        <w:spacing w:after="0" w:line="240" w:lineRule="auto"/>
        <w:ind w:left="709" w:right="709"/>
        <w:jc w:val="both"/>
        <w:rPr>
          <w:rFonts w:ascii="Verdana" w:eastAsia="Times New Roman" w:hAnsi="Verdana" w:cs="Arial"/>
          <w:color w:val="000000" w:themeColor="text1"/>
          <w:sz w:val="20"/>
          <w:szCs w:val="20"/>
          <w:lang w:eastAsia="es-MX"/>
        </w:rPr>
      </w:pPr>
      <w:r w:rsidRPr="000035A2">
        <w:rPr>
          <w:rFonts w:ascii="Verdana" w:eastAsia="Times New Roman" w:hAnsi="Verdana" w:cs="Arial"/>
          <w:color w:val="000000" w:themeColor="text1"/>
          <w:sz w:val="20"/>
          <w:szCs w:val="20"/>
          <w:lang w:eastAsia="es-MX"/>
        </w:rPr>
        <w:t>Las inhabilidades e incompatibilidades, según los criterios antes expuestos, constituyen prohibiciones que restringen la capacidad y la libertad de un contratista para acceder a la contratación, pero no consagran una modalidad adicional de sanción penal a las previstas en el Código de la materia. </w:t>
      </w:r>
    </w:p>
    <w:p w14:paraId="04BBCCA6" w14:textId="77777777" w:rsidR="000403D5" w:rsidRPr="000035A2" w:rsidRDefault="000403D5" w:rsidP="000035A2">
      <w:pPr>
        <w:spacing w:after="0" w:line="240" w:lineRule="auto"/>
        <w:ind w:left="709" w:right="709"/>
        <w:jc w:val="both"/>
        <w:rPr>
          <w:rFonts w:ascii="Verdana" w:eastAsia="Times New Roman" w:hAnsi="Verdana" w:cs="Arial"/>
          <w:color w:val="000000" w:themeColor="text1"/>
          <w:sz w:val="20"/>
          <w:szCs w:val="20"/>
          <w:lang w:eastAsia="es-MX"/>
        </w:rPr>
      </w:pPr>
    </w:p>
    <w:p w14:paraId="4CFB94D4" w14:textId="77777777" w:rsidR="005C029E" w:rsidRDefault="005C029E" w:rsidP="00F3755E">
      <w:pPr>
        <w:spacing w:after="0" w:line="240" w:lineRule="auto"/>
        <w:ind w:left="709" w:right="709"/>
        <w:jc w:val="both"/>
        <w:rPr>
          <w:rFonts w:ascii="Verdana" w:eastAsia="Times New Roman" w:hAnsi="Verdana" w:cs="Arial"/>
          <w:color w:val="000000" w:themeColor="text1"/>
          <w:sz w:val="20"/>
          <w:szCs w:val="20"/>
          <w:lang w:eastAsia="es-MX"/>
        </w:rPr>
      </w:pPr>
      <w:r w:rsidRPr="000035A2">
        <w:rPr>
          <w:rFonts w:ascii="Verdana" w:eastAsia="Times New Roman" w:hAnsi="Verdana" w:cs="Arial"/>
          <w:color w:val="000000" w:themeColor="text1"/>
          <w:sz w:val="20"/>
          <w:szCs w:val="20"/>
          <w:lang w:eastAsia="es-MX"/>
        </w:rPr>
        <w:t xml:space="preserve">Cuando se juzga un ilícito no se tienen en cuenta las condiciones o calidades del sujeto imputado para acceder a la contratación pública, sino la antijuricidad del hecho imputado su culpabilidad y la consiguiente responsabilidad, condiciones y calidades que necesariamente se valoran en las operaciones contractuales que realiza el Estado. Por consiguiente, resultan perfectamente diferenciables las sanciones penales de las inhabilidades e incompatibilidades y, en tal virtud, no puede considerarse que la inhabilidad establecida en la ley de contratación implique la existencia de un juzgamiento y de una doble sanción por un mismo hecho. Es más, cuando en un contratista concurre una causal de inhabilidad o incompatibilidad, simplemente se le priva o se le prohíbe el acceso a la contratación, pero no se le juzga penalmente por un hecho ilícito, ni mucho menos se lo sanciona. </w:t>
      </w:r>
    </w:p>
    <w:p w14:paraId="6B67EE95" w14:textId="77777777" w:rsidR="000403D5" w:rsidRPr="000035A2" w:rsidRDefault="000403D5" w:rsidP="000035A2">
      <w:pPr>
        <w:spacing w:after="0" w:line="240" w:lineRule="auto"/>
        <w:ind w:left="709" w:right="709"/>
        <w:jc w:val="both"/>
        <w:rPr>
          <w:rFonts w:ascii="Verdana" w:eastAsia="Times New Roman" w:hAnsi="Verdana" w:cs="Arial"/>
          <w:color w:val="000000" w:themeColor="text1"/>
          <w:sz w:val="20"/>
          <w:szCs w:val="20"/>
          <w:lang w:eastAsia="es-MX"/>
        </w:rPr>
      </w:pPr>
    </w:p>
    <w:p w14:paraId="6A8964CD" w14:textId="77777777" w:rsidR="005C029E" w:rsidRDefault="005C029E" w:rsidP="00F3755E">
      <w:pPr>
        <w:spacing w:after="0" w:line="240" w:lineRule="auto"/>
        <w:ind w:left="709" w:right="709"/>
        <w:jc w:val="both"/>
        <w:rPr>
          <w:rFonts w:ascii="Verdana" w:eastAsia="Times New Roman" w:hAnsi="Verdana" w:cs="Arial"/>
          <w:color w:val="000000" w:themeColor="text1"/>
          <w:sz w:val="20"/>
          <w:szCs w:val="20"/>
          <w:lang w:eastAsia="es-MX"/>
        </w:rPr>
      </w:pPr>
      <w:r w:rsidRPr="000035A2">
        <w:rPr>
          <w:rFonts w:ascii="Verdana" w:eastAsia="Times New Roman" w:hAnsi="Verdana" w:cs="Arial"/>
          <w:color w:val="000000" w:themeColor="text1"/>
          <w:sz w:val="20"/>
          <w:szCs w:val="20"/>
          <w:lang w:eastAsia="es-MX"/>
        </w:rPr>
        <w:t xml:space="preserve">[L]a inhabilidad consagrada, se juzga necesaria, conducente y proporcionada a la finalidad que la misma persigue, </w:t>
      </w:r>
      <w:r w:rsidRPr="000035A2">
        <w:rPr>
          <w:rFonts w:ascii="Verdana" w:eastAsia="Times New Roman" w:hAnsi="Verdana" w:cs="Arial"/>
          <w:i/>
          <w:color w:val="000000" w:themeColor="text1"/>
          <w:sz w:val="20"/>
          <w:szCs w:val="20"/>
          <w:lang w:eastAsia="es-MX"/>
        </w:rPr>
        <w:t xml:space="preserve">cual es de que no accedan a la contratación, en forma temporal, como colaboradores en la consecución de los fines propios del contrato, quienes hayan cometido delitos que conlleven la pena accesoria de interdicción de derechos y funciones públicas, porque de alguna manera la celebración y ejecución de contratos comporta el desarrollo de actividades anejas al ejercicio de dichas funciones </w:t>
      </w:r>
      <w:r w:rsidRPr="000035A2">
        <w:rPr>
          <w:rFonts w:ascii="Verdana" w:eastAsia="Times New Roman" w:hAnsi="Verdana" w:cs="Arial"/>
          <w:color w:val="000000" w:themeColor="text1"/>
          <w:sz w:val="20"/>
          <w:szCs w:val="20"/>
          <w:lang w:eastAsia="es-MX"/>
        </w:rPr>
        <w:t xml:space="preserve"> (Cursivas fuera de texto).</w:t>
      </w:r>
      <w:r w:rsidRPr="000035A2">
        <w:rPr>
          <w:rStyle w:val="Refdenotaalpie"/>
          <w:rFonts w:ascii="Verdana" w:eastAsia="Times New Roman" w:hAnsi="Verdana" w:cs="Arial"/>
          <w:color w:val="000000" w:themeColor="text1"/>
          <w:sz w:val="20"/>
          <w:szCs w:val="20"/>
          <w:lang w:eastAsia="es-MX"/>
        </w:rPr>
        <w:footnoteReference w:id="9"/>
      </w:r>
    </w:p>
    <w:p w14:paraId="00A651B6" w14:textId="77777777" w:rsidR="00F3755E" w:rsidRPr="00602E90" w:rsidRDefault="00F3755E" w:rsidP="000035A2">
      <w:pPr>
        <w:spacing w:after="0" w:line="276" w:lineRule="auto"/>
        <w:ind w:left="709" w:right="709"/>
        <w:jc w:val="both"/>
        <w:rPr>
          <w:rFonts w:ascii="Verdana" w:eastAsia="Times New Roman" w:hAnsi="Verdana" w:cs="Arial"/>
          <w:color w:val="000000" w:themeColor="text1"/>
          <w:lang w:eastAsia="es-MX"/>
        </w:rPr>
      </w:pPr>
    </w:p>
    <w:p w14:paraId="33ECF9DE" w14:textId="3E6DBC9F" w:rsidR="005C029E" w:rsidRPr="00536009" w:rsidRDefault="005C029E" w:rsidP="000035A2">
      <w:pPr>
        <w:spacing w:after="120" w:line="276" w:lineRule="auto"/>
        <w:ind w:right="51" w:firstLine="709"/>
        <w:jc w:val="both"/>
        <w:rPr>
          <w:rFonts w:ascii="Verdana" w:eastAsia="Times New Roman" w:hAnsi="Verdana" w:cs="Arial"/>
          <w:lang w:eastAsia="es-MX"/>
        </w:rPr>
      </w:pPr>
      <w:r w:rsidRPr="00536009">
        <w:rPr>
          <w:rFonts w:ascii="Verdana" w:eastAsia="Times New Roman" w:hAnsi="Verdana" w:cs="Arial"/>
          <w:lang w:eastAsia="es-MX"/>
        </w:rPr>
        <w:t xml:space="preserve">De lo anterior se podría concluir que, de acuerdo con lo establecido en el literal d) del numeral 1 del artículo 8 de la Ley 80 de 1993, las personas naturales a las que se les haya impuesto una pena accesoria de interdicción de derechos y funciones públicas, al igual que las que hayan sido sancionados disciplinariamente con destitución, </w:t>
      </w:r>
      <w:r w:rsidRPr="00536009">
        <w:rPr>
          <w:rFonts w:ascii="Verdana" w:hAnsi="Verdana" w:cs="Arial"/>
        </w:rPr>
        <w:t xml:space="preserve">están incursas en la referida causal de inhabilidad, por lo que no pueden contratar con </w:t>
      </w:r>
      <w:r w:rsidR="00985ED8" w:rsidRPr="00536009">
        <w:rPr>
          <w:rFonts w:ascii="Verdana" w:hAnsi="Verdana" w:cs="Arial"/>
        </w:rPr>
        <w:t>Entidades Estatales</w:t>
      </w:r>
      <w:r w:rsidRPr="00536009">
        <w:rPr>
          <w:rFonts w:ascii="Verdana" w:hAnsi="Verdana" w:cs="Arial"/>
        </w:rPr>
        <w:t xml:space="preserve">. De esta manera, </w:t>
      </w:r>
      <w:r w:rsidRPr="00536009">
        <w:rPr>
          <w:rFonts w:ascii="Verdana" w:eastAsia="Times New Roman" w:hAnsi="Verdana" w:cs="Arial"/>
          <w:lang w:eastAsia="es-MX"/>
        </w:rPr>
        <w:t xml:space="preserve">una vez en firme la providencia que dispone la pena o sanción, la inhabilidad comienza a surtir sus efectos restringiendo de ese momento en adelante la posibilidad de suscribir nuevos contratos o participar en procesos de contratación.  </w:t>
      </w:r>
    </w:p>
    <w:p w14:paraId="253A9AFB" w14:textId="77777777" w:rsidR="005C029E" w:rsidRPr="00536009" w:rsidRDefault="005C029E" w:rsidP="00602E90">
      <w:pPr>
        <w:spacing w:after="0" w:line="276" w:lineRule="auto"/>
        <w:ind w:right="51" w:firstLine="709"/>
        <w:jc w:val="both"/>
        <w:rPr>
          <w:rFonts w:ascii="Verdana" w:eastAsia="Calibri" w:hAnsi="Verdana" w:cs="Arial"/>
          <w:color w:val="000000" w:themeColor="text1"/>
        </w:rPr>
      </w:pPr>
      <w:r w:rsidRPr="00536009">
        <w:rPr>
          <w:rFonts w:ascii="Verdana" w:eastAsia="Times New Roman" w:hAnsi="Verdana" w:cs="Arial"/>
          <w:lang w:eastAsia="es-MX"/>
        </w:rPr>
        <w:t xml:space="preserve">Sin perjuicio de lo anterior, también es posible que la imposición de la pena accesoria o la sanción sobrevengan durante la participación de la persona sancionada en un proceso de contratación, ya estando perfeccionado el contrato o incluso durante su ejecución. Para casos como este, en el que la inhabilidad se presenta de manera sobreviniente, existe una </w:t>
      </w:r>
      <w:bookmarkStart w:id="5" w:name="_Hlk80369925"/>
      <w:r w:rsidRPr="00536009">
        <w:rPr>
          <w:rFonts w:ascii="Verdana" w:eastAsia="Calibri" w:hAnsi="Verdana" w:cs="Arial"/>
          <w:color w:val="000000" w:themeColor="text1"/>
        </w:rPr>
        <w:t>la regulación especial del Estatuto General de la Contratación Pública</w:t>
      </w:r>
      <w:bookmarkEnd w:id="5"/>
      <w:r w:rsidRPr="00536009">
        <w:rPr>
          <w:rFonts w:ascii="Verdana" w:eastAsia="Calibri" w:hAnsi="Verdana" w:cs="Arial"/>
          <w:color w:val="000000" w:themeColor="text1"/>
        </w:rPr>
        <w:t>, establecida en el artículo 9 de la Ley 80 de 1993 en los siguientes términos:</w:t>
      </w:r>
    </w:p>
    <w:p w14:paraId="236AEDB6" w14:textId="77777777" w:rsidR="00602E90" w:rsidRPr="00536009" w:rsidRDefault="00602E90" w:rsidP="000035A2">
      <w:pPr>
        <w:spacing w:after="0" w:line="276" w:lineRule="auto"/>
        <w:ind w:right="51" w:firstLine="709"/>
        <w:jc w:val="both"/>
        <w:rPr>
          <w:rFonts w:ascii="Verdana" w:eastAsia="Calibri" w:hAnsi="Verdana" w:cs="Arial"/>
          <w:color w:val="000000" w:themeColor="text1"/>
        </w:rPr>
      </w:pPr>
    </w:p>
    <w:p w14:paraId="54586726" w14:textId="08460545" w:rsidR="005C029E" w:rsidRDefault="00F31E7E" w:rsidP="000035A2">
      <w:pPr>
        <w:tabs>
          <w:tab w:val="left" w:pos="709"/>
        </w:tabs>
        <w:spacing w:after="0" w:line="240" w:lineRule="auto"/>
        <w:ind w:left="709" w:right="709"/>
        <w:jc w:val="both"/>
        <w:rPr>
          <w:rFonts w:ascii="Verdana" w:eastAsia="Calibri" w:hAnsi="Verdana" w:cs="Arial"/>
          <w:i/>
          <w:color w:val="000000" w:themeColor="text1"/>
          <w:sz w:val="20"/>
          <w:szCs w:val="20"/>
        </w:rPr>
      </w:pPr>
      <w:r>
        <w:rPr>
          <w:rFonts w:ascii="Verdana" w:eastAsia="Calibri" w:hAnsi="Verdana" w:cs="Arial"/>
          <w:i/>
          <w:iCs/>
          <w:color w:val="000000" w:themeColor="text1"/>
          <w:sz w:val="20"/>
          <w:szCs w:val="20"/>
        </w:rPr>
        <w:t>“</w:t>
      </w:r>
      <w:r w:rsidR="005C029E" w:rsidRPr="000035A2">
        <w:rPr>
          <w:rFonts w:ascii="Verdana" w:eastAsia="Calibri" w:hAnsi="Verdana" w:cs="Arial"/>
          <w:i/>
          <w:color w:val="000000" w:themeColor="text1"/>
          <w:sz w:val="20"/>
          <w:szCs w:val="20"/>
        </w:rPr>
        <w:t>Si llegare a sobrevenir inhabilidad o incompatibilidad en el contratista, este cederá el contrato previa autorización escrita de la entidad contratante o, si ello no fuere posible, renunciará a su ejecución.</w:t>
      </w:r>
    </w:p>
    <w:p w14:paraId="6B5C5939" w14:textId="77777777" w:rsidR="00F31E7E" w:rsidRPr="004B1C34" w:rsidRDefault="00F31E7E" w:rsidP="000035A2">
      <w:pPr>
        <w:tabs>
          <w:tab w:val="left" w:pos="709"/>
        </w:tabs>
        <w:spacing w:after="0" w:line="240" w:lineRule="auto"/>
        <w:ind w:left="709" w:right="709"/>
        <w:jc w:val="both"/>
        <w:rPr>
          <w:rFonts w:ascii="Verdana" w:eastAsia="Calibri" w:hAnsi="Verdana" w:cs="Arial"/>
          <w:i/>
          <w:iCs/>
          <w:color w:val="000000" w:themeColor="text1"/>
          <w:sz w:val="20"/>
          <w:szCs w:val="20"/>
        </w:rPr>
      </w:pPr>
    </w:p>
    <w:p w14:paraId="5E7A0015" w14:textId="77777777" w:rsidR="005C029E" w:rsidRPr="004B1C34" w:rsidRDefault="005C029E" w:rsidP="000035A2">
      <w:pPr>
        <w:tabs>
          <w:tab w:val="left" w:pos="709"/>
        </w:tabs>
        <w:spacing w:after="0" w:line="240" w:lineRule="auto"/>
        <w:ind w:left="709" w:right="709"/>
        <w:jc w:val="both"/>
        <w:rPr>
          <w:rFonts w:ascii="Verdana" w:eastAsia="Calibri" w:hAnsi="Verdana" w:cs="Arial"/>
          <w:color w:val="000000" w:themeColor="text1"/>
          <w:sz w:val="20"/>
          <w:szCs w:val="20"/>
        </w:rPr>
      </w:pPr>
      <w:r w:rsidRPr="004B1C34">
        <w:rPr>
          <w:rFonts w:ascii="Verdana" w:eastAsia="Calibri" w:hAnsi="Verdana" w:cs="Arial"/>
          <w:color w:val="000000" w:themeColor="text1"/>
          <w:sz w:val="20"/>
          <w:szCs w:val="20"/>
        </w:rPr>
        <w:t>Cuando la inhabilidad o incompatibilidad sobrevenga en un proponente dentro de un proceso de selección, se entenderá que renuncia a la participación en el proceso de selección y a los derechos surgidos del mismo.</w:t>
      </w:r>
    </w:p>
    <w:p w14:paraId="55340726" w14:textId="77777777" w:rsidR="00F31E7E" w:rsidRDefault="00F31E7E" w:rsidP="004B1C34">
      <w:pPr>
        <w:tabs>
          <w:tab w:val="left" w:pos="709"/>
        </w:tabs>
        <w:spacing w:after="0" w:line="240" w:lineRule="auto"/>
        <w:ind w:left="709" w:right="709"/>
        <w:jc w:val="both"/>
        <w:rPr>
          <w:rFonts w:ascii="Verdana" w:eastAsia="Calibri" w:hAnsi="Verdana" w:cs="Arial"/>
          <w:color w:val="000000" w:themeColor="text1"/>
          <w:sz w:val="20"/>
          <w:szCs w:val="20"/>
        </w:rPr>
      </w:pPr>
    </w:p>
    <w:p w14:paraId="09621952" w14:textId="45C9439F" w:rsidR="005C029E" w:rsidRPr="004B1C34" w:rsidRDefault="005C029E" w:rsidP="004B1C34">
      <w:pPr>
        <w:tabs>
          <w:tab w:val="left" w:pos="709"/>
        </w:tabs>
        <w:spacing w:after="0" w:line="240" w:lineRule="auto"/>
        <w:ind w:left="709" w:right="709"/>
        <w:jc w:val="both"/>
        <w:rPr>
          <w:rFonts w:ascii="Verdana" w:eastAsia="Calibri" w:hAnsi="Verdana" w:cs="Arial"/>
          <w:color w:val="000000" w:themeColor="text1"/>
          <w:sz w:val="20"/>
          <w:szCs w:val="20"/>
        </w:rPr>
      </w:pPr>
      <w:r w:rsidRPr="004B1C34">
        <w:rPr>
          <w:rFonts w:ascii="Verdana" w:eastAsia="Calibri" w:hAnsi="Verdana" w:cs="Arial"/>
          <w:color w:val="000000" w:themeColor="text1"/>
          <w:sz w:val="20"/>
          <w:szCs w:val="20"/>
        </w:rPr>
        <w:t>Si la inhabilidad o incompatibilidad sobreviene en uno de los miembros de un consorcio o unión temporal, este cederá su participación a un tercero previa autorización escrita de la entidad contratante. En ningún caso podrá haber cesión del contrato entre quienes integran el consorcio o unión temporal.</w:t>
      </w:r>
    </w:p>
    <w:p w14:paraId="26082BBB" w14:textId="77777777" w:rsidR="00F31E7E" w:rsidRDefault="00F31E7E" w:rsidP="004B1C34">
      <w:pPr>
        <w:tabs>
          <w:tab w:val="left" w:pos="709"/>
        </w:tabs>
        <w:spacing w:after="0" w:line="240" w:lineRule="auto"/>
        <w:ind w:left="709" w:right="709"/>
        <w:jc w:val="both"/>
        <w:rPr>
          <w:rFonts w:ascii="Verdana" w:eastAsia="Calibri" w:hAnsi="Verdana" w:cs="Arial"/>
          <w:color w:val="000000" w:themeColor="text1"/>
          <w:sz w:val="20"/>
          <w:szCs w:val="20"/>
        </w:rPr>
      </w:pPr>
    </w:p>
    <w:p w14:paraId="137223A7" w14:textId="2719DB8B" w:rsidR="005C029E" w:rsidRPr="004B1C34" w:rsidRDefault="005C029E" w:rsidP="004B1C34">
      <w:pPr>
        <w:tabs>
          <w:tab w:val="left" w:pos="709"/>
        </w:tabs>
        <w:spacing w:after="0" w:line="240" w:lineRule="auto"/>
        <w:ind w:left="709" w:right="709"/>
        <w:jc w:val="both"/>
        <w:rPr>
          <w:rFonts w:ascii="Verdana" w:eastAsia="Calibri" w:hAnsi="Verdana" w:cs="Arial"/>
          <w:color w:val="000000" w:themeColor="text1"/>
          <w:sz w:val="20"/>
          <w:szCs w:val="20"/>
        </w:rPr>
      </w:pPr>
      <w:r w:rsidRPr="004B1C34">
        <w:rPr>
          <w:rFonts w:ascii="Verdana" w:eastAsia="Calibri" w:hAnsi="Verdana" w:cs="Arial"/>
          <w:color w:val="000000" w:themeColor="text1"/>
          <w:sz w:val="20"/>
          <w:szCs w:val="20"/>
        </w:rPr>
        <w:t>Parágrafo 1º. Cuando la inhabilidad sobreviniente sea la contemplada en el literal j) del numeral 1 del artículo 8º de la Ley 80 de 1993, o cuando administrativamente se haya sancionado por actos de corrupción al contratista, no procederá la renuncia del contrato a la que se refiere este artículo. La entidad estatal ordenará mediante acto administrativo motivado la cesión unilateral, sin lugar a indemnización alguna al contratista inhábil.</w:t>
      </w:r>
    </w:p>
    <w:p w14:paraId="73F2A5B1" w14:textId="77777777" w:rsidR="00F31E7E" w:rsidRDefault="00F31E7E" w:rsidP="004B1C34">
      <w:pPr>
        <w:tabs>
          <w:tab w:val="left" w:pos="709"/>
        </w:tabs>
        <w:spacing w:after="0" w:line="240" w:lineRule="auto"/>
        <w:ind w:left="709" w:right="709"/>
        <w:jc w:val="both"/>
        <w:rPr>
          <w:rFonts w:ascii="Verdana" w:eastAsia="Calibri" w:hAnsi="Verdana" w:cs="Arial"/>
          <w:color w:val="000000" w:themeColor="text1"/>
          <w:sz w:val="20"/>
          <w:szCs w:val="20"/>
        </w:rPr>
      </w:pPr>
    </w:p>
    <w:p w14:paraId="1CCE6E60" w14:textId="45F88A65" w:rsidR="005C029E" w:rsidRPr="004B1C34" w:rsidRDefault="005C029E" w:rsidP="004B1C34">
      <w:pPr>
        <w:tabs>
          <w:tab w:val="left" w:pos="709"/>
        </w:tabs>
        <w:spacing w:after="0" w:line="240" w:lineRule="auto"/>
        <w:ind w:left="709" w:right="709"/>
        <w:jc w:val="both"/>
        <w:rPr>
          <w:rFonts w:ascii="Verdana" w:eastAsia="Calibri" w:hAnsi="Verdana" w:cs="Arial"/>
          <w:color w:val="000000" w:themeColor="text1"/>
          <w:sz w:val="20"/>
          <w:szCs w:val="20"/>
        </w:rPr>
      </w:pPr>
      <w:r w:rsidRPr="004B1C34">
        <w:rPr>
          <w:rFonts w:ascii="Verdana" w:eastAsia="Calibri" w:hAnsi="Verdana" w:cs="Arial"/>
          <w:color w:val="000000" w:themeColor="text1"/>
          <w:sz w:val="20"/>
          <w:szCs w:val="20"/>
        </w:rPr>
        <w:t>Para el caso de cesión, será la entidad contratante la encargada de determinar el cesionario del contrato. […]</w:t>
      </w:r>
      <w:r w:rsidR="00F31E7E">
        <w:rPr>
          <w:rFonts w:ascii="Verdana" w:eastAsia="Calibri" w:hAnsi="Verdana" w:cs="Arial"/>
          <w:color w:val="000000" w:themeColor="text1"/>
          <w:sz w:val="20"/>
          <w:szCs w:val="20"/>
        </w:rPr>
        <w:t>”</w:t>
      </w:r>
      <w:bookmarkStart w:id="6" w:name="_Hlk79777330"/>
      <w:r w:rsidRPr="004B1C34">
        <w:rPr>
          <w:rStyle w:val="Refdenotaalpie"/>
          <w:rFonts w:ascii="Verdana" w:eastAsia="Calibri" w:hAnsi="Verdana" w:cs="Arial"/>
          <w:color w:val="000000" w:themeColor="text1"/>
          <w:sz w:val="20"/>
          <w:szCs w:val="20"/>
        </w:rPr>
        <w:footnoteReference w:id="10"/>
      </w:r>
      <w:r w:rsidRPr="004B1C34">
        <w:rPr>
          <w:rFonts w:ascii="Verdana" w:eastAsia="Calibri" w:hAnsi="Verdana" w:cs="Arial"/>
          <w:color w:val="000000" w:themeColor="text1"/>
          <w:sz w:val="20"/>
          <w:szCs w:val="20"/>
        </w:rPr>
        <w:t xml:space="preserve"> </w:t>
      </w:r>
      <w:bookmarkEnd w:id="6"/>
      <w:r w:rsidRPr="004B1C34">
        <w:rPr>
          <w:rFonts w:ascii="Verdana" w:eastAsia="Calibri" w:hAnsi="Verdana" w:cs="Arial"/>
          <w:color w:val="000000" w:themeColor="text1"/>
          <w:sz w:val="20"/>
          <w:szCs w:val="20"/>
        </w:rPr>
        <w:t>(Cursivas añadidas).</w:t>
      </w:r>
    </w:p>
    <w:p w14:paraId="366D0EE6" w14:textId="77777777" w:rsidR="005C029E" w:rsidRPr="00536009" w:rsidRDefault="005C029E" w:rsidP="004B1C34">
      <w:pPr>
        <w:tabs>
          <w:tab w:val="left" w:pos="709"/>
        </w:tabs>
        <w:spacing w:after="0" w:line="276" w:lineRule="auto"/>
        <w:ind w:left="709" w:right="879"/>
        <w:jc w:val="both"/>
        <w:rPr>
          <w:rFonts w:ascii="Verdana" w:eastAsia="Calibri" w:hAnsi="Verdana" w:cs="Arial"/>
          <w:color w:val="000000" w:themeColor="text1"/>
        </w:rPr>
      </w:pPr>
    </w:p>
    <w:p w14:paraId="10E165F9" w14:textId="77777777" w:rsidR="005C029E" w:rsidRPr="00536009" w:rsidRDefault="005C029E" w:rsidP="0092542D">
      <w:pPr>
        <w:tabs>
          <w:tab w:val="left" w:pos="709"/>
        </w:tabs>
        <w:spacing w:after="0" w:line="276" w:lineRule="auto"/>
        <w:jc w:val="both"/>
        <w:rPr>
          <w:rFonts w:ascii="Verdana" w:eastAsia="Calibri" w:hAnsi="Verdana" w:cs="Arial"/>
          <w:color w:val="000000" w:themeColor="text1"/>
        </w:rPr>
      </w:pPr>
      <w:r w:rsidRPr="00536009">
        <w:rPr>
          <w:rFonts w:ascii="Verdana" w:eastAsia="Calibri" w:hAnsi="Verdana" w:cs="Arial"/>
          <w:color w:val="000000" w:themeColor="text1"/>
        </w:rPr>
        <w:tab/>
        <w:t>Esta regulación de las inhabilidades e incompatibilidades sobrevinientes fue una innovación del Estatuto General de Contratación de la Administración Pública, pues el tema no fue abordado en los Decretos Leyes 150 de 1976 y 222 de 1983. Naturalmente, no se trata de causales nuevas, sino de su configuración posterior antes de que finalice el procedimiento de selección o después de perfeccionado el contrato. Sobre la constitucionalidad de esta norma se pronunció la Corte Constitucional indicando que:</w:t>
      </w:r>
    </w:p>
    <w:p w14:paraId="624B2811" w14:textId="77777777" w:rsidR="0092542D" w:rsidRPr="00536009" w:rsidRDefault="0092542D" w:rsidP="004B1C34">
      <w:pPr>
        <w:tabs>
          <w:tab w:val="left" w:pos="709"/>
        </w:tabs>
        <w:spacing w:after="0" w:line="276" w:lineRule="auto"/>
        <w:jc w:val="both"/>
        <w:rPr>
          <w:rFonts w:ascii="Verdana" w:eastAsia="Calibri" w:hAnsi="Verdana" w:cs="Arial"/>
          <w:color w:val="000000" w:themeColor="text1"/>
        </w:rPr>
      </w:pPr>
    </w:p>
    <w:p w14:paraId="3211C1D2" w14:textId="3863BA2E" w:rsidR="005C029E" w:rsidRDefault="0092542D" w:rsidP="0092542D">
      <w:pPr>
        <w:spacing w:after="0" w:line="240" w:lineRule="auto"/>
        <w:ind w:left="709" w:right="709"/>
        <w:jc w:val="both"/>
        <w:rPr>
          <w:rFonts w:ascii="Verdana" w:eastAsia="Times New Roman" w:hAnsi="Verdana" w:cs="Arial"/>
          <w:color w:val="000000" w:themeColor="text1"/>
          <w:sz w:val="20"/>
          <w:szCs w:val="20"/>
          <w:lang w:eastAsia="es-MX"/>
        </w:rPr>
      </w:pPr>
      <w:r>
        <w:rPr>
          <w:rFonts w:ascii="Verdana" w:hAnsi="Verdana" w:cs="Arial"/>
          <w:color w:val="000000" w:themeColor="text1"/>
          <w:sz w:val="20"/>
          <w:szCs w:val="20"/>
        </w:rPr>
        <w:t>“</w:t>
      </w:r>
      <w:r w:rsidR="005C029E" w:rsidRPr="004B1C34">
        <w:rPr>
          <w:rFonts w:ascii="Verdana" w:hAnsi="Verdana" w:cs="Arial"/>
          <w:color w:val="000000" w:themeColor="text1"/>
          <w:sz w:val="20"/>
          <w:szCs w:val="20"/>
        </w:rPr>
        <w:t xml:space="preserve">[…] </w:t>
      </w:r>
      <w:r w:rsidR="005C029E" w:rsidRPr="004B1C34">
        <w:rPr>
          <w:rFonts w:ascii="Verdana" w:eastAsia="Times New Roman" w:hAnsi="Verdana" w:cs="Arial"/>
          <w:color w:val="000000" w:themeColor="text1"/>
          <w:sz w:val="20"/>
          <w:szCs w:val="20"/>
          <w:lang w:eastAsia="es-MX"/>
        </w:rPr>
        <w:t>Se trata de evitar que contraten con el Estado quienes se ubican en alguna de las situaciones contempladas por el artículo 8º de la Ley 80 de 1993, a la cual pertenece también la disposición demandada. Como tales incompatibilidades e inhabilidades no siempre surgen desde el comienzo de los trámites previos a la contratación, debe la ley ocuparse en la determinación clara de las reglas que han de observarse si ellas aparecen de manera sobreviniente, esto es, cuando la relación contractual ya se había establecido o dentro del tiempo de una licitación o concurso ya iniciados.</w:t>
      </w:r>
    </w:p>
    <w:p w14:paraId="17F098F3" w14:textId="77777777" w:rsidR="0092542D" w:rsidRPr="004B1C34" w:rsidRDefault="0092542D" w:rsidP="004B1C34">
      <w:pPr>
        <w:spacing w:after="0" w:line="240" w:lineRule="auto"/>
        <w:ind w:left="709" w:right="709"/>
        <w:jc w:val="both"/>
        <w:rPr>
          <w:rFonts w:ascii="Verdana" w:eastAsia="Times New Roman" w:hAnsi="Verdana" w:cs="Arial"/>
          <w:color w:val="000000" w:themeColor="text1"/>
          <w:sz w:val="20"/>
          <w:szCs w:val="20"/>
          <w:lang w:eastAsia="es-MX"/>
        </w:rPr>
      </w:pPr>
    </w:p>
    <w:p w14:paraId="6E457040" w14:textId="3BB2E089" w:rsidR="005C029E" w:rsidRDefault="005C029E" w:rsidP="0092542D">
      <w:pPr>
        <w:spacing w:after="0" w:line="240" w:lineRule="auto"/>
        <w:ind w:left="709" w:right="709"/>
        <w:jc w:val="both"/>
        <w:rPr>
          <w:rFonts w:ascii="Verdana" w:eastAsia="Times New Roman" w:hAnsi="Verdana" w:cs="Arial"/>
          <w:color w:val="000000" w:themeColor="text1"/>
          <w:sz w:val="20"/>
          <w:szCs w:val="20"/>
          <w:lang w:eastAsia="es-MX"/>
        </w:rPr>
      </w:pPr>
      <w:r w:rsidRPr="004B1C34">
        <w:rPr>
          <w:rFonts w:ascii="Verdana" w:eastAsia="Times New Roman" w:hAnsi="Verdana" w:cs="Arial"/>
          <w:color w:val="000000" w:themeColor="text1"/>
          <w:sz w:val="20"/>
          <w:szCs w:val="20"/>
          <w:lang w:eastAsia="es-MX"/>
        </w:rPr>
        <w:t>A juicio de la Corte, en nada se ofende el imperio de la Constitución por haberse establecido que el hecho de sobrevenir una causal de inhabilidad o incompatibilidad en cabeza de quien ya es contratista da lugar a la obligación de éste de ceder el contrato previa autorización escrita de la entidad contratante, o a la de renunciar a su ejecución si aquello no fuere posible. Tampoco se vulnera la Carta por consagrar que quien participa en un proceso de licitación o concurso y resulta intempestivamente afectado por inhabilidades o incompatibilidades deba renunciar a dicha participación, ni se desconoce la normatividad superior por prever, como lo hace la norma, la cesión en favor de un tercero de la participación en el consorcio o unión temporal que licita o es contratista cuando la causa de inhabilidad o incompatibilidad se radica en uno de sus miembros. Se trata de evitar en tales casos que el contratista, pese a su situación, prosiga vinculado contractualmente con el Estado, o que el aspirante a serlo continúe tomando parte en los procesos de adjudicación y selección […]</w:t>
      </w:r>
      <w:r w:rsidR="0092542D">
        <w:rPr>
          <w:rFonts w:ascii="Verdana" w:eastAsia="Times New Roman" w:hAnsi="Verdana" w:cs="Arial"/>
          <w:color w:val="000000" w:themeColor="text1"/>
          <w:sz w:val="20"/>
          <w:szCs w:val="20"/>
          <w:lang w:eastAsia="es-MX"/>
        </w:rPr>
        <w:t>”</w:t>
      </w:r>
      <w:r w:rsidRPr="004B1C34">
        <w:rPr>
          <w:rStyle w:val="Refdenotaalpie"/>
          <w:rFonts w:ascii="Verdana" w:eastAsia="Times New Roman" w:hAnsi="Verdana" w:cs="Arial"/>
          <w:color w:val="000000" w:themeColor="text1"/>
          <w:sz w:val="20"/>
          <w:szCs w:val="20"/>
          <w:lang w:eastAsia="es-MX"/>
        </w:rPr>
        <w:footnoteReference w:id="11"/>
      </w:r>
    </w:p>
    <w:p w14:paraId="56CA9B99" w14:textId="77777777" w:rsidR="0092542D" w:rsidRPr="0073020D" w:rsidRDefault="0092542D" w:rsidP="004B1C34">
      <w:pPr>
        <w:spacing w:after="0" w:line="276" w:lineRule="auto"/>
        <w:ind w:left="709" w:right="709"/>
        <w:jc w:val="both"/>
        <w:rPr>
          <w:rFonts w:ascii="Verdana" w:eastAsia="Times New Roman" w:hAnsi="Verdana" w:cs="Arial"/>
          <w:color w:val="000000" w:themeColor="text1"/>
          <w:lang w:eastAsia="es-MX"/>
        </w:rPr>
      </w:pPr>
    </w:p>
    <w:p w14:paraId="78F034B8" w14:textId="77777777" w:rsidR="005C029E" w:rsidRPr="00536009" w:rsidRDefault="005C029E" w:rsidP="005C029E">
      <w:pPr>
        <w:tabs>
          <w:tab w:val="left" w:pos="709"/>
        </w:tabs>
        <w:spacing w:after="120" w:line="276" w:lineRule="auto"/>
        <w:jc w:val="both"/>
        <w:rPr>
          <w:rFonts w:ascii="Verdana" w:eastAsia="Calibri" w:hAnsi="Verdana" w:cs="Arial"/>
          <w:color w:val="000000" w:themeColor="text1"/>
        </w:rPr>
      </w:pPr>
      <w:r w:rsidRPr="00536009">
        <w:rPr>
          <w:rFonts w:ascii="Verdana" w:eastAsia="Calibri" w:hAnsi="Verdana" w:cs="Arial"/>
          <w:color w:val="000000" w:themeColor="text1"/>
        </w:rPr>
        <w:tab/>
        <w:t xml:space="preserve">En efecto, si el contrato se celebra con personas incursas previamente en una situación de inhabilidad o incompatibilidad, este surge a la vida jurídica viciado de nulidad absoluta. En contraste, si se generan en forma sobreviniente, el contrato no es inválido porque se perfeccionó de forma lícita; pero conforme al principio de moralidad administrativa no se puede continuar ejecutando ni mantenerse el vínculo con ese contratista inhábil y se producen entonces las consecuencias dispuestas por el legislador. </w:t>
      </w:r>
    </w:p>
    <w:p w14:paraId="32235F38" w14:textId="77777777" w:rsidR="005C029E" w:rsidRPr="00536009" w:rsidRDefault="005C029E" w:rsidP="005C029E">
      <w:pPr>
        <w:tabs>
          <w:tab w:val="left" w:pos="709"/>
        </w:tabs>
        <w:spacing w:after="120" w:line="276" w:lineRule="auto"/>
        <w:jc w:val="both"/>
        <w:rPr>
          <w:rFonts w:ascii="Verdana" w:eastAsia="Calibri" w:hAnsi="Verdana" w:cs="Arial"/>
          <w:color w:val="000000" w:themeColor="text1"/>
        </w:rPr>
      </w:pPr>
      <w:r w:rsidRPr="00536009">
        <w:rPr>
          <w:rFonts w:ascii="Verdana" w:eastAsia="Calibri" w:hAnsi="Verdana" w:cs="Arial"/>
          <w:color w:val="000000" w:themeColor="text1"/>
        </w:rPr>
        <w:tab/>
        <w:t>Según se desprende del texto del artículo 9, y sin perjuicio de la regla especial establecida en el parágrafo 1 de dicho artículo</w:t>
      </w:r>
      <w:r w:rsidRPr="00536009">
        <w:rPr>
          <w:rStyle w:val="Refdenotaalpie"/>
          <w:rFonts w:ascii="Verdana" w:eastAsia="Calibri" w:hAnsi="Verdana" w:cs="Arial"/>
          <w:color w:val="000000" w:themeColor="text1"/>
        </w:rPr>
        <w:footnoteReference w:id="12"/>
      </w:r>
      <w:r w:rsidRPr="00536009">
        <w:rPr>
          <w:rFonts w:ascii="Verdana" w:eastAsia="Calibri" w:hAnsi="Verdana" w:cs="Arial"/>
          <w:color w:val="000000" w:themeColor="text1"/>
        </w:rPr>
        <w:t>, si la inhabilidad o incompatibilidad se configura después del perfeccionamiento del contrato, el contratista cederá el contrato a un tercero previa autorización escrita de la entidad contratante; pero si esto no es posible, está obligado a renunciar a la ejecución. Por otra parte, si la inhabilidad o incompatibilidad sobreviene en un procedimiento de selección, se entiende que el proponente renuncia a la participación y a los derechos surgidos del mismo. Finalmente, si la inhabilidad o incompatibilidad sobreviene en uno de los integrantes de un proponente plural, este debe ceder su participación con la autorización escrita del contratante, con la restricción de que el cesionario no puede ser alguno de los demás integrantes del consorcio o la unión temporal</w:t>
      </w:r>
      <w:r w:rsidRPr="00536009">
        <w:rPr>
          <w:rStyle w:val="Refdenotaalpie"/>
          <w:rFonts w:ascii="Verdana" w:eastAsia="Calibri" w:hAnsi="Verdana" w:cs="Arial"/>
          <w:color w:val="000000" w:themeColor="text1"/>
        </w:rPr>
        <w:footnoteReference w:id="13"/>
      </w:r>
      <w:r w:rsidRPr="00536009">
        <w:rPr>
          <w:rFonts w:ascii="Verdana" w:eastAsia="Calibri" w:hAnsi="Verdana" w:cs="Arial"/>
          <w:color w:val="000000" w:themeColor="text1"/>
        </w:rPr>
        <w:t xml:space="preserve">. </w:t>
      </w:r>
    </w:p>
    <w:p w14:paraId="1208C23C" w14:textId="77777777" w:rsidR="005C029E" w:rsidRDefault="005C029E" w:rsidP="004B1C34">
      <w:pPr>
        <w:spacing w:after="120" w:line="276" w:lineRule="auto"/>
        <w:jc w:val="both"/>
        <w:rPr>
          <w:rFonts w:ascii="Verdana" w:eastAsia="Times New Roman" w:hAnsi="Verdana" w:cs="Arial"/>
          <w:lang w:eastAsia="es-MX"/>
        </w:rPr>
      </w:pPr>
      <w:r w:rsidRPr="00536009">
        <w:rPr>
          <w:rFonts w:ascii="Verdana" w:eastAsia="Calibri" w:hAnsi="Verdana" w:cs="Arial"/>
          <w:color w:val="000000" w:themeColor="text1"/>
        </w:rPr>
        <w:tab/>
        <w:t xml:space="preserve"> </w:t>
      </w:r>
      <w:r w:rsidRPr="00536009">
        <w:rPr>
          <w:rFonts w:ascii="Verdana" w:eastAsia="Times New Roman" w:hAnsi="Verdana" w:cs="Arial"/>
          <w:lang w:eastAsia="es-MX"/>
        </w:rPr>
        <w:t>Conforme a lo anterior,</w:t>
      </w:r>
      <w:r w:rsidRPr="00536009">
        <w:rPr>
          <w:rFonts w:ascii="Verdana" w:eastAsia="Times New Roman" w:hAnsi="Verdana" w:cs="Arial"/>
          <w:color w:val="000000" w:themeColor="text1"/>
          <w:lang w:eastAsia="es-MX"/>
        </w:rPr>
        <w:t xml:space="preserve"> en el caso en que se llegue a presentar una inhabilidad o incompatibilidad durante la ejecución del contrato estatal, el contratista tiene dos opciones: primero, ceder el contrato, previa autorización escrita de la entidad estatal y, segundo, en el caso en que la cesión no fuera </w:t>
      </w:r>
      <w:r w:rsidRPr="00536009">
        <w:rPr>
          <w:rFonts w:ascii="Verdana" w:eastAsia="Times New Roman" w:hAnsi="Verdana" w:cs="Arial"/>
          <w:color w:val="000000" w:themeColor="text1"/>
          <w:lang w:eastAsia="es-MX"/>
        </w:rPr>
        <w:lastRenderedPageBreak/>
        <w:t>posible, deberá renunciar a la ejecución del contrato. En ese sentido,</w:t>
      </w:r>
      <w:r w:rsidRPr="00536009">
        <w:rPr>
          <w:rFonts w:ascii="Verdana" w:eastAsia="Times New Roman" w:hAnsi="Verdana" w:cs="Arial"/>
          <w:lang w:eastAsia="es-MX"/>
        </w:rPr>
        <w:t xml:space="preserve"> si durante la ejecución del contrato se llega a configurar alguna de las situaciones establecidas en el artículo 8 de la Ley 80 de 1993, se configuraría una inhabilidad o incompatibilidad sobreviniente y, ante este supuesto, la normativa solo prevé las dos soluciones referidas.  </w:t>
      </w:r>
    </w:p>
    <w:p w14:paraId="751037EF" w14:textId="3CC35CDF" w:rsidR="005C029E" w:rsidRPr="004D4336" w:rsidRDefault="005C029E" w:rsidP="004B1C34">
      <w:pPr>
        <w:spacing w:after="120" w:line="276" w:lineRule="auto"/>
        <w:jc w:val="both"/>
        <w:rPr>
          <w:rFonts w:ascii="Verdana" w:eastAsia="Times New Roman" w:hAnsi="Verdana" w:cs="Arial"/>
          <w:lang w:eastAsia="es-MX"/>
        </w:rPr>
      </w:pPr>
      <w:r>
        <w:rPr>
          <w:rFonts w:ascii="Verdana" w:eastAsia="Times New Roman" w:hAnsi="Verdana" w:cs="Arial"/>
          <w:lang w:eastAsia="es-MX"/>
        </w:rPr>
        <w:t xml:space="preserve">         </w:t>
      </w:r>
      <w:r w:rsidRPr="004D4336">
        <w:rPr>
          <w:rFonts w:ascii="Verdana" w:eastAsia="Times New Roman" w:hAnsi="Verdana" w:cs="Arial"/>
          <w:lang w:eastAsia="es-MX"/>
        </w:rPr>
        <w:t xml:space="preserve">De otra parte, tal y como lo señala el artículo 13 de la Ley 1150 de 2007: </w:t>
      </w:r>
      <w:r w:rsidRPr="004D4336">
        <w:rPr>
          <w:rFonts w:ascii="Verdana" w:eastAsia="Times New Roman" w:hAnsi="Verdana" w:cs="Arial"/>
          <w:color w:val="000000" w:themeColor="text1"/>
          <w:lang w:eastAsia="es-MX"/>
        </w:rPr>
        <w:t>“</w:t>
      </w:r>
      <w:r w:rsidRPr="004D4336">
        <w:rPr>
          <w:rFonts w:ascii="Verdana" w:hAnsi="Verdana" w:cs="Open Sans"/>
          <w:color w:val="000000" w:themeColor="text1"/>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15" w:anchor="209" w:history="1">
        <w:r w:rsidRPr="004B1C34">
          <w:rPr>
            <w:rStyle w:val="Hipervnculo"/>
            <w:rFonts w:ascii="Verdana" w:hAnsi="Verdana" w:cs="Open Sans"/>
            <w:color w:val="000000" w:themeColor="text1"/>
            <w:u w:val="none"/>
          </w:rPr>
          <w:t>209</w:t>
        </w:r>
      </w:hyperlink>
      <w:r w:rsidRPr="004D4336">
        <w:rPr>
          <w:rFonts w:ascii="Verdana" w:hAnsi="Verdana" w:cs="Open Sans"/>
          <w:color w:val="000000" w:themeColor="text1"/>
        </w:rPr>
        <w:t> y </w:t>
      </w:r>
      <w:hyperlink r:id="rId16" w:anchor="267" w:history="1">
        <w:r w:rsidRPr="004B1C34">
          <w:rPr>
            <w:rStyle w:val="Hipervnculo"/>
            <w:rFonts w:ascii="Verdana" w:hAnsi="Verdana" w:cs="Open Sans"/>
            <w:color w:val="000000" w:themeColor="text1"/>
            <w:u w:val="none"/>
          </w:rPr>
          <w:t>267</w:t>
        </w:r>
      </w:hyperlink>
      <w:r w:rsidRPr="004D4336">
        <w:rPr>
          <w:rFonts w:ascii="Verdana" w:hAnsi="Verdana" w:cs="Open Sans"/>
          <w:color w:val="000000" w:themeColor="text1"/>
        </w:rPr>
        <w:t> de la Constitución Política, respectivamente según sea el caso y estarán sometidas al régimen de inhabilidades e incompatibilidades previsto legalmente para la contratación estatal” por lo que les aplica</w:t>
      </w:r>
      <w:r w:rsidR="000213EE">
        <w:rPr>
          <w:rFonts w:ascii="Verdana" w:hAnsi="Verdana" w:cs="Open Sans"/>
          <w:color w:val="000000" w:themeColor="text1"/>
        </w:rPr>
        <w:t>.</w:t>
      </w:r>
      <w:r w:rsidRPr="004D4336">
        <w:rPr>
          <w:rFonts w:ascii="Verdana" w:hAnsi="Verdana" w:cs="Open Sans"/>
          <w:color w:val="000000" w:themeColor="text1"/>
        </w:rPr>
        <w:t xml:space="preserve"> </w:t>
      </w:r>
      <w:r w:rsidRPr="004D4336">
        <w:rPr>
          <w:rFonts w:ascii="Verdana" w:hAnsi="Verdana" w:cs="Open Sans"/>
          <w:color w:val="000000" w:themeColor="text1"/>
          <w:sz w:val="18"/>
          <w:szCs w:val="18"/>
        </w:rPr>
        <w:t xml:space="preserve"> </w:t>
      </w:r>
    </w:p>
    <w:p w14:paraId="0A3EB840" w14:textId="77777777" w:rsidR="005C029E" w:rsidRDefault="005C029E" w:rsidP="005A6D69">
      <w:pPr>
        <w:spacing w:after="0" w:line="276" w:lineRule="auto"/>
        <w:jc w:val="both"/>
        <w:rPr>
          <w:rFonts w:ascii="Verdana" w:eastAsia="Times New Roman" w:hAnsi="Verdana" w:cs="Times New Roman"/>
          <w:lang w:eastAsia="es-MX"/>
        </w:rPr>
      </w:pPr>
      <w:r>
        <w:rPr>
          <w:rFonts w:ascii="Verdana" w:eastAsia="Times New Roman" w:hAnsi="Verdana" w:cs="Arial"/>
          <w:lang w:eastAsia="es-MX"/>
        </w:rPr>
        <w:t xml:space="preserve">        </w:t>
      </w:r>
      <w:r w:rsidRPr="004D4336">
        <w:rPr>
          <w:rFonts w:ascii="Verdana" w:eastAsia="Times New Roman" w:hAnsi="Verdana" w:cs="Arial"/>
          <w:lang w:eastAsia="es-MX"/>
        </w:rPr>
        <w:t>Finalmente, es importante mencionar que en el marco de nuestras competencias el concepto emitido se da a la luz del sistema de compras y contratación pública, pues l</w:t>
      </w:r>
      <w:r w:rsidRPr="004D4336">
        <w:rPr>
          <w:rFonts w:ascii="Verdana" w:hAnsi="Verdana"/>
        </w:rPr>
        <w:t xml:space="preserve">a vinculación de un trabajador oficial con una Empresa Industrial y Comercial del Estado (EICE) se materializa a través de un </w:t>
      </w:r>
      <w:r w:rsidRPr="004D4336">
        <w:rPr>
          <w:rStyle w:val="Textoennegrita"/>
          <w:rFonts w:ascii="Verdana" w:hAnsi="Verdana"/>
          <w:b w:val="0"/>
          <w:bCs w:val="0"/>
        </w:rPr>
        <w:t>contrato de trabajo</w:t>
      </w:r>
      <w:r w:rsidRPr="004D4336">
        <w:rPr>
          <w:rFonts w:ascii="Verdana" w:hAnsi="Verdana"/>
        </w:rPr>
        <w:t>. Esta relación no se rige por la Ley 80 de 1993, sino por el Código Sustantivo del Trabajo y las convenciones colectivas que le sean aplicables</w:t>
      </w:r>
      <w:r>
        <w:rPr>
          <w:rFonts w:ascii="Verdana" w:hAnsi="Verdana"/>
        </w:rPr>
        <w:t xml:space="preserve">. </w:t>
      </w:r>
      <w:r w:rsidRPr="004D4336">
        <w:rPr>
          <w:rFonts w:ascii="Verdana" w:eastAsia="Times New Roman" w:hAnsi="Verdana" w:cs="Times New Roman"/>
          <w:lang w:eastAsia="es-MX"/>
        </w:rPr>
        <w:t>Esta Agencia Nacional de Contratación Pública - Colombia Compra Eficiente, ha sido clara al respecto, concluyendo que "El régimen de inhabilidades e incompatibilidades previsto en la Ley 80 de 1993 aplica para la celebración de los contratos regidos por este cuerpo normativo, sin que pueda hacerse extensivo a las relaciones laborales que se establecen entre los servidores públicos y el Estado".</w:t>
      </w:r>
    </w:p>
    <w:p w14:paraId="395D36C7" w14:textId="77777777" w:rsidR="005A6D69" w:rsidRPr="004B1C34" w:rsidRDefault="005A6D69" w:rsidP="004B1C34">
      <w:pPr>
        <w:spacing w:after="0" w:line="276" w:lineRule="auto"/>
        <w:jc w:val="both"/>
        <w:rPr>
          <w:rFonts w:ascii="Verdana" w:hAnsi="Verdana"/>
          <w:sz w:val="20"/>
          <w:szCs w:val="20"/>
        </w:rPr>
      </w:pPr>
    </w:p>
    <w:bookmarkEnd w:id="2"/>
    <w:p w14:paraId="6162961B" w14:textId="77777777" w:rsidR="005C029E" w:rsidRPr="004B1C34" w:rsidRDefault="005C029E" w:rsidP="005C029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sz w:val="20"/>
          <w:szCs w:val="20"/>
        </w:rPr>
      </w:pPr>
      <w:r w:rsidRPr="004B1C34">
        <w:rPr>
          <w:rFonts w:ascii="Verdana" w:eastAsia="Century Gothic" w:hAnsi="Verdana" w:cs="Century Gothic"/>
          <w:b/>
          <w:sz w:val="20"/>
          <w:szCs w:val="20"/>
        </w:rPr>
        <w:t>Referencias normativas, jurisprudenciales y otras fuentes:</w:t>
      </w:r>
    </w:p>
    <w:p w14:paraId="1E256419" w14:textId="77777777" w:rsidR="005C029E" w:rsidRPr="004B1C34" w:rsidRDefault="005C029E" w:rsidP="005C029E">
      <w:pPr>
        <w:widowControl w:val="0"/>
        <w:autoSpaceDE w:val="0"/>
        <w:autoSpaceDN w:val="0"/>
        <w:spacing w:after="0" w:line="276" w:lineRule="auto"/>
        <w:jc w:val="both"/>
        <w:rPr>
          <w:rFonts w:ascii="Verdana" w:hAnsi="Verdana" w:cs="Arial"/>
          <w:sz w:val="20"/>
          <w:szCs w:val="20"/>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C029E" w:rsidRPr="00536009" w14:paraId="5C08F26B" w14:textId="77777777" w:rsidTr="004B1C34">
        <w:trPr>
          <w:trHeight w:val="65"/>
        </w:trPr>
        <w:tc>
          <w:tcPr>
            <w:tcW w:w="8647" w:type="dxa"/>
          </w:tcPr>
          <w:p w14:paraId="31FD5FE7" w14:textId="2A885AE3" w:rsidR="005A6D69" w:rsidRPr="006F5C7C" w:rsidRDefault="005A6D69" w:rsidP="005A6D69">
            <w:pPr>
              <w:pStyle w:val="Textonotapie"/>
              <w:numPr>
                <w:ilvl w:val="0"/>
                <w:numId w:val="17"/>
              </w:numPr>
              <w:spacing w:line="276" w:lineRule="auto"/>
              <w:jc w:val="both"/>
              <w:rPr>
                <w:rFonts w:ascii="Verdana" w:hAnsi="Verdana" w:cs="Arial"/>
              </w:rPr>
            </w:pPr>
            <w:r w:rsidRPr="006F5C7C">
              <w:rPr>
                <w:rFonts w:ascii="Verdana" w:hAnsi="Verdana" w:cs="Open Sans"/>
                <w:color w:val="000000" w:themeColor="text1"/>
              </w:rPr>
              <w:t>Constitución Política</w:t>
            </w:r>
            <w:r>
              <w:rPr>
                <w:rFonts w:ascii="Verdana" w:hAnsi="Verdana" w:cs="Open Sans"/>
                <w:color w:val="000000" w:themeColor="text1"/>
              </w:rPr>
              <w:t>,</w:t>
            </w:r>
            <w:r w:rsidRPr="006F5C7C">
              <w:rPr>
                <w:rFonts w:ascii="Verdana" w:hAnsi="Verdana" w:cs="Open Sans"/>
                <w:color w:val="000000" w:themeColor="text1"/>
              </w:rPr>
              <w:t xml:space="preserve"> Artículos </w:t>
            </w:r>
            <w:hyperlink r:id="rId17" w:anchor="209" w:history="1">
              <w:r w:rsidRPr="004B1C34">
                <w:rPr>
                  <w:rStyle w:val="Hipervnculo"/>
                  <w:rFonts w:ascii="Verdana" w:hAnsi="Verdana" w:cs="Open Sans"/>
                  <w:color w:val="000000" w:themeColor="text1"/>
                  <w:u w:val="none"/>
                </w:rPr>
                <w:t>209</w:t>
              </w:r>
            </w:hyperlink>
            <w:r w:rsidRPr="005A6D69">
              <w:rPr>
                <w:rFonts w:ascii="Verdana" w:hAnsi="Verdana" w:cs="Open Sans"/>
                <w:color w:val="000000" w:themeColor="text1"/>
              </w:rPr>
              <w:t> y </w:t>
            </w:r>
            <w:hyperlink r:id="rId18" w:anchor="267" w:history="1">
              <w:r w:rsidRPr="004B1C34">
                <w:rPr>
                  <w:rStyle w:val="Hipervnculo"/>
                  <w:rFonts w:ascii="Verdana" w:hAnsi="Verdana" w:cs="Open Sans"/>
                  <w:color w:val="000000" w:themeColor="text1"/>
                  <w:u w:val="none"/>
                </w:rPr>
                <w:t>267</w:t>
              </w:r>
            </w:hyperlink>
            <w:r w:rsidRPr="005A6D69">
              <w:rPr>
                <w:rFonts w:ascii="Verdana" w:hAnsi="Verdana" w:cs="Open Sans"/>
                <w:color w:val="000000" w:themeColor="text1"/>
              </w:rPr>
              <w:t>.</w:t>
            </w:r>
            <w:r w:rsidRPr="006F5C7C">
              <w:rPr>
                <w:rFonts w:ascii="Verdana" w:hAnsi="Verdana" w:cs="Open Sans"/>
                <w:color w:val="000000" w:themeColor="text1"/>
              </w:rPr>
              <w:t xml:space="preserve"> </w:t>
            </w:r>
          </w:p>
          <w:p w14:paraId="4841D38E" w14:textId="77777777" w:rsidR="005C029E" w:rsidRPr="004B1C34" w:rsidRDefault="005C029E" w:rsidP="005C029E">
            <w:pPr>
              <w:pStyle w:val="Textonotapie"/>
              <w:numPr>
                <w:ilvl w:val="0"/>
                <w:numId w:val="17"/>
              </w:numPr>
              <w:spacing w:line="276" w:lineRule="auto"/>
              <w:jc w:val="both"/>
              <w:rPr>
                <w:rFonts w:ascii="Verdana" w:hAnsi="Verdana" w:cs="Arial"/>
                <w:lang w:val="es-ES"/>
              </w:rPr>
            </w:pPr>
            <w:r w:rsidRPr="004B1C34">
              <w:rPr>
                <w:rFonts w:ascii="Verdana" w:hAnsi="Verdana" w:cs="Arial"/>
                <w:lang w:val="es-ES"/>
              </w:rPr>
              <w:t>Ley 80 de 1993, numeral 1 del artículo 8.</w:t>
            </w:r>
          </w:p>
          <w:p w14:paraId="205DBF10" w14:textId="44B6EF27" w:rsidR="005C029E" w:rsidRPr="004B1C34" w:rsidRDefault="005C029E" w:rsidP="005C029E">
            <w:pPr>
              <w:pStyle w:val="Textonotapie"/>
              <w:numPr>
                <w:ilvl w:val="0"/>
                <w:numId w:val="17"/>
              </w:numPr>
              <w:spacing w:line="276" w:lineRule="auto"/>
              <w:jc w:val="both"/>
              <w:rPr>
                <w:rStyle w:val="Textoennegrita"/>
                <w:rFonts w:ascii="Verdana" w:hAnsi="Verdana" w:cs="Arial"/>
              </w:rPr>
            </w:pPr>
            <w:r w:rsidRPr="004B1C34">
              <w:rPr>
                <w:rFonts w:ascii="Verdana" w:hAnsi="Verdana" w:cs="Arial"/>
              </w:rPr>
              <w:t xml:space="preserve">Ley 599 del 2000, </w:t>
            </w:r>
            <w:r w:rsidR="005A6D69">
              <w:rPr>
                <w:rStyle w:val="Textoennegrita"/>
                <w:rFonts w:ascii="Verdana" w:hAnsi="Verdana" w:cs="Arial"/>
                <w:b w:val="0"/>
                <w:bCs w:val="0"/>
              </w:rPr>
              <w:t>a</w:t>
            </w:r>
            <w:r w:rsidRPr="004B1C34">
              <w:rPr>
                <w:rStyle w:val="Textoennegrita"/>
                <w:rFonts w:ascii="Verdana" w:hAnsi="Verdana" w:cs="Arial"/>
                <w:b w:val="0"/>
                <w:bCs w:val="0"/>
              </w:rPr>
              <w:t>rtículo</w:t>
            </w:r>
            <w:r w:rsidRPr="004B1C34">
              <w:rPr>
                <w:rStyle w:val="Textoennegrita"/>
                <w:rFonts w:ascii="Verdana" w:hAnsi="Verdana" w:cs="Arial"/>
                <w:b w:val="0"/>
              </w:rPr>
              <w:t xml:space="preserve"> 44 y 52</w:t>
            </w:r>
            <w:r w:rsidR="005A6D69">
              <w:rPr>
                <w:rStyle w:val="Textoennegrita"/>
                <w:rFonts w:ascii="Verdana" w:hAnsi="Verdana" w:cs="Arial"/>
                <w:b w:val="0"/>
                <w:bCs w:val="0"/>
              </w:rPr>
              <w:t>.</w:t>
            </w:r>
          </w:p>
          <w:p w14:paraId="47777F6F" w14:textId="390177D2" w:rsidR="005C029E" w:rsidRPr="004B1C34" w:rsidRDefault="005C029E" w:rsidP="005C029E">
            <w:pPr>
              <w:pStyle w:val="Textonotapie"/>
              <w:numPr>
                <w:ilvl w:val="0"/>
                <w:numId w:val="17"/>
              </w:numPr>
              <w:spacing w:line="276" w:lineRule="auto"/>
              <w:jc w:val="both"/>
              <w:rPr>
                <w:rFonts w:ascii="Verdana" w:hAnsi="Verdana" w:cs="Arial"/>
              </w:rPr>
            </w:pPr>
            <w:r w:rsidRPr="004B1C34">
              <w:rPr>
                <w:rFonts w:ascii="Verdana" w:hAnsi="Verdana" w:cs="Arial"/>
              </w:rPr>
              <w:t>Ley 1952 de 2019,</w:t>
            </w:r>
            <w:r w:rsidR="005A6D69">
              <w:rPr>
                <w:rFonts w:ascii="Verdana" w:hAnsi="Verdana" w:cs="Arial"/>
              </w:rPr>
              <w:t xml:space="preserve"> </w:t>
            </w:r>
            <w:r w:rsidR="005A6D69">
              <w:rPr>
                <w:rFonts w:ascii="Verdana" w:eastAsia="Times New Roman" w:hAnsi="Verdana" w:cs="Arial"/>
                <w:lang w:val="es-CO" w:eastAsia="es-CO"/>
              </w:rPr>
              <w:t>a</w:t>
            </w:r>
            <w:r w:rsidRPr="004B1C34">
              <w:rPr>
                <w:rFonts w:ascii="Verdana" w:eastAsia="Times New Roman" w:hAnsi="Verdana" w:cs="Arial"/>
                <w:lang w:val="es-CO" w:eastAsia="es-CO"/>
              </w:rPr>
              <w:t>rtículo 49</w:t>
            </w:r>
            <w:r w:rsidR="005A6D69">
              <w:rPr>
                <w:rFonts w:ascii="Verdana" w:eastAsia="Times New Roman" w:hAnsi="Verdana" w:cs="Arial"/>
                <w:lang w:val="es-CO" w:eastAsia="es-CO"/>
              </w:rPr>
              <w:t>.</w:t>
            </w:r>
          </w:p>
          <w:p w14:paraId="4E60AF1F" w14:textId="77777777" w:rsidR="005C029E" w:rsidRPr="004B1C34" w:rsidRDefault="005C029E" w:rsidP="005C029E">
            <w:pPr>
              <w:pStyle w:val="Textonotapie"/>
              <w:numPr>
                <w:ilvl w:val="0"/>
                <w:numId w:val="17"/>
              </w:numPr>
              <w:spacing w:line="276" w:lineRule="auto"/>
              <w:jc w:val="both"/>
              <w:rPr>
                <w:rFonts w:ascii="Verdana" w:hAnsi="Verdana" w:cs="Arial"/>
              </w:rPr>
            </w:pPr>
            <w:r w:rsidRPr="00337556">
              <w:rPr>
                <w:rFonts w:ascii="Verdana" w:eastAsia="Times New Roman" w:hAnsi="Verdana" w:cs="Arial"/>
                <w:lang w:eastAsia="es-MX"/>
              </w:rPr>
              <w:t>Ley 1150 de 2007, artículo 13</w:t>
            </w:r>
          </w:p>
          <w:p w14:paraId="1D30450B" w14:textId="77777777" w:rsidR="005A6D69" w:rsidRPr="0035740E" w:rsidRDefault="005A6D69" w:rsidP="005A6D69">
            <w:pPr>
              <w:pStyle w:val="Textonotapie"/>
              <w:numPr>
                <w:ilvl w:val="0"/>
                <w:numId w:val="17"/>
              </w:numPr>
              <w:spacing w:line="276" w:lineRule="auto"/>
              <w:jc w:val="both"/>
              <w:rPr>
                <w:rFonts w:ascii="Verdana" w:hAnsi="Verdana" w:cs="Arial"/>
              </w:rPr>
            </w:pPr>
            <w:r w:rsidRPr="0035740E">
              <w:rPr>
                <w:rFonts w:ascii="Verdana" w:hAnsi="Verdana" w:cs="Arial"/>
              </w:rPr>
              <w:t xml:space="preserve">CORTE CONSTITUCIONAL. Sentencia C-415 de 1994. M.P. Eduardo Cifuentes Muñoz. </w:t>
            </w:r>
          </w:p>
          <w:p w14:paraId="77C058B8" w14:textId="77777777" w:rsidR="005A6D69" w:rsidRPr="00DD6ED7" w:rsidRDefault="005A6D69" w:rsidP="005A6D69">
            <w:pPr>
              <w:pStyle w:val="Textonotapie"/>
              <w:numPr>
                <w:ilvl w:val="0"/>
                <w:numId w:val="17"/>
              </w:numPr>
              <w:spacing w:line="276" w:lineRule="auto"/>
              <w:jc w:val="both"/>
              <w:rPr>
                <w:rFonts w:ascii="Verdana" w:hAnsi="Verdana" w:cs="Arial"/>
                <w:lang w:val="es-ES"/>
              </w:rPr>
            </w:pPr>
            <w:r w:rsidRPr="005A6D69">
              <w:rPr>
                <w:rFonts w:ascii="Verdana" w:hAnsi="Verdana" w:cs="Arial"/>
                <w:lang w:val="es-ES"/>
              </w:rPr>
              <w:lastRenderedPageBreak/>
              <w:t>CORTE CONSTITUCIONAL</w:t>
            </w:r>
            <w:r w:rsidRPr="00DD6ED7">
              <w:rPr>
                <w:rFonts w:ascii="Verdana" w:hAnsi="Verdana" w:cs="Arial"/>
                <w:lang w:val="es-ES"/>
              </w:rPr>
              <w:t xml:space="preserve">. Sentencia C-489 de 26 de septiembre de 1996. Magistrado Ponente: Antonio Barrera Carbonell. </w:t>
            </w:r>
          </w:p>
          <w:p w14:paraId="518BE413" w14:textId="4C0D1E44" w:rsidR="005A6D69" w:rsidRPr="004B1C34" w:rsidRDefault="005A6D69" w:rsidP="005A6D69">
            <w:pPr>
              <w:pStyle w:val="Textonotapie"/>
              <w:numPr>
                <w:ilvl w:val="0"/>
                <w:numId w:val="17"/>
              </w:numPr>
              <w:spacing w:line="276" w:lineRule="auto"/>
              <w:jc w:val="both"/>
              <w:rPr>
                <w:rFonts w:ascii="Verdana" w:hAnsi="Verdana" w:cs="Arial"/>
              </w:rPr>
            </w:pPr>
            <w:r w:rsidRPr="005A6D69">
              <w:rPr>
                <w:rFonts w:ascii="Verdana" w:hAnsi="Verdana" w:cs="Arial"/>
              </w:rPr>
              <w:t>CORTE CONSTITUCIONAL</w:t>
            </w:r>
            <w:r w:rsidRPr="00DD6ED7">
              <w:rPr>
                <w:rFonts w:ascii="Verdana" w:hAnsi="Verdana" w:cs="Arial"/>
              </w:rPr>
              <w:t>. C-221 de 1996. Magistrado Ponente: José Gregorio Hernández Galindo.</w:t>
            </w:r>
          </w:p>
          <w:p w14:paraId="081FA191" w14:textId="77777777" w:rsidR="005C029E" w:rsidRPr="004B1C34" w:rsidRDefault="005C029E" w:rsidP="005C029E">
            <w:pPr>
              <w:pStyle w:val="Textonotapie"/>
              <w:numPr>
                <w:ilvl w:val="0"/>
                <w:numId w:val="17"/>
              </w:numPr>
              <w:spacing w:line="276" w:lineRule="auto"/>
              <w:jc w:val="both"/>
              <w:rPr>
                <w:rFonts w:ascii="Verdana" w:hAnsi="Verdana" w:cs="Arial"/>
              </w:rPr>
            </w:pPr>
            <w:r w:rsidRPr="004B1C34">
              <w:rPr>
                <w:rFonts w:ascii="Verdana" w:hAnsi="Verdana" w:cs="Arial"/>
              </w:rPr>
              <w:t xml:space="preserve">CORTE CONSTITUCIONAL. Sentencia C-1016 de 2012. M.P. Jorge Iván Palacio. </w:t>
            </w:r>
          </w:p>
          <w:p w14:paraId="65AA9452" w14:textId="58409ACD" w:rsidR="005C029E" w:rsidRPr="004B1C34" w:rsidRDefault="005C029E" w:rsidP="004B1C34">
            <w:pPr>
              <w:pStyle w:val="Prrafodelista"/>
              <w:widowControl w:val="0"/>
              <w:numPr>
                <w:ilvl w:val="0"/>
                <w:numId w:val="17"/>
              </w:numPr>
              <w:autoSpaceDE w:val="0"/>
              <w:autoSpaceDN w:val="0"/>
              <w:spacing w:line="276" w:lineRule="auto"/>
              <w:contextualSpacing w:val="0"/>
              <w:jc w:val="both"/>
            </w:pPr>
            <w:r w:rsidRPr="004B1C34">
              <w:rPr>
                <w:rFonts w:ascii="Verdana" w:hAnsi="Verdana" w:cs="Arial"/>
                <w:sz w:val="20"/>
                <w:szCs w:val="20"/>
              </w:rPr>
              <w:t xml:space="preserve">CONSEJO DE ESTADO. Sección Tercera. Subsección A. Sentencia del 13 de noviembre de 2013. Rad. 25.646. C.P. Mauricio Fajardo Gómez.  </w:t>
            </w:r>
          </w:p>
        </w:tc>
      </w:tr>
    </w:tbl>
    <w:p w14:paraId="5E48CA89" w14:textId="77777777" w:rsidR="005C029E" w:rsidRPr="004B1C34" w:rsidRDefault="005C029E" w:rsidP="005C029E">
      <w:pPr>
        <w:widowControl w:val="0"/>
        <w:autoSpaceDE w:val="0"/>
        <w:autoSpaceDN w:val="0"/>
        <w:spacing w:after="0" w:line="276" w:lineRule="auto"/>
        <w:jc w:val="both"/>
        <w:rPr>
          <w:rFonts w:ascii="Verdana" w:hAnsi="Verdana" w:cs="Arial"/>
          <w:sz w:val="20"/>
          <w:szCs w:val="20"/>
        </w:rPr>
      </w:pPr>
    </w:p>
    <w:p w14:paraId="298ED78B" w14:textId="77777777" w:rsidR="005C029E" w:rsidRPr="004B1C34" w:rsidRDefault="005C029E" w:rsidP="005C029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sz w:val="20"/>
          <w:szCs w:val="20"/>
        </w:rPr>
      </w:pPr>
      <w:r w:rsidRPr="004B1C34">
        <w:rPr>
          <w:rFonts w:ascii="Verdana" w:eastAsia="Century Gothic" w:hAnsi="Verdana" w:cs="Century Gothic"/>
          <w:b/>
          <w:sz w:val="20"/>
          <w:szCs w:val="20"/>
        </w:rPr>
        <w:t>Doctrina de la Agencia Nacional de Contratación Pública:</w:t>
      </w:r>
    </w:p>
    <w:p w14:paraId="67EFA6F1" w14:textId="77777777" w:rsidR="005C029E" w:rsidRPr="004B1C34" w:rsidRDefault="005C029E" w:rsidP="005C029E">
      <w:pPr>
        <w:widowControl w:val="0"/>
        <w:autoSpaceDE w:val="0"/>
        <w:autoSpaceDN w:val="0"/>
        <w:spacing w:after="0" w:line="276" w:lineRule="auto"/>
        <w:jc w:val="both"/>
        <w:rPr>
          <w:rFonts w:ascii="Verdana" w:hAnsi="Verdana" w:cs="Arial"/>
          <w:sz w:val="20"/>
          <w:szCs w:val="20"/>
        </w:rPr>
      </w:pPr>
    </w:p>
    <w:p w14:paraId="6FE45546" w14:textId="77777777" w:rsidR="005C029E" w:rsidRPr="004B1C34" w:rsidRDefault="005C029E" w:rsidP="005C029E">
      <w:pPr>
        <w:widowControl w:val="0"/>
        <w:autoSpaceDE w:val="0"/>
        <w:autoSpaceDN w:val="0"/>
        <w:spacing w:after="0" w:line="276" w:lineRule="auto"/>
        <w:jc w:val="both"/>
        <w:rPr>
          <w:rStyle w:val="normaltextrun"/>
          <w:rFonts w:ascii="Verdana" w:hAnsi="Verdana" w:cs="Arial"/>
          <w:color w:val="FF0000"/>
          <w:sz w:val="20"/>
          <w:szCs w:val="20"/>
          <w:shd w:val="clear" w:color="auto" w:fill="FFFFFF"/>
          <w:lang w:val="es-ES"/>
        </w:rPr>
      </w:pPr>
      <w:r w:rsidRPr="004B1C34">
        <w:rPr>
          <w:rStyle w:val="normaltextrun"/>
          <w:rFonts w:ascii="Verdana" w:hAnsi="Verdana" w:cs="Arial"/>
          <w:color w:val="000000" w:themeColor="text1"/>
          <w:sz w:val="20"/>
          <w:szCs w:val="20"/>
          <w:shd w:val="clear" w:color="auto" w:fill="FFFFFF"/>
          <w:lang w:val="es-ES"/>
        </w:rPr>
        <w:t>Sobre</w:t>
      </w:r>
      <w:r w:rsidRPr="004B1C34">
        <w:rPr>
          <w:rFonts w:ascii="Verdana" w:hAnsi="Verdana" w:cs="Arial"/>
          <w:color w:val="000000" w:themeColor="text1"/>
          <w:sz w:val="20"/>
          <w:szCs w:val="20"/>
          <w:lang w:val="es-ES"/>
        </w:rPr>
        <w:t xml:space="preserve"> </w:t>
      </w:r>
      <w:r w:rsidRPr="004B1C34">
        <w:rPr>
          <w:rFonts w:ascii="Verdana" w:hAnsi="Verdana" w:cs="Arial"/>
          <w:sz w:val="20"/>
          <w:szCs w:val="20"/>
          <w:lang w:val="es-ES"/>
        </w:rPr>
        <w:t>el régimen de inhabilidades e incompatibilidades para contratar con el Estado, esta Agencia se ha pronunciado través de</w:t>
      </w:r>
      <w:r w:rsidRPr="004B1C34">
        <w:rPr>
          <w:rFonts w:ascii="Verdana" w:eastAsia="Calibri" w:hAnsi="Verdana" w:cs="Arial"/>
          <w:sz w:val="20"/>
          <w:szCs w:val="20"/>
          <w:lang w:val="es-ES"/>
        </w:rPr>
        <w:t xml:space="preserve"> los conceptos con radicado número 4201912000003592 del 28 de agosto de 2019, 4201913000005649 del 17 septiembre de 2019, 4201912000006692 del 12 de noviembre de 2019, 4201913000006917 del 21 de noviembre de 2019, C ─ 001 del 23 de abril de 2020, C ─ 007 del 4 de mayo de 2020, C ─ 011 del 27 de abril de 2020, C ─ 085 del 4 de marzo de 2020, C ─ 090 del 24 de febrero de 2020, C ─ 125 de 2020 del 3 de marzo de 2020, C ─ 157 de 2020 del 16 de marzo de 2020, C ─ 239 de 2020 del 16 de abril de 2020, C ─ 246 de 2020 del 3 de abril de 2020, C – 273 de 2020 del 21 de mayo de 2020,  C – 402 del 26 de junio de 2022 y C – 318 de 2022.  </w:t>
      </w:r>
      <w:r w:rsidRPr="004B1C34">
        <w:rPr>
          <w:rStyle w:val="normaltextrun"/>
          <w:rFonts w:ascii="Verdana" w:hAnsi="Verdana" w:cs="Arial"/>
          <w:sz w:val="20"/>
          <w:szCs w:val="20"/>
          <w:shd w:val="clear" w:color="auto" w:fill="FFFFFF"/>
          <w:lang w:val="es-ES"/>
        </w:rPr>
        <w:t>Es</w:t>
      </w:r>
      <w:r w:rsidRPr="004B1C34">
        <w:rPr>
          <w:rFonts w:ascii="Verdana" w:hAnsi="Verdana"/>
          <w:sz w:val="20"/>
          <w:szCs w:val="20"/>
        </w:rPr>
        <w:t>tos y otros conceptos se encuentran disponibles para consulta en el Sistema de relatoría de la Agencia, al cual se puede acceder a través del siguiente enlace:</w:t>
      </w:r>
      <w:r w:rsidRPr="004B1C34">
        <w:rPr>
          <w:rStyle w:val="normaltextrun"/>
          <w:rFonts w:ascii="Verdana" w:hAnsi="Verdana" w:cs="Arial"/>
          <w:sz w:val="20"/>
          <w:szCs w:val="20"/>
          <w:shd w:val="clear" w:color="auto" w:fill="FFFFFF"/>
          <w:lang w:val="es-ES"/>
        </w:rPr>
        <w:t xml:space="preserve"> </w:t>
      </w:r>
      <w:hyperlink r:id="rId19" w:history="1">
        <w:r w:rsidRPr="004B1C34">
          <w:rPr>
            <w:rStyle w:val="Hipervnculo"/>
            <w:rFonts w:ascii="Verdana" w:hAnsi="Verdana" w:cs="Arial"/>
            <w:sz w:val="20"/>
            <w:szCs w:val="20"/>
            <w:shd w:val="clear" w:color="auto" w:fill="FFFFFF"/>
            <w:lang w:val="es-ES"/>
          </w:rPr>
          <w:t>https://relatoria.colombiacompra.gov.co/busqueda/conceptos</w:t>
        </w:r>
      </w:hyperlink>
      <w:r w:rsidRPr="004B1C34">
        <w:rPr>
          <w:rStyle w:val="normaltextrun"/>
          <w:rFonts w:ascii="Verdana" w:hAnsi="Verdana" w:cs="Arial"/>
          <w:color w:val="FF0000"/>
          <w:sz w:val="20"/>
          <w:szCs w:val="20"/>
          <w:shd w:val="clear" w:color="auto" w:fill="FFFFFF"/>
          <w:lang w:val="es-ES"/>
        </w:rPr>
        <w:t xml:space="preserve">. </w:t>
      </w:r>
    </w:p>
    <w:p w14:paraId="25A84396" w14:textId="77777777" w:rsidR="005C029E" w:rsidRPr="004B1C34" w:rsidRDefault="005C029E" w:rsidP="005C029E">
      <w:pPr>
        <w:widowControl w:val="0"/>
        <w:autoSpaceDE w:val="0"/>
        <w:autoSpaceDN w:val="0"/>
        <w:spacing w:after="0" w:line="276" w:lineRule="auto"/>
        <w:jc w:val="both"/>
        <w:rPr>
          <w:rStyle w:val="normaltextrun"/>
          <w:rFonts w:ascii="Verdana" w:hAnsi="Verdana" w:cs="Arial"/>
          <w:color w:val="FF0000"/>
          <w:sz w:val="20"/>
          <w:szCs w:val="20"/>
          <w:shd w:val="clear" w:color="auto" w:fill="FFFFFF"/>
          <w:lang w:val="es-ES"/>
        </w:rPr>
      </w:pPr>
    </w:p>
    <w:p w14:paraId="43358D36" w14:textId="77777777" w:rsidR="005C029E" w:rsidRPr="004B1C34" w:rsidRDefault="005C029E" w:rsidP="005C029E">
      <w:pPr>
        <w:widowControl w:val="0"/>
        <w:autoSpaceDE w:val="0"/>
        <w:autoSpaceDN w:val="0"/>
        <w:spacing w:after="0" w:line="276" w:lineRule="auto"/>
        <w:jc w:val="both"/>
        <w:rPr>
          <w:rStyle w:val="normaltextrun"/>
          <w:rFonts w:ascii="Verdana" w:hAnsi="Verdana" w:cs="Arial"/>
          <w:color w:val="FF0000"/>
          <w:sz w:val="20"/>
          <w:szCs w:val="20"/>
          <w:shd w:val="clear" w:color="auto" w:fill="FFFFFF"/>
          <w:lang w:val="es-ES"/>
        </w:rPr>
      </w:pPr>
      <w:r w:rsidRPr="004B1C34">
        <w:rPr>
          <w:rStyle w:val="normaltextrun"/>
          <w:rFonts w:ascii="Verdana" w:hAnsi="Verdana" w:cs="Arial"/>
          <w:color w:val="000000" w:themeColor="text1"/>
          <w:sz w:val="20"/>
          <w:szCs w:val="20"/>
          <w:shd w:val="clear" w:color="auto" w:fill="FFFFFF"/>
          <w:lang w:val="es-ES"/>
        </w:rPr>
        <w:t>También le invitamos a consultar las versiones I y II de 2024 del Boletín de Relatoría de la Subdirección de Gestión Contractual, las cuales puede descargar en la página web de la Agencia:</w:t>
      </w:r>
      <w:r w:rsidRPr="004B1C34">
        <w:rPr>
          <w:rStyle w:val="normaltextrun"/>
          <w:rFonts w:ascii="Verdana" w:hAnsi="Verdana" w:cs="Arial"/>
          <w:color w:val="FF0000"/>
          <w:sz w:val="20"/>
          <w:szCs w:val="20"/>
          <w:shd w:val="clear" w:color="auto" w:fill="FFFFFF"/>
          <w:lang w:val="es-ES"/>
        </w:rPr>
        <w:t xml:space="preserve"> </w:t>
      </w:r>
      <w:hyperlink r:id="rId20" w:history="1">
        <w:r w:rsidRPr="004B1C34">
          <w:rPr>
            <w:rStyle w:val="Hipervnculo"/>
            <w:rFonts w:ascii="Verdana" w:hAnsi="Verdana" w:cs="Arial"/>
            <w:sz w:val="20"/>
            <w:szCs w:val="20"/>
            <w:shd w:val="clear" w:color="auto" w:fill="FFFFFF"/>
            <w:lang w:val="es-ES"/>
          </w:rPr>
          <w:t>https://www.colombiacompra.gov.co/sala-de-prensa/boletin-digital</w:t>
        </w:r>
      </w:hyperlink>
      <w:r w:rsidRPr="004B1C34">
        <w:rPr>
          <w:rStyle w:val="normaltextrun"/>
          <w:rFonts w:ascii="Verdana" w:hAnsi="Verdana" w:cs="Arial"/>
          <w:color w:val="FF0000"/>
          <w:sz w:val="20"/>
          <w:szCs w:val="20"/>
          <w:shd w:val="clear" w:color="auto" w:fill="FFFFFF"/>
          <w:lang w:val="es-ES"/>
        </w:rPr>
        <w:t xml:space="preserve">    </w:t>
      </w:r>
    </w:p>
    <w:p w14:paraId="78772189" w14:textId="77777777" w:rsidR="005C029E" w:rsidRPr="004B1C34" w:rsidRDefault="005C029E" w:rsidP="005C029E">
      <w:pPr>
        <w:spacing w:after="0" w:line="276" w:lineRule="auto"/>
        <w:jc w:val="both"/>
        <w:rPr>
          <w:rFonts w:ascii="Verdana" w:hAnsi="Verdana"/>
          <w:sz w:val="20"/>
          <w:szCs w:val="20"/>
        </w:rPr>
      </w:pPr>
    </w:p>
    <w:p w14:paraId="0D4E8B92" w14:textId="77777777" w:rsidR="005C029E" w:rsidRPr="004B1C34" w:rsidRDefault="005C029E" w:rsidP="005C029E">
      <w:pPr>
        <w:spacing w:after="0" w:line="276" w:lineRule="auto"/>
        <w:jc w:val="both"/>
        <w:rPr>
          <w:rFonts w:ascii="Verdana" w:hAnsi="Verdana"/>
          <w:sz w:val="20"/>
          <w:szCs w:val="20"/>
        </w:rPr>
      </w:pPr>
      <w:r w:rsidRPr="004B1C34">
        <w:rPr>
          <w:rFonts w:ascii="Verdana" w:hAnsi="Verdana"/>
          <w:sz w:val="20"/>
          <w:szCs w:val="20"/>
        </w:rPr>
        <w:t xml:space="preserve">Por último, lo invitamos a seguirnos en las redes sociales en las cuales se difunde información institucional: </w:t>
      </w:r>
    </w:p>
    <w:p w14:paraId="194D0AD3" w14:textId="77777777" w:rsidR="005C029E" w:rsidRPr="004B1C34" w:rsidRDefault="005C029E" w:rsidP="005C029E">
      <w:pPr>
        <w:spacing w:after="0" w:line="276" w:lineRule="auto"/>
        <w:jc w:val="both"/>
        <w:rPr>
          <w:rFonts w:ascii="Verdana" w:hAnsi="Verdana"/>
          <w:sz w:val="20"/>
          <w:szCs w:val="20"/>
        </w:rPr>
      </w:pPr>
    </w:p>
    <w:p w14:paraId="3BA50FA1" w14:textId="77777777" w:rsidR="005C029E" w:rsidRPr="004B1C34" w:rsidRDefault="005C029E" w:rsidP="005C029E">
      <w:pPr>
        <w:spacing w:after="0" w:line="276" w:lineRule="auto"/>
        <w:jc w:val="both"/>
        <w:rPr>
          <w:rFonts w:ascii="Verdana" w:hAnsi="Verdana"/>
          <w:sz w:val="20"/>
          <w:szCs w:val="20"/>
        </w:rPr>
      </w:pPr>
      <w:r w:rsidRPr="004B1C34">
        <w:rPr>
          <w:rFonts w:ascii="Verdana" w:hAnsi="Verdana"/>
          <w:sz w:val="20"/>
          <w:szCs w:val="20"/>
        </w:rPr>
        <w:t xml:space="preserve">Twitter: </w:t>
      </w:r>
      <w:r w:rsidRPr="004B1C34">
        <w:rPr>
          <w:rStyle w:val="Hipervnculo"/>
          <w:rFonts w:ascii="Verdana" w:hAnsi="Verdana"/>
          <w:color w:val="4472C4" w:themeColor="accent1"/>
          <w:sz w:val="20"/>
          <w:szCs w:val="20"/>
        </w:rPr>
        <w:t>@colombiacompra</w:t>
      </w:r>
      <w:r w:rsidRPr="004B1C34">
        <w:rPr>
          <w:rFonts w:ascii="Verdana" w:hAnsi="Verdana"/>
          <w:color w:val="4472C4" w:themeColor="accent1"/>
          <w:sz w:val="20"/>
          <w:szCs w:val="20"/>
        </w:rPr>
        <w:t xml:space="preserve"> </w:t>
      </w:r>
    </w:p>
    <w:p w14:paraId="46555833" w14:textId="77777777" w:rsidR="005C029E" w:rsidRPr="004B1C34" w:rsidRDefault="005C029E" w:rsidP="005C029E">
      <w:pPr>
        <w:spacing w:after="0" w:line="276" w:lineRule="auto"/>
        <w:jc w:val="both"/>
        <w:rPr>
          <w:rFonts w:ascii="Verdana" w:hAnsi="Verdana"/>
          <w:sz w:val="20"/>
          <w:szCs w:val="20"/>
        </w:rPr>
      </w:pPr>
      <w:r w:rsidRPr="004B1C34">
        <w:rPr>
          <w:rFonts w:ascii="Verdana" w:hAnsi="Verdana"/>
          <w:sz w:val="20"/>
          <w:szCs w:val="20"/>
        </w:rPr>
        <w:t xml:space="preserve">Facebook: </w:t>
      </w:r>
      <w:proofErr w:type="spellStart"/>
      <w:r w:rsidRPr="004B1C34">
        <w:rPr>
          <w:rStyle w:val="Hipervnculo"/>
          <w:rFonts w:ascii="Verdana" w:hAnsi="Verdana"/>
          <w:color w:val="4472C4" w:themeColor="accent1"/>
          <w:sz w:val="20"/>
          <w:szCs w:val="20"/>
        </w:rPr>
        <w:t>ColombiaCompraEficiente</w:t>
      </w:r>
      <w:proofErr w:type="spellEnd"/>
    </w:p>
    <w:p w14:paraId="532565A8" w14:textId="77777777" w:rsidR="005C029E" w:rsidRPr="004B1C34" w:rsidRDefault="005C029E" w:rsidP="005C029E">
      <w:pPr>
        <w:spacing w:after="0" w:line="276" w:lineRule="auto"/>
        <w:jc w:val="both"/>
        <w:rPr>
          <w:rFonts w:ascii="Verdana" w:hAnsi="Verdana"/>
          <w:sz w:val="20"/>
          <w:szCs w:val="20"/>
        </w:rPr>
      </w:pPr>
      <w:r w:rsidRPr="004B1C34">
        <w:rPr>
          <w:rFonts w:ascii="Verdana" w:hAnsi="Verdana"/>
          <w:sz w:val="20"/>
          <w:szCs w:val="20"/>
        </w:rPr>
        <w:t xml:space="preserve">LinkedIn: </w:t>
      </w:r>
      <w:r w:rsidRPr="004B1C34">
        <w:rPr>
          <w:rStyle w:val="Hipervnculo"/>
          <w:rFonts w:ascii="Verdana" w:hAnsi="Verdana"/>
          <w:color w:val="4472C4" w:themeColor="accent1"/>
          <w:sz w:val="20"/>
          <w:szCs w:val="20"/>
        </w:rPr>
        <w:t>Agencia Nacional de Contratación Pública - Colombia Compra Eficiente</w:t>
      </w:r>
      <w:r w:rsidRPr="004B1C34">
        <w:rPr>
          <w:rFonts w:ascii="Verdana" w:hAnsi="Verdana"/>
          <w:color w:val="4472C4" w:themeColor="accent1"/>
          <w:sz w:val="20"/>
          <w:szCs w:val="20"/>
        </w:rPr>
        <w:t xml:space="preserve"> </w:t>
      </w:r>
      <w:r w:rsidRPr="004B1C34">
        <w:rPr>
          <w:rFonts w:ascii="Verdana" w:hAnsi="Verdana"/>
          <w:sz w:val="20"/>
          <w:szCs w:val="20"/>
        </w:rPr>
        <w:t xml:space="preserve">Instagram: </w:t>
      </w:r>
      <w:r w:rsidRPr="004B1C34">
        <w:rPr>
          <w:rStyle w:val="Hipervnculo"/>
          <w:rFonts w:ascii="Verdana" w:hAnsi="Verdana"/>
          <w:color w:val="4472C4" w:themeColor="accent1"/>
          <w:sz w:val="20"/>
          <w:szCs w:val="20"/>
        </w:rPr>
        <w:t>@colombiacompraeficiente_cce</w:t>
      </w:r>
    </w:p>
    <w:p w14:paraId="5CB9C2A9" w14:textId="77777777" w:rsidR="005C029E" w:rsidRPr="004B1C34" w:rsidRDefault="005C029E" w:rsidP="005C029E">
      <w:pPr>
        <w:widowControl w:val="0"/>
        <w:autoSpaceDE w:val="0"/>
        <w:autoSpaceDN w:val="0"/>
        <w:spacing w:after="0" w:line="276" w:lineRule="auto"/>
        <w:jc w:val="both"/>
        <w:rPr>
          <w:rFonts w:ascii="Verdana" w:hAnsi="Verdana" w:cs="Arial"/>
          <w:sz w:val="20"/>
          <w:szCs w:val="20"/>
        </w:rPr>
      </w:pPr>
    </w:p>
    <w:p w14:paraId="5D6DA50F" w14:textId="77777777" w:rsidR="005C029E" w:rsidRPr="004B1C34" w:rsidRDefault="005C029E" w:rsidP="005C029E">
      <w:pPr>
        <w:widowControl w:val="0"/>
        <w:autoSpaceDE w:val="0"/>
        <w:autoSpaceDN w:val="0"/>
        <w:spacing w:after="0" w:line="276" w:lineRule="auto"/>
        <w:jc w:val="both"/>
        <w:rPr>
          <w:rFonts w:ascii="Verdana" w:hAnsi="Verdana" w:cs="Arial"/>
          <w:sz w:val="20"/>
          <w:szCs w:val="20"/>
          <w:lang w:val="es-ES_tradnl"/>
        </w:rPr>
      </w:pPr>
      <w:r w:rsidRPr="004B1C34">
        <w:rPr>
          <w:rFonts w:ascii="Verdana" w:hAnsi="Verdana" w:cs="Arial"/>
          <w:sz w:val="20"/>
          <w:szCs w:val="20"/>
        </w:rPr>
        <w:t xml:space="preserve">Este concepto tiene el alcance previsto en el artículo 28 del Código de Procedimiento Administrativo y de lo Contencioso Administrativo </w:t>
      </w:r>
      <w:r w:rsidRPr="004B1C34">
        <w:rPr>
          <w:rFonts w:ascii="Verdana" w:hAnsi="Verdana" w:cs="Arial"/>
          <w:sz w:val="20"/>
          <w:szCs w:val="20"/>
          <w:lang w:val="es-ES_tradnl"/>
        </w:rPr>
        <w:t>y las expresiones aquí utilizadas con mayúscula inicial deben ser entendidas con el significado que les otorga el artículo 2.2.1.1.1.3.1. del Decreto 1082 de 2015.</w:t>
      </w:r>
    </w:p>
    <w:p w14:paraId="52621E38" w14:textId="77777777" w:rsidR="005C029E" w:rsidRPr="004B1C34" w:rsidRDefault="005C029E" w:rsidP="005C029E">
      <w:pPr>
        <w:widowControl w:val="0"/>
        <w:autoSpaceDE w:val="0"/>
        <w:autoSpaceDN w:val="0"/>
        <w:spacing w:after="0" w:line="276" w:lineRule="auto"/>
        <w:jc w:val="both"/>
        <w:rPr>
          <w:rFonts w:ascii="Verdana" w:hAnsi="Verdana" w:cs="Arial"/>
          <w:sz w:val="20"/>
          <w:szCs w:val="20"/>
        </w:rPr>
      </w:pPr>
    </w:p>
    <w:p w14:paraId="192E2828" w14:textId="77777777" w:rsidR="005C029E" w:rsidRPr="004B1C34" w:rsidRDefault="005C029E" w:rsidP="005C029E">
      <w:pPr>
        <w:spacing w:after="0" w:line="276" w:lineRule="auto"/>
        <w:rPr>
          <w:rFonts w:ascii="Verdana" w:hAnsi="Verdana" w:cs="Arial"/>
          <w:sz w:val="20"/>
          <w:szCs w:val="20"/>
          <w:lang w:eastAsia="es-CO"/>
        </w:rPr>
      </w:pPr>
      <w:r w:rsidRPr="004B1C34">
        <w:rPr>
          <w:rFonts w:ascii="Verdana" w:eastAsia="Times New Roman" w:hAnsi="Verdana" w:cs="Arial"/>
          <w:sz w:val="20"/>
          <w:szCs w:val="20"/>
          <w:lang w:eastAsia="es-CO"/>
        </w:rPr>
        <w:lastRenderedPageBreak/>
        <w:t>Atentamente,</w:t>
      </w:r>
      <w:r w:rsidRPr="004B1C34">
        <w:rPr>
          <w:rFonts w:ascii="Verdana" w:hAnsi="Verdana" w:cs="Arial"/>
          <w:sz w:val="20"/>
          <w:szCs w:val="20"/>
          <w:lang w:eastAsia="es-CO"/>
        </w:rPr>
        <w:t xml:space="preserve"> </w:t>
      </w:r>
    </w:p>
    <w:p w14:paraId="1AC749E5" w14:textId="17219AC4" w:rsidR="005C029E" w:rsidRPr="00536009" w:rsidRDefault="0088609F" w:rsidP="005C029E">
      <w:pPr>
        <w:spacing w:line="276" w:lineRule="auto"/>
        <w:jc w:val="center"/>
        <w:rPr>
          <w:rFonts w:ascii="Verdana" w:hAnsi="Verdana" w:cs="Arial"/>
          <w:color w:val="000000"/>
          <w:lang w:val="es-ES_tradnl" w:eastAsia="es-CO"/>
        </w:rPr>
      </w:pPr>
      <w:r>
        <w:rPr>
          <w:noProof/>
        </w:rPr>
        <w:drawing>
          <wp:inline distT="0" distB="0" distL="0" distR="0" wp14:anchorId="7F3B221F" wp14:editId="1A99060F">
            <wp:extent cx="3771429" cy="1400000"/>
            <wp:effectExtent l="0" t="0" r="635" b="0"/>
            <wp:docPr id="160314956"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14956" name="Imagen 1" descr="Texto&#10;&#10;El contenido generado por IA puede ser incorrecto."/>
                    <pic:cNvPicPr/>
                  </pic:nvPicPr>
                  <pic:blipFill>
                    <a:blip r:embed="rId21"/>
                    <a:stretch>
                      <a:fillRect/>
                    </a:stretch>
                  </pic:blipFill>
                  <pic:spPr>
                    <a:xfrm>
                      <a:off x="0" y="0"/>
                      <a:ext cx="3771429" cy="140000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5C029E" w:rsidRPr="00EA1223" w14:paraId="13C3D290" w14:textId="77777777" w:rsidTr="00537C04">
        <w:trPr>
          <w:trHeight w:val="315"/>
        </w:trPr>
        <w:tc>
          <w:tcPr>
            <w:tcW w:w="893" w:type="dxa"/>
            <w:vAlign w:val="center"/>
            <w:hideMark/>
          </w:tcPr>
          <w:p w14:paraId="6A6A94FB" w14:textId="77777777" w:rsidR="005C029E" w:rsidRPr="00EA1223" w:rsidRDefault="005C029E" w:rsidP="00537C04">
            <w:pPr>
              <w:contextualSpacing/>
              <w:rPr>
                <w:rFonts w:ascii="Verdana" w:hAnsi="Verdana" w:cs="Arial"/>
                <w:sz w:val="16"/>
                <w:szCs w:val="16"/>
                <w:lang w:val="es-ES" w:eastAsia="es-ES"/>
              </w:rPr>
            </w:pPr>
            <w:r w:rsidRPr="00EA1223">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5E24345" w14:textId="77777777" w:rsidR="005C029E" w:rsidRPr="00EA1223" w:rsidRDefault="005C029E" w:rsidP="00537C04">
            <w:pPr>
              <w:contextualSpacing/>
              <w:rPr>
                <w:rStyle w:val="normaltextrun"/>
                <w:rFonts w:ascii="Verdana" w:eastAsia="Arial" w:hAnsi="Verdana" w:cs="Arial"/>
                <w:sz w:val="16"/>
                <w:szCs w:val="16"/>
              </w:rPr>
            </w:pPr>
            <w:r w:rsidRPr="00EA1223">
              <w:rPr>
                <w:rStyle w:val="normaltextrun"/>
                <w:rFonts w:ascii="Verdana" w:eastAsia="Arial" w:hAnsi="Verdana" w:cs="Arial"/>
                <w:sz w:val="16"/>
                <w:szCs w:val="16"/>
              </w:rPr>
              <w:t>Andrea del Pilar Garzón Sánchez.</w:t>
            </w:r>
          </w:p>
          <w:p w14:paraId="243B58A1" w14:textId="77777777" w:rsidR="005C029E" w:rsidRPr="00EA1223" w:rsidRDefault="005C029E" w:rsidP="00537C04">
            <w:pPr>
              <w:contextualSpacing/>
              <w:rPr>
                <w:rFonts w:ascii="Verdana" w:eastAsia="Arial" w:hAnsi="Verdana" w:cs="Arial"/>
                <w:color w:val="7030A0"/>
                <w:sz w:val="16"/>
                <w:szCs w:val="16"/>
              </w:rPr>
            </w:pPr>
            <w:r w:rsidRPr="00EA1223">
              <w:rPr>
                <w:rStyle w:val="normaltextrun"/>
                <w:rFonts w:ascii="Verdana" w:eastAsia="Arial" w:hAnsi="Verdana" w:cs="Arial"/>
                <w:sz w:val="16"/>
                <w:szCs w:val="16"/>
              </w:rPr>
              <w:t>Contratista de la Subdirección de Gestión Contractual</w:t>
            </w:r>
          </w:p>
        </w:tc>
      </w:tr>
      <w:tr w:rsidR="005C029E" w:rsidRPr="00EA1223" w14:paraId="73E83CD2" w14:textId="77777777" w:rsidTr="00537C04">
        <w:trPr>
          <w:trHeight w:val="330"/>
        </w:trPr>
        <w:tc>
          <w:tcPr>
            <w:tcW w:w="893" w:type="dxa"/>
            <w:vAlign w:val="center"/>
            <w:hideMark/>
          </w:tcPr>
          <w:p w14:paraId="5A718905" w14:textId="77777777" w:rsidR="005C029E" w:rsidRPr="00EA1223" w:rsidRDefault="005C029E" w:rsidP="00537C04">
            <w:pPr>
              <w:contextualSpacing/>
              <w:rPr>
                <w:rFonts w:ascii="Verdana" w:hAnsi="Verdana" w:cs="Arial"/>
                <w:sz w:val="16"/>
                <w:szCs w:val="16"/>
                <w:lang w:val="es-ES" w:eastAsia="es-ES"/>
              </w:rPr>
            </w:pPr>
            <w:r w:rsidRPr="00EA1223">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0A2732F" w14:textId="77777777" w:rsidR="005C029E" w:rsidRPr="00EA1223" w:rsidRDefault="005C029E" w:rsidP="00537C04">
            <w:pPr>
              <w:pStyle w:val="paragraph"/>
              <w:spacing w:before="0" w:beforeAutospacing="0" w:after="0" w:afterAutospacing="0"/>
              <w:contextualSpacing/>
              <w:textAlignment w:val="baseline"/>
              <w:rPr>
                <w:rStyle w:val="normaltextrun"/>
                <w:rFonts w:ascii="Verdana" w:hAnsi="Verdana" w:cs="Arial"/>
                <w:sz w:val="16"/>
                <w:szCs w:val="16"/>
                <w:lang w:val="es-ES"/>
              </w:rPr>
            </w:pPr>
            <w:r w:rsidRPr="00EA1223">
              <w:rPr>
                <w:rStyle w:val="normaltextrun"/>
                <w:rFonts w:ascii="Verdana" w:hAnsi="Verdana" w:cs="Arial"/>
                <w:sz w:val="16"/>
                <w:szCs w:val="16"/>
                <w:lang w:val="es-ES"/>
              </w:rPr>
              <w:t>Diana Lucia Saavedra C</w:t>
            </w:r>
            <w:proofErr w:type="spellStart"/>
            <w:r w:rsidRPr="00EA1223">
              <w:rPr>
                <w:rStyle w:val="normaltextrun"/>
                <w:rFonts w:ascii="Verdana" w:hAnsi="Verdana" w:cs="Arial"/>
                <w:sz w:val="16"/>
                <w:szCs w:val="16"/>
              </w:rPr>
              <w:t>astañeda</w:t>
            </w:r>
            <w:proofErr w:type="spellEnd"/>
          </w:p>
          <w:p w14:paraId="0329C146" w14:textId="77777777" w:rsidR="005C029E" w:rsidRPr="00EA1223" w:rsidRDefault="005C029E" w:rsidP="00537C04">
            <w:pPr>
              <w:pStyle w:val="paragraph"/>
              <w:spacing w:before="0" w:beforeAutospacing="0" w:after="0" w:afterAutospacing="0"/>
              <w:contextualSpacing/>
              <w:textAlignment w:val="baseline"/>
              <w:rPr>
                <w:rFonts w:ascii="Verdana" w:hAnsi="Verdana" w:cs="Segoe UI"/>
                <w:sz w:val="16"/>
                <w:szCs w:val="16"/>
              </w:rPr>
            </w:pPr>
            <w:r w:rsidRPr="00EA1223">
              <w:rPr>
                <w:rStyle w:val="normaltextrun"/>
                <w:rFonts w:ascii="Verdana" w:hAnsi="Verdana" w:cs="Arial"/>
                <w:sz w:val="16"/>
                <w:szCs w:val="16"/>
                <w:lang w:val="es-ES"/>
              </w:rPr>
              <w:t>Contratista de la Subdirección de Gestión Contractual</w:t>
            </w:r>
            <w:r w:rsidRPr="00EA1223">
              <w:rPr>
                <w:rStyle w:val="eop"/>
                <w:rFonts w:ascii="Verdana" w:hAnsi="Verdana" w:cs="Arial"/>
                <w:sz w:val="16"/>
                <w:szCs w:val="16"/>
              </w:rPr>
              <w:t> </w:t>
            </w:r>
          </w:p>
        </w:tc>
      </w:tr>
      <w:tr w:rsidR="005C029E" w:rsidRPr="00EA1223" w14:paraId="123F0385" w14:textId="77777777" w:rsidTr="00537C04">
        <w:trPr>
          <w:trHeight w:val="300"/>
        </w:trPr>
        <w:tc>
          <w:tcPr>
            <w:tcW w:w="893" w:type="dxa"/>
            <w:vAlign w:val="center"/>
          </w:tcPr>
          <w:p w14:paraId="2F722C71" w14:textId="77777777" w:rsidR="005C029E" w:rsidRPr="00EA1223" w:rsidRDefault="005C029E" w:rsidP="00537C04">
            <w:pPr>
              <w:contextualSpacing/>
              <w:rPr>
                <w:rFonts w:ascii="Verdana" w:hAnsi="Verdana" w:cs="Arial"/>
                <w:sz w:val="16"/>
                <w:szCs w:val="16"/>
                <w:lang w:val="es-ES" w:eastAsia="es-ES"/>
              </w:rPr>
            </w:pPr>
            <w:r w:rsidRPr="00EA1223">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A1FC7E3" w14:textId="77777777" w:rsidR="005C029E" w:rsidRPr="00EA1223" w:rsidRDefault="005C029E" w:rsidP="00537C04">
            <w:pPr>
              <w:contextualSpacing/>
              <w:rPr>
                <w:rFonts w:ascii="Verdana" w:eastAsia="Calibri" w:hAnsi="Verdana" w:cs="Arial"/>
                <w:sz w:val="16"/>
                <w:szCs w:val="16"/>
                <w:lang w:val="pt-BR" w:eastAsia="es-ES"/>
              </w:rPr>
            </w:pPr>
            <w:r w:rsidRPr="00EA1223">
              <w:rPr>
                <w:rFonts w:ascii="Verdana" w:eastAsia="Calibri" w:hAnsi="Verdana" w:cs="Arial"/>
                <w:sz w:val="16"/>
                <w:szCs w:val="16"/>
                <w:lang w:val="pt-BR" w:eastAsia="es-ES"/>
              </w:rPr>
              <w:t xml:space="preserve">Carolina Quintero </w:t>
            </w:r>
            <w:proofErr w:type="spellStart"/>
            <w:r w:rsidRPr="00EA1223">
              <w:rPr>
                <w:rFonts w:ascii="Verdana" w:eastAsia="Calibri" w:hAnsi="Verdana" w:cs="Arial"/>
                <w:sz w:val="16"/>
                <w:szCs w:val="16"/>
                <w:lang w:val="pt-BR" w:eastAsia="es-ES"/>
              </w:rPr>
              <w:t>Gacharná</w:t>
            </w:r>
            <w:proofErr w:type="spellEnd"/>
          </w:p>
          <w:p w14:paraId="40442B54" w14:textId="77777777" w:rsidR="005C029E" w:rsidRPr="00EA1223" w:rsidRDefault="005C029E" w:rsidP="00537C04">
            <w:pPr>
              <w:contextualSpacing/>
              <w:rPr>
                <w:rFonts w:ascii="Verdana" w:eastAsia="Calibri" w:hAnsi="Verdana" w:cs="Arial"/>
                <w:sz w:val="16"/>
                <w:szCs w:val="16"/>
                <w:lang w:val="pt-BR" w:eastAsia="es-ES"/>
              </w:rPr>
            </w:pPr>
            <w:r w:rsidRPr="00EA1223">
              <w:rPr>
                <w:rFonts w:ascii="Verdana" w:eastAsia="Calibri" w:hAnsi="Verdana" w:cs="Arial"/>
                <w:sz w:val="16"/>
                <w:szCs w:val="16"/>
                <w:lang w:eastAsia="es-ES"/>
              </w:rPr>
              <w:t>Subdirectora</w:t>
            </w:r>
            <w:r w:rsidRPr="00EA1223">
              <w:rPr>
                <w:rFonts w:ascii="Verdana" w:eastAsia="Calibri" w:hAnsi="Verdana" w:cs="Arial"/>
                <w:sz w:val="16"/>
                <w:szCs w:val="16"/>
                <w:lang w:val="pt-BR" w:eastAsia="es-ES"/>
              </w:rPr>
              <w:t xml:space="preserve"> de Gestión </w:t>
            </w:r>
            <w:proofErr w:type="spellStart"/>
            <w:r w:rsidRPr="00EA1223">
              <w:rPr>
                <w:rFonts w:ascii="Verdana" w:eastAsia="Calibri" w:hAnsi="Verdana" w:cs="Arial"/>
                <w:sz w:val="16"/>
                <w:szCs w:val="16"/>
                <w:lang w:val="pt-BR" w:eastAsia="es-ES"/>
              </w:rPr>
              <w:t>Contractual</w:t>
            </w:r>
            <w:proofErr w:type="spellEnd"/>
            <w:r w:rsidRPr="00EA1223">
              <w:rPr>
                <w:rFonts w:ascii="Verdana" w:eastAsia="Calibri" w:hAnsi="Verdana" w:cs="Arial"/>
                <w:sz w:val="16"/>
                <w:szCs w:val="16"/>
                <w:lang w:val="pt-BR" w:eastAsia="es-ES"/>
              </w:rPr>
              <w:t xml:space="preserve"> ANCP – CCE</w:t>
            </w:r>
          </w:p>
        </w:tc>
      </w:tr>
    </w:tbl>
    <w:p w14:paraId="1676BC2B" w14:textId="77777777" w:rsidR="005C029E" w:rsidRPr="0022587E" w:rsidRDefault="005C029E" w:rsidP="005C029E">
      <w:pPr>
        <w:rPr>
          <w:rFonts w:ascii="Verdana" w:hAnsi="Verdana"/>
        </w:rPr>
      </w:pPr>
    </w:p>
    <w:p w14:paraId="641D6F99" w14:textId="77777777" w:rsidR="005C029E" w:rsidRPr="00536009" w:rsidRDefault="005C029E" w:rsidP="005C029E">
      <w:pPr>
        <w:spacing w:after="0" w:line="276" w:lineRule="auto"/>
        <w:rPr>
          <w:rFonts w:ascii="Verdana" w:eastAsia="Times New Roman" w:hAnsi="Verdana" w:cs="Arial"/>
          <w:lang w:eastAsia="es-ES"/>
        </w:rPr>
      </w:pPr>
    </w:p>
    <w:p w14:paraId="584F2057" w14:textId="77777777" w:rsidR="005C029E" w:rsidRPr="00536009" w:rsidRDefault="005C029E" w:rsidP="005C029E">
      <w:pPr>
        <w:spacing w:line="276" w:lineRule="auto"/>
        <w:rPr>
          <w:rFonts w:ascii="Verdana" w:hAnsi="Verdana"/>
        </w:rPr>
      </w:pPr>
    </w:p>
    <w:bookmarkEnd w:id="0"/>
    <w:p w14:paraId="0465BA6D" w14:textId="77777777" w:rsidR="00E245AB" w:rsidRPr="0044528D" w:rsidRDefault="00E245AB" w:rsidP="00E245AB">
      <w:pPr>
        <w:spacing w:after="0"/>
        <w:rPr>
          <w:rFonts w:ascii="Verdana" w:hAnsi="Verdana"/>
        </w:rPr>
      </w:pPr>
    </w:p>
    <w:sectPr w:rsidR="00E245AB" w:rsidRPr="0044528D" w:rsidSect="007C0C0F">
      <w:headerReference w:type="default" r:id="rId22"/>
      <w:footerReference w:type="default" r:id="rId23"/>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6A96F8" w14:textId="77777777" w:rsidR="002E2185" w:rsidRDefault="002E2185" w:rsidP="004A1847">
      <w:pPr>
        <w:spacing w:after="0" w:line="240" w:lineRule="auto"/>
      </w:pPr>
      <w:r>
        <w:separator/>
      </w:r>
    </w:p>
  </w:endnote>
  <w:endnote w:type="continuationSeparator" w:id="0">
    <w:p w14:paraId="4B4A0A5C" w14:textId="77777777" w:rsidR="002E2185" w:rsidRDefault="002E2185"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3D1BA" w14:textId="77777777" w:rsidR="002E2185" w:rsidRDefault="002E2185" w:rsidP="004A1847">
      <w:pPr>
        <w:spacing w:after="0" w:line="240" w:lineRule="auto"/>
      </w:pPr>
      <w:r>
        <w:separator/>
      </w:r>
    </w:p>
  </w:footnote>
  <w:footnote w:type="continuationSeparator" w:id="0">
    <w:p w14:paraId="49452123" w14:textId="77777777" w:rsidR="002E2185" w:rsidRDefault="002E2185" w:rsidP="004A1847">
      <w:pPr>
        <w:spacing w:after="0" w:line="240" w:lineRule="auto"/>
      </w:pPr>
      <w:r>
        <w:continuationSeparator/>
      </w:r>
    </w:p>
  </w:footnote>
  <w:footnote w:id="1">
    <w:p w14:paraId="37EDDFBB" w14:textId="77777777" w:rsidR="005C029E" w:rsidRPr="00ED3B36" w:rsidRDefault="005C029E" w:rsidP="004B1C34">
      <w:pPr>
        <w:pStyle w:val="Textonotapie"/>
        <w:ind w:firstLine="708"/>
        <w:contextualSpacing/>
        <w:jc w:val="both"/>
        <w:rPr>
          <w:rFonts w:ascii="Verdana" w:hAnsi="Verdana" w:cs="Arial"/>
          <w:sz w:val="16"/>
          <w:szCs w:val="16"/>
        </w:rPr>
      </w:pPr>
      <w:r w:rsidRPr="004B1C34">
        <w:rPr>
          <w:rStyle w:val="Refdenotaalpie"/>
          <w:rFonts w:ascii="Verdana" w:hAnsi="Verdana" w:cs="Arial"/>
          <w:sz w:val="16"/>
          <w:szCs w:val="16"/>
        </w:rPr>
        <w:footnoteRef/>
      </w:r>
      <w:r w:rsidRPr="004B1C34">
        <w:rPr>
          <w:rFonts w:ascii="Verdana" w:hAnsi="Verdana" w:cs="Arial"/>
          <w:sz w:val="16"/>
          <w:szCs w:val="16"/>
        </w:rPr>
        <w:t xml:space="preserve"> </w:t>
      </w:r>
      <w:r w:rsidRPr="00ED3B36">
        <w:rPr>
          <w:rFonts w:ascii="Verdana" w:hAnsi="Verdana" w:cs="Arial"/>
          <w:sz w:val="16"/>
          <w:szCs w:val="16"/>
        </w:rPr>
        <w:t xml:space="preserve">CORTE CONSTITUCIONAL. Sentencia C-1016 de 2012. M.P. Jorge Iván Palacio. </w:t>
      </w:r>
    </w:p>
    <w:p w14:paraId="3BACCB19" w14:textId="77777777" w:rsidR="005C029E" w:rsidRPr="004B1C34" w:rsidRDefault="005C029E" w:rsidP="004B1C34">
      <w:pPr>
        <w:pStyle w:val="Textonotapie"/>
        <w:ind w:firstLine="709"/>
        <w:contextualSpacing/>
        <w:jc w:val="both"/>
        <w:rPr>
          <w:rFonts w:ascii="Verdana" w:hAnsi="Verdana" w:cs="Arial"/>
          <w:sz w:val="16"/>
          <w:szCs w:val="16"/>
        </w:rPr>
      </w:pPr>
    </w:p>
  </w:footnote>
  <w:footnote w:id="2">
    <w:p w14:paraId="6EF84077" w14:textId="77777777" w:rsidR="005C029E" w:rsidRDefault="005C029E" w:rsidP="005A6D69">
      <w:pPr>
        <w:pStyle w:val="Textonotapie"/>
        <w:ind w:firstLine="708"/>
        <w:contextualSpacing/>
        <w:jc w:val="both"/>
        <w:rPr>
          <w:rFonts w:ascii="Verdana" w:hAnsi="Verdana" w:cs="Arial"/>
          <w:sz w:val="16"/>
          <w:szCs w:val="16"/>
        </w:rPr>
      </w:pPr>
      <w:r w:rsidRPr="004B1C34">
        <w:rPr>
          <w:rStyle w:val="Refdenotaalpie"/>
          <w:rFonts w:ascii="Verdana" w:hAnsi="Verdana" w:cs="Arial"/>
          <w:sz w:val="16"/>
          <w:szCs w:val="16"/>
        </w:rPr>
        <w:footnoteRef/>
      </w:r>
      <w:r w:rsidRPr="004B1C34">
        <w:rPr>
          <w:rFonts w:ascii="Verdana" w:hAnsi="Verdana" w:cs="Arial"/>
          <w:sz w:val="16"/>
          <w:szCs w:val="16"/>
        </w:rPr>
        <w:t xml:space="preserve"> CONSEJO DE ESTADO. Sección Tercera. Subsección A. Sentencia del 13 de noviembre de 2013. Rad. 25.646. C.P. Mauricio Fajardo Gómez.  </w:t>
      </w:r>
    </w:p>
    <w:p w14:paraId="5B2BB041" w14:textId="77777777" w:rsidR="005C029E" w:rsidRPr="00C8751D" w:rsidRDefault="005C029E" w:rsidP="00C8751D">
      <w:pPr>
        <w:pStyle w:val="Textonotapie"/>
        <w:ind w:firstLine="708"/>
        <w:contextualSpacing/>
        <w:jc w:val="both"/>
        <w:rPr>
          <w:rFonts w:ascii="Verdana" w:hAnsi="Verdana" w:cs="Arial"/>
          <w:sz w:val="16"/>
          <w:szCs w:val="16"/>
        </w:rPr>
      </w:pPr>
    </w:p>
  </w:footnote>
  <w:footnote w:id="3">
    <w:p w14:paraId="44CE12E3" w14:textId="77777777" w:rsidR="005C029E" w:rsidRPr="004B1C34" w:rsidRDefault="005C029E" w:rsidP="004B1C34">
      <w:pPr>
        <w:pStyle w:val="Textonotapie"/>
        <w:ind w:firstLine="709"/>
        <w:contextualSpacing/>
        <w:jc w:val="both"/>
        <w:rPr>
          <w:rFonts w:ascii="Verdana" w:hAnsi="Verdana" w:cs="Arial"/>
          <w:sz w:val="16"/>
          <w:szCs w:val="16"/>
        </w:rPr>
      </w:pPr>
      <w:r w:rsidRPr="004B1C34">
        <w:rPr>
          <w:rFonts w:ascii="Verdana" w:hAnsi="Verdana" w:cs="Arial"/>
          <w:sz w:val="16"/>
          <w:szCs w:val="16"/>
          <w:vertAlign w:val="superscript"/>
        </w:rPr>
        <w:footnoteRef/>
      </w:r>
      <w:r w:rsidRPr="004B1C34">
        <w:rPr>
          <w:rFonts w:ascii="Verdana" w:hAnsi="Verdana" w:cs="Arial"/>
          <w:sz w:val="16"/>
          <w:szCs w:val="16"/>
        </w:rPr>
        <w:t xml:space="preserve"> CORTE CONSTITUCIONAL. Sentencia C-415 de 1994. M.P. Eduardo Cifuentes Muñoz. </w:t>
      </w:r>
    </w:p>
    <w:p w14:paraId="30B75978" w14:textId="77777777" w:rsidR="005C029E" w:rsidRPr="004B1C34" w:rsidRDefault="005C029E" w:rsidP="004B1C34">
      <w:pPr>
        <w:pStyle w:val="Textonotapie"/>
        <w:ind w:firstLine="709"/>
        <w:contextualSpacing/>
        <w:jc w:val="both"/>
        <w:rPr>
          <w:rFonts w:ascii="Verdana" w:hAnsi="Verdana" w:cs="Arial"/>
          <w:sz w:val="16"/>
          <w:szCs w:val="16"/>
        </w:rPr>
      </w:pPr>
    </w:p>
  </w:footnote>
  <w:footnote w:id="4">
    <w:p w14:paraId="04F0239E" w14:textId="77777777" w:rsidR="005C029E" w:rsidRPr="004B1C34" w:rsidRDefault="005C029E" w:rsidP="004B1C34">
      <w:pPr>
        <w:pStyle w:val="Textonotapie"/>
        <w:ind w:firstLine="709"/>
        <w:contextualSpacing/>
        <w:jc w:val="both"/>
        <w:rPr>
          <w:rFonts w:ascii="Verdana" w:hAnsi="Verdana" w:cs="Arial"/>
          <w:sz w:val="16"/>
          <w:szCs w:val="16"/>
        </w:rPr>
      </w:pPr>
      <w:r w:rsidRPr="004B1C34">
        <w:rPr>
          <w:rStyle w:val="Refdenotaalpie"/>
          <w:rFonts w:ascii="Verdana" w:hAnsi="Verdana" w:cs="Arial"/>
          <w:sz w:val="16"/>
          <w:szCs w:val="16"/>
        </w:rPr>
        <w:footnoteRef/>
      </w:r>
      <w:r w:rsidRPr="004B1C34">
        <w:rPr>
          <w:rFonts w:ascii="Verdana" w:hAnsi="Verdana" w:cs="Arial"/>
          <w:sz w:val="16"/>
          <w:szCs w:val="16"/>
        </w:rPr>
        <w:t xml:space="preserve"> Ibídem. </w:t>
      </w:r>
    </w:p>
  </w:footnote>
  <w:footnote w:id="5">
    <w:p w14:paraId="0B9321C5" w14:textId="77777777" w:rsidR="005C029E" w:rsidRPr="004B1C34" w:rsidRDefault="005C029E" w:rsidP="004B1C34">
      <w:pPr>
        <w:pStyle w:val="Textonotapie"/>
        <w:ind w:firstLine="709"/>
        <w:contextualSpacing/>
        <w:jc w:val="both"/>
        <w:rPr>
          <w:rFonts w:ascii="Verdana" w:hAnsi="Verdana" w:cs="Arial"/>
          <w:sz w:val="16"/>
          <w:szCs w:val="16"/>
        </w:rPr>
      </w:pPr>
    </w:p>
    <w:p w14:paraId="26832CFA" w14:textId="77777777" w:rsidR="005C029E" w:rsidRPr="004B1C34" w:rsidRDefault="005C029E" w:rsidP="004B1C34">
      <w:pPr>
        <w:pStyle w:val="Textonotapie"/>
        <w:ind w:firstLine="709"/>
        <w:contextualSpacing/>
        <w:jc w:val="both"/>
        <w:rPr>
          <w:rFonts w:ascii="Verdana" w:hAnsi="Verdana" w:cs="Arial"/>
          <w:sz w:val="16"/>
          <w:szCs w:val="16"/>
        </w:rPr>
      </w:pPr>
      <w:r w:rsidRPr="004B1C34">
        <w:rPr>
          <w:rStyle w:val="Refdenotaalpie"/>
          <w:rFonts w:ascii="Verdana" w:hAnsi="Verdana" w:cs="Arial"/>
          <w:sz w:val="16"/>
          <w:szCs w:val="16"/>
        </w:rPr>
        <w:footnoteRef/>
      </w:r>
      <w:r w:rsidRPr="004B1C34">
        <w:rPr>
          <w:rFonts w:ascii="Verdana" w:hAnsi="Verdana" w:cs="Arial"/>
          <w:sz w:val="16"/>
          <w:szCs w:val="16"/>
        </w:rPr>
        <w:t xml:space="preserve"> CORTE CONSTITUCIONAL. Sentencia C-780 de 2001. M.P. Jaime Córdoba Triviño. </w:t>
      </w:r>
    </w:p>
  </w:footnote>
  <w:footnote w:id="6">
    <w:p w14:paraId="11614552" w14:textId="77777777" w:rsidR="005C029E" w:rsidRPr="004B1C34" w:rsidRDefault="005C029E" w:rsidP="004B1C34">
      <w:pPr>
        <w:pStyle w:val="NormalWeb"/>
        <w:spacing w:before="0" w:beforeAutospacing="0" w:after="0" w:afterAutospacing="0"/>
        <w:ind w:firstLine="709"/>
        <w:contextualSpacing/>
        <w:jc w:val="both"/>
        <w:rPr>
          <w:rFonts w:ascii="Verdana" w:hAnsi="Verdana" w:cs="Arial"/>
          <w:sz w:val="16"/>
          <w:szCs w:val="16"/>
        </w:rPr>
      </w:pPr>
    </w:p>
    <w:p w14:paraId="5BAD0DBD" w14:textId="417F8C7B" w:rsidR="005C029E" w:rsidRPr="004B1C34" w:rsidRDefault="005C029E" w:rsidP="004B1C34">
      <w:pPr>
        <w:pStyle w:val="NormalWeb"/>
        <w:spacing w:before="0" w:beforeAutospacing="0" w:after="0" w:afterAutospacing="0"/>
        <w:ind w:firstLine="709"/>
        <w:contextualSpacing/>
        <w:jc w:val="both"/>
        <w:rPr>
          <w:rFonts w:ascii="Verdana" w:eastAsiaTheme="minorHAnsi" w:hAnsi="Verdana" w:cs="Arial"/>
          <w:sz w:val="16"/>
          <w:szCs w:val="16"/>
          <w:lang w:val="es-ES" w:eastAsia="en-US"/>
        </w:rPr>
      </w:pPr>
      <w:r w:rsidRPr="004B1C34">
        <w:rPr>
          <w:rStyle w:val="Refdenotaalpie"/>
          <w:rFonts w:ascii="Verdana" w:hAnsi="Verdana" w:cs="Arial"/>
          <w:sz w:val="16"/>
          <w:szCs w:val="16"/>
        </w:rPr>
        <w:footnoteRef/>
      </w:r>
      <w:r w:rsidRPr="004B1C34">
        <w:rPr>
          <w:rFonts w:ascii="Verdana" w:hAnsi="Verdana" w:cs="Arial"/>
          <w:sz w:val="16"/>
          <w:szCs w:val="16"/>
        </w:rPr>
        <w:t xml:space="preserve"> </w:t>
      </w:r>
      <w:r w:rsidRPr="004B1C34">
        <w:rPr>
          <w:rFonts w:ascii="Verdana" w:eastAsiaTheme="minorHAnsi" w:hAnsi="Verdana" w:cs="Arial"/>
          <w:sz w:val="16"/>
          <w:szCs w:val="16"/>
          <w:lang w:val="es-ES" w:eastAsia="en-US"/>
        </w:rPr>
        <w:t xml:space="preserve">Ley 80 de 1993: </w:t>
      </w:r>
      <w:r w:rsidR="005A6D69">
        <w:rPr>
          <w:rFonts w:ascii="Verdana" w:eastAsiaTheme="minorHAnsi" w:hAnsi="Verdana" w:cs="Arial"/>
          <w:sz w:val="16"/>
          <w:szCs w:val="16"/>
          <w:lang w:val="es-ES" w:eastAsia="en-US"/>
        </w:rPr>
        <w:t>“</w:t>
      </w:r>
      <w:r w:rsidRPr="004B1C34">
        <w:rPr>
          <w:rFonts w:ascii="Verdana" w:eastAsiaTheme="minorHAnsi" w:hAnsi="Verdana" w:cs="Arial"/>
          <w:sz w:val="16"/>
          <w:szCs w:val="16"/>
          <w:lang w:val="es-ES" w:eastAsia="en-US"/>
        </w:rPr>
        <w:t>Artículo 8: 1o. Son inhábiles para participar en licitaciones o concursos y para celebrar contratos con las entidades estatales: </w:t>
      </w:r>
    </w:p>
    <w:p w14:paraId="18F4F948" w14:textId="553D14A3" w:rsidR="005C029E" w:rsidRPr="004B1C34" w:rsidRDefault="005C029E" w:rsidP="004B1C34">
      <w:pPr>
        <w:pStyle w:val="NormalWeb"/>
        <w:spacing w:before="0" w:beforeAutospacing="0" w:after="0" w:afterAutospacing="0"/>
        <w:ind w:firstLine="709"/>
        <w:contextualSpacing/>
        <w:jc w:val="both"/>
        <w:rPr>
          <w:rFonts w:ascii="Verdana" w:eastAsiaTheme="minorHAnsi" w:hAnsi="Verdana" w:cs="Arial"/>
          <w:sz w:val="16"/>
          <w:szCs w:val="16"/>
          <w:lang w:val="es-ES" w:eastAsia="en-US"/>
        </w:rPr>
      </w:pPr>
      <w:r w:rsidRPr="004B1C34">
        <w:rPr>
          <w:rFonts w:ascii="Verdana" w:eastAsiaTheme="minorHAnsi" w:hAnsi="Verdana" w:cs="Arial"/>
          <w:sz w:val="16"/>
          <w:szCs w:val="16"/>
          <w:lang w:val="es-ES" w:eastAsia="en-US"/>
        </w:rPr>
        <w:t>a) Las personas que se hallen inhabilitadas para contratar por la Constitución y las leyes. </w:t>
      </w:r>
    </w:p>
    <w:p w14:paraId="090C0F09" w14:textId="234D95C5" w:rsidR="005C029E" w:rsidRPr="004B1C34" w:rsidRDefault="005C029E" w:rsidP="004B1C34">
      <w:pPr>
        <w:pStyle w:val="NormalWeb"/>
        <w:spacing w:before="0" w:beforeAutospacing="0" w:after="0" w:afterAutospacing="0"/>
        <w:ind w:firstLine="709"/>
        <w:contextualSpacing/>
        <w:jc w:val="both"/>
        <w:rPr>
          <w:rFonts w:ascii="Verdana" w:eastAsiaTheme="minorHAnsi" w:hAnsi="Verdana" w:cs="Arial"/>
          <w:sz w:val="16"/>
          <w:szCs w:val="16"/>
          <w:lang w:val="es-ES" w:eastAsia="en-US"/>
        </w:rPr>
      </w:pPr>
      <w:r w:rsidRPr="004B1C34">
        <w:rPr>
          <w:rFonts w:ascii="Verdana" w:eastAsiaTheme="minorHAnsi" w:hAnsi="Verdana" w:cs="Arial"/>
          <w:sz w:val="16"/>
          <w:szCs w:val="16"/>
          <w:lang w:val="es-ES" w:eastAsia="en-US"/>
        </w:rPr>
        <w:t>b) Quienes participaron en las licitaciones o concursos o celebraron los contratos de que trata el literal anterior estando inhabilitados. </w:t>
      </w:r>
    </w:p>
    <w:p w14:paraId="2EA97183" w14:textId="72777743" w:rsidR="005C029E" w:rsidRPr="004B1C34" w:rsidRDefault="005C029E" w:rsidP="004B1C34">
      <w:pPr>
        <w:pStyle w:val="NormalWeb"/>
        <w:spacing w:before="0" w:beforeAutospacing="0" w:after="0" w:afterAutospacing="0"/>
        <w:ind w:firstLine="709"/>
        <w:contextualSpacing/>
        <w:jc w:val="both"/>
        <w:rPr>
          <w:rFonts w:ascii="Verdana" w:eastAsiaTheme="minorHAnsi" w:hAnsi="Verdana" w:cs="Arial"/>
          <w:sz w:val="16"/>
          <w:szCs w:val="16"/>
          <w:lang w:val="es-ES" w:eastAsia="en-US"/>
        </w:rPr>
      </w:pPr>
      <w:r w:rsidRPr="004B1C34">
        <w:rPr>
          <w:rFonts w:ascii="Verdana" w:eastAsiaTheme="minorHAnsi" w:hAnsi="Verdana" w:cs="Arial"/>
          <w:sz w:val="16"/>
          <w:szCs w:val="16"/>
          <w:lang w:val="es-ES" w:eastAsia="en-US"/>
        </w:rPr>
        <w:t>c) Quienes dieron lugar a la declaratoria de caducidad. </w:t>
      </w:r>
    </w:p>
    <w:p w14:paraId="35746CA2" w14:textId="6C27373A" w:rsidR="005C029E" w:rsidRPr="004B1C34" w:rsidRDefault="005C029E" w:rsidP="004B1C34">
      <w:pPr>
        <w:pStyle w:val="NormalWeb"/>
        <w:spacing w:before="0" w:beforeAutospacing="0" w:after="0" w:afterAutospacing="0"/>
        <w:ind w:firstLine="709"/>
        <w:contextualSpacing/>
        <w:jc w:val="both"/>
        <w:rPr>
          <w:rFonts w:ascii="Verdana" w:eastAsiaTheme="minorHAnsi" w:hAnsi="Verdana" w:cs="Arial"/>
          <w:sz w:val="16"/>
          <w:szCs w:val="16"/>
          <w:lang w:val="es-ES" w:eastAsia="en-US"/>
        </w:rPr>
      </w:pPr>
      <w:r w:rsidRPr="004B1C34">
        <w:rPr>
          <w:rFonts w:ascii="Verdana" w:eastAsiaTheme="minorHAnsi" w:hAnsi="Verdana" w:cs="Arial"/>
          <w:sz w:val="16"/>
          <w:szCs w:val="16"/>
          <w:lang w:val="es-ES" w:eastAsia="en-US"/>
        </w:rPr>
        <w:t>d) Quienes en sentencia judicial hayan sido condenados a la pena accesoria de interdicción de derechos y funciones públicas y quienes hayan sido sancionados disciplinariamente con destitución. </w:t>
      </w:r>
    </w:p>
    <w:p w14:paraId="4E78459D" w14:textId="377EAFDF" w:rsidR="005C029E" w:rsidRPr="004B1C34" w:rsidRDefault="005C029E" w:rsidP="004B1C34">
      <w:pPr>
        <w:pStyle w:val="NormalWeb"/>
        <w:spacing w:before="0" w:beforeAutospacing="0" w:after="0" w:afterAutospacing="0"/>
        <w:ind w:firstLine="709"/>
        <w:contextualSpacing/>
        <w:jc w:val="both"/>
        <w:rPr>
          <w:rFonts w:ascii="Verdana" w:eastAsiaTheme="minorHAnsi" w:hAnsi="Verdana" w:cs="Arial"/>
          <w:sz w:val="16"/>
          <w:szCs w:val="16"/>
          <w:lang w:val="es-ES" w:eastAsia="en-US"/>
        </w:rPr>
      </w:pPr>
      <w:r w:rsidRPr="004B1C34">
        <w:rPr>
          <w:rFonts w:ascii="Verdana" w:eastAsiaTheme="minorHAnsi" w:hAnsi="Verdana" w:cs="Arial"/>
          <w:sz w:val="16"/>
          <w:szCs w:val="16"/>
          <w:lang w:val="es-ES" w:eastAsia="en-US"/>
        </w:rPr>
        <w:t>e) Quienes sin justa causa se abstengan de suscribir el contrato estatal adjudicado. </w:t>
      </w:r>
    </w:p>
    <w:p w14:paraId="77136BCD" w14:textId="122DC4F9" w:rsidR="005C029E" w:rsidRPr="004B1C34" w:rsidRDefault="005C029E" w:rsidP="004B1C34">
      <w:pPr>
        <w:pStyle w:val="NormalWeb"/>
        <w:spacing w:before="0" w:beforeAutospacing="0" w:after="0" w:afterAutospacing="0"/>
        <w:ind w:firstLine="709"/>
        <w:contextualSpacing/>
        <w:jc w:val="both"/>
        <w:rPr>
          <w:rFonts w:ascii="Verdana" w:eastAsiaTheme="minorHAnsi" w:hAnsi="Verdana" w:cs="Arial"/>
          <w:sz w:val="16"/>
          <w:szCs w:val="16"/>
          <w:lang w:val="es-ES" w:eastAsia="en-US"/>
        </w:rPr>
      </w:pPr>
      <w:r w:rsidRPr="004B1C34">
        <w:rPr>
          <w:rFonts w:ascii="Verdana" w:eastAsiaTheme="minorHAnsi" w:hAnsi="Verdana" w:cs="Arial"/>
          <w:sz w:val="16"/>
          <w:szCs w:val="16"/>
          <w:lang w:val="es-ES" w:eastAsia="en-US"/>
        </w:rPr>
        <w:t>f) Los servidores públicos. </w:t>
      </w:r>
    </w:p>
    <w:p w14:paraId="3F1B9A86" w14:textId="00EA3876" w:rsidR="005C029E" w:rsidRPr="004B1C34" w:rsidRDefault="005C029E" w:rsidP="004B1C34">
      <w:pPr>
        <w:pStyle w:val="NormalWeb"/>
        <w:spacing w:before="0" w:beforeAutospacing="0" w:after="0" w:afterAutospacing="0"/>
        <w:ind w:firstLine="709"/>
        <w:contextualSpacing/>
        <w:jc w:val="both"/>
        <w:rPr>
          <w:rFonts w:ascii="Verdana" w:eastAsiaTheme="minorHAnsi" w:hAnsi="Verdana" w:cs="Arial"/>
          <w:sz w:val="16"/>
          <w:szCs w:val="16"/>
          <w:lang w:val="es-ES" w:eastAsia="en-US"/>
        </w:rPr>
      </w:pPr>
      <w:r w:rsidRPr="004B1C34">
        <w:rPr>
          <w:rFonts w:ascii="Verdana" w:eastAsiaTheme="minorHAnsi" w:hAnsi="Verdana" w:cs="Arial"/>
          <w:sz w:val="16"/>
          <w:szCs w:val="16"/>
          <w:lang w:val="es-ES" w:eastAsia="en-US"/>
        </w:rPr>
        <w:t>g) Quienes sean cónyuges o compañeros permanentes y quienes se encuentren dentro del segundo grado de consanguinidad o segundo de afinidad con cualquier otra persona que formalmente haya presentado propuesta para una misma licitación o concurso. </w:t>
      </w:r>
    </w:p>
    <w:p w14:paraId="2103D4AF" w14:textId="3484BC98" w:rsidR="005C029E" w:rsidRPr="004B1C34" w:rsidRDefault="005C029E" w:rsidP="004B1C34">
      <w:pPr>
        <w:pStyle w:val="NormalWeb"/>
        <w:spacing w:before="0" w:beforeAutospacing="0" w:after="0" w:afterAutospacing="0"/>
        <w:ind w:firstLine="709"/>
        <w:contextualSpacing/>
        <w:jc w:val="both"/>
        <w:rPr>
          <w:rFonts w:ascii="Verdana" w:eastAsiaTheme="minorHAnsi" w:hAnsi="Verdana" w:cs="Arial"/>
          <w:sz w:val="16"/>
          <w:szCs w:val="16"/>
          <w:lang w:val="es-ES" w:eastAsia="en-US"/>
        </w:rPr>
      </w:pPr>
      <w:r w:rsidRPr="004B1C34">
        <w:rPr>
          <w:rFonts w:ascii="Verdana" w:eastAsiaTheme="minorHAnsi" w:hAnsi="Verdana" w:cs="Arial"/>
          <w:sz w:val="16"/>
          <w:szCs w:val="16"/>
          <w:lang w:val="es-ES" w:eastAsia="en-US"/>
        </w:rPr>
        <w:t>h)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o concurso. </w:t>
      </w:r>
    </w:p>
    <w:p w14:paraId="2B02F46C" w14:textId="6343CFC3" w:rsidR="005C029E" w:rsidRPr="004B1C34" w:rsidRDefault="005C029E" w:rsidP="004B1C34">
      <w:pPr>
        <w:pStyle w:val="NormalWeb"/>
        <w:spacing w:before="0" w:beforeAutospacing="0" w:after="0" w:afterAutospacing="0"/>
        <w:ind w:firstLine="709"/>
        <w:contextualSpacing/>
        <w:jc w:val="both"/>
        <w:rPr>
          <w:rFonts w:ascii="Verdana" w:eastAsiaTheme="minorHAnsi" w:hAnsi="Verdana" w:cs="Arial"/>
          <w:sz w:val="16"/>
          <w:szCs w:val="16"/>
          <w:lang w:val="es-ES" w:eastAsia="en-US"/>
        </w:rPr>
      </w:pPr>
      <w:r w:rsidRPr="004B1C34">
        <w:rPr>
          <w:rFonts w:ascii="Verdana" w:eastAsiaTheme="minorHAnsi" w:hAnsi="Verdana" w:cs="Arial"/>
          <w:sz w:val="16"/>
          <w:szCs w:val="16"/>
          <w:lang w:val="es-ES" w:eastAsia="en-US"/>
        </w:rPr>
        <w:t>i) Los socios de sociedades de personas a las cuales se haya declarado la caducidad, así como las sociedades de personas de las que aquellos formen parte con posterioridad a dicha declaratoria. </w:t>
      </w:r>
    </w:p>
    <w:p w14:paraId="2B67AB94" w14:textId="3B864831" w:rsidR="005C029E" w:rsidRPr="004B1C34" w:rsidRDefault="005C029E" w:rsidP="004B1C34">
      <w:pPr>
        <w:pStyle w:val="NormalWeb"/>
        <w:spacing w:before="0" w:beforeAutospacing="0" w:after="0" w:afterAutospacing="0"/>
        <w:ind w:firstLine="709"/>
        <w:contextualSpacing/>
        <w:jc w:val="both"/>
        <w:rPr>
          <w:rFonts w:ascii="Verdana" w:eastAsiaTheme="minorHAnsi" w:hAnsi="Verdana" w:cs="Arial"/>
          <w:sz w:val="16"/>
          <w:szCs w:val="16"/>
          <w:lang w:val="es-ES" w:eastAsia="en-US"/>
        </w:rPr>
      </w:pPr>
      <w:r w:rsidRPr="004B1C34">
        <w:rPr>
          <w:rFonts w:ascii="Verdana" w:eastAsiaTheme="minorHAnsi" w:hAnsi="Verdana" w:cs="Arial"/>
          <w:sz w:val="16"/>
          <w:szCs w:val="16"/>
          <w:lang w:val="es-ES" w:eastAsia="en-US"/>
        </w:rPr>
        <w:t>Las inhabilidades a que se refieren los literales c), d) e i) se extenderán por un término de cinco (5) años contado a partir de la fecha de ejecutoria del acto que declaró la caducidad, o de la sentencia que impuso la pena, o del acto que dispuso la destitución; las previstas en los literales b) y e), se extenderán por un término de cinco (5) años contado a partir de la fecha de ocurrencia del hecho de la participación en la licitación o concurso, o de la de celebración del contrato, o de la de expiración del plazo para su firma. </w:t>
      </w:r>
    </w:p>
    <w:p w14:paraId="432E0629" w14:textId="298C4197" w:rsidR="005C029E" w:rsidRPr="004B1C34" w:rsidRDefault="005C029E" w:rsidP="004B1C34">
      <w:pPr>
        <w:pStyle w:val="NormalWeb"/>
        <w:spacing w:before="0" w:beforeAutospacing="0" w:after="0" w:afterAutospacing="0"/>
        <w:ind w:firstLine="709"/>
        <w:contextualSpacing/>
        <w:jc w:val="both"/>
        <w:rPr>
          <w:rFonts w:ascii="Verdana" w:eastAsiaTheme="minorHAnsi" w:hAnsi="Verdana" w:cs="Arial"/>
          <w:sz w:val="16"/>
          <w:szCs w:val="16"/>
          <w:lang w:val="es-ES" w:eastAsia="en-US"/>
        </w:rPr>
      </w:pPr>
      <w:r w:rsidRPr="004B1C34">
        <w:rPr>
          <w:rFonts w:ascii="Verdana" w:eastAsiaTheme="minorHAnsi" w:hAnsi="Verdana" w:cs="Arial"/>
          <w:sz w:val="16"/>
          <w:szCs w:val="16"/>
          <w:lang w:val="es-ES" w:eastAsia="en-US"/>
        </w:rPr>
        <w:t>j) Las personas naturales que hayan sido declaradas responsables judicialmente por la comisión de delitos contra la Administración pública, o de cualquiera de los delitos o faltas contempladas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w:t>
      </w:r>
    </w:p>
    <w:p w14:paraId="57AF31FA" w14:textId="04BD03C4" w:rsidR="005C029E" w:rsidRPr="004B1C34" w:rsidRDefault="005C029E" w:rsidP="004B1C34">
      <w:pPr>
        <w:pStyle w:val="NormalWeb"/>
        <w:spacing w:before="0" w:beforeAutospacing="0" w:after="0" w:afterAutospacing="0"/>
        <w:ind w:firstLine="709"/>
        <w:contextualSpacing/>
        <w:jc w:val="both"/>
        <w:rPr>
          <w:rFonts w:ascii="Verdana" w:eastAsiaTheme="minorHAnsi" w:hAnsi="Verdana" w:cs="Arial"/>
          <w:sz w:val="16"/>
          <w:szCs w:val="16"/>
          <w:lang w:val="es-ES" w:eastAsia="en-US"/>
        </w:rPr>
      </w:pPr>
      <w:r w:rsidRPr="004B1C34">
        <w:rPr>
          <w:rFonts w:ascii="Verdana" w:eastAsiaTheme="minorHAnsi" w:hAnsi="Verdana" w:cs="Arial"/>
          <w:sz w:val="16"/>
          <w:szCs w:val="16"/>
          <w:lang w:val="es-ES" w:eastAsia="en-US"/>
        </w:rPr>
        <w:t>Esta inhabilidad procederá preventivamente aún en los casos en los que esté pendiente la decisión sobre la impugnación de la sentencia condenatoria. Asimismo, la inhabilidad se extenderá a las sociedades de las que hagan parte dichas personas en calidad de administradores, represen</w:t>
      </w:r>
      <w:r w:rsidRPr="004B1C34">
        <w:rPr>
          <w:rFonts w:ascii="Verdana" w:eastAsiaTheme="minorHAnsi" w:hAnsi="Verdana" w:cs="Arial"/>
          <w:sz w:val="16"/>
          <w:szCs w:val="16"/>
          <w:lang w:val="es-ES" w:eastAsia="en-US"/>
        </w:rPr>
        <w:softHyphen/>
        <w:t>tantes legales, miembros de junta directiva o de socios controlantes, a sus matrices y a sus subordinadas, a los grupos empresariales a los que estas pertenezcan cuando la conducta delictiva haya sido parte de una política del grupo y a las sucursales de sociedades extranjeras, con ex</w:t>
      </w:r>
      <w:r w:rsidRPr="004B1C34">
        <w:rPr>
          <w:rFonts w:ascii="Verdana" w:eastAsiaTheme="minorHAnsi" w:hAnsi="Verdana" w:cs="Arial"/>
          <w:sz w:val="16"/>
          <w:szCs w:val="16"/>
          <w:lang w:val="es-ES" w:eastAsia="en-US"/>
        </w:rPr>
        <w:softHyphen/>
        <w:t>cepción de las sociedades anónimas abiertas. También se considerarán inhabilitadas para contratar, las personas jurídicas sobre las cuales se haya ordenado la suspensión de la perso</w:t>
      </w:r>
      <w:r w:rsidRPr="004B1C34">
        <w:rPr>
          <w:rFonts w:ascii="Verdana" w:eastAsiaTheme="minorHAnsi" w:hAnsi="Verdana" w:cs="Arial"/>
          <w:sz w:val="16"/>
          <w:szCs w:val="16"/>
          <w:lang w:val="es-ES" w:eastAsia="en-US"/>
        </w:rPr>
        <w:softHyphen/>
        <w:t>nería jurídica en los términos de ley, o cuyos representantes legales, ad</w:t>
      </w:r>
      <w:r w:rsidRPr="004B1C34">
        <w:rPr>
          <w:rFonts w:ascii="Verdana" w:eastAsiaTheme="minorHAnsi" w:hAnsi="Verdana" w:cs="Arial"/>
          <w:sz w:val="16"/>
          <w:szCs w:val="16"/>
          <w:lang w:val="es-ES" w:eastAsia="en-US"/>
        </w:rPr>
        <w:softHyphen/>
        <w:t>ministradores de hecho o de derecho, miembros de junta directiva o sus socios controlantes, sus matrices, subordinadas y/o las sucursales de sociedades extranjeras, hayan sido beneficiados con la aplicación de un principio de oportunidad por cualquier delito contra la Administración pública o el patrimonio del Estado.  La inhabilidad prevista en este literal se extenderá de forma perma</w:t>
      </w:r>
      <w:r w:rsidRPr="004B1C34">
        <w:rPr>
          <w:rFonts w:ascii="Verdana" w:eastAsiaTheme="minorHAnsi" w:hAnsi="Verdana" w:cs="Arial"/>
          <w:sz w:val="16"/>
          <w:szCs w:val="16"/>
          <w:lang w:val="es-ES" w:eastAsia="en-US"/>
        </w:rPr>
        <w:softHyphen/>
        <w:t>nente a las sociedades de las que hagan parte dichas personas en las calidades presentadas en los incisos anteriores, y se aplicará de igual forma a las personas naturales que hayan sido declaradas responsables judicialmente por la comisión de delitos mencionados en este literal. </w:t>
      </w:r>
    </w:p>
    <w:p w14:paraId="771D30EA" w14:textId="62463BBC" w:rsidR="005C029E" w:rsidRPr="004B1C34" w:rsidRDefault="005C029E" w:rsidP="004B1C34">
      <w:pPr>
        <w:pStyle w:val="NormalWeb"/>
        <w:spacing w:before="0" w:beforeAutospacing="0" w:after="0" w:afterAutospacing="0"/>
        <w:ind w:firstLine="709"/>
        <w:contextualSpacing/>
        <w:jc w:val="both"/>
        <w:rPr>
          <w:rFonts w:ascii="Verdana" w:eastAsiaTheme="minorHAnsi" w:hAnsi="Verdana" w:cs="Arial"/>
          <w:sz w:val="16"/>
          <w:szCs w:val="16"/>
          <w:lang w:val="es-ES" w:eastAsia="en-US"/>
        </w:rPr>
      </w:pPr>
      <w:r w:rsidRPr="004B1C34">
        <w:rPr>
          <w:rFonts w:ascii="Verdana" w:eastAsiaTheme="minorHAnsi" w:hAnsi="Verdana" w:cs="Arial"/>
          <w:sz w:val="16"/>
          <w:szCs w:val="16"/>
          <w:lang w:val="es-ES" w:eastAsia="en-US"/>
        </w:rPr>
        <w:t>[…]</w:t>
      </w:r>
    </w:p>
    <w:p w14:paraId="35EA6CD5" w14:textId="3B6E8AB7" w:rsidR="005C029E" w:rsidRPr="004B1C34" w:rsidRDefault="005C029E" w:rsidP="004B1C34">
      <w:pPr>
        <w:pStyle w:val="NormalWeb"/>
        <w:spacing w:before="0" w:beforeAutospacing="0" w:after="0" w:afterAutospacing="0"/>
        <w:ind w:firstLine="709"/>
        <w:contextualSpacing/>
        <w:jc w:val="both"/>
        <w:rPr>
          <w:rFonts w:ascii="Verdana" w:eastAsiaTheme="minorHAnsi" w:hAnsi="Verdana" w:cs="Arial"/>
          <w:sz w:val="16"/>
          <w:szCs w:val="16"/>
          <w:lang w:val="es-ES" w:eastAsia="en-US"/>
        </w:rPr>
      </w:pPr>
      <w:r w:rsidRPr="004B1C34">
        <w:rPr>
          <w:rFonts w:ascii="Verdana" w:eastAsiaTheme="minorHAnsi" w:hAnsi="Verdana" w:cs="Arial"/>
          <w:sz w:val="16"/>
          <w:szCs w:val="16"/>
          <w:lang w:val="es-ES" w:eastAsia="en-US"/>
        </w:rPr>
        <w:t>2o. Tampoco podrán participar en licitaciones o concursos ni celebrar contratos estatales con la entidad respectiva: </w:t>
      </w:r>
    </w:p>
    <w:p w14:paraId="7D5DE98A" w14:textId="1ACC6C25" w:rsidR="005C029E" w:rsidRPr="004B1C34" w:rsidRDefault="005C029E" w:rsidP="004B1C34">
      <w:pPr>
        <w:pStyle w:val="NormalWeb"/>
        <w:spacing w:before="0" w:beforeAutospacing="0" w:after="0" w:afterAutospacing="0"/>
        <w:ind w:firstLine="709"/>
        <w:contextualSpacing/>
        <w:jc w:val="both"/>
        <w:rPr>
          <w:rFonts w:ascii="Verdana" w:eastAsiaTheme="minorHAnsi" w:hAnsi="Verdana" w:cs="Arial"/>
          <w:sz w:val="16"/>
          <w:szCs w:val="16"/>
          <w:lang w:val="es-ES" w:eastAsia="en-US"/>
        </w:rPr>
      </w:pPr>
      <w:r w:rsidRPr="004B1C34">
        <w:rPr>
          <w:rFonts w:ascii="Verdana" w:eastAsiaTheme="minorHAnsi" w:hAnsi="Verdana" w:cs="Arial"/>
          <w:sz w:val="16"/>
          <w:szCs w:val="16"/>
          <w:lang w:val="es-ES" w:eastAsia="en-US"/>
        </w:rPr>
        <w:t>a) Quienes fueron miembros de la junta o consejo directivo o servidores públicos de la entidad contratante. Esta incompatibilidad solo comprende a quienes desempeñaron funciones en los niveles directivo, asesor o ejecutivo y se extiende por el término de un (1) año, contado a partir de la fecha del retiro. </w:t>
      </w:r>
    </w:p>
    <w:p w14:paraId="16D53BE3" w14:textId="2F5D7CDE" w:rsidR="005C029E" w:rsidRPr="004B1C34" w:rsidRDefault="005C029E" w:rsidP="004B1C34">
      <w:pPr>
        <w:pStyle w:val="NormalWeb"/>
        <w:spacing w:before="0" w:beforeAutospacing="0" w:after="0" w:afterAutospacing="0"/>
        <w:ind w:firstLine="709"/>
        <w:contextualSpacing/>
        <w:jc w:val="both"/>
        <w:rPr>
          <w:rFonts w:ascii="Verdana" w:eastAsiaTheme="minorHAnsi" w:hAnsi="Verdana" w:cs="Arial"/>
          <w:sz w:val="16"/>
          <w:szCs w:val="16"/>
          <w:lang w:val="es-ES" w:eastAsia="en-US"/>
        </w:rPr>
      </w:pPr>
      <w:r w:rsidRPr="004B1C34">
        <w:rPr>
          <w:rFonts w:ascii="Verdana" w:eastAsiaTheme="minorHAnsi" w:hAnsi="Verdana" w:cs="Arial"/>
          <w:sz w:val="16"/>
          <w:szCs w:val="16"/>
          <w:lang w:val="es-ES" w:eastAsia="en-US"/>
        </w:rPr>
        <w:t>b)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w:t>
      </w:r>
    </w:p>
    <w:p w14:paraId="0D672465" w14:textId="308C17AF" w:rsidR="005C029E" w:rsidRPr="004B1C34" w:rsidRDefault="005C029E" w:rsidP="004B1C34">
      <w:pPr>
        <w:pStyle w:val="NormalWeb"/>
        <w:spacing w:before="0" w:beforeAutospacing="0" w:after="0" w:afterAutospacing="0"/>
        <w:ind w:firstLine="709"/>
        <w:contextualSpacing/>
        <w:jc w:val="both"/>
        <w:rPr>
          <w:rFonts w:ascii="Verdana" w:eastAsiaTheme="minorHAnsi" w:hAnsi="Verdana" w:cs="Arial"/>
          <w:sz w:val="16"/>
          <w:szCs w:val="16"/>
          <w:lang w:val="es-ES" w:eastAsia="en-US"/>
        </w:rPr>
      </w:pPr>
      <w:r w:rsidRPr="004B1C34">
        <w:rPr>
          <w:rFonts w:ascii="Verdana" w:eastAsiaTheme="minorHAnsi" w:hAnsi="Verdana" w:cs="Arial"/>
          <w:sz w:val="16"/>
          <w:szCs w:val="16"/>
          <w:lang w:val="es-ES" w:eastAsia="en-US"/>
        </w:rPr>
        <w:t>c) El cónyuge, compañero o compañera permanente del servidor público en los niveles directivo, asesor, ejecutivo, o de un miembro de la junta o consejo directivo, o de quien ejerza funciones de control interno o de control fiscal. </w:t>
      </w:r>
    </w:p>
    <w:p w14:paraId="48EC019F" w14:textId="09754F8C" w:rsidR="005C029E" w:rsidRPr="004B1C34" w:rsidRDefault="005C029E" w:rsidP="004B1C34">
      <w:pPr>
        <w:pStyle w:val="NormalWeb"/>
        <w:spacing w:before="0" w:beforeAutospacing="0" w:after="0" w:afterAutospacing="0"/>
        <w:ind w:firstLine="709"/>
        <w:contextualSpacing/>
        <w:jc w:val="both"/>
        <w:rPr>
          <w:rFonts w:ascii="Verdana" w:eastAsiaTheme="minorHAnsi" w:hAnsi="Verdana" w:cs="Arial"/>
          <w:sz w:val="16"/>
          <w:szCs w:val="16"/>
          <w:lang w:val="es-ES" w:eastAsia="en-US"/>
        </w:rPr>
      </w:pPr>
      <w:r w:rsidRPr="004B1C34">
        <w:rPr>
          <w:rFonts w:ascii="Verdana" w:eastAsiaTheme="minorHAnsi" w:hAnsi="Verdana" w:cs="Arial"/>
          <w:sz w:val="16"/>
          <w:szCs w:val="16"/>
          <w:lang w:val="es-ES" w:eastAsia="en-US"/>
        </w:rPr>
        <w:t>d)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w:t>
      </w:r>
    </w:p>
    <w:p w14:paraId="2106FCD1" w14:textId="74795F76" w:rsidR="005C029E" w:rsidRPr="004B1C34" w:rsidRDefault="005C029E" w:rsidP="004B1C34">
      <w:pPr>
        <w:pStyle w:val="NormalWeb"/>
        <w:spacing w:before="0" w:beforeAutospacing="0" w:after="0" w:afterAutospacing="0"/>
        <w:ind w:firstLine="709"/>
        <w:contextualSpacing/>
        <w:jc w:val="both"/>
        <w:rPr>
          <w:rFonts w:ascii="Verdana" w:eastAsiaTheme="minorHAnsi" w:hAnsi="Verdana" w:cs="Arial"/>
          <w:sz w:val="16"/>
          <w:szCs w:val="16"/>
          <w:lang w:val="es-ES" w:eastAsia="en-US"/>
        </w:rPr>
      </w:pPr>
      <w:r w:rsidRPr="004B1C34">
        <w:rPr>
          <w:rFonts w:ascii="Verdana" w:eastAsiaTheme="minorHAnsi" w:hAnsi="Verdana" w:cs="Arial"/>
          <w:sz w:val="16"/>
          <w:szCs w:val="16"/>
          <w:lang w:val="es-ES" w:eastAsia="en-US"/>
        </w:rPr>
        <w:t>e) Los miembros de las juntas o consejos directivos. Esta incompatibilidad sólo se predica respecto de la entidad a la cual prestan sus servicios y de las del sector administrativo al que la misma esté adscrita o vinculada. </w:t>
      </w:r>
    </w:p>
    <w:p w14:paraId="241D9F6A" w14:textId="6F501525" w:rsidR="005C029E" w:rsidRPr="004B1C34" w:rsidRDefault="005C029E" w:rsidP="004B1C34">
      <w:pPr>
        <w:pStyle w:val="NormalWeb"/>
        <w:spacing w:before="0" w:beforeAutospacing="0" w:after="0" w:afterAutospacing="0"/>
        <w:ind w:firstLine="709"/>
        <w:contextualSpacing/>
        <w:jc w:val="both"/>
        <w:rPr>
          <w:rFonts w:ascii="Verdana" w:eastAsiaTheme="minorHAnsi" w:hAnsi="Verdana" w:cs="Arial"/>
          <w:sz w:val="16"/>
          <w:szCs w:val="16"/>
          <w:lang w:val="es-ES" w:eastAsia="en-US"/>
        </w:rPr>
      </w:pPr>
      <w:r w:rsidRPr="004B1C34">
        <w:rPr>
          <w:rFonts w:ascii="Verdana" w:eastAsiaTheme="minorHAnsi" w:hAnsi="Verdana" w:cs="Arial"/>
          <w:sz w:val="16"/>
          <w:szCs w:val="16"/>
          <w:lang w:val="es-ES" w:eastAsia="en-US"/>
        </w:rPr>
        <w:t>f)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Esta incompatibilidad también operará para las personas que se encuentren dentro del primer grado de consanguinidad, primero de afinidad, o primero civil del ex empleado público.</w:t>
      </w:r>
    </w:p>
    <w:p w14:paraId="04E6277E" w14:textId="6E482034" w:rsidR="00C805F1" w:rsidRDefault="005C029E" w:rsidP="005A6D69">
      <w:pPr>
        <w:pStyle w:val="NormalWeb"/>
        <w:spacing w:before="0" w:beforeAutospacing="0" w:after="0" w:afterAutospacing="0"/>
        <w:ind w:firstLine="709"/>
        <w:contextualSpacing/>
        <w:jc w:val="both"/>
        <w:rPr>
          <w:rFonts w:ascii="Verdana" w:eastAsiaTheme="minorHAnsi" w:hAnsi="Verdana" w:cs="Arial"/>
          <w:sz w:val="16"/>
          <w:szCs w:val="16"/>
          <w:lang w:val="es-ES" w:eastAsia="en-US"/>
        </w:rPr>
      </w:pPr>
      <w:r w:rsidRPr="004B1C34">
        <w:rPr>
          <w:rFonts w:ascii="Verdana" w:eastAsiaTheme="minorHAnsi" w:hAnsi="Verdana" w:cs="Arial"/>
          <w:sz w:val="16"/>
          <w:szCs w:val="16"/>
          <w:lang w:val="es-ES" w:eastAsia="en-US"/>
        </w:rPr>
        <w:t>[…]</w:t>
      </w:r>
      <w:r w:rsidR="00C805F1">
        <w:rPr>
          <w:rFonts w:ascii="Verdana" w:eastAsiaTheme="minorHAnsi" w:hAnsi="Verdana" w:cs="Arial"/>
          <w:sz w:val="16"/>
          <w:szCs w:val="16"/>
          <w:lang w:val="es-ES" w:eastAsia="en-US"/>
        </w:rPr>
        <w:t>”</w:t>
      </w:r>
      <w:r w:rsidRPr="004B1C34">
        <w:rPr>
          <w:rFonts w:ascii="Verdana" w:eastAsiaTheme="minorHAnsi" w:hAnsi="Verdana" w:cs="Arial"/>
          <w:sz w:val="16"/>
          <w:szCs w:val="16"/>
          <w:lang w:val="es-ES" w:eastAsia="en-US"/>
        </w:rPr>
        <w:t>.</w:t>
      </w:r>
    </w:p>
    <w:p w14:paraId="1F7975E8" w14:textId="3D4E6E31" w:rsidR="005C029E" w:rsidRPr="004B1C34" w:rsidRDefault="005C029E" w:rsidP="004B1C34">
      <w:pPr>
        <w:pStyle w:val="NormalWeb"/>
        <w:spacing w:before="0" w:beforeAutospacing="0" w:after="0" w:afterAutospacing="0"/>
        <w:ind w:firstLine="709"/>
        <w:contextualSpacing/>
        <w:jc w:val="both"/>
        <w:rPr>
          <w:rFonts w:ascii="Verdana" w:eastAsiaTheme="minorHAnsi" w:hAnsi="Verdana" w:cs="Arial"/>
          <w:sz w:val="16"/>
          <w:szCs w:val="16"/>
          <w:lang w:val="es-ES" w:eastAsia="en-US"/>
        </w:rPr>
      </w:pPr>
      <w:r w:rsidRPr="004B1C34">
        <w:rPr>
          <w:rFonts w:ascii="Verdana" w:eastAsiaTheme="minorHAnsi" w:hAnsi="Verdana" w:cs="Arial"/>
          <w:sz w:val="16"/>
          <w:szCs w:val="16"/>
          <w:lang w:val="es-ES" w:eastAsia="en-US"/>
        </w:rPr>
        <w:t xml:space="preserve"> </w:t>
      </w:r>
    </w:p>
  </w:footnote>
  <w:footnote w:id="7">
    <w:p w14:paraId="11AD1B4D" w14:textId="60085D28" w:rsidR="005C029E" w:rsidRPr="004B1C34" w:rsidRDefault="005C029E" w:rsidP="004B1C34">
      <w:pPr>
        <w:pStyle w:val="NormalWeb"/>
        <w:spacing w:before="0" w:beforeAutospacing="0" w:after="0" w:afterAutospacing="0"/>
        <w:ind w:firstLine="708"/>
        <w:contextualSpacing/>
        <w:jc w:val="both"/>
        <w:rPr>
          <w:rFonts w:ascii="Verdana" w:hAnsi="Verdana" w:cs="Arial"/>
          <w:sz w:val="16"/>
          <w:szCs w:val="16"/>
        </w:rPr>
      </w:pPr>
      <w:r w:rsidRPr="004B1C34">
        <w:rPr>
          <w:rStyle w:val="Refdenotaalpie"/>
          <w:rFonts w:ascii="Verdana" w:hAnsi="Verdana" w:cs="Arial"/>
          <w:sz w:val="16"/>
          <w:szCs w:val="16"/>
        </w:rPr>
        <w:footnoteRef/>
      </w:r>
      <w:r w:rsidRPr="004B1C34">
        <w:rPr>
          <w:rFonts w:ascii="Verdana" w:hAnsi="Verdana" w:cs="Arial"/>
          <w:sz w:val="16"/>
          <w:szCs w:val="16"/>
        </w:rPr>
        <w:t xml:space="preserve"> Ley 599 del 2000: </w:t>
      </w:r>
      <w:r w:rsidR="00C805F1">
        <w:rPr>
          <w:rFonts w:ascii="Verdana" w:hAnsi="Verdana" w:cs="Arial"/>
          <w:sz w:val="16"/>
          <w:szCs w:val="16"/>
        </w:rPr>
        <w:t>“</w:t>
      </w:r>
      <w:r w:rsidRPr="004B1C34">
        <w:rPr>
          <w:rStyle w:val="Textoennegrita"/>
          <w:rFonts w:ascii="Verdana" w:hAnsi="Verdana" w:cs="Arial"/>
          <w:b w:val="0"/>
          <w:sz w:val="16"/>
          <w:szCs w:val="16"/>
        </w:rPr>
        <w:t>Artículo 44</w:t>
      </w:r>
      <w:r w:rsidRPr="004B1C34">
        <w:rPr>
          <w:rStyle w:val="Textoennegrita"/>
          <w:rFonts w:ascii="Verdana" w:hAnsi="Verdana" w:cs="Arial"/>
          <w:sz w:val="16"/>
          <w:szCs w:val="16"/>
        </w:rPr>
        <w:t xml:space="preserve">. </w:t>
      </w:r>
      <w:r w:rsidRPr="004B1C34">
        <w:rPr>
          <w:rStyle w:val="nfasis"/>
          <w:rFonts w:ascii="Verdana" w:hAnsi="Verdana" w:cs="Arial"/>
          <w:i w:val="0"/>
          <w:sz w:val="16"/>
          <w:szCs w:val="16"/>
        </w:rPr>
        <w:t>La inhabilitación para el ejercicio de derechos y funciones públicas</w:t>
      </w:r>
      <w:r w:rsidRPr="004B1C34">
        <w:rPr>
          <w:rFonts w:ascii="Verdana" w:hAnsi="Verdana" w:cs="Arial"/>
          <w:sz w:val="16"/>
          <w:szCs w:val="16"/>
        </w:rPr>
        <w:t>. La pena de inhabilitación para el ejercicio de derechos y funciones públicas priva al penado de la facultad de elegir y ser elegido, del ejercicio de cualquier otro derecho político, función pública, dignidades y honores que confieren las entidades oficiales. </w:t>
      </w:r>
    </w:p>
    <w:p w14:paraId="38FD2088" w14:textId="77777777" w:rsidR="005C029E" w:rsidRPr="004B1C34" w:rsidRDefault="005C029E" w:rsidP="004B1C34">
      <w:pPr>
        <w:pStyle w:val="NormalWeb"/>
        <w:spacing w:before="0" w:beforeAutospacing="0" w:after="0" w:afterAutospacing="0"/>
        <w:ind w:firstLine="708"/>
        <w:contextualSpacing/>
        <w:jc w:val="both"/>
        <w:rPr>
          <w:rFonts w:ascii="Verdana" w:hAnsi="Verdana" w:cs="Arial"/>
          <w:sz w:val="16"/>
          <w:szCs w:val="16"/>
        </w:rPr>
      </w:pPr>
      <w:r w:rsidRPr="004B1C34">
        <w:rPr>
          <w:rFonts w:ascii="Verdana" w:hAnsi="Verdana" w:cs="Arial"/>
          <w:sz w:val="16"/>
          <w:szCs w:val="16"/>
        </w:rPr>
        <w:t>[…]</w:t>
      </w:r>
    </w:p>
    <w:p w14:paraId="0E8A4FA3" w14:textId="3BEAA185" w:rsidR="00C16BB6" w:rsidRDefault="00C16BB6" w:rsidP="00C16BB6">
      <w:pPr>
        <w:pStyle w:val="NormalWeb"/>
        <w:spacing w:before="0" w:beforeAutospacing="0" w:after="0" w:afterAutospacing="0"/>
        <w:ind w:firstLine="708"/>
        <w:contextualSpacing/>
        <w:jc w:val="both"/>
        <w:rPr>
          <w:rFonts w:ascii="Verdana" w:hAnsi="Verdana" w:cs="Arial"/>
          <w:sz w:val="16"/>
          <w:szCs w:val="16"/>
        </w:rPr>
      </w:pPr>
    </w:p>
    <w:p w14:paraId="61D5C6CA" w14:textId="4FB5DA73" w:rsidR="005C029E" w:rsidRPr="004B1C34" w:rsidRDefault="005C029E" w:rsidP="004B1C34">
      <w:pPr>
        <w:pStyle w:val="NormalWeb"/>
        <w:spacing w:before="0" w:beforeAutospacing="0" w:after="0" w:afterAutospacing="0"/>
        <w:ind w:firstLine="708"/>
        <w:contextualSpacing/>
        <w:jc w:val="both"/>
        <w:rPr>
          <w:rFonts w:ascii="Verdana" w:hAnsi="Verdana" w:cs="Arial"/>
          <w:sz w:val="16"/>
          <w:szCs w:val="16"/>
        </w:rPr>
      </w:pPr>
      <w:r w:rsidRPr="004B1C34">
        <w:rPr>
          <w:rFonts w:ascii="Verdana" w:hAnsi="Verdana" w:cs="Arial"/>
          <w:sz w:val="16"/>
          <w:szCs w:val="16"/>
        </w:rPr>
        <w:t>Artículo 52. Las penas accesorias. Las penas privativas de otros derechos, que pueden imponerse como principales, serán accesorias y las impondrá el Juez cuando tengan relación directa con la realización de la conducta punible, por haber abusado de ellos o haber facilitado su comisión, o cuando la restricción del derecho contribuya a la prevención de conductas similares a la que fue objeto de condena. </w:t>
      </w:r>
    </w:p>
    <w:p w14:paraId="613814DD" w14:textId="33434AED" w:rsidR="005C029E" w:rsidRPr="004B1C34" w:rsidRDefault="005C029E" w:rsidP="004B1C34">
      <w:pPr>
        <w:spacing w:after="0" w:line="240" w:lineRule="auto"/>
        <w:ind w:firstLine="708"/>
        <w:contextualSpacing/>
        <w:jc w:val="both"/>
        <w:rPr>
          <w:rFonts w:ascii="Verdana" w:eastAsia="Times New Roman" w:hAnsi="Verdana" w:cs="Arial"/>
          <w:sz w:val="16"/>
          <w:szCs w:val="16"/>
          <w:lang w:eastAsia="es-CO"/>
        </w:rPr>
      </w:pPr>
      <w:r w:rsidRPr="004B1C34">
        <w:rPr>
          <w:rFonts w:ascii="Verdana" w:eastAsia="Times New Roman" w:hAnsi="Verdana" w:cs="Arial"/>
          <w:sz w:val="16"/>
          <w:szCs w:val="16"/>
          <w:lang w:eastAsia="es-CO"/>
        </w:rPr>
        <w:t>En la imposición de las penas accesorias se observará estrictamente lo dispuesto en el artículo 59. </w:t>
      </w:r>
    </w:p>
    <w:p w14:paraId="4451CA10" w14:textId="4BBA3ADC" w:rsidR="00C16BB6" w:rsidRDefault="005C029E" w:rsidP="00C16BB6">
      <w:pPr>
        <w:spacing w:after="0" w:line="240" w:lineRule="auto"/>
        <w:ind w:firstLine="708"/>
        <w:contextualSpacing/>
        <w:jc w:val="both"/>
        <w:rPr>
          <w:rFonts w:ascii="Verdana" w:eastAsia="Times New Roman" w:hAnsi="Verdana" w:cs="Arial"/>
          <w:sz w:val="16"/>
          <w:szCs w:val="16"/>
          <w:lang w:eastAsia="es-CO"/>
        </w:rPr>
      </w:pPr>
      <w:r w:rsidRPr="004B1C34">
        <w:rPr>
          <w:rFonts w:ascii="Verdana" w:eastAsia="Times New Roman" w:hAnsi="Verdana" w:cs="Arial"/>
          <w:sz w:val="16"/>
          <w:szCs w:val="16"/>
          <w:lang w:eastAsia="es-CO"/>
        </w:rPr>
        <w:t>En todo caso, la pena de prisión conllevará la accesoria de inhabilitación para el ejercicio de derechos y funciones públicas, por un tiempo igual al de la pena a que accede y hasta por una tercera parte más, sin exceder el máximo fijado en la Ley, sin perjuicio de la excepción a que alude el inciso 2 del artículo 51</w:t>
      </w:r>
      <w:r w:rsidR="00C16BB6">
        <w:rPr>
          <w:rFonts w:ascii="Verdana" w:eastAsia="Times New Roman" w:hAnsi="Verdana" w:cs="Arial"/>
          <w:sz w:val="16"/>
          <w:szCs w:val="16"/>
          <w:lang w:eastAsia="es-CO"/>
        </w:rPr>
        <w:t>”</w:t>
      </w:r>
      <w:r w:rsidRPr="004B1C34">
        <w:rPr>
          <w:rFonts w:ascii="Verdana" w:eastAsia="Times New Roman" w:hAnsi="Verdana" w:cs="Arial"/>
          <w:sz w:val="16"/>
          <w:szCs w:val="16"/>
          <w:lang w:eastAsia="es-CO"/>
        </w:rPr>
        <w:t>.</w:t>
      </w:r>
    </w:p>
    <w:p w14:paraId="3F854830" w14:textId="5FE737BA" w:rsidR="005C029E" w:rsidRPr="004B1C34" w:rsidRDefault="005C029E" w:rsidP="004B1C34">
      <w:pPr>
        <w:spacing w:after="0" w:line="240" w:lineRule="auto"/>
        <w:ind w:firstLine="708"/>
        <w:contextualSpacing/>
        <w:jc w:val="both"/>
        <w:rPr>
          <w:rFonts w:ascii="Verdana" w:eastAsia="Times New Roman" w:hAnsi="Verdana" w:cs="Arial"/>
          <w:sz w:val="16"/>
          <w:szCs w:val="16"/>
          <w:lang w:eastAsia="es-CO"/>
        </w:rPr>
      </w:pPr>
      <w:r w:rsidRPr="004B1C34">
        <w:rPr>
          <w:rFonts w:ascii="Verdana" w:eastAsia="Times New Roman" w:hAnsi="Verdana" w:cs="Arial"/>
          <w:sz w:val="16"/>
          <w:szCs w:val="16"/>
          <w:lang w:eastAsia="es-CO"/>
        </w:rPr>
        <w:t> </w:t>
      </w:r>
      <w:r w:rsidRPr="004B1C34">
        <w:rPr>
          <w:rFonts w:ascii="Verdana" w:hAnsi="Verdana" w:cs="Arial"/>
          <w:sz w:val="16"/>
          <w:szCs w:val="16"/>
        </w:rPr>
        <w:t xml:space="preserve"> </w:t>
      </w:r>
    </w:p>
  </w:footnote>
  <w:footnote w:id="8">
    <w:p w14:paraId="772F3479" w14:textId="4270F4FF" w:rsidR="005C029E" w:rsidRPr="004B1C34" w:rsidRDefault="005C029E" w:rsidP="004B1C34">
      <w:pPr>
        <w:shd w:val="clear" w:color="auto" w:fill="FFFFFF"/>
        <w:spacing w:after="0" w:line="240" w:lineRule="auto"/>
        <w:ind w:firstLine="708"/>
        <w:contextualSpacing/>
        <w:jc w:val="both"/>
        <w:rPr>
          <w:rFonts w:ascii="Verdana" w:eastAsia="Times New Roman" w:hAnsi="Verdana" w:cs="Arial"/>
          <w:sz w:val="16"/>
          <w:szCs w:val="16"/>
          <w:lang w:eastAsia="es-CO"/>
        </w:rPr>
      </w:pPr>
      <w:r w:rsidRPr="004B1C34">
        <w:rPr>
          <w:rStyle w:val="Refdenotaalpie"/>
          <w:rFonts w:ascii="Verdana" w:hAnsi="Verdana" w:cs="Arial"/>
          <w:sz w:val="16"/>
          <w:szCs w:val="16"/>
        </w:rPr>
        <w:footnoteRef/>
      </w:r>
      <w:r w:rsidRPr="004B1C34">
        <w:rPr>
          <w:rFonts w:ascii="Verdana" w:hAnsi="Verdana" w:cs="Arial"/>
          <w:sz w:val="16"/>
          <w:szCs w:val="16"/>
        </w:rPr>
        <w:t xml:space="preserve"> Ley 1952 de 2019: </w:t>
      </w:r>
      <w:r w:rsidR="00C16BB6">
        <w:rPr>
          <w:rFonts w:ascii="Verdana" w:hAnsi="Verdana" w:cs="Arial"/>
          <w:sz w:val="16"/>
          <w:szCs w:val="16"/>
        </w:rPr>
        <w:t>“</w:t>
      </w:r>
      <w:r w:rsidRPr="004B1C34">
        <w:rPr>
          <w:rFonts w:ascii="Verdana" w:eastAsia="Times New Roman" w:hAnsi="Verdana" w:cs="Arial"/>
          <w:sz w:val="16"/>
          <w:szCs w:val="16"/>
          <w:lang w:eastAsia="es-CO"/>
        </w:rPr>
        <w:t>Artículo</w:t>
      </w:r>
      <w:bookmarkStart w:id="4" w:name="49"/>
      <w:bookmarkEnd w:id="4"/>
      <w:r w:rsidRPr="004B1C34">
        <w:rPr>
          <w:rFonts w:ascii="Verdana" w:eastAsia="Times New Roman" w:hAnsi="Verdana" w:cs="Arial"/>
          <w:sz w:val="16"/>
          <w:szCs w:val="16"/>
          <w:lang w:eastAsia="es-CO"/>
        </w:rPr>
        <w:t> 49. definición de las sanciones.</w:t>
      </w:r>
    </w:p>
    <w:p w14:paraId="68FCFA65" w14:textId="0273A3C5" w:rsidR="005C029E" w:rsidRPr="004B1C34" w:rsidRDefault="005C029E" w:rsidP="004B1C34">
      <w:pPr>
        <w:shd w:val="clear" w:color="auto" w:fill="FFFFFF"/>
        <w:spacing w:after="0" w:line="240" w:lineRule="auto"/>
        <w:ind w:firstLine="708"/>
        <w:contextualSpacing/>
        <w:jc w:val="both"/>
        <w:rPr>
          <w:rFonts w:ascii="Verdana" w:eastAsia="Times New Roman" w:hAnsi="Verdana" w:cs="Arial"/>
          <w:sz w:val="16"/>
          <w:szCs w:val="16"/>
          <w:lang w:eastAsia="es-CO"/>
        </w:rPr>
      </w:pPr>
      <w:r w:rsidRPr="004B1C34">
        <w:rPr>
          <w:rFonts w:ascii="Verdana" w:eastAsia="Times New Roman" w:hAnsi="Verdana" w:cs="Arial"/>
          <w:sz w:val="16"/>
          <w:szCs w:val="16"/>
          <w:lang w:eastAsia="es-CO"/>
        </w:rPr>
        <w:t>1. La destitución e inhabilidad general implica:</w:t>
      </w:r>
    </w:p>
    <w:p w14:paraId="4C1ED8DF" w14:textId="295E7AD5" w:rsidR="005C029E" w:rsidRPr="004B1C34" w:rsidRDefault="005C029E" w:rsidP="004B1C34">
      <w:pPr>
        <w:shd w:val="clear" w:color="auto" w:fill="FFFFFF"/>
        <w:spacing w:after="0" w:line="240" w:lineRule="auto"/>
        <w:ind w:firstLine="708"/>
        <w:contextualSpacing/>
        <w:jc w:val="both"/>
        <w:rPr>
          <w:rFonts w:ascii="Verdana" w:eastAsia="Times New Roman" w:hAnsi="Verdana" w:cs="Arial"/>
          <w:sz w:val="16"/>
          <w:szCs w:val="16"/>
          <w:lang w:eastAsia="es-CO"/>
        </w:rPr>
      </w:pPr>
      <w:r w:rsidRPr="004B1C34">
        <w:rPr>
          <w:rFonts w:ascii="Verdana" w:eastAsia="Times New Roman" w:hAnsi="Verdana" w:cs="Arial"/>
          <w:sz w:val="16"/>
          <w:szCs w:val="16"/>
          <w:lang w:eastAsia="es-CO"/>
        </w:rPr>
        <w:t>a) La terminación de la relación del servidor público o del particular con la administración, sin que importe que sea de libre nombramiento y remoción, de carrera o elección; o</w:t>
      </w:r>
    </w:p>
    <w:p w14:paraId="5672B73B" w14:textId="289B150D" w:rsidR="005C029E" w:rsidRPr="004B1C34" w:rsidRDefault="005C029E" w:rsidP="004B1C34">
      <w:pPr>
        <w:shd w:val="clear" w:color="auto" w:fill="FFFFFF"/>
        <w:spacing w:after="0" w:line="240" w:lineRule="auto"/>
        <w:ind w:firstLine="708"/>
        <w:contextualSpacing/>
        <w:jc w:val="both"/>
        <w:rPr>
          <w:rFonts w:ascii="Verdana" w:eastAsia="Times New Roman" w:hAnsi="Verdana" w:cs="Arial"/>
          <w:sz w:val="16"/>
          <w:szCs w:val="16"/>
          <w:lang w:eastAsia="es-CO"/>
        </w:rPr>
      </w:pPr>
      <w:r w:rsidRPr="004B1C34">
        <w:rPr>
          <w:rFonts w:ascii="Verdana" w:eastAsia="Times New Roman" w:hAnsi="Verdana" w:cs="Arial"/>
          <w:sz w:val="16"/>
          <w:szCs w:val="16"/>
          <w:lang w:eastAsia="es-CO"/>
        </w:rPr>
        <w:t>b) La desvinculación del cargo, en los casos previstos en la Constitución Política y la ley; o</w:t>
      </w:r>
    </w:p>
    <w:p w14:paraId="09EC3292" w14:textId="60834BC4" w:rsidR="005C029E" w:rsidRPr="004B1C34" w:rsidRDefault="005C029E" w:rsidP="004B1C34">
      <w:pPr>
        <w:shd w:val="clear" w:color="auto" w:fill="FFFFFF"/>
        <w:spacing w:after="0" w:line="240" w:lineRule="auto"/>
        <w:ind w:firstLine="708"/>
        <w:contextualSpacing/>
        <w:jc w:val="both"/>
        <w:rPr>
          <w:rFonts w:ascii="Verdana" w:eastAsia="Times New Roman" w:hAnsi="Verdana" w:cs="Arial"/>
          <w:sz w:val="16"/>
          <w:szCs w:val="16"/>
          <w:lang w:eastAsia="es-CO"/>
        </w:rPr>
      </w:pPr>
      <w:r w:rsidRPr="004B1C34">
        <w:rPr>
          <w:rFonts w:ascii="Verdana" w:eastAsia="Times New Roman" w:hAnsi="Verdana" w:cs="Arial"/>
          <w:sz w:val="16"/>
          <w:szCs w:val="16"/>
          <w:lang w:eastAsia="es-CO"/>
        </w:rPr>
        <w:t>c) La terminación del contrato de trabajo; y</w:t>
      </w:r>
    </w:p>
    <w:p w14:paraId="455CC03D" w14:textId="6D4C563F" w:rsidR="005C029E" w:rsidRPr="004B1C34" w:rsidRDefault="005C029E" w:rsidP="004B1C34">
      <w:pPr>
        <w:shd w:val="clear" w:color="auto" w:fill="FFFFFF"/>
        <w:spacing w:after="0" w:line="240" w:lineRule="auto"/>
        <w:ind w:firstLine="708"/>
        <w:contextualSpacing/>
        <w:jc w:val="both"/>
        <w:rPr>
          <w:rFonts w:ascii="Verdana" w:eastAsia="Times New Roman" w:hAnsi="Verdana" w:cs="Arial"/>
          <w:sz w:val="16"/>
          <w:szCs w:val="16"/>
          <w:lang w:eastAsia="es-CO"/>
        </w:rPr>
      </w:pPr>
      <w:r w:rsidRPr="004B1C34">
        <w:rPr>
          <w:rFonts w:ascii="Verdana" w:eastAsia="Times New Roman" w:hAnsi="Verdana" w:cs="Arial"/>
          <w:sz w:val="16"/>
          <w:szCs w:val="16"/>
          <w:lang w:eastAsia="es-CO"/>
        </w:rPr>
        <w:t>d) En todos los casos anteriores, la imposibilidad de ejercer la función publica en cualquier cargo o función, por el termino señalado en el fallo, y la exclusión del escalafón o carrera […]</w:t>
      </w:r>
      <w:r w:rsidR="00C16BB6">
        <w:rPr>
          <w:rFonts w:ascii="Verdana" w:eastAsia="Times New Roman" w:hAnsi="Verdana" w:cs="Arial"/>
          <w:sz w:val="16"/>
          <w:szCs w:val="16"/>
          <w:lang w:eastAsia="es-CO"/>
        </w:rPr>
        <w:t>”</w:t>
      </w:r>
      <w:r w:rsidRPr="004B1C34">
        <w:rPr>
          <w:rFonts w:ascii="Verdana" w:eastAsia="Times New Roman" w:hAnsi="Verdana" w:cs="Arial"/>
          <w:sz w:val="16"/>
          <w:szCs w:val="16"/>
          <w:lang w:eastAsia="es-CO"/>
        </w:rPr>
        <w:t>.</w:t>
      </w:r>
    </w:p>
    <w:p w14:paraId="1247BCA7" w14:textId="77777777" w:rsidR="005C029E" w:rsidRPr="004B1C34" w:rsidRDefault="005C029E" w:rsidP="004B1C34">
      <w:pPr>
        <w:pStyle w:val="Textonotapie"/>
        <w:ind w:firstLine="708"/>
        <w:contextualSpacing/>
        <w:rPr>
          <w:rFonts w:ascii="Verdana" w:hAnsi="Verdana"/>
          <w:sz w:val="16"/>
          <w:szCs w:val="16"/>
        </w:rPr>
      </w:pPr>
      <w:r w:rsidRPr="004B1C34">
        <w:rPr>
          <w:rFonts w:ascii="Verdana" w:hAnsi="Verdana"/>
          <w:sz w:val="16"/>
          <w:szCs w:val="16"/>
        </w:rPr>
        <w:t xml:space="preserve"> </w:t>
      </w:r>
    </w:p>
  </w:footnote>
  <w:footnote w:id="9">
    <w:p w14:paraId="651D19FF" w14:textId="77777777" w:rsidR="005C029E" w:rsidRDefault="005C029E" w:rsidP="005A6D69">
      <w:pPr>
        <w:pStyle w:val="Textonotapie"/>
        <w:ind w:firstLine="708"/>
        <w:contextualSpacing/>
        <w:jc w:val="both"/>
        <w:rPr>
          <w:rFonts w:ascii="Verdana" w:hAnsi="Verdana" w:cs="Arial"/>
          <w:sz w:val="16"/>
          <w:szCs w:val="16"/>
          <w:lang w:val="es-ES"/>
        </w:rPr>
      </w:pPr>
      <w:r w:rsidRPr="004B1C34">
        <w:rPr>
          <w:rStyle w:val="Refdenotaalpie"/>
          <w:rFonts w:ascii="Verdana" w:hAnsi="Verdana" w:cs="Arial"/>
          <w:sz w:val="16"/>
          <w:szCs w:val="16"/>
        </w:rPr>
        <w:footnoteRef/>
      </w:r>
      <w:r w:rsidRPr="004B1C34">
        <w:rPr>
          <w:rFonts w:ascii="Verdana" w:hAnsi="Verdana" w:cs="Arial"/>
          <w:sz w:val="16"/>
          <w:szCs w:val="16"/>
        </w:rPr>
        <w:t xml:space="preserve"> </w:t>
      </w:r>
      <w:r w:rsidRPr="004B1C34">
        <w:rPr>
          <w:rFonts w:ascii="Verdana" w:hAnsi="Verdana" w:cs="Arial"/>
          <w:sz w:val="16"/>
          <w:szCs w:val="16"/>
          <w:lang w:val="es-ES"/>
        </w:rPr>
        <w:t xml:space="preserve">Corte Constitucional. Sentencia C-489 de 26 de septiembre de 1996. Magistrado Ponente: Antonio Barrera Carbonell. </w:t>
      </w:r>
    </w:p>
    <w:p w14:paraId="119B4463" w14:textId="77777777" w:rsidR="005C029E" w:rsidRPr="00C8751D" w:rsidRDefault="005C029E" w:rsidP="00C8751D">
      <w:pPr>
        <w:pStyle w:val="Textonotapie"/>
        <w:ind w:firstLine="708"/>
        <w:contextualSpacing/>
        <w:jc w:val="both"/>
        <w:rPr>
          <w:rFonts w:ascii="Verdana" w:hAnsi="Verdana" w:cs="Arial"/>
          <w:sz w:val="16"/>
          <w:szCs w:val="16"/>
          <w:lang w:val="es-ES"/>
        </w:rPr>
      </w:pPr>
    </w:p>
  </w:footnote>
  <w:footnote w:id="10">
    <w:p w14:paraId="287B48D8" w14:textId="77777777" w:rsidR="005C029E" w:rsidRDefault="005C029E" w:rsidP="005A6D69">
      <w:pPr>
        <w:pStyle w:val="Textonotapie"/>
        <w:ind w:firstLine="709"/>
        <w:contextualSpacing/>
        <w:jc w:val="both"/>
        <w:rPr>
          <w:rFonts w:ascii="Verdana" w:eastAsia="Calibri" w:hAnsi="Verdana" w:cs="Arial"/>
          <w:bCs/>
          <w:color w:val="000000" w:themeColor="text1"/>
          <w:sz w:val="16"/>
          <w:szCs w:val="16"/>
        </w:rPr>
      </w:pPr>
      <w:r w:rsidRPr="004B1C34">
        <w:rPr>
          <w:rStyle w:val="Refdenotaalpie"/>
          <w:rFonts w:ascii="Verdana" w:hAnsi="Verdana" w:cs="Arial"/>
          <w:sz w:val="16"/>
          <w:szCs w:val="16"/>
        </w:rPr>
        <w:footnoteRef/>
      </w:r>
      <w:r w:rsidRPr="004B1C34">
        <w:rPr>
          <w:rFonts w:ascii="Verdana" w:hAnsi="Verdana" w:cs="Arial"/>
          <w:sz w:val="16"/>
          <w:szCs w:val="16"/>
        </w:rPr>
        <w:t xml:space="preserve"> </w:t>
      </w:r>
      <w:r w:rsidRPr="004B1C34">
        <w:rPr>
          <w:rFonts w:ascii="Verdana" w:eastAsia="Calibri" w:hAnsi="Verdana" w:cs="Arial"/>
          <w:color w:val="000000" w:themeColor="text1"/>
          <w:sz w:val="16"/>
          <w:szCs w:val="16"/>
        </w:rPr>
        <w:t>El Parágrafo 2º. del artículo 6 de la Ley 2014 de 2019, que modificó el artículo 9 de la Ley 80 de 1993, fue declarado inexequible por la Corte Constitucional en Sentencia C-037 del 24 de febrero de 2021, M.P. Cristina Pardo Schlesinger. La disposición era del siguiente tenor</w:t>
      </w:r>
      <w:bookmarkStart w:id="7" w:name="_Hlk79776115"/>
      <w:r w:rsidRPr="004B1C34">
        <w:rPr>
          <w:rFonts w:ascii="Verdana" w:eastAsia="Calibri" w:hAnsi="Verdana" w:cs="Arial"/>
          <w:color w:val="000000" w:themeColor="text1"/>
          <w:sz w:val="16"/>
          <w:szCs w:val="16"/>
        </w:rPr>
        <w:t>: “El Gobierno nacional reglamentará el procedimiento de la cesión del contrato de que trata este artículo, en término no mayor a seis (6) meses.”</w:t>
      </w:r>
    </w:p>
    <w:p w14:paraId="015D9A3C" w14:textId="77777777" w:rsidR="005C029E" w:rsidRPr="004B1C34" w:rsidRDefault="005C029E" w:rsidP="00C8751D">
      <w:pPr>
        <w:pStyle w:val="Textonotapie"/>
        <w:ind w:firstLine="709"/>
        <w:contextualSpacing/>
        <w:jc w:val="both"/>
        <w:rPr>
          <w:rFonts w:ascii="Verdana" w:hAnsi="Verdana" w:cs="Arial"/>
          <w:sz w:val="16"/>
          <w:szCs w:val="16"/>
        </w:rPr>
      </w:pPr>
    </w:p>
    <w:bookmarkEnd w:id="7"/>
  </w:footnote>
  <w:footnote w:id="11">
    <w:p w14:paraId="1CA64DF4" w14:textId="77777777" w:rsidR="005C029E" w:rsidRPr="004B1C34" w:rsidRDefault="005C029E" w:rsidP="004B1C34">
      <w:pPr>
        <w:pStyle w:val="Textonotapie"/>
        <w:ind w:firstLine="708"/>
        <w:contextualSpacing/>
        <w:jc w:val="both"/>
        <w:rPr>
          <w:rFonts w:ascii="Verdana" w:hAnsi="Verdana" w:cs="Arial"/>
          <w:sz w:val="16"/>
          <w:szCs w:val="16"/>
        </w:rPr>
      </w:pPr>
      <w:r w:rsidRPr="004B1C34">
        <w:rPr>
          <w:rStyle w:val="Refdenotaalpie"/>
          <w:rFonts w:ascii="Verdana" w:hAnsi="Verdana" w:cs="Arial"/>
          <w:sz w:val="16"/>
          <w:szCs w:val="16"/>
        </w:rPr>
        <w:footnoteRef/>
      </w:r>
      <w:r w:rsidRPr="004B1C34">
        <w:rPr>
          <w:rFonts w:ascii="Verdana" w:hAnsi="Verdana" w:cs="Arial"/>
          <w:sz w:val="16"/>
          <w:szCs w:val="16"/>
        </w:rPr>
        <w:t xml:space="preserve"> Sentencia de la Corte Constitucional. C-221 de 1996. Magistrado Ponente: José Gregorio Hernández Galindo. </w:t>
      </w:r>
    </w:p>
    <w:p w14:paraId="3309480F" w14:textId="77777777" w:rsidR="005C029E" w:rsidRPr="004B1C34" w:rsidRDefault="005C029E" w:rsidP="004B1C34">
      <w:pPr>
        <w:pStyle w:val="Textonotapie"/>
        <w:ind w:firstLine="708"/>
        <w:contextualSpacing/>
        <w:jc w:val="both"/>
        <w:rPr>
          <w:rFonts w:ascii="Verdana" w:hAnsi="Verdana" w:cs="Arial"/>
          <w:sz w:val="16"/>
          <w:szCs w:val="16"/>
        </w:rPr>
      </w:pPr>
    </w:p>
  </w:footnote>
  <w:footnote w:id="12">
    <w:p w14:paraId="061E26B1" w14:textId="77777777" w:rsidR="005C029E" w:rsidRPr="004B1C34" w:rsidRDefault="005C029E" w:rsidP="004B1C34">
      <w:pPr>
        <w:pStyle w:val="Textonotapie"/>
        <w:ind w:firstLine="708"/>
        <w:contextualSpacing/>
        <w:jc w:val="both"/>
        <w:rPr>
          <w:rFonts w:ascii="Verdana" w:hAnsi="Verdana" w:cs="Arial"/>
          <w:sz w:val="16"/>
          <w:szCs w:val="16"/>
        </w:rPr>
      </w:pPr>
      <w:r w:rsidRPr="004B1C34">
        <w:rPr>
          <w:rStyle w:val="Refdenotaalpie"/>
          <w:rFonts w:ascii="Verdana" w:hAnsi="Verdana" w:cs="Arial"/>
          <w:sz w:val="16"/>
          <w:szCs w:val="16"/>
        </w:rPr>
        <w:footnoteRef/>
      </w:r>
      <w:r w:rsidRPr="004B1C34">
        <w:rPr>
          <w:rFonts w:ascii="Verdana" w:hAnsi="Verdana" w:cs="Arial"/>
          <w:sz w:val="16"/>
          <w:szCs w:val="16"/>
        </w:rPr>
        <w:t xml:space="preserve"> El parágrafo del artículo 9, introducido por el artículo 6 de la Ley 2014 de 2019, establece una regla especial para los casos en los que se presente de manera sobreviniente la inhabilidad tipificada en el literal j) del artículo 8 de la Ley 80 de 1993, o cuando el contratista sea sancionado administrativamente por actos de corrupción, situaciones en las que correspondería a la Administración escoger al cesionario . De acuerdo con esto, en principio, cualquier inhabilidad sobreviniente que afecte al contratista se regiría por el inciso primero de la norma citada, que corresponde a la redacción inicial de la Ley 80 de 1993. Sin embargo, el legislador buscaba un efecto distinto para los contratistas en los que se configurara la inhabilidad del artículo 8, literal j) del numeral 1, de la Ley 80 de 1993 o que fueran sancionados administrativamente por actos de corrupción, pues cuando se aplica la cesión unilateral no son procedentes la cesión bilateral del contrato ni la renuncia a la ejecución. </w:t>
      </w:r>
    </w:p>
    <w:p w14:paraId="4DBF1377" w14:textId="77777777" w:rsidR="005C029E" w:rsidRPr="004B1C34" w:rsidRDefault="005C029E" w:rsidP="004B1C34">
      <w:pPr>
        <w:pStyle w:val="Textonotapie"/>
        <w:ind w:firstLine="708"/>
        <w:contextualSpacing/>
        <w:jc w:val="both"/>
        <w:rPr>
          <w:rFonts w:ascii="Verdana" w:hAnsi="Verdana"/>
          <w:sz w:val="16"/>
          <w:szCs w:val="16"/>
        </w:rPr>
      </w:pPr>
    </w:p>
  </w:footnote>
  <w:footnote w:id="13">
    <w:p w14:paraId="365A9ACA" w14:textId="195A45EC" w:rsidR="005C029E" w:rsidRPr="004B1C34" w:rsidRDefault="005C029E" w:rsidP="004B1C34">
      <w:pPr>
        <w:pStyle w:val="Textonotapie"/>
        <w:ind w:firstLine="709"/>
        <w:contextualSpacing/>
        <w:jc w:val="both"/>
        <w:rPr>
          <w:rFonts w:ascii="Verdana" w:hAnsi="Verdana" w:cs="Arial"/>
          <w:sz w:val="16"/>
          <w:szCs w:val="16"/>
          <w:lang w:val="es-ES"/>
        </w:rPr>
      </w:pPr>
      <w:r w:rsidRPr="004B1C34">
        <w:rPr>
          <w:rStyle w:val="Refdenotaalpie"/>
          <w:rFonts w:ascii="Verdana" w:hAnsi="Verdana" w:cs="Arial"/>
          <w:sz w:val="16"/>
          <w:szCs w:val="16"/>
        </w:rPr>
        <w:footnoteRef/>
      </w:r>
      <w:r w:rsidRPr="004B1C34">
        <w:rPr>
          <w:rFonts w:ascii="Verdana" w:hAnsi="Verdana" w:cs="Arial"/>
          <w:sz w:val="16"/>
          <w:szCs w:val="16"/>
        </w:rPr>
        <w:t xml:space="preserve"> Aunque el artículo 9 de la Ley 80 de 1993 no regula el tema de las inhabilidades e incompatibilidades sobrevinientes entre la adjudicación del contrato y su perfeccionamiento, es necesario tener en cuenta que el artículo 9, inciso cuarto, de la Ley 1150 de 2007 establece que </w:t>
      </w:r>
      <w:r w:rsidR="00C16BB6">
        <w:rPr>
          <w:rFonts w:ascii="Verdana" w:hAnsi="Verdana" w:cs="Arial"/>
          <w:sz w:val="16"/>
          <w:szCs w:val="16"/>
        </w:rPr>
        <w:t>“</w:t>
      </w:r>
      <w:r w:rsidRPr="004B1C34">
        <w:rPr>
          <w:rFonts w:ascii="Verdana" w:hAnsi="Verdana" w:cs="Arial"/>
          <w:sz w:val="16"/>
          <w:szCs w:val="16"/>
        </w:rPr>
        <w:t>[…] si dentro del plazo comprendido entre la adjudicación del contrato y la suscripción del mismo, sobreviene una inhabilidad o incompatibilidad o si se demuestra que el acto se obtuvo por medios ilegales, [el acto de adjudicación] podrá ser revocado, caso en el cual, la entidad podrá aplicar lo previsto en el inciso final del numeral 12 del artículo 30 de la Ley 80 de 1993</w:t>
      </w:r>
      <w:r w:rsidR="00C16BB6">
        <w:rPr>
          <w:rFonts w:ascii="Verdana" w:hAnsi="Verdana" w:cs="Arial"/>
          <w:sz w:val="16"/>
          <w:szCs w:val="16"/>
        </w:rPr>
        <w:t xml:space="preserve">” </w:t>
      </w:r>
      <w:r w:rsidRPr="004B1C34">
        <w:rPr>
          <w:rFonts w:ascii="Verdana" w:hAnsi="Verdana" w:cs="Arial"/>
          <w:sz w:val="16"/>
          <w:szCs w:val="16"/>
        </w:rPr>
        <w:t>(Corchetes fuera de texto).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55pt;height:11.55pt;visibility:visible;mso-wrap-style:square" o:bullet="t">
        <v:imagedata r:id="rId1" o:title=""/>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42A291D"/>
    <w:multiLevelType w:val="hybridMultilevel"/>
    <w:tmpl w:val="FB12A3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6"/>
  </w:num>
  <w:num w:numId="8" w16cid:durableId="152644682">
    <w:abstractNumId w:val="12"/>
  </w:num>
  <w:num w:numId="9" w16cid:durableId="1317221377">
    <w:abstractNumId w:val="8"/>
  </w:num>
  <w:num w:numId="10" w16cid:durableId="1471245386">
    <w:abstractNumId w:val="11"/>
  </w:num>
  <w:num w:numId="11" w16cid:durableId="289172385">
    <w:abstractNumId w:val="9"/>
  </w:num>
  <w:num w:numId="12" w16cid:durableId="1470781324">
    <w:abstractNumId w:val="1"/>
  </w:num>
  <w:num w:numId="13" w16cid:durableId="1512908409">
    <w:abstractNumId w:val="4"/>
  </w:num>
  <w:num w:numId="14" w16cid:durableId="895897244">
    <w:abstractNumId w:val="14"/>
  </w:num>
  <w:num w:numId="15" w16cid:durableId="390349800">
    <w:abstractNumId w:val="10"/>
  </w:num>
  <w:num w:numId="16" w16cid:durableId="341274352">
    <w:abstractNumId w:val="0"/>
  </w:num>
  <w:num w:numId="17" w16cid:durableId="3994481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35A2"/>
    <w:rsid w:val="00016F78"/>
    <w:rsid w:val="000213EE"/>
    <w:rsid w:val="00034499"/>
    <w:rsid w:val="000403D5"/>
    <w:rsid w:val="00046945"/>
    <w:rsid w:val="00057FED"/>
    <w:rsid w:val="00061B2A"/>
    <w:rsid w:val="00082362"/>
    <w:rsid w:val="00085039"/>
    <w:rsid w:val="000A683E"/>
    <w:rsid w:val="000B19B9"/>
    <w:rsid w:val="000D0334"/>
    <w:rsid w:val="000F6486"/>
    <w:rsid w:val="00102FAC"/>
    <w:rsid w:val="00125105"/>
    <w:rsid w:val="00127233"/>
    <w:rsid w:val="001511A0"/>
    <w:rsid w:val="001E3003"/>
    <w:rsid w:val="001E4177"/>
    <w:rsid w:val="001F5FB1"/>
    <w:rsid w:val="001F7DC6"/>
    <w:rsid w:val="00241AA3"/>
    <w:rsid w:val="002421BB"/>
    <w:rsid w:val="0025796E"/>
    <w:rsid w:val="00260A31"/>
    <w:rsid w:val="002707A2"/>
    <w:rsid w:val="002951A0"/>
    <w:rsid w:val="002962BC"/>
    <w:rsid w:val="002A093D"/>
    <w:rsid w:val="002A0DD0"/>
    <w:rsid w:val="002A49AC"/>
    <w:rsid w:val="002A64FD"/>
    <w:rsid w:val="002C7A84"/>
    <w:rsid w:val="002E2185"/>
    <w:rsid w:val="002E4FD9"/>
    <w:rsid w:val="00322A85"/>
    <w:rsid w:val="00324168"/>
    <w:rsid w:val="003448F4"/>
    <w:rsid w:val="003532EB"/>
    <w:rsid w:val="00374F5E"/>
    <w:rsid w:val="00377E3E"/>
    <w:rsid w:val="003A779E"/>
    <w:rsid w:val="003D0F4D"/>
    <w:rsid w:val="003D5B0D"/>
    <w:rsid w:val="003E0499"/>
    <w:rsid w:val="003F3941"/>
    <w:rsid w:val="00406575"/>
    <w:rsid w:val="004147CA"/>
    <w:rsid w:val="00414C74"/>
    <w:rsid w:val="004246BF"/>
    <w:rsid w:val="0042722E"/>
    <w:rsid w:val="0044528D"/>
    <w:rsid w:val="004A1847"/>
    <w:rsid w:val="004A305D"/>
    <w:rsid w:val="004B1C34"/>
    <w:rsid w:val="004F21C4"/>
    <w:rsid w:val="004F685F"/>
    <w:rsid w:val="005308B6"/>
    <w:rsid w:val="005566E8"/>
    <w:rsid w:val="00571374"/>
    <w:rsid w:val="00574867"/>
    <w:rsid w:val="00591460"/>
    <w:rsid w:val="00596278"/>
    <w:rsid w:val="005A6D69"/>
    <w:rsid w:val="005B3816"/>
    <w:rsid w:val="005C029E"/>
    <w:rsid w:val="005C3777"/>
    <w:rsid w:val="005C5CDC"/>
    <w:rsid w:val="005C78AF"/>
    <w:rsid w:val="005D476C"/>
    <w:rsid w:val="00602E90"/>
    <w:rsid w:val="006219F8"/>
    <w:rsid w:val="00635DB2"/>
    <w:rsid w:val="0065712A"/>
    <w:rsid w:val="00665D70"/>
    <w:rsid w:val="006670B5"/>
    <w:rsid w:val="006900D9"/>
    <w:rsid w:val="00706C16"/>
    <w:rsid w:val="0073020D"/>
    <w:rsid w:val="007459CC"/>
    <w:rsid w:val="00756841"/>
    <w:rsid w:val="007649AB"/>
    <w:rsid w:val="00771D0C"/>
    <w:rsid w:val="007833AC"/>
    <w:rsid w:val="007B268C"/>
    <w:rsid w:val="007B7171"/>
    <w:rsid w:val="007C0C0F"/>
    <w:rsid w:val="007C3DC2"/>
    <w:rsid w:val="007E5497"/>
    <w:rsid w:val="00806F5F"/>
    <w:rsid w:val="00820278"/>
    <w:rsid w:val="00860F5E"/>
    <w:rsid w:val="00867F95"/>
    <w:rsid w:val="008843B6"/>
    <w:rsid w:val="0088609F"/>
    <w:rsid w:val="00891928"/>
    <w:rsid w:val="008A446D"/>
    <w:rsid w:val="008D180B"/>
    <w:rsid w:val="008F0EA7"/>
    <w:rsid w:val="00923EEF"/>
    <w:rsid w:val="0092542D"/>
    <w:rsid w:val="00932C82"/>
    <w:rsid w:val="009419F9"/>
    <w:rsid w:val="0095685E"/>
    <w:rsid w:val="00961B09"/>
    <w:rsid w:val="00965334"/>
    <w:rsid w:val="0097093E"/>
    <w:rsid w:val="00985ED8"/>
    <w:rsid w:val="00986AC5"/>
    <w:rsid w:val="009A0DFA"/>
    <w:rsid w:val="009B2D26"/>
    <w:rsid w:val="009C71FA"/>
    <w:rsid w:val="009C72E7"/>
    <w:rsid w:val="009D3058"/>
    <w:rsid w:val="009D320C"/>
    <w:rsid w:val="009F3A13"/>
    <w:rsid w:val="00A04B9C"/>
    <w:rsid w:val="00A122D3"/>
    <w:rsid w:val="00A17F13"/>
    <w:rsid w:val="00A20739"/>
    <w:rsid w:val="00A33C78"/>
    <w:rsid w:val="00A87D8F"/>
    <w:rsid w:val="00AB0ADB"/>
    <w:rsid w:val="00AE75F9"/>
    <w:rsid w:val="00B01B1A"/>
    <w:rsid w:val="00B5264F"/>
    <w:rsid w:val="00B52AE6"/>
    <w:rsid w:val="00B66319"/>
    <w:rsid w:val="00B71C02"/>
    <w:rsid w:val="00B72CD3"/>
    <w:rsid w:val="00B72FFF"/>
    <w:rsid w:val="00BC3D36"/>
    <w:rsid w:val="00BD7F72"/>
    <w:rsid w:val="00C04FB3"/>
    <w:rsid w:val="00C16BB6"/>
    <w:rsid w:val="00C330EB"/>
    <w:rsid w:val="00C41061"/>
    <w:rsid w:val="00C754BE"/>
    <w:rsid w:val="00C76B1C"/>
    <w:rsid w:val="00C805F1"/>
    <w:rsid w:val="00C8751D"/>
    <w:rsid w:val="00CB6357"/>
    <w:rsid w:val="00CC1B26"/>
    <w:rsid w:val="00D423A2"/>
    <w:rsid w:val="00D46C15"/>
    <w:rsid w:val="00D520D8"/>
    <w:rsid w:val="00D63AC2"/>
    <w:rsid w:val="00D7383B"/>
    <w:rsid w:val="00D92155"/>
    <w:rsid w:val="00DA231B"/>
    <w:rsid w:val="00DC39FC"/>
    <w:rsid w:val="00DE27A9"/>
    <w:rsid w:val="00DF5254"/>
    <w:rsid w:val="00E03386"/>
    <w:rsid w:val="00E16408"/>
    <w:rsid w:val="00E20894"/>
    <w:rsid w:val="00E245AB"/>
    <w:rsid w:val="00E2764C"/>
    <w:rsid w:val="00E27F2E"/>
    <w:rsid w:val="00E50AFE"/>
    <w:rsid w:val="00E75C92"/>
    <w:rsid w:val="00E771DC"/>
    <w:rsid w:val="00E8772A"/>
    <w:rsid w:val="00E90F6B"/>
    <w:rsid w:val="00E92C27"/>
    <w:rsid w:val="00EA0E3D"/>
    <w:rsid w:val="00EC38A7"/>
    <w:rsid w:val="00ED4C27"/>
    <w:rsid w:val="00ED6437"/>
    <w:rsid w:val="00ED7384"/>
    <w:rsid w:val="00EE1AA8"/>
    <w:rsid w:val="00F31E7E"/>
    <w:rsid w:val="00F31EDC"/>
    <w:rsid w:val="00F3755E"/>
    <w:rsid w:val="00F462B3"/>
    <w:rsid w:val="00F5664F"/>
    <w:rsid w:val="00F64EEC"/>
    <w:rsid w:val="00F666C4"/>
    <w:rsid w:val="00F76AFC"/>
    <w:rsid w:val="00FA47C0"/>
    <w:rsid w:val="00FB5DD1"/>
    <w:rsid w:val="00FC2B5D"/>
    <w:rsid w:val="00FF1449"/>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5C029E"/>
    <w:pPr>
      <w:spacing w:line="240" w:lineRule="exact"/>
    </w:pPr>
    <w:rPr>
      <w:vertAlign w:val="superscript"/>
    </w:rPr>
  </w:style>
  <w:style w:type="character" w:styleId="Textoennegrita">
    <w:name w:val="Strong"/>
    <w:basedOn w:val="Fuentedeprrafopredeter"/>
    <w:uiPriority w:val="22"/>
    <w:qFormat/>
    <w:rsid w:val="005C029E"/>
    <w:rPr>
      <w:b/>
      <w:bCs/>
    </w:rPr>
  </w:style>
  <w:style w:type="character" w:styleId="nfasis">
    <w:name w:val="Emphasis"/>
    <w:basedOn w:val="Fuentedeprrafopredeter"/>
    <w:uiPriority w:val="20"/>
    <w:qFormat/>
    <w:rsid w:val="005C029E"/>
    <w:rPr>
      <w:i/>
      <w:iCs/>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C029E"/>
    <w:rPr>
      <w:rFonts w:ascii="Geomanist Light" w:hAnsi="Geomanist Light"/>
      <w:lang w:val="es-ES"/>
    </w:rPr>
  </w:style>
  <w:style w:type="paragraph" w:styleId="Sinespaciado">
    <w:name w:val="No Spacing"/>
    <w:aliases w:val="No Indent"/>
    <w:uiPriority w:val="3"/>
    <w:qFormat/>
    <w:rsid w:val="005C029E"/>
    <w:pPr>
      <w:spacing w:after="0" w:line="240" w:lineRule="auto"/>
    </w:pPr>
    <w:rPr>
      <w:sz w:val="24"/>
      <w:lang w:val="es-MX"/>
    </w:rPr>
  </w:style>
  <w:style w:type="paragraph" w:styleId="Textoindependiente">
    <w:name w:val="Body Text"/>
    <w:basedOn w:val="Normal"/>
    <w:link w:val="TextoindependienteCar"/>
    <w:uiPriority w:val="1"/>
    <w:qFormat/>
    <w:rsid w:val="0088609F"/>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88609F"/>
    <w:rPr>
      <w:rFonts w:ascii="Verdana" w:eastAsia="Verdana" w:hAnsi="Verdana" w:cs="Verdana"/>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secretariasenado.gov.co/senado/basedoc/constitucion_politica_1991_pr009.html" TargetMode="External"/><Relationship Id="rId18" Type="http://schemas.openxmlformats.org/officeDocument/2006/relationships/hyperlink" Target="http://www.secretariasenado.gov.co/senado/basedoc/constitucion_politica_1991_pr009.html" TargetMode="Externa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webSettings" Target="webSettings.xml"/><Relationship Id="rId12" Type="http://schemas.openxmlformats.org/officeDocument/2006/relationships/hyperlink" Target="http://www.secretariasenado.gov.co/senado/basedoc/constitucion_politica_1991_pr006.html" TargetMode="External"/><Relationship Id="rId17" Type="http://schemas.openxmlformats.org/officeDocument/2006/relationships/hyperlink" Target="http://www.secretariasenado.gov.co/senado/basedoc/constitucion_politica_1991_pr006.html"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secretariasenado.gov.co/senado/basedoc/constitucion_politica_1991_pr009.html" TargetMode="External"/><Relationship Id="rId20" Type="http://schemas.openxmlformats.org/officeDocument/2006/relationships/hyperlink" Target="https://www.colombiacompra.gov.co/sala-de-prensa/boletin-digital"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suntosdisciplinarios@acueducto.com.co"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www.secretariasenado.gov.co/senado/basedoc/constitucion_politica_1991_pr006.html" TargetMode="External"/><Relationship Id="rId23" Type="http://schemas.openxmlformats.org/officeDocument/2006/relationships/footer" Target="footer1.xml"/><Relationship Id="rId10" Type="http://schemas.openxmlformats.org/officeDocument/2006/relationships/image" Target="media/image2.jpeg"/><Relationship Id="rId19" Type="http://schemas.openxmlformats.org/officeDocument/2006/relationships/hyperlink" Target="https://relatoria.colombiacompra.gov.co/busqueda/concepto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secretariasenado.gov.co/senado/basedoc/ley_0080_1993.html"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D1E748A-998B-42F9-9CDE-4A49DDA7D3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18</Pages>
  <Words>5208</Words>
  <Characters>28646</Characters>
  <Application>Microsoft Office Word</Application>
  <DocSecurity>0</DocSecurity>
  <Lines>238</Lines>
  <Paragraphs>67</Paragraphs>
  <ScaleCrop>false</ScaleCrop>
  <Company/>
  <LinksUpToDate>false</LinksUpToDate>
  <CharactersWithSpaces>33787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Andrea del Pilar Garzón Sánchez</cp:lastModifiedBy>
  <cp:revision>2</cp:revision>
  <cp:lastPrinted>2023-01-10T21:18:00Z</cp:lastPrinted>
  <dcterms:created xsi:type="dcterms:W3CDTF">2025-07-02T20:54:00Z</dcterms:created>
  <dcterms:modified xsi:type="dcterms:W3CDTF">2025-07-02T20:54:00Z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